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49A73994" w:rsidR="006578ED" w:rsidRDefault="00184EC9" w:rsidP="00184EC9">
      <w:pPr>
        <w:pStyle w:val="Pagedecouverture"/>
        <w:rPr>
          <w:noProof/>
        </w:rPr>
      </w:pPr>
      <w:bookmarkStart w:id="0" w:name="LW_BM_COVERPAGE"/>
      <w:r>
        <w:rPr>
          <w:noProof/>
        </w:rPr>
        <w:pict w14:anchorId="3720C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CF639573-8F70-41BB-BCC1-CB6403B192DE" style="width:455.25pt;height:410.25pt">
            <v:imagedata r:id="rId11" o:title=""/>
          </v:shape>
        </w:pict>
      </w:r>
    </w:p>
    <w:bookmarkEnd w:id="0"/>
    <w:p w14:paraId="0A37501D" w14:textId="77777777" w:rsidR="006578ED" w:rsidRDefault="006578ED">
      <w:pPr>
        <w:rPr>
          <w:rFonts w:ascii="Times New Roman" w:hAnsi="Times New Roman" w:cs="Times New Roman"/>
          <w:noProof/>
        </w:rPr>
        <w:sectPr w:rsidR="006578ED" w:rsidSect="00184EC9">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1"/>
          <w:cols w:space="720"/>
          <w:docGrid w:linePitch="360"/>
        </w:sectPr>
      </w:pPr>
    </w:p>
    <w:p w14:paraId="7FA88332" w14:textId="770697C0" w:rsidR="006578ED" w:rsidRDefault="00A1618E">
      <w:pPr>
        <w:pStyle w:val="P68B1DB1-Normal1"/>
        <w:spacing w:before="120" w:after="120" w:line="240" w:lineRule="auto"/>
        <w:jc w:val="center"/>
        <w:rPr>
          <w:rFonts w:cs="Times New Roman"/>
          <w:noProof/>
        </w:rPr>
      </w:pPr>
      <w:bookmarkStart w:id="1" w:name="_GoBack"/>
      <w:bookmarkEnd w:id="1"/>
      <w:r>
        <w:rPr>
          <w:noProof/>
        </w:rPr>
        <w:lastRenderedPageBreak/>
        <w:t>ZAŁĄCZNIK</w:t>
      </w:r>
      <w:r>
        <w:rPr>
          <w:noProof/>
        </w:rPr>
        <w:br/>
      </w:r>
    </w:p>
    <w:p w14:paraId="21F95161" w14:textId="77777777" w:rsidR="006578ED" w:rsidRDefault="00A1618E">
      <w:pPr>
        <w:pStyle w:val="P68B1DB1-Normal1"/>
        <w:spacing w:before="120" w:after="120" w:line="240" w:lineRule="auto"/>
        <w:jc w:val="both"/>
        <w:rPr>
          <w:rFonts w:cs="Times New Roman"/>
          <w:noProof/>
        </w:rPr>
      </w:pPr>
      <w:r>
        <w:rPr>
          <w:noProof/>
        </w:rPr>
        <w:t>SEKCJA 1: REFORMY I INWESTYCJE W RAMACH PLANU ODBUDOWY I ZWIĘKSZANIA ODPORNOŚCI</w:t>
      </w:r>
    </w:p>
    <w:p w14:paraId="5DAB6C7B" w14:textId="77777777" w:rsidR="006578ED" w:rsidRDefault="006578ED">
      <w:pPr>
        <w:spacing w:before="120" w:after="120" w:line="240" w:lineRule="auto"/>
        <w:jc w:val="both"/>
        <w:rPr>
          <w:rFonts w:ascii="Times New Roman" w:hAnsi="Times New Roman" w:cs="Times New Roman"/>
          <w:noProof/>
          <w:sz w:val="28"/>
        </w:rPr>
      </w:pPr>
    </w:p>
    <w:p w14:paraId="7965D8B9" w14:textId="75D155D6" w:rsidR="006578ED" w:rsidRDefault="00A1618E">
      <w:pPr>
        <w:pStyle w:val="P68B1DB1-Normal1"/>
        <w:numPr>
          <w:ilvl w:val="0"/>
          <w:numId w:val="191"/>
        </w:numPr>
        <w:spacing w:before="120" w:after="120" w:line="240" w:lineRule="auto"/>
        <w:jc w:val="both"/>
        <w:rPr>
          <w:rFonts w:cs="Times New Roman"/>
          <w:noProof/>
        </w:rPr>
      </w:pPr>
      <w:r>
        <w:rPr>
          <w:noProof/>
        </w:rPr>
        <w:t xml:space="preserve">Opis reform i inwestycji </w:t>
      </w:r>
    </w:p>
    <w:p w14:paraId="60E6C9D1" w14:textId="77777777" w:rsidR="006578ED" w:rsidRDefault="00A1618E">
      <w:pPr>
        <w:pStyle w:val="P68B1DB1-Heading12"/>
        <w:rPr>
          <w:rFonts w:cs="Times New Roman"/>
          <w:noProof/>
        </w:rPr>
      </w:pPr>
      <w:r>
        <w:rPr>
          <w:noProof/>
        </w:rPr>
        <w:t xml:space="preserve">A. KOMPONENT 01: PLAN WSTRZĄSÓW ZWIĄZANYCH ZE ZRÓWNOWAŻONĄ, BEZPIECZNĄ I POŁĄCZONĄ MOBILNOŚCIĄ W ŚRODOWISKU MIEJSKIM I METROPOLITALNYM </w:t>
      </w:r>
    </w:p>
    <w:p w14:paraId="155EA4AC" w14:textId="3EE45CEC" w:rsidR="006578ED" w:rsidRDefault="00A1618E">
      <w:pPr>
        <w:pStyle w:val="P68B1DB1-Normal4"/>
        <w:spacing w:before="120" w:after="120" w:line="240" w:lineRule="auto"/>
        <w:jc w:val="both"/>
        <w:rPr>
          <w:rFonts w:cs="Times New Roman"/>
          <w:noProof/>
        </w:rPr>
      </w:pPr>
      <w:r>
        <w:rPr>
          <w:noProof/>
        </w:rPr>
        <w:t>Ten element hiszpańskiego planu odbudowy i zwiększania odporności dotyczy wyzwań związanych z jakością powietrza, które dotyczą głównie głównych obszarów metropolitalnych i doprowadziły do ponad 20000 przedwczesnych zgonów w Hiszpanii w 20</w:t>
      </w:r>
      <w:r w:rsidRPr="00A1618E">
        <w:rPr>
          <w:noProof/>
          <w:lang w:val="pl-PL"/>
        </w:rPr>
        <w:t>18 r.</w:t>
      </w:r>
      <w:r>
        <w:rPr>
          <w:noProof/>
        </w:rPr>
        <w:t xml:space="preserve"> Nadrzędnym celem reform i inwestycji w ramach tego komponentu jest przejście na czystą, bezpieczną i inteligentną mobilność miejską. Cele szczegółowe tego komponentu są następujące:</w:t>
      </w:r>
    </w:p>
    <w:p w14:paraId="7292808A" w14:textId="2DE3E31B" w:rsidR="006578ED" w:rsidRDefault="00A1618E">
      <w:pPr>
        <w:pStyle w:val="P68B1DB1-Normal4"/>
        <w:spacing w:before="120" w:after="120" w:line="240" w:lineRule="auto"/>
        <w:jc w:val="both"/>
        <w:rPr>
          <w:rFonts w:cs="Times New Roman"/>
          <w:noProof/>
        </w:rPr>
      </w:pPr>
      <w:r>
        <w:rPr>
          <w:noProof/>
        </w:rPr>
        <w:t>•</w:t>
      </w:r>
      <w:r>
        <w:rPr>
          <w:noProof/>
        </w:rPr>
        <w:tab/>
        <w:t>przyspieszenie wdrażania stref niskoemisyjnych we wszystkich gminach liczących ponad 50000 mieszkańców i stolicach prowincji oraz upowszechnienie mobilności elektrycznej;</w:t>
      </w:r>
    </w:p>
    <w:p w14:paraId="795A19F4" w14:textId="283CABE2" w:rsidR="006578ED" w:rsidRDefault="00A1618E">
      <w:pPr>
        <w:pStyle w:val="P68B1DB1-Normal4"/>
        <w:spacing w:before="120" w:after="120" w:line="240" w:lineRule="auto"/>
        <w:jc w:val="both"/>
        <w:rPr>
          <w:rFonts w:cs="Times New Roman"/>
          <w:noProof/>
        </w:rPr>
      </w:pPr>
      <w:r>
        <w:rPr>
          <w:noProof/>
        </w:rPr>
        <w:t>•</w:t>
      </w:r>
      <w:r>
        <w:rPr>
          <w:noProof/>
        </w:rPr>
        <w:tab/>
        <w:t xml:space="preserve">promowanie aktywnej mobilności, a także innych środków mających na celu ograniczenie korzystania z samochodów prywatnych; </w:t>
      </w:r>
    </w:p>
    <w:p w14:paraId="10A28E2B" w14:textId="7AD4D457" w:rsidR="006578ED" w:rsidRDefault="00A1618E">
      <w:pPr>
        <w:pStyle w:val="P68B1DB1-Normal4"/>
        <w:spacing w:before="120" w:after="120" w:line="240" w:lineRule="auto"/>
        <w:jc w:val="both"/>
        <w:rPr>
          <w:rFonts w:cs="Times New Roman"/>
          <w:noProof/>
        </w:rPr>
      </w:pPr>
      <w:r>
        <w:rPr>
          <w:noProof/>
        </w:rPr>
        <w:t>•</w:t>
      </w:r>
      <w:r>
        <w:rPr>
          <w:noProof/>
        </w:rPr>
        <w:tab/>
        <w:t>cyfrowa i zrównoważona transformacja sektora transportu publicznego jako rzeczywista alternatywa dla korzystania z pojazdów prywatnych;</w:t>
      </w:r>
    </w:p>
    <w:p w14:paraId="4734CA15" w14:textId="34FA3A8E" w:rsidR="006578ED" w:rsidRDefault="00A1618E">
      <w:pPr>
        <w:pStyle w:val="P68B1DB1-Normal4"/>
        <w:spacing w:before="120" w:after="120" w:line="240" w:lineRule="auto"/>
        <w:jc w:val="both"/>
        <w:rPr>
          <w:rFonts w:cs="Times New Roman"/>
          <w:noProof/>
        </w:rPr>
      </w:pPr>
      <w:r>
        <w:rPr>
          <w:noProof/>
        </w:rPr>
        <w:t>•</w:t>
      </w:r>
      <w:r>
        <w:rPr>
          <w:noProof/>
        </w:rPr>
        <w:tab/>
        <w:t>poprawa jakości i niezawodności krótkodystansowych przewozów kolejowych w celu zwiększenia ich efektywnego wykorzystania w środowisku metropolitalnym ze szkodą dla pojazdu prywatnego;</w:t>
      </w:r>
    </w:p>
    <w:p w14:paraId="2AE469A1" w14:textId="2C8BB663" w:rsidR="006578ED" w:rsidRDefault="00A1618E">
      <w:pPr>
        <w:pStyle w:val="P68B1DB1-Normal4"/>
        <w:spacing w:before="120" w:after="120" w:line="240" w:lineRule="auto"/>
        <w:jc w:val="both"/>
        <w:rPr>
          <w:rFonts w:cs="Times New Roman"/>
          <w:noProof/>
        </w:rPr>
      </w:pPr>
      <w:r>
        <w:rPr>
          <w:noProof/>
        </w:rPr>
        <w:t>•</w:t>
      </w:r>
      <w:r>
        <w:rPr>
          <w:noProof/>
        </w:rPr>
        <w:tab/>
        <w:t>optymalizacja zarządzania ruchem i ułatwianie podejmowania decyzji w celu promowania czystszej mobilności.</w:t>
      </w:r>
    </w:p>
    <w:p w14:paraId="21A64CB2" w14:textId="0503D2D7" w:rsidR="006578ED" w:rsidRDefault="00A1618E">
      <w:pPr>
        <w:pStyle w:val="P68B1DB1-Normal4"/>
        <w:spacing w:before="120" w:after="120" w:line="240" w:lineRule="auto"/>
        <w:jc w:val="both"/>
        <w:rPr>
          <w:rFonts w:cs="Times New Roman"/>
          <w:noProof/>
        </w:rPr>
      </w:pPr>
      <w:r>
        <w:rPr>
          <w:noProof/>
        </w:rPr>
        <w:t xml:space="preserve">Komponent ten odnosi się do zaleceń dla poszczególnych krajów w sprawie promowania inwestycji publicznych i prywatnych wspierających transformację ekologiczną i cyfrową oraz zrównoważony transport (zalecenie dla poszczególnych krajów </w:t>
      </w:r>
      <w:r w:rsidRPr="00A1618E">
        <w:rPr>
          <w:noProof/>
          <w:lang w:val="pl-PL"/>
        </w:rPr>
        <w:t>nr 3</w:t>
      </w:r>
      <w:r>
        <w:rPr>
          <w:noProof/>
        </w:rPr>
        <w:t xml:space="preserve"> z 20</w:t>
      </w:r>
      <w:r w:rsidRPr="00A1618E">
        <w:rPr>
          <w:noProof/>
          <w:lang w:val="pl-PL"/>
        </w:rPr>
        <w:t>20 r.</w:t>
      </w:r>
      <w:r>
        <w:rPr>
          <w:noProof/>
        </w:rPr>
        <w:t xml:space="preserve">), promowania inwestycji w innowacje oraz w efektywność energetyczną i infrastrukturę kolejowego transportu towarowego (zalecenie dla poszczególnych krajów </w:t>
      </w:r>
      <w:r w:rsidRPr="00A1618E">
        <w:rPr>
          <w:noProof/>
          <w:lang w:val="pl-PL"/>
        </w:rPr>
        <w:t>nr 3</w:t>
      </w:r>
      <w:r>
        <w:rPr>
          <w:noProof/>
        </w:rPr>
        <w:t xml:space="preserve"> z 20</w:t>
      </w:r>
      <w:r w:rsidRPr="00A1618E">
        <w:rPr>
          <w:noProof/>
          <w:lang w:val="pl-PL"/>
        </w:rPr>
        <w:t>19 r.</w:t>
      </w:r>
      <w:r>
        <w:rPr>
          <w:noProof/>
        </w:rPr>
        <w:t xml:space="preserve">), a także wzmocnienia współpracy między szczeblami administracji rządowej (zalecenie dla poszczególnych krajów </w:t>
      </w:r>
      <w:r w:rsidRPr="00A1618E">
        <w:rPr>
          <w:noProof/>
          <w:lang w:val="pl-PL"/>
        </w:rPr>
        <w:t>nr 4</w:t>
      </w:r>
      <w:r>
        <w:rPr>
          <w:noProof/>
        </w:rPr>
        <w:t xml:space="preserve"> z 20</w:t>
      </w:r>
      <w:r w:rsidRPr="00A1618E">
        <w:rPr>
          <w:noProof/>
          <w:lang w:val="pl-PL"/>
        </w:rPr>
        <w:t>19 r.</w:t>
      </w:r>
      <w:r>
        <w:rPr>
          <w:noProof/>
        </w:rPr>
        <w:t>).</w:t>
      </w:r>
    </w:p>
    <w:p w14:paraId="5E64A5E4" w14:textId="2B12CF84" w:rsidR="006578ED" w:rsidRPr="00A1618E" w:rsidRDefault="00A1618E">
      <w:pPr>
        <w:pStyle w:val="P68B1DB1-Normal4"/>
        <w:spacing w:before="120" w:after="120" w:line="240" w:lineRule="auto"/>
        <w:jc w:val="both"/>
        <w:rPr>
          <w:rFonts w:cs="Times New Roman"/>
          <w:noProof/>
          <w:lang w:val="pl-PL"/>
        </w:rPr>
      </w:pPr>
      <w:r>
        <w:rPr>
          <w:noProof/>
        </w:rPr>
        <w:t xml:space="preserve">Oczekuje się, że żaden środek w ramach tego komponentu nie spowoduje poważnych szkód dla celów środowiskowych w rozumieniu </w:t>
      </w:r>
      <w:r w:rsidRPr="00A1618E">
        <w:rPr>
          <w:noProof/>
          <w:lang w:val="pl-PL"/>
        </w:rPr>
        <w:t>art. 1</w:t>
      </w:r>
      <w:r>
        <w:rPr>
          <w:noProof/>
        </w:rPr>
        <w:t>7 rozporządzenia (UE) 2020/852, biorąc pod uwagę opis środków i działania łagodzące określone w planie odbudowy i zwiększania odporności zgodnie z wytycznymi technicznymi dotyczącymi zasady „nie czyń poważnych szkód” (2021/C58/01)</w:t>
      </w:r>
      <w:r w:rsidRPr="00A1618E">
        <w:rPr>
          <w:noProof/>
          <w:lang w:val="pl-PL"/>
        </w:rPr>
        <w:t xml:space="preserve">. </w:t>
      </w:r>
    </w:p>
    <w:p w14:paraId="0C520A87" w14:textId="7CC6A4CA" w:rsidR="006578ED" w:rsidRDefault="006578ED">
      <w:pPr>
        <w:spacing w:before="120" w:after="120" w:line="240" w:lineRule="auto"/>
        <w:jc w:val="both"/>
        <w:rPr>
          <w:rFonts w:ascii="Times New Roman" w:hAnsi="Times New Roman" w:cs="Times New Roman"/>
          <w:noProof/>
          <w:sz w:val="24"/>
        </w:rPr>
      </w:pPr>
    </w:p>
    <w:p w14:paraId="047A2FE4" w14:textId="0948AB4D" w:rsidR="006578ED" w:rsidRDefault="00A1618E">
      <w:pPr>
        <w:pStyle w:val="P68B1DB1-Normal5"/>
        <w:spacing w:before="120" w:after="120" w:line="240" w:lineRule="auto"/>
        <w:ind w:left="709"/>
        <w:jc w:val="both"/>
        <w:rPr>
          <w:rFonts w:cs="Times New Roman"/>
          <w:i/>
          <w:noProof/>
        </w:rPr>
      </w:pPr>
      <w:bookmarkStart w:id="2" w:name="_Hlk138340506"/>
      <w:r>
        <w:rPr>
          <w:noProof/>
        </w:rPr>
        <w:t xml:space="preserve">A.1. </w:t>
      </w:r>
      <w:r>
        <w:rPr>
          <w:noProof/>
        </w:rPr>
        <w:tab/>
        <w:t>Opis reform i inwestycji, które mają być finansowane z bezzwrotnego wsparcia finansowego</w:t>
      </w:r>
    </w:p>
    <w:p w14:paraId="483637DE" w14:textId="24D14E78" w:rsidR="006578ED" w:rsidRDefault="00A1618E">
      <w:pPr>
        <w:pStyle w:val="P68B1DB1-Normal6"/>
        <w:spacing w:before="120" w:after="120" w:line="240" w:lineRule="auto"/>
        <w:jc w:val="both"/>
        <w:rPr>
          <w:rFonts w:cs="Times New Roman"/>
          <w:noProof/>
        </w:rPr>
      </w:pPr>
      <w:r>
        <w:rPr>
          <w:noProof/>
        </w:rPr>
        <w:t>Reforma 1 (C1.R1) – Plan wdrożenia dotyczący ładowania i rozbudowy infrastruktury pojazdów elektrycznych</w:t>
      </w:r>
      <w:bookmarkEnd w:id="2"/>
      <w:r>
        <w:rPr>
          <w:noProof/>
        </w:rPr>
        <w:t xml:space="preserve"> </w:t>
      </w:r>
    </w:p>
    <w:p w14:paraId="5613BC71" w14:textId="404F924E" w:rsidR="006578ED" w:rsidRDefault="00A1618E">
      <w:pPr>
        <w:pStyle w:val="P68B1DB1-Normal4"/>
        <w:spacing w:before="120" w:after="120" w:line="240" w:lineRule="auto"/>
        <w:jc w:val="both"/>
        <w:rPr>
          <w:rFonts w:cs="Times New Roman"/>
          <w:noProof/>
        </w:rPr>
      </w:pPr>
      <w:r>
        <w:rPr>
          <w:noProof/>
        </w:rPr>
        <w:t xml:space="preserve">Celem tego środka jest wzmocnienie ram operacyjnych i regulacyjnych ułatwiających rozwój infrastruktury ładowania w celu zwiększenia wykorzystania pojazdów elektrycznych. </w:t>
      </w:r>
    </w:p>
    <w:p w14:paraId="385D7B78" w14:textId="77777777" w:rsidR="006578ED" w:rsidRDefault="00A1618E">
      <w:pPr>
        <w:pStyle w:val="P68B1DB1-Normal4"/>
        <w:spacing w:before="120" w:after="120" w:line="240" w:lineRule="auto"/>
        <w:jc w:val="both"/>
        <w:rPr>
          <w:rFonts w:cs="Times New Roman"/>
          <w:noProof/>
        </w:rPr>
      </w:pPr>
      <w:r>
        <w:rPr>
          <w:noProof/>
        </w:rPr>
        <w:t xml:space="preserve">Reforma polega na przyjęciu następujących ram regulacyjnych mających na celu usunięcie barier utrudniających obecnie rozpowszechnianie punktów ładowania: </w:t>
      </w:r>
    </w:p>
    <w:p w14:paraId="41C362C6" w14:textId="7CAC5D75" w:rsidR="006578ED" w:rsidRDefault="00A1618E">
      <w:pPr>
        <w:pStyle w:val="P68B1DB1-Normal4"/>
        <w:numPr>
          <w:ilvl w:val="0"/>
          <w:numId w:val="296"/>
        </w:numPr>
        <w:spacing w:before="120" w:after="120" w:line="240" w:lineRule="auto"/>
        <w:jc w:val="both"/>
        <w:rPr>
          <w:rFonts w:cs="Times New Roman"/>
          <w:noProof/>
        </w:rPr>
      </w:pPr>
      <w:r>
        <w:rPr>
          <w:noProof/>
        </w:rPr>
        <w:t>Dekret królewski regulujący publicznie dostępne usługi ładowania oraz zapewniający właściwe i niezawodne funkcjonowanie zainstalowanych punktów;</w:t>
      </w:r>
    </w:p>
    <w:p w14:paraId="3C6F59B2" w14:textId="2F503E80" w:rsidR="006578ED" w:rsidRDefault="00A1618E">
      <w:pPr>
        <w:pStyle w:val="P68B1DB1-Normal4"/>
        <w:numPr>
          <w:ilvl w:val="0"/>
          <w:numId w:val="296"/>
        </w:numPr>
        <w:spacing w:before="120" w:after="120" w:line="240" w:lineRule="auto"/>
        <w:jc w:val="both"/>
        <w:rPr>
          <w:rFonts w:cs="Times New Roman"/>
          <w:noProof/>
        </w:rPr>
      </w:pPr>
      <w:r>
        <w:rPr>
          <w:noProof/>
        </w:rPr>
        <w:t xml:space="preserve">Dekret królewski z mocą ustawy </w:t>
      </w:r>
      <w:r w:rsidRPr="00A1618E">
        <w:rPr>
          <w:noProof/>
          <w:lang w:val="pl-PL"/>
        </w:rPr>
        <w:t>nr 2</w:t>
      </w:r>
      <w:r>
        <w:rPr>
          <w:noProof/>
        </w:rPr>
        <w:t>3/2020 z dnia 23 czerwca 20</w:t>
      </w:r>
      <w:r w:rsidRPr="00A1618E">
        <w:rPr>
          <w:noProof/>
          <w:lang w:val="pl-PL"/>
        </w:rPr>
        <w:t>20 r.</w:t>
      </w:r>
      <w:r>
        <w:rPr>
          <w:noProof/>
        </w:rPr>
        <w:t xml:space="preserve"> przyczyniający się do przyspieszenia przetwarzania infrastruktury ładowania poprzez uznanie, że urządzenia ładowania o mocy powyżej 250 kW są pożytkiem publicznym; </w:t>
      </w:r>
    </w:p>
    <w:p w14:paraId="0FFB3C08" w14:textId="4D3071F7" w:rsidR="006578ED" w:rsidRDefault="00A1618E">
      <w:pPr>
        <w:pStyle w:val="P68B1DB1-Normal4"/>
        <w:numPr>
          <w:ilvl w:val="0"/>
          <w:numId w:val="296"/>
        </w:numPr>
        <w:spacing w:before="120" w:after="120" w:line="240" w:lineRule="auto"/>
        <w:jc w:val="both"/>
        <w:rPr>
          <w:rFonts w:eastAsia="Arial" w:cs="Times New Roman"/>
          <w:noProof/>
        </w:rPr>
      </w:pPr>
      <w:r>
        <w:rPr>
          <w:noProof/>
        </w:rPr>
        <w:t>Zarządzenie TMA/178/2020 w sprawie zmniejszenia obciążeń administracyjnych związanych z zatwierdzaniem i rozmieszczaniem instalacji ładowania energii elektrycznej na stacjach paliw;</w:t>
      </w:r>
    </w:p>
    <w:p w14:paraId="7822F39A" w14:textId="0B8249E0" w:rsidR="006578ED" w:rsidRDefault="00A1618E">
      <w:pPr>
        <w:pStyle w:val="P68B1DB1-Normal4"/>
        <w:numPr>
          <w:ilvl w:val="0"/>
          <w:numId w:val="296"/>
        </w:numPr>
        <w:spacing w:before="120" w:after="120" w:line="240" w:lineRule="auto"/>
        <w:jc w:val="both"/>
        <w:rPr>
          <w:rFonts w:cs="Times New Roman"/>
          <w:noProof/>
        </w:rPr>
      </w:pPr>
      <w:r>
        <w:rPr>
          <w:noProof/>
        </w:rPr>
        <w:t>Zmieniony kodeks techniczny budynku, zwiększający minimalne ilości infrastruktury ładowania pojazdów elektrycznych zarówno na parkingach mieszkalnych, jak i trzeciorzędnych, przekraczając minimalne wymogi dyrektywy w sprawie efektywności energetycznej budynków; oraz</w:t>
      </w:r>
    </w:p>
    <w:p w14:paraId="45BFDD5B" w14:textId="0142A964" w:rsidR="006578ED" w:rsidRDefault="00A1618E">
      <w:pPr>
        <w:pStyle w:val="P68B1DB1-Normal4"/>
        <w:numPr>
          <w:ilvl w:val="0"/>
          <w:numId w:val="296"/>
        </w:numPr>
        <w:spacing w:before="120" w:after="120" w:line="240" w:lineRule="auto"/>
        <w:jc w:val="both"/>
        <w:rPr>
          <w:rFonts w:cs="Times New Roman"/>
          <w:noProof/>
        </w:rPr>
      </w:pPr>
      <w:r>
        <w:rPr>
          <w:noProof/>
        </w:rPr>
        <w:t>Zmienione przepisy elektrotechniczne niskiego napięcia, włączające obowiązki dotyczące infrastruktury ładowania na parkingach, które nie są połączone z budynkiem.</w:t>
      </w:r>
    </w:p>
    <w:p w14:paraId="2C641F87" w14:textId="3DA04423" w:rsidR="006578ED" w:rsidRDefault="00A1618E">
      <w:pPr>
        <w:pStyle w:val="P68B1DB1-Normal4"/>
        <w:spacing w:before="120" w:after="120" w:line="240" w:lineRule="auto"/>
        <w:jc w:val="both"/>
        <w:rPr>
          <w:rFonts w:cs="Times New Roman"/>
          <w:noProof/>
        </w:rPr>
      </w:pPr>
      <w:r>
        <w:rPr>
          <w:noProof/>
        </w:rPr>
        <w:t>Realizacja reformy zakończy się do dnia 30 czerwca 20</w:t>
      </w:r>
      <w:r w:rsidRPr="00A1618E">
        <w:rPr>
          <w:noProof/>
          <w:lang w:val="pl-PL"/>
        </w:rPr>
        <w:t>22 r.</w:t>
      </w:r>
    </w:p>
    <w:p w14:paraId="6C6834B7" w14:textId="3644A422" w:rsidR="006578ED" w:rsidRDefault="00A1618E">
      <w:pPr>
        <w:pStyle w:val="P68B1DB1-Normal6"/>
        <w:spacing w:before="120" w:after="120" w:line="240" w:lineRule="auto"/>
        <w:jc w:val="both"/>
        <w:rPr>
          <w:rFonts w:cs="Times New Roman"/>
          <w:noProof/>
        </w:rPr>
      </w:pPr>
      <w:r>
        <w:rPr>
          <w:noProof/>
        </w:rPr>
        <w:t xml:space="preserve">Reforma 2 (C1.R2) – Prawo o mobilności </w:t>
      </w:r>
    </w:p>
    <w:p w14:paraId="4FCCBF4A" w14:textId="5E90EAA6" w:rsidR="006578ED" w:rsidRDefault="00A1618E">
      <w:pPr>
        <w:pStyle w:val="P68B1DB1-Normal4"/>
        <w:spacing w:before="120" w:after="120" w:line="240" w:lineRule="auto"/>
        <w:jc w:val="both"/>
        <w:rPr>
          <w:rFonts w:cs="Times New Roman"/>
          <w:noProof/>
        </w:rPr>
      </w:pPr>
      <w:r>
        <w:rPr>
          <w:noProof/>
        </w:rPr>
        <w:t xml:space="preserve">Celem tego środka, wdrożonego w drodze ustawy, jest zapewnienie ram regulacyjnych stanowiących podstawę odnowionej polityki mobilności w Hiszpanii w oparciu o bardziej zrównoważony rozwój i wymiar cyfrowy. </w:t>
      </w:r>
    </w:p>
    <w:p w14:paraId="740490EB" w14:textId="31AF4E87" w:rsidR="006578ED" w:rsidRDefault="00A1618E">
      <w:pPr>
        <w:pStyle w:val="P68B1DB1-Normal4"/>
        <w:spacing w:before="120" w:after="120" w:line="240" w:lineRule="auto"/>
        <w:jc w:val="both"/>
        <w:rPr>
          <w:rFonts w:cs="Times New Roman"/>
          <w:noProof/>
        </w:rPr>
      </w:pPr>
      <w:r>
        <w:rPr>
          <w:noProof/>
        </w:rPr>
        <w:t>Ustawa przewiduje co najmniej:</w:t>
      </w:r>
    </w:p>
    <w:p w14:paraId="58678A40" w14:textId="1994280C" w:rsidR="006578ED" w:rsidRDefault="00A1618E">
      <w:pPr>
        <w:pStyle w:val="P68B1DB1-ListParagraph7"/>
        <w:numPr>
          <w:ilvl w:val="0"/>
          <w:numId w:val="5"/>
        </w:numPr>
        <w:spacing w:before="120" w:after="120" w:line="240" w:lineRule="auto"/>
        <w:jc w:val="both"/>
        <w:rPr>
          <w:rFonts w:cs="Times New Roman"/>
          <w:noProof/>
          <w:sz w:val="18"/>
        </w:rPr>
      </w:pPr>
      <w:r>
        <w:rPr>
          <w:noProof/>
        </w:rPr>
        <w:t xml:space="preserve">Szczególne środki mające na celu promowanie kolejowego transportu towarowego, które przyczyniają się do redukcji globalnych emisji pochodzących z lądowego transportu towarowego, w tym: </w:t>
      </w:r>
    </w:p>
    <w:p w14:paraId="0AF94759" w14:textId="6145ACC3" w:rsidR="006578ED" w:rsidRDefault="00A1618E">
      <w:pPr>
        <w:pStyle w:val="P68B1DB1-ListParagraph7"/>
        <w:numPr>
          <w:ilvl w:val="1"/>
          <w:numId w:val="5"/>
        </w:numPr>
        <w:spacing w:before="120" w:after="120" w:line="240" w:lineRule="auto"/>
        <w:jc w:val="both"/>
        <w:rPr>
          <w:rFonts w:eastAsia="Times New Roman" w:cs="Times New Roman"/>
          <w:noProof/>
        </w:rPr>
      </w:pPr>
      <w:r>
        <w:rPr>
          <w:noProof/>
        </w:rPr>
        <w:t>obowiązek opracowania programu wdrażania autostrad kroczących się w tych korytarzach, w których jest on rentowny i w których jego rozwój leży w interesie gospodarczym;</w:t>
      </w:r>
    </w:p>
    <w:p w14:paraId="3460F64C" w14:textId="31EF6B97" w:rsidR="006578ED" w:rsidRDefault="00A1618E">
      <w:pPr>
        <w:pStyle w:val="P68B1DB1-ListParagraph7"/>
        <w:numPr>
          <w:ilvl w:val="1"/>
          <w:numId w:val="5"/>
        </w:numPr>
        <w:spacing w:before="120" w:after="120" w:line="240" w:lineRule="auto"/>
        <w:jc w:val="both"/>
        <w:rPr>
          <w:rFonts w:eastAsia="Times New Roman" w:cs="Times New Roman"/>
          <w:noProof/>
        </w:rPr>
      </w:pPr>
      <w:r>
        <w:rPr>
          <w:noProof/>
        </w:rPr>
        <w:t>premie z tytułu opłat kolejowych za ruch towarowy przez okres co najmniej 5 lat;</w:t>
      </w:r>
    </w:p>
    <w:p w14:paraId="39B7275B" w14:textId="7F949D4F" w:rsidR="006578ED" w:rsidRDefault="00A1618E">
      <w:pPr>
        <w:pStyle w:val="P68B1DB1-ListParagraph7"/>
        <w:numPr>
          <w:ilvl w:val="1"/>
          <w:numId w:val="5"/>
        </w:numPr>
        <w:spacing w:before="120" w:after="120" w:line="240" w:lineRule="auto"/>
        <w:jc w:val="both"/>
        <w:rPr>
          <w:rFonts w:cs="Times New Roman"/>
          <w:noProof/>
        </w:rPr>
      </w:pPr>
      <w:r>
        <w:rPr>
          <w:noProof/>
        </w:rPr>
        <w:t>program wsparcia kolejowego transportu towarowego, obejmujący zachęty promujące przesunięcie międzygałęziowe z transportu drogowego na kolejowy oraz modernizację i innowacje w sektorze transportu kolejowego;</w:t>
      </w:r>
    </w:p>
    <w:p w14:paraId="29C468E9" w14:textId="6568E342" w:rsidR="006578ED" w:rsidRDefault="00A1618E">
      <w:pPr>
        <w:pStyle w:val="P68B1DB1-ListParagraph7"/>
        <w:numPr>
          <w:ilvl w:val="0"/>
          <w:numId w:val="5"/>
        </w:numPr>
        <w:spacing w:before="120" w:after="120" w:line="240" w:lineRule="auto"/>
        <w:jc w:val="both"/>
        <w:rPr>
          <w:rFonts w:cs="Times New Roman"/>
          <w:noProof/>
        </w:rPr>
      </w:pPr>
      <w:r>
        <w:rPr>
          <w:noProof/>
        </w:rPr>
        <w:t xml:space="preserve">szereg obowiązków i wytycznych metodologicznych mających zastosowanie do gmin i przedsiębiorstw określonej wielkości w celu zachęcenia do wdrażania, odpowiednio, planu zrównoważonej mobilności miejskiej i zrównoważonych programów mobilności związanych z pracą; </w:t>
      </w:r>
    </w:p>
    <w:p w14:paraId="570063C2" w14:textId="71C595B0" w:rsidR="006578ED" w:rsidRDefault="00A1618E">
      <w:pPr>
        <w:pStyle w:val="P68B1DB1-ListParagraph7"/>
        <w:numPr>
          <w:ilvl w:val="0"/>
          <w:numId w:val="5"/>
        </w:numPr>
        <w:spacing w:before="120" w:after="120" w:line="240" w:lineRule="auto"/>
        <w:jc w:val="both"/>
        <w:rPr>
          <w:rFonts w:cs="Times New Roman"/>
          <w:noProof/>
        </w:rPr>
      </w:pPr>
      <w:r>
        <w:rPr>
          <w:noProof/>
        </w:rPr>
        <w:t xml:space="preserve">ustanowienie mechanizmu służącego zwiększeniu dyscypliny w planowaniu infrastruktury zgodnie z zaleceniami wydanymi przez niezależny organ podatkowy (Autoridad Independiente de Responsabilidad Fiscal, AIReF), z uwzględnieniem kwestii zrównoważonego rozwoju oraz analizy kosztów i korzyści społecznych; </w:t>
      </w:r>
    </w:p>
    <w:p w14:paraId="08E8E098" w14:textId="7D495233" w:rsidR="006578ED" w:rsidRDefault="00A1618E">
      <w:pPr>
        <w:pStyle w:val="P68B1DB1-ListParagraph7"/>
        <w:numPr>
          <w:ilvl w:val="0"/>
          <w:numId w:val="5"/>
        </w:numPr>
        <w:spacing w:before="120" w:after="120" w:line="240" w:lineRule="auto"/>
        <w:jc w:val="both"/>
        <w:rPr>
          <w:rFonts w:cs="Times New Roman"/>
          <w:noProof/>
        </w:rPr>
      </w:pPr>
      <w:r>
        <w:rPr>
          <w:noProof/>
        </w:rPr>
        <w:t xml:space="preserve">ustanowienie przewidywalnego systemu finansowania transportu miejskiego w gminach kraju w oparciu o jednolite kryteria podziału funduszy państwowych; </w:t>
      </w:r>
    </w:p>
    <w:p w14:paraId="4C0DDC69" w14:textId="77CB7B57" w:rsidR="006578ED" w:rsidRDefault="00A1618E">
      <w:pPr>
        <w:pStyle w:val="P68B1DB1-ListParagraph7"/>
        <w:numPr>
          <w:ilvl w:val="0"/>
          <w:numId w:val="5"/>
        </w:numPr>
        <w:spacing w:before="120" w:after="120" w:line="240" w:lineRule="auto"/>
        <w:jc w:val="both"/>
        <w:rPr>
          <w:rFonts w:cs="Times New Roman"/>
          <w:noProof/>
        </w:rPr>
      </w:pPr>
      <w:r>
        <w:rPr>
          <w:noProof/>
        </w:rPr>
        <w:t>wprowadzenie piaskownicy regulacyjnej ułatwiającej innowacje w sektorze mobilności i transportu oraz ich wejście na rynek;</w:t>
      </w:r>
    </w:p>
    <w:p w14:paraId="58B38EEC" w14:textId="16168AA1" w:rsidR="006578ED" w:rsidRDefault="00A1618E">
      <w:pPr>
        <w:pStyle w:val="P68B1DB1-ListParagraph7"/>
        <w:numPr>
          <w:ilvl w:val="0"/>
          <w:numId w:val="5"/>
        </w:numPr>
        <w:spacing w:before="120" w:after="120" w:line="240" w:lineRule="auto"/>
        <w:jc w:val="both"/>
        <w:rPr>
          <w:rFonts w:cs="Times New Roman"/>
          <w:noProof/>
        </w:rPr>
      </w:pPr>
      <w:r>
        <w:rPr>
          <w:noProof/>
        </w:rPr>
        <w:t xml:space="preserve">poprawa zarządzania zgodnie z zaleceniami AIReF poprzez ustanowienie: krajowy system mobilności wspierający koordynację i współpracę między trzema administracjami terytorialnymi odpowiedzialnymi za transport i mobilność; (II) Wyższa Rada ds. Transportu i Mobilności jako organ doradczy, omawiający i angażujący sektory produkcyjne, środowisko akademickie i społeczeństwo obywatelskie w określanie polityki transportowej i mobilności; oraz (iii) zintegrowanej platformy informacyjnej dotyczącej transportu i mobilności w celu zintegrowania informacji z różnych administracji i źródeł zewnętrznych na temat transportu i mobilności. Umożliwi to administracjom optymalizację projektowania polityki publicznej i poprawę ich zdolności do reagowania na kryzysy i sytuacje nadzwyczajne. </w:t>
      </w:r>
    </w:p>
    <w:p w14:paraId="2E45AE45" w14:textId="5BE9C47B" w:rsidR="006578ED" w:rsidRDefault="00A1618E">
      <w:pPr>
        <w:pStyle w:val="P68B1DB1-Normal4"/>
        <w:spacing w:after="0" w:line="240" w:lineRule="auto"/>
        <w:jc w:val="both"/>
        <w:rPr>
          <w:rFonts w:cs="Times New Roman"/>
          <w:noProof/>
        </w:rPr>
      </w:pPr>
      <w:r>
        <w:rPr>
          <w:noProof/>
        </w:rPr>
        <w:t>Oprócz nowych przepisów opisanych powyżej środek obejmuje a) opracowanie oprogramowania do wdrażania analiz kosztów i korzyści inwestycji infrastrukturalnych dla różnych rodzajów transportu, zgodnie ze względami zrównoważonego rozwoju, społecznymi i środowiskowymi określonymi w oficjalnej metodyce przewidzianej w ustawie o zrównoważonej mobilności; oraz b) wejście w życie i opublikowanie dekretu królewskiego w sprawie rozwoju struktury organizacyjnej ministerstwa posiadającego kompetencje w zakresie transportu, określającego szczególne kompetencje biura Sandbox.</w:t>
      </w:r>
    </w:p>
    <w:p w14:paraId="3924B57A" w14:textId="77777777" w:rsidR="006578ED" w:rsidRDefault="006578ED">
      <w:pPr>
        <w:spacing w:after="0" w:line="240" w:lineRule="auto"/>
        <w:jc w:val="both"/>
        <w:rPr>
          <w:rFonts w:ascii="Times New Roman" w:hAnsi="Times New Roman" w:cs="Times New Roman"/>
          <w:noProof/>
          <w:sz w:val="24"/>
        </w:rPr>
      </w:pPr>
    </w:p>
    <w:p w14:paraId="1831BE70" w14:textId="0F572BE5" w:rsidR="006578ED" w:rsidRDefault="00A1618E">
      <w:pPr>
        <w:pStyle w:val="P68B1DB1-Normal4"/>
        <w:spacing w:after="0" w:line="240" w:lineRule="auto"/>
        <w:jc w:val="both"/>
        <w:rPr>
          <w:rFonts w:cs="Times New Roman"/>
          <w:noProof/>
        </w:rPr>
      </w:pPr>
      <w:r>
        <w:rPr>
          <w:noProof/>
        </w:rPr>
        <w:t>Realizacja reformy zakończy się do dnia 30 czerwca 20</w:t>
      </w:r>
      <w:r w:rsidRPr="00A1618E">
        <w:rPr>
          <w:noProof/>
          <w:lang w:val="pl-PL"/>
        </w:rPr>
        <w:t>26 r.</w:t>
      </w:r>
    </w:p>
    <w:p w14:paraId="276691B0" w14:textId="65262441" w:rsidR="006578ED" w:rsidRDefault="006578ED">
      <w:pPr>
        <w:spacing w:before="120" w:after="120" w:line="240" w:lineRule="auto"/>
        <w:jc w:val="both"/>
        <w:rPr>
          <w:rFonts w:ascii="Times New Roman" w:hAnsi="Times New Roman" w:cs="Times New Roman"/>
          <w:noProof/>
          <w:sz w:val="24"/>
        </w:rPr>
      </w:pPr>
    </w:p>
    <w:p w14:paraId="69ACC4C4" w14:textId="2C7A944C" w:rsidR="006578ED" w:rsidRDefault="00A1618E">
      <w:pPr>
        <w:pStyle w:val="P68B1DB1-Normal6"/>
        <w:spacing w:line="240" w:lineRule="auto"/>
        <w:rPr>
          <w:rFonts w:cs="Times New Roman"/>
          <w:noProof/>
        </w:rPr>
      </w:pPr>
      <w:r>
        <w:rPr>
          <w:noProof/>
        </w:rPr>
        <w:t>Inwestycja 1 (C1.I1) – Obszary niskoemisyjne i transformacja transportu miejskiego i metropolitalnego</w:t>
      </w:r>
    </w:p>
    <w:p w14:paraId="10BD2E5A" w14:textId="6E87608D" w:rsidR="006578ED" w:rsidRDefault="00A1618E">
      <w:pPr>
        <w:pStyle w:val="P68B1DB1-Normal4"/>
        <w:spacing w:before="120" w:after="120" w:line="240" w:lineRule="auto"/>
        <w:jc w:val="both"/>
        <w:rPr>
          <w:rFonts w:cs="Times New Roman"/>
          <w:noProof/>
        </w:rPr>
      </w:pPr>
      <w:r>
        <w:rPr>
          <w:noProof/>
        </w:rPr>
        <w:t xml:space="preserve">Celem tego środka jest wspieranie zrównoważonej i cyfrowej transformacji usług transportowych, aby przyczynić się do ograniczenia użytkowania pojazdów prywatnych w środowisku miejskim o 35 % </w:t>
      </w:r>
      <w:r w:rsidRPr="00A1618E">
        <w:rPr>
          <w:noProof/>
          <w:lang w:val="pl-PL"/>
        </w:rPr>
        <w:t>do 2</w:t>
      </w:r>
      <w:r>
        <w:rPr>
          <w:noProof/>
        </w:rPr>
        <w:t>0</w:t>
      </w:r>
      <w:r w:rsidRPr="00A1618E">
        <w:rPr>
          <w:noProof/>
          <w:lang w:val="pl-PL"/>
        </w:rPr>
        <w:t>30 r.</w:t>
      </w:r>
      <w:r>
        <w:rPr>
          <w:noProof/>
        </w:rPr>
        <w:t xml:space="preserve"> Środek ten obejmuje również zachęty do przechodzenia na czystsze floty transportu pasażerskiego i towarowego przedsiębiorstw świadczących usługi transportowe. Inwestycja ta jest realizowana przez władze lokalne, wspólnoty autonomiczne oraz Ministerstwo Transportu, Mobilności i Agendy Miejskiej (MITMA). </w:t>
      </w:r>
    </w:p>
    <w:p w14:paraId="08D5899F" w14:textId="4ADF73C4" w:rsidR="006578ED" w:rsidRDefault="00A1618E">
      <w:pPr>
        <w:pStyle w:val="P68B1DB1-Normal8"/>
        <w:spacing w:before="120" w:after="120" w:line="240" w:lineRule="auto"/>
        <w:jc w:val="both"/>
        <w:rPr>
          <w:rFonts w:cs="Times New Roman"/>
          <w:noProof/>
          <w:sz w:val="24"/>
        </w:rPr>
      </w:pPr>
      <w:r>
        <w:rPr>
          <w:noProof/>
          <w:sz w:val="24"/>
        </w:rPr>
        <w:t>Projekty inwestycyjne, które mają realizować wspólnoty autonomiczne, mogą dotyczyć: przekształcenie floty transportu publicznego w celu osiągnięcia celów dyrektywy w sprawie ekologicznie czystych pojazdów oraz</w:t>
      </w:r>
      <w:r>
        <w:rPr>
          <w:noProof/>
          <w:sz w:val="20"/>
        </w:rPr>
        <w:t xml:space="preserve"> </w:t>
      </w:r>
      <w:r>
        <w:rPr>
          <w:noProof/>
          <w:sz w:val="24"/>
        </w:rPr>
        <w:t>zgodnie z wytycznymi technicznymi dotyczącymi zasady „nie czyń poważnych szkód” (2021/C58/01); wdrażanie stref niskiej emisji (LEZ) i zarządzanie nimi; cyfryzacji transportu publicznego, zarządzania nim administracyjnego i poprawy jego dostępności; środki na rzecz priorytetowego traktowania transportu zbiorowego i aktywnej mobilności, w tym infrastruktury rowerowej i korytarzy dla pieszych; zachęcanie do rozpowszechniania w Hiszpanii nowych technologii bezemisyjnych w transporcie; parkingi dla odstraszania zlokalizowane poza tymi gminami i stolicami prowincji w celu ograniczenia ruchu do centrum miejskiego; oraz rozbudowę lub modernizację systemu transportu kolejowego (np. metra lub kolei); projekty cyfryzacji uzupełniające środki wspierające zrównoważoną mobilność, w tym systemy informowania w czasie rzeczywistym o usługach transportu publicznego, mobilność jako usługa, projekty mające na celu poprawę sprzedaży biletów intermodalnych lub międzyresortowych, projekty wspierające zarządzanie ruchem i mobilnością oraz analizę informacji w celu zwiększenia efektywności systemu transportowego; oraz każdy inny projekt, który: i. przyczynianie się do poprawy jakości powietrza, zwłaszcza na obszarach miejskich, ii. zachęcanie do ograniczania korzystania z transportu prywatnego na obszarach miejskich i metropolitalnych (iii) zachęcanie do korzystania z transportu publicznego lub (iv) zachęt do aktywnej i zdrowej mobilności.</w:t>
      </w:r>
    </w:p>
    <w:p w14:paraId="0DC7F4CD" w14:textId="3BC30CAE" w:rsidR="006578ED" w:rsidRDefault="00A1618E">
      <w:pPr>
        <w:pStyle w:val="P68B1DB1-Normal4"/>
        <w:spacing w:before="120" w:after="120" w:line="240" w:lineRule="auto"/>
        <w:jc w:val="both"/>
        <w:rPr>
          <w:rFonts w:cs="Times New Roman"/>
          <w:noProof/>
        </w:rPr>
      </w:pPr>
      <w:r>
        <w:rPr>
          <w:noProof/>
        </w:rPr>
        <w:t xml:space="preserve">Projekty władz lokalnych </w:t>
      </w:r>
      <w:r>
        <w:rPr>
          <w:noProof/>
          <w:shd w:val="clear" w:color="auto" w:fill="FFFFFF" w:themeFill="background1"/>
        </w:rPr>
        <w:t>obejmują</w:t>
      </w:r>
      <w:r>
        <w:rPr>
          <w:noProof/>
        </w:rPr>
        <w:t xml:space="preserve"> na przykład: przekształcenie floty transportu publicznego w celu osiągnięcia celów dyrektywy w sprawie ekologicznie czystych pojazdów i zgodnie z wytycznymi technicznymi dotyczącymi zasady „nie czyń poważnych szkód” (2021/C58/01); wdrażanie stref niskiej emisji (LEZ) i zarządzanie nimi; cyfryzację transportu publicznego, zarządzanie administracją i poprawę jego dostępności; oraz d) środki zachęcające do transportu zbiorowego i aktywnej mobilności oraz priorytetowe traktowanie </w:t>
      </w:r>
    </w:p>
    <w:p w14:paraId="1EAD0E8C" w14:textId="2E8EF325" w:rsidR="006578ED" w:rsidRDefault="00A1618E">
      <w:pPr>
        <w:pStyle w:val="P68B1DB1-Normal4"/>
        <w:spacing w:before="120" w:after="120" w:line="240" w:lineRule="auto"/>
        <w:jc w:val="both"/>
        <w:rPr>
          <w:rFonts w:cs="Times New Roman"/>
          <w:noProof/>
        </w:rPr>
      </w:pPr>
      <w:r>
        <w:rPr>
          <w:noProof/>
        </w:rPr>
        <w:t xml:space="preserve">Pomoc ta jest przyznawana gminom liczącym ponad 50000 mieszkańców i stolicom prowincji, a także, pod pewnymi warunkami, gminom liczącym </w:t>
      </w:r>
      <w:r w:rsidRPr="00A1618E">
        <w:rPr>
          <w:noProof/>
          <w:lang w:val="pl-PL"/>
        </w:rPr>
        <w:t>od 2</w:t>
      </w:r>
      <w:r>
        <w:rPr>
          <w:noProof/>
        </w:rPr>
        <w:t xml:space="preserve">0000 </w:t>
      </w:r>
      <w:r w:rsidRPr="00A1618E">
        <w:rPr>
          <w:noProof/>
          <w:lang w:val="pl-PL"/>
        </w:rPr>
        <w:t>do 5</w:t>
      </w:r>
      <w:r>
        <w:rPr>
          <w:noProof/>
        </w:rPr>
        <w:t xml:space="preserve">0000 mieszkańców. </w:t>
      </w:r>
    </w:p>
    <w:p w14:paraId="24027B18" w14:textId="165D4A74" w:rsidR="006578ED" w:rsidRDefault="00A1618E">
      <w:pPr>
        <w:pStyle w:val="P68B1DB1-Normal4"/>
        <w:spacing w:after="160" w:line="259" w:lineRule="auto"/>
        <w:ind w:left="2"/>
        <w:jc w:val="both"/>
        <w:rPr>
          <w:rFonts w:cs="Times New Roman"/>
          <w:noProof/>
        </w:rPr>
      </w:pPr>
      <w:r>
        <w:rPr>
          <w:noProof/>
        </w:rPr>
        <w:t xml:space="preserve">Projekty inwestycyjne MITMA mają być realizowane w zakresie humanizacji i organizacji ruchu na drogach miejskich, za które odpowiada. Inwestycje przyczyniają się do promowania mobilności pieszych i rowerzystów oraz innych nowych form mobilności (sulajnogi) lub ograniczenia przestrzeni samochodowych i prędkości pojazdów, w celu zmniejszenia zarówno emisji powietrza, jak i zanieczyszczenia hałasem. </w:t>
      </w:r>
    </w:p>
    <w:p w14:paraId="3BB8BED0" w14:textId="769E6AA3" w:rsidR="006578ED" w:rsidRDefault="00A1618E">
      <w:pPr>
        <w:pStyle w:val="P68B1DB1-Normal4"/>
        <w:spacing w:after="160" w:line="259" w:lineRule="auto"/>
        <w:ind w:left="2"/>
        <w:jc w:val="both"/>
        <w:rPr>
          <w:rFonts w:cs="Times New Roman"/>
          <w:noProof/>
        </w:rPr>
      </w:pPr>
      <w:r>
        <w:rPr>
          <w:noProof/>
        </w:rPr>
        <w:t xml:space="preserve">Zachęty do przekształcania flot pasażerskich i towarowych przedsiębiorstw transportowych obejmują następujące linie pomocowe: pomoc na zakup bezemisyjnych i niskoemisyjnych pojazdów pasażerskich i towarowych; pomoc na rozwój infrastruktury tankowania dla pojazdów użytkowych napędzanych paliwami alternatywnymi (elektrycznym, LNG, CNG i biometanem); pomoc dla przedsiębiorstw na nabycie lub przystosowanie przyczep i naczep do transportu intermodalnego; oraz d) pomoc dla przedsiębiorstw na złomowanie starych pojazdów. </w:t>
      </w:r>
    </w:p>
    <w:p w14:paraId="457BA409" w14:textId="4A6E46BC" w:rsidR="006578ED" w:rsidRDefault="00A1618E">
      <w:pPr>
        <w:pStyle w:val="P68B1DB1-Normal4"/>
        <w:spacing w:after="160" w:line="259" w:lineRule="auto"/>
        <w:ind w:left="2"/>
        <w:jc w:val="both"/>
        <w:rPr>
          <w:rFonts w:cs="Times New Roman"/>
          <w:noProof/>
        </w:rPr>
      </w:pPr>
      <w:r>
        <w:rPr>
          <w:noProof/>
        </w:rPr>
        <w:t xml:space="preserve">Oczekuje się, że środek ten nie spowoduje znaczących szkód dla celów środowiskowych w rozumieniu </w:t>
      </w:r>
      <w:r w:rsidRPr="00A1618E">
        <w:rPr>
          <w:noProof/>
          <w:lang w:val="pl-PL"/>
        </w:rPr>
        <w:t>art. 1</w:t>
      </w:r>
      <w:r>
        <w:rPr>
          <w:noProof/>
        </w:rPr>
        <w:t>7 rozporządzenia (UE) 2020/852, biorąc pod uwagę opis środka i działania łagodzące określone w planie odbudowy i zwiększania odporności zgodnie z wytycznymi technicznymi dotyczącymi zasady „nie czyń poważnych szkód” (2021/C58/01). W szczególności wsparcie dla linii pomocowej a) obejmuje wyłącznie autobusy niskopodłogowe elektryczne i wodorowe (kategorie M2 i M3, zazwyczaj autobusy miejskie i podmiejskie); autobusy wysokopodłogowe, w tym LNG/CNG, hybrydowe, elektryczne i wodorowe (kategorie M2 i M3, zazwyczaj autokary międzymiastowe) zgodne z normą EURO VI-E (kategorie M2 i M3, zazwyczaj autokary międzymiastowe); oraz samochody ciężarowe</w:t>
      </w:r>
      <w:r>
        <w:rPr>
          <w:noProof/>
        </w:rPr>
        <w:footnoteReference w:id="2"/>
      </w:r>
      <w:r>
        <w:rPr>
          <w:noProof/>
        </w:rPr>
        <w:t>bezemisyjne, niskoemisyjne</w:t>
      </w:r>
      <w:r>
        <w:rPr>
          <w:noProof/>
        </w:rPr>
        <w:footnoteReference w:id="3"/>
      </w:r>
      <w:r>
        <w:rPr>
          <w:noProof/>
        </w:rPr>
        <w:t xml:space="preserve"> i LNG/CNG napędzane biopaliwami, biopłynami i paliwami z biomasy</w:t>
      </w:r>
      <w:r>
        <w:rPr>
          <w:noProof/>
        </w:rPr>
        <w:footnoteReference w:id="4"/>
      </w:r>
      <w:r>
        <w:rPr>
          <w:noProof/>
        </w:rPr>
        <w:t>. W przypadku linii pomocy b) infrastruktura tankowania pojazdów użytkowych musi spełniać warunki dotyczące biopaliw, biopłynów i paliw z biomasy</w:t>
      </w:r>
      <w:r>
        <w:rPr>
          <w:noProof/>
        </w:rPr>
        <w:footnoteReference w:id="5"/>
      </w:r>
      <w:r>
        <w:rPr>
          <w:noProof/>
        </w:rPr>
        <w:t>.</w:t>
      </w:r>
    </w:p>
    <w:p w14:paraId="1D6D1FC1" w14:textId="37BB5F2E" w:rsidR="006578ED" w:rsidRDefault="00A1618E">
      <w:pPr>
        <w:pStyle w:val="P68B1DB1-Normal4"/>
        <w:spacing w:after="160" w:line="259" w:lineRule="auto"/>
        <w:ind w:left="2"/>
        <w:jc w:val="both"/>
        <w:rPr>
          <w:rFonts w:cs="Times New Roman"/>
          <w:noProof/>
        </w:rPr>
      </w:pPr>
      <w:r>
        <w:rPr>
          <w:noProof/>
        </w:rPr>
        <w:t xml:space="preserve">Kryteria wyboru zapewniają, aby co najmniej 310 000 000 EUR przyczyniało się do realizacji celów związanych ze zmianą klimatu przy zastosowaniu współczynnika klimatycznego wynoszącego 100 % i co najmniej 2 195 000 000 EUR ze współczynnikiem klimatycznym wynoszącym 40 %, zgodnie z załącznikiem VI do rozporządzenia (UE) 2021/241 w sprawie Instrumentu na rzecz Odbudowy i Zwiększania Odporności. </w:t>
      </w:r>
    </w:p>
    <w:p w14:paraId="43F0DAF8" w14:textId="038BB5AC" w:rsidR="006578ED" w:rsidRDefault="00A1618E">
      <w:pPr>
        <w:pStyle w:val="P68B1DB1-Normal4"/>
        <w:spacing w:before="120" w:after="120" w:line="240" w:lineRule="auto"/>
        <w:jc w:val="both"/>
        <w:rPr>
          <w:rFonts w:cs="Times New Roman"/>
          <w:noProof/>
        </w:rPr>
      </w:pPr>
      <w:r>
        <w:rPr>
          <w:noProof/>
        </w:rPr>
        <w:t>Inwestycje w ramach tego środka zostaną zrealizowane do dnia 31 grudnia 20</w:t>
      </w:r>
      <w:r w:rsidRPr="00A1618E">
        <w:rPr>
          <w:noProof/>
          <w:lang w:val="pl-PL"/>
        </w:rPr>
        <w:t>25 r.</w:t>
      </w:r>
    </w:p>
    <w:p w14:paraId="778F7F4E" w14:textId="657DE3B9" w:rsidR="006578ED" w:rsidRDefault="00A1618E">
      <w:pPr>
        <w:pStyle w:val="P68B1DB1-Normal6"/>
        <w:spacing w:before="120" w:after="120" w:line="240" w:lineRule="auto"/>
        <w:jc w:val="both"/>
        <w:rPr>
          <w:rFonts w:cs="Times New Roman"/>
          <w:noProof/>
        </w:rPr>
      </w:pPr>
      <w:r>
        <w:rPr>
          <w:noProof/>
        </w:rPr>
        <w:t>Inwestycja 2 (C1.I2) – Program zachęt do instalacji punktów ładowania, zakupu pojazdów elektrycznych i pojazdów zasilanych ogniwami paliwowymi oraz innowacji w dziedzinie elektromobilności, ładowania i ekologicznego wodoru</w:t>
      </w:r>
    </w:p>
    <w:p w14:paraId="28FDED2F" w14:textId="36EA17FB" w:rsidR="006578ED" w:rsidRDefault="00A1618E">
      <w:pPr>
        <w:pStyle w:val="P68B1DB1-Normal4"/>
        <w:spacing w:before="120" w:after="120" w:line="240" w:lineRule="auto"/>
        <w:jc w:val="both"/>
        <w:rPr>
          <w:rFonts w:cs="Times New Roman"/>
          <w:noProof/>
        </w:rPr>
      </w:pPr>
      <w:r>
        <w:rPr>
          <w:noProof/>
        </w:rPr>
        <w:t>Środek ten ma na celu wspieranie zgodności z hiszpańskimi krajowymi ramami w zakresie energii alternatywnej w transporcie, przyspieszenie wdrażania krajowego zintegrowanego planu w dziedzinie energii i klimatu oraz wspieranie spójności terytorialnej poprzez elektryfikację mobilności na obszarach wiejskich. Inwestycja jest ujęta w różnych programach pomocy, które zachęcają do wprowadzania pojazdów elektrycznych i pojazdów zasilanych ogniwami paliwowymi, przy jednoczesnym zachęcaniu do realizacji indywidualnych projektów innowacyjnych związanych z elektromobilnością, łańcuchem wartości i renowacją floty pojazdów w ogóle, w tym z wykorzystaniem technologii ekologicznego wodoru. Inwestycja obejmuje również instalację publicznych stacji ładowania na obszarach mieszkalnych oraz w sieci dróg krajowych. Kryteria wyboru stosowane w zaproszeniach do składania wniosków dotyczących przydziału programów pomocy obejmują: zmniejszenie wpływu na środowisko, (ii) rentowność techniczno-gospodarcza, iii) poziom rozwoju technologicznego i innowacji, iv) powtarzalność i skalowalność, v) tworzenie miejsc pracy związane z projektem, bezpośredni i pośredni oraz vi) wpływ na łańcuch wartości i synergię z innymi sektorami, głównie przemysłowymi.</w:t>
      </w:r>
    </w:p>
    <w:p w14:paraId="2238E079" w14:textId="0DF84F43" w:rsidR="006578ED" w:rsidRDefault="00A1618E">
      <w:pPr>
        <w:pStyle w:val="P68B1DB1-Normal4"/>
        <w:spacing w:before="120" w:after="120" w:line="240" w:lineRule="auto"/>
        <w:jc w:val="both"/>
        <w:rPr>
          <w:rFonts w:cs="Times New Roman"/>
          <w:noProof/>
        </w:rPr>
      </w:pPr>
      <w:r>
        <w:rPr>
          <w:noProof/>
        </w:rPr>
        <w:t>Inwestycja ta zostanie zrealizowana do dnia 31 grudnia 20</w:t>
      </w:r>
      <w:r w:rsidRPr="00A1618E">
        <w:rPr>
          <w:noProof/>
          <w:lang w:val="pl-PL"/>
        </w:rPr>
        <w:t>25 r.</w:t>
      </w:r>
      <w:r>
        <w:rPr>
          <w:noProof/>
        </w:rPr>
        <w:t xml:space="preserve"> </w:t>
      </w:r>
    </w:p>
    <w:p w14:paraId="26190310" w14:textId="2AE23633" w:rsidR="006578ED" w:rsidRDefault="00A1618E">
      <w:pPr>
        <w:pStyle w:val="P68B1DB1-Normal6"/>
        <w:keepNext/>
        <w:spacing w:before="120" w:after="120" w:line="240" w:lineRule="auto"/>
        <w:jc w:val="both"/>
        <w:rPr>
          <w:rFonts w:cs="Times New Roman"/>
          <w:noProof/>
        </w:rPr>
      </w:pPr>
      <w:r>
        <w:rPr>
          <w:noProof/>
        </w:rPr>
        <w:t xml:space="preserve">Inwestycja 3 (C1.I3) – Środki mające na celu poprawę jakości i niezawodności usług transportu kolejowego </w:t>
      </w:r>
    </w:p>
    <w:p w14:paraId="267B0B95" w14:textId="59654E49" w:rsidR="006578ED" w:rsidRDefault="00A1618E">
      <w:pPr>
        <w:pStyle w:val="P68B1DB1-Normal4"/>
        <w:keepNext/>
        <w:spacing w:before="120" w:after="120" w:line="240" w:lineRule="auto"/>
        <w:jc w:val="both"/>
        <w:rPr>
          <w:rFonts w:cs="Times New Roman"/>
          <w:noProof/>
        </w:rPr>
      </w:pPr>
      <w:r>
        <w:rPr>
          <w:noProof/>
        </w:rPr>
        <w:t>Celem tego środka jest zwiększenie atrakcyjności i dostępności publicznej krótkodystansowej sieci kolejowej (tzw. Cercanías</w:t>
      </w:r>
      <w:r>
        <w:rPr>
          <w:i/>
          <w:noProof/>
        </w:rPr>
        <w:t>)</w:t>
      </w:r>
      <w:r>
        <w:rPr>
          <w:noProof/>
        </w:rPr>
        <w:t>, tak aby stała się ona podstawą mobilności na obszarach miejskich i zastąpiła korzystanie z prywatnych pojazdów na obszarach metropolitalnych. Projekty są realizowane przez ADIF (zarządcę infrastruktury kolejowej) i RENFE (operatora usług kolejowych z obowiązkiem użyteczności publicznej).</w:t>
      </w:r>
    </w:p>
    <w:p w14:paraId="2836AAAE" w14:textId="0663CFD9" w:rsidR="006578ED" w:rsidRDefault="00A1618E">
      <w:pPr>
        <w:pStyle w:val="P68B1DB1-Normal4"/>
        <w:spacing w:before="120" w:after="120" w:line="240" w:lineRule="auto"/>
        <w:jc w:val="both"/>
        <w:rPr>
          <w:rFonts w:cs="Times New Roman"/>
          <w:noProof/>
        </w:rPr>
      </w:pPr>
      <w:r>
        <w:rPr>
          <w:noProof/>
        </w:rPr>
        <w:t xml:space="preserve">ADIF realizuje inwestycje w infrastrukturę kolei </w:t>
      </w:r>
      <w:r>
        <w:rPr>
          <w:i/>
          <w:noProof/>
        </w:rPr>
        <w:t>Cercanías</w:t>
      </w:r>
      <w:r>
        <w:rPr>
          <w:noProof/>
        </w:rPr>
        <w:t xml:space="preserve">, w tym modernizację torów, modernizację stacji oraz poprawę systemu elektryfikacji i sygnalizacji. Ponadto RENFE jest odpowiedzialna za realizację inwestycji w modernizację zarządzania publicznym transportem kolejowym. Inwestycje obejmują głównie pięć wymiarów: cyfryzacja systemów bezpieczeństwa na stacjach; systemy informacji o pasażerach; poprawa kontroli dostępu; dostosowanie maszyn do własnej sprzedaży do nowych technologii; oraz e) zagospodarowanie obiektów na stacjach sieci </w:t>
      </w:r>
      <w:r>
        <w:rPr>
          <w:i/>
          <w:noProof/>
        </w:rPr>
        <w:t>Cercanías</w:t>
      </w:r>
      <w:r>
        <w:rPr>
          <w:noProof/>
        </w:rPr>
        <w:t xml:space="preserve">. </w:t>
      </w:r>
    </w:p>
    <w:p w14:paraId="221B1391" w14:textId="0DBD33FD" w:rsidR="006578ED" w:rsidRDefault="00A1618E">
      <w:pPr>
        <w:pStyle w:val="P68B1DB1-Normal4"/>
        <w:spacing w:before="120" w:after="120" w:line="240" w:lineRule="auto"/>
        <w:jc w:val="both"/>
        <w:rPr>
          <w:rFonts w:cs="Times New Roman"/>
          <w:noProof/>
        </w:rPr>
      </w:pPr>
      <w:r>
        <w:rPr>
          <w:noProof/>
        </w:rPr>
        <w:t>Realizacja zostanie zakończona do dnia 30 czerwca 20</w:t>
      </w:r>
      <w:r w:rsidRPr="00A1618E">
        <w:rPr>
          <w:noProof/>
          <w:lang w:val="pl-PL"/>
        </w:rPr>
        <w:t>26 r.</w:t>
      </w:r>
      <w:r>
        <w:rPr>
          <w:noProof/>
        </w:rPr>
        <w:t xml:space="preserve"> </w:t>
      </w:r>
    </w:p>
    <w:p w14:paraId="1195E51F" w14:textId="77777777" w:rsidR="006578ED" w:rsidRDefault="006578ED">
      <w:pPr>
        <w:spacing w:before="120" w:after="120" w:line="240" w:lineRule="auto"/>
        <w:jc w:val="both"/>
        <w:rPr>
          <w:rFonts w:ascii="Times New Roman" w:hAnsi="Times New Roman" w:cs="Times New Roman"/>
          <w:noProof/>
          <w:sz w:val="24"/>
        </w:rPr>
      </w:pPr>
    </w:p>
    <w:p w14:paraId="3C632623" w14:textId="150033C7" w:rsidR="006578ED" w:rsidRDefault="00A1618E">
      <w:pPr>
        <w:pStyle w:val="P68B1DB1-Normal5"/>
        <w:spacing w:before="120" w:after="120" w:line="240" w:lineRule="auto"/>
        <w:jc w:val="both"/>
        <w:rPr>
          <w:rFonts w:cs="Times New Roman"/>
          <w:noProof/>
        </w:rPr>
      </w:pPr>
      <w:r>
        <w:rPr>
          <w:noProof/>
        </w:rPr>
        <w:t xml:space="preserve">A.2. </w:t>
      </w:r>
      <w:r>
        <w:rPr>
          <w:noProof/>
        </w:rPr>
        <w:tab/>
        <w:t>Kamienie milowe, wartości docelowe, wskaźniki i harmonogram monitorowania i realizacji na potrzeby bezzwrotnego wsparcia finansowego</w:t>
      </w:r>
    </w:p>
    <w:p w14:paraId="6DED728A" w14:textId="623C1045"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02EB378F" w14:textId="77777777" w:rsidR="006578ED" w:rsidRDefault="006578ED">
      <w:pPr>
        <w:spacing w:before="120" w:after="120" w:line="240" w:lineRule="auto"/>
        <w:jc w:val="both"/>
        <w:rPr>
          <w:rFonts w:ascii="Times New Roman" w:hAnsi="Times New Roman" w:cs="Times New Roman"/>
          <w:noProof/>
          <w:sz w:val="24"/>
        </w:rPr>
      </w:pPr>
    </w:p>
    <w:p w14:paraId="6A05A809" w14:textId="77777777" w:rsidR="006578ED" w:rsidRDefault="006578ED">
      <w:pPr>
        <w:spacing w:before="120" w:after="120" w:line="240" w:lineRule="auto"/>
        <w:jc w:val="both"/>
        <w:rPr>
          <w:rFonts w:ascii="Times New Roman" w:hAnsi="Times New Roman" w:cs="Times New Roman"/>
          <w:noProof/>
          <w:sz w:val="24"/>
        </w:rPr>
        <w:sectPr w:rsidR="006578ED" w:rsidSect="00BF0BE2">
          <w:headerReference w:type="even" r:id="rId18"/>
          <w:headerReference w:type="default" r:id="rId19"/>
          <w:footerReference w:type="even" r:id="rId20"/>
          <w:footerReference w:type="default" r:id="rId21"/>
          <w:headerReference w:type="first" r:id="rId22"/>
          <w:footerReference w:type="first" r:id="rId23"/>
          <w:pgSz w:w="11907" w:h="16839"/>
          <w:pgMar w:top="1134" w:right="1417" w:bottom="1134" w:left="1417" w:header="709" w:footer="709" w:gutter="0"/>
          <w:pgNumType w:start="1"/>
          <w:cols w:space="720"/>
          <w:docGrid w:linePitch="360"/>
        </w:sect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675"/>
        <w:gridCol w:w="742"/>
        <w:gridCol w:w="425"/>
        <w:gridCol w:w="567"/>
        <w:gridCol w:w="5387"/>
      </w:tblGrid>
      <w:tr w:rsidR="006578ED" w14:paraId="1C90EE20" w14:textId="77777777">
        <w:trPr>
          <w:trHeight w:val="309"/>
          <w:tblHeader/>
        </w:trPr>
        <w:tc>
          <w:tcPr>
            <w:tcW w:w="709" w:type="dxa"/>
            <w:tcBorders>
              <w:bottom w:val="nil"/>
            </w:tcBorders>
            <w:shd w:val="clear" w:color="auto" w:fill="C6D9F1" w:themeFill="text2" w:themeFillTint="33"/>
            <w:noWrap/>
          </w:tcPr>
          <w:p w14:paraId="616C3DC1"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tcPr>
          <w:p w14:paraId="108A00CA"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tcPr>
          <w:p w14:paraId="194CF989" w14:textId="2D332DF7"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977" w:type="dxa"/>
            <w:tcBorders>
              <w:bottom w:val="nil"/>
            </w:tcBorders>
            <w:shd w:val="clear" w:color="auto" w:fill="C6D9F1" w:themeFill="text2" w:themeFillTint="33"/>
            <w:noWrap/>
          </w:tcPr>
          <w:p w14:paraId="390DC06E" w14:textId="77777777" w:rsidR="006578ED" w:rsidRDefault="00A1618E">
            <w:pPr>
              <w:pStyle w:val="P68B1DB1-Normal12"/>
              <w:spacing w:after="0" w:line="240" w:lineRule="auto"/>
              <w:jc w:val="center"/>
              <w:rPr>
                <w:rFonts w:cs="Times New Roman"/>
                <w:noProof/>
              </w:rPr>
            </w:pPr>
            <w:r>
              <w:rPr>
                <w:noProof/>
              </w:rPr>
              <w:t>Nazwa</w:t>
            </w:r>
          </w:p>
        </w:tc>
        <w:tc>
          <w:tcPr>
            <w:tcW w:w="1134" w:type="dxa"/>
            <w:tcBorders>
              <w:bottom w:val="nil"/>
            </w:tcBorders>
            <w:shd w:val="clear" w:color="auto" w:fill="C6D9F1" w:themeFill="text2" w:themeFillTint="33"/>
            <w:noWrap/>
          </w:tcPr>
          <w:p w14:paraId="5F9C169F"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268" w:type="dxa"/>
            <w:gridSpan w:val="3"/>
            <w:shd w:val="clear" w:color="auto" w:fill="C6D9F1" w:themeFill="text2" w:themeFillTint="33"/>
            <w:noWrap/>
          </w:tcPr>
          <w:p w14:paraId="021CC9BA"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tcPr>
          <w:p w14:paraId="257390A1" w14:textId="77777777" w:rsidR="006578ED" w:rsidRDefault="00A1618E">
            <w:pPr>
              <w:pStyle w:val="P68B1DB1-Normal12"/>
              <w:spacing w:after="0" w:line="240" w:lineRule="auto"/>
              <w:jc w:val="center"/>
              <w:rPr>
                <w:rFonts w:cs="Times New Roman"/>
                <w:noProof/>
              </w:rPr>
            </w:pPr>
            <w:r>
              <w:rPr>
                <w:noProof/>
              </w:rPr>
              <w:t>Czas</w:t>
            </w:r>
          </w:p>
        </w:tc>
        <w:tc>
          <w:tcPr>
            <w:tcW w:w="5387" w:type="dxa"/>
            <w:tcBorders>
              <w:bottom w:val="nil"/>
            </w:tcBorders>
            <w:shd w:val="clear" w:color="auto" w:fill="C6D9F1" w:themeFill="text2" w:themeFillTint="33"/>
            <w:noWrap/>
          </w:tcPr>
          <w:p w14:paraId="5D8042D6" w14:textId="2AA1AB28"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32FCF7DB" w14:textId="77777777">
        <w:trPr>
          <w:trHeight w:val="309"/>
          <w:tblHeader/>
        </w:trPr>
        <w:tc>
          <w:tcPr>
            <w:tcW w:w="709" w:type="dxa"/>
            <w:tcBorders>
              <w:top w:val="nil"/>
            </w:tcBorders>
            <w:shd w:val="clear" w:color="auto" w:fill="C6D9F1" w:themeFill="text2" w:themeFillTint="33"/>
            <w:noWrap/>
          </w:tcPr>
          <w:p w14:paraId="7F0C080E"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0B9DF767"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628D6B3" w14:textId="77777777" w:rsidR="006578ED" w:rsidRDefault="006578ED">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27C17848" w14:textId="77777777" w:rsidR="006578ED" w:rsidRDefault="006578ED">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430212C" w14:textId="77777777" w:rsidR="006578ED" w:rsidRDefault="006578ED">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0575659C" w14:textId="77777777" w:rsidR="006578ED" w:rsidRDefault="00A1618E">
            <w:pPr>
              <w:pStyle w:val="P68B1DB1-Normal12"/>
              <w:spacing w:after="0" w:line="240" w:lineRule="auto"/>
              <w:jc w:val="center"/>
              <w:rPr>
                <w:rFonts w:cs="Times New Roman"/>
                <w:noProof/>
              </w:rPr>
            </w:pPr>
            <w:r>
              <w:rPr>
                <w:noProof/>
              </w:rPr>
              <w:t>Jednostka</w:t>
            </w:r>
          </w:p>
        </w:tc>
        <w:tc>
          <w:tcPr>
            <w:tcW w:w="675" w:type="dxa"/>
            <w:shd w:val="clear" w:color="auto" w:fill="C6D9F1" w:themeFill="text2" w:themeFillTint="33"/>
            <w:noWrap/>
          </w:tcPr>
          <w:p w14:paraId="03C7D63C" w14:textId="4F298F88" w:rsidR="006578ED" w:rsidRDefault="00A1618E">
            <w:pPr>
              <w:pStyle w:val="P68B1DB1-Normal12"/>
              <w:spacing w:after="0" w:line="240" w:lineRule="auto"/>
              <w:jc w:val="center"/>
              <w:rPr>
                <w:rFonts w:cs="Times New Roman"/>
                <w:noProof/>
              </w:rPr>
            </w:pPr>
            <w:r>
              <w:rPr>
                <w:noProof/>
              </w:rPr>
              <w:t>Wartość wyjściowa</w:t>
            </w:r>
          </w:p>
        </w:tc>
        <w:tc>
          <w:tcPr>
            <w:tcW w:w="742" w:type="dxa"/>
            <w:shd w:val="clear" w:color="auto" w:fill="C6D9F1" w:themeFill="text2" w:themeFillTint="33"/>
            <w:noWrap/>
          </w:tcPr>
          <w:p w14:paraId="247276FE"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tcPr>
          <w:p w14:paraId="564BB4C8"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31633393" w14:textId="77777777" w:rsidR="006578ED" w:rsidRDefault="00A1618E">
            <w:pPr>
              <w:pStyle w:val="P68B1DB1-Normal12"/>
              <w:spacing w:after="0" w:line="240" w:lineRule="auto"/>
              <w:jc w:val="center"/>
              <w:rPr>
                <w:rFonts w:cs="Times New Roman"/>
                <w:noProof/>
              </w:rPr>
            </w:pPr>
            <w:r>
              <w:rPr>
                <w:noProof/>
              </w:rPr>
              <w:t>Rok</w:t>
            </w:r>
          </w:p>
        </w:tc>
        <w:tc>
          <w:tcPr>
            <w:tcW w:w="5387" w:type="dxa"/>
            <w:tcBorders>
              <w:top w:val="nil"/>
            </w:tcBorders>
            <w:shd w:val="clear" w:color="auto" w:fill="C6D9F1" w:themeFill="text2" w:themeFillTint="33"/>
            <w:noWrap/>
          </w:tcPr>
          <w:p w14:paraId="45BE5CDA" w14:textId="77777777" w:rsidR="006578ED" w:rsidRDefault="006578ED">
            <w:pPr>
              <w:spacing w:after="0" w:line="240" w:lineRule="auto"/>
              <w:rPr>
                <w:rFonts w:ascii="Times New Roman" w:hAnsi="Times New Roman" w:cs="Times New Roman"/>
                <w:b/>
                <w:noProof/>
                <w:sz w:val="18"/>
              </w:rPr>
            </w:pPr>
          </w:p>
        </w:tc>
      </w:tr>
      <w:tr w:rsidR="006578ED" w14:paraId="22538EF1" w14:textId="77777777">
        <w:trPr>
          <w:trHeight w:val="309"/>
        </w:trPr>
        <w:tc>
          <w:tcPr>
            <w:tcW w:w="709" w:type="dxa"/>
            <w:shd w:val="clear" w:color="auto" w:fill="C6EFCE"/>
            <w:noWrap/>
          </w:tcPr>
          <w:p w14:paraId="2DBD4C2D" w14:textId="77777777" w:rsidR="006578ED" w:rsidRDefault="00A1618E">
            <w:pPr>
              <w:pStyle w:val="P68B1DB1-Normal13"/>
              <w:spacing w:after="0" w:line="240" w:lineRule="auto"/>
              <w:jc w:val="center"/>
              <w:rPr>
                <w:rFonts w:eastAsia="MS Mincho" w:cs="Times New Roman"/>
                <w:noProof/>
              </w:rPr>
            </w:pPr>
            <w:r>
              <w:rPr>
                <w:noProof/>
              </w:rPr>
              <w:t>1</w:t>
            </w:r>
          </w:p>
        </w:tc>
        <w:tc>
          <w:tcPr>
            <w:tcW w:w="851" w:type="dxa"/>
            <w:shd w:val="clear" w:color="auto" w:fill="C6EFCE"/>
            <w:noWrap/>
          </w:tcPr>
          <w:p w14:paraId="522015FD" w14:textId="77777777" w:rsidR="006578ED" w:rsidRDefault="00A1618E">
            <w:pPr>
              <w:pStyle w:val="P68B1DB1-Normal13"/>
              <w:spacing w:after="0" w:line="240" w:lineRule="auto"/>
              <w:jc w:val="center"/>
              <w:rPr>
                <w:rFonts w:eastAsia="MS Mincho" w:cs="Times New Roman"/>
                <w:noProof/>
              </w:rPr>
            </w:pPr>
            <w:r>
              <w:rPr>
                <w:noProof/>
              </w:rPr>
              <w:t>C1.R1</w:t>
            </w:r>
          </w:p>
        </w:tc>
        <w:tc>
          <w:tcPr>
            <w:tcW w:w="850" w:type="dxa"/>
            <w:shd w:val="clear" w:color="auto" w:fill="C6EFCE"/>
            <w:noWrap/>
          </w:tcPr>
          <w:p w14:paraId="33F87B3B" w14:textId="6737AB6F" w:rsidR="006578ED" w:rsidRDefault="00AF6B91">
            <w:pPr>
              <w:pStyle w:val="P68B1DB1-Normal13"/>
              <w:spacing w:after="0" w:line="240" w:lineRule="auto"/>
              <w:jc w:val="center"/>
              <w:rPr>
                <w:rFonts w:eastAsia="MS Mincho" w:cs="Times New Roman"/>
                <w:noProof/>
              </w:rPr>
            </w:pPr>
            <w:r>
              <w:rPr>
                <w:noProof/>
              </w:rPr>
              <w:t>Kamień milowy</w:t>
            </w:r>
          </w:p>
        </w:tc>
        <w:tc>
          <w:tcPr>
            <w:tcW w:w="2977" w:type="dxa"/>
            <w:shd w:val="clear" w:color="auto" w:fill="C6EFCE"/>
            <w:noWrap/>
          </w:tcPr>
          <w:p w14:paraId="5E9C449F" w14:textId="44F2FA0D" w:rsidR="006578ED" w:rsidRDefault="00A1618E">
            <w:pPr>
              <w:pStyle w:val="P68B1DB1-Normal13"/>
              <w:spacing w:after="0" w:line="240" w:lineRule="auto"/>
              <w:rPr>
                <w:rFonts w:eastAsia="MS Mincho" w:cs="Times New Roman"/>
                <w:noProof/>
              </w:rPr>
            </w:pPr>
            <w:r>
              <w:rPr>
                <w:noProof/>
              </w:rPr>
              <w:t>Postanowienie TMA/178/2020 i dekret królewski z mocą ustawy 23/2020</w:t>
            </w:r>
          </w:p>
        </w:tc>
        <w:tc>
          <w:tcPr>
            <w:tcW w:w="1134" w:type="dxa"/>
            <w:shd w:val="clear" w:color="auto" w:fill="C6EFCE"/>
            <w:noWrap/>
          </w:tcPr>
          <w:p w14:paraId="2C017ED3" w14:textId="21FCD454" w:rsidR="006578ED" w:rsidRDefault="00A1618E">
            <w:pPr>
              <w:pStyle w:val="P68B1DB1-Normal13"/>
              <w:spacing w:after="0" w:line="240" w:lineRule="auto"/>
              <w:jc w:val="center"/>
              <w:rPr>
                <w:rFonts w:eastAsia="MS Mincho" w:cs="Times New Roman"/>
                <w:noProof/>
              </w:rPr>
            </w:pPr>
            <w:r>
              <w:rPr>
                <w:noProof/>
              </w:rPr>
              <w:t xml:space="preserve">Przepis w zarządzeniu i dekrecie królewskim wskazujący na ich wejście w życie </w:t>
            </w:r>
          </w:p>
        </w:tc>
        <w:tc>
          <w:tcPr>
            <w:tcW w:w="851" w:type="dxa"/>
            <w:shd w:val="clear" w:color="auto" w:fill="C6EFCE"/>
            <w:noWrap/>
          </w:tcPr>
          <w:p w14:paraId="506B302E"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675" w:type="dxa"/>
            <w:shd w:val="clear" w:color="auto" w:fill="C6EFCE"/>
            <w:noWrap/>
          </w:tcPr>
          <w:p w14:paraId="3B243226"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42" w:type="dxa"/>
            <w:shd w:val="clear" w:color="auto" w:fill="C6EFCE"/>
            <w:noWrap/>
          </w:tcPr>
          <w:p w14:paraId="76A4A2AF"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25020D56" w14:textId="420F9C38"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5AC65629" w14:textId="77777777" w:rsidR="006578ED" w:rsidRDefault="00A1618E">
            <w:pPr>
              <w:pStyle w:val="P68B1DB1-Normal13"/>
              <w:spacing w:after="0" w:line="240" w:lineRule="auto"/>
              <w:jc w:val="center"/>
              <w:rPr>
                <w:rFonts w:eastAsia="MS Mincho" w:cs="Times New Roman"/>
                <w:noProof/>
              </w:rPr>
            </w:pPr>
            <w:r>
              <w:rPr>
                <w:noProof/>
              </w:rPr>
              <w:t>2020</w:t>
            </w:r>
          </w:p>
        </w:tc>
        <w:tc>
          <w:tcPr>
            <w:tcW w:w="5387" w:type="dxa"/>
            <w:shd w:val="clear" w:color="auto" w:fill="C6EFCE"/>
            <w:noWrap/>
          </w:tcPr>
          <w:p w14:paraId="05E44C66" w14:textId="38601DC5" w:rsidR="006578ED" w:rsidRDefault="00A1618E">
            <w:pPr>
              <w:pStyle w:val="P68B1DB1-Normal13"/>
              <w:spacing w:after="0" w:line="240" w:lineRule="auto"/>
              <w:rPr>
                <w:rFonts w:eastAsia="MS Mincho" w:cs="Times New Roman"/>
                <w:noProof/>
              </w:rPr>
            </w:pPr>
            <w:r>
              <w:rPr>
                <w:noProof/>
              </w:rPr>
              <w:t xml:space="preserve">Wejście w życie i) zarządzenia TMA/178/2020 w sprawie zmniejszenia obciążeń administracyjnych związanych z instalacją urządzeń do ładowania pojazdów elektrycznych na stacjach paliw i określenia czasu potrzebnego na likwidację infrastruktury, (ii) dekretu królewskiego z mocą ustawy </w:t>
            </w:r>
            <w:r w:rsidRPr="00A1618E">
              <w:rPr>
                <w:noProof/>
                <w:lang w:val="pl-PL"/>
              </w:rPr>
              <w:t>nr 2</w:t>
            </w:r>
            <w:r>
              <w:rPr>
                <w:noProof/>
              </w:rPr>
              <w:t>3/2020 z dnia 23 czerwca 20</w:t>
            </w:r>
            <w:r w:rsidRPr="00A1618E">
              <w:rPr>
                <w:noProof/>
                <w:lang w:val="pl-PL"/>
              </w:rPr>
              <w:t>20 r.</w:t>
            </w:r>
            <w:r>
              <w:rPr>
                <w:noProof/>
              </w:rPr>
              <w:t>, w którym ogłoszono, że infrastruktura ładowania o mocy większej niż 250 kW jest przeznaczona na przyspieszenie wdrażania tego rodzaju obiektów.</w:t>
            </w:r>
          </w:p>
        </w:tc>
      </w:tr>
      <w:tr w:rsidR="006578ED" w14:paraId="197A472F" w14:textId="77777777">
        <w:trPr>
          <w:trHeight w:val="309"/>
        </w:trPr>
        <w:tc>
          <w:tcPr>
            <w:tcW w:w="709" w:type="dxa"/>
            <w:shd w:val="clear" w:color="auto" w:fill="C6EFCE"/>
            <w:noWrap/>
          </w:tcPr>
          <w:p w14:paraId="7A9F7BA1" w14:textId="77777777" w:rsidR="006578ED" w:rsidRDefault="00A1618E">
            <w:pPr>
              <w:pStyle w:val="P68B1DB1-Normal13"/>
              <w:spacing w:after="0" w:line="240" w:lineRule="auto"/>
              <w:jc w:val="center"/>
              <w:rPr>
                <w:rFonts w:eastAsia="MS Mincho" w:cs="Times New Roman"/>
                <w:noProof/>
              </w:rPr>
            </w:pPr>
            <w:r>
              <w:rPr>
                <w:noProof/>
              </w:rPr>
              <w:t>2</w:t>
            </w:r>
          </w:p>
        </w:tc>
        <w:tc>
          <w:tcPr>
            <w:tcW w:w="851" w:type="dxa"/>
            <w:shd w:val="clear" w:color="auto" w:fill="C6EFCE"/>
            <w:noWrap/>
          </w:tcPr>
          <w:p w14:paraId="5356C5A6" w14:textId="77777777" w:rsidR="006578ED" w:rsidRDefault="00A1618E">
            <w:pPr>
              <w:pStyle w:val="P68B1DB1-Normal13"/>
              <w:spacing w:after="0" w:line="240" w:lineRule="auto"/>
              <w:jc w:val="center"/>
              <w:rPr>
                <w:rFonts w:eastAsia="MS Mincho" w:cs="Times New Roman"/>
                <w:noProof/>
              </w:rPr>
            </w:pPr>
            <w:r>
              <w:rPr>
                <w:noProof/>
              </w:rPr>
              <w:t>C1.R1</w:t>
            </w:r>
          </w:p>
        </w:tc>
        <w:tc>
          <w:tcPr>
            <w:tcW w:w="850" w:type="dxa"/>
            <w:shd w:val="clear" w:color="auto" w:fill="C6EFCE"/>
            <w:noWrap/>
          </w:tcPr>
          <w:p w14:paraId="42E95C61" w14:textId="13808E3F" w:rsidR="006578ED" w:rsidRDefault="00AF6B91">
            <w:pPr>
              <w:pStyle w:val="P68B1DB1-Normal13"/>
              <w:spacing w:after="0" w:line="240" w:lineRule="auto"/>
              <w:jc w:val="center"/>
              <w:rPr>
                <w:rFonts w:eastAsia="MS Mincho" w:cs="Times New Roman"/>
                <w:noProof/>
              </w:rPr>
            </w:pPr>
            <w:r>
              <w:rPr>
                <w:noProof/>
              </w:rPr>
              <w:t>Kamień milowy</w:t>
            </w:r>
          </w:p>
        </w:tc>
        <w:tc>
          <w:tcPr>
            <w:tcW w:w="2977" w:type="dxa"/>
            <w:shd w:val="clear" w:color="auto" w:fill="C6EFCE"/>
            <w:noWrap/>
          </w:tcPr>
          <w:p w14:paraId="0D89BE5F" w14:textId="730D5C44" w:rsidR="006578ED" w:rsidRDefault="00A1618E">
            <w:pPr>
              <w:pStyle w:val="P68B1DB1-Normal13"/>
              <w:spacing w:after="0" w:line="240" w:lineRule="auto"/>
              <w:rPr>
                <w:rFonts w:eastAsia="MS Mincho" w:cs="Times New Roman"/>
                <w:noProof/>
              </w:rPr>
            </w:pPr>
            <w:r>
              <w:rPr>
                <w:noProof/>
              </w:rPr>
              <w:t>Zmiany w kodeksie technicznym budownictwa (do potwierdzenia), w przepisach elektrotechnicznych niskiego napięcia oraz zatwierdzenie dekretu królewskiego w sprawie regulacji publicznych usług ładowania</w:t>
            </w:r>
          </w:p>
        </w:tc>
        <w:tc>
          <w:tcPr>
            <w:tcW w:w="1134" w:type="dxa"/>
            <w:shd w:val="clear" w:color="auto" w:fill="C6EFCE"/>
            <w:noWrap/>
          </w:tcPr>
          <w:p w14:paraId="785900C6" w14:textId="032357C3" w:rsidR="006578ED" w:rsidRDefault="00A1618E">
            <w:pPr>
              <w:pStyle w:val="P68B1DB1-Normal13"/>
              <w:spacing w:after="0" w:line="240" w:lineRule="auto"/>
              <w:jc w:val="center"/>
              <w:rPr>
                <w:rFonts w:eastAsia="MS Mincho" w:cs="Times New Roman"/>
                <w:noProof/>
              </w:rPr>
            </w:pPr>
            <w:r>
              <w:rPr>
                <w:noProof/>
              </w:rPr>
              <w:t xml:space="preserve">Przepis kodeksu, rozporządzenia i dekretu królewskiego wskazujący na ich wejście w życie </w:t>
            </w:r>
          </w:p>
        </w:tc>
        <w:tc>
          <w:tcPr>
            <w:tcW w:w="851" w:type="dxa"/>
            <w:shd w:val="clear" w:color="auto" w:fill="C6EFCE"/>
            <w:noWrap/>
          </w:tcPr>
          <w:p w14:paraId="097FA9F6"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675" w:type="dxa"/>
            <w:shd w:val="clear" w:color="auto" w:fill="C6EFCE"/>
            <w:noWrap/>
          </w:tcPr>
          <w:p w14:paraId="01A809EE"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42" w:type="dxa"/>
            <w:shd w:val="clear" w:color="auto" w:fill="C6EFCE"/>
            <w:noWrap/>
          </w:tcPr>
          <w:p w14:paraId="26918E7C"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913E62B" w14:textId="0107C3E9"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4B71CAA9" w14:textId="77777777"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7789F0B" w14:textId="7385B2F4" w:rsidR="006578ED" w:rsidRDefault="00A1618E">
            <w:pPr>
              <w:pStyle w:val="P68B1DB1-Normal13"/>
              <w:spacing w:after="0" w:line="240" w:lineRule="auto"/>
              <w:rPr>
                <w:rFonts w:eastAsia="MS Mincho" w:cs="Times New Roman"/>
                <w:noProof/>
              </w:rPr>
            </w:pPr>
            <w:r>
              <w:rPr>
                <w:noProof/>
              </w:rPr>
              <w:t>Wejście w życie:</w:t>
            </w:r>
            <w:r>
              <w:rPr>
                <w:noProof/>
              </w:rPr>
              <w:br/>
              <w:t xml:space="preserve">zmiany w kodeksie technicznym budynku (do potwierdzenia) w celu zapewnienia preinstalacji punktów ładowania w 100 % nowych miejsc parkingowych w budynkach mieszkalnych i 20 % nowych miejsc parkingowych w budynkach komercyjnych i innych, b) zainstalowania </w:t>
            </w:r>
            <w:r w:rsidRPr="00A1618E">
              <w:rPr>
                <w:noProof/>
                <w:lang w:val="pl-PL"/>
              </w:rPr>
              <w:t>do 2</w:t>
            </w:r>
            <w:r>
              <w:rPr>
                <w:noProof/>
              </w:rPr>
              <w:t>0</w:t>
            </w:r>
            <w:r w:rsidRPr="00A1618E">
              <w:rPr>
                <w:noProof/>
                <w:lang w:val="pl-PL"/>
              </w:rPr>
              <w:t>23 r.</w:t>
            </w:r>
            <w:r>
              <w:rPr>
                <w:noProof/>
              </w:rPr>
              <w:t xml:space="preserve"> jednego punktu ładowania na każde 40 nowych miejsc parkingowych (i jednego </w:t>
            </w:r>
            <w:r w:rsidRPr="00A1618E">
              <w:rPr>
                <w:noProof/>
                <w:lang w:val="pl-PL"/>
              </w:rPr>
              <w:t>na 2</w:t>
            </w:r>
            <w:r>
              <w:rPr>
                <w:noProof/>
              </w:rPr>
              <w:t>0 miejsc parkingowych w budynkach administracji publicznej) oraz c) obowiązku dostosowania się do powyższego wymogu w odniesieniu do istniejących wcześniej niemieszkalnych parkingów o ponad 20 miejscach parkingowych (tj. zainstalowanie jednego punktu ładowania na każde 40 miejsc parkingowych);</w:t>
            </w:r>
            <w:r>
              <w:rPr>
                <w:noProof/>
              </w:rPr>
              <w:br/>
              <w:t>zmiany w regulaminie elektrotechnicznym niskiego napięcia w celu włączenia obowiązków dotyczących infrastruktury ładowania parkingów samochodowych, które nie są połączone z budynkiem; oraz</w:t>
            </w:r>
            <w:r>
              <w:rPr>
                <w:noProof/>
              </w:rPr>
              <w:br/>
              <w:t>dekret królewski w sprawie regulacji publicznych usług ładowania, w tym relacji między podmiotami uczestniczącymi w świadczeniu usługi (operatorami punktów ładowania, dostawcami usług w zakresie mobilności elektrycznej) i ustanawiającym ich prawa i obowiązki</w:t>
            </w:r>
          </w:p>
        </w:tc>
      </w:tr>
      <w:tr w:rsidR="006578ED" w14:paraId="6BCD592A" w14:textId="77777777">
        <w:trPr>
          <w:trHeight w:val="309"/>
        </w:trPr>
        <w:tc>
          <w:tcPr>
            <w:tcW w:w="709" w:type="dxa"/>
            <w:shd w:val="clear" w:color="auto" w:fill="C6EFCE"/>
            <w:noWrap/>
          </w:tcPr>
          <w:p w14:paraId="030995EB" w14:textId="77777777" w:rsidR="006578ED" w:rsidRDefault="00A1618E">
            <w:pPr>
              <w:pStyle w:val="P68B1DB1-Normal13"/>
              <w:spacing w:after="0" w:line="240" w:lineRule="auto"/>
              <w:jc w:val="center"/>
              <w:rPr>
                <w:rFonts w:eastAsia="MS Mincho" w:cs="Times New Roman"/>
                <w:noProof/>
              </w:rPr>
            </w:pPr>
            <w:r>
              <w:rPr>
                <w:noProof/>
              </w:rPr>
              <w:t>3</w:t>
            </w:r>
          </w:p>
        </w:tc>
        <w:tc>
          <w:tcPr>
            <w:tcW w:w="851" w:type="dxa"/>
            <w:shd w:val="clear" w:color="auto" w:fill="C6EFCE"/>
            <w:noWrap/>
          </w:tcPr>
          <w:p w14:paraId="21C9028F" w14:textId="77777777" w:rsidR="006578ED" w:rsidRDefault="00A1618E">
            <w:pPr>
              <w:pStyle w:val="P68B1DB1-Normal13"/>
              <w:spacing w:after="0" w:line="240" w:lineRule="auto"/>
              <w:jc w:val="center"/>
              <w:rPr>
                <w:rFonts w:eastAsia="MS Mincho" w:cs="Times New Roman"/>
                <w:noProof/>
              </w:rPr>
            </w:pPr>
            <w:r>
              <w:rPr>
                <w:noProof/>
              </w:rPr>
              <w:t>C1.R2</w:t>
            </w:r>
          </w:p>
        </w:tc>
        <w:tc>
          <w:tcPr>
            <w:tcW w:w="850" w:type="dxa"/>
            <w:shd w:val="clear" w:color="auto" w:fill="C6EFCE"/>
            <w:noWrap/>
          </w:tcPr>
          <w:p w14:paraId="3773E58B" w14:textId="64D08423" w:rsidR="006578ED" w:rsidRDefault="00AF6B91">
            <w:pPr>
              <w:pStyle w:val="P68B1DB1-Normal13"/>
              <w:spacing w:after="0" w:line="240" w:lineRule="auto"/>
              <w:jc w:val="center"/>
              <w:rPr>
                <w:rFonts w:eastAsia="MS Mincho" w:cs="Times New Roman"/>
                <w:noProof/>
              </w:rPr>
            </w:pPr>
            <w:r>
              <w:rPr>
                <w:noProof/>
              </w:rPr>
              <w:t>Kamień milowy</w:t>
            </w:r>
          </w:p>
        </w:tc>
        <w:tc>
          <w:tcPr>
            <w:tcW w:w="2977" w:type="dxa"/>
            <w:shd w:val="clear" w:color="auto" w:fill="C6EFCE"/>
            <w:noWrap/>
          </w:tcPr>
          <w:p w14:paraId="7439DBD0" w14:textId="7AD54179" w:rsidR="006578ED" w:rsidRDefault="00A1618E">
            <w:pPr>
              <w:pStyle w:val="P68B1DB1-Normal13"/>
              <w:spacing w:after="0" w:line="240" w:lineRule="auto"/>
              <w:rPr>
                <w:rFonts w:eastAsia="MS Mincho" w:cs="Times New Roman"/>
                <w:noProof/>
              </w:rPr>
            </w:pPr>
            <w:r>
              <w:rPr>
                <w:noProof/>
              </w:rPr>
              <w:t xml:space="preserve">Przyjęcie ustawy o mobilności zgodnej z zasadami zrównoważonego rozwoju </w:t>
            </w:r>
          </w:p>
        </w:tc>
        <w:tc>
          <w:tcPr>
            <w:tcW w:w="1134" w:type="dxa"/>
            <w:shd w:val="clear" w:color="auto" w:fill="C6EFCE"/>
            <w:noWrap/>
          </w:tcPr>
          <w:p w14:paraId="6AB29DFD" w14:textId="4C7EE362" w:rsidR="006578ED" w:rsidRDefault="00A1618E">
            <w:pPr>
              <w:pStyle w:val="P68B1DB1-Normal13"/>
              <w:spacing w:after="0" w:line="240" w:lineRule="auto"/>
              <w:jc w:val="center"/>
              <w:rPr>
                <w:rFonts w:eastAsia="MS Mincho" w:cs="Times New Roman"/>
                <w:noProof/>
              </w:rPr>
            </w:pPr>
            <w:r>
              <w:rPr>
                <w:noProof/>
              </w:rPr>
              <w:t>Przepis ustawy wskazujący na wejście w życie ustawy</w:t>
            </w:r>
          </w:p>
        </w:tc>
        <w:tc>
          <w:tcPr>
            <w:tcW w:w="851" w:type="dxa"/>
            <w:shd w:val="clear" w:color="auto" w:fill="C6EFCE"/>
            <w:noWrap/>
          </w:tcPr>
          <w:p w14:paraId="6163F49C"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675" w:type="dxa"/>
            <w:shd w:val="clear" w:color="auto" w:fill="C6EFCE"/>
            <w:noWrap/>
          </w:tcPr>
          <w:p w14:paraId="52ABEE9F"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42" w:type="dxa"/>
            <w:shd w:val="clear" w:color="auto" w:fill="C6EFCE"/>
            <w:noWrap/>
          </w:tcPr>
          <w:p w14:paraId="28EE1D75"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51ECE739" w14:textId="12ECA2EE"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086F47C2" w14:textId="1343836D" w:rsidR="006578ED" w:rsidRDefault="00A1618E">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76486FD9" w14:textId="709F6FEE" w:rsidR="006578ED" w:rsidRDefault="00A1618E">
            <w:pPr>
              <w:pStyle w:val="P68B1DB1-Normal13"/>
              <w:spacing w:after="0" w:line="240" w:lineRule="auto"/>
              <w:rPr>
                <w:rFonts w:cs="Times New Roman"/>
                <w:noProof/>
              </w:rPr>
            </w:pPr>
            <w:r>
              <w:rPr>
                <w:noProof/>
              </w:rPr>
              <w:t>Wejście w życie ustawy o mobilności zgodnej z zasadami zrównoważonego rozwoju, poprawiającej planowanie, koordynację i efektywność polityki transportu publicznego oraz wspierającą cyfryzację transportu i korzystanie z transportu publicznego</w:t>
            </w:r>
            <w:r w:rsidRPr="00A1618E">
              <w:rPr>
                <w:noProof/>
                <w:lang w:val="pl-PL"/>
              </w:rPr>
              <w:t>. O</w:t>
            </w:r>
            <w:r>
              <w:rPr>
                <w:noProof/>
              </w:rPr>
              <w:t>bejmuje ona również szczególne środki mające na celu promowanie kolejowego transportu towarowego, który przyczynia się do redukcji globalnych emisji pochodzących z lądowego transportu towarowego, w tym:</w:t>
            </w:r>
          </w:p>
          <w:p w14:paraId="4D910211" w14:textId="145DEA7E" w:rsidR="006578ED" w:rsidRDefault="006578ED">
            <w:pPr>
              <w:spacing w:after="0" w:line="240" w:lineRule="auto"/>
              <w:rPr>
                <w:rFonts w:ascii="Times New Roman" w:hAnsi="Times New Roman" w:cs="Times New Roman"/>
                <w:noProof/>
                <w:sz w:val="18"/>
              </w:rPr>
            </w:pPr>
          </w:p>
          <w:p w14:paraId="4393133D" w14:textId="68B8A7D9" w:rsidR="006578ED" w:rsidRDefault="00A1618E">
            <w:pPr>
              <w:pStyle w:val="P68B1DB1-ListParagraph14"/>
              <w:numPr>
                <w:ilvl w:val="0"/>
                <w:numId w:val="4"/>
              </w:numPr>
              <w:spacing w:after="0" w:line="240" w:lineRule="auto"/>
              <w:rPr>
                <w:rFonts w:eastAsia="Times New Roman" w:cs="Times New Roman"/>
                <w:noProof/>
              </w:rPr>
            </w:pPr>
            <w:r>
              <w:rPr>
                <w:noProof/>
              </w:rPr>
              <w:t>Obowiązek opracowania programu budowy autostrad kroczących w tych korytarzach, w których jest on rentowny i w których jego rozwój leży w interesie gospodarczym.</w:t>
            </w:r>
          </w:p>
          <w:p w14:paraId="7E82E417" w14:textId="38D4AE95" w:rsidR="006578ED" w:rsidRDefault="00A1618E">
            <w:pPr>
              <w:pStyle w:val="P68B1DB1-ListParagraph14"/>
              <w:numPr>
                <w:ilvl w:val="0"/>
                <w:numId w:val="4"/>
              </w:numPr>
              <w:spacing w:after="0" w:line="240" w:lineRule="auto"/>
              <w:rPr>
                <w:rFonts w:eastAsia="Times New Roman" w:cs="Times New Roman"/>
                <w:noProof/>
              </w:rPr>
            </w:pPr>
            <w:r>
              <w:rPr>
                <w:noProof/>
              </w:rPr>
              <w:t>Premie z tytułu opłat kolejowych za ruch towarowy przez okres co najmniej 5 lat.</w:t>
            </w:r>
          </w:p>
          <w:p w14:paraId="30208CFB" w14:textId="57256FBB" w:rsidR="006578ED" w:rsidRDefault="00A1618E">
            <w:pPr>
              <w:pStyle w:val="P68B1DB1-ListParagraph14"/>
              <w:numPr>
                <w:ilvl w:val="0"/>
                <w:numId w:val="4"/>
              </w:numPr>
              <w:spacing w:after="0" w:line="240" w:lineRule="auto"/>
              <w:rPr>
                <w:rFonts w:cs="Times New Roman"/>
                <w:noProof/>
              </w:rPr>
            </w:pPr>
            <w:r>
              <w:rPr>
                <w:noProof/>
              </w:rPr>
              <w:t>Program wsparcia kolejowego transportu towarowego, obejmujący zachęty promujące przesunięcie międzygałęziowe z transportu drogowego na kolejowy oraz modernizację i innowacje w sektorze transportu kolejowego.</w:t>
            </w:r>
          </w:p>
        </w:tc>
      </w:tr>
      <w:tr w:rsidR="006578ED" w14:paraId="6F2EDAC1" w14:textId="77777777">
        <w:trPr>
          <w:trHeight w:val="309"/>
        </w:trPr>
        <w:tc>
          <w:tcPr>
            <w:tcW w:w="709" w:type="dxa"/>
            <w:shd w:val="clear" w:color="auto" w:fill="C6EFCE"/>
            <w:noWrap/>
          </w:tcPr>
          <w:p w14:paraId="4632EFF2" w14:textId="7CC22680" w:rsidR="006578ED" w:rsidRDefault="00A1618E">
            <w:pPr>
              <w:pStyle w:val="P68B1DB1-Normal13"/>
              <w:spacing w:after="0" w:line="240" w:lineRule="auto"/>
              <w:jc w:val="center"/>
              <w:rPr>
                <w:rFonts w:cs="Times New Roman"/>
                <w:noProof/>
              </w:rPr>
            </w:pPr>
            <w:r>
              <w:rPr>
                <w:noProof/>
              </w:rPr>
              <w:t>417</w:t>
            </w:r>
          </w:p>
        </w:tc>
        <w:tc>
          <w:tcPr>
            <w:tcW w:w="851" w:type="dxa"/>
            <w:shd w:val="clear" w:color="auto" w:fill="C6EFCE"/>
            <w:noWrap/>
          </w:tcPr>
          <w:p w14:paraId="2B2BEF68" w14:textId="12EE464D" w:rsidR="006578ED" w:rsidRDefault="00A1618E">
            <w:pPr>
              <w:pStyle w:val="P68B1DB1-Normal13"/>
              <w:spacing w:after="0" w:line="240" w:lineRule="auto"/>
              <w:jc w:val="center"/>
              <w:rPr>
                <w:rFonts w:cs="Times New Roman"/>
                <w:noProof/>
              </w:rPr>
            </w:pPr>
            <w:r>
              <w:rPr>
                <w:noProof/>
              </w:rPr>
              <w:t>C1.R2</w:t>
            </w:r>
          </w:p>
        </w:tc>
        <w:tc>
          <w:tcPr>
            <w:tcW w:w="850" w:type="dxa"/>
            <w:shd w:val="clear" w:color="auto" w:fill="C6EFCE"/>
            <w:noWrap/>
          </w:tcPr>
          <w:p w14:paraId="4F8C301D" w14:textId="3A4D1D43" w:rsidR="006578ED" w:rsidRDefault="00AF6B91">
            <w:pPr>
              <w:pStyle w:val="P68B1DB1-Normal13"/>
              <w:spacing w:after="0" w:line="240" w:lineRule="auto"/>
              <w:jc w:val="center"/>
              <w:rPr>
                <w:rFonts w:cs="Times New Roman"/>
                <w:noProof/>
              </w:rPr>
            </w:pPr>
            <w:r>
              <w:rPr>
                <w:noProof/>
              </w:rPr>
              <w:t>Kamień milowy</w:t>
            </w:r>
          </w:p>
        </w:tc>
        <w:tc>
          <w:tcPr>
            <w:tcW w:w="2977" w:type="dxa"/>
            <w:shd w:val="clear" w:color="auto" w:fill="C6EFCE"/>
            <w:noWrap/>
          </w:tcPr>
          <w:p w14:paraId="1272B76D" w14:textId="13ACDC5B" w:rsidR="006578ED" w:rsidRDefault="00A1618E">
            <w:pPr>
              <w:pStyle w:val="P68B1DB1-Normal13"/>
              <w:spacing w:after="0" w:line="240" w:lineRule="auto"/>
              <w:rPr>
                <w:rFonts w:cs="Times New Roman"/>
                <w:noProof/>
              </w:rPr>
            </w:pPr>
            <w:r>
              <w:rPr>
                <w:noProof/>
              </w:rPr>
              <w:t xml:space="preserve">Opracowanie oprogramowania do realizacji analizy kosztów i korzyści dla inwestycji w infrastrukturę transportową </w:t>
            </w:r>
          </w:p>
          <w:p w14:paraId="501E9F60" w14:textId="77777777" w:rsidR="006578ED" w:rsidRDefault="006578ED">
            <w:pPr>
              <w:spacing w:after="0" w:line="240" w:lineRule="auto"/>
              <w:rPr>
                <w:rFonts w:ascii="Times New Roman" w:hAnsi="Times New Roman" w:cs="Times New Roman"/>
                <w:noProof/>
                <w:sz w:val="18"/>
              </w:rPr>
            </w:pPr>
          </w:p>
        </w:tc>
        <w:tc>
          <w:tcPr>
            <w:tcW w:w="1134" w:type="dxa"/>
            <w:shd w:val="clear" w:color="auto" w:fill="C6EFCE"/>
            <w:noWrap/>
          </w:tcPr>
          <w:p w14:paraId="41D513B8" w14:textId="46F7528E" w:rsidR="006578ED" w:rsidRDefault="00A1618E">
            <w:pPr>
              <w:pStyle w:val="P68B1DB1-Normal13"/>
              <w:spacing w:after="0" w:line="240" w:lineRule="auto"/>
              <w:jc w:val="center"/>
              <w:rPr>
                <w:rFonts w:cs="Times New Roman"/>
                <w:noProof/>
              </w:rPr>
            </w:pPr>
            <w:r>
              <w:rPr>
                <w:noProof/>
              </w:rPr>
              <w:t xml:space="preserve">Dostępność narzędzia na oficjalnej stronie internetowej </w:t>
            </w:r>
          </w:p>
        </w:tc>
        <w:tc>
          <w:tcPr>
            <w:tcW w:w="851" w:type="dxa"/>
            <w:shd w:val="clear" w:color="auto" w:fill="C6EFCE"/>
            <w:noWrap/>
          </w:tcPr>
          <w:p w14:paraId="26625EA0" w14:textId="77777777" w:rsidR="006578ED" w:rsidRDefault="006578ED">
            <w:pPr>
              <w:spacing w:after="0" w:line="240" w:lineRule="auto"/>
              <w:jc w:val="right"/>
              <w:rPr>
                <w:rFonts w:ascii="Times New Roman" w:hAnsi="Times New Roman" w:cs="Times New Roman"/>
                <w:noProof/>
                <w:sz w:val="18"/>
              </w:rPr>
            </w:pPr>
          </w:p>
        </w:tc>
        <w:tc>
          <w:tcPr>
            <w:tcW w:w="675" w:type="dxa"/>
            <w:shd w:val="clear" w:color="auto" w:fill="C6EFCE"/>
            <w:noWrap/>
          </w:tcPr>
          <w:p w14:paraId="26D4DF5E" w14:textId="77777777" w:rsidR="006578ED" w:rsidRDefault="006578ED">
            <w:pPr>
              <w:spacing w:after="0" w:line="240" w:lineRule="auto"/>
              <w:jc w:val="right"/>
              <w:rPr>
                <w:rFonts w:ascii="Times New Roman" w:hAnsi="Times New Roman" w:cs="Times New Roman"/>
                <w:noProof/>
                <w:sz w:val="18"/>
              </w:rPr>
            </w:pPr>
          </w:p>
        </w:tc>
        <w:tc>
          <w:tcPr>
            <w:tcW w:w="742" w:type="dxa"/>
            <w:shd w:val="clear" w:color="auto" w:fill="C6EFCE"/>
            <w:noWrap/>
          </w:tcPr>
          <w:p w14:paraId="4F89D850"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763C539E" w14:textId="195E581F"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0360DD72" w14:textId="2A04E70D" w:rsidR="006578ED" w:rsidRDefault="00A1618E">
            <w:pPr>
              <w:pStyle w:val="P68B1DB1-Normal13"/>
              <w:spacing w:after="0" w:line="240" w:lineRule="auto"/>
              <w:jc w:val="center"/>
              <w:rPr>
                <w:rFonts w:cs="Times New Roman"/>
                <w:noProof/>
              </w:rPr>
            </w:pPr>
            <w:r>
              <w:rPr>
                <w:noProof/>
              </w:rPr>
              <w:t>2025</w:t>
            </w:r>
          </w:p>
        </w:tc>
        <w:tc>
          <w:tcPr>
            <w:tcW w:w="5387" w:type="dxa"/>
            <w:shd w:val="clear" w:color="auto" w:fill="C6EFCE"/>
            <w:noWrap/>
          </w:tcPr>
          <w:p w14:paraId="361C1A6F" w14:textId="7F0F7F6A" w:rsidR="006578ED" w:rsidRDefault="00A1618E">
            <w:pPr>
              <w:pStyle w:val="P68B1DB1-Normal13"/>
              <w:spacing w:after="0" w:line="240" w:lineRule="auto"/>
              <w:rPr>
                <w:rFonts w:cs="Times New Roman"/>
                <w:noProof/>
              </w:rPr>
            </w:pPr>
            <w:r>
              <w:rPr>
                <w:noProof/>
              </w:rPr>
              <w:t xml:space="preserve">Opracowanie i dostępność na oficjalnej stronie internetowej oprogramowania służącego do wdrażania analiz kosztów i korzyści inwestycji infrastrukturalnych w odniesieniu do różnych rodzajów transportu, zgodnie ze względami zrównoważonego rozwoju, społecznymi i środowiskowymi określonymi w oficjalnej metodyce przewidzianej w ustawie o mobilności zgodnej z zasadami zrównoważonego rozwoju. </w:t>
            </w:r>
          </w:p>
        </w:tc>
      </w:tr>
      <w:tr w:rsidR="006578ED" w14:paraId="7331B854" w14:textId="77777777">
        <w:trPr>
          <w:trHeight w:val="309"/>
        </w:trPr>
        <w:tc>
          <w:tcPr>
            <w:tcW w:w="709" w:type="dxa"/>
            <w:shd w:val="clear" w:color="auto" w:fill="C6EFCE"/>
            <w:noWrap/>
          </w:tcPr>
          <w:p w14:paraId="1DF356B6" w14:textId="61411F79" w:rsidR="006578ED" w:rsidRDefault="00A1618E">
            <w:pPr>
              <w:pStyle w:val="P68B1DB1-Normal13"/>
              <w:spacing w:after="0" w:line="240" w:lineRule="auto"/>
              <w:jc w:val="center"/>
              <w:rPr>
                <w:rFonts w:cs="Times New Roman"/>
                <w:noProof/>
              </w:rPr>
            </w:pPr>
            <w:r>
              <w:rPr>
                <w:noProof/>
              </w:rPr>
              <w:t>418</w:t>
            </w:r>
          </w:p>
        </w:tc>
        <w:tc>
          <w:tcPr>
            <w:tcW w:w="851" w:type="dxa"/>
            <w:shd w:val="clear" w:color="auto" w:fill="C6EFCE"/>
            <w:noWrap/>
          </w:tcPr>
          <w:p w14:paraId="1B523965" w14:textId="6C36E10A" w:rsidR="006578ED" w:rsidRDefault="00A1618E">
            <w:pPr>
              <w:pStyle w:val="P68B1DB1-Normal13"/>
              <w:spacing w:after="0" w:line="240" w:lineRule="auto"/>
              <w:jc w:val="center"/>
              <w:rPr>
                <w:rFonts w:cs="Times New Roman"/>
                <w:noProof/>
              </w:rPr>
            </w:pPr>
            <w:r>
              <w:rPr>
                <w:noProof/>
              </w:rPr>
              <w:t>C1.R2</w:t>
            </w:r>
          </w:p>
        </w:tc>
        <w:tc>
          <w:tcPr>
            <w:tcW w:w="850" w:type="dxa"/>
            <w:shd w:val="clear" w:color="auto" w:fill="C6EFCE"/>
            <w:noWrap/>
          </w:tcPr>
          <w:p w14:paraId="3C7090CA" w14:textId="2D2C122C" w:rsidR="006578ED" w:rsidRDefault="00AF6B91">
            <w:pPr>
              <w:pStyle w:val="P68B1DB1-Normal13"/>
              <w:spacing w:after="0" w:line="240" w:lineRule="auto"/>
              <w:jc w:val="center"/>
              <w:rPr>
                <w:rFonts w:cs="Times New Roman"/>
                <w:noProof/>
              </w:rPr>
            </w:pPr>
            <w:r>
              <w:rPr>
                <w:noProof/>
              </w:rPr>
              <w:t>Kamień milowy</w:t>
            </w:r>
          </w:p>
        </w:tc>
        <w:tc>
          <w:tcPr>
            <w:tcW w:w="2977" w:type="dxa"/>
            <w:shd w:val="clear" w:color="auto" w:fill="C6EFCE"/>
            <w:noWrap/>
          </w:tcPr>
          <w:p w14:paraId="456F5898" w14:textId="3BD09882" w:rsidR="006578ED" w:rsidRDefault="00A1618E">
            <w:pPr>
              <w:pStyle w:val="P68B1DB1-Normal13"/>
              <w:spacing w:after="0" w:line="240" w:lineRule="auto"/>
              <w:rPr>
                <w:rFonts w:cs="Times New Roman"/>
                <w:noProof/>
              </w:rPr>
            </w:pPr>
            <w:r>
              <w:rPr>
                <w:noProof/>
              </w:rPr>
              <w:t>Biuro piaskownicy</w:t>
            </w:r>
          </w:p>
        </w:tc>
        <w:tc>
          <w:tcPr>
            <w:tcW w:w="1134" w:type="dxa"/>
            <w:shd w:val="clear" w:color="auto" w:fill="C6EFCE"/>
            <w:noWrap/>
          </w:tcPr>
          <w:p w14:paraId="5BA6966F" w14:textId="70BFA162" w:rsidR="006578ED" w:rsidRDefault="00A1618E">
            <w:pPr>
              <w:pStyle w:val="P68B1DB1-Normal13"/>
              <w:spacing w:after="0" w:line="240" w:lineRule="auto"/>
              <w:jc w:val="center"/>
              <w:rPr>
                <w:rFonts w:cs="Times New Roman"/>
                <w:noProof/>
              </w:rPr>
            </w:pPr>
            <w:r>
              <w:rPr>
                <w:noProof/>
              </w:rPr>
              <w:t>Przepisy wskazujące na wejście w życie</w:t>
            </w:r>
          </w:p>
        </w:tc>
        <w:tc>
          <w:tcPr>
            <w:tcW w:w="851" w:type="dxa"/>
            <w:shd w:val="clear" w:color="auto" w:fill="C6EFCE"/>
            <w:noWrap/>
          </w:tcPr>
          <w:p w14:paraId="20E60AA6" w14:textId="77777777" w:rsidR="006578ED" w:rsidRDefault="006578ED">
            <w:pPr>
              <w:spacing w:after="0" w:line="240" w:lineRule="auto"/>
              <w:jc w:val="right"/>
              <w:rPr>
                <w:rFonts w:ascii="Times New Roman" w:hAnsi="Times New Roman" w:cs="Times New Roman"/>
                <w:noProof/>
                <w:sz w:val="18"/>
              </w:rPr>
            </w:pPr>
          </w:p>
        </w:tc>
        <w:tc>
          <w:tcPr>
            <w:tcW w:w="675" w:type="dxa"/>
            <w:shd w:val="clear" w:color="auto" w:fill="C6EFCE"/>
            <w:noWrap/>
          </w:tcPr>
          <w:p w14:paraId="3433527B" w14:textId="77777777" w:rsidR="006578ED" w:rsidRDefault="006578ED">
            <w:pPr>
              <w:spacing w:after="0" w:line="240" w:lineRule="auto"/>
              <w:jc w:val="right"/>
              <w:rPr>
                <w:rFonts w:ascii="Times New Roman" w:hAnsi="Times New Roman" w:cs="Times New Roman"/>
                <w:noProof/>
                <w:sz w:val="18"/>
              </w:rPr>
            </w:pPr>
          </w:p>
        </w:tc>
        <w:tc>
          <w:tcPr>
            <w:tcW w:w="742" w:type="dxa"/>
            <w:shd w:val="clear" w:color="auto" w:fill="C6EFCE"/>
            <w:noWrap/>
          </w:tcPr>
          <w:p w14:paraId="2FEFF9CC"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244EDB08" w14:textId="402206C8"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0035862C" w14:textId="37E7F7F9" w:rsidR="006578ED" w:rsidRDefault="00A1618E">
            <w:pPr>
              <w:pStyle w:val="P68B1DB1-Normal13"/>
              <w:spacing w:after="0" w:line="240" w:lineRule="auto"/>
              <w:jc w:val="center"/>
              <w:rPr>
                <w:rFonts w:cs="Times New Roman"/>
                <w:noProof/>
              </w:rPr>
            </w:pPr>
            <w:r>
              <w:rPr>
                <w:noProof/>
              </w:rPr>
              <w:t>2026</w:t>
            </w:r>
          </w:p>
        </w:tc>
        <w:tc>
          <w:tcPr>
            <w:tcW w:w="5387" w:type="dxa"/>
            <w:shd w:val="clear" w:color="auto" w:fill="C6EFCE"/>
            <w:noWrap/>
          </w:tcPr>
          <w:p w14:paraId="2068E54F" w14:textId="5DAD1872" w:rsidR="006578ED" w:rsidRDefault="00A1618E">
            <w:pPr>
              <w:pStyle w:val="P68B1DB1-Normal13"/>
              <w:spacing w:after="0" w:line="240" w:lineRule="auto"/>
              <w:rPr>
                <w:rFonts w:eastAsia="Times New Roman" w:cs="Times New Roman"/>
                <w:noProof/>
              </w:rPr>
            </w:pPr>
            <w:r>
              <w:rPr>
                <w:noProof/>
              </w:rPr>
              <w:t>Publikacja i wejście w życie dekretu królewskiego w sprawie rozwoju struktury organizacyjnej ministerstwa posiadającego kompetencje w zakresie transportu, określającego szczególne kompetencje biura Sandbox.</w:t>
            </w:r>
          </w:p>
        </w:tc>
      </w:tr>
      <w:tr w:rsidR="006578ED" w14:paraId="08D28B29" w14:textId="77777777">
        <w:trPr>
          <w:trHeight w:val="309"/>
        </w:trPr>
        <w:tc>
          <w:tcPr>
            <w:tcW w:w="709" w:type="dxa"/>
            <w:shd w:val="clear" w:color="auto" w:fill="C6EFCE"/>
            <w:noWrap/>
          </w:tcPr>
          <w:p w14:paraId="3FE2943F" w14:textId="4632317B" w:rsidR="006578ED" w:rsidRDefault="00A1618E">
            <w:pPr>
              <w:pStyle w:val="P68B1DB1-Normal13"/>
              <w:spacing w:after="0" w:line="240" w:lineRule="auto"/>
              <w:jc w:val="center"/>
              <w:rPr>
                <w:rFonts w:eastAsia="MS Mincho" w:cs="Times New Roman"/>
                <w:noProof/>
              </w:rPr>
            </w:pPr>
            <w:r>
              <w:rPr>
                <w:noProof/>
              </w:rPr>
              <w:t>4</w:t>
            </w:r>
          </w:p>
        </w:tc>
        <w:tc>
          <w:tcPr>
            <w:tcW w:w="851" w:type="dxa"/>
            <w:shd w:val="clear" w:color="auto" w:fill="C6EFCE"/>
            <w:noWrap/>
          </w:tcPr>
          <w:p w14:paraId="725E159E" w14:textId="77777777" w:rsidR="006578ED" w:rsidRDefault="00A1618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1E703B59" w14:textId="0B25A24B" w:rsidR="006578ED" w:rsidRDefault="00AF6B91">
            <w:pPr>
              <w:pStyle w:val="P68B1DB1-Normal13"/>
              <w:spacing w:after="0" w:line="240" w:lineRule="auto"/>
              <w:jc w:val="center"/>
              <w:rPr>
                <w:rFonts w:eastAsia="MS Mincho" w:cs="Times New Roman"/>
                <w:noProof/>
              </w:rPr>
            </w:pPr>
            <w:r>
              <w:rPr>
                <w:noProof/>
              </w:rPr>
              <w:t>Cel</w:t>
            </w:r>
          </w:p>
        </w:tc>
        <w:tc>
          <w:tcPr>
            <w:tcW w:w="2977" w:type="dxa"/>
            <w:shd w:val="clear" w:color="auto" w:fill="C6EFCE"/>
            <w:noWrap/>
          </w:tcPr>
          <w:p w14:paraId="52A17D01" w14:textId="24CB8A4C" w:rsidR="006578ED" w:rsidRDefault="00A1618E">
            <w:pPr>
              <w:pStyle w:val="P68B1DB1-Normal13"/>
              <w:spacing w:after="0" w:line="240" w:lineRule="auto"/>
              <w:rPr>
                <w:rFonts w:eastAsia="MS Mincho" w:cs="Times New Roman"/>
                <w:noProof/>
              </w:rPr>
            </w:pPr>
            <w:r>
              <w:rPr>
                <w:noProof/>
              </w:rPr>
              <w:t>Budżet przeznaczony na zakupy lub przyznane przez gminy w celu promowania mobilności zgodnej z zasadami zrównoważonego rozwoju</w:t>
            </w:r>
          </w:p>
        </w:tc>
        <w:tc>
          <w:tcPr>
            <w:tcW w:w="1134" w:type="dxa"/>
            <w:shd w:val="clear" w:color="auto" w:fill="C6EFCE"/>
            <w:noWrap/>
          </w:tcPr>
          <w:p w14:paraId="184567A2" w14:textId="77777777" w:rsidR="006578ED" w:rsidRDefault="00A1618E">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39A56447" w14:textId="77777777" w:rsidR="006578ED" w:rsidRDefault="00A1618E">
            <w:pPr>
              <w:pStyle w:val="P68B1DB1-Normal13"/>
              <w:spacing w:after="0" w:line="240" w:lineRule="auto"/>
              <w:jc w:val="right"/>
              <w:rPr>
                <w:rFonts w:eastAsia="MS Mincho" w:cs="Times New Roman"/>
                <w:noProof/>
              </w:rPr>
            </w:pPr>
            <w:r>
              <w:rPr>
                <w:noProof/>
              </w:rPr>
              <w:t>Mln EUR</w:t>
            </w:r>
          </w:p>
        </w:tc>
        <w:tc>
          <w:tcPr>
            <w:tcW w:w="675" w:type="dxa"/>
            <w:shd w:val="clear" w:color="auto" w:fill="C6EFCE"/>
            <w:noWrap/>
          </w:tcPr>
          <w:p w14:paraId="1904DB00"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6A52555B" w14:textId="77777777" w:rsidR="006578ED" w:rsidRDefault="00A1618E">
            <w:pPr>
              <w:pStyle w:val="P68B1DB1-Normal13"/>
              <w:spacing w:after="0" w:line="240" w:lineRule="auto"/>
              <w:jc w:val="right"/>
              <w:rPr>
                <w:rFonts w:eastAsia="MS Mincho" w:cs="Times New Roman"/>
                <w:noProof/>
              </w:rPr>
            </w:pPr>
            <w:r>
              <w:rPr>
                <w:noProof/>
              </w:rPr>
              <w:t>400</w:t>
            </w:r>
          </w:p>
        </w:tc>
        <w:tc>
          <w:tcPr>
            <w:tcW w:w="425" w:type="dxa"/>
            <w:shd w:val="clear" w:color="auto" w:fill="C6EFCE"/>
            <w:noWrap/>
          </w:tcPr>
          <w:p w14:paraId="73A17366" w14:textId="47AB7D8F"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13D50D1D" w14:textId="77777777"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F64CB27" w14:textId="22CB9684" w:rsidR="006578ED" w:rsidRDefault="00A1618E">
            <w:pPr>
              <w:pStyle w:val="P68B1DB1-Normal13"/>
              <w:spacing w:after="0" w:line="240" w:lineRule="auto"/>
              <w:rPr>
                <w:rFonts w:eastAsia="MS Mincho" w:cs="Times New Roman"/>
                <w:noProof/>
              </w:rPr>
            </w:pPr>
            <w:r>
              <w:rPr>
                <w:noProof/>
              </w:rPr>
              <w:t xml:space="preserve">Publikacja informacji o przyznaniu projektu lub dotacji w Dz.U. lub na platformie zamówień publicznych lub realizacja wydatków związanych z zakupami dokonywanymi przez gminy, które przyczyniają się do promowania mobilności zgodnej z zasadami zrównoważonego rozwoju w gminach liczących ponad 50000 mieszkańców i stolic w prowincji oraz, pod pewnymi warunkami, mogą być również przydzielane gminom liczącym </w:t>
            </w:r>
            <w:r w:rsidRPr="00A1618E">
              <w:rPr>
                <w:noProof/>
                <w:lang w:val="pl-PL"/>
              </w:rPr>
              <w:t>od 2</w:t>
            </w:r>
            <w:r>
              <w:rPr>
                <w:noProof/>
              </w:rPr>
              <w:t xml:space="preserve">0000 </w:t>
            </w:r>
            <w:r w:rsidRPr="00A1618E">
              <w:rPr>
                <w:noProof/>
                <w:lang w:val="pl-PL"/>
              </w:rPr>
              <w:t>do 5</w:t>
            </w:r>
            <w:r>
              <w:rPr>
                <w:noProof/>
              </w:rPr>
              <w:t>0000 mieszkańców. Projekty wspierają przypadki: przekształcenie floty transportu publicznego w celu osiągnięcia celów dyrektywy w sprawie ekologicznie czystych pojazdów oraz zgodnie z wytycznymi technicznymi dotyczącymi zasady „nie czyń poważnych szkód” (2021/C58/01); wdrażanie stref niskiej emisji (LEZ) i zarządzanie nimi; cyfryzację transportu publicznego, zarządzanie administracją i poprawę jego dostępności; środków zachęcających do transportu zbiorowego i aktywnej mobilności oraz ustalania priorytetów w tym zakresie.</w:t>
            </w:r>
            <w:r>
              <w:rPr>
                <w:noProof/>
              </w:rPr>
              <w:br/>
              <w:t xml:space="preserve">Kryteria wyboru zapewniają, aby z całkowitego ostatecznego budżetu wynoszącego 1 500 000 000 EUR co najmniej 310 000 000 EUR przyczyniało się do realizacji celów związanych ze zmianą klimatu przy zastosowaniu współczynnika klimatycznego wynoszącego 100 % i co najmniej 1 190 000 000 EUR ze współczynnikiem klimatycznym wynoszącym 40 %, zgodnie z załącznikiem VI do rozporządzenia (UE) 2021/241 w sprawie Instrumentu na rzecz Odbudowy i Zwiększania Odporności. </w:t>
            </w:r>
          </w:p>
        </w:tc>
      </w:tr>
      <w:tr w:rsidR="006578ED" w14:paraId="6450CA45" w14:textId="77777777">
        <w:trPr>
          <w:trHeight w:val="309"/>
        </w:trPr>
        <w:tc>
          <w:tcPr>
            <w:tcW w:w="709" w:type="dxa"/>
            <w:shd w:val="clear" w:color="auto" w:fill="C6EFCE"/>
            <w:noWrap/>
          </w:tcPr>
          <w:p w14:paraId="10315E44" w14:textId="77777777" w:rsidR="006578ED" w:rsidRDefault="00A1618E">
            <w:pPr>
              <w:pStyle w:val="P68B1DB1-Normal13"/>
              <w:spacing w:after="0" w:line="240" w:lineRule="auto"/>
              <w:jc w:val="center"/>
              <w:rPr>
                <w:rFonts w:eastAsia="MS Mincho" w:cs="Times New Roman"/>
                <w:noProof/>
              </w:rPr>
            </w:pPr>
            <w:r>
              <w:rPr>
                <w:noProof/>
              </w:rPr>
              <w:t>5</w:t>
            </w:r>
          </w:p>
        </w:tc>
        <w:tc>
          <w:tcPr>
            <w:tcW w:w="851" w:type="dxa"/>
            <w:shd w:val="clear" w:color="auto" w:fill="C6EFCE"/>
            <w:noWrap/>
          </w:tcPr>
          <w:p w14:paraId="50FA1D49" w14:textId="77777777" w:rsidR="006578ED" w:rsidRDefault="00A1618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26425768" w14:textId="6A716513" w:rsidR="006578ED" w:rsidRDefault="00AF6B91">
            <w:pPr>
              <w:pStyle w:val="P68B1DB1-Normal13"/>
              <w:spacing w:after="0" w:line="240" w:lineRule="auto"/>
              <w:jc w:val="center"/>
              <w:rPr>
                <w:rFonts w:eastAsia="MS Mincho" w:cs="Times New Roman"/>
                <w:noProof/>
              </w:rPr>
            </w:pPr>
            <w:r>
              <w:rPr>
                <w:noProof/>
              </w:rPr>
              <w:t>Cel</w:t>
            </w:r>
          </w:p>
        </w:tc>
        <w:tc>
          <w:tcPr>
            <w:tcW w:w="2977" w:type="dxa"/>
            <w:shd w:val="clear" w:color="auto" w:fill="C6EFCE"/>
            <w:noWrap/>
          </w:tcPr>
          <w:p w14:paraId="5A1FFB1C" w14:textId="352A4928" w:rsidR="006578ED" w:rsidRDefault="00A1618E">
            <w:pPr>
              <w:pStyle w:val="P68B1DB1-Normal13"/>
              <w:spacing w:after="0" w:line="240" w:lineRule="auto"/>
              <w:rPr>
                <w:rFonts w:eastAsia="MS Mincho" w:cs="Times New Roman"/>
                <w:noProof/>
              </w:rPr>
            </w:pPr>
            <w:r>
              <w:rPr>
                <w:noProof/>
              </w:rPr>
              <w:t xml:space="preserve">Budżet przeznaczony na zakupy lub przyznany przez wspólnoty autonomiczne w wysokości co najmniej 900 mln EUR w celu promowania mobilności zgodnej z zasadami zrównoważonego rozwoju </w:t>
            </w:r>
          </w:p>
        </w:tc>
        <w:tc>
          <w:tcPr>
            <w:tcW w:w="1134" w:type="dxa"/>
            <w:shd w:val="clear" w:color="auto" w:fill="C6EFCE"/>
            <w:noWrap/>
          </w:tcPr>
          <w:p w14:paraId="17F14235" w14:textId="77777777" w:rsidR="006578ED" w:rsidRDefault="006578ED">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1D85A759" w14:textId="77777777" w:rsidR="006578ED" w:rsidRDefault="00A1618E">
            <w:pPr>
              <w:pStyle w:val="P68B1DB1-Normal13"/>
              <w:spacing w:after="0" w:line="240" w:lineRule="auto"/>
              <w:jc w:val="right"/>
              <w:rPr>
                <w:rFonts w:eastAsia="MS Mincho" w:cs="Times New Roman"/>
                <w:noProof/>
              </w:rPr>
            </w:pPr>
            <w:r>
              <w:rPr>
                <w:noProof/>
              </w:rPr>
              <w:t>Mln EUR</w:t>
            </w:r>
          </w:p>
        </w:tc>
        <w:tc>
          <w:tcPr>
            <w:tcW w:w="675" w:type="dxa"/>
            <w:shd w:val="clear" w:color="auto" w:fill="C6EFCE"/>
            <w:noWrap/>
          </w:tcPr>
          <w:p w14:paraId="2B71CEBC"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4814CE20" w14:textId="77777777" w:rsidR="006578ED" w:rsidRDefault="00A1618E">
            <w:pPr>
              <w:pStyle w:val="P68B1DB1-Normal13"/>
              <w:spacing w:after="0" w:line="240" w:lineRule="auto"/>
              <w:jc w:val="right"/>
              <w:rPr>
                <w:rFonts w:eastAsia="MS Mincho" w:cs="Times New Roman"/>
                <w:noProof/>
              </w:rPr>
            </w:pPr>
            <w:r>
              <w:rPr>
                <w:noProof/>
              </w:rPr>
              <w:t>900</w:t>
            </w:r>
          </w:p>
        </w:tc>
        <w:tc>
          <w:tcPr>
            <w:tcW w:w="425" w:type="dxa"/>
            <w:shd w:val="clear" w:color="auto" w:fill="C6EFCE"/>
            <w:noWrap/>
          </w:tcPr>
          <w:p w14:paraId="61347492" w14:textId="31B24012"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3468E1CD" w14:textId="77777777" w:rsidR="006578ED" w:rsidRDefault="00A1618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36AB4A5E" w14:textId="0BFD7964" w:rsidR="006578ED" w:rsidRDefault="00A1618E">
            <w:pPr>
              <w:pStyle w:val="P68B1DB1-Normal13"/>
              <w:spacing w:after="0" w:line="240" w:lineRule="auto"/>
              <w:rPr>
                <w:rFonts w:eastAsia="MS Mincho" w:cs="Times New Roman"/>
                <w:noProof/>
              </w:rPr>
            </w:pPr>
            <w:r>
              <w:rPr>
                <w:noProof/>
              </w:rPr>
              <w:t>Publikacja informacji o przyznaniu projektu lub dotacji w Dz.U. lub na platformie zamówień publicznych lub realizacja wydatków związanych z zakupami dokonywanymi przez wspólnoty autonomiczne. Projekty i dotacje przyznane przez wspólnoty autonomiczne oraz zakupy dokonywane przez wspólnoty autonomiczne:</w:t>
            </w:r>
            <w:r>
              <w:rPr>
                <w:noProof/>
              </w:rPr>
              <w:br/>
              <w:t xml:space="preserve">Przyczynianie się do promowania mobilności zgodnej z zasadami zrównoważonego rozwoju poprzez przyznawanie przedsiębiorstwom prywatnym dotacji na: a) złomowanie starych pojazdów ciężkich, b) odnawianie ciężkich flot pasażerskich i towarowych za pomocą czystszych pojazdów, c) kupowanie lub dostosowywanie przyczep lub naczep do transportu intermodalnego lub d) instalowanie punktów ładowania i tankowania paliwa z paliwami alternatywnymi (elektrycznymi, LNG, CNG i biometanem); Dotacje powinny być udzielane zgodnie z wytycznymi technicznymi dotyczącymi zasady „nie czyń poważnych szkód” (2021/C58/01); </w:t>
            </w:r>
            <w:r>
              <w:rPr>
                <w:noProof/>
              </w:rPr>
              <w:br/>
              <w:t xml:space="preserve">lub </w:t>
            </w:r>
            <w:r>
              <w:rPr>
                <w:noProof/>
              </w:rPr>
              <w:br/>
              <w:t>2) przyczynianie się do promowania zrównoważonej mobilności w gminach liczących ponad 50000 mieszkańców i stolic w prowincji poprzez wspieranie w przypadkach a) przekształcania floty transportu publicznego w celu osiągnięcia celów dyrektywy w sprawie ekologicznie czystych pojazdów oraz zgodnie z wytycznymi technicznymi dotyczącymi zasady „nie czyń poważnych szkód” (2021/C58/01); wdrażanie stref niskiej emisji (LEZ) i zarządzanie nimi; cyfryzację transportu publicznego, zarządzanie administracją i poprawę jego dostępności; środki na rzecz priorytetowego traktowania transportu zbiorowego i aktywnej mobilności, w tym infrastruktury rowerowej i korytarzy dla pieszych; zachęcanie do rozpowszechniania w Hiszpanii nowych technologii bezemisyjnych w transporcie; parkowanie w celu odstraszania zlokalizowane poza tymi gminami i stolicami prowincji w celu ograniczenia ruchu do centrum miejskiego; rozbudowę lub modernizację systemu transportu kolejowego, takiego jak metro lub koleje;h) projekty cyfryzacji uzupełniające środki wspierające zrównoważoną mobilność, w tym systemy informacji w czasie rzeczywistym o usługach transportu publicznego, mobilność jako usługa, projekty mające na celu poprawę sprzedaży biletów intermodalnych lub między służbami, projekty wspierające zarządzanie ruchem i mobilnością oraz analizę informacji w celu zwiększenia efektywności systemu transportowego oraz (i) inne projekty, które: I. Przyczynia się do poprawy jakości powietrza, zwłaszcza na obszarach miejskich ii. Zachęcanie do ograniczenia korzystania z transportu prywatnego na obszarach miejskich i metropolitalnych (iii). Zachęcanie do korzystania z transportu publicznego lub iv. Zachęty do aktywnej i zdrowej mobilności</w:t>
            </w:r>
            <w:r w:rsidRPr="00A1618E">
              <w:rPr>
                <w:noProof/>
                <w:lang w:val="pl-PL"/>
              </w:rPr>
              <w:t xml:space="preserve">. </w:t>
            </w:r>
            <w:r w:rsidRPr="00A1618E">
              <w:rPr>
                <w:noProof/>
                <w:lang w:val="pl-PL"/>
              </w:rPr>
              <w:br/>
            </w:r>
            <w:r>
              <w:rPr>
                <w:noProof/>
              </w:rPr>
              <w:t>Kryteria wyboru zapewniają, aby co najmniej 900 000 000 EUR przyczyniało się do realizacji celów związanych ze zmianą klimatu przy zastosowaniu współczynnika klimatycznego wynoszącego 40 % zgodnie z załącznikiem VI do rozporządzenia (UE) 2021/241 w sprawie Instrumentu na rzecz Odbudowy i Zwiększania Odporności.</w:t>
            </w:r>
          </w:p>
        </w:tc>
      </w:tr>
      <w:tr w:rsidR="006578ED" w14:paraId="437C6033" w14:textId="77777777">
        <w:trPr>
          <w:trHeight w:val="309"/>
        </w:trPr>
        <w:tc>
          <w:tcPr>
            <w:tcW w:w="709" w:type="dxa"/>
            <w:shd w:val="clear" w:color="auto" w:fill="C6EFCE"/>
            <w:noWrap/>
          </w:tcPr>
          <w:p w14:paraId="0A6C95E8" w14:textId="77777777" w:rsidR="006578ED" w:rsidRDefault="00A1618E">
            <w:pPr>
              <w:pStyle w:val="P68B1DB1-Normal13"/>
              <w:spacing w:after="0" w:line="240" w:lineRule="auto"/>
              <w:jc w:val="center"/>
              <w:rPr>
                <w:rFonts w:eastAsia="MS Mincho" w:cs="Times New Roman"/>
                <w:noProof/>
              </w:rPr>
            </w:pPr>
            <w:r>
              <w:rPr>
                <w:noProof/>
              </w:rPr>
              <w:t>6</w:t>
            </w:r>
          </w:p>
        </w:tc>
        <w:tc>
          <w:tcPr>
            <w:tcW w:w="851" w:type="dxa"/>
            <w:shd w:val="clear" w:color="auto" w:fill="C6EFCE"/>
            <w:noWrap/>
          </w:tcPr>
          <w:p w14:paraId="02BF9AC9" w14:textId="77777777" w:rsidR="006578ED" w:rsidRDefault="00A1618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0BA1B8A9" w14:textId="36E4BB47" w:rsidR="006578ED" w:rsidRDefault="00AF6B91">
            <w:pPr>
              <w:pStyle w:val="P68B1DB1-Normal13"/>
              <w:spacing w:after="0" w:line="240" w:lineRule="auto"/>
              <w:jc w:val="center"/>
              <w:rPr>
                <w:rFonts w:eastAsia="MS Mincho" w:cs="Times New Roman"/>
                <w:noProof/>
              </w:rPr>
            </w:pPr>
            <w:r>
              <w:rPr>
                <w:noProof/>
              </w:rPr>
              <w:t>Cel</w:t>
            </w:r>
          </w:p>
        </w:tc>
        <w:tc>
          <w:tcPr>
            <w:tcW w:w="2977" w:type="dxa"/>
            <w:shd w:val="clear" w:color="auto" w:fill="C6EFCE"/>
            <w:noWrap/>
          </w:tcPr>
          <w:p w14:paraId="5635E23E" w14:textId="27CAE26B" w:rsidR="006578ED" w:rsidRDefault="00A1618E">
            <w:pPr>
              <w:pStyle w:val="P68B1DB1-Normal13"/>
              <w:spacing w:after="0" w:line="240" w:lineRule="auto"/>
              <w:rPr>
                <w:rFonts w:eastAsia="MS Mincho" w:cs="Times New Roman"/>
                <w:noProof/>
              </w:rPr>
            </w:pPr>
            <w:r>
              <w:rPr>
                <w:noProof/>
              </w:rPr>
              <w:t xml:space="preserve">Ukończone projekty promujące zrównoważoną mobilność, w tym na obszarach miejskich i metropolitalnych </w:t>
            </w:r>
          </w:p>
        </w:tc>
        <w:tc>
          <w:tcPr>
            <w:tcW w:w="1134" w:type="dxa"/>
            <w:shd w:val="clear" w:color="auto" w:fill="C6EFCE"/>
            <w:noWrap/>
          </w:tcPr>
          <w:p w14:paraId="6C3553DB" w14:textId="77777777" w:rsidR="006578ED" w:rsidRDefault="006578ED">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54DEE654" w14:textId="77777777" w:rsidR="006578ED" w:rsidRDefault="00A1618E">
            <w:pPr>
              <w:pStyle w:val="P68B1DB1-Normal13"/>
              <w:spacing w:after="0" w:line="240" w:lineRule="auto"/>
              <w:jc w:val="right"/>
              <w:rPr>
                <w:rFonts w:eastAsia="MS Mincho" w:cs="Times New Roman"/>
                <w:noProof/>
              </w:rPr>
            </w:pPr>
            <w:r>
              <w:rPr>
                <w:noProof/>
              </w:rPr>
              <w:t>Liczba</w:t>
            </w:r>
          </w:p>
        </w:tc>
        <w:tc>
          <w:tcPr>
            <w:tcW w:w="675" w:type="dxa"/>
            <w:shd w:val="clear" w:color="auto" w:fill="C6EFCE"/>
            <w:noWrap/>
          </w:tcPr>
          <w:p w14:paraId="06370268"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0763F3C0" w14:textId="77777777" w:rsidR="006578ED" w:rsidRDefault="00A1618E">
            <w:pPr>
              <w:pStyle w:val="P68B1DB1-Normal13"/>
              <w:spacing w:after="0" w:line="240" w:lineRule="auto"/>
              <w:jc w:val="right"/>
              <w:rPr>
                <w:rFonts w:eastAsia="MS Mincho" w:cs="Times New Roman"/>
                <w:noProof/>
              </w:rPr>
            </w:pPr>
            <w:r>
              <w:rPr>
                <w:noProof/>
              </w:rPr>
              <w:t>25</w:t>
            </w:r>
          </w:p>
        </w:tc>
        <w:tc>
          <w:tcPr>
            <w:tcW w:w="425" w:type="dxa"/>
            <w:shd w:val="clear" w:color="auto" w:fill="C6EFCE"/>
            <w:noWrap/>
          </w:tcPr>
          <w:p w14:paraId="208AC76C" w14:textId="1DD16A7F"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07113655" w14:textId="77777777" w:rsidR="006578ED" w:rsidRDefault="00A1618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3A5E01EB" w14:textId="754F8C40" w:rsidR="006578ED" w:rsidRDefault="00A1618E">
            <w:pPr>
              <w:pStyle w:val="P68B1DB1-Normal13"/>
              <w:spacing w:after="0" w:line="240" w:lineRule="auto"/>
              <w:rPr>
                <w:rFonts w:eastAsia="MS Mincho" w:cs="Times New Roman"/>
                <w:noProof/>
              </w:rPr>
            </w:pPr>
            <w:r>
              <w:rPr>
                <w:noProof/>
              </w:rPr>
              <w:t xml:space="preserve">Ukończono co najmniej 25 projektów mających na celu promowanie mobilności zgodnej z zasadami zrównoważonego rozwoju </w:t>
            </w:r>
            <w:r w:rsidRPr="00A1618E">
              <w:rPr>
                <w:noProof/>
                <w:lang w:val="pl-PL"/>
              </w:rPr>
              <w:t>na 1</w:t>
            </w:r>
            <w:r>
              <w:rPr>
                <w:noProof/>
              </w:rPr>
              <w:t xml:space="preserve">50 obszarach miejskich i metropolitalnych liczących ponad 50000 mieszkańców oraz, pod pewnymi warunkami, na obszarach miejskich </w:t>
            </w:r>
            <w:r w:rsidRPr="00A1618E">
              <w:rPr>
                <w:noProof/>
                <w:lang w:val="pl-PL"/>
              </w:rPr>
              <w:t>od 2</w:t>
            </w:r>
            <w:r>
              <w:rPr>
                <w:noProof/>
              </w:rPr>
              <w:t xml:space="preserve">0000 </w:t>
            </w:r>
            <w:r w:rsidRPr="00A1618E">
              <w:rPr>
                <w:noProof/>
                <w:lang w:val="pl-PL"/>
              </w:rPr>
              <w:t>do 5</w:t>
            </w:r>
            <w:r>
              <w:rPr>
                <w:noProof/>
              </w:rPr>
              <w:t>0000 mieszkańców.</w:t>
            </w:r>
            <w:r>
              <w:rPr>
                <w:noProof/>
              </w:rPr>
              <w:br/>
              <w:t>Projekty promujące mobilność zgodną z zasadami zrównoważonego rozwoju są następujące:</w:t>
            </w:r>
            <w:r>
              <w:rPr>
                <w:noProof/>
              </w:rPr>
              <w:br/>
              <w:t xml:space="preserve">I. Projekty opracowane przez gminy, które przyczynią się do promowania mobilności zgodnej z zasadami zrównoważonego rozwoju w gminach liczących ponad 50000 mieszkańców i stolic w prowincji oraz, pod pewnymi warunkami, mogą być również przydzielane gminom liczącym </w:t>
            </w:r>
            <w:r w:rsidRPr="00A1618E">
              <w:rPr>
                <w:noProof/>
                <w:lang w:val="pl-PL"/>
              </w:rPr>
              <w:t>od 2</w:t>
            </w:r>
            <w:r>
              <w:rPr>
                <w:noProof/>
              </w:rPr>
              <w:t xml:space="preserve">0000 </w:t>
            </w:r>
            <w:r w:rsidRPr="00A1618E">
              <w:rPr>
                <w:noProof/>
                <w:lang w:val="pl-PL"/>
              </w:rPr>
              <w:t>do 5</w:t>
            </w:r>
            <w:r>
              <w:rPr>
                <w:noProof/>
              </w:rPr>
              <w:t xml:space="preserve">0000 mieszkańców. Projekty wspierają przypadki: przekształcenie floty transportu publicznego w celu osiągnięcia celów dyrektywy w sprawie ekologicznie czystych pojazdów i zgodnie z wytycznymi technicznymi dotyczącymi zasady „nie czyń poważnych szkód” (2021/C58/01); wdrażanie stref niskiej emisji (LEZ) i zarządzanie nimi; cyfryzację transportu publicznego, zarządzanie administracją i poprawę jego dostępności; środków zachęcających do transportu zbiorowego i aktywnej mobilności oraz ustalania priorytetów w tym zakresie. Projekt jest zestawem określonych, wzajemnie powiązanych i skoordynowanych działań, prowadzonych we wspólnym celu w określonych terminach i granicach budżetowych, w odniesieniu do których wnioskuje się o dotację. Jedna gmina może zrealizować więcej niż jeden projekt. </w:t>
            </w:r>
            <w:r>
              <w:rPr>
                <w:noProof/>
              </w:rPr>
              <w:br/>
              <w:t xml:space="preserve">II. Projekty promujące zrównoważoną mobilność na obszarach miejskich i metropolitalnych opracowane przez wspólnoty autonomiczne. Dotyczy to typologii a)–i) określonych w inwestycji C1.I1. Obszary miejskie i metropolitalne definiuje się jako gminy liczące ponad 50000 mieszkańców, stolice prowincji oraz, pod pewnymi warunkami, gminy liczące ponad 20000 mieszkańców. Każda wspólnota autonomiczna może opracować więcej niż jeden projekt. </w:t>
            </w:r>
            <w:r>
              <w:rPr>
                <w:noProof/>
              </w:rPr>
              <w:br/>
              <w:t>III. Projekty zapewniające dotacje dla przedsiębiorstw prywatnych w celu a) złomowania starych pojazdów ciężkich, b) odnowienia ciężkich flot pasażerskich i towarowych za pomocą czystszych pojazdów, c) zakupu lub dostosowania przyczep lub naczep do transportu intermodalnego lub d) instalowania punktów tankowania paliwa z paliwami alternatywnymi (elektrycznymi, LNG, CNG i biometanem). Należy dotować co najmniej 3000 pojazdów ciężkich lub punktów uzupełniania paliwa, aby uznać, że zakończono jeden projekt promujący zrównoważoną mobilność. Dotacje powinny być udzielane zgodnie z wytycznymi technicznymi dotyczącymi zasady „nie czyń poważnych szkód” (2021/C58/01).</w:t>
            </w:r>
          </w:p>
        </w:tc>
      </w:tr>
      <w:tr w:rsidR="006578ED" w14:paraId="6CFEF6B8" w14:textId="77777777">
        <w:trPr>
          <w:trHeight w:val="309"/>
        </w:trPr>
        <w:tc>
          <w:tcPr>
            <w:tcW w:w="709" w:type="dxa"/>
            <w:shd w:val="clear" w:color="auto" w:fill="C6EFCE"/>
            <w:noWrap/>
          </w:tcPr>
          <w:p w14:paraId="1583577A" w14:textId="77777777" w:rsidR="006578ED" w:rsidRDefault="00A1618E">
            <w:pPr>
              <w:pStyle w:val="P68B1DB1-Normal13"/>
              <w:spacing w:after="0" w:line="240" w:lineRule="auto"/>
              <w:jc w:val="center"/>
              <w:rPr>
                <w:rFonts w:eastAsia="MS Mincho" w:cs="Times New Roman"/>
                <w:noProof/>
              </w:rPr>
            </w:pPr>
            <w:r>
              <w:rPr>
                <w:noProof/>
              </w:rPr>
              <w:t>7</w:t>
            </w:r>
          </w:p>
        </w:tc>
        <w:tc>
          <w:tcPr>
            <w:tcW w:w="851" w:type="dxa"/>
            <w:shd w:val="clear" w:color="auto" w:fill="C6EFCE"/>
            <w:noWrap/>
          </w:tcPr>
          <w:p w14:paraId="6ABF99B7" w14:textId="77777777" w:rsidR="006578ED" w:rsidRDefault="00A1618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5378FCBD" w14:textId="2562CE28" w:rsidR="006578ED" w:rsidRDefault="00AF6B91">
            <w:pPr>
              <w:pStyle w:val="P68B1DB1-Normal13"/>
              <w:spacing w:after="0" w:line="240" w:lineRule="auto"/>
              <w:jc w:val="center"/>
              <w:rPr>
                <w:rFonts w:eastAsia="MS Mincho" w:cs="Times New Roman"/>
                <w:noProof/>
              </w:rPr>
            </w:pPr>
            <w:r>
              <w:rPr>
                <w:noProof/>
              </w:rPr>
              <w:t>Cel</w:t>
            </w:r>
          </w:p>
        </w:tc>
        <w:tc>
          <w:tcPr>
            <w:tcW w:w="2977" w:type="dxa"/>
            <w:shd w:val="clear" w:color="auto" w:fill="C6EFCE"/>
            <w:noWrap/>
          </w:tcPr>
          <w:p w14:paraId="6384B0C8" w14:textId="74192540" w:rsidR="006578ED" w:rsidRDefault="00A1618E">
            <w:pPr>
              <w:pStyle w:val="P68B1DB1-Normal13"/>
              <w:spacing w:after="0" w:line="240" w:lineRule="auto"/>
              <w:rPr>
                <w:rFonts w:eastAsia="MS Mincho" w:cs="Times New Roman"/>
                <w:noProof/>
              </w:rPr>
            </w:pPr>
            <w:r>
              <w:rPr>
                <w:noProof/>
              </w:rPr>
              <w:t>Budżet przeznaczony na zakupy lub przyznane przez gminy w celu promowania mobilności zgodnej z zasadami zrównoważonego rozwoju</w:t>
            </w:r>
          </w:p>
        </w:tc>
        <w:tc>
          <w:tcPr>
            <w:tcW w:w="1134" w:type="dxa"/>
            <w:shd w:val="clear" w:color="auto" w:fill="C6EFCE"/>
            <w:noWrap/>
          </w:tcPr>
          <w:p w14:paraId="747EC57D" w14:textId="77777777" w:rsidR="006578ED" w:rsidRDefault="00A1618E">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3E6B4EA3" w14:textId="77777777" w:rsidR="006578ED" w:rsidRDefault="00A1618E">
            <w:pPr>
              <w:pStyle w:val="P68B1DB1-Normal13"/>
              <w:spacing w:after="0" w:line="240" w:lineRule="auto"/>
              <w:jc w:val="right"/>
              <w:rPr>
                <w:rFonts w:eastAsia="MS Mincho" w:cs="Times New Roman"/>
                <w:noProof/>
              </w:rPr>
            </w:pPr>
            <w:r>
              <w:rPr>
                <w:noProof/>
              </w:rPr>
              <w:t>Mln EUR</w:t>
            </w:r>
          </w:p>
        </w:tc>
        <w:tc>
          <w:tcPr>
            <w:tcW w:w="675" w:type="dxa"/>
            <w:shd w:val="clear" w:color="auto" w:fill="C6EFCE"/>
            <w:noWrap/>
          </w:tcPr>
          <w:p w14:paraId="35B4915E" w14:textId="77777777" w:rsidR="006578ED" w:rsidRDefault="00A1618E">
            <w:pPr>
              <w:pStyle w:val="P68B1DB1-Normal13"/>
              <w:spacing w:after="0" w:line="240" w:lineRule="auto"/>
              <w:jc w:val="right"/>
              <w:rPr>
                <w:rFonts w:eastAsia="MS Mincho" w:cs="Times New Roman"/>
                <w:noProof/>
              </w:rPr>
            </w:pPr>
            <w:r>
              <w:rPr>
                <w:noProof/>
              </w:rPr>
              <w:t>400</w:t>
            </w:r>
          </w:p>
        </w:tc>
        <w:tc>
          <w:tcPr>
            <w:tcW w:w="742" w:type="dxa"/>
            <w:shd w:val="clear" w:color="auto" w:fill="C6EFCE"/>
            <w:noWrap/>
          </w:tcPr>
          <w:p w14:paraId="6B3987EE" w14:textId="77777777" w:rsidR="006578ED" w:rsidRDefault="00A1618E">
            <w:pPr>
              <w:pStyle w:val="P68B1DB1-Normal13"/>
              <w:spacing w:after="0" w:line="240" w:lineRule="auto"/>
              <w:jc w:val="right"/>
              <w:rPr>
                <w:rFonts w:eastAsia="MS Mincho" w:cs="Times New Roman"/>
                <w:noProof/>
              </w:rPr>
            </w:pPr>
            <w:r>
              <w:rPr>
                <w:noProof/>
              </w:rPr>
              <w:t>1 500</w:t>
            </w:r>
          </w:p>
        </w:tc>
        <w:tc>
          <w:tcPr>
            <w:tcW w:w="425" w:type="dxa"/>
            <w:shd w:val="clear" w:color="auto" w:fill="C6EFCE"/>
            <w:noWrap/>
          </w:tcPr>
          <w:p w14:paraId="1920ABED" w14:textId="49FE14F6"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15705D52" w14:textId="77777777" w:rsidR="006578ED" w:rsidRDefault="00A1618E">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12B8CB70" w14:textId="4B6BB012" w:rsidR="006578ED" w:rsidRDefault="00A1618E">
            <w:pPr>
              <w:pStyle w:val="P68B1DB1-Normal13"/>
              <w:spacing w:after="0" w:line="240" w:lineRule="auto"/>
              <w:rPr>
                <w:rFonts w:cs="Times New Roman"/>
                <w:noProof/>
              </w:rPr>
            </w:pPr>
            <w:r>
              <w:rPr>
                <w:noProof/>
              </w:rPr>
              <w:t xml:space="preserve">Publikacja informacji o przyznaniu projektu lub dotacji w Dz.U. lub na platformie zamówień publicznych lub realizacja wydatków związanych z zakupami dokonywanymi przez gminy, które przyczyniają się do promowania mobilności zgodnej z zasadami zrównoważonego rozwoju w gminach liczących ponad 50000 mieszkańców i stolic w prowincji oraz, pod pewnymi warunkami, mogą być również przydzielane gminom liczącym </w:t>
            </w:r>
            <w:r w:rsidRPr="00A1618E">
              <w:rPr>
                <w:noProof/>
                <w:lang w:val="pl-PL"/>
              </w:rPr>
              <w:t>od 2</w:t>
            </w:r>
            <w:r>
              <w:rPr>
                <w:noProof/>
              </w:rPr>
              <w:t xml:space="preserve">0000 </w:t>
            </w:r>
            <w:r w:rsidRPr="00A1618E">
              <w:rPr>
                <w:noProof/>
                <w:lang w:val="pl-PL"/>
              </w:rPr>
              <w:t>do 5</w:t>
            </w:r>
            <w:r>
              <w:rPr>
                <w:noProof/>
              </w:rPr>
              <w:t>0000 mieszkańców. Projekty wspierają przypadki: przekształcenie floty transportu publicznego w celu osiągnięcia celów dyrektywy w sprawie ekologicznie czystych pojazdów oraz zgodnie z wytycznymi technicznymi dotyczącymi zasady „nie czyń poważnych szkód” (2021/C58/01); wdrażanie stref niskiej emisji (LEZ) i zarządzanie nimi; cyfryzację transportu publicznego, zarządzanie administracją i poprawę jego dostępności; środków zachęcających do transportu zbiorowego i aktywnej mobilności oraz ustalania priorytetów w tym zakresie.</w:t>
            </w:r>
            <w:r>
              <w:rPr>
                <w:noProof/>
              </w:rPr>
              <w:br/>
              <w:t>Kryteria wyboru zapewniają, aby co najmniej 310 000 000 EUR przyczyniało się do realizacji celów związanych ze zmianą klimatu przy zastosowaniu współczynnika klimatycznego wynoszącego 100 % i co najmniej 1 190 000 000 EUR ze współczynnikiem klimatycznym wynoszącym 40 %, zgodnie z załącznikiem VI do rozporządzenia (UE) 2021/241 w sprawie Instrumentu na rzecz Odbudowy i Zwiększania Odporności.</w:t>
            </w:r>
          </w:p>
          <w:p w14:paraId="56614773" w14:textId="4CBD94BF" w:rsidR="006578ED" w:rsidRDefault="00A1618E">
            <w:pPr>
              <w:pStyle w:val="P68B1DB1-Normal13"/>
              <w:spacing w:after="0" w:line="240" w:lineRule="auto"/>
              <w:rPr>
                <w:rFonts w:eastAsia="MS Mincho" w:cs="Times New Roman"/>
                <w:noProof/>
              </w:rPr>
            </w:pPr>
            <w:r>
              <w:rPr>
                <w:noProof/>
              </w:rPr>
              <w:t>(Podstawa: 31 grudnia 20</w:t>
            </w:r>
            <w:r w:rsidRPr="00A1618E">
              <w:rPr>
                <w:noProof/>
                <w:lang w:val="pl-PL"/>
              </w:rPr>
              <w:t>22 r.</w:t>
            </w:r>
            <w:r>
              <w:rPr>
                <w:noProof/>
              </w:rPr>
              <w:t>)</w:t>
            </w:r>
          </w:p>
        </w:tc>
      </w:tr>
      <w:tr w:rsidR="006578ED" w14:paraId="2B46CC03" w14:textId="77777777">
        <w:trPr>
          <w:trHeight w:val="309"/>
        </w:trPr>
        <w:tc>
          <w:tcPr>
            <w:tcW w:w="709" w:type="dxa"/>
            <w:shd w:val="clear" w:color="auto" w:fill="C6EFCE"/>
            <w:noWrap/>
          </w:tcPr>
          <w:p w14:paraId="0C4BD8EC" w14:textId="77777777" w:rsidR="006578ED" w:rsidRDefault="00A1618E">
            <w:pPr>
              <w:pStyle w:val="P68B1DB1-Normal13"/>
              <w:spacing w:after="0" w:line="240" w:lineRule="auto"/>
              <w:jc w:val="center"/>
              <w:rPr>
                <w:rFonts w:eastAsia="MS Mincho" w:cs="Times New Roman"/>
                <w:noProof/>
              </w:rPr>
            </w:pPr>
            <w:r>
              <w:rPr>
                <w:noProof/>
              </w:rPr>
              <w:t>8</w:t>
            </w:r>
          </w:p>
        </w:tc>
        <w:tc>
          <w:tcPr>
            <w:tcW w:w="851" w:type="dxa"/>
            <w:shd w:val="clear" w:color="auto" w:fill="C6EFCE"/>
            <w:noWrap/>
          </w:tcPr>
          <w:p w14:paraId="54CD94C0" w14:textId="77777777" w:rsidR="006578ED" w:rsidRDefault="00A1618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6DD05A5F" w14:textId="06587ADF" w:rsidR="006578ED" w:rsidRDefault="00AF6B91">
            <w:pPr>
              <w:pStyle w:val="P68B1DB1-Normal13"/>
              <w:spacing w:after="0" w:line="240" w:lineRule="auto"/>
              <w:jc w:val="center"/>
              <w:rPr>
                <w:rFonts w:eastAsia="MS Mincho" w:cs="Times New Roman"/>
                <w:noProof/>
              </w:rPr>
            </w:pPr>
            <w:r>
              <w:rPr>
                <w:noProof/>
              </w:rPr>
              <w:t>Cel</w:t>
            </w:r>
          </w:p>
        </w:tc>
        <w:tc>
          <w:tcPr>
            <w:tcW w:w="2977" w:type="dxa"/>
            <w:shd w:val="clear" w:color="auto" w:fill="C6EFCE"/>
            <w:noWrap/>
          </w:tcPr>
          <w:p w14:paraId="6D27D96F" w14:textId="77777777" w:rsidR="006578ED" w:rsidRDefault="00A1618E">
            <w:pPr>
              <w:pStyle w:val="P68B1DB1-Normal13"/>
              <w:spacing w:after="0" w:line="240" w:lineRule="auto"/>
              <w:rPr>
                <w:rFonts w:eastAsia="MS Mincho" w:cs="Times New Roman"/>
                <w:noProof/>
              </w:rPr>
            </w:pPr>
            <w:r>
              <w:rPr>
                <w:noProof/>
              </w:rPr>
              <w:t>Przyznawanie nagród za projekty mające na celu poprawę nowych form mobilności na drogach państwowych</w:t>
            </w:r>
          </w:p>
        </w:tc>
        <w:tc>
          <w:tcPr>
            <w:tcW w:w="1134" w:type="dxa"/>
            <w:shd w:val="clear" w:color="auto" w:fill="C6EFCE"/>
            <w:noWrap/>
          </w:tcPr>
          <w:p w14:paraId="2CCD58F5" w14:textId="77777777" w:rsidR="006578ED" w:rsidRDefault="00A1618E">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5CDA7C8E" w14:textId="77777777" w:rsidR="006578ED" w:rsidRDefault="00A1618E">
            <w:pPr>
              <w:pStyle w:val="P68B1DB1-Normal13"/>
              <w:spacing w:after="0" w:line="240" w:lineRule="auto"/>
              <w:jc w:val="right"/>
              <w:rPr>
                <w:rFonts w:eastAsia="MS Mincho" w:cs="Times New Roman"/>
                <w:noProof/>
              </w:rPr>
            </w:pPr>
            <w:r>
              <w:rPr>
                <w:noProof/>
              </w:rPr>
              <w:t>Mln EUR</w:t>
            </w:r>
          </w:p>
        </w:tc>
        <w:tc>
          <w:tcPr>
            <w:tcW w:w="675" w:type="dxa"/>
            <w:shd w:val="clear" w:color="auto" w:fill="C6EFCE"/>
            <w:noWrap/>
          </w:tcPr>
          <w:p w14:paraId="44E92D5A"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407DA066" w14:textId="77777777" w:rsidR="006578ED" w:rsidRDefault="00A1618E">
            <w:pPr>
              <w:pStyle w:val="P68B1DB1-Normal13"/>
              <w:spacing w:after="0" w:line="240" w:lineRule="auto"/>
              <w:jc w:val="right"/>
              <w:rPr>
                <w:rFonts w:eastAsia="MS Mincho" w:cs="Times New Roman"/>
                <w:noProof/>
              </w:rPr>
            </w:pPr>
            <w:r>
              <w:rPr>
                <w:noProof/>
              </w:rPr>
              <w:t>105</w:t>
            </w:r>
          </w:p>
        </w:tc>
        <w:tc>
          <w:tcPr>
            <w:tcW w:w="425" w:type="dxa"/>
            <w:shd w:val="clear" w:color="auto" w:fill="C6EFCE"/>
            <w:noWrap/>
          </w:tcPr>
          <w:p w14:paraId="2E7F4691" w14:textId="75877DD2"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63C2F686" w14:textId="77777777" w:rsidR="006578ED" w:rsidRDefault="00A1618E">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49786851" w14:textId="5D0C2A34" w:rsidR="006578ED" w:rsidRDefault="00A1618E">
            <w:pPr>
              <w:pStyle w:val="P68B1DB1-Normal13"/>
              <w:spacing w:after="0" w:line="240" w:lineRule="auto"/>
              <w:rPr>
                <w:rFonts w:eastAsia="MS Mincho" w:cs="Times New Roman"/>
                <w:noProof/>
              </w:rPr>
            </w:pPr>
            <w:r>
              <w:rPr>
                <w:noProof/>
              </w:rPr>
              <w:t xml:space="preserve">Opublikowanie w Dz.U. lub na platformie zamówień publicznych przyznania przez Ministerstwo Transportu, Mobilności i Agendy Miejskiej co najmniej 105 mln EUR na projekty mające na celu poprawę dróg państwowych na obszarach miejskich. Projekty polegają na budowie nowych pasów rowerowych, powiększeniu stref dla pieszych, ograniczeniu parkingów lub poprawie bezpieczeństwa na przejściach. </w:t>
            </w:r>
          </w:p>
        </w:tc>
      </w:tr>
      <w:tr w:rsidR="006578ED" w14:paraId="6E445ACD" w14:textId="77777777">
        <w:trPr>
          <w:trHeight w:val="309"/>
        </w:trPr>
        <w:tc>
          <w:tcPr>
            <w:tcW w:w="709" w:type="dxa"/>
            <w:shd w:val="clear" w:color="auto" w:fill="C6EFCE"/>
            <w:noWrap/>
          </w:tcPr>
          <w:p w14:paraId="560D47BC" w14:textId="77777777" w:rsidR="006578ED" w:rsidRDefault="00A1618E">
            <w:pPr>
              <w:pStyle w:val="P68B1DB1-Normal13"/>
              <w:spacing w:after="0" w:line="240" w:lineRule="auto"/>
              <w:jc w:val="center"/>
              <w:rPr>
                <w:rFonts w:eastAsia="MS Mincho" w:cs="Times New Roman"/>
                <w:noProof/>
              </w:rPr>
            </w:pPr>
            <w:r>
              <w:rPr>
                <w:noProof/>
              </w:rPr>
              <w:t>9</w:t>
            </w:r>
          </w:p>
        </w:tc>
        <w:tc>
          <w:tcPr>
            <w:tcW w:w="851" w:type="dxa"/>
            <w:shd w:val="clear" w:color="auto" w:fill="C6EFCE"/>
            <w:noWrap/>
          </w:tcPr>
          <w:p w14:paraId="5685DD6C" w14:textId="77777777" w:rsidR="006578ED" w:rsidRDefault="00A1618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688C682D" w14:textId="441BCD37" w:rsidR="006578ED" w:rsidRDefault="00AF6B91">
            <w:pPr>
              <w:pStyle w:val="P68B1DB1-Normal13"/>
              <w:spacing w:after="0" w:line="240" w:lineRule="auto"/>
              <w:jc w:val="center"/>
              <w:rPr>
                <w:rFonts w:eastAsia="MS Mincho" w:cs="Times New Roman"/>
                <w:noProof/>
              </w:rPr>
            </w:pPr>
            <w:r>
              <w:rPr>
                <w:noProof/>
              </w:rPr>
              <w:t>Cel</w:t>
            </w:r>
          </w:p>
        </w:tc>
        <w:tc>
          <w:tcPr>
            <w:tcW w:w="2977" w:type="dxa"/>
            <w:shd w:val="clear" w:color="auto" w:fill="C6EFCE"/>
            <w:noWrap/>
          </w:tcPr>
          <w:p w14:paraId="6D856E6C" w14:textId="6A5F6D6D" w:rsidR="006578ED" w:rsidRDefault="00A1618E">
            <w:pPr>
              <w:pStyle w:val="P68B1DB1-Normal13"/>
              <w:spacing w:after="0" w:line="240" w:lineRule="auto"/>
              <w:rPr>
                <w:rFonts w:eastAsia="MS Mincho" w:cs="Times New Roman"/>
                <w:noProof/>
              </w:rPr>
            </w:pPr>
            <w:r>
              <w:rPr>
                <w:noProof/>
              </w:rPr>
              <w:t>Ukończone projekty promujące zrównoważoną mobilność, w tym na obszarach miejskich i metropolitalnych</w:t>
            </w:r>
          </w:p>
        </w:tc>
        <w:tc>
          <w:tcPr>
            <w:tcW w:w="1134" w:type="dxa"/>
            <w:shd w:val="clear" w:color="auto" w:fill="C6EFCE"/>
            <w:noWrap/>
          </w:tcPr>
          <w:p w14:paraId="32EA0A8A" w14:textId="77777777" w:rsidR="006578ED" w:rsidRDefault="00A1618E">
            <w:pPr>
              <w:pStyle w:val="P68B1DB1-Normal13"/>
              <w:spacing w:after="0" w:line="240" w:lineRule="auto"/>
              <w:jc w:val="center"/>
              <w:rPr>
                <w:rFonts w:eastAsia="MS Mincho" w:cs="Times New Roman"/>
                <w:noProof/>
              </w:rPr>
            </w:pPr>
            <w:r>
              <w:rPr>
                <w:noProof/>
              </w:rPr>
              <w:t> </w:t>
            </w:r>
          </w:p>
        </w:tc>
        <w:tc>
          <w:tcPr>
            <w:tcW w:w="851" w:type="dxa"/>
            <w:shd w:val="clear" w:color="auto" w:fill="C6EFCE"/>
            <w:noWrap/>
          </w:tcPr>
          <w:p w14:paraId="57A319C9" w14:textId="77777777" w:rsidR="006578ED" w:rsidRDefault="00A1618E">
            <w:pPr>
              <w:pStyle w:val="P68B1DB1-Normal13"/>
              <w:spacing w:after="0" w:line="240" w:lineRule="auto"/>
              <w:jc w:val="right"/>
              <w:rPr>
                <w:rFonts w:eastAsia="MS Mincho" w:cs="Times New Roman"/>
                <w:noProof/>
              </w:rPr>
            </w:pPr>
            <w:r>
              <w:rPr>
                <w:noProof/>
              </w:rPr>
              <w:t>Liczba</w:t>
            </w:r>
          </w:p>
        </w:tc>
        <w:tc>
          <w:tcPr>
            <w:tcW w:w="675" w:type="dxa"/>
            <w:shd w:val="clear" w:color="auto" w:fill="C6EFCE"/>
            <w:noWrap/>
          </w:tcPr>
          <w:p w14:paraId="27212311" w14:textId="77777777" w:rsidR="006578ED" w:rsidRDefault="00A1618E">
            <w:pPr>
              <w:pStyle w:val="P68B1DB1-Normal13"/>
              <w:spacing w:after="0" w:line="240" w:lineRule="auto"/>
              <w:jc w:val="right"/>
              <w:rPr>
                <w:rFonts w:eastAsia="MS Mincho" w:cs="Times New Roman"/>
                <w:noProof/>
              </w:rPr>
            </w:pPr>
            <w:r>
              <w:rPr>
                <w:noProof/>
              </w:rPr>
              <w:t>25</w:t>
            </w:r>
          </w:p>
        </w:tc>
        <w:tc>
          <w:tcPr>
            <w:tcW w:w="742" w:type="dxa"/>
            <w:shd w:val="clear" w:color="auto" w:fill="C6EFCE"/>
            <w:noWrap/>
          </w:tcPr>
          <w:p w14:paraId="3D4AFDFF" w14:textId="77777777" w:rsidR="006578ED" w:rsidRDefault="00A1618E">
            <w:pPr>
              <w:pStyle w:val="P68B1DB1-Normal13"/>
              <w:spacing w:after="0" w:line="240" w:lineRule="auto"/>
              <w:jc w:val="right"/>
              <w:rPr>
                <w:rFonts w:eastAsia="MS Mincho" w:cs="Times New Roman"/>
                <w:noProof/>
              </w:rPr>
            </w:pPr>
            <w:r>
              <w:rPr>
                <w:noProof/>
              </w:rPr>
              <w:t>280</w:t>
            </w:r>
          </w:p>
        </w:tc>
        <w:tc>
          <w:tcPr>
            <w:tcW w:w="425" w:type="dxa"/>
            <w:shd w:val="clear" w:color="auto" w:fill="C6EFCE"/>
            <w:noWrap/>
          </w:tcPr>
          <w:p w14:paraId="00FEE9AC" w14:textId="2503B90F"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4E570A48" w14:textId="77777777" w:rsidR="006578ED" w:rsidRDefault="00A1618E">
            <w:pPr>
              <w:pStyle w:val="P68B1DB1-Normal13"/>
              <w:spacing w:after="0" w:line="240" w:lineRule="auto"/>
              <w:jc w:val="center"/>
              <w:rPr>
                <w:rFonts w:eastAsia="MS Mincho" w:cs="Times New Roman"/>
                <w:noProof/>
              </w:rPr>
            </w:pPr>
            <w:r>
              <w:rPr>
                <w:noProof/>
              </w:rPr>
              <w:t>2025</w:t>
            </w:r>
          </w:p>
        </w:tc>
        <w:tc>
          <w:tcPr>
            <w:tcW w:w="5387" w:type="dxa"/>
            <w:shd w:val="clear" w:color="auto" w:fill="C6EFCE"/>
            <w:noWrap/>
          </w:tcPr>
          <w:p w14:paraId="7C3238BB" w14:textId="54798E67" w:rsidR="006578ED" w:rsidRDefault="00A1618E">
            <w:pPr>
              <w:pStyle w:val="P68B1DB1-Normal13"/>
              <w:spacing w:after="0" w:line="240" w:lineRule="auto"/>
              <w:rPr>
                <w:rFonts w:cs="Times New Roman"/>
                <w:noProof/>
              </w:rPr>
            </w:pPr>
            <w:r>
              <w:rPr>
                <w:noProof/>
              </w:rPr>
              <w:t xml:space="preserve">Ukończono co najmniej 280 projektów mających na celu promowanie mobilności zgodnej z zasadami zrównoważonego rozwoju, w tym na obszarach miejskich i metropolitalnych, aby przyczynić się do zrównoważonej mobilności </w:t>
            </w:r>
            <w:r w:rsidRPr="00A1618E">
              <w:rPr>
                <w:noProof/>
                <w:lang w:val="pl-PL"/>
              </w:rPr>
              <w:t>na 1</w:t>
            </w:r>
            <w:r>
              <w:rPr>
                <w:noProof/>
              </w:rPr>
              <w:t xml:space="preserve">50 obszarach miejskich liczących ponad 50000 mieszkańców oraz, pod pewnymi warunkami, na obszarach miejskich </w:t>
            </w:r>
            <w:r w:rsidRPr="00A1618E">
              <w:rPr>
                <w:noProof/>
                <w:lang w:val="pl-PL"/>
              </w:rPr>
              <w:t>od 2</w:t>
            </w:r>
            <w:r>
              <w:rPr>
                <w:noProof/>
              </w:rPr>
              <w:t xml:space="preserve">0000 </w:t>
            </w:r>
            <w:r w:rsidRPr="00A1618E">
              <w:rPr>
                <w:noProof/>
                <w:lang w:val="pl-PL"/>
              </w:rPr>
              <w:t>do 5</w:t>
            </w:r>
            <w:r>
              <w:rPr>
                <w:noProof/>
              </w:rPr>
              <w:t>0000 mieszkańców.</w:t>
            </w:r>
            <w:r>
              <w:rPr>
                <w:noProof/>
              </w:rPr>
              <w:br/>
              <w:t>Projekty promujące mobilność zgodną z zasadami zrównoważonego rozwoju są następujące:</w:t>
            </w:r>
            <w:r>
              <w:rPr>
                <w:noProof/>
              </w:rPr>
              <w:br/>
              <w:t xml:space="preserve">I. Projekty opracowane przez gminy, które przyczynią się do promowania mobilności zgodnej z zasadami zrównoważonego rozwoju w gminach liczących ponad 50000 mieszkańców i stolic w prowincji oraz, pod pewnymi warunkami, mogą być również przydzielane gminom liczącym </w:t>
            </w:r>
            <w:r w:rsidRPr="00A1618E">
              <w:rPr>
                <w:noProof/>
                <w:lang w:val="pl-PL"/>
              </w:rPr>
              <w:t>od 2</w:t>
            </w:r>
            <w:r>
              <w:rPr>
                <w:noProof/>
              </w:rPr>
              <w:t xml:space="preserve">0000 </w:t>
            </w:r>
            <w:r w:rsidRPr="00A1618E">
              <w:rPr>
                <w:noProof/>
                <w:lang w:val="pl-PL"/>
              </w:rPr>
              <w:t>do 5</w:t>
            </w:r>
            <w:r>
              <w:rPr>
                <w:noProof/>
              </w:rPr>
              <w:t xml:space="preserve">0000 mieszkańców. Projekty wspierają przypadki: przekształcenie floty transportu publicznego w celu osiągnięcia celów dyrektywy w sprawie ekologicznie czystych pojazdów i zgodnie z wytycznymi technicznymi dotyczącymi zasady „nie czyń poważnych szkód” (2021/C58/01); wdrażanie stref niskiej emisji (LEZ) i zarządzanie nimi; cyfryzację transportu publicznego, zarządzanie administracją i poprawę jego dostępności; środków zachęcających do transportu zbiorowego i aktywnej mobilności oraz ustalania priorytetów w tym zakresie. Projekt jest zestawem określonych, wzajemnie powiązanych i skoordynowanych działań, prowadzonych we wspólnym celu w określonych terminach i granicach budżetowych, w odniesieniu do których wnioskuje się o dotację. Jedna gmina może zrealizować więcej niż jeden projekt. </w:t>
            </w:r>
            <w:r>
              <w:rPr>
                <w:noProof/>
              </w:rPr>
              <w:br/>
              <w:t xml:space="preserve">II. Projekty promujące zrównoważoną mobilność na obszarach miejskich i metropolitalnych opracowane przez wspólnoty autonomiczne. Dotyczy to typologii a)–i) określonych w inwestycji C1.I1. Obszary miejskie i metropolitalne definiuje się jako gminy liczące ponad 50000 mieszkańców, stolice prowincji oraz gminy liczące pod pewnymi warunkami ponad 20000. Każda wspólnota autonomiczna może opracować więcej niż jeden projekt. </w:t>
            </w:r>
            <w:r>
              <w:rPr>
                <w:noProof/>
              </w:rPr>
              <w:br/>
              <w:t>III. Projekty zapewniające dotacje dla przedsiębiorstw prywatnych w celu a) złomowania starych pojazdów ciężkich, b) odnowienia ciężkich flot pasażerskich i towarowych za pomocą czystszych pojazdów, c) zakupu lub dostosowania przyczep lub naczep do transportu intermodalnego lub d) instalowania punktów tankowania paliwa z paliwami alternatywnymi (elektrycznymi, LNG, CNG i biometanem). Należy dotować co najmniej 3000 pojazdów ciężkich lub punktów tankowania paliwa lub punktów tankowania paliwa, aby uznać, że ukończono jeden projekt promujący zrównoważoną mobilność. Dotacje powinny być udzielane zgodnie z wytycznymi technicznymi dotyczącymi zasady „nie czyń poważnych szkód” (2021/C58/01).</w:t>
            </w:r>
          </w:p>
          <w:p w14:paraId="2DB75BAA" w14:textId="626566D0" w:rsidR="006578ED" w:rsidRDefault="00A1618E">
            <w:pPr>
              <w:pStyle w:val="P68B1DB1-Normal13"/>
              <w:spacing w:after="0" w:line="240" w:lineRule="auto"/>
              <w:rPr>
                <w:rFonts w:eastAsia="MS Mincho" w:cs="Times New Roman"/>
                <w:noProof/>
              </w:rPr>
            </w:pPr>
            <w:r>
              <w:rPr>
                <w:noProof/>
              </w:rPr>
              <w:t>(Podstawa: 31 grudnia 20</w:t>
            </w:r>
            <w:r w:rsidRPr="00A1618E">
              <w:rPr>
                <w:noProof/>
                <w:lang w:val="pl-PL"/>
              </w:rPr>
              <w:t>23 r.</w:t>
            </w:r>
            <w:r>
              <w:rPr>
                <w:noProof/>
              </w:rPr>
              <w:t>)</w:t>
            </w:r>
          </w:p>
        </w:tc>
      </w:tr>
      <w:tr w:rsidR="006578ED" w14:paraId="3BE7E18D" w14:textId="77777777">
        <w:trPr>
          <w:trHeight w:val="309"/>
        </w:trPr>
        <w:tc>
          <w:tcPr>
            <w:tcW w:w="709" w:type="dxa"/>
            <w:shd w:val="clear" w:color="auto" w:fill="C6EFCE"/>
            <w:noWrap/>
          </w:tcPr>
          <w:p w14:paraId="4F5C66B4" w14:textId="77777777" w:rsidR="006578ED" w:rsidRDefault="00A1618E">
            <w:pPr>
              <w:pStyle w:val="P68B1DB1-Normal13"/>
              <w:spacing w:after="0" w:line="240" w:lineRule="auto"/>
              <w:jc w:val="center"/>
              <w:rPr>
                <w:rFonts w:cs="Times New Roman"/>
                <w:noProof/>
              </w:rPr>
            </w:pPr>
            <w:r>
              <w:rPr>
                <w:noProof/>
              </w:rPr>
              <w:t>10</w:t>
            </w:r>
          </w:p>
        </w:tc>
        <w:tc>
          <w:tcPr>
            <w:tcW w:w="851" w:type="dxa"/>
            <w:shd w:val="clear" w:color="auto" w:fill="C6EFCE"/>
            <w:noWrap/>
          </w:tcPr>
          <w:p w14:paraId="26DCE787" w14:textId="77777777" w:rsidR="006578ED" w:rsidRDefault="00A1618E">
            <w:pPr>
              <w:pStyle w:val="P68B1DB1-Normal13"/>
              <w:spacing w:after="0" w:line="240" w:lineRule="auto"/>
              <w:jc w:val="center"/>
              <w:rPr>
                <w:rFonts w:eastAsia="MS Mincho" w:cs="Times New Roman"/>
                <w:noProof/>
              </w:rPr>
            </w:pPr>
            <w:r>
              <w:rPr>
                <w:noProof/>
              </w:rPr>
              <w:t>C1.I1</w:t>
            </w:r>
          </w:p>
        </w:tc>
        <w:tc>
          <w:tcPr>
            <w:tcW w:w="850" w:type="dxa"/>
            <w:shd w:val="clear" w:color="auto" w:fill="C6EFCE"/>
            <w:noWrap/>
          </w:tcPr>
          <w:p w14:paraId="03AADB3F" w14:textId="1261657B"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4CA9B203" w14:textId="2B215669" w:rsidR="006578ED" w:rsidRDefault="00A1618E">
            <w:pPr>
              <w:pStyle w:val="P68B1DB1-Normal13"/>
              <w:spacing w:after="0" w:line="240" w:lineRule="auto"/>
              <w:rPr>
                <w:rFonts w:cs="Times New Roman"/>
                <w:noProof/>
              </w:rPr>
            </w:pPr>
            <w:r>
              <w:rPr>
                <w:noProof/>
              </w:rPr>
              <w:t>Poprawa dróg państwowych na obszarach miejskich w celu promowania nowych form mobilności</w:t>
            </w:r>
          </w:p>
        </w:tc>
        <w:tc>
          <w:tcPr>
            <w:tcW w:w="1134" w:type="dxa"/>
            <w:shd w:val="clear" w:color="auto" w:fill="C6EFCE"/>
            <w:noWrap/>
          </w:tcPr>
          <w:p w14:paraId="251F0AC9"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32ED97DD" w14:textId="77777777" w:rsidR="006578ED" w:rsidRDefault="00A1618E">
            <w:pPr>
              <w:pStyle w:val="P68B1DB1-Normal13"/>
              <w:spacing w:after="0" w:line="240" w:lineRule="auto"/>
              <w:jc w:val="right"/>
              <w:rPr>
                <w:rFonts w:eastAsia="MS Mincho" w:cs="Times New Roman"/>
                <w:noProof/>
              </w:rPr>
            </w:pPr>
            <w:r>
              <w:rPr>
                <w:noProof/>
              </w:rPr>
              <w:t xml:space="preserve">Liczba </w:t>
            </w:r>
          </w:p>
        </w:tc>
        <w:tc>
          <w:tcPr>
            <w:tcW w:w="675" w:type="dxa"/>
            <w:shd w:val="clear" w:color="auto" w:fill="C6EFCE"/>
            <w:noWrap/>
          </w:tcPr>
          <w:p w14:paraId="5FE7C0C4"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58DB03FB" w14:textId="77777777" w:rsidR="006578ED" w:rsidRDefault="00A1618E">
            <w:pPr>
              <w:pStyle w:val="P68B1DB1-Normal13"/>
              <w:spacing w:after="0" w:line="240" w:lineRule="auto"/>
              <w:jc w:val="right"/>
              <w:rPr>
                <w:rFonts w:eastAsia="MS Mincho" w:cs="Times New Roman"/>
                <w:noProof/>
              </w:rPr>
            </w:pPr>
            <w:r>
              <w:rPr>
                <w:noProof/>
              </w:rPr>
              <w:t>34</w:t>
            </w:r>
          </w:p>
        </w:tc>
        <w:tc>
          <w:tcPr>
            <w:tcW w:w="425" w:type="dxa"/>
            <w:shd w:val="clear" w:color="auto" w:fill="C6EFCE"/>
            <w:noWrap/>
          </w:tcPr>
          <w:p w14:paraId="653499C9" w14:textId="7F89CF91"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2DFC998C" w14:textId="77777777" w:rsidR="006578ED" w:rsidRDefault="00A1618E">
            <w:pPr>
              <w:pStyle w:val="P68B1DB1-Normal13"/>
              <w:spacing w:after="0" w:line="240" w:lineRule="auto"/>
              <w:jc w:val="center"/>
              <w:rPr>
                <w:rFonts w:cs="Times New Roman"/>
                <w:noProof/>
              </w:rPr>
            </w:pPr>
            <w:r>
              <w:rPr>
                <w:noProof/>
              </w:rPr>
              <w:t>2025</w:t>
            </w:r>
          </w:p>
        </w:tc>
        <w:tc>
          <w:tcPr>
            <w:tcW w:w="5387" w:type="dxa"/>
            <w:shd w:val="clear" w:color="auto" w:fill="C6EFCE"/>
            <w:noWrap/>
          </w:tcPr>
          <w:p w14:paraId="4E9B6E6B" w14:textId="530B6313" w:rsidR="006578ED" w:rsidRDefault="00A1618E">
            <w:pPr>
              <w:pStyle w:val="P68B1DB1-Normal13"/>
              <w:spacing w:after="0" w:line="240" w:lineRule="auto"/>
              <w:rPr>
                <w:rFonts w:cs="Times New Roman"/>
                <w:noProof/>
              </w:rPr>
            </w:pPr>
            <w:r>
              <w:rPr>
                <w:noProof/>
              </w:rPr>
              <w:t>Co najmniej 34 drogi państwowe na obszarach miejskich poprawiły się dzięki budowie nowych pasów rowerowych, powiększeniu stref dla pieszych, ograniczeniu parkingów lub poprawie bezpieczeństwa na przejściach.</w:t>
            </w:r>
            <w:r>
              <w:rPr>
                <w:noProof/>
              </w:rPr>
              <w:br/>
              <w:t>Inwestycje te realizowane są przez Ministerstwo Transportu, Mobilności i Agendy Miejskiej na drogach będących jego własnością na obszarach miejskich.</w:t>
            </w:r>
          </w:p>
        </w:tc>
      </w:tr>
      <w:tr w:rsidR="006578ED" w14:paraId="1865056C" w14:textId="77777777">
        <w:trPr>
          <w:trHeight w:val="309"/>
        </w:trPr>
        <w:tc>
          <w:tcPr>
            <w:tcW w:w="709" w:type="dxa"/>
            <w:shd w:val="clear" w:color="auto" w:fill="C6EFCE"/>
            <w:noWrap/>
          </w:tcPr>
          <w:p w14:paraId="49C4C087" w14:textId="77777777" w:rsidR="006578ED" w:rsidRDefault="00A1618E">
            <w:pPr>
              <w:pStyle w:val="P68B1DB1-Normal13"/>
              <w:spacing w:after="0" w:line="240" w:lineRule="auto"/>
              <w:jc w:val="center"/>
              <w:rPr>
                <w:rFonts w:cs="Times New Roman"/>
                <w:noProof/>
              </w:rPr>
            </w:pPr>
            <w:r>
              <w:rPr>
                <w:noProof/>
              </w:rPr>
              <w:t>11</w:t>
            </w:r>
          </w:p>
        </w:tc>
        <w:tc>
          <w:tcPr>
            <w:tcW w:w="851" w:type="dxa"/>
            <w:shd w:val="clear" w:color="auto" w:fill="C6EFCE"/>
            <w:noWrap/>
          </w:tcPr>
          <w:p w14:paraId="1C1AE0DF" w14:textId="77777777" w:rsidR="006578ED" w:rsidRDefault="00A1618E">
            <w:pPr>
              <w:pStyle w:val="P68B1DB1-Normal13"/>
              <w:spacing w:after="0" w:line="240" w:lineRule="auto"/>
              <w:jc w:val="center"/>
              <w:rPr>
                <w:rFonts w:eastAsia="MS Mincho" w:cs="Times New Roman"/>
                <w:noProof/>
              </w:rPr>
            </w:pPr>
            <w:r>
              <w:rPr>
                <w:noProof/>
              </w:rPr>
              <w:t>C1.I2</w:t>
            </w:r>
          </w:p>
        </w:tc>
        <w:tc>
          <w:tcPr>
            <w:tcW w:w="850" w:type="dxa"/>
            <w:shd w:val="clear" w:color="auto" w:fill="C6EFCE"/>
            <w:noWrap/>
          </w:tcPr>
          <w:p w14:paraId="4E319F15" w14:textId="691D227D"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60B0BAD3" w14:textId="77777777" w:rsidR="006578ED" w:rsidRDefault="00A1618E">
            <w:pPr>
              <w:pStyle w:val="P68B1DB1-Normal13"/>
              <w:spacing w:after="0" w:line="240" w:lineRule="auto"/>
              <w:rPr>
                <w:rFonts w:cs="Times New Roman"/>
                <w:noProof/>
              </w:rPr>
            </w:pPr>
            <w:r>
              <w:rPr>
                <w:noProof/>
              </w:rPr>
              <w:t xml:space="preserve">Przyznawanie innowacyjnych projektów promujących elektromobilność </w:t>
            </w:r>
          </w:p>
        </w:tc>
        <w:tc>
          <w:tcPr>
            <w:tcW w:w="1134" w:type="dxa"/>
            <w:shd w:val="clear" w:color="auto" w:fill="C6EFCE"/>
            <w:noWrap/>
          </w:tcPr>
          <w:p w14:paraId="76FC1474"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3FA9A43F" w14:textId="77777777" w:rsidR="006578ED" w:rsidRDefault="00A1618E">
            <w:pPr>
              <w:pStyle w:val="P68B1DB1-Normal13"/>
              <w:spacing w:after="0" w:line="240" w:lineRule="auto"/>
              <w:jc w:val="right"/>
              <w:rPr>
                <w:rFonts w:eastAsia="MS Mincho" w:cs="Times New Roman"/>
                <w:noProof/>
              </w:rPr>
            </w:pPr>
            <w:r>
              <w:rPr>
                <w:noProof/>
              </w:rPr>
              <w:t>Mln EUR</w:t>
            </w:r>
          </w:p>
        </w:tc>
        <w:tc>
          <w:tcPr>
            <w:tcW w:w="675" w:type="dxa"/>
            <w:shd w:val="clear" w:color="auto" w:fill="C6EFCE"/>
            <w:noWrap/>
          </w:tcPr>
          <w:p w14:paraId="6A0ED356"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55CE6AE6" w14:textId="77777777" w:rsidR="006578ED" w:rsidRDefault="00A1618E">
            <w:pPr>
              <w:pStyle w:val="P68B1DB1-Normal13"/>
              <w:spacing w:after="0" w:line="240" w:lineRule="auto"/>
              <w:jc w:val="right"/>
              <w:rPr>
                <w:rFonts w:eastAsia="MS Mincho" w:cs="Times New Roman"/>
                <w:noProof/>
              </w:rPr>
            </w:pPr>
            <w:r>
              <w:rPr>
                <w:noProof/>
              </w:rPr>
              <w:t>250</w:t>
            </w:r>
          </w:p>
        </w:tc>
        <w:tc>
          <w:tcPr>
            <w:tcW w:w="425" w:type="dxa"/>
            <w:shd w:val="clear" w:color="auto" w:fill="C6EFCE"/>
            <w:noWrap/>
          </w:tcPr>
          <w:p w14:paraId="6AE7DF88" w14:textId="6EB6D658"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5C774669" w14:textId="77777777" w:rsidR="006578ED" w:rsidRDefault="00A1618E">
            <w:pPr>
              <w:pStyle w:val="P68B1DB1-Normal13"/>
              <w:spacing w:after="0" w:line="240" w:lineRule="auto"/>
              <w:jc w:val="center"/>
              <w:rPr>
                <w:rFonts w:cs="Times New Roman"/>
                <w:noProof/>
              </w:rPr>
            </w:pPr>
            <w:r>
              <w:rPr>
                <w:noProof/>
              </w:rPr>
              <w:t>2023</w:t>
            </w:r>
          </w:p>
        </w:tc>
        <w:tc>
          <w:tcPr>
            <w:tcW w:w="5387" w:type="dxa"/>
            <w:shd w:val="clear" w:color="auto" w:fill="C6EFCE"/>
            <w:noWrap/>
          </w:tcPr>
          <w:p w14:paraId="66D51A76" w14:textId="3961C1A8" w:rsidR="006578ED" w:rsidRDefault="00A1618E">
            <w:pPr>
              <w:pStyle w:val="P68B1DB1-Normal13"/>
              <w:spacing w:after="0" w:line="240" w:lineRule="auto"/>
              <w:rPr>
                <w:rFonts w:cs="Times New Roman"/>
                <w:noProof/>
              </w:rPr>
            </w:pPr>
            <w:r>
              <w:rPr>
                <w:noProof/>
              </w:rPr>
              <w:t>Ogłoszenie o przyznaniu co najmniej 250 mln EUR w zaproszeniach do składania wniosków wspierających innowacyjne projekty promujące elektromobilność. Kryteria wyboru stosowane w zaproszeniach do składania wniosków dotyczących przydziału programów pomocy obejmują: zmniejszenie wpływu na środowisko, (ii) rentowność techniczno-gospodarcza, iii) poziom rozwoju technologicznego i innowacji, iv) powtarzalność i skalowalność, v) tworzenie miejsc pracy związane z projektem, bezpośredni i pośredni oraz vi) wpływ na łańcuch wartości i synergię z innymi sektorami, głównie przemysłowymi.</w:t>
            </w:r>
          </w:p>
        </w:tc>
      </w:tr>
      <w:tr w:rsidR="006578ED" w14:paraId="3D285064" w14:textId="77777777">
        <w:trPr>
          <w:trHeight w:val="309"/>
        </w:trPr>
        <w:tc>
          <w:tcPr>
            <w:tcW w:w="709" w:type="dxa"/>
            <w:shd w:val="clear" w:color="auto" w:fill="C6EFCE"/>
            <w:noWrap/>
          </w:tcPr>
          <w:p w14:paraId="768DD0EE" w14:textId="77777777" w:rsidR="006578ED" w:rsidRDefault="00A1618E">
            <w:pPr>
              <w:pStyle w:val="P68B1DB1-Normal13"/>
              <w:spacing w:after="0" w:line="240" w:lineRule="auto"/>
              <w:jc w:val="center"/>
              <w:rPr>
                <w:rFonts w:cs="Times New Roman"/>
                <w:noProof/>
              </w:rPr>
            </w:pPr>
            <w:r>
              <w:rPr>
                <w:noProof/>
              </w:rPr>
              <w:t>12</w:t>
            </w:r>
          </w:p>
        </w:tc>
        <w:tc>
          <w:tcPr>
            <w:tcW w:w="851" w:type="dxa"/>
            <w:shd w:val="clear" w:color="auto" w:fill="C6EFCE"/>
            <w:noWrap/>
          </w:tcPr>
          <w:p w14:paraId="39952C5A" w14:textId="77777777" w:rsidR="006578ED" w:rsidRDefault="00A1618E">
            <w:pPr>
              <w:pStyle w:val="P68B1DB1-Normal13"/>
              <w:spacing w:after="0" w:line="240" w:lineRule="auto"/>
              <w:jc w:val="center"/>
              <w:rPr>
                <w:rFonts w:eastAsia="MS Mincho" w:cs="Times New Roman"/>
                <w:noProof/>
              </w:rPr>
            </w:pPr>
            <w:r>
              <w:rPr>
                <w:noProof/>
              </w:rPr>
              <w:t>C1.I2</w:t>
            </w:r>
          </w:p>
        </w:tc>
        <w:tc>
          <w:tcPr>
            <w:tcW w:w="850" w:type="dxa"/>
            <w:shd w:val="clear" w:color="auto" w:fill="C6EFCE"/>
            <w:noWrap/>
          </w:tcPr>
          <w:p w14:paraId="2AD35622" w14:textId="242BBD3D"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089C1D3D" w14:textId="58F8D74A" w:rsidR="006578ED" w:rsidRDefault="00A1618E">
            <w:pPr>
              <w:pStyle w:val="P68B1DB1-Normal13"/>
              <w:spacing w:after="0" w:line="240" w:lineRule="auto"/>
              <w:rPr>
                <w:rFonts w:cs="Times New Roman"/>
                <w:noProof/>
              </w:rPr>
            </w:pPr>
            <w:r>
              <w:rPr>
                <w:noProof/>
              </w:rPr>
              <w:t xml:space="preserve">Rejestracja wniosków o dotacje na pojazdy elektryczne i punkty ładowania </w:t>
            </w:r>
          </w:p>
        </w:tc>
        <w:tc>
          <w:tcPr>
            <w:tcW w:w="1134" w:type="dxa"/>
            <w:shd w:val="clear" w:color="auto" w:fill="C6EFCE"/>
            <w:noWrap/>
          </w:tcPr>
          <w:p w14:paraId="681A5A31"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5602EA02" w14:textId="77777777" w:rsidR="006578ED" w:rsidRDefault="00A1618E">
            <w:pPr>
              <w:pStyle w:val="P68B1DB1-Normal13"/>
              <w:spacing w:after="0" w:line="240" w:lineRule="auto"/>
              <w:jc w:val="right"/>
              <w:rPr>
                <w:rFonts w:eastAsia="MS Mincho" w:cs="Times New Roman"/>
                <w:noProof/>
              </w:rPr>
            </w:pPr>
            <w:r>
              <w:rPr>
                <w:noProof/>
              </w:rPr>
              <w:t>Liczba</w:t>
            </w:r>
          </w:p>
        </w:tc>
        <w:tc>
          <w:tcPr>
            <w:tcW w:w="675" w:type="dxa"/>
            <w:shd w:val="clear" w:color="auto" w:fill="C6EFCE"/>
            <w:noWrap/>
          </w:tcPr>
          <w:p w14:paraId="48D83142"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28E68559" w14:textId="77777777" w:rsidR="006578ED" w:rsidRDefault="00A1618E">
            <w:pPr>
              <w:pStyle w:val="P68B1DB1-Normal13"/>
              <w:spacing w:after="0" w:line="240" w:lineRule="auto"/>
              <w:jc w:val="right"/>
              <w:rPr>
                <w:rFonts w:eastAsia="MS Mincho" w:cs="Times New Roman"/>
                <w:noProof/>
              </w:rPr>
            </w:pPr>
            <w:r>
              <w:rPr>
                <w:noProof/>
              </w:rPr>
              <w:t>238 000</w:t>
            </w:r>
          </w:p>
        </w:tc>
        <w:tc>
          <w:tcPr>
            <w:tcW w:w="425" w:type="dxa"/>
            <w:shd w:val="clear" w:color="auto" w:fill="C6EFCE"/>
            <w:noWrap/>
          </w:tcPr>
          <w:p w14:paraId="2E966F0A" w14:textId="69098DE7"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5C2EA5F4" w14:textId="77777777" w:rsidR="006578ED" w:rsidRDefault="00A1618E">
            <w:pPr>
              <w:pStyle w:val="P68B1DB1-Normal13"/>
              <w:spacing w:after="0" w:line="240" w:lineRule="auto"/>
              <w:jc w:val="center"/>
              <w:rPr>
                <w:rFonts w:cs="Times New Roman"/>
                <w:noProof/>
              </w:rPr>
            </w:pPr>
            <w:r>
              <w:rPr>
                <w:noProof/>
              </w:rPr>
              <w:t>2023</w:t>
            </w:r>
          </w:p>
        </w:tc>
        <w:tc>
          <w:tcPr>
            <w:tcW w:w="5387" w:type="dxa"/>
            <w:shd w:val="clear" w:color="auto" w:fill="C6EFCE"/>
            <w:noWrap/>
          </w:tcPr>
          <w:p w14:paraId="04A15AE2" w14:textId="12BC97FF" w:rsidR="006578ED" w:rsidRDefault="00A1618E">
            <w:pPr>
              <w:pStyle w:val="P68B1DB1-Normal13"/>
              <w:spacing w:after="0" w:line="240" w:lineRule="auto"/>
              <w:rPr>
                <w:rFonts w:eastAsia="Times New Roman" w:cs="Times New Roman"/>
                <w:noProof/>
              </w:rPr>
            </w:pPr>
            <w:r>
              <w:rPr>
                <w:noProof/>
              </w:rPr>
              <w:t>Rejestracja wniosków o dotacje dla co najmniej 238000 pojazdów elektrycznych (BEV, REEV, PHEV lub FCEV) oraz punktów ładowania, w tym m.in. punktów ładowania przeznaczonych do użytku publicznego na obszarach mieszkalnych oraz w sieci dróg krajowych, przy czym wnioski te obejmują pojazdy elektryczne lub punkty ładowania bez rozróżnienia.</w:t>
            </w:r>
          </w:p>
        </w:tc>
      </w:tr>
      <w:tr w:rsidR="006578ED" w14:paraId="1FAA9ED6" w14:textId="77777777">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DF6B60" w14:textId="3343F026" w:rsidR="006578ED" w:rsidRDefault="00A1618E">
            <w:pPr>
              <w:pStyle w:val="P68B1DB1-Normal13"/>
              <w:spacing w:after="0" w:line="240" w:lineRule="auto"/>
              <w:jc w:val="center"/>
              <w:rPr>
                <w:rFonts w:cs="Times New Roman"/>
                <w:noProof/>
              </w:rPr>
            </w:pPr>
            <w:r>
              <w:rPr>
                <w:noProof/>
              </w:rPr>
              <w:t>419</w:t>
            </w: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7C270981" w14:textId="0A184257" w:rsidR="006578ED" w:rsidRDefault="00A1618E">
            <w:pPr>
              <w:pStyle w:val="P68B1DB1-Normal13"/>
              <w:spacing w:after="0" w:line="240" w:lineRule="auto"/>
              <w:jc w:val="center"/>
              <w:rPr>
                <w:rFonts w:cs="Times New Roman"/>
                <w:noProof/>
              </w:rPr>
            </w:pPr>
            <w:r>
              <w:rPr>
                <w:noProof/>
              </w:rPr>
              <w:t>C1.I2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0A48C95" w14:textId="170460C4" w:rsidR="006578ED" w:rsidRDefault="00AF6B91">
            <w:pPr>
              <w:pStyle w:val="P68B1DB1-Normal13"/>
              <w:spacing w:after="0" w:line="240" w:lineRule="auto"/>
              <w:jc w:val="center"/>
              <w:rPr>
                <w:rFonts w:cs="Times New Roman"/>
                <w:noProof/>
              </w:rPr>
            </w:pPr>
            <w:r>
              <w:rPr>
                <w:noProof/>
              </w:rPr>
              <w:t>Cel</w:t>
            </w:r>
          </w:p>
        </w:tc>
        <w:tc>
          <w:tcPr>
            <w:tcW w:w="2977" w:type="dxa"/>
            <w:tcBorders>
              <w:top w:val="single" w:sz="4" w:space="0" w:color="auto"/>
              <w:left w:val="single" w:sz="4" w:space="0" w:color="auto"/>
              <w:bottom w:val="single" w:sz="4" w:space="0" w:color="auto"/>
              <w:right w:val="single" w:sz="4" w:space="0" w:color="auto"/>
            </w:tcBorders>
            <w:shd w:val="clear" w:color="auto" w:fill="C6EFCE"/>
            <w:noWrap/>
          </w:tcPr>
          <w:p w14:paraId="43B1E734" w14:textId="44E601CF" w:rsidR="006578ED" w:rsidRDefault="00A1618E">
            <w:pPr>
              <w:pStyle w:val="P68B1DB1-Normal13"/>
              <w:spacing w:after="0" w:line="240" w:lineRule="auto"/>
              <w:rPr>
                <w:rFonts w:cs="Times New Roman"/>
                <w:noProof/>
              </w:rPr>
            </w:pPr>
            <w:r>
              <w:rPr>
                <w:noProof/>
              </w:rPr>
              <w:t>Zainstalowane pojazdy elektryczne i punkty ładowania</w:t>
            </w:r>
          </w:p>
        </w:tc>
        <w:tc>
          <w:tcPr>
            <w:tcW w:w="1134" w:type="dxa"/>
            <w:tcBorders>
              <w:top w:val="single" w:sz="4" w:space="0" w:color="auto"/>
              <w:left w:val="single" w:sz="4" w:space="0" w:color="auto"/>
              <w:bottom w:val="single" w:sz="4" w:space="0" w:color="auto"/>
              <w:right w:val="single" w:sz="4" w:space="0" w:color="auto"/>
            </w:tcBorders>
            <w:shd w:val="clear" w:color="auto" w:fill="C6EFCE"/>
            <w:noWrap/>
          </w:tcPr>
          <w:p w14:paraId="1AFF7CC7" w14:textId="77777777" w:rsidR="006578ED" w:rsidRDefault="006578ED">
            <w:pPr>
              <w:spacing w:after="0" w:line="240" w:lineRule="auto"/>
              <w:jc w:val="center"/>
              <w:rPr>
                <w:rFonts w:ascii="Times New Roman" w:hAnsi="Times New Roman" w:cs="Times New Roman"/>
                <w:noProof/>
                <w:sz w:val="18"/>
              </w:rPr>
            </w:pPr>
          </w:p>
        </w:tc>
        <w:tc>
          <w:tcPr>
            <w:tcW w:w="851" w:type="dxa"/>
            <w:tcBorders>
              <w:top w:val="single" w:sz="4" w:space="0" w:color="auto"/>
              <w:left w:val="single" w:sz="4" w:space="0" w:color="auto"/>
              <w:bottom w:val="single" w:sz="4" w:space="0" w:color="auto"/>
              <w:right w:val="single" w:sz="4" w:space="0" w:color="auto"/>
            </w:tcBorders>
            <w:shd w:val="clear" w:color="auto" w:fill="C6EFCE"/>
            <w:noWrap/>
          </w:tcPr>
          <w:p w14:paraId="566296CA" w14:textId="01AE32C3" w:rsidR="006578ED" w:rsidRDefault="00A1618E">
            <w:pPr>
              <w:pStyle w:val="P68B1DB1-Normal13"/>
              <w:spacing w:after="0" w:line="240" w:lineRule="auto"/>
              <w:jc w:val="right"/>
              <w:rPr>
                <w:rFonts w:cs="Times New Roman"/>
                <w:noProof/>
              </w:rPr>
            </w:pPr>
            <w:r>
              <w:rPr>
                <w:noProof/>
              </w:rPr>
              <w:t xml:space="preserve">Liczba </w:t>
            </w:r>
          </w:p>
        </w:tc>
        <w:tc>
          <w:tcPr>
            <w:tcW w:w="675" w:type="dxa"/>
            <w:tcBorders>
              <w:top w:val="single" w:sz="4" w:space="0" w:color="auto"/>
              <w:left w:val="single" w:sz="4" w:space="0" w:color="auto"/>
              <w:bottom w:val="single" w:sz="4" w:space="0" w:color="auto"/>
              <w:right w:val="single" w:sz="4" w:space="0" w:color="auto"/>
            </w:tcBorders>
            <w:shd w:val="clear" w:color="auto" w:fill="C6EFCE"/>
            <w:noWrap/>
          </w:tcPr>
          <w:p w14:paraId="1F3F9B93" w14:textId="6B0B41F7" w:rsidR="006578ED" w:rsidRDefault="00A1618E">
            <w:pPr>
              <w:pStyle w:val="P68B1DB1-Normal13"/>
              <w:spacing w:after="0" w:line="240" w:lineRule="auto"/>
              <w:jc w:val="right"/>
              <w:rPr>
                <w:rFonts w:cs="Times New Roman"/>
                <w:noProof/>
              </w:rPr>
            </w:pPr>
            <w:r>
              <w:rPr>
                <w:noProof/>
              </w:rPr>
              <w:t>0</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66402839" w14:textId="363F3FC3" w:rsidR="006578ED" w:rsidRDefault="00A1618E">
            <w:pPr>
              <w:pStyle w:val="P68B1DB1-Normal13"/>
              <w:spacing w:after="0" w:line="240" w:lineRule="auto"/>
              <w:jc w:val="right"/>
              <w:rPr>
                <w:rFonts w:cs="Times New Roman"/>
                <w:noProof/>
              </w:rPr>
            </w:pPr>
            <w:r>
              <w:rPr>
                <w:noProof/>
              </w:rPr>
              <w:t>238 000</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653FA08" w14:textId="4006D003" w:rsidR="006578ED" w:rsidRDefault="00EC188C">
            <w:pPr>
              <w:pStyle w:val="P68B1DB1-Normal13"/>
              <w:spacing w:after="0" w:line="240" w:lineRule="auto"/>
              <w:jc w:val="center"/>
              <w:rPr>
                <w:rFonts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EABF141" w14:textId="7AA392A8" w:rsidR="006578ED" w:rsidRDefault="00A1618E">
            <w:pPr>
              <w:pStyle w:val="P68B1DB1-Normal13"/>
              <w:spacing w:after="0" w:line="240" w:lineRule="auto"/>
              <w:jc w:val="center"/>
              <w:rPr>
                <w:rFonts w:cs="Times New Roman"/>
                <w:noProof/>
              </w:rPr>
            </w:pPr>
            <w:r>
              <w:rPr>
                <w:noProof/>
              </w:rPr>
              <w:t>2025</w:t>
            </w:r>
          </w:p>
        </w:tc>
        <w:tc>
          <w:tcPr>
            <w:tcW w:w="5387" w:type="dxa"/>
            <w:tcBorders>
              <w:top w:val="single" w:sz="4" w:space="0" w:color="auto"/>
              <w:left w:val="single" w:sz="4" w:space="0" w:color="auto"/>
              <w:bottom w:val="single" w:sz="4" w:space="0" w:color="auto"/>
              <w:right w:val="single" w:sz="4" w:space="0" w:color="auto"/>
            </w:tcBorders>
            <w:shd w:val="clear" w:color="auto" w:fill="C6EFCE"/>
            <w:noWrap/>
          </w:tcPr>
          <w:p w14:paraId="4553171D" w14:textId="49B261A7" w:rsidR="006578ED" w:rsidRDefault="00A1618E">
            <w:pPr>
              <w:pStyle w:val="P68B1DB1-Normal13"/>
              <w:spacing w:after="0" w:line="240" w:lineRule="auto"/>
              <w:rPr>
                <w:rFonts w:cs="Times New Roman"/>
                <w:noProof/>
              </w:rPr>
            </w:pPr>
            <w:r>
              <w:rPr>
                <w:noProof/>
              </w:rPr>
              <w:t>Co najmniej 238000 pojazdów elektrycznych (BEV, REEV, PHEV lub FCEV) oraz punktów ładowania, w tym m.in. punktów ładowania przeznaczonych do użytku publicznego na obszarach mieszkalnych, a także w rozmieszczonej sieci dróg krajowych.</w:t>
            </w:r>
          </w:p>
        </w:tc>
      </w:tr>
      <w:tr w:rsidR="006578ED" w14:paraId="2670B1F8" w14:textId="77777777">
        <w:trPr>
          <w:trHeight w:val="309"/>
        </w:trPr>
        <w:tc>
          <w:tcPr>
            <w:tcW w:w="709" w:type="dxa"/>
            <w:shd w:val="clear" w:color="auto" w:fill="C6EFCE"/>
            <w:noWrap/>
          </w:tcPr>
          <w:p w14:paraId="4EA0E052" w14:textId="77777777" w:rsidR="006578ED" w:rsidRDefault="00A1618E">
            <w:pPr>
              <w:pStyle w:val="P68B1DB1-Normal13"/>
              <w:spacing w:after="0" w:line="240" w:lineRule="auto"/>
              <w:jc w:val="center"/>
              <w:rPr>
                <w:rFonts w:cs="Times New Roman"/>
                <w:noProof/>
              </w:rPr>
            </w:pPr>
            <w:r>
              <w:rPr>
                <w:noProof/>
              </w:rPr>
              <w:t>13</w:t>
            </w:r>
          </w:p>
        </w:tc>
        <w:tc>
          <w:tcPr>
            <w:tcW w:w="851" w:type="dxa"/>
            <w:shd w:val="clear" w:color="auto" w:fill="C6EFCE"/>
            <w:noWrap/>
          </w:tcPr>
          <w:p w14:paraId="0CCA9B62" w14:textId="77777777" w:rsidR="006578ED" w:rsidRDefault="00A1618E">
            <w:pPr>
              <w:pStyle w:val="P68B1DB1-Normal13"/>
              <w:spacing w:after="0" w:line="240" w:lineRule="auto"/>
              <w:jc w:val="center"/>
              <w:rPr>
                <w:rFonts w:eastAsia="MS Mincho" w:cs="Times New Roman"/>
                <w:noProof/>
              </w:rPr>
            </w:pPr>
            <w:r>
              <w:rPr>
                <w:noProof/>
              </w:rPr>
              <w:t>C1.I2</w:t>
            </w:r>
          </w:p>
        </w:tc>
        <w:tc>
          <w:tcPr>
            <w:tcW w:w="850" w:type="dxa"/>
            <w:shd w:val="clear" w:color="auto" w:fill="C6EFCE"/>
            <w:noWrap/>
          </w:tcPr>
          <w:p w14:paraId="53B7C02A" w14:textId="121ABA9E"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4B53E2A0" w14:textId="0CF9AE93" w:rsidR="006578ED" w:rsidRDefault="00A1618E">
            <w:pPr>
              <w:pStyle w:val="P68B1DB1-Normal13"/>
              <w:spacing w:after="0" w:line="240" w:lineRule="auto"/>
              <w:rPr>
                <w:rFonts w:cs="Times New Roman"/>
                <w:noProof/>
              </w:rPr>
            </w:pPr>
            <w:r>
              <w:rPr>
                <w:noProof/>
              </w:rPr>
              <w:t>Zakończenie innowacyjnych projektów promujących elektromobilność</w:t>
            </w:r>
          </w:p>
        </w:tc>
        <w:tc>
          <w:tcPr>
            <w:tcW w:w="1134" w:type="dxa"/>
            <w:shd w:val="clear" w:color="auto" w:fill="C6EFCE"/>
            <w:noWrap/>
          </w:tcPr>
          <w:p w14:paraId="6C29E605"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1E6A3C1D" w14:textId="77777777" w:rsidR="006578ED" w:rsidRDefault="00A1618E">
            <w:pPr>
              <w:pStyle w:val="P68B1DB1-Normal13"/>
              <w:spacing w:after="0" w:line="240" w:lineRule="auto"/>
              <w:jc w:val="right"/>
              <w:rPr>
                <w:rFonts w:eastAsia="MS Mincho" w:cs="Times New Roman"/>
                <w:noProof/>
              </w:rPr>
            </w:pPr>
            <w:r>
              <w:rPr>
                <w:noProof/>
              </w:rPr>
              <w:t xml:space="preserve">Liczba </w:t>
            </w:r>
          </w:p>
        </w:tc>
        <w:tc>
          <w:tcPr>
            <w:tcW w:w="675" w:type="dxa"/>
            <w:shd w:val="clear" w:color="auto" w:fill="C6EFCE"/>
            <w:noWrap/>
          </w:tcPr>
          <w:p w14:paraId="6C90E665"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0DE3A3EF" w14:textId="77777777" w:rsidR="006578ED" w:rsidRDefault="00A1618E">
            <w:pPr>
              <w:pStyle w:val="P68B1DB1-Normal13"/>
              <w:spacing w:after="0" w:line="240" w:lineRule="auto"/>
              <w:jc w:val="right"/>
              <w:rPr>
                <w:rFonts w:eastAsia="MS Mincho" w:cs="Times New Roman"/>
                <w:noProof/>
              </w:rPr>
            </w:pPr>
            <w:r>
              <w:rPr>
                <w:noProof/>
              </w:rPr>
              <w:t>85</w:t>
            </w:r>
          </w:p>
        </w:tc>
        <w:tc>
          <w:tcPr>
            <w:tcW w:w="425" w:type="dxa"/>
            <w:shd w:val="clear" w:color="auto" w:fill="C6EFCE"/>
            <w:noWrap/>
          </w:tcPr>
          <w:p w14:paraId="7114C962" w14:textId="62A145E0"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457EB255" w14:textId="77777777" w:rsidR="006578ED" w:rsidRDefault="00A1618E">
            <w:pPr>
              <w:pStyle w:val="P68B1DB1-Normal13"/>
              <w:spacing w:after="0" w:line="240" w:lineRule="auto"/>
              <w:jc w:val="center"/>
              <w:rPr>
                <w:rFonts w:cs="Times New Roman"/>
                <w:noProof/>
              </w:rPr>
            </w:pPr>
            <w:r>
              <w:rPr>
                <w:noProof/>
              </w:rPr>
              <w:t>2025</w:t>
            </w:r>
          </w:p>
        </w:tc>
        <w:tc>
          <w:tcPr>
            <w:tcW w:w="5387" w:type="dxa"/>
            <w:shd w:val="clear" w:color="auto" w:fill="C6EFCE"/>
            <w:noWrap/>
          </w:tcPr>
          <w:p w14:paraId="288C38ED" w14:textId="2073E7B6" w:rsidR="006578ED" w:rsidRDefault="00A1618E">
            <w:pPr>
              <w:pStyle w:val="P68B1DB1-Normal13"/>
              <w:spacing w:after="0" w:line="240" w:lineRule="auto"/>
              <w:rPr>
                <w:rFonts w:cs="Times New Roman"/>
                <w:noProof/>
              </w:rPr>
            </w:pPr>
            <w:r>
              <w:rPr>
                <w:noProof/>
              </w:rPr>
              <w:t xml:space="preserve">Ukończenie co najmniej 85 projektów realizowanych w ramach programu wsparcia dla innowacyjnych projektów w dziedzinie elektromobilności (MOVES Singulares). </w:t>
            </w:r>
          </w:p>
        </w:tc>
      </w:tr>
      <w:tr w:rsidR="006578ED" w14:paraId="35CBA65C" w14:textId="77777777">
        <w:trPr>
          <w:trHeight w:val="309"/>
        </w:trPr>
        <w:tc>
          <w:tcPr>
            <w:tcW w:w="709" w:type="dxa"/>
            <w:shd w:val="clear" w:color="auto" w:fill="C6EFCE"/>
            <w:noWrap/>
          </w:tcPr>
          <w:p w14:paraId="4C6830B7" w14:textId="77777777" w:rsidR="006578ED" w:rsidRDefault="00A1618E">
            <w:pPr>
              <w:pStyle w:val="P68B1DB1-Normal13"/>
              <w:spacing w:after="0" w:line="240" w:lineRule="auto"/>
              <w:jc w:val="center"/>
              <w:rPr>
                <w:rFonts w:cs="Times New Roman"/>
                <w:noProof/>
              </w:rPr>
            </w:pPr>
            <w:r>
              <w:rPr>
                <w:noProof/>
              </w:rPr>
              <w:t>14</w:t>
            </w:r>
          </w:p>
        </w:tc>
        <w:tc>
          <w:tcPr>
            <w:tcW w:w="851" w:type="dxa"/>
            <w:shd w:val="clear" w:color="auto" w:fill="C6EFCE"/>
            <w:noWrap/>
          </w:tcPr>
          <w:p w14:paraId="5421AA1B" w14:textId="77777777" w:rsidR="006578ED" w:rsidRDefault="00A1618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2A87AE8B" w14:textId="6D960EDC"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323FD114" w14:textId="77777777" w:rsidR="006578ED" w:rsidRDefault="00A1618E">
            <w:pPr>
              <w:pStyle w:val="P68B1DB1-Normal13"/>
              <w:spacing w:after="0" w:line="240" w:lineRule="auto"/>
              <w:rPr>
                <w:rFonts w:cs="Times New Roman"/>
                <w:noProof/>
              </w:rPr>
            </w:pPr>
            <w:r>
              <w:rPr>
                <w:noProof/>
              </w:rPr>
              <w:t xml:space="preserve">Krótkie odległości (Cercanías) – linie kolejowe </w:t>
            </w:r>
          </w:p>
        </w:tc>
        <w:tc>
          <w:tcPr>
            <w:tcW w:w="1134" w:type="dxa"/>
            <w:shd w:val="clear" w:color="auto" w:fill="C6EFCE"/>
            <w:noWrap/>
          </w:tcPr>
          <w:p w14:paraId="5544CA26"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4B0C047F" w14:textId="77777777" w:rsidR="006578ED" w:rsidRDefault="00A1618E">
            <w:pPr>
              <w:pStyle w:val="P68B1DB1-Normal13"/>
              <w:spacing w:after="0" w:line="240" w:lineRule="auto"/>
              <w:jc w:val="right"/>
              <w:rPr>
                <w:rFonts w:eastAsia="MS Mincho" w:cs="Times New Roman"/>
                <w:noProof/>
              </w:rPr>
            </w:pPr>
            <w:r>
              <w:rPr>
                <w:noProof/>
              </w:rPr>
              <w:t>Liczba (Km)</w:t>
            </w:r>
          </w:p>
        </w:tc>
        <w:tc>
          <w:tcPr>
            <w:tcW w:w="675" w:type="dxa"/>
            <w:shd w:val="clear" w:color="auto" w:fill="C6EFCE"/>
            <w:noWrap/>
          </w:tcPr>
          <w:p w14:paraId="27155D2C"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79A41D13" w14:textId="77777777" w:rsidR="006578ED" w:rsidRDefault="00A1618E">
            <w:pPr>
              <w:pStyle w:val="P68B1DB1-Normal13"/>
              <w:spacing w:after="0" w:line="240" w:lineRule="auto"/>
              <w:jc w:val="right"/>
              <w:rPr>
                <w:rFonts w:eastAsia="MS Mincho" w:cs="Times New Roman"/>
                <w:noProof/>
              </w:rPr>
            </w:pPr>
            <w:r>
              <w:rPr>
                <w:noProof/>
              </w:rPr>
              <w:t>200</w:t>
            </w:r>
          </w:p>
        </w:tc>
        <w:tc>
          <w:tcPr>
            <w:tcW w:w="425" w:type="dxa"/>
            <w:shd w:val="clear" w:color="auto" w:fill="C6EFCE"/>
            <w:noWrap/>
          </w:tcPr>
          <w:p w14:paraId="27FC55AB" w14:textId="5E636D9C"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166F4D07" w14:textId="77777777" w:rsidR="006578ED" w:rsidRDefault="00A1618E">
            <w:pPr>
              <w:pStyle w:val="P68B1DB1-Normal13"/>
              <w:spacing w:after="0" w:line="240" w:lineRule="auto"/>
              <w:jc w:val="center"/>
              <w:rPr>
                <w:rFonts w:cs="Times New Roman"/>
                <w:noProof/>
              </w:rPr>
            </w:pPr>
            <w:r>
              <w:rPr>
                <w:noProof/>
              </w:rPr>
              <w:t>2023</w:t>
            </w:r>
          </w:p>
        </w:tc>
        <w:tc>
          <w:tcPr>
            <w:tcW w:w="5387" w:type="dxa"/>
            <w:shd w:val="clear" w:color="auto" w:fill="C6EFCE"/>
            <w:noWrap/>
          </w:tcPr>
          <w:p w14:paraId="46EAB918" w14:textId="56D8AE9A" w:rsidR="006578ED" w:rsidRDefault="00A1618E">
            <w:pPr>
              <w:pStyle w:val="P68B1DB1-Normal13"/>
              <w:spacing w:after="0" w:line="240" w:lineRule="auto"/>
              <w:rPr>
                <w:rFonts w:cs="Times New Roman"/>
                <w:noProof/>
              </w:rPr>
            </w:pPr>
            <w:r>
              <w:rPr>
                <w:noProof/>
              </w:rPr>
              <w:t>Co najmniej 200 km linii kolejowych bliskiego zasięgu zmodernizowanych w którymkolwiek z podsystemów: platforma, tor, elektryfikacja, bezpieczeństwo i łączność/sygnalizacja.</w:t>
            </w:r>
            <w:r>
              <w:rPr>
                <w:noProof/>
              </w:rPr>
              <w:br/>
              <w:t xml:space="preserve">Długość modernizowanych linii kolejowych na krótkich dystansach powinna być interpretowana jako długość zlokalizowana na obszarach miejskich lub metropolitalnych, na których przeprowadzono znaczącą interwencję, która nie jest kwotą do wykonania lub naprawy. Interwencje mogą obejmować elektryfikację, odnowienie torów, poprawę systemów sygnalizowania i bezpieczeństwa oraz poprawę stacji, które wykraczają poza konserwację i naprawy i powinny być wdrażane wzdłuż terytorium kraju we wszystkich ośrodkach ludności, które posiadają usługi z Cercanías Ferroviarias. </w:t>
            </w:r>
          </w:p>
        </w:tc>
      </w:tr>
      <w:tr w:rsidR="006578ED" w14:paraId="79F8DAAD" w14:textId="77777777">
        <w:trPr>
          <w:trHeight w:val="309"/>
        </w:trPr>
        <w:tc>
          <w:tcPr>
            <w:tcW w:w="709" w:type="dxa"/>
            <w:shd w:val="clear" w:color="auto" w:fill="C6EFCE"/>
            <w:noWrap/>
          </w:tcPr>
          <w:p w14:paraId="60B9ECB0" w14:textId="77777777" w:rsidR="006578ED" w:rsidRDefault="00A1618E">
            <w:pPr>
              <w:pStyle w:val="P68B1DB1-Normal13"/>
              <w:spacing w:after="0" w:line="240" w:lineRule="auto"/>
              <w:jc w:val="center"/>
              <w:rPr>
                <w:rFonts w:cs="Times New Roman"/>
                <w:noProof/>
              </w:rPr>
            </w:pPr>
            <w:r>
              <w:rPr>
                <w:noProof/>
              </w:rPr>
              <w:t>15</w:t>
            </w:r>
          </w:p>
        </w:tc>
        <w:tc>
          <w:tcPr>
            <w:tcW w:w="851" w:type="dxa"/>
            <w:shd w:val="clear" w:color="auto" w:fill="C6EFCE"/>
            <w:noWrap/>
          </w:tcPr>
          <w:p w14:paraId="57BA10E6" w14:textId="77777777" w:rsidR="006578ED" w:rsidRDefault="00A1618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18273627" w14:textId="3AB64662"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33552D8B" w14:textId="77777777" w:rsidR="006578ED" w:rsidRDefault="00A1618E">
            <w:pPr>
              <w:pStyle w:val="P68B1DB1-Normal13"/>
              <w:spacing w:after="0" w:line="240" w:lineRule="auto"/>
              <w:rPr>
                <w:rFonts w:cs="Times New Roman"/>
                <w:noProof/>
              </w:rPr>
            </w:pPr>
            <w:r>
              <w:rPr>
                <w:noProof/>
              </w:rPr>
              <w:t xml:space="preserve">Stacje ulepszone dzięki cyfryzacji </w:t>
            </w:r>
          </w:p>
        </w:tc>
        <w:tc>
          <w:tcPr>
            <w:tcW w:w="1134" w:type="dxa"/>
            <w:shd w:val="clear" w:color="auto" w:fill="C6EFCE"/>
            <w:noWrap/>
          </w:tcPr>
          <w:p w14:paraId="65C0E9E3"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34D992BD" w14:textId="77777777" w:rsidR="006578ED" w:rsidRDefault="00A1618E">
            <w:pPr>
              <w:pStyle w:val="P68B1DB1-Normal13"/>
              <w:spacing w:after="0" w:line="240" w:lineRule="auto"/>
              <w:jc w:val="right"/>
              <w:rPr>
                <w:rFonts w:eastAsia="MS Mincho" w:cs="Times New Roman"/>
                <w:noProof/>
              </w:rPr>
            </w:pPr>
            <w:r>
              <w:rPr>
                <w:noProof/>
              </w:rPr>
              <w:t>Liczba</w:t>
            </w:r>
          </w:p>
        </w:tc>
        <w:tc>
          <w:tcPr>
            <w:tcW w:w="675" w:type="dxa"/>
            <w:shd w:val="clear" w:color="auto" w:fill="C6EFCE"/>
            <w:noWrap/>
          </w:tcPr>
          <w:p w14:paraId="19DF3E5F"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24687098" w14:textId="77777777" w:rsidR="006578ED" w:rsidRDefault="00A1618E">
            <w:pPr>
              <w:pStyle w:val="P68B1DB1-Normal13"/>
              <w:spacing w:after="0" w:line="240" w:lineRule="auto"/>
              <w:jc w:val="right"/>
              <w:rPr>
                <w:rFonts w:eastAsia="MS Mincho" w:cs="Times New Roman"/>
                <w:noProof/>
              </w:rPr>
            </w:pPr>
            <w:r>
              <w:rPr>
                <w:noProof/>
              </w:rPr>
              <w:t>420</w:t>
            </w:r>
          </w:p>
        </w:tc>
        <w:tc>
          <w:tcPr>
            <w:tcW w:w="425" w:type="dxa"/>
            <w:shd w:val="clear" w:color="auto" w:fill="C6EFCE"/>
            <w:noWrap/>
          </w:tcPr>
          <w:p w14:paraId="55B445E4" w14:textId="32B928DC"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7FEA3163" w14:textId="77777777" w:rsidR="006578ED" w:rsidRDefault="00A1618E">
            <w:pPr>
              <w:pStyle w:val="P68B1DB1-Normal13"/>
              <w:spacing w:after="0" w:line="240" w:lineRule="auto"/>
              <w:jc w:val="center"/>
              <w:rPr>
                <w:rFonts w:cs="Times New Roman"/>
                <w:noProof/>
              </w:rPr>
            </w:pPr>
            <w:r>
              <w:rPr>
                <w:noProof/>
              </w:rPr>
              <w:t>2023</w:t>
            </w:r>
          </w:p>
        </w:tc>
        <w:tc>
          <w:tcPr>
            <w:tcW w:w="5387" w:type="dxa"/>
            <w:shd w:val="clear" w:color="auto" w:fill="C6EFCE"/>
            <w:noWrap/>
          </w:tcPr>
          <w:p w14:paraId="5675A2F1" w14:textId="660D62F6" w:rsidR="006578ED" w:rsidRDefault="00A1618E">
            <w:pPr>
              <w:pStyle w:val="P68B1DB1-Normal13"/>
              <w:spacing w:after="0" w:line="240" w:lineRule="auto"/>
              <w:rPr>
                <w:rFonts w:cs="Times New Roman"/>
                <w:noProof/>
              </w:rPr>
            </w:pPr>
            <w:r>
              <w:rPr>
                <w:noProof/>
              </w:rPr>
              <w:t xml:space="preserve">Co najmniej 420 stacji poprawionych dzięki realizacji wszystkich lub niektórych projektów realizowanych przez RENFE jako operatora SPO, wymienionych poniżej: </w:t>
            </w:r>
            <w:r>
              <w:rPr>
                <w:noProof/>
              </w:rPr>
              <w:br/>
              <w:t xml:space="preserve">• Cyfryzacja systemów bezpieczeństwa na stacjach (takich jak inteligentna analiza wideo, cyberbezpieczeństwo i kontrola oszustw) </w:t>
            </w:r>
            <w:r>
              <w:rPr>
                <w:noProof/>
              </w:rPr>
              <w:br/>
              <w:t xml:space="preserve">• Systemy informacji o pasażerach </w:t>
            </w:r>
            <w:r>
              <w:rPr>
                <w:noProof/>
              </w:rPr>
              <w:br/>
              <w:t xml:space="preserve">• Poprawa kontroli dostępu do stacji </w:t>
            </w:r>
            <w:r>
              <w:rPr>
                <w:noProof/>
              </w:rPr>
              <w:br/>
              <w:t xml:space="preserve">• Projekty dotyczące automatów do sprzedaży biletów </w:t>
            </w:r>
            <w:r>
              <w:rPr>
                <w:noProof/>
              </w:rPr>
              <w:br/>
              <w:t xml:space="preserve">• Adaptacja obiektów </w:t>
            </w:r>
          </w:p>
        </w:tc>
      </w:tr>
      <w:tr w:rsidR="006578ED" w14:paraId="6DCC179C" w14:textId="77777777">
        <w:trPr>
          <w:trHeight w:val="309"/>
        </w:trPr>
        <w:tc>
          <w:tcPr>
            <w:tcW w:w="709" w:type="dxa"/>
            <w:shd w:val="clear" w:color="auto" w:fill="C6EFCE"/>
            <w:noWrap/>
          </w:tcPr>
          <w:p w14:paraId="5AEA2AF6" w14:textId="77777777" w:rsidR="006578ED" w:rsidRDefault="00A1618E">
            <w:pPr>
              <w:pStyle w:val="P68B1DB1-Normal13"/>
              <w:spacing w:after="0" w:line="240" w:lineRule="auto"/>
              <w:jc w:val="center"/>
              <w:rPr>
                <w:rFonts w:cs="Times New Roman"/>
                <w:noProof/>
              </w:rPr>
            </w:pPr>
            <w:r>
              <w:rPr>
                <w:noProof/>
              </w:rPr>
              <w:t>16</w:t>
            </w:r>
          </w:p>
        </w:tc>
        <w:tc>
          <w:tcPr>
            <w:tcW w:w="851" w:type="dxa"/>
            <w:shd w:val="clear" w:color="auto" w:fill="C6EFCE"/>
            <w:noWrap/>
          </w:tcPr>
          <w:p w14:paraId="647F12FB" w14:textId="77777777" w:rsidR="006578ED" w:rsidRDefault="00A1618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7A080B6F" w14:textId="55A164AD"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21ABA2E1" w14:textId="77777777" w:rsidR="006578ED" w:rsidRDefault="00A1618E">
            <w:pPr>
              <w:pStyle w:val="P68B1DB1-Normal13"/>
              <w:spacing w:after="0" w:line="240" w:lineRule="auto"/>
              <w:rPr>
                <w:rFonts w:cs="Times New Roman"/>
                <w:noProof/>
              </w:rPr>
            </w:pPr>
            <w:r>
              <w:rPr>
                <w:noProof/>
              </w:rPr>
              <w:t xml:space="preserve">Ulepszone stacje „Cercanías” </w:t>
            </w:r>
          </w:p>
        </w:tc>
        <w:tc>
          <w:tcPr>
            <w:tcW w:w="1134" w:type="dxa"/>
            <w:shd w:val="clear" w:color="auto" w:fill="C6EFCE"/>
            <w:noWrap/>
          </w:tcPr>
          <w:p w14:paraId="50944776"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63865CC5" w14:textId="77777777" w:rsidR="006578ED" w:rsidRDefault="00A1618E">
            <w:pPr>
              <w:pStyle w:val="P68B1DB1-Normal13"/>
              <w:spacing w:after="0" w:line="240" w:lineRule="auto"/>
              <w:jc w:val="right"/>
              <w:rPr>
                <w:rFonts w:eastAsia="MS Mincho" w:cs="Times New Roman"/>
                <w:noProof/>
              </w:rPr>
            </w:pPr>
            <w:r>
              <w:rPr>
                <w:noProof/>
              </w:rPr>
              <w:t>Liczba</w:t>
            </w:r>
          </w:p>
        </w:tc>
        <w:tc>
          <w:tcPr>
            <w:tcW w:w="675" w:type="dxa"/>
            <w:shd w:val="clear" w:color="auto" w:fill="C6EFCE"/>
            <w:noWrap/>
          </w:tcPr>
          <w:p w14:paraId="34A1E8C7"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426BF3C2" w14:textId="77777777" w:rsidR="006578ED" w:rsidRDefault="00A1618E">
            <w:pPr>
              <w:pStyle w:val="P68B1DB1-Normal13"/>
              <w:spacing w:after="0" w:line="240" w:lineRule="auto"/>
              <w:jc w:val="right"/>
              <w:rPr>
                <w:rFonts w:eastAsia="MS Mincho" w:cs="Times New Roman"/>
                <w:noProof/>
              </w:rPr>
            </w:pPr>
            <w:r>
              <w:rPr>
                <w:noProof/>
              </w:rPr>
              <w:t>20</w:t>
            </w:r>
          </w:p>
        </w:tc>
        <w:tc>
          <w:tcPr>
            <w:tcW w:w="425" w:type="dxa"/>
            <w:shd w:val="clear" w:color="auto" w:fill="C6EFCE"/>
            <w:noWrap/>
          </w:tcPr>
          <w:p w14:paraId="42732EAC" w14:textId="2578629E"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57D2441D" w14:textId="77777777" w:rsidR="006578ED" w:rsidRDefault="00A1618E">
            <w:pPr>
              <w:pStyle w:val="P68B1DB1-Normal13"/>
              <w:spacing w:after="0" w:line="240" w:lineRule="auto"/>
              <w:jc w:val="center"/>
              <w:rPr>
                <w:rFonts w:cs="Times New Roman"/>
                <w:noProof/>
              </w:rPr>
            </w:pPr>
            <w:r>
              <w:rPr>
                <w:noProof/>
              </w:rPr>
              <w:t>2023</w:t>
            </w:r>
          </w:p>
        </w:tc>
        <w:tc>
          <w:tcPr>
            <w:tcW w:w="5387" w:type="dxa"/>
            <w:shd w:val="clear" w:color="auto" w:fill="C6EFCE"/>
            <w:noWrap/>
          </w:tcPr>
          <w:p w14:paraId="388BFF40" w14:textId="6428B108" w:rsidR="006578ED" w:rsidRDefault="00A1618E">
            <w:pPr>
              <w:pStyle w:val="P68B1DB1-Normal13"/>
              <w:spacing w:after="0" w:line="240" w:lineRule="auto"/>
              <w:rPr>
                <w:rFonts w:cs="Times New Roman"/>
                <w:noProof/>
              </w:rPr>
            </w:pPr>
            <w:r>
              <w:rPr>
                <w:noProof/>
              </w:rPr>
              <w:t xml:space="preserve">Co najmniej 20 stacji „Cercanías” ulepszonych przez ADIF głównie pod względem robót związanych z dostępnością oraz nowych lub wyremontowanych torów kolejowych </w:t>
            </w:r>
          </w:p>
        </w:tc>
      </w:tr>
      <w:tr w:rsidR="006578ED" w14:paraId="44008BF5" w14:textId="77777777">
        <w:trPr>
          <w:trHeight w:val="309"/>
        </w:trPr>
        <w:tc>
          <w:tcPr>
            <w:tcW w:w="709" w:type="dxa"/>
            <w:shd w:val="clear" w:color="auto" w:fill="C6EFCE"/>
            <w:noWrap/>
          </w:tcPr>
          <w:p w14:paraId="49B2A1F3" w14:textId="77777777" w:rsidR="006578ED" w:rsidRDefault="00A1618E">
            <w:pPr>
              <w:pStyle w:val="P68B1DB1-Normal13"/>
              <w:spacing w:after="0" w:line="240" w:lineRule="auto"/>
              <w:jc w:val="center"/>
              <w:rPr>
                <w:rFonts w:cs="Times New Roman"/>
                <w:noProof/>
              </w:rPr>
            </w:pPr>
            <w:r>
              <w:rPr>
                <w:noProof/>
              </w:rPr>
              <w:t>17</w:t>
            </w:r>
          </w:p>
        </w:tc>
        <w:tc>
          <w:tcPr>
            <w:tcW w:w="851" w:type="dxa"/>
            <w:shd w:val="clear" w:color="auto" w:fill="C6EFCE"/>
            <w:noWrap/>
          </w:tcPr>
          <w:p w14:paraId="64FBBEDE" w14:textId="77777777" w:rsidR="006578ED" w:rsidRDefault="00A1618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28D63174" w14:textId="50BE84DD"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3C33EAB6" w14:textId="6EE2BF12" w:rsidR="006578ED" w:rsidRDefault="00A1618E">
            <w:pPr>
              <w:pStyle w:val="P68B1DB1-Normal13"/>
              <w:spacing w:after="0" w:line="240" w:lineRule="auto"/>
              <w:rPr>
                <w:rFonts w:cs="Times New Roman"/>
                <w:noProof/>
              </w:rPr>
            </w:pPr>
            <w:r>
              <w:rPr>
                <w:noProof/>
              </w:rPr>
              <w:t xml:space="preserve">Łączny budżet przyznany na inwestycje w krótkodystansowe linie kolejowe </w:t>
            </w:r>
          </w:p>
        </w:tc>
        <w:tc>
          <w:tcPr>
            <w:tcW w:w="1134" w:type="dxa"/>
            <w:shd w:val="clear" w:color="auto" w:fill="C6EFCE"/>
            <w:noWrap/>
          </w:tcPr>
          <w:p w14:paraId="2EC00B1B"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1876CD1F" w14:textId="77777777" w:rsidR="006578ED" w:rsidRDefault="00A1618E">
            <w:pPr>
              <w:pStyle w:val="P68B1DB1-Normal13"/>
              <w:spacing w:after="0" w:line="240" w:lineRule="auto"/>
              <w:jc w:val="right"/>
              <w:rPr>
                <w:rFonts w:eastAsia="MS Mincho" w:cs="Times New Roman"/>
                <w:noProof/>
              </w:rPr>
            </w:pPr>
            <w:r>
              <w:rPr>
                <w:noProof/>
              </w:rPr>
              <w:t>Mln EUR</w:t>
            </w:r>
          </w:p>
        </w:tc>
        <w:tc>
          <w:tcPr>
            <w:tcW w:w="675" w:type="dxa"/>
            <w:shd w:val="clear" w:color="auto" w:fill="C6EFCE"/>
            <w:noWrap/>
          </w:tcPr>
          <w:p w14:paraId="20A7EE96" w14:textId="77777777" w:rsidR="006578ED" w:rsidRDefault="00A1618E">
            <w:pPr>
              <w:pStyle w:val="P68B1DB1-Normal13"/>
              <w:spacing w:after="0" w:line="240" w:lineRule="auto"/>
              <w:jc w:val="right"/>
              <w:rPr>
                <w:rFonts w:eastAsia="MS Mincho" w:cs="Times New Roman"/>
                <w:noProof/>
              </w:rPr>
            </w:pPr>
            <w:r>
              <w:rPr>
                <w:noProof/>
              </w:rPr>
              <w:t>0</w:t>
            </w:r>
          </w:p>
        </w:tc>
        <w:tc>
          <w:tcPr>
            <w:tcW w:w="742" w:type="dxa"/>
            <w:shd w:val="clear" w:color="auto" w:fill="C6EFCE"/>
            <w:noWrap/>
          </w:tcPr>
          <w:p w14:paraId="6578BF8A" w14:textId="77777777" w:rsidR="006578ED" w:rsidRDefault="00A1618E">
            <w:pPr>
              <w:pStyle w:val="P68B1DB1-Normal13"/>
              <w:spacing w:after="0" w:line="240" w:lineRule="auto"/>
              <w:jc w:val="right"/>
              <w:rPr>
                <w:rFonts w:eastAsia="MS Mincho" w:cs="Times New Roman"/>
                <w:noProof/>
              </w:rPr>
            </w:pPr>
            <w:r>
              <w:rPr>
                <w:noProof/>
              </w:rPr>
              <w:t>1 619</w:t>
            </w:r>
          </w:p>
        </w:tc>
        <w:tc>
          <w:tcPr>
            <w:tcW w:w="425" w:type="dxa"/>
            <w:shd w:val="clear" w:color="auto" w:fill="C6EFCE"/>
            <w:noWrap/>
          </w:tcPr>
          <w:p w14:paraId="6459032C" w14:textId="4AC5CF8B"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45DB9A5B" w14:textId="77777777" w:rsidR="006578ED" w:rsidRDefault="00A1618E">
            <w:pPr>
              <w:pStyle w:val="P68B1DB1-Normal13"/>
              <w:spacing w:after="0" w:line="240" w:lineRule="auto"/>
              <w:jc w:val="center"/>
              <w:rPr>
                <w:rFonts w:cs="Times New Roman"/>
                <w:noProof/>
              </w:rPr>
            </w:pPr>
            <w:r>
              <w:rPr>
                <w:noProof/>
              </w:rPr>
              <w:t>2024</w:t>
            </w:r>
          </w:p>
        </w:tc>
        <w:tc>
          <w:tcPr>
            <w:tcW w:w="5387" w:type="dxa"/>
            <w:shd w:val="clear" w:color="auto" w:fill="C6EFCE"/>
            <w:noWrap/>
          </w:tcPr>
          <w:p w14:paraId="14BD7A11" w14:textId="17FE8D3A" w:rsidR="006578ED" w:rsidRDefault="00A1618E">
            <w:pPr>
              <w:pStyle w:val="P68B1DB1-Normal13"/>
              <w:spacing w:after="0" w:line="240" w:lineRule="auto"/>
              <w:rPr>
                <w:rFonts w:cs="Times New Roman"/>
                <w:noProof/>
              </w:rPr>
            </w:pPr>
            <w:r>
              <w:rPr>
                <w:noProof/>
              </w:rPr>
              <w:t xml:space="preserve">Publikacja w Dz.U. łącznego budżetu przyznanego na inwestycje w krótkodystansowe linie kolejowe: co najmniej: 1 619 000 000 EUR. </w:t>
            </w:r>
          </w:p>
        </w:tc>
      </w:tr>
      <w:tr w:rsidR="006578ED" w14:paraId="3112A574" w14:textId="77777777">
        <w:trPr>
          <w:trHeight w:val="309"/>
        </w:trPr>
        <w:tc>
          <w:tcPr>
            <w:tcW w:w="709" w:type="dxa"/>
            <w:shd w:val="clear" w:color="auto" w:fill="C6EFCE"/>
            <w:noWrap/>
          </w:tcPr>
          <w:p w14:paraId="64060F2B" w14:textId="77777777" w:rsidR="006578ED" w:rsidRDefault="00A1618E">
            <w:pPr>
              <w:pStyle w:val="P68B1DB1-Normal13"/>
              <w:spacing w:after="0" w:line="240" w:lineRule="auto"/>
              <w:jc w:val="center"/>
              <w:rPr>
                <w:rFonts w:cs="Times New Roman"/>
                <w:noProof/>
              </w:rPr>
            </w:pPr>
            <w:r>
              <w:rPr>
                <w:noProof/>
              </w:rPr>
              <w:t>18</w:t>
            </w:r>
          </w:p>
        </w:tc>
        <w:tc>
          <w:tcPr>
            <w:tcW w:w="851" w:type="dxa"/>
            <w:shd w:val="clear" w:color="auto" w:fill="C6EFCE"/>
            <w:noWrap/>
          </w:tcPr>
          <w:p w14:paraId="5780C44E" w14:textId="77777777" w:rsidR="006578ED" w:rsidRDefault="00A1618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01F7BC75" w14:textId="5AA789F0"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180578FF" w14:textId="77777777" w:rsidR="006578ED" w:rsidRDefault="00A1618E">
            <w:pPr>
              <w:pStyle w:val="P68B1DB1-Normal13"/>
              <w:spacing w:after="0" w:line="240" w:lineRule="auto"/>
              <w:rPr>
                <w:rFonts w:cs="Times New Roman"/>
                <w:noProof/>
              </w:rPr>
            </w:pPr>
            <w:r>
              <w:rPr>
                <w:noProof/>
              </w:rPr>
              <w:t xml:space="preserve">Zmodernizowane linie kolejowe na krótkich odcinkach (Cercanías) </w:t>
            </w:r>
          </w:p>
        </w:tc>
        <w:tc>
          <w:tcPr>
            <w:tcW w:w="1134" w:type="dxa"/>
            <w:shd w:val="clear" w:color="auto" w:fill="C6EFCE"/>
            <w:noWrap/>
          </w:tcPr>
          <w:p w14:paraId="24FF93BA"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7BD2FCD1" w14:textId="77777777" w:rsidR="006578ED" w:rsidRDefault="00A1618E">
            <w:pPr>
              <w:pStyle w:val="P68B1DB1-Normal13"/>
              <w:spacing w:after="0" w:line="240" w:lineRule="auto"/>
              <w:jc w:val="right"/>
              <w:rPr>
                <w:rFonts w:eastAsia="MS Mincho" w:cs="Times New Roman"/>
                <w:noProof/>
              </w:rPr>
            </w:pPr>
            <w:r>
              <w:rPr>
                <w:noProof/>
              </w:rPr>
              <w:t>Liczba (km)</w:t>
            </w:r>
          </w:p>
        </w:tc>
        <w:tc>
          <w:tcPr>
            <w:tcW w:w="675" w:type="dxa"/>
            <w:shd w:val="clear" w:color="auto" w:fill="C6EFCE"/>
            <w:noWrap/>
          </w:tcPr>
          <w:p w14:paraId="6839CB3E" w14:textId="77777777" w:rsidR="006578ED" w:rsidRDefault="00A1618E">
            <w:pPr>
              <w:pStyle w:val="P68B1DB1-Normal13"/>
              <w:spacing w:after="0" w:line="240" w:lineRule="auto"/>
              <w:jc w:val="right"/>
              <w:rPr>
                <w:rFonts w:eastAsia="MS Mincho" w:cs="Times New Roman"/>
                <w:noProof/>
              </w:rPr>
            </w:pPr>
            <w:r>
              <w:rPr>
                <w:noProof/>
              </w:rPr>
              <w:t>200</w:t>
            </w:r>
          </w:p>
        </w:tc>
        <w:tc>
          <w:tcPr>
            <w:tcW w:w="742" w:type="dxa"/>
            <w:shd w:val="clear" w:color="auto" w:fill="C6EFCE"/>
            <w:noWrap/>
          </w:tcPr>
          <w:p w14:paraId="0C370A54" w14:textId="77777777" w:rsidR="006578ED" w:rsidRDefault="00A1618E">
            <w:pPr>
              <w:pStyle w:val="P68B1DB1-Normal13"/>
              <w:spacing w:after="0" w:line="240" w:lineRule="auto"/>
              <w:jc w:val="right"/>
              <w:rPr>
                <w:rFonts w:eastAsia="MS Mincho" w:cs="Times New Roman"/>
                <w:noProof/>
              </w:rPr>
            </w:pPr>
            <w:r>
              <w:rPr>
                <w:noProof/>
              </w:rPr>
              <w:t>700</w:t>
            </w:r>
          </w:p>
        </w:tc>
        <w:tc>
          <w:tcPr>
            <w:tcW w:w="425" w:type="dxa"/>
            <w:shd w:val="clear" w:color="auto" w:fill="C6EFCE"/>
            <w:noWrap/>
          </w:tcPr>
          <w:p w14:paraId="3693F535" w14:textId="255AFCC8"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6532D109" w14:textId="77777777" w:rsidR="006578ED" w:rsidRDefault="00A1618E">
            <w:pPr>
              <w:pStyle w:val="P68B1DB1-Normal13"/>
              <w:spacing w:after="0" w:line="240" w:lineRule="auto"/>
              <w:jc w:val="center"/>
              <w:rPr>
                <w:rFonts w:cs="Times New Roman"/>
                <w:noProof/>
              </w:rPr>
            </w:pPr>
            <w:r>
              <w:rPr>
                <w:noProof/>
              </w:rPr>
              <w:t>2026</w:t>
            </w:r>
          </w:p>
        </w:tc>
        <w:tc>
          <w:tcPr>
            <w:tcW w:w="5387" w:type="dxa"/>
            <w:shd w:val="clear" w:color="auto" w:fill="C6EFCE"/>
            <w:noWrap/>
          </w:tcPr>
          <w:p w14:paraId="698A3DDA" w14:textId="2A0BDDC2" w:rsidR="006578ED" w:rsidRPr="00A1618E" w:rsidRDefault="00A1618E">
            <w:pPr>
              <w:pStyle w:val="P68B1DB1-Normal13"/>
              <w:spacing w:after="0" w:line="240" w:lineRule="auto"/>
              <w:rPr>
                <w:rFonts w:cs="Times New Roman"/>
                <w:noProof/>
                <w:lang w:val="pl-PL"/>
              </w:rPr>
            </w:pPr>
            <w:r>
              <w:rPr>
                <w:noProof/>
              </w:rPr>
              <w:t>Co najmniej 700 km linii kolejowych bliskiego zasięgu zmodernizowanych w którymkolwiek z podsystemów: platforma, tor, elektryfikacja, bezpieczeństwo i łączność/sygnalizacja.</w:t>
            </w:r>
            <w:r>
              <w:rPr>
                <w:noProof/>
              </w:rPr>
              <w:br/>
              <w:t>Długość modernizowanych linii kolejowych na krótkich dystansach powinna być interpretowana jako długość zlokalizowana na obszarach miejskich lub metropolitalnych, na których przeprowadzono znaczącą interwencję, która nie jest kwotą do wykonania lub naprawy. Interwencje mogą obejmować elektryfikację, odnowienie torów, poprawę systemów sygnalizacji i bezpieczeństwa oraz poprawę stacji, które wykraczają poza konserwację i naprawy i powinny być wdrażane wzdłuż terytorium kraju we wszystkich ośrodkach ludności posiadających usługi z Cercanías Ferroviarias</w:t>
            </w:r>
            <w:r w:rsidRPr="00A1618E">
              <w:rPr>
                <w:noProof/>
                <w:lang w:val="pl-PL"/>
              </w:rPr>
              <w:t xml:space="preserve">. </w:t>
            </w:r>
          </w:p>
          <w:p w14:paraId="7773D080" w14:textId="3CC890D0" w:rsidR="006578ED" w:rsidRDefault="00A1618E">
            <w:pPr>
              <w:pStyle w:val="P68B1DB1-Normal13"/>
              <w:spacing w:after="0" w:line="240" w:lineRule="auto"/>
              <w:rPr>
                <w:rFonts w:cs="Times New Roman"/>
                <w:noProof/>
              </w:rPr>
            </w:pPr>
            <w:r>
              <w:rPr>
                <w:noProof/>
              </w:rPr>
              <w:t>(Podstawa: 31 grudnia 20</w:t>
            </w:r>
            <w:r w:rsidRPr="00A1618E">
              <w:rPr>
                <w:noProof/>
                <w:lang w:val="pl-PL"/>
              </w:rPr>
              <w:t>23 r.</w:t>
            </w:r>
            <w:r>
              <w:rPr>
                <w:noProof/>
              </w:rPr>
              <w:t>)</w:t>
            </w:r>
          </w:p>
        </w:tc>
      </w:tr>
      <w:tr w:rsidR="006578ED" w14:paraId="39CEA4D1" w14:textId="77777777">
        <w:trPr>
          <w:trHeight w:val="309"/>
        </w:trPr>
        <w:tc>
          <w:tcPr>
            <w:tcW w:w="709" w:type="dxa"/>
            <w:shd w:val="clear" w:color="auto" w:fill="C6EFCE"/>
            <w:noWrap/>
          </w:tcPr>
          <w:p w14:paraId="33621CCC" w14:textId="77777777" w:rsidR="006578ED" w:rsidRDefault="00A1618E">
            <w:pPr>
              <w:pStyle w:val="P68B1DB1-Normal13"/>
              <w:spacing w:after="0" w:line="240" w:lineRule="auto"/>
              <w:jc w:val="center"/>
              <w:rPr>
                <w:rFonts w:cs="Times New Roman"/>
                <w:noProof/>
              </w:rPr>
            </w:pPr>
            <w:r>
              <w:rPr>
                <w:noProof/>
              </w:rPr>
              <w:t>19</w:t>
            </w:r>
          </w:p>
        </w:tc>
        <w:tc>
          <w:tcPr>
            <w:tcW w:w="851" w:type="dxa"/>
            <w:shd w:val="clear" w:color="auto" w:fill="C6EFCE"/>
            <w:noWrap/>
          </w:tcPr>
          <w:p w14:paraId="55F786CA" w14:textId="77777777" w:rsidR="006578ED" w:rsidRDefault="00A1618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13FAD491" w14:textId="4415596B"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18B988B5" w14:textId="77777777" w:rsidR="006578ED" w:rsidRDefault="00A1618E">
            <w:pPr>
              <w:pStyle w:val="P68B1DB1-Normal13"/>
              <w:spacing w:after="0" w:line="240" w:lineRule="auto"/>
              <w:rPr>
                <w:rFonts w:cs="Times New Roman"/>
                <w:noProof/>
              </w:rPr>
            </w:pPr>
            <w:r>
              <w:rPr>
                <w:noProof/>
              </w:rPr>
              <w:t xml:space="preserve">Stacje ulepszone dzięki cyfryzacji </w:t>
            </w:r>
          </w:p>
        </w:tc>
        <w:tc>
          <w:tcPr>
            <w:tcW w:w="1134" w:type="dxa"/>
            <w:shd w:val="clear" w:color="auto" w:fill="C6EFCE"/>
            <w:noWrap/>
          </w:tcPr>
          <w:p w14:paraId="20BE4CEA"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3F997996" w14:textId="77777777" w:rsidR="006578ED" w:rsidRDefault="00A1618E">
            <w:pPr>
              <w:pStyle w:val="P68B1DB1-Normal13"/>
              <w:spacing w:after="0" w:line="240" w:lineRule="auto"/>
              <w:jc w:val="right"/>
              <w:rPr>
                <w:rFonts w:eastAsia="MS Mincho" w:cs="Times New Roman"/>
                <w:noProof/>
              </w:rPr>
            </w:pPr>
            <w:r>
              <w:rPr>
                <w:noProof/>
              </w:rPr>
              <w:t>Liczba</w:t>
            </w:r>
          </w:p>
        </w:tc>
        <w:tc>
          <w:tcPr>
            <w:tcW w:w="675" w:type="dxa"/>
            <w:shd w:val="clear" w:color="auto" w:fill="C6EFCE"/>
            <w:noWrap/>
          </w:tcPr>
          <w:p w14:paraId="7DDA3B64" w14:textId="77777777" w:rsidR="006578ED" w:rsidRDefault="00A1618E">
            <w:pPr>
              <w:pStyle w:val="P68B1DB1-Normal13"/>
              <w:spacing w:after="0" w:line="240" w:lineRule="auto"/>
              <w:jc w:val="right"/>
              <w:rPr>
                <w:rFonts w:eastAsia="MS Mincho" w:cs="Times New Roman"/>
                <w:noProof/>
              </w:rPr>
            </w:pPr>
            <w:r>
              <w:rPr>
                <w:noProof/>
              </w:rPr>
              <w:t>420</w:t>
            </w:r>
          </w:p>
        </w:tc>
        <w:tc>
          <w:tcPr>
            <w:tcW w:w="742" w:type="dxa"/>
            <w:shd w:val="clear" w:color="auto" w:fill="C6EFCE"/>
            <w:noWrap/>
          </w:tcPr>
          <w:p w14:paraId="38256B9B" w14:textId="77777777" w:rsidR="006578ED" w:rsidRDefault="00A1618E">
            <w:pPr>
              <w:pStyle w:val="P68B1DB1-Normal13"/>
              <w:spacing w:after="0" w:line="240" w:lineRule="auto"/>
              <w:jc w:val="right"/>
              <w:rPr>
                <w:rFonts w:eastAsia="MS Mincho" w:cs="Times New Roman"/>
                <w:noProof/>
              </w:rPr>
            </w:pPr>
            <w:r>
              <w:rPr>
                <w:noProof/>
              </w:rPr>
              <w:t>850</w:t>
            </w:r>
          </w:p>
        </w:tc>
        <w:tc>
          <w:tcPr>
            <w:tcW w:w="425" w:type="dxa"/>
            <w:shd w:val="clear" w:color="auto" w:fill="C6EFCE"/>
            <w:noWrap/>
          </w:tcPr>
          <w:p w14:paraId="0E9DF1F4" w14:textId="53A7813F"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5C57CC8B" w14:textId="77777777" w:rsidR="006578ED" w:rsidRDefault="00A1618E">
            <w:pPr>
              <w:pStyle w:val="P68B1DB1-Normal13"/>
              <w:spacing w:after="0" w:line="240" w:lineRule="auto"/>
              <w:jc w:val="center"/>
              <w:rPr>
                <w:rFonts w:cs="Times New Roman"/>
                <w:noProof/>
              </w:rPr>
            </w:pPr>
            <w:r>
              <w:rPr>
                <w:noProof/>
              </w:rPr>
              <w:t>2026</w:t>
            </w:r>
          </w:p>
        </w:tc>
        <w:tc>
          <w:tcPr>
            <w:tcW w:w="5387" w:type="dxa"/>
            <w:shd w:val="clear" w:color="auto" w:fill="C6EFCE"/>
            <w:noWrap/>
          </w:tcPr>
          <w:p w14:paraId="2F4EE576" w14:textId="222194AB" w:rsidR="006578ED" w:rsidRDefault="00A1618E">
            <w:pPr>
              <w:pStyle w:val="P68B1DB1-Normal13"/>
              <w:spacing w:after="0" w:line="240" w:lineRule="auto"/>
              <w:rPr>
                <w:rFonts w:cs="Times New Roman"/>
                <w:noProof/>
              </w:rPr>
            </w:pPr>
            <w:r>
              <w:rPr>
                <w:noProof/>
              </w:rPr>
              <w:t xml:space="preserve">Co najmniej 850 stacji zmodernizowanych dzięki realizacji wszystkich lub niektórych projektów realizowanych przez RENFE jako operatora SPO, wymienionych poniżej: </w:t>
            </w:r>
            <w:r>
              <w:rPr>
                <w:noProof/>
              </w:rPr>
              <w:br/>
              <w:t xml:space="preserve">• Cyfryzacja systemów bezpieczeństwa na stacjach (takich jak inteligentna analiza wideo, cyberbezpieczeństwo i kontrola oszustw) </w:t>
            </w:r>
            <w:r>
              <w:rPr>
                <w:noProof/>
              </w:rPr>
              <w:br/>
              <w:t xml:space="preserve">• Systemy informacji o pasażerach </w:t>
            </w:r>
            <w:r>
              <w:rPr>
                <w:noProof/>
              </w:rPr>
              <w:br/>
              <w:t xml:space="preserve">• Poprawa kontroli dostępu do stacji </w:t>
            </w:r>
            <w:r>
              <w:rPr>
                <w:noProof/>
              </w:rPr>
              <w:br/>
              <w:t xml:space="preserve">• Projekty dotyczące automatów do sprzedaży biletów </w:t>
            </w:r>
            <w:r>
              <w:rPr>
                <w:noProof/>
              </w:rPr>
              <w:br/>
              <w:t xml:space="preserve">• Adaptacja obiektów </w:t>
            </w:r>
          </w:p>
          <w:p w14:paraId="00C5A81A" w14:textId="3CA1791C" w:rsidR="006578ED" w:rsidRDefault="00A1618E">
            <w:pPr>
              <w:pStyle w:val="P68B1DB1-Normal13"/>
              <w:spacing w:after="0" w:line="240" w:lineRule="auto"/>
              <w:rPr>
                <w:rFonts w:cs="Times New Roman"/>
                <w:noProof/>
              </w:rPr>
            </w:pPr>
            <w:r>
              <w:rPr>
                <w:noProof/>
              </w:rPr>
              <w:t>(Podstawa: 31 grudnia 20</w:t>
            </w:r>
            <w:r w:rsidRPr="00A1618E">
              <w:rPr>
                <w:noProof/>
                <w:lang w:val="pl-PL"/>
              </w:rPr>
              <w:t>23 r.</w:t>
            </w:r>
            <w:r>
              <w:rPr>
                <w:noProof/>
              </w:rPr>
              <w:t>)</w:t>
            </w:r>
          </w:p>
        </w:tc>
      </w:tr>
      <w:tr w:rsidR="006578ED" w14:paraId="0E532E14" w14:textId="77777777">
        <w:trPr>
          <w:trHeight w:val="309"/>
        </w:trPr>
        <w:tc>
          <w:tcPr>
            <w:tcW w:w="709" w:type="dxa"/>
            <w:shd w:val="clear" w:color="auto" w:fill="C6EFCE"/>
            <w:noWrap/>
          </w:tcPr>
          <w:p w14:paraId="4795C8AF" w14:textId="77777777" w:rsidR="006578ED" w:rsidRDefault="00A1618E">
            <w:pPr>
              <w:pStyle w:val="P68B1DB1-Normal13"/>
              <w:spacing w:after="0" w:line="240" w:lineRule="auto"/>
              <w:jc w:val="center"/>
              <w:rPr>
                <w:rFonts w:cs="Times New Roman"/>
                <w:noProof/>
              </w:rPr>
            </w:pPr>
            <w:r>
              <w:rPr>
                <w:noProof/>
              </w:rPr>
              <w:t>20</w:t>
            </w:r>
          </w:p>
        </w:tc>
        <w:tc>
          <w:tcPr>
            <w:tcW w:w="851" w:type="dxa"/>
            <w:shd w:val="clear" w:color="auto" w:fill="C6EFCE"/>
            <w:noWrap/>
          </w:tcPr>
          <w:p w14:paraId="5840AFF3" w14:textId="77777777" w:rsidR="006578ED" w:rsidRDefault="00A1618E">
            <w:pPr>
              <w:pStyle w:val="P68B1DB1-Normal13"/>
              <w:spacing w:after="0" w:line="240" w:lineRule="auto"/>
              <w:jc w:val="center"/>
              <w:rPr>
                <w:rFonts w:eastAsia="MS Mincho" w:cs="Times New Roman"/>
                <w:noProof/>
              </w:rPr>
            </w:pPr>
            <w:r>
              <w:rPr>
                <w:noProof/>
              </w:rPr>
              <w:t>C1.I3</w:t>
            </w:r>
          </w:p>
        </w:tc>
        <w:tc>
          <w:tcPr>
            <w:tcW w:w="850" w:type="dxa"/>
            <w:shd w:val="clear" w:color="auto" w:fill="C6EFCE"/>
            <w:noWrap/>
          </w:tcPr>
          <w:p w14:paraId="44AAD6F7" w14:textId="62F98E9D"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6905ABD4" w14:textId="77777777" w:rsidR="006578ED" w:rsidRDefault="00A1618E">
            <w:pPr>
              <w:pStyle w:val="P68B1DB1-Normal13"/>
              <w:spacing w:after="0" w:line="240" w:lineRule="auto"/>
              <w:rPr>
                <w:rFonts w:cs="Times New Roman"/>
                <w:noProof/>
              </w:rPr>
            </w:pPr>
            <w:r>
              <w:rPr>
                <w:noProof/>
              </w:rPr>
              <w:t xml:space="preserve">Ulepszone stacje „Cercanías” </w:t>
            </w:r>
          </w:p>
        </w:tc>
        <w:tc>
          <w:tcPr>
            <w:tcW w:w="1134" w:type="dxa"/>
            <w:shd w:val="clear" w:color="auto" w:fill="C6EFCE"/>
            <w:noWrap/>
          </w:tcPr>
          <w:p w14:paraId="199DC5A6" w14:textId="77777777" w:rsidR="006578ED" w:rsidRDefault="00A1618E">
            <w:pPr>
              <w:pStyle w:val="P68B1DB1-Normal13"/>
              <w:spacing w:after="0" w:line="240" w:lineRule="auto"/>
              <w:jc w:val="center"/>
              <w:rPr>
                <w:rFonts w:cs="Times New Roman"/>
                <w:noProof/>
              </w:rPr>
            </w:pPr>
            <w:r>
              <w:rPr>
                <w:noProof/>
              </w:rPr>
              <w:t> </w:t>
            </w:r>
          </w:p>
        </w:tc>
        <w:tc>
          <w:tcPr>
            <w:tcW w:w="851" w:type="dxa"/>
            <w:shd w:val="clear" w:color="auto" w:fill="C6EFCE"/>
            <w:noWrap/>
          </w:tcPr>
          <w:p w14:paraId="54B43EC8" w14:textId="77777777" w:rsidR="006578ED" w:rsidRDefault="00A1618E">
            <w:pPr>
              <w:pStyle w:val="P68B1DB1-Normal13"/>
              <w:spacing w:after="0" w:line="240" w:lineRule="auto"/>
              <w:jc w:val="right"/>
              <w:rPr>
                <w:rFonts w:eastAsia="MS Mincho" w:cs="Times New Roman"/>
                <w:noProof/>
              </w:rPr>
            </w:pPr>
            <w:r>
              <w:rPr>
                <w:noProof/>
              </w:rPr>
              <w:t>Liczba</w:t>
            </w:r>
          </w:p>
        </w:tc>
        <w:tc>
          <w:tcPr>
            <w:tcW w:w="675" w:type="dxa"/>
            <w:shd w:val="clear" w:color="auto" w:fill="C6EFCE"/>
            <w:noWrap/>
          </w:tcPr>
          <w:p w14:paraId="21D95174" w14:textId="77777777" w:rsidR="006578ED" w:rsidRDefault="00A1618E">
            <w:pPr>
              <w:pStyle w:val="P68B1DB1-Normal13"/>
              <w:spacing w:after="0" w:line="240" w:lineRule="auto"/>
              <w:jc w:val="right"/>
              <w:rPr>
                <w:rFonts w:eastAsia="MS Mincho" w:cs="Times New Roman"/>
                <w:noProof/>
              </w:rPr>
            </w:pPr>
            <w:r>
              <w:rPr>
                <w:noProof/>
              </w:rPr>
              <w:t>20</w:t>
            </w:r>
          </w:p>
        </w:tc>
        <w:tc>
          <w:tcPr>
            <w:tcW w:w="742" w:type="dxa"/>
            <w:shd w:val="clear" w:color="auto" w:fill="C6EFCE"/>
            <w:noWrap/>
          </w:tcPr>
          <w:p w14:paraId="29169DF8" w14:textId="77777777" w:rsidR="006578ED" w:rsidRDefault="00A1618E">
            <w:pPr>
              <w:pStyle w:val="P68B1DB1-Normal13"/>
              <w:spacing w:after="0" w:line="240" w:lineRule="auto"/>
              <w:jc w:val="right"/>
              <w:rPr>
                <w:rFonts w:eastAsia="MS Mincho" w:cs="Times New Roman"/>
                <w:noProof/>
              </w:rPr>
            </w:pPr>
            <w:r>
              <w:rPr>
                <w:noProof/>
              </w:rPr>
              <w:t>70</w:t>
            </w:r>
          </w:p>
        </w:tc>
        <w:tc>
          <w:tcPr>
            <w:tcW w:w="425" w:type="dxa"/>
            <w:shd w:val="clear" w:color="auto" w:fill="C6EFCE"/>
            <w:noWrap/>
          </w:tcPr>
          <w:p w14:paraId="63B6E9DD" w14:textId="5AF8C57B"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7B36BB04" w14:textId="77777777" w:rsidR="006578ED" w:rsidRDefault="00A1618E">
            <w:pPr>
              <w:pStyle w:val="P68B1DB1-Normal13"/>
              <w:spacing w:after="0" w:line="240" w:lineRule="auto"/>
              <w:jc w:val="center"/>
              <w:rPr>
                <w:rFonts w:cs="Times New Roman"/>
                <w:noProof/>
              </w:rPr>
            </w:pPr>
            <w:r>
              <w:rPr>
                <w:noProof/>
              </w:rPr>
              <w:t>2026</w:t>
            </w:r>
          </w:p>
        </w:tc>
        <w:tc>
          <w:tcPr>
            <w:tcW w:w="5387" w:type="dxa"/>
            <w:shd w:val="clear" w:color="auto" w:fill="C6EFCE"/>
            <w:noWrap/>
          </w:tcPr>
          <w:p w14:paraId="7DB192B1" w14:textId="7E3AB6D3" w:rsidR="006578ED" w:rsidRDefault="00A1618E">
            <w:pPr>
              <w:pStyle w:val="P68B1DB1-Normal13"/>
              <w:spacing w:after="0" w:line="240" w:lineRule="auto"/>
              <w:rPr>
                <w:rFonts w:cs="Times New Roman"/>
                <w:noProof/>
              </w:rPr>
            </w:pPr>
            <w:r>
              <w:rPr>
                <w:noProof/>
              </w:rPr>
              <w:t>Co najmniej 70 stacji „Cercanías” ulepszonych przez ADIF głównie pod względem robót związanych z dostępnością oraz nowych lub wyremontowanych torów kolejowych</w:t>
            </w:r>
          </w:p>
          <w:p w14:paraId="20559573" w14:textId="10C49A86" w:rsidR="006578ED" w:rsidRDefault="00A1618E">
            <w:pPr>
              <w:pStyle w:val="P68B1DB1-Normal13"/>
              <w:spacing w:after="0" w:line="240" w:lineRule="auto"/>
              <w:rPr>
                <w:rFonts w:cs="Times New Roman"/>
                <w:noProof/>
              </w:rPr>
            </w:pPr>
            <w:r>
              <w:rPr>
                <w:noProof/>
              </w:rPr>
              <w:t>(Podstawa: 31 grudnia 20</w:t>
            </w:r>
            <w:r w:rsidRPr="00A1618E">
              <w:rPr>
                <w:noProof/>
                <w:lang w:val="pl-PL"/>
              </w:rPr>
              <w:t>23 r.</w:t>
            </w:r>
            <w:r>
              <w:rPr>
                <w:noProof/>
              </w:rPr>
              <w:t>)</w:t>
            </w:r>
          </w:p>
        </w:tc>
      </w:tr>
    </w:tbl>
    <w:p w14:paraId="4EDD7DA2" w14:textId="1CB3545C" w:rsidR="006578ED" w:rsidRDefault="006578ED">
      <w:pPr>
        <w:rPr>
          <w:rFonts w:ascii="Times New Roman" w:hAnsi="Times New Roman" w:cs="Times New Roman"/>
          <w:noProof/>
        </w:rPr>
      </w:pPr>
    </w:p>
    <w:p w14:paraId="1367D495" w14:textId="77777777" w:rsidR="006578ED" w:rsidRDefault="006578ED">
      <w:pPr>
        <w:rPr>
          <w:rFonts w:ascii="Times New Roman" w:hAnsi="Times New Roman" w:cs="Times New Roman"/>
          <w:noProof/>
        </w:rPr>
      </w:pPr>
    </w:p>
    <w:p w14:paraId="69DAA9C7" w14:textId="6DF030F0" w:rsidR="006578ED" w:rsidRDefault="006578ED">
      <w:pPr>
        <w:rPr>
          <w:rFonts w:ascii="Times New Roman" w:hAnsi="Times New Roman" w:cs="Times New Roman"/>
          <w:noProof/>
        </w:rPr>
      </w:pPr>
    </w:p>
    <w:p w14:paraId="5BB82DF8" w14:textId="6DF030F0" w:rsidR="006578ED" w:rsidRDefault="006578ED">
      <w:pPr>
        <w:rPr>
          <w:rFonts w:ascii="Times New Roman" w:hAnsi="Times New Roman" w:cs="Times New Roman"/>
          <w:noProof/>
          <w:sz w:val="24"/>
        </w:rPr>
      </w:pPr>
    </w:p>
    <w:p w14:paraId="1BC42712" w14:textId="77777777" w:rsidR="006578ED" w:rsidRDefault="006578ED">
      <w:pPr>
        <w:rPr>
          <w:rFonts w:ascii="Times New Roman" w:hAnsi="Times New Roman" w:cs="Times New Roman"/>
          <w:noProof/>
          <w:sz w:val="24"/>
        </w:rPr>
        <w:sectPr w:rsidR="006578ED" w:rsidSect="00BF0BE2">
          <w:headerReference w:type="even" r:id="rId24"/>
          <w:headerReference w:type="default" r:id="rId25"/>
          <w:footerReference w:type="even" r:id="rId26"/>
          <w:footerReference w:type="default" r:id="rId27"/>
          <w:headerReference w:type="first" r:id="rId28"/>
          <w:footerReference w:type="first" r:id="rId29"/>
          <w:pgSz w:w="16839" w:h="11907" w:orient="landscape"/>
          <w:pgMar w:top="1417" w:right="1134" w:bottom="1417" w:left="1134" w:header="709" w:footer="709" w:gutter="0"/>
          <w:cols w:space="720"/>
          <w:docGrid w:linePitch="360"/>
        </w:sectPr>
      </w:pPr>
    </w:p>
    <w:p w14:paraId="6EB2900A" w14:textId="6D080D58" w:rsidR="006578ED" w:rsidRDefault="00A1618E">
      <w:pPr>
        <w:pStyle w:val="P68B1DB1-Normal8"/>
        <w:spacing w:before="120" w:after="120" w:line="240" w:lineRule="auto"/>
        <w:jc w:val="both"/>
        <w:rPr>
          <w:rFonts w:cs="Times New Roman"/>
          <w:b/>
          <w:noProof/>
          <w:sz w:val="24"/>
          <w:u w:val="single"/>
        </w:rPr>
      </w:pPr>
      <w:r>
        <w:rPr>
          <w:b/>
          <w:noProof/>
          <w:sz w:val="24"/>
          <w:u w:val="single"/>
        </w:rPr>
        <w:t xml:space="preserve">A.4. </w:t>
      </w:r>
      <w:r>
        <w:rPr>
          <w:noProof/>
        </w:rPr>
        <w:tab/>
      </w:r>
      <w:r>
        <w:rPr>
          <w:b/>
          <w:noProof/>
          <w:sz w:val="24"/>
          <w:u w:val="single"/>
        </w:rPr>
        <w:t>Opis reform i inwestycji na potrzeby wsparcia w formie pożyczki</w:t>
      </w:r>
    </w:p>
    <w:p w14:paraId="6080E2C9" w14:textId="46FBA745" w:rsidR="006578ED" w:rsidRDefault="00A1618E">
      <w:pPr>
        <w:pStyle w:val="P68B1DB1-Normal6"/>
        <w:spacing w:before="120" w:after="120" w:line="240" w:lineRule="auto"/>
        <w:jc w:val="both"/>
        <w:rPr>
          <w:rFonts w:cs="Times New Roman"/>
          <w:noProof/>
        </w:rPr>
      </w:pPr>
      <w:r>
        <w:rPr>
          <w:noProof/>
        </w:rPr>
        <w:t>Reforma 3 (C1.R3) – dekret królewski regulujący minimalne kryteria dla stref niskiej emisji</w:t>
      </w:r>
    </w:p>
    <w:p w14:paraId="5FFDA65D" w14:textId="0C3089C6" w:rsidR="006578ED" w:rsidRDefault="00A1618E">
      <w:pPr>
        <w:pStyle w:val="P68B1DB1-Normal4"/>
        <w:spacing w:before="120" w:after="120" w:line="240" w:lineRule="auto"/>
        <w:jc w:val="both"/>
        <w:rPr>
          <w:rFonts w:cs="Times New Roman"/>
          <w:noProof/>
        </w:rPr>
      </w:pPr>
      <w:r>
        <w:rPr>
          <w:noProof/>
        </w:rPr>
        <w:t>Celem tej reformy jest wejście w życie dekretu królewskiego 1052/2022 z dnia 27 grudnia 20</w:t>
      </w:r>
      <w:r w:rsidRPr="00A1618E">
        <w:rPr>
          <w:noProof/>
          <w:lang w:val="pl-PL"/>
        </w:rPr>
        <w:t>22 r.</w:t>
      </w:r>
      <w:r>
        <w:rPr>
          <w:noProof/>
        </w:rPr>
        <w:t xml:space="preserve"> określającego minimalne wymogi, które muszą spełniać strefy niskiej emisji (LEZ) ustanowione przez władze lokalne w gminach liczących ponad 50000 mieszkańców i terytoriów wyspiarskich zgodnie z wymogami prawnymi ustanowionymi w </w:t>
      </w:r>
      <w:r w:rsidRPr="00A1618E">
        <w:rPr>
          <w:noProof/>
          <w:lang w:val="pl-PL"/>
        </w:rPr>
        <w:t>art. 1</w:t>
      </w:r>
      <w:r>
        <w:rPr>
          <w:noProof/>
        </w:rPr>
        <w:t xml:space="preserve">4 </w:t>
      </w:r>
      <w:r w:rsidRPr="00A1618E">
        <w:rPr>
          <w:noProof/>
          <w:lang w:val="pl-PL"/>
        </w:rPr>
        <w:t>ust. 3</w:t>
      </w:r>
      <w:r>
        <w:rPr>
          <w:noProof/>
        </w:rPr>
        <w:t xml:space="preserve"> ustawy </w:t>
      </w:r>
      <w:r w:rsidRPr="00A1618E">
        <w:rPr>
          <w:noProof/>
          <w:lang w:val="pl-PL"/>
        </w:rPr>
        <w:t>nr 7</w:t>
      </w:r>
      <w:r>
        <w:rPr>
          <w:noProof/>
        </w:rPr>
        <w:t xml:space="preserve">/2021 z dnia 20 maja. </w:t>
      </w:r>
    </w:p>
    <w:p w14:paraId="3821A1C6" w14:textId="68E9ABE3" w:rsidR="006578ED" w:rsidRDefault="00A1618E">
      <w:pPr>
        <w:pStyle w:val="P68B1DB1-Normal4"/>
        <w:spacing w:before="120" w:after="120" w:line="240" w:lineRule="auto"/>
        <w:jc w:val="both"/>
        <w:rPr>
          <w:rFonts w:cs="Times New Roman"/>
          <w:noProof/>
        </w:rPr>
      </w:pPr>
      <w:r>
        <w:rPr>
          <w:noProof/>
        </w:rPr>
        <w:t xml:space="preserve">Te minimalne wymogi określone w dekrecie królewskim obejmują: </w:t>
      </w:r>
    </w:p>
    <w:p w14:paraId="331A4407" w14:textId="63DD35C6" w:rsidR="006578ED" w:rsidRDefault="00A1618E">
      <w:pPr>
        <w:pStyle w:val="P68B1DB1-Normal4"/>
        <w:spacing w:before="120" w:after="120" w:line="240" w:lineRule="auto"/>
        <w:jc w:val="both"/>
        <w:rPr>
          <w:rFonts w:cs="Times New Roman"/>
          <w:noProof/>
        </w:rPr>
      </w:pPr>
      <w:r>
        <w:rPr>
          <w:noProof/>
        </w:rPr>
        <w:t>— spoczywający na władzach lokalnych obowiązek określenia konkretnych środków, które należy wdrożyć, aby osiągnąć cele lokalnych stref ekonomicznych, polegające na poprawie jakości powietrza i łagodzeniu skutków zmiany klimatu, a także na wspieraniu realizacji celów w zakresie hałasu, mobilności zgodnej z zasadami zrównoważonego rozwoju i efektywności energetycznej w korzystaniu ze środków transportu. Środki te mają na celu zachęcanie do przesunięcia międzygałęziowego w kierunku bardziej zrównoważonych rodzajów transportu, nadając priorytet aktywnej mobilności i transportowi publicznemu.</w:t>
      </w:r>
    </w:p>
    <w:p w14:paraId="4B535B1A" w14:textId="0D05AA99" w:rsidR="006578ED" w:rsidRDefault="00A1618E">
      <w:pPr>
        <w:pStyle w:val="P68B1DB1-Normal4"/>
        <w:spacing w:before="120" w:after="120" w:line="240" w:lineRule="auto"/>
        <w:jc w:val="both"/>
        <w:rPr>
          <w:rFonts w:cs="Times New Roman"/>
          <w:noProof/>
        </w:rPr>
      </w:pPr>
      <w:r>
        <w:rPr>
          <w:noProof/>
        </w:rPr>
        <w:t xml:space="preserve">— Obowiązek wyznaczenia LEZ z uwzględnieniem miejsca pochodzenia i miejsca docelowego podróży, w odniesieniu do których uznano za konieczne podjęcie interwencji, poprzez przesunięcie międzygałęziowe lub zachęcanie do ograniczenia podróży. </w:t>
      </w:r>
    </w:p>
    <w:p w14:paraId="65D0042B" w14:textId="46FD938E" w:rsidR="006578ED" w:rsidRDefault="00A1618E">
      <w:pPr>
        <w:pStyle w:val="P68B1DB1-Normal4"/>
        <w:spacing w:before="120" w:after="120" w:line="240" w:lineRule="auto"/>
        <w:jc w:val="both"/>
        <w:rPr>
          <w:rFonts w:cs="Times New Roman"/>
          <w:noProof/>
        </w:rPr>
      </w:pPr>
      <w:r>
        <w:rPr>
          <w:noProof/>
        </w:rPr>
        <w:t xml:space="preserve">Powierzchnia LEZ musi być odpowiednia i wystarczająca do osiągnięcia ustalonych celów i do nich proporcjonalna. Dekret królewski przewiduje, na podstawie decyzji władz lokalnych, możliwość zaprojektowania kilku lokalnych stref ekonomicznych w większych miastach, a także na obszarach wyspiarskich. </w:t>
      </w:r>
    </w:p>
    <w:p w14:paraId="0A17EE4E" w14:textId="6A76C8DB" w:rsidR="006578ED" w:rsidRDefault="00A1618E">
      <w:pPr>
        <w:pStyle w:val="P68B1DB1-Normal4"/>
        <w:spacing w:before="120" w:after="120" w:line="240" w:lineRule="auto"/>
        <w:jc w:val="both"/>
        <w:rPr>
          <w:rFonts w:cs="Times New Roman"/>
          <w:noProof/>
        </w:rPr>
      </w:pPr>
      <w:r>
        <w:rPr>
          <w:noProof/>
        </w:rPr>
        <w:t>— Określenie wymiernych celów w zakresie jakości powietrza prowadzących do poprawy w porównaniu z sytuacją wyjściową bez stref lokalnych. LEZ przyczyniają się dodatkowo do osiągnięcia wartości przewodnich określonych w dyrektywach Światowej Organizacji Zdrowia dotyczących jakości powietrza.</w:t>
      </w:r>
    </w:p>
    <w:p w14:paraId="0C6247AF" w14:textId="5EC1CC5E" w:rsidR="006578ED" w:rsidRDefault="00A1618E">
      <w:pPr>
        <w:pStyle w:val="P68B1DB1-Normal4"/>
        <w:spacing w:before="120" w:after="120" w:line="240" w:lineRule="auto"/>
        <w:jc w:val="both"/>
        <w:rPr>
          <w:rFonts w:cs="Times New Roman"/>
          <w:noProof/>
        </w:rPr>
      </w:pPr>
      <w:r>
        <w:rPr>
          <w:noProof/>
        </w:rPr>
        <w:t xml:space="preserve">Projekt LEZ obejmuje wymierne i wymierne cele w zakresie redukcji emisji gazów cieplarnianych w LSE </w:t>
      </w:r>
      <w:r w:rsidRPr="00A1618E">
        <w:rPr>
          <w:noProof/>
          <w:lang w:val="pl-PL"/>
        </w:rPr>
        <w:t>do 2</w:t>
      </w:r>
      <w:r>
        <w:rPr>
          <w:noProof/>
        </w:rPr>
        <w:t>0</w:t>
      </w:r>
      <w:r w:rsidRPr="00A1618E">
        <w:rPr>
          <w:noProof/>
          <w:lang w:val="pl-PL"/>
        </w:rPr>
        <w:t>30 r.</w:t>
      </w:r>
      <w:r>
        <w:rPr>
          <w:noProof/>
        </w:rPr>
        <w:t xml:space="preserve">, zgodne z celami określonymi w Krajowym Zintegrowanym Planie na rzecz Energii i Klimatu (PNIEC), w szczególności z celem ograniczenia korzystania z prywatnych pojazdów silnikowych w porównaniu z innymi rodzajami transportu. </w:t>
      </w:r>
    </w:p>
    <w:p w14:paraId="17220018" w14:textId="4B4C021A" w:rsidR="006578ED" w:rsidRDefault="00A1618E">
      <w:pPr>
        <w:pStyle w:val="P68B1DB1-Normal4"/>
        <w:spacing w:before="120" w:after="120" w:line="240" w:lineRule="auto"/>
        <w:jc w:val="both"/>
        <w:rPr>
          <w:rFonts w:cs="Times New Roman"/>
          <w:noProof/>
        </w:rPr>
      </w:pPr>
      <w:r>
        <w:rPr>
          <w:noProof/>
        </w:rPr>
        <w:t xml:space="preserve">Zakazy lub ograniczenia dotyczące dostępu, ruchu i parkowania pojazdów, w zależności od ich potencjału zanieczyszczającego. </w:t>
      </w:r>
    </w:p>
    <w:p w14:paraId="49F755DC" w14:textId="4A97D0CF" w:rsidR="006578ED" w:rsidRDefault="00A1618E">
      <w:pPr>
        <w:pStyle w:val="P68B1DB1-Normal4"/>
        <w:spacing w:before="120" w:after="120" w:line="240" w:lineRule="auto"/>
        <w:jc w:val="both"/>
        <w:rPr>
          <w:rFonts w:cs="Times New Roman"/>
          <w:noProof/>
        </w:rPr>
      </w:pPr>
      <w:r>
        <w:rPr>
          <w:noProof/>
        </w:rPr>
        <w:t>Dekret królewski przyznaje już istniejącym LEZ utworzonym przed zatwierdzeniem dekretu królewskiego 1052/2022 okres przejściowy wynoszący 18 miesięcy w celu dostosowania się do tych minimalnych wymogów.</w:t>
      </w:r>
    </w:p>
    <w:p w14:paraId="5A9B3D10" w14:textId="1AE292D4" w:rsidR="006578ED" w:rsidRDefault="00A1618E">
      <w:pPr>
        <w:pStyle w:val="P68B1DB1-Normal4"/>
        <w:spacing w:after="0"/>
        <w:rPr>
          <w:rFonts w:cs="Times New Roman"/>
          <w:noProof/>
        </w:rPr>
      </w:pPr>
      <w:r>
        <w:rPr>
          <w:noProof/>
        </w:rPr>
        <w:t>Wdrożenie środka zostanie zakończone do grudnia 20</w:t>
      </w:r>
      <w:r w:rsidRPr="00A1618E">
        <w:rPr>
          <w:noProof/>
          <w:lang w:val="pl-PL"/>
        </w:rPr>
        <w:t>22 r.</w:t>
      </w:r>
      <w:r>
        <w:rPr>
          <w:noProof/>
        </w:rPr>
        <w:t xml:space="preserve"> </w:t>
      </w:r>
    </w:p>
    <w:p w14:paraId="7FBD4578" w14:textId="3C3D3D0F" w:rsidR="006578ED" w:rsidRDefault="006578ED">
      <w:pPr>
        <w:spacing w:before="120" w:after="120" w:line="240" w:lineRule="auto"/>
        <w:rPr>
          <w:rFonts w:ascii="Times New Roman" w:eastAsia="Times New Roman" w:hAnsi="Times New Roman" w:cs="Times New Roman"/>
          <w:noProof/>
          <w:sz w:val="24"/>
        </w:rPr>
      </w:pPr>
    </w:p>
    <w:p w14:paraId="01CE9A3D" w14:textId="4D5B58E1" w:rsidR="006578ED" w:rsidRDefault="00A1618E">
      <w:pPr>
        <w:pStyle w:val="P68B1DB1-Normal15"/>
        <w:spacing w:before="120" w:after="120" w:line="240" w:lineRule="auto"/>
        <w:ind w:left="720"/>
        <w:jc w:val="both"/>
        <w:rPr>
          <w:rFonts w:cs="Times New Roman"/>
          <w:b/>
          <w:noProof/>
          <w:sz w:val="24"/>
        </w:rPr>
      </w:pPr>
      <w:r>
        <w:rPr>
          <w:b/>
          <w:noProof/>
          <w:sz w:val="24"/>
        </w:rPr>
        <w:t xml:space="preserve">A.5. </w:t>
      </w:r>
      <w:r>
        <w:rPr>
          <w:noProof/>
        </w:rPr>
        <w:tab/>
      </w:r>
      <w:r>
        <w:rPr>
          <w:b/>
          <w:noProof/>
          <w:sz w:val="24"/>
        </w:rPr>
        <w:t>Cele pośrednie, wartości docelowe, wskaźniki oraz harmonogram monitorowania i wdrażania wsparcia w formie pożyczek</w:t>
      </w:r>
    </w:p>
    <w:p w14:paraId="25E41C73" w14:textId="472CB475" w:rsidR="006578ED" w:rsidRDefault="00A1618E">
      <w:pPr>
        <w:pStyle w:val="P68B1DB1-Normal4"/>
        <w:spacing w:before="120" w:after="120" w:line="240" w:lineRule="auto"/>
        <w:jc w:val="both"/>
        <w:rPr>
          <w:rFonts w:cs="Times New Roman"/>
          <w:i/>
          <w:noProof/>
        </w:rPr>
        <w:sectPr w:rsidR="006578ED" w:rsidSect="00BF0BE2">
          <w:headerReference w:type="even" r:id="rId30"/>
          <w:headerReference w:type="default" r:id="rId31"/>
          <w:footerReference w:type="even" r:id="rId32"/>
          <w:footerReference w:type="default" r:id="rId33"/>
          <w:headerReference w:type="first" r:id="rId34"/>
          <w:footerReference w:type="first" r:id="rId35"/>
          <w:pgSz w:w="11907" w:h="16839"/>
          <w:pgMar w:top="1134" w:right="1417" w:bottom="1134" w:left="1417" w:header="709" w:footer="709" w:gutter="0"/>
          <w:cols w:space="720"/>
          <w:docGrid w:linePitch="360"/>
        </w:sect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3592CA0E" w14:textId="7BF58D31" w:rsidR="006578ED" w:rsidRDefault="006578ED">
      <w:pPr>
        <w:spacing w:before="120" w:after="120" w:line="240" w:lineRule="auto"/>
        <w:jc w:val="both"/>
        <w:rPr>
          <w:rFonts w:ascii="Times New Roman" w:hAnsi="Times New Roman" w:cs="Times New Roman"/>
          <w:i/>
          <w:noProof/>
          <w:sz w:val="24"/>
        </w:rPr>
      </w:pPr>
    </w:p>
    <w:tbl>
      <w:tblPr>
        <w:tblW w:w="1516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567"/>
        <w:gridCol w:w="850"/>
        <w:gridCol w:w="425"/>
        <w:gridCol w:w="567"/>
        <w:gridCol w:w="5387"/>
      </w:tblGrid>
      <w:tr w:rsidR="006578ED" w14:paraId="6BD95B45" w14:textId="77777777">
        <w:trPr>
          <w:trHeight w:val="309"/>
          <w:tblHeader/>
        </w:trPr>
        <w:tc>
          <w:tcPr>
            <w:tcW w:w="709" w:type="dxa"/>
            <w:tcBorders>
              <w:bottom w:val="nil"/>
            </w:tcBorders>
            <w:shd w:val="clear" w:color="auto" w:fill="C6D9F1" w:themeFill="text2" w:themeFillTint="33"/>
            <w:noWrap/>
          </w:tcPr>
          <w:p w14:paraId="1AACD3FD"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tcPr>
          <w:p w14:paraId="734D5A56"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tcPr>
          <w:p w14:paraId="798F95BE" w14:textId="3802D86A"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977" w:type="dxa"/>
            <w:tcBorders>
              <w:bottom w:val="nil"/>
            </w:tcBorders>
            <w:shd w:val="clear" w:color="auto" w:fill="C6D9F1" w:themeFill="text2" w:themeFillTint="33"/>
            <w:noWrap/>
          </w:tcPr>
          <w:p w14:paraId="147087A6" w14:textId="77777777" w:rsidR="006578ED" w:rsidRDefault="00A1618E">
            <w:pPr>
              <w:pStyle w:val="P68B1DB1-Normal12"/>
              <w:spacing w:after="0" w:line="240" w:lineRule="auto"/>
              <w:jc w:val="center"/>
              <w:rPr>
                <w:rFonts w:cs="Times New Roman"/>
                <w:noProof/>
              </w:rPr>
            </w:pPr>
            <w:r>
              <w:rPr>
                <w:noProof/>
              </w:rPr>
              <w:t>Nazwa</w:t>
            </w:r>
          </w:p>
        </w:tc>
        <w:tc>
          <w:tcPr>
            <w:tcW w:w="1134" w:type="dxa"/>
            <w:tcBorders>
              <w:bottom w:val="nil"/>
            </w:tcBorders>
            <w:shd w:val="clear" w:color="auto" w:fill="C6D9F1" w:themeFill="text2" w:themeFillTint="33"/>
            <w:noWrap/>
          </w:tcPr>
          <w:p w14:paraId="3C1094E4"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268" w:type="dxa"/>
            <w:gridSpan w:val="3"/>
            <w:shd w:val="clear" w:color="auto" w:fill="C6D9F1" w:themeFill="text2" w:themeFillTint="33"/>
            <w:noWrap/>
          </w:tcPr>
          <w:p w14:paraId="632CC166"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tcPr>
          <w:p w14:paraId="47044656" w14:textId="77777777" w:rsidR="006578ED" w:rsidRDefault="00A1618E">
            <w:pPr>
              <w:pStyle w:val="P68B1DB1-Normal12"/>
              <w:spacing w:after="0" w:line="240" w:lineRule="auto"/>
              <w:jc w:val="center"/>
              <w:rPr>
                <w:rFonts w:cs="Times New Roman"/>
                <w:noProof/>
              </w:rPr>
            </w:pPr>
            <w:r>
              <w:rPr>
                <w:noProof/>
              </w:rPr>
              <w:t>Czas</w:t>
            </w:r>
          </w:p>
        </w:tc>
        <w:tc>
          <w:tcPr>
            <w:tcW w:w="5387" w:type="dxa"/>
            <w:tcBorders>
              <w:bottom w:val="nil"/>
            </w:tcBorders>
            <w:shd w:val="clear" w:color="auto" w:fill="C6D9F1" w:themeFill="text2" w:themeFillTint="33"/>
            <w:noWrap/>
          </w:tcPr>
          <w:p w14:paraId="0A0B3ABF" w14:textId="0B61DA05"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148BE033" w14:textId="77777777">
        <w:trPr>
          <w:trHeight w:val="309"/>
          <w:tblHeader/>
        </w:trPr>
        <w:tc>
          <w:tcPr>
            <w:tcW w:w="709" w:type="dxa"/>
            <w:tcBorders>
              <w:top w:val="nil"/>
            </w:tcBorders>
            <w:shd w:val="clear" w:color="auto" w:fill="C6D9F1" w:themeFill="text2" w:themeFillTint="33"/>
            <w:noWrap/>
          </w:tcPr>
          <w:p w14:paraId="0C8F5484"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1A9F589"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203D81B5" w14:textId="77777777" w:rsidR="006578ED" w:rsidRDefault="006578ED">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72A5B6D2" w14:textId="77777777" w:rsidR="006578ED" w:rsidRDefault="006578ED">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5A638DB9" w14:textId="77777777" w:rsidR="006578ED" w:rsidRDefault="006578ED">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3840E0BA"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tcPr>
          <w:p w14:paraId="2BFA1657" w14:textId="77777777" w:rsidR="006578ED" w:rsidRDefault="00A1618E">
            <w:pPr>
              <w:pStyle w:val="P68B1DB1-Normal12"/>
              <w:spacing w:after="0" w:line="240" w:lineRule="auto"/>
              <w:jc w:val="center"/>
              <w:rPr>
                <w:rFonts w:cs="Times New Roman"/>
                <w:noProof/>
              </w:rPr>
            </w:pPr>
            <w:r>
              <w:rPr>
                <w:noProof/>
              </w:rPr>
              <w:t>Wartość wyjściowa</w:t>
            </w:r>
          </w:p>
        </w:tc>
        <w:tc>
          <w:tcPr>
            <w:tcW w:w="850" w:type="dxa"/>
            <w:shd w:val="clear" w:color="auto" w:fill="C6D9F1" w:themeFill="text2" w:themeFillTint="33"/>
            <w:noWrap/>
          </w:tcPr>
          <w:p w14:paraId="3437C81F"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tcPr>
          <w:p w14:paraId="5B050FCC"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6C3BEA56" w14:textId="77777777" w:rsidR="006578ED" w:rsidRDefault="00A1618E">
            <w:pPr>
              <w:pStyle w:val="P68B1DB1-Normal12"/>
              <w:spacing w:after="0" w:line="240" w:lineRule="auto"/>
              <w:jc w:val="center"/>
              <w:rPr>
                <w:rFonts w:cs="Times New Roman"/>
                <w:noProof/>
              </w:rPr>
            </w:pPr>
            <w:r>
              <w:rPr>
                <w:noProof/>
              </w:rPr>
              <w:t>Rok</w:t>
            </w:r>
          </w:p>
        </w:tc>
        <w:tc>
          <w:tcPr>
            <w:tcW w:w="5387" w:type="dxa"/>
            <w:tcBorders>
              <w:top w:val="nil"/>
            </w:tcBorders>
            <w:shd w:val="clear" w:color="auto" w:fill="C6D9F1" w:themeFill="text2" w:themeFillTint="33"/>
            <w:noWrap/>
          </w:tcPr>
          <w:p w14:paraId="5199CE4A" w14:textId="77777777" w:rsidR="006578ED" w:rsidRDefault="006578ED">
            <w:pPr>
              <w:spacing w:after="0" w:line="240" w:lineRule="auto"/>
              <w:rPr>
                <w:rFonts w:ascii="Times New Roman" w:hAnsi="Times New Roman" w:cs="Times New Roman"/>
                <w:b/>
                <w:noProof/>
                <w:sz w:val="18"/>
              </w:rPr>
            </w:pPr>
          </w:p>
        </w:tc>
      </w:tr>
      <w:tr w:rsidR="006578ED" w14:paraId="3E464E53" w14:textId="77777777">
        <w:trPr>
          <w:trHeight w:val="1382"/>
        </w:trPr>
        <w:tc>
          <w:tcPr>
            <w:tcW w:w="709" w:type="dxa"/>
            <w:shd w:val="clear" w:color="auto" w:fill="C6EFCE"/>
            <w:noWrap/>
          </w:tcPr>
          <w:p w14:paraId="5524CCE8" w14:textId="42F22272" w:rsidR="006578ED" w:rsidRDefault="00A1618E">
            <w:pPr>
              <w:spacing w:after="0" w:line="240" w:lineRule="auto"/>
              <w:jc w:val="center"/>
              <w:rPr>
                <w:rFonts w:ascii="Times New Roman" w:eastAsia="MS Mincho" w:hAnsi="Times New Roman" w:cs="Times New Roman"/>
                <w:noProof/>
                <w:sz w:val="18"/>
              </w:rPr>
            </w:pPr>
            <w:r>
              <w:rPr>
                <w:rFonts w:ascii="Times New Roman" w:hAnsi="Times New Roman"/>
                <w:noProof/>
                <w:sz w:val="18"/>
              </w:rPr>
              <w:t>L1</w:t>
            </w:r>
            <w:r>
              <w:rPr>
                <w:rFonts w:ascii="Arial" w:hAnsi="Arial"/>
                <w:b/>
                <w:noProof/>
                <w:sz w:val="48"/>
              </w:rPr>
              <w:t xml:space="preserve"> </w:t>
            </w:r>
            <w:r>
              <w:rPr>
                <w:rFonts w:ascii="Arial" w:hAnsi="Arial"/>
                <w:b/>
                <w:noProof/>
                <w:sz w:val="48"/>
              </w:rPr>
              <w:tab/>
            </w:r>
            <w:r>
              <w:rPr>
                <w:rFonts w:ascii="Arial" w:hAnsi="Arial"/>
                <w:b/>
                <w:noProof/>
                <w:sz w:val="48"/>
              </w:rPr>
              <w:tab/>
            </w:r>
            <w:r>
              <w:rPr>
                <w:noProof/>
              </w:rPr>
              <w:tab/>
            </w:r>
          </w:p>
        </w:tc>
        <w:tc>
          <w:tcPr>
            <w:tcW w:w="851" w:type="dxa"/>
            <w:shd w:val="clear" w:color="auto" w:fill="C6EFCE"/>
            <w:noWrap/>
          </w:tcPr>
          <w:p w14:paraId="7FD5CBF3" w14:textId="6A46C06E" w:rsidR="006578ED" w:rsidRDefault="00A1618E">
            <w:pPr>
              <w:pStyle w:val="P68B1DB1-Normal13"/>
              <w:spacing w:after="0" w:line="240" w:lineRule="auto"/>
              <w:jc w:val="center"/>
              <w:rPr>
                <w:rFonts w:eastAsia="MS Mincho" w:cs="Times New Roman"/>
                <w:noProof/>
              </w:rPr>
            </w:pPr>
            <w:r>
              <w:rPr>
                <w:noProof/>
              </w:rPr>
              <w:t>C1.R3</w:t>
            </w:r>
          </w:p>
        </w:tc>
        <w:tc>
          <w:tcPr>
            <w:tcW w:w="850" w:type="dxa"/>
            <w:shd w:val="clear" w:color="auto" w:fill="C6EFCE"/>
            <w:noWrap/>
          </w:tcPr>
          <w:p w14:paraId="47FE2A27" w14:textId="36C33C39" w:rsidR="006578ED" w:rsidRDefault="00AF6B91">
            <w:pPr>
              <w:pStyle w:val="P68B1DB1-Normal13"/>
              <w:spacing w:after="0" w:line="240" w:lineRule="auto"/>
              <w:jc w:val="center"/>
              <w:rPr>
                <w:rFonts w:eastAsia="MS Mincho" w:cs="Times New Roman"/>
                <w:noProof/>
              </w:rPr>
            </w:pPr>
            <w:r>
              <w:rPr>
                <w:noProof/>
              </w:rPr>
              <w:t>Kamień milowy</w:t>
            </w:r>
          </w:p>
        </w:tc>
        <w:tc>
          <w:tcPr>
            <w:tcW w:w="2977" w:type="dxa"/>
            <w:shd w:val="clear" w:color="auto" w:fill="C6EFCE"/>
            <w:noWrap/>
          </w:tcPr>
          <w:p w14:paraId="7CA40430" w14:textId="05B04CE3" w:rsidR="006578ED" w:rsidRDefault="00A1618E">
            <w:pPr>
              <w:pStyle w:val="P68B1DB1-Normal13"/>
              <w:spacing w:after="0" w:line="240" w:lineRule="auto"/>
              <w:rPr>
                <w:rFonts w:eastAsia="MS Mincho" w:cs="Times New Roman"/>
                <w:noProof/>
              </w:rPr>
            </w:pPr>
            <w:r>
              <w:rPr>
                <w:noProof/>
              </w:rPr>
              <w:t>Wejście w życie dekretu królewskiego w sprawie stref niskiej emisji (LEZ)</w:t>
            </w:r>
          </w:p>
        </w:tc>
        <w:tc>
          <w:tcPr>
            <w:tcW w:w="1134" w:type="dxa"/>
            <w:shd w:val="clear" w:color="auto" w:fill="C6EFCE"/>
            <w:noWrap/>
          </w:tcPr>
          <w:p w14:paraId="3B41A677" w14:textId="1106C7D3" w:rsidR="006578ED" w:rsidRDefault="00A1618E">
            <w:pPr>
              <w:pStyle w:val="P68B1DB1-Normal13"/>
              <w:spacing w:after="0" w:line="240" w:lineRule="auto"/>
              <w:jc w:val="center"/>
              <w:rPr>
                <w:rFonts w:eastAsia="MS Mincho" w:cs="Times New Roman"/>
                <w:noProof/>
              </w:rPr>
            </w:pPr>
            <w:r>
              <w:rPr>
                <w:noProof/>
              </w:rPr>
              <w:t>Przepis dekretu królewskiego z mocą ustawy wskazujący na jego wejście w życie</w:t>
            </w:r>
          </w:p>
        </w:tc>
        <w:tc>
          <w:tcPr>
            <w:tcW w:w="851" w:type="dxa"/>
            <w:shd w:val="clear" w:color="auto" w:fill="C6EFCE"/>
            <w:noWrap/>
          </w:tcPr>
          <w:p w14:paraId="609BF4FA"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5A11FB2D"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850" w:type="dxa"/>
            <w:shd w:val="clear" w:color="auto" w:fill="C6EFCE"/>
            <w:noWrap/>
          </w:tcPr>
          <w:p w14:paraId="7EDDDDD0"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2093670E" w14:textId="0B3AA47F"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51E54C8A" w14:textId="6B1993A0"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4B63CC5" w14:textId="20BB6982" w:rsidR="006578ED" w:rsidRDefault="00A1618E">
            <w:pPr>
              <w:pStyle w:val="P68B1DB1-Normal13"/>
              <w:spacing w:after="0" w:line="240" w:lineRule="auto"/>
              <w:rPr>
                <w:rFonts w:eastAsia="MS Mincho" w:cs="Times New Roman"/>
                <w:noProof/>
              </w:rPr>
            </w:pPr>
            <w:r>
              <w:rPr>
                <w:noProof/>
              </w:rPr>
              <w:t>Wejście w życie dekretu królewskiego 1052/2022 z dnia 27 grudnia, który reguluje strefy niskiej emisji (LEZ)</w:t>
            </w:r>
          </w:p>
        </w:tc>
      </w:tr>
    </w:tbl>
    <w:p w14:paraId="308E1221" w14:textId="77777777" w:rsidR="006578ED" w:rsidRDefault="006578ED">
      <w:pPr>
        <w:spacing w:before="120" w:after="120" w:line="240" w:lineRule="auto"/>
        <w:jc w:val="both"/>
        <w:rPr>
          <w:rFonts w:ascii="Times New Roman" w:hAnsi="Times New Roman" w:cs="Times New Roman"/>
          <w:i/>
          <w:noProof/>
          <w:sz w:val="24"/>
        </w:rPr>
      </w:pPr>
    </w:p>
    <w:p w14:paraId="1FC01242" w14:textId="77777777" w:rsidR="006578ED" w:rsidRDefault="006578ED">
      <w:pPr>
        <w:spacing w:before="120" w:after="120" w:line="240" w:lineRule="auto"/>
        <w:jc w:val="both"/>
        <w:rPr>
          <w:rFonts w:ascii="Times New Roman" w:hAnsi="Times New Roman" w:cs="Times New Roman"/>
          <w:i/>
          <w:noProof/>
          <w:sz w:val="24"/>
        </w:rPr>
      </w:pPr>
    </w:p>
    <w:p w14:paraId="7A221F47" w14:textId="77777777" w:rsidR="006578ED" w:rsidRDefault="006578ED">
      <w:pPr>
        <w:spacing w:before="120" w:after="120" w:line="240" w:lineRule="auto"/>
        <w:jc w:val="both"/>
        <w:rPr>
          <w:rFonts w:ascii="Times New Roman" w:hAnsi="Times New Roman" w:cs="Times New Roman"/>
          <w:i/>
          <w:noProof/>
          <w:sz w:val="24"/>
        </w:rPr>
      </w:pPr>
    </w:p>
    <w:p w14:paraId="2AC58087" w14:textId="77777777" w:rsidR="006578ED" w:rsidRDefault="006578ED">
      <w:pPr>
        <w:spacing w:before="120" w:after="120" w:line="240" w:lineRule="auto"/>
        <w:jc w:val="both"/>
        <w:rPr>
          <w:rFonts w:ascii="Times New Roman" w:hAnsi="Times New Roman" w:cs="Times New Roman"/>
          <w:i/>
          <w:noProof/>
          <w:sz w:val="24"/>
        </w:rPr>
      </w:pPr>
    </w:p>
    <w:p w14:paraId="40B73690" w14:textId="77777777" w:rsidR="006578ED" w:rsidRDefault="006578ED">
      <w:pPr>
        <w:spacing w:before="120" w:after="120" w:line="240" w:lineRule="auto"/>
        <w:jc w:val="both"/>
        <w:rPr>
          <w:rFonts w:ascii="Times New Roman" w:hAnsi="Times New Roman" w:cs="Times New Roman"/>
          <w:i/>
          <w:noProof/>
          <w:sz w:val="24"/>
        </w:rPr>
      </w:pPr>
    </w:p>
    <w:p w14:paraId="3FB8C7C8" w14:textId="77777777" w:rsidR="006578ED" w:rsidRDefault="006578ED">
      <w:pPr>
        <w:spacing w:before="120" w:after="120" w:line="240" w:lineRule="auto"/>
        <w:jc w:val="both"/>
        <w:rPr>
          <w:rFonts w:ascii="Times New Roman" w:hAnsi="Times New Roman" w:cs="Times New Roman"/>
          <w:i/>
          <w:noProof/>
          <w:sz w:val="24"/>
        </w:rPr>
      </w:pPr>
    </w:p>
    <w:p w14:paraId="5810D5C0" w14:textId="77777777" w:rsidR="006578ED" w:rsidRDefault="006578ED">
      <w:pPr>
        <w:spacing w:before="120" w:after="120" w:line="240" w:lineRule="auto"/>
        <w:jc w:val="both"/>
        <w:rPr>
          <w:rFonts w:ascii="Times New Roman" w:hAnsi="Times New Roman" w:cs="Times New Roman"/>
          <w:i/>
          <w:noProof/>
          <w:sz w:val="24"/>
        </w:rPr>
      </w:pPr>
    </w:p>
    <w:p w14:paraId="4FA6A412" w14:textId="77777777" w:rsidR="006578ED" w:rsidRDefault="006578ED">
      <w:pPr>
        <w:spacing w:before="120" w:after="120" w:line="240" w:lineRule="auto"/>
        <w:jc w:val="both"/>
        <w:rPr>
          <w:rFonts w:ascii="Times New Roman" w:hAnsi="Times New Roman" w:cs="Times New Roman"/>
          <w:i/>
          <w:noProof/>
          <w:sz w:val="24"/>
        </w:rPr>
      </w:pPr>
    </w:p>
    <w:p w14:paraId="432AC264" w14:textId="77777777" w:rsidR="006578ED" w:rsidRDefault="006578ED">
      <w:pPr>
        <w:spacing w:before="120" w:after="120" w:line="240" w:lineRule="auto"/>
        <w:jc w:val="both"/>
        <w:rPr>
          <w:rFonts w:ascii="Times New Roman" w:hAnsi="Times New Roman" w:cs="Times New Roman"/>
          <w:i/>
          <w:noProof/>
          <w:sz w:val="24"/>
        </w:rPr>
      </w:pPr>
    </w:p>
    <w:p w14:paraId="207B81E9" w14:textId="77777777" w:rsidR="006578ED" w:rsidRDefault="006578ED">
      <w:pPr>
        <w:spacing w:before="120" w:after="120" w:line="240" w:lineRule="auto"/>
        <w:jc w:val="both"/>
        <w:rPr>
          <w:rFonts w:ascii="Times New Roman" w:hAnsi="Times New Roman" w:cs="Times New Roman"/>
          <w:i/>
          <w:noProof/>
          <w:sz w:val="24"/>
        </w:rPr>
      </w:pPr>
    </w:p>
    <w:p w14:paraId="717E2139" w14:textId="2EE809B8" w:rsidR="006578ED" w:rsidRDefault="006578ED">
      <w:pPr>
        <w:spacing w:before="120" w:after="120" w:line="240" w:lineRule="auto"/>
        <w:jc w:val="both"/>
        <w:rPr>
          <w:rFonts w:ascii="Times New Roman" w:hAnsi="Times New Roman" w:cs="Times New Roman"/>
          <w:i/>
          <w:noProof/>
          <w:sz w:val="24"/>
        </w:rPr>
        <w:sectPr w:rsidR="006578ED" w:rsidSect="00BF0BE2">
          <w:headerReference w:type="even" r:id="rId36"/>
          <w:headerReference w:type="default" r:id="rId37"/>
          <w:footerReference w:type="even" r:id="rId38"/>
          <w:footerReference w:type="default" r:id="rId39"/>
          <w:headerReference w:type="first" r:id="rId40"/>
          <w:footerReference w:type="first" r:id="rId41"/>
          <w:pgSz w:w="16839" w:h="11907" w:orient="landscape"/>
          <w:pgMar w:top="1417" w:right="1134" w:bottom="1417" w:left="1134" w:header="709" w:footer="709" w:gutter="0"/>
          <w:cols w:space="720"/>
          <w:docGrid w:linePitch="360"/>
        </w:sectPr>
      </w:pPr>
    </w:p>
    <w:p w14:paraId="37F82C0A" w14:textId="77777777" w:rsidR="006578ED" w:rsidRDefault="006578ED">
      <w:pPr>
        <w:spacing w:before="120" w:after="120" w:line="240" w:lineRule="auto"/>
        <w:jc w:val="both"/>
        <w:rPr>
          <w:rFonts w:ascii="Times New Roman" w:hAnsi="Times New Roman" w:cs="Times New Roman"/>
          <w:i/>
          <w:noProof/>
          <w:sz w:val="24"/>
        </w:rPr>
      </w:pPr>
    </w:p>
    <w:p w14:paraId="771F135C" w14:textId="0CF2EE13" w:rsidR="006578ED" w:rsidRDefault="00A1618E">
      <w:pPr>
        <w:pStyle w:val="P68B1DB1-Heading12"/>
        <w:rPr>
          <w:rFonts w:cs="Times New Roman"/>
          <w:b w:val="0"/>
          <w:smallCaps w:val="0"/>
          <w:noProof/>
          <w:sz w:val="22"/>
        </w:rPr>
      </w:pPr>
      <w:r>
        <w:rPr>
          <w:noProof/>
        </w:rPr>
        <w:t>B. KOMPONENT 02: Realizacja hiszpańskiej agendy miejskiej: Plan odbudowy i rewitalizacji obszarów miejskich</w:t>
      </w:r>
    </w:p>
    <w:p w14:paraId="4711963D" w14:textId="23CF1AC5" w:rsidR="006578ED" w:rsidRDefault="00A1618E">
      <w:pPr>
        <w:pStyle w:val="P68B1DB1-Normal4"/>
        <w:spacing w:before="120" w:after="120" w:line="240" w:lineRule="auto"/>
        <w:jc w:val="both"/>
        <w:rPr>
          <w:rFonts w:cs="Times New Roman"/>
          <w:noProof/>
        </w:rPr>
      </w:pPr>
      <w:r>
        <w:rPr>
          <w:noProof/>
        </w:rPr>
        <w:t xml:space="preserve">Ten element hiszpańskiego planu odbudowy i zwiększania odporności dotyczy renowacji energetycznej budynków, ich dekarbonizacji oraz poprawy ich jakości i komfortu. Dotyczy ona również mieszkań socjalnych na wynajem, zwiększenia ich zasobów oraz zapewnienia sprawiedliwszej i bardziej sprzyjającej włączeniu społecznemu odbudowy. Ponadto komponent ten ma na celu przeciwdziałanie ubóstwu energetycznemu poprzez wspieranie mieszkań socjalnych lub przystępnych cenowo mieszkań na wynajem. Uwzględniono również działania związane z cyfryzacją. Ten element hiszpańskiego planu odbudowy i zwiększania odporności wspiera wdrażanie hiszpańskiego krajowego planu w dziedzinie energii i klimatu, który przewiduje renowację 1200000 budynków mieszkalnych </w:t>
      </w:r>
      <w:r w:rsidRPr="00A1618E">
        <w:rPr>
          <w:noProof/>
          <w:lang w:val="pl-PL"/>
        </w:rPr>
        <w:t>do 2</w:t>
      </w:r>
      <w:r>
        <w:rPr>
          <w:noProof/>
        </w:rPr>
        <w:t>0</w:t>
      </w:r>
      <w:r w:rsidRPr="00A1618E">
        <w:rPr>
          <w:noProof/>
          <w:lang w:val="pl-PL"/>
        </w:rPr>
        <w:t>30 r.</w:t>
      </w:r>
      <w:r>
        <w:rPr>
          <w:noProof/>
        </w:rPr>
        <w:t xml:space="preserve"> oraz systemów ogrzewania i chłodzenia średnio 300000 budynków mieszkalnych rocznie. W tym kontekście Hiszpania proponuje:</w:t>
      </w:r>
    </w:p>
    <w:p w14:paraId="69D11A7C" w14:textId="77AFC477" w:rsidR="006578ED" w:rsidRDefault="00A1618E">
      <w:pPr>
        <w:pStyle w:val="P68B1DB1-Normal4"/>
        <w:numPr>
          <w:ilvl w:val="0"/>
          <w:numId w:val="68"/>
        </w:numPr>
        <w:spacing w:before="120" w:after="0" w:line="240" w:lineRule="auto"/>
        <w:ind w:left="709" w:hanging="357"/>
        <w:contextualSpacing/>
        <w:jc w:val="both"/>
        <w:rPr>
          <w:rFonts w:cs="Times New Roman"/>
          <w:noProof/>
        </w:rPr>
      </w:pPr>
      <w:r>
        <w:rPr>
          <w:noProof/>
        </w:rPr>
        <w:t>Opracowanie i wdrożenie reform, w tym hiszpańskiej agendy miejskiej, długoterminowej strategii renowacji Hiszpanii, ustawy o mieszkalnictwie, ustawy o poprawie krajobrazu architektonicznego oraz utworzenia punktów kompleksowej obsługi w zakresie renowacji budynków;</w:t>
      </w:r>
    </w:p>
    <w:p w14:paraId="3972EFB7" w14:textId="2C9E89C8" w:rsidR="006578ED" w:rsidRDefault="00A1618E">
      <w:pPr>
        <w:pStyle w:val="P68B1DB1-Normal4"/>
        <w:numPr>
          <w:ilvl w:val="0"/>
          <w:numId w:val="68"/>
        </w:numPr>
        <w:spacing w:before="120" w:after="0" w:line="240" w:lineRule="auto"/>
        <w:ind w:left="709" w:hanging="357"/>
        <w:contextualSpacing/>
        <w:jc w:val="both"/>
        <w:rPr>
          <w:rFonts w:cs="Times New Roman"/>
          <w:noProof/>
        </w:rPr>
      </w:pPr>
      <w:r>
        <w:rPr>
          <w:noProof/>
        </w:rPr>
        <w:t xml:space="preserve">renowację co najmniej 285000 unikalnych lokali mieszkalnych w ramach co najmniej 410000 działań renowacyjnych, co najmniej 600 hektarów obszarów miejskich, odpowiednik co najmniej 40000 budynków mieszkalnych i 690 000 m 2budynków </w:t>
      </w:r>
      <w:r>
        <w:rPr>
          <w:noProof/>
          <w:vertAlign w:val="superscript"/>
        </w:rPr>
        <w:t>niemieszkalnych</w:t>
      </w:r>
      <w:r>
        <w:rPr>
          <w:noProof/>
        </w:rPr>
        <w:t xml:space="preserve">, odpowiednik co najmniej 4300 budynków mieszkalnych i 230 000 m 2 budynków niemieszkalnych </w:t>
      </w:r>
      <w:r w:rsidRPr="00EC188C">
        <w:rPr>
          <w:noProof/>
        </w:rPr>
        <w:t>w</w:t>
      </w:r>
      <w:r>
        <w:rPr>
          <w:noProof/>
        </w:rPr>
        <w:t xml:space="preserve"> gminach i na obszarach miejskich o liczbie mieszkańców poniżej 5000 oraz co najmniej 1 230 000 m 2 budynków publicznych </w:t>
      </w:r>
      <w:r w:rsidRPr="00A1618E">
        <w:rPr>
          <w:noProof/>
          <w:lang w:val="pl-PL"/>
        </w:rPr>
        <w:t>do 2</w:t>
      </w:r>
      <w:r>
        <w:rPr>
          <w:noProof/>
        </w:rPr>
        <w:t>0</w:t>
      </w:r>
      <w:r w:rsidRPr="00A1618E">
        <w:rPr>
          <w:noProof/>
          <w:lang w:val="pl-PL"/>
        </w:rPr>
        <w:t>26 r.</w:t>
      </w:r>
      <w:r>
        <w:rPr>
          <w:noProof/>
        </w:rPr>
        <w:t>, osiągając</w:t>
      </w:r>
      <w:r w:rsidR="00EC188C">
        <w:rPr>
          <w:noProof/>
        </w:rPr>
        <w:t xml:space="preserve"> </w:t>
      </w:r>
      <w:r w:rsidRPr="00EC188C">
        <w:rPr>
          <w:noProof/>
        </w:rPr>
        <w:t>średnio</w:t>
      </w:r>
      <w:r>
        <w:rPr>
          <w:noProof/>
        </w:rPr>
        <w:t xml:space="preserve"> ponad 30 % oszczędności energii pierwotnej, w tym poprzez renowację i modernizację systemów ogrzewania i chłodzenia;</w:t>
      </w:r>
    </w:p>
    <w:p w14:paraId="5283C3B9" w14:textId="0C56E3F1" w:rsidR="006578ED" w:rsidRDefault="00A1618E">
      <w:pPr>
        <w:pStyle w:val="P68B1DB1-Normal4"/>
        <w:numPr>
          <w:ilvl w:val="0"/>
          <w:numId w:val="68"/>
        </w:numPr>
        <w:spacing w:before="120" w:after="0" w:line="240" w:lineRule="auto"/>
        <w:ind w:left="709" w:hanging="357"/>
        <w:contextualSpacing/>
        <w:jc w:val="both"/>
        <w:rPr>
          <w:rFonts w:cs="Times New Roman"/>
          <w:noProof/>
        </w:rPr>
      </w:pPr>
      <w:r>
        <w:rPr>
          <w:noProof/>
        </w:rPr>
        <w:t xml:space="preserve">budowa co najmniej 20000 nowych lokali mieszkalnych do celów czynszu socjalnego lub po przystępnych cenach, przy zapotrzebowaniu na energię pierwotną na poziomie co najmniej 20 % niższym niż zapotrzebowanie budynków o niemal zerowym zużyciu energii; </w:t>
      </w:r>
    </w:p>
    <w:p w14:paraId="24DE2C23" w14:textId="14F483BB" w:rsidR="006578ED" w:rsidRDefault="00A1618E">
      <w:pPr>
        <w:pStyle w:val="P68B1DB1-Normal4"/>
        <w:numPr>
          <w:ilvl w:val="0"/>
          <w:numId w:val="68"/>
        </w:numPr>
        <w:spacing w:before="120" w:after="0" w:line="240" w:lineRule="auto"/>
        <w:ind w:left="709" w:hanging="357"/>
        <w:contextualSpacing/>
        <w:jc w:val="both"/>
        <w:rPr>
          <w:rFonts w:cs="Times New Roman"/>
          <w:noProof/>
        </w:rPr>
      </w:pPr>
      <w:r>
        <w:rPr>
          <w:noProof/>
        </w:rPr>
        <w:t>wdrożenie co najmniej 100 projektów pilotażowych na szczeblu lokalnym, które wspierają efektywność energetyczną i realizację hiszpańskiej agendy miejskiej; oraz</w:t>
      </w:r>
    </w:p>
    <w:p w14:paraId="61840508" w14:textId="3BB9B609" w:rsidR="006578ED" w:rsidRDefault="00A1618E">
      <w:pPr>
        <w:pStyle w:val="P68B1DB1-Normal4"/>
        <w:numPr>
          <w:ilvl w:val="0"/>
          <w:numId w:val="68"/>
        </w:numPr>
        <w:spacing w:before="120" w:after="0" w:line="240" w:lineRule="auto"/>
        <w:ind w:left="709" w:hanging="357"/>
        <w:contextualSpacing/>
        <w:jc w:val="both"/>
        <w:rPr>
          <w:rFonts w:eastAsia="@MS Mincho" w:cs="Times New Roman"/>
          <w:noProof/>
        </w:rPr>
      </w:pPr>
      <w:r>
        <w:rPr>
          <w:noProof/>
        </w:rPr>
        <w:t>poprawa dostępu do finansowania budowy i renowacji energooszczędnych mieszkań socjalnych i przystępnych cenowo oraz rozwój rynków kapitałowych w tych obszarach.</w:t>
      </w:r>
    </w:p>
    <w:p w14:paraId="362D962F" w14:textId="2AF6DE44" w:rsidR="006578ED" w:rsidRDefault="00A1618E">
      <w:pPr>
        <w:pStyle w:val="P68B1DB1-Normal4"/>
        <w:spacing w:before="120" w:after="120" w:line="240" w:lineRule="auto"/>
        <w:jc w:val="both"/>
        <w:rPr>
          <w:rFonts w:cs="Times New Roman"/>
          <w:noProof/>
        </w:rPr>
      </w:pPr>
      <w:r>
        <w:rPr>
          <w:noProof/>
        </w:rPr>
        <w:t xml:space="preserve">Ten element hiszpańskiego planu odbudowy i zwiększania odporności przyczynia się do realizacji zaleceń dla poszczególnych krajów </w:t>
      </w:r>
      <w:r w:rsidRPr="00A1618E">
        <w:rPr>
          <w:noProof/>
          <w:lang w:val="pl-PL"/>
        </w:rPr>
        <w:t>nr 3</w:t>
      </w:r>
      <w:r>
        <w:rPr>
          <w:noProof/>
        </w:rPr>
        <w:t xml:space="preserve"> </w:t>
      </w:r>
      <w:r w:rsidRPr="00A1618E">
        <w:rPr>
          <w:noProof/>
          <w:lang w:val="pl-PL"/>
        </w:rPr>
        <w:t>na 2</w:t>
      </w:r>
      <w:r>
        <w:rPr>
          <w:noProof/>
        </w:rPr>
        <w:t>0</w:t>
      </w:r>
      <w:r w:rsidRPr="00A1618E">
        <w:rPr>
          <w:noProof/>
          <w:lang w:val="pl-PL"/>
        </w:rPr>
        <w:t>23 r.</w:t>
      </w:r>
      <w:r>
        <w:rPr>
          <w:noProof/>
        </w:rPr>
        <w:t xml:space="preserve"> i 4 20</w:t>
      </w:r>
      <w:r w:rsidRPr="00A1618E">
        <w:rPr>
          <w:noProof/>
          <w:lang w:val="pl-PL"/>
        </w:rPr>
        <w:t>22 r.</w:t>
      </w:r>
      <w:r>
        <w:rPr>
          <w:noProof/>
        </w:rPr>
        <w:t xml:space="preserve"> mających na celu zwiększenie dostępności energooszczędnych mieszkań socjalnych i przystępnych cenowo, w tym poprzez renowację. Wspiera on również transformację ekologiczną (zalecenia dla poszczególnych krajów </w:t>
      </w:r>
      <w:r w:rsidRPr="00A1618E">
        <w:rPr>
          <w:noProof/>
          <w:lang w:val="pl-PL"/>
        </w:rPr>
        <w:t>nr 1</w:t>
      </w:r>
      <w:r>
        <w:rPr>
          <w:noProof/>
        </w:rPr>
        <w:t> 2023, 1 2022 i 3 20</w:t>
      </w:r>
      <w:r w:rsidRPr="00A1618E">
        <w:rPr>
          <w:noProof/>
          <w:lang w:val="pl-PL"/>
        </w:rPr>
        <w:t>19 r.</w:t>
      </w:r>
      <w:r>
        <w:rPr>
          <w:noProof/>
        </w:rPr>
        <w:t xml:space="preserve">), a w szczególności poprawę efektywności energetycznej (zalecenie dla poszczególnych krajów </w:t>
      </w:r>
      <w:r w:rsidRPr="00A1618E">
        <w:rPr>
          <w:noProof/>
          <w:lang w:val="pl-PL"/>
        </w:rPr>
        <w:t>nr 3</w:t>
      </w:r>
      <w:r>
        <w:rPr>
          <w:noProof/>
        </w:rPr>
        <w:t xml:space="preserve"> z 20</w:t>
      </w:r>
      <w:r w:rsidRPr="00A1618E">
        <w:rPr>
          <w:noProof/>
          <w:lang w:val="pl-PL"/>
        </w:rPr>
        <w:t>20 r.</w:t>
      </w:r>
      <w:r>
        <w:rPr>
          <w:noProof/>
        </w:rPr>
        <w:t xml:space="preserve">). Zwiększa również wsparcie dla rodzin (zalecenie dla poszczególnych krajów </w:t>
      </w:r>
      <w:r w:rsidRPr="00A1618E">
        <w:rPr>
          <w:noProof/>
          <w:lang w:val="pl-PL"/>
        </w:rPr>
        <w:t>nr 2</w:t>
      </w:r>
      <w:r>
        <w:rPr>
          <w:noProof/>
        </w:rPr>
        <w:t xml:space="preserve"> z 20</w:t>
      </w:r>
      <w:r w:rsidRPr="00A1618E">
        <w:rPr>
          <w:noProof/>
          <w:lang w:val="pl-PL"/>
        </w:rPr>
        <w:t>19 r.</w:t>
      </w:r>
      <w:r>
        <w:rPr>
          <w:noProof/>
        </w:rPr>
        <w:t xml:space="preserve">; Zalecenie dla poszczególnych krajów </w:t>
      </w:r>
      <w:r w:rsidRPr="00A1618E">
        <w:rPr>
          <w:noProof/>
          <w:lang w:val="pl-PL"/>
        </w:rPr>
        <w:t>nr 2</w:t>
      </w:r>
      <w:r>
        <w:rPr>
          <w:noProof/>
        </w:rPr>
        <w:t xml:space="preserve"> z 20</w:t>
      </w:r>
      <w:r w:rsidRPr="00A1618E">
        <w:rPr>
          <w:noProof/>
          <w:lang w:val="pl-PL"/>
        </w:rPr>
        <w:t>20 r.</w:t>
      </w:r>
      <w:r>
        <w:rPr>
          <w:noProof/>
        </w:rPr>
        <w:t xml:space="preserve">) i pomaga przyspieszyć realizację gotowych projektów inwestycji publicznych i promować inwestycje prywatne w celu wspierania ożywienia gospodarczego (zalecenie dla poszczególnych krajów </w:t>
      </w:r>
      <w:r w:rsidRPr="00A1618E">
        <w:rPr>
          <w:noProof/>
          <w:lang w:val="pl-PL"/>
        </w:rPr>
        <w:t>nr 3</w:t>
      </w:r>
      <w:r>
        <w:rPr>
          <w:noProof/>
        </w:rPr>
        <w:t xml:space="preserve"> z 20</w:t>
      </w:r>
      <w:r w:rsidRPr="00A1618E">
        <w:rPr>
          <w:noProof/>
          <w:lang w:val="pl-PL"/>
        </w:rPr>
        <w:t>20 r.</w:t>
      </w:r>
      <w:r>
        <w:rPr>
          <w:noProof/>
        </w:rPr>
        <w:t xml:space="preserve">). </w:t>
      </w:r>
    </w:p>
    <w:p w14:paraId="55DEF04E" w14:textId="5B2BBB53" w:rsidR="006578ED" w:rsidRPr="00A1618E" w:rsidRDefault="00A1618E">
      <w:pPr>
        <w:pStyle w:val="P68B1DB1-Normal4"/>
        <w:spacing w:before="120" w:after="120" w:line="240" w:lineRule="auto"/>
        <w:jc w:val="both"/>
        <w:rPr>
          <w:rFonts w:cs="Times New Roman"/>
          <w:noProof/>
          <w:lang w:val="pl-PL"/>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r w:rsidRPr="00A1618E">
        <w:rPr>
          <w:noProof/>
          <w:lang w:val="pl-PL"/>
        </w:rPr>
        <w:t xml:space="preserve">. </w:t>
      </w:r>
    </w:p>
    <w:p w14:paraId="4BDAA7F8" w14:textId="00C6A36E" w:rsidR="006578ED" w:rsidRDefault="00A1618E">
      <w:pPr>
        <w:pStyle w:val="P68B1DB1-Normal5"/>
        <w:spacing w:before="120" w:after="120" w:line="240" w:lineRule="auto"/>
        <w:ind w:left="709"/>
        <w:jc w:val="both"/>
        <w:rPr>
          <w:rFonts w:cs="Times New Roman"/>
          <w:i/>
          <w:noProof/>
        </w:rPr>
      </w:pPr>
      <w:r>
        <w:rPr>
          <w:noProof/>
        </w:rPr>
        <w:t xml:space="preserve">B.1. </w:t>
      </w:r>
      <w:r>
        <w:rPr>
          <w:noProof/>
        </w:rPr>
        <w:tab/>
        <w:t>Opis reform i inwestycji, które mają być finansowane z bezzwrotnego wsparcia finansowego</w:t>
      </w:r>
    </w:p>
    <w:p w14:paraId="5DD41E6E" w14:textId="629E829C" w:rsidR="006578ED" w:rsidRDefault="00A1618E">
      <w:pPr>
        <w:pStyle w:val="P68B1DB1-Normal6"/>
        <w:spacing w:before="120" w:after="120" w:line="240" w:lineRule="auto"/>
        <w:jc w:val="both"/>
        <w:rPr>
          <w:rFonts w:cs="Times New Roman"/>
          <w:noProof/>
        </w:rPr>
      </w:pPr>
      <w:r>
        <w:rPr>
          <w:noProof/>
        </w:rPr>
        <w:t>Reforma 1 (C2.R1) – Wdrażanie hiszpańskiej agendy miejskiej (i związanego z nią planu działania)</w:t>
      </w:r>
    </w:p>
    <w:p w14:paraId="606349AF" w14:textId="30CA84C2" w:rsidR="006578ED" w:rsidRDefault="00A1618E">
      <w:pPr>
        <w:pStyle w:val="P68B1DB1-Normal4"/>
        <w:spacing w:before="120" w:after="120" w:line="240" w:lineRule="auto"/>
        <w:jc w:val="both"/>
        <w:rPr>
          <w:rFonts w:cs="Times New Roman"/>
          <w:noProof/>
        </w:rPr>
      </w:pPr>
      <w:r>
        <w:rPr>
          <w:noProof/>
        </w:rPr>
        <w:t xml:space="preserve">Celem tego środka jest przygotowanie i zatwierdzenie hiszpańskiej agendy miejskiej, która będzie strategicznym i nieregulacyjnym dokumentem włączającym zrównoważony rozwój do polityki rozwoju obszarów miejskich. Będzie to również metoda pracy, która pozwala wszystkim zainteresowanym stronom z sektora publicznego i prywatnego osiągnąć sprawiedliwy, sprawiedliwy i zrównoważony rozwój na ich konkretnych obszarach oraz służyć lokalnej administracji, miastom i wsiom, niezależnie od ich liczby ludności, jako narzędzie o strategicznej, zintegrowanej i kompleksowej perspektywie, zgodnie z wymogami agendy miejskiej dla UE i nowej karty lipskiej. </w:t>
      </w:r>
    </w:p>
    <w:p w14:paraId="4DA86DCA" w14:textId="198AFF0C" w:rsidR="006578ED" w:rsidRDefault="00A1618E">
      <w:pPr>
        <w:pStyle w:val="P68B1DB1-Normal4"/>
        <w:spacing w:before="120" w:after="120" w:line="240" w:lineRule="auto"/>
        <w:jc w:val="both"/>
        <w:rPr>
          <w:rFonts w:cs="Times New Roman"/>
          <w:noProof/>
        </w:rPr>
      </w:pPr>
      <w:r>
        <w:rPr>
          <w:noProof/>
        </w:rPr>
        <w:t xml:space="preserve">Hiszpańska agenda miejska zawiera diagnozę słabych punktów i wyzwań stojących przed hiszpańskimi miastami i wsiami, aby osiągnąć zrównoważony środowiskowo, społecznie spójny i wykonalny pod względem gospodarczym rozwój obszarów miejskich. Obejmuje on ramy strategiczne oparte na następujących dziesięciu wyzwaniach strategicznych: demograficzny; środowiskowe; ekonomiczno-społeczne; obecną sytuację w zakresie zasobów budowlanych; podatność na niekorzystne skutki zmiany klimatu; (duża) zależność od turystyki; oraz zagrożenia związane z zanieczyszczeniem. </w:t>
      </w:r>
    </w:p>
    <w:p w14:paraId="6A741BC3" w14:textId="5BA84718" w:rsidR="006578ED" w:rsidRDefault="00A1618E">
      <w:pPr>
        <w:pStyle w:val="P68B1DB1-Normal4"/>
        <w:spacing w:before="120" w:after="120" w:line="240" w:lineRule="auto"/>
        <w:jc w:val="both"/>
        <w:rPr>
          <w:rFonts w:cs="Times New Roman"/>
          <w:noProof/>
        </w:rPr>
      </w:pPr>
      <w:r>
        <w:rPr>
          <w:noProof/>
        </w:rPr>
        <w:t>Agenda miejska zawiera również szczegółowy plan działania dla administracji krajowej oraz wytyczne mające na celu wspieranie podmiotów lokalnych w przygotowywaniu ich własnych lokalnych planów działania zgodnie z metodyką zaproponowaną przez Generalną Administrację Państwa, zobowiązując się do poprawy zarządzania publicznego i publiczno-prywatnego. Inwestycja 6 uzupełnia tę reformę, wspierając przygotowanie co najmniej 100 lokalnych planów działania.</w:t>
      </w:r>
    </w:p>
    <w:p w14:paraId="29A1F400" w14:textId="213353CB" w:rsidR="006578ED" w:rsidRDefault="00A1618E">
      <w:pPr>
        <w:pStyle w:val="P68B1DB1-Normal4"/>
        <w:spacing w:before="120" w:after="120" w:line="240" w:lineRule="auto"/>
        <w:jc w:val="both"/>
        <w:rPr>
          <w:rFonts w:cs="Times New Roman"/>
          <w:noProof/>
        </w:rPr>
      </w:pPr>
      <w:r>
        <w:rPr>
          <w:noProof/>
        </w:rPr>
        <w:t xml:space="preserve">W ramach agendy miejskiej oraz w związku z potrzebą spełnienia wymogów dyrektywy (UE) 2018/844 w sprawie charakterystyki energetycznej budynków i w sprawie efektywności energetycznej Hiszpania ustanawia długoterminową strategię renowacji w celu wsparcia renowacji krajowych zasobów budynków mieszkalnych i niemieszkalnych. Obejmuje to zarówno budynki publiczne, jak i prywatne, a także zapewni wysoką efektywność energetyczną i dekarbonizację zasobów budowlanych </w:t>
      </w:r>
      <w:r w:rsidRPr="00A1618E">
        <w:rPr>
          <w:noProof/>
          <w:lang w:val="pl-PL"/>
        </w:rPr>
        <w:t>do 2</w:t>
      </w:r>
      <w:r>
        <w:rPr>
          <w:noProof/>
        </w:rPr>
        <w:t>0</w:t>
      </w:r>
      <w:r w:rsidRPr="00A1618E">
        <w:rPr>
          <w:noProof/>
          <w:lang w:val="pl-PL"/>
        </w:rPr>
        <w:t>50 r.</w:t>
      </w:r>
      <w:r>
        <w:rPr>
          <w:noProof/>
        </w:rPr>
        <w:t>, ułatwiając opłacalne przekształcenie istniejących budynków w budynki o niemal zerowym zużyciu energii.</w:t>
      </w:r>
    </w:p>
    <w:p w14:paraId="34A65850" w14:textId="23AC808E" w:rsidR="006578ED" w:rsidRDefault="00A1618E">
      <w:pPr>
        <w:pStyle w:val="P68B1DB1-Normal4"/>
        <w:spacing w:before="120" w:after="120" w:line="240" w:lineRule="auto"/>
        <w:jc w:val="both"/>
        <w:rPr>
          <w:rFonts w:cs="Times New Roman"/>
          <w:noProof/>
        </w:rPr>
      </w:pPr>
      <w:r>
        <w:rPr>
          <w:noProof/>
        </w:rPr>
        <w:t>Wdrożenie środka zostanie zakończone do dnia 30 czerwca 20</w:t>
      </w:r>
      <w:r w:rsidRPr="00A1618E">
        <w:rPr>
          <w:noProof/>
          <w:lang w:val="pl-PL"/>
        </w:rPr>
        <w:t>20 r.</w:t>
      </w:r>
    </w:p>
    <w:p w14:paraId="4D7A5946" w14:textId="39E11024" w:rsidR="006578ED" w:rsidRDefault="00A1618E">
      <w:pPr>
        <w:pStyle w:val="P68B1DB1-Normal6"/>
        <w:spacing w:before="120" w:after="120" w:line="240" w:lineRule="auto"/>
        <w:jc w:val="both"/>
        <w:rPr>
          <w:rFonts w:cs="Times New Roman"/>
          <w:noProof/>
        </w:rPr>
      </w:pPr>
      <w:r>
        <w:rPr>
          <w:noProof/>
        </w:rPr>
        <w:t>Reforma 2 (C2.R2) – aktualizacja hiszpańskiej długoterminowej strategii renowacji i związanego z nią planu działania w 20</w:t>
      </w:r>
      <w:r w:rsidRPr="00A1618E">
        <w:rPr>
          <w:noProof/>
          <w:lang w:val="pl-PL"/>
        </w:rPr>
        <w:t>20 r.</w:t>
      </w:r>
    </w:p>
    <w:p w14:paraId="448BED53" w14:textId="599DFE8D" w:rsidR="006578ED" w:rsidRDefault="00A1618E">
      <w:pPr>
        <w:pStyle w:val="P68B1DB1-Normal4"/>
        <w:spacing w:before="120" w:after="120" w:line="240" w:lineRule="auto"/>
        <w:jc w:val="both"/>
        <w:rPr>
          <w:rFonts w:cs="Times New Roman"/>
          <w:noProof/>
        </w:rPr>
      </w:pPr>
      <w:r>
        <w:rPr>
          <w:noProof/>
        </w:rPr>
        <w:t>Celem tego środka jest wdrożenie długoterminowej strategii renowacji (ERESEE). Obejmuje to działania służące przygotowaniu, omawianiu na forum specjalnych grup roboczych, zatwierdzaniu i rozpowszechnianiu dokumentu strategicznego planu działania dotyczącego długoterminowej strategii renowacji. Plan działania jest zgodny z działaniami zawartymi w ERESEE. W celu wdrożenia ERESEE należy utworzyć kilka grup roboczych w celu opracowania jasnych zaleceń dotyczących realizacji planu działania na rzecz odbudowy i rewitalizacji obszarów miejskich. Sprawozdania zawierające zalecenia grup roboczych są publikowane.</w:t>
      </w:r>
    </w:p>
    <w:p w14:paraId="5B3DA269" w14:textId="2E7A29C7" w:rsidR="006578ED" w:rsidRDefault="00A1618E">
      <w:pPr>
        <w:pStyle w:val="P68B1DB1-xmsonormal16"/>
        <w:jc w:val="both"/>
        <w:rPr>
          <w:rFonts w:cs="Times New Roman"/>
          <w:noProof/>
        </w:rPr>
      </w:pPr>
      <w:r>
        <w:rPr>
          <w:noProof/>
        </w:rPr>
        <w:t>W części III ERESEE, zatytułowanej „Wdrażanie”, ERESEE obejmuje zestaw działań, wśród których zestaw reform przedstawia się jako część planu działania promującego rewitalizację i rewitalizację obszarów miejskich oraz wspieranie transformacji ekologicznej i cyfrowej. Plan działania opiera się na jedenastu osiach i działaniach mających na celu poprawę zarządzania, regulacji i finansowania. Plan działania należy włączyć do dokumentu strategicznego jako główny krok w kierunku wdrożenia ERESEE. Najważniejsze działania obejmują:</w:t>
      </w:r>
    </w:p>
    <w:p w14:paraId="04819348" w14:textId="7388F27C" w:rsidR="006578ED" w:rsidRDefault="00A1618E">
      <w:pPr>
        <w:pStyle w:val="P68B1DB1-Normal4"/>
        <w:numPr>
          <w:ilvl w:val="0"/>
          <w:numId w:val="273"/>
        </w:numPr>
        <w:spacing w:before="120" w:after="160" w:line="259" w:lineRule="auto"/>
        <w:contextualSpacing/>
        <w:jc w:val="both"/>
        <w:rPr>
          <w:rFonts w:cs="Times New Roman"/>
          <w:noProof/>
        </w:rPr>
      </w:pPr>
      <w:r>
        <w:rPr>
          <w:noProof/>
        </w:rPr>
        <w:t>Remont budynków administracji publicznej (zgodnie z komponentem 11 hiszpańskiego planu odbudowy i zwiększania odporności);</w:t>
      </w:r>
    </w:p>
    <w:p w14:paraId="4BB0FB6D" w14:textId="7542FD06" w:rsidR="006578ED" w:rsidRDefault="00A1618E">
      <w:pPr>
        <w:pStyle w:val="P68B1DB1-Normal4"/>
        <w:numPr>
          <w:ilvl w:val="0"/>
          <w:numId w:val="273"/>
        </w:numPr>
        <w:spacing w:before="120" w:after="160" w:line="259" w:lineRule="auto"/>
        <w:contextualSpacing/>
        <w:jc w:val="both"/>
        <w:rPr>
          <w:rFonts w:cs="Times New Roman"/>
          <w:noProof/>
        </w:rPr>
      </w:pPr>
      <w:r>
        <w:rPr>
          <w:noProof/>
        </w:rPr>
        <w:t>finansować obszary wskazane do poprawy, w tym nowe opodatkowanie korzystne dla renowacji, zarówno w sektorze mieszkaniowym, jak i w sektorze usług;</w:t>
      </w:r>
    </w:p>
    <w:p w14:paraId="3B0DE689" w14:textId="31713D8F" w:rsidR="006578ED" w:rsidRDefault="00A1618E">
      <w:pPr>
        <w:pStyle w:val="P68B1DB1-Normal4"/>
        <w:numPr>
          <w:ilvl w:val="0"/>
          <w:numId w:val="273"/>
        </w:numPr>
        <w:spacing w:before="120" w:after="160" w:line="259" w:lineRule="auto"/>
        <w:contextualSpacing/>
        <w:jc w:val="both"/>
        <w:rPr>
          <w:rFonts w:cs="Times New Roman"/>
          <w:noProof/>
        </w:rPr>
      </w:pPr>
      <w:r>
        <w:rPr>
          <w:noProof/>
        </w:rPr>
        <w:t>promowanie i mobilizowanie finansowania prywatnego;</w:t>
      </w:r>
    </w:p>
    <w:p w14:paraId="07868898" w14:textId="77777777" w:rsidR="006578ED" w:rsidRDefault="00A1618E">
      <w:pPr>
        <w:pStyle w:val="P68B1DB1-Normal4"/>
        <w:numPr>
          <w:ilvl w:val="0"/>
          <w:numId w:val="273"/>
        </w:numPr>
        <w:spacing w:before="120" w:after="160" w:line="259" w:lineRule="auto"/>
        <w:contextualSpacing/>
        <w:jc w:val="both"/>
        <w:rPr>
          <w:rFonts w:cs="Times New Roman"/>
          <w:noProof/>
        </w:rPr>
      </w:pPr>
      <w:r>
        <w:rPr>
          <w:noProof/>
        </w:rPr>
        <w:t>zwalczanie ubóstwa energetycznego;</w:t>
      </w:r>
    </w:p>
    <w:p w14:paraId="4474F65F" w14:textId="704BE0F3" w:rsidR="006578ED" w:rsidRDefault="00A1618E">
      <w:pPr>
        <w:pStyle w:val="P68B1DB1-Normal4"/>
        <w:numPr>
          <w:ilvl w:val="0"/>
          <w:numId w:val="273"/>
        </w:numPr>
        <w:spacing w:before="120" w:after="160" w:line="259" w:lineRule="auto"/>
        <w:contextualSpacing/>
        <w:jc w:val="both"/>
        <w:rPr>
          <w:rFonts w:cs="Times New Roman"/>
          <w:noProof/>
        </w:rPr>
      </w:pPr>
      <w:r>
        <w:rPr>
          <w:noProof/>
        </w:rPr>
        <w:t>wdrożenie nowego modelu energetycznego w sektorze budowlanym, aby zachęcić do zużycia energii ze źródeł odnawialnych w budynkach;</w:t>
      </w:r>
    </w:p>
    <w:p w14:paraId="53D558B3" w14:textId="58A7D784" w:rsidR="006578ED" w:rsidRDefault="00A1618E">
      <w:pPr>
        <w:pStyle w:val="P68B1DB1-Normal4"/>
        <w:numPr>
          <w:ilvl w:val="0"/>
          <w:numId w:val="273"/>
        </w:numPr>
        <w:spacing w:before="120" w:after="160" w:line="259" w:lineRule="auto"/>
        <w:contextualSpacing/>
        <w:jc w:val="both"/>
        <w:rPr>
          <w:rFonts w:cs="Times New Roman"/>
          <w:noProof/>
        </w:rPr>
      </w:pPr>
      <w:r>
        <w:rPr>
          <w:noProof/>
        </w:rPr>
        <w:t>aktywowanie i zagregowane zapotrzebowanie na rehabilitację;</w:t>
      </w:r>
    </w:p>
    <w:p w14:paraId="6F15193D" w14:textId="505C12BB" w:rsidR="006578ED" w:rsidRDefault="00A1618E">
      <w:pPr>
        <w:pStyle w:val="P68B1DB1-Normal4"/>
        <w:numPr>
          <w:ilvl w:val="0"/>
          <w:numId w:val="273"/>
        </w:numPr>
        <w:spacing w:before="120" w:after="160" w:line="259" w:lineRule="auto"/>
        <w:contextualSpacing/>
        <w:jc w:val="both"/>
        <w:rPr>
          <w:rFonts w:cs="Times New Roman"/>
          <w:noProof/>
        </w:rPr>
      </w:pPr>
      <w:r>
        <w:rPr>
          <w:noProof/>
        </w:rPr>
        <w:t>poprawa warunków po stronie podaży poprzez pobudzenie modernizacji sektora odbudowy poprzez badania, rozwój i innowacje, cyfryzację i monitorowanie, podnoszenie umiejętności i szkolenia;</w:t>
      </w:r>
    </w:p>
    <w:p w14:paraId="5EDE96A4" w14:textId="07275C13" w:rsidR="006578ED" w:rsidRDefault="00A1618E">
      <w:pPr>
        <w:pStyle w:val="P68B1DB1-Normal4"/>
        <w:numPr>
          <w:ilvl w:val="0"/>
          <w:numId w:val="273"/>
        </w:numPr>
        <w:spacing w:before="120" w:after="160" w:line="259" w:lineRule="auto"/>
        <w:contextualSpacing/>
        <w:jc w:val="both"/>
        <w:rPr>
          <w:rFonts w:cs="Times New Roman"/>
          <w:noProof/>
        </w:rPr>
      </w:pPr>
      <w:r>
        <w:rPr>
          <w:noProof/>
        </w:rPr>
        <w:t>rozpowszechnianie informacji wśród obywateli i przedsiębiorstw oraz wymiana dobrych praktyk między administracjami; oraz</w:t>
      </w:r>
    </w:p>
    <w:p w14:paraId="671356B3" w14:textId="39EC851C" w:rsidR="006578ED" w:rsidRDefault="00A1618E">
      <w:pPr>
        <w:pStyle w:val="P68B1DB1-Normal4"/>
        <w:numPr>
          <w:ilvl w:val="0"/>
          <w:numId w:val="273"/>
        </w:numPr>
        <w:spacing w:before="120" w:after="120" w:line="259" w:lineRule="auto"/>
        <w:jc w:val="both"/>
        <w:rPr>
          <w:rFonts w:eastAsia="Arial" w:cs="Times New Roman"/>
          <w:noProof/>
        </w:rPr>
      </w:pPr>
      <w:r>
        <w:rPr>
          <w:noProof/>
        </w:rPr>
        <w:t>opracowanie statystyk i wskaźników w celu monitorowania działań finansowanych ze środków publicznych, tak aby można było właściwie ocenić politykę publiczną.</w:t>
      </w:r>
    </w:p>
    <w:p w14:paraId="44527D69" w14:textId="28CFC33F" w:rsidR="006578ED" w:rsidRDefault="00A1618E">
      <w:pPr>
        <w:pStyle w:val="P68B1DB1-Normal4"/>
        <w:spacing w:before="120" w:after="120" w:line="240" w:lineRule="auto"/>
        <w:jc w:val="both"/>
        <w:rPr>
          <w:rFonts w:cs="Times New Roman"/>
          <w:noProof/>
        </w:rPr>
      </w:pPr>
      <w:r>
        <w:rPr>
          <w:noProof/>
        </w:rPr>
        <w:t>Ten dokument strategiczny umożliwi wdrożenie ERESEE w ramach hiszpańskiej agendy miejskiej, integrując różne administracje (centralne, regionalne i lokalne).</w:t>
      </w:r>
    </w:p>
    <w:p w14:paraId="31BABA68" w14:textId="1F54EA40" w:rsidR="006578ED" w:rsidRDefault="00A1618E">
      <w:pPr>
        <w:pStyle w:val="P68B1DB1-Normal4"/>
        <w:spacing w:before="120" w:after="120" w:line="240" w:lineRule="auto"/>
        <w:jc w:val="both"/>
        <w:rPr>
          <w:rFonts w:cs="Times New Roman"/>
          <w:noProof/>
        </w:rPr>
      </w:pPr>
      <w:r>
        <w:rPr>
          <w:noProof/>
        </w:rPr>
        <w:t>Wdrożenie środka należy zakończyć do dnia 30 czerwca 20</w:t>
      </w:r>
      <w:r w:rsidRPr="00A1618E">
        <w:rPr>
          <w:noProof/>
          <w:lang w:val="pl-PL"/>
        </w:rPr>
        <w:t>23 r.</w:t>
      </w:r>
    </w:p>
    <w:p w14:paraId="01CD77D3" w14:textId="362BFD12" w:rsidR="006578ED" w:rsidRDefault="00A1618E">
      <w:pPr>
        <w:pStyle w:val="P68B1DB1-Normal6"/>
        <w:spacing w:before="120" w:after="120" w:line="240" w:lineRule="auto"/>
        <w:jc w:val="both"/>
        <w:rPr>
          <w:rFonts w:cs="Times New Roman"/>
          <w:noProof/>
        </w:rPr>
      </w:pPr>
      <w:r>
        <w:rPr>
          <w:noProof/>
        </w:rPr>
        <w:t>Reforma 3 (C2.R3) – Prawo mieszkaniowe</w:t>
      </w:r>
    </w:p>
    <w:p w14:paraId="35AEF606" w14:textId="64CF1F25" w:rsidR="006578ED" w:rsidRDefault="00A1618E">
      <w:pPr>
        <w:pStyle w:val="P68B1DB1-Normal4"/>
        <w:spacing w:before="120" w:after="120" w:line="240" w:lineRule="auto"/>
        <w:jc w:val="both"/>
        <w:rPr>
          <w:rFonts w:cs="Times New Roman"/>
          <w:noProof/>
        </w:rPr>
      </w:pPr>
      <w:r>
        <w:rPr>
          <w:noProof/>
        </w:rPr>
        <w:t>Celem tego środka jest wdrożenie, za pomocą ustawy o mieszkalnictwie, pierwszego w rodzaju rozporządzenia w Hiszpanii, aby zająć się różnymi już istniejącymi instrumentami planowania publicznego, programowania i współpracy w celu wspierania prawa do godnych i odpowiednich warunków mieszkaniowych. Obejmuje ona renowację i poprawę stanu istniejących zasobów mieszkaniowych, zarówno publicznych, jak i prywatnych, oraz regenerację i odnowę środowisk mieszkalnych, w których się znajdują, w celu poprawy jakości życia. Ustawa ma na celu osiągnięcie wystarczającego poziomu zasobów mieszkaniowych na wynajem nieruchomości, dostępnych po przystępnych cenach.</w:t>
      </w:r>
    </w:p>
    <w:p w14:paraId="1522B52E" w14:textId="2E0C8186" w:rsidR="006578ED" w:rsidRDefault="00A1618E">
      <w:pPr>
        <w:pStyle w:val="P68B1DB1-Normal4"/>
        <w:spacing w:before="120" w:after="120" w:line="240" w:lineRule="auto"/>
        <w:jc w:val="both"/>
        <w:rPr>
          <w:rFonts w:cs="Times New Roman"/>
          <w:noProof/>
        </w:rPr>
      </w:pPr>
      <w:r>
        <w:rPr>
          <w:noProof/>
        </w:rPr>
        <w:t xml:space="preserve">Prawodawstwo obejmuje różne instrumenty planowania, programowania i współpracy w celu zapewnienia przestrzegania prawa do godnych i odpowiednich warunków mieszkaniowych, w tym, jako jeden z priorytetów, rekultywację i poprawę istniejących zasobów mieszkaniowych, a także rewitalizację i renowację środowisk mieszkaniowych, w których są one zlokalizowane. </w:t>
      </w:r>
    </w:p>
    <w:p w14:paraId="153EC4BA" w14:textId="7949718C" w:rsidR="006578ED" w:rsidRDefault="00A1618E">
      <w:pPr>
        <w:pStyle w:val="P68B1DB1-Normal4"/>
        <w:spacing w:before="120" w:after="120" w:line="240" w:lineRule="auto"/>
        <w:jc w:val="both"/>
        <w:rPr>
          <w:rFonts w:cs="Times New Roman"/>
          <w:noProof/>
        </w:rPr>
      </w:pPr>
      <w:r>
        <w:rPr>
          <w:noProof/>
        </w:rPr>
        <w:t>Ponadto ustawa powinna zachęcać do zwiększenia podaży przystępnych cenowo mieszkań socjalnych poprzez zapewnienie zgodności z wymogami określonymi obecnie dla budynków o niemal zerowym zużyciu energii zgodnie z podstawowym dokumentem oszczędności energii (DB-HE) kodeksu technicznego budownictwa (CTE) oraz unikać środków, które mogłyby utrudnić podaż mieszkań w perspektywie średnioterminowej.</w:t>
      </w:r>
    </w:p>
    <w:p w14:paraId="20C995A0" w14:textId="266856AB" w:rsidR="006578ED" w:rsidRDefault="00A1618E">
      <w:pPr>
        <w:pStyle w:val="P68B1DB1-Normal4"/>
        <w:spacing w:before="120" w:after="120" w:line="240" w:lineRule="auto"/>
        <w:jc w:val="both"/>
        <w:rPr>
          <w:rFonts w:cs="Times New Roman"/>
          <w:noProof/>
        </w:rPr>
      </w:pPr>
      <w:r>
        <w:rPr>
          <w:noProof/>
        </w:rPr>
        <w:t>Wdrożenie reformy zostanie zakończone do dnia 30 września 20</w:t>
      </w:r>
      <w:r w:rsidRPr="00A1618E">
        <w:rPr>
          <w:noProof/>
          <w:lang w:val="pl-PL"/>
        </w:rPr>
        <w:t>22 r.</w:t>
      </w:r>
    </w:p>
    <w:p w14:paraId="4C37D3DE" w14:textId="33D56494" w:rsidR="006578ED" w:rsidRDefault="00A1618E">
      <w:pPr>
        <w:pStyle w:val="P68B1DB1-Normal6"/>
        <w:spacing w:before="120" w:after="120" w:line="240" w:lineRule="auto"/>
        <w:jc w:val="both"/>
        <w:rPr>
          <w:rFonts w:cs="Times New Roman"/>
          <w:noProof/>
        </w:rPr>
      </w:pPr>
      <w:r>
        <w:rPr>
          <w:noProof/>
        </w:rPr>
        <w:t>Reforma 4 (C2.R4) – Ustawa o jakości architektury i środowiska budowlanego oraz nowa krajowa strategia w zakresie architektury</w:t>
      </w:r>
    </w:p>
    <w:p w14:paraId="430C635A" w14:textId="7FD6DD8B" w:rsidR="006578ED" w:rsidRDefault="00A1618E">
      <w:pPr>
        <w:pStyle w:val="P68B1DB1-Normal4"/>
        <w:spacing w:before="120" w:after="120" w:line="240" w:lineRule="auto"/>
        <w:jc w:val="both"/>
        <w:rPr>
          <w:rFonts w:cs="Times New Roman"/>
          <w:noProof/>
        </w:rPr>
      </w:pPr>
      <w:r>
        <w:rPr>
          <w:noProof/>
        </w:rPr>
        <w:t>Celem tej ustawy jest uznanie jakości architektury i budynków za dobro publiczne, poprawa jakości życia, promowanie korzeni społecznych architektury, promowanie zrównoważonego rozwoju obszarów i ośrodków miejskich, przyczynianie się do rozwoju gospodarczego i społecznego oraz ochrona i ochrona dziedzictwa kulturowego i naturalnego.</w:t>
      </w:r>
    </w:p>
    <w:p w14:paraId="2D3C58D9" w14:textId="2CEA35E0" w:rsidR="006578ED" w:rsidRDefault="00A1618E">
      <w:pPr>
        <w:pStyle w:val="P68B1DB1-Normal4"/>
        <w:spacing w:before="120" w:after="120" w:line="240" w:lineRule="auto"/>
        <w:jc w:val="both"/>
        <w:rPr>
          <w:rFonts w:cs="Times New Roman"/>
          <w:noProof/>
        </w:rPr>
      </w:pPr>
      <w:r>
        <w:rPr>
          <w:noProof/>
        </w:rPr>
        <w:t xml:space="preserve">W tym celu ustawa uwzględnia różne inicjatywy i działania ściśle związane z programami odbudowy i regeneracji w ramach tego elementu hiszpańskiego planu odbudowy i zwiększania odporności. W szczególności ustawa reguluje: środki współpracy międzyadministracyjnej w dziedzinie zamówień na projekty i roboty architektoniczne, inżynieryjne i urbanistyczne; narzędzia do rozpowszechniania dobrych praktyk i wsparcia, szkoleń i partnerstw publiczno-prywatnych; oraz (iii) promowanie rehabilitacji z wszechstronnej perspektywy, takiej jak opisana powyżej. </w:t>
      </w:r>
    </w:p>
    <w:p w14:paraId="419B85C4" w14:textId="059140CE" w:rsidR="006578ED" w:rsidRDefault="00A1618E">
      <w:pPr>
        <w:pStyle w:val="P68B1DB1-Normal4"/>
        <w:spacing w:before="120" w:after="120" w:line="240" w:lineRule="auto"/>
        <w:jc w:val="both"/>
        <w:rPr>
          <w:rFonts w:cs="Times New Roman"/>
          <w:noProof/>
        </w:rPr>
      </w:pPr>
      <w:r>
        <w:rPr>
          <w:noProof/>
        </w:rPr>
        <w:t>Wdrożenie reformy zostanie zakończone do dnia 30 września 20</w:t>
      </w:r>
      <w:r w:rsidRPr="00A1618E">
        <w:rPr>
          <w:noProof/>
          <w:lang w:val="pl-PL"/>
        </w:rPr>
        <w:t>22 r.</w:t>
      </w:r>
    </w:p>
    <w:p w14:paraId="549C398D" w14:textId="036EA0D4" w:rsidR="006578ED" w:rsidRDefault="00A1618E">
      <w:pPr>
        <w:pStyle w:val="P68B1DB1-Normal6"/>
        <w:spacing w:before="120" w:after="120" w:line="240" w:lineRule="auto"/>
        <w:jc w:val="both"/>
        <w:rPr>
          <w:rFonts w:cs="Times New Roman"/>
          <w:noProof/>
        </w:rPr>
      </w:pPr>
      <w:r>
        <w:rPr>
          <w:noProof/>
        </w:rPr>
        <w:t>Reforma 5 (C2.R5) – biura ds. renowacji („punkt kompleksowej obsługi”)</w:t>
      </w:r>
    </w:p>
    <w:p w14:paraId="7B668DD1" w14:textId="38EF3838" w:rsidR="006578ED" w:rsidRDefault="00A1618E">
      <w:pPr>
        <w:pStyle w:val="P68B1DB1-Normal4"/>
        <w:spacing w:before="120" w:after="120" w:line="240" w:lineRule="auto"/>
        <w:jc w:val="both"/>
        <w:rPr>
          <w:rFonts w:cs="Times New Roman"/>
          <w:noProof/>
        </w:rPr>
      </w:pPr>
      <w:r>
        <w:rPr>
          <w:noProof/>
        </w:rPr>
        <w:t>Celem tego działania jest zachęcenie i rozbudowa lokalnych biur renowacji utworzonych w niektórych gminach, aby towarzyszyły one gospodarstwom domowym i społecznościom właścicieli w bardzo złożonych zadaniach związanych z remontem budynku mieszkalnego.</w:t>
      </w:r>
    </w:p>
    <w:p w14:paraId="03EB3CFC" w14:textId="26D3213A" w:rsidR="006578ED" w:rsidRDefault="00A1618E">
      <w:pPr>
        <w:pStyle w:val="P68B1DB1-Normal4"/>
        <w:spacing w:before="120" w:after="120" w:line="240" w:lineRule="auto"/>
        <w:jc w:val="both"/>
        <w:rPr>
          <w:rFonts w:cs="Times New Roman"/>
          <w:noProof/>
        </w:rPr>
      </w:pPr>
      <w:r>
        <w:rPr>
          <w:noProof/>
        </w:rPr>
        <w:t>W tym celu środek ten będzie dalej wspierał i rozszerzał to podejście poprzez ustanowienie procesu zapewniającego skuteczną współpracę i współpracę między władzami centralnymi, regionalnymi i/lub lokalnymi. Obejmuje to wzmocnienie koordynacji wszelkiego wsparcia publicznego (na szczeblu centralnym, regionalnym lub lokalnym). Wszystkie szczeble sprawowania rządów są zaangażowane w te punkty kompleksowej obsługi, aby zmaksymalizować skuteczność działań renowacyjnych.</w:t>
      </w:r>
    </w:p>
    <w:p w14:paraId="643CD522" w14:textId="4C48DFB8" w:rsidR="006578ED" w:rsidRDefault="00A1618E">
      <w:pPr>
        <w:pStyle w:val="P68B1DB1-Normal4"/>
        <w:rPr>
          <w:rFonts w:cs="Times New Roman"/>
          <w:noProof/>
        </w:rPr>
      </w:pPr>
      <w:r>
        <w:rPr>
          <w:noProof/>
        </w:rPr>
        <w:t>Wdrożenie reformy zostanie zakończone do dnia 30 września 20</w:t>
      </w:r>
      <w:r w:rsidRPr="00A1618E">
        <w:rPr>
          <w:noProof/>
          <w:lang w:val="pl-PL"/>
        </w:rPr>
        <w:t>21 r.</w:t>
      </w:r>
    </w:p>
    <w:p w14:paraId="47FCDE60" w14:textId="461C9B30" w:rsidR="006578ED" w:rsidRDefault="00A1618E">
      <w:pPr>
        <w:pStyle w:val="P68B1DB1-Normal6"/>
        <w:spacing w:before="120" w:after="120" w:line="240" w:lineRule="auto"/>
        <w:jc w:val="both"/>
        <w:rPr>
          <w:rFonts w:cs="Times New Roman"/>
          <w:noProof/>
        </w:rPr>
      </w:pPr>
      <w:r>
        <w:rPr>
          <w:noProof/>
        </w:rPr>
        <w:t>Reforma 6 (C2.R6) – Zwiększenie finansowania działań renowacyjnych</w:t>
      </w:r>
    </w:p>
    <w:p w14:paraId="2B8E3D1A" w14:textId="1A74F02C" w:rsidR="006578ED" w:rsidRDefault="00A1618E">
      <w:pPr>
        <w:pStyle w:val="P68B1DB1-Normal4"/>
        <w:spacing w:before="120" w:after="120" w:line="240" w:lineRule="auto"/>
        <w:jc w:val="both"/>
        <w:rPr>
          <w:rFonts w:cs="Times New Roman"/>
          <w:noProof/>
        </w:rPr>
      </w:pPr>
      <w:r>
        <w:rPr>
          <w:noProof/>
        </w:rPr>
        <w:t>Celem tego środka jest usunięcie jednej z głównych przeszkód utrudniających rozpoczęcie działań renowacyjnych, a mianowicie dostępu do finansowania na korzystnych warunkach. Aby uzyskać zatwierdzenie pożyczki na renowację, konieczne jest niekiedy udzielenie indywidualnej pożyczki osobistej każdemu właścicielowi budynku. Stanowiło to przeszkodę dla gruntownej i zintegrowanej renowacji budynków.</w:t>
      </w:r>
    </w:p>
    <w:p w14:paraId="7029A272" w14:textId="77777777" w:rsidR="006578ED" w:rsidRDefault="00A1618E">
      <w:pPr>
        <w:pStyle w:val="P68B1DB1-Normal4"/>
        <w:spacing w:before="120" w:after="120" w:line="240" w:lineRule="auto"/>
        <w:jc w:val="both"/>
        <w:rPr>
          <w:rFonts w:cs="Times New Roman"/>
          <w:noProof/>
        </w:rPr>
      </w:pPr>
      <w:r>
        <w:rPr>
          <w:noProof/>
        </w:rPr>
        <w:t>Aby rozwiązać tę kwestię, środek:</w:t>
      </w:r>
    </w:p>
    <w:p w14:paraId="424D4897" w14:textId="39426FDA" w:rsidR="006578ED" w:rsidRDefault="00A1618E">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Pr>
          <w:noProof/>
        </w:rPr>
        <w:t xml:space="preserve">Ustanawia nową linię </w:t>
      </w:r>
      <w:r>
        <w:rPr>
          <w:i/>
          <w:noProof/>
        </w:rPr>
        <w:t>gwarancyjną Instituto de Crédito Oficial</w:t>
      </w:r>
      <w:r>
        <w:rPr>
          <w:noProof/>
        </w:rPr>
        <w:t xml:space="preserve"> (ICO) w celu częściowego pokrycia ryzyka pożyczek udzielanych przez prywatne instytucje finansowe na renowację budynków mieszkalnych;</w:t>
      </w:r>
    </w:p>
    <w:p w14:paraId="00BDEC3B" w14:textId="2EB30D46" w:rsidR="006578ED" w:rsidRDefault="00A1618E">
      <w:pPr>
        <w:pStyle w:val="P68B1DB1-Normal4"/>
        <w:numPr>
          <w:ilvl w:val="0"/>
          <w:numId w:val="274"/>
        </w:numPr>
        <w:autoSpaceDE w:val="0"/>
        <w:autoSpaceDN w:val="0"/>
        <w:adjustRightInd w:val="0"/>
        <w:spacing w:before="120" w:after="120" w:line="240" w:lineRule="auto"/>
        <w:contextualSpacing/>
        <w:jc w:val="both"/>
        <w:rPr>
          <w:rFonts w:eastAsia="Arial" w:cs="Times New Roman"/>
          <w:noProof/>
        </w:rPr>
      </w:pPr>
      <w:r>
        <w:rPr>
          <w:noProof/>
        </w:rPr>
        <w:t>popiera przyjęcie szczegółowych przepisów regulacyjnych, w tym reformy horyzontalnego prawa własności, w celu poprawy dostępu do finansowania dla społeczności właścicieli; oraz</w:t>
      </w:r>
    </w:p>
    <w:p w14:paraId="00F6EF93" w14:textId="77777777" w:rsidR="006578ED" w:rsidRDefault="00A1618E">
      <w:pPr>
        <w:pStyle w:val="P68B1DB1-Normal4"/>
        <w:numPr>
          <w:ilvl w:val="0"/>
          <w:numId w:val="274"/>
        </w:numPr>
        <w:autoSpaceDE w:val="0"/>
        <w:autoSpaceDN w:val="0"/>
        <w:adjustRightInd w:val="0"/>
        <w:spacing w:before="120" w:after="120" w:line="240" w:lineRule="auto"/>
        <w:jc w:val="both"/>
        <w:rPr>
          <w:rFonts w:eastAsia="Arial" w:cs="Times New Roman"/>
          <w:noProof/>
        </w:rPr>
      </w:pPr>
      <w:r>
        <w:rPr>
          <w:noProof/>
        </w:rPr>
        <w:t>zachęca instytucje finansowe do wdrażania zielonego finansowania.</w:t>
      </w:r>
    </w:p>
    <w:p w14:paraId="29520B70" w14:textId="0A81EC38" w:rsidR="006578ED" w:rsidRDefault="00A1618E">
      <w:pPr>
        <w:pStyle w:val="P68B1DB1-Normal4"/>
        <w:autoSpaceDE w:val="0"/>
        <w:autoSpaceDN w:val="0"/>
        <w:adjustRightInd w:val="0"/>
        <w:spacing w:before="120" w:after="120" w:line="240" w:lineRule="auto"/>
        <w:jc w:val="both"/>
        <w:rPr>
          <w:rFonts w:eastAsia="Arial" w:cs="Times New Roman"/>
          <w:noProof/>
        </w:rPr>
      </w:pPr>
      <w:r>
        <w:rPr>
          <w:noProof/>
        </w:rPr>
        <w:t>Wdrożenie reformy zostanie zakończone do dnia 30 września 20</w:t>
      </w:r>
      <w:r w:rsidRPr="00A1618E">
        <w:rPr>
          <w:noProof/>
          <w:lang w:val="pl-PL"/>
        </w:rPr>
        <w:t>22 r.</w:t>
      </w:r>
    </w:p>
    <w:p w14:paraId="56F6608F" w14:textId="52A26846" w:rsidR="006578ED" w:rsidRDefault="00A1618E">
      <w:pPr>
        <w:pStyle w:val="P68B1DB1-Normal6"/>
        <w:spacing w:before="120" w:after="120" w:line="240" w:lineRule="auto"/>
        <w:jc w:val="both"/>
        <w:rPr>
          <w:rFonts w:cs="Times New Roman"/>
          <w:noProof/>
        </w:rPr>
      </w:pPr>
      <w:r>
        <w:rPr>
          <w:noProof/>
        </w:rPr>
        <w:t>Inwestycje 1 (C2.I1) – Program odbudowy gospodarczej i społecznej w środowisku mieszkalnym</w:t>
      </w:r>
    </w:p>
    <w:p w14:paraId="2C53FCFF" w14:textId="0DB76080" w:rsidR="006578ED" w:rsidRDefault="00A1618E">
      <w:pPr>
        <w:pStyle w:val="P68B1DB1-Normal4"/>
        <w:spacing w:before="120" w:after="120" w:line="240" w:lineRule="auto"/>
        <w:jc w:val="both"/>
        <w:rPr>
          <w:rFonts w:cs="Times New Roman"/>
          <w:noProof/>
        </w:rPr>
      </w:pPr>
      <w:r>
        <w:rPr>
          <w:noProof/>
        </w:rPr>
        <w:t>Celem tego działania jest wspieranie renowacji zwiększających efektywność energetyczną budynków mieszkalnych i dzielnic. Działania w ramach tego środka obejmują realizację co najmniej 410000 działań renowacyjnych w co najmniej 285000 unikalnych lokalach mieszkalnych, osiągając średnio zmniejszenie zapotrzebowania na energię pierwotną o co najmniej 30 % zweryfikowane na podstawie świadectw charakterystyki energetycznej. Wspierane będą następujące działania:</w:t>
      </w:r>
    </w:p>
    <w:p w14:paraId="304FC7A1" w14:textId="11FE6BDA" w:rsidR="006578ED" w:rsidRDefault="00A1618E">
      <w:pPr>
        <w:pStyle w:val="P68B1DB1-Normal4"/>
        <w:numPr>
          <w:ilvl w:val="0"/>
          <w:numId w:val="69"/>
        </w:numPr>
        <w:spacing w:before="120" w:after="120" w:line="240" w:lineRule="auto"/>
        <w:ind w:left="714" w:hanging="357"/>
        <w:contextualSpacing/>
        <w:jc w:val="both"/>
        <w:rPr>
          <w:rFonts w:cs="Times New Roman"/>
          <w:noProof/>
        </w:rPr>
      </w:pPr>
      <w:r>
        <w:rPr>
          <w:noProof/>
        </w:rPr>
        <w:t xml:space="preserve">Program wspierania renowacji energetycznych na poziomie dzielnicy. W ramach programu dokonuje się renowacji co najmniej 600 hektarów obszarów miejskich, osiągając średnio zmniejszenie zapotrzebowania na energię pierwotną o co najmniej 30 % zweryfikowane na podstawie świadectw charakterystyki energetycznej. Działania te obejmują poprawę efektywności energetycznej, wdrożenie infrastruktury dla elektromobilności, poprawę dostępności budynków i usuwanie substancji niebezpiecznych. Maksymalnie 15 % środka przeznacza się na ulepszenia na poziomie dzielnic, takie jak poprawa oświetlenia zewnętrznego, ścieżek rowerowych, zielonej infrastruktury i systemów odwadniania, z uwzględnieniem cech społeczno-gospodarczych dzielnicy. </w:t>
      </w:r>
    </w:p>
    <w:p w14:paraId="3C7153CC" w14:textId="57F0A906" w:rsidR="006578ED" w:rsidRDefault="00A1618E">
      <w:pPr>
        <w:pStyle w:val="P68B1DB1-Normal4"/>
        <w:numPr>
          <w:ilvl w:val="0"/>
          <w:numId w:val="69"/>
        </w:numPr>
        <w:spacing w:before="120" w:after="120" w:line="240" w:lineRule="auto"/>
        <w:ind w:left="714" w:hanging="357"/>
        <w:contextualSpacing/>
        <w:jc w:val="both"/>
        <w:rPr>
          <w:rFonts w:cs="Times New Roman"/>
          <w:noProof/>
        </w:rPr>
      </w:pPr>
      <w:r>
        <w:rPr>
          <w:noProof/>
        </w:rPr>
        <w:t>Program wspierania termomodernizacji budynków mieszkalnych. Poziom wsparcia jest wyższy w przypadku działań, w przypadku których zmniejszenie zapotrzebowania na energię pierwotną jest wyższe, oraz dla gospodarstw domowych o niskich dochodach. Działania te obejmują poprawę efektywności energetycznej, wdrożenie infrastruktury dla elektromobilności, poprawę dostępności budynków i </w:t>
      </w:r>
      <w:bookmarkStart w:id="3" w:name="_Hlk145665613"/>
      <w:r>
        <w:rPr>
          <w:noProof/>
        </w:rPr>
        <w:t>usuwanie substancji niebezpiecznych</w:t>
      </w:r>
      <w:bookmarkEnd w:id="3"/>
      <w:r>
        <w:rPr>
          <w:noProof/>
        </w:rPr>
        <w:t>.</w:t>
      </w:r>
    </w:p>
    <w:p w14:paraId="213E32C8" w14:textId="14B586C8" w:rsidR="006578ED" w:rsidRDefault="00A1618E">
      <w:pPr>
        <w:pStyle w:val="P68B1DB1-Normal4"/>
        <w:numPr>
          <w:ilvl w:val="0"/>
          <w:numId w:val="69"/>
        </w:numPr>
        <w:spacing w:before="120" w:after="120" w:line="240" w:lineRule="auto"/>
        <w:ind w:left="709"/>
        <w:jc w:val="both"/>
        <w:rPr>
          <w:rFonts w:cs="Times New Roman"/>
          <w:noProof/>
        </w:rPr>
      </w:pPr>
      <w:r>
        <w:rPr>
          <w:noProof/>
        </w:rPr>
        <w:t>Zestaw działań dotyczy zachęt do renowacji energetycznych. Obejmuje to między innymi (i) możliwość odliczenia renowacji od podatku dochodowego od osób fizycznych w przypadku osiągnięcia co najmniej 30 % zmniejszenia zapotrzebowania na energię pierwotną oraz (ii) poprawę ram finansowania poprzez zachęcanie do partnerstw publiczno-prywatnych.</w:t>
      </w:r>
    </w:p>
    <w:p w14:paraId="65EBC0B5" w14:textId="0BCC2561" w:rsidR="006578ED" w:rsidRDefault="00A1618E">
      <w:pPr>
        <w:pStyle w:val="P68B1DB1-Normal4"/>
        <w:spacing w:before="120" w:after="120" w:line="240" w:lineRule="auto"/>
        <w:jc w:val="both"/>
        <w:rPr>
          <w:rFonts w:cs="Times New Roman"/>
          <w:noProof/>
        </w:rPr>
      </w:pPr>
      <w:r>
        <w:rPr>
          <w:noProof/>
        </w:rPr>
        <w:t>Dekret królewski określa wymogi techniczne w celu zapewnienia zgodności ze średnim 30 % zmniejszeniem zapotrzebowania na energię pierwotną. Zmiany w podatku dochodowym od osób fizycznych są zatwierdzane dekretem królewskim z mocą ustawy, a ich celem jest określenie zachęt podatkowych dla działań związanych z renowacją budynków w celu poprawy efektywności energetycznej.</w:t>
      </w:r>
    </w:p>
    <w:p w14:paraId="5AFC7AC4" w14:textId="50224C1E"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507FD263" w14:textId="478DF14B" w:rsidR="006578ED" w:rsidRDefault="00A1618E">
      <w:pPr>
        <w:pStyle w:val="P68B1DB1-Normal6"/>
        <w:spacing w:before="120" w:after="120" w:line="240" w:lineRule="auto"/>
        <w:jc w:val="both"/>
        <w:rPr>
          <w:rFonts w:cs="Times New Roman"/>
          <w:noProof/>
        </w:rPr>
      </w:pPr>
      <w:r>
        <w:rPr>
          <w:noProof/>
        </w:rPr>
        <w:t>Inwestycja 2 (C2.I2) – Program budowy mieszkań socjalnych w budynkach energooszczędnych</w:t>
      </w:r>
    </w:p>
    <w:p w14:paraId="22FD70AB" w14:textId="616EF83C" w:rsidR="006578ED" w:rsidRDefault="00A1618E">
      <w:pPr>
        <w:pStyle w:val="P68B1DB1-Normal4"/>
        <w:spacing w:before="120" w:after="120" w:line="240" w:lineRule="auto"/>
        <w:jc w:val="both"/>
        <w:rPr>
          <w:rFonts w:cs="Times New Roman"/>
          <w:noProof/>
        </w:rPr>
      </w:pPr>
      <w:r>
        <w:rPr>
          <w:noProof/>
        </w:rPr>
        <w:t>Celem tego środka jest zbudowanie co najmniej 20000 nowych lokali mieszkalnych do celów czynszu socjalnego lub po przystępnych cenach, zgodnych z kryteriami efektywności energetycznej. Są one budowane w szczególności na obszarach, na których mieszkania socjalne są obecnie niewystarczające, oraz na gruntach publicznych.</w:t>
      </w:r>
    </w:p>
    <w:p w14:paraId="67B4BC21" w14:textId="35416278" w:rsidR="006578ED" w:rsidRDefault="00A1618E">
      <w:pPr>
        <w:pStyle w:val="P68B1DB1-Normal4"/>
        <w:spacing w:before="120" w:after="120" w:line="240" w:lineRule="auto"/>
        <w:jc w:val="both"/>
        <w:rPr>
          <w:rFonts w:cs="Times New Roman"/>
          <w:noProof/>
        </w:rPr>
      </w:pPr>
      <w:r>
        <w:rPr>
          <w:noProof/>
        </w:rPr>
        <w:t xml:space="preserve">Zapotrzebowanie na energię pierwotną w mieszkalnictwie socjalnym musi być o co najmniej 20 % niższe od wymagań budynków o niemal zerowym zużyciu energii. W tym celu dekret królewski określa wymogi techniczne w celu ograniczenia wartości zapotrzebowania na energię pierwotną </w:t>
      </w:r>
      <w:r w:rsidRPr="00A1618E">
        <w:rPr>
          <w:noProof/>
          <w:lang w:val="pl-PL"/>
        </w:rPr>
        <w:t>do 8</w:t>
      </w:r>
      <w:r>
        <w:rPr>
          <w:noProof/>
        </w:rPr>
        <w:t>0 % limitu określonego w sekcji HE 0 podstawowego dokumentu oszczędności energii (DB-HE) technicznego kodeksu budowlanego (CTE).</w:t>
      </w:r>
    </w:p>
    <w:p w14:paraId="609773F7" w14:textId="3EAA6424"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4020EDED" w14:textId="77777777" w:rsidR="006578ED" w:rsidRDefault="00A1618E">
      <w:pPr>
        <w:pStyle w:val="P68B1DB1-Normal6"/>
        <w:spacing w:before="120" w:after="120" w:line="240" w:lineRule="auto"/>
        <w:jc w:val="both"/>
        <w:rPr>
          <w:rFonts w:cs="Times New Roman"/>
          <w:noProof/>
        </w:rPr>
      </w:pPr>
      <w:r>
        <w:rPr>
          <w:noProof/>
        </w:rPr>
        <w:t>Inwestycja 3 (C2.I3) – Program renowacji energetycznej budynków</w:t>
      </w:r>
    </w:p>
    <w:p w14:paraId="7394FF66" w14:textId="374E43ED" w:rsidR="006578ED" w:rsidRDefault="00A1618E">
      <w:pPr>
        <w:pStyle w:val="P68B1DB1-Normal4"/>
        <w:spacing w:before="120" w:after="120" w:line="240" w:lineRule="auto"/>
        <w:jc w:val="both"/>
        <w:rPr>
          <w:rFonts w:cs="Times New Roman"/>
          <w:noProof/>
        </w:rPr>
      </w:pPr>
      <w:r>
        <w:rPr>
          <w:noProof/>
        </w:rPr>
        <w:t>Celem tego działania jest wspieranie termomodernizacji równoważnych co najmniej 40000 budynków mieszkalnych i 690 000 m 2 budynków</w:t>
      </w:r>
      <w:r>
        <w:rPr>
          <w:noProof/>
          <w:vertAlign w:val="superscript"/>
        </w:rPr>
        <w:t>niemieszkalnych</w:t>
      </w:r>
      <w:r>
        <w:rPr>
          <w:noProof/>
        </w:rPr>
        <w:t xml:space="preserve"> oraz poprzez poprawę efektywności energetycznej i integrację energii odnawialnej. Program wspiera jedynie energię ze źródeł odnawialnych, z wyłączeniem paliw kopalnych, zapewnia większą intensywność pomocy dla społeczności energetycznych i umożliwia prefinansowanie działań renowacyjnych. Działania szczegółowe obejmują poprawę efektywności energetycznej poprzez izolację cieplną, wykorzystanie energii ze źródeł odnawialnych w systemach ogrzewania i chłodzenia oraz poprawę systemu oświetlenia. Przewiduje się kryterium kwalifikowalności, zgodnie z którym średnie zmniejszenie zapotrzebowania na energię pierwotną o co najmniej 30 % jest osiągane za pomocą świadectw charakterystyki energetycznej.</w:t>
      </w:r>
    </w:p>
    <w:p w14:paraId="2298B8EB" w14:textId="4244EBAC"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58B2CDE9" w14:textId="68C6CE63" w:rsidR="006578ED" w:rsidRDefault="00A1618E">
      <w:pPr>
        <w:pStyle w:val="P68B1DB1-Normal6"/>
        <w:spacing w:before="120" w:after="120" w:line="240" w:lineRule="auto"/>
        <w:jc w:val="both"/>
        <w:rPr>
          <w:rFonts w:cs="Times New Roman"/>
          <w:noProof/>
        </w:rPr>
      </w:pPr>
      <w:r>
        <w:rPr>
          <w:noProof/>
        </w:rPr>
        <w:t>Inwestycje 4 (C2.I4) – Program rewitalizacji i wyzwania demograficzne</w:t>
      </w:r>
    </w:p>
    <w:p w14:paraId="5F772F25" w14:textId="64B9D36D" w:rsidR="006578ED" w:rsidRDefault="00A1618E">
      <w:pPr>
        <w:pStyle w:val="P68B1DB1-Normal4"/>
        <w:spacing w:before="120" w:after="120" w:line="240" w:lineRule="auto"/>
        <w:jc w:val="both"/>
        <w:rPr>
          <w:rFonts w:cs="Times New Roman"/>
          <w:noProof/>
        </w:rPr>
      </w:pPr>
      <w:r>
        <w:rPr>
          <w:noProof/>
        </w:rPr>
        <w:t>Celem tego działania jest wspieranie renowacji budynków w gminach i na obszarach miejskich o liczbie mieszkańców poniżej 5000. Działania obejmują poprawę efektywności energetycznej budynków, urządzeń publicznych i infrastruktury publicznej, wytwarzanie i zużycie energii ze źródeł odnawialnych, konsumpcję własną i lokalne społeczności energetyczne właścicieli oraz mobilność zgodną z zasadami zrównoważonego rozwoju (np. stacje ładowania pojazdów elektrycznych). Podejmowane są dwa rodzaje działań:</w:t>
      </w:r>
    </w:p>
    <w:p w14:paraId="01326C6C" w14:textId="76DE33FE" w:rsidR="006578ED" w:rsidRDefault="00A1618E">
      <w:pPr>
        <w:pStyle w:val="P68B1DB1-Normal4"/>
        <w:numPr>
          <w:ilvl w:val="0"/>
          <w:numId w:val="70"/>
        </w:numPr>
        <w:spacing w:before="120" w:after="120" w:line="240" w:lineRule="auto"/>
        <w:ind w:left="714" w:hanging="357"/>
        <w:contextualSpacing/>
        <w:jc w:val="both"/>
        <w:rPr>
          <w:rFonts w:cs="Times New Roman"/>
          <w:noProof/>
        </w:rPr>
      </w:pPr>
      <w:r>
        <w:rPr>
          <w:noProof/>
        </w:rPr>
        <w:t xml:space="preserve">W odniesieniu do efektywności energetycznej w budynkach mieszkalnych i 230 000 m² budynków niemieszkalnych przeprowadza się równoważny co najmniej 4300 termomodernizacji, osiągając średnio zmniejszenie zapotrzebowania na energię pierwotną o co najmniej 30 % zweryfikowane świadectwami charakterystyki energetycznej. </w:t>
      </w:r>
    </w:p>
    <w:p w14:paraId="7EE1C8FD" w14:textId="12B97BA4" w:rsidR="006578ED" w:rsidRDefault="00A1618E">
      <w:pPr>
        <w:pStyle w:val="P68B1DB1-Normal4"/>
        <w:numPr>
          <w:ilvl w:val="0"/>
          <w:numId w:val="70"/>
        </w:numPr>
        <w:spacing w:before="120" w:after="120" w:line="240" w:lineRule="auto"/>
        <w:jc w:val="both"/>
        <w:rPr>
          <w:rFonts w:cs="Times New Roman"/>
          <w:noProof/>
        </w:rPr>
      </w:pPr>
      <w:r>
        <w:rPr>
          <w:noProof/>
        </w:rPr>
        <w:t>Co najmniej 500 unikalnych projektów w zakresie czystej energii jest realizowanych w drodze przetargów konkurencyjnych lub inwestycji władz lokalnych w następujących obszarach: instalacja energii elektrycznej lub ogrzewania i chłodzenia ze źródeł odnawialnych w budynkach publicznych lub infrastrukturze publicznej (w tym co najmniej 80 % konsumpcji własnej); renowacje energetyczne budynków publicznych lub infrastruktury publicznej (osiągające co najmniej 30 % oszczędności energii pierwotnej zweryfikowane na podstawie świadectw charakterystyki energetycznej); mobilność zgodna z zasadami zrównoważonego rozwoju (projekty dotyczące przesunięcia międzygałęziowego lub elektromobilności); zmniejszenie zanieczyszczenia świetlnego dzięki lepszemu oświetleniu publicznemu; oraz (v) lokalnych społeczności energetycznych lub innych projektów prowadzonych przez społeczność w tych gminach.</w:t>
      </w:r>
    </w:p>
    <w:p w14:paraId="70CDAE8F" w14:textId="40463212" w:rsidR="006578ED" w:rsidRDefault="00A1618E">
      <w:pPr>
        <w:pStyle w:val="P68B1DB1-Normal4"/>
        <w:spacing w:before="120" w:after="120" w:line="240" w:lineRule="auto"/>
        <w:jc w:val="both"/>
        <w:rPr>
          <w:rFonts w:cs="Times New Roman"/>
          <w:noProof/>
        </w:rPr>
      </w:pPr>
      <w:r>
        <w:rPr>
          <w:noProof/>
        </w:rPr>
        <w:t xml:space="preserve">W tym celu podstawy regulacyjne i wezwanie do udzielenia pomocy inwestycyjnej dla władz lokalnych są publikowane w Dzienniku Urzędowym. </w:t>
      </w:r>
    </w:p>
    <w:p w14:paraId="78DFE28D" w14:textId="71B68DBF"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00B8F52C" w14:textId="77777777" w:rsidR="006578ED" w:rsidRDefault="00A1618E">
      <w:pPr>
        <w:pStyle w:val="P68B1DB1-Normal6"/>
        <w:spacing w:before="120" w:after="120" w:line="240" w:lineRule="auto"/>
        <w:jc w:val="both"/>
        <w:rPr>
          <w:rFonts w:cs="Times New Roman"/>
          <w:noProof/>
        </w:rPr>
      </w:pPr>
      <w:r>
        <w:rPr>
          <w:noProof/>
        </w:rPr>
        <w:t>Inwestycja 5 (C2.I5) – Program renowacji budynków publicznych</w:t>
      </w:r>
    </w:p>
    <w:p w14:paraId="5C84FBF4" w14:textId="50BB79A9" w:rsidR="006578ED" w:rsidRDefault="00A1618E">
      <w:pPr>
        <w:pStyle w:val="P68B1DB1-Normal4"/>
        <w:spacing w:before="120" w:after="120" w:line="240" w:lineRule="auto"/>
        <w:jc w:val="both"/>
        <w:rPr>
          <w:rFonts w:cs="Times New Roman"/>
          <w:noProof/>
        </w:rPr>
      </w:pPr>
      <w:r>
        <w:rPr>
          <w:noProof/>
        </w:rPr>
        <w:t>Celem tego środka jest wspieranie renowacji energetycznych w budynkach publicznych, w tym administracji publicznej, edukacji, opieki społecznej, sportu, zdrowia, kultury lub usług publicznych. Poddaje się renowacji co najmniej 1 230 000 m 2 budynków</w:t>
      </w:r>
      <w:r>
        <w:rPr>
          <w:noProof/>
          <w:vertAlign w:val="superscript"/>
        </w:rPr>
        <w:t>publicznych</w:t>
      </w:r>
      <w:r>
        <w:rPr>
          <w:noProof/>
        </w:rPr>
        <w:t xml:space="preserve">, aby osiągnąć średnio zmniejszenie zapotrzebowania na energię pierwotną o co najmniej 30 % zweryfikowane na podstawie świadectw charakterystyki energetycznej. Środek wspiera: poprawa wykorzystania wody, materiałów, gospodarowania odpadami i przystosowania się do zmiany klimatu; poprawa dostępności budynków; usuwanie substancji niebezpiecznych i poprawa jakości powietrza w pomieszczeniach; oraz (iv) ochronę budynków. </w:t>
      </w:r>
    </w:p>
    <w:p w14:paraId="0B17E944" w14:textId="64D7723A"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490F1E3A" w14:textId="77777777" w:rsidR="006578ED" w:rsidRDefault="00A1618E">
      <w:pPr>
        <w:pStyle w:val="P68B1DB1-Normal6"/>
        <w:spacing w:before="120" w:after="120" w:line="240" w:lineRule="auto"/>
        <w:jc w:val="both"/>
        <w:rPr>
          <w:rFonts w:cs="Times New Roman"/>
          <w:noProof/>
        </w:rPr>
      </w:pPr>
      <w:r>
        <w:rPr>
          <w:noProof/>
        </w:rPr>
        <w:t>Inwestycja 6 (C2.I6) – Program wsparcia na rzecz rozwoju projektów pilotażowych dla lokalnych planów działania hiszpańskiej agendy miejskiej</w:t>
      </w:r>
    </w:p>
    <w:p w14:paraId="71C49580" w14:textId="4E77E491" w:rsidR="006578ED" w:rsidRDefault="00A1618E">
      <w:pPr>
        <w:pStyle w:val="P68B1DB1-Normal4"/>
        <w:spacing w:before="120" w:after="120" w:line="240" w:lineRule="auto"/>
        <w:jc w:val="both"/>
        <w:rPr>
          <w:rFonts w:cs="Times New Roman"/>
          <w:noProof/>
        </w:rPr>
      </w:pPr>
      <w:r>
        <w:rPr>
          <w:noProof/>
        </w:rPr>
        <w:t>Celem tego środka jest wspieranie władz lokalnych w realizacji dziesięciu celów strategicznych hiszpańskiej agendy miejskiej poprzez zatwierdzenie co najmniej 100 lokalnych planów działania. Dziesięć celów strategicznych hiszpańskiej agendy miejskiej to: zagospodarowanie terenu i jego bardziej racjonalne wykorzystanie, zachowanie i ochrona; unikanie rozrastania się miast i rewitalizacja istniejących miast; zapobieganie skutkom zmiany klimatu i odporności oraz ograniczanie tych skutków; zrównoważone wykorzystywanie zasobów i promowanie gospodarki o obiegu zamkniętym; promowanie bliskości i mobilności zgodnej z zasadami zrównoważonego rozwoju; wspieranie spójności społecznej i dążenie do równości; promowanie gospodarki miejskiej i zachęcanie do niej; (VIII) zapewnienie dostępu do mieszkań; (IX) kierowanie innowacjami cyfrowymi i ich promowanie; oraz (x) ulepszanie instrumentów uczestnictwa i zarządzania.</w:t>
      </w:r>
    </w:p>
    <w:p w14:paraId="1C387669" w14:textId="439CF519" w:rsidR="006578ED" w:rsidRDefault="00A1618E">
      <w:pPr>
        <w:pStyle w:val="P68B1DB1-Normal4"/>
        <w:spacing w:before="120" w:after="120" w:line="240" w:lineRule="auto"/>
        <w:jc w:val="both"/>
        <w:rPr>
          <w:rFonts w:cs="Times New Roman"/>
          <w:noProof/>
        </w:rPr>
      </w:pPr>
      <w:r>
        <w:rPr>
          <w:noProof/>
        </w:rPr>
        <w:t xml:space="preserve">Środek ten (i) służy jako wzór do naśladowania i przewodnik dla innych władz lokalnych przy opracowywaniu ich własnych planów działania; wdrożenie hiszpańskiej agendy miejskiej wraz z planami działania na szczeblu lokalnym; oraz (iii) wdrożenie konkretnych projektów w ramach lokalnych planów działania w celu podkreślenia potencjału hiszpańskiej agendy miejskiej. Wsparcie przyznawane jest w drodze przetargu konkurencyjnego i obejmuje w szczególności przekrojowe i zintegrowane projekty o strategicznej wizji i modelu zarządzania zapewniającego jak najszerszy udział. </w:t>
      </w:r>
    </w:p>
    <w:p w14:paraId="3A173C06" w14:textId="1B58CC17" w:rsidR="006578ED" w:rsidRDefault="00A1618E">
      <w:pPr>
        <w:pStyle w:val="P68B1DB1-Normal4"/>
        <w:spacing w:before="120" w:after="120" w:line="240" w:lineRule="auto"/>
        <w:jc w:val="both"/>
        <w:rPr>
          <w:rFonts w:cs="Times New Roman"/>
          <w:noProof/>
        </w:rPr>
      </w:pPr>
      <w:r>
        <w:rPr>
          <w:noProof/>
        </w:rPr>
        <w:t>Inwestycje w ramach tego środka zostaną zakończone do dnia 31 grudnia 20</w:t>
      </w:r>
      <w:r w:rsidRPr="00A1618E">
        <w:rPr>
          <w:noProof/>
          <w:lang w:val="pl-PL"/>
        </w:rPr>
        <w:t>22 r.</w:t>
      </w:r>
    </w:p>
    <w:p w14:paraId="567278F9" w14:textId="1CDA2FBD" w:rsidR="006578ED" w:rsidRDefault="00A1618E">
      <w:pPr>
        <w:pStyle w:val="P68B1DB1-Normal5"/>
        <w:spacing w:before="120" w:after="120" w:line="240" w:lineRule="auto"/>
        <w:ind w:left="709"/>
        <w:jc w:val="both"/>
        <w:rPr>
          <w:rFonts w:cs="Times New Roman"/>
          <w:noProof/>
        </w:rPr>
      </w:pPr>
      <w:r>
        <w:rPr>
          <w:noProof/>
        </w:rPr>
        <w:t xml:space="preserve">B.2. </w:t>
      </w:r>
      <w:r>
        <w:rPr>
          <w:noProof/>
        </w:rPr>
        <w:tab/>
        <w:t>Kamienie milowe, wartości docelowe, wskaźniki i harmonogram monitorowania i realizacji na potrzeby bezzwrotnego wsparcia finansowego</w:t>
      </w:r>
    </w:p>
    <w:p w14:paraId="49802B6B" w14:textId="69D7AE94" w:rsidR="006578ED" w:rsidRDefault="00A1618E">
      <w:pPr>
        <w:pStyle w:val="P68B1DB1-Normal4"/>
        <w:spacing w:before="120" w:after="120" w:line="240" w:lineRule="auto"/>
        <w:jc w:val="both"/>
        <w:rPr>
          <w:rFonts w:cs="Times New Roman"/>
          <w:i/>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0F361146" w14:textId="77777777" w:rsidR="006578ED" w:rsidRDefault="006578ED">
      <w:pPr>
        <w:spacing w:before="120" w:after="120" w:line="240" w:lineRule="auto"/>
        <w:jc w:val="both"/>
        <w:rPr>
          <w:rFonts w:ascii="Times New Roman" w:hAnsi="Times New Roman" w:cs="Times New Roman"/>
          <w:noProof/>
          <w:sz w:val="24"/>
        </w:rPr>
      </w:pPr>
    </w:p>
    <w:p w14:paraId="02246708" w14:textId="40E43E47" w:rsidR="006578ED" w:rsidRDefault="006578ED">
      <w:pPr>
        <w:spacing w:before="120" w:after="120" w:line="240" w:lineRule="auto"/>
        <w:jc w:val="both"/>
        <w:rPr>
          <w:rFonts w:ascii="Times New Roman" w:hAnsi="Times New Roman" w:cs="Times New Roman"/>
          <w:noProof/>
          <w:sz w:val="24"/>
        </w:rPr>
        <w:sectPr w:rsidR="006578ED" w:rsidSect="004F0858">
          <w:headerReference w:type="even" r:id="rId42"/>
          <w:headerReference w:type="default" r:id="rId43"/>
          <w:footerReference w:type="even" r:id="rId44"/>
          <w:footerReference w:type="default" r:id="rId45"/>
          <w:headerReference w:type="first" r:id="rId46"/>
          <w:footerReference w:type="first" r:id="rId47"/>
          <w:pgSz w:w="11907" w:h="16839"/>
          <w:pgMar w:top="1134" w:right="1417" w:bottom="1134" w:left="1417" w:header="709" w:footer="709" w:gutter="0"/>
          <w:cols w:space="720"/>
          <w:docGrid w:linePitch="360"/>
        </w:sectPr>
      </w:pPr>
    </w:p>
    <w:tbl>
      <w:tblPr>
        <w:tblpPr w:leftFromText="180" w:rightFromText="180" w:vertAnchor="text" w:tblpX="-114"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985"/>
        <w:gridCol w:w="1134"/>
        <w:gridCol w:w="850"/>
        <w:gridCol w:w="709"/>
        <w:gridCol w:w="851"/>
        <w:gridCol w:w="425"/>
        <w:gridCol w:w="567"/>
        <w:gridCol w:w="6379"/>
      </w:tblGrid>
      <w:tr w:rsidR="006578ED" w14:paraId="2E3C9312" w14:textId="77777777">
        <w:trPr>
          <w:trHeight w:val="309"/>
          <w:tblHeader/>
        </w:trPr>
        <w:tc>
          <w:tcPr>
            <w:tcW w:w="709" w:type="dxa"/>
            <w:tcBorders>
              <w:bottom w:val="nil"/>
            </w:tcBorders>
            <w:shd w:val="clear" w:color="auto" w:fill="C6D9F1" w:themeFill="text2" w:themeFillTint="33"/>
            <w:noWrap/>
            <w:vAlign w:val="center"/>
          </w:tcPr>
          <w:p w14:paraId="5B1788F6"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49584422"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39827929" w14:textId="73F52E33"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1985" w:type="dxa"/>
            <w:tcBorders>
              <w:bottom w:val="nil"/>
            </w:tcBorders>
            <w:shd w:val="clear" w:color="auto" w:fill="C6D9F1" w:themeFill="text2" w:themeFillTint="33"/>
            <w:noWrap/>
            <w:vAlign w:val="center"/>
          </w:tcPr>
          <w:p w14:paraId="76CAFD79" w14:textId="77777777" w:rsidR="006578ED" w:rsidRDefault="00A1618E">
            <w:pPr>
              <w:pStyle w:val="P68B1DB1-Normal12"/>
              <w:spacing w:after="0" w:line="240" w:lineRule="auto"/>
              <w:jc w:val="center"/>
              <w:rPr>
                <w:rFonts w:cs="Times New Roman"/>
                <w:noProof/>
              </w:rPr>
            </w:pPr>
            <w:r>
              <w:rPr>
                <w:noProof/>
              </w:rPr>
              <w:t>Nazwa</w:t>
            </w:r>
          </w:p>
        </w:tc>
        <w:tc>
          <w:tcPr>
            <w:tcW w:w="1134" w:type="dxa"/>
            <w:tcBorders>
              <w:bottom w:val="nil"/>
            </w:tcBorders>
            <w:shd w:val="clear" w:color="auto" w:fill="C6D9F1" w:themeFill="text2" w:themeFillTint="33"/>
            <w:noWrap/>
            <w:vAlign w:val="center"/>
          </w:tcPr>
          <w:p w14:paraId="4600E658"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410" w:type="dxa"/>
            <w:gridSpan w:val="3"/>
            <w:shd w:val="clear" w:color="auto" w:fill="C6D9F1" w:themeFill="text2" w:themeFillTint="33"/>
            <w:noWrap/>
            <w:vAlign w:val="center"/>
          </w:tcPr>
          <w:p w14:paraId="38F0721A"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77B6B7CC" w14:textId="77777777" w:rsidR="006578ED" w:rsidRDefault="00A1618E">
            <w:pPr>
              <w:pStyle w:val="P68B1DB1-Normal12"/>
              <w:spacing w:after="0" w:line="240" w:lineRule="auto"/>
              <w:jc w:val="center"/>
              <w:rPr>
                <w:rFonts w:cs="Times New Roman"/>
                <w:noProof/>
              </w:rPr>
            </w:pPr>
            <w:r>
              <w:rPr>
                <w:noProof/>
              </w:rPr>
              <w:t>Czas</w:t>
            </w:r>
          </w:p>
        </w:tc>
        <w:tc>
          <w:tcPr>
            <w:tcW w:w="6379" w:type="dxa"/>
            <w:tcBorders>
              <w:bottom w:val="nil"/>
            </w:tcBorders>
            <w:shd w:val="clear" w:color="auto" w:fill="C6D9F1" w:themeFill="text2" w:themeFillTint="33"/>
            <w:noWrap/>
            <w:vAlign w:val="center"/>
          </w:tcPr>
          <w:p w14:paraId="038D6592" w14:textId="363E76B2"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4A804D2F" w14:textId="77777777">
        <w:trPr>
          <w:trHeight w:val="309"/>
          <w:tblHeader/>
        </w:trPr>
        <w:tc>
          <w:tcPr>
            <w:tcW w:w="709" w:type="dxa"/>
            <w:tcBorders>
              <w:top w:val="nil"/>
            </w:tcBorders>
            <w:shd w:val="clear" w:color="auto" w:fill="C6D9F1" w:themeFill="text2" w:themeFillTint="33"/>
            <w:noWrap/>
          </w:tcPr>
          <w:p w14:paraId="3656B9AB"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45FB0818"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49F31CB" w14:textId="77777777" w:rsidR="006578ED" w:rsidRDefault="006578ED">
            <w:pPr>
              <w:spacing w:after="0" w:line="240" w:lineRule="auto"/>
              <w:jc w:val="center"/>
              <w:rPr>
                <w:rFonts w:ascii="Times New Roman" w:hAnsi="Times New Roman" w:cs="Times New Roman"/>
                <w:b/>
                <w:noProof/>
                <w:sz w:val="18"/>
              </w:rPr>
            </w:pPr>
          </w:p>
        </w:tc>
        <w:tc>
          <w:tcPr>
            <w:tcW w:w="1985" w:type="dxa"/>
            <w:tcBorders>
              <w:top w:val="nil"/>
            </w:tcBorders>
            <w:shd w:val="clear" w:color="auto" w:fill="C6D9F1" w:themeFill="text2" w:themeFillTint="33"/>
            <w:noWrap/>
          </w:tcPr>
          <w:p w14:paraId="53128261" w14:textId="77777777" w:rsidR="006578ED" w:rsidRDefault="006578ED">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2486C05"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2405BE9F" w14:textId="77777777" w:rsidR="006578ED" w:rsidRDefault="00A1618E">
            <w:pPr>
              <w:pStyle w:val="P68B1DB1-Normal12"/>
              <w:spacing w:after="0" w:line="240" w:lineRule="auto"/>
              <w:jc w:val="center"/>
              <w:rPr>
                <w:rFonts w:cs="Times New Roman"/>
                <w:noProof/>
              </w:rPr>
            </w:pPr>
            <w:r>
              <w:rPr>
                <w:noProof/>
              </w:rPr>
              <w:t>Jednostka</w:t>
            </w:r>
          </w:p>
        </w:tc>
        <w:tc>
          <w:tcPr>
            <w:tcW w:w="709" w:type="dxa"/>
            <w:shd w:val="clear" w:color="auto" w:fill="C6D9F1" w:themeFill="text2" w:themeFillTint="33"/>
            <w:noWrap/>
            <w:vAlign w:val="center"/>
          </w:tcPr>
          <w:p w14:paraId="0F1DE017" w14:textId="77777777" w:rsidR="006578ED" w:rsidRDefault="00A1618E">
            <w:pPr>
              <w:pStyle w:val="P68B1DB1-Normal12"/>
              <w:spacing w:after="0" w:line="240" w:lineRule="auto"/>
              <w:jc w:val="center"/>
              <w:rPr>
                <w:rFonts w:cs="Times New Roman"/>
                <w:noProof/>
              </w:rPr>
            </w:pPr>
            <w:r>
              <w:rPr>
                <w:noProof/>
              </w:rPr>
              <w:t>Wartość wyjściowa</w:t>
            </w:r>
          </w:p>
        </w:tc>
        <w:tc>
          <w:tcPr>
            <w:tcW w:w="851" w:type="dxa"/>
            <w:shd w:val="clear" w:color="auto" w:fill="C6D9F1" w:themeFill="text2" w:themeFillTint="33"/>
            <w:noWrap/>
            <w:vAlign w:val="center"/>
          </w:tcPr>
          <w:p w14:paraId="09320768"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vAlign w:val="center"/>
          </w:tcPr>
          <w:p w14:paraId="5EF36C89"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1D6DE76D" w14:textId="77777777" w:rsidR="006578ED" w:rsidRDefault="00A1618E">
            <w:pPr>
              <w:pStyle w:val="P68B1DB1-Normal12"/>
              <w:spacing w:after="0" w:line="240" w:lineRule="auto"/>
              <w:jc w:val="center"/>
              <w:rPr>
                <w:rFonts w:cs="Times New Roman"/>
                <w:noProof/>
              </w:rPr>
            </w:pPr>
            <w:r>
              <w:rPr>
                <w:noProof/>
              </w:rPr>
              <w:t>Rok</w:t>
            </w:r>
          </w:p>
        </w:tc>
        <w:tc>
          <w:tcPr>
            <w:tcW w:w="6379" w:type="dxa"/>
            <w:tcBorders>
              <w:top w:val="nil"/>
            </w:tcBorders>
            <w:shd w:val="clear" w:color="auto" w:fill="C6D9F1" w:themeFill="text2" w:themeFillTint="33"/>
            <w:noWrap/>
          </w:tcPr>
          <w:p w14:paraId="4101652C" w14:textId="77777777" w:rsidR="006578ED" w:rsidRDefault="006578ED">
            <w:pPr>
              <w:spacing w:after="0" w:line="240" w:lineRule="auto"/>
              <w:rPr>
                <w:rFonts w:ascii="Times New Roman" w:hAnsi="Times New Roman" w:cs="Times New Roman"/>
                <w:b/>
                <w:noProof/>
                <w:sz w:val="18"/>
              </w:rPr>
            </w:pPr>
          </w:p>
        </w:tc>
      </w:tr>
      <w:tr w:rsidR="006578ED" w14:paraId="6E905AD4" w14:textId="77777777">
        <w:trPr>
          <w:trHeight w:val="309"/>
        </w:trPr>
        <w:tc>
          <w:tcPr>
            <w:tcW w:w="709" w:type="dxa"/>
            <w:shd w:val="clear" w:color="auto" w:fill="C6EFCE"/>
            <w:noWrap/>
          </w:tcPr>
          <w:p w14:paraId="7B568215" w14:textId="77777777" w:rsidR="006578ED" w:rsidRDefault="00A1618E">
            <w:pPr>
              <w:pStyle w:val="P68B1DB1-Normal13"/>
              <w:spacing w:after="0" w:line="240" w:lineRule="auto"/>
              <w:jc w:val="center"/>
              <w:rPr>
                <w:rFonts w:eastAsia="MS Mincho" w:cs="Times New Roman"/>
                <w:noProof/>
              </w:rPr>
            </w:pPr>
            <w:r>
              <w:rPr>
                <w:noProof/>
              </w:rPr>
              <w:t>21</w:t>
            </w:r>
          </w:p>
        </w:tc>
        <w:tc>
          <w:tcPr>
            <w:tcW w:w="851" w:type="dxa"/>
            <w:shd w:val="clear" w:color="auto" w:fill="C6EFCE"/>
            <w:noWrap/>
          </w:tcPr>
          <w:p w14:paraId="54F29CE8" w14:textId="77777777" w:rsidR="006578ED" w:rsidRDefault="00A1618E">
            <w:pPr>
              <w:pStyle w:val="P68B1DB1-Normal13"/>
              <w:spacing w:after="0" w:line="240" w:lineRule="auto"/>
              <w:jc w:val="center"/>
              <w:rPr>
                <w:rFonts w:eastAsia="MS Mincho" w:cs="Times New Roman"/>
                <w:noProof/>
              </w:rPr>
            </w:pPr>
            <w:r>
              <w:rPr>
                <w:noProof/>
              </w:rPr>
              <w:t>C2.R1</w:t>
            </w:r>
          </w:p>
        </w:tc>
        <w:tc>
          <w:tcPr>
            <w:tcW w:w="850" w:type="dxa"/>
            <w:shd w:val="clear" w:color="auto" w:fill="C6EFCE"/>
            <w:noWrap/>
          </w:tcPr>
          <w:p w14:paraId="5DB29657" w14:textId="01478B39" w:rsidR="006578ED" w:rsidRDefault="00AF6B91">
            <w:pPr>
              <w:pStyle w:val="P68B1DB1-Normal13"/>
              <w:spacing w:after="0" w:line="240" w:lineRule="auto"/>
              <w:jc w:val="center"/>
              <w:rPr>
                <w:rFonts w:eastAsia="MS Mincho" w:cs="Times New Roman"/>
                <w:noProof/>
              </w:rPr>
            </w:pPr>
            <w:r>
              <w:rPr>
                <w:noProof/>
              </w:rPr>
              <w:t>Kamień milowy</w:t>
            </w:r>
          </w:p>
        </w:tc>
        <w:tc>
          <w:tcPr>
            <w:tcW w:w="1985" w:type="dxa"/>
            <w:shd w:val="clear" w:color="auto" w:fill="C6EFCE"/>
            <w:noWrap/>
          </w:tcPr>
          <w:p w14:paraId="6BD4891F" w14:textId="3F9F4B06" w:rsidR="006578ED" w:rsidRDefault="00A1618E">
            <w:pPr>
              <w:pStyle w:val="P68B1DB1-Normal13"/>
              <w:spacing w:after="0" w:line="240" w:lineRule="auto"/>
              <w:rPr>
                <w:rFonts w:eastAsia="MS Mincho" w:cs="Times New Roman"/>
                <w:noProof/>
              </w:rPr>
            </w:pPr>
            <w:r>
              <w:rPr>
                <w:noProof/>
              </w:rPr>
              <w:t xml:space="preserve">Wejście w życie hiszpańskiej agendy miejskiej i długoterminowej strategii renowacji energetycznej w sektorze budowlanym w Hiszpanii </w:t>
            </w:r>
          </w:p>
        </w:tc>
        <w:tc>
          <w:tcPr>
            <w:tcW w:w="1134" w:type="dxa"/>
            <w:shd w:val="clear" w:color="auto" w:fill="C6EFCE"/>
            <w:noWrap/>
          </w:tcPr>
          <w:p w14:paraId="5CC747CB" w14:textId="5B9066B0" w:rsidR="006578ED" w:rsidRDefault="00A1618E">
            <w:pPr>
              <w:pStyle w:val="P68B1DB1-Normal13"/>
              <w:spacing w:after="0" w:line="240" w:lineRule="auto"/>
              <w:jc w:val="center"/>
              <w:rPr>
                <w:rFonts w:eastAsia="MS Mincho" w:cs="Times New Roman"/>
                <w:noProof/>
              </w:rPr>
            </w:pPr>
            <w:r>
              <w:rPr>
                <w:noProof/>
              </w:rPr>
              <w:t>Publikacja w Dzienniku Urzędowym</w:t>
            </w:r>
          </w:p>
        </w:tc>
        <w:tc>
          <w:tcPr>
            <w:tcW w:w="850" w:type="dxa"/>
            <w:shd w:val="clear" w:color="auto" w:fill="C6EFCE"/>
            <w:noWrap/>
          </w:tcPr>
          <w:p w14:paraId="5EDB29A5" w14:textId="77777777" w:rsidR="006578ED" w:rsidRDefault="00A1618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4474F8A0" w14:textId="77777777" w:rsidR="006578ED" w:rsidRDefault="00A1618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5E6F60B5" w14:textId="77777777" w:rsidR="006578ED" w:rsidRDefault="00A1618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7694BBC2" w14:textId="242A2499"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77F781D2" w14:textId="77777777" w:rsidR="006578ED" w:rsidRDefault="00A1618E">
            <w:pPr>
              <w:pStyle w:val="P68B1DB1-Normal13"/>
              <w:spacing w:after="0" w:line="240" w:lineRule="auto"/>
              <w:jc w:val="center"/>
              <w:rPr>
                <w:rFonts w:eastAsia="MS Mincho" w:cs="Times New Roman"/>
                <w:noProof/>
              </w:rPr>
            </w:pPr>
            <w:r>
              <w:rPr>
                <w:noProof/>
              </w:rPr>
              <w:t>2020</w:t>
            </w:r>
          </w:p>
        </w:tc>
        <w:tc>
          <w:tcPr>
            <w:tcW w:w="6379" w:type="dxa"/>
            <w:shd w:val="clear" w:color="auto" w:fill="C6EFCE"/>
            <w:noWrap/>
          </w:tcPr>
          <w:p w14:paraId="3F8518F0" w14:textId="47793D91" w:rsidR="006578ED" w:rsidRDefault="00A1618E">
            <w:pPr>
              <w:pStyle w:val="P68B1DB1-Normal13"/>
              <w:spacing w:after="0" w:line="240" w:lineRule="auto"/>
              <w:rPr>
                <w:rFonts w:eastAsia="MS Mincho" w:cs="Times New Roman"/>
                <w:noProof/>
              </w:rPr>
            </w:pPr>
            <w:r>
              <w:rPr>
                <w:noProof/>
              </w:rPr>
              <w:t>Wejście w życie hiszpańskiej agendy miejskiej jako krajowej polityki miejskiej, która zapewni zintegrowane i kompleksowe planowanie strategiczne miast, oraz aktualizację długoterminowej strategii renowacji (LTRS) w sektorze budowlanym w Hiszpanii (ERESEE) z 20</w:t>
            </w:r>
            <w:r w:rsidRPr="00A1618E">
              <w:rPr>
                <w:noProof/>
                <w:lang w:val="pl-PL"/>
              </w:rPr>
              <w:t>20 r.</w:t>
            </w:r>
            <w:r>
              <w:rPr>
                <w:noProof/>
              </w:rPr>
              <w:t xml:space="preserve"> Celem strategii ERESEE jest diagnoza zasobów budowlanych w Hiszpanii oraz usunięcie przeszkód i stworzenie nowych podejść do zwiększania skali renowacji budynków, wspierania inwestycji w tym sektorze, zwiększenia oszczędności energii i ograniczenia emisji dwutlenku węgla zgodnie z celami klimatycznymi.</w:t>
            </w:r>
          </w:p>
        </w:tc>
      </w:tr>
      <w:tr w:rsidR="006578ED" w14:paraId="33ED5252" w14:textId="77777777">
        <w:trPr>
          <w:trHeight w:val="309"/>
        </w:trPr>
        <w:tc>
          <w:tcPr>
            <w:tcW w:w="709" w:type="dxa"/>
            <w:shd w:val="clear" w:color="auto" w:fill="C6EFCE"/>
            <w:noWrap/>
          </w:tcPr>
          <w:p w14:paraId="2569FBD6" w14:textId="77777777" w:rsidR="006578ED" w:rsidRDefault="00A1618E">
            <w:pPr>
              <w:pStyle w:val="P68B1DB1-Normal13"/>
              <w:spacing w:after="0" w:line="240" w:lineRule="auto"/>
              <w:jc w:val="center"/>
              <w:rPr>
                <w:rFonts w:cs="Times New Roman"/>
                <w:noProof/>
              </w:rPr>
            </w:pPr>
            <w:r>
              <w:rPr>
                <w:noProof/>
              </w:rPr>
              <w:t>21a</w:t>
            </w:r>
          </w:p>
        </w:tc>
        <w:tc>
          <w:tcPr>
            <w:tcW w:w="851" w:type="dxa"/>
            <w:shd w:val="clear" w:color="auto" w:fill="C6EFCE"/>
            <w:noWrap/>
          </w:tcPr>
          <w:p w14:paraId="43DCEA58" w14:textId="77777777" w:rsidR="006578ED" w:rsidRDefault="00A1618E">
            <w:pPr>
              <w:pStyle w:val="P68B1DB1-Normal13"/>
              <w:spacing w:after="0" w:line="240" w:lineRule="auto"/>
              <w:jc w:val="center"/>
              <w:rPr>
                <w:rFonts w:cs="Times New Roman"/>
                <w:noProof/>
              </w:rPr>
            </w:pPr>
            <w:r>
              <w:rPr>
                <w:noProof/>
              </w:rPr>
              <w:t>C2.R2</w:t>
            </w:r>
          </w:p>
        </w:tc>
        <w:tc>
          <w:tcPr>
            <w:tcW w:w="850" w:type="dxa"/>
            <w:shd w:val="clear" w:color="auto" w:fill="C6EFCE"/>
            <w:noWrap/>
          </w:tcPr>
          <w:p w14:paraId="1F0E4D68" w14:textId="1F775503"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38D6AED2" w14:textId="09C7745C" w:rsidR="006578ED" w:rsidRDefault="00A1618E">
            <w:pPr>
              <w:pStyle w:val="P68B1DB1-Normal13"/>
              <w:spacing w:after="0" w:line="240" w:lineRule="auto"/>
              <w:rPr>
                <w:rFonts w:cs="Times New Roman"/>
                <w:noProof/>
                <w:highlight w:val="yellow"/>
              </w:rPr>
            </w:pPr>
            <w:r>
              <w:rPr>
                <w:noProof/>
              </w:rPr>
              <w:t>Publikacja zaleceń grup roboczych dotyczących wdrożenia długoterminowej strategii renowacji w Hiszpanii</w:t>
            </w:r>
          </w:p>
        </w:tc>
        <w:tc>
          <w:tcPr>
            <w:tcW w:w="1134" w:type="dxa"/>
            <w:shd w:val="clear" w:color="auto" w:fill="C6EFCE"/>
            <w:noWrap/>
          </w:tcPr>
          <w:p w14:paraId="008F8ECF" w14:textId="77777777" w:rsidR="006578ED" w:rsidRDefault="00A1618E">
            <w:pPr>
              <w:pStyle w:val="P68B1DB1-Normal13"/>
              <w:spacing w:after="0" w:line="240" w:lineRule="auto"/>
              <w:jc w:val="center"/>
              <w:rPr>
                <w:rFonts w:cs="Times New Roman"/>
                <w:noProof/>
                <w:highlight w:val="yellow"/>
              </w:rPr>
            </w:pPr>
            <w:r>
              <w:rPr>
                <w:noProof/>
              </w:rPr>
              <w:t>Publikacja zaleceń grup roboczych</w:t>
            </w:r>
          </w:p>
        </w:tc>
        <w:tc>
          <w:tcPr>
            <w:tcW w:w="850" w:type="dxa"/>
            <w:shd w:val="clear" w:color="auto" w:fill="C6EFCE"/>
            <w:noWrap/>
          </w:tcPr>
          <w:p w14:paraId="4B99056E"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1299C43A" w14:textId="77777777" w:rsidR="006578ED" w:rsidRDefault="006578ED">
            <w:pPr>
              <w:spacing w:after="0" w:line="240" w:lineRule="auto"/>
              <w:jc w:val="right"/>
              <w:rPr>
                <w:rFonts w:ascii="Times New Roman" w:hAnsi="Times New Roman" w:cs="Times New Roman"/>
                <w:noProof/>
                <w:sz w:val="18"/>
              </w:rPr>
            </w:pPr>
          </w:p>
        </w:tc>
        <w:tc>
          <w:tcPr>
            <w:tcW w:w="851" w:type="dxa"/>
            <w:shd w:val="clear" w:color="auto" w:fill="C6EFCE"/>
            <w:noWrap/>
          </w:tcPr>
          <w:p w14:paraId="4DDBEF00"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6F320D90" w14:textId="1F06ACD2"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21D5FB87" w14:textId="77777777" w:rsidR="006578ED" w:rsidRDefault="00A1618E">
            <w:pPr>
              <w:pStyle w:val="P68B1DB1-Normal13"/>
              <w:spacing w:after="0" w:line="240" w:lineRule="auto"/>
              <w:jc w:val="center"/>
              <w:rPr>
                <w:rFonts w:cs="Times New Roman"/>
                <w:noProof/>
              </w:rPr>
            </w:pPr>
            <w:r>
              <w:rPr>
                <w:noProof/>
              </w:rPr>
              <w:t>2023</w:t>
            </w:r>
          </w:p>
        </w:tc>
        <w:tc>
          <w:tcPr>
            <w:tcW w:w="6379" w:type="dxa"/>
            <w:shd w:val="clear" w:color="auto" w:fill="C6EFCE"/>
            <w:noWrap/>
          </w:tcPr>
          <w:p w14:paraId="27A9E5F9" w14:textId="555FADAA" w:rsidR="006578ED" w:rsidRDefault="00A1618E">
            <w:pPr>
              <w:pStyle w:val="P68B1DB1-Normal13"/>
              <w:spacing w:after="0" w:line="240" w:lineRule="auto"/>
              <w:rPr>
                <w:rFonts w:cs="Times New Roman"/>
                <w:noProof/>
              </w:rPr>
            </w:pPr>
            <w:r>
              <w:rPr>
                <w:noProof/>
              </w:rPr>
              <w:t>Publikacja szczegółowych zaleceń grup roboczych w celu wdrożenia aktualizacji długoterminowej strategii renowacji (LTRS) w sektorze budowlanym w Hiszpanii z 20</w:t>
            </w:r>
            <w:r w:rsidRPr="00A1618E">
              <w:rPr>
                <w:noProof/>
                <w:lang w:val="pl-PL"/>
              </w:rPr>
              <w:t>20 r.</w:t>
            </w:r>
            <w:r>
              <w:rPr>
                <w:noProof/>
              </w:rPr>
              <w:t xml:space="preserve"> (ERESEE). Celem strategii ERESEE jest diagnoza zasobów budowlanych w Hiszpanii oraz usunięcie przeszkód i stworzenie nowych podejść do zwiększania skali renowacji budynków, wspierania inwestycji w tym sektorze, zwiększenia oszczędności energii i ograniczenia emisji dwutlenku węgla zgodnie z celami klimatycznymi. W celu wdrożenia ERESEE należy utworzyć kilka grup roboczych w celu opracowania jasnych zaleceń dotyczących realizacji planu działania na rzecz odbudowy i rewitalizacji obszarów miejskich. Szczegółowe zalecenia zawierają plan działania i wytyczne metodologiczne dotyczące każdego środka, które należy podjąć i skierowane do wszystkich zaangażowanych podmiotów (administracji publicznej, zainteresowanych stron itp.).</w:t>
            </w:r>
          </w:p>
        </w:tc>
      </w:tr>
      <w:tr w:rsidR="006578ED" w14:paraId="54164076" w14:textId="77777777">
        <w:trPr>
          <w:trHeight w:val="309"/>
        </w:trPr>
        <w:tc>
          <w:tcPr>
            <w:tcW w:w="709" w:type="dxa"/>
            <w:shd w:val="clear" w:color="auto" w:fill="C6EFCE"/>
            <w:noWrap/>
          </w:tcPr>
          <w:p w14:paraId="44C26413" w14:textId="77777777" w:rsidR="006578ED" w:rsidRDefault="00A1618E">
            <w:pPr>
              <w:pStyle w:val="P68B1DB1-Normal13"/>
              <w:spacing w:after="0" w:line="240" w:lineRule="auto"/>
              <w:jc w:val="center"/>
              <w:rPr>
                <w:rFonts w:eastAsia="MS Mincho" w:cs="Times New Roman"/>
                <w:noProof/>
              </w:rPr>
            </w:pPr>
            <w:r>
              <w:rPr>
                <w:noProof/>
              </w:rPr>
              <w:t>22</w:t>
            </w:r>
          </w:p>
        </w:tc>
        <w:tc>
          <w:tcPr>
            <w:tcW w:w="851" w:type="dxa"/>
            <w:shd w:val="clear" w:color="auto" w:fill="C6EFCE"/>
            <w:noWrap/>
          </w:tcPr>
          <w:p w14:paraId="63C0F8BD" w14:textId="77777777" w:rsidR="006578ED" w:rsidRDefault="00A1618E">
            <w:pPr>
              <w:pStyle w:val="P68B1DB1-Normal13"/>
              <w:spacing w:after="0" w:line="240" w:lineRule="auto"/>
              <w:jc w:val="center"/>
              <w:rPr>
                <w:rFonts w:eastAsia="MS Mincho" w:cs="Times New Roman"/>
                <w:noProof/>
              </w:rPr>
            </w:pPr>
            <w:r>
              <w:rPr>
                <w:noProof/>
              </w:rPr>
              <w:t>C2.R3</w:t>
            </w:r>
          </w:p>
        </w:tc>
        <w:tc>
          <w:tcPr>
            <w:tcW w:w="850" w:type="dxa"/>
            <w:shd w:val="clear" w:color="auto" w:fill="C6EFCE"/>
            <w:noWrap/>
          </w:tcPr>
          <w:p w14:paraId="556F2A3E" w14:textId="423D06F4" w:rsidR="006578ED" w:rsidRDefault="00AF6B91">
            <w:pPr>
              <w:pStyle w:val="P68B1DB1-Normal13"/>
              <w:spacing w:after="0" w:line="240" w:lineRule="auto"/>
              <w:jc w:val="center"/>
              <w:rPr>
                <w:rFonts w:eastAsia="MS Mincho" w:cs="Times New Roman"/>
                <w:noProof/>
              </w:rPr>
            </w:pPr>
            <w:r>
              <w:rPr>
                <w:noProof/>
              </w:rPr>
              <w:t>Kamień milowy</w:t>
            </w:r>
          </w:p>
        </w:tc>
        <w:tc>
          <w:tcPr>
            <w:tcW w:w="1985" w:type="dxa"/>
            <w:shd w:val="clear" w:color="auto" w:fill="C6EFCE"/>
            <w:noWrap/>
          </w:tcPr>
          <w:p w14:paraId="2A3A3294" w14:textId="66EB1272" w:rsidR="006578ED" w:rsidRDefault="00A1618E">
            <w:pPr>
              <w:pStyle w:val="P68B1DB1-Normal13"/>
              <w:spacing w:after="0" w:line="240" w:lineRule="auto"/>
              <w:rPr>
                <w:rFonts w:eastAsia="MS Mincho" w:cs="Times New Roman"/>
                <w:noProof/>
              </w:rPr>
            </w:pPr>
            <w:r>
              <w:rPr>
                <w:noProof/>
              </w:rPr>
              <w:t xml:space="preserve">Wejście w życie ustawy o mieszkalnictwie, w tym działania wspierające zwiększenie podaży mieszkań zgodnie z budynkami o niemal zerowym zużyciu energii </w:t>
            </w:r>
          </w:p>
        </w:tc>
        <w:tc>
          <w:tcPr>
            <w:tcW w:w="1134" w:type="dxa"/>
            <w:shd w:val="clear" w:color="auto" w:fill="C6EFCE"/>
            <w:noWrap/>
          </w:tcPr>
          <w:p w14:paraId="54B322DF" w14:textId="0264AEB8" w:rsidR="006578ED" w:rsidRDefault="00A1618E">
            <w:pPr>
              <w:pStyle w:val="P68B1DB1-Normal13"/>
              <w:spacing w:after="0" w:line="240" w:lineRule="auto"/>
              <w:jc w:val="center"/>
              <w:rPr>
                <w:rFonts w:eastAsia="MS Mincho" w:cs="Times New Roman"/>
                <w:noProof/>
              </w:rPr>
            </w:pPr>
            <w:r>
              <w:rPr>
                <w:noProof/>
              </w:rPr>
              <w:t>Przepis ustawy o mieszkalnictwie dotyczący wejścia w życie</w:t>
            </w:r>
          </w:p>
        </w:tc>
        <w:tc>
          <w:tcPr>
            <w:tcW w:w="850" w:type="dxa"/>
            <w:shd w:val="clear" w:color="auto" w:fill="C6EFCE"/>
            <w:noWrap/>
          </w:tcPr>
          <w:p w14:paraId="1DF8BA61" w14:textId="77777777" w:rsidR="006578ED" w:rsidRDefault="00A1618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365DB198" w14:textId="77777777" w:rsidR="006578ED" w:rsidRDefault="00A1618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1D5BCD6B" w14:textId="77777777" w:rsidR="006578ED" w:rsidRDefault="00A1618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0356CC74" w14:textId="292F3514" w:rsidR="006578ED" w:rsidRDefault="00EC188C">
            <w:pPr>
              <w:pStyle w:val="P68B1DB1-Normal13"/>
              <w:spacing w:after="0" w:line="240" w:lineRule="auto"/>
              <w:jc w:val="center"/>
              <w:rPr>
                <w:rFonts w:eastAsia="MS Mincho" w:cs="Times New Roman"/>
                <w:noProof/>
              </w:rPr>
            </w:pPr>
            <w:r>
              <w:rPr>
                <w:noProof/>
              </w:rPr>
              <w:t>KW. 3</w:t>
            </w:r>
          </w:p>
        </w:tc>
        <w:tc>
          <w:tcPr>
            <w:tcW w:w="567" w:type="dxa"/>
            <w:shd w:val="clear" w:color="auto" w:fill="C6EFCE"/>
            <w:noWrap/>
          </w:tcPr>
          <w:p w14:paraId="69D64232" w14:textId="77777777" w:rsidR="006578ED" w:rsidRDefault="00A1618E">
            <w:pPr>
              <w:pStyle w:val="P68B1DB1-Normal13"/>
              <w:spacing w:after="0" w:line="240" w:lineRule="auto"/>
              <w:jc w:val="center"/>
              <w:rPr>
                <w:rFonts w:eastAsia="MS Mincho" w:cs="Times New Roman"/>
                <w:noProof/>
              </w:rPr>
            </w:pPr>
            <w:r>
              <w:rPr>
                <w:noProof/>
              </w:rPr>
              <w:t>2022</w:t>
            </w:r>
          </w:p>
        </w:tc>
        <w:tc>
          <w:tcPr>
            <w:tcW w:w="6379" w:type="dxa"/>
            <w:shd w:val="clear" w:color="auto" w:fill="C6EFCE"/>
            <w:noWrap/>
          </w:tcPr>
          <w:p w14:paraId="06B97AE7" w14:textId="575775CD" w:rsidR="006578ED" w:rsidRDefault="00A1618E">
            <w:pPr>
              <w:pStyle w:val="P68B1DB1-Normal13"/>
              <w:spacing w:after="0" w:line="240" w:lineRule="auto"/>
              <w:rPr>
                <w:rFonts w:eastAsia="MS Mincho" w:cs="Times New Roman"/>
                <w:noProof/>
              </w:rPr>
            </w:pPr>
            <w:r>
              <w:rPr>
                <w:noProof/>
              </w:rPr>
              <w:t xml:space="preserve">Ustawa o mieszkalnictwie obejmuje różne instrumenty planowania, programowania i współpracy w celu zapewnienia właściwego przestrzegania prawa do godnych i odpowiednich warunków mieszkaniowych, w tym, jako jeden z priorytetów, rekultywację i poprawę istniejących zasobów mieszkaniowych, a także rewitalizację i renowację środowisk mieszkaniowych, w których są one zlokalizowane. Ustawa zachęca do zwiększenia podaży przystępnych cenowo mieszkań socjalnych poprzez zapewnienie zgodności z wymogami określonymi obecnie dla budynków o niemal zerowym zużyciu energii zgodnie z podstawowym dokumentem oszczędności energii (DB-HE) kodeksu technicznego budynku (CTE). </w:t>
            </w:r>
          </w:p>
        </w:tc>
      </w:tr>
      <w:tr w:rsidR="006578ED" w14:paraId="48EB6E46" w14:textId="77777777">
        <w:trPr>
          <w:trHeight w:val="309"/>
        </w:trPr>
        <w:tc>
          <w:tcPr>
            <w:tcW w:w="709" w:type="dxa"/>
            <w:shd w:val="clear" w:color="auto" w:fill="C6EFCE"/>
            <w:noWrap/>
          </w:tcPr>
          <w:p w14:paraId="72E4F76D" w14:textId="77777777" w:rsidR="006578ED" w:rsidRDefault="00A1618E">
            <w:pPr>
              <w:pStyle w:val="P68B1DB1-Normal13"/>
              <w:spacing w:after="0" w:line="240" w:lineRule="auto"/>
              <w:jc w:val="center"/>
              <w:rPr>
                <w:rFonts w:eastAsia="MS Mincho" w:cs="Times New Roman"/>
                <w:noProof/>
              </w:rPr>
            </w:pPr>
            <w:r>
              <w:rPr>
                <w:noProof/>
              </w:rPr>
              <w:t>23</w:t>
            </w:r>
          </w:p>
        </w:tc>
        <w:tc>
          <w:tcPr>
            <w:tcW w:w="851" w:type="dxa"/>
            <w:shd w:val="clear" w:color="auto" w:fill="C6EFCE"/>
            <w:noWrap/>
          </w:tcPr>
          <w:p w14:paraId="160AA391" w14:textId="77777777" w:rsidR="006578ED" w:rsidRDefault="00A1618E">
            <w:pPr>
              <w:pStyle w:val="P68B1DB1-Normal13"/>
              <w:spacing w:after="0" w:line="240" w:lineRule="auto"/>
              <w:jc w:val="center"/>
              <w:rPr>
                <w:rFonts w:eastAsia="MS Mincho" w:cs="Times New Roman"/>
                <w:noProof/>
              </w:rPr>
            </w:pPr>
            <w:r>
              <w:rPr>
                <w:noProof/>
              </w:rPr>
              <w:t>C2.R4</w:t>
            </w:r>
          </w:p>
        </w:tc>
        <w:tc>
          <w:tcPr>
            <w:tcW w:w="850" w:type="dxa"/>
            <w:shd w:val="clear" w:color="auto" w:fill="C6EFCE"/>
            <w:noWrap/>
          </w:tcPr>
          <w:p w14:paraId="0E261B8E" w14:textId="5D0682C2" w:rsidR="006578ED" w:rsidRDefault="00AF6B91">
            <w:pPr>
              <w:pStyle w:val="P68B1DB1-Normal13"/>
              <w:spacing w:after="0" w:line="240" w:lineRule="auto"/>
              <w:jc w:val="center"/>
              <w:rPr>
                <w:rFonts w:eastAsia="MS Mincho" w:cs="Times New Roman"/>
                <w:noProof/>
              </w:rPr>
            </w:pPr>
            <w:r>
              <w:rPr>
                <w:noProof/>
              </w:rPr>
              <w:t>Kamień milowy</w:t>
            </w:r>
          </w:p>
        </w:tc>
        <w:tc>
          <w:tcPr>
            <w:tcW w:w="1985" w:type="dxa"/>
            <w:shd w:val="clear" w:color="auto" w:fill="C6EFCE"/>
            <w:noWrap/>
          </w:tcPr>
          <w:p w14:paraId="00A74DA3" w14:textId="2BD05EB5" w:rsidR="006578ED" w:rsidRDefault="00A1618E">
            <w:pPr>
              <w:pStyle w:val="P68B1DB1-Normal13"/>
              <w:spacing w:after="0" w:line="240" w:lineRule="auto"/>
              <w:rPr>
                <w:rFonts w:eastAsia="MS Mincho" w:cs="Times New Roman"/>
                <w:noProof/>
              </w:rPr>
            </w:pPr>
            <w:r>
              <w:rPr>
                <w:noProof/>
              </w:rPr>
              <w:t xml:space="preserve">Wejście w życie ustawy o jakości architektury i środowiska budowlanego </w:t>
            </w:r>
          </w:p>
        </w:tc>
        <w:tc>
          <w:tcPr>
            <w:tcW w:w="1134" w:type="dxa"/>
            <w:shd w:val="clear" w:color="auto" w:fill="C6EFCE"/>
            <w:noWrap/>
          </w:tcPr>
          <w:p w14:paraId="132F5AEB" w14:textId="1E5F1A70" w:rsidR="006578ED" w:rsidRDefault="00A1618E">
            <w:pPr>
              <w:pStyle w:val="P68B1DB1-Normal13"/>
              <w:spacing w:after="0" w:line="240" w:lineRule="auto"/>
              <w:jc w:val="center"/>
              <w:rPr>
                <w:rFonts w:eastAsia="MS Mincho" w:cs="Times New Roman"/>
                <w:noProof/>
              </w:rPr>
            </w:pPr>
            <w:r>
              <w:rPr>
                <w:noProof/>
              </w:rPr>
              <w:t>Przepis ustawy o jakości architektury i środowiska budowlanego z chwilą wejścia w życie</w:t>
            </w:r>
          </w:p>
        </w:tc>
        <w:tc>
          <w:tcPr>
            <w:tcW w:w="850" w:type="dxa"/>
            <w:shd w:val="clear" w:color="auto" w:fill="C6EFCE"/>
            <w:noWrap/>
          </w:tcPr>
          <w:p w14:paraId="3BC5EC03" w14:textId="77777777" w:rsidR="006578ED" w:rsidRDefault="00A1618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3751300F" w14:textId="77777777" w:rsidR="006578ED" w:rsidRDefault="00A1618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35F0889A" w14:textId="77777777" w:rsidR="006578ED" w:rsidRDefault="00A1618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7A8F9DAC" w14:textId="03DB9F43" w:rsidR="006578ED" w:rsidRDefault="00EC188C">
            <w:pPr>
              <w:pStyle w:val="P68B1DB1-Normal13"/>
              <w:spacing w:after="0" w:line="240" w:lineRule="auto"/>
              <w:jc w:val="center"/>
              <w:rPr>
                <w:rFonts w:eastAsia="MS Mincho" w:cs="Times New Roman"/>
                <w:noProof/>
              </w:rPr>
            </w:pPr>
            <w:r>
              <w:rPr>
                <w:noProof/>
              </w:rPr>
              <w:t>KW. 3</w:t>
            </w:r>
          </w:p>
        </w:tc>
        <w:tc>
          <w:tcPr>
            <w:tcW w:w="567" w:type="dxa"/>
            <w:shd w:val="clear" w:color="auto" w:fill="C6EFCE"/>
            <w:noWrap/>
          </w:tcPr>
          <w:p w14:paraId="053A94A5" w14:textId="77777777" w:rsidR="006578ED" w:rsidRDefault="00A1618E">
            <w:pPr>
              <w:pStyle w:val="P68B1DB1-Normal13"/>
              <w:spacing w:after="0" w:line="240" w:lineRule="auto"/>
              <w:jc w:val="center"/>
              <w:rPr>
                <w:rFonts w:eastAsia="MS Mincho" w:cs="Times New Roman"/>
                <w:noProof/>
              </w:rPr>
            </w:pPr>
            <w:r>
              <w:rPr>
                <w:noProof/>
              </w:rPr>
              <w:t>2022</w:t>
            </w:r>
          </w:p>
        </w:tc>
        <w:tc>
          <w:tcPr>
            <w:tcW w:w="6379" w:type="dxa"/>
            <w:shd w:val="clear" w:color="auto" w:fill="C6EFCE"/>
            <w:noWrap/>
          </w:tcPr>
          <w:p w14:paraId="5B5E55E4" w14:textId="69646749" w:rsidR="006578ED" w:rsidRDefault="00A1618E">
            <w:pPr>
              <w:pStyle w:val="P68B1DB1-Normal13"/>
              <w:spacing w:after="0" w:line="240" w:lineRule="auto"/>
              <w:rPr>
                <w:rFonts w:eastAsia="MS Mincho" w:cs="Times New Roman"/>
                <w:noProof/>
              </w:rPr>
            </w:pPr>
            <w:r>
              <w:rPr>
                <w:noProof/>
              </w:rPr>
              <w:t xml:space="preserve">Przyjęcie ustawy o jakości architektury i środowiska budowlanego, w tym zintegrowanego podejścia do renowacji, które pobudzi wzrost zasobów budowlanych o niemal zerowym zużyciu energii nie tylko w nowych budynkach, ale również między istniejącymi budynkami. Ustawa ustanawia zasadę jakości architektury i środowiska zbudowanego, ustanawiając zrównoważenie środowiskowe i wkład w realizację celów w zakresie efektywności energetycznej jako jednego z kluczowych kryteriów oceny oraz kierujący niezbędną renowację zasobów mieszkaniowych w kierunku zintegrowanego podejścia do odbudowy. </w:t>
            </w:r>
          </w:p>
        </w:tc>
      </w:tr>
      <w:tr w:rsidR="006578ED" w14:paraId="376975DA" w14:textId="77777777">
        <w:trPr>
          <w:trHeight w:val="309"/>
        </w:trPr>
        <w:tc>
          <w:tcPr>
            <w:tcW w:w="709" w:type="dxa"/>
            <w:shd w:val="clear" w:color="auto" w:fill="C6EFCE"/>
            <w:noWrap/>
          </w:tcPr>
          <w:p w14:paraId="1D8EB8EE" w14:textId="77777777" w:rsidR="006578ED" w:rsidRDefault="00A1618E">
            <w:pPr>
              <w:pStyle w:val="P68B1DB1-Normal13"/>
              <w:spacing w:after="0" w:line="240" w:lineRule="auto"/>
              <w:jc w:val="center"/>
              <w:rPr>
                <w:rFonts w:cs="Times New Roman"/>
                <w:noProof/>
              </w:rPr>
            </w:pPr>
            <w:r>
              <w:rPr>
                <w:noProof/>
              </w:rPr>
              <w:t>24</w:t>
            </w:r>
          </w:p>
        </w:tc>
        <w:tc>
          <w:tcPr>
            <w:tcW w:w="851" w:type="dxa"/>
            <w:shd w:val="clear" w:color="auto" w:fill="C6EFCE"/>
            <w:noWrap/>
          </w:tcPr>
          <w:p w14:paraId="58D79CB0" w14:textId="77777777" w:rsidR="006578ED" w:rsidRDefault="00A1618E">
            <w:pPr>
              <w:pStyle w:val="P68B1DB1-Normal13"/>
              <w:spacing w:after="0" w:line="240" w:lineRule="auto"/>
              <w:jc w:val="center"/>
              <w:rPr>
                <w:rFonts w:eastAsia="MS Mincho" w:cs="Times New Roman"/>
                <w:noProof/>
              </w:rPr>
            </w:pPr>
            <w:r>
              <w:rPr>
                <w:noProof/>
              </w:rPr>
              <w:t>C2.R5</w:t>
            </w:r>
          </w:p>
        </w:tc>
        <w:tc>
          <w:tcPr>
            <w:tcW w:w="850" w:type="dxa"/>
            <w:shd w:val="clear" w:color="auto" w:fill="C6EFCE"/>
            <w:noWrap/>
          </w:tcPr>
          <w:p w14:paraId="6FA8D4AF" w14:textId="08B99FDE"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35C9E65C" w14:textId="72C5C8C8" w:rsidR="006578ED" w:rsidRDefault="00A1618E">
            <w:pPr>
              <w:pStyle w:val="P68B1DB1-Normal13"/>
              <w:spacing w:after="0" w:line="240" w:lineRule="auto"/>
              <w:rPr>
                <w:rFonts w:cs="Times New Roman"/>
                <w:noProof/>
              </w:rPr>
            </w:pPr>
            <w:r>
              <w:rPr>
                <w:noProof/>
              </w:rPr>
              <w:t xml:space="preserve">Wejście w życie dekretu królewskiego w sprawie biur renowacji („punkty kompleksowej obsługi”) </w:t>
            </w:r>
          </w:p>
        </w:tc>
        <w:tc>
          <w:tcPr>
            <w:tcW w:w="1134" w:type="dxa"/>
            <w:shd w:val="clear" w:color="auto" w:fill="C6EFCE"/>
            <w:noWrap/>
          </w:tcPr>
          <w:p w14:paraId="742C21B6" w14:textId="2BC58605" w:rsidR="006578ED" w:rsidRDefault="00A1618E">
            <w:pPr>
              <w:pStyle w:val="P68B1DB1-Normal13"/>
              <w:spacing w:after="0" w:line="240" w:lineRule="auto"/>
              <w:jc w:val="center"/>
              <w:rPr>
                <w:rFonts w:cs="Times New Roman"/>
                <w:noProof/>
              </w:rPr>
            </w:pPr>
            <w:r>
              <w:rPr>
                <w:noProof/>
              </w:rPr>
              <w:t>Przepis dekretu królewskiego w sprawie biur renowacji dotyczący wejścia w życie</w:t>
            </w:r>
          </w:p>
        </w:tc>
        <w:tc>
          <w:tcPr>
            <w:tcW w:w="850" w:type="dxa"/>
            <w:shd w:val="clear" w:color="auto" w:fill="C6EFCE"/>
            <w:noWrap/>
          </w:tcPr>
          <w:p w14:paraId="6B515302" w14:textId="77777777" w:rsidR="006578ED" w:rsidRDefault="00A1618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4253EF77" w14:textId="77777777" w:rsidR="006578ED" w:rsidRDefault="00A1618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2D6473E8" w14:textId="77777777" w:rsidR="006578ED" w:rsidRDefault="00A1618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34E9DC57" w14:textId="1FD99D64"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noWrap/>
          </w:tcPr>
          <w:p w14:paraId="65B281B9" w14:textId="77777777" w:rsidR="006578ED" w:rsidRDefault="00A1618E">
            <w:pPr>
              <w:pStyle w:val="P68B1DB1-Normal13"/>
              <w:spacing w:after="0" w:line="240" w:lineRule="auto"/>
              <w:jc w:val="center"/>
              <w:rPr>
                <w:rFonts w:cs="Times New Roman"/>
                <w:noProof/>
              </w:rPr>
            </w:pPr>
            <w:r>
              <w:rPr>
                <w:noProof/>
              </w:rPr>
              <w:t>2021</w:t>
            </w:r>
          </w:p>
        </w:tc>
        <w:tc>
          <w:tcPr>
            <w:tcW w:w="6379" w:type="dxa"/>
            <w:shd w:val="clear" w:color="auto" w:fill="C6EFCE"/>
            <w:noWrap/>
          </w:tcPr>
          <w:p w14:paraId="4599037D" w14:textId="3F2A3D25" w:rsidR="006578ED" w:rsidRDefault="00A1618E">
            <w:pPr>
              <w:pStyle w:val="P68B1DB1-Normal13"/>
              <w:spacing w:after="0" w:line="240" w:lineRule="auto"/>
              <w:rPr>
                <w:rFonts w:cs="Times New Roman"/>
                <w:noProof/>
              </w:rPr>
            </w:pPr>
            <w:r>
              <w:rPr>
                <w:noProof/>
              </w:rPr>
              <w:t xml:space="preserve">Przyjęcie dekretu królewskiego określającego zakres działalności biur ds. renowacji („punkty kompleksowej obsługi”) i ich finansowanie. Odbędzie się sektorowa konferencja mieszkaniowa, a faza informowania społeczeństwa i inne procedury prawne zostaną zakończone przed sfinalizowaniem dekretu królewskiego. </w:t>
            </w:r>
          </w:p>
        </w:tc>
      </w:tr>
      <w:tr w:rsidR="006578ED" w14:paraId="095B70E7" w14:textId="77777777">
        <w:trPr>
          <w:trHeight w:val="309"/>
        </w:trPr>
        <w:tc>
          <w:tcPr>
            <w:tcW w:w="709" w:type="dxa"/>
            <w:shd w:val="clear" w:color="auto" w:fill="C6EFCE"/>
            <w:noWrap/>
          </w:tcPr>
          <w:p w14:paraId="2AFCDB24" w14:textId="77777777" w:rsidR="006578ED" w:rsidRDefault="00A1618E">
            <w:pPr>
              <w:pStyle w:val="P68B1DB1-Normal13"/>
              <w:spacing w:after="0" w:line="240" w:lineRule="auto"/>
              <w:jc w:val="center"/>
              <w:rPr>
                <w:rFonts w:cs="Times New Roman"/>
                <w:noProof/>
              </w:rPr>
            </w:pPr>
            <w:r>
              <w:rPr>
                <w:noProof/>
              </w:rPr>
              <w:t>25</w:t>
            </w:r>
          </w:p>
        </w:tc>
        <w:tc>
          <w:tcPr>
            <w:tcW w:w="851" w:type="dxa"/>
            <w:shd w:val="clear" w:color="auto" w:fill="C6EFCE"/>
            <w:noWrap/>
          </w:tcPr>
          <w:p w14:paraId="29EC4356" w14:textId="77777777" w:rsidR="006578ED" w:rsidRDefault="00A1618E">
            <w:pPr>
              <w:pStyle w:val="P68B1DB1-Normal13"/>
              <w:spacing w:after="0" w:line="240" w:lineRule="auto"/>
              <w:jc w:val="center"/>
              <w:rPr>
                <w:rFonts w:eastAsia="MS Mincho" w:cs="Times New Roman"/>
                <w:noProof/>
              </w:rPr>
            </w:pPr>
            <w:r>
              <w:rPr>
                <w:noProof/>
              </w:rPr>
              <w:t>C2.R6</w:t>
            </w:r>
          </w:p>
        </w:tc>
        <w:tc>
          <w:tcPr>
            <w:tcW w:w="850" w:type="dxa"/>
            <w:shd w:val="clear" w:color="auto" w:fill="C6EFCE"/>
            <w:noWrap/>
          </w:tcPr>
          <w:p w14:paraId="755F1112" w14:textId="54731840"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638669B5" w14:textId="183E7CD0" w:rsidR="006578ED" w:rsidRDefault="00A1618E">
            <w:pPr>
              <w:pStyle w:val="P68B1DB1-Normal13"/>
              <w:spacing w:after="0" w:line="240" w:lineRule="auto"/>
              <w:rPr>
                <w:rFonts w:cs="Times New Roman"/>
                <w:noProof/>
              </w:rPr>
            </w:pPr>
            <w:r>
              <w:rPr>
                <w:noProof/>
              </w:rPr>
              <w:t xml:space="preserve">Wejście w życie zmian do horyzontalnej ustawy o własności w celu ułatwienia finansowania odbudowy </w:t>
            </w:r>
          </w:p>
        </w:tc>
        <w:tc>
          <w:tcPr>
            <w:tcW w:w="1134" w:type="dxa"/>
            <w:shd w:val="clear" w:color="auto" w:fill="C6EFCE"/>
            <w:noWrap/>
          </w:tcPr>
          <w:p w14:paraId="062F57EB" w14:textId="4F044403" w:rsidR="006578ED" w:rsidRDefault="00A1618E">
            <w:pPr>
              <w:pStyle w:val="P68B1DB1-Normal13"/>
              <w:spacing w:after="0" w:line="240" w:lineRule="auto"/>
              <w:jc w:val="center"/>
              <w:rPr>
                <w:rFonts w:cs="Times New Roman"/>
                <w:noProof/>
              </w:rPr>
            </w:pPr>
            <w:r>
              <w:rPr>
                <w:noProof/>
              </w:rPr>
              <w:t>Przepis horyzontalnej ustawy o własności dotyczący wejścia w życie</w:t>
            </w:r>
          </w:p>
        </w:tc>
        <w:tc>
          <w:tcPr>
            <w:tcW w:w="850" w:type="dxa"/>
            <w:shd w:val="clear" w:color="auto" w:fill="C6EFCE"/>
            <w:noWrap/>
          </w:tcPr>
          <w:p w14:paraId="696D69FC" w14:textId="77777777" w:rsidR="006578ED" w:rsidRDefault="00A1618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72302A59" w14:textId="77777777" w:rsidR="006578ED" w:rsidRDefault="00A1618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31CBAF0D" w14:textId="77777777" w:rsidR="006578ED" w:rsidRDefault="00A1618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484860D8" w14:textId="62C2116A"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noWrap/>
          </w:tcPr>
          <w:p w14:paraId="66B410D7" w14:textId="77777777" w:rsidR="006578ED" w:rsidRDefault="00A1618E">
            <w:pPr>
              <w:pStyle w:val="P68B1DB1-Normal13"/>
              <w:spacing w:after="0" w:line="240" w:lineRule="auto"/>
              <w:jc w:val="center"/>
              <w:rPr>
                <w:rFonts w:cs="Times New Roman"/>
                <w:noProof/>
              </w:rPr>
            </w:pPr>
            <w:r>
              <w:rPr>
                <w:noProof/>
              </w:rPr>
              <w:t>2022</w:t>
            </w:r>
          </w:p>
        </w:tc>
        <w:tc>
          <w:tcPr>
            <w:tcW w:w="6379" w:type="dxa"/>
            <w:shd w:val="clear" w:color="auto" w:fill="C6EFCE"/>
            <w:noWrap/>
          </w:tcPr>
          <w:p w14:paraId="56C0CAB7" w14:textId="05DFB8F9" w:rsidR="006578ED" w:rsidRDefault="00A1618E">
            <w:pPr>
              <w:pStyle w:val="P68B1DB1-Normal13"/>
              <w:spacing w:after="0" w:line="240" w:lineRule="auto"/>
              <w:rPr>
                <w:rFonts w:cs="Times New Roman"/>
                <w:noProof/>
              </w:rPr>
            </w:pPr>
            <w:r>
              <w:rPr>
                <w:noProof/>
              </w:rPr>
              <w:t>Zmiany w ustawie 49/1960 (ustawie o własności horyzontalnej) z dnia 21 lipca w sprawie współwłasności w celu promowania renowacji i ulepszania budynków przez wspólnoty właścicieli oraz dostępu do finansowania. Celem poprawki jest ułatwienie podejmowania decyzji przez społeczności właścicieli w celu podjęcia prac renowacyjnych, które przyczyniają się do poprawy efektywności energetycznej, oraz ułatwienie dostępu do finansowania bankowego.</w:t>
            </w:r>
          </w:p>
        </w:tc>
      </w:tr>
      <w:tr w:rsidR="006578ED" w14:paraId="776F96A2" w14:textId="77777777">
        <w:trPr>
          <w:trHeight w:val="309"/>
        </w:trPr>
        <w:tc>
          <w:tcPr>
            <w:tcW w:w="709" w:type="dxa"/>
            <w:shd w:val="clear" w:color="auto" w:fill="C6EFCE"/>
            <w:noWrap/>
          </w:tcPr>
          <w:p w14:paraId="36334656" w14:textId="77777777" w:rsidR="006578ED" w:rsidRDefault="00A1618E">
            <w:pPr>
              <w:pStyle w:val="P68B1DB1-Normal13"/>
              <w:spacing w:after="0" w:line="240" w:lineRule="auto"/>
              <w:jc w:val="center"/>
              <w:rPr>
                <w:rFonts w:cs="Times New Roman"/>
                <w:noProof/>
              </w:rPr>
            </w:pPr>
            <w:r>
              <w:rPr>
                <w:noProof/>
              </w:rPr>
              <w:t>26</w:t>
            </w:r>
          </w:p>
        </w:tc>
        <w:tc>
          <w:tcPr>
            <w:tcW w:w="851" w:type="dxa"/>
            <w:shd w:val="clear" w:color="auto" w:fill="C6EFCE"/>
            <w:noWrap/>
          </w:tcPr>
          <w:p w14:paraId="4A6141F8" w14:textId="77777777" w:rsidR="006578ED" w:rsidRDefault="00A1618E">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383E7029" w14:textId="780472A7"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51896814" w14:textId="38591B10" w:rsidR="006578ED" w:rsidRDefault="00A1618E">
            <w:pPr>
              <w:pStyle w:val="P68B1DB1-Normal13"/>
              <w:spacing w:after="0" w:line="240" w:lineRule="auto"/>
              <w:rPr>
                <w:rFonts w:cs="Times New Roman"/>
                <w:noProof/>
              </w:rPr>
            </w:pPr>
            <w:r>
              <w:rPr>
                <w:noProof/>
              </w:rPr>
              <w:t xml:space="preserve">Wejście w życie dekretu królewskiego w sprawie ram regulacyjnych dotyczących realizacji programu odnowienia; oraz królewski dekret z mocą ustawy regulujący zachęty w zakresie podatku dochodowego od osób fizycznych w celu wsparcia programu </w:t>
            </w:r>
          </w:p>
        </w:tc>
        <w:tc>
          <w:tcPr>
            <w:tcW w:w="1134" w:type="dxa"/>
            <w:shd w:val="clear" w:color="auto" w:fill="C6EFCE"/>
            <w:noWrap/>
          </w:tcPr>
          <w:p w14:paraId="3494296F" w14:textId="63953124" w:rsidR="006578ED" w:rsidRDefault="00A1618E">
            <w:pPr>
              <w:pStyle w:val="P68B1DB1-Normal13"/>
              <w:spacing w:after="0" w:line="240" w:lineRule="auto"/>
              <w:jc w:val="center"/>
              <w:rPr>
                <w:rFonts w:cs="Times New Roman"/>
                <w:noProof/>
              </w:rPr>
            </w:pPr>
            <w:r>
              <w:rPr>
                <w:noProof/>
              </w:rPr>
              <w:t>Przepis dekretu królewskiego i królewskiego dekretu z mocą ustawy dotyczący wejścia w życie</w:t>
            </w:r>
          </w:p>
        </w:tc>
        <w:tc>
          <w:tcPr>
            <w:tcW w:w="850" w:type="dxa"/>
            <w:shd w:val="clear" w:color="auto" w:fill="C6EFCE"/>
            <w:noWrap/>
          </w:tcPr>
          <w:p w14:paraId="4A7717C8" w14:textId="77777777" w:rsidR="006578ED" w:rsidRDefault="00A1618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419A23A7" w14:textId="77777777" w:rsidR="006578ED" w:rsidRDefault="00A1618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74536B0D" w14:textId="77777777" w:rsidR="006578ED" w:rsidRDefault="00A1618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02A756F6" w14:textId="39AC3E01"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noWrap/>
          </w:tcPr>
          <w:p w14:paraId="1897C7B7" w14:textId="77777777" w:rsidR="006578ED" w:rsidRDefault="00A1618E">
            <w:pPr>
              <w:pStyle w:val="P68B1DB1-Normal13"/>
              <w:spacing w:after="0" w:line="240" w:lineRule="auto"/>
              <w:jc w:val="center"/>
              <w:rPr>
                <w:rFonts w:cs="Times New Roman"/>
                <w:noProof/>
              </w:rPr>
            </w:pPr>
            <w:r>
              <w:rPr>
                <w:noProof/>
              </w:rPr>
              <w:t>2021</w:t>
            </w:r>
          </w:p>
        </w:tc>
        <w:tc>
          <w:tcPr>
            <w:tcW w:w="6379" w:type="dxa"/>
            <w:shd w:val="clear" w:color="auto" w:fill="C6EFCE"/>
            <w:noWrap/>
          </w:tcPr>
          <w:p w14:paraId="2E8C9D62" w14:textId="6C92F50A" w:rsidR="006578ED" w:rsidRDefault="00A1618E">
            <w:pPr>
              <w:pStyle w:val="P68B1DB1-Normal13"/>
              <w:spacing w:after="0" w:line="240" w:lineRule="auto"/>
              <w:rPr>
                <w:rFonts w:cs="Times New Roman"/>
                <w:noProof/>
              </w:rPr>
            </w:pPr>
            <w:r>
              <w:rPr>
                <w:noProof/>
              </w:rPr>
              <w:t>Przyjęcie dekretu królewskiego określającego ramy regulacyjne dla realizacji programu odnowienia; oraz królewski dekret z mocą ustawy regulujący zachęty w zakresie podatku dochodowego od osób fizycznych w celu wsparcia programu. W dekrecie królewskim określającym ramy prawne określa się wymogi techniczne w celu zapewnienia zgodności ze średnim 30 % zmniejszeniem zużycia energii pierwotnej ze źródeł nieodnawialnych. Odbędzie się konferencja sektorowa na temat mieszkalnictwa, a faza informowania społeczeństwa i inne procedury prawne zostaną zakończone przed zakończeniem prac nad dekretem królewskim.</w:t>
            </w:r>
          </w:p>
        </w:tc>
      </w:tr>
      <w:tr w:rsidR="006578ED" w14:paraId="43DA2FAA" w14:textId="77777777">
        <w:trPr>
          <w:trHeight w:val="309"/>
        </w:trPr>
        <w:tc>
          <w:tcPr>
            <w:tcW w:w="709" w:type="dxa"/>
            <w:shd w:val="clear" w:color="auto" w:fill="C6EFCE"/>
            <w:noWrap/>
          </w:tcPr>
          <w:p w14:paraId="41C0AA51" w14:textId="0124B5C6" w:rsidR="006578ED" w:rsidRDefault="00A1618E">
            <w:pPr>
              <w:pStyle w:val="P68B1DB1-Normal13"/>
              <w:spacing w:after="0" w:line="240" w:lineRule="auto"/>
              <w:jc w:val="center"/>
              <w:rPr>
                <w:rFonts w:cs="Times New Roman"/>
                <w:noProof/>
              </w:rPr>
            </w:pPr>
            <w:r>
              <w:rPr>
                <w:noProof/>
              </w:rPr>
              <w:t>27</w:t>
            </w:r>
          </w:p>
        </w:tc>
        <w:tc>
          <w:tcPr>
            <w:tcW w:w="851" w:type="dxa"/>
            <w:shd w:val="clear" w:color="auto" w:fill="C6EFCE"/>
            <w:noWrap/>
          </w:tcPr>
          <w:p w14:paraId="26F54131" w14:textId="77777777" w:rsidR="006578ED" w:rsidRDefault="00A1618E">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1F830FBF" w14:textId="4F824F2B" w:rsidR="006578ED" w:rsidRDefault="00AF6B91">
            <w:pPr>
              <w:pStyle w:val="P68B1DB1-Normal13"/>
              <w:spacing w:after="0" w:line="240" w:lineRule="auto"/>
              <w:jc w:val="center"/>
              <w:rPr>
                <w:rFonts w:cs="Times New Roman"/>
                <w:noProof/>
              </w:rPr>
            </w:pPr>
            <w:r>
              <w:rPr>
                <w:noProof/>
              </w:rPr>
              <w:t>Cel</w:t>
            </w:r>
          </w:p>
        </w:tc>
        <w:tc>
          <w:tcPr>
            <w:tcW w:w="1985" w:type="dxa"/>
            <w:shd w:val="clear" w:color="auto" w:fill="C6EFCE"/>
            <w:noWrap/>
          </w:tcPr>
          <w:p w14:paraId="540F575C" w14:textId="3D314E6A" w:rsidR="006578ED" w:rsidRDefault="00A1618E">
            <w:pPr>
              <w:pStyle w:val="P68B1DB1-Normal13"/>
              <w:spacing w:after="0" w:line="240" w:lineRule="auto"/>
              <w:rPr>
                <w:rFonts w:cs="Times New Roman"/>
                <w:noProof/>
              </w:rPr>
            </w:pPr>
            <w:r>
              <w:rPr>
                <w:noProof/>
              </w:rPr>
              <w:t>Zakończenie działań w zakresie renowacji mieszkań mieszkalnych lub decyzji o przyznaniu pomocy na realizację działań w zakresie renowacji mieszkań mieszkalnych, osiągnięcie lub dążenie do osiągnięcia średnio co najmniej 30 % zmniejszenia zapotrzebowania na energię pierwotną (co najmniej 231000 działań w co najmniej 160000 unikalnych lokalach mieszkalnych)</w:t>
            </w:r>
          </w:p>
        </w:tc>
        <w:tc>
          <w:tcPr>
            <w:tcW w:w="1134" w:type="dxa"/>
            <w:shd w:val="clear" w:color="auto" w:fill="C6EFCE"/>
            <w:noWrap/>
          </w:tcPr>
          <w:p w14:paraId="7D7A3EC8"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20B375FC" w14:textId="77777777" w:rsidR="006578ED" w:rsidRDefault="00A1618E">
            <w:pPr>
              <w:pStyle w:val="P68B1DB1-Normal13"/>
              <w:spacing w:after="0" w:line="240" w:lineRule="auto"/>
              <w:jc w:val="right"/>
              <w:rPr>
                <w:rFonts w:eastAsia="MS Mincho" w:cs="Times New Roman"/>
                <w:noProof/>
              </w:rPr>
            </w:pPr>
            <w:r>
              <w:rPr>
                <w:noProof/>
              </w:rPr>
              <w:t>Liczba</w:t>
            </w:r>
          </w:p>
        </w:tc>
        <w:tc>
          <w:tcPr>
            <w:tcW w:w="709" w:type="dxa"/>
            <w:shd w:val="clear" w:color="auto" w:fill="C6EFCE"/>
            <w:noWrap/>
          </w:tcPr>
          <w:p w14:paraId="0CF44D54" w14:textId="77777777" w:rsidR="006578ED" w:rsidRDefault="00A1618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7D969CEE" w14:textId="77777777" w:rsidR="006578ED" w:rsidRDefault="00A1618E">
            <w:pPr>
              <w:pStyle w:val="P68B1DB1-Normal13"/>
              <w:spacing w:after="0" w:line="240" w:lineRule="auto"/>
              <w:jc w:val="right"/>
              <w:rPr>
                <w:rFonts w:eastAsia="MS Mincho" w:cs="Times New Roman"/>
                <w:noProof/>
              </w:rPr>
            </w:pPr>
            <w:r>
              <w:rPr>
                <w:noProof/>
              </w:rPr>
              <w:t>231 000</w:t>
            </w:r>
          </w:p>
        </w:tc>
        <w:tc>
          <w:tcPr>
            <w:tcW w:w="425" w:type="dxa"/>
            <w:shd w:val="clear" w:color="auto" w:fill="C6EFCE"/>
            <w:noWrap/>
          </w:tcPr>
          <w:p w14:paraId="65DAC869" w14:textId="0E18A9DD"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4FF3EC85" w14:textId="6C65C8D9" w:rsidR="006578ED" w:rsidRDefault="00A1618E">
            <w:pPr>
              <w:pStyle w:val="P68B1DB1-Normal13"/>
              <w:spacing w:after="0" w:line="240" w:lineRule="auto"/>
              <w:jc w:val="center"/>
              <w:rPr>
                <w:rFonts w:cs="Times New Roman"/>
                <w:noProof/>
              </w:rPr>
            </w:pPr>
            <w:r>
              <w:rPr>
                <w:noProof/>
              </w:rPr>
              <w:t>2024</w:t>
            </w:r>
          </w:p>
        </w:tc>
        <w:tc>
          <w:tcPr>
            <w:tcW w:w="6379" w:type="dxa"/>
            <w:shd w:val="clear" w:color="auto" w:fill="C6EFCE"/>
            <w:noWrap/>
          </w:tcPr>
          <w:p w14:paraId="1C8971BD" w14:textId="6CCE7398" w:rsidR="006578ED" w:rsidRDefault="00A1618E">
            <w:pPr>
              <w:pStyle w:val="P68B1DB1-Normal13"/>
              <w:spacing w:after="0" w:line="240" w:lineRule="auto"/>
              <w:rPr>
                <w:rFonts w:cs="Times New Roman"/>
                <w:noProof/>
              </w:rPr>
            </w:pPr>
            <w:r>
              <w:rPr>
                <w:noProof/>
              </w:rPr>
              <w:t>Co najmniej 231000 działań w zakresie renowacji mieszkań mieszkalnych lub decyzji o przyznaniu pomocy na realizację tych działań w co najmniej 160000 ukończonych pojedynczych lokalach mieszkalnych, dążących do osiągnięcia średnio co najmniej 30 % zmniejszenia zapotrzebowania na energię pierwotną (skumulowanego). Do celów wskaźnika pojęcie mieszkania jest zgodne z definicją Eurostatu („mieszkanie jest pomieszczeniem lub zestawem pokojów – łącznie z akcesoriami, lobbami i korytarzami – w stałym budynku lub w wydzielonej konstrukcyjnie części budynku, który ze względu na sposób, w jaki został wybudowany, przebudowany lub przebudowany, przeznaczony jest do zamieszkania przez jedno prywatne gospodarstwo domowe przez cały rok”) i może obejmować, w stosownych przypadkach, mieszkalnictwo socjalne lub publiczne. Stosowane wskaźniki poprawy charakterystyki energetycznej są akredytowane za pomocą odpowiedniego świadectwa charakterystyki energetycznej w ramach dyrektywy Parlamentu Europejskiego i Rady 2010/31/UE z dnia 19 maja 20</w:t>
            </w:r>
            <w:r w:rsidRPr="00A1618E">
              <w:rPr>
                <w:noProof/>
                <w:lang w:val="pl-PL"/>
              </w:rPr>
              <w:t>10 r.</w:t>
            </w:r>
            <w:r>
              <w:rPr>
                <w:noProof/>
              </w:rPr>
              <w:t xml:space="preserve"> w sprawie charakterystyki energetycznej budynków. Liczbę działań w zakresie rekultywacji mieszkań określa się jako sumę wszystkich działań usprawniających i rekultywacyjnych (w obrębie wyznaczonych dzielnic, na poziomie budynków lub mieszkań) lub na które przyznano pomoc w drodze decyzji administracyjnej, poprzez wdrożenie jednej z linii pomocowych (pełna renowacja lub elementy budynku) lub zachęt podatkowych. Średni odsetek oszczędności nieodnawialnej energii pierwotnej w celu zapewnienia zgodności z minimalną wartością 30 % uzyskuje się poprzez ważenie zestawu działań rekultywacyjnych o kwotę pomocy lub finansowania zastosowanego w ramach planu odbudowy i zwiększania odporności. Wskaźnik ten obejmuje działania na rzecz poprawy i odbudowy we wszystkich gminach, niezależnie od ich wielkości. Aby uzasadnić zgodność z uzyskanymi oszczędnościami energii, świadectwa charakterystyki energetycznej ukończonych robót budowlanych są wymagane i zagregowane w celu potwierdzenia średniej uzyskanej oszczędności energii.</w:t>
            </w:r>
          </w:p>
        </w:tc>
      </w:tr>
      <w:tr w:rsidR="006578ED" w14:paraId="717FD4F2" w14:textId="77777777">
        <w:trPr>
          <w:trHeight w:val="309"/>
        </w:trPr>
        <w:tc>
          <w:tcPr>
            <w:tcW w:w="709" w:type="dxa"/>
            <w:shd w:val="clear" w:color="auto" w:fill="C6EFCE"/>
            <w:noWrap/>
          </w:tcPr>
          <w:p w14:paraId="57393B24" w14:textId="77777777" w:rsidR="006578ED" w:rsidRDefault="00A1618E">
            <w:pPr>
              <w:pStyle w:val="P68B1DB1-Normal13"/>
              <w:spacing w:after="0" w:line="240" w:lineRule="auto"/>
              <w:jc w:val="center"/>
              <w:rPr>
                <w:rFonts w:cs="Times New Roman"/>
                <w:noProof/>
              </w:rPr>
            </w:pPr>
            <w:r>
              <w:rPr>
                <w:noProof/>
              </w:rPr>
              <w:t>28</w:t>
            </w:r>
          </w:p>
        </w:tc>
        <w:tc>
          <w:tcPr>
            <w:tcW w:w="851" w:type="dxa"/>
            <w:shd w:val="clear" w:color="auto" w:fill="C6EFCE"/>
            <w:noWrap/>
          </w:tcPr>
          <w:p w14:paraId="543D3716" w14:textId="77777777" w:rsidR="006578ED" w:rsidRDefault="00A1618E">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18C9352D" w14:textId="7BE9E98B" w:rsidR="006578ED" w:rsidRDefault="00AF6B91">
            <w:pPr>
              <w:pStyle w:val="P68B1DB1-Normal13"/>
              <w:spacing w:after="0" w:line="240" w:lineRule="auto"/>
              <w:jc w:val="center"/>
              <w:rPr>
                <w:rFonts w:cs="Times New Roman"/>
                <w:noProof/>
              </w:rPr>
            </w:pPr>
            <w:r>
              <w:rPr>
                <w:noProof/>
              </w:rPr>
              <w:t>Cel</w:t>
            </w:r>
          </w:p>
        </w:tc>
        <w:tc>
          <w:tcPr>
            <w:tcW w:w="1985" w:type="dxa"/>
            <w:shd w:val="clear" w:color="auto" w:fill="C6EFCE"/>
            <w:noWrap/>
          </w:tcPr>
          <w:p w14:paraId="7C490BA1" w14:textId="77777777" w:rsidR="006578ED" w:rsidRDefault="00A1618E">
            <w:pPr>
              <w:pStyle w:val="P68B1DB1-Normal13"/>
              <w:spacing w:after="0" w:line="240" w:lineRule="auto"/>
              <w:rPr>
                <w:rFonts w:cs="Times New Roman"/>
                <w:noProof/>
              </w:rPr>
            </w:pPr>
            <w:r>
              <w:rPr>
                <w:noProof/>
              </w:rPr>
              <w:t>Ukończono hektary gruntów na obszarach lub dzielnicach podlegających odnowieniu, ze średnim zmniejszeniem zapotrzebowania na energię pierwotną o co najmniej 30 %</w:t>
            </w:r>
          </w:p>
        </w:tc>
        <w:tc>
          <w:tcPr>
            <w:tcW w:w="1134" w:type="dxa"/>
            <w:shd w:val="clear" w:color="auto" w:fill="C6EFCE"/>
            <w:noWrap/>
          </w:tcPr>
          <w:p w14:paraId="129C278E"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0934D530" w14:textId="77777777" w:rsidR="006578ED" w:rsidRDefault="00A1618E">
            <w:pPr>
              <w:pStyle w:val="P68B1DB1-Normal13"/>
              <w:spacing w:after="0" w:line="240" w:lineRule="auto"/>
              <w:jc w:val="right"/>
              <w:rPr>
                <w:rFonts w:eastAsia="MS Mincho" w:cs="Times New Roman"/>
                <w:noProof/>
              </w:rPr>
            </w:pPr>
            <w:r>
              <w:rPr>
                <w:noProof/>
              </w:rPr>
              <w:t>Liczba (hektary)</w:t>
            </w:r>
          </w:p>
        </w:tc>
        <w:tc>
          <w:tcPr>
            <w:tcW w:w="709" w:type="dxa"/>
            <w:shd w:val="clear" w:color="auto" w:fill="C6EFCE"/>
            <w:noWrap/>
          </w:tcPr>
          <w:p w14:paraId="165DCE8A" w14:textId="77777777" w:rsidR="006578ED" w:rsidRDefault="00A1618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0DC15D76" w14:textId="77777777" w:rsidR="006578ED" w:rsidRDefault="00A1618E">
            <w:pPr>
              <w:pStyle w:val="P68B1DB1-Normal13"/>
              <w:spacing w:after="0" w:line="240" w:lineRule="auto"/>
              <w:jc w:val="right"/>
              <w:rPr>
                <w:rFonts w:eastAsia="MS Mincho" w:cs="Times New Roman"/>
                <w:noProof/>
              </w:rPr>
            </w:pPr>
            <w:r>
              <w:rPr>
                <w:noProof/>
              </w:rPr>
              <w:t>600</w:t>
            </w:r>
          </w:p>
        </w:tc>
        <w:tc>
          <w:tcPr>
            <w:tcW w:w="425" w:type="dxa"/>
            <w:shd w:val="clear" w:color="auto" w:fill="C6EFCE"/>
            <w:noWrap/>
          </w:tcPr>
          <w:p w14:paraId="02862E1E" w14:textId="24DFA98C"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1D5B6C8C" w14:textId="77777777" w:rsidR="006578ED" w:rsidRDefault="00A1618E">
            <w:pPr>
              <w:pStyle w:val="P68B1DB1-Normal13"/>
              <w:spacing w:after="0" w:line="240" w:lineRule="auto"/>
              <w:jc w:val="center"/>
              <w:rPr>
                <w:rFonts w:cs="Times New Roman"/>
                <w:noProof/>
              </w:rPr>
            </w:pPr>
            <w:r>
              <w:rPr>
                <w:noProof/>
              </w:rPr>
              <w:t>2026</w:t>
            </w:r>
          </w:p>
        </w:tc>
        <w:tc>
          <w:tcPr>
            <w:tcW w:w="6379" w:type="dxa"/>
            <w:shd w:val="clear" w:color="auto" w:fill="C6EFCE"/>
            <w:noWrap/>
          </w:tcPr>
          <w:p w14:paraId="4F6AE6DF" w14:textId="784F9742" w:rsidR="006578ED" w:rsidRDefault="00A1618E">
            <w:pPr>
              <w:pStyle w:val="P68B1DB1-Normal13"/>
              <w:spacing w:after="0" w:line="240" w:lineRule="auto"/>
              <w:rPr>
                <w:rFonts w:cs="Times New Roman"/>
                <w:noProof/>
              </w:rPr>
            </w:pPr>
            <w:r>
              <w:rPr>
                <w:noProof/>
              </w:rPr>
              <w:t>Ukończono co najmniej 600 hektarów gruntów na obszarach lub dzielnicach podlegających odnowieniu. Liczba ta obejmuje powierzchnię tych powiatów lub obszarów miejskich, które były przedmiotem działań na podstawie umów w ramach programu. Działania przeprowadza się poprzez zapewnienie wymagań technicznych w celu zapewnienia zgodności ze średnim 30 % zmniejszeniem zużycia nieodnawialnej energii pierwotnej podczas renowacji budynków. Aby uzasadnić zgodność z uzyskanymi oszczędnościami energii, świadectwa charakterystyki energetycznej ukończonych robót budowlanych są wymagane i zagregowane w celu potwierdzenia średniej uzyskanej oszczędności energii.</w:t>
            </w:r>
          </w:p>
        </w:tc>
      </w:tr>
      <w:tr w:rsidR="006578ED" w14:paraId="7BCABE61" w14:textId="77777777">
        <w:trPr>
          <w:trHeight w:val="309"/>
        </w:trPr>
        <w:tc>
          <w:tcPr>
            <w:tcW w:w="709" w:type="dxa"/>
            <w:shd w:val="clear" w:color="auto" w:fill="C6EFCE"/>
            <w:noWrap/>
          </w:tcPr>
          <w:p w14:paraId="4B34824B" w14:textId="77777777" w:rsidR="006578ED" w:rsidRDefault="00A1618E">
            <w:pPr>
              <w:pStyle w:val="P68B1DB1-Normal13"/>
              <w:spacing w:after="0" w:line="240" w:lineRule="auto"/>
              <w:jc w:val="center"/>
              <w:rPr>
                <w:rFonts w:cs="Times New Roman"/>
                <w:noProof/>
              </w:rPr>
            </w:pPr>
            <w:r>
              <w:rPr>
                <w:noProof/>
              </w:rPr>
              <w:t>29</w:t>
            </w:r>
          </w:p>
        </w:tc>
        <w:tc>
          <w:tcPr>
            <w:tcW w:w="851" w:type="dxa"/>
            <w:shd w:val="clear" w:color="auto" w:fill="C6EFCE"/>
            <w:noWrap/>
          </w:tcPr>
          <w:p w14:paraId="4A10A290" w14:textId="77777777" w:rsidR="006578ED" w:rsidRDefault="00A1618E">
            <w:pPr>
              <w:pStyle w:val="P68B1DB1-Normal13"/>
              <w:spacing w:after="0" w:line="240" w:lineRule="auto"/>
              <w:jc w:val="center"/>
              <w:rPr>
                <w:rFonts w:eastAsia="MS Mincho" w:cs="Times New Roman"/>
                <w:noProof/>
              </w:rPr>
            </w:pPr>
            <w:r>
              <w:rPr>
                <w:noProof/>
              </w:rPr>
              <w:t>C2.I1</w:t>
            </w:r>
          </w:p>
        </w:tc>
        <w:tc>
          <w:tcPr>
            <w:tcW w:w="850" w:type="dxa"/>
            <w:shd w:val="clear" w:color="auto" w:fill="C6EFCE"/>
            <w:noWrap/>
          </w:tcPr>
          <w:p w14:paraId="4F26EDEE" w14:textId="632953C1" w:rsidR="006578ED" w:rsidRDefault="00AF6B91">
            <w:pPr>
              <w:pStyle w:val="P68B1DB1-Normal13"/>
              <w:spacing w:after="0" w:line="240" w:lineRule="auto"/>
              <w:jc w:val="center"/>
              <w:rPr>
                <w:rFonts w:cs="Times New Roman"/>
                <w:noProof/>
              </w:rPr>
            </w:pPr>
            <w:r>
              <w:rPr>
                <w:noProof/>
              </w:rPr>
              <w:t>Cel</w:t>
            </w:r>
          </w:p>
        </w:tc>
        <w:tc>
          <w:tcPr>
            <w:tcW w:w="1985" w:type="dxa"/>
            <w:shd w:val="clear" w:color="auto" w:fill="C6EFCE"/>
            <w:noWrap/>
          </w:tcPr>
          <w:p w14:paraId="3B75242F" w14:textId="711537DB" w:rsidR="006578ED" w:rsidRDefault="00A1618E">
            <w:pPr>
              <w:pStyle w:val="P68B1DB1-Normal13"/>
              <w:spacing w:after="0" w:line="240" w:lineRule="auto"/>
              <w:rPr>
                <w:rFonts w:cs="Times New Roman"/>
                <w:noProof/>
              </w:rPr>
            </w:pPr>
            <w:r>
              <w:rPr>
                <w:noProof/>
              </w:rPr>
              <w:t xml:space="preserve">Zakończenie działań w zakresie renowacji mieszkań mieszkalnych, osiągnięcie średnio co najmniej 30 % zmniejszenia zapotrzebowania na energię pierwotną (co najmniej 410000 działań w co najmniej 285000 unikalnych lokalach mieszkalnych) </w:t>
            </w:r>
          </w:p>
        </w:tc>
        <w:tc>
          <w:tcPr>
            <w:tcW w:w="1134" w:type="dxa"/>
            <w:shd w:val="clear" w:color="auto" w:fill="C6EFCE"/>
            <w:noWrap/>
          </w:tcPr>
          <w:p w14:paraId="2790C8A6"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6EFB9251" w14:textId="77777777" w:rsidR="006578ED" w:rsidRDefault="00A1618E">
            <w:pPr>
              <w:pStyle w:val="P68B1DB1-Normal13"/>
              <w:spacing w:after="0" w:line="240" w:lineRule="auto"/>
              <w:jc w:val="right"/>
              <w:rPr>
                <w:rFonts w:eastAsia="MS Mincho" w:cs="Times New Roman"/>
                <w:noProof/>
              </w:rPr>
            </w:pPr>
            <w:r>
              <w:rPr>
                <w:noProof/>
              </w:rPr>
              <w:t>Liczba</w:t>
            </w:r>
          </w:p>
        </w:tc>
        <w:tc>
          <w:tcPr>
            <w:tcW w:w="709" w:type="dxa"/>
            <w:shd w:val="clear" w:color="auto" w:fill="C6EFCE"/>
            <w:noWrap/>
          </w:tcPr>
          <w:p w14:paraId="74DF813D" w14:textId="77777777" w:rsidR="006578ED" w:rsidRDefault="00A1618E">
            <w:pPr>
              <w:pStyle w:val="P68B1DB1-Normal13"/>
              <w:spacing w:after="0" w:line="240" w:lineRule="auto"/>
              <w:jc w:val="right"/>
              <w:rPr>
                <w:rFonts w:eastAsia="MS Mincho" w:cs="Times New Roman"/>
                <w:noProof/>
              </w:rPr>
            </w:pPr>
            <w:r>
              <w:rPr>
                <w:noProof/>
              </w:rPr>
              <w:t>231 000</w:t>
            </w:r>
          </w:p>
        </w:tc>
        <w:tc>
          <w:tcPr>
            <w:tcW w:w="851" w:type="dxa"/>
            <w:shd w:val="clear" w:color="auto" w:fill="C6EFCE"/>
            <w:noWrap/>
          </w:tcPr>
          <w:p w14:paraId="53E2E224" w14:textId="328687B3" w:rsidR="006578ED" w:rsidRDefault="00A1618E">
            <w:pPr>
              <w:pStyle w:val="P68B1DB1-Normal13"/>
              <w:spacing w:after="0" w:line="240" w:lineRule="auto"/>
              <w:jc w:val="right"/>
              <w:rPr>
                <w:rFonts w:eastAsia="MS Mincho" w:cs="Times New Roman"/>
                <w:noProof/>
              </w:rPr>
            </w:pPr>
            <w:r>
              <w:rPr>
                <w:noProof/>
              </w:rPr>
              <w:t>410 000</w:t>
            </w:r>
          </w:p>
        </w:tc>
        <w:tc>
          <w:tcPr>
            <w:tcW w:w="425" w:type="dxa"/>
            <w:shd w:val="clear" w:color="auto" w:fill="C6EFCE"/>
            <w:noWrap/>
          </w:tcPr>
          <w:p w14:paraId="3B1CE8F1" w14:textId="256A23CA"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2576EDE7" w14:textId="77777777" w:rsidR="006578ED" w:rsidRDefault="00A1618E">
            <w:pPr>
              <w:pStyle w:val="P68B1DB1-Normal13"/>
              <w:spacing w:after="0" w:line="240" w:lineRule="auto"/>
              <w:jc w:val="center"/>
              <w:rPr>
                <w:rFonts w:cs="Times New Roman"/>
                <w:noProof/>
              </w:rPr>
            </w:pPr>
            <w:r>
              <w:rPr>
                <w:noProof/>
              </w:rPr>
              <w:t>2026</w:t>
            </w:r>
          </w:p>
        </w:tc>
        <w:tc>
          <w:tcPr>
            <w:tcW w:w="6379" w:type="dxa"/>
            <w:shd w:val="clear" w:color="auto" w:fill="C6EFCE"/>
            <w:noWrap/>
          </w:tcPr>
          <w:p w14:paraId="2D19D2ED" w14:textId="7AAE1401" w:rsidR="006578ED" w:rsidRDefault="00A1618E">
            <w:pPr>
              <w:pStyle w:val="P68B1DB1-Normal13"/>
              <w:spacing w:after="0" w:line="240" w:lineRule="auto"/>
              <w:rPr>
                <w:rFonts w:cs="Times New Roman"/>
                <w:noProof/>
              </w:rPr>
            </w:pPr>
            <w:r>
              <w:rPr>
                <w:noProof/>
              </w:rPr>
              <w:t>Co najmniej 410000 działań w zakresie renowacji lokali mieszkalnych w co najmniej 285000 ukończonych pojedynczych lokalach mieszkalnych, osiągające średnio co najmniej 30 % zmniejszenie zapotrzebowania na energię pierwotną (skumulowane). Do celów wskaźnika pojęcie mieszkania jest zgodne z definicją Eurostatu („mieszkanie jest pomieszczeniem lub zestawem pokojów – łącznie z akcesoriami, lobbami i korytarzami – w stałym budynku lub w wydzielonej konstrukcyjnie części budynku, który ze względu na sposób, w jaki został wybudowany, przebudowany lub przebudowany, przeznaczony jest do zamieszkania przez jedno prywatne gospodarstwo domowe przez cały rok”) i może obejmować, w stosownych przypadkach, mieszkalnictwo socjalne lub publiczne. Stosowane wskaźniki poprawy charakterystyki energetycznej są akredytowane za pomocą odpowiedniego świadectwa charakterystyki energetycznej w ramach dyrektywy Parlamentu Europejskiego i Rady 2010/31/UE z dnia 19 maja 20</w:t>
            </w:r>
            <w:r w:rsidRPr="00A1618E">
              <w:rPr>
                <w:noProof/>
                <w:lang w:val="pl-PL"/>
              </w:rPr>
              <w:t>10 r.</w:t>
            </w:r>
            <w:r>
              <w:rPr>
                <w:noProof/>
              </w:rPr>
              <w:t xml:space="preserve"> w sprawie charakterystyki energetycznej budynków. Liczbę rekultywacji mieszkań określa się jako sumę wszystkich działań usprawniających i rekultywacyjnych (w obrębie wyznaczonych dzielnic, na poziomie budynków lub mieszkań) przeprowadzonych poprzez wdrożenie jednej z linii pomocowych (pełna renowacja lub elementy budynku) lub zachęt podatkowych. Średni odsetek oszczędności nieodnawialnej energii pierwotnej w celu zapewnienia zgodności z minimalną wartością 30 % uzyskuje się poprzez ważenie zestawu działań rekultywacyjnych o kwotę pomocy lub finansowania zastosowanego w ramach planu odbudowy i zwiększania odporności. Wskaźnik ten obejmuje działania na rzecz poprawy i odbudowy we wszystkich gminach, niezależnie od ich wielkości. Aby uzasadnić zgodność z uzyskanymi oszczędnościami energii, świadectwa charakterystyki energetycznej ukończonych robót budowlanych są wymagane i zagregowane w celu potwierdzenia średniej uzyskanej oszczędności energii. (Podstawa: 31 grudnia 20</w:t>
            </w:r>
            <w:r w:rsidRPr="00A1618E">
              <w:rPr>
                <w:noProof/>
                <w:lang w:val="pl-PL"/>
              </w:rPr>
              <w:t>24 r.</w:t>
            </w:r>
            <w:r>
              <w:rPr>
                <w:noProof/>
              </w:rPr>
              <w:t>)</w:t>
            </w:r>
          </w:p>
        </w:tc>
      </w:tr>
      <w:tr w:rsidR="006578ED" w14:paraId="4187DA6B" w14:textId="77777777">
        <w:trPr>
          <w:trHeight w:val="309"/>
        </w:trPr>
        <w:tc>
          <w:tcPr>
            <w:tcW w:w="709" w:type="dxa"/>
            <w:shd w:val="clear" w:color="auto" w:fill="C6EFCE"/>
            <w:noWrap/>
          </w:tcPr>
          <w:p w14:paraId="219897CE" w14:textId="77777777" w:rsidR="006578ED" w:rsidRDefault="00A1618E">
            <w:pPr>
              <w:pStyle w:val="P68B1DB1-Normal13"/>
              <w:spacing w:after="0" w:line="240" w:lineRule="auto"/>
              <w:jc w:val="center"/>
              <w:rPr>
                <w:rFonts w:cs="Times New Roman"/>
                <w:noProof/>
              </w:rPr>
            </w:pPr>
            <w:r>
              <w:rPr>
                <w:noProof/>
              </w:rPr>
              <w:t>30</w:t>
            </w:r>
          </w:p>
        </w:tc>
        <w:tc>
          <w:tcPr>
            <w:tcW w:w="851" w:type="dxa"/>
            <w:shd w:val="clear" w:color="auto" w:fill="C6EFCE"/>
            <w:noWrap/>
          </w:tcPr>
          <w:p w14:paraId="39E1901F" w14:textId="77777777" w:rsidR="006578ED" w:rsidRDefault="00A1618E">
            <w:pPr>
              <w:pStyle w:val="P68B1DB1-Normal13"/>
              <w:spacing w:after="0" w:line="240" w:lineRule="auto"/>
              <w:jc w:val="center"/>
              <w:rPr>
                <w:rFonts w:cs="Times New Roman"/>
                <w:noProof/>
              </w:rPr>
            </w:pPr>
            <w:r>
              <w:rPr>
                <w:noProof/>
              </w:rPr>
              <w:t>C2.I2</w:t>
            </w:r>
          </w:p>
        </w:tc>
        <w:tc>
          <w:tcPr>
            <w:tcW w:w="850" w:type="dxa"/>
            <w:shd w:val="clear" w:color="auto" w:fill="C6EFCE"/>
            <w:noWrap/>
          </w:tcPr>
          <w:p w14:paraId="64558372" w14:textId="2B1D3448"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01EEAA9C" w14:textId="62A3FB10" w:rsidR="006578ED" w:rsidRDefault="00A1618E">
            <w:pPr>
              <w:pStyle w:val="P68B1DB1-Normal13"/>
              <w:spacing w:after="0" w:line="240" w:lineRule="auto"/>
              <w:rPr>
                <w:rFonts w:cs="Times New Roman"/>
                <w:noProof/>
              </w:rPr>
            </w:pPr>
            <w:r>
              <w:rPr>
                <w:noProof/>
              </w:rPr>
              <w:t xml:space="preserve">Wejście w życie dekretu królewskiego w sprawie określenia ram regulacyjnych dotyczących realizacji programu na rzecz efektywnych energetycznie mieszkań socjalnych spełniających kryteria efektywności energetycznej </w:t>
            </w:r>
          </w:p>
        </w:tc>
        <w:tc>
          <w:tcPr>
            <w:tcW w:w="1134" w:type="dxa"/>
            <w:shd w:val="clear" w:color="auto" w:fill="C6EFCE"/>
            <w:noWrap/>
          </w:tcPr>
          <w:p w14:paraId="2A07BAB2" w14:textId="5F8C25D1" w:rsidR="006578ED" w:rsidRDefault="00A1618E">
            <w:pPr>
              <w:pStyle w:val="P68B1DB1-Normal13"/>
              <w:spacing w:after="0" w:line="240" w:lineRule="auto"/>
              <w:jc w:val="center"/>
              <w:rPr>
                <w:rFonts w:cs="Times New Roman"/>
                <w:noProof/>
              </w:rPr>
            </w:pPr>
            <w:r>
              <w:rPr>
                <w:noProof/>
              </w:rPr>
              <w:t>Przepis dekretu królewskiego w sprawie wejścia w życie</w:t>
            </w:r>
          </w:p>
        </w:tc>
        <w:tc>
          <w:tcPr>
            <w:tcW w:w="850" w:type="dxa"/>
            <w:shd w:val="clear" w:color="auto" w:fill="C6EFCE"/>
            <w:noWrap/>
          </w:tcPr>
          <w:p w14:paraId="6ECDD213" w14:textId="77777777" w:rsidR="006578ED" w:rsidRDefault="00A1618E">
            <w:pPr>
              <w:pStyle w:val="P68B1DB1-Normal13"/>
              <w:spacing w:after="0" w:line="240" w:lineRule="auto"/>
              <w:jc w:val="right"/>
              <w:rPr>
                <w:rFonts w:cs="Times New Roman"/>
                <w:noProof/>
              </w:rPr>
            </w:pPr>
            <w:r>
              <w:rPr>
                <w:noProof/>
              </w:rPr>
              <w:t> </w:t>
            </w:r>
          </w:p>
        </w:tc>
        <w:tc>
          <w:tcPr>
            <w:tcW w:w="709" w:type="dxa"/>
            <w:shd w:val="clear" w:color="auto" w:fill="C6EFCE"/>
            <w:noWrap/>
          </w:tcPr>
          <w:p w14:paraId="5B68B9CD" w14:textId="77777777" w:rsidR="006578ED" w:rsidRDefault="00A1618E">
            <w:pPr>
              <w:pStyle w:val="P68B1DB1-Normal13"/>
              <w:spacing w:after="0" w:line="240" w:lineRule="auto"/>
              <w:jc w:val="right"/>
              <w:rPr>
                <w:rFonts w:cs="Times New Roman"/>
                <w:noProof/>
              </w:rPr>
            </w:pPr>
            <w:r>
              <w:rPr>
                <w:noProof/>
              </w:rPr>
              <w:t xml:space="preserve"> </w:t>
            </w:r>
          </w:p>
        </w:tc>
        <w:tc>
          <w:tcPr>
            <w:tcW w:w="851" w:type="dxa"/>
            <w:shd w:val="clear" w:color="auto" w:fill="C6EFCE"/>
            <w:noWrap/>
          </w:tcPr>
          <w:p w14:paraId="1B7172F4" w14:textId="77777777" w:rsidR="006578ED" w:rsidRDefault="00A1618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35DAEC7D" w14:textId="35E2C448"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noWrap/>
          </w:tcPr>
          <w:p w14:paraId="6EC9CF6B" w14:textId="77777777" w:rsidR="006578ED" w:rsidRDefault="00A1618E">
            <w:pPr>
              <w:pStyle w:val="P68B1DB1-Normal13"/>
              <w:spacing w:after="0" w:line="240" w:lineRule="auto"/>
              <w:jc w:val="center"/>
              <w:rPr>
                <w:rFonts w:cs="Times New Roman"/>
                <w:noProof/>
              </w:rPr>
            </w:pPr>
            <w:r>
              <w:rPr>
                <w:noProof/>
              </w:rPr>
              <w:t>2021</w:t>
            </w:r>
          </w:p>
        </w:tc>
        <w:tc>
          <w:tcPr>
            <w:tcW w:w="6379" w:type="dxa"/>
            <w:shd w:val="clear" w:color="auto" w:fill="C6EFCE"/>
            <w:noWrap/>
          </w:tcPr>
          <w:p w14:paraId="03EF9BF8" w14:textId="4A2789EE" w:rsidR="006578ED" w:rsidRDefault="00A1618E">
            <w:pPr>
              <w:pStyle w:val="P68B1DB1-Normal13"/>
              <w:spacing w:after="0" w:line="240" w:lineRule="auto"/>
              <w:rPr>
                <w:rFonts w:cs="Times New Roman"/>
                <w:noProof/>
              </w:rPr>
            </w:pPr>
            <w:r>
              <w:rPr>
                <w:noProof/>
              </w:rPr>
              <w:t xml:space="preserve">Przyjęcie dekretu królewskiego określającego ramy regulacyjne dla realizacji programu w zakresie efektywnych energetycznie wynajmowanych lokali mieszkalnych spełniających kryteria efektywności energetycznej. W dekrecie królewskim określa się wymagania techniczne mające na celu osiągnięcie przy budowie budynków zapotrzebowania na energię pierwotną na poziomie co najmniej 20 % niższym niż zapotrzebowanie na budynki o niemal zerowym zużyciu energii zgodnie z wytycznymi krajowymi. W tym celu wymaga się ograniczenia wartości zużycia energii pierwotnej ze źródeł nieodnawialnych </w:t>
            </w:r>
            <w:r w:rsidRPr="00A1618E">
              <w:rPr>
                <w:noProof/>
                <w:lang w:val="pl-PL"/>
              </w:rPr>
              <w:t>do 8</w:t>
            </w:r>
            <w:r>
              <w:rPr>
                <w:noProof/>
              </w:rPr>
              <w:t>0 % limitu określonego w sekcji HE 0 podstawowego dokumentu oszczędności energii (DB-HE) technicznego kodeksu budowlanego (CTE). Odbędzie się konferencja sektorowa na temat mieszkalnictwa, a faza informowania społeczeństwa i inne procedury prawne zostaną zakończone przed zakończeniem prac nad dekretem królewskim.</w:t>
            </w:r>
          </w:p>
        </w:tc>
      </w:tr>
      <w:tr w:rsidR="006578ED" w14:paraId="08CF31DB" w14:textId="77777777">
        <w:trPr>
          <w:trHeight w:val="309"/>
        </w:trPr>
        <w:tc>
          <w:tcPr>
            <w:tcW w:w="709" w:type="dxa"/>
            <w:shd w:val="clear" w:color="auto" w:fill="C6EFCE"/>
            <w:noWrap/>
          </w:tcPr>
          <w:p w14:paraId="2C8B330C" w14:textId="77777777" w:rsidR="006578ED" w:rsidRDefault="00A1618E">
            <w:pPr>
              <w:pStyle w:val="P68B1DB1-Normal13"/>
              <w:spacing w:after="0" w:line="240" w:lineRule="auto"/>
              <w:jc w:val="center"/>
              <w:rPr>
                <w:rFonts w:cs="Times New Roman"/>
                <w:noProof/>
              </w:rPr>
            </w:pPr>
            <w:r>
              <w:rPr>
                <w:noProof/>
              </w:rPr>
              <w:t>31</w:t>
            </w:r>
          </w:p>
        </w:tc>
        <w:tc>
          <w:tcPr>
            <w:tcW w:w="851" w:type="dxa"/>
            <w:shd w:val="clear" w:color="auto" w:fill="C6EFCE"/>
            <w:noWrap/>
          </w:tcPr>
          <w:p w14:paraId="60C24825" w14:textId="77777777" w:rsidR="006578ED" w:rsidRDefault="00A1618E">
            <w:pPr>
              <w:pStyle w:val="P68B1DB1-Normal13"/>
              <w:spacing w:after="0" w:line="240" w:lineRule="auto"/>
              <w:jc w:val="center"/>
              <w:rPr>
                <w:rFonts w:eastAsia="MS Mincho" w:cs="Times New Roman"/>
                <w:noProof/>
              </w:rPr>
            </w:pPr>
            <w:r>
              <w:rPr>
                <w:noProof/>
              </w:rPr>
              <w:t>C2.I2</w:t>
            </w:r>
          </w:p>
        </w:tc>
        <w:tc>
          <w:tcPr>
            <w:tcW w:w="850" w:type="dxa"/>
            <w:shd w:val="clear" w:color="auto" w:fill="C6EFCE"/>
            <w:noWrap/>
          </w:tcPr>
          <w:p w14:paraId="4D7714BB" w14:textId="75A608FA" w:rsidR="006578ED" w:rsidRDefault="00AF6B91">
            <w:pPr>
              <w:pStyle w:val="P68B1DB1-Normal13"/>
              <w:spacing w:after="0" w:line="240" w:lineRule="auto"/>
              <w:jc w:val="center"/>
              <w:rPr>
                <w:rFonts w:cs="Times New Roman"/>
                <w:noProof/>
              </w:rPr>
            </w:pPr>
            <w:r>
              <w:rPr>
                <w:noProof/>
              </w:rPr>
              <w:t>Cel</w:t>
            </w:r>
          </w:p>
        </w:tc>
        <w:tc>
          <w:tcPr>
            <w:tcW w:w="1985" w:type="dxa"/>
            <w:shd w:val="clear" w:color="auto" w:fill="C6EFCE"/>
            <w:noWrap/>
          </w:tcPr>
          <w:p w14:paraId="66003F66" w14:textId="35B00A50" w:rsidR="006578ED" w:rsidRDefault="00A1618E">
            <w:pPr>
              <w:pStyle w:val="P68B1DB1-Normal13"/>
              <w:spacing w:after="0" w:line="240" w:lineRule="auto"/>
              <w:rPr>
                <w:rFonts w:cs="Times New Roman"/>
                <w:noProof/>
              </w:rPr>
            </w:pPr>
            <w:r>
              <w:rPr>
                <w:noProof/>
              </w:rPr>
              <w:t>Nowe lokale mieszkalne wybudowane w celu wynajęcia społecznego lub po przystępnych cenach, zgodne z kryteriami efektywności energetycznej</w:t>
            </w:r>
          </w:p>
        </w:tc>
        <w:tc>
          <w:tcPr>
            <w:tcW w:w="1134" w:type="dxa"/>
            <w:shd w:val="clear" w:color="auto" w:fill="C6EFCE"/>
            <w:noWrap/>
          </w:tcPr>
          <w:p w14:paraId="71CA3204"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125BCDC3" w14:textId="77777777" w:rsidR="006578ED" w:rsidRDefault="00A1618E">
            <w:pPr>
              <w:pStyle w:val="P68B1DB1-Normal13"/>
              <w:spacing w:after="0" w:line="240" w:lineRule="auto"/>
              <w:jc w:val="right"/>
              <w:rPr>
                <w:rFonts w:eastAsia="MS Mincho" w:cs="Times New Roman"/>
                <w:noProof/>
              </w:rPr>
            </w:pPr>
            <w:r>
              <w:rPr>
                <w:noProof/>
              </w:rPr>
              <w:t>Liczba</w:t>
            </w:r>
          </w:p>
        </w:tc>
        <w:tc>
          <w:tcPr>
            <w:tcW w:w="709" w:type="dxa"/>
            <w:shd w:val="clear" w:color="auto" w:fill="C6EFCE"/>
            <w:noWrap/>
          </w:tcPr>
          <w:p w14:paraId="7BD0726E" w14:textId="77777777" w:rsidR="006578ED" w:rsidRDefault="00A1618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1D57C1F4" w14:textId="77777777" w:rsidR="006578ED" w:rsidRDefault="00A1618E">
            <w:pPr>
              <w:pStyle w:val="P68B1DB1-Normal13"/>
              <w:spacing w:after="0" w:line="240" w:lineRule="auto"/>
              <w:jc w:val="right"/>
              <w:rPr>
                <w:rFonts w:eastAsia="MS Mincho" w:cs="Times New Roman"/>
                <w:noProof/>
              </w:rPr>
            </w:pPr>
            <w:r>
              <w:rPr>
                <w:noProof/>
              </w:rPr>
              <w:t>20 000</w:t>
            </w:r>
          </w:p>
        </w:tc>
        <w:tc>
          <w:tcPr>
            <w:tcW w:w="425" w:type="dxa"/>
            <w:shd w:val="clear" w:color="auto" w:fill="C6EFCE"/>
            <w:noWrap/>
          </w:tcPr>
          <w:p w14:paraId="2CF36DD5" w14:textId="699030C2"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75D37C4C" w14:textId="77777777" w:rsidR="006578ED" w:rsidRDefault="00A1618E">
            <w:pPr>
              <w:pStyle w:val="P68B1DB1-Normal13"/>
              <w:spacing w:after="0" w:line="240" w:lineRule="auto"/>
              <w:jc w:val="center"/>
              <w:rPr>
                <w:rFonts w:cs="Times New Roman"/>
                <w:noProof/>
              </w:rPr>
            </w:pPr>
            <w:r>
              <w:rPr>
                <w:noProof/>
              </w:rPr>
              <w:t>2026</w:t>
            </w:r>
          </w:p>
        </w:tc>
        <w:tc>
          <w:tcPr>
            <w:tcW w:w="6379" w:type="dxa"/>
            <w:shd w:val="clear" w:color="auto" w:fill="C6EFCE"/>
            <w:noWrap/>
          </w:tcPr>
          <w:p w14:paraId="44442375" w14:textId="604A573D" w:rsidR="006578ED" w:rsidRDefault="00A1618E">
            <w:pPr>
              <w:pStyle w:val="P68B1DB1-Normal13"/>
              <w:spacing w:after="0" w:line="240" w:lineRule="auto"/>
              <w:rPr>
                <w:rFonts w:cs="Times New Roman"/>
                <w:noProof/>
              </w:rPr>
            </w:pPr>
            <w:r>
              <w:rPr>
                <w:noProof/>
              </w:rPr>
              <w:t xml:space="preserve">Co najmniej 20000 lokali mieszkalnych wybudowanych w celu wynajęcia społecznego lub po przystępnych cenach zgodnych z kryteriami efektywności energetycznej. Liczba ta odpowiada liczbie lokali mieszkalnych, dla których budowa ma zostać ukończona, i odnosi się do czynszu socjalnego po przystępnych cenach, co potwierdza zaświadczenie lub dowód ukończenia i użytkowania lokali mieszkalnych wydany przez właściwy organ. Ponadto zgodność z wymogiem ograniczenia wartości zużycia energii pierwotnej ze źródeł nieodnawialnych </w:t>
            </w:r>
            <w:r w:rsidRPr="00A1618E">
              <w:rPr>
                <w:noProof/>
                <w:lang w:val="pl-PL"/>
              </w:rPr>
              <w:t>do 8</w:t>
            </w:r>
            <w:r>
              <w:rPr>
                <w:noProof/>
              </w:rPr>
              <w:t>0 % wartości dopuszczalnej określonej w sekcji HE 0 podstawowego dokumentu oszczędności energii (DB-HE) kodeksu technicznego budynku (CTE) zapewnia się za pomocą świadectwa charakterystyki energetycznej.</w:t>
            </w:r>
          </w:p>
        </w:tc>
      </w:tr>
      <w:tr w:rsidR="006578ED" w14:paraId="6C2D39E7" w14:textId="77777777">
        <w:trPr>
          <w:trHeight w:val="309"/>
        </w:trPr>
        <w:tc>
          <w:tcPr>
            <w:tcW w:w="709" w:type="dxa"/>
            <w:shd w:val="clear" w:color="auto" w:fill="C6EFCE"/>
            <w:noWrap/>
          </w:tcPr>
          <w:p w14:paraId="434292C4" w14:textId="77777777" w:rsidR="006578ED" w:rsidRDefault="00A1618E">
            <w:pPr>
              <w:pStyle w:val="P68B1DB1-Normal13"/>
              <w:spacing w:after="0" w:line="240" w:lineRule="auto"/>
              <w:jc w:val="center"/>
              <w:rPr>
                <w:rFonts w:cs="Times New Roman"/>
                <w:noProof/>
              </w:rPr>
            </w:pPr>
            <w:r>
              <w:rPr>
                <w:noProof/>
              </w:rPr>
              <w:t>32</w:t>
            </w:r>
          </w:p>
        </w:tc>
        <w:tc>
          <w:tcPr>
            <w:tcW w:w="851" w:type="dxa"/>
            <w:shd w:val="clear" w:color="auto" w:fill="C6EFCE"/>
            <w:noWrap/>
          </w:tcPr>
          <w:p w14:paraId="16A7C4CA" w14:textId="77777777" w:rsidR="006578ED" w:rsidRDefault="00A1618E">
            <w:pPr>
              <w:pStyle w:val="P68B1DB1-Normal13"/>
              <w:spacing w:after="0" w:line="240" w:lineRule="auto"/>
              <w:jc w:val="center"/>
              <w:rPr>
                <w:rFonts w:eastAsia="MS Mincho" w:cs="Times New Roman"/>
                <w:noProof/>
              </w:rPr>
            </w:pPr>
            <w:r>
              <w:rPr>
                <w:noProof/>
              </w:rPr>
              <w:t>C2.I3</w:t>
            </w:r>
          </w:p>
        </w:tc>
        <w:tc>
          <w:tcPr>
            <w:tcW w:w="850" w:type="dxa"/>
            <w:shd w:val="clear" w:color="auto" w:fill="C6EFCE"/>
            <w:noWrap/>
          </w:tcPr>
          <w:p w14:paraId="1C7B615D" w14:textId="2536EDE5"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0852DD39" w14:textId="6F213A35" w:rsidR="006578ED" w:rsidRDefault="00A1618E">
            <w:pPr>
              <w:pStyle w:val="P68B1DB1-Normal13"/>
              <w:spacing w:after="0" w:line="240" w:lineRule="auto"/>
              <w:rPr>
                <w:rFonts w:cs="Times New Roman"/>
                <w:noProof/>
              </w:rPr>
            </w:pPr>
            <w:r>
              <w:rPr>
                <w:noProof/>
              </w:rPr>
              <w:t>Udzielanie zamówień na renowacje budynków mieszkalnych i niemieszkalnych, osiągające średnio co najmniej 30 % redukcję zapotrzebowania na energię pierwotną</w:t>
            </w:r>
          </w:p>
        </w:tc>
        <w:tc>
          <w:tcPr>
            <w:tcW w:w="1134" w:type="dxa"/>
            <w:shd w:val="clear" w:color="auto" w:fill="C6EFCE"/>
            <w:noWrap/>
          </w:tcPr>
          <w:p w14:paraId="1337BEF1" w14:textId="374E91F9" w:rsidR="006578ED" w:rsidRDefault="00A1618E">
            <w:pPr>
              <w:pStyle w:val="P68B1DB1-Normal13"/>
              <w:spacing w:after="0" w:line="240" w:lineRule="auto"/>
              <w:jc w:val="center"/>
              <w:rPr>
                <w:rFonts w:cs="Times New Roman"/>
                <w:noProof/>
              </w:rPr>
            </w:pPr>
            <w:r>
              <w:rPr>
                <w:noProof/>
              </w:rPr>
              <w:t>Zagregowane decyzje w sprawie koncesji podejmowane przez wspólnoty autonomiczne</w:t>
            </w:r>
          </w:p>
        </w:tc>
        <w:tc>
          <w:tcPr>
            <w:tcW w:w="850" w:type="dxa"/>
            <w:shd w:val="clear" w:color="auto" w:fill="C6EFCE"/>
            <w:noWrap/>
          </w:tcPr>
          <w:p w14:paraId="6D71D07C" w14:textId="77777777" w:rsidR="006578ED" w:rsidRDefault="00A1618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64AD8D14" w14:textId="77777777" w:rsidR="006578ED" w:rsidRDefault="00A1618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4A586566" w14:textId="77777777" w:rsidR="006578ED" w:rsidRDefault="00A1618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7033E754" w14:textId="58ED167E"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0ED0F85E" w14:textId="77777777" w:rsidR="006578ED" w:rsidRDefault="00A1618E">
            <w:pPr>
              <w:pStyle w:val="P68B1DB1-Normal13"/>
              <w:spacing w:after="0" w:line="240" w:lineRule="auto"/>
              <w:jc w:val="center"/>
              <w:rPr>
                <w:rFonts w:cs="Times New Roman"/>
                <w:noProof/>
              </w:rPr>
            </w:pPr>
            <w:r>
              <w:rPr>
                <w:noProof/>
              </w:rPr>
              <w:t>2023</w:t>
            </w:r>
          </w:p>
        </w:tc>
        <w:tc>
          <w:tcPr>
            <w:tcW w:w="6379" w:type="dxa"/>
            <w:shd w:val="clear" w:color="auto" w:fill="C6EFCE"/>
            <w:noWrap/>
          </w:tcPr>
          <w:p w14:paraId="14C5AE00" w14:textId="5D8D6E55" w:rsidR="006578ED" w:rsidRDefault="00A1618E">
            <w:pPr>
              <w:pStyle w:val="P68B1DB1-Normal13"/>
              <w:spacing w:after="0" w:line="240" w:lineRule="auto"/>
              <w:rPr>
                <w:rFonts w:cs="Times New Roman"/>
                <w:noProof/>
              </w:rPr>
            </w:pPr>
            <w:r>
              <w:rPr>
                <w:noProof/>
              </w:rPr>
              <w:t>Odpowiednik co najmniej 40000 lokali mieszkalnych i 690 000 m 2 budynków</w:t>
            </w:r>
            <w:r>
              <w:rPr>
                <w:noProof/>
                <w:vertAlign w:val="superscript"/>
              </w:rPr>
              <w:t>niemieszkalnych</w:t>
            </w:r>
            <w:r>
              <w:rPr>
                <w:noProof/>
              </w:rPr>
              <w:t>, które to renowacje osiągają średnio co najmniej 30 % zmniejszenie zapotrzebowania na energię pierwotną. Równoważność określa się w odniesieniu do odpowiednich średnich oszczędności energii uzyskanych na m</w:t>
            </w:r>
            <w:r>
              <w:rPr>
                <w:noProof/>
                <w:vertAlign w:val="superscript"/>
              </w:rPr>
              <w:t>2</w:t>
            </w:r>
            <w:r>
              <w:rPr>
                <w:noProof/>
              </w:rPr>
              <w:t xml:space="preserve"> każdego rodzaju interwencji. Do celów wskaźnika pojęcie mieszkania jest zgodne z definicją Eurostatu („mieszkanie jest pomieszczeniem lub zestawem pokojów – łącznie z akcesoriami, lobbami i korytarzami – w stałym budynku lub w wydzielonej konstrukcyjnie części budynku, który ze względu na sposób, w jaki został wybudowany, przebudowany lub przebudowany, przeznaczony jest do zamieszkania przez jedno prywatne gospodarstwo domowe przez cały rok”) i może obejmować, w stosownych przypadkach, mieszkalnictwo socjalne lub publiczne. Stosowane wskaźniki poprawy charakterystyki energetycznej są akredytowane za pomocą odpowiedniego świadectwa charakterystyki energetycznej w ramach dyrektywy Parlamentu Europejskiego i Rady 2010/31/UE z dnia 19 maja 20</w:t>
            </w:r>
            <w:r w:rsidRPr="00A1618E">
              <w:rPr>
                <w:noProof/>
                <w:lang w:val="pl-PL"/>
              </w:rPr>
              <w:t>10 r.</w:t>
            </w:r>
            <w:r>
              <w:rPr>
                <w:noProof/>
              </w:rPr>
              <w:t xml:space="preserve"> w sprawie charakterystyki energetycznej budynków.</w:t>
            </w:r>
          </w:p>
        </w:tc>
      </w:tr>
      <w:tr w:rsidR="006578ED" w14:paraId="1C3C2C83" w14:textId="77777777">
        <w:trPr>
          <w:trHeight w:val="309"/>
        </w:trPr>
        <w:tc>
          <w:tcPr>
            <w:tcW w:w="709" w:type="dxa"/>
            <w:shd w:val="clear" w:color="auto" w:fill="C6EFCE"/>
            <w:noWrap/>
          </w:tcPr>
          <w:p w14:paraId="7CE58F48" w14:textId="77777777" w:rsidR="006578ED" w:rsidRDefault="00A1618E">
            <w:pPr>
              <w:pStyle w:val="P68B1DB1-Normal13"/>
              <w:spacing w:after="0" w:line="240" w:lineRule="auto"/>
              <w:jc w:val="center"/>
              <w:rPr>
                <w:rFonts w:cs="Times New Roman"/>
                <w:noProof/>
              </w:rPr>
            </w:pPr>
            <w:r>
              <w:rPr>
                <w:noProof/>
              </w:rPr>
              <w:t>33</w:t>
            </w:r>
          </w:p>
        </w:tc>
        <w:tc>
          <w:tcPr>
            <w:tcW w:w="851" w:type="dxa"/>
            <w:shd w:val="clear" w:color="auto" w:fill="C6EFCE"/>
            <w:noWrap/>
          </w:tcPr>
          <w:p w14:paraId="735917EE" w14:textId="77777777" w:rsidR="006578ED" w:rsidRDefault="00A1618E">
            <w:pPr>
              <w:pStyle w:val="P68B1DB1-Normal13"/>
              <w:spacing w:after="0" w:line="240" w:lineRule="auto"/>
              <w:jc w:val="center"/>
              <w:rPr>
                <w:rFonts w:eastAsia="MS Mincho" w:cs="Times New Roman"/>
                <w:noProof/>
              </w:rPr>
            </w:pPr>
            <w:r>
              <w:rPr>
                <w:noProof/>
              </w:rPr>
              <w:t>C2.I3</w:t>
            </w:r>
          </w:p>
        </w:tc>
        <w:tc>
          <w:tcPr>
            <w:tcW w:w="850" w:type="dxa"/>
            <w:shd w:val="clear" w:color="auto" w:fill="C6EFCE"/>
            <w:noWrap/>
          </w:tcPr>
          <w:p w14:paraId="6929BCAA" w14:textId="11A92FBB"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165C110F" w14:textId="277455BE" w:rsidR="006578ED" w:rsidRDefault="00A1618E">
            <w:pPr>
              <w:pStyle w:val="P68B1DB1-Normal13"/>
              <w:spacing w:after="0" w:line="240" w:lineRule="auto"/>
              <w:rPr>
                <w:rFonts w:cs="Times New Roman"/>
                <w:noProof/>
              </w:rPr>
            </w:pPr>
            <w:r>
              <w:rPr>
                <w:noProof/>
              </w:rPr>
              <w:t xml:space="preserve">Zakończenie renowacji budynków mieszkalnych i niemieszkalnych, w celu osiągnięcia redukcji zapotrzebowania na energię pierwotną średnio o co najmniej 30 % </w:t>
            </w:r>
          </w:p>
        </w:tc>
        <w:tc>
          <w:tcPr>
            <w:tcW w:w="1134" w:type="dxa"/>
            <w:shd w:val="clear" w:color="auto" w:fill="C6EFCE"/>
            <w:noWrap/>
          </w:tcPr>
          <w:p w14:paraId="5550885B" w14:textId="77777777" w:rsidR="006578ED" w:rsidRDefault="00A1618E">
            <w:pPr>
              <w:pStyle w:val="P68B1DB1-Normal13"/>
              <w:spacing w:after="0" w:line="240" w:lineRule="auto"/>
              <w:jc w:val="center"/>
              <w:rPr>
                <w:rFonts w:cs="Times New Roman"/>
                <w:noProof/>
              </w:rPr>
            </w:pPr>
            <w:r>
              <w:rPr>
                <w:noProof/>
              </w:rPr>
              <w:t>Zagregowane świadectwa charakterystyki energetycznej ukończonych robót budowlanych—</w:t>
            </w:r>
          </w:p>
        </w:tc>
        <w:tc>
          <w:tcPr>
            <w:tcW w:w="850" w:type="dxa"/>
            <w:shd w:val="clear" w:color="auto" w:fill="C6EFCE"/>
            <w:noWrap/>
          </w:tcPr>
          <w:p w14:paraId="1721E545" w14:textId="77777777" w:rsidR="006578ED" w:rsidRDefault="00A1618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3DD1135A" w14:textId="77777777" w:rsidR="006578ED" w:rsidRDefault="00A1618E">
            <w:pPr>
              <w:pStyle w:val="P68B1DB1-Normal13"/>
              <w:spacing w:after="0" w:line="240" w:lineRule="auto"/>
              <w:jc w:val="right"/>
              <w:rPr>
                <w:rFonts w:eastAsia="MS Mincho" w:cs="Times New Roman"/>
                <w:noProof/>
              </w:rPr>
            </w:pPr>
            <w:r>
              <w:rPr>
                <w:noProof/>
              </w:rPr>
              <w:t> </w:t>
            </w:r>
          </w:p>
        </w:tc>
        <w:tc>
          <w:tcPr>
            <w:tcW w:w="851" w:type="dxa"/>
            <w:shd w:val="clear" w:color="auto" w:fill="C6EFCE"/>
            <w:noWrap/>
          </w:tcPr>
          <w:p w14:paraId="0236E82D" w14:textId="77777777" w:rsidR="006578ED" w:rsidRDefault="00A1618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0B0E13F4" w14:textId="71DA01CE"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55CFB499" w14:textId="77777777" w:rsidR="006578ED" w:rsidRDefault="00A1618E">
            <w:pPr>
              <w:pStyle w:val="P68B1DB1-Normal13"/>
              <w:spacing w:after="0" w:line="240" w:lineRule="auto"/>
              <w:jc w:val="center"/>
              <w:rPr>
                <w:rFonts w:cs="Times New Roman"/>
                <w:noProof/>
              </w:rPr>
            </w:pPr>
            <w:r>
              <w:rPr>
                <w:noProof/>
              </w:rPr>
              <w:t>2026</w:t>
            </w:r>
          </w:p>
        </w:tc>
        <w:tc>
          <w:tcPr>
            <w:tcW w:w="6379" w:type="dxa"/>
            <w:shd w:val="clear" w:color="auto" w:fill="C6EFCE"/>
            <w:noWrap/>
          </w:tcPr>
          <w:p w14:paraId="492B2804" w14:textId="61ED7DFE" w:rsidR="006578ED" w:rsidRDefault="00A1618E">
            <w:pPr>
              <w:pStyle w:val="P68B1DB1-Normal13"/>
              <w:spacing w:after="0" w:line="240" w:lineRule="auto"/>
              <w:rPr>
                <w:rFonts w:cs="Times New Roman"/>
                <w:noProof/>
              </w:rPr>
            </w:pPr>
            <w:r>
              <w:rPr>
                <w:noProof/>
              </w:rPr>
              <w:t>Równowartość co najmniej 40000 lokali mieszkalnych i 690 000 m 2 budynków</w:t>
            </w:r>
            <w:r>
              <w:rPr>
                <w:noProof/>
                <w:vertAlign w:val="superscript"/>
              </w:rPr>
              <w:t>niemieszkalnych</w:t>
            </w:r>
            <w:r>
              <w:rPr>
                <w:noProof/>
              </w:rPr>
              <w:t xml:space="preserve"> poddawanych renowacji, osiągające średnio co najmniej 30 % redukcję zapotrzebowania na energię pierwotną. Równoważność określa się w odniesieniu do odpowiednich średnich oszczędności energii uzyskanych na m</w:t>
            </w:r>
            <w:r>
              <w:rPr>
                <w:noProof/>
                <w:vertAlign w:val="superscript"/>
              </w:rPr>
              <w:t>2</w:t>
            </w:r>
            <w:r>
              <w:rPr>
                <w:noProof/>
              </w:rPr>
              <w:t xml:space="preserve"> każdego rodzaju interwencji. Do celów wskaźnika pojęcie mieszkania jest zgodne z definicją Eurostatu: „mieszkanie jest pomieszczeniem lub zestawem pokoi – łącznie z akcesoriami, lobbami i korytarzami – w stałym budynku lub w wydzielonej konstrukcyjnie części budynku, która ze względu na sposób, w jaki została wybudowana, przebudowana lub przebudowana, przeznaczona jest do zamieszkania przez jedno prywatne gospodarstwo domowe przez cały rok” i może obejmować, w stosownych przypadkach, mieszkalnictwo socjalne lub publiczne. Stosowane wskaźniki poprawy charakterystyki energetycznej są akredytowane za pomocą odpowiedniego świadectwa charakterystyki energetycznej w ramach dyrektywy Parlamentu Europejskiego i Rady 2010/31/UE z dnia 19 maja 20</w:t>
            </w:r>
            <w:r w:rsidRPr="00A1618E">
              <w:rPr>
                <w:noProof/>
                <w:lang w:val="pl-PL"/>
              </w:rPr>
              <w:t>10 r.</w:t>
            </w:r>
            <w:r>
              <w:rPr>
                <w:noProof/>
              </w:rPr>
              <w:t xml:space="preserve"> w sprawie charakterystyki energetycznej budynków. Aby uzasadnić zgodność z uzyskanymi oszczędnościami energii, świadectwa charakterystyki energetycznej ukończonych robót budowlanych są wymagane i zagregowane w celu potwierdzenia średniej uzyskanej oszczędności energii.</w:t>
            </w:r>
          </w:p>
        </w:tc>
      </w:tr>
      <w:tr w:rsidR="006578ED" w14:paraId="286F2F1B" w14:textId="77777777">
        <w:trPr>
          <w:trHeight w:val="309"/>
        </w:trPr>
        <w:tc>
          <w:tcPr>
            <w:tcW w:w="709" w:type="dxa"/>
            <w:shd w:val="clear" w:color="auto" w:fill="C6EFCE"/>
            <w:noWrap/>
          </w:tcPr>
          <w:p w14:paraId="1EA9D8CF" w14:textId="0D46D351" w:rsidR="006578ED" w:rsidRDefault="00A1618E">
            <w:pPr>
              <w:pStyle w:val="P68B1DB1-Normal13"/>
              <w:spacing w:after="0" w:line="240" w:lineRule="auto"/>
              <w:jc w:val="center"/>
              <w:rPr>
                <w:rFonts w:cs="Times New Roman"/>
                <w:noProof/>
              </w:rPr>
            </w:pPr>
            <w:r>
              <w:rPr>
                <w:noProof/>
              </w:rPr>
              <w:t>34</w:t>
            </w:r>
          </w:p>
        </w:tc>
        <w:tc>
          <w:tcPr>
            <w:tcW w:w="851" w:type="dxa"/>
            <w:shd w:val="clear" w:color="auto" w:fill="C6EFCE"/>
            <w:noWrap/>
          </w:tcPr>
          <w:p w14:paraId="4C8A2F19" w14:textId="77777777" w:rsidR="006578ED" w:rsidRDefault="00A1618E">
            <w:pPr>
              <w:pStyle w:val="P68B1DB1-Normal13"/>
              <w:spacing w:after="0" w:line="240" w:lineRule="auto"/>
              <w:jc w:val="center"/>
              <w:rPr>
                <w:rFonts w:eastAsia="MS Mincho" w:cs="Times New Roman"/>
                <w:noProof/>
              </w:rPr>
            </w:pPr>
            <w:r>
              <w:rPr>
                <w:noProof/>
              </w:rPr>
              <w:t>C2.I4</w:t>
            </w:r>
          </w:p>
        </w:tc>
        <w:tc>
          <w:tcPr>
            <w:tcW w:w="850" w:type="dxa"/>
            <w:shd w:val="clear" w:color="auto" w:fill="C6EFCE"/>
            <w:noWrap/>
          </w:tcPr>
          <w:p w14:paraId="56E99CA2" w14:textId="5C25BB76"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281C42FE" w14:textId="45F2944B" w:rsidR="006578ED" w:rsidRDefault="00A1618E">
            <w:pPr>
              <w:pStyle w:val="P68B1DB1-Normal13"/>
              <w:spacing w:after="0" w:line="240" w:lineRule="auto"/>
              <w:rPr>
                <w:rFonts w:cs="Times New Roman"/>
                <w:noProof/>
              </w:rPr>
            </w:pPr>
            <w:r>
              <w:rPr>
                <w:noProof/>
              </w:rPr>
              <w:t xml:space="preserve">Renowacja lokali mieszkalnych i budynków niemieszkalnych w gminach, w których liczba mieszkańców wynosi mniej niż 5000, osiągające średnio co najmniej 30 % redukcję zapotrzebowania na energię pierwotną </w:t>
            </w:r>
          </w:p>
        </w:tc>
        <w:tc>
          <w:tcPr>
            <w:tcW w:w="1134" w:type="dxa"/>
            <w:shd w:val="clear" w:color="auto" w:fill="C6EFCE"/>
            <w:noWrap/>
          </w:tcPr>
          <w:p w14:paraId="7ADA28FF"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099A72F1" w14:textId="19393C73" w:rsidR="006578ED" w:rsidRDefault="006578ED">
            <w:pPr>
              <w:spacing w:after="0" w:line="240" w:lineRule="auto"/>
              <w:jc w:val="right"/>
              <w:rPr>
                <w:rFonts w:ascii="Times New Roman" w:eastAsia="MS Mincho" w:hAnsi="Times New Roman" w:cs="Times New Roman"/>
                <w:noProof/>
                <w:sz w:val="18"/>
              </w:rPr>
            </w:pPr>
          </w:p>
        </w:tc>
        <w:tc>
          <w:tcPr>
            <w:tcW w:w="709" w:type="dxa"/>
            <w:shd w:val="clear" w:color="auto" w:fill="C6EFCE"/>
            <w:noWrap/>
          </w:tcPr>
          <w:p w14:paraId="47F30171" w14:textId="43D0BE53" w:rsidR="006578ED" w:rsidRDefault="006578ED">
            <w:pPr>
              <w:spacing w:after="0" w:line="240" w:lineRule="auto"/>
              <w:jc w:val="right"/>
              <w:rPr>
                <w:rFonts w:ascii="Times New Roman" w:eastAsia="MS Mincho" w:hAnsi="Times New Roman" w:cs="Times New Roman"/>
                <w:noProof/>
                <w:sz w:val="18"/>
              </w:rPr>
            </w:pPr>
          </w:p>
        </w:tc>
        <w:tc>
          <w:tcPr>
            <w:tcW w:w="851" w:type="dxa"/>
            <w:shd w:val="clear" w:color="auto" w:fill="C6EFCE"/>
            <w:noWrap/>
          </w:tcPr>
          <w:p w14:paraId="3C6BE649" w14:textId="4EABC358" w:rsidR="006578ED" w:rsidRDefault="006578ED">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266B4723" w14:textId="139B5666"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16EAFDA7" w14:textId="77777777" w:rsidR="006578ED" w:rsidRDefault="00A1618E">
            <w:pPr>
              <w:pStyle w:val="P68B1DB1-Normal13"/>
              <w:spacing w:after="0" w:line="240" w:lineRule="auto"/>
              <w:jc w:val="center"/>
              <w:rPr>
                <w:rFonts w:cs="Times New Roman"/>
                <w:noProof/>
              </w:rPr>
            </w:pPr>
            <w:r>
              <w:rPr>
                <w:noProof/>
              </w:rPr>
              <w:t>2026</w:t>
            </w:r>
          </w:p>
        </w:tc>
        <w:tc>
          <w:tcPr>
            <w:tcW w:w="6379" w:type="dxa"/>
            <w:shd w:val="clear" w:color="auto" w:fill="C6EFCE"/>
            <w:noWrap/>
          </w:tcPr>
          <w:p w14:paraId="616015E6" w14:textId="007815AD" w:rsidR="006578ED" w:rsidRDefault="00A1618E">
            <w:pPr>
              <w:pStyle w:val="P68B1DB1-Normal13"/>
              <w:spacing w:after="0" w:line="240" w:lineRule="auto"/>
              <w:rPr>
                <w:rFonts w:cs="Times New Roman"/>
                <w:noProof/>
              </w:rPr>
            </w:pPr>
            <w:r>
              <w:rPr>
                <w:noProof/>
              </w:rPr>
              <w:t>Równowartość co najmniej 4300 lokali mieszkalnych i 230 000 m² budynków niemieszkalnych (w tym budynków publicznych, prywatnych lub socjalnych) poddawanych renowacji w gminach i na obszarach miejskich o liczbie mieszkańców poniżej 5000, osiągając średnio co najmniej 30 % redukcję zapotrzebowania na energię pierwotną. Równoważność określa się w odniesieniu do odpowiednich średnich oszczędności energii uzyskanych na m² każdego rodzaju interwencji. Aby uzasadnić zgodność z uzyskanymi oszczędnościami energii, świadectwa charakterystyki energetycznej ukończonych robót budowlanych są wymagane i zagregowane w celu potwierdzenia średniej uzyskanej oszczędności energii.</w:t>
            </w:r>
          </w:p>
        </w:tc>
      </w:tr>
      <w:tr w:rsidR="006578ED" w14:paraId="12EA9356" w14:textId="77777777">
        <w:trPr>
          <w:trHeight w:val="309"/>
        </w:trPr>
        <w:tc>
          <w:tcPr>
            <w:tcW w:w="709" w:type="dxa"/>
            <w:shd w:val="clear" w:color="auto" w:fill="C6EFCE"/>
            <w:noWrap/>
          </w:tcPr>
          <w:p w14:paraId="3D5C510C" w14:textId="49A052F5" w:rsidR="006578ED" w:rsidRDefault="00A1618E">
            <w:pPr>
              <w:pStyle w:val="P68B1DB1-Normal13"/>
              <w:spacing w:after="0" w:line="240" w:lineRule="auto"/>
              <w:jc w:val="center"/>
              <w:rPr>
                <w:rFonts w:cs="Times New Roman"/>
                <w:noProof/>
              </w:rPr>
            </w:pPr>
            <w:r>
              <w:rPr>
                <w:noProof/>
              </w:rPr>
              <w:t>35</w:t>
            </w:r>
          </w:p>
        </w:tc>
        <w:tc>
          <w:tcPr>
            <w:tcW w:w="851" w:type="dxa"/>
            <w:shd w:val="clear" w:color="auto" w:fill="C6EFCE"/>
            <w:noWrap/>
          </w:tcPr>
          <w:p w14:paraId="6825C8B5" w14:textId="77777777" w:rsidR="006578ED" w:rsidRDefault="00A1618E">
            <w:pPr>
              <w:pStyle w:val="P68B1DB1-Normal13"/>
              <w:spacing w:after="0" w:line="240" w:lineRule="auto"/>
              <w:jc w:val="center"/>
              <w:rPr>
                <w:rFonts w:eastAsia="MS Mincho" w:cs="Times New Roman"/>
                <w:noProof/>
              </w:rPr>
            </w:pPr>
            <w:r>
              <w:rPr>
                <w:noProof/>
              </w:rPr>
              <w:t>C2.I4</w:t>
            </w:r>
          </w:p>
        </w:tc>
        <w:tc>
          <w:tcPr>
            <w:tcW w:w="850" w:type="dxa"/>
            <w:shd w:val="clear" w:color="auto" w:fill="C6EFCE"/>
            <w:noWrap/>
          </w:tcPr>
          <w:p w14:paraId="4A4CD420" w14:textId="39C71AAC" w:rsidR="006578ED" w:rsidRDefault="00AF6B91">
            <w:pPr>
              <w:pStyle w:val="P68B1DB1-Normal13"/>
              <w:spacing w:after="0" w:line="240" w:lineRule="auto"/>
              <w:jc w:val="center"/>
              <w:rPr>
                <w:rFonts w:cs="Times New Roman"/>
                <w:noProof/>
              </w:rPr>
            </w:pPr>
            <w:r>
              <w:rPr>
                <w:noProof/>
              </w:rPr>
              <w:t>Cel</w:t>
            </w:r>
          </w:p>
        </w:tc>
        <w:tc>
          <w:tcPr>
            <w:tcW w:w="1985" w:type="dxa"/>
            <w:shd w:val="clear" w:color="auto" w:fill="C6EFCE"/>
            <w:noWrap/>
          </w:tcPr>
          <w:p w14:paraId="50BECBC1" w14:textId="171CC162" w:rsidR="006578ED" w:rsidRDefault="00A1618E">
            <w:pPr>
              <w:pStyle w:val="P68B1DB1-Normal13"/>
              <w:spacing w:after="0" w:line="240" w:lineRule="auto"/>
              <w:rPr>
                <w:rFonts w:cs="Times New Roman"/>
                <w:noProof/>
              </w:rPr>
            </w:pPr>
            <w:r>
              <w:rPr>
                <w:noProof/>
              </w:rPr>
              <w:t xml:space="preserve">Projekty w zakresie czystej energii w gminach liczących mniej niż 5000 mieszkańców </w:t>
            </w:r>
          </w:p>
        </w:tc>
        <w:tc>
          <w:tcPr>
            <w:tcW w:w="1134" w:type="dxa"/>
            <w:shd w:val="clear" w:color="auto" w:fill="C6EFCE"/>
            <w:noWrap/>
          </w:tcPr>
          <w:p w14:paraId="12673AC1"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460C58E8" w14:textId="77777777" w:rsidR="006578ED" w:rsidRDefault="00A1618E">
            <w:pPr>
              <w:pStyle w:val="P68B1DB1-Normal13"/>
              <w:spacing w:after="0" w:line="240" w:lineRule="auto"/>
              <w:jc w:val="right"/>
              <w:rPr>
                <w:rFonts w:eastAsia="MS Mincho" w:cs="Times New Roman"/>
                <w:noProof/>
              </w:rPr>
            </w:pPr>
            <w:r>
              <w:rPr>
                <w:noProof/>
              </w:rPr>
              <w:t>Liczba</w:t>
            </w:r>
          </w:p>
        </w:tc>
        <w:tc>
          <w:tcPr>
            <w:tcW w:w="709" w:type="dxa"/>
            <w:shd w:val="clear" w:color="auto" w:fill="C6EFCE"/>
            <w:noWrap/>
          </w:tcPr>
          <w:p w14:paraId="132FFD68" w14:textId="77777777" w:rsidR="006578ED" w:rsidRDefault="00A1618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78F5FD09" w14:textId="7067A379" w:rsidR="006578ED" w:rsidRDefault="00A1618E">
            <w:pPr>
              <w:pStyle w:val="P68B1DB1-Normal13"/>
              <w:spacing w:after="0" w:line="240" w:lineRule="auto"/>
              <w:jc w:val="right"/>
              <w:rPr>
                <w:rFonts w:eastAsia="MS Mincho" w:cs="Times New Roman"/>
                <w:noProof/>
              </w:rPr>
            </w:pPr>
            <w:r>
              <w:rPr>
                <w:noProof/>
              </w:rPr>
              <w:t>500</w:t>
            </w:r>
          </w:p>
        </w:tc>
        <w:tc>
          <w:tcPr>
            <w:tcW w:w="425" w:type="dxa"/>
            <w:shd w:val="clear" w:color="auto" w:fill="C6EFCE"/>
            <w:noWrap/>
          </w:tcPr>
          <w:p w14:paraId="4472FA99" w14:textId="5B478CA2"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19A3A52D" w14:textId="77777777" w:rsidR="006578ED" w:rsidRDefault="00A1618E">
            <w:pPr>
              <w:pStyle w:val="P68B1DB1-Normal13"/>
              <w:spacing w:after="0" w:line="240" w:lineRule="auto"/>
              <w:jc w:val="center"/>
              <w:rPr>
                <w:rFonts w:cs="Times New Roman"/>
                <w:noProof/>
              </w:rPr>
            </w:pPr>
            <w:r>
              <w:rPr>
                <w:noProof/>
              </w:rPr>
              <w:t>2026</w:t>
            </w:r>
          </w:p>
        </w:tc>
        <w:tc>
          <w:tcPr>
            <w:tcW w:w="6379" w:type="dxa"/>
            <w:shd w:val="clear" w:color="auto" w:fill="C6EFCE"/>
            <w:noWrap/>
          </w:tcPr>
          <w:p w14:paraId="2E73E388" w14:textId="5C63347D" w:rsidR="006578ED" w:rsidRDefault="00A1618E">
            <w:pPr>
              <w:pStyle w:val="P68B1DB1-Normal8"/>
              <w:spacing w:after="0" w:line="240" w:lineRule="auto"/>
              <w:rPr>
                <w:rFonts w:cs="Times New Roman"/>
                <w:noProof/>
                <w:sz w:val="18"/>
              </w:rPr>
            </w:pPr>
            <w:r>
              <w:rPr>
                <w:noProof/>
                <w:sz w:val="18"/>
              </w:rPr>
              <w:t>Na szczeblu lokalnym zrealizowano co najmniej 500 unikalnych projektów w zakresie czystej energii w gminach liczących mniej niż 5000 mieszkańców. Cechy: Projekty, w tym projekty przyznane w drodze przetargów konkurencyjnych lub inwestycji władz lokalnych, w ramach wyboru lub połączenia następujących elementów:</w:t>
            </w:r>
            <w:r>
              <w:rPr>
                <w:noProof/>
              </w:rPr>
              <w:br/>
            </w:r>
            <w:r>
              <w:rPr>
                <w:noProof/>
                <w:sz w:val="18"/>
              </w:rPr>
              <w:t>Instalacja energii elektrycznej lub ogrzewania i chłodzenia ze źródeł odnawialnych w budynkach lub infrastrukturze publicznej (w tym co najmniej 80 % konsumpcji własnej). Może obejmować systemy ciepłownicze/chłodnicze.</w:t>
            </w:r>
            <w:r>
              <w:rPr>
                <w:noProof/>
              </w:rPr>
              <w:br/>
            </w:r>
            <w:r>
              <w:rPr>
                <w:noProof/>
                <w:sz w:val="18"/>
              </w:rPr>
              <w:t>Renowacja energetyczna budynków publicznych lub infrastruktury publicznej (osiągnięcie co najmniej 30 % oszczędności energii pierwotnej)</w:t>
            </w:r>
            <w:r>
              <w:rPr>
                <w:noProof/>
              </w:rPr>
              <w:br/>
              <w:t xml:space="preserve"> </w:t>
            </w:r>
            <w:r>
              <w:rPr>
                <w:noProof/>
                <w:sz w:val="18"/>
              </w:rPr>
              <w:t>Mobilność zgodna z zasadami zrównoważonego rozwoju (projekty dotyczące przesunięcia międzygałęziowego lub elektromobilności)</w:t>
            </w:r>
            <w:r>
              <w:rPr>
                <w:noProof/>
              </w:rPr>
              <w:br/>
              <w:t xml:space="preserve"> </w:t>
            </w:r>
            <w:r>
              <w:rPr>
                <w:noProof/>
                <w:sz w:val="18"/>
              </w:rPr>
              <w:t>Zmniejszenie zanieczyszczenia świetlnego dzięki lepszemu oświetleniu publicznemu</w:t>
            </w:r>
            <w:r>
              <w:rPr>
                <w:noProof/>
              </w:rPr>
              <w:br/>
              <w:t xml:space="preserve"> </w:t>
            </w:r>
            <w:r>
              <w:rPr>
                <w:noProof/>
                <w:sz w:val="18"/>
              </w:rPr>
              <w:t>Lokalne społeczności energetyczne lub inne projekty prowadzone przez społeczność w tych gminach.</w:t>
            </w:r>
          </w:p>
        </w:tc>
      </w:tr>
      <w:tr w:rsidR="006578ED" w14:paraId="3A2C5FAB" w14:textId="77777777">
        <w:trPr>
          <w:trHeight w:val="309"/>
        </w:trPr>
        <w:tc>
          <w:tcPr>
            <w:tcW w:w="709" w:type="dxa"/>
            <w:shd w:val="clear" w:color="auto" w:fill="C6EFCE"/>
            <w:noWrap/>
          </w:tcPr>
          <w:p w14:paraId="5AFB958C" w14:textId="77777777" w:rsidR="006578ED" w:rsidRDefault="00A1618E">
            <w:pPr>
              <w:pStyle w:val="P68B1DB1-Normal13"/>
              <w:spacing w:after="0" w:line="240" w:lineRule="auto"/>
              <w:jc w:val="center"/>
              <w:rPr>
                <w:rFonts w:cs="Times New Roman"/>
                <w:noProof/>
              </w:rPr>
            </w:pPr>
            <w:r>
              <w:rPr>
                <w:noProof/>
              </w:rPr>
              <w:t>36</w:t>
            </w:r>
          </w:p>
        </w:tc>
        <w:tc>
          <w:tcPr>
            <w:tcW w:w="851" w:type="dxa"/>
            <w:shd w:val="clear" w:color="auto" w:fill="C6EFCE"/>
            <w:noWrap/>
          </w:tcPr>
          <w:p w14:paraId="1231534C" w14:textId="77777777" w:rsidR="006578ED" w:rsidRDefault="00A1618E">
            <w:pPr>
              <w:pStyle w:val="P68B1DB1-Normal13"/>
              <w:spacing w:after="0" w:line="240" w:lineRule="auto"/>
              <w:jc w:val="center"/>
              <w:rPr>
                <w:rFonts w:eastAsia="MS Mincho" w:cs="Times New Roman"/>
                <w:noProof/>
              </w:rPr>
            </w:pPr>
            <w:r>
              <w:rPr>
                <w:noProof/>
              </w:rPr>
              <w:t>C2.I5</w:t>
            </w:r>
          </w:p>
        </w:tc>
        <w:tc>
          <w:tcPr>
            <w:tcW w:w="850" w:type="dxa"/>
            <w:shd w:val="clear" w:color="auto" w:fill="C6EFCE"/>
            <w:noWrap/>
          </w:tcPr>
          <w:p w14:paraId="037FADB2" w14:textId="2FE9E42C" w:rsidR="006578ED" w:rsidRDefault="00AF6B91">
            <w:pPr>
              <w:pStyle w:val="P68B1DB1-Normal13"/>
              <w:spacing w:after="0" w:line="240" w:lineRule="auto"/>
              <w:jc w:val="center"/>
              <w:rPr>
                <w:rFonts w:cs="Times New Roman"/>
                <w:noProof/>
              </w:rPr>
            </w:pPr>
            <w:r>
              <w:rPr>
                <w:noProof/>
              </w:rPr>
              <w:t>Cel</w:t>
            </w:r>
          </w:p>
        </w:tc>
        <w:tc>
          <w:tcPr>
            <w:tcW w:w="1985" w:type="dxa"/>
            <w:shd w:val="clear" w:color="auto" w:fill="C6EFCE"/>
            <w:noWrap/>
          </w:tcPr>
          <w:p w14:paraId="5D69E038" w14:textId="67137B3E" w:rsidR="006578ED" w:rsidRDefault="00A1618E">
            <w:pPr>
              <w:pStyle w:val="P68B1DB1-Normal13"/>
              <w:spacing w:after="0" w:line="240" w:lineRule="auto"/>
              <w:rPr>
                <w:rFonts w:cs="Times New Roman"/>
                <w:noProof/>
              </w:rPr>
            </w:pPr>
            <w:r>
              <w:rPr>
                <w:noProof/>
              </w:rPr>
              <w:t>Ukończenie renowacji budynków publicznych w celu zmniejszenia zapotrzebowania na energię pierwotną średnio o co najmniej 30 % (co najmniej 290 000 m 2</w:t>
            </w:r>
            <w:r>
              <w:rPr>
                <w:noProof/>
                <w:vertAlign w:val="superscript"/>
              </w:rPr>
              <w:t>)</w:t>
            </w:r>
          </w:p>
        </w:tc>
        <w:tc>
          <w:tcPr>
            <w:tcW w:w="1134" w:type="dxa"/>
            <w:shd w:val="clear" w:color="auto" w:fill="C6EFCE"/>
            <w:noWrap/>
          </w:tcPr>
          <w:p w14:paraId="2C6BD880"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75E17FED" w14:textId="77777777" w:rsidR="006578ED" w:rsidRDefault="00A1618E">
            <w:pPr>
              <w:pStyle w:val="P68B1DB1-Normal13"/>
              <w:spacing w:after="0" w:line="240" w:lineRule="auto"/>
              <w:jc w:val="right"/>
              <w:rPr>
                <w:rFonts w:eastAsia="MS Mincho" w:cs="Times New Roman"/>
                <w:noProof/>
              </w:rPr>
            </w:pPr>
            <w:r>
              <w:rPr>
                <w:noProof/>
              </w:rPr>
              <w:t>Liczba (m</w:t>
            </w:r>
            <w:r>
              <w:rPr>
                <w:noProof/>
                <w:vertAlign w:val="superscript"/>
              </w:rPr>
              <w:t>2</w:t>
            </w:r>
            <w:r>
              <w:rPr>
                <w:noProof/>
              </w:rPr>
              <w:t>)</w:t>
            </w:r>
          </w:p>
        </w:tc>
        <w:tc>
          <w:tcPr>
            <w:tcW w:w="709" w:type="dxa"/>
            <w:shd w:val="clear" w:color="auto" w:fill="C6EFCE"/>
            <w:noWrap/>
          </w:tcPr>
          <w:p w14:paraId="6F6BB521" w14:textId="77777777" w:rsidR="006578ED" w:rsidRDefault="00A1618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1EEB8F88" w14:textId="77777777" w:rsidR="006578ED" w:rsidRDefault="00A1618E">
            <w:pPr>
              <w:pStyle w:val="P68B1DB1-Normal13"/>
              <w:spacing w:after="0" w:line="240" w:lineRule="auto"/>
              <w:jc w:val="right"/>
              <w:rPr>
                <w:rFonts w:eastAsia="MS Mincho" w:cs="Times New Roman"/>
                <w:noProof/>
              </w:rPr>
            </w:pPr>
            <w:r>
              <w:rPr>
                <w:noProof/>
              </w:rPr>
              <w:t>290 000</w:t>
            </w:r>
          </w:p>
        </w:tc>
        <w:tc>
          <w:tcPr>
            <w:tcW w:w="425" w:type="dxa"/>
            <w:shd w:val="clear" w:color="auto" w:fill="C6EFCE"/>
            <w:noWrap/>
          </w:tcPr>
          <w:p w14:paraId="104A8A9A" w14:textId="6FDDD694"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7EEB8710" w14:textId="77777777" w:rsidR="006578ED" w:rsidRDefault="00A1618E">
            <w:pPr>
              <w:pStyle w:val="P68B1DB1-Normal13"/>
              <w:spacing w:after="0" w:line="240" w:lineRule="auto"/>
              <w:jc w:val="center"/>
              <w:rPr>
                <w:rFonts w:cs="Times New Roman"/>
                <w:noProof/>
              </w:rPr>
            </w:pPr>
            <w:r>
              <w:rPr>
                <w:noProof/>
              </w:rPr>
              <w:t>2024</w:t>
            </w:r>
          </w:p>
        </w:tc>
        <w:tc>
          <w:tcPr>
            <w:tcW w:w="6379" w:type="dxa"/>
            <w:shd w:val="clear" w:color="auto" w:fill="C6EFCE"/>
            <w:noWrap/>
          </w:tcPr>
          <w:p w14:paraId="74BABF0F" w14:textId="51AF35B1" w:rsidR="006578ED" w:rsidRDefault="00A1618E">
            <w:pPr>
              <w:pStyle w:val="P68B1DB1-Normal13"/>
              <w:spacing w:after="0" w:line="240" w:lineRule="auto"/>
              <w:rPr>
                <w:rFonts w:cs="Times New Roman"/>
                <w:noProof/>
              </w:rPr>
            </w:pPr>
            <w:r>
              <w:rPr>
                <w:noProof/>
              </w:rPr>
              <w:t>Co najmniej 290 000 m 2</w:t>
            </w:r>
            <w:r>
              <w:rPr>
                <w:noProof/>
                <w:vertAlign w:val="superscript"/>
              </w:rPr>
              <w:t>(</w:t>
            </w:r>
            <w:r>
              <w:rPr>
                <w:noProof/>
              </w:rPr>
              <w:t>skumulowane) budynki publiczne poddane renowacji, osiągające średnio co najmniej 30 % redukcję zapotrzebowania na energię pierwotną. Weryfikacja świadectw zakończenia robót lub zaświadczenia o odbiorze robót (Wspólnoty Autonomiczne) lub dokumentów uzupełniających z każdej gminy otrzymującej, zgodnie z </w:t>
            </w:r>
            <w:r w:rsidRPr="00A1618E">
              <w:rPr>
                <w:noProof/>
                <w:lang w:val="pl-PL"/>
              </w:rPr>
              <w:t>art. 3</w:t>
            </w:r>
            <w:r>
              <w:rPr>
                <w:noProof/>
              </w:rPr>
              <w:t xml:space="preserve">0 ustawy o dotacjach (38/2003), jest weryfikowana po zakończeniu projektu (eell). W celu uzasadnienia zgodności z uzyskaną oszczędnością energii wymagana jest certyfikacja energetyczna ukończonych robót i zagregowana w celu potwierdzenia średniej uzyskanej oszczędności energii. </w:t>
            </w:r>
          </w:p>
        </w:tc>
      </w:tr>
      <w:tr w:rsidR="006578ED" w14:paraId="1E15E109" w14:textId="77777777">
        <w:trPr>
          <w:trHeight w:val="309"/>
        </w:trPr>
        <w:tc>
          <w:tcPr>
            <w:tcW w:w="709" w:type="dxa"/>
            <w:shd w:val="clear" w:color="auto" w:fill="C6EFCE"/>
            <w:noWrap/>
          </w:tcPr>
          <w:p w14:paraId="0903FD93" w14:textId="77777777" w:rsidR="006578ED" w:rsidRDefault="00A1618E">
            <w:pPr>
              <w:pStyle w:val="P68B1DB1-Normal13"/>
              <w:spacing w:after="0" w:line="240" w:lineRule="auto"/>
              <w:jc w:val="center"/>
              <w:rPr>
                <w:rFonts w:cs="Times New Roman"/>
                <w:noProof/>
              </w:rPr>
            </w:pPr>
            <w:r>
              <w:rPr>
                <w:noProof/>
              </w:rPr>
              <w:t>37</w:t>
            </w:r>
          </w:p>
        </w:tc>
        <w:tc>
          <w:tcPr>
            <w:tcW w:w="851" w:type="dxa"/>
            <w:shd w:val="clear" w:color="auto" w:fill="C6EFCE"/>
            <w:noWrap/>
          </w:tcPr>
          <w:p w14:paraId="5377F766" w14:textId="77777777" w:rsidR="006578ED" w:rsidRDefault="00A1618E">
            <w:pPr>
              <w:pStyle w:val="P68B1DB1-Normal13"/>
              <w:spacing w:after="0" w:line="240" w:lineRule="auto"/>
              <w:jc w:val="center"/>
              <w:rPr>
                <w:rFonts w:eastAsia="MS Mincho" w:cs="Times New Roman"/>
                <w:noProof/>
              </w:rPr>
            </w:pPr>
            <w:r>
              <w:rPr>
                <w:noProof/>
              </w:rPr>
              <w:t>C2.I5</w:t>
            </w:r>
          </w:p>
        </w:tc>
        <w:tc>
          <w:tcPr>
            <w:tcW w:w="850" w:type="dxa"/>
            <w:shd w:val="clear" w:color="auto" w:fill="C6EFCE"/>
            <w:noWrap/>
          </w:tcPr>
          <w:p w14:paraId="36F6B0F4" w14:textId="4A56AAFC" w:rsidR="006578ED" w:rsidRDefault="00AF6B91">
            <w:pPr>
              <w:pStyle w:val="P68B1DB1-Normal13"/>
              <w:spacing w:after="0" w:line="240" w:lineRule="auto"/>
              <w:jc w:val="center"/>
              <w:rPr>
                <w:rFonts w:cs="Times New Roman"/>
                <w:noProof/>
              </w:rPr>
            </w:pPr>
            <w:r>
              <w:rPr>
                <w:noProof/>
              </w:rPr>
              <w:t>Cel</w:t>
            </w:r>
          </w:p>
        </w:tc>
        <w:tc>
          <w:tcPr>
            <w:tcW w:w="1985" w:type="dxa"/>
            <w:shd w:val="clear" w:color="auto" w:fill="C6EFCE"/>
            <w:noWrap/>
          </w:tcPr>
          <w:p w14:paraId="61D8F5E6" w14:textId="5076D444" w:rsidR="006578ED" w:rsidRDefault="00A1618E">
            <w:pPr>
              <w:pStyle w:val="P68B1DB1-Normal13"/>
              <w:spacing w:after="0" w:line="240" w:lineRule="auto"/>
              <w:rPr>
                <w:rFonts w:cs="Times New Roman"/>
                <w:noProof/>
              </w:rPr>
            </w:pPr>
            <w:r>
              <w:rPr>
                <w:noProof/>
              </w:rPr>
              <w:t xml:space="preserve">Ukończenie renowacji budynków publicznych w celu zmniejszenia zapotrzebowania na energię pierwotną średnio o co najmniej 30 % (co najmniej 1 230 000 m 2) </w:t>
            </w:r>
          </w:p>
        </w:tc>
        <w:tc>
          <w:tcPr>
            <w:tcW w:w="1134" w:type="dxa"/>
            <w:shd w:val="clear" w:color="auto" w:fill="C6EFCE"/>
            <w:noWrap/>
          </w:tcPr>
          <w:p w14:paraId="5561E1DE"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6ECAC681" w14:textId="77777777" w:rsidR="006578ED" w:rsidRDefault="00A1618E">
            <w:pPr>
              <w:pStyle w:val="P68B1DB1-Normal13"/>
              <w:spacing w:after="0" w:line="240" w:lineRule="auto"/>
              <w:jc w:val="right"/>
              <w:rPr>
                <w:rFonts w:eastAsia="MS Mincho" w:cs="Times New Roman"/>
                <w:noProof/>
              </w:rPr>
            </w:pPr>
            <w:r>
              <w:rPr>
                <w:noProof/>
              </w:rPr>
              <w:t>Liczba (m</w:t>
            </w:r>
            <w:r>
              <w:rPr>
                <w:noProof/>
                <w:vertAlign w:val="superscript"/>
              </w:rPr>
              <w:t>2</w:t>
            </w:r>
            <w:r>
              <w:rPr>
                <w:noProof/>
              </w:rPr>
              <w:t>)</w:t>
            </w:r>
          </w:p>
        </w:tc>
        <w:tc>
          <w:tcPr>
            <w:tcW w:w="709" w:type="dxa"/>
            <w:shd w:val="clear" w:color="auto" w:fill="C6EFCE"/>
            <w:noWrap/>
          </w:tcPr>
          <w:p w14:paraId="4043743D" w14:textId="77777777" w:rsidR="006578ED" w:rsidRDefault="00A1618E">
            <w:pPr>
              <w:pStyle w:val="P68B1DB1-Normal13"/>
              <w:spacing w:after="0" w:line="240" w:lineRule="auto"/>
              <w:jc w:val="right"/>
              <w:rPr>
                <w:rFonts w:eastAsia="MS Mincho" w:cs="Times New Roman"/>
                <w:noProof/>
              </w:rPr>
            </w:pPr>
            <w:r>
              <w:rPr>
                <w:noProof/>
              </w:rPr>
              <w:t>290 000</w:t>
            </w:r>
          </w:p>
        </w:tc>
        <w:tc>
          <w:tcPr>
            <w:tcW w:w="851" w:type="dxa"/>
            <w:shd w:val="clear" w:color="auto" w:fill="C6EFCE"/>
            <w:noWrap/>
          </w:tcPr>
          <w:p w14:paraId="7E87C33F" w14:textId="77777777" w:rsidR="006578ED" w:rsidRDefault="00A1618E">
            <w:pPr>
              <w:pStyle w:val="P68B1DB1-Normal13"/>
              <w:spacing w:after="0" w:line="240" w:lineRule="auto"/>
              <w:jc w:val="right"/>
              <w:rPr>
                <w:rFonts w:eastAsia="MS Mincho" w:cs="Times New Roman"/>
                <w:noProof/>
              </w:rPr>
            </w:pPr>
            <w:r>
              <w:rPr>
                <w:noProof/>
              </w:rPr>
              <w:t>1 230 000</w:t>
            </w:r>
          </w:p>
        </w:tc>
        <w:tc>
          <w:tcPr>
            <w:tcW w:w="425" w:type="dxa"/>
            <w:shd w:val="clear" w:color="auto" w:fill="C6EFCE"/>
            <w:noWrap/>
          </w:tcPr>
          <w:p w14:paraId="3F4224B7" w14:textId="71B36A3A"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38F8FD95" w14:textId="77777777" w:rsidR="006578ED" w:rsidRDefault="00A1618E">
            <w:pPr>
              <w:pStyle w:val="P68B1DB1-Normal13"/>
              <w:spacing w:after="0" w:line="240" w:lineRule="auto"/>
              <w:jc w:val="center"/>
              <w:rPr>
                <w:rFonts w:cs="Times New Roman"/>
                <w:noProof/>
              </w:rPr>
            </w:pPr>
            <w:r>
              <w:rPr>
                <w:noProof/>
              </w:rPr>
              <w:t>2026</w:t>
            </w:r>
          </w:p>
        </w:tc>
        <w:tc>
          <w:tcPr>
            <w:tcW w:w="6379" w:type="dxa"/>
            <w:shd w:val="clear" w:color="auto" w:fill="C6EFCE"/>
            <w:noWrap/>
          </w:tcPr>
          <w:p w14:paraId="617E4098" w14:textId="55AE60C6" w:rsidR="006578ED" w:rsidRDefault="00A1618E">
            <w:pPr>
              <w:pStyle w:val="P68B1DB1-Normal13"/>
              <w:spacing w:after="0" w:line="240" w:lineRule="auto"/>
              <w:rPr>
                <w:rFonts w:cs="Times New Roman"/>
                <w:noProof/>
              </w:rPr>
            </w:pPr>
            <w:r>
              <w:rPr>
                <w:noProof/>
              </w:rPr>
              <w:t>Co najmniej 1 230 000 m 2 (</w:t>
            </w:r>
            <w:r>
              <w:rPr>
                <w:noProof/>
                <w:vertAlign w:val="superscript"/>
              </w:rPr>
              <w:t>skumulowane</w:t>
            </w:r>
            <w:r>
              <w:rPr>
                <w:noProof/>
              </w:rPr>
              <w:t>) budynki publiczne poddane renowacji, osiągające średnio co najmniej 30 % redukcję zapotrzebowania na energię pierwotną. Weryfikacja świadectw zakończenia robót lub zaświadczenia o odbiorze robót (Wspólnoty Autonomiczne) lub dokumentów uzupełniających z każdej gminy otrzymującej, zgodnie z </w:t>
            </w:r>
            <w:r w:rsidRPr="00A1618E">
              <w:rPr>
                <w:noProof/>
                <w:lang w:val="pl-PL"/>
              </w:rPr>
              <w:t>art. 3</w:t>
            </w:r>
            <w:r>
              <w:rPr>
                <w:noProof/>
              </w:rPr>
              <w:t>0 ustawy o dotacjach (38/2003), jest weryfikowana po zakończeniu projektu (eell). W celu uzasadnienia zgodności z uzyskaną oszczędnością energii wymagana jest certyfikacja energetyczna ukończonych robót i zagregowana w celu potwierdzenia średniej uzyskanej oszczędności energii. (Podstawa: 31 grudnia 20</w:t>
            </w:r>
            <w:r w:rsidRPr="00A1618E">
              <w:rPr>
                <w:noProof/>
                <w:lang w:val="pl-PL"/>
              </w:rPr>
              <w:t>24 r.</w:t>
            </w:r>
            <w:r>
              <w:rPr>
                <w:noProof/>
              </w:rPr>
              <w:t xml:space="preserve">) </w:t>
            </w:r>
          </w:p>
        </w:tc>
      </w:tr>
      <w:tr w:rsidR="006578ED" w14:paraId="7B61CA55" w14:textId="77777777">
        <w:trPr>
          <w:trHeight w:val="309"/>
        </w:trPr>
        <w:tc>
          <w:tcPr>
            <w:tcW w:w="709" w:type="dxa"/>
            <w:shd w:val="clear" w:color="auto" w:fill="C6EFCE"/>
            <w:noWrap/>
          </w:tcPr>
          <w:p w14:paraId="0CD124DB" w14:textId="77777777" w:rsidR="006578ED" w:rsidRDefault="00A1618E">
            <w:pPr>
              <w:pStyle w:val="P68B1DB1-Normal13"/>
              <w:spacing w:after="0" w:line="240" w:lineRule="auto"/>
              <w:jc w:val="center"/>
              <w:rPr>
                <w:rFonts w:cs="Times New Roman"/>
                <w:noProof/>
              </w:rPr>
            </w:pPr>
            <w:r>
              <w:rPr>
                <w:noProof/>
              </w:rPr>
              <w:t>38</w:t>
            </w:r>
          </w:p>
        </w:tc>
        <w:tc>
          <w:tcPr>
            <w:tcW w:w="851" w:type="dxa"/>
            <w:shd w:val="clear" w:color="auto" w:fill="C6EFCE"/>
            <w:noWrap/>
          </w:tcPr>
          <w:p w14:paraId="44F83E1B" w14:textId="77777777" w:rsidR="006578ED" w:rsidRDefault="00A1618E">
            <w:pPr>
              <w:pStyle w:val="P68B1DB1-Normal13"/>
              <w:spacing w:after="0" w:line="240" w:lineRule="auto"/>
              <w:jc w:val="center"/>
              <w:rPr>
                <w:rFonts w:eastAsia="MS Mincho" w:cs="Times New Roman"/>
                <w:noProof/>
              </w:rPr>
            </w:pPr>
            <w:r>
              <w:rPr>
                <w:noProof/>
              </w:rPr>
              <w:t>C2.I6</w:t>
            </w:r>
          </w:p>
        </w:tc>
        <w:tc>
          <w:tcPr>
            <w:tcW w:w="850" w:type="dxa"/>
            <w:shd w:val="clear" w:color="auto" w:fill="C6EFCE"/>
            <w:noWrap/>
          </w:tcPr>
          <w:p w14:paraId="2FE7BF0B" w14:textId="5FD252EA" w:rsidR="006578ED" w:rsidRDefault="00AF6B91">
            <w:pPr>
              <w:pStyle w:val="P68B1DB1-Normal13"/>
              <w:spacing w:after="0" w:line="240" w:lineRule="auto"/>
              <w:jc w:val="center"/>
              <w:rPr>
                <w:rFonts w:cs="Times New Roman"/>
                <w:noProof/>
              </w:rPr>
            </w:pPr>
            <w:r>
              <w:rPr>
                <w:noProof/>
              </w:rPr>
              <w:t>Cel</w:t>
            </w:r>
          </w:p>
        </w:tc>
        <w:tc>
          <w:tcPr>
            <w:tcW w:w="1985" w:type="dxa"/>
            <w:shd w:val="clear" w:color="auto" w:fill="C6EFCE"/>
            <w:noWrap/>
          </w:tcPr>
          <w:p w14:paraId="13CD28E4" w14:textId="0557BB2B" w:rsidR="006578ED" w:rsidRDefault="00A1618E">
            <w:pPr>
              <w:pStyle w:val="P68B1DB1-Normal13"/>
              <w:spacing w:after="0" w:line="240" w:lineRule="auto"/>
              <w:rPr>
                <w:rFonts w:cs="Times New Roman"/>
                <w:noProof/>
              </w:rPr>
            </w:pPr>
            <w:r>
              <w:rPr>
                <w:noProof/>
              </w:rPr>
              <w:t xml:space="preserve">Plany działania w ramach hiszpańskiej agendy miejskiej </w:t>
            </w:r>
          </w:p>
        </w:tc>
        <w:tc>
          <w:tcPr>
            <w:tcW w:w="1134" w:type="dxa"/>
            <w:shd w:val="clear" w:color="auto" w:fill="C6EFCE"/>
            <w:noWrap/>
          </w:tcPr>
          <w:p w14:paraId="48D3F40D"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42087AF3" w14:textId="77777777" w:rsidR="006578ED" w:rsidRDefault="00A1618E">
            <w:pPr>
              <w:pStyle w:val="P68B1DB1-Normal13"/>
              <w:spacing w:after="0" w:line="240" w:lineRule="auto"/>
              <w:jc w:val="right"/>
              <w:rPr>
                <w:rFonts w:eastAsia="MS Mincho" w:cs="Times New Roman"/>
                <w:noProof/>
              </w:rPr>
            </w:pPr>
            <w:r>
              <w:rPr>
                <w:noProof/>
              </w:rPr>
              <w:t>Liczba</w:t>
            </w:r>
          </w:p>
        </w:tc>
        <w:tc>
          <w:tcPr>
            <w:tcW w:w="709" w:type="dxa"/>
            <w:shd w:val="clear" w:color="auto" w:fill="C6EFCE"/>
            <w:noWrap/>
          </w:tcPr>
          <w:p w14:paraId="53AF8648" w14:textId="77777777" w:rsidR="006578ED" w:rsidRDefault="00A1618E">
            <w:pPr>
              <w:pStyle w:val="P68B1DB1-Normal13"/>
              <w:spacing w:after="0" w:line="240" w:lineRule="auto"/>
              <w:jc w:val="right"/>
              <w:rPr>
                <w:rFonts w:eastAsia="MS Mincho" w:cs="Times New Roman"/>
                <w:noProof/>
              </w:rPr>
            </w:pPr>
            <w:r>
              <w:rPr>
                <w:noProof/>
              </w:rPr>
              <w:t>0</w:t>
            </w:r>
          </w:p>
        </w:tc>
        <w:tc>
          <w:tcPr>
            <w:tcW w:w="851" w:type="dxa"/>
            <w:shd w:val="clear" w:color="auto" w:fill="C6EFCE"/>
            <w:noWrap/>
          </w:tcPr>
          <w:p w14:paraId="0CCF700D" w14:textId="77777777" w:rsidR="006578ED" w:rsidRDefault="00A1618E">
            <w:pPr>
              <w:pStyle w:val="P68B1DB1-Normal13"/>
              <w:spacing w:after="0" w:line="240" w:lineRule="auto"/>
              <w:jc w:val="right"/>
              <w:rPr>
                <w:rFonts w:eastAsia="MS Mincho" w:cs="Times New Roman"/>
                <w:noProof/>
              </w:rPr>
            </w:pPr>
            <w:r>
              <w:rPr>
                <w:noProof/>
              </w:rPr>
              <w:t>100</w:t>
            </w:r>
          </w:p>
        </w:tc>
        <w:tc>
          <w:tcPr>
            <w:tcW w:w="425" w:type="dxa"/>
            <w:shd w:val="clear" w:color="auto" w:fill="C6EFCE"/>
            <w:noWrap/>
          </w:tcPr>
          <w:p w14:paraId="68967742" w14:textId="77FD9D2D"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76F3685A" w14:textId="77777777" w:rsidR="006578ED" w:rsidRDefault="00A1618E">
            <w:pPr>
              <w:pStyle w:val="P68B1DB1-Normal13"/>
              <w:spacing w:after="0" w:line="240" w:lineRule="auto"/>
              <w:jc w:val="center"/>
              <w:rPr>
                <w:rFonts w:cs="Times New Roman"/>
                <w:noProof/>
              </w:rPr>
            </w:pPr>
            <w:r>
              <w:rPr>
                <w:noProof/>
              </w:rPr>
              <w:t>2022</w:t>
            </w:r>
          </w:p>
        </w:tc>
        <w:tc>
          <w:tcPr>
            <w:tcW w:w="6379" w:type="dxa"/>
            <w:shd w:val="clear" w:color="auto" w:fill="C6EFCE"/>
            <w:noWrap/>
          </w:tcPr>
          <w:p w14:paraId="4B38E9F2" w14:textId="033EC37B" w:rsidR="006578ED" w:rsidRDefault="00A1618E">
            <w:pPr>
              <w:pStyle w:val="P68B1DB1-Normal13"/>
              <w:spacing w:after="0" w:line="240" w:lineRule="auto"/>
              <w:rPr>
                <w:rFonts w:cs="Times New Roman"/>
                <w:noProof/>
              </w:rPr>
            </w:pPr>
            <w:r>
              <w:rPr>
                <w:noProof/>
              </w:rPr>
              <w:t xml:space="preserve">Co najmniej 100 gmin zatwierdza swój lokalny plan działania (strategia miejska) i wyposażony w kryteria określone w hiszpańskiej agendzie miejskiej, obejmujące ocenę i kierunki działań zgodnie z jej dziesięcioma celami strategicznymi. </w:t>
            </w:r>
          </w:p>
        </w:tc>
      </w:tr>
    </w:tbl>
    <w:p w14:paraId="4BCF813A" w14:textId="77777777" w:rsidR="006578ED" w:rsidRDefault="006578ED">
      <w:pPr>
        <w:spacing w:before="120" w:after="120" w:line="240" w:lineRule="auto"/>
        <w:jc w:val="both"/>
        <w:rPr>
          <w:rFonts w:ascii="Times New Roman" w:hAnsi="Times New Roman" w:cs="Times New Roman"/>
          <w:noProof/>
          <w:sz w:val="24"/>
        </w:rPr>
      </w:pPr>
    </w:p>
    <w:p w14:paraId="1E57B6E2" w14:textId="77777777" w:rsidR="006578ED" w:rsidRDefault="006578ED">
      <w:pPr>
        <w:rPr>
          <w:rFonts w:ascii="Times New Roman" w:hAnsi="Times New Roman" w:cs="Times New Roman"/>
          <w:noProof/>
        </w:rPr>
        <w:sectPr w:rsidR="006578ED" w:rsidSect="004F0858">
          <w:headerReference w:type="even" r:id="rId48"/>
          <w:headerReference w:type="default" r:id="rId49"/>
          <w:footerReference w:type="even" r:id="rId50"/>
          <w:footerReference w:type="default" r:id="rId51"/>
          <w:headerReference w:type="first" r:id="rId52"/>
          <w:footerReference w:type="first" r:id="rId53"/>
          <w:pgSz w:w="16839" w:h="11907" w:orient="landscape"/>
          <w:pgMar w:top="1417" w:right="1134" w:bottom="1417" w:left="1134" w:header="709" w:footer="709" w:gutter="0"/>
          <w:cols w:space="720"/>
          <w:docGrid w:linePitch="360"/>
        </w:sectPr>
      </w:pPr>
    </w:p>
    <w:p w14:paraId="650C567F" w14:textId="4835D005" w:rsidR="006578ED" w:rsidRDefault="00A1618E">
      <w:pPr>
        <w:pStyle w:val="P68B1DB1-Normal5"/>
        <w:spacing w:before="120" w:after="120" w:line="240" w:lineRule="auto"/>
        <w:ind w:left="709"/>
        <w:jc w:val="both"/>
        <w:rPr>
          <w:rFonts w:cs="Times New Roman"/>
          <w:noProof/>
        </w:rPr>
      </w:pPr>
      <w:r>
        <w:rPr>
          <w:noProof/>
        </w:rPr>
        <w:t>B.3. Opis reform i inwestycji związanych z pożyczką</w:t>
      </w:r>
    </w:p>
    <w:p w14:paraId="0F6EF98C" w14:textId="30C1C5A9" w:rsidR="006578ED" w:rsidRDefault="00A1618E">
      <w:pPr>
        <w:pStyle w:val="P68B1DB1-Normal6"/>
        <w:spacing w:before="120" w:after="120" w:line="240" w:lineRule="auto"/>
        <w:rPr>
          <w:rFonts w:cs="Times New Roman"/>
          <w:noProof/>
        </w:rPr>
      </w:pPr>
      <w:r>
        <w:rPr>
          <w:noProof/>
        </w:rPr>
        <w:t xml:space="preserve">Reforma 7 (C2.R7) – </w:t>
      </w:r>
      <w:bookmarkStart w:id="4" w:name="_Hlk140249148"/>
      <w:r>
        <w:rPr>
          <w:noProof/>
        </w:rPr>
        <w:t>Program środków na rzecz promowania podaży mieszkań na wynajem</w:t>
      </w:r>
      <w:bookmarkEnd w:id="4"/>
    </w:p>
    <w:p w14:paraId="2F6825A9" w14:textId="5D0C483B" w:rsidR="006578ED" w:rsidRDefault="00A1618E">
      <w:pPr>
        <w:pStyle w:val="P68B1DB1-Normal4"/>
        <w:spacing w:before="120" w:after="120" w:line="240" w:lineRule="auto"/>
        <w:jc w:val="both"/>
        <w:rPr>
          <w:rFonts w:cs="Times New Roman"/>
          <w:noProof/>
        </w:rPr>
      </w:pPr>
      <w:r>
        <w:rPr>
          <w:noProof/>
        </w:rPr>
        <w:t xml:space="preserve">Celem tego środka jest wspieranie wzrostu podaży mieszkań na wynajem, zwłaszcza w zakresie socjalnych zasobów mieszkaniowych oraz w tych miastach, w których nastąpił większy wzrost cen. </w:t>
      </w:r>
    </w:p>
    <w:p w14:paraId="4E68BFB1" w14:textId="7EEAFAEE" w:rsidR="006578ED" w:rsidRDefault="00A1618E">
      <w:pPr>
        <w:pStyle w:val="P68B1DB1-Normal4"/>
        <w:spacing w:before="120" w:after="120" w:line="240" w:lineRule="auto"/>
        <w:rPr>
          <w:rFonts w:cs="Times New Roman"/>
          <w:noProof/>
        </w:rPr>
      </w:pPr>
      <w:r>
        <w:rPr>
          <w:noProof/>
        </w:rPr>
        <w:t xml:space="preserve">Aby rozwiązać tę kwestię, środek obejmuje: </w:t>
      </w:r>
    </w:p>
    <w:p w14:paraId="4AED4110" w14:textId="6E365F5F" w:rsidR="006578ED" w:rsidRDefault="00A1618E">
      <w:pPr>
        <w:pStyle w:val="P68B1DB1-ListParagraph7"/>
        <w:numPr>
          <w:ilvl w:val="0"/>
          <w:numId w:val="298"/>
        </w:numPr>
        <w:spacing w:line="240" w:lineRule="auto"/>
        <w:jc w:val="both"/>
        <w:rPr>
          <w:rFonts w:cs="Times New Roman"/>
          <w:noProof/>
        </w:rPr>
      </w:pPr>
      <w:r>
        <w:rPr>
          <w:noProof/>
        </w:rPr>
        <w:t xml:space="preserve">zmianę tekstu skonsolidowanego ustawy o rekultywacji gruntów i obszarów miejskich zatwierdzoną królewskim dekretem ustawodawczym </w:t>
      </w:r>
      <w:r w:rsidRPr="00A1618E">
        <w:rPr>
          <w:noProof/>
          <w:lang w:val="pl-PL"/>
        </w:rPr>
        <w:t>nr 7</w:t>
      </w:r>
      <w:r>
        <w:rPr>
          <w:noProof/>
        </w:rPr>
        <w:t>/2015 z dnia 30 października, wprowadzającą środki mające na celu przyspieszenie procedur urbanistycznych związanych z działaniami w zakresie rekultywacji budynków i budową budynków na potrzeby mieszkalnictwa socjalnego;</w:t>
      </w:r>
    </w:p>
    <w:p w14:paraId="5FA31788" w14:textId="488C508A" w:rsidR="006578ED" w:rsidRDefault="00A1618E">
      <w:pPr>
        <w:pStyle w:val="P68B1DB1-ListParagraph7"/>
        <w:numPr>
          <w:ilvl w:val="0"/>
          <w:numId w:val="298"/>
        </w:numPr>
        <w:spacing w:line="240" w:lineRule="auto"/>
        <w:jc w:val="both"/>
        <w:rPr>
          <w:rFonts w:cs="Times New Roman"/>
          <w:noProof/>
        </w:rPr>
      </w:pPr>
      <w:r>
        <w:rPr>
          <w:noProof/>
        </w:rPr>
        <w:t>publikacja przewodnika zawierającego zalecenia i najlepsze praktyki, które będą służyć jako punkt odniesienia dla uproszczenia i przyspieszenia procedur wydawania zezwoleń w zakresie planowania przestrzennego poprzez zachęcanie do (i) wymiany wiedzy i doświadczeń między administracjami na szczeblu lokalnym, regionalnym i centralnym, (ii) środków mających na celu usystematyzowanie i optymalizację procesów oraz (iii) przyszłego rozwoju projektów pilotażowych w różnych kontekstach terytorialnych.</w:t>
      </w:r>
    </w:p>
    <w:p w14:paraId="565F9C02" w14:textId="18242972" w:rsidR="006578ED" w:rsidRDefault="00A1618E">
      <w:pPr>
        <w:pStyle w:val="P68B1DB1-Normal4"/>
        <w:spacing w:before="120" w:after="120" w:line="240" w:lineRule="auto"/>
        <w:rPr>
          <w:rFonts w:cs="Times New Roman"/>
          <w:noProof/>
        </w:rPr>
      </w:pPr>
      <w:r>
        <w:rPr>
          <w:noProof/>
        </w:rPr>
        <w:t>Realizacja reformy zakończy się do dnia 30 czerwca 20</w:t>
      </w:r>
      <w:r w:rsidRPr="00A1618E">
        <w:rPr>
          <w:noProof/>
          <w:lang w:val="pl-PL"/>
        </w:rPr>
        <w:t>25 r.</w:t>
      </w:r>
    </w:p>
    <w:p w14:paraId="2BC9A8ED" w14:textId="7EF47603" w:rsidR="006578ED" w:rsidRDefault="00A1618E">
      <w:pPr>
        <w:pStyle w:val="P68B1DB1-Normal6"/>
        <w:spacing w:before="120" w:after="120" w:line="240" w:lineRule="auto"/>
        <w:jc w:val="both"/>
        <w:rPr>
          <w:rFonts w:cs="Times New Roman"/>
          <w:noProof/>
        </w:rPr>
      </w:pPr>
      <w:r>
        <w:rPr>
          <w:noProof/>
        </w:rPr>
        <w:t>Inwestycje 7 (C2.I7) – Instrument pożyczkowy ICO na rzecz promowania mieszkalnictwa socjalnego</w:t>
      </w:r>
    </w:p>
    <w:p w14:paraId="562AF89C" w14:textId="713CB485" w:rsidR="006578ED" w:rsidRDefault="00A1618E">
      <w:pPr>
        <w:pStyle w:val="P68B1DB1-Normal4"/>
        <w:spacing w:before="120" w:after="120" w:line="240" w:lineRule="auto"/>
        <w:jc w:val="both"/>
        <w:rPr>
          <w:rFonts w:eastAsia="@MS Mincho" w:cs="Times New Roman"/>
          <w:noProof/>
        </w:rPr>
      </w:pPr>
      <w:r>
        <w:rPr>
          <w:noProof/>
        </w:rPr>
        <w:t xml:space="preserve">Środek ten obejmuje inwestycje publiczne w instrument, instrument pożyczkowy ICO na rzecz promowania mieszkalnictwa socjalnego, aby zachęcić do inwestycji prywatnych i poprawić dostęp do finansowania budowy i renowacji energooszczędnych mieszkań socjalnych i przystępnych cenowo oraz rozwijać rynki kapitałowe w tych obszarach. Instrument działa poprzez udzielanie pożyczek bezpośrednio lub przez pośredników sektorowi prywatnemu, a także podmiotom sektora publicznego prowadzącym podobną działalność. Na podstawie inwestycji w ramach RRF instrument ma początkowo zapewnić finansowanie w wysokości co najmniej 4 000 000 000 EUR. </w:t>
      </w:r>
    </w:p>
    <w:p w14:paraId="229B51D7" w14:textId="456DDDED" w:rsidR="006578ED" w:rsidRDefault="00A1618E">
      <w:pPr>
        <w:pStyle w:val="P68B1DB1-Normal4"/>
        <w:spacing w:before="120" w:after="120" w:line="240" w:lineRule="auto"/>
        <w:jc w:val="both"/>
        <w:rPr>
          <w:rFonts w:eastAsia="@MS Mincho" w:cs="Times New Roman"/>
          <w:noProof/>
        </w:rPr>
      </w:pPr>
      <w:r>
        <w:rPr>
          <w:noProof/>
        </w:rPr>
        <w:t>Instrumentem zarządza Instituto de Crédito Official (ICO) jako partner wykonawczy. Instrument obejmuje następujące linie produktów:</w:t>
      </w:r>
    </w:p>
    <w:p w14:paraId="0DF0145A" w14:textId="41881078" w:rsidR="006578ED" w:rsidRDefault="00A1618E">
      <w:pPr>
        <w:pStyle w:val="P68B1DB1-ListParagraph7"/>
        <w:numPr>
          <w:ilvl w:val="0"/>
          <w:numId w:val="298"/>
        </w:numPr>
        <w:spacing w:line="240" w:lineRule="auto"/>
        <w:jc w:val="both"/>
        <w:rPr>
          <w:rFonts w:eastAsia="@MS Mincho" w:cs="Times New Roman"/>
          <w:noProof/>
        </w:rPr>
      </w:pPr>
      <w:r>
        <w:rPr>
          <w:noProof/>
        </w:rPr>
        <w:t>Pożyczki bezpośrednie na budowę energooszczędnych budynków. Budynki osiągają co najmniej 20 % niższe zużycie energii pierwotnej niż określone w wytycznych krajowych wymogi dotyczące energii w budynkach o niemal zerowym zużyciu energii.</w:t>
      </w:r>
    </w:p>
    <w:p w14:paraId="7C583A3D" w14:textId="584648C4" w:rsidR="006578ED" w:rsidRDefault="00A1618E">
      <w:pPr>
        <w:pStyle w:val="P68B1DB1-ListParagraph7"/>
        <w:numPr>
          <w:ilvl w:val="0"/>
          <w:numId w:val="298"/>
        </w:numPr>
        <w:spacing w:line="240" w:lineRule="auto"/>
        <w:jc w:val="both"/>
        <w:rPr>
          <w:rFonts w:eastAsia="@MS Mincho" w:cs="Times New Roman"/>
          <w:noProof/>
        </w:rPr>
      </w:pPr>
      <w:r>
        <w:rPr>
          <w:noProof/>
        </w:rPr>
        <w:t xml:space="preserve">Pożyczki bezpośrednie na renowację istniejących budynków. Renowacja prowadzi do zmniejszenia zużycia energii pierwotnej ze źródeł nieodnawialnych o co najmniej 30 %. </w:t>
      </w:r>
    </w:p>
    <w:p w14:paraId="023FCA6B" w14:textId="4EE98897" w:rsidR="006578ED" w:rsidRDefault="00A1618E">
      <w:pPr>
        <w:pStyle w:val="P68B1DB1-ListParagraph7"/>
        <w:numPr>
          <w:ilvl w:val="0"/>
          <w:numId w:val="298"/>
        </w:numPr>
        <w:spacing w:line="240" w:lineRule="auto"/>
        <w:jc w:val="both"/>
        <w:rPr>
          <w:rFonts w:eastAsia="@MS Mincho" w:cs="Times New Roman"/>
          <w:noProof/>
        </w:rPr>
      </w:pPr>
      <w:r>
        <w:rPr>
          <w:noProof/>
        </w:rPr>
        <w:t>Linia mediacyjna: linia mediacyjna składa się z pożyczek udzielanych przez ICO bankom komercyjnym, które z kolei udzielają pożyczek beneficjentom końcowym na budowę energooszczędnych budynków lub renowację istniejących budynków.</w:t>
      </w:r>
    </w:p>
    <w:p w14:paraId="4B97937C" w14:textId="67D248D4" w:rsidR="006578ED" w:rsidRDefault="00A1618E">
      <w:pPr>
        <w:pStyle w:val="P68B1DB1-Normal4"/>
        <w:spacing w:after="160" w:line="240" w:lineRule="auto"/>
        <w:jc w:val="both"/>
        <w:rPr>
          <w:rFonts w:cs="Times New Roman"/>
          <w:noProof/>
        </w:rPr>
      </w:pPr>
      <w:r>
        <w:rPr>
          <w:noProof/>
        </w:rPr>
        <w:t xml:space="preserve">Budynki wznoszone lub poddawane renowacji muszą być wykorzystywane na wynajem socjalny lub przystępny cenowo lub przeniesiony na wynajem socjalny i przystępny cenowo przez okres co najmniej 50 lat. Do określenia czynszu socjalnego i przystępnego cenowo stosuje się kryteria określone w programie 6 dekretu królewskiego </w:t>
      </w:r>
      <w:r w:rsidRPr="00A1618E">
        <w:rPr>
          <w:noProof/>
          <w:lang w:val="pl-PL"/>
        </w:rPr>
        <w:t>nr 8</w:t>
      </w:r>
      <w:r>
        <w:rPr>
          <w:noProof/>
        </w:rPr>
        <w:t>53/2021.</w:t>
      </w:r>
    </w:p>
    <w:p w14:paraId="3A501942" w14:textId="6DABE10C" w:rsidR="006578ED" w:rsidRDefault="00A1618E">
      <w:pPr>
        <w:pStyle w:val="P68B1DB1-Normal4"/>
        <w:spacing w:after="160" w:line="240" w:lineRule="auto"/>
        <w:jc w:val="both"/>
        <w:rPr>
          <w:rFonts w:cs="Times New Roman"/>
          <w:noProof/>
        </w:rPr>
      </w:pPr>
      <w:r>
        <w:rPr>
          <w:noProof/>
        </w:rPr>
        <w:t>W celu realizacji inwestycji w instrument Hiszpania i ICO podpiszą umowę wykonawczą, która zawiera następującą treść:</w:t>
      </w:r>
    </w:p>
    <w:p w14:paraId="7F40B6D1" w14:textId="78B055F7" w:rsidR="006578ED" w:rsidRDefault="00A1618E">
      <w:pPr>
        <w:pStyle w:val="P68B1DB1-ListParagraph7"/>
        <w:numPr>
          <w:ilvl w:val="0"/>
          <w:numId w:val="747"/>
        </w:numPr>
        <w:rPr>
          <w:rFonts w:eastAsia="Times New Roman" w:cs="Times New Roman"/>
          <w:noProof/>
        </w:rPr>
      </w:pPr>
      <w:r>
        <w:rPr>
          <w:noProof/>
        </w:rPr>
        <w:t>Opis procesu decyzyjnego w ramach Instrumentu</w:t>
      </w:r>
      <w:r w:rsidRPr="00A1618E">
        <w:rPr>
          <w:noProof/>
          <w:lang w:val="pl-PL"/>
        </w:rPr>
        <w:t>: O</w:t>
      </w:r>
      <w:r>
        <w:rPr>
          <w:noProof/>
        </w:rPr>
        <w:t>stateczną decyzję inwestycyjną instrumentu podejmuje komitet inwestycyjny lub inny odpowiedni równoważny organ zarządzający i zatwierdzana większością głosów członków niezależnych od rządu hiszpańskiego. W przypadku inwestycji przez pośredników ostateczną decyzję inwestycyjną podejmują pośrednicy.</w:t>
      </w:r>
    </w:p>
    <w:p w14:paraId="79E54BA4" w14:textId="77777777" w:rsidR="006578ED" w:rsidRDefault="006578ED">
      <w:pPr>
        <w:pStyle w:val="ListParagraph"/>
        <w:rPr>
          <w:noProof/>
        </w:rPr>
      </w:pPr>
    </w:p>
    <w:p w14:paraId="2FD39D5B" w14:textId="7FDECDB4" w:rsidR="006578ED" w:rsidRDefault="00A1618E">
      <w:pPr>
        <w:pStyle w:val="P68B1DB1-ListParagraph7"/>
        <w:spacing w:after="0"/>
        <w:jc w:val="both"/>
        <w:rPr>
          <w:rFonts w:eastAsia="Times New Roman" w:cs="Times New Roman"/>
          <w:noProof/>
        </w:rPr>
      </w:pPr>
      <w:r>
        <w:rPr>
          <w:noProof/>
        </w:rPr>
        <w:t xml:space="preserve">2. Kluczowe wymogi powiązanej polityki inwestycyjnej, które obejmują: </w:t>
      </w:r>
    </w:p>
    <w:p w14:paraId="1C4DA3C2" w14:textId="0F2F16D8" w:rsidR="006578ED" w:rsidRDefault="00A1618E">
      <w:pPr>
        <w:pStyle w:val="P68B1DB1-LegalNumPar317"/>
        <w:numPr>
          <w:ilvl w:val="2"/>
          <w:numId w:val="0"/>
        </w:numPr>
        <w:spacing w:after="0"/>
        <w:ind w:left="720"/>
        <w:rPr>
          <w:rFonts w:eastAsia="Times New Roman" w:cs="Times New Roman"/>
          <w:noProof/>
        </w:rPr>
      </w:pPr>
      <w:r>
        <w:rPr>
          <w:noProof/>
        </w:rPr>
        <w:t>a. Opis produktów finansowych i kwalifikujących się beneficjentów końcowych zgodny z opisem środka.</w:t>
      </w:r>
    </w:p>
    <w:p w14:paraId="2D0BC6C2" w14:textId="21866C87" w:rsidR="006578ED" w:rsidRDefault="00A1618E">
      <w:pPr>
        <w:pStyle w:val="P68B1DB1-ListParagraph7"/>
        <w:spacing w:after="0"/>
        <w:jc w:val="both"/>
        <w:rPr>
          <w:rFonts w:eastAsia="Times New Roman" w:cs="Times New Roman"/>
          <w:noProof/>
        </w:rPr>
      </w:pPr>
      <w:r>
        <w:rPr>
          <w:noProof/>
        </w:rPr>
        <w:t xml:space="preserve">b. wymóg, aby wszystkie wspierane inwestycje były ekonomicznie opłacalne. </w:t>
      </w:r>
    </w:p>
    <w:p w14:paraId="156B3B26" w14:textId="3CFE2D84" w:rsidR="006578ED" w:rsidRDefault="00A1618E">
      <w:pPr>
        <w:pStyle w:val="P68B1DB1-ListParagraph7"/>
        <w:spacing w:after="0"/>
        <w:jc w:val="both"/>
        <w:rPr>
          <w:rFonts w:eastAsia="Times New Roman" w:cs="Times New Roman"/>
          <w:noProof/>
        </w:rPr>
      </w:pPr>
      <w:r>
        <w:rPr>
          <w:noProof/>
        </w:rPr>
        <w:t>C. Zakaz refinansowania wszelkich niespłaconych pożyczek.</w:t>
      </w:r>
    </w:p>
    <w:p w14:paraId="57AA2BC1" w14:textId="50E0439F" w:rsidR="006578ED" w:rsidRDefault="00A1618E">
      <w:pPr>
        <w:pStyle w:val="P68B1DB1-ListParagraph7"/>
        <w:spacing w:after="0"/>
        <w:jc w:val="both"/>
        <w:rPr>
          <w:rFonts w:eastAsia="Times New Roman" w:cs="Times New Roman"/>
          <w:noProof/>
        </w:rPr>
      </w:pPr>
      <w:r>
        <w:rPr>
          <w:noProof/>
        </w:rPr>
        <w:t>D. Wymóg przestrzegania zasady „nie czyń poważnych szkód” (DNSH) określonej w wytycznych technicznych dotyczących zasady „nie czyń poważnych szkód” (2021/C58/01), w szczególności:</w:t>
      </w:r>
    </w:p>
    <w:p w14:paraId="31ADAA96" w14:textId="41E4B313" w:rsidR="006578ED" w:rsidRPr="00A1618E" w:rsidRDefault="00A1618E">
      <w:pPr>
        <w:pStyle w:val="ListParagraph"/>
        <w:numPr>
          <w:ilvl w:val="0"/>
          <w:numId w:val="748"/>
        </w:numPr>
        <w:spacing w:after="0"/>
        <w:jc w:val="both"/>
        <w:rPr>
          <w:rFonts w:ascii="Times New Roman" w:hAnsi="Times New Roman" w:cs="Times New Roman"/>
          <w:noProof/>
          <w:u w:val="single"/>
          <w:lang w:val="pl-PL"/>
        </w:rPr>
      </w:pPr>
      <w:r>
        <w:rPr>
          <w:rFonts w:ascii="Times New Roman" w:hAnsi="Times New Roman"/>
          <w:noProof/>
          <w:sz w:val="24"/>
        </w:rPr>
        <w:t>W przypadku pożyczek: polityka inwestycyjna wyłącza z kwalifikowalności następujący wykaz działań i aktywów: działalności i aktywów związanych z paliwami kopalnymi, w tym wykorzystania niższego szczebla,</w:t>
      </w:r>
      <w:r>
        <w:rPr>
          <w:rStyle w:val="FootnoteReference"/>
          <w:rFonts w:ascii="Times New Roman" w:eastAsia="Times New Roman" w:hAnsi="Times New Roman" w:cs="Times New Roman"/>
          <w:noProof/>
          <w:sz w:val="24"/>
        </w:rPr>
        <w:footnoteReference w:id="6"/>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eastAsia="Times New Roman" w:hAnsi="Times New Roman" w:cs="Times New Roman"/>
          <w:noProof/>
          <w:sz w:val="24"/>
        </w:rPr>
        <w:footnoteReference w:id="7"/>
      </w:r>
      <w:r>
        <w:rPr>
          <w:rFonts w:ascii="Times New Roman" w:hAnsi="Times New Roman"/>
          <w:noProof/>
          <w:sz w:val="24"/>
        </w:rPr>
        <w:t>, (iii) działalności i aktywów związanych ze składowiskami odpadów, spalarniami</w:t>
      </w:r>
      <w:r>
        <w:rPr>
          <w:rStyle w:val="FootnoteReference"/>
          <w:rFonts w:ascii="Times New Roman" w:eastAsia="Times New Roman" w:hAnsi="Times New Roman" w:cs="Times New Roman"/>
          <w:noProof/>
          <w:sz w:val="24"/>
        </w:rPr>
        <w:footnoteReference w:id="8"/>
      </w:r>
      <w:r>
        <w:rPr>
          <w:rFonts w:ascii="Times New Roman" w:hAnsi="Times New Roman"/>
          <w:noProof/>
          <w:sz w:val="24"/>
        </w:rPr>
        <w:t xml:space="preserve"> i zakładami mechaniczno-biologicznego przetwarzania odpadów</w:t>
      </w:r>
      <w:r>
        <w:rPr>
          <w:rStyle w:val="FootnoteReference"/>
          <w:rFonts w:ascii="Times New Roman" w:eastAsia="Times New Roman" w:hAnsi="Times New Roman" w:cs="Times New Roman"/>
          <w:noProof/>
          <w:sz w:val="24"/>
        </w:rPr>
        <w:footnoteReference w:id="9"/>
      </w:r>
      <w:r w:rsidRPr="00A1618E">
        <w:rPr>
          <w:rFonts w:ascii="Times New Roman" w:hAnsi="Times New Roman"/>
          <w:noProof/>
          <w:sz w:val="24"/>
          <w:lang w:val="pl-PL"/>
        </w:rPr>
        <w:t xml:space="preserve">. </w:t>
      </w:r>
    </w:p>
    <w:p w14:paraId="54346E24" w14:textId="1E10CC90" w:rsidR="006578ED" w:rsidRDefault="00A1618E">
      <w:pPr>
        <w:pStyle w:val="P68B1DB1-ListParagraph7"/>
        <w:numPr>
          <w:ilvl w:val="0"/>
          <w:numId w:val="748"/>
        </w:numPr>
        <w:spacing w:after="0"/>
        <w:jc w:val="both"/>
        <w:rPr>
          <w:rFonts w:eastAsia="Times New Roman" w:cs="Times New Roman"/>
          <w:noProof/>
          <w:u w:val="single"/>
        </w:rPr>
      </w:pPr>
      <w:r>
        <w:rPr>
          <w:noProof/>
        </w:rPr>
        <w:t>Polityka inwestycyjna wymaga zgodności z odpowiednimi unijnymi i krajowymi przepisami w zakresie ochrony środowiska beneficjentów końcowych Instrumentu.</w:t>
      </w:r>
    </w:p>
    <w:p w14:paraId="20CEDAAC" w14:textId="30785819" w:rsidR="006578ED" w:rsidRDefault="00A1618E">
      <w:pPr>
        <w:pStyle w:val="P68B1DB1-Normal4"/>
        <w:spacing w:after="0"/>
        <w:ind w:left="720"/>
        <w:jc w:val="both"/>
        <w:rPr>
          <w:rFonts w:eastAsia="Times New Roman" w:cs="Times New Roman"/>
          <w:noProof/>
        </w:rPr>
      </w:pPr>
      <w:r>
        <w:rPr>
          <w:noProof/>
        </w:rPr>
        <w:t xml:space="preserve">e. wymóg, aby beneficjenci końcowi Instrumentu nie otrzymywali wsparcia z innych instrumentów unijnych w celu pokrycia tych samych kosztów. </w:t>
      </w:r>
    </w:p>
    <w:p w14:paraId="579A0112" w14:textId="30B4C3EE" w:rsidR="006578ED" w:rsidRDefault="006578ED">
      <w:pPr>
        <w:spacing w:after="0"/>
        <w:jc w:val="both"/>
        <w:rPr>
          <w:rFonts w:ascii="Times New Roman" w:eastAsia="Times New Roman" w:hAnsi="Times New Roman" w:cs="Times New Roman"/>
          <w:noProof/>
          <w:sz w:val="24"/>
        </w:rPr>
      </w:pPr>
    </w:p>
    <w:p w14:paraId="06A75224" w14:textId="781D78C6" w:rsidR="006578ED" w:rsidRDefault="00A1618E">
      <w:pPr>
        <w:pStyle w:val="P68B1DB1-Normal4"/>
        <w:spacing w:after="0"/>
        <w:jc w:val="both"/>
        <w:rPr>
          <w:rFonts w:eastAsia="Times New Roman" w:cs="Times New Roman"/>
          <w:noProof/>
        </w:rPr>
      </w:pPr>
      <w:r>
        <w:rPr>
          <w:noProof/>
        </w:rPr>
        <w:t>3. Kwotę objętą umową wykonawczą, bezpłatną strukturę dla partnera wykonawczego oraz wymóg reinwestowania wszelkich środków powracających zgodnie z polityką inwestycyjną Instrumentu, chyba że są one wykorzystywane do obsługi spłat pożyczek w ramach Instrumentu na rzecz Odbudowy i Zwiększania Odporności.</w:t>
      </w:r>
    </w:p>
    <w:p w14:paraId="76EA64F4" w14:textId="77777777" w:rsidR="006578ED" w:rsidRDefault="006578ED">
      <w:pPr>
        <w:spacing w:after="0"/>
        <w:jc w:val="both"/>
        <w:rPr>
          <w:rFonts w:ascii="Times New Roman" w:eastAsia="Times New Roman" w:hAnsi="Times New Roman" w:cs="Times New Roman"/>
          <w:noProof/>
          <w:sz w:val="24"/>
        </w:rPr>
      </w:pPr>
    </w:p>
    <w:p w14:paraId="7D35602F" w14:textId="581DEDE2" w:rsidR="006578ED" w:rsidRPr="00A1618E" w:rsidRDefault="00A1618E">
      <w:pPr>
        <w:pStyle w:val="P68B1DB1-Normal4"/>
        <w:spacing w:after="0"/>
        <w:jc w:val="both"/>
        <w:rPr>
          <w:rFonts w:eastAsia="Times New Roman" w:cs="Times New Roman"/>
          <w:noProof/>
          <w:lang w:val="pl-PL"/>
        </w:rPr>
      </w:pPr>
      <w:r>
        <w:rPr>
          <w:noProof/>
        </w:rPr>
        <w:t>4. Wymogi w zakresie monitorowania, audytu i kontroli, w tym</w:t>
      </w:r>
      <w:r w:rsidRPr="00A1618E">
        <w:rPr>
          <w:noProof/>
          <w:lang w:val="pl-PL"/>
        </w:rPr>
        <w:t xml:space="preserve">: </w:t>
      </w:r>
    </w:p>
    <w:p w14:paraId="48BEE247" w14:textId="728E63C1" w:rsidR="006578ED" w:rsidRDefault="00A1618E">
      <w:pPr>
        <w:pStyle w:val="P68B1DB1-ListParagraph7"/>
        <w:numPr>
          <w:ilvl w:val="0"/>
          <w:numId w:val="274"/>
        </w:numPr>
        <w:rPr>
          <w:rFonts w:eastAsia="Times New Roman" w:cs="Times New Roman"/>
          <w:noProof/>
        </w:rPr>
      </w:pPr>
      <w:r>
        <w:rPr>
          <w:noProof/>
        </w:rPr>
        <w:t>Opis stosowanego przez partnera wykonawczego systemu monitorowania służącego do sprawozdawczości na temat uruchomionych inwestycji.</w:t>
      </w:r>
    </w:p>
    <w:p w14:paraId="76AE288A" w14:textId="20A2E718" w:rsidR="006578ED" w:rsidRDefault="00A1618E">
      <w:pPr>
        <w:pStyle w:val="P68B1DB1-ListParagraph7"/>
        <w:numPr>
          <w:ilvl w:val="0"/>
          <w:numId w:val="274"/>
        </w:numPr>
        <w:rPr>
          <w:rFonts w:eastAsia="Times New Roman" w:cs="Times New Roman"/>
          <w:noProof/>
        </w:rPr>
      </w:pPr>
      <w:r>
        <w:rPr>
          <w:noProof/>
        </w:rPr>
        <w:t>Opis procedur partnera wykonawczego, które zapewnią zapobieganie nadużyciom finansowym, korupcji i konfliktom interesów oraz ich wykrywanie i korygowanie.</w:t>
      </w:r>
    </w:p>
    <w:p w14:paraId="2A4FD3CA" w14:textId="33431E8C" w:rsidR="006578ED" w:rsidRDefault="00A1618E">
      <w:pPr>
        <w:pStyle w:val="P68B1DB1-ListParagraph7"/>
        <w:numPr>
          <w:ilvl w:val="0"/>
          <w:numId w:val="274"/>
        </w:numPr>
        <w:rPr>
          <w:rFonts w:eastAsia="Times New Roman" w:cs="Times New Roman"/>
          <w:noProof/>
        </w:rPr>
      </w:pPr>
      <w:r>
        <w:rPr>
          <w:noProof/>
        </w:rPr>
        <w:t>Obowiązek weryfikacji kwalifikowalności każdej operacji zgodnie z wymogami określonymi w umowie wykonawczej i w Instrumencie na rzecz Odbudowy i Zwiększania Odporności przed zobowiązaniem się do finansowania danej operacji.</w:t>
      </w:r>
    </w:p>
    <w:p w14:paraId="00ECEF68" w14:textId="5DA7F3DC" w:rsidR="006578ED" w:rsidRDefault="00A1618E">
      <w:pPr>
        <w:pStyle w:val="P68B1DB1-ListParagraph7"/>
        <w:numPr>
          <w:ilvl w:val="0"/>
          <w:numId w:val="274"/>
        </w:numPr>
        <w:rPr>
          <w:rFonts w:eastAsia="Times New Roman" w:cs="Times New Roman"/>
          <w:noProof/>
        </w:rPr>
      </w:pPr>
      <w:r>
        <w:rPr>
          <w:noProof/>
        </w:rPr>
        <w:t xml:space="preserve">Obowiązek przeprowadzania opartych na analizie ryzyka audytów ex post zgodnie z planem audytu ICO. Audyty te mają na celu sprawdzenie (i) skuteczności systemów kontroli, w tym wykrywania nadużyć finansowych, korupcji i konfliktu interesów; zgodność z zasadą „nie czyń poważnych szkód”, zasadami pomocy państwa, wymogami dotyczącymi celów klimatycznych; oraz (iii) wymóg, zgodnie z którym pośrednik musi kontrolować, czy te same koszty są pokrywane z innego instrumentu unijnego, jest przestrzegany. W ramach audytów sprawdza się również legalność transakcji oraz przestrzeganie warunków obowiązujących umów wykonawczych i o finansowaniu. </w:t>
      </w:r>
    </w:p>
    <w:p w14:paraId="56B8AD55" w14:textId="1D358140" w:rsidR="006578ED" w:rsidRDefault="00A1618E">
      <w:pPr>
        <w:spacing w:after="0"/>
        <w:jc w:val="both"/>
        <w:rPr>
          <w:rFonts w:ascii="Times New Roman" w:eastAsia="Times New Roman" w:hAnsi="Times New Roman" w:cs="Times New Roman"/>
          <w:noProof/>
          <w:sz w:val="24"/>
        </w:rPr>
      </w:pPr>
      <w:r>
        <w:rPr>
          <w:rFonts w:ascii="Times New Roman" w:hAnsi="Times New Roman"/>
          <w:noProof/>
          <w:sz w:val="24"/>
        </w:rPr>
        <w:t>5. Wymogi dotyczące inwestycji w dziedzinie klimatu realizowanych przez partnera wykonawczego: co najmniej 2 122 000 000 EUR z inwestycji RRF w Instrument przyczynia się do realizacji celów klimatycznych zgodnie z załącznikiem VI do rozporządzenia w sprawie RRF.</w:t>
      </w:r>
      <w:r>
        <w:rPr>
          <w:rStyle w:val="FootnoteReference"/>
          <w:rFonts w:ascii="Times New Roman" w:hAnsi="Times New Roman" w:cs="Times New Roman"/>
          <w:noProof/>
        </w:rPr>
        <w:footnoteReference w:id="10"/>
      </w:r>
    </w:p>
    <w:p w14:paraId="32CF5D78" w14:textId="20363EB8" w:rsidR="006578ED" w:rsidRDefault="006578ED">
      <w:pPr>
        <w:spacing w:after="0"/>
        <w:jc w:val="both"/>
        <w:rPr>
          <w:rFonts w:ascii="Times New Roman" w:eastAsia="Times New Roman" w:hAnsi="Times New Roman" w:cs="Times New Roman"/>
          <w:noProof/>
          <w:sz w:val="24"/>
        </w:rPr>
      </w:pPr>
    </w:p>
    <w:p w14:paraId="5C10D3A9" w14:textId="6EB10596" w:rsidR="006578ED" w:rsidRDefault="00A1618E">
      <w:pPr>
        <w:pStyle w:val="P68B1DB1-Normal4"/>
        <w:spacing w:after="0"/>
        <w:jc w:val="both"/>
        <w:rPr>
          <w:rFonts w:eastAsia="Times New Roman" w:cs="Times New Roman"/>
          <w:noProof/>
        </w:rPr>
      </w:pPr>
      <w:r>
        <w:rPr>
          <w:noProof/>
        </w:rPr>
        <w:t>6. Wymogi dotyczące wyboru pośredników finansowych: ICO wybiera pośredników finansowych w sposób otwarty, przejrzysty i niedyskryminacyjny. Kontrole dotyczące braku konfliktu interesów w odniesieniu do pośredników finansowych przeprowadza się i przeprowadza ex ante za pośrednictwem systemu informatycznego, takiego jak Minerva, w odniesieniu do wszystkich zaangażowanych podmiotów finansowych.</w:t>
      </w:r>
    </w:p>
    <w:p w14:paraId="7C59C747" w14:textId="77777777" w:rsidR="006578ED" w:rsidRDefault="006578ED">
      <w:pPr>
        <w:spacing w:after="0"/>
        <w:jc w:val="both"/>
        <w:rPr>
          <w:rFonts w:ascii="Times New Roman" w:eastAsia="Times New Roman" w:hAnsi="Times New Roman" w:cs="Times New Roman"/>
          <w:noProof/>
          <w:sz w:val="24"/>
        </w:rPr>
      </w:pPr>
    </w:p>
    <w:p w14:paraId="504ECEFE" w14:textId="339C233B" w:rsidR="006578ED" w:rsidRDefault="00A1618E">
      <w:pPr>
        <w:pStyle w:val="P68B1DB1-Normal4"/>
        <w:spacing w:after="0"/>
        <w:jc w:val="both"/>
        <w:rPr>
          <w:rFonts w:eastAsia="Times New Roman" w:cs="Times New Roman"/>
          <w:noProof/>
          <w:u w:val="single"/>
        </w:rPr>
      </w:pPr>
      <w:r>
        <w:rPr>
          <w:noProof/>
        </w:rPr>
        <w:t>7. Wymóg podpisania umów o finansowaniu: ICO podpisuje umowy o finansowaniu z pośrednikami finansowymi zgodnie z kluczowymi wymogami, które należy przedstawić jako załącznik do umowy wykonawczej. Kluczowe wymogi umowy o finansowaniu obejmują wszystkie wymogi, na podstawie których działa fundusz, w tym:</w:t>
      </w:r>
    </w:p>
    <w:p w14:paraId="51E71FEA" w14:textId="443F99F6" w:rsidR="006578ED" w:rsidRDefault="00A1618E">
      <w:pPr>
        <w:pStyle w:val="P68B1DB1-ListParagraph7"/>
        <w:numPr>
          <w:ilvl w:val="0"/>
          <w:numId w:val="274"/>
        </w:numPr>
        <w:rPr>
          <w:rFonts w:eastAsia="Times New Roman" w:cs="Times New Roman"/>
          <w:noProof/>
        </w:rPr>
      </w:pPr>
      <w:r>
        <w:rPr>
          <w:noProof/>
        </w:rPr>
        <w:t>Spoczywający na pośredniku finansowym obowiązek podejmowania decyzji odpowiednio zgodnie z określonymi powyżej wymogami w zakresie podejmowania decyzji i polityki inwestycyjnej, w tym dotyczącymi przestrzegania zasady „nie czyń poważnych szkód”.</w:t>
      </w:r>
    </w:p>
    <w:p w14:paraId="63E2C596" w14:textId="52C6B6B0" w:rsidR="006578ED" w:rsidRDefault="00A1618E">
      <w:pPr>
        <w:pStyle w:val="P68B1DB1-ListParagraph7"/>
        <w:numPr>
          <w:ilvl w:val="0"/>
          <w:numId w:val="274"/>
        </w:numPr>
        <w:rPr>
          <w:rFonts w:eastAsia="Times New Roman" w:cs="Times New Roman"/>
          <w:noProof/>
        </w:rPr>
      </w:pPr>
      <w:r>
        <w:rPr>
          <w:noProof/>
        </w:rPr>
        <w:t xml:space="preserve">Opis ram monitorowania oraz audytu i kontroli, które pośrednik finansowy wprowadza, które odpowiednio podlegają wszystkim wymogom w zakresie monitorowania, audytu i kontroli określonym powyżej. </w:t>
      </w:r>
    </w:p>
    <w:p w14:paraId="3B66219C" w14:textId="4FDD995E" w:rsidR="006578ED" w:rsidRDefault="00A1618E">
      <w:pPr>
        <w:pStyle w:val="P68B1DB1-Normal4"/>
        <w:spacing w:after="160" w:line="240" w:lineRule="auto"/>
        <w:jc w:val="both"/>
        <w:rPr>
          <w:rFonts w:cs="Times New Roman"/>
          <w:noProof/>
        </w:rPr>
      </w:pPr>
      <w:r>
        <w:rPr>
          <w:noProof/>
        </w:rPr>
        <w:t>Wdrożenie środka należy zakończyć do dnia 31 sierpnia 20</w:t>
      </w:r>
      <w:r w:rsidRPr="00A1618E">
        <w:rPr>
          <w:noProof/>
          <w:lang w:val="pl-PL"/>
        </w:rPr>
        <w:t>26 r.</w:t>
      </w:r>
    </w:p>
    <w:p w14:paraId="7A01FDB1" w14:textId="7587F5FE" w:rsidR="006578ED" w:rsidRDefault="00A1618E">
      <w:pPr>
        <w:pStyle w:val="P68B1DB1-Normal5"/>
        <w:spacing w:before="120" w:after="160" w:line="240" w:lineRule="auto"/>
        <w:ind w:left="720"/>
        <w:jc w:val="both"/>
        <w:rPr>
          <w:rFonts w:cs="Times New Roman"/>
          <w:noProof/>
        </w:rPr>
      </w:pPr>
      <w:r>
        <w:rPr>
          <w:noProof/>
        </w:rPr>
        <w:t>B.4. Cele pośrednie, wartości docelowe, wskaźniki oraz harmonogram monitorowania i wdrażania wsparcia w formie pożyczki</w:t>
      </w:r>
    </w:p>
    <w:p w14:paraId="0078074C" w14:textId="59AEB3C9" w:rsidR="006578ED" w:rsidRDefault="00A1618E">
      <w:pPr>
        <w:pStyle w:val="P68B1DB1-Normal18"/>
        <w:spacing w:before="120" w:after="120" w:line="240" w:lineRule="auto"/>
        <w:jc w:val="both"/>
        <w:rPr>
          <w:rFonts w:cs="Times New Roman"/>
          <w:noProof/>
        </w:rPr>
        <w:sectPr w:rsidR="006578ED" w:rsidSect="00B90E2C">
          <w:headerReference w:type="even" r:id="rId54"/>
          <w:headerReference w:type="default" r:id="rId55"/>
          <w:footerReference w:type="even" r:id="rId56"/>
          <w:footerReference w:type="default" r:id="rId57"/>
          <w:headerReference w:type="first" r:id="rId58"/>
          <w:footerReference w:type="first" r:id="rId59"/>
          <w:pgSz w:w="11907" w:h="16839"/>
          <w:pgMar w:top="1134" w:right="1417" w:bottom="1134" w:left="1417" w:header="709" w:footer="709" w:gutter="0"/>
          <w:cols w:space="720"/>
          <w:docGrid w:linePitch="360"/>
        </w:sectPr>
      </w:pPr>
      <w:r>
        <w:rPr>
          <w:noProof/>
        </w:rPr>
        <w:t>Zob. tabela poniżej. Datą odniesienia dla wszystkich wskaźników jest dzień 1 lutego 20</w:t>
      </w:r>
      <w:r w:rsidRPr="00A1618E">
        <w:rPr>
          <w:noProof/>
          <w:lang w:val="pl-PL"/>
        </w:rPr>
        <w:t>20 r.</w:t>
      </w:r>
      <w:r>
        <w:rPr>
          <w:noProof/>
        </w:rPr>
        <w:t xml:space="preserve">, chyba że w opisie działania wskazano inaczej. </w:t>
      </w:r>
    </w:p>
    <w:p w14:paraId="734892DB" w14:textId="4694793E" w:rsidR="006578ED" w:rsidRDefault="006578ED">
      <w:pPr>
        <w:spacing w:before="120" w:after="120" w:line="240" w:lineRule="auto"/>
        <w:jc w:val="both"/>
        <w:rPr>
          <w:rFonts w:ascii="Times New Roman" w:hAnsi="Times New Roman" w:cs="Times New Roman"/>
          <w:i/>
          <w:noProof/>
          <w:sz w:val="24"/>
        </w:rPr>
        <w:sectPr w:rsidR="006578ED" w:rsidSect="00865B1F">
          <w:headerReference w:type="even" r:id="rId60"/>
          <w:headerReference w:type="default" r:id="rId61"/>
          <w:footerReference w:type="even" r:id="rId62"/>
          <w:footerReference w:type="default" r:id="rId63"/>
          <w:headerReference w:type="first" r:id="rId64"/>
          <w:footerReference w:type="first" r:id="rId65"/>
          <w:type w:val="continuous"/>
          <w:pgSz w:w="11907" w:h="16839"/>
          <w:pgMar w:top="1134" w:right="1417" w:bottom="1134" w:left="1417" w:header="709" w:footer="709" w:gutter="0"/>
          <w:cols w:space="720"/>
          <w:docGrid w:linePitch="360"/>
        </w:sectPr>
      </w:pPr>
    </w:p>
    <w:p w14:paraId="48C9FD97" w14:textId="17BC93ED" w:rsidR="006578ED" w:rsidRDefault="006578ED">
      <w:pPr>
        <w:rPr>
          <w:rFonts w:ascii="Times New Roman" w:hAnsi="Times New Roman" w:cs="Times New Roman"/>
          <w:noProof/>
          <w:sz w:val="24"/>
        </w:rPr>
        <w:sectPr w:rsidR="006578ED" w:rsidSect="00865B1F">
          <w:headerReference w:type="even" r:id="rId66"/>
          <w:headerReference w:type="default" r:id="rId67"/>
          <w:footerReference w:type="even" r:id="rId68"/>
          <w:footerReference w:type="default" r:id="rId69"/>
          <w:headerReference w:type="first" r:id="rId70"/>
          <w:footerReference w:type="first" r:id="rId71"/>
          <w:type w:val="continuous"/>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275"/>
        <w:gridCol w:w="851"/>
        <w:gridCol w:w="567"/>
        <w:gridCol w:w="615"/>
        <w:gridCol w:w="377"/>
        <w:gridCol w:w="567"/>
        <w:gridCol w:w="7088"/>
      </w:tblGrid>
      <w:tr w:rsidR="006578ED" w14:paraId="53E9F9D5" w14:textId="77777777">
        <w:trPr>
          <w:trHeight w:val="309"/>
          <w:tblHeader/>
        </w:trPr>
        <w:tc>
          <w:tcPr>
            <w:tcW w:w="709" w:type="dxa"/>
            <w:tcBorders>
              <w:bottom w:val="nil"/>
            </w:tcBorders>
            <w:shd w:val="clear" w:color="auto" w:fill="C6D9F1" w:themeFill="text2" w:themeFillTint="33"/>
            <w:noWrap/>
            <w:vAlign w:val="center"/>
          </w:tcPr>
          <w:p w14:paraId="7D2F5074" w14:textId="19B273CC"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1B2E6169" w14:textId="19B273CC"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5D5BC8F1" w14:textId="616675E4" w:rsidR="006578ED" w:rsidRDefault="00EC188C">
            <w:pPr>
              <w:pStyle w:val="P68B1DB1-Normal8"/>
              <w:spacing w:after="0" w:line="240" w:lineRule="auto"/>
              <w:jc w:val="center"/>
              <w:rPr>
                <w:rFonts w:cs="Times New Roman"/>
                <w:b/>
                <w:noProof/>
                <w:sz w:val="18"/>
              </w:rPr>
            </w:pPr>
            <w:r>
              <w:rPr>
                <w:b/>
                <w:noProof/>
                <w:sz w:val="18"/>
              </w:rPr>
              <w:t>Kamień milowy</w:t>
            </w:r>
            <w:r>
              <w:rPr>
                <w:noProof/>
              </w:rPr>
              <w:br/>
            </w:r>
            <w:r>
              <w:rPr>
                <w:b/>
                <w:noProof/>
                <w:sz w:val="18"/>
              </w:rPr>
              <w:t xml:space="preserve"> /</w:t>
            </w:r>
            <w:r w:rsidR="00AF6B91">
              <w:rPr>
                <w:b/>
                <w:noProof/>
                <w:sz w:val="18"/>
              </w:rPr>
              <w:t>Wartość docelowa</w:t>
            </w:r>
          </w:p>
        </w:tc>
        <w:tc>
          <w:tcPr>
            <w:tcW w:w="1560" w:type="dxa"/>
            <w:tcBorders>
              <w:bottom w:val="nil"/>
            </w:tcBorders>
            <w:shd w:val="clear" w:color="auto" w:fill="C6D9F1" w:themeFill="text2" w:themeFillTint="33"/>
            <w:noWrap/>
            <w:vAlign w:val="center"/>
          </w:tcPr>
          <w:p w14:paraId="2538B08D" w14:textId="19B273CC" w:rsidR="006578ED" w:rsidRDefault="00A1618E">
            <w:pPr>
              <w:pStyle w:val="P68B1DB1-Normal12"/>
              <w:spacing w:after="0" w:line="240" w:lineRule="auto"/>
              <w:jc w:val="center"/>
              <w:rPr>
                <w:rFonts w:cs="Times New Roman"/>
                <w:noProof/>
              </w:rPr>
            </w:pPr>
            <w:r>
              <w:rPr>
                <w:noProof/>
              </w:rPr>
              <w:t>Nazwa</w:t>
            </w:r>
          </w:p>
        </w:tc>
        <w:tc>
          <w:tcPr>
            <w:tcW w:w="1275" w:type="dxa"/>
            <w:tcBorders>
              <w:bottom w:val="nil"/>
            </w:tcBorders>
            <w:shd w:val="clear" w:color="auto" w:fill="C6D9F1" w:themeFill="text2" w:themeFillTint="33"/>
            <w:noWrap/>
            <w:vAlign w:val="center"/>
          </w:tcPr>
          <w:p w14:paraId="0AD9D363" w14:textId="19B273CC" w:rsidR="006578ED" w:rsidRDefault="00A1618E">
            <w:pPr>
              <w:pStyle w:val="P68B1DB1-Normal12"/>
              <w:spacing w:after="0" w:line="240" w:lineRule="auto"/>
              <w:jc w:val="center"/>
              <w:rPr>
                <w:rFonts w:cs="Times New Roman"/>
                <w:noProof/>
              </w:rPr>
            </w:pPr>
            <w:r>
              <w:rPr>
                <w:noProof/>
              </w:rPr>
              <w:t>Wskaźnik jakościowy dla celów pośrednich</w:t>
            </w:r>
          </w:p>
        </w:tc>
        <w:tc>
          <w:tcPr>
            <w:tcW w:w="2033" w:type="dxa"/>
            <w:gridSpan w:val="3"/>
            <w:shd w:val="clear" w:color="auto" w:fill="C6D9F1" w:themeFill="text2" w:themeFillTint="33"/>
            <w:noWrap/>
            <w:vAlign w:val="center"/>
          </w:tcPr>
          <w:p w14:paraId="618F3F59" w14:textId="19B273CC" w:rsidR="006578ED" w:rsidRDefault="00A1618E">
            <w:pPr>
              <w:pStyle w:val="P68B1DB1-Normal12"/>
              <w:spacing w:after="0" w:line="240" w:lineRule="auto"/>
              <w:jc w:val="center"/>
              <w:rPr>
                <w:rFonts w:cs="Times New Roman"/>
                <w:noProof/>
              </w:rPr>
            </w:pPr>
            <w:r>
              <w:rPr>
                <w:noProof/>
              </w:rPr>
              <w:t>Wskaźnik ilościowy dla celu</w:t>
            </w:r>
          </w:p>
        </w:tc>
        <w:tc>
          <w:tcPr>
            <w:tcW w:w="944" w:type="dxa"/>
            <w:gridSpan w:val="2"/>
            <w:shd w:val="clear" w:color="auto" w:fill="C6D9F1" w:themeFill="text2" w:themeFillTint="33"/>
            <w:noWrap/>
            <w:vAlign w:val="center"/>
          </w:tcPr>
          <w:p w14:paraId="4F7E36FC" w14:textId="19B273CC" w:rsidR="006578ED" w:rsidRDefault="00A1618E">
            <w:pPr>
              <w:pStyle w:val="P68B1DB1-Normal12"/>
              <w:spacing w:after="0" w:line="240" w:lineRule="auto"/>
              <w:jc w:val="center"/>
              <w:rPr>
                <w:rFonts w:cs="Times New Roman"/>
                <w:noProof/>
              </w:rPr>
            </w:pPr>
            <w:r>
              <w:rPr>
                <w:noProof/>
              </w:rPr>
              <w:t>Czas</w:t>
            </w:r>
          </w:p>
        </w:tc>
        <w:tc>
          <w:tcPr>
            <w:tcW w:w="7088" w:type="dxa"/>
            <w:tcBorders>
              <w:bottom w:val="nil"/>
            </w:tcBorders>
            <w:shd w:val="clear" w:color="auto" w:fill="C6D9F1" w:themeFill="text2" w:themeFillTint="33"/>
            <w:noWrap/>
            <w:vAlign w:val="center"/>
          </w:tcPr>
          <w:p w14:paraId="381052D7" w14:textId="35AF2F27"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00542BF5" w14:textId="77777777">
        <w:trPr>
          <w:trHeight w:val="309"/>
          <w:tblHeader/>
        </w:trPr>
        <w:tc>
          <w:tcPr>
            <w:tcW w:w="709" w:type="dxa"/>
            <w:tcBorders>
              <w:top w:val="nil"/>
            </w:tcBorders>
            <w:shd w:val="clear" w:color="auto" w:fill="C6D9F1" w:themeFill="text2" w:themeFillTint="33"/>
            <w:noWrap/>
          </w:tcPr>
          <w:p w14:paraId="685FBC61"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BCACC00"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E00F204" w14:textId="77777777" w:rsidR="006578ED" w:rsidRDefault="006578ED">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35517160" w14:textId="77777777" w:rsidR="006578ED" w:rsidRDefault="006578ED">
            <w:pPr>
              <w:spacing w:after="0" w:line="240" w:lineRule="auto"/>
              <w:rPr>
                <w:rFonts w:ascii="Times New Roman" w:hAnsi="Times New Roman" w:cs="Times New Roman"/>
                <w:b/>
                <w:noProof/>
                <w:sz w:val="18"/>
              </w:rPr>
            </w:pPr>
          </w:p>
        </w:tc>
        <w:tc>
          <w:tcPr>
            <w:tcW w:w="1275" w:type="dxa"/>
            <w:tcBorders>
              <w:top w:val="nil"/>
            </w:tcBorders>
            <w:shd w:val="clear" w:color="auto" w:fill="C6D9F1" w:themeFill="text2" w:themeFillTint="33"/>
            <w:noWrap/>
          </w:tcPr>
          <w:p w14:paraId="10773556" w14:textId="77777777" w:rsidR="006578ED" w:rsidRDefault="006578ED">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vAlign w:val="center"/>
          </w:tcPr>
          <w:p w14:paraId="4845E654" w14:textId="19B273CC"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vAlign w:val="center"/>
          </w:tcPr>
          <w:p w14:paraId="3CA2064C" w14:textId="19B273CC" w:rsidR="006578ED" w:rsidRDefault="00A1618E">
            <w:pPr>
              <w:pStyle w:val="P68B1DB1-Normal12"/>
              <w:spacing w:after="0" w:line="240" w:lineRule="auto"/>
              <w:jc w:val="center"/>
              <w:rPr>
                <w:rFonts w:cs="Times New Roman"/>
                <w:noProof/>
              </w:rPr>
            </w:pPr>
            <w:r>
              <w:rPr>
                <w:noProof/>
              </w:rPr>
              <w:t>Wartość wyjściowa</w:t>
            </w:r>
          </w:p>
        </w:tc>
        <w:tc>
          <w:tcPr>
            <w:tcW w:w="615" w:type="dxa"/>
            <w:shd w:val="clear" w:color="auto" w:fill="C6D9F1" w:themeFill="text2" w:themeFillTint="33"/>
            <w:noWrap/>
            <w:vAlign w:val="center"/>
          </w:tcPr>
          <w:p w14:paraId="2ED86D06" w14:textId="19B273CC" w:rsidR="006578ED" w:rsidRDefault="00A1618E">
            <w:pPr>
              <w:pStyle w:val="P68B1DB1-Normal12"/>
              <w:spacing w:after="0" w:line="240" w:lineRule="auto"/>
              <w:jc w:val="center"/>
              <w:rPr>
                <w:rFonts w:cs="Times New Roman"/>
                <w:noProof/>
              </w:rPr>
            </w:pPr>
            <w:r>
              <w:rPr>
                <w:noProof/>
              </w:rPr>
              <w:t>Cel</w:t>
            </w:r>
          </w:p>
        </w:tc>
        <w:tc>
          <w:tcPr>
            <w:tcW w:w="377" w:type="dxa"/>
            <w:shd w:val="clear" w:color="auto" w:fill="C6D9F1" w:themeFill="text2" w:themeFillTint="33"/>
            <w:noWrap/>
            <w:vAlign w:val="center"/>
          </w:tcPr>
          <w:p w14:paraId="3FDB49BC" w14:textId="19B273CC"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5AA880DF" w14:textId="19B273CC" w:rsidR="006578ED" w:rsidRDefault="00A1618E">
            <w:pPr>
              <w:pStyle w:val="P68B1DB1-Normal12"/>
              <w:spacing w:after="0" w:line="240" w:lineRule="auto"/>
              <w:jc w:val="center"/>
              <w:rPr>
                <w:rFonts w:cs="Times New Roman"/>
                <w:noProof/>
              </w:rPr>
            </w:pPr>
            <w:r>
              <w:rPr>
                <w:noProof/>
              </w:rPr>
              <w:t>Rok</w:t>
            </w:r>
          </w:p>
        </w:tc>
        <w:tc>
          <w:tcPr>
            <w:tcW w:w="7088" w:type="dxa"/>
            <w:tcBorders>
              <w:top w:val="nil"/>
            </w:tcBorders>
            <w:shd w:val="clear" w:color="auto" w:fill="C6D9F1" w:themeFill="text2" w:themeFillTint="33"/>
            <w:noWrap/>
          </w:tcPr>
          <w:p w14:paraId="0D64C11C" w14:textId="77777777" w:rsidR="006578ED" w:rsidRDefault="006578ED">
            <w:pPr>
              <w:spacing w:after="0" w:line="240" w:lineRule="auto"/>
              <w:rPr>
                <w:rFonts w:ascii="Times New Roman" w:hAnsi="Times New Roman" w:cs="Times New Roman"/>
                <w:b/>
                <w:noProof/>
                <w:sz w:val="18"/>
              </w:rPr>
            </w:pPr>
          </w:p>
        </w:tc>
      </w:tr>
      <w:tr w:rsidR="006578ED" w14:paraId="47249D9F" w14:textId="77777777">
        <w:trPr>
          <w:trHeight w:val="309"/>
        </w:trPr>
        <w:tc>
          <w:tcPr>
            <w:tcW w:w="709" w:type="dxa"/>
            <w:shd w:val="clear" w:color="auto" w:fill="C6EFCE"/>
            <w:noWrap/>
          </w:tcPr>
          <w:p w14:paraId="562D5F81" w14:textId="6A6FF0B0" w:rsidR="006578ED" w:rsidRDefault="00A1618E">
            <w:pPr>
              <w:pStyle w:val="P68B1DB1-Normal13"/>
              <w:spacing w:after="0" w:line="240" w:lineRule="auto"/>
              <w:jc w:val="center"/>
              <w:rPr>
                <w:rFonts w:cs="Times New Roman"/>
                <w:noProof/>
              </w:rPr>
            </w:pPr>
            <w:r>
              <w:rPr>
                <w:noProof/>
              </w:rPr>
              <w:t>L2</w:t>
            </w:r>
          </w:p>
        </w:tc>
        <w:tc>
          <w:tcPr>
            <w:tcW w:w="851" w:type="dxa"/>
            <w:shd w:val="clear" w:color="auto" w:fill="C6EFCE"/>
            <w:noWrap/>
          </w:tcPr>
          <w:p w14:paraId="25B5B9CC" w14:textId="04C0F159" w:rsidR="006578ED" w:rsidRDefault="00A1618E">
            <w:pPr>
              <w:pStyle w:val="P68B1DB1-Normal13"/>
              <w:spacing w:after="0" w:line="240" w:lineRule="auto"/>
              <w:jc w:val="center"/>
              <w:rPr>
                <w:rFonts w:eastAsia="MS Mincho" w:cs="Times New Roman"/>
                <w:noProof/>
              </w:rPr>
            </w:pPr>
            <w:r>
              <w:rPr>
                <w:noProof/>
              </w:rPr>
              <w:t>C2.R7</w:t>
            </w:r>
          </w:p>
        </w:tc>
        <w:tc>
          <w:tcPr>
            <w:tcW w:w="850" w:type="dxa"/>
            <w:shd w:val="clear" w:color="auto" w:fill="C6EFCE"/>
            <w:noWrap/>
          </w:tcPr>
          <w:p w14:paraId="47A58A18" w14:textId="68D9537B" w:rsidR="006578ED" w:rsidRDefault="00AF6B91">
            <w:pPr>
              <w:pStyle w:val="P68B1DB1-Normal13"/>
              <w:spacing w:after="0" w:line="240" w:lineRule="auto"/>
              <w:jc w:val="center"/>
              <w:rPr>
                <w:rFonts w:eastAsia="MS Mincho" w:cs="Times New Roman"/>
                <w:noProof/>
              </w:rPr>
            </w:pPr>
            <w:r>
              <w:rPr>
                <w:noProof/>
              </w:rPr>
              <w:t>Kamień milowy</w:t>
            </w:r>
          </w:p>
        </w:tc>
        <w:tc>
          <w:tcPr>
            <w:tcW w:w="1560" w:type="dxa"/>
            <w:shd w:val="clear" w:color="auto" w:fill="C6EFCE"/>
            <w:noWrap/>
          </w:tcPr>
          <w:p w14:paraId="34AFA365" w14:textId="0A028100" w:rsidR="006578ED" w:rsidRDefault="00A1618E">
            <w:pPr>
              <w:pStyle w:val="P68B1DB1-Normal13"/>
              <w:spacing w:after="0" w:line="240" w:lineRule="auto"/>
              <w:rPr>
                <w:rFonts w:eastAsia="MS Mincho" w:cs="Times New Roman"/>
                <w:noProof/>
              </w:rPr>
            </w:pPr>
            <w:r>
              <w:rPr>
                <w:noProof/>
              </w:rPr>
              <w:t xml:space="preserve">Wejście w życie zmiany tekstu skonsolidowanego ustawy o rekultywacji gruntów i obszarów miejskich </w:t>
            </w:r>
          </w:p>
        </w:tc>
        <w:tc>
          <w:tcPr>
            <w:tcW w:w="1275" w:type="dxa"/>
            <w:shd w:val="clear" w:color="auto" w:fill="C6EFCE"/>
            <w:noWrap/>
          </w:tcPr>
          <w:p w14:paraId="511C2A04" w14:textId="0D65A2F7" w:rsidR="006578ED" w:rsidRDefault="00A1618E">
            <w:pPr>
              <w:pStyle w:val="P68B1DB1-Normal13"/>
              <w:spacing w:after="0" w:line="240" w:lineRule="auto"/>
              <w:jc w:val="center"/>
              <w:rPr>
                <w:rFonts w:eastAsia="MS Mincho" w:cs="Times New Roman"/>
                <w:noProof/>
              </w:rPr>
            </w:pPr>
            <w:r>
              <w:rPr>
                <w:noProof/>
              </w:rPr>
              <w:t>Przepis zmienionej ustawy o wejściu w życie</w:t>
            </w:r>
          </w:p>
        </w:tc>
        <w:tc>
          <w:tcPr>
            <w:tcW w:w="851" w:type="dxa"/>
            <w:shd w:val="clear" w:color="auto" w:fill="C6EFCE"/>
            <w:noWrap/>
          </w:tcPr>
          <w:p w14:paraId="4084AA81" w14:textId="77777777" w:rsidR="006578ED" w:rsidRDefault="006578ED">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3C8DE28B" w14:textId="77777777" w:rsidR="006578ED" w:rsidRDefault="006578ED">
            <w:pPr>
              <w:spacing w:after="0" w:line="240" w:lineRule="auto"/>
              <w:jc w:val="right"/>
              <w:rPr>
                <w:rFonts w:ascii="Times New Roman" w:eastAsia="MS Mincho" w:hAnsi="Times New Roman" w:cs="Times New Roman"/>
                <w:noProof/>
                <w:sz w:val="18"/>
              </w:rPr>
            </w:pPr>
          </w:p>
        </w:tc>
        <w:tc>
          <w:tcPr>
            <w:tcW w:w="615" w:type="dxa"/>
            <w:shd w:val="clear" w:color="auto" w:fill="C6EFCE"/>
            <w:noWrap/>
          </w:tcPr>
          <w:p w14:paraId="2A38B382" w14:textId="77777777" w:rsidR="006578ED" w:rsidRDefault="006578ED">
            <w:pPr>
              <w:spacing w:after="0" w:line="240" w:lineRule="auto"/>
              <w:jc w:val="right"/>
              <w:rPr>
                <w:rFonts w:ascii="Times New Roman" w:eastAsia="MS Mincho" w:hAnsi="Times New Roman" w:cs="Times New Roman"/>
                <w:noProof/>
                <w:sz w:val="18"/>
              </w:rPr>
            </w:pPr>
          </w:p>
        </w:tc>
        <w:tc>
          <w:tcPr>
            <w:tcW w:w="377" w:type="dxa"/>
            <w:shd w:val="clear" w:color="auto" w:fill="C6EFCE"/>
            <w:noWrap/>
          </w:tcPr>
          <w:p w14:paraId="5C4B40DD" w14:textId="4797CE82"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4E0458CB" w14:textId="4C86333E" w:rsidR="006578ED" w:rsidRDefault="00A1618E">
            <w:pPr>
              <w:pStyle w:val="P68B1DB1-Normal13"/>
              <w:spacing w:after="0" w:line="240" w:lineRule="auto"/>
              <w:jc w:val="center"/>
              <w:rPr>
                <w:rFonts w:eastAsia="MS Mincho" w:cs="Times New Roman"/>
                <w:noProof/>
              </w:rPr>
            </w:pPr>
            <w:r>
              <w:rPr>
                <w:noProof/>
              </w:rPr>
              <w:t xml:space="preserve"> 2025</w:t>
            </w:r>
          </w:p>
        </w:tc>
        <w:tc>
          <w:tcPr>
            <w:tcW w:w="7088" w:type="dxa"/>
            <w:shd w:val="clear" w:color="auto" w:fill="C6EFCE"/>
            <w:noWrap/>
          </w:tcPr>
          <w:p w14:paraId="17CF3CEA" w14:textId="46BE02AF" w:rsidR="006578ED" w:rsidRDefault="00A1618E">
            <w:pPr>
              <w:pStyle w:val="P68B1DB1-Normal13"/>
              <w:spacing w:after="0" w:line="240" w:lineRule="auto"/>
              <w:jc w:val="both"/>
              <w:rPr>
                <w:rFonts w:eastAsia="MS Mincho" w:cs="Times New Roman"/>
                <w:noProof/>
              </w:rPr>
            </w:pPr>
            <w:r>
              <w:rPr>
                <w:noProof/>
              </w:rPr>
              <w:t xml:space="preserve">Wejście w życie zmiany tekstu skonsolidowanego ustawy o rekultywacji gruntów i obszarów miejskich zatwierdzonej królewskim dekretem ustawodawczym </w:t>
            </w:r>
            <w:r w:rsidRPr="00A1618E">
              <w:rPr>
                <w:noProof/>
                <w:lang w:val="pl-PL"/>
              </w:rPr>
              <w:t>nr 7</w:t>
            </w:r>
            <w:r>
              <w:rPr>
                <w:noProof/>
              </w:rPr>
              <w:t>/2015 z dnia 30 października. Zmiana ma na celu wprowadzenie środków mających na celu przyspieszenie procedur urbanistycznych związanych z działaniami w zakresie rekultywacji budynków i budową budynków na potrzeby mieszkalnictwa socjalnego.</w:t>
            </w:r>
          </w:p>
        </w:tc>
      </w:tr>
      <w:tr w:rsidR="006578ED" w14:paraId="07844CC8" w14:textId="77777777">
        <w:trPr>
          <w:trHeight w:val="309"/>
        </w:trPr>
        <w:tc>
          <w:tcPr>
            <w:tcW w:w="709" w:type="dxa"/>
            <w:shd w:val="clear" w:color="auto" w:fill="C6EFCE"/>
            <w:noWrap/>
          </w:tcPr>
          <w:p w14:paraId="0873ECA3" w14:textId="49855681" w:rsidR="006578ED" w:rsidRDefault="00A1618E">
            <w:pPr>
              <w:pStyle w:val="P68B1DB1-Normal13"/>
              <w:spacing w:after="0" w:line="240" w:lineRule="auto"/>
              <w:jc w:val="center"/>
              <w:rPr>
                <w:rFonts w:cs="Times New Roman"/>
                <w:noProof/>
              </w:rPr>
            </w:pPr>
            <w:r>
              <w:rPr>
                <w:noProof/>
              </w:rPr>
              <w:t>L3</w:t>
            </w:r>
          </w:p>
        </w:tc>
        <w:tc>
          <w:tcPr>
            <w:tcW w:w="851" w:type="dxa"/>
            <w:shd w:val="clear" w:color="auto" w:fill="C6EFCE"/>
            <w:noWrap/>
          </w:tcPr>
          <w:p w14:paraId="6249CDB4" w14:textId="04C0F159" w:rsidR="006578ED" w:rsidRDefault="00A1618E">
            <w:pPr>
              <w:pStyle w:val="P68B1DB1-Normal13"/>
              <w:spacing w:after="0" w:line="240" w:lineRule="auto"/>
              <w:jc w:val="center"/>
              <w:rPr>
                <w:rFonts w:eastAsia="MS Mincho" w:cs="Times New Roman"/>
                <w:noProof/>
              </w:rPr>
            </w:pPr>
            <w:r>
              <w:rPr>
                <w:noProof/>
              </w:rPr>
              <w:t>C2.R7</w:t>
            </w:r>
          </w:p>
        </w:tc>
        <w:tc>
          <w:tcPr>
            <w:tcW w:w="850" w:type="dxa"/>
            <w:shd w:val="clear" w:color="auto" w:fill="C6EFCE"/>
            <w:noWrap/>
          </w:tcPr>
          <w:p w14:paraId="44655DD6" w14:textId="50AC0496" w:rsidR="006578ED" w:rsidRDefault="00AF6B91">
            <w:pPr>
              <w:pStyle w:val="P68B1DB1-Normal13"/>
              <w:spacing w:after="0" w:line="240" w:lineRule="auto"/>
              <w:jc w:val="center"/>
              <w:rPr>
                <w:rFonts w:eastAsia="MS Mincho" w:cs="Times New Roman"/>
                <w:noProof/>
              </w:rPr>
            </w:pPr>
            <w:r>
              <w:rPr>
                <w:noProof/>
              </w:rPr>
              <w:t>Kamień milowy</w:t>
            </w:r>
          </w:p>
        </w:tc>
        <w:tc>
          <w:tcPr>
            <w:tcW w:w="1560" w:type="dxa"/>
            <w:shd w:val="clear" w:color="auto" w:fill="C6EFCE"/>
            <w:noWrap/>
          </w:tcPr>
          <w:p w14:paraId="7FCDC6B6" w14:textId="263F23E8" w:rsidR="006578ED" w:rsidRDefault="00A1618E">
            <w:pPr>
              <w:pStyle w:val="P68B1DB1-Normal13"/>
              <w:spacing w:after="0" w:line="240" w:lineRule="auto"/>
              <w:rPr>
                <w:rFonts w:eastAsia="MS Mincho" w:cs="Times New Roman"/>
                <w:noProof/>
              </w:rPr>
            </w:pPr>
            <w:r>
              <w:rPr>
                <w:noProof/>
              </w:rPr>
              <w:t>Publikacja przewodnika najlepszych praktyk w zakresie uproszczenia i usprawnienia procedur wydawania pozwoleń na planowanie</w:t>
            </w:r>
          </w:p>
        </w:tc>
        <w:tc>
          <w:tcPr>
            <w:tcW w:w="1275" w:type="dxa"/>
            <w:shd w:val="clear" w:color="auto" w:fill="C6EFCE"/>
            <w:noWrap/>
          </w:tcPr>
          <w:p w14:paraId="144D2A82" w14:textId="6F43F947" w:rsidR="006578ED" w:rsidRDefault="00A1618E">
            <w:pPr>
              <w:pStyle w:val="P68B1DB1-Normal13"/>
              <w:spacing w:after="0" w:line="240" w:lineRule="auto"/>
              <w:jc w:val="center"/>
              <w:rPr>
                <w:rFonts w:eastAsia="MS Mincho" w:cs="Times New Roman"/>
                <w:noProof/>
              </w:rPr>
            </w:pPr>
            <w:r>
              <w:rPr>
                <w:noProof/>
              </w:rPr>
              <w:t>Publikacja w internecie</w:t>
            </w:r>
          </w:p>
        </w:tc>
        <w:tc>
          <w:tcPr>
            <w:tcW w:w="851" w:type="dxa"/>
            <w:shd w:val="clear" w:color="auto" w:fill="C6EFCE"/>
            <w:noWrap/>
          </w:tcPr>
          <w:p w14:paraId="6F647066" w14:textId="343CA82C" w:rsidR="006578ED" w:rsidRDefault="006578ED">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7B38FB94" w14:textId="57EB123C" w:rsidR="006578ED" w:rsidRDefault="006578ED">
            <w:pPr>
              <w:spacing w:after="0" w:line="240" w:lineRule="auto"/>
              <w:jc w:val="right"/>
              <w:rPr>
                <w:rFonts w:ascii="Times New Roman" w:eastAsia="MS Mincho" w:hAnsi="Times New Roman" w:cs="Times New Roman"/>
                <w:noProof/>
                <w:sz w:val="18"/>
              </w:rPr>
            </w:pPr>
          </w:p>
        </w:tc>
        <w:tc>
          <w:tcPr>
            <w:tcW w:w="615" w:type="dxa"/>
            <w:shd w:val="clear" w:color="auto" w:fill="C6EFCE"/>
            <w:noWrap/>
          </w:tcPr>
          <w:p w14:paraId="541846CA" w14:textId="3768BCF4" w:rsidR="006578ED" w:rsidRDefault="006578ED">
            <w:pPr>
              <w:spacing w:after="0" w:line="240" w:lineRule="auto"/>
              <w:jc w:val="right"/>
              <w:rPr>
                <w:rFonts w:ascii="Times New Roman" w:eastAsia="MS Mincho" w:hAnsi="Times New Roman" w:cs="Times New Roman"/>
                <w:noProof/>
                <w:sz w:val="18"/>
              </w:rPr>
            </w:pPr>
          </w:p>
        </w:tc>
        <w:tc>
          <w:tcPr>
            <w:tcW w:w="377" w:type="dxa"/>
            <w:shd w:val="clear" w:color="auto" w:fill="C6EFCE"/>
            <w:noWrap/>
          </w:tcPr>
          <w:p w14:paraId="42608E1F" w14:textId="3C292E91"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0D3913D5" w14:textId="27794172" w:rsidR="006578ED" w:rsidRDefault="00A1618E">
            <w:pPr>
              <w:pStyle w:val="P68B1DB1-Normal13"/>
              <w:spacing w:after="0" w:line="240" w:lineRule="auto"/>
              <w:jc w:val="center"/>
              <w:rPr>
                <w:rFonts w:eastAsia="MS Mincho" w:cs="Times New Roman"/>
                <w:noProof/>
              </w:rPr>
            </w:pPr>
            <w:r>
              <w:rPr>
                <w:noProof/>
              </w:rPr>
              <w:t>2025</w:t>
            </w:r>
          </w:p>
        </w:tc>
        <w:tc>
          <w:tcPr>
            <w:tcW w:w="7088" w:type="dxa"/>
            <w:shd w:val="clear" w:color="auto" w:fill="C6EFCE"/>
            <w:noWrap/>
          </w:tcPr>
          <w:p w14:paraId="61BA7A50" w14:textId="68D1D59F" w:rsidR="006578ED" w:rsidRDefault="00A1618E">
            <w:pPr>
              <w:pStyle w:val="P68B1DB1-Normal13"/>
              <w:spacing w:after="0" w:line="240" w:lineRule="auto"/>
              <w:jc w:val="both"/>
              <w:rPr>
                <w:rFonts w:cs="Times New Roman"/>
                <w:noProof/>
              </w:rPr>
            </w:pPr>
            <w:r>
              <w:rPr>
                <w:noProof/>
              </w:rPr>
              <w:t>Publikacja przewodnika zawierającego zalecenia i najlepsze praktyki, które będą służyć jako punkt odniesienia dla uproszczenia i przyspieszenia procedur wydawania zezwoleń w zakresie planowania przestrzennego poprzez zachęcanie do (i) wymiany wiedzy i doświadczeń między administracjami na szczeblu lokalnym, regionalnym i centralnym, (ii) środków mających na celu usystematyzowanie i optymalizację procesów oraz (iii) przyszłego rozwoju projektów pilotażowych w różnych kontekstach terytorialnych.</w:t>
            </w:r>
          </w:p>
        </w:tc>
      </w:tr>
      <w:tr w:rsidR="006578ED" w14:paraId="38D56DF5" w14:textId="77777777">
        <w:trPr>
          <w:trHeight w:val="309"/>
        </w:trPr>
        <w:tc>
          <w:tcPr>
            <w:tcW w:w="709" w:type="dxa"/>
            <w:shd w:val="clear" w:color="auto" w:fill="C6EFCE"/>
            <w:noWrap/>
          </w:tcPr>
          <w:p w14:paraId="581D0E86" w14:textId="61284E5C" w:rsidR="006578ED" w:rsidRDefault="00A1618E">
            <w:pPr>
              <w:pStyle w:val="P68B1DB1-Normal13"/>
              <w:spacing w:after="0" w:line="240" w:lineRule="auto"/>
              <w:jc w:val="center"/>
              <w:rPr>
                <w:rFonts w:cs="Times New Roman"/>
                <w:noProof/>
              </w:rPr>
            </w:pPr>
            <w:r>
              <w:rPr>
                <w:noProof/>
              </w:rPr>
              <w:t>L4</w:t>
            </w:r>
          </w:p>
        </w:tc>
        <w:tc>
          <w:tcPr>
            <w:tcW w:w="851" w:type="dxa"/>
            <w:shd w:val="clear" w:color="auto" w:fill="C6EFCE"/>
            <w:noWrap/>
          </w:tcPr>
          <w:p w14:paraId="6DC31959" w14:textId="3382D85A" w:rsidR="006578ED" w:rsidRDefault="00A1618E">
            <w:pPr>
              <w:pStyle w:val="P68B1DB1-Normal13"/>
              <w:spacing w:after="0" w:line="240" w:lineRule="auto"/>
              <w:jc w:val="center"/>
              <w:rPr>
                <w:rFonts w:cs="Times New Roman"/>
                <w:noProof/>
              </w:rPr>
            </w:pPr>
            <w:r>
              <w:rPr>
                <w:noProof/>
              </w:rPr>
              <w:t>C2.I7</w:t>
            </w:r>
          </w:p>
        </w:tc>
        <w:tc>
          <w:tcPr>
            <w:tcW w:w="850" w:type="dxa"/>
            <w:shd w:val="clear" w:color="auto" w:fill="C6EFCE"/>
            <w:noWrap/>
          </w:tcPr>
          <w:p w14:paraId="70B05008" w14:textId="085BABB1" w:rsidR="006578ED" w:rsidRDefault="00AF6B91">
            <w:pPr>
              <w:pStyle w:val="P68B1DB1-Normal13"/>
              <w:spacing w:after="0" w:line="240" w:lineRule="auto"/>
              <w:jc w:val="center"/>
              <w:rPr>
                <w:rFonts w:eastAsia="MS Mincho" w:cs="Times New Roman"/>
                <w:noProof/>
              </w:rPr>
            </w:pPr>
            <w:r>
              <w:rPr>
                <w:noProof/>
              </w:rPr>
              <w:t>Kamień milowy</w:t>
            </w:r>
          </w:p>
        </w:tc>
        <w:tc>
          <w:tcPr>
            <w:tcW w:w="1560" w:type="dxa"/>
            <w:shd w:val="clear" w:color="auto" w:fill="C6EFCE"/>
            <w:noWrap/>
          </w:tcPr>
          <w:p w14:paraId="36FB47E8" w14:textId="5CCF2693" w:rsidR="006578ED" w:rsidRDefault="00A1618E">
            <w:pPr>
              <w:pStyle w:val="P68B1DB1-Normal13"/>
              <w:spacing w:after="0" w:line="240" w:lineRule="auto"/>
              <w:rPr>
                <w:rFonts w:eastAsia="MS Mincho" w:cs="Times New Roman"/>
                <w:noProof/>
              </w:rPr>
            </w:pPr>
            <w:r>
              <w:rPr>
                <w:noProof/>
              </w:rPr>
              <w:t>Umowa wykonawcza</w:t>
            </w:r>
          </w:p>
        </w:tc>
        <w:tc>
          <w:tcPr>
            <w:tcW w:w="1275" w:type="dxa"/>
            <w:shd w:val="clear" w:color="auto" w:fill="C6EFCE"/>
            <w:noWrap/>
          </w:tcPr>
          <w:p w14:paraId="610252A4" w14:textId="719F67D5" w:rsidR="006578ED" w:rsidRDefault="00A1618E">
            <w:pPr>
              <w:pStyle w:val="P68B1DB1-Normal13"/>
              <w:spacing w:after="0" w:line="240" w:lineRule="auto"/>
              <w:jc w:val="center"/>
              <w:rPr>
                <w:rFonts w:eastAsia="MS Mincho" w:cs="Times New Roman"/>
                <w:noProof/>
              </w:rPr>
            </w:pPr>
            <w:r>
              <w:rPr>
                <w:noProof/>
              </w:rPr>
              <w:t>Wejście w życie umowy wykonawczej </w:t>
            </w:r>
          </w:p>
        </w:tc>
        <w:tc>
          <w:tcPr>
            <w:tcW w:w="851" w:type="dxa"/>
            <w:shd w:val="clear" w:color="auto" w:fill="C6EFCE"/>
            <w:noWrap/>
          </w:tcPr>
          <w:p w14:paraId="312942BC" w14:textId="77777777" w:rsidR="006578ED" w:rsidRDefault="006578ED">
            <w:pPr>
              <w:spacing w:after="0" w:line="240" w:lineRule="auto"/>
              <w:jc w:val="center"/>
              <w:rPr>
                <w:rFonts w:ascii="Times New Roman" w:eastAsia="MS Mincho" w:hAnsi="Times New Roman" w:cs="Times New Roman"/>
                <w:noProof/>
                <w:sz w:val="18"/>
              </w:rPr>
            </w:pPr>
          </w:p>
        </w:tc>
        <w:tc>
          <w:tcPr>
            <w:tcW w:w="567" w:type="dxa"/>
            <w:shd w:val="clear" w:color="auto" w:fill="C6EFCE"/>
            <w:noWrap/>
          </w:tcPr>
          <w:p w14:paraId="16F1E204" w14:textId="77777777" w:rsidR="006578ED" w:rsidRDefault="006578ED">
            <w:pPr>
              <w:spacing w:after="0" w:line="240" w:lineRule="auto"/>
              <w:jc w:val="center"/>
              <w:rPr>
                <w:rFonts w:ascii="Times New Roman" w:eastAsia="MS Mincho" w:hAnsi="Times New Roman" w:cs="Times New Roman"/>
                <w:noProof/>
                <w:sz w:val="18"/>
              </w:rPr>
            </w:pPr>
          </w:p>
        </w:tc>
        <w:tc>
          <w:tcPr>
            <w:tcW w:w="615" w:type="dxa"/>
            <w:shd w:val="clear" w:color="auto" w:fill="C6EFCE"/>
            <w:noWrap/>
          </w:tcPr>
          <w:p w14:paraId="58788460" w14:textId="77777777" w:rsidR="006578ED" w:rsidRDefault="006578ED">
            <w:pPr>
              <w:spacing w:after="0" w:line="240" w:lineRule="auto"/>
              <w:jc w:val="center"/>
              <w:rPr>
                <w:rFonts w:ascii="Times New Roman" w:eastAsia="MS Mincho" w:hAnsi="Times New Roman" w:cs="Times New Roman"/>
                <w:noProof/>
                <w:sz w:val="18"/>
              </w:rPr>
            </w:pPr>
          </w:p>
        </w:tc>
        <w:tc>
          <w:tcPr>
            <w:tcW w:w="377" w:type="dxa"/>
            <w:shd w:val="clear" w:color="auto" w:fill="C6EFCE"/>
            <w:noWrap/>
          </w:tcPr>
          <w:p w14:paraId="227B374F" w14:textId="0C416F28"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6C05A2C5" w14:textId="0E982D44" w:rsidR="006578ED" w:rsidRDefault="00A1618E">
            <w:pPr>
              <w:pStyle w:val="P68B1DB1-Normal13"/>
              <w:spacing w:after="0" w:line="240" w:lineRule="auto"/>
              <w:jc w:val="center"/>
              <w:rPr>
                <w:rFonts w:eastAsia="MS Mincho" w:cs="Times New Roman"/>
                <w:noProof/>
              </w:rPr>
            </w:pPr>
            <w:r>
              <w:rPr>
                <w:noProof/>
              </w:rPr>
              <w:t>2023</w:t>
            </w:r>
          </w:p>
        </w:tc>
        <w:tc>
          <w:tcPr>
            <w:tcW w:w="7088" w:type="dxa"/>
            <w:shd w:val="clear" w:color="auto" w:fill="C6EFCE"/>
            <w:noWrap/>
          </w:tcPr>
          <w:p w14:paraId="2F424DF0" w14:textId="5B904C0B" w:rsidR="006578ED" w:rsidRDefault="00A1618E">
            <w:pPr>
              <w:pStyle w:val="P68B1DB1-Normal13"/>
              <w:spacing w:after="0" w:line="240" w:lineRule="auto"/>
              <w:rPr>
                <w:rFonts w:eastAsia="Times New Roman" w:cs="Times New Roman"/>
                <w:noProof/>
              </w:rPr>
            </w:pPr>
            <w:r>
              <w:rPr>
                <w:noProof/>
              </w:rPr>
              <w:t>Wejście w życie umowy wykonawczej.</w:t>
            </w:r>
          </w:p>
        </w:tc>
      </w:tr>
      <w:tr w:rsidR="006578ED" w14:paraId="2CD0167A" w14:textId="77777777">
        <w:trPr>
          <w:trHeight w:val="309"/>
        </w:trPr>
        <w:tc>
          <w:tcPr>
            <w:tcW w:w="709" w:type="dxa"/>
            <w:shd w:val="clear" w:color="auto" w:fill="C6EFCE"/>
            <w:noWrap/>
          </w:tcPr>
          <w:p w14:paraId="392D9D71" w14:textId="56AACBAD" w:rsidR="006578ED" w:rsidRDefault="00A1618E">
            <w:pPr>
              <w:pStyle w:val="P68B1DB1-Normal13"/>
              <w:spacing w:after="0" w:line="240" w:lineRule="auto"/>
              <w:jc w:val="center"/>
              <w:rPr>
                <w:rFonts w:cs="Times New Roman"/>
                <w:noProof/>
              </w:rPr>
            </w:pPr>
            <w:r>
              <w:rPr>
                <w:noProof/>
              </w:rPr>
              <w:t>L5</w:t>
            </w:r>
          </w:p>
        </w:tc>
        <w:tc>
          <w:tcPr>
            <w:tcW w:w="851" w:type="dxa"/>
            <w:shd w:val="clear" w:color="auto" w:fill="C6EFCE"/>
            <w:noWrap/>
          </w:tcPr>
          <w:p w14:paraId="25FDDC15" w14:textId="5CA09D84" w:rsidR="006578ED" w:rsidRDefault="00A1618E">
            <w:pPr>
              <w:pStyle w:val="P68B1DB1-Normal13"/>
              <w:spacing w:after="0" w:line="240" w:lineRule="auto"/>
              <w:jc w:val="center"/>
              <w:rPr>
                <w:rFonts w:eastAsia="MS Mincho" w:cs="Times New Roman"/>
                <w:noProof/>
              </w:rPr>
            </w:pPr>
            <w:r>
              <w:rPr>
                <w:noProof/>
              </w:rPr>
              <w:t>C2.I7</w:t>
            </w:r>
          </w:p>
        </w:tc>
        <w:tc>
          <w:tcPr>
            <w:tcW w:w="850" w:type="dxa"/>
            <w:shd w:val="clear" w:color="auto" w:fill="C6EFCE"/>
            <w:noWrap/>
          </w:tcPr>
          <w:p w14:paraId="16F0D7EA" w14:textId="4178C8BD" w:rsidR="006578ED" w:rsidRDefault="00AF6B91">
            <w:pPr>
              <w:pStyle w:val="P68B1DB1-Normal13"/>
              <w:spacing w:after="0" w:line="240" w:lineRule="auto"/>
              <w:jc w:val="center"/>
              <w:rPr>
                <w:rFonts w:cs="Times New Roman"/>
                <w:noProof/>
              </w:rPr>
            </w:pPr>
            <w:r>
              <w:rPr>
                <w:noProof/>
              </w:rPr>
              <w:t>Cel</w:t>
            </w:r>
          </w:p>
        </w:tc>
        <w:tc>
          <w:tcPr>
            <w:tcW w:w="1560" w:type="dxa"/>
            <w:shd w:val="clear" w:color="auto" w:fill="C6EFCE"/>
            <w:noWrap/>
          </w:tcPr>
          <w:p w14:paraId="3097EE05" w14:textId="4D6F6D2A" w:rsidR="006578ED" w:rsidRDefault="00A1618E">
            <w:pPr>
              <w:pStyle w:val="P68B1DB1-Normal13"/>
              <w:spacing w:after="0" w:line="240" w:lineRule="auto"/>
              <w:rPr>
                <w:rFonts w:eastAsia="Times New Roman" w:cs="Times New Roman"/>
                <w:noProof/>
              </w:rPr>
            </w:pPr>
            <w:r>
              <w:rPr>
                <w:noProof/>
              </w:rPr>
              <w:t>Instrument pożyczkowy ICO na rzecz promowania mieszkalnictwa socjalnego: Umowy prawne podpisane z beneficjentami końcowymi (I)</w:t>
            </w:r>
          </w:p>
        </w:tc>
        <w:tc>
          <w:tcPr>
            <w:tcW w:w="1275" w:type="dxa"/>
            <w:shd w:val="clear" w:color="auto" w:fill="C6EFCE"/>
            <w:noWrap/>
          </w:tcPr>
          <w:p w14:paraId="4F9310A1" w14:textId="4B6AD6EB" w:rsidR="006578ED" w:rsidRDefault="00A1618E">
            <w:pPr>
              <w:pStyle w:val="P68B1DB1-Normal13"/>
              <w:spacing w:after="0" w:line="240" w:lineRule="auto"/>
              <w:jc w:val="center"/>
              <w:rPr>
                <w:rFonts w:eastAsia="MS Mincho" w:cs="Times New Roman"/>
                <w:noProof/>
              </w:rPr>
            </w:pPr>
            <w:r>
              <w:rPr>
                <w:noProof/>
              </w:rPr>
              <w:t>Wejście w życie prawnych umów w sprawie finansowania</w:t>
            </w:r>
          </w:p>
        </w:tc>
        <w:tc>
          <w:tcPr>
            <w:tcW w:w="851" w:type="dxa"/>
            <w:shd w:val="clear" w:color="auto" w:fill="C6EFCE"/>
            <w:noWrap/>
          </w:tcPr>
          <w:p w14:paraId="57F1D005" w14:textId="77777777" w:rsidR="006578ED" w:rsidRDefault="006578ED">
            <w:pPr>
              <w:spacing w:after="0" w:line="240" w:lineRule="auto"/>
              <w:jc w:val="center"/>
              <w:rPr>
                <w:rFonts w:ascii="Times New Roman" w:eastAsia="MS Mincho" w:hAnsi="Times New Roman" w:cs="Times New Roman"/>
                <w:noProof/>
                <w:sz w:val="18"/>
              </w:rPr>
            </w:pPr>
          </w:p>
        </w:tc>
        <w:tc>
          <w:tcPr>
            <w:tcW w:w="567" w:type="dxa"/>
            <w:shd w:val="clear" w:color="auto" w:fill="C6EFCE"/>
            <w:noWrap/>
          </w:tcPr>
          <w:p w14:paraId="72C6405B" w14:textId="39EBCFBA" w:rsidR="006578ED" w:rsidRDefault="00A1618E">
            <w:pPr>
              <w:pStyle w:val="P68B1DB1-Normal13"/>
              <w:spacing w:after="0" w:line="240" w:lineRule="auto"/>
              <w:jc w:val="center"/>
              <w:rPr>
                <w:rFonts w:eastAsia="MS Mincho" w:cs="Times New Roman"/>
                <w:noProof/>
              </w:rPr>
            </w:pPr>
            <w:r>
              <w:rPr>
                <w:noProof/>
              </w:rPr>
              <w:t>0</w:t>
            </w:r>
          </w:p>
        </w:tc>
        <w:tc>
          <w:tcPr>
            <w:tcW w:w="615" w:type="dxa"/>
            <w:shd w:val="clear" w:color="auto" w:fill="C6EFCE"/>
            <w:noWrap/>
          </w:tcPr>
          <w:p w14:paraId="3A9FDC85" w14:textId="21C170F1" w:rsidR="006578ED" w:rsidRDefault="00A1618E">
            <w:pPr>
              <w:pStyle w:val="P68B1DB1-Normal13"/>
              <w:spacing w:after="0" w:line="240" w:lineRule="auto"/>
              <w:jc w:val="center"/>
              <w:rPr>
                <w:rFonts w:eastAsia="MS Mincho" w:cs="Times New Roman"/>
                <w:noProof/>
              </w:rPr>
            </w:pPr>
            <w:r>
              <w:rPr>
                <w:noProof/>
              </w:rPr>
              <w:t>40 %</w:t>
            </w:r>
          </w:p>
        </w:tc>
        <w:tc>
          <w:tcPr>
            <w:tcW w:w="377" w:type="dxa"/>
            <w:shd w:val="clear" w:color="auto" w:fill="C6EFCE"/>
            <w:noWrap/>
          </w:tcPr>
          <w:p w14:paraId="21DB9EBA" w14:textId="77CA818F"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01651932" w14:textId="611A3511" w:rsidR="006578ED" w:rsidRDefault="00A1618E">
            <w:pPr>
              <w:pStyle w:val="P68B1DB1-Normal13"/>
              <w:spacing w:after="0" w:line="240" w:lineRule="auto"/>
              <w:jc w:val="center"/>
              <w:rPr>
                <w:rFonts w:eastAsia="MS Mincho" w:cs="Times New Roman"/>
                <w:noProof/>
              </w:rPr>
            </w:pPr>
            <w:r>
              <w:rPr>
                <w:noProof/>
              </w:rPr>
              <w:t>2025</w:t>
            </w:r>
          </w:p>
        </w:tc>
        <w:tc>
          <w:tcPr>
            <w:tcW w:w="7088" w:type="dxa"/>
            <w:shd w:val="clear" w:color="auto" w:fill="C6EFCE"/>
            <w:noWrap/>
          </w:tcPr>
          <w:p w14:paraId="51ED6664" w14:textId="0930890D" w:rsidR="006578ED" w:rsidRDefault="00A1618E">
            <w:pPr>
              <w:pStyle w:val="P68B1DB1-Normal13"/>
              <w:spacing w:after="0" w:line="240" w:lineRule="auto"/>
              <w:rPr>
                <w:rFonts w:eastAsia="Times New Roman" w:cs="Times New Roman"/>
                <w:noProof/>
              </w:rPr>
            </w:pPr>
            <w:r>
              <w:rPr>
                <w:noProof/>
              </w:rPr>
              <w:t xml:space="preserve">ICO i pośrednicy wybrani przez ICO zawierają z beneficjentami końcowymi prawne umowy w sprawie finansowania na kwotę niezbędną do wykorzystania co najmniej 40 % inwestycji RRF w instrument (z uwzględnieniem opłat za zarządzanie). Komisarz ds. Informacji sporządza sprawozdanie wyszczególniające odsetek tego finansowania, które przyczynia się do realizacji celów klimatycznych, z wykorzystaniem metodyki określonej w załączniku VI do rozporządzenia w sprawie RRF. </w:t>
            </w:r>
          </w:p>
        </w:tc>
      </w:tr>
      <w:tr w:rsidR="006578ED" w14:paraId="746F530B" w14:textId="77777777">
        <w:trPr>
          <w:trHeight w:val="1347"/>
        </w:trPr>
        <w:tc>
          <w:tcPr>
            <w:tcW w:w="709" w:type="dxa"/>
            <w:shd w:val="clear" w:color="auto" w:fill="C6EFCE"/>
            <w:noWrap/>
          </w:tcPr>
          <w:p w14:paraId="4E2B308E" w14:textId="0CF5707A" w:rsidR="006578ED" w:rsidRDefault="00A1618E">
            <w:pPr>
              <w:pStyle w:val="P68B1DB1-Normal13"/>
              <w:spacing w:line="240" w:lineRule="auto"/>
              <w:jc w:val="center"/>
              <w:rPr>
                <w:rFonts w:cs="Times New Roman"/>
                <w:noProof/>
              </w:rPr>
            </w:pPr>
            <w:r>
              <w:rPr>
                <w:noProof/>
              </w:rPr>
              <w:t>L6</w:t>
            </w:r>
          </w:p>
        </w:tc>
        <w:tc>
          <w:tcPr>
            <w:tcW w:w="851" w:type="dxa"/>
            <w:shd w:val="clear" w:color="auto" w:fill="C6EFCE"/>
            <w:noWrap/>
          </w:tcPr>
          <w:p w14:paraId="058524C6" w14:textId="0333633D" w:rsidR="006578ED" w:rsidRDefault="00A1618E">
            <w:pPr>
              <w:pStyle w:val="P68B1DB1-Normal13"/>
              <w:spacing w:line="240" w:lineRule="auto"/>
              <w:jc w:val="center"/>
              <w:rPr>
                <w:rFonts w:cs="Times New Roman"/>
                <w:noProof/>
              </w:rPr>
            </w:pPr>
            <w:r>
              <w:rPr>
                <w:noProof/>
              </w:rPr>
              <w:t>C2.I7</w:t>
            </w:r>
          </w:p>
        </w:tc>
        <w:tc>
          <w:tcPr>
            <w:tcW w:w="850" w:type="dxa"/>
            <w:shd w:val="clear" w:color="auto" w:fill="C6EFCE"/>
            <w:noWrap/>
          </w:tcPr>
          <w:p w14:paraId="304E6E44" w14:textId="0F33AF65" w:rsidR="006578ED" w:rsidRDefault="00AF6B91">
            <w:pPr>
              <w:pStyle w:val="P68B1DB1-Normal13"/>
              <w:spacing w:line="240" w:lineRule="auto"/>
              <w:jc w:val="center"/>
              <w:rPr>
                <w:rFonts w:cs="Times New Roman"/>
                <w:noProof/>
              </w:rPr>
            </w:pPr>
            <w:r>
              <w:rPr>
                <w:noProof/>
              </w:rPr>
              <w:t>Cel</w:t>
            </w:r>
          </w:p>
        </w:tc>
        <w:tc>
          <w:tcPr>
            <w:tcW w:w="1560" w:type="dxa"/>
            <w:shd w:val="clear" w:color="auto" w:fill="C6EFCE"/>
            <w:noWrap/>
          </w:tcPr>
          <w:p w14:paraId="428F4723" w14:textId="3359A49B" w:rsidR="006578ED" w:rsidRDefault="00A1618E">
            <w:pPr>
              <w:pStyle w:val="P68B1DB1-Normal13"/>
              <w:spacing w:line="240" w:lineRule="auto"/>
              <w:rPr>
                <w:rFonts w:eastAsia="Times New Roman" w:cs="Times New Roman"/>
                <w:noProof/>
              </w:rPr>
            </w:pPr>
            <w:r>
              <w:rPr>
                <w:noProof/>
              </w:rPr>
              <w:t>Instrument pożyczkowy ICO na rzecz promowania mieszkalnictwa socjalnego: Umowy prawne podpisane z beneficjentami końcowymi (II)</w:t>
            </w:r>
          </w:p>
        </w:tc>
        <w:tc>
          <w:tcPr>
            <w:tcW w:w="1275" w:type="dxa"/>
            <w:shd w:val="clear" w:color="auto" w:fill="C6EFCE"/>
            <w:noWrap/>
          </w:tcPr>
          <w:p w14:paraId="5C08B433" w14:textId="45F9E374" w:rsidR="006578ED" w:rsidRDefault="00A1618E">
            <w:pPr>
              <w:pStyle w:val="P68B1DB1-Normal13"/>
              <w:spacing w:line="240" w:lineRule="auto"/>
              <w:jc w:val="center"/>
              <w:rPr>
                <w:rFonts w:eastAsia="MS Mincho" w:cs="Times New Roman"/>
                <w:noProof/>
              </w:rPr>
            </w:pPr>
            <w:r>
              <w:rPr>
                <w:noProof/>
              </w:rPr>
              <w:t>Wejście w życie prawnych umów w sprawie finansowania</w:t>
            </w:r>
          </w:p>
        </w:tc>
        <w:tc>
          <w:tcPr>
            <w:tcW w:w="851" w:type="dxa"/>
            <w:shd w:val="clear" w:color="auto" w:fill="C6EFCE"/>
            <w:noWrap/>
          </w:tcPr>
          <w:p w14:paraId="2D173D44" w14:textId="0FCC8573" w:rsidR="006578ED" w:rsidRDefault="006578ED">
            <w:pPr>
              <w:spacing w:line="240" w:lineRule="auto"/>
              <w:jc w:val="center"/>
              <w:rPr>
                <w:rFonts w:ascii="Times New Roman" w:eastAsia="MS Mincho" w:hAnsi="Times New Roman" w:cs="Times New Roman"/>
                <w:noProof/>
                <w:sz w:val="18"/>
              </w:rPr>
            </w:pPr>
          </w:p>
        </w:tc>
        <w:tc>
          <w:tcPr>
            <w:tcW w:w="567" w:type="dxa"/>
            <w:shd w:val="clear" w:color="auto" w:fill="C6EFCE"/>
            <w:noWrap/>
          </w:tcPr>
          <w:p w14:paraId="4D6F13DE" w14:textId="21999F9C" w:rsidR="006578ED" w:rsidRDefault="00A1618E">
            <w:pPr>
              <w:pStyle w:val="P68B1DB1-Normal13"/>
              <w:spacing w:line="240" w:lineRule="auto"/>
              <w:jc w:val="center"/>
              <w:rPr>
                <w:rFonts w:eastAsia="MS Mincho" w:cs="Times New Roman"/>
                <w:noProof/>
              </w:rPr>
            </w:pPr>
            <w:r>
              <w:rPr>
                <w:noProof/>
              </w:rPr>
              <w:t>40 %</w:t>
            </w:r>
          </w:p>
        </w:tc>
        <w:tc>
          <w:tcPr>
            <w:tcW w:w="615" w:type="dxa"/>
            <w:shd w:val="clear" w:color="auto" w:fill="C6EFCE"/>
            <w:noWrap/>
          </w:tcPr>
          <w:p w14:paraId="0246FBFE" w14:textId="2C356C95" w:rsidR="006578ED" w:rsidRDefault="00A1618E">
            <w:pPr>
              <w:pStyle w:val="P68B1DB1-Normal13"/>
              <w:spacing w:line="240" w:lineRule="auto"/>
              <w:jc w:val="center"/>
              <w:rPr>
                <w:rFonts w:eastAsia="MS Mincho" w:cs="Times New Roman"/>
                <w:noProof/>
              </w:rPr>
            </w:pPr>
            <w:r>
              <w:rPr>
                <w:noProof/>
              </w:rPr>
              <w:t>100 %</w:t>
            </w:r>
          </w:p>
        </w:tc>
        <w:tc>
          <w:tcPr>
            <w:tcW w:w="377" w:type="dxa"/>
            <w:shd w:val="clear" w:color="auto" w:fill="C6EFCE"/>
            <w:noWrap/>
          </w:tcPr>
          <w:p w14:paraId="443766DD" w14:textId="5E3C6A55" w:rsidR="006578ED" w:rsidRDefault="00EC188C">
            <w:pPr>
              <w:pStyle w:val="P68B1DB1-Normal13"/>
              <w:spacing w:line="240" w:lineRule="auto"/>
              <w:jc w:val="center"/>
              <w:rPr>
                <w:rFonts w:eastAsia="MS Mincho" w:cs="Times New Roman"/>
                <w:noProof/>
              </w:rPr>
            </w:pPr>
            <w:r>
              <w:rPr>
                <w:noProof/>
              </w:rPr>
              <w:t>KW. 3</w:t>
            </w:r>
          </w:p>
        </w:tc>
        <w:tc>
          <w:tcPr>
            <w:tcW w:w="567" w:type="dxa"/>
            <w:shd w:val="clear" w:color="auto" w:fill="C6EFCE"/>
            <w:noWrap/>
          </w:tcPr>
          <w:p w14:paraId="4C89FFCC" w14:textId="13364794" w:rsidR="006578ED" w:rsidRDefault="00A1618E">
            <w:pPr>
              <w:pStyle w:val="P68B1DB1-Normal13"/>
              <w:spacing w:line="240" w:lineRule="auto"/>
              <w:jc w:val="center"/>
              <w:rPr>
                <w:rFonts w:eastAsia="MS Mincho" w:cs="Times New Roman"/>
                <w:noProof/>
              </w:rPr>
            </w:pPr>
            <w:r>
              <w:rPr>
                <w:noProof/>
              </w:rPr>
              <w:t>2026</w:t>
            </w:r>
          </w:p>
        </w:tc>
        <w:tc>
          <w:tcPr>
            <w:tcW w:w="7088" w:type="dxa"/>
            <w:shd w:val="clear" w:color="auto" w:fill="C6EFCE"/>
            <w:noWrap/>
          </w:tcPr>
          <w:p w14:paraId="6A232E7E" w14:textId="744F1EBD" w:rsidR="006578ED" w:rsidRDefault="00A1618E">
            <w:pPr>
              <w:pStyle w:val="P68B1DB1-Normal13"/>
              <w:spacing w:line="240" w:lineRule="auto"/>
              <w:rPr>
                <w:rFonts w:eastAsia="MS Mincho" w:cs="Times New Roman"/>
                <w:noProof/>
                <w:highlight w:val="yellow"/>
              </w:rPr>
            </w:pPr>
            <w:r>
              <w:rPr>
                <w:noProof/>
              </w:rPr>
              <w:t>ICO i pośrednicy wybrani przez ICO zawierają z beneficjentami końcowymi prawne umowy w sprawie finansowania na kwotę niezbędną do wykorzystania 100 % inwestycji RRF w instrument (z uwzględnieniem opłat za zarządzanie). Co najmniej 53 % tego finansowania przyczynia się do realizacji celów klimatycznych przy użyciu metodyki określonej w załączniku VI do rozporządzenia w sprawie RRF.</w:t>
            </w:r>
          </w:p>
        </w:tc>
      </w:tr>
      <w:tr w:rsidR="006578ED" w14:paraId="6B2B8293" w14:textId="77777777">
        <w:trPr>
          <w:trHeight w:val="309"/>
        </w:trPr>
        <w:tc>
          <w:tcPr>
            <w:tcW w:w="709" w:type="dxa"/>
            <w:shd w:val="clear" w:color="auto" w:fill="C6EFCE"/>
            <w:noWrap/>
          </w:tcPr>
          <w:p w14:paraId="1CF3BA19" w14:textId="0C399F54" w:rsidR="006578ED" w:rsidRDefault="00A1618E">
            <w:pPr>
              <w:pStyle w:val="P68B1DB1-Normal13"/>
              <w:spacing w:line="240" w:lineRule="auto"/>
              <w:jc w:val="center"/>
              <w:rPr>
                <w:rFonts w:cs="Times New Roman"/>
                <w:noProof/>
              </w:rPr>
            </w:pPr>
            <w:r>
              <w:rPr>
                <w:noProof/>
              </w:rPr>
              <w:t>L7</w:t>
            </w:r>
          </w:p>
        </w:tc>
        <w:tc>
          <w:tcPr>
            <w:tcW w:w="851" w:type="dxa"/>
            <w:shd w:val="clear" w:color="auto" w:fill="C6EFCE"/>
            <w:noWrap/>
          </w:tcPr>
          <w:p w14:paraId="1408412B" w14:textId="7DB586C1" w:rsidR="006578ED" w:rsidRDefault="00A1618E">
            <w:pPr>
              <w:pStyle w:val="P68B1DB1-Normal13"/>
              <w:spacing w:line="240" w:lineRule="auto"/>
              <w:jc w:val="center"/>
              <w:rPr>
                <w:rFonts w:cs="Times New Roman"/>
                <w:noProof/>
              </w:rPr>
            </w:pPr>
            <w:r>
              <w:rPr>
                <w:noProof/>
              </w:rPr>
              <w:t>C2.I7</w:t>
            </w:r>
          </w:p>
        </w:tc>
        <w:tc>
          <w:tcPr>
            <w:tcW w:w="850" w:type="dxa"/>
            <w:shd w:val="clear" w:color="auto" w:fill="C6EFCE"/>
            <w:noWrap/>
          </w:tcPr>
          <w:p w14:paraId="10367F2B" w14:textId="1CEA9E09" w:rsidR="006578ED" w:rsidRDefault="00AF6B91">
            <w:pPr>
              <w:pStyle w:val="P68B1DB1-Normal13"/>
              <w:spacing w:line="240" w:lineRule="auto"/>
              <w:jc w:val="center"/>
              <w:rPr>
                <w:rFonts w:eastAsia="Times New Roman" w:cs="Times New Roman"/>
                <w:noProof/>
              </w:rPr>
            </w:pPr>
            <w:r>
              <w:rPr>
                <w:noProof/>
              </w:rPr>
              <w:t>Kamień milowy</w:t>
            </w:r>
          </w:p>
        </w:tc>
        <w:tc>
          <w:tcPr>
            <w:tcW w:w="1560" w:type="dxa"/>
            <w:shd w:val="clear" w:color="auto" w:fill="C6EFCE"/>
            <w:noWrap/>
          </w:tcPr>
          <w:p w14:paraId="7C8F71CB" w14:textId="5F7C72DA" w:rsidR="006578ED" w:rsidRDefault="00A1618E">
            <w:pPr>
              <w:pStyle w:val="P68B1DB1-Normal13"/>
              <w:spacing w:line="240" w:lineRule="auto"/>
              <w:rPr>
                <w:rFonts w:eastAsia="Times New Roman" w:cs="Times New Roman"/>
                <w:noProof/>
              </w:rPr>
            </w:pPr>
            <w:r>
              <w:rPr>
                <w:noProof/>
              </w:rPr>
              <w:t>Instrument pożyczkowy ICO na rzecz promowania mieszkalnictwa socjalnego: Ministerstwo zakończyło inwestycję</w:t>
            </w:r>
          </w:p>
        </w:tc>
        <w:tc>
          <w:tcPr>
            <w:tcW w:w="1275" w:type="dxa"/>
            <w:shd w:val="clear" w:color="auto" w:fill="C6EFCE"/>
            <w:noWrap/>
          </w:tcPr>
          <w:p w14:paraId="71336454" w14:textId="444EFBFF" w:rsidR="006578ED" w:rsidRDefault="00A1618E">
            <w:pPr>
              <w:pStyle w:val="P68B1DB1-Normal13"/>
              <w:spacing w:line="240" w:lineRule="auto"/>
              <w:jc w:val="center"/>
              <w:rPr>
                <w:rFonts w:eastAsia="Times New Roman" w:cs="Times New Roman"/>
                <w:noProof/>
              </w:rPr>
            </w:pPr>
            <w:r>
              <w:rPr>
                <w:noProof/>
              </w:rPr>
              <w:t>Świadectwo transferu</w:t>
            </w:r>
          </w:p>
        </w:tc>
        <w:tc>
          <w:tcPr>
            <w:tcW w:w="851" w:type="dxa"/>
            <w:shd w:val="clear" w:color="auto" w:fill="C6EFCE"/>
            <w:noWrap/>
          </w:tcPr>
          <w:p w14:paraId="25B9BE26" w14:textId="4D610181" w:rsidR="006578ED" w:rsidRDefault="006578ED">
            <w:pPr>
              <w:spacing w:line="240" w:lineRule="auto"/>
              <w:jc w:val="center"/>
              <w:rPr>
                <w:rFonts w:ascii="Times New Roman" w:eastAsia="Times New Roman" w:hAnsi="Times New Roman" w:cs="Times New Roman"/>
                <w:noProof/>
                <w:sz w:val="18"/>
              </w:rPr>
            </w:pPr>
          </w:p>
        </w:tc>
        <w:tc>
          <w:tcPr>
            <w:tcW w:w="567" w:type="dxa"/>
            <w:shd w:val="clear" w:color="auto" w:fill="C6EFCE"/>
            <w:noWrap/>
          </w:tcPr>
          <w:p w14:paraId="122EAD9D" w14:textId="40776BE9" w:rsidR="006578ED" w:rsidRDefault="006578ED">
            <w:pPr>
              <w:spacing w:line="240" w:lineRule="auto"/>
              <w:jc w:val="center"/>
              <w:rPr>
                <w:rFonts w:ascii="Times New Roman" w:eastAsia="Times New Roman" w:hAnsi="Times New Roman" w:cs="Times New Roman"/>
                <w:noProof/>
                <w:sz w:val="18"/>
              </w:rPr>
            </w:pPr>
          </w:p>
        </w:tc>
        <w:tc>
          <w:tcPr>
            <w:tcW w:w="615" w:type="dxa"/>
            <w:shd w:val="clear" w:color="auto" w:fill="C6EFCE"/>
            <w:noWrap/>
          </w:tcPr>
          <w:p w14:paraId="7D2A09D9" w14:textId="0C44DE8B" w:rsidR="006578ED" w:rsidRDefault="006578ED">
            <w:pPr>
              <w:spacing w:line="240" w:lineRule="auto"/>
              <w:jc w:val="center"/>
              <w:rPr>
                <w:rFonts w:ascii="Times New Roman" w:eastAsia="Times New Roman" w:hAnsi="Times New Roman" w:cs="Times New Roman"/>
                <w:noProof/>
                <w:sz w:val="18"/>
              </w:rPr>
            </w:pPr>
          </w:p>
        </w:tc>
        <w:tc>
          <w:tcPr>
            <w:tcW w:w="377" w:type="dxa"/>
            <w:shd w:val="clear" w:color="auto" w:fill="C6EFCE"/>
            <w:noWrap/>
          </w:tcPr>
          <w:p w14:paraId="28734C61" w14:textId="721206D8" w:rsidR="006578ED" w:rsidRDefault="00EC188C">
            <w:pPr>
              <w:pStyle w:val="P68B1DB1-Normal13"/>
              <w:spacing w:line="240" w:lineRule="auto"/>
              <w:jc w:val="center"/>
              <w:rPr>
                <w:rFonts w:eastAsia="Times New Roman" w:cs="Times New Roman"/>
                <w:noProof/>
              </w:rPr>
            </w:pPr>
            <w:r>
              <w:rPr>
                <w:noProof/>
              </w:rPr>
              <w:t>KW. 3</w:t>
            </w:r>
          </w:p>
        </w:tc>
        <w:tc>
          <w:tcPr>
            <w:tcW w:w="567" w:type="dxa"/>
            <w:shd w:val="clear" w:color="auto" w:fill="C6EFCE"/>
            <w:noWrap/>
          </w:tcPr>
          <w:p w14:paraId="56C6C541" w14:textId="16AFCE3E" w:rsidR="006578ED" w:rsidRDefault="00A1618E">
            <w:pPr>
              <w:pStyle w:val="P68B1DB1-Normal13"/>
              <w:spacing w:line="240" w:lineRule="auto"/>
              <w:jc w:val="center"/>
              <w:rPr>
                <w:rFonts w:eastAsia="Times New Roman" w:cs="Times New Roman"/>
                <w:noProof/>
              </w:rPr>
            </w:pPr>
            <w:r>
              <w:rPr>
                <w:noProof/>
              </w:rPr>
              <w:t>2026</w:t>
            </w:r>
          </w:p>
        </w:tc>
        <w:tc>
          <w:tcPr>
            <w:tcW w:w="7088" w:type="dxa"/>
            <w:shd w:val="clear" w:color="auto" w:fill="C6EFCE"/>
            <w:noWrap/>
          </w:tcPr>
          <w:p w14:paraId="7E8991B2" w14:textId="017421DC" w:rsidR="006578ED" w:rsidRDefault="00A1618E">
            <w:pPr>
              <w:pStyle w:val="P68B1DB1-Normal13"/>
              <w:spacing w:line="240" w:lineRule="auto"/>
              <w:rPr>
                <w:rFonts w:eastAsia="Times New Roman" w:cs="Times New Roman"/>
                <w:noProof/>
              </w:rPr>
            </w:pPr>
            <w:r>
              <w:rPr>
                <w:noProof/>
              </w:rPr>
              <w:t>Hiszpania przekazuje 4 000 000 000 EUR do instrumentu ICO.</w:t>
            </w:r>
          </w:p>
          <w:p w14:paraId="0F7D42DE" w14:textId="42AE55C2" w:rsidR="006578ED" w:rsidRDefault="006578ED">
            <w:pPr>
              <w:spacing w:line="240" w:lineRule="auto"/>
              <w:rPr>
                <w:rFonts w:ascii="Times New Roman" w:eastAsia="Times New Roman" w:hAnsi="Times New Roman" w:cs="Times New Roman"/>
                <w:noProof/>
                <w:sz w:val="18"/>
              </w:rPr>
            </w:pPr>
          </w:p>
        </w:tc>
      </w:tr>
    </w:tbl>
    <w:p w14:paraId="1FC39945" w14:textId="77777777" w:rsidR="006578ED" w:rsidRDefault="006578ED">
      <w:pPr>
        <w:spacing w:before="120" w:after="120" w:line="240" w:lineRule="auto"/>
        <w:jc w:val="both"/>
        <w:rPr>
          <w:rFonts w:ascii="Times New Roman" w:hAnsi="Times New Roman" w:cs="Times New Roman"/>
          <w:noProof/>
          <w:sz w:val="24"/>
        </w:rPr>
        <w:sectPr w:rsidR="006578ED" w:rsidSect="00B90E2C">
          <w:headerReference w:type="even" r:id="rId72"/>
          <w:headerReference w:type="default" r:id="rId73"/>
          <w:footerReference w:type="even" r:id="rId74"/>
          <w:footerReference w:type="default" r:id="rId75"/>
          <w:headerReference w:type="first" r:id="rId76"/>
          <w:footerReference w:type="first" r:id="rId77"/>
          <w:pgSz w:w="16839" w:h="11907" w:orient="landscape"/>
          <w:pgMar w:top="1417" w:right="1134" w:bottom="1417" w:left="1134" w:header="709" w:footer="709" w:gutter="0"/>
          <w:cols w:space="720"/>
          <w:docGrid w:linePitch="360"/>
        </w:sectPr>
      </w:pPr>
    </w:p>
    <w:p w14:paraId="3FF61C03" w14:textId="5343E42E" w:rsidR="006578ED" w:rsidRDefault="00A1618E">
      <w:pPr>
        <w:pStyle w:val="P68B1DB1-Heading12"/>
        <w:rPr>
          <w:rFonts w:cs="Times New Roman"/>
          <w:noProof/>
        </w:rPr>
      </w:pPr>
      <w:r>
        <w:rPr>
          <w:noProof/>
        </w:rPr>
        <w:t>C. KOMPONENT 03: Transformacja ekologiczna i cyfrowa systemu rolno-spożywczego i rybołówstwa</w:t>
      </w:r>
    </w:p>
    <w:p w14:paraId="7393EFBB" w14:textId="60D19B95" w:rsidR="006578ED" w:rsidRDefault="00A1618E">
      <w:pPr>
        <w:pStyle w:val="P68B1DB1-Normal4"/>
        <w:spacing w:before="120" w:after="120" w:line="240" w:lineRule="auto"/>
        <w:jc w:val="both"/>
        <w:rPr>
          <w:rFonts w:cs="Times New Roman"/>
          <w:noProof/>
        </w:rPr>
      </w:pPr>
      <w:r>
        <w:rPr>
          <w:noProof/>
        </w:rPr>
        <w:t>Ten element hiszpańskiego planu odbudowy i zwiększania odporności poprawi zrównoważony charakter, konkurencyjność i odporność sektora rolno-spożywczego i rybołówstwa pod względem gospodarczym, środowiskowym i społecznym. Aby osiągnąć ten cel, inwestycje i reformy zawarte w tym elemencie hiszpańskiego planu odbudowy i zwiększania odporności koncentrują się</w:t>
      </w:r>
      <w:r>
        <w:rPr>
          <w:b/>
          <w:noProof/>
        </w:rPr>
        <w:t xml:space="preserve"> </w:t>
      </w:r>
      <w:r>
        <w:rPr>
          <w:noProof/>
        </w:rPr>
        <w:t>na następujących elementach:</w:t>
      </w:r>
    </w:p>
    <w:p w14:paraId="7108D29F" w14:textId="15D9DDDA" w:rsidR="006578ED" w:rsidRDefault="00A1618E">
      <w:pPr>
        <w:pStyle w:val="P68B1DB1-Normal4"/>
        <w:numPr>
          <w:ilvl w:val="0"/>
          <w:numId w:val="73"/>
        </w:numPr>
        <w:spacing w:before="120" w:after="120" w:line="240" w:lineRule="auto"/>
        <w:ind w:left="425" w:hanging="425"/>
        <w:contextualSpacing/>
        <w:jc w:val="both"/>
        <w:rPr>
          <w:rFonts w:cs="Times New Roman"/>
          <w:noProof/>
        </w:rPr>
      </w:pPr>
      <w:r>
        <w:rPr>
          <w:noProof/>
        </w:rPr>
        <w:t>Poprawa efektywności i zrównoważonego charakteru nawadniania;</w:t>
      </w:r>
    </w:p>
    <w:p w14:paraId="2967FDFE" w14:textId="5AD7CDDB" w:rsidR="006578ED" w:rsidRDefault="00A1618E">
      <w:pPr>
        <w:pStyle w:val="P68B1DB1-Normal4"/>
        <w:numPr>
          <w:ilvl w:val="0"/>
          <w:numId w:val="73"/>
        </w:numPr>
        <w:spacing w:before="120" w:after="120" w:line="240" w:lineRule="auto"/>
        <w:ind w:left="425" w:hanging="425"/>
        <w:contextualSpacing/>
        <w:jc w:val="both"/>
        <w:rPr>
          <w:rFonts w:cs="Times New Roman"/>
          <w:noProof/>
        </w:rPr>
      </w:pPr>
      <w:r>
        <w:rPr>
          <w:noProof/>
        </w:rPr>
        <w:t>zwiększanie zrównoważonego charakteru i konkurencyjności rolnictwa i hodowli zwierząt gospodarskich;</w:t>
      </w:r>
    </w:p>
    <w:p w14:paraId="43D2A3C8" w14:textId="538F053A" w:rsidR="006578ED" w:rsidRDefault="00A1618E">
      <w:pPr>
        <w:pStyle w:val="P68B1DB1-Normal4"/>
        <w:numPr>
          <w:ilvl w:val="0"/>
          <w:numId w:val="73"/>
        </w:numPr>
        <w:spacing w:before="120" w:after="120" w:line="240" w:lineRule="auto"/>
        <w:ind w:left="425" w:hanging="425"/>
        <w:contextualSpacing/>
        <w:jc w:val="both"/>
        <w:rPr>
          <w:rFonts w:cs="Times New Roman"/>
          <w:noProof/>
        </w:rPr>
      </w:pPr>
      <w:r>
        <w:rPr>
          <w:noProof/>
        </w:rPr>
        <w:t>wdrożenie strategii na rzecz promowania cyfryzacji w sektorach rolno-spożywczym i wiejskim jako całości; oraz</w:t>
      </w:r>
    </w:p>
    <w:p w14:paraId="02B938DA" w14:textId="3D49A798" w:rsidR="006578ED" w:rsidRDefault="00A1618E">
      <w:pPr>
        <w:pStyle w:val="P68B1DB1-Normal4"/>
        <w:numPr>
          <w:ilvl w:val="0"/>
          <w:numId w:val="73"/>
        </w:numPr>
        <w:spacing w:before="120" w:after="120" w:line="240" w:lineRule="auto"/>
        <w:ind w:left="426" w:hanging="426"/>
        <w:jc w:val="both"/>
        <w:rPr>
          <w:rFonts w:cs="Times New Roman"/>
          <w:noProof/>
        </w:rPr>
      </w:pPr>
      <w:r>
        <w:rPr>
          <w:noProof/>
        </w:rPr>
        <w:t>pobudzanie zrównoważonego rozwoju, badań naukowych, innowacji i cyfryzacji sektora rybołówstwa.</w:t>
      </w:r>
    </w:p>
    <w:p w14:paraId="3730B049" w14:textId="7403E130" w:rsidR="006578ED" w:rsidRDefault="00A1618E">
      <w:pPr>
        <w:pStyle w:val="P68B1DB1-Normal4"/>
        <w:spacing w:before="120" w:after="120" w:line="240" w:lineRule="auto"/>
        <w:jc w:val="both"/>
        <w:rPr>
          <w:rFonts w:cs="Times New Roman"/>
          <w:noProof/>
        </w:rPr>
      </w:pPr>
      <w:r>
        <w:rPr>
          <w:noProof/>
        </w:rPr>
        <w:t xml:space="preserve">Komponent ten odnosi się do zaleceń dla poszczególnych krajów w sprawie promowania inwestycji w innowacje i w efektywność energetyczną (zalecenie dla poszczególnych krajów </w:t>
      </w:r>
      <w:r w:rsidRPr="00A1618E">
        <w:rPr>
          <w:noProof/>
          <w:lang w:val="pl-PL"/>
        </w:rPr>
        <w:t>nr 3</w:t>
      </w:r>
      <w:r>
        <w:rPr>
          <w:noProof/>
        </w:rPr>
        <w:t xml:space="preserve"> z 20</w:t>
      </w:r>
      <w:r w:rsidRPr="00A1618E">
        <w:rPr>
          <w:noProof/>
          <w:lang w:val="pl-PL"/>
        </w:rPr>
        <w:t>19 r.</w:t>
      </w:r>
      <w:r>
        <w:rPr>
          <w:noProof/>
        </w:rPr>
        <w:t xml:space="preserve">), poprawy dostępu do cyfrowego uczenia się (zalecenie dla poszczególnych krajów </w:t>
      </w:r>
      <w:r w:rsidRPr="00A1618E">
        <w:rPr>
          <w:noProof/>
          <w:lang w:val="pl-PL"/>
        </w:rPr>
        <w:t>nr 2</w:t>
      </w:r>
      <w:r>
        <w:rPr>
          <w:noProof/>
        </w:rPr>
        <w:t xml:space="preserve"> z 20</w:t>
      </w:r>
      <w:r w:rsidRPr="00A1618E">
        <w:rPr>
          <w:noProof/>
          <w:lang w:val="pl-PL"/>
        </w:rPr>
        <w:t>20 r.</w:t>
      </w:r>
      <w:r>
        <w:rPr>
          <w:noProof/>
        </w:rPr>
        <w:t xml:space="preserve">) oraz promowania inwestycji publicznych i prywatnych oraz wspierania transformacji ekologicznej (zalecenie dla poszczególnych krajów </w:t>
      </w:r>
      <w:r w:rsidRPr="00A1618E">
        <w:rPr>
          <w:noProof/>
          <w:lang w:val="pl-PL"/>
        </w:rPr>
        <w:t>nr 3</w:t>
      </w:r>
      <w:r>
        <w:rPr>
          <w:noProof/>
        </w:rPr>
        <w:t xml:space="preserve"> z 20</w:t>
      </w:r>
      <w:r w:rsidRPr="00A1618E">
        <w:rPr>
          <w:noProof/>
          <w:lang w:val="pl-PL"/>
        </w:rPr>
        <w:t>20 r.</w:t>
      </w:r>
      <w:r>
        <w:rPr>
          <w:noProof/>
        </w:rPr>
        <w:t>).</w:t>
      </w:r>
    </w:p>
    <w:p w14:paraId="6079AE52" w14:textId="34280D6F"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 xml:space="preserve">7 rozporządzenia (UE) 2020/852, biorąc pod uwagę opis środków i działań łagodzących określonych w planie odbudowy i zwiększania odporności zgodnie z wytycznymi technicznymi dotyczącymi zasady „nie czyń poważnych szkód” (2021/C58/01). </w:t>
      </w:r>
    </w:p>
    <w:p w14:paraId="3807EE3C" w14:textId="02EC5257" w:rsidR="006578ED" w:rsidRDefault="00A1618E">
      <w:pPr>
        <w:pStyle w:val="P68B1DB1-Normal5"/>
        <w:spacing w:before="120" w:after="120" w:line="240" w:lineRule="auto"/>
        <w:ind w:left="720"/>
        <w:jc w:val="both"/>
        <w:rPr>
          <w:rFonts w:cs="Times New Roman"/>
          <w:i/>
          <w:noProof/>
        </w:rPr>
      </w:pPr>
      <w:r>
        <w:rPr>
          <w:noProof/>
        </w:rPr>
        <w:t xml:space="preserve">C.1. </w:t>
      </w:r>
      <w:r>
        <w:rPr>
          <w:noProof/>
        </w:rPr>
        <w:tab/>
        <w:t>Opis reform i inwestycji, które mają być finansowane z bezzwrotnego wsparcia finansowego</w:t>
      </w:r>
    </w:p>
    <w:p w14:paraId="1234D340" w14:textId="7AF08A56" w:rsidR="006578ED" w:rsidRDefault="00A1618E">
      <w:pPr>
        <w:pStyle w:val="P68B1DB1-Normal6"/>
        <w:spacing w:before="120" w:after="120" w:line="240" w:lineRule="auto"/>
        <w:jc w:val="both"/>
        <w:rPr>
          <w:rFonts w:cs="Times New Roman"/>
          <w:noProof/>
        </w:rPr>
      </w:pPr>
      <w:r>
        <w:rPr>
          <w:noProof/>
        </w:rPr>
        <w:t>Reforma 1 (C3.R1) – Zmiana zasad regulujących stosunki handlowe w łańcuchu żywnościowym, w tym zmiana ustawy 12/2013 z dnia 2 sierpnia 20</w:t>
      </w:r>
      <w:r w:rsidRPr="00A1618E">
        <w:rPr>
          <w:noProof/>
          <w:lang w:val="pl-PL"/>
        </w:rPr>
        <w:t>07 r.</w:t>
      </w:r>
      <w:r>
        <w:rPr>
          <w:noProof/>
        </w:rPr>
        <w:t xml:space="preserve"> w sprawie środków na rzecz poprawy funkcjonowania łańcucha żywnościowego</w:t>
      </w:r>
    </w:p>
    <w:p w14:paraId="2518E7B7" w14:textId="7C8B5AC1" w:rsidR="006578ED" w:rsidRDefault="00A1618E">
      <w:pPr>
        <w:pStyle w:val="P68B1DB1-Normal4"/>
        <w:spacing w:before="120" w:after="120" w:line="240" w:lineRule="auto"/>
        <w:jc w:val="both"/>
        <w:rPr>
          <w:rFonts w:cs="Times New Roman"/>
          <w:noProof/>
        </w:rPr>
      </w:pPr>
      <w:r>
        <w:rPr>
          <w:noProof/>
        </w:rPr>
        <w:t>Celem tego środka jest poprawa funkcjonowania łańcucha żywnościowego poprzez zmianę przepisów krajowych regulujących stosunki handlowe w łańcuchu żywnościowym (ustawa 12/2013), w tym, ale wykraczając poza transpozycję dyrektywy (UE) 2019/633. Środek ten obejmuje co najmniej:</w:t>
      </w:r>
    </w:p>
    <w:p w14:paraId="311FCBFE" w14:textId="5E773DC6" w:rsidR="006578ED" w:rsidRDefault="00A1618E">
      <w:pPr>
        <w:pStyle w:val="P68B1DB1-Normal4"/>
        <w:numPr>
          <w:ilvl w:val="0"/>
          <w:numId w:val="74"/>
        </w:numPr>
        <w:spacing w:before="120" w:after="120" w:line="240" w:lineRule="auto"/>
        <w:ind w:left="425" w:hanging="425"/>
        <w:contextualSpacing/>
        <w:jc w:val="both"/>
        <w:rPr>
          <w:rFonts w:cs="Times New Roman"/>
          <w:noProof/>
        </w:rPr>
      </w:pPr>
      <w:r>
        <w:rPr>
          <w:noProof/>
        </w:rPr>
        <w:t>Rozszerzenie zakresu prawa poprzez włączenie (i) stosunków handlowych zarówno do państw członkowskich, jak i państw trzecich w każdym przypadku, gdy podmiot gospodarczy ma siedzibę w Hiszpanii, oraz (ii) surowców i innych produktów objętych załącznikiem I do Traktatu o funkcjonowaniu Unii Europejskiej;</w:t>
      </w:r>
    </w:p>
    <w:p w14:paraId="4735A7DF" w14:textId="715F08A4" w:rsidR="006578ED" w:rsidRDefault="00A1618E">
      <w:pPr>
        <w:pStyle w:val="P68B1DB1-Normal4"/>
        <w:numPr>
          <w:ilvl w:val="0"/>
          <w:numId w:val="74"/>
        </w:numPr>
        <w:spacing w:before="120" w:after="120" w:line="240" w:lineRule="auto"/>
        <w:ind w:left="425" w:hanging="425"/>
        <w:contextualSpacing/>
        <w:jc w:val="both"/>
        <w:rPr>
          <w:rFonts w:cs="Times New Roman"/>
          <w:noProof/>
        </w:rPr>
      </w:pPr>
      <w:r>
        <w:rPr>
          <w:noProof/>
        </w:rPr>
        <w:t>rozszerzenie minimalnej zawartości umów na żywność poprzez uwzględnienie (i) kar umownych, (ii) wyjątków z powodu działania siły wyższej oraz (iii) odniesienia do wniosku o mediację złożonego przez zaangażowane strony w celu zajęcia się przypadkami braku porozumienia;</w:t>
      </w:r>
    </w:p>
    <w:p w14:paraId="0E244484" w14:textId="77777777" w:rsidR="006578ED" w:rsidRDefault="00A1618E">
      <w:pPr>
        <w:pStyle w:val="P68B1DB1-Normal4"/>
        <w:numPr>
          <w:ilvl w:val="0"/>
          <w:numId w:val="74"/>
        </w:numPr>
        <w:spacing w:before="120" w:after="120" w:line="240" w:lineRule="auto"/>
        <w:ind w:left="425" w:hanging="425"/>
        <w:contextualSpacing/>
        <w:jc w:val="both"/>
        <w:rPr>
          <w:rFonts w:cs="Times New Roman"/>
          <w:noProof/>
        </w:rPr>
      </w:pPr>
      <w:r>
        <w:rPr>
          <w:noProof/>
        </w:rPr>
        <w:t>rozszerzenie wykazu nieuczciwych praktyk handlowych, takich jak jednostronne zmiany umów pod względem wolumenu lub zwrot niesprzedanych produktów; oraz</w:t>
      </w:r>
    </w:p>
    <w:p w14:paraId="7CDA0286" w14:textId="0D2A5033" w:rsidR="006578ED" w:rsidRDefault="00A1618E">
      <w:pPr>
        <w:pStyle w:val="P68B1DB1-Normal4"/>
        <w:numPr>
          <w:ilvl w:val="0"/>
          <w:numId w:val="74"/>
        </w:numPr>
        <w:spacing w:before="120" w:after="120" w:line="240" w:lineRule="auto"/>
        <w:ind w:left="426" w:hanging="426"/>
        <w:jc w:val="both"/>
        <w:rPr>
          <w:rFonts w:cs="Times New Roman"/>
          <w:noProof/>
        </w:rPr>
      </w:pPr>
      <w:r>
        <w:rPr>
          <w:noProof/>
        </w:rPr>
        <w:t>uznanie Agencji Informacji i Kontroli Żywności za organ odpowiedzialny za ustanowienie i rozwój systemu kontroli niezbędnego do sprawdzania zgodności z prawem na szczeblu krajowym oraz za punkt kontaktowy do celów współpracy między organami egzekwowania prawa, a także z Komisją Europejską i wspólnotami autonomicznymi na ich odpowiednich obszarach terytorialnych.</w:t>
      </w:r>
      <w:r>
        <w:rPr>
          <w:noProof/>
        </w:rPr>
        <w:tab/>
      </w:r>
    </w:p>
    <w:p w14:paraId="50CF7AFA" w14:textId="0E166EB1" w:rsidR="006578ED" w:rsidRDefault="00A1618E">
      <w:pPr>
        <w:pStyle w:val="P68B1DB1-Normal4"/>
        <w:spacing w:before="120" w:after="120" w:line="240" w:lineRule="auto"/>
        <w:jc w:val="both"/>
        <w:rPr>
          <w:rFonts w:cs="Times New Roman"/>
          <w:noProof/>
        </w:rPr>
      </w:pPr>
      <w:r>
        <w:rPr>
          <w:noProof/>
        </w:rPr>
        <w:t>Środek ten stanowi uzupełnienie (i) dekretu królewskiego z mocą ustawy 5/2020 z dnia 25 lutego 20</w:t>
      </w:r>
      <w:r w:rsidRPr="00A1618E">
        <w:rPr>
          <w:noProof/>
          <w:lang w:val="pl-PL"/>
        </w:rPr>
        <w:t>20 r.</w:t>
      </w:r>
      <w:r>
        <w:rPr>
          <w:noProof/>
        </w:rPr>
        <w:t xml:space="preserve">, w którym przyjęto pilne środki dotyczące rolnictwa i żywności, oraz (ii) ustawy </w:t>
      </w:r>
      <w:r w:rsidRPr="00A1618E">
        <w:rPr>
          <w:noProof/>
          <w:lang w:val="pl-PL"/>
        </w:rPr>
        <w:t>nr 8</w:t>
      </w:r>
      <w:r>
        <w:rPr>
          <w:noProof/>
        </w:rPr>
        <w:t>/2020 w sprawie zmiany ustawy 12/2013 w sprawie pilnych środków mających na celu poprawę funkcjonowania łańcucha żywnościowego.</w:t>
      </w:r>
    </w:p>
    <w:p w14:paraId="652B9321" w14:textId="1DB47803"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21 r.</w:t>
      </w:r>
    </w:p>
    <w:p w14:paraId="65CF45F9" w14:textId="25F68F64" w:rsidR="006578ED" w:rsidRDefault="00A1618E">
      <w:pPr>
        <w:pStyle w:val="P68B1DB1-Normal6"/>
        <w:spacing w:before="120" w:after="120" w:line="240" w:lineRule="auto"/>
        <w:jc w:val="both"/>
        <w:rPr>
          <w:rFonts w:cs="Times New Roman"/>
          <w:noProof/>
        </w:rPr>
      </w:pPr>
      <w:bookmarkStart w:id="5" w:name="_Hlk144118141"/>
      <w:r>
        <w:rPr>
          <w:noProof/>
        </w:rPr>
        <w:t>Reforma 2 (C3.R2) – Opracowanie i przegląd ram regulacyjnych dotyczących zrównoważenia środowiskowego hodowli zwierząt gospodarskich</w:t>
      </w:r>
    </w:p>
    <w:bookmarkEnd w:id="5"/>
    <w:p w14:paraId="1D9E2DBB" w14:textId="7043BDA5" w:rsidR="006578ED" w:rsidRDefault="00A1618E">
      <w:pPr>
        <w:pStyle w:val="P68B1DB1-Normal4"/>
        <w:spacing w:before="120" w:after="120" w:line="240" w:lineRule="auto"/>
        <w:jc w:val="both"/>
        <w:rPr>
          <w:rFonts w:cs="Times New Roman"/>
          <w:noProof/>
        </w:rPr>
      </w:pPr>
      <w:r>
        <w:rPr>
          <w:noProof/>
        </w:rPr>
        <w:t>Środek ten ma na celu poprawę zrównoważenia środowiskowego hodowli zwierząt gospodarskich poprzez opracowanie i zmianę ram prawnych w następujący sposób:</w:t>
      </w:r>
    </w:p>
    <w:p w14:paraId="28ED085C" w14:textId="4AA465DD" w:rsidR="006578ED" w:rsidRDefault="00A1618E">
      <w:pPr>
        <w:pStyle w:val="P68B1DB1-Normal4"/>
        <w:numPr>
          <w:ilvl w:val="0"/>
          <w:numId w:val="75"/>
        </w:numPr>
        <w:spacing w:before="120" w:after="120" w:line="240" w:lineRule="auto"/>
        <w:ind w:left="425" w:hanging="425"/>
        <w:contextualSpacing/>
        <w:jc w:val="both"/>
        <w:rPr>
          <w:rFonts w:cs="Times New Roman"/>
          <w:noProof/>
        </w:rPr>
      </w:pPr>
      <w:r>
        <w:rPr>
          <w:noProof/>
        </w:rPr>
        <w:t>Opracowanie ogólnego rejestru najlepszych dostępnych technik (BAT) w celu ułatwienia obliczania emisji zanieczyszczeń i emisji gazów cieplarnianych w gospodarstwach hodowli trzody chlewnej i drobiu, a także uwzględnienie innych danych środowiskowych. Zapewnia on lepszą ocenę przestrzegania przez hodowców zobowiązań w zakresie emisji gazów cieplarnianych i zanieczyszczeń.</w:t>
      </w:r>
    </w:p>
    <w:p w14:paraId="664D0C51" w14:textId="73FF3FBA" w:rsidR="006578ED" w:rsidRDefault="00A1618E">
      <w:pPr>
        <w:pStyle w:val="P68B1DB1-Normal4"/>
        <w:numPr>
          <w:ilvl w:val="0"/>
          <w:numId w:val="75"/>
        </w:numPr>
        <w:spacing w:before="120" w:after="120" w:line="240" w:lineRule="auto"/>
        <w:ind w:left="426" w:hanging="426"/>
        <w:jc w:val="both"/>
        <w:rPr>
          <w:rFonts w:cs="Times New Roman"/>
          <w:noProof/>
        </w:rPr>
      </w:pPr>
      <w:r>
        <w:rPr>
          <w:noProof/>
        </w:rPr>
        <w:t>Stopniowa rewizja przepisów dotyczących planowania w sektorach hodowli zwierząt gospodarskich, które określają wymogi dotyczące lokalizacji, odległości, wielkości, warunków zdrowotnych, bezpieczeństwa biologicznego oraz infrastruktury ochrony środowiska i dobrostanu zwierząt w gospodarstwach rolnych, które już go posiadają (hodowla świń), a także ustanowienie nowych ram regulacyjnych w sektorach (hodowla drobiu), które nie zostały jeszcze uregulowane. Ustanawia ona indywidualne sektorowe zobowiązania do redukcji emisji, ustanawiając wymogi w zależności od ich wkładu w wytwarzanie zanieczyszczeń, zgodnie z zasadą proporcjonalności.</w:t>
      </w:r>
    </w:p>
    <w:p w14:paraId="3BDCBD98" w14:textId="1AB5760D" w:rsidR="006578ED" w:rsidRDefault="00A1618E">
      <w:pPr>
        <w:pStyle w:val="P68B1DB1-Normal4"/>
        <w:spacing w:before="120" w:after="120" w:line="240" w:lineRule="auto"/>
        <w:jc w:val="both"/>
        <w:rPr>
          <w:rFonts w:cs="Times New Roman"/>
          <w:noProof/>
        </w:rPr>
      </w:pPr>
      <w:r>
        <w:rPr>
          <w:noProof/>
        </w:rPr>
        <w:t>Środek ten obejmuje oba przepisy, które mają zostać opublikowane do końca 20</w:t>
      </w:r>
      <w:r w:rsidRPr="00A1618E">
        <w:rPr>
          <w:noProof/>
          <w:lang w:val="pl-PL"/>
        </w:rPr>
        <w:t>22 r.</w:t>
      </w:r>
      <w:r>
        <w:rPr>
          <w:noProof/>
        </w:rPr>
        <w:t xml:space="preserve"> Przewiduje się w nim również, że do dnia 31 grudnia 20</w:t>
      </w:r>
      <w:r w:rsidRPr="00A1618E">
        <w:rPr>
          <w:noProof/>
          <w:lang w:val="pl-PL"/>
        </w:rPr>
        <w:t>23 r.</w:t>
      </w:r>
      <w:r>
        <w:rPr>
          <w:noProof/>
        </w:rPr>
        <w:t xml:space="preserve"> zostanie uruchomiony ogólny rejestr BAT w odniesieniu do ferm trzody chlewnej i drobiu. Stosowanie zmienionych przepisów dotyczących planowania przestrzennego odbywa się stopniowo w ciągu około dwóch lat od ich publikacji.</w:t>
      </w:r>
    </w:p>
    <w:p w14:paraId="5DF9BC92" w14:textId="5F439EE1" w:rsidR="006578ED" w:rsidRDefault="00A1618E">
      <w:pPr>
        <w:pStyle w:val="P68B1DB1-Normal4"/>
        <w:spacing w:before="120" w:after="120" w:line="240" w:lineRule="auto"/>
        <w:contextualSpacing/>
        <w:jc w:val="both"/>
        <w:rPr>
          <w:rFonts w:cs="Times New Roman"/>
          <w:noProof/>
        </w:rPr>
      </w:pPr>
      <w:r>
        <w:rPr>
          <w:noProof/>
        </w:rPr>
        <w:t>Ponadto środek ten ma na celu:</w:t>
      </w:r>
    </w:p>
    <w:p w14:paraId="2098B483" w14:textId="383CC65C" w:rsidR="006578ED" w:rsidRDefault="00A1618E">
      <w:pPr>
        <w:pStyle w:val="P68B1DB1-Normal4"/>
        <w:numPr>
          <w:ilvl w:val="0"/>
          <w:numId w:val="269"/>
        </w:numPr>
        <w:spacing w:before="120" w:after="120" w:line="240" w:lineRule="auto"/>
        <w:ind w:left="425" w:hanging="425"/>
        <w:contextualSpacing/>
        <w:jc w:val="both"/>
        <w:rPr>
          <w:rFonts w:cs="Times New Roman"/>
          <w:noProof/>
        </w:rPr>
      </w:pPr>
      <w:r>
        <w:rPr>
          <w:noProof/>
        </w:rPr>
        <w:t xml:space="preserve">Poprawa bioasekuracji transportu zwierząt gospodarskich w odniesieniu do przenośnych chorób zwierząt. Nowe rozporządzenie uwzględnia cyfryzację i nowe technologie w pojazdach wykorzystywanych jako środki transportu oraz ośrodki czyszczenia i dezynfekcji. </w:t>
      </w:r>
    </w:p>
    <w:p w14:paraId="22473C04" w14:textId="49ABA8C8" w:rsidR="006578ED" w:rsidRDefault="00A1618E">
      <w:pPr>
        <w:pStyle w:val="P68B1DB1-Normal4"/>
        <w:numPr>
          <w:ilvl w:val="0"/>
          <w:numId w:val="269"/>
        </w:numPr>
        <w:spacing w:before="120" w:after="120" w:line="240" w:lineRule="auto"/>
        <w:ind w:left="425" w:hanging="425"/>
        <w:contextualSpacing/>
        <w:jc w:val="both"/>
        <w:rPr>
          <w:rFonts w:cs="Times New Roman"/>
          <w:noProof/>
        </w:rPr>
      </w:pPr>
      <w:r>
        <w:rPr>
          <w:noProof/>
        </w:rPr>
        <w:t xml:space="preserve">Uregulowanie stosowania antybiotyków w gatunkach zwierząt gospodarskich, przy zastosowaniu metody obliczania regularnego i kwartalnego spożycia antybiotyków na gospodarstwo hodowlane oraz krajowego wskaźnika referencyjnego. W rozporządzeniu opisuje się środki, które należy podjąć na podstawie wyników. W przypadku gospodarstw hodowlanych, które nie mają obowiązku posiadania zintegrowanego systemu zarządzania w swoim prawodawstwie sektorowym, ustawodawstwo to przewiduje okres przejściowy wynoszący jeden rok. </w:t>
      </w:r>
    </w:p>
    <w:p w14:paraId="3129CDA9" w14:textId="77777777" w:rsidR="006578ED" w:rsidRDefault="006578ED">
      <w:pPr>
        <w:spacing w:before="120" w:after="120" w:line="240" w:lineRule="auto"/>
        <w:ind w:left="425"/>
        <w:contextualSpacing/>
        <w:jc w:val="both"/>
        <w:rPr>
          <w:rFonts w:ascii="Times New Roman" w:hAnsi="Times New Roman" w:cs="Times New Roman"/>
          <w:noProof/>
          <w:sz w:val="24"/>
        </w:rPr>
      </w:pPr>
    </w:p>
    <w:p w14:paraId="223A83E5" w14:textId="43921866" w:rsidR="006578ED" w:rsidRDefault="00A1618E">
      <w:pPr>
        <w:pStyle w:val="P68B1DB1-Normal4"/>
        <w:spacing w:before="120" w:after="120" w:line="240" w:lineRule="auto"/>
        <w:contextualSpacing/>
        <w:jc w:val="both"/>
        <w:rPr>
          <w:rFonts w:cs="Times New Roman"/>
          <w:noProof/>
        </w:rPr>
      </w:pPr>
      <w:r>
        <w:rPr>
          <w:noProof/>
        </w:rPr>
        <w:t>Wdrożenie środka musi zostać zakończone do dnia 30 czerwca 20</w:t>
      </w:r>
      <w:r w:rsidRPr="00A1618E">
        <w:rPr>
          <w:noProof/>
          <w:lang w:val="pl-PL"/>
        </w:rPr>
        <w:t>24 r.</w:t>
      </w:r>
    </w:p>
    <w:p w14:paraId="17685D86" w14:textId="77777777" w:rsidR="006578ED" w:rsidRDefault="006578ED">
      <w:pPr>
        <w:spacing w:before="120" w:after="120" w:line="240" w:lineRule="auto"/>
        <w:jc w:val="both"/>
        <w:rPr>
          <w:rFonts w:ascii="Times New Roman" w:hAnsi="Times New Roman" w:cs="Times New Roman"/>
          <w:noProof/>
          <w:sz w:val="24"/>
          <w:u w:val="single"/>
        </w:rPr>
      </w:pPr>
    </w:p>
    <w:p w14:paraId="7008C47F" w14:textId="1B1C2356" w:rsidR="006578ED" w:rsidRDefault="00A1618E">
      <w:pPr>
        <w:pStyle w:val="P68B1DB1-Normal6"/>
        <w:spacing w:before="120" w:after="120" w:line="240" w:lineRule="auto"/>
        <w:jc w:val="both"/>
        <w:rPr>
          <w:rFonts w:cs="Times New Roman"/>
          <w:noProof/>
        </w:rPr>
      </w:pPr>
      <w:r>
        <w:rPr>
          <w:noProof/>
        </w:rPr>
        <w:t>Reforma 3 (C3.R3) – Ramy legislacyjne dotyczące zrównoważonego żywienia w glebach rolnych oraz przepisy dotyczące zanieczyszczenia pochodzenia rolniczego</w:t>
      </w:r>
    </w:p>
    <w:p w14:paraId="4FF389C3" w14:textId="3DCF1A2E" w:rsidR="006578ED" w:rsidRDefault="00A1618E">
      <w:pPr>
        <w:pStyle w:val="P68B1DB1-Normal4"/>
        <w:spacing w:before="120" w:after="120" w:line="240" w:lineRule="auto"/>
        <w:jc w:val="both"/>
        <w:rPr>
          <w:rFonts w:cs="Times New Roman"/>
          <w:noProof/>
        </w:rPr>
      </w:pPr>
      <w:r>
        <w:rPr>
          <w:noProof/>
        </w:rPr>
        <w:t>Celem tego środka jest uregulowanie nawożenia w rolnictwie, aby w spójny sposób uwzględnić różne źródła dopływu składników pokarmowych do gleb rolniczych. Ponadto zapewnia rolnikom doradztwo techniczne w celu wspierania ich w przestrzeganiu wymogów prawnych i racjonalizacji nawożenia. Obejmuje ono: przeciwdziałanie negatywnym skutkom zmiany klimatu; zmniejszenie zanieczyszczenia wody azotanami i fosforanami pochodzenia rolniczego; oraz (iii) poprawa jakości powietrza.</w:t>
      </w:r>
    </w:p>
    <w:p w14:paraId="30D53276" w14:textId="691AD813" w:rsidR="006578ED" w:rsidRDefault="00A1618E">
      <w:pPr>
        <w:pStyle w:val="P68B1DB1-Normal4"/>
        <w:spacing w:before="120" w:after="120" w:line="240" w:lineRule="auto"/>
        <w:jc w:val="both"/>
        <w:rPr>
          <w:rFonts w:cs="Times New Roman"/>
          <w:noProof/>
        </w:rPr>
      </w:pPr>
      <w:r>
        <w:rPr>
          <w:noProof/>
        </w:rPr>
        <w:t>Proponowane ramy prawne są powiązane z innym instrumentem prawnym: projekt dekretu królewskiego w sprawie ochrony wód przed zanieczyszczeniami rozproszonymi powodowanymi przez azotany pochodzenia rolniczego (który zastępuje dekret królewski 261/1996 z dnia 16 lutego). Wiąże się również z opracowaniem planu działania na rzecz zapobiegania zanieczyszczeniom rozproszonym powodowanym przez azotany, zwłaszcza pochodzenia rolniczego, ich korygowania i ograniczania. Środek ten wprowadza dekret królewski transponujący dyrektywę 91/676/EWG z dnia 12 grudnia 19</w:t>
      </w:r>
      <w:r w:rsidRPr="00A1618E">
        <w:rPr>
          <w:noProof/>
          <w:lang w:val="pl-PL"/>
        </w:rPr>
        <w:t>91 r.</w:t>
      </w:r>
      <w:r>
        <w:rPr>
          <w:noProof/>
        </w:rPr>
        <w:t xml:space="preserve"> dotyczącą ochrony wód przed zanieczyszczeniami powodowanymi przez azotany pochodzenia rolniczego, wyznaczający ambitniejsze cele niż dyrektywa azotanowa oraz zwiększający spójność z celami w zakresie planowania gospodarki wodnej określonymi w ramowej dyrektywie wodnej.</w:t>
      </w:r>
    </w:p>
    <w:p w14:paraId="21CE4873" w14:textId="52C2EA2F" w:rsidR="006578ED" w:rsidRDefault="00A1618E">
      <w:pPr>
        <w:pStyle w:val="P68B1DB1-Normal4"/>
        <w:spacing w:before="120" w:after="120" w:line="240" w:lineRule="auto"/>
        <w:jc w:val="both"/>
        <w:rPr>
          <w:rFonts w:cs="Times New Roman"/>
          <w:noProof/>
        </w:rPr>
      </w:pPr>
      <w:r>
        <w:rPr>
          <w:noProof/>
        </w:rPr>
        <w:t>Wdrożenie środka należy zakończyć do dnia 31 marca 20</w:t>
      </w:r>
      <w:r w:rsidRPr="00A1618E">
        <w:rPr>
          <w:noProof/>
          <w:lang w:val="pl-PL"/>
        </w:rPr>
        <w:t>23 r.</w:t>
      </w:r>
      <w:r>
        <w:rPr>
          <w:noProof/>
        </w:rPr>
        <w:t xml:space="preserve"> </w:t>
      </w:r>
    </w:p>
    <w:p w14:paraId="5EC2BBD2" w14:textId="695E10BC" w:rsidR="006578ED" w:rsidRDefault="00A1618E">
      <w:pPr>
        <w:pStyle w:val="P68B1DB1-Normal6"/>
        <w:spacing w:before="120" w:after="120" w:line="240" w:lineRule="auto"/>
        <w:jc w:val="both"/>
        <w:rPr>
          <w:rFonts w:cs="Times New Roman"/>
          <w:noProof/>
        </w:rPr>
      </w:pPr>
      <w:r>
        <w:rPr>
          <w:noProof/>
        </w:rPr>
        <w:t>Reforma 4 (C3.R4) – Wspieranie zarządzania hiszpańskim nawadnianiem i zrównoważonego zarządzania nim</w:t>
      </w:r>
    </w:p>
    <w:p w14:paraId="4BA48D99" w14:textId="62053C90" w:rsidR="006578ED" w:rsidRDefault="00A1618E">
      <w:pPr>
        <w:pStyle w:val="P68B1DB1-Normal4"/>
        <w:spacing w:before="120" w:after="120" w:line="240" w:lineRule="auto"/>
        <w:jc w:val="both"/>
        <w:rPr>
          <w:rFonts w:cs="Times New Roman"/>
          <w:noProof/>
        </w:rPr>
      </w:pPr>
      <w:r>
        <w:rPr>
          <w:noProof/>
        </w:rPr>
        <w:t>Celem tego środka jest ustanowienie mechanizmu zarządzania na szczeblu krajowym, aby umożliwić współpracę w zakresie nawadniania wszystkim sektorom i poziomom organów publicznych. Obejmuje to zrównoważenie środowiskowe, kryteria wdrażania i aspekty związane z mającym zastosowanie prawodawstwem. W ramach środka ustanawia się obserwatorium ds. zrównoważonego charakteru nawadniania w Hiszpanii w celu dostarczenia danych na temat gospodarczych, społecznych i środowiskowych skutków nawadniania na danym terytorium.</w:t>
      </w:r>
    </w:p>
    <w:p w14:paraId="326A145B" w14:textId="5ED67C1E" w:rsidR="006578ED" w:rsidRDefault="00A1618E">
      <w:pPr>
        <w:pStyle w:val="P68B1DB1-Normal4"/>
        <w:spacing w:before="120" w:after="120" w:line="240" w:lineRule="auto"/>
        <w:jc w:val="both"/>
        <w:rPr>
          <w:rFonts w:cs="Times New Roman"/>
          <w:noProof/>
          <w:u w:val="single"/>
        </w:rPr>
      </w:pPr>
      <w:r>
        <w:rPr>
          <w:noProof/>
        </w:rPr>
        <w:t>Wdrożenie reformy zostanie zakończone do dnia 31 grudnia 20</w:t>
      </w:r>
      <w:r w:rsidRPr="00A1618E">
        <w:rPr>
          <w:noProof/>
          <w:lang w:val="pl-PL"/>
        </w:rPr>
        <w:t>22 r.</w:t>
      </w:r>
    </w:p>
    <w:p w14:paraId="0A0562DB" w14:textId="2DF00C32" w:rsidR="006578ED" w:rsidRDefault="00A1618E">
      <w:pPr>
        <w:pStyle w:val="P68B1DB1-Normal6"/>
        <w:spacing w:before="120" w:after="120" w:line="240" w:lineRule="auto"/>
        <w:jc w:val="both"/>
        <w:rPr>
          <w:rFonts w:cs="Times New Roman"/>
          <w:noProof/>
        </w:rPr>
      </w:pPr>
      <w:r>
        <w:rPr>
          <w:noProof/>
        </w:rPr>
        <w:t>Reforma 5 (C3.R5) – Realizacja planu działania II strategii na rzecz cyfryzacji obszarów rolno-spożywczych i wiejskich</w:t>
      </w:r>
    </w:p>
    <w:p w14:paraId="11992691" w14:textId="45B46263" w:rsidR="006578ED" w:rsidRDefault="00A1618E">
      <w:pPr>
        <w:pStyle w:val="P68B1DB1-Normal4"/>
        <w:spacing w:before="120" w:after="120" w:line="240" w:lineRule="auto"/>
        <w:jc w:val="both"/>
        <w:rPr>
          <w:rFonts w:cs="Times New Roman"/>
          <w:noProof/>
        </w:rPr>
      </w:pPr>
      <w:r>
        <w:rPr>
          <w:noProof/>
        </w:rPr>
        <w:t>Środek ten ma na celu kontynuację wdrażania hiszpańskiej strategii cyfryzacji obszarów rolno-spożywczych i wiejskich, przyjętej przez rząd Hiszpanii w marcu 20</w:t>
      </w:r>
      <w:r w:rsidRPr="00A1618E">
        <w:rPr>
          <w:noProof/>
          <w:lang w:val="pl-PL"/>
        </w:rPr>
        <w:t>19 r.</w:t>
      </w:r>
      <w:r>
        <w:rPr>
          <w:noProof/>
        </w:rPr>
        <w:t xml:space="preserve"> Środek ten określa drugi plan działania, który jest odpowiedzią na trzy podstawowe cele strategii: zmniejszenie przepaści cyfrowej; promowanie wykorzystywania danych; oraz (iii) pobudzanie rozwoju biznesu i nowych modeli biznesowych. </w:t>
      </w:r>
    </w:p>
    <w:p w14:paraId="1DCF0FDA" w14:textId="0093B1AF" w:rsidR="006578ED" w:rsidRDefault="00A1618E">
      <w:pPr>
        <w:pStyle w:val="P68B1DB1-Normal4"/>
        <w:spacing w:before="120" w:after="120" w:line="240" w:lineRule="auto"/>
        <w:jc w:val="both"/>
        <w:rPr>
          <w:rFonts w:cs="Times New Roman"/>
          <w:noProof/>
        </w:rPr>
      </w:pPr>
      <w:r>
        <w:rPr>
          <w:noProof/>
        </w:rPr>
        <w:t>Środek ten nadal wspiera przyjmowanie i włączanie procesów i umiejętności cyfrowych do działalności gospodarczej związanej z obszarami wiejskimi i ich tkanką społeczną. Działanie to ma na celu opracowanie, opracowanie i wdrożenie drugiego planu działania w ramach strategii cyfryzacji sektora rolno-spożywczego i obszarów wiejskich.</w:t>
      </w:r>
    </w:p>
    <w:p w14:paraId="1392C3C9" w14:textId="089B21C4"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p>
    <w:p w14:paraId="701358BE" w14:textId="77777777" w:rsidR="006578ED" w:rsidRDefault="00A1618E">
      <w:pPr>
        <w:pStyle w:val="P68B1DB1-Normal6"/>
        <w:spacing w:before="120" w:after="120" w:line="240" w:lineRule="auto"/>
        <w:jc w:val="both"/>
        <w:rPr>
          <w:rFonts w:cs="Times New Roman"/>
          <w:noProof/>
        </w:rPr>
      </w:pPr>
      <w:bookmarkStart w:id="6" w:name="_Hlk144117478"/>
      <w:r>
        <w:rPr>
          <w:noProof/>
        </w:rPr>
        <w:t>Reforma 6 (C3.R6) – Przegląd krajowych ram regulacyjnych dotyczących zrównoważonego rybołówstwa</w:t>
      </w:r>
    </w:p>
    <w:bookmarkEnd w:id="6"/>
    <w:p w14:paraId="168525BC" w14:textId="0D5B8429" w:rsidR="006578ED" w:rsidRDefault="00A1618E">
      <w:pPr>
        <w:pStyle w:val="P68B1DB1-Normal4"/>
        <w:spacing w:before="120" w:after="120" w:line="240" w:lineRule="auto"/>
        <w:jc w:val="both"/>
        <w:rPr>
          <w:rFonts w:cs="Times New Roman"/>
          <w:noProof/>
        </w:rPr>
      </w:pPr>
      <w:r>
        <w:rPr>
          <w:noProof/>
        </w:rPr>
        <w:t>Działanie to ma na celu: zachęcanie do włączania zrównoważonego rozwoju gospodarczego i społecznego do zarządzania rybołówstwem; zapewnienie większej pewności prawa wszystkim podmiotom w sektorze rybołówstwa; oraz (iii) zapewnienie większej przejrzystości, modernizacji i cyfryzacji w zarządzaniu rybołówstwem. Środek ten uwzględnia cele polityki UE i wyzwania, w tym reformę wspólnej polityki rybołówstwa, strategię na rzecz bioróżnorodności 2030, strategie morskie oraz cele zrównoważonego rozwoju.</w:t>
      </w:r>
    </w:p>
    <w:p w14:paraId="45B4B9BE" w14:textId="77777777" w:rsidR="006578ED" w:rsidRDefault="00A1618E">
      <w:pPr>
        <w:pStyle w:val="P68B1DB1-Normal4"/>
        <w:spacing w:before="120" w:after="120" w:line="240" w:lineRule="auto"/>
        <w:jc w:val="both"/>
        <w:rPr>
          <w:rFonts w:cs="Times New Roman"/>
          <w:noProof/>
        </w:rPr>
      </w:pPr>
      <w:r>
        <w:rPr>
          <w:noProof/>
        </w:rPr>
        <w:t>Aby osiągnąć te cele, środek ma na celu osiągnięcie następujących celów:</w:t>
      </w:r>
    </w:p>
    <w:p w14:paraId="3290735B" w14:textId="45B50988" w:rsidR="006578ED" w:rsidRDefault="00A1618E">
      <w:pPr>
        <w:pStyle w:val="P68B1DB1-Normal4"/>
        <w:numPr>
          <w:ilvl w:val="0"/>
          <w:numId w:val="76"/>
        </w:numPr>
        <w:spacing w:before="120" w:after="120" w:line="240" w:lineRule="auto"/>
        <w:ind w:left="425" w:hanging="425"/>
        <w:contextualSpacing/>
        <w:jc w:val="both"/>
        <w:rPr>
          <w:rFonts w:cs="Times New Roman"/>
          <w:noProof/>
        </w:rPr>
      </w:pPr>
      <w:bookmarkStart w:id="7" w:name="_Hlk144117739"/>
      <w:r>
        <w:rPr>
          <w:noProof/>
        </w:rPr>
        <w:t xml:space="preserve">Przegląd obecnej ustawy o rybołówstwie w celu dostosowania jej do nowych kryteriów zrównoważonego rozwoju i potrzeb badawczych w rybołówstwie; </w:t>
      </w:r>
    </w:p>
    <w:p w14:paraId="5C15178B" w14:textId="4554BF5A" w:rsidR="006578ED" w:rsidRDefault="00A1618E">
      <w:pPr>
        <w:pStyle w:val="P68B1DB1-Normal4"/>
        <w:numPr>
          <w:ilvl w:val="0"/>
          <w:numId w:val="76"/>
        </w:numPr>
        <w:spacing w:before="120" w:after="120" w:line="240" w:lineRule="auto"/>
        <w:ind w:left="425" w:hanging="425"/>
        <w:contextualSpacing/>
        <w:jc w:val="both"/>
        <w:rPr>
          <w:rFonts w:cs="Times New Roman"/>
          <w:noProof/>
        </w:rPr>
      </w:pPr>
      <w:bookmarkStart w:id="8" w:name="_Hlk144117746"/>
      <w:bookmarkEnd w:id="7"/>
      <w:r>
        <w:rPr>
          <w:noProof/>
        </w:rPr>
        <w:t>aktualizacja zarządzania różnymi narzędziami, metodami i spisami powszechnymi na krajowych łowiskach w drodze dekretu królewskiego; oraz</w:t>
      </w:r>
    </w:p>
    <w:p w14:paraId="042E0201" w14:textId="1AFD9D53" w:rsidR="006578ED" w:rsidRDefault="00A1618E">
      <w:pPr>
        <w:pStyle w:val="P68B1DB1-Normal4"/>
        <w:numPr>
          <w:ilvl w:val="0"/>
          <w:numId w:val="76"/>
        </w:numPr>
        <w:spacing w:before="120" w:after="120" w:line="240" w:lineRule="auto"/>
        <w:ind w:left="426" w:hanging="426"/>
        <w:jc w:val="both"/>
        <w:rPr>
          <w:rFonts w:cs="Times New Roman"/>
          <w:noProof/>
        </w:rPr>
      </w:pPr>
      <w:bookmarkStart w:id="9" w:name="_Hlk144117704"/>
      <w:r>
        <w:rPr>
          <w:noProof/>
        </w:rPr>
        <w:t>wdrożenie ustawy mającej na celu modernizację systemów kontroli, inspekcji i sankcji w dziedzinie rybołówstwa.</w:t>
      </w:r>
    </w:p>
    <w:bookmarkEnd w:id="8"/>
    <w:bookmarkEnd w:id="9"/>
    <w:p w14:paraId="16CACB9E" w14:textId="4A07D4BB" w:rsidR="006578ED" w:rsidRDefault="00A1618E">
      <w:pPr>
        <w:pStyle w:val="P68B1DB1-Normal4"/>
        <w:spacing w:before="120" w:after="120" w:line="240" w:lineRule="auto"/>
        <w:jc w:val="both"/>
        <w:rPr>
          <w:rFonts w:cs="Times New Roman"/>
          <w:noProof/>
        </w:rPr>
      </w:pPr>
      <w:r>
        <w:rPr>
          <w:noProof/>
        </w:rPr>
        <w:t xml:space="preserve">Publikacja dekretu królewskiego w sprawie usprawnienia zarządzania różnymi narzędziami, metodami i skargami na krajowych łowiskach ma nastąpić </w:t>
      </w:r>
      <w:r w:rsidRPr="00A1618E">
        <w:rPr>
          <w:noProof/>
          <w:lang w:val="pl-PL"/>
        </w:rPr>
        <w:t>do 3</w:t>
      </w:r>
      <w:r>
        <w:rPr>
          <w:noProof/>
        </w:rPr>
        <w:t>0 czerwca 20</w:t>
      </w:r>
      <w:r w:rsidRPr="00A1618E">
        <w:rPr>
          <w:noProof/>
          <w:lang w:val="pl-PL"/>
        </w:rPr>
        <w:t>22 r.</w:t>
      </w:r>
      <w:r>
        <w:rPr>
          <w:noProof/>
        </w:rPr>
        <w:t xml:space="preserve"> </w:t>
      </w:r>
    </w:p>
    <w:p w14:paraId="2DC96A53" w14:textId="2D7B127E" w:rsidR="006578ED" w:rsidRDefault="00A1618E">
      <w:pPr>
        <w:pStyle w:val="P68B1DB1-Normal4"/>
        <w:spacing w:before="120" w:after="120" w:line="240" w:lineRule="auto"/>
        <w:jc w:val="both"/>
        <w:rPr>
          <w:rFonts w:cs="Times New Roman"/>
          <w:noProof/>
        </w:rPr>
      </w:pPr>
      <w:r>
        <w:rPr>
          <w:noProof/>
        </w:rPr>
        <w:t>Wdrożenie środka należy zakończyć do dnia 30 czerwca 20</w:t>
      </w:r>
      <w:r w:rsidRPr="00A1618E">
        <w:rPr>
          <w:noProof/>
          <w:lang w:val="pl-PL"/>
        </w:rPr>
        <w:t>26 r.</w:t>
      </w:r>
    </w:p>
    <w:p w14:paraId="72D1D3BF" w14:textId="1F6458BA" w:rsidR="006578ED" w:rsidRDefault="00A1618E">
      <w:pPr>
        <w:pStyle w:val="P68B1DB1-Normal6"/>
        <w:spacing w:before="120" w:after="120" w:line="240" w:lineRule="auto"/>
        <w:jc w:val="both"/>
        <w:rPr>
          <w:rFonts w:cs="Times New Roman"/>
          <w:noProof/>
        </w:rPr>
      </w:pPr>
      <w:r>
        <w:rPr>
          <w:noProof/>
        </w:rPr>
        <w:t xml:space="preserve">Inwestycja 1 (C3.I1) – Plan poprawy efektywności i zrównoważonego charakteru nawadniania </w:t>
      </w:r>
    </w:p>
    <w:p w14:paraId="6302894E" w14:textId="3602E4EF" w:rsidR="006578ED" w:rsidRDefault="00A1618E">
      <w:pPr>
        <w:pStyle w:val="P68B1DB1-Normal4"/>
        <w:spacing w:before="120" w:after="120" w:line="240" w:lineRule="auto"/>
        <w:jc w:val="both"/>
        <w:rPr>
          <w:rFonts w:cs="Times New Roman"/>
          <w:noProof/>
        </w:rPr>
      </w:pPr>
      <w:r>
        <w:rPr>
          <w:noProof/>
        </w:rPr>
        <w:t>Celem tego środka jest poprawa efektywności i zrównoważonego charakteru nawadniania za pomocą zestawu wybranych działań. Wspiera on oszczędność wody i efektywność energetyczną w działalności w zakresie nawadniania. Te działania obejmują:</w:t>
      </w:r>
    </w:p>
    <w:p w14:paraId="376E0EC4" w14:textId="09BF6A1B" w:rsidR="006578ED" w:rsidRDefault="00A1618E">
      <w:pPr>
        <w:pStyle w:val="P68B1DB1-Normal4"/>
        <w:numPr>
          <w:ilvl w:val="0"/>
          <w:numId w:val="81"/>
        </w:numPr>
        <w:spacing w:before="120" w:after="120" w:line="240" w:lineRule="auto"/>
        <w:ind w:left="425" w:hanging="425"/>
        <w:contextualSpacing/>
        <w:jc w:val="both"/>
        <w:rPr>
          <w:rFonts w:cs="Times New Roman"/>
          <w:noProof/>
        </w:rPr>
      </w:pPr>
      <w:r>
        <w:rPr>
          <w:noProof/>
        </w:rPr>
        <w:t>Działania modernizacyjne, w tym co najmniej: działania na obszarach zastępujących wody powierzchniowe lub podziemne wykorzystaniem niekonwencjonalnych zasobów wodnych (takich jak odzyskana woda zgodnie z rozporządzeniem (UE) 2020/741 i odsalona woda zgodnie z wytycznymi technicznymi „nie czyń poważnych szkód” 2021/C58/01) w ramach procesu modernizacji; oraz (ii) działania, które zwiększają oszczędność wody lub prowadzą do dalszego zmniejszenia zapotrzebowania na wodę lub większych oszczędności energii;</w:t>
      </w:r>
    </w:p>
    <w:p w14:paraId="72FEE5A3" w14:textId="1EAA394F" w:rsidR="006578ED" w:rsidRDefault="00A1618E">
      <w:pPr>
        <w:pStyle w:val="P68B1DB1-Normal4"/>
        <w:numPr>
          <w:ilvl w:val="0"/>
          <w:numId w:val="81"/>
        </w:numPr>
        <w:spacing w:before="120" w:after="120" w:line="240" w:lineRule="auto"/>
        <w:ind w:left="425" w:hanging="425"/>
        <w:contextualSpacing/>
        <w:jc w:val="both"/>
        <w:rPr>
          <w:rFonts w:cs="Times New Roman"/>
          <w:noProof/>
        </w:rPr>
      </w:pPr>
      <w:r>
        <w:rPr>
          <w:noProof/>
        </w:rPr>
        <w:t>modernizacja systemów nawadniania mająca wpływ na energię, w tym (i) preferencyjne traktowanie działań, które nie wymagają energii elektrycznej do ich eksploatacji, w stosunku do tych, które jej potrzebują lub potrzebują energii ze źródeł odnawialnych; oraz (ii) środki modernizacyjne ułatwiające samowystarczalność energetyczną, w tym wykorzystanie energii ze źródeł odnawialnych; oraz</w:t>
      </w:r>
    </w:p>
    <w:p w14:paraId="1E9DE30C" w14:textId="44936644" w:rsidR="006578ED" w:rsidRDefault="00A1618E">
      <w:pPr>
        <w:pStyle w:val="P68B1DB1-Normal4"/>
        <w:numPr>
          <w:ilvl w:val="0"/>
          <w:numId w:val="81"/>
        </w:numPr>
        <w:spacing w:before="120" w:after="120" w:line="240" w:lineRule="auto"/>
        <w:ind w:left="426" w:hanging="426"/>
        <w:jc w:val="both"/>
        <w:rPr>
          <w:rFonts w:cs="Times New Roman"/>
          <w:noProof/>
        </w:rPr>
      </w:pPr>
      <w:r>
        <w:rPr>
          <w:noProof/>
        </w:rPr>
        <w:t>wspieranie nowych technologii, takich jak: działania umożliwiające wyższy poziom wdrożenia nowych technologii i innowacji w celu osiągnięcia bardziej wydajnego nawadniania; oraz (ii) działań, w których proponuje się większą intensywność modernizacji nawadniania.</w:t>
      </w:r>
    </w:p>
    <w:p w14:paraId="1A33E4FC" w14:textId="4B034CF8" w:rsidR="006578ED" w:rsidRDefault="00A1618E">
      <w:pPr>
        <w:pStyle w:val="P68B1DB1-Normal4"/>
        <w:spacing w:before="120" w:after="120" w:line="240" w:lineRule="auto"/>
        <w:jc w:val="both"/>
        <w:rPr>
          <w:rFonts w:cs="Times New Roman"/>
          <w:noProof/>
        </w:rPr>
      </w:pPr>
      <w:r>
        <w:rPr>
          <w:noProof/>
        </w:rPr>
        <w:t xml:space="preserve">Wdrożenie środka jest realizowane przez przedsiębiorstwo publiczne </w:t>
      </w:r>
      <w:r>
        <w:rPr>
          <w:i/>
          <w:noProof/>
        </w:rPr>
        <w:t>Sociedad Estatal de Infraestructuras Agrarias</w:t>
      </w:r>
      <w:r>
        <w:rPr>
          <w:noProof/>
        </w:rPr>
        <w:t xml:space="preserve"> (SEIASA). W tym celu porozumienie między Ministerstwem Rolnictwa, Rybołówstwa i Żywności (MAPA) a SEIASA reguluje system finansowania publicznego/prywatnego inwestycji w modernizację nawadniania, kryteria wyboru projektów, procedury realizacji planu oraz wykaz działań, które należy podjąć. Wykaz działań obejmuje co najmniej:</w:t>
      </w:r>
    </w:p>
    <w:p w14:paraId="1A5D4B3F" w14:textId="5BD4A1C8" w:rsidR="006578ED" w:rsidRDefault="00A1618E">
      <w:pPr>
        <w:pStyle w:val="P68B1DB1-Normal4"/>
        <w:numPr>
          <w:ilvl w:val="0"/>
          <w:numId w:val="83"/>
        </w:numPr>
        <w:spacing w:before="120" w:after="120" w:line="240" w:lineRule="auto"/>
        <w:ind w:left="357" w:hanging="357"/>
        <w:contextualSpacing/>
        <w:jc w:val="both"/>
        <w:rPr>
          <w:rFonts w:cs="Times New Roman"/>
          <w:noProof/>
        </w:rPr>
      </w:pPr>
      <w:r>
        <w:rPr>
          <w:noProof/>
        </w:rPr>
        <w:t xml:space="preserve">Zastąpienie wykorzystania wód podziemnych lub powierzchniowych wykorzystaniem niekonwencjonalnych zasobów wodnych (woda odzyskana lub odsalona zgodnie z wytycznymi technicznymi dotyczącymi zasady „nie czyń poważnych szkód” (2021/C58/01)); </w:t>
      </w:r>
    </w:p>
    <w:p w14:paraId="4EB8D444" w14:textId="77777777" w:rsidR="006578ED" w:rsidRDefault="00A1618E">
      <w:pPr>
        <w:pStyle w:val="P68B1DB1-Normal4"/>
        <w:numPr>
          <w:ilvl w:val="0"/>
          <w:numId w:val="83"/>
        </w:numPr>
        <w:spacing w:before="120" w:after="120" w:line="240" w:lineRule="auto"/>
        <w:ind w:left="357" w:hanging="357"/>
        <w:contextualSpacing/>
        <w:jc w:val="both"/>
        <w:rPr>
          <w:rFonts w:cs="Times New Roman"/>
          <w:noProof/>
        </w:rPr>
      </w:pPr>
      <w:r>
        <w:rPr>
          <w:noProof/>
        </w:rPr>
        <w:t>wdrożenie systemów regulacji wód (zbiorników), które umożliwiają nawadnianie grawitacyjne;</w:t>
      </w:r>
    </w:p>
    <w:p w14:paraId="71771AF9" w14:textId="77777777" w:rsidR="006578ED" w:rsidRDefault="00A1618E">
      <w:pPr>
        <w:pStyle w:val="P68B1DB1-Normal4"/>
        <w:numPr>
          <w:ilvl w:val="0"/>
          <w:numId w:val="83"/>
        </w:numPr>
        <w:spacing w:before="120" w:after="120" w:line="240" w:lineRule="auto"/>
        <w:ind w:left="357" w:hanging="357"/>
        <w:contextualSpacing/>
        <w:jc w:val="both"/>
        <w:rPr>
          <w:rFonts w:cs="Times New Roman"/>
          <w:noProof/>
        </w:rPr>
      </w:pPr>
      <w:r>
        <w:rPr>
          <w:noProof/>
        </w:rPr>
        <w:t>wymiana rowów na wolnym powietrzu na rury podziemne;</w:t>
      </w:r>
    </w:p>
    <w:p w14:paraId="604535BE" w14:textId="4CECA812" w:rsidR="006578ED" w:rsidRDefault="00A1618E">
      <w:pPr>
        <w:pStyle w:val="P68B1DB1-Normal4"/>
        <w:numPr>
          <w:ilvl w:val="0"/>
          <w:numId w:val="83"/>
        </w:numPr>
        <w:spacing w:before="120" w:after="120" w:line="240" w:lineRule="auto"/>
        <w:ind w:left="357" w:hanging="357"/>
        <w:contextualSpacing/>
        <w:jc w:val="both"/>
        <w:rPr>
          <w:rFonts w:cs="Times New Roman"/>
          <w:noProof/>
        </w:rPr>
      </w:pPr>
      <w:r>
        <w:rPr>
          <w:noProof/>
        </w:rPr>
        <w:t>budowę systemów filtrowania i pompowania; oraz</w:t>
      </w:r>
    </w:p>
    <w:p w14:paraId="2312E5D1" w14:textId="02A2B0FD" w:rsidR="006578ED" w:rsidRDefault="00A1618E">
      <w:pPr>
        <w:pStyle w:val="P68B1DB1-Normal4"/>
        <w:numPr>
          <w:ilvl w:val="0"/>
          <w:numId w:val="83"/>
        </w:numPr>
        <w:spacing w:before="120" w:after="120" w:line="240" w:lineRule="auto"/>
        <w:jc w:val="both"/>
        <w:rPr>
          <w:rFonts w:cs="Times New Roman"/>
          <w:noProof/>
        </w:rPr>
      </w:pPr>
      <w:r>
        <w:rPr>
          <w:noProof/>
        </w:rPr>
        <w:t>instalacja liczników i systemów zdalnego zarządzania.</w:t>
      </w:r>
    </w:p>
    <w:p w14:paraId="38A38CF1" w14:textId="183AEF96" w:rsidR="006578ED" w:rsidRDefault="00A1618E">
      <w:pPr>
        <w:pStyle w:val="P68B1DB1-Normal4"/>
        <w:spacing w:before="120" w:after="120" w:line="240" w:lineRule="auto"/>
        <w:jc w:val="both"/>
        <w:rPr>
          <w:rFonts w:cs="Times New Roman"/>
          <w:noProof/>
        </w:rPr>
      </w:pPr>
      <w:r>
        <w:rPr>
          <w:noProof/>
        </w:rPr>
        <w:t xml:space="preserve">Oczekuje się, że środek ten nie spowoduje znaczących szkód dla celów środowiskowych w rozumieniu </w:t>
      </w:r>
      <w:r w:rsidRPr="00A1618E">
        <w:rPr>
          <w:noProof/>
          <w:lang w:val="pl-PL"/>
        </w:rPr>
        <w:t>art. 1</w:t>
      </w:r>
      <w:r>
        <w:rPr>
          <w:noProof/>
        </w:rPr>
        <w:t xml:space="preserve">7 rozporządzenia (UE) 2020/852, biorąc pod uwagę opis środka i działania łagodzące określone w planie odbudowy i zwiększania odporności zgodnie z wytycznymi technicznymi dotyczącymi zasady „nie czyń poważnych szkód” (2021/C58/01). W szczególności woda </w:t>
      </w:r>
      <w:r w:rsidR="00EC188C">
        <w:rPr>
          <w:noProof/>
        </w:rPr>
        <w:t>odsalana</w:t>
      </w:r>
      <w:r>
        <w:rPr>
          <w:noProof/>
        </w:rPr>
        <w:t xml:space="preserve"> jest produkowana z wykorzystaniem najlepszej dostępnej technologii o najniższym wpływie na środowisko w sektorze. Wszystkie działania nawadniające są prowadzone zgodnie z ramową dyrektywą wodną, przeprowadza się niezbędne oceny oddziaływania na środowisko zgodnie z dyrektywami 2009/147/WE i 92/43/EWG oraz wdraża się wymagane środki łagodzące w celu ochrony środowiska.</w:t>
      </w:r>
    </w:p>
    <w:p w14:paraId="20F6D375" w14:textId="4F6A2CF5"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19B2E2EB" w14:textId="07ED2851" w:rsidR="006578ED" w:rsidRDefault="00A1618E">
      <w:pPr>
        <w:pStyle w:val="P68B1DB1-Normal6"/>
        <w:spacing w:before="120" w:after="120" w:line="240" w:lineRule="auto"/>
        <w:jc w:val="both"/>
        <w:rPr>
          <w:rFonts w:cs="Times New Roman"/>
          <w:noProof/>
        </w:rPr>
      </w:pPr>
      <w:r>
        <w:rPr>
          <w:noProof/>
        </w:rPr>
        <w:t xml:space="preserve">Inwestycje 2 (C3.I2) – Plan na rzecz zwiększenia zrównoważonego charakteru i konkurencyjności rolnictwa i hodowli zwierząt gospodarskich (I): Modernizacja laboratoriów ds. zdrowia zwierząt i roślin </w:t>
      </w:r>
    </w:p>
    <w:p w14:paraId="2AB9C24A" w14:textId="120D9FBE" w:rsidR="006578ED" w:rsidRDefault="00A1618E">
      <w:pPr>
        <w:pStyle w:val="P68B1DB1-Normal4"/>
        <w:spacing w:before="120" w:after="120" w:line="240" w:lineRule="auto"/>
        <w:jc w:val="both"/>
        <w:rPr>
          <w:rFonts w:cs="Times New Roman"/>
          <w:noProof/>
        </w:rPr>
      </w:pPr>
      <w:r>
        <w:rPr>
          <w:noProof/>
        </w:rPr>
        <w:t>Środek ten przyczynia się do poprawy bezpieczeństwa żywnościowego w sektorze rolnym i hodowlanym poprzez zapewnienie szybkich działań w odpowiedzi na ogniska chorób zwierząt, w tym chorób ludzi, a także szkodników roślin poprzez budowę obiektów o poziomie bezpieczeństwa biologicznego 3. W szczególności środek zapewnia uruchomienie następujących obiektów:</w:t>
      </w:r>
    </w:p>
    <w:p w14:paraId="45F0ABAF" w14:textId="77777777" w:rsidR="006578ED" w:rsidRDefault="00A1618E">
      <w:pPr>
        <w:pStyle w:val="P68B1DB1-Normal4"/>
        <w:numPr>
          <w:ilvl w:val="0"/>
          <w:numId w:val="84"/>
        </w:numPr>
        <w:spacing w:before="120" w:after="120" w:line="240" w:lineRule="auto"/>
        <w:ind w:left="357" w:hanging="357"/>
        <w:contextualSpacing/>
        <w:jc w:val="both"/>
        <w:rPr>
          <w:rFonts w:cs="Times New Roman"/>
          <w:noProof/>
        </w:rPr>
      </w:pPr>
      <w:r>
        <w:rPr>
          <w:noProof/>
        </w:rPr>
        <w:t>laboratorium bezpieczeństwa biologicznego poziomu 3 (LSCA-Santa Fe);</w:t>
      </w:r>
    </w:p>
    <w:p w14:paraId="7A8D5F63" w14:textId="77777777" w:rsidR="006578ED" w:rsidRDefault="00A1618E">
      <w:pPr>
        <w:pStyle w:val="P68B1DB1-Normal4"/>
        <w:numPr>
          <w:ilvl w:val="0"/>
          <w:numId w:val="84"/>
        </w:numPr>
        <w:spacing w:before="120" w:after="120" w:line="240" w:lineRule="auto"/>
        <w:ind w:left="357" w:hanging="357"/>
        <w:contextualSpacing/>
        <w:jc w:val="both"/>
        <w:rPr>
          <w:rFonts w:cs="Times New Roman"/>
          <w:noProof/>
        </w:rPr>
      </w:pPr>
      <w:r>
        <w:rPr>
          <w:noProof/>
        </w:rPr>
        <w:t>obiekt dla zwierząt poziomu 3 (LCV-Algete); oraz</w:t>
      </w:r>
    </w:p>
    <w:p w14:paraId="6D5D30E8" w14:textId="2BA50877" w:rsidR="006578ED" w:rsidRDefault="00A1618E">
      <w:pPr>
        <w:pStyle w:val="P68B1DB1-Normal4"/>
        <w:numPr>
          <w:ilvl w:val="0"/>
          <w:numId w:val="84"/>
        </w:numPr>
        <w:spacing w:before="120" w:after="120" w:line="240" w:lineRule="auto"/>
        <w:jc w:val="both"/>
        <w:rPr>
          <w:rFonts w:cs="Times New Roman"/>
          <w:noProof/>
        </w:rPr>
      </w:pPr>
      <w:r>
        <w:rPr>
          <w:noProof/>
        </w:rPr>
        <w:t>krajowe Laboratorium Zdrowia Roślin w Lugo.</w:t>
      </w:r>
    </w:p>
    <w:p w14:paraId="59041FD8" w14:textId="6772B722" w:rsidR="006578ED" w:rsidRDefault="00A1618E">
      <w:pPr>
        <w:pStyle w:val="P68B1DB1-Normal4"/>
        <w:spacing w:before="120" w:after="120" w:line="240" w:lineRule="auto"/>
        <w:jc w:val="both"/>
        <w:rPr>
          <w:rFonts w:cs="Times New Roman"/>
          <w:noProof/>
          <w:u w:val="single"/>
        </w:rPr>
      </w:pPr>
      <w:r>
        <w:rPr>
          <w:noProof/>
        </w:rPr>
        <w:t>Realizacja inwestycji zakończy się do dnia 30 czerwca 20</w:t>
      </w:r>
      <w:r w:rsidRPr="00A1618E">
        <w:rPr>
          <w:noProof/>
          <w:lang w:val="pl-PL"/>
        </w:rPr>
        <w:t>26 r.</w:t>
      </w:r>
    </w:p>
    <w:p w14:paraId="7503F97D" w14:textId="3D099CA5" w:rsidR="006578ED" w:rsidRDefault="00A1618E">
      <w:pPr>
        <w:pStyle w:val="P68B1DB1-Normal6"/>
        <w:spacing w:before="120" w:after="120" w:line="240" w:lineRule="auto"/>
        <w:jc w:val="both"/>
        <w:rPr>
          <w:rFonts w:cs="Times New Roman"/>
          <w:noProof/>
        </w:rPr>
      </w:pPr>
      <w:r>
        <w:rPr>
          <w:noProof/>
        </w:rPr>
        <w:t xml:space="preserve">Inwestycje 3 (C3.I3) – Plan na rzecz zwiększenia zrównoważonego charakteru i konkurencyjności rolnictwa i hodowli zwierząt (II): Wzmocnienie budowania zdolności i systemów bioasekuracji w szkółkach, ośrodkach czyszczenia i dezynfekcji </w:t>
      </w:r>
    </w:p>
    <w:p w14:paraId="14BC482A" w14:textId="54E377C2" w:rsidR="006578ED" w:rsidRDefault="00A1618E">
      <w:pPr>
        <w:pStyle w:val="P68B1DB1-Normal4"/>
        <w:spacing w:before="120" w:after="120" w:line="240" w:lineRule="auto"/>
        <w:jc w:val="both"/>
        <w:rPr>
          <w:rFonts w:cs="Times New Roman"/>
          <w:noProof/>
        </w:rPr>
      </w:pPr>
      <w:r>
        <w:rPr>
          <w:noProof/>
        </w:rPr>
        <w:t xml:space="preserve">Środek ten wzmacnia zapobieganie chorobom zwierząt i szkodnikom roślin, których występowanie wzrosło w wyniku zmiany klimatu, oraz ochronę przed nimi poprzez poprawę budowania zdolności i systemów bioasekuracji w szkółkach, a także w ośrodkach czyszczenia i dezynfekcji. Wzmacnia systemy bioasekuracji w zakładach produkujących materiał przeznaczony do reprodukcji roślin, które odgrywają ważną rolę w uzyskiwaniu materiału wolnego od szkodników przy ograniczeniu stosowania środków ochrony roślin. </w:t>
      </w:r>
    </w:p>
    <w:p w14:paraId="09913FC4" w14:textId="340C7308" w:rsidR="006578ED" w:rsidRDefault="00A1618E">
      <w:pPr>
        <w:pStyle w:val="P68B1DB1-Normal4"/>
        <w:spacing w:before="120" w:after="120" w:line="240" w:lineRule="auto"/>
        <w:jc w:val="both"/>
        <w:rPr>
          <w:rFonts w:cs="Times New Roman"/>
          <w:noProof/>
        </w:rPr>
      </w:pPr>
      <w:r>
        <w:rPr>
          <w:noProof/>
        </w:rPr>
        <w:t xml:space="preserve">Wsparcie przyjmuje formę pomocy inwestycyjnej ukierunkowanej na gospodarstwa rolne zajmujące się materiałem przeznaczonym do reprodukcji roślin oraz ośrodki czyszczenia i dezynfekcji środków transportu żywych zwierząt. W szczególności przewiduje się dotacje na modernizację technologiczną tych obiektów poprzez automatyzację, robotyzację oraz instalację nowych systemów czyszczenia i dezynfekcji, takich jak dezynfekcja termiczna. </w:t>
      </w:r>
    </w:p>
    <w:p w14:paraId="7804C26F" w14:textId="3185DA56" w:rsidR="006578ED" w:rsidRDefault="00A1618E">
      <w:pPr>
        <w:pStyle w:val="P68B1DB1-Normal4"/>
        <w:spacing w:before="120" w:after="120" w:line="240" w:lineRule="auto"/>
        <w:jc w:val="both"/>
        <w:rPr>
          <w:rFonts w:cs="Times New Roman"/>
          <w:noProof/>
        </w:rPr>
      </w:pPr>
      <w:r>
        <w:rPr>
          <w:noProof/>
        </w:rPr>
        <w:t>Środek obejmuje wzmocnienie co najmniej 465 ośrodków czyszczenia i dezynfekcji oraz ośrodków produkujących materiał do reprodukcji roślin o zwiększonych systemach treningowych i bioasekuracji.</w:t>
      </w:r>
    </w:p>
    <w:p w14:paraId="5590D1C9" w14:textId="0E611A96" w:rsidR="006578ED" w:rsidRDefault="00A1618E">
      <w:pPr>
        <w:pStyle w:val="P68B1DB1-Normal4"/>
        <w:spacing w:before="120" w:after="120" w:line="240" w:lineRule="auto"/>
        <w:jc w:val="both"/>
        <w:rPr>
          <w:rFonts w:cs="Times New Roman"/>
          <w:noProof/>
        </w:rPr>
      </w:pPr>
      <w:r>
        <w:rPr>
          <w:noProof/>
        </w:rPr>
        <w:t>Realizacja inwestycji zostanie zakończona do dnia 30 września 20</w:t>
      </w:r>
      <w:r w:rsidRPr="00A1618E">
        <w:rPr>
          <w:noProof/>
          <w:lang w:val="pl-PL"/>
        </w:rPr>
        <w:t>24 r.</w:t>
      </w:r>
    </w:p>
    <w:p w14:paraId="4D9D5B08" w14:textId="03AFBAD0" w:rsidR="006578ED" w:rsidRDefault="00A1618E">
      <w:pPr>
        <w:pStyle w:val="P68B1DB1-Normal6"/>
        <w:spacing w:before="120" w:after="120" w:line="240" w:lineRule="auto"/>
        <w:jc w:val="both"/>
        <w:rPr>
          <w:rFonts w:cs="Times New Roman"/>
          <w:noProof/>
        </w:rPr>
      </w:pPr>
      <w:r>
        <w:rPr>
          <w:noProof/>
        </w:rPr>
        <w:t xml:space="preserve">Inwestycje 4 (C3.I4) – Plan na rzecz zwiększenia zrównoważonego charakteru i konkurencyjności rolnictwa i hodowli zwierząt gospodarskich (III): Inwestycje w rolnictwo precyzyjne, efektywność energetyczną i gospodarkę o obiegu zamkniętym w sektorze rolnym i hodowlanym </w:t>
      </w:r>
    </w:p>
    <w:p w14:paraId="75E59DDF" w14:textId="63610967" w:rsidR="006578ED" w:rsidRDefault="00A1618E">
      <w:pPr>
        <w:pStyle w:val="P68B1DB1-Normal4"/>
        <w:spacing w:before="120" w:after="120" w:line="240" w:lineRule="auto"/>
        <w:jc w:val="both"/>
        <w:rPr>
          <w:rFonts w:cs="Times New Roman"/>
          <w:noProof/>
        </w:rPr>
      </w:pPr>
      <w:r>
        <w:rPr>
          <w:noProof/>
        </w:rPr>
        <w:t xml:space="preserve">Środek ten wspiera zrównoważony rozwój i konkurencyjność sektora rolnego i hodowlanego poprzez inwestycje w: rolnictwo precyzyjne; efektywność energetyczną; gospodarka o obiegu zamkniętym; oraz (iv) wykorzystania energii ze źródeł odnawialnych. </w:t>
      </w:r>
    </w:p>
    <w:p w14:paraId="182A33E1" w14:textId="77777777" w:rsidR="006578ED" w:rsidRDefault="00A1618E">
      <w:pPr>
        <w:pStyle w:val="P68B1DB1-Normal4"/>
        <w:spacing w:before="120" w:after="120" w:line="240" w:lineRule="auto"/>
        <w:jc w:val="both"/>
        <w:rPr>
          <w:rFonts w:cs="Times New Roman"/>
          <w:noProof/>
        </w:rPr>
      </w:pPr>
      <w:r>
        <w:rPr>
          <w:noProof/>
        </w:rPr>
        <w:t xml:space="preserve">Dokładniej rzecz ujmując, inwestycje dotyczą następujących kwestii: </w:t>
      </w:r>
    </w:p>
    <w:p w14:paraId="0B534188" w14:textId="1F7932D2" w:rsidR="006578ED" w:rsidRDefault="00A1618E">
      <w:pPr>
        <w:pStyle w:val="P68B1DB1-Normal4"/>
        <w:numPr>
          <w:ilvl w:val="0"/>
          <w:numId w:val="85"/>
        </w:numPr>
        <w:spacing w:before="120" w:after="120" w:line="240" w:lineRule="auto"/>
        <w:ind w:left="357" w:hanging="357"/>
        <w:contextualSpacing/>
        <w:jc w:val="both"/>
        <w:rPr>
          <w:rFonts w:cs="Times New Roman"/>
          <w:noProof/>
        </w:rPr>
      </w:pPr>
      <w:r>
        <w:rPr>
          <w:noProof/>
        </w:rPr>
        <w:t xml:space="preserve">Wdrożenie nowych systemów gospodarowania odpadami rolnymi, ściekami zwierzęcymi i ich produktami ubocznymi, w tym reform strukturalnych; </w:t>
      </w:r>
    </w:p>
    <w:p w14:paraId="6A0A438D" w14:textId="6E496A8D" w:rsidR="006578ED" w:rsidRDefault="00A1618E">
      <w:pPr>
        <w:pStyle w:val="P68B1DB1-Normal4"/>
        <w:numPr>
          <w:ilvl w:val="0"/>
          <w:numId w:val="85"/>
        </w:numPr>
        <w:spacing w:before="120" w:after="120" w:line="240" w:lineRule="auto"/>
        <w:ind w:left="357" w:hanging="357"/>
        <w:contextualSpacing/>
        <w:jc w:val="both"/>
        <w:rPr>
          <w:rFonts w:cs="Times New Roman"/>
          <w:noProof/>
        </w:rPr>
      </w:pPr>
      <w:r>
        <w:rPr>
          <w:noProof/>
        </w:rPr>
        <w:t xml:space="preserve">modernizacja szklarni, zarówno ich instalacji, jak i sprzętu; </w:t>
      </w:r>
    </w:p>
    <w:p w14:paraId="0E4AA40F" w14:textId="722FC49A" w:rsidR="006578ED" w:rsidRDefault="00A1618E">
      <w:pPr>
        <w:pStyle w:val="P68B1DB1-Normal4"/>
        <w:numPr>
          <w:ilvl w:val="0"/>
          <w:numId w:val="85"/>
        </w:numPr>
        <w:spacing w:before="120" w:after="120" w:line="240" w:lineRule="auto"/>
        <w:ind w:left="357" w:hanging="357"/>
        <w:contextualSpacing/>
        <w:jc w:val="both"/>
        <w:rPr>
          <w:rFonts w:cs="Times New Roman"/>
          <w:noProof/>
        </w:rPr>
      </w:pPr>
      <w:r>
        <w:rPr>
          <w:noProof/>
        </w:rPr>
        <w:t>promowanie wykorzystania biogazów i odnawialnych źródeł energii; oraz</w:t>
      </w:r>
    </w:p>
    <w:p w14:paraId="5A639482" w14:textId="0DF92602" w:rsidR="006578ED" w:rsidRDefault="00A1618E">
      <w:pPr>
        <w:pStyle w:val="P68B1DB1-Normal4"/>
        <w:numPr>
          <w:ilvl w:val="0"/>
          <w:numId w:val="85"/>
        </w:numPr>
        <w:spacing w:before="120" w:after="120" w:line="240" w:lineRule="auto"/>
        <w:jc w:val="both"/>
        <w:rPr>
          <w:rFonts w:cs="Times New Roman"/>
          <w:noProof/>
        </w:rPr>
      </w:pPr>
      <w:r>
        <w:rPr>
          <w:noProof/>
        </w:rPr>
        <w:t>gromadzenie danych w czasie rzeczywistym za pomocą czujników umożliwiających stosowanie rolnictwa precyzyjnego i technologii w gospodarstwach rolnych, co obejmuje wdrożenie systemów nawigacji satelitarnej (GNSS) i geolokalizację w hodowli zwierząt gospodarskich.</w:t>
      </w:r>
    </w:p>
    <w:p w14:paraId="7D8DD025" w14:textId="35ECA434" w:rsidR="006578ED" w:rsidRDefault="00A1618E">
      <w:pPr>
        <w:pStyle w:val="P68B1DB1-Normal4"/>
        <w:spacing w:before="120" w:after="120" w:line="240" w:lineRule="auto"/>
        <w:jc w:val="both"/>
        <w:rPr>
          <w:rFonts w:cs="Times New Roman"/>
          <w:noProof/>
        </w:rPr>
      </w:pPr>
      <w:r>
        <w:rPr>
          <w:noProof/>
        </w:rPr>
        <w:t>Środek jest realizowany w formie inwestycji indywidualnych lub zbiorowych w gospodarstwach rolnych lub przedsiębiorstwach usług rolniczych. Co najmniej 5000 gospodarstw musi ukończyć projekty w zakresie rolnictwa precyzyjnego, efektywności energetycznej, gospodarki o obiegu zamkniętym i wykorzystania energii ze źródeł odnawialnych.</w:t>
      </w:r>
    </w:p>
    <w:p w14:paraId="5E653E8F" w14:textId="1297C1EE" w:rsidR="006578ED" w:rsidRDefault="00A1618E">
      <w:pPr>
        <w:pStyle w:val="P68B1DB1-Normal4"/>
        <w:spacing w:before="120" w:after="120" w:line="240" w:lineRule="auto"/>
        <w:jc w:val="both"/>
        <w:rPr>
          <w:rFonts w:cs="Times New Roman"/>
          <w:noProof/>
          <w:u w:val="single"/>
        </w:rPr>
      </w:pPr>
      <w:r>
        <w:rPr>
          <w:noProof/>
        </w:rPr>
        <w:t>Realizacja inwestycji zakończy się do dnia 30 czerwca 20</w:t>
      </w:r>
      <w:r w:rsidRPr="00A1618E">
        <w:rPr>
          <w:noProof/>
          <w:lang w:val="pl-PL"/>
        </w:rPr>
        <w:t>26 r.</w:t>
      </w:r>
    </w:p>
    <w:p w14:paraId="5787123F" w14:textId="7069204B" w:rsidR="006578ED" w:rsidRDefault="00A1618E">
      <w:pPr>
        <w:pStyle w:val="P68B1DB1-Normal6"/>
        <w:spacing w:before="120" w:after="120" w:line="240" w:lineRule="auto"/>
        <w:jc w:val="both"/>
        <w:rPr>
          <w:rFonts w:cs="Times New Roman"/>
          <w:noProof/>
        </w:rPr>
      </w:pPr>
      <w:r>
        <w:rPr>
          <w:noProof/>
        </w:rPr>
        <w:t xml:space="preserve">Inwestycja 5 (C3.I5) – Strategia na rzecz cyfryzacji sektora rolno-spożywczego i leśnego oraz środowiska wiejskiego: rozwój działań wspierających cyfryzację i przedsiębiorczość sektora rolno-spożywczego i leśnego oraz środowiska wiejskiego </w:t>
      </w:r>
    </w:p>
    <w:p w14:paraId="21E6740E" w14:textId="2A9F0E20" w:rsidR="006578ED" w:rsidRDefault="00A1618E">
      <w:pPr>
        <w:pStyle w:val="P68B1DB1-Normal4"/>
        <w:spacing w:before="120" w:after="120" w:line="240" w:lineRule="auto"/>
        <w:jc w:val="both"/>
        <w:rPr>
          <w:rFonts w:cs="Times New Roman"/>
          <w:noProof/>
        </w:rPr>
      </w:pPr>
      <w:r>
        <w:rPr>
          <w:noProof/>
        </w:rPr>
        <w:t>Środek ten określa działania w ramach strategii na rzecz cyfryzacji sektorów rolno-spożywczego, leśnego i wiejskiego, przyjętej przez rząd Hiszpanii w marcu 20</w:t>
      </w:r>
      <w:r w:rsidRPr="00A1618E">
        <w:rPr>
          <w:noProof/>
          <w:lang w:val="pl-PL"/>
        </w:rPr>
        <w:t>19 r.</w:t>
      </w:r>
      <w:r>
        <w:rPr>
          <w:noProof/>
        </w:rPr>
        <w:t>, oraz w drugim planie działania na lata 2021–2023. Działania te obejmują:</w:t>
      </w:r>
    </w:p>
    <w:p w14:paraId="288244F9" w14:textId="605D4551" w:rsidR="006578ED" w:rsidRDefault="00A1618E">
      <w:pPr>
        <w:pStyle w:val="P68B1DB1-Normal4"/>
        <w:numPr>
          <w:ilvl w:val="0"/>
          <w:numId w:val="77"/>
        </w:numPr>
        <w:spacing w:before="120" w:after="120" w:line="240" w:lineRule="auto"/>
        <w:ind w:left="425" w:hanging="425"/>
        <w:contextualSpacing/>
        <w:jc w:val="both"/>
        <w:rPr>
          <w:rFonts w:cs="Times New Roman"/>
          <w:noProof/>
        </w:rPr>
      </w:pPr>
      <w:r>
        <w:rPr>
          <w:noProof/>
        </w:rPr>
        <w:t>Specjalną linię wsparcia finansowego dla MŚP w sektorze rolno-spożywczym w celu zachęcania do innowacyjnych i cyfrowych projektów biznesowych, które mają być realizowane poprzez udzielanie pożyczek partycypacyjnych;</w:t>
      </w:r>
    </w:p>
    <w:p w14:paraId="50C1BDF4" w14:textId="055F49E9" w:rsidR="006578ED" w:rsidRDefault="00A1618E">
      <w:pPr>
        <w:pStyle w:val="P68B1DB1-Normal4"/>
        <w:numPr>
          <w:ilvl w:val="0"/>
          <w:numId w:val="77"/>
        </w:numPr>
        <w:spacing w:before="120" w:after="120" w:line="240" w:lineRule="auto"/>
        <w:ind w:left="425" w:hanging="425"/>
        <w:contextualSpacing/>
        <w:jc w:val="both"/>
        <w:rPr>
          <w:rFonts w:cs="Times New Roman"/>
          <w:noProof/>
        </w:rPr>
      </w:pPr>
      <w:r>
        <w:rPr>
          <w:noProof/>
        </w:rPr>
        <w:t>Centrum innowacji cyfrowych dla przedsiębiorstw w sektorze rolno-spożywczym, które ma zostać wdrożone w drodze zamówienia wewnętrznego i zamówień publicznych w drodze przetargów konkurencyjnych;</w:t>
      </w:r>
    </w:p>
    <w:p w14:paraId="447F264E" w14:textId="0895CD41" w:rsidR="006578ED" w:rsidRDefault="00A1618E">
      <w:pPr>
        <w:pStyle w:val="P68B1DB1-Normal4"/>
        <w:numPr>
          <w:ilvl w:val="0"/>
          <w:numId w:val="77"/>
        </w:numPr>
        <w:spacing w:before="120" w:after="120" w:line="240" w:lineRule="auto"/>
        <w:ind w:left="425" w:hanging="425"/>
        <w:contextualSpacing/>
        <w:jc w:val="both"/>
        <w:rPr>
          <w:rFonts w:cs="Times New Roman"/>
          <w:noProof/>
        </w:rPr>
      </w:pPr>
      <w:r>
        <w:rPr>
          <w:noProof/>
        </w:rPr>
        <w:t>Centrum monitorowania cyfryzacji w sektorze rolno-spożywczym za pośrednictwem umowy o partnerstwie między MAPA a organem współpracującym; oraz</w:t>
      </w:r>
    </w:p>
    <w:p w14:paraId="61C3C163" w14:textId="1C2E6A9F" w:rsidR="006578ED" w:rsidRDefault="00A1618E">
      <w:pPr>
        <w:pStyle w:val="P68B1DB1-Normal4"/>
        <w:numPr>
          <w:ilvl w:val="0"/>
          <w:numId w:val="77"/>
        </w:numPr>
        <w:spacing w:before="120" w:after="120" w:line="240" w:lineRule="auto"/>
        <w:ind w:left="426" w:hanging="426"/>
        <w:jc w:val="both"/>
        <w:rPr>
          <w:rFonts w:cs="Times New Roman"/>
          <w:noProof/>
        </w:rPr>
      </w:pPr>
      <w:r>
        <w:rPr>
          <w:noProof/>
        </w:rPr>
        <w:t>platforma doradców systemu wiedzy i informacji w dziedzinie rolnictwa (AKIS) służąca jako narzędzie wspierania transferu wiedzy i informacji między podmiotami AKIS, które ma zostać wdrożone w drodze zamówienia wewnętrznego i zamówień publicznych w drodze przetargu konkurencyjnego.</w:t>
      </w:r>
    </w:p>
    <w:p w14:paraId="32BC8D05" w14:textId="45992B3B" w:rsidR="006578ED" w:rsidRDefault="00A1618E">
      <w:pPr>
        <w:pStyle w:val="P68B1DB1-Normal4"/>
        <w:spacing w:before="120" w:after="120" w:line="240" w:lineRule="auto"/>
        <w:jc w:val="both"/>
        <w:rPr>
          <w:rFonts w:cs="Times New Roman"/>
          <w:noProof/>
        </w:rPr>
      </w:pPr>
      <w:r>
        <w:rPr>
          <w:noProof/>
        </w:rPr>
        <w:t>W ramach środka co najmniej 60 MŚP sektora rolno-spożywczego wdraża innowacyjne i cyfrowe projekty biznesowe, które muszą być zgodne z wytycznymi technicznymi dotyczącymi zasady „nie czyń poważnych szkód” (2021/C58/01) i finansowane z pożyczek partycypacyjnych do końca 20</w:t>
      </w:r>
      <w:r w:rsidRPr="00A1618E">
        <w:rPr>
          <w:noProof/>
          <w:lang w:val="pl-PL"/>
        </w:rPr>
        <w:t>23 r.</w:t>
      </w:r>
      <w:r>
        <w:rPr>
          <w:noProof/>
        </w:rPr>
        <w:t xml:space="preserve"> </w:t>
      </w:r>
    </w:p>
    <w:p w14:paraId="6B1ACAB3" w14:textId="6051D3A2" w:rsidR="006578ED" w:rsidRDefault="00A1618E">
      <w:pPr>
        <w:pStyle w:val="P68B1DB1-Text119"/>
        <w:ind w:left="0"/>
        <w:rPr>
          <w:rFonts w:cs="Times New Roman"/>
          <w:noProof/>
        </w:rPr>
      </w:pPr>
      <w:r>
        <w:rPr>
          <w:noProof/>
        </w:rPr>
        <w:t>W celu zapewnienia zgodności środka z wytycznymi technicznymi dotyczącymi zasady „nie czyń poważnych szkód” (2021/C58/01), umowa prawna między Ministerstwem Rolnictwa, Rybołówstwa i Żywności a </w:t>
      </w:r>
      <w:r>
        <w:rPr>
          <w:i/>
          <w:noProof/>
        </w:rPr>
        <w:t>Empresa Nacional de Innovación</w:t>
      </w:r>
      <w:r>
        <w:rPr>
          <w:noProof/>
        </w:rPr>
        <w:t xml:space="preserve"> (ENISA) oraz późniejsza polityka inwestycyjna instrumentu finansowego: </w:t>
      </w:r>
    </w:p>
    <w:p w14:paraId="66580EAC" w14:textId="5E696AF4" w:rsidR="006578ED" w:rsidRDefault="00A1618E">
      <w:pPr>
        <w:pStyle w:val="P68B1DB1-Text119"/>
        <w:numPr>
          <w:ilvl w:val="0"/>
          <w:numId w:val="195"/>
        </w:numPr>
        <w:ind w:left="714" w:hanging="357"/>
        <w:contextualSpacing/>
        <w:rPr>
          <w:rFonts w:cs="Times New Roman"/>
          <w:noProof/>
        </w:rPr>
      </w:pPr>
      <w:r>
        <w:rPr>
          <w:noProof/>
        </w:rPr>
        <w:t>wymóg stosowania wytycznych technicznych Komisji dotyczących kontroli zrównoważonego charakteru projektów w odniesieniu do Funduszu InvestEU; oraz</w:t>
      </w:r>
    </w:p>
    <w:p w14:paraId="393CB774" w14:textId="0C15FA01" w:rsidR="006578ED" w:rsidRDefault="00A1618E">
      <w:pPr>
        <w:pStyle w:val="Text1"/>
        <w:numPr>
          <w:ilvl w:val="0"/>
          <w:numId w:val="195"/>
        </w:numPr>
        <w:ind w:left="714" w:hanging="357"/>
        <w:contextualSpacing/>
        <w:rPr>
          <w:rFonts w:ascii="Times New Roman" w:hAnsi="Times New Roman" w:cs="Times New Roman"/>
          <w:noProof/>
        </w:rPr>
      </w:pPr>
      <w:r>
        <w:rPr>
          <w:rFonts w:ascii="Times New Roman" w:hAnsi="Times New Roman"/>
          <w:noProof/>
        </w:rPr>
        <w:t>wyłączyć z kwalifikowalności następujący wykaz działań i aktywów: działalności i aktywów związanych z paliwami kopalnymi, w tym wykorzystania niższego szczebla</w:t>
      </w:r>
      <w:r>
        <w:rPr>
          <w:rStyle w:val="FootnoteReference"/>
          <w:rFonts w:ascii="Times New Roman" w:hAnsi="Times New Roman" w:cs="Times New Roman"/>
          <w:noProof/>
        </w:rPr>
        <w:footnoteReference w:id="11"/>
      </w:r>
      <w:r>
        <w:rPr>
          <w:rFonts w:ascii="Times New Roman" w:hAnsi="Times New Roman"/>
          <w:noProof/>
        </w:rPr>
        <w:t>; działania i aktywa w ramach unijnego systemu handlu uprawnieniami do emisji (ETS) zapewniające prognozowane emisje gazów cieplarnianych, które nie są niższe od odpowiednich wskaźników referencyjnych</w:t>
      </w:r>
      <w:r>
        <w:rPr>
          <w:rStyle w:val="FootnoteReference"/>
          <w:rFonts w:ascii="Times New Roman" w:hAnsi="Times New Roman" w:cs="Times New Roman"/>
          <w:noProof/>
        </w:rPr>
        <w:footnoteReference w:id="12"/>
      </w:r>
      <w:r>
        <w:rPr>
          <w:rFonts w:ascii="Times New Roman" w:hAnsi="Times New Roman"/>
          <w:noProof/>
        </w:rPr>
        <w:t>; działalność i aktywa związane ze składowiskami odpadów, spalarniami</w:t>
      </w:r>
      <w:r>
        <w:rPr>
          <w:rStyle w:val="FootnoteReference"/>
          <w:rFonts w:ascii="Times New Roman" w:hAnsi="Times New Roman" w:cs="Times New Roman"/>
          <w:noProof/>
        </w:rPr>
        <w:footnoteReference w:id="13"/>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14"/>
      </w:r>
      <w:r>
        <w:rPr>
          <w:rFonts w:ascii="Times New Roman" w:hAnsi="Times New Roman"/>
          <w:noProof/>
        </w:rPr>
        <w:t xml:space="preserve">; oraz (iv) działalności i aktywów, w przypadku których długoterminowe unieszkodliwianie odpadów może wyrządzić szkodę środowisku naturalnemu; </w:t>
      </w:r>
    </w:p>
    <w:p w14:paraId="5C96C0E7" w14:textId="2D25A7AC" w:rsidR="006578ED" w:rsidRDefault="00A1618E">
      <w:pPr>
        <w:pStyle w:val="P68B1DB1-Text119"/>
        <w:numPr>
          <w:ilvl w:val="0"/>
          <w:numId w:val="195"/>
        </w:numPr>
        <w:rPr>
          <w:rFonts w:cs="Times New Roman"/>
          <w:noProof/>
        </w:rPr>
      </w:pPr>
      <w:r>
        <w:rPr>
          <w:noProof/>
        </w:rPr>
        <w:t>wymaganie od ENISA weryfikacji zgodności prawnej projektów z odpowiednimi unijnymi i krajowymi przepisami w zakresie ochrony środowiska w odniesieniu do wszystkich transakcji, w tym transakcji zwolnionych z kontroli zrównoważonego charakteru projektów.</w:t>
      </w:r>
    </w:p>
    <w:p w14:paraId="0EAA64EC" w14:textId="31377D45" w:rsidR="006578ED" w:rsidRDefault="00A1618E">
      <w:pPr>
        <w:pStyle w:val="P68B1DB1-Normal4"/>
        <w:spacing w:before="120" w:after="120" w:line="240" w:lineRule="auto"/>
        <w:jc w:val="both"/>
        <w:rPr>
          <w:rFonts w:cs="Times New Roman"/>
          <w:noProof/>
        </w:rPr>
      </w:pPr>
      <w:r>
        <w:rPr>
          <w:noProof/>
        </w:rPr>
        <w:t xml:space="preserve">Nie wspiera się żadnych działań związanych z wychwytywaniem i składowaniem dwutlenku węgla. </w:t>
      </w:r>
    </w:p>
    <w:p w14:paraId="07BE4ACA" w14:textId="08AE567A"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5DB45D12" w14:textId="0F38326C" w:rsidR="006578ED" w:rsidRDefault="00A1618E">
      <w:pPr>
        <w:pStyle w:val="P68B1DB1-Normal6"/>
        <w:spacing w:before="120" w:after="120" w:line="240" w:lineRule="auto"/>
        <w:jc w:val="both"/>
        <w:rPr>
          <w:rFonts w:cs="Times New Roman"/>
          <w:noProof/>
        </w:rPr>
      </w:pPr>
      <w:r>
        <w:rPr>
          <w:noProof/>
        </w:rPr>
        <w:t xml:space="preserve">Inwestycje 6 (C3.I6) – Plan promowania zrównoważonego rozwoju, badań naukowych, innowacji i cyfryzacji w sektorze rybołówstwa (I): Modernizacja sieci rezerwatów morskich mających znaczenie dla rybołówstwa </w:t>
      </w:r>
    </w:p>
    <w:p w14:paraId="5BE7D24B" w14:textId="77777777" w:rsidR="006578ED" w:rsidRDefault="00A1618E">
      <w:pPr>
        <w:pStyle w:val="P68B1DB1-Normal4"/>
        <w:spacing w:before="120" w:after="120" w:line="240" w:lineRule="auto"/>
        <w:jc w:val="both"/>
        <w:rPr>
          <w:rFonts w:cs="Times New Roman"/>
          <w:noProof/>
        </w:rPr>
      </w:pPr>
      <w:r>
        <w:rPr>
          <w:noProof/>
        </w:rPr>
        <w:t>Celem tego środka jest modernizacja sieci rezerw morskich mających znaczenie dla rybołówstwa poprzez następujące działania:</w:t>
      </w:r>
    </w:p>
    <w:p w14:paraId="65B6E506" w14:textId="0FECAE6C" w:rsidR="006578ED" w:rsidRDefault="00A1618E">
      <w:pPr>
        <w:pStyle w:val="P68B1DB1-Normal4"/>
        <w:numPr>
          <w:ilvl w:val="0"/>
          <w:numId w:val="78"/>
        </w:numPr>
        <w:spacing w:before="120" w:after="120" w:line="240" w:lineRule="auto"/>
        <w:ind w:left="425" w:hanging="425"/>
        <w:contextualSpacing/>
        <w:jc w:val="both"/>
        <w:rPr>
          <w:rFonts w:cs="Times New Roman"/>
          <w:noProof/>
        </w:rPr>
      </w:pPr>
      <w:r>
        <w:rPr>
          <w:noProof/>
        </w:rPr>
        <w:t>Nabycie dwóch specjalnych statków pomocniczych w celu zapewnienia kontroli i nadzoru nad działaniami prowadzonymi w rezerwach;</w:t>
      </w:r>
    </w:p>
    <w:p w14:paraId="6010D33B" w14:textId="265D757C" w:rsidR="006578ED" w:rsidRDefault="00A1618E">
      <w:pPr>
        <w:pStyle w:val="P68B1DB1-Normal4"/>
        <w:numPr>
          <w:ilvl w:val="0"/>
          <w:numId w:val="78"/>
        </w:numPr>
        <w:spacing w:before="120" w:after="120" w:line="240" w:lineRule="auto"/>
        <w:ind w:left="425" w:hanging="425"/>
        <w:contextualSpacing/>
        <w:jc w:val="both"/>
        <w:rPr>
          <w:rFonts w:cs="Times New Roman"/>
          <w:noProof/>
        </w:rPr>
      </w:pPr>
      <w:r>
        <w:rPr>
          <w:noProof/>
        </w:rPr>
        <w:t>wdrożenie technologii informacyjno-komunikacyjnych w celu umożliwienia kontroli i monitorowania rezerw poprzez nabywanie co najmniej dronów o wystarczającej mocy, aby umożliwić działania w zakresie kontroli i monitorowania oraz zoptymalizować istniejące środki;</w:t>
      </w:r>
    </w:p>
    <w:p w14:paraId="23F7DD70" w14:textId="77777777" w:rsidR="006578ED" w:rsidRDefault="00A1618E">
      <w:pPr>
        <w:pStyle w:val="P68B1DB1-Normal4"/>
        <w:numPr>
          <w:ilvl w:val="0"/>
          <w:numId w:val="78"/>
        </w:numPr>
        <w:spacing w:before="120" w:after="120" w:line="240" w:lineRule="auto"/>
        <w:ind w:left="425" w:hanging="425"/>
        <w:contextualSpacing/>
        <w:jc w:val="both"/>
        <w:rPr>
          <w:rFonts w:cs="Times New Roman"/>
          <w:noProof/>
        </w:rPr>
      </w:pPr>
      <w:r>
        <w:rPr>
          <w:noProof/>
        </w:rPr>
        <w:t>rozszerzenie sieci rezerw poprzez utworzenie nowej rezerwy morskiej; oraz</w:t>
      </w:r>
    </w:p>
    <w:p w14:paraId="3BD0D107" w14:textId="292E753F" w:rsidR="006578ED" w:rsidRDefault="00A1618E">
      <w:pPr>
        <w:pStyle w:val="P68B1DB1-Normal4"/>
        <w:numPr>
          <w:ilvl w:val="0"/>
          <w:numId w:val="78"/>
        </w:numPr>
        <w:spacing w:before="120" w:after="120" w:line="240" w:lineRule="auto"/>
        <w:ind w:left="426" w:hanging="426"/>
        <w:jc w:val="both"/>
        <w:rPr>
          <w:rFonts w:cs="Times New Roman"/>
          <w:noProof/>
        </w:rPr>
      </w:pPr>
      <w:r>
        <w:rPr>
          <w:noProof/>
        </w:rPr>
        <w:t xml:space="preserve">aktualizacja istniejącego rezerwatu morskiego </w:t>
      </w:r>
      <w:r>
        <w:rPr>
          <w:i/>
          <w:noProof/>
        </w:rPr>
        <w:t>Isla de Alborán i </w:t>
      </w:r>
      <w:r>
        <w:rPr>
          <w:noProof/>
        </w:rPr>
        <w:t xml:space="preserve">jego otoczenia w celu ułatwienia dostępu, poprawy jego efektywności energetycznej oraz wyposażenia go w odpowiednie urządzenia (tj. radarowe połączenie radiowe z Półwyspem) do monitorowania i kontroli rezerwy. </w:t>
      </w:r>
    </w:p>
    <w:p w14:paraId="04349FDD" w14:textId="14B3FE02" w:rsidR="006578ED" w:rsidRDefault="00A1618E">
      <w:pPr>
        <w:pStyle w:val="P68B1DB1-Normal4"/>
        <w:spacing w:before="120" w:after="120" w:line="240" w:lineRule="auto"/>
        <w:jc w:val="both"/>
        <w:rPr>
          <w:rFonts w:cs="Times New Roman"/>
          <w:noProof/>
        </w:rPr>
      </w:pPr>
      <w:r>
        <w:rPr>
          <w:noProof/>
        </w:rPr>
        <w:t xml:space="preserve">Zakup dwóch specjalnych statków pomocniczych oraz wdrożenie technologii informacyjno-komunikacyjnych w celu umożliwienia kontroli i monitorowania są realizowane w drodze postępowań o udzielenie zamówienia publicznego. </w:t>
      </w:r>
    </w:p>
    <w:p w14:paraId="121BFA3E" w14:textId="19C1B905" w:rsidR="006578ED" w:rsidRDefault="00A1618E">
      <w:pPr>
        <w:pStyle w:val="P68B1DB1-Normal4"/>
        <w:spacing w:before="120" w:after="120" w:line="240" w:lineRule="auto"/>
        <w:jc w:val="both"/>
        <w:rPr>
          <w:rFonts w:cs="Times New Roman"/>
          <w:noProof/>
        </w:rPr>
      </w:pPr>
      <w:r>
        <w:rPr>
          <w:noProof/>
        </w:rPr>
        <w:t xml:space="preserve">Oczekuje się, że środek ten nie spowoduje znaczących szkód dla celów środowiskowych w rozumieniu </w:t>
      </w:r>
      <w:r w:rsidRPr="00A1618E">
        <w:rPr>
          <w:noProof/>
          <w:lang w:val="pl-PL"/>
        </w:rPr>
        <w:t>art. 1</w:t>
      </w:r>
      <w:r>
        <w:rPr>
          <w:noProof/>
        </w:rPr>
        <w:t xml:space="preserve">7 rozporządzenia (UE) 2020/852, biorąc pod uwagę opis środka i działania łagodzące określone w planie odbudowy i zwiększania odporności zgodnie z wytycznymi technicznymi dotyczącymi zasady „nie czyń poważnych szkód” (2021/C58/01). W szczególności dwa specjalne statki pomocnicze muszą być najlepszą dostępną technologią o najniższym wpływie na środowisko w sektorze. Inwestycja dotycząca rozbudowy sieci rezerwatów morskich obejmuje badanie dotyczące utworzenia nowego rezerwatu morskiego, które ma zostać przeprowadzone na podstawie umowy wewnętrznej. To samo dotyczy planowanych prac związanych z modernizacją </w:t>
      </w:r>
      <w:r>
        <w:rPr>
          <w:i/>
          <w:noProof/>
        </w:rPr>
        <w:t>rezerwatu Isla de</w:t>
      </w:r>
      <w:r>
        <w:rPr>
          <w:noProof/>
        </w:rPr>
        <w:t xml:space="preserve"> Alborán i jego otoczenia, które obejmują niezbędne badanie budowy i optymalizacji energii.</w:t>
      </w:r>
    </w:p>
    <w:p w14:paraId="531A07C6" w14:textId="0842B2DB" w:rsidR="006578ED" w:rsidRDefault="00A1618E">
      <w:pPr>
        <w:pStyle w:val="P68B1DB1-Normal4"/>
        <w:spacing w:before="120" w:after="120" w:line="240" w:lineRule="auto"/>
        <w:jc w:val="both"/>
        <w:rPr>
          <w:rFonts w:cs="Times New Roman"/>
          <w:noProof/>
        </w:rPr>
      </w:pPr>
      <w:r>
        <w:rPr>
          <w:noProof/>
        </w:rPr>
        <w:t>Realizacja inwestycji zakończy się do dnia 31 grudnia 20</w:t>
      </w:r>
      <w:r w:rsidRPr="00A1618E">
        <w:rPr>
          <w:noProof/>
          <w:lang w:val="pl-PL"/>
        </w:rPr>
        <w:t>24 r.</w:t>
      </w:r>
    </w:p>
    <w:p w14:paraId="07DA216E" w14:textId="649EE86F" w:rsidR="006578ED" w:rsidRDefault="00A1618E">
      <w:pPr>
        <w:pStyle w:val="P68B1DB1-Normal6"/>
        <w:spacing w:before="120" w:after="120" w:line="240" w:lineRule="auto"/>
        <w:jc w:val="both"/>
        <w:rPr>
          <w:rFonts w:cs="Times New Roman"/>
          <w:noProof/>
        </w:rPr>
      </w:pPr>
      <w:r>
        <w:rPr>
          <w:noProof/>
        </w:rPr>
        <w:t>Inwestycje 7 (C3.I7) – Plan na rzecz pobudzenia zrównoważonego rozwoju, badań naukowych, innowacji i cyfryzacji sektora rybołówstwa (II): Pobudzanie badań w dziedzinie rybołówstwa i akwakultury oraz wspieranie szkoleń</w:t>
      </w:r>
    </w:p>
    <w:p w14:paraId="5079C142" w14:textId="49C41E93" w:rsidR="006578ED" w:rsidRDefault="00A1618E">
      <w:pPr>
        <w:pStyle w:val="P68B1DB1-Normal4"/>
        <w:spacing w:before="120" w:after="120" w:line="240" w:lineRule="auto"/>
        <w:jc w:val="both"/>
        <w:rPr>
          <w:rFonts w:cs="Times New Roman"/>
          <w:noProof/>
        </w:rPr>
      </w:pPr>
      <w:r>
        <w:rPr>
          <w:noProof/>
        </w:rPr>
        <w:t>Środek ten poprawia ilość i jakość wiedzy naukowej, która służy do podejmowania decyzji w sprawach związanych z zarządzaniem rybołówstwem. W ramach programu przewiduje się: zakup co najmniej dwóch sond akustycznych w celu wyposażenia dwóch istniejących statków rybackich i oceanograficznych w celu zapewnienia jakości danych uzyskanych do celów naukowej oceny różnych stad gatunków pelagicznych; oraz (ii) promowanie badań w dziedzinie rybołówstwa i akwakultury w celu zapewnienia podejścia ekosystemowego do podejmowania decyzji w zarządzaniu rybołówstwem.</w:t>
      </w:r>
    </w:p>
    <w:p w14:paraId="3FF3E691" w14:textId="0C7E5CB8" w:rsidR="006578ED" w:rsidRDefault="00A1618E">
      <w:pPr>
        <w:pStyle w:val="P68B1DB1-Normal4"/>
        <w:spacing w:before="120" w:after="120" w:line="240" w:lineRule="auto"/>
        <w:jc w:val="both"/>
        <w:rPr>
          <w:rFonts w:cs="Times New Roman"/>
          <w:noProof/>
        </w:rPr>
      </w:pPr>
      <w:r>
        <w:rPr>
          <w:noProof/>
        </w:rPr>
        <w:t>Nabycie dwóch sond akustycznych przeprowadza się na podstawie postępowania o udzielenie zamówienia publicznego, w którym oferta odbywa się na zasadzie wyłączności. Wspieranie badań w dziedzinie rybołówstwa i akwakultury osiąga się poprzez podpisywanie umów z publicznymi instytucjami badawczymi oraz, w stosownych przypadkach, poprzez przydzielanie zasobów własnych na rekrutację obserwatorów na pokład lub przetargi.</w:t>
      </w:r>
    </w:p>
    <w:p w14:paraId="28C7456C" w14:textId="4456BB5B" w:rsidR="006578ED" w:rsidRDefault="00A1618E">
      <w:pPr>
        <w:pStyle w:val="P68B1DB1-Normal4"/>
        <w:spacing w:before="120" w:after="120" w:line="240" w:lineRule="auto"/>
        <w:jc w:val="both"/>
        <w:rPr>
          <w:rFonts w:cs="Times New Roman"/>
          <w:noProof/>
        </w:rPr>
      </w:pPr>
      <w:r>
        <w:rPr>
          <w:noProof/>
        </w:rPr>
        <w:t>Realizacja inwestycji zostanie zakończona do dnia 30 czerwca 20</w:t>
      </w:r>
      <w:r w:rsidRPr="00A1618E">
        <w:rPr>
          <w:noProof/>
          <w:lang w:val="pl-PL"/>
        </w:rPr>
        <w:t>22 r.</w:t>
      </w:r>
    </w:p>
    <w:p w14:paraId="44C6B4CF" w14:textId="18B97C26" w:rsidR="006578ED" w:rsidRDefault="00A1618E">
      <w:pPr>
        <w:pStyle w:val="P68B1DB1-Normal6"/>
        <w:spacing w:before="120" w:after="120" w:line="240" w:lineRule="auto"/>
        <w:jc w:val="both"/>
        <w:rPr>
          <w:rFonts w:cs="Times New Roman"/>
          <w:noProof/>
        </w:rPr>
      </w:pPr>
      <w:r>
        <w:rPr>
          <w:noProof/>
        </w:rPr>
        <w:t xml:space="preserve">Inwestycje 8 (C3.I8) – Plan na rzecz pobudzenia zrównoważonego rozwoju, badań naukowych, innowacji i cyfryzacji sektora rybołówstwa (III): Rozwój technologiczny i innowacje w rybołówstwie i akwakulturze </w:t>
      </w:r>
    </w:p>
    <w:p w14:paraId="10034A14" w14:textId="7282E3FA" w:rsidR="006578ED" w:rsidRDefault="00A1618E">
      <w:pPr>
        <w:pStyle w:val="P68B1DB1-Normal4"/>
        <w:spacing w:before="120" w:after="120" w:line="240" w:lineRule="auto"/>
        <w:jc w:val="both"/>
        <w:rPr>
          <w:rFonts w:cs="Times New Roman"/>
          <w:noProof/>
        </w:rPr>
      </w:pPr>
      <w:r>
        <w:rPr>
          <w:noProof/>
        </w:rPr>
        <w:t>Celem tego środka jest stworzenie bardziej zrównoważonego pod względem środowiskowym, gospodarczym i społecznym sektora rybołówstwa i akwakultury za pomocą dwóch kierunków działania:</w:t>
      </w:r>
    </w:p>
    <w:p w14:paraId="3F2F72A7" w14:textId="6ED9547E" w:rsidR="006578ED" w:rsidRDefault="00A1618E">
      <w:pPr>
        <w:pStyle w:val="P68B1DB1-Normal4"/>
        <w:numPr>
          <w:ilvl w:val="0"/>
          <w:numId w:val="79"/>
        </w:numPr>
        <w:spacing w:before="120" w:after="120" w:line="240" w:lineRule="auto"/>
        <w:ind w:left="425" w:hanging="425"/>
        <w:contextualSpacing/>
        <w:jc w:val="both"/>
        <w:rPr>
          <w:rFonts w:cs="Times New Roman"/>
          <w:noProof/>
        </w:rPr>
      </w:pPr>
      <w:r>
        <w:rPr>
          <w:noProof/>
        </w:rPr>
        <w:t>Tworzenie partnerstw publiczno-prywatnych w celu pobudzenia niebieskiego wzrostu w sektorze w celu realizacji projektów, które służą jako katalizatory procesów niebieskiej gospodarki; oraz</w:t>
      </w:r>
    </w:p>
    <w:p w14:paraId="5FDFD627" w14:textId="23C84D58" w:rsidR="006578ED" w:rsidRDefault="00A1618E">
      <w:pPr>
        <w:pStyle w:val="P68B1DB1-Normal4"/>
        <w:numPr>
          <w:ilvl w:val="0"/>
          <w:numId w:val="79"/>
        </w:numPr>
        <w:spacing w:before="120" w:after="120" w:line="240" w:lineRule="auto"/>
        <w:ind w:left="426" w:hanging="426"/>
        <w:jc w:val="both"/>
        <w:rPr>
          <w:rFonts w:cs="Times New Roman"/>
          <w:noProof/>
        </w:rPr>
      </w:pPr>
      <w:r>
        <w:rPr>
          <w:noProof/>
        </w:rPr>
        <w:t xml:space="preserve">wspieranie rozwoju technologicznego i innowacji w sektorze. </w:t>
      </w:r>
    </w:p>
    <w:p w14:paraId="5A889EEB" w14:textId="034DE160" w:rsidR="006578ED" w:rsidRDefault="00A1618E">
      <w:pPr>
        <w:pStyle w:val="P68B1DB1-Normal4"/>
        <w:spacing w:before="120" w:after="120" w:line="240" w:lineRule="auto"/>
        <w:jc w:val="both"/>
        <w:rPr>
          <w:rFonts w:cs="Times New Roman"/>
          <w:noProof/>
        </w:rPr>
      </w:pPr>
      <w:r>
        <w:rPr>
          <w:noProof/>
        </w:rPr>
        <w:t>Środek przewiduje ukończenie co najmniej 20 projektów w zakresie badań, rozwoju i innowacji w celu przyjęcia nowych technologii, które sprzyjają odporności i zrównoważonemu charakterowi sektora rybołówstwa i akwakultury.</w:t>
      </w:r>
    </w:p>
    <w:p w14:paraId="38FD27C3" w14:textId="167289D6" w:rsidR="006578ED" w:rsidRDefault="00A1618E">
      <w:pPr>
        <w:pStyle w:val="P68B1DB1-Normal4"/>
        <w:spacing w:before="120" w:after="120" w:line="240" w:lineRule="auto"/>
        <w:jc w:val="both"/>
        <w:rPr>
          <w:rFonts w:cs="Times New Roman"/>
          <w:noProof/>
        </w:rPr>
      </w:pPr>
      <w:r>
        <w:rPr>
          <w:noProof/>
        </w:rPr>
        <w:t>Realizacja inwestycji zostanie zakończona do dnia 31 grudnia 20</w:t>
      </w:r>
      <w:r w:rsidRPr="00A1618E">
        <w:rPr>
          <w:noProof/>
          <w:lang w:val="pl-PL"/>
        </w:rPr>
        <w:t>23 r.</w:t>
      </w:r>
    </w:p>
    <w:p w14:paraId="6E88A54F" w14:textId="060A1B94" w:rsidR="006578ED" w:rsidRDefault="00A1618E">
      <w:pPr>
        <w:pStyle w:val="P68B1DB1-Normal6"/>
        <w:spacing w:before="120" w:after="120" w:line="240" w:lineRule="auto"/>
        <w:jc w:val="both"/>
        <w:rPr>
          <w:rFonts w:cs="Times New Roman"/>
          <w:noProof/>
        </w:rPr>
      </w:pPr>
      <w:r>
        <w:rPr>
          <w:noProof/>
        </w:rPr>
        <w:t xml:space="preserve">Inwestycje 9 (C3.I9) – Plan na rzecz pobudzenia zrównoważonego rozwoju, badań naukowych, innowacji i cyfryzacji w sektorze rybołówstwa (IV): Cyfryzacja i wykorzystanie ICT w sektorze rybołówstwa </w:t>
      </w:r>
    </w:p>
    <w:p w14:paraId="3685C600" w14:textId="42146E2A" w:rsidR="006578ED" w:rsidRDefault="00A1618E">
      <w:pPr>
        <w:pStyle w:val="P68B1DB1-Normal4"/>
        <w:spacing w:before="120" w:after="120" w:line="240" w:lineRule="auto"/>
        <w:jc w:val="both"/>
        <w:rPr>
          <w:rFonts w:cs="Times New Roman"/>
          <w:noProof/>
        </w:rPr>
      </w:pPr>
      <w:r>
        <w:rPr>
          <w:noProof/>
        </w:rPr>
        <w:t>Środek ten ma na celu poprawę nadzoru nad działalnością połowową w celu zapewnienia zrównoważenia środowiskowego oraz średnio- i długoterminowej rentowności sektora rybołówstwa. Środek obejmuje dwa kierunki działania:</w:t>
      </w:r>
    </w:p>
    <w:p w14:paraId="10654A36" w14:textId="60256874" w:rsidR="006578ED" w:rsidRDefault="00A1618E">
      <w:pPr>
        <w:pStyle w:val="P68B1DB1-Normal4"/>
        <w:numPr>
          <w:ilvl w:val="0"/>
          <w:numId w:val="80"/>
        </w:numPr>
        <w:spacing w:before="120" w:after="120" w:line="240" w:lineRule="auto"/>
        <w:ind w:left="425" w:hanging="425"/>
        <w:contextualSpacing/>
        <w:jc w:val="both"/>
        <w:rPr>
          <w:rFonts w:cs="Times New Roman"/>
          <w:noProof/>
        </w:rPr>
      </w:pPr>
      <w:r>
        <w:rPr>
          <w:noProof/>
        </w:rPr>
        <w:t>Program pomocy na rzecz cyfryzacji sektora rybołówstwa i akwakultury, w tym (i) pomoc na urządzenia do elektronicznego przekazywania połowów, a także ich geolokalizację dla statków o długości poniżej 12 metrów; oraz (ii) pomocy na instalację systemu nadzoru wykorzystującego kamery do zdalnego monitorowania rybołówstwa i zwalczania odrzutów ze statków o długości powyżej 24 metrów; oraz</w:t>
      </w:r>
    </w:p>
    <w:p w14:paraId="77EEACF1" w14:textId="4B0C2ACD" w:rsidR="006578ED" w:rsidRDefault="00A1618E">
      <w:pPr>
        <w:pStyle w:val="P68B1DB1-Normal4"/>
        <w:numPr>
          <w:ilvl w:val="0"/>
          <w:numId w:val="80"/>
        </w:numPr>
        <w:spacing w:before="120" w:after="120" w:line="240" w:lineRule="auto"/>
        <w:ind w:left="426" w:hanging="426"/>
        <w:jc w:val="both"/>
        <w:rPr>
          <w:rFonts w:cs="Times New Roman"/>
          <w:noProof/>
        </w:rPr>
      </w:pPr>
      <w:r>
        <w:rPr>
          <w:noProof/>
        </w:rPr>
        <w:t xml:space="preserve">nowoczesne rozwiązania ICT w zakresie nadzoru połowów, w tym (i) system rejestracji połowów z możliwością śledzenia statków o długości poniżej 12 metrów; ustanowienie służby lotniczej dronów do celów kontroli rybołówstwa i nadzoru rybołówstwa oraz systemu zdalnego monitorowania połowów statków rybackich o długości powyżej 24 metrów; oraz (iii) urządzenia i oprogramowanie (tj. instalacja drugiej zapory sieciowej) służące wzmocnieniu bezpieczeństwa hiszpańskiego systemu informacji o rybołówstwie. </w:t>
      </w:r>
    </w:p>
    <w:p w14:paraId="0873398E" w14:textId="34052854" w:rsidR="006578ED" w:rsidRDefault="00A1618E">
      <w:pPr>
        <w:pStyle w:val="P68B1DB1-Normal4"/>
        <w:spacing w:before="120" w:after="120" w:line="240" w:lineRule="auto"/>
        <w:jc w:val="both"/>
        <w:rPr>
          <w:rFonts w:cs="Times New Roman"/>
          <w:noProof/>
        </w:rPr>
      </w:pPr>
      <w:r>
        <w:rPr>
          <w:noProof/>
        </w:rPr>
        <w:t>Cyfryzację hiszpańskiego sektora rybołówstwa i akwakultury wdraża się w formie dotacji na przetargi konkurencyjne, natomiast wdrażanie nowoczesnych rozwiązań ICT w zakresie nadzoru rybołówstwa przebiega w drodze otwartych i scentralizowanych zamówień publicznych.</w:t>
      </w:r>
    </w:p>
    <w:p w14:paraId="63A8A9F0" w14:textId="08E252E7" w:rsidR="006578ED" w:rsidRDefault="00A1618E">
      <w:pPr>
        <w:pStyle w:val="P68B1DB1-Normal4"/>
        <w:spacing w:before="120" w:after="120" w:line="240" w:lineRule="auto"/>
        <w:jc w:val="both"/>
        <w:rPr>
          <w:rFonts w:cs="Times New Roman"/>
          <w:noProof/>
        </w:rPr>
      </w:pPr>
      <w:r>
        <w:rPr>
          <w:noProof/>
        </w:rPr>
        <w:t>Realizacja inwestycji zakończy się do dnia 31 grudnia 20</w:t>
      </w:r>
      <w:r w:rsidRPr="00A1618E">
        <w:rPr>
          <w:noProof/>
          <w:lang w:val="pl-PL"/>
        </w:rPr>
        <w:t>24 r.</w:t>
      </w:r>
    </w:p>
    <w:p w14:paraId="3C3B31F3" w14:textId="1EB7E9C0" w:rsidR="006578ED" w:rsidRDefault="00A1618E">
      <w:pPr>
        <w:pStyle w:val="P68B1DB1-Normal6"/>
        <w:spacing w:before="120" w:after="120" w:line="240" w:lineRule="auto"/>
        <w:jc w:val="both"/>
        <w:rPr>
          <w:rFonts w:cs="Times New Roman"/>
          <w:noProof/>
        </w:rPr>
      </w:pPr>
      <w:r>
        <w:rPr>
          <w:noProof/>
        </w:rPr>
        <w:t>Inwestycje 10 (C3.I10) – Plan na rzecz pobudzenia zrównoważonego rozwoju, badań naukowych, innowacji i cyfryzacji sektora rybołówstwa (V): Wspieranie walki z nielegalnymi, nieraportowanymi i nieuregulowanymi połowami</w:t>
      </w:r>
    </w:p>
    <w:p w14:paraId="0F153A69" w14:textId="09857CD1" w:rsidR="006578ED" w:rsidRDefault="00A1618E">
      <w:pPr>
        <w:pStyle w:val="P68B1DB1-Normal4"/>
        <w:spacing w:before="120" w:after="120" w:line="240" w:lineRule="auto"/>
        <w:jc w:val="both"/>
        <w:rPr>
          <w:rFonts w:cs="Times New Roman"/>
          <w:noProof/>
        </w:rPr>
      </w:pPr>
      <w:r>
        <w:rPr>
          <w:noProof/>
        </w:rPr>
        <w:t>Środek ten wspiera walkę z nielegalnymi, nieraportowanymi i nieuregulowanymi połowami, które nadal stanowią zagrożenie dla ekosystemów morskich. W tym celu środek wspiera następujące inwestycje:</w:t>
      </w:r>
    </w:p>
    <w:p w14:paraId="5AAA67EC" w14:textId="77777777" w:rsidR="006578ED" w:rsidRDefault="00A1618E">
      <w:pPr>
        <w:pStyle w:val="P68B1DB1-Normal4"/>
        <w:numPr>
          <w:ilvl w:val="0"/>
          <w:numId w:val="82"/>
        </w:numPr>
        <w:spacing w:before="120" w:after="120" w:line="240" w:lineRule="auto"/>
        <w:ind w:left="425" w:hanging="425"/>
        <w:contextualSpacing/>
        <w:jc w:val="both"/>
        <w:rPr>
          <w:rFonts w:cs="Times New Roman"/>
          <w:noProof/>
        </w:rPr>
      </w:pPr>
      <w:r>
        <w:rPr>
          <w:noProof/>
        </w:rPr>
        <w:t>Nabycie czterech statków patrolowych; oraz</w:t>
      </w:r>
    </w:p>
    <w:p w14:paraId="427E0998" w14:textId="70B344F6" w:rsidR="006578ED" w:rsidRDefault="00A1618E">
      <w:pPr>
        <w:pStyle w:val="P68B1DB1-Normal4"/>
        <w:numPr>
          <w:ilvl w:val="0"/>
          <w:numId w:val="82"/>
        </w:numPr>
        <w:spacing w:before="120" w:after="120" w:line="240" w:lineRule="auto"/>
        <w:ind w:left="426" w:hanging="426"/>
        <w:jc w:val="both"/>
        <w:rPr>
          <w:rFonts w:cs="Times New Roman"/>
          <w:noProof/>
        </w:rPr>
      </w:pPr>
      <w:r>
        <w:rPr>
          <w:noProof/>
        </w:rPr>
        <w:t xml:space="preserve">modernizację trzech pełnomorskich statków patrolujących, które będą wykorzystywane do zwalczania nielegalnych, zgłaszanych i nieuregulowanych połowów. </w:t>
      </w:r>
    </w:p>
    <w:p w14:paraId="2330BD62" w14:textId="72435E51" w:rsidR="006578ED" w:rsidRDefault="00A1618E">
      <w:pPr>
        <w:pStyle w:val="P68B1DB1-Normal4"/>
        <w:spacing w:before="120" w:after="120" w:line="240" w:lineRule="auto"/>
        <w:jc w:val="both"/>
        <w:rPr>
          <w:rFonts w:cs="Times New Roman"/>
          <w:noProof/>
        </w:rPr>
      </w:pPr>
      <w:r>
        <w:rPr>
          <w:noProof/>
        </w:rPr>
        <w:t xml:space="preserve">Środek ten jest realizowany w drodze postępowania o udzielenie zamówienia publicznego na budowę statków patrolowych oraz poprzez zmianę umowy z hiszpańską marynarką wojenną w przypadku morskich statków patrolowych, która zapewnia prawne pokrycie przeniesienia na marynarkę wojenną, zarządzając wyżej wymienionymi pracami modernizacyjnymi. </w:t>
      </w:r>
    </w:p>
    <w:p w14:paraId="78209AC5" w14:textId="02E806FA" w:rsidR="006578ED" w:rsidRDefault="00A1618E">
      <w:pPr>
        <w:pStyle w:val="P68B1DB1-Normal4"/>
        <w:spacing w:before="120" w:after="120" w:line="240" w:lineRule="auto"/>
        <w:jc w:val="both"/>
        <w:rPr>
          <w:rFonts w:cs="Times New Roman"/>
          <w:noProof/>
        </w:rPr>
      </w:pPr>
      <w:r>
        <w:rPr>
          <w:noProof/>
        </w:rPr>
        <w:t xml:space="preserve">Oczekuje się, że środek ten nie spowoduje znaczących szkód dla celów środowiskowych w rozumieniu </w:t>
      </w:r>
      <w:r w:rsidRPr="00A1618E">
        <w:rPr>
          <w:noProof/>
          <w:lang w:val="pl-PL"/>
        </w:rPr>
        <w:t>art. 1</w:t>
      </w:r>
      <w:r>
        <w:rPr>
          <w:noProof/>
        </w:rPr>
        <w:t xml:space="preserve">7 rozporządzenia (UE) 2020/852, biorąc pod uwagę opis środka i działania łagodzące określone w planie odbudowy i zwiększania odporności zgodnie z wytycznymi technicznymi dotyczącymi zasady „nie czyń poważnych szkód” (2021/C58/01). W szczególności zakup i modernizacja statków stanowią jedynie najlepszą dostępną technologię o najmniejszym wpływie na środowisko w sektorze. </w:t>
      </w:r>
    </w:p>
    <w:p w14:paraId="5521310B" w14:textId="42DAECDE" w:rsidR="006578ED" w:rsidRDefault="00A1618E">
      <w:pPr>
        <w:pStyle w:val="P68B1DB1-Normal4"/>
        <w:spacing w:before="120" w:after="120" w:line="240" w:lineRule="auto"/>
        <w:jc w:val="both"/>
        <w:rPr>
          <w:rFonts w:cs="Times New Roman"/>
          <w:noProof/>
          <w:u w:val="single"/>
        </w:rPr>
      </w:pPr>
      <w:r>
        <w:rPr>
          <w:noProof/>
        </w:rPr>
        <w:t>Realizacja inwestycji zakończy się do dnia 31 grudnia 20</w:t>
      </w:r>
      <w:r w:rsidRPr="00A1618E">
        <w:rPr>
          <w:noProof/>
          <w:lang w:val="pl-PL"/>
        </w:rPr>
        <w:t>22 r.</w:t>
      </w:r>
    </w:p>
    <w:p w14:paraId="23C67E2D" w14:textId="169F2126" w:rsidR="006578ED" w:rsidRDefault="00A1618E">
      <w:pPr>
        <w:pStyle w:val="P68B1DB1-Normal6"/>
        <w:spacing w:before="120" w:after="120" w:line="240" w:lineRule="auto"/>
        <w:jc w:val="both"/>
        <w:rPr>
          <w:rFonts w:cs="Times New Roman"/>
          <w:noProof/>
        </w:rPr>
      </w:pPr>
      <w:r>
        <w:rPr>
          <w:noProof/>
        </w:rPr>
        <w:t xml:space="preserve">Inwestycje 11 (C3.I11) – Plan na rzecz pobudzenia zrównoważonego rozwoju, badań naukowych, innowacji i cyfryzacji w sektorze rybołówstwa (VI): Wsparcie na rzecz finansowania sektora rybołówstwa </w:t>
      </w:r>
    </w:p>
    <w:p w14:paraId="34D83F9F" w14:textId="7410DC7D" w:rsidR="006578ED" w:rsidRDefault="00A1618E">
      <w:pPr>
        <w:pStyle w:val="P68B1DB1-Normal4"/>
        <w:spacing w:before="120" w:after="120" w:line="240" w:lineRule="auto"/>
        <w:jc w:val="both"/>
        <w:rPr>
          <w:rFonts w:cs="Times New Roman"/>
          <w:noProof/>
        </w:rPr>
      </w:pPr>
      <w:r>
        <w:rPr>
          <w:noProof/>
        </w:rPr>
        <w:t xml:space="preserve">Środek ten zapewnia finansowanie projektów inwestycyjnych w sektorze rybołówstwa poprzez udzielenie pożyczki </w:t>
      </w:r>
      <w:r>
        <w:rPr>
          <w:i/>
          <w:noProof/>
        </w:rPr>
        <w:t>Sociedad Anónima Estatal de Cauciónón Agraria</w:t>
      </w:r>
      <w:r>
        <w:rPr>
          <w:noProof/>
        </w:rPr>
        <w:t xml:space="preserve"> (SAECA). Celem działania jest stworzenie linii finansowania projektów związanych ze zrównoważonym rybołówstwem, w tym: poprawa warunków pracy i bezpieczeństwa; cyfryzacja procesów i systemów; poprawa wartości i identyfikowalności produktów; poszukiwanie nowych produktów i prezentacji, w tym opakowań; oraz (v) pobudzanie innowacji, poprawy i efektywności energetycznej oraz przejścia na energię o mniejszym wpływie na klimat.</w:t>
      </w:r>
    </w:p>
    <w:p w14:paraId="0403E22F" w14:textId="05CC9EDD" w:rsidR="006578ED" w:rsidRDefault="00A1618E">
      <w:pPr>
        <w:pStyle w:val="P68B1DB1-Normal4"/>
        <w:spacing w:before="120" w:after="120" w:line="240" w:lineRule="auto"/>
        <w:jc w:val="both"/>
        <w:rPr>
          <w:rFonts w:cs="Times New Roman"/>
          <w:noProof/>
        </w:rPr>
      </w:pPr>
      <w:r>
        <w:rPr>
          <w:noProof/>
        </w:rPr>
        <w:t>Środek jest realizowany w drodze porozumienia między Ministerstwem Rolnictwa, Rybołówstwa i Żywności a SAECA w celu wsparcia finansowania projektów inwestycyjnych w sektorze rybołówstwa. Mechanizm ten opiera się na pożyczce udzielonej SAECA na utworzenie linii finansowania mającej na celu ponowne zagwarantowanie projektów z działaniami związanymi ze zrównoważoną działalnością połowową. Umowa zawiera warunek gwarantujący, że inwestycje dokonane w ramach tego finansowania są zgodne z wytycznymi technicznymi dotyczącymi zasady „nie czyń poważnych szkód” (2021/C58/01).</w:t>
      </w:r>
    </w:p>
    <w:p w14:paraId="2F1A6EED" w14:textId="1C072B01" w:rsidR="006578ED" w:rsidRDefault="00A1618E">
      <w:pPr>
        <w:pStyle w:val="P68B1DB1-Text119"/>
        <w:ind w:left="0"/>
        <w:rPr>
          <w:rFonts w:cs="Times New Roman"/>
          <w:noProof/>
        </w:rPr>
      </w:pPr>
      <w:r>
        <w:rPr>
          <w:noProof/>
        </w:rPr>
        <w:t xml:space="preserve">Aby zapewnić zgodność środka z wytycznymi technicznymi dotyczącymi zasady „nie czyń poważnych szkód” (2021/C58/01), umowa prawna między Ministerstwem Rolnictwa, Rybołówstwa i Żywności a SAECA oraz późniejsza polityka inwestycyjna instrumentu finansowego: </w:t>
      </w:r>
    </w:p>
    <w:p w14:paraId="460501DF" w14:textId="7AB0A43C" w:rsidR="006578ED" w:rsidRDefault="00A1618E">
      <w:pPr>
        <w:pStyle w:val="P68B1DB1-Text119"/>
        <w:numPr>
          <w:ilvl w:val="0"/>
          <w:numId w:val="196"/>
        </w:numPr>
        <w:ind w:left="714" w:hanging="357"/>
        <w:contextualSpacing/>
        <w:rPr>
          <w:rFonts w:cs="Times New Roman"/>
          <w:noProof/>
        </w:rPr>
      </w:pPr>
      <w:r>
        <w:rPr>
          <w:noProof/>
        </w:rPr>
        <w:t>wymóg stosowania wytycznych technicznych Komisji dotyczących kontroli zrównoważonego charakteru projektów w odniesieniu do Funduszu InvestEU; oraz</w:t>
      </w:r>
    </w:p>
    <w:p w14:paraId="773373C3" w14:textId="38A0BD78" w:rsidR="006578ED" w:rsidRDefault="00A1618E">
      <w:pPr>
        <w:pStyle w:val="Text1"/>
        <w:numPr>
          <w:ilvl w:val="0"/>
          <w:numId w:val="196"/>
        </w:numPr>
        <w:ind w:left="714" w:hanging="357"/>
        <w:contextualSpacing/>
        <w:rPr>
          <w:rFonts w:ascii="Times New Roman" w:hAnsi="Times New Roman" w:cs="Times New Roman"/>
          <w:noProof/>
        </w:rPr>
      </w:pPr>
      <w:r>
        <w:rPr>
          <w:rFonts w:ascii="Times New Roman" w:hAnsi="Times New Roman"/>
          <w:noProof/>
        </w:rPr>
        <w:t>wyłączyć z kwalifikowalności następujący wykaz działań i aktywów: działalności i aktywów związanych z paliwami kopalnymi, w tym wykorzystania niższego szczebla</w:t>
      </w:r>
      <w:r>
        <w:rPr>
          <w:rStyle w:val="FootnoteReference"/>
          <w:rFonts w:ascii="Times New Roman" w:hAnsi="Times New Roman" w:cs="Times New Roman"/>
          <w:noProof/>
        </w:rPr>
        <w:footnoteReference w:id="15"/>
      </w:r>
      <w:r>
        <w:rPr>
          <w:rFonts w:ascii="Times New Roman" w:hAnsi="Times New Roman"/>
          <w:noProof/>
        </w:rPr>
        <w:t>; działania i aktywa w ramach unijnego systemu handlu uprawnieniami do emisji (ETS) zapewniające prognozowane emisje gazów cieplarnianych, które nie są niższe od odpowiednich wskaźników referencyjnych</w:t>
      </w:r>
      <w:r>
        <w:rPr>
          <w:rStyle w:val="FootnoteReference"/>
          <w:rFonts w:ascii="Times New Roman" w:hAnsi="Times New Roman" w:cs="Times New Roman"/>
          <w:noProof/>
        </w:rPr>
        <w:footnoteReference w:id="16"/>
      </w:r>
      <w:r>
        <w:rPr>
          <w:rFonts w:ascii="Times New Roman" w:hAnsi="Times New Roman"/>
          <w:noProof/>
        </w:rPr>
        <w:t>; działalność i aktywa związane ze składowiskami odpadów, spalarniami</w:t>
      </w:r>
      <w:r>
        <w:rPr>
          <w:rStyle w:val="FootnoteReference"/>
          <w:rFonts w:ascii="Times New Roman" w:hAnsi="Times New Roman" w:cs="Times New Roman"/>
          <w:noProof/>
        </w:rPr>
        <w:footnoteReference w:id="17"/>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18"/>
      </w:r>
      <w:r>
        <w:rPr>
          <w:rFonts w:ascii="Times New Roman" w:hAnsi="Times New Roman"/>
          <w:noProof/>
        </w:rPr>
        <w:t>; oraz (iv) działalności i aktywów, w przypadku których długoterminowe unieszkodliwianie odpadów może wyrządzić szkodę środowisku naturalnemu; oraz</w:t>
      </w:r>
    </w:p>
    <w:p w14:paraId="21A033D6" w14:textId="50ABC383" w:rsidR="006578ED" w:rsidRDefault="00A1618E">
      <w:pPr>
        <w:pStyle w:val="P68B1DB1-Text119"/>
        <w:numPr>
          <w:ilvl w:val="0"/>
          <w:numId w:val="196"/>
        </w:numPr>
        <w:rPr>
          <w:rFonts w:cs="Times New Roman"/>
          <w:noProof/>
        </w:rPr>
      </w:pPr>
      <w:r>
        <w:rPr>
          <w:noProof/>
        </w:rPr>
        <w:t>wymóg weryfikacji przez SAECA zgodności projektów z odpowiednimi unijnymi i krajowymi przepisami w zakresie ochrony środowiska w odniesieniu do wszystkich transakcji, w tym transakcji zwolnionych z kontroli zrównoważonego charakteru projektów.</w:t>
      </w:r>
    </w:p>
    <w:p w14:paraId="1ACA65E4" w14:textId="05F7F923" w:rsidR="006578ED" w:rsidRDefault="00A1618E">
      <w:pPr>
        <w:pStyle w:val="P68B1DB1-Normal4"/>
        <w:spacing w:before="120" w:after="120" w:line="240" w:lineRule="auto"/>
        <w:jc w:val="both"/>
        <w:rPr>
          <w:rFonts w:cs="Times New Roman"/>
          <w:noProof/>
        </w:rPr>
      </w:pPr>
      <w:r>
        <w:rPr>
          <w:noProof/>
        </w:rPr>
        <w:t>Realizacja inwestycji zostanie zakończona do dnia 30 czerwca 20</w:t>
      </w:r>
      <w:r w:rsidRPr="00A1618E">
        <w:rPr>
          <w:noProof/>
          <w:lang w:val="pl-PL"/>
        </w:rPr>
        <w:t>22 r.</w:t>
      </w:r>
    </w:p>
    <w:p w14:paraId="1FA4A2A6" w14:textId="3F66E10E" w:rsidR="006578ED" w:rsidRDefault="00A1618E">
      <w:pPr>
        <w:pStyle w:val="P68B1DB1-Normal5"/>
        <w:keepNext/>
        <w:spacing w:before="120" w:after="120" w:line="240" w:lineRule="auto"/>
        <w:ind w:left="709"/>
        <w:jc w:val="both"/>
        <w:rPr>
          <w:rFonts w:cs="Times New Roman"/>
          <w:noProof/>
        </w:rPr>
      </w:pPr>
      <w:r>
        <w:rPr>
          <w:noProof/>
        </w:rPr>
        <w:t xml:space="preserve">C.2. </w:t>
      </w:r>
      <w:r>
        <w:rPr>
          <w:noProof/>
        </w:rPr>
        <w:tab/>
        <w:t>Kamienie milowe, wartości docelowe, wskaźniki i harmonogram monitorowania i realizacji na potrzeby bezzwrotnego wsparcia finansowego</w:t>
      </w:r>
    </w:p>
    <w:p w14:paraId="74A95577" w14:textId="7F88EB0D" w:rsidR="006578ED" w:rsidRDefault="00A1618E">
      <w:pPr>
        <w:pStyle w:val="P68B1DB1-Normal4"/>
        <w:spacing w:before="120" w:after="120" w:line="240" w:lineRule="auto"/>
        <w:jc w:val="both"/>
        <w:rPr>
          <w:rFonts w:cs="Times New Roman"/>
          <w:b/>
          <w:noProof/>
          <w:u w:val="single"/>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0562CB0E" w14:textId="77777777" w:rsidR="006578ED" w:rsidRDefault="006578ED">
      <w:pPr>
        <w:spacing w:before="120" w:after="120" w:line="240" w:lineRule="auto"/>
        <w:ind w:left="709"/>
        <w:jc w:val="both"/>
        <w:rPr>
          <w:rFonts w:ascii="Times New Roman" w:hAnsi="Times New Roman" w:cs="Times New Roman"/>
          <w:noProof/>
          <w:sz w:val="24"/>
        </w:rPr>
        <w:sectPr w:rsidR="006578ED" w:rsidSect="00B90E2C">
          <w:headerReference w:type="even" r:id="rId78"/>
          <w:headerReference w:type="default" r:id="rId79"/>
          <w:footerReference w:type="even" r:id="rId80"/>
          <w:footerReference w:type="default" r:id="rId81"/>
          <w:headerReference w:type="first" r:id="rId82"/>
          <w:footerReference w:type="first" r:id="rId83"/>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1080"/>
        <w:gridCol w:w="2889"/>
        <w:gridCol w:w="1276"/>
        <w:gridCol w:w="850"/>
        <w:gridCol w:w="567"/>
        <w:gridCol w:w="709"/>
        <w:gridCol w:w="425"/>
        <w:gridCol w:w="567"/>
        <w:gridCol w:w="5387"/>
      </w:tblGrid>
      <w:tr w:rsidR="006578ED" w14:paraId="6356C3BA" w14:textId="77777777">
        <w:trPr>
          <w:trHeight w:val="309"/>
          <w:tblHeader/>
        </w:trPr>
        <w:tc>
          <w:tcPr>
            <w:tcW w:w="709" w:type="dxa"/>
            <w:tcBorders>
              <w:bottom w:val="nil"/>
            </w:tcBorders>
            <w:shd w:val="clear" w:color="auto" w:fill="C6D9F1" w:themeFill="text2" w:themeFillTint="33"/>
            <w:noWrap/>
            <w:vAlign w:val="center"/>
          </w:tcPr>
          <w:p w14:paraId="62583AFD"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6DA1E61E" w14:textId="77777777" w:rsidR="006578ED" w:rsidRDefault="00A1618E">
            <w:pPr>
              <w:pStyle w:val="P68B1DB1-Normal12"/>
              <w:spacing w:after="0" w:line="240" w:lineRule="auto"/>
              <w:jc w:val="center"/>
              <w:rPr>
                <w:rFonts w:cs="Times New Roman"/>
                <w:noProof/>
              </w:rPr>
            </w:pPr>
            <w:r>
              <w:rPr>
                <w:noProof/>
              </w:rPr>
              <w:t>Środek</w:t>
            </w:r>
          </w:p>
        </w:tc>
        <w:tc>
          <w:tcPr>
            <w:tcW w:w="1080" w:type="dxa"/>
            <w:tcBorders>
              <w:bottom w:val="nil"/>
            </w:tcBorders>
            <w:shd w:val="clear" w:color="auto" w:fill="C6D9F1" w:themeFill="text2" w:themeFillTint="33"/>
            <w:noWrap/>
            <w:vAlign w:val="center"/>
          </w:tcPr>
          <w:p w14:paraId="099D9751" w14:textId="5FC255FD"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889" w:type="dxa"/>
            <w:tcBorders>
              <w:bottom w:val="nil"/>
            </w:tcBorders>
            <w:shd w:val="clear" w:color="auto" w:fill="C6D9F1" w:themeFill="text2" w:themeFillTint="33"/>
            <w:noWrap/>
            <w:vAlign w:val="center"/>
          </w:tcPr>
          <w:p w14:paraId="5D4478A0" w14:textId="77777777" w:rsidR="006578ED" w:rsidRDefault="00A1618E">
            <w:pPr>
              <w:pStyle w:val="P68B1DB1-Normal12"/>
              <w:spacing w:after="0" w:line="240" w:lineRule="auto"/>
              <w:jc w:val="center"/>
              <w:rPr>
                <w:rFonts w:cs="Times New Roman"/>
                <w:noProof/>
              </w:rPr>
            </w:pPr>
            <w:r>
              <w:rPr>
                <w:noProof/>
              </w:rPr>
              <w:t>Nazwa</w:t>
            </w:r>
          </w:p>
        </w:tc>
        <w:tc>
          <w:tcPr>
            <w:tcW w:w="1276" w:type="dxa"/>
            <w:tcBorders>
              <w:bottom w:val="nil"/>
            </w:tcBorders>
            <w:shd w:val="clear" w:color="auto" w:fill="C6D9F1" w:themeFill="text2" w:themeFillTint="33"/>
            <w:noWrap/>
            <w:vAlign w:val="center"/>
          </w:tcPr>
          <w:p w14:paraId="6F976713"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126" w:type="dxa"/>
            <w:gridSpan w:val="3"/>
            <w:shd w:val="clear" w:color="auto" w:fill="C6D9F1" w:themeFill="text2" w:themeFillTint="33"/>
            <w:noWrap/>
            <w:vAlign w:val="center"/>
          </w:tcPr>
          <w:p w14:paraId="4054A7C9"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5A77FFC3" w14:textId="77777777" w:rsidR="006578ED" w:rsidRDefault="00A1618E">
            <w:pPr>
              <w:pStyle w:val="P68B1DB1-Normal12"/>
              <w:spacing w:after="0" w:line="240" w:lineRule="auto"/>
              <w:jc w:val="center"/>
              <w:rPr>
                <w:rFonts w:cs="Times New Roman"/>
                <w:noProof/>
              </w:rPr>
            </w:pPr>
            <w:r>
              <w:rPr>
                <w:noProof/>
              </w:rPr>
              <w:t>Czas</w:t>
            </w:r>
          </w:p>
        </w:tc>
        <w:tc>
          <w:tcPr>
            <w:tcW w:w="5387" w:type="dxa"/>
            <w:tcBorders>
              <w:bottom w:val="nil"/>
            </w:tcBorders>
            <w:shd w:val="clear" w:color="auto" w:fill="C6D9F1" w:themeFill="text2" w:themeFillTint="33"/>
            <w:noWrap/>
            <w:vAlign w:val="center"/>
          </w:tcPr>
          <w:p w14:paraId="7DF1CA4F" w14:textId="2E33DD27"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1C0DE7C1" w14:textId="77777777">
        <w:trPr>
          <w:trHeight w:val="309"/>
          <w:tblHeader/>
        </w:trPr>
        <w:tc>
          <w:tcPr>
            <w:tcW w:w="709" w:type="dxa"/>
            <w:tcBorders>
              <w:top w:val="nil"/>
            </w:tcBorders>
            <w:shd w:val="clear" w:color="auto" w:fill="C6D9F1" w:themeFill="text2" w:themeFillTint="33"/>
            <w:noWrap/>
          </w:tcPr>
          <w:p w14:paraId="34CE0A41"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2EBF3C5" w14:textId="77777777" w:rsidR="006578ED" w:rsidRDefault="006578ED">
            <w:pPr>
              <w:spacing w:after="0" w:line="240" w:lineRule="auto"/>
              <w:jc w:val="center"/>
              <w:rPr>
                <w:rFonts w:ascii="Times New Roman" w:hAnsi="Times New Roman" w:cs="Times New Roman"/>
                <w:b/>
                <w:noProof/>
                <w:sz w:val="18"/>
              </w:rPr>
            </w:pPr>
          </w:p>
        </w:tc>
        <w:tc>
          <w:tcPr>
            <w:tcW w:w="1080" w:type="dxa"/>
            <w:tcBorders>
              <w:top w:val="nil"/>
            </w:tcBorders>
            <w:shd w:val="clear" w:color="auto" w:fill="C6D9F1" w:themeFill="text2" w:themeFillTint="33"/>
            <w:noWrap/>
          </w:tcPr>
          <w:p w14:paraId="6D98A12B" w14:textId="77777777" w:rsidR="006578ED" w:rsidRDefault="006578ED">
            <w:pPr>
              <w:spacing w:after="0" w:line="240" w:lineRule="auto"/>
              <w:jc w:val="center"/>
              <w:rPr>
                <w:rFonts w:ascii="Times New Roman" w:hAnsi="Times New Roman" w:cs="Times New Roman"/>
                <w:b/>
                <w:noProof/>
                <w:sz w:val="18"/>
              </w:rPr>
            </w:pPr>
          </w:p>
        </w:tc>
        <w:tc>
          <w:tcPr>
            <w:tcW w:w="2889" w:type="dxa"/>
            <w:tcBorders>
              <w:top w:val="nil"/>
            </w:tcBorders>
            <w:shd w:val="clear" w:color="auto" w:fill="C6D9F1" w:themeFill="text2" w:themeFillTint="33"/>
            <w:noWrap/>
          </w:tcPr>
          <w:p w14:paraId="2946DB82" w14:textId="77777777" w:rsidR="006578ED" w:rsidRDefault="006578ED">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5997CC1D"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0DC741B2"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vAlign w:val="center"/>
          </w:tcPr>
          <w:p w14:paraId="45A1BAA3" w14:textId="77777777" w:rsidR="006578ED" w:rsidRDefault="00A1618E">
            <w:pPr>
              <w:pStyle w:val="P68B1DB1-Normal12"/>
              <w:spacing w:after="0" w:line="240" w:lineRule="auto"/>
              <w:jc w:val="center"/>
              <w:rPr>
                <w:rFonts w:cs="Times New Roman"/>
                <w:noProof/>
              </w:rPr>
            </w:pPr>
            <w:r>
              <w:rPr>
                <w:noProof/>
              </w:rPr>
              <w:t>Wartość wyjściowa</w:t>
            </w:r>
          </w:p>
        </w:tc>
        <w:tc>
          <w:tcPr>
            <w:tcW w:w="709" w:type="dxa"/>
            <w:shd w:val="clear" w:color="auto" w:fill="C6D9F1" w:themeFill="text2" w:themeFillTint="33"/>
            <w:noWrap/>
            <w:vAlign w:val="center"/>
          </w:tcPr>
          <w:p w14:paraId="642BD0C5"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vAlign w:val="center"/>
          </w:tcPr>
          <w:p w14:paraId="74DC4EC1"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C34323D" w14:textId="77777777" w:rsidR="006578ED" w:rsidRDefault="00A1618E">
            <w:pPr>
              <w:pStyle w:val="P68B1DB1-Normal12"/>
              <w:spacing w:after="0" w:line="240" w:lineRule="auto"/>
              <w:jc w:val="center"/>
              <w:rPr>
                <w:rFonts w:cs="Times New Roman"/>
                <w:noProof/>
              </w:rPr>
            </w:pPr>
            <w:r>
              <w:rPr>
                <w:noProof/>
              </w:rPr>
              <w:t>Rok</w:t>
            </w:r>
          </w:p>
        </w:tc>
        <w:tc>
          <w:tcPr>
            <w:tcW w:w="5387" w:type="dxa"/>
            <w:tcBorders>
              <w:top w:val="nil"/>
            </w:tcBorders>
            <w:shd w:val="clear" w:color="auto" w:fill="C6D9F1" w:themeFill="text2" w:themeFillTint="33"/>
            <w:noWrap/>
          </w:tcPr>
          <w:p w14:paraId="110FFD37" w14:textId="77777777" w:rsidR="006578ED" w:rsidRDefault="006578ED">
            <w:pPr>
              <w:spacing w:after="0" w:line="240" w:lineRule="auto"/>
              <w:rPr>
                <w:rFonts w:ascii="Times New Roman" w:hAnsi="Times New Roman" w:cs="Times New Roman"/>
                <w:b/>
                <w:noProof/>
                <w:sz w:val="18"/>
              </w:rPr>
            </w:pPr>
          </w:p>
        </w:tc>
      </w:tr>
      <w:tr w:rsidR="006578ED" w14:paraId="1EB1ADBE" w14:textId="77777777">
        <w:trPr>
          <w:trHeight w:val="309"/>
        </w:trPr>
        <w:tc>
          <w:tcPr>
            <w:tcW w:w="709" w:type="dxa"/>
            <w:shd w:val="clear" w:color="auto" w:fill="C6EFCE"/>
            <w:noWrap/>
          </w:tcPr>
          <w:p w14:paraId="61A51A77" w14:textId="77777777" w:rsidR="006578ED" w:rsidRDefault="00A1618E">
            <w:pPr>
              <w:pStyle w:val="P68B1DB1-Normal13"/>
              <w:spacing w:after="0" w:line="240" w:lineRule="auto"/>
              <w:jc w:val="center"/>
              <w:rPr>
                <w:rFonts w:eastAsia="MS Mincho" w:cs="Times New Roman"/>
                <w:noProof/>
              </w:rPr>
            </w:pPr>
            <w:r>
              <w:rPr>
                <w:noProof/>
              </w:rPr>
              <w:t>39</w:t>
            </w:r>
          </w:p>
        </w:tc>
        <w:tc>
          <w:tcPr>
            <w:tcW w:w="851" w:type="dxa"/>
            <w:shd w:val="clear" w:color="auto" w:fill="C6EFCE"/>
            <w:noWrap/>
          </w:tcPr>
          <w:p w14:paraId="2EA089AC" w14:textId="77777777" w:rsidR="006578ED" w:rsidRDefault="00A1618E">
            <w:pPr>
              <w:pStyle w:val="P68B1DB1-Normal13"/>
              <w:spacing w:after="0" w:line="240" w:lineRule="auto"/>
              <w:jc w:val="center"/>
              <w:rPr>
                <w:rFonts w:eastAsia="MS Mincho" w:cs="Times New Roman"/>
                <w:noProof/>
              </w:rPr>
            </w:pPr>
            <w:r>
              <w:rPr>
                <w:noProof/>
              </w:rPr>
              <w:t>C3.R1</w:t>
            </w:r>
          </w:p>
        </w:tc>
        <w:tc>
          <w:tcPr>
            <w:tcW w:w="1080" w:type="dxa"/>
            <w:shd w:val="clear" w:color="auto" w:fill="C6EFCE"/>
            <w:noWrap/>
          </w:tcPr>
          <w:p w14:paraId="50046019" w14:textId="4D700FF6"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282F7252" w14:textId="6E4CB21F" w:rsidR="006578ED" w:rsidRDefault="00A1618E">
            <w:pPr>
              <w:pStyle w:val="P68B1DB1-Normal13"/>
              <w:spacing w:after="0" w:line="240" w:lineRule="auto"/>
              <w:rPr>
                <w:rFonts w:eastAsia="MS Mincho" w:cs="Times New Roman"/>
                <w:noProof/>
              </w:rPr>
            </w:pPr>
            <w:r>
              <w:rPr>
                <w:noProof/>
              </w:rPr>
              <w:t xml:space="preserve">Wejście w życie dekretu królewskiego z mocą ustawy 5/2020 w sprawie pilnych środków dotyczących rolnictwa i żywności oraz ustawy </w:t>
            </w:r>
            <w:r w:rsidRPr="00A1618E">
              <w:rPr>
                <w:noProof/>
                <w:lang w:val="pl-PL"/>
              </w:rPr>
              <w:t>nr 8</w:t>
            </w:r>
            <w:r>
              <w:rPr>
                <w:noProof/>
              </w:rPr>
              <w:t>/2020 w sprawie zmiany ustawy 12/2013 w sprawie środków na rzecz poprawy funkcjonowania łańcucha żywnościowego</w:t>
            </w:r>
          </w:p>
        </w:tc>
        <w:tc>
          <w:tcPr>
            <w:tcW w:w="1276" w:type="dxa"/>
            <w:shd w:val="clear" w:color="auto" w:fill="C6EFCE"/>
            <w:noWrap/>
          </w:tcPr>
          <w:p w14:paraId="407A7AE4" w14:textId="0EFD7EDE" w:rsidR="006578ED" w:rsidRDefault="00A1618E">
            <w:pPr>
              <w:pStyle w:val="P68B1DB1-Normal13"/>
              <w:spacing w:after="0" w:line="240" w:lineRule="auto"/>
              <w:jc w:val="center"/>
              <w:rPr>
                <w:rFonts w:eastAsia="MS Mincho" w:cs="Times New Roman"/>
                <w:noProof/>
              </w:rPr>
            </w:pPr>
            <w:r>
              <w:rPr>
                <w:noProof/>
              </w:rPr>
              <w:t>Przepisy dekretu królewskiego z mocą ustawy 5/2020, ustawy 8/2020, ustawy 12/2013 o wejściu w życie</w:t>
            </w:r>
          </w:p>
        </w:tc>
        <w:tc>
          <w:tcPr>
            <w:tcW w:w="850" w:type="dxa"/>
            <w:shd w:val="clear" w:color="auto" w:fill="C6EFCE"/>
            <w:noWrap/>
          </w:tcPr>
          <w:p w14:paraId="325CE300"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25DD3341"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23DD831B"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768D4F30" w14:textId="0BC37B58"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30C877E0" w14:textId="77777777" w:rsidR="006578ED" w:rsidRDefault="00A1618E">
            <w:pPr>
              <w:pStyle w:val="P68B1DB1-Normal13"/>
              <w:spacing w:after="0" w:line="240" w:lineRule="auto"/>
              <w:jc w:val="center"/>
              <w:rPr>
                <w:rFonts w:eastAsia="MS Mincho" w:cs="Times New Roman"/>
                <w:noProof/>
              </w:rPr>
            </w:pPr>
            <w:r>
              <w:rPr>
                <w:noProof/>
              </w:rPr>
              <w:t>2020</w:t>
            </w:r>
          </w:p>
        </w:tc>
        <w:tc>
          <w:tcPr>
            <w:tcW w:w="5387" w:type="dxa"/>
            <w:shd w:val="clear" w:color="auto" w:fill="C6EFCE"/>
            <w:noWrap/>
          </w:tcPr>
          <w:p w14:paraId="04BB5652" w14:textId="3499C832" w:rsidR="006578ED" w:rsidRDefault="00A1618E">
            <w:pPr>
              <w:pStyle w:val="P68B1DB1-Normal13"/>
              <w:spacing w:after="0" w:line="240" w:lineRule="auto"/>
              <w:rPr>
                <w:rFonts w:cs="Times New Roman"/>
                <w:noProof/>
              </w:rPr>
            </w:pPr>
            <w:r>
              <w:rPr>
                <w:noProof/>
              </w:rPr>
              <w:t>Wejście w życie dekretu królewskiego z mocą ustawy 5/2020 (25 lutego 20</w:t>
            </w:r>
            <w:r w:rsidRPr="00A1618E">
              <w:rPr>
                <w:noProof/>
                <w:lang w:val="pl-PL"/>
              </w:rPr>
              <w:t>20 r.</w:t>
            </w:r>
            <w:r>
              <w:rPr>
                <w:noProof/>
              </w:rPr>
              <w:t>) zawierającego pilne środki dotyczące rolnictwa i żywności w celu poprawy funkcjonowania łańcucha żywnościowego poprzez zmianę przepisów krajowych regulujących stosunki handlowe w łańcuchu żywnościowym. Głównym celem jest zapewnienie, by ceny produktów spożywczych pokrywały koszty produkcji, unikanie niszczenia wartości w łańcuchu żywnościowym oraz zakazanie promocji mających na celu wprowadzenie konsumentów w błąd co do ceny i wizerunku produktów.</w:t>
            </w:r>
            <w:r>
              <w:rPr>
                <w:noProof/>
              </w:rPr>
              <w:br/>
              <w:t>Wejście w życie ustawy 8/2020 w sprawie zmiany ustawy 12/2013 w sprawie pilnych środków na rzecz poprawy funkcjonowania łańcucha żywnościowego w celu zatwierdzenia wyżej wymienionego dekretu królewskiego z mocą ustawy poprzez przyjęcie ustawy.</w:t>
            </w:r>
          </w:p>
        </w:tc>
      </w:tr>
      <w:tr w:rsidR="006578ED" w14:paraId="77A2137B" w14:textId="77777777">
        <w:trPr>
          <w:trHeight w:val="309"/>
        </w:trPr>
        <w:tc>
          <w:tcPr>
            <w:tcW w:w="709" w:type="dxa"/>
            <w:shd w:val="clear" w:color="auto" w:fill="C6EFCE"/>
            <w:noWrap/>
          </w:tcPr>
          <w:p w14:paraId="704A35C2" w14:textId="77777777" w:rsidR="006578ED" w:rsidRDefault="00A1618E">
            <w:pPr>
              <w:pStyle w:val="P68B1DB1-Normal13"/>
              <w:spacing w:after="0" w:line="240" w:lineRule="auto"/>
              <w:jc w:val="center"/>
              <w:rPr>
                <w:rFonts w:eastAsia="MS Mincho" w:cs="Times New Roman"/>
                <w:noProof/>
              </w:rPr>
            </w:pPr>
            <w:r>
              <w:rPr>
                <w:noProof/>
              </w:rPr>
              <w:t>40</w:t>
            </w:r>
          </w:p>
        </w:tc>
        <w:tc>
          <w:tcPr>
            <w:tcW w:w="851" w:type="dxa"/>
            <w:shd w:val="clear" w:color="auto" w:fill="C6EFCE"/>
            <w:noWrap/>
          </w:tcPr>
          <w:p w14:paraId="3BE130A3" w14:textId="77777777" w:rsidR="006578ED" w:rsidRDefault="00A1618E">
            <w:pPr>
              <w:pStyle w:val="P68B1DB1-Normal13"/>
              <w:spacing w:after="0" w:line="240" w:lineRule="auto"/>
              <w:jc w:val="center"/>
              <w:rPr>
                <w:rFonts w:eastAsia="MS Mincho" w:cs="Times New Roman"/>
                <w:noProof/>
              </w:rPr>
            </w:pPr>
            <w:r>
              <w:rPr>
                <w:noProof/>
              </w:rPr>
              <w:t>C3.R1</w:t>
            </w:r>
          </w:p>
        </w:tc>
        <w:tc>
          <w:tcPr>
            <w:tcW w:w="1080" w:type="dxa"/>
            <w:shd w:val="clear" w:color="auto" w:fill="C6EFCE"/>
            <w:noWrap/>
          </w:tcPr>
          <w:p w14:paraId="799EC85C" w14:textId="158E0E3D"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259502C5" w14:textId="65416E01" w:rsidR="006578ED" w:rsidRDefault="00A1618E">
            <w:pPr>
              <w:pStyle w:val="P68B1DB1-Normal13"/>
              <w:spacing w:after="0" w:line="240" w:lineRule="auto"/>
              <w:rPr>
                <w:rFonts w:eastAsia="MS Mincho" w:cs="Times New Roman"/>
                <w:noProof/>
              </w:rPr>
            </w:pPr>
            <w:r>
              <w:rPr>
                <w:noProof/>
              </w:rPr>
              <w:t xml:space="preserve">Wejście w życie drugiej zmiany ustawy 12/2013 w sprawie środków na rzecz poprawy funkcjonowania łańcucha żywnościowego </w:t>
            </w:r>
          </w:p>
        </w:tc>
        <w:tc>
          <w:tcPr>
            <w:tcW w:w="1276" w:type="dxa"/>
            <w:shd w:val="clear" w:color="auto" w:fill="C6EFCE"/>
            <w:noWrap/>
          </w:tcPr>
          <w:p w14:paraId="2599AC3B" w14:textId="06039A9F" w:rsidR="006578ED" w:rsidRDefault="00A1618E">
            <w:pPr>
              <w:pStyle w:val="P68B1DB1-Normal13"/>
              <w:spacing w:after="0" w:line="240" w:lineRule="auto"/>
              <w:jc w:val="center"/>
              <w:rPr>
                <w:rFonts w:eastAsia="MS Mincho" w:cs="Times New Roman"/>
                <w:noProof/>
              </w:rPr>
            </w:pPr>
            <w:r>
              <w:rPr>
                <w:noProof/>
              </w:rPr>
              <w:t>Przepis ustawy 12/2013 o wejściu w życie</w:t>
            </w:r>
          </w:p>
        </w:tc>
        <w:tc>
          <w:tcPr>
            <w:tcW w:w="850" w:type="dxa"/>
            <w:shd w:val="clear" w:color="auto" w:fill="C6EFCE"/>
            <w:noWrap/>
          </w:tcPr>
          <w:p w14:paraId="28CE8CB7"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1895D3B7"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FDE0BDC"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D0FD3D3" w14:textId="21986D86"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0F366D60" w14:textId="77777777" w:rsidR="006578ED" w:rsidRDefault="00A1618E">
            <w:pPr>
              <w:pStyle w:val="P68B1DB1-Normal13"/>
              <w:spacing w:after="0" w:line="240" w:lineRule="auto"/>
              <w:jc w:val="center"/>
              <w:rPr>
                <w:rFonts w:eastAsia="MS Mincho" w:cs="Times New Roman"/>
                <w:noProof/>
              </w:rPr>
            </w:pPr>
            <w:r>
              <w:rPr>
                <w:noProof/>
              </w:rPr>
              <w:t>2021</w:t>
            </w:r>
          </w:p>
        </w:tc>
        <w:tc>
          <w:tcPr>
            <w:tcW w:w="5387" w:type="dxa"/>
            <w:shd w:val="clear" w:color="auto" w:fill="C6EFCE"/>
            <w:noWrap/>
          </w:tcPr>
          <w:p w14:paraId="53B6E5A7" w14:textId="33C19ACE" w:rsidR="006578ED" w:rsidRDefault="00A1618E">
            <w:pPr>
              <w:pStyle w:val="P68B1DB1-Normal13"/>
              <w:spacing w:after="0" w:line="240" w:lineRule="auto"/>
              <w:rPr>
                <w:rFonts w:eastAsia="MS Mincho" w:cs="Times New Roman"/>
                <w:noProof/>
              </w:rPr>
            </w:pPr>
            <w:r>
              <w:rPr>
                <w:noProof/>
              </w:rPr>
              <w:t xml:space="preserve">Wejście w życie drugiej zmiany ustawy 12/2013 w sprawie środków na rzecz poprawy funkcjonowania łańcucha żywnościowego, wykraczających poza minimalne wymogi dyrektywy (UE) 2019/633. Niniejsza poprawka prawna promuje różne działania na rzecz bardziej przejrzystego i zrównoważonego łańcucha wartości żywności, co pociąga za sobą zmiany w (i) rozszerzonym zakresie prawa na stosunki handlowe; minimalną treść umów na żywność rozszerza się praktycznie na wszystkie transakcje. </w:t>
            </w:r>
          </w:p>
        </w:tc>
      </w:tr>
      <w:tr w:rsidR="006578ED" w14:paraId="56651C19" w14:textId="77777777">
        <w:trPr>
          <w:trHeight w:val="309"/>
        </w:trPr>
        <w:tc>
          <w:tcPr>
            <w:tcW w:w="709" w:type="dxa"/>
            <w:shd w:val="clear" w:color="auto" w:fill="C6EFCE"/>
            <w:noWrap/>
          </w:tcPr>
          <w:p w14:paraId="245D991A" w14:textId="77777777" w:rsidR="006578ED" w:rsidRDefault="00A1618E">
            <w:pPr>
              <w:pStyle w:val="P68B1DB1-Normal13"/>
              <w:spacing w:after="0" w:line="240" w:lineRule="auto"/>
              <w:jc w:val="center"/>
              <w:rPr>
                <w:rFonts w:eastAsia="MS Mincho" w:cs="Times New Roman"/>
                <w:noProof/>
              </w:rPr>
            </w:pPr>
            <w:r>
              <w:rPr>
                <w:noProof/>
              </w:rPr>
              <w:t>41</w:t>
            </w:r>
          </w:p>
        </w:tc>
        <w:tc>
          <w:tcPr>
            <w:tcW w:w="851" w:type="dxa"/>
            <w:shd w:val="clear" w:color="auto" w:fill="C6EFCE"/>
            <w:noWrap/>
          </w:tcPr>
          <w:p w14:paraId="3F301039" w14:textId="77777777" w:rsidR="006578ED" w:rsidRDefault="00A1618E">
            <w:pPr>
              <w:pStyle w:val="P68B1DB1-Normal13"/>
              <w:spacing w:after="0" w:line="240" w:lineRule="auto"/>
              <w:jc w:val="center"/>
              <w:rPr>
                <w:rFonts w:eastAsia="MS Mincho" w:cs="Times New Roman"/>
                <w:noProof/>
              </w:rPr>
            </w:pPr>
            <w:r>
              <w:rPr>
                <w:noProof/>
              </w:rPr>
              <w:t>C3.R2</w:t>
            </w:r>
          </w:p>
        </w:tc>
        <w:tc>
          <w:tcPr>
            <w:tcW w:w="1080" w:type="dxa"/>
            <w:shd w:val="clear" w:color="auto" w:fill="C6EFCE"/>
            <w:noWrap/>
          </w:tcPr>
          <w:p w14:paraId="748CD6EC" w14:textId="7304E809"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44E3E4D1" w14:textId="30A4065B" w:rsidR="006578ED" w:rsidRDefault="00A1618E">
            <w:pPr>
              <w:pStyle w:val="P68B1DB1-Normal13"/>
              <w:spacing w:after="0" w:line="240" w:lineRule="auto"/>
              <w:rPr>
                <w:rFonts w:eastAsia="MS Mincho" w:cs="Times New Roman"/>
                <w:noProof/>
              </w:rPr>
            </w:pPr>
            <w:r>
              <w:rPr>
                <w:noProof/>
              </w:rPr>
              <w:t>Wejście w życie ram regulacyjnych w celu opracowania ogólnego rejestru najlepszych dostępnych technik stosowanych w gospodarstwach rolnych w celu informowania o emisjach zanieczyszczeń i gazów cieplarnianych oraz zreformowania przepisów dotyczących planowania z uwzględnieniem kryteriów dotyczących gospodarstw w różnych sektorach</w:t>
            </w:r>
          </w:p>
        </w:tc>
        <w:tc>
          <w:tcPr>
            <w:tcW w:w="1276" w:type="dxa"/>
            <w:shd w:val="clear" w:color="auto" w:fill="C6EFCE"/>
            <w:noWrap/>
          </w:tcPr>
          <w:p w14:paraId="02B63BCD" w14:textId="3DEBDE56" w:rsidR="006578ED" w:rsidRDefault="00A1618E">
            <w:pPr>
              <w:pStyle w:val="P68B1DB1-Normal13"/>
              <w:spacing w:after="0" w:line="240" w:lineRule="auto"/>
              <w:jc w:val="center"/>
              <w:rPr>
                <w:rFonts w:eastAsia="MS Mincho" w:cs="Times New Roman"/>
                <w:noProof/>
              </w:rPr>
            </w:pPr>
            <w:r>
              <w:rPr>
                <w:noProof/>
              </w:rPr>
              <w:t>Przepis ram regulacyjnych w sprawie wejścia w życie</w:t>
            </w:r>
          </w:p>
        </w:tc>
        <w:tc>
          <w:tcPr>
            <w:tcW w:w="850" w:type="dxa"/>
            <w:shd w:val="clear" w:color="auto" w:fill="C6EFCE"/>
            <w:noWrap/>
          </w:tcPr>
          <w:p w14:paraId="6C1031F9"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4CE745D7"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D149327"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70263436" w14:textId="12644F97"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454DE2D5" w14:textId="77777777"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5C19F011" w14:textId="044E315E" w:rsidR="006578ED" w:rsidRDefault="00A1618E">
            <w:pPr>
              <w:pStyle w:val="P68B1DB1-Normal13"/>
              <w:spacing w:after="0" w:line="240" w:lineRule="auto"/>
              <w:rPr>
                <w:rFonts w:eastAsia="MS Mincho" w:cs="Times New Roman"/>
                <w:noProof/>
              </w:rPr>
            </w:pPr>
            <w:r>
              <w:rPr>
                <w:noProof/>
              </w:rPr>
              <w:t>Ramy regulacyjne dotyczące opracowania ogólnego rejestru najlepszych dostępnych technik ułatwiają obliczanie emisji zanieczyszczeń i emisji gazów cieplarnianych w gospodarstwach trzody chlewnej i drobiu, a także rejestrowanie innych danych środowiskowych. Stopniowa rewizja przepisów dotyczących planowania w sektorach hodowlanych ureguluje wymogi dotyczące lokalizacji, wielkości, warunków sanitarnych i infrastruktury w gospodarstwach, zmieniając wymogi dotyczące ferm świń oraz tworząc nowe ramy regulacyjne dla sektora drobiu.</w:t>
            </w:r>
          </w:p>
        </w:tc>
      </w:tr>
      <w:tr w:rsidR="006578ED" w14:paraId="40128808" w14:textId="77777777">
        <w:trPr>
          <w:trHeight w:val="309"/>
        </w:trPr>
        <w:tc>
          <w:tcPr>
            <w:tcW w:w="709" w:type="dxa"/>
            <w:shd w:val="clear" w:color="auto" w:fill="C6EFCE"/>
            <w:noWrap/>
          </w:tcPr>
          <w:p w14:paraId="0C2CDCBB" w14:textId="1802298C" w:rsidR="006578ED" w:rsidRDefault="00A1618E">
            <w:pPr>
              <w:pStyle w:val="P68B1DB1-Normal13"/>
              <w:spacing w:after="0" w:line="240" w:lineRule="auto"/>
              <w:jc w:val="center"/>
              <w:rPr>
                <w:rFonts w:cs="Times New Roman"/>
                <w:noProof/>
              </w:rPr>
            </w:pPr>
            <w:r>
              <w:rPr>
                <w:noProof/>
              </w:rPr>
              <w:t>422</w:t>
            </w:r>
          </w:p>
        </w:tc>
        <w:tc>
          <w:tcPr>
            <w:tcW w:w="851" w:type="dxa"/>
            <w:shd w:val="clear" w:color="auto" w:fill="C6EFCE"/>
            <w:noWrap/>
          </w:tcPr>
          <w:p w14:paraId="301CA15D" w14:textId="2600A4CC" w:rsidR="006578ED" w:rsidRDefault="00A1618E">
            <w:pPr>
              <w:pStyle w:val="P68B1DB1-Normal13"/>
              <w:spacing w:after="0" w:line="240" w:lineRule="auto"/>
              <w:jc w:val="center"/>
              <w:rPr>
                <w:rFonts w:cs="Times New Roman"/>
                <w:noProof/>
              </w:rPr>
            </w:pPr>
            <w:r>
              <w:rPr>
                <w:noProof/>
              </w:rPr>
              <w:t>C3.R2</w:t>
            </w:r>
          </w:p>
        </w:tc>
        <w:tc>
          <w:tcPr>
            <w:tcW w:w="1080" w:type="dxa"/>
            <w:shd w:val="clear" w:color="auto" w:fill="C6EFCE"/>
            <w:noWrap/>
          </w:tcPr>
          <w:p w14:paraId="556745CD" w14:textId="125222E3" w:rsidR="006578ED" w:rsidRDefault="00AF6B91">
            <w:pPr>
              <w:pStyle w:val="P68B1DB1-Normal13"/>
              <w:spacing w:after="0" w:line="240" w:lineRule="auto"/>
              <w:jc w:val="center"/>
              <w:rPr>
                <w:rFonts w:cs="Times New Roman"/>
                <w:noProof/>
              </w:rPr>
            </w:pPr>
            <w:r>
              <w:rPr>
                <w:noProof/>
              </w:rPr>
              <w:t>Kamień milowy</w:t>
            </w:r>
          </w:p>
        </w:tc>
        <w:tc>
          <w:tcPr>
            <w:tcW w:w="2889" w:type="dxa"/>
            <w:shd w:val="clear" w:color="auto" w:fill="C6EFCE"/>
            <w:noWrap/>
          </w:tcPr>
          <w:p w14:paraId="75ED9B37" w14:textId="12DE2B98" w:rsidR="006578ED" w:rsidRDefault="00A1618E">
            <w:pPr>
              <w:pStyle w:val="P68B1DB1-Normal13"/>
              <w:spacing w:after="0" w:line="240" w:lineRule="auto"/>
              <w:rPr>
                <w:rFonts w:cs="Times New Roman"/>
                <w:noProof/>
              </w:rPr>
            </w:pPr>
            <w:r>
              <w:rPr>
                <w:noProof/>
              </w:rPr>
              <w:t>Wejście w życie rozporządzenia mającego na celu poprawę bioasekuracji transportu zwierząt gospodarskich oraz rozporządzenia w sprawie zrównoważonego stosowania antybiotyków u gatunków zwierząt gospodarskich</w:t>
            </w:r>
          </w:p>
        </w:tc>
        <w:tc>
          <w:tcPr>
            <w:tcW w:w="1276" w:type="dxa"/>
            <w:shd w:val="clear" w:color="auto" w:fill="C6EFCE"/>
            <w:noWrap/>
          </w:tcPr>
          <w:p w14:paraId="376893B4" w14:textId="573DD0FA" w:rsidR="006578ED" w:rsidRDefault="00A1618E">
            <w:pPr>
              <w:pStyle w:val="P68B1DB1-Normal13"/>
              <w:spacing w:after="0" w:line="240" w:lineRule="auto"/>
              <w:jc w:val="center"/>
              <w:rPr>
                <w:rFonts w:cs="Times New Roman"/>
                <w:noProof/>
              </w:rPr>
            </w:pPr>
            <w:r>
              <w:rPr>
                <w:noProof/>
              </w:rPr>
              <w:t>Przepis dekretu królewskiego ustanawiający jego wejście w życie</w:t>
            </w:r>
          </w:p>
        </w:tc>
        <w:tc>
          <w:tcPr>
            <w:tcW w:w="850" w:type="dxa"/>
            <w:shd w:val="clear" w:color="auto" w:fill="C6EFCE"/>
            <w:noWrap/>
          </w:tcPr>
          <w:p w14:paraId="41F72AA5" w14:textId="10384DE4" w:rsidR="006578ED" w:rsidRDefault="00A1618E">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422BD601" w14:textId="5B10E131" w:rsidR="006578ED" w:rsidRDefault="00A1618E">
            <w:pPr>
              <w:pStyle w:val="P68B1DB1-Normal13"/>
              <w:spacing w:after="0" w:line="240" w:lineRule="auto"/>
              <w:jc w:val="right"/>
              <w:rPr>
                <w:rFonts w:cs="Times New Roman"/>
                <w:noProof/>
              </w:rPr>
            </w:pPr>
            <w:r>
              <w:rPr>
                <w:noProof/>
              </w:rPr>
              <w:t xml:space="preserve"> </w:t>
            </w:r>
          </w:p>
        </w:tc>
        <w:tc>
          <w:tcPr>
            <w:tcW w:w="709" w:type="dxa"/>
            <w:shd w:val="clear" w:color="auto" w:fill="C6EFCE"/>
            <w:noWrap/>
          </w:tcPr>
          <w:p w14:paraId="26BDCAF1" w14:textId="319C0BF0" w:rsidR="006578ED" w:rsidRDefault="00A1618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5A1F4C93" w14:textId="27BAFFB0"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7DC9991C" w14:textId="1659BAE4" w:rsidR="006578ED" w:rsidRDefault="00A1618E">
            <w:pPr>
              <w:pStyle w:val="P68B1DB1-Normal13"/>
              <w:spacing w:after="0" w:line="240" w:lineRule="auto"/>
              <w:jc w:val="center"/>
              <w:rPr>
                <w:rFonts w:cs="Times New Roman"/>
                <w:noProof/>
              </w:rPr>
            </w:pPr>
            <w:r>
              <w:rPr>
                <w:noProof/>
              </w:rPr>
              <w:t>2023</w:t>
            </w:r>
          </w:p>
        </w:tc>
        <w:tc>
          <w:tcPr>
            <w:tcW w:w="5387" w:type="dxa"/>
            <w:shd w:val="clear" w:color="auto" w:fill="C6EFCE"/>
            <w:noWrap/>
          </w:tcPr>
          <w:p w14:paraId="0B638417" w14:textId="43BF3411" w:rsidR="006578ED" w:rsidRDefault="00A1618E">
            <w:pPr>
              <w:pStyle w:val="P68B1DB1-Normal13"/>
              <w:spacing w:line="257" w:lineRule="auto"/>
              <w:jc w:val="both"/>
              <w:rPr>
                <w:rFonts w:eastAsia="MS Mincho" w:cs="Times New Roman"/>
                <w:noProof/>
              </w:rPr>
            </w:pPr>
            <w:r>
              <w:rPr>
                <w:noProof/>
              </w:rPr>
              <w:t>Wejście w życie dekretu królewskiego w sprawie poprawy bioasekuracji transportu zwierząt gospodarskich oraz dekretu królewskiego w sprawie zrównoważonego stosowania antybiotyków u gatunków zwierząt gospodarskich będących przedmiotem zainteresowania zgodnie z opisem środka.</w:t>
            </w:r>
          </w:p>
          <w:p w14:paraId="3A03D516" w14:textId="77777777" w:rsidR="006578ED" w:rsidRDefault="006578ED">
            <w:pPr>
              <w:spacing w:after="0" w:line="240" w:lineRule="auto"/>
              <w:rPr>
                <w:rFonts w:ascii="Times New Roman" w:hAnsi="Times New Roman" w:cs="Times New Roman"/>
                <w:noProof/>
                <w:sz w:val="18"/>
              </w:rPr>
            </w:pPr>
          </w:p>
        </w:tc>
      </w:tr>
      <w:tr w:rsidR="006578ED" w14:paraId="6769C491" w14:textId="77777777">
        <w:trPr>
          <w:trHeight w:val="309"/>
        </w:trPr>
        <w:tc>
          <w:tcPr>
            <w:tcW w:w="709" w:type="dxa"/>
            <w:shd w:val="clear" w:color="auto" w:fill="C6EFCE"/>
            <w:noWrap/>
          </w:tcPr>
          <w:p w14:paraId="21C9D991" w14:textId="77777777" w:rsidR="006578ED" w:rsidRDefault="00A1618E">
            <w:pPr>
              <w:pStyle w:val="P68B1DB1-Normal13"/>
              <w:spacing w:after="0" w:line="240" w:lineRule="auto"/>
              <w:jc w:val="center"/>
              <w:rPr>
                <w:rFonts w:eastAsia="MS Mincho" w:cs="Times New Roman"/>
                <w:noProof/>
              </w:rPr>
            </w:pPr>
            <w:r>
              <w:rPr>
                <w:noProof/>
              </w:rPr>
              <w:t>42</w:t>
            </w:r>
          </w:p>
        </w:tc>
        <w:tc>
          <w:tcPr>
            <w:tcW w:w="851" w:type="dxa"/>
            <w:shd w:val="clear" w:color="auto" w:fill="C6EFCE"/>
            <w:noWrap/>
          </w:tcPr>
          <w:p w14:paraId="5A189353" w14:textId="77777777" w:rsidR="006578ED" w:rsidRDefault="00A1618E">
            <w:pPr>
              <w:pStyle w:val="P68B1DB1-Normal13"/>
              <w:spacing w:after="0" w:line="240" w:lineRule="auto"/>
              <w:jc w:val="center"/>
              <w:rPr>
                <w:rFonts w:eastAsia="MS Mincho" w:cs="Times New Roman"/>
                <w:noProof/>
              </w:rPr>
            </w:pPr>
            <w:r>
              <w:rPr>
                <w:noProof/>
              </w:rPr>
              <w:t>C3.R3</w:t>
            </w:r>
          </w:p>
        </w:tc>
        <w:tc>
          <w:tcPr>
            <w:tcW w:w="1080" w:type="dxa"/>
            <w:shd w:val="clear" w:color="auto" w:fill="C6EFCE"/>
            <w:noWrap/>
          </w:tcPr>
          <w:p w14:paraId="477EF257" w14:textId="4D0CC62E"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3FA9F6A1" w14:textId="4242D705" w:rsidR="006578ED" w:rsidRDefault="00A1618E">
            <w:pPr>
              <w:pStyle w:val="P68B1DB1-Normal13"/>
              <w:spacing w:after="0" w:line="240" w:lineRule="auto"/>
              <w:rPr>
                <w:rFonts w:eastAsia="MS Mincho" w:cs="Times New Roman"/>
                <w:noProof/>
              </w:rPr>
            </w:pPr>
            <w:r>
              <w:rPr>
                <w:noProof/>
              </w:rPr>
              <w:t>Wejście w życie ram normatywnych dotyczących zrównoważonego żywienia w glebach rolnych.</w:t>
            </w:r>
          </w:p>
        </w:tc>
        <w:tc>
          <w:tcPr>
            <w:tcW w:w="1276" w:type="dxa"/>
            <w:shd w:val="clear" w:color="auto" w:fill="C6EFCE"/>
            <w:noWrap/>
          </w:tcPr>
          <w:p w14:paraId="35C35665" w14:textId="0889FA17" w:rsidR="006578ED" w:rsidRDefault="00A1618E">
            <w:pPr>
              <w:pStyle w:val="P68B1DB1-Normal13"/>
              <w:spacing w:after="0" w:line="240" w:lineRule="auto"/>
              <w:jc w:val="center"/>
              <w:rPr>
                <w:rFonts w:eastAsia="MS Mincho" w:cs="Times New Roman"/>
                <w:noProof/>
              </w:rPr>
            </w:pPr>
            <w:r>
              <w:rPr>
                <w:noProof/>
              </w:rPr>
              <w:t>Zapewnienie ram normatywnych dotyczących wejścia w życie</w:t>
            </w:r>
          </w:p>
        </w:tc>
        <w:tc>
          <w:tcPr>
            <w:tcW w:w="850" w:type="dxa"/>
            <w:shd w:val="clear" w:color="auto" w:fill="C6EFCE"/>
            <w:noWrap/>
          </w:tcPr>
          <w:p w14:paraId="253B9705"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52553BD"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56051E44"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4B5F073" w14:textId="491B70D0" w:rsidR="006578ED" w:rsidRDefault="00EC188C">
            <w:pPr>
              <w:pStyle w:val="P68B1DB1-Normal13"/>
              <w:spacing w:after="0" w:line="240" w:lineRule="auto"/>
              <w:jc w:val="center"/>
              <w:rPr>
                <w:rFonts w:eastAsia="MS Mincho" w:cs="Times New Roman"/>
                <w:noProof/>
              </w:rPr>
            </w:pPr>
            <w:r>
              <w:rPr>
                <w:noProof/>
              </w:rPr>
              <w:t>KW. 1</w:t>
            </w:r>
          </w:p>
        </w:tc>
        <w:tc>
          <w:tcPr>
            <w:tcW w:w="567" w:type="dxa"/>
            <w:shd w:val="clear" w:color="auto" w:fill="C6EFCE"/>
            <w:noWrap/>
          </w:tcPr>
          <w:p w14:paraId="094D2E42" w14:textId="77777777" w:rsidR="006578ED" w:rsidRDefault="00A1618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3CC5FFD3" w14:textId="64236945" w:rsidR="006578ED" w:rsidRDefault="00A1618E">
            <w:pPr>
              <w:pStyle w:val="P68B1DB1-Normal13"/>
              <w:spacing w:after="0" w:line="240" w:lineRule="auto"/>
              <w:rPr>
                <w:rFonts w:eastAsia="MS Mincho" w:cs="Times New Roman"/>
                <w:noProof/>
              </w:rPr>
            </w:pPr>
            <w:r>
              <w:rPr>
                <w:noProof/>
              </w:rPr>
              <w:t xml:space="preserve">Te ramy normatywne mają na celu uregulowanie prac związanych z nawożeniem i promowanie doradztwa technicznego dla rolników w celu racjonalizacji nawożenia i spełnienia wymogów prawnych. </w:t>
            </w:r>
          </w:p>
        </w:tc>
      </w:tr>
      <w:tr w:rsidR="006578ED" w14:paraId="37DD0363" w14:textId="77777777">
        <w:trPr>
          <w:trHeight w:val="309"/>
        </w:trPr>
        <w:tc>
          <w:tcPr>
            <w:tcW w:w="709" w:type="dxa"/>
            <w:shd w:val="clear" w:color="auto" w:fill="C6EFCE"/>
            <w:noWrap/>
          </w:tcPr>
          <w:p w14:paraId="55739EF0" w14:textId="77777777" w:rsidR="006578ED" w:rsidRDefault="00A1618E">
            <w:pPr>
              <w:pStyle w:val="P68B1DB1-Normal13"/>
              <w:spacing w:after="0" w:line="240" w:lineRule="auto"/>
              <w:jc w:val="center"/>
              <w:rPr>
                <w:rFonts w:eastAsia="MS Mincho" w:cs="Times New Roman"/>
                <w:noProof/>
              </w:rPr>
            </w:pPr>
            <w:r>
              <w:rPr>
                <w:noProof/>
              </w:rPr>
              <w:t>43</w:t>
            </w:r>
          </w:p>
        </w:tc>
        <w:tc>
          <w:tcPr>
            <w:tcW w:w="851" w:type="dxa"/>
            <w:shd w:val="clear" w:color="auto" w:fill="C6EFCE"/>
            <w:noWrap/>
          </w:tcPr>
          <w:p w14:paraId="11E8956A" w14:textId="77777777" w:rsidR="006578ED" w:rsidRDefault="00A1618E">
            <w:pPr>
              <w:pStyle w:val="P68B1DB1-Normal13"/>
              <w:spacing w:after="0" w:line="240" w:lineRule="auto"/>
              <w:jc w:val="center"/>
              <w:rPr>
                <w:rFonts w:eastAsia="MS Mincho" w:cs="Times New Roman"/>
                <w:noProof/>
              </w:rPr>
            </w:pPr>
            <w:r>
              <w:rPr>
                <w:noProof/>
              </w:rPr>
              <w:t>C3.R4</w:t>
            </w:r>
          </w:p>
        </w:tc>
        <w:tc>
          <w:tcPr>
            <w:tcW w:w="1080" w:type="dxa"/>
            <w:shd w:val="clear" w:color="auto" w:fill="C6EFCE"/>
            <w:noWrap/>
          </w:tcPr>
          <w:p w14:paraId="5AD787E6" w14:textId="08389D92"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7832744C" w14:textId="602C84CA" w:rsidR="006578ED" w:rsidRDefault="00A1618E">
            <w:pPr>
              <w:pStyle w:val="P68B1DB1-Normal13"/>
              <w:spacing w:after="0" w:line="240" w:lineRule="auto"/>
              <w:rPr>
                <w:rFonts w:eastAsia="MS Mincho" w:cs="Times New Roman"/>
                <w:noProof/>
              </w:rPr>
            </w:pPr>
            <w:r>
              <w:rPr>
                <w:noProof/>
              </w:rPr>
              <w:t>Wejście w życie dekretu królewskiego w sprawie mechanizmu zarządzania w celu usprawnienia hiszpańskiego systemu nawadniania.</w:t>
            </w:r>
          </w:p>
        </w:tc>
        <w:tc>
          <w:tcPr>
            <w:tcW w:w="1276" w:type="dxa"/>
            <w:shd w:val="clear" w:color="auto" w:fill="C6EFCE"/>
            <w:noWrap/>
          </w:tcPr>
          <w:p w14:paraId="10FCA3E8" w14:textId="09F7074C" w:rsidR="006578ED" w:rsidRDefault="00A1618E">
            <w:pPr>
              <w:pStyle w:val="P68B1DB1-Normal13"/>
              <w:spacing w:after="0" w:line="240" w:lineRule="auto"/>
              <w:jc w:val="center"/>
              <w:rPr>
                <w:rFonts w:eastAsia="MS Mincho" w:cs="Times New Roman"/>
                <w:noProof/>
              </w:rPr>
            </w:pPr>
            <w:r>
              <w:rPr>
                <w:noProof/>
              </w:rPr>
              <w:t xml:space="preserve">Przepis dekretu królewskiego w sprawie wejścia w życie </w:t>
            </w:r>
          </w:p>
        </w:tc>
        <w:tc>
          <w:tcPr>
            <w:tcW w:w="850" w:type="dxa"/>
            <w:shd w:val="clear" w:color="auto" w:fill="C6EFCE"/>
            <w:noWrap/>
          </w:tcPr>
          <w:p w14:paraId="554EF5F4"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E235B9D"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66AC4DF1"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B2E4500" w14:textId="3CA56FFC"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057ED589" w14:textId="77777777"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253F0D80" w14:textId="68972867" w:rsidR="006578ED" w:rsidRDefault="00A1618E">
            <w:pPr>
              <w:pStyle w:val="P68B1DB1-Normal13"/>
              <w:spacing w:after="0" w:line="240" w:lineRule="auto"/>
              <w:rPr>
                <w:rFonts w:eastAsia="MS Mincho" w:cs="Times New Roman"/>
                <w:noProof/>
              </w:rPr>
            </w:pPr>
            <w:r>
              <w:rPr>
                <w:noProof/>
              </w:rPr>
              <w:t>Dekret królewski ustanawia mechanizm zarządzania na szczeblu krajowym, tak aby sektory, których to dotyczy, mogły współpracować w kwestiach związanych z hiszpańskim nawadnianiem, takich jak zrównoważony charakter, kryteria wykonania, przepisy itp. Ma on również na celu utworzenie obserwatorium zrównoważonego nawadniania w Hiszpanii.</w:t>
            </w:r>
          </w:p>
        </w:tc>
      </w:tr>
      <w:tr w:rsidR="006578ED" w14:paraId="19DF5004" w14:textId="77777777">
        <w:trPr>
          <w:trHeight w:val="309"/>
        </w:trPr>
        <w:tc>
          <w:tcPr>
            <w:tcW w:w="709" w:type="dxa"/>
            <w:shd w:val="clear" w:color="auto" w:fill="C6EFCE"/>
            <w:noWrap/>
          </w:tcPr>
          <w:p w14:paraId="64397A95" w14:textId="77777777" w:rsidR="006578ED" w:rsidRDefault="00A1618E">
            <w:pPr>
              <w:pStyle w:val="P68B1DB1-Normal13"/>
              <w:spacing w:after="0" w:line="240" w:lineRule="auto"/>
              <w:jc w:val="center"/>
              <w:rPr>
                <w:rFonts w:eastAsia="MS Mincho" w:cs="Times New Roman"/>
                <w:noProof/>
              </w:rPr>
            </w:pPr>
            <w:r>
              <w:rPr>
                <w:noProof/>
              </w:rPr>
              <w:t>44</w:t>
            </w:r>
          </w:p>
        </w:tc>
        <w:tc>
          <w:tcPr>
            <w:tcW w:w="851" w:type="dxa"/>
            <w:shd w:val="clear" w:color="auto" w:fill="C6EFCE"/>
            <w:noWrap/>
          </w:tcPr>
          <w:p w14:paraId="7D07F206" w14:textId="77777777" w:rsidR="006578ED" w:rsidRDefault="00A1618E">
            <w:pPr>
              <w:pStyle w:val="P68B1DB1-Normal13"/>
              <w:spacing w:after="0" w:line="240" w:lineRule="auto"/>
              <w:jc w:val="center"/>
              <w:rPr>
                <w:rFonts w:eastAsia="MS Mincho" w:cs="Times New Roman"/>
                <w:noProof/>
              </w:rPr>
            </w:pPr>
            <w:r>
              <w:rPr>
                <w:noProof/>
              </w:rPr>
              <w:t>C3.R5</w:t>
            </w:r>
          </w:p>
        </w:tc>
        <w:tc>
          <w:tcPr>
            <w:tcW w:w="1080" w:type="dxa"/>
            <w:shd w:val="clear" w:color="auto" w:fill="C6EFCE"/>
            <w:noWrap/>
          </w:tcPr>
          <w:p w14:paraId="0D3EABE3" w14:textId="79AEBD86"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280F306B" w14:textId="307ED524" w:rsidR="006578ED" w:rsidRDefault="00A1618E">
            <w:pPr>
              <w:pStyle w:val="P68B1DB1-Normal13"/>
              <w:spacing w:after="0" w:line="240" w:lineRule="auto"/>
              <w:rPr>
                <w:rFonts w:eastAsia="MS Mincho" w:cs="Times New Roman"/>
                <w:noProof/>
              </w:rPr>
            </w:pPr>
            <w:r>
              <w:rPr>
                <w:noProof/>
              </w:rPr>
              <w:t>Przyjęcie drugiego planu działania dotyczącego strategii cyfryzacji sektora rolno-spożywczego i obszarów wiejskich.</w:t>
            </w:r>
          </w:p>
        </w:tc>
        <w:tc>
          <w:tcPr>
            <w:tcW w:w="1276" w:type="dxa"/>
            <w:shd w:val="clear" w:color="auto" w:fill="C6EFCE"/>
            <w:noWrap/>
          </w:tcPr>
          <w:p w14:paraId="2DAF3BAF" w14:textId="77777777" w:rsidR="006578ED" w:rsidRDefault="00A1618E">
            <w:pPr>
              <w:pStyle w:val="P68B1DB1-Normal13"/>
              <w:spacing w:after="0" w:line="240" w:lineRule="auto"/>
              <w:jc w:val="center"/>
              <w:rPr>
                <w:rFonts w:eastAsia="MS Mincho" w:cs="Times New Roman"/>
                <w:noProof/>
              </w:rPr>
            </w:pPr>
            <w:r>
              <w:rPr>
                <w:noProof/>
              </w:rPr>
              <w:t>Publikacja na stronie internetowej Ministerstwa Rolnictwa</w:t>
            </w:r>
          </w:p>
        </w:tc>
        <w:tc>
          <w:tcPr>
            <w:tcW w:w="850" w:type="dxa"/>
            <w:shd w:val="clear" w:color="auto" w:fill="C6EFCE"/>
            <w:noWrap/>
          </w:tcPr>
          <w:p w14:paraId="131F8F3A"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455E230F"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0A8DB014"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1213C6B" w14:textId="11591B01"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23B3A032" w14:textId="77777777"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31655646" w14:textId="177F8889" w:rsidR="006578ED" w:rsidRDefault="00A1618E">
            <w:pPr>
              <w:pStyle w:val="P68B1DB1-Normal13"/>
              <w:spacing w:after="0" w:line="240" w:lineRule="auto"/>
              <w:rPr>
                <w:rFonts w:eastAsia="MS Mincho" w:cs="Times New Roman"/>
                <w:noProof/>
              </w:rPr>
            </w:pPr>
            <w:r>
              <w:rPr>
                <w:noProof/>
              </w:rPr>
              <w:t xml:space="preserve">Środek zapewnia ciągłość strategii cyfryzacji sektora rolno-spożywczego i środowiska wiejskiego za pomocą drugiego planu, którego celem jest zmniejszenie przepaści cyfrowej, promowanie wykorzystania danych oraz promowanie rozwoju działalności gospodarczej i nowych modeli biznesowych. </w:t>
            </w:r>
          </w:p>
        </w:tc>
      </w:tr>
      <w:tr w:rsidR="006578ED" w14:paraId="6F3FDDA7" w14:textId="77777777">
        <w:trPr>
          <w:trHeight w:val="309"/>
        </w:trPr>
        <w:tc>
          <w:tcPr>
            <w:tcW w:w="709" w:type="dxa"/>
            <w:shd w:val="clear" w:color="auto" w:fill="C6EFCE"/>
            <w:noWrap/>
          </w:tcPr>
          <w:p w14:paraId="43FBD11F" w14:textId="77777777" w:rsidR="006578ED" w:rsidRDefault="00A1618E">
            <w:pPr>
              <w:pStyle w:val="P68B1DB1-Normal13"/>
              <w:spacing w:after="0" w:line="240" w:lineRule="auto"/>
              <w:jc w:val="center"/>
              <w:rPr>
                <w:rFonts w:eastAsia="MS Mincho" w:cs="Times New Roman"/>
                <w:noProof/>
              </w:rPr>
            </w:pPr>
            <w:r>
              <w:rPr>
                <w:noProof/>
              </w:rPr>
              <w:t>45</w:t>
            </w:r>
          </w:p>
        </w:tc>
        <w:tc>
          <w:tcPr>
            <w:tcW w:w="851" w:type="dxa"/>
            <w:shd w:val="clear" w:color="auto" w:fill="C6EFCE"/>
            <w:noWrap/>
          </w:tcPr>
          <w:p w14:paraId="2E01EC5D" w14:textId="77777777" w:rsidR="006578ED" w:rsidRDefault="00A1618E">
            <w:pPr>
              <w:pStyle w:val="P68B1DB1-Normal13"/>
              <w:spacing w:after="0" w:line="240" w:lineRule="auto"/>
              <w:jc w:val="center"/>
              <w:rPr>
                <w:rFonts w:eastAsia="MS Mincho" w:cs="Times New Roman"/>
                <w:noProof/>
              </w:rPr>
            </w:pPr>
            <w:r>
              <w:rPr>
                <w:noProof/>
              </w:rPr>
              <w:t>C3.R6</w:t>
            </w:r>
          </w:p>
        </w:tc>
        <w:tc>
          <w:tcPr>
            <w:tcW w:w="1080" w:type="dxa"/>
            <w:shd w:val="clear" w:color="auto" w:fill="C6EFCE"/>
            <w:noWrap/>
          </w:tcPr>
          <w:p w14:paraId="4E82A334" w14:textId="6A1504D1"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53B192B7" w14:textId="0C2DC4D8" w:rsidR="006578ED" w:rsidRDefault="00A1618E">
            <w:pPr>
              <w:pStyle w:val="P68B1DB1-Normal13"/>
              <w:spacing w:after="0" w:line="240" w:lineRule="auto"/>
              <w:rPr>
                <w:rFonts w:eastAsia="MS Mincho" w:cs="Times New Roman"/>
                <w:noProof/>
              </w:rPr>
            </w:pPr>
            <w:r>
              <w:rPr>
                <w:noProof/>
              </w:rPr>
              <w:t xml:space="preserve">Wejście w życie dekretu królewskiego w sprawie zarządzania krajowymi łowiskami </w:t>
            </w:r>
          </w:p>
        </w:tc>
        <w:tc>
          <w:tcPr>
            <w:tcW w:w="1276" w:type="dxa"/>
            <w:shd w:val="clear" w:color="auto" w:fill="C6EFCE"/>
            <w:noWrap/>
          </w:tcPr>
          <w:p w14:paraId="57042A16" w14:textId="488C0540" w:rsidR="006578ED" w:rsidRDefault="00A1618E">
            <w:pPr>
              <w:pStyle w:val="P68B1DB1-Normal13"/>
              <w:spacing w:after="0" w:line="240" w:lineRule="auto"/>
              <w:jc w:val="center"/>
              <w:rPr>
                <w:rFonts w:eastAsia="MS Mincho" w:cs="Times New Roman"/>
                <w:noProof/>
              </w:rPr>
            </w:pPr>
            <w:r>
              <w:rPr>
                <w:noProof/>
              </w:rPr>
              <w:t>Przepis dekretu królewskiego w sprawie wejścia w życie</w:t>
            </w:r>
          </w:p>
        </w:tc>
        <w:tc>
          <w:tcPr>
            <w:tcW w:w="850" w:type="dxa"/>
            <w:shd w:val="clear" w:color="auto" w:fill="C6EFCE"/>
            <w:noWrap/>
          </w:tcPr>
          <w:p w14:paraId="03D8BA8D" w14:textId="77777777" w:rsidR="006578ED" w:rsidRDefault="00A1618E">
            <w:pPr>
              <w:pStyle w:val="P68B1DB1-Normal13"/>
              <w:spacing w:after="0" w:line="240" w:lineRule="auto"/>
              <w:jc w:val="center"/>
              <w:rPr>
                <w:rFonts w:eastAsia="MS Mincho" w:cs="Times New Roman"/>
                <w:noProof/>
              </w:rPr>
            </w:pPr>
            <w:r>
              <w:rPr>
                <w:noProof/>
              </w:rPr>
              <w:t xml:space="preserve"> </w:t>
            </w:r>
          </w:p>
        </w:tc>
        <w:tc>
          <w:tcPr>
            <w:tcW w:w="567" w:type="dxa"/>
            <w:shd w:val="clear" w:color="auto" w:fill="C6EFCE"/>
            <w:noWrap/>
          </w:tcPr>
          <w:p w14:paraId="69A0658A"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2EA285AA"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3288100" w14:textId="62B12043"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3041507C" w14:textId="77777777"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0AA2858" w14:textId="28C36ABF" w:rsidR="006578ED" w:rsidRDefault="00A1618E">
            <w:pPr>
              <w:pStyle w:val="P68B1DB1-Normal13"/>
              <w:spacing w:after="0" w:line="240" w:lineRule="auto"/>
              <w:rPr>
                <w:rFonts w:eastAsia="MS Mincho" w:cs="Times New Roman"/>
                <w:noProof/>
              </w:rPr>
            </w:pPr>
            <w:r>
              <w:rPr>
                <w:noProof/>
              </w:rPr>
              <w:t>Dekret królewski dostosowuje zarządzanie różnymi narzędziami, metodami i spisami na krajowych łowiskach, ułatwiając lepsze zarządzanie działalnością gospodarczą i uwzględniając cele głównych polityk i wyzwań UE, takich jak m.in. reforma wspólnej polityki rybołówstwa, strategia na rzecz bioróżnorodności 2030, strategie morskie lub cele zrównoważonego rozwoju.</w:t>
            </w:r>
          </w:p>
        </w:tc>
      </w:tr>
      <w:tr w:rsidR="006578ED" w14:paraId="5BDD290F" w14:textId="77777777">
        <w:trPr>
          <w:trHeight w:val="309"/>
        </w:trPr>
        <w:tc>
          <w:tcPr>
            <w:tcW w:w="709" w:type="dxa"/>
            <w:shd w:val="clear" w:color="auto" w:fill="C6EFCE"/>
            <w:noWrap/>
          </w:tcPr>
          <w:p w14:paraId="23AFD0D9" w14:textId="60B7F2D5" w:rsidR="006578ED" w:rsidRDefault="00A1618E">
            <w:pPr>
              <w:pStyle w:val="P68B1DB1-Normal13"/>
              <w:spacing w:after="0" w:line="240" w:lineRule="auto"/>
              <w:jc w:val="center"/>
              <w:rPr>
                <w:rFonts w:cs="Times New Roman"/>
                <w:noProof/>
              </w:rPr>
            </w:pPr>
            <w:r>
              <w:rPr>
                <w:noProof/>
              </w:rPr>
              <w:t>423</w:t>
            </w:r>
          </w:p>
        </w:tc>
        <w:tc>
          <w:tcPr>
            <w:tcW w:w="851" w:type="dxa"/>
            <w:shd w:val="clear" w:color="auto" w:fill="C6EFCE"/>
            <w:noWrap/>
          </w:tcPr>
          <w:p w14:paraId="2AEBE349" w14:textId="0BEBCD58" w:rsidR="006578ED" w:rsidRDefault="00A1618E">
            <w:pPr>
              <w:pStyle w:val="P68B1DB1-Normal13"/>
              <w:spacing w:after="0" w:line="240" w:lineRule="auto"/>
              <w:jc w:val="center"/>
              <w:rPr>
                <w:rFonts w:cs="Times New Roman"/>
                <w:noProof/>
              </w:rPr>
            </w:pPr>
            <w:r>
              <w:rPr>
                <w:noProof/>
              </w:rPr>
              <w:t>C3.R6</w:t>
            </w:r>
          </w:p>
        </w:tc>
        <w:tc>
          <w:tcPr>
            <w:tcW w:w="1080" w:type="dxa"/>
            <w:shd w:val="clear" w:color="auto" w:fill="C6EFCE"/>
            <w:noWrap/>
          </w:tcPr>
          <w:p w14:paraId="367B21D1" w14:textId="570865F7" w:rsidR="006578ED" w:rsidRDefault="00AF6B91">
            <w:pPr>
              <w:pStyle w:val="P68B1DB1-Normal13"/>
              <w:spacing w:after="0" w:line="240" w:lineRule="auto"/>
              <w:jc w:val="center"/>
              <w:rPr>
                <w:rFonts w:cs="Times New Roman"/>
                <w:noProof/>
              </w:rPr>
            </w:pPr>
            <w:r>
              <w:rPr>
                <w:noProof/>
              </w:rPr>
              <w:t>Kamień milowy</w:t>
            </w:r>
          </w:p>
        </w:tc>
        <w:tc>
          <w:tcPr>
            <w:tcW w:w="2889" w:type="dxa"/>
            <w:shd w:val="clear" w:color="auto" w:fill="C6EFCE"/>
            <w:noWrap/>
          </w:tcPr>
          <w:p w14:paraId="2CCD0E8B" w14:textId="7494556B" w:rsidR="006578ED" w:rsidRDefault="00A1618E">
            <w:pPr>
              <w:pStyle w:val="P68B1DB1-Normal13"/>
              <w:spacing w:after="0" w:line="240" w:lineRule="auto"/>
              <w:rPr>
                <w:rFonts w:cs="Times New Roman"/>
                <w:noProof/>
              </w:rPr>
            </w:pPr>
            <w:r>
              <w:rPr>
                <w:noProof/>
              </w:rPr>
              <w:t>Wejście w życie nowelizacji ustawy o rybołówstwie oraz ustawy mającej na celu modernizację systemów kontroli, inspekcji i sankcji w dziedzinie rybołówstwa.</w:t>
            </w:r>
          </w:p>
        </w:tc>
        <w:tc>
          <w:tcPr>
            <w:tcW w:w="1276" w:type="dxa"/>
            <w:shd w:val="clear" w:color="auto" w:fill="C6EFCE"/>
            <w:noWrap/>
          </w:tcPr>
          <w:p w14:paraId="51B3A623" w14:textId="18EBF5D0" w:rsidR="006578ED" w:rsidRDefault="00A1618E">
            <w:pPr>
              <w:pStyle w:val="P68B1DB1-Normal13"/>
              <w:spacing w:after="0" w:line="240" w:lineRule="auto"/>
              <w:jc w:val="center"/>
              <w:rPr>
                <w:rFonts w:cs="Times New Roman"/>
                <w:noProof/>
              </w:rPr>
            </w:pPr>
            <w:r>
              <w:rPr>
                <w:noProof/>
              </w:rPr>
              <w:t>Przepis ustaw ustanawiający jego wejście w życie</w:t>
            </w:r>
          </w:p>
        </w:tc>
        <w:tc>
          <w:tcPr>
            <w:tcW w:w="850" w:type="dxa"/>
            <w:shd w:val="clear" w:color="auto" w:fill="C6EFCE"/>
            <w:noWrap/>
          </w:tcPr>
          <w:p w14:paraId="73F97D08" w14:textId="77777777"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noWrap/>
          </w:tcPr>
          <w:p w14:paraId="453E8076"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09D2FFB8"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7EA8E8F1" w14:textId="7A0B6916"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30FD611C" w14:textId="6A25C647" w:rsidR="006578ED" w:rsidRDefault="00A1618E">
            <w:pPr>
              <w:pStyle w:val="P68B1DB1-Normal13"/>
              <w:spacing w:after="0" w:line="240" w:lineRule="auto"/>
              <w:jc w:val="center"/>
              <w:rPr>
                <w:rFonts w:cs="Times New Roman"/>
                <w:noProof/>
              </w:rPr>
            </w:pPr>
            <w:r>
              <w:rPr>
                <w:noProof/>
              </w:rPr>
              <w:t>2026</w:t>
            </w:r>
          </w:p>
        </w:tc>
        <w:tc>
          <w:tcPr>
            <w:tcW w:w="5387" w:type="dxa"/>
            <w:shd w:val="clear" w:color="auto" w:fill="C6EFCE"/>
            <w:noWrap/>
          </w:tcPr>
          <w:p w14:paraId="038336E2" w14:textId="5C34C8A0" w:rsidR="006578ED" w:rsidRDefault="00A1618E">
            <w:pPr>
              <w:pStyle w:val="P68B1DB1-Normal13"/>
              <w:spacing w:after="0" w:line="240" w:lineRule="auto"/>
              <w:rPr>
                <w:rFonts w:cs="Times New Roman"/>
                <w:noProof/>
              </w:rPr>
            </w:pPr>
            <w:r>
              <w:rPr>
                <w:noProof/>
              </w:rPr>
              <w:t>Wejście w życie nowelizacji ustawy o rybołówstwie oraz ustawy mającej na celu modernizację systemów kontroli, inspekcji i sankcji w dziedzinie rybołówstwa zgodnie z opisem środka.</w:t>
            </w:r>
          </w:p>
        </w:tc>
      </w:tr>
      <w:tr w:rsidR="006578ED" w14:paraId="48ABB541" w14:textId="77777777">
        <w:trPr>
          <w:trHeight w:val="309"/>
        </w:trPr>
        <w:tc>
          <w:tcPr>
            <w:tcW w:w="709" w:type="dxa"/>
            <w:shd w:val="clear" w:color="auto" w:fill="C6EFCE"/>
            <w:noWrap/>
          </w:tcPr>
          <w:p w14:paraId="0750B6FA" w14:textId="5FEB1B58" w:rsidR="006578ED" w:rsidRDefault="00A1618E">
            <w:pPr>
              <w:pStyle w:val="P68B1DB1-Normal13"/>
              <w:spacing w:after="0" w:line="240" w:lineRule="auto"/>
              <w:jc w:val="center"/>
              <w:rPr>
                <w:rFonts w:cs="Times New Roman"/>
                <w:noProof/>
              </w:rPr>
            </w:pPr>
            <w:r>
              <w:rPr>
                <w:noProof/>
              </w:rPr>
              <w:t>46</w:t>
            </w:r>
          </w:p>
        </w:tc>
        <w:tc>
          <w:tcPr>
            <w:tcW w:w="851" w:type="dxa"/>
            <w:shd w:val="clear" w:color="auto" w:fill="C6EFCE"/>
            <w:noWrap/>
          </w:tcPr>
          <w:p w14:paraId="52841C32" w14:textId="5984E8B1" w:rsidR="006578ED" w:rsidRDefault="00A1618E">
            <w:pPr>
              <w:pStyle w:val="P68B1DB1-Normal13"/>
              <w:spacing w:after="0"/>
              <w:jc w:val="center"/>
              <w:rPr>
                <w:rFonts w:cs="Times New Roman"/>
                <w:noProof/>
              </w:rPr>
            </w:pPr>
            <w:r>
              <w:rPr>
                <w:noProof/>
              </w:rPr>
              <w:t>C3.I1</w:t>
            </w:r>
          </w:p>
        </w:tc>
        <w:tc>
          <w:tcPr>
            <w:tcW w:w="1080" w:type="dxa"/>
            <w:shd w:val="clear" w:color="auto" w:fill="C6EFCE"/>
            <w:noWrap/>
          </w:tcPr>
          <w:p w14:paraId="3779626A" w14:textId="59F6EE36" w:rsidR="006578ED" w:rsidRDefault="00AF6B91">
            <w:pPr>
              <w:pStyle w:val="P68B1DB1-Normal13"/>
              <w:spacing w:after="0"/>
              <w:jc w:val="center"/>
              <w:rPr>
                <w:rFonts w:cs="Times New Roman"/>
                <w:noProof/>
              </w:rPr>
            </w:pPr>
            <w:r>
              <w:rPr>
                <w:noProof/>
              </w:rPr>
              <w:t>Cel</w:t>
            </w:r>
          </w:p>
        </w:tc>
        <w:tc>
          <w:tcPr>
            <w:tcW w:w="2889" w:type="dxa"/>
            <w:shd w:val="clear" w:color="auto" w:fill="C6EFCE"/>
            <w:noWrap/>
          </w:tcPr>
          <w:p w14:paraId="30D32596" w14:textId="45346CA1" w:rsidR="006578ED" w:rsidRDefault="00A1618E">
            <w:pPr>
              <w:pStyle w:val="P68B1DB1-Normal13"/>
              <w:spacing w:after="0"/>
              <w:jc w:val="both"/>
              <w:rPr>
                <w:rFonts w:cs="Times New Roman"/>
                <w:noProof/>
              </w:rPr>
            </w:pPr>
            <w:r>
              <w:rPr>
                <w:noProof/>
              </w:rPr>
              <w:t>Wejście w życie umowy między Ministerstwem Rolnictwa, Rybołówstwa i Żywności (MAPA) a SEIASA w celu wsparcia poprawy i trwałości nawadnianych obszarów (etap I)</w:t>
            </w:r>
          </w:p>
        </w:tc>
        <w:tc>
          <w:tcPr>
            <w:tcW w:w="1276" w:type="dxa"/>
            <w:shd w:val="clear" w:color="auto" w:fill="C6EFCE"/>
            <w:noWrap/>
          </w:tcPr>
          <w:p w14:paraId="1BA8419B" w14:textId="32E5C9C6" w:rsidR="006578ED" w:rsidRDefault="006578ED">
            <w:pPr>
              <w:spacing w:after="0"/>
              <w:jc w:val="both"/>
              <w:rPr>
                <w:rFonts w:ascii="Times New Roman" w:hAnsi="Times New Roman" w:cs="Times New Roman"/>
                <w:noProof/>
                <w:sz w:val="18"/>
              </w:rPr>
            </w:pPr>
          </w:p>
        </w:tc>
        <w:tc>
          <w:tcPr>
            <w:tcW w:w="850" w:type="dxa"/>
            <w:shd w:val="clear" w:color="auto" w:fill="C6EFCE"/>
            <w:noWrap/>
          </w:tcPr>
          <w:p w14:paraId="00F69AA2" w14:textId="6055BA41" w:rsidR="006578ED" w:rsidRDefault="00A1618E">
            <w:pPr>
              <w:pStyle w:val="P68B1DB1-Normal13"/>
              <w:spacing w:after="0" w:line="240" w:lineRule="auto"/>
              <w:jc w:val="right"/>
              <w:rPr>
                <w:rFonts w:cs="Times New Roman"/>
                <w:noProof/>
              </w:rPr>
            </w:pPr>
            <w:r>
              <w:rPr>
                <w:noProof/>
              </w:rPr>
              <w:t>Mln EUR</w:t>
            </w:r>
          </w:p>
          <w:p w14:paraId="2D568180" w14:textId="68449AFA" w:rsidR="006578ED" w:rsidRDefault="006578ED">
            <w:pPr>
              <w:spacing w:after="0"/>
              <w:jc w:val="right"/>
              <w:rPr>
                <w:rFonts w:ascii="Times New Roman" w:hAnsi="Times New Roman" w:cs="Times New Roman"/>
                <w:noProof/>
                <w:sz w:val="18"/>
              </w:rPr>
            </w:pPr>
          </w:p>
        </w:tc>
        <w:tc>
          <w:tcPr>
            <w:tcW w:w="567" w:type="dxa"/>
            <w:shd w:val="clear" w:color="auto" w:fill="C6EFCE"/>
            <w:noWrap/>
          </w:tcPr>
          <w:p w14:paraId="6E8C024D" w14:textId="0F96F2ED" w:rsidR="006578ED" w:rsidRDefault="00A1618E">
            <w:pPr>
              <w:pStyle w:val="P68B1DB1-Normal13"/>
              <w:spacing w:after="0"/>
              <w:jc w:val="center"/>
              <w:rPr>
                <w:rFonts w:cs="Times New Roman"/>
                <w:noProof/>
              </w:rPr>
            </w:pPr>
            <w:r>
              <w:rPr>
                <w:noProof/>
              </w:rPr>
              <w:t>0</w:t>
            </w:r>
          </w:p>
        </w:tc>
        <w:tc>
          <w:tcPr>
            <w:tcW w:w="709" w:type="dxa"/>
            <w:shd w:val="clear" w:color="auto" w:fill="C6EFCE"/>
            <w:noWrap/>
          </w:tcPr>
          <w:p w14:paraId="5E555695" w14:textId="2CF218CF" w:rsidR="006578ED" w:rsidRDefault="00A1618E">
            <w:pPr>
              <w:pStyle w:val="P68B1DB1-Normal13"/>
              <w:spacing w:after="0"/>
              <w:jc w:val="center"/>
              <w:rPr>
                <w:rFonts w:cs="Times New Roman"/>
                <w:noProof/>
              </w:rPr>
            </w:pPr>
            <w:r>
              <w:rPr>
                <w:noProof/>
              </w:rPr>
              <w:t>260</w:t>
            </w:r>
          </w:p>
        </w:tc>
        <w:tc>
          <w:tcPr>
            <w:tcW w:w="425" w:type="dxa"/>
            <w:shd w:val="clear" w:color="auto" w:fill="C6EFCE"/>
            <w:noWrap/>
          </w:tcPr>
          <w:p w14:paraId="769D54F7" w14:textId="7143E299" w:rsidR="006578ED" w:rsidRDefault="00EC188C">
            <w:pPr>
              <w:pStyle w:val="P68B1DB1-Normal13"/>
              <w:spacing w:after="0"/>
              <w:jc w:val="center"/>
              <w:rPr>
                <w:rFonts w:cs="Times New Roman"/>
                <w:noProof/>
              </w:rPr>
            </w:pPr>
            <w:r>
              <w:rPr>
                <w:noProof/>
              </w:rPr>
              <w:t>KW. 3</w:t>
            </w:r>
          </w:p>
        </w:tc>
        <w:tc>
          <w:tcPr>
            <w:tcW w:w="567" w:type="dxa"/>
            <w:shd w:val="clear" w:color="auto" w:fill="C6EFCE"/>
            <w:noWrap/>
          </w:tcPr>
          <w:p w14:paraId="0F52CF20" w14:textId="69F2473B" w:rsidR="006578ED" w:rsidRDefault="00A1618E">
            <w:pPr>
              <w:pStyle w:val="P68B1DB1-Normal13"/>
              <w:spacing w:after="0"/>
              <w:jc w:val="center"/>
              <w:rPr>
                <w:rFonts w:cs="Times New Roman"/>
                <w:noProof/>
              </w:rPr>
            </w:pPr>
            <w:r>
              <w:rPr>
                <w:noProof/>
              </w:rPr>
              <w:t>2021</w:t>
            </w:r>
          </w:p>
        </w:tc>
        <w:tc>
          <w:tcPr>
            <w:tcW w:w="5387" w:type="dxa"/>
            <w:shd w:val="clear" w:color="auto" w:fill="C6EFCE"/>
            <w:noWrap/>
          </w:tcPr>
          <w:p w14:paraId="79D3D6CC" w14:textId="3E4976E3" w:rsidR="006578ED" w:rsidRDefault="00A1618E">
            <w:pPr>
              <w:pStyle w:val="P68B1DB1-Normal13"/>
              <w:spacing w:after="0"/>
              <w:jc w:val="both"/>
              <w:rPr>
                <w:rFonts w:cs="Times New Roman"/>
                <w:noProof/>
              </w:rPr>
            </w:pPr>
            <w:r>
              <w:rPr>
                <w:noProof/>
              </w:rPr>
              <w:t xml:space="preserve">Umowa o współpracy między Ministerstwem Rolnictwa, Rybołówstwa i Żywności (MAPA) a SEIASA (etap I; Wykonanie budżetu w wysokości 260 000 000 EUR ma na celu wdrożenie warunków planu poprawy efektywności i zrównoważonego charakteru nawadniania realizowanego przy tej inwestycji. Ta norma prawna reguluje, między innymi, publiczny/prywatny system finansowania tych inwestycji modernizacyjnych nawadniających, kryteria wyboru projektów, procedury realizacji planu oraz wykaz działań, które należy przeprowadzić w związku z wykonaniem budżetu w ramach tego środka. </w:t>
            </w:r>
          </w:p>
        </w:tc>
      </w:tr>
      <w:tr w:rsidR="006578ED" w14:paraId="6CBDEA99" w14:textId="77777777">
        <w:trPr>
          <w:trHeight w:val="309"/>
        </w:trPr>
        <w:tc>
          <w:tcPr>
            <w:tcW w:w="709" w:type="dxa"/>
            <w:shd w:val="clear" w:color="auto" w:fill="C6EFCE"/>
            <w:noWrap/>
          </w:tcPr>
          <w:p w14:paraId="53F5FDCC" w14:textId="342215BA" w:rsidR="006578ED" w:rsidRDefault="00A1618E">
            <w:pPr>
              <w:pStyle w:val="P68B1DB1-Normal13"/>
              <w:spacing w:line="240" w:lineRule="auto"/>
              <w:jc w:val="center"/>
              <w:rPr>
                <w:rFonts w:cs="Times New Roman"/>
                <w:noProof/>
              </w:rPr>
            </w:pPr>
            <w:r>
              <w:rPr>
                <w:noProof/>
              </w:rPr>
              <w:t>47</w:t>
            </w:r>
          </w:p>
        </w:tc>
        <w:tc>
          <w:tcPr>
            <w:tcW w:w="851" w:type="dxa"/>
            <w:shd w:val="clear" w:color="auto" w:fill="C6EFCE"/>
            <w:noWrap/>
          </w:tcPr>
          <w:p w14:paraId="64FBB728" w14:textId="1AA8583D" w:rsidR="006578ED" w:rsidRDefault="00A1618E">
            <w:pPr>
              <w:pStyle w:val="P68B1DB1-Normal13"/>
              <w:jc w:val="center"/>
              <w:rPr>
                <w:rFonts w:eastAsia="MS Mincho" w:cs="Times New Roman"/>
                <w:noProof/>
              </w:rPr>
            </w:pPr>
            <w:r>
              <w:rPr>
                <w:noProof/>
              </w:rPr>
              <w:t>C3.I1</w:t>
            </w:r>
          </w:p>
        </w:tc>
        <w:tc>
          <w:tcPr>
            <w:tcW w:w="1080" w:type="dxa"/>
            <w:shd w:val="clear" w:color="auto" w:fill="C6EFCE"/>
            <w:noWrap/>
          </w:tcPr>
          <w:p w14:paraId="27F2A861" w14:textId="7D1B57D0" w:rsidR="006578ED" w:rsidRDefault="00AF6B91">
            <w:pPr>
              <w:pStyle w:val="P68B1DB1-Normal13"/>
              <w:jc w:val="center"/>
              <w:rPr>
                <w:rFonts w:eastAsia="MS Mincho" w:cs="Times New Roman"/>
                <w:noProof/>
              </w:rPr>
            </w:pPr>
            <w:r>
              <w:rPr>
                <w:noProof/>
              </w:rPr>
              <w:t>Cel</w:t>
            </w:r>
          </w:p>
        </w:tc>
        <w:tc>
          <w:tcPr>
            <w:tcW w:w="2889" w:type="dxa"/>
            <w:shd w:val="clear" w:color="auto" w:fill="C6EFCE"/>
            <w:noWrap/>
          </w:tcPr>
          <w:p w14:paraId="1AB834DC" w14:textId="6F005685" w:rsidR="006578ED" w:rsidRDefault="00A1618E">
            <w:pPr>
              <w:pStyle w:val="P68B1DB1-Normal13"/>
              <w:jc w:val="both"/>
              <w:rPr>
                <w:rFonts w:eastAsia="MS Mincho" w:cs="Times New Roman"/>
                <w:noProof/>
              </w:rPr>
            </w:pPr>
            <w:r>
              <w:rPr>
                <w:noProof/>
              </w:rPr>
              <w:t>Wdrożenie porozumienia między Ministerstwem Rolnictwa, Rybołówstwa i Żywności (MAPA) a SEIASA w celu wsparcia poprawy i zrównoważenia obszarów nawadnianych (etap II)</w:t>
            </w:r>
          </w:p>
        </w:tc>
        <w:tc>
          <w:tcPr>
            <w:tcW w:w="1276" w:type="dxa"/>
            <w:shd w:val="clear" w:color="auto" w:fill="C6EFCE"/>
            <w:noWrap/>
          </w:tcPr>
          <w:p w14:paraId="2F9ACA8D" w14:textId="0C857BE8" w:rsidR="006578ED" w:rsidRDefault="006578ED">
            <w:pPr>
              <w:jc w:val="both"/>
              <w:rPr>
                <w:rFonts w:ascii="Times New Roman" w:eastAsia="MS Mincho" w:hAnsi="Times New Roman" w:cs="Times New Roman"/>
                <w:noProof/>
                <w:sz w:val="18"/>
              </w:rPr>
            </w:pPr>
          </w:p>
        </w:tc>
        <w:tc>
          <w:tcPr>
            <w:tcW w:w="850" w:type="dxa"/>
            <w:shd w:val="clear" w:color="auto" w:fill="C6EFCE"/>
            <w:noWrap/>
          </w:tcPr>
          <w:p w14:paraId="4CA86D2C" w14:textId="72FEF1C5" w:rsidR="006578ED" w:rsidRDefault="00A1618E">
            <w:pPr>
              <w:pStyle w:val="P68B1DB1-Normal13"/>
              <w:jc w:val="right"/>
              <w:rPr>
                <w:rFonts w:eastAsia="MS Mincho" w:cs="Times New Roman"/>
                <w:noProof/>
              </w:rPr>
            </w:pPr>
            <w:r>
              <w:rPr>
                <w:noProof/>
              </w:rPr>
              <w:t xml:space="preserve"> Mln EUR</w:t>
            </w:r>
          </w:p>
        </w:tc>
        <w:tc>
          <w:tcPr>
            <w:tcW w:w="567" w:type="dxa"/>
            <w:shd w:val="clear" w:color="auto" w:fill="C6EFCE"/>
            <w:noWrap/>
          </w:tcPr>
          <w:p w14:paraId="28C1EA42" w14:textId="398DF7B8" w:rsidR="006578ED" w:rsidRDefault="00A1618E">
            <w:pPr>
              <w:pStyle w:val="P68B1DB1-Normal13"/>
              <w:jc w:val="center"/>
              <w:rPr>
                <w:rFonts w:eastAsia="MS Mincho" w:cs="Times New Roman"/>
                <w:noProof/>
              </w:rPr>
            </w:pPr>
            <w:r>
              <w:rPr>
                <w:noProof/>
              </w:rPr>
              <w:t>0</w:t>
            </w:r>
          </w:p>
        </w:tc>
        <w:tc>
          <w:tcPr>
            <w:tcW w:w="709" w:type="dxa"/>
            <w:shd w:val="clear" w:color="auto" w:fill="C6EFCE"/>
            <w:noWrap/>
          </w:tcPr>
          <w:p w14:paraId="4A8791FA" w14:textId="16653014" w:rsidR="006578ED" w:rsidRDefault="00A1618E">
            <w:pPr>
              <w:pStyle w:val="P68B1DB1-Normal13"/>
              <w:jc w:val="center"/>
              <w:rPr>
                <w:rFonts w:eastAsia="MS Mincho" w:cs="Times New Roman"/>
                <w:noProof/>
              </w:rPr>
            </w:pPr>
            <w:r>
              <w:rPr>
                <w:noProof/>
              </w:rPr>
              <w:t>303</w:t>
            </w:r>
          </w:p>
        </w:tc>
        <w:tc>
          <w:tcPr>
            <w:tcW w:w="425" w:type="dxa"/>
            <w:shd w:val="clear" w:color="auto" w:fill="C6EFCE"/>
            <w:noWrap/>
          </w:tcPr>
          <w:p w14:paraId="27AD45C1" w14:textId="75F422B1" w:rsidR="006578ED" w:rsidRDefault="00EC188C">
            <w:pPr>
              <w:pStyle w:val="P68B1DB1-Normal13"/>
              <w:jc w:val="center"/>
              <w:rPr>
                <w:rFonts w:eastAsia="MS Mincho" w:cs="Times New Roman"/>
                <w:noProof/>
              </w:rPr>
            </w:pPr>
            <w:r>
              <w:rPr>
                <w:noProof/>
              </w:rPr>
              <w:t>KW. 4</w:t>
            </w:r>
          </w:p>
        </w:tc>
        <w:tc>
          <w:tcPr>
            <w:tcW w:w="567" w:type="dxa"/>
            <w:shd w:val="clear" w:color="auto" w:fill="C6EFCE"/>
            <w:noWrap/>
          </w:tcPr>
          <w:p w14:paraId="401541CC" w14:textId="5EEC3C07" w:rsidR="006578ED" w:rsidRDefault="00A1618E">
            <w:pPr>
              <w:pStyle w:val="P68B1DB1-Normal13"/>
              <w:jc w:val="center"/>
              <w:rPr>
                <w:rFonts w:eastAsia="MS Mincho" w:cs="Times New Roman"/>
                <w:noProof/>
              </w:rPr>
            </w:pPr>
            <w:r>
              <w:rPr>
                <w:noProof/>
              </w:rPr>
              <w:t>2022</w:t>
            </w:r>
          </w:p>
        </w:tc>
        <w:tc>
          <w:tcPr>
            <w:tcW w:w="5387" w:type="dxa"/>
            <w:shd w:val="clear" w:color="auto" w:fill="C6EFCE"/>
            <w:noWrap/>
          </w:tcPr>
          <w:p w14:paraId="6AB7ED07" w14:textId="35AD1820" w:rsidR="006578ED" w:rsidRDefault="00A1618E">
            <w:pPr>
              <w:pStyle w:val="P68B1DB1-Normal13"/>
              <w:rPr>
                <w:rFonts w:eastAsia="MS Mincho" w:cs="Times New Roman"/>
                <w:noProof/>
              </w:rPr>
            </w:pPr>
            <w:r>
              <w:rPr>
                <w:noProof/>
              </w:rPr>
              <w:t>Umowa o współpracy między Ministerstwem Rolnictwa, Rybołówstwa i Żywności (MAPA) a SEIASA (etap II; Wykonanie budżetu w wysokości 303 000 000 EUR) wdraża warunki planu na rzecz poprawy efektywności i zrównoważonego charakteru nawadniania realizowanego w ramach tego projektu inwestycyjnego. Ta norma prawna reguluje, między innymi, publiczny/prywatny system finansowania tych inwestycji modernizacyjnych nawadniających, kryteria wyboru projektów, procedury realizacji planu oraz wykaz działań, które należy przeprowadzić w związku z wykonaniem budżetu w ramach tego środka.</w:t>
            </w:r>
          </w:p>
        </w:tc>
      </w:tr>
      <w:tr w:rsidR="006578ED" w14:paraId="7577C33F" w14:textId="77777777">
        <w:trPr>
          <w:trHeight w:val="309"/>
        </w:trPr>
        <w:tc>
          <w:tcPr>
            <w:tcW w:w="709" w:type="dxa"/>
            <w:shd w:val="clear" w:color="auto" w:fill="C6EFCE"/>
            <w:noWrap/>
          </w:tcPr>
          <w:p w14:paraId="36D2D02A" w14:textId="68F8EBAD" w:rsidR="006578ED" w:rsidRDefault="00A1618E">
            <w:pPr>
              <w:pStyle w:val="P68B1DB1-Normal13"/>
              <w:spacing w:line="240" w:lineRule="auto"/>
              <w:jc w:val="center"/>
              <w:rPr>
                <w:rFonts w:cs="Times New Roman"/>
                <w:noProof/>
              </w:rPr>
            </w:pPr>
            <w:r>
              <w:rPr>
                <w:noProof/>
              </w:rPr>
              <w:t>424</w:t>
            </w:r>
          </w:p>
        </w:tc>
        <w:tc>
          <w:tcPr>
            <w:tcW w:w="851" w:type="dxa"/>
            <w:shd w:val="clear" w:color="auto" w:fill="C6EFCE"/>
            <w:noWrap/>
          </w:tcPr>
          <w:p w14:paraId="5088AA62" w14:textId="30762D2E" w:rsidR="006578ED" w:rsidRDefault="00A1618E">
            <w:pPr>
              <w:pStyle w:val="P68B1DB1-Normal13"/>
              <w:jc w:val="center"/>
              <w:rPr>
                <w:rFonts w:cs="Times New Roman"/>
                <w:noProof/>
              </w:rPr>
            </w:pPr>
            <w:r>
              <w:rPr>
                <w:noProof/>
              </w:rPr>
              <w:t>C3.I1</w:t>
            </w:r>
          </w:p>
        </w:tc>
        <w:tc>
          <w:tcPr>
            <w:tcW w:w="1080" w:type="dxa"/>
            <w:shd w:val="clear" w:color="auto" w:fill="C6EFCE"/>
            <w:noWrap/>
          </w:tcPr>
          <w:p w14:paraId="25FD4440" w14:textId="4D6989FF" w:rsidR="006578ED" w:rsidRDefault="00AF6B91">
            <w:pPr>
              <w:pStyle w:val="P68B1DB1-Normal13"/>
              <w:jc w:val="center"/>
              <w:rPr>
                <w:rFonts w:cs="Times New Roman"/>
                <w:noProof/>
              </w:rPr>
            </w:pPr>
            <w:r>
              <w:rPr>
                <w:noProof/>
              </w:rPr>
              <w:t>Cel</w:t>
            </w:r>
          </w:p>
        </w:tc>
        <w:tc>
          <w:tcPr>
            <w:tcW w:w="2889" w:type="dxa"/>
            <w:shd w:val="clear" w:color="auto" w:fill="C6EFCE"/>
            <w:noWrap/>
          </w:tcPr>
          <w:p w14:paraId="00300C24" w14:textId="5B3EBDFE" w:rsidR="006578ED" w:rsidRDefault="00A1618E">
            <w:pPr>
              <w:pStyle w:val="P68B1DB1-Normal13"/>
              <w:jc w:val="both"/>
              <w:rPr>
                <w:rFonts w:cs="Times New Roman"/>
                <w:noProof/>
              </w:rPr>
            </w:pPr>
            <w:r>
              <w:rPr>
                <w:noProof/>
              </w:rPr>
              <w:t>Wdrożenie addendum do umowy między Ministerstwem Rolnictwa, Rybołówstwa i Żywności (MAPA) a SEIASA w celu wspierania poprawy i zrównoważonego charakteru obszarów nawadnianych (etap II)</w:t>
            </w:r>
          </w:p>
        </w:tc>
        <w:tc>
          <w:tcPr>
            <w:tcW w:w="1276" w:type="dxa"/>
            <w:shd w:val="clear" w:color="auto" w:fill="C6EFCE"/>
            <w:noWrap/>
          </w:tcPr>
          <w:p w14:paraId="4E4E8018" w14:textId="77777777" w:rsidR="006578ED" w:rsidRDefault="006578ED">
            <w:pPr>
              <w:jc w:val="both"/>
              <w:rPr>
                <w:rFonts w:ascii="Times New Roman" w:eastAsia="MS Mincho" w:hAnsi="Times New Roman" w:cs="Times New Roman"/>
                <w:noProof/>
                <w:sz w:val="18"/>
              </w:rPr>
            </w:pPr>
          </w:p>
        </w:tc>
        <w:tc>
          <w:tcPr>
            <w:tcW w:w="850" w:type="dxa"/>
            <w:shd w:val="clear" w:color="auto" w:fill="C6EFCE"/>
            <w:noWrap/>
          </w:tcPr>
          <w:p w14:paraId="3494E958" w14:textId="2FCCCC51" w:rsidR="006578ED" w:rsidRDefault="00A1618E">
            <w:pPr>
              <w:pStyle w:val="P68B1DB1-Normal13"/>
              <w:jc w:val="right"/>
              <w:rPr>
                <w:rFonts w:cs="Times New Roman"/>
                <w:noProof/>
              </w:rPr>
            </w:pPr>
            <w:r>
              <w:rPr>
                <w:noProof/>
              </w:rPr>
              <w:t xml:space="preserve"> Mln EUR</w:t>
            </w:r>
          </w:p>
        </w:tc>
        <w:tc>
          <w:tcPr>
            <w:tcW w:w="567" w:type="dxa"/>
            <w:shd w:val="clear" w:color="auto" w:fill="C6EFCE"/>
            <w:noWrap/>
          </w:tcPr>
          <w:p w14:paraId="4FC8A7EA" w14:textId="5EC70449" w:rsidR="006578ED" w:rsidRDefault="00A1618E">
            <w:pPr>
              <w:pStyle w:val="P68B1DB1-Normal13"/>
              <w:jc w:val="center"/>
              <w:rPr>
                <w:rFonts w:cs="Times New Roman"/>
                <w:noProof/>
              </w:rPr>
            </w:pPr>
            <w:r>
              <w:rPr>
                <w:noProof/>
              </w:rPr>
              <w:t>303</w:t>
            </w:r>
          </w:p>
        </w:tc>
        <w:tc>
          <w:tcPr>
            <w:tcW w:w="709" w:type="dxa"/>
            <w:shd w:val="clear" w:color="auto" w:fill="C6EFCE"/>
            <w:noWrap/>
          </w:tcPr>
          <w:p w14:paraId="5FDE98C4" w14:textId="13FC3B97" w:rsidR="006578ED" w:rsidRDefault="00A1618E">
            <w:pPr>
              <w:pStyle w:val="P68B1DB1-Normal13"/>
              <w:jc w:val="center"/>
              <w:rPr>
                <w:rFonts w:cs="Times New Roman"/>
                <w:noProof/>
              </w:rPr>
            </w:pPr>
            <w:r>
              <w:rPr>
                <w:noProof/>
              </w:rPr>
              <w:t>453</w:t>
            </w:r>
          </w:p>
        </w:tc>
        <w:tc>
          <w:tcPr>
            <w:tcW w:w="425" w:type="dxa"/>
            <w:shd w:val="clear" w:color="auto" w:fill="C6EFCE"/>
            <w:noWrap/>
          </w:tcPr>
          <w:p w14:paraId="79979275" w14:textId="0E6AA3B7" w:rsidR="006578ED" w:rsidRDefault="00EC188C">
            <w:pPr>
              <w:pStyle w:val="P68B1DB1-Normal13"/>
              <w:jc w:val="center"/>
              <w:rPr>
                <w:rFonts w:cs="Times New Roman"/>
                <w:noProof/>
              </w:rPr>
            </w:pPr>
            <w:r>
              <w:rPr>
                <w:noProof/>
              </w:rPr>
              <w:t>KW. 4</w:t>
            </w:r>
          </w:p>
        </w:tc>
        <w:tc>
          <w:tcPr>
            <w:tcW w:w="567" w:type="dxa"/>
            <w:shd w:val="clear" w:color="auto" w:fill="C6EFCE"/>
            <w:noWrap/>
          </w:tcPr>
          <w:p w14:paraId="46DA8AFD" w14:textId="23622128" w:rsidR="006578ED" w:rsidRDefault="00A1618E">
            <w:pPr>
              <w:pStyle w:val="P68B1DB1-Normal13"/>
              <w:jc w:val="center"/>
              <w:rPr>
                <w:rFonts w:cs="Times New Roman"/>
                <w:noProof/>
              </w:rPr>
            </w:pPr>
            <w:r>
              <w:rPr>
                <w:noProof/>
              </w:rPr>
              <w:t>2023</w:t>
            </w:r>
          </w:p>
        </w:tc>
        <w:tc>
          <w:tcPr>
            <w:tcW w:w="5387" w:type="dxa"/>
            <w:shd w:val="clear" w:color="auto" w:fill="C6EFCE"/>
            <w:noWrap/>
          </w:tcPr>
          <w:p w14:paraId="4912E8BF" w14:textId="606D0F0F" w:rsidR="006578ED" w:rsidRDefault="00A1618E">
            <w:pPr>
              <w:pStyle w:val="P68B1DB1-Normal13"/>
              <w:rPr>
                <w:rFonts w:cs="Times New Roman"/>
                <w:noProof/>
              </w:rPr>
            </w:pPr>
            <w:r>
              <w:rPr>
                <w:noProof/>
              </w:rPr>
              <w:t>Addendum do umowy o współpracy między Ministerstwem Rolnictwa, Rybołówstwa i Żywności (MAPA) a SEIASA (rozszerzenie fazy II; Wykonanie budżetu w wysokości 150 000 000 EUR) wdraża warunki planu na rzecz poprawy efektywności i zrównoważonego charakteru nawadniania realizowanego w ramach tego projektu inwestycyjnego. Ta norma prawna reguluje, między innymi, publiczny/prywatny system finansowania tych inwestycji modernizacyjnych nawadniających, kryteria wyboru projektów, procedury realizacji planu oraz wykaz działań, które należy przeprowadzić w związku z wykonaniem budżetu w ramach tego środka</w:t>
            </w:r>
            <w:r w:rsidRPr="00A1618E">
              <w:rPr>
                <w:noProof/>
                <w:lang w:val="pl-PL"/>
              </w:rPr>
              <w:t>. (</w:t>
            </w:r>
            <w:r>
              <w:rPr>
                <w:noProof/>
              </w:rPr>
              <w:t>Podstawa: 30 czerwca 20</w:t>
            </w:r>
            <w:r w:rsidRPr="00A1618E">
              <w:rPr>
                <w:noProof/>
                <w:lang w:val="pl-PL"/>
              </w:rPr>
              <w:t>22 r.</w:t>
            </w:r>
            <w:r>
              <w:rPr>
                <w:noProof/>
              </w:rPr>
              <w:t xml:space="preserve"> w oparciu o </w:t>
            </w:r>
            <w:r w:rsidRPr="00A1618E">
              <w:rPr>
                <w:noProof/>
                <w:lang w:val="pl-PL"/>
              </w:rPr>
              <w:t>cel 4</w:t>
            </w:r>
            <w:r>
              <w:rPr>
                <w:noProof/>
              </w:rPr>
              <w:t>7)</w:t>
            </w:r>
          </w:p>
        </w:tc>
      </w:tr>
      <w:tr w:rsidR="006578ED" w14:paraId="0B6296AC" w14:textId="77777777">
        <w:trPr>
          <w:trHeight w:val="309"/>
        </w:trPr>
        <w:tc>
          <w:tcPr>
            <w:tcW w:w="709" w:type="dxa"/>
            <w:shd w:val="clear" w:color="auto" w:fill="C6EFCE"/>
            <w:noWrap/>
          </w:tcPr>
          <w:p w14:paraId="28E52AA1" w14:textId="354ADA0D" w:rsidR="006578ED" w:rsidRDefault="00A1618E">
            <w:pPr>
              <w:pStyle w:val="P68B1DB1-Normal13"/>
              <w:spacing w:after="0" w:line="240" w:lineRule="auto"/>
              <w:jc w:val="center"/>
              <w:rPr>
                <w:rFonts w:eastAsia="MS Mincho" w:cs="Times New Roman"/>
                <w:noProof/>
              </w:rPr>
            </w:pPr>
            <w:r>
              <w:rPr>
                <w:noProof/>
              </w:rPr>
              <w:t>48</w:t>
            </w:r>
          </w:p>
        </w:tc>
        <w:tc>
          <w:tcPr>
            <w:tcW w:w="851" w:type="dxa"/>
            <w:shd w:val="clear" w:color="auto" w:fill="C6EFCE"/>
            <w:noWrap/>
          </w:tcPr>
          <w:p w14:paraId="023805EF" w14:textId="77777777" w:rsidR="006578ED" w:rsidRDefault="00A1618E">
            <w:pPr>
              <w:pStyle w:val="P68B1DB1-Normal13"/>
              <w:spacing w:after="0" w:line="240" w:lineRule="auto"/>
              <w:jc w:val="center"/>
              <w:rPr>
                <w:rFonts w:eastAsia="MS Mincho" w:cs="Times New Roman"/>
                <w:noProof/>
              </w:rPr>
            </w:pPr>
            <w:r>
              <w:rPr>
                <w:noProof/>
              </w:rPr>
              <w:t>C3.I1</w:t>
            </w:r>
          </w:p>
        </w:tc>
        <w:tc>
          <w:tcPr>
            <w:tcW w:w="1080" w:type="dxa"/>
            <w:shd w:val="clear" w:color="auto" w:fill="C6EFCE"/>
            <w:noWrap/>
          </w:tcPr>
          <w:p w14:paraId="55F394AC" w14:textId="5AF72BDD" w:rsidR="006578ED" w:rsidRDefault="00AF6B91">
            <w:pPr>
              <w:pStyle w:val="P68B1DB1-Normal13"/>
              <w:spacing w:after="0" w:line="240" w:lineRule="auto"/>
              <w:jc w:val="center"/>
              <w:rPr>
                <w:rFonts w:eastAsia="MS Mincho" w:cs="Times New Roman"/>
                <w:noProof/>
              </w:rPr>
            </w:pPr>
            <w:r>
              <w:rPr>
                <w:noProof/>
              </w:rPr>
              <w:t>Cel</w:t>
            </w:r>
          </w:p>
        </w:tc>
        <w:tc>
          <w:tcPr>
            <w:tcW w:w="2889" w:type="dxa"/>
            <w:shd w:val="clear" w:color="auto" w:fill="C6EFCE"/>
            <w:noWrap/>
          </w:tcPr>
          <w:p w14:paraId="37A0B2C3" w14:textId="5976E68F" w:rsidR="006578ED" w:rsidRDefault="00A1618E">
            <w:pPr>
              <w:pStyle w:val="P68B1DB1-Normal13"/>
              <w:spacing w:after="0" w:line="240" w:lineRule="auto"/>
              <w:rPr>
                <w:rFonts w:eastAsia="MS Mincho" w:cs="Times New Roman"/>
                <w:noProof/>
              </w:rPr>
            </w:pPr>
            <w:r>
              <w:rPr>
                <w:noProof/>
              </w:rPr>
              <w:t xml:space="preserve">Modernizacja zmodernizowanych systemów nawadniania pod względem oszczędności wody i efektywności energetycznej </w:t>
            </w:r>
          </w:p>
        </w:tc>
        <w:tc>
          <w:tcPr>
            <w:tcW w:w="1276" w:type="dxa"/>
            <w:shd w:val="clear" w:color="auto" w:fill="C6EFCE"/>
            <w:noWrap/>
          </w:tcPr>
          <w:p w14:paraId="1F72F646"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69A22CFF" w14:textId="5A648E9A" w:rsidR="006578ED" w:rsidRDefault="00A1618E">
            <w:pPr>
              <w:pStyle w:val="P68B1DB1-Normal13"/>
              <w:spacing w:after="0" w:line="240" w:lineRule="auto"/>
              <w:jc w:val="right"/>
              <w:rPr>
                <w:rFonts w:eastAsia="MS Mincho" w:cs="Times New Roman"/>
                <w:noProof/>
              </w:rPr>
            </w:pPr>
            <w:r>
              <w:rPr>
                <w:noProof/>
              </w:rPr>
              <w:t>Liczba (hektary)</w:t>
            </w:r>
          </w:p>
        </w:tc>
        <w:tc>
          <w:tcPr>
            <w:tcW w:w="567" w:type="dxa"/>
            <w:shd w:val="clear" w:color="auto" w:fill="C6EFCE"/>
            <w:noWrap/>
          </w:tcPr>
          <w:p w14:paraId="5D56E414" w14:textId="77777777"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65BA75C7" w14:textId="1A054656" w:rsidR="006578ED" w:rsidRDefault="00A1618E">
            <w:pPr>
              <w:pStyle w:val="P68B1DB1-Normal13"/>
              <w:spacing w:after="0" w:line="240" w:lineRule="auto"/>
              <w:jc w:val="right"/>
              <w:rPr>
                <w:rFonts w:eastAsia="MS Mincho" w:cs="Times New Roman"/>
                <w:noProof/>
              </w:rPr>
            </w:pPr>
            <w:r>
              <w:rPr>
                <w:noProof/>
              </w:rPr>
              <w:t>125 000</w:t>
            </w:r>
          </w:p>
        </w:tc>
        <w:tc>
          <w:tcPr>
            <w:tcW w:w="425" w:type="dxa"/>
            <w:shd w:val="clear" w:color="auto" w:fill="C6EFCE"/>
            <w:noWrap/>
          </w:tcPr>
          <w:p w14:paraId="7757B762" w14:textId="15C06E91"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5177A41D" w14:textId="07F9D794" w:rsidR="006578ED" w:rsidRDefault="00A1618E">
            <w:pPr>
              <w:pStyle w:val="P68B1DB1-Normal13"/>
              <w:spacing w:after="0" w:line="240" w:lineRule="auto"/>
              <w:jc w:val="center"/>
              <w:rPr>
                <w:rFonts w:eastAsia="MS Mincho" w:cs="Times New Roman"/>
                <w:noProof/>
              </w:rPr>
            </w:pPr>
            <w:r>
              <w:rPr>
                <w:noProof/>
              </w:rPr>
              <w:t>2026</w:t>
            </w:r>
          </w:p>
        </w:tc>
        <w:tc>
          <w:tcPr>
            <w:tcW w:w="5387" w:type="dxa"/>
            <w:shd w:val="clear" w:color="auto" w:fill="C6EFCE"/>
            <w:noWrap/>
          </w:tcPr>
          <w:p w14:paraId="3EA8274B" w14:textId="69F566BB" w:rsidR="006578ED" w:rsidRDefault="00A1618E">
            <w:pPr>
              <w:pStyle w:val="P68B1DB1-Normal13"/>
              <w:spacing w:after="0" w:line="240" w:lineRule="auto"/>
              <w:rPr>
                <w:rFonts w:eastAsia="MS Mincho" w:cs="Times New Roman"/>
                <w:noProof/>
              </w:rPr>
            </w:pPr>
            <w:r>
              <w:rPr>
                <w:noProof/>
              </w:rPr>
              <w:t>Co najmniej 125000 hektarów zmodernizowanych systemów nawadniania pod względem oszczędności wody i efektywności energetycznej. Powierzchnia zmodernizowana wraz z inwestycjami w ramach planu odbudowy i zwiększania odporności, a także typologia prowadzonych działań znajdują odzwierciedlenie w umowach o współpracy podpisanych przez SEIASA z dotkniętymi I Użytkownikami Gospodarki Wodnej. Umowy te określają konkretne działania, które należy podjąć w celu zagwarantowania oszczędności wody i efektywności energetycznej w zmodernizowanych systemach nawadniania. Niektóre z działań, które należy przeprowadzić w ramach tego planu, to: zastąpienie korzystania z wód podziemnych lub powierzchniowych wykorzystaniem niekonwencjonalnych zasobów wodnych (odzyskanych lub odsalonych zgodnie z wytycznymi technicznymi dotyczącymi zasady „nie czyń poważnych szkód” (2021/C58/01) (ii) wdrożenie systemów regulacji wód, które umożliwiają nawadnianie grawitacyjne (z wykorzystaniem różnicy wysokości, tak aby transport wody nie wymagał wykorzystania energii), (iii) zastąpienie energii ze źródeł kopalnych niezbędnej do pompowania odnawialnymi źródłami energii (głównie energią fotowoltaiczną), (iv) wymiana rowów na wolnym powietrzu wykonanych z betonu lub ziemi na zakopane rury, (v) budowa stacji filtracyjnych i pompujących oraz (vi) instalacja liczników i systemów zdalnego zarządzania. Do II kwartału 20</w:t>
            </w:r>
            <w:r w:rsidRPr="00A1618E">
              <w:rPr>
                <w:noProof/>
                <w:lang w:val="pl-PL"/>
              </w:rPr>
              <w:t>26 r.</w:t>
            </w:r>
            <w:r>
              <w:rPr>
                <w:noProof/>
              </w:rPr>
              <w:t xml:space="preserve"> zmodernizowano co najmniej 125000 hektarów systemów nawadniania pod względem oszczędności wody i efektywności energetycznej, co można zweryfikować w ramach porozumień SIEASA-Wspólnoty Nawadniające.</w:t>
            </w:r>
          </w:p>
        </w:tc>
      </w:tr>
      <w:tr w:rsidR="006578ED" w14:paraId="16112381" w14:textId="77777777">
        <w:trPr>
          <w:trHeight w:val="309"/>
        </w:trPr>
        <w:tc>
          <w:tcPr>
            <w:tcW w:w="709" w:type="dxa"/>
            <w:shd w:val="clear" w:color="auto" w:fill="C6EFCE"/>
            <w:noWrap/>
          </w:tcPr>
          <w:p w14:paraId="20228FB5" w14:textId="05046FB4" w:rsidR="006578ED" w:rsidRDefault="00A1618E">
            <w:pPr>
              <w:pStyle w:val="P68B1DB1-Normal13"/>
              <w:spacing w:after="0" w:line="240" w:lineRule="auto"/>
              <w:jc w:val="center"/>
              <w:rPr>
                <w:rFonts w:cs="Times New Roman"/>
                <w:noProof/>
              </w:rPr>
            </w:pPr>
            <w:r>
              <w:rPr>
                <w:noProof/>
              </w:rPr>
              <w:t>421</w:t>
            </w:r>
          </w:p>
        </w:tc>
        <w:tc>
          <w:tcPr>
            <w:tcW w:w="851" w:type="dxa"/>
            <w:shd w:val="clear" w:color="auto" w:fill="C6EFCE"/>
            <w:noWrap/>
          </w:tcPr>
          <w:p w14:paraId="68EFC70D" w14:textId="163DFC93" w:rsidR="006578ED" w:rsidRDefault="00A1618E">
            <w:pPr>
              <w:pStyle w:val="P68B1DB1-Normal13"/>
              <w:spacing w:after="0" w:line="240" w:lineRule="auto"/>
              <w:jc w:val="center"/>
              <w:rPr>
                <w:rFonts w:cs="Times New Roman"/>
                <w:noProof/>
              </w:rPr>
            </w:pPr>
            <w:r>
              <w:rPr>
                <w:noProof/>
              </w:rPr>
              <w:t>C3.I2</w:t>
            </w:r>
          </w:p>
        </w:tc>
        <w:tc>
          <w:tcPr>
            <w:tcW w:w="1080" w:type="dxa"/>
            <w:shd w:val="clear" w:color="auto" w:fill="C6EFCE"/>
            <w:noWrap/>
          </w:tcPr>
          <w:p w14:paraId="51B435AF" w14:textId="081EDB85" w:rsidR="006578ED" w:rsidRDefault="00AF6B91">
            <w:pPr>
              <w:pStyle w:val="P68B1DB1-Normal13"/>
              <w:spacing w:after="0" w:line="240" w:lineRule="auto"/>
              <w:jc w:val="center"/>
              <w:rPr>
                <w:rFonts w:cs="Times New Roman"/>
                <w:noProof/>
              </w:rPr>
            </w:pPr>
            <w:r>
              <w:rPr>
                <w:noProof/>
              </w:rPr>
              <w:t>Cel</w:t>
            </w:r>
          </w:p>
        </w:tc>
        <w:tc>
          <w:tcPr>
            <w:tcW w:w="2889" w:type="dxa"/>
            <w:shd w:val="clear" w:color="auto" w:fill="C6EFCE"/>
            <w:noWrap/>
          </w:tcPr>
          <w:p w14:paraId="097C4D00" w14:textId="63293978" w:rsidR="006578ED" w:rsidRDefault="00A1618E">
            <w:pPr>
              <w:pStyle w:val="P68B1DB1-Normal13"/>
              <w:spacing w:after="0" w:line="240" w:lineRule="auto"/>
              <w:rPr>
                <w:rFonts w:cs="Times New Roman"/>
                <w:noProof/>
              </w:rPr>
            </w:pPr>
            <w:r>
              <w:rPr>
                <w:noProof/>
              </w:rPr>
              <w:t>Zakończenie budowy laboratorium o poziomie bezpieczeństwa biologicznego 3 oraz Krajowego Laboratorium Zdrowia Roślin.</w:t>
            </w:r>
          </w:p>
        </w:tc>
        <w:tc>
          <w:tcPr>
            <w:tcW w:w="1276" w:type="dxa"/>
            <w:shd w:val="clear" w:color="auto" w:fill="C6EFCE"/>
            <w:noWrap/>
          </w:tcPr>
          <w:p w14:paraId="00A2A4FD"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7AA022EC" w14:textId="7024E203" w:rsidR="006578ED" w:rsidRDefault="00A1618E">
            <w:pPr>
              <w:pStyle w:val="P68B1DB1-Normal13"/>
              <w:spacing w:after="0" w:line="240" w:lineRule="auto"/>
              <w:jc w:val="right"/>
              <w:rPr>
                <w:rFonts w:cs="Times New Roman"/>
                <w:noProof/>
              </w:rPr>
            </w:pPr>
            <w:r>
              <w:rPr>
                <w:noProof/>
              </w:rPr>
              <w:t>Liczba</w:t>
            </w:r>
          </w:p>
        </w:tc>
        <w:tc>
          <w:tcPr>
            <w:tcW w:w="567" w:type="dxa"/>
            <w:shd w:val="clear" w:color="auto" w:fill="C6EFCE"/>
            <w:noWrap/>
          </w:tcPr>
          <w:p w14:paraId="6C68AD98"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06D8A153" w14:textId="51FF80B4" w:rsidR="006578ED" w:rsidRDefault="00A1618E">
            <w:pPr>
              <w:pStyle w:val="P68B1DB1-Normal13"/>
              <w:spacing w:after="0" w:line="240" w:lineRule="auto"/>
              <w:jc w:val="right"/>
              <w:rPr>
                <w:rFonts w:cs="Times New Roman"/>
                <w:noProof/>
              </w:rPr>
            </w:pPr>
            <w:r>
              <w:rPr>
                <w:noProof/>
              </w:rPr>
              <w:t>2</w:t>
            </w:r>
          </w:p>
        </w:tc>
        <w:tc>
          <w:tcPr>
            <w:tcW w:w="425" w:type="dxa"/>
            <w:shd w:val="clear" w:color="auto" w:fill="C6EFCE"/>
            <w:noWrap/>
          </w:tcPr>
          <w:p w14:paraId="3FB19F6E" w14:textId="4D513A04" w:rsidR="006578ED" w:rsidRDefault="00EC188C">
            <w:pPr>
              <w:pStyle w:val="P68B1DB1-Normal13"/>
              <w:spacing w:after="0" w:line="240" w:lineRule="auto"/>
              <w:jc w:val="center"/>
              <w:rPr>
                <w:rFonts w:cs="Times New Roman"/>
                <w:noProof/>
              </w:rPr>
            </w:pPr>
            <w:r>
              <w:rPr>
                <w:noProof/>
              </w:rPr>
              <w:t>KW. 1</w:t>
            </w:r>
          </w:p>
        </w:tc>
        <w:tc>
          <w:tcPr>
            <w:tcW w:w="567" w:type="dxa"/>
            <w:shd w:val="clear" w:color="auto" w:fill="C6EFCE"/>
            <w:noWrap/>
          </w:tcPr>
          <w:p w14:paraId="1C3E143B" w14:textId="668D3DFF" w:rsidR="006578ED" w:rsidRDefault="00A1618E">
            <w:pPr>
              <w:pStyle w:val="P68B1DB1-Normal13"/>
              <w:spacing w:after="0" w:line="240" w:lineRule="auto"/>
              <w:jc w:val="center"/>
              <w:rPr>
                <w:rFonts w:cs="Times New Roman"/>
                <w:noProof/>
              </w:rPr>
            </w:pPr>
            <w:r>
              <w:rPr>
                <w:noProof/>
              </w:rPr>
              <w:t>2025</w:t>
            </w:r>
          </w:p>
        </w:tc>
        <w:tc>
          <w:tcPr>
            <w:tcW w:w="5387" w:type="dxa"/>
            <w:shd w:val="clear" w:color="auto" w:fill="C6EFCE"/>
            <w:noWrap/>
          </w:tcPr>
          <w:p w14:paraId="149AEA09" w14:textId="3D6EAA8C" w:rsidR="006578ED" w:rsidRDefault="00A1618E">
            <w:pPr>
              <w:pStyle w:val="P68B1DB1-Normal13"/>
              <w:spacing w:after="0" w:line="240" w:lineRule="auto"/>
              <w:rPr>
                <w:rFonts w:cs="Times New Roman"/>
                <w:noProof/>
              </w:rPr>
            </w:pPr>
            <w:r>
              <w:rPr>
                <w:noProof/>
              </w:rPr>
              <w:t>Zakończenie budowy Laboratorium Bezpieczeństwa Biologicznego poziomu 3 (LCSA- Santa Fe) oraz Krajowego Laboratorium Zdrowia Roślin w Lugo.</w:t>
            </w:r>
          </w:p>
        </w:tc>
      </w:tr>
      <w:tr w:rsidR="006578ED" w14:paraId="3C0A710D" w14:textId="77777777">
        <w:trPr>
          <w:trHeight w:val="309"/>
        </w:trPr>
        <w:tc>
          <w:tcPr>
            <w:tcW w:w="709" w:type="dxa"/>
            <w:shd w:val="clear" w:color="auto" w:fill="C6EFCE"/>
            <w:noWrap/>
          </w:tcPr>
          <w:p w14:paraId="12424CF8" w14:textId="54319176" w:rsidR="006578ED" w:rsidRDefault="00A1618E">
            <w:pPr>
              <w:pStyle w:val="P68B1DB1-Normal13"/>
              <w:spacing w:after="0" w:line="240" w:lineRule="auto"/>
              <w:jc w:val="center"/>
              <w:rPr>
                <w:rFonts w:cs="Times New Roman"/>
                <w:noProof/>
              </w:rPr>
            </w:pPr>
            <w:r>
              <w:rPr>
                <w:noProof/>
              </w:rPr>
              <w:t>49</w:t>
            </w:r>
          </w:p>
        </w:tc>
        <w:tc>
          <w:tcPr>
            <w:tcW w:w="851" w:type="dxa"/>
            <w:shd w:val="clear" w:color="auto" w:fill="C6EFCE"/>
            <w:noWrap/>
          </w:tcPr>
          <w:p w14:paraId="148F71E4" w14:textId="5E05A255" w:rsidR="006578ED" w:rsidRDefault="00A1618E">
            <w:pPr>
              <w:pStyle w:val="P68B1DB1-Normal13"/>
              <w:spacing w:after="0" w:line="240" w:lineRule="auto"/>
              <w:jc w:val="center"/>
              <w:rPr>
                <w:rFonts w:cs="Times New Roman"/>
                <w:noProof/>
              </w:rPr>
            </w:pPr>
            <w:r>
              <w:rPr>
                <w:noProof/>
              </w:rPr>
              <w:t>C3.I2</w:t>
            </w:r>
          </w:p>
        </w:tc>
        <w:tc>
          <w:tcPr>
            <w:tcW w:w="1080" w:type="dxa"/>
            <w:shd w:val="clear" w:color="auto" w:fill="C6EFCE"/>
            <w:noWrap/>
          </w:tcPr>
          <w:p w14:paraId="5E1104F7" w14:textId="2737A3A6" w:rsidR="006578ED" w:rsidRDefault="00AF6B91">
            <w:pPr>
              <w:pStyle w:val="P68B1DB1-Normal13"/>
              <w:spacing w:after="0" w:line="240" w:lineRule="auto"/>
              <w:jc w:val="center"/>
              <w:rPr>
                <w:rFonts w:cs="Times New Roman"/>
                <w:noProof/>
              </w:rPr>
            </w:pPr>
            <w:r>
              <w:rPr>
                <w:noProof/>
              </w:rPr>
              <w:t>Cel</w:t>
            </w:r>
          </w:p>
        </w:tc>
        <w:tc>
          <w:tcPr>
            <w:tcW w:w="2889" w:type="dxa"/>
            <w:shd w:val="clear" w:color="auto" w:fill="C6EFCE"/>
            <w:noWrap/>
          </w:tcPr>
          <w:p w14:paraId="4DF864B7" w14:textId="5256CFB7" w:rsidR="006578ED" w:rsidRDefault="00A1618E">
            <w:pPr>
              <w:pStyle w:val="P68B1DB1-Normal13"/>
              <w:spacing w:after="0" w:line="240" w:lineRule="auto"/>
              <w:rPr>
                <w:rFonts w:cs="Times New Roman"/>
                <w:noProof/>
              </w:rPr>
            </w:pPr>
            <w:r>
              <w:rPr>
                <w:noProof/>
              </w:rPr>
              <w:t xml:space="preserve">Ukończenie budowy obiektu dla zwierząt o poziomie bezpieczeństwa biologicznego 3. </w:t>
            </w:r>
          </w:p>
        </w:tc>
        <w:tc>
          <w:tcPr>
            <w:tcW w:w="1276" w:type="dxa"/>
            <w:shd w:val="clear" w:color="auto" w:fill="C6EFCE"/>
            <w:noWrap/>
          </w:tcPr>
          <w:p w14:paraId="4D3C8EB5"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273B8182" w14:textId="751D5AB5" w:rsidR="006578ED" w:rsidRDefault="00A1618E">
            <w:pPr>
              <w:pStyle w:val="P68B1DB1-Normal13"/>
              <w:spacing w:after="0" w:line="240" w:lineRule="auto"/>
              <w:jc w:val="right"/>
              <w:rPr>
                <w:rFonts w:cs="Times New Roman"/>
                <w:noProof/>
              </w:rPr>
            </w:pPr>
            <w:r>
              <w:rPr>
                <w:noProof/>
              </w:rPr>
              <w:t>Liczba</w:t>
            </w:r>
          </w:p>
        </w:tc>
        <w:tc>
          <w:tcPr>
            <w:tcW w:w="567" w:type="dxa"/>
            <w:shd w:val="clear" w:color="auto" w:fill="C6EFCE"/>
            <w:noWrap/>
          </w:tcPr>
          <w:p w14:paraId="30E42435" w14:textId="3418A787"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3B4DBFC6" w14:textId="4E296265" w:rsidR="006578ED" w:rsidRDefault="00A1618E">
            <w:pPr>
              <w:pStyle w:val="P68B1DB1-Normal13"/>
              <w:spacing w:after="0" w:line="240" w:lineRule="auto"/>
              <w:jc w:val="right"/>
              <w:rPr>
                <w:rFonts w:cs="Times New Roman"/>
                <w:noProof/>
              </w:rPr>
            </w:pPr>
            <w:r>
              <w:rPr>
                <w:noProof/>
              </w:rPr>
              <w:t>1</w:t>
            </w:r>
          </w:p>
        </w:tc>
        <w:tc>
          <w:tcPr>
            <w:tcW w:w="425" w:type="dxa"/>
            <w:shd w:val="clear" w:color="auto" w:fill="C6EFCE"/>
            <w:noWrap/>
          </w:tcPr>
          <w:p w14:paraId="30C2E373" w14:textId="61FB7087"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3F9C886C" w14:textId="6604ECA0" w:rsidR="006578ED" w:rsidRDefault="00A1618E">
            <w:pPr>
              <w:pStyle w:val="P68B1DB1-Normal13"/>
              <w:spacing w:after="0" w:line="240" w:lineRule="auto"/>
              <w:jc w:val="center"/>
              <w:rPr>
                <w:rFonts w:cs="Times New Roman"/>
                <w:noProof/>
              </w:rPr>
            </w:pPr>
            <w:r>
              <w:rPr>
                <w:noProof/>
              </w:rPr>
              <w:t>2026</w:t>
            </w:r>
          </w:p>
        </w:tc>
        <w:tc>
          <w:tcPr>
            <w:tcW w:w="5387" w:type="dxa"/>
            <w:shd w:val="clear" w:color="auto" w:fill="C6EFCE"/>
            <w:noWrap/>
          </w:tcPr>
          <w:p w14:paraId="732A624F" w14:textId="0040E98E" w:rsidR="006578ED" w:rsidRDefault="00A1618E">
            <w:pPr>
              <w:pStyle w:val="P68B1DB1-Normal13"/>
              <w:spacing w:after="0" w:line="240" w:lineRule="auto"/>
              <w:rPr>
                <w:rFonts w:cs="Times New Roman"/>
                <w:noProof/>
              </w:rPr>
            </w:pPr>
            <w:r>
              <w:rPr>
                <w:noProof/>
              </w:rPr>
              <w:t>Zakończenie budowy obiektu dla zwierząt poziomu 3 w zakresie bezpieczeństwa biologicznego (LCV- Algete)</w:t>
            </w:r>
          </w:p>
        </w:tc>
      </w:tr>
      <w:tr w:rsidR="006578ED" w14:paraId="4FC01CD0" w14:textId="77777777">
        <w:trPr>
          <w:trHeight w:val="309"/>
        </w:trPr>
        <w:tc>
          <w:tcPr>
            <w:tcW w:w="709" w:type="dxa"/>
            <w:shd w:val="clear" w:color="auto" w:fill="C6EFCE"/>
            <w:noWrap/>
          </w:tcPr>
          <w:p w14:paraId="54368C02" w14:textId="26A50E97" w:rsidR="006578ED" w:rsidRDefault="00A1618E">
            <w:pPr>
              <w:pStyle w:val="P68B1DB1-Normal13"/>
              <w:spacing w:after="0" w:line="240" w:lineRule="auto"/>
              <w:jc w:val="center"/>
              <w:rPr>
                <w:rFonts w:eastAsia="MS Mincho" w:cs="Times New Roman"/>
                <w:noProof/>
              </w:rPr>
            </w:pPr>
            <w:r>
              <w:rPr>
                <w:noProof/>
              </w:rPr>
              <w:t>50</w:t>
            </w:r>
          </w:p>
        </w:tc>
        <w:tc>
          <w:tcPr>
            <w:tcW w:w="851" w:type="dxa"/>
            <w:shd w:val="clear" w:color="auto" w:fill="C6EFCE"/>
            <w:noWrap/>
          </w:tcPr>
          <w:p w14:paraId="15507CD7" w14:textId="5DBC095D" w:rsidR="006578ED" w:rsidRDefault="00A1618E">
            <w:pPr>
              <w:pStyle w:val="P68B1DB1-Normal13"/>
              <w:spacing w:after="0" w:line="240" w:lineRule="auto"/>
              <w:jc w:val="center"/>
              <w:rPr>
                <w:rFonts w:eastAsia="MS Mincho" w:cs="Times New Roman"/>
                <w:noProof/>
              </w:rPr>
            </w:pPr>
            <w:r>
              <w:rPr>
                <w:noProof/>
              </w:rPr>
              <w:t>C3.I3</w:t>
            </w:r>
          </w:p>
        </w:tc>
        <w:tc>
          <w:tcPr>
            <w:tcW w:w="1080" w:type="dxa"/>
            <w:shd w:val="clear" w:color="auto" w:fill="C6EFCE"/>
            <w:noWrap/>
          </w:tcPr>
          <w:p w14:paraId="12E77EC6" w14:textId="52464E48" w:rsidR="006578ED" w:rsidRDefault="00AF6B91">
            <w:pPr>
              <w:pStyle w:val="P68B1DB1-Normal13"/>
              <w:spacing w:after="0" w:line="240" w:lineRule="auto"/>
              <w:jc w:val="center"/>
              <w:rPr>
                <w:rFonts w:eastAsia="MS Mincho" w:cs="Times New Roman"/>
                <w:noProof/>
              </w:rPr>
            </w:pPr>
            <w:r>
              <w:rPr>
                <w:noProof/>
              </w:rPr>
              <w:t>Cel</w:t>
            </w:r>
          </w:p>
        </w:tc>
        <w:tc>
          <w:tcPr>
            <w:tcW w:w="2889" w:type="dxa"/>
            <w:shd w:val="clear" w:color="auto" w:fill="C6EFCE"/>
            <w:noWrap/>
          </w:tcPr>
          <w:p w14:paraId="73767E53" w14:textId="5C5D02C3" w:rsidR="006578ED" w:rsidRDefault="00A1618E">
            <w:pPr>
              <w:pStyle w:val="P68B1DB1-Normal13"/>
              <w:spacing w:after="0" w:line="240" w:lineRule="auto"/>
              <w:rPr>
                <w:rFonts w:eastAsia="MS Mincho" w:cs="Times New Roman"/>
                <w:noProof/>
              </w:rPr>
            </w:pPr>
            <w:r>
              <w:rPr>
                <w:noProof/>
              </w:rPr>
              <w:t>Ulepszone ośrodki czyszczenia i dezynfekcji oraz ośrodki produkcji materiału przeznaczonego do reprodukcji roślin wraz ze wzmocnionymi systemami szkoleniowymi i bioasekuracji</w:t>
            </w:r>
          </w:p>
        </w:tc>
        <w:tc>
          <w:tcPr>
            <w:tcW w:w="1276" w:type="dxa"/>
            <w:shd w:val="clear" w:color="auto" w:fill="C6EFCE"/>
            <w:noWrap/>
          </w:tcPr>
          <w:p w14:paraId="61CDCEAD"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D78A289" w14:textId="77777777" w:rsidR="006578ED" w:rsidRDefault="00A1618E">
            <w:pPr>
              <w:pStyle w:val="P68B1DB1-Normal13"/>
              <w:spacing w:after="0" w:line="240" w:lineRule="auto"/>
              <w:jc w:val="right"/>
              <w:rPr>
                <w:rFonts w:eastAsia="MS Mincho" w:cs="Times New Roman"/>
                <w:noProof/>
              </w:rPr>
            </w:pPr>
            <w:r>
              <w:rPr>
                <w:noProof/>
              </w:rPr>
              <w:t>Liczba</w:t>
            </w:r>
          </w:p>
        </w:tc>
        <w:tc>
          <w:tcPr>
            <w:tcW w:w="567" w:type="dxa"/>
            <w:shd w:val="clear" w:color="auto" w:fill="C6EFCE"/>
            <w:noWrap/>
          </w:tcPr>
          <w:p w14:paraId="24452D0A" w14:textId="77777777"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0B778152" w14:textId="1EA32FC5" w:rsidR="006578ED" w:rsidRDefault="00A1618E">
            <w:pPr>
              <w:pStyle w:val="P68B1DB1-Normal13"/>
              <w:spacing w:after="0" w:line="240" w:lineRule="auto"/>
              <w:jc w:val="right"/>
              <w:rPr>
                <w:rFonts w:eastAsia="MS Mincho" w:cs="Times New Roman"/>
                <w:noProof/>
              </w:rPr>
            </w:pPr>
            <w:r>
              <w:rPr>
                <w:noProof/>
              </w:rPr>
              <w:t>465</w:t>
            </w:r>
          </w:p>
        </w:tc>
        <w:tc>
          <w:tcPr>
            <w:tcW w:w="425" w:type="dxa"/>
            <w:shd w:val="clear" w:color="auto" w:fill="C6EFCE"/>
            <w:noWrap/>
          </w:tcPr>
          <w:p w14:paraId="7CAE184B" w14:textId="0073B633" w:rsidR="006578ED" w:rsidRDefault="00EC188C">
            <w:pPr>
              <w:pStyle w:val="P68B1DB1-Normal13"/>
              <w:spacing w:after="0" w:line="240" w:lineRule="auto"/>
              <w:jc w:val="center"/>
              <w:rPr>
                <w:rFonts w:eastAsia="MS Mincho" w:cs="Times New Roman"/>
                <w:noProof/>
              </w:rPr>
            </w:pPr>
            <w:r>
              <w:rPr>
                <w:noProof/>
              </w:rPr>
              <w:t>KW. 3</w:t>
            </w:r>
          </w:p>
        </w:tc>
        <w:tc>
          <w:tcPr>
            <w:tcW w:w="567" w:type="dxa"/>
            <w:shd w:val="clear" w:color="auto" w:fill="C6EFCE"/>
            <w:noWrap/>
          </w:tcPr>
          <w:p w14:paraId="2063B540" w14:textId="0F5B2526" w:rsidR="006578ED" w:rsidRDefault="00A1618E">
            <w:pPr>
              <w:pStyle w:val="P68B1DB1-Normal13"/>
              <w:spacing w:after="0" w:line="240" w:lineRule="auto"/>
              <w:jc w:val="center"/>
              <w:rPr>
                <w:rFonts w:eastAsia="MS Mincho" w:cs="Times New Roman"/>
                <w:noProof/>
              </w:rPr>
            </w:pPr>
            <w:r>
              <w:rPr>
                <w:noProof/>
              </w:rPr>
              <w:t>2024</w:t>
            </w:r>
          </w:p>
        </w:tc>
        <w:tc>
          <w:tcPr>
            <w:tcW w:w="5387" w:type="dxa"/>
            <w:shd w:val="clear" w:color="auto" w:fill="C6EFCE"/>
            <w:noWrap/>
          </w:tcPr>
          <w:p w14:paraId="4D6A125A" w14:textId="2B0A7EC3" w:rsidR="006578ED" w:rsidRDefault="00A1618E">
            <w:pPr>
              <w:pStyle w:val="P68B1DB1-Normal13"/>
              <w:spacing w:after="0" w:line="240" w:lineRule="auto"/>
              <w:rPr>
                <w:rFonts w:cs="Times New Roman"/>
                <w:noProof/>
              </w:rPr>
            </w:pPr>
            <w:r>
              <w:rPr>
                <w:noProof/>
              </w:rPr>
              <w:t xml:space="preserve">Co najmniej 465 ośrodków czyszczenia i dezynfekcji oraz ośrodków produkcji materiału przeznaczonego do reprodukcji roślin o wzmocnionych systemach szkoleniowych i bioasekuracji. Rozwój zdolności obejmuje poprawę i budowę urządzeń do czyszczenia i dezynfekcji w całej Hiszpanii, a bezpieczeństwo biologiczne polega na istnieniu dostępnych, nowoczesnych i wyposażonych urządzeń do czyszczenia i dezynfekcji. Czyszczenie i dezynfekcja są kluczowym filarem środków bezpieczeństwa biologicznego, dlatego też zasadnicze znaczenie ma poprawa technologiczna tych obiektów, takich jak automatyzacja, robotyzacja, instalacja nowych systemów czyszczenia i dezynfekcji, takich jak dezynfekcja termiczna lub instalacja systemów. </w:t>
            </w:r>
          </w:p>
        </w:tc>
      </w:tr>
      <w:tr w:rsidR="006578ED" w14:paraId="56738BA1" w14:textId="77777777">
        <w:trPr>
          <w:trHeight w:val="309"/>
        </w:trPr>
        <w:tc>
          <w:tcPr>
            <w:tcW w:w="709" w:type="dxa"/>
            <w:shd w:val="clear" w:color="auto" w:fill="C6EFCE"/>
            <w:noWrap/>
          </w:tcPr>
          <w:p w14:paraId="25E19083" w14:textId="12369BAE" w:rsidR="006578ED" w:rsidRDefault="00A1618E">
            <w:pPr>
              <w:pStyle w:val="P68B1DB1-Normal13"/>
              <w:spacing w:after="0" w:line="240" w:lineRule="auto"/>
              <w:jc w:val="center"/>
              <w:rPr>
                <w:rFonts w:cs="Times New Roman"/>
                <w:noProof/>
              </w:rPr>
            </w:pPr>
            <w:r>
              <w:rPr>
                <w:noProof/>
              </w:rPr>
              <w:t>51</w:t>
            </w:r>
          </w:p>
        </w:tc>
        <w:tc>
          <w:tcPr>
            <w:tcW w:w="851" w:type="dxa"/>
            <w:shd w:val="clear" w:color="auto" w:fill="C6EFCE"/>
            <w:noWrap/>
          </w:tcPr>
          <w:p w14:paraId="5971B254" w14:textId="53FF2EB6" w:rsidR="006578ED" w:rsidRDefault="00A1618E">
            <w:pPr>
              <w:pStyle w:val="P68B1DB1-Normal13"/>
              <w:spacing w:after="0" w:line="240" w:lineRule="auto"/>
              <w:jc w:val="center"/>
              <w:rPr>
                <w:rFonts w:cs="Times New Roman"/>
                <w:noProof/>
              </w:rPr>
            </w:pPr>
            <w:r>
              <w:rPr>
                <w:noProof/>
              </w:rPr>
              <w:t>C3.I4</w:t>
            </w:r>
          </w:p>
        </w:tc>
        <w:tc>
          <w:tcPr>
            <w:tcW w:w="1080" w:type="dxa"/>
            <w:shd w:val="clear" w:color="auto" w:fill="C6EFCE"/>
            <w:noWrap/>
          </w:tcPr>
          <w:p w14:paraId="79D317F4" w14:textId="7F84FB3E" w:rsidR="006578ED" w:rsidRDefault="00AF6B91">
            <w:pPr>
              <w:pStyle w:val="P68B1DB1-Normal13"/>
              <w:spacing w:after="0" w:line="240" w:lineRule="auto"/>
              <w:jc w:val="center"/>
              <w:rPr>
                <w:rFonts w:cs="Times New Roman"/>
                <w:noProof/>
              </w:rPr>
            </w:pPr>
            <w:r>
              <w:rPr>
                <w:noProof/>
              </w:rPr>
              <w:t>Cel</w:t>
            </w:r>
          </w:p>
        </w:tc>
        <w:tc>
          <w:tcPr>
            <w:tcW w:w="2889" w:type="dxa"/>
            <w:shd w:val="clear" w:color="auto" w:fill="C6EFCE"/>
            <w:noWrap/>
          </w:tcPr>
          <w:p w14:paraId="324AEADF" w14:textId="2E60AD94" w:rsidR="006578ED" w:rsidRDefault="00A1618E">
            <w:pPr>
              <w:pStyle w:val="P68B1DB1-Normal13"/>
              <w:spacing w:after="0" w:line="240" w:lineRule="auto"/>
              <w:rPr>
                <w:rFonts w:cs="Times New Roman"/>
                <w:noProof/>
              </w:rPr>
            </w:pPr>
            <w:r>
              <w:rPr>
                <w:noProof/>
              </w:rPr>
              <w:t xml:space="preserve">Plan inwestycyjny na rzecz promowania zrównoważonego rozwoju i konkurencyjności rolnictwa i zwierząt gospodarskich </w:t>
            </w:r>
          </w:p>
        </w:tc>
        <w:tc>
          <w:tcPr>
            <w:tcW w:w="1276" w:type="dxa"/>
            <w:shd w:val="clear" w:color="auto" w:fill="C6EFCE"/>
            <w:noWrap/>
          </w:tcPr>
          <w:p w14:paraId="7F2130F8"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376090A2" w14:textId="30BACBD6" w:rsidR="006578ED" w:rsidRDefault="00A1618E">
            <w:pPr>
              <w:pStyle w:val="P68B1DB1-Normal13"/>
              <w:spacing w:after="0" w:line="240" w:lineRule="auto"/>
              <w:jc w:val="right"/>
              <w:rPr>
                <w:rFonts w:cs="Times New Roman"/>
                <w:noProof/>
              </w:rPr>
            </w:pPr>
            <w:r>
              <w:rPr>
                <w:noProof/>
              </w:rPr>
              <w:t xml:space="preserve"> Mln EUR</w:t>
            </w:r>
          </w:p>
        </w:tc>
        <w:tc>
          <w:tcPr>
            <w:tcW w:w="567" w:type="dxa"/>
            <w:shd w:val="clear" w:color="auto" w:fill="C6EFCE"/>
            <w:noWrap/>
          </w:tcPr>
          <w:p w14:paraId="0E99581E" w14:textId="092AB081"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2BD63265" w14:textId="45C1FD95" w:rsidR="006578ED" w:rsidRDefault="00A1618E">
            <w:pPr>
              <w:pStyle w:val="P68B1DB1-Normal13"/>
              <w:spacing w:after="0" w:line="240" w:lineRule="auto"/>
              <w:jc w:val="right"/>
              <w:rPr>
                <w:rFonts w:cs="Times New Roman"/>
                <w:noProof/>
              </w:rPr>
            </w:pPr>
            <w:r>
              <w:rPr>
                <w:noProof/>
              </w:rPr>
              <w:t>307</w:t>
            </w:r>
          </w:p>
        </w:tc>
        <w:tc>
          <w:tcPr>
            <w:tcW w:w="425" w:type="dxa"/>
            <w:shd w:val="clear" w:color="auto" w:fill="C6EFCE"/>
            <w:noWrap/>
          </w:tcPr>
          <w:p w14:paraId="535808B5" w14:textId="070C894F"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7352F48C" w14:textId="72A2B887" w:rsidR="006578ED" w:rsidRDefault="00A1618E">
            <w:pPr>
              <w:pStyle w:val="P68B1DB1-Normal13"/>
              <w:spacing w:after="0" w:line="240" w:lineRule="auto"/>
              <w:jc w:val="center"/>
              <w:rPr>
                <w:rFonts w:cs="Times New Roman"/>
                <w:noProof/>
              </w:rPr>
            </w:pPr>
            <w:r>
              <w:rPr>
                <w:noProof/>
              </w:rPr>
              <w:t>2022</w:t>
            </w:r>
          </w:p>
        </w:tc>
        <w:tc>
          <w:tcPr>
            <w:tcW w:w="5387" w:type="dxa"/>
            <w:shd w:val="clear" w:color="auto" w:fill="C6EFCE"/>
            <w:noWrap/>
          </w:tcPr>
          <w:p w14:paraId="507C952C" w14:textId="4AD9932F" w:rsidR="006578ED" w:rsidRDefault="00A1618E">
            <w:pPr>
              <w:pStyle w:val="P68B1DB1-Normal13"/>
              <w:spacing w:after="0" w:line="240" w:lineRule="auto"/>
              <w:rPr>
                <w:rFonts w:cs="Times New Roman"/>
                <w:noProof/>
              </w:rPr>
            </w:pPr>
            <w:r>
              <w:rPr>
                <w:noProof/>
              </w:rPr>
              <w:t xml:space="preserve">Zakończenie planu inwestycyjnego na rzecz promowania zrównoważonego charakteru i konkurencyjności rolnictwa i hodowli zwierząt gospodarskich w rolnictwie precyzyjnym, efektywności energetycznej i gospodarce o obiegu zamkniętym (wykonanie budżetu w wysokości 307 000 000 EUR). Podstawy prawne określają, kim są beneficjenci, wymogi, które muszą spełnić, rodzaj kwalifikowalnych inwestycji oraz kryteria kwalifikowalności inwestycji w: rolnictwo precyzyjne, efektywność energetyczna, gospodarka o obiegu zamkniętym i wykorzystanie energii ze źródeł odnawialnych. </w:t>
            </w:r>
          </w:p>
        </w:tc>
      </w:tr>
      <w:tr w:rsidR="006578ED" w14:paraId="0CBF72EE" w14:textId="77777777">
        <w:trPr>
          <w:trHeight w:val="309"/>
        </w:trPr>
        <w:tc>
          <w:tcPr>
            <w:tcW w:w="709" w:type="dxa"/>
            <w:shd w:val="clear" w:color="auto" w:fill="C6EFCE"/>
            <w:noWrap/>
          </w:tcPr>
          <w:p w14:paraId="68861898" w14:textId="2AFA8B58" w:rsidR="006578ED" w:rsidRDefault="00A1618E">
            <w:pPr>
              <w:pStyle w:val="P68B1DB1-Normal13"/>
              <w:spacing w:after="0" w:line="240" w:lineRule="auto"/>
              <w:jc w:val="center"/>
              <w:rPr>
                <w:rFonts w:eastAsia="MS Mincho" w:cs="Times New Roman"/>
                <w:noProof/>
              </w:rPr>
            </w:pPr>
            <w:r>
              <w:rPr>
                <w:noProof/>
              </w:rPr>
              <w:t>52</w:t>
            </w:r>
          </w:p>
        </w:tc>
        <w:tc>
          <w:tcPr>
            <w:tcW w:w="851" w:type="dxa"/>
            <w:shd w:val="clear" w:color="auto" w:fill="C6EFCE"/>
            <w:noWrap/>
          </w:tcPr>
          <w:p w14:paraId="0380C3E0" w14:textId="3A9B5DE9" w:rsidR="006578ED" w:rsidRDefault="00A1618E">
            <w:pPr>
              <w:pStyle w:val="P68B1DB1-Normal13"/>
              <w:spacing w:after="0" w:line="240" w:lineRule="auto"/>
              <w:jc w:val="center"/>
              <w:rPr>
                <w:rFonts w:eastAsia="MS Mincho" w:cs="Times New Roman"/>
                <w:noProof/>
              </w:rPr>
            </w:pPr>
            <w:r>
              <w:rPr>
                <w:noProof/>
              </w:rPr>
              <w:t>C3.I4</w:t>
            </w:r>
          </w:p>
        </w:tc>
        <w:tc>
          <w:tcPr>
            <w:tcW w:w="1080" w:type="dxa"/>
            <w:shd w:val="clear" w:color="auto" w:fill="C6EFCE"/>
            <w:noWrap/>
          </w:tcPr>
          <w:p w14:paraId="72102FF3" w14:textId="5D57B051" w:rsidR="006578ED" w:rsidRDefault="00AF6B91">
            <w:pPr>
              <w:pStyle w:val="P68B1DB1-Normal13"/>
              <w:spacing w:after="0" w:line="240" w:lineRule="auto"/>
              <w:jc w:val="center"/>
              <w:rPr>
                <w:rFonts w:eastAsia="MS Mincho" w:cs="Times New Roman"/>
                <w:noProof/>
              </w:rPr>
            </w:pPr>
            <w:r>
              <w:rPr>
                <w:noProof/>
              </w:rPr>
              <w:t>Cel</w:t>
            </w:r>
          </w:p>
        </w:tc>
        <w:tc>
          <w:tcPr>
            <w:tcW w:w="2889" w:type="dxa"/>
            <w:shd w:val="clear" w:color="auto" w:fill="C6EFCE"/>
            <w:noWrap/>
          </w:tcPr>
          <w:p w14:paraId="658F795B" w14:textId="4177D6FD" w:rsidR="006578ED" w:rsidRDefault="00A1618E">
            <w:pPr>
              <w:pStyle w:val="P68B1DB1-Normal13"/>
              <w:spacing w:after="0" w:line="240" w:lineRule="auto"/>
              <w:rPr>
                <w:rFonts w:eastAsia="MS Mincho" w:cs="Times New Roman"/>
                <w:noProof/>
              </w:rPr>
            </w:pPr>
            <w:r>
              <w:rPr>
                <w:noProof/>
              </w:rPr>
              <w:t xml:space="preserve">Ukończone projekty dotyczące rolnictwa precyzyjnego, efektywności energetycznej, gospodarki o obiegu zamkniętym i wykorzystania energii ze źródeł odnawialnych </w:t>
            </w:r>
          </w:p>
        </w:tc>
        <w:tc>
          <w:tcPr>
            <w:tcW w:w="1276" w:type="dxa"/>
            <w:shd w:val="clear" w:color="auto" w:fill="C6EFCE"/>
            <w:noWrap/>
          </w:tcPr>
          <w:p w14:paraId="6BB9E253"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708A672B" w14:textId="77777777" w:rsidR="006578ED" w:rsidRDefault="00A1618E">
            <w:pPr>
              <w:pStyle w:val="P68B1DB1-Normal13"/>
              <w:spacing w:after="0" w:line="240" w:lineRule="auto"/>
              <w:jc w:val="right"/>
              <w:rPr>
                <w:rFonts w:eastAsia="MS Mincho" w:cs="Times New Roman"/>
                <w:noProof/>
              </w:rPr>
            </w:pPr>
            <w:r>
              <w:rPr>
                <w:noProof/>
              </w:rPr>
              <w:t>Liczba</w:t>
            </w:r>
          </w:p>
        </w:tc>
        <w:tc>
          <w:tcPr>
            <w:tcW w:w="567" w:type="dxa"/>
            <w:shd w:val="clear" w:color="auto" w:fill="C6EFCE"/>
            <w:noWrap/>
          </w:tcPr>
          <w:p w14:paraId="6A355B75" w14:textId="77777777"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5952E2BA" w14:textId="6F1ECA1F" w:rsidR="006578ED" w:rsidRDefault="00A1618E">
            <w:pPr>
              <w:pStyle w:val="P68B1DB1-Normal13"/>
              <w:spacing w:after="0" w:line="240" w:lineRule="auto"/>
              <w:jc w:val="right"/>
              <w:rPr>
                <w:rFonts w:eastAsia="MS Mincho" w:cs="Times New Roman"/>
                <w:noProof/>
              </w:rPr>
            </w:pPr>
            <w:r>
              <w:rPr>
                <w:noProof/>
              </w:rPr>
              <w:t>5 000</w:t>
            </w:r>
          </w:p>
        </w:tc>
        <w:tc>
          <w:tcPr>
            <w:tcW w:w="425" w:type="dxa"/>
            <w:shd w:val="clear" w:color="auto" w:fill="C6EFCE"/>
            <w:noWrap/>
          </w:tcPr>
          <w:p w14:paraId="59EDD68F" w14:textId="1A2B2F5D"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1F5307AE" w14:textId="1BBF6E8A" w:rsidR="006578ED" w:rsidRDefault="00A1618E">
            <w:pPr>
              <w:pStyle w:val="P68B1DB1-Normal13"/>
              <w:spacing w:after="0" w:line="240" w:lineRule="auto"/>
              <w:jc w:val="center"/>
              <w:rPr>
                <w:rFonts w:eastAsia="MS Mincho" w:cs="Times New Roman"/>
                <w:noProof/>
              </w:rPr>
            </w:pPr>
            <w:r>
              <w:rPr>
                <w:noProof/>
              </w:rPr>
              <w:t>2026</w:t>
            </w:r>
          </w:p>
        </w:tc>
        <w:tc>
          <w:tcPr>
            <w:tcW w:w="5387" w:type="dxa"/>
            <w:shd w:val="clear" w:color="auto" w:fill="C6EFCE"/>
            <w:noWrap/>
          </w:tcPr>
          <w:p w14:paraId="6BEEF825" w14:textId="2D7F75FD" w:rsidR="006578ED" w:rsidRDefault="00A1618E">
            <w:pPr>
              <w:pStyle w:val="P68B1DB1-Normal13"/>
              <w:spacing w:after="0" w:line="240" w:lineRule="auto"/>
              <w:rPr>
                <w:rFonts w:eastAsia="MS Mincho" w:cs="Times New Roman"/>
                <w:noProof/>
              </w:rPr>
            </w:pPr>
            <w:r>
              <w:rPr>
                <w:noProof/>
              </w:rPr>
              <w:t xml:space="preserve">Co najmniej 5000 gospodarstw, które ukończyły projekty w zakresie rolnictwa precyzyjnego, efektywności energetycznej, gospodarki o obiegu zamkniętym i wykorzystania energii ze źródeł odnawialnych. Rolnictwo precyzyjne obejmuje systemy geolokalizacji i nawigacji satelitarnej (GNSS), gromadzenie danych w czasie rzeczywistym za pomocą czujników oraz obrazów satelitarnych i powietrznych, wraz z systemami informacji geograficznej (GIS), mapowaniem, komunikacją i łącznością, efektywność energetyczna obejmuje kondycjonowanie i izolację budynków (składów i budynków pomocniczych) oraz systemy optymalizujące kontrolę klimatu gazów cieplarnianych oraz zużycie energii i energii cieplnej w gospodarstwach rolnych i hodowlanych, gospodarka o obiegu zamkniętym obejmuje struktury służące do wykorzystywania i odzyskiwania szczątków rolniczych oraz produktów ubocznych pochodzenia zwierzęcego poprzez procesy i techniki obróbki wstępnej, które poprawiają zarządzanie nimi i ich późniejsze wykorzystanie, a wykorzystanie energii odnawialnej obejmuje instalację infrastruktury wytwarzania energii z wielu źródeł odnawialnych w celu zaspokojenia zapotrzebowania na energię elektryczną i energię cieplną. </w:t>
            </w:r>
          </w:p>
        </w:tc>
      </w:tr>
      <w:tr w:rsidR="006578ED" w14:paraId="533FA9DB" w14:textId="77777777">
        <w:trPr>
          <w:trHeight w:val="309"/>
        </w:trPr>
        <w:tc>
          <w:tcPr>
            <w:tcW w:w="709" w:type="dxa"/>
            <w:shd w:val="clear" w:color="auto" w:fill="C6EFCE"/>
            <w:noWrap/>
          </w:tcPr>
          <w:p w14:paraId="3CBA40D0" w14:textId="0EB4B704" w:rsidR="006578ED" w:rsidRDefault="00A1618E">
            <w:pPr>
              <w:pStyle w:val="P68B1DB1-Normal13"/>
              <w:spacing w:after="0" w:line="240" w:lineRule="auto"/>
              <w:jc w:val="center"/>
              <w:rPr>
                <w:rFonts w:eastAsia="MS Mincho" w:cs="Times New Roman"/>
                <w:noProof/>
              </w:rPr>
            </w:pPr>
            <w:r>
              <w:rPr>
                <w:noProof/>
              </w:rPr>
              <w:t>53</w:t>
            </w:r>
          </w:p>
        </w:tc>
        <w:tc>
          <w:tcPr>
            <w:tcW w:w="851" w:type="dxa"/>
            <w:shd w:val="clear" w:color="auto" w:fill="C6EFCE"/>
            <w:noWrap/>
          </w:tcPr>
          <w:p w14:paraId="5071D00F" w14:textId="6837A809" w:rsidR="006578ED" w:rsidRDefault="00A1618E">
            <w:pPr>
              <w:pStyle w:val="P68B1DB1-Normal13"/>
              <w:spacing w:after="0" w:line="240" w:lineRule="auto"/>
              <w:jc w:val="center"/>
              <w:rPr>
                <w:rFonts w:eastAsia="MS Mincho" w:cs="Times New Roman"/>
                <w:noProof/>
              </w:rPr>
            </w:pPr>
            <w:r>
              <w:rPr>
                <w:noProof/>
              </w:rPr>
              <w:t>C3.I5</w:t>
            </w:r>
          </w:p>
        </w:tc>
        <w:tc>
          <w:tcPr>
            <w:tcW w:w="1080" w:type="dxa"/>
            <w:shd w:val="clear" w:color="auto" w:fill="C6EFCE"/>
            <w:noWrap/>
          </w:tcPr>
          <w:p w14:paraId="1ACBF373" w14:textId="3ECC2076" w:rsidR="006578ED" w:rsidRDefault="00AF6B91">
            <w:pPr>
              <w:pStyle w:val="P68B1DB1-Normal13"/>
              <w:spacing w:after="0" w:line="240" w:lineRule="auto"/>
              <w:jc w:val="center"/>
              <w:rPr>
                <w:rFonts w:eastAsia="MS Mincho" w:cs="Times New Roman"/>
                <w:noProof/>
              </w:rPr>
            </w:pPr>
            <w:r>
              <w:rPr>
                <w:noProof/>
              </w:rPr>
              <w:t>Cel</w:t>
            </w:r>
          </w:p>
        </w:tc>
        <w:tc>
          <w:tcPr>
            <w:tcW w:w="2889" w:type="dxa"/>
            <w:shd w:val="clear" w:color="auto" w:fill="C6EFCE"/>
            <w:noWrap/>
          </w:tcPr>
          <w:p w14:paraId="6F1617C3" w14:textId="5737E3B5" w:rsidR="006578ED" w:rsidRDefault="00A1618E">
            <w:pPr>
              <w:pStyle w:val="P68B1DB1-Normal13"/>
              <w:spacing w:after="0" w:line="240" w:lineRule="auto"/>
              <w:rPr>
                <w:rFonts w:eastAsia="MS Mincho" w:cs="Times New Roman"/>
                <w:noProof/>
              </w:rPr>
            </w:pPr>
            <w:r>
              <w:rPr>
                <w:noProof/>
              </w:rPr>
              <w:t>Podpisanie umów między Ministerstwem Rolnictwa, Rybołówstwa i Żywności (MAPA) a ENISA</w:t>
            </w:r>
          </w:p>
        </w:tc>
        <w:tc>
          <w:tcPr>
            <w:tcW w:w="1276" w:type="dxa"/>
            <w:shd w:val="clear" w:color="auto" w:fill="C6EFCE"/>
            <w:noWrap/>
          </w:tcPr>
          <w:p w14:paraId="23DE523C"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9274C5F" w14:textId="77777777" w:rsidR="006578ED" w:rsidRDefault="00A1618E">
            <w:pPr>
              <w:pStyle w:val="P68B1DB1-Normal13"/>
              <w:spacing w:after="0" w:line="240" w:lineRule="auto"/>
              <w:jc w:val="right"/>
              <w:rPr>
                <w:rFonts w:eastAsia="MS Mincho" w:cs="Times New Roman"/>
                <w:noProof/>
              </w:rPr>
            </w:pPr>
            <w:r>
              <w:rPr>
                <w:noProof/>
              </w:rPr>
              <w:t xml:space="preserve"> Mln EUR</w:t>
            </w:r>
          </w:p>
        </w:tc>
        <w:tc>
          <w:tcPr>
            <w:tcW w:w="567" w:type="dxa"/>
            <w:shd w:val="clear" w:color="auto" w:fill="C6EFCE"/>
            <w:noWrap/>
          </w:tcPr>
          <w:p w14:paraId="579F9DF6" w14:textId="77777777"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28853779" w14:textId="47B3CC6F" w:rsidR="006578ED" w:rsidRDefault="00A1618E">
            <w:pPr>
              <w:pStyle w:val="P68B1DB1-Normal13"/>
              <w:spacing w:after="0" w:line="240" w:lineRule="auto"/>
              <w:jc w:val="right"/>
              <w:rPr>
                <w:rFonts w:eastAsia="MS Mincho" w:cs="Times New Roman"/>
                <w:noProof/>
              </w:rPr>
            </w:pPr>
            <w:r>
              <w:rPr>
                <w:noProof/>
              </w:rPr>
              <w:t>30</w:t>
            </w:r>
          </w:p>
        </w:tc>
        <w:tc>
          <w:tcPr>
            <w:tcW w:w="425" w:type="dxa"/>
            <w:shd w:val="clear" w:color="auto" w:fill="C6EFCE"/>
            <w:noWrap/>
          </w:tcPr>
          <w:p w14:paraId="147ED631" w14:textId="6A5C8E4C"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0FF5363C" w14:textId="6A918136" w:rsidR="006578ED" w:rsidRDefault="00A1618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613339AC" w14:textId="575FD4D5" w:rsidR="006578ED" w:rsidRDefault="00A1618E">
            <w:pPr>
              <w:pStyle w:val="P68B1DB1-Normal13"/>
              <w:spacing w:after="0" w:line="240" w:lineRule="auto"/>
              <w:rPr>
                <w:rFonts w:eastAsia="MS Mincho" w:cs="Times New Roman"/>
                <w:noProof/>
              </w:rPr>
            </w:pPr>
            <w:r>
              <w:rPr>
                <w:noProof/>
              </w:rPr>
              <w:t xml:space="preserve">Podpisanie trzech umów (jeden rocznie) między Ministerstwem Rolnictwa, Rybołówstwa i Żywności (MAPA) a ENISA w celu wsparcia transformacji cyfrowej MŚP z sektora rolno-spożywczego poprzez linię wsparcia dla innowacyjnej lub opartej na technologii przedsiębiorczości w hiszpańskim sektorze rolno-spożywczym (wykonanie budżetu: 30 000 000 EUR; 10 000 000 EUR rocznie). Umowy o współpracy między Ministerstwem Rolnictwa, Rybołówstwa i Żywności a ENISA określają warunki linii na rzecz przedsiębiorczości opartej na technologii w celu wspierania MŚP w sektorze rolno-spożywczym, które przedstawiają innowacyjne i cyfrowe projekty biznesowe, poprzez przyznawanie pożyczek partycypacyjnych, politykę inwestycyjną i kryteria kwalifikowalności. Wyżej wymienione umowy zawierają klauzulę gwarantującą zgodność inwestycji dokonanych z wykorzystaniem tego finansowania z wytycznymi technicznymi dotyczącymi zasady „nie czyń poważnych szkód” (2021/C58/01) transakcji objętych wsparciem w ramach tego środka poprzez zastosowanie kontroli zrównoważonego charakteru projektów, wykazu wyłączeń oraz wymogu zgodności z odpowiednimi unijnymi i krajowymi przepisami w zakresie ochrony środowiska. Celem tej inwestycji jest realizacja kilku celów hiszpańskiej strategii cyfryzacji sektora rolno-spożywczego i środowiska wiejskiego oraz jej planów działania. </w:t>
            </w:r>
          </w:p>
        </w:tc>
      </w:tr>
      <w:tr w:rsidR="006578ED" w14:paraId="047BADB5" w14:textId="77777777">
        <w:trPr>
          <w:trHeight w:val="309"/>
        </w:trPr>
        <w:tc>
          <w:tcPr>
            <w:tcW w:w="709" w:type="dxa"/>
            <w:shd w:val="clear" w:color="auto" w:fill="C6EFCE"/>
            <w:noWrap/>
          </w:tcPr>
          <w:p w14:paraId="00B008B9" w14:textId="569189EE" w:rsidR="006578ED" w:rsidRDefault="00A1618E">
            <w:pPr>
              <w:pStyle w:val="P68B1DB1-Normal13"/>
              <w:spacing w:after="0" w:line="240" w:lineRule="auto"/>
              <w:jc w:val="center"/>
              <w:rPr>
                <w:rFonts w:eastAsia="MS Mincho" w:cs="Times New Roman"/>
                <w:noProof/>
              </w:rPr>
            </w:pPr>
            <w:r>
              <w:rPr>
                <w:noProof/>
              </w:rPr>
              <w:t>54</w:t>
            </w:r>
          </w:p>
        </w:tc>
        <w:tc>
          <w:tcPr>
            <w:tcW w:w="851" w:type="dxa"/>
            <w:shd w:val="clear" w:color="auto" w:fill="C6EFCE"/>
            <w:noWrap/>
          </w:tcPr>
          <w:p w14:paraId="58544615" w14:textId="53D8FCB1" w:rsidR="006578ED" w:rsidRDefault="00A1618E">
            <w:pPr>
              <w:pStyle w:val="P68B1DB1-Normal13"/>
              <w:spacing w:after="0" w:line="240" w:lineRule="auto"/>
              <w:jc w:val="center"/>
              <w:rPr>
                <w:rFonts w:eastAsia="MS Mincho" w:cs="Times New Roman"/>
                <w:noProof/>
              </w:rPr>
            </w:pPr>
            <w:r>
              <w:rPr>
                <w:noProof/>
              </w:rPr>
              <w:t>C3.I5</w:t>
            </w:r>
          </w:p>
        </w:tc>
        <w:tc>
          <w:tcPr>
            <w:tcW w:w="1080" w:type="dxa"/>
            <w:shd w:val="clear" w:color="auto" w:fill="C6EFCE"/>
            <w:noWrap/>
          </w:tcPr>
          <w:p w14:paraId="439DB716" w14:textId="57C0E1BC" w:rsidR="006578ED" w:rsidRDefault="00AF6B91">
            <w:pPr>
              <w:pStyle w:val="P68B1DB1-Normal13"/>
              <w:spacing w:after="0" w:line="240" w:lineRule="auto"/>
              <w:jc w:val="center"/>
              <w:rPr>
                <w:rFonts w:eastAsia="MS Mincho" w:cs="Times New Roman"/>
                <w:noProof/>
              </w:rPr>
            </w:pPr>
            <w:r>
              <w:rPr>
                <w:noProof/>
              </w:rPr>
              <w:t>Cel</w:t>
            </w:r>
          </w:p>
        </w:tc>
        <w:tc>
          <w:tcPr>
            <w:tcW w:w="2889" w:type="dxa"/>
            <w:shd w:val="clear" w:color="auto" w:fill="C6EFCE"/>
            <w:noWrap/>
          </w:tcPr>
          <w:p w14:paraId="79AF0533" w14:textId="0486424E" w:rsidR="006578ED" w:rsidRDefault="00A1618E">
            <w:pPr>
              <w:pStyle w:val="P68B1DB1-Normal13"/>
              <w:spacing w:after="0" w:line="240" w:lineRule="auto"/>
              <w:rPr>
                <w:rFonts w:eastAsia="MS Mincho" w:cs="Times New Roman"/>
                <w:noProof/>
              </w:rPr>
            </w:pPr>
            <w:r>
              <w:rPr>
                <w:noProof/>
              </w:rPr>
              <w:t>Wsparcie MŚP z sektora rolno-spożywczego w celu realizacji innowacyjnych i cyfrowych projektów biznesowych</w:t>
            </w:r>
          </w:p>
        </w:tc>
        <w:tc>
          <w:tcPr>
            <w:tcW w:w="1276" w:type="dxa"/>
            <w:shd w:val="clear" w:color="auto" w:fill="C6EFCE"/>
            <w:noWrap/>
          </w:tcPr>
          <w:p w14:paraId="52E56223"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4EE654F7" w14:textId="77777777" w:rsidR="006578ED" w:rsidRDefault="00A1618E">
            <w:pPr>
              <w:pStyle w:val="P68B1DB1-Normal13"/>
              <w:spacing w:after="0" w:line="240" w:lineRule="auto"/>
              <w:jc w:val="right"/>
              <w:rPr>
                <w:rFonts w:eastAsia="MS Mincho" w:cs="Times New Roman"/>
                <w:noProof/>
              </w:rPr>
            </w:pPr>
            <w:r>
              <w:rPr>
                <w:noProof/>
              </w:rPr>
              <w:t>Liczba</w:t>
            </w:r>
          </w:p>
        </w:tc>
        <w:tc>
          <w:tcPr>
            <w:tcW w:w="567" w:type="dxa"/>
            <w:shd w:val="clear" w:color="auto" w:fill="C6EFCE"/>
            <w:noWrap/>
          </w:tcPr>
          <w:p w14:paraId="0146225B" w14:textId="77777777"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02012C1B" w14:textId="42911D1D" w:rsidR="006578ED" w:rsidRDefault="00A1618E">
            <w:pPr>
              <w:pStyle w:val="P68B1DB1-Normal13"/>
              <w:spacing w:after="0" w:line="240" w:lineRule="auto"/>
              <w:jc w:val="right"/>
              <w:rPr>
                <w:rFonts w:eastAsia="MS Mincho" w:cs="Times New Roman"/>
                <w:noProof/>
              </w:rPr>
            </w:pPr>
            <w:r>
              <w:rPr>
                <w:noProof/>
              </w:rPr>
              <w:t>60</w:t>
            </w:r>
          </w:p>
        </w:tc>
        <w:tc>
          <w:tcPr>
            <w:tcW w:w="425" w:type="dxa"/>
            <w:shd w:val="clear" w:color="auto" w:fill="C6EFCE"/>
            <w:noWrap/>
          </w:tcPr>
          <w:p w14:paraId="62ACD4F7" w14:textId="59640771"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1125D523" w14:textId="038241A9" w:rsidR="006578ED" w:rsidRDefault="00A1618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76E2AC45" w14:textId="1712A841" w:rsidR="006578ED" w:rsidRDefault="00A1618E">
            <w:pPr>
              <w:pStyle w:val="P68B1DB1-Normal13"/>
              <w:spacing w:after="0" w:line="240" w:lineRule="auto"/>
              <w:rPr>
                <w:rFonts w:eastAsia="MS Mincho" w:cs="Times New Roman"/>
                <w:noProof/>
              </w:rPr>
            </w:pPr>
            <w:r>
              <w:rPr>
                <w:noProof/>
              </w:rPr>
              <w:t>Co najmniej 60 MŚP z sektora rolno-spożywczego, którym przyznano kredyty na realizację innowacyjnych i cyfrowych projektów biznesowych</w:t>
            </w:r>
            <w:r w:rsidRPr="00A1618E">
              <w:rPr>
                <w:noProof/>
                <w:lang w:val="pl-PL"/>
              </w:rPr>
              <w:t>. C</w:t>
            </w:r>
            <w:r>
              <w:rPr>
                <w:noProof/>
              </w:rPr>
              <w:t>elem tej linii wsparcia jest udzielanie pożyczek partycypacyjnych w celu zachęcenia przedsiębiorstw do opracowywania rentownych i innowacyjnych projektów związanych z handlem elektronicznym i konsolidacją przemysłu 4.0, wśród wielu innych dźwigni zmian w cyfrowych modelach biznesowych dla przemysłu spożywczego.</w:t>
            </w:r>
            <w:r>
              <w:rPr>
                <w:noProof/>
              </w:rPr>
              <w:br/>
              <w:t xml:space="preserve">Gwarantuje się m.in. za pomocą kryteriów wyboru, że transakcje w ramach tej inwestycji dokonywane przez te MŚP z wykorzystaniem tych pożyczek są zgodne z wytycznymi technicznymi dotyczącymi zasady „nie czyń poważnych szkód” (2021/C58/01) transakcji objętych wsparciem w ramach tego środka poprzez zastosowanie kontroli zrównoważonego charakteru projektów, wykazu wyłączeń oraz wymogu zgodności z odpowiednimi unijnymi i krajowymi przepisami w zakresie ochrony środowiska. </w:t>
            </w:r>
          </w:p>
        </w:tc>
      </w:tr>
      <w:tr w:rsidR="006578ED" w14:paraId="022F94A2" w14:textId="77777777">
        <w:trPr>
          <w:trHeight w:val="309"/>
        </w:trPr>
        <w:tc>
          <w:tcPr>
            <w:tcW w:w="709" w:type="dxa"/>
            <w:shd w:val="clear" w:color="auto" w:fill="C6EFCE"/>
            <w:noWrap/>
          </w:tcPr>
          <w:p w14:paraId="3F6FB1E0" w14:textId="629B1448" w:rsidR="006578ED" w:rsidRDefault="00A1618E">
            <w:pPr>
              <w:pStyle w:val="P68B1DB1-Normal13"/>
              <w:spacing w:after="0" w:line="240" w:lineRule="auto"/>
              <w:jc w:val="center"/>
              <w:rPr>
                <w:rFonts w:eastAsia="MS Mincho" w:cs="Times New Roman"/>
                <w:noProof/>
              </w:rPr>
            </w:pPr>
            <w:r>
              <w:rPr>
                <w:noProof/>
              </w:rPr>
              <w:t>55</w:t>
            </w:r>
          </w:p>
        </w:tc>
        <w:tc>
          <w:tcPr>
            <w:tcW w:w="851" w:type="dxa"/>
            <w:shd w:val="clear" w:color="auto" w:fill="C6EFCE"/>
            <w:noWrap/>
          </w:tcPr>
          <w:p w14:paraId="4F7497D4" w14:textId="4C6A9D53" w:rsidR="006578ED" w:rsidRDefault="00A1618E">
            <w:pPr>
              <w:pStyle w:val="P68B1DB1-Normal13"/>
              <w:spacing w:after="0" w:line="240" w:lineRule="auto"/>
              <w:jc w:val="center"/>
              <w:rPr>
                <w:rFonts w:eastAsia="MS Mincho" w:cs="Times New Roman"/>
                <w:noProof/>
              </w:rPr>
            </w:pPr>
            <w:r>
              <w:rPr>
                <w:noProof/>
              </w:rPr>
              <w:t>C3.I6</w:t>
            </w:r>
          </w:p>
        </w:tc>
        <w:tc>
          <w:tcPr>
            <w:tcW w:w="1080" w:type="dxa"/>
            <w:shd w:val="clear" w:color="auto" w:fill="C6EFCE"/>
            <w:noWrap/>
          </w:tcPr>
          <w:p w14:paraId="1BEE1494" w14:textId="455EB269"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095A004D" w14:textId="1E4D6E2D" w:rsidR="006578ED" w:rsidRDefault="00A1618E">
            <w:pPr>
              <w:pStyle w:val="P68B1DB1-Normal13"/>
              <w:spacing w:after="0" w:line="240" w:lineRule="auto"/>
              <w:rPr>
                <w:rFonts w:eastAsia="MS Mincho" w:cs="Times New Roman"/>
                <w:noProof/>
              </w:rPr>
            </w:pPr>
            <w:r>
              <w:rPr>
                <w:noProof/>
              </w:rPr>
              <w:t>Zakup sprzętu ICT na potrzeby morskich rezerwatów połowowych oraz kontrakty na zakup statków specjalnego przeznaczenia dla rezerwatów morskich</w:t>
            </w:r>
          </w:p>
        </w:tc>
        <w:tc>
          <w:tcPr>
            <w:tcW w:w="1276" w:type="dxa"/>
            <w:shd w:val="clear" w:color="auto" w:fill="C6EFCE"/>
            <w:noWrap/>
          </w:tcPr>
          <w:p w14:paraId="07547A01" w14:textId="573A8EB4" w:rsidR="006578ED" w:rsidRDefault="00A1618E">
            <w:pPr>
              <w:pStyle w:val="P68B1DB1-Normal13"/>
              <w:spacing w:after="0" w:line="240" w:lineRule="auto"/>
              <w:jc w:val="center"/>
              <w:rPr>
                <w:rFonts w:eastAsia="MS Mincho" w:cs="Times New Roman"/>
                <w:noProof/>
              </w:rPr>
            </w:pPr>
            <w:r>
              <w:rPr>
                <w:noProof/>
              </w:rPr>
              <w:t xml:space="preserve">Publikacja na platformie zamówień publicznych informacji o udzieleniu zamówienia </w:t>
            </w:r>
          </w:p>
        </w:tc>
        <w:tc>
          <w:tcPr>
            <w:tcW w:w="850" w:type="dxa"/>
            <w:shd w:val="clear" w:color="auto" w:fill="C6EFCE"/>
            <w:noWrap/>
          </w:tcPr>
          <w:p w14:paraId="324D7EF8" w14:textId="12386D6E"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4207ADCD" w14:textId="14279A79"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60DA3216" w14:textId="0139C229"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9F6EBCF" w14:textId="25E5FB27"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000E632F" w14:textId="17E29F0E"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FFE1FB1" w14:textId="0EF09AAA" w:rsidR="006578ED" w:rsidRDefault="00A1618E">
            <w:pPr>
              <w:pStyle w:val="P68B1DB1-Normal13"/>
              <w:spacing w:after="0" w:line="240" w:lineRule="auto"/>
              <w:rPr>
                <w:rFonts w:eastAsia="MS Mincho" w:cs="Times New Roman"/>
                <w:noProof/>
              </w:rPr>
            </w:pPr>
            <w:r>
              <w:rPr>
                <w:noProof/>
              </w:rPr>
              <w:t xml:space="preserve">Publikacja na Platformie Zamówień Publicznych zamówienia udzielonego na zakup sprzętu ICT na potrzeby morskich rezerwatów o znaczeniu połowowym oraz udzielenie dwóch zamówień na nabycie dwóch statków specjalnego przeznaczenia dla rezerwatów morskich. Sprzęt ICT dla rezerwatów morskich składa się z (i) połączenia radio radarowego Alborána z Półwyspem oraz (ii) zakupu dronów o wystarczającej mocy, która umożliwia działania w zakresie kontroli i monitorowania oraz optymalizację istniejących środków, a także zmniejszenie wpływu na środowisko. W przypadku zakupu statku specjalnego przeznaczenia dla rezerw morskich dąży się do zastosowania najlepszej technologii umożliwiającej zapewnienie zgodności z wytycznymi technicznymi dotyczącymi zasady „nie czyń poważnych szkód” (2021/C58/01). </w:t>
            </w:r>
          </w:p>
        </w:tc>
      </w:tr>
      <w:tr w:rsidR="006578ED" w14:paraId="38D9B000" w14:textId="77777777">
        <w:trPr>
          <w:trHeight w:val="309"/>
        </w:trPr>
        <w:tc>
          <w:tcPr>
            <w:tcW w:w="709" w:type="dxa"/>
            <w:shd w:val="clear" w:color="auto" w:fill="C6EFCE"/>
            <w:noWrap/>
          </w:tcPr>
          <w:p w14:paraId="0868EBB2" w14:textId="222429D7" w:rsidR="006578ED" w:rsidRDefault="00A1618E">
            <w:pPr>
              <w:pStyle w:val="P68B1DB1-Normal13"/>
              <w:spacing w:after="0" w:line="240" w:lineRule="auto"/>
              <w:jc w:val="center"/>
              <w:rPr>
                <w:rFonts w:eastAsia="MS Mincho" w:cs="Times New Roman"/>
                <w:noProof/>
              </w:rPr>
            </w:pPr>
            <w:r>
              <w:rPr>
                <w:noProof/>
              </w:rPr>
              <w:t>56</w:t>
            </w:r>
          </w:p>
        </w:tc>
        <w:tc>
          <w:tcPr>
            <w:tcW w:w="851" w:type="dxa"/>
            <w:shd w:val="clear" w:color="auto" w:fill="C6EFCE"/>
            <w:noWrap/>
          </w:tcPr>
          <w:p w14:paraId="36FEFEFA" w14:textId="3D673125" w:rsidR="006578ED" w:rsidRDefault="00A1618E">
            <w:pPr>
              <w:pStyle w:val="P68B1DB1-Normal13"/>
              <w:spacing w:after="0" w:line="240" w:lineRule="auto"/>
              <w:jc w:val="center"/>
              <w:rPr>
                <w:rFonts w:eastAsia="MS Mincho" w:cs="Times New Roman"/>
                <w:noProof/>
              </w:rPr>
            </w:pPr>
            <w:r>
              <w:rPr>
                <w:noProof/>
              </w:rPr>
              <w:t>C3.I7</w:t>
            </w:r>
          </w:p>
        </w:tc>
        <w:tc>
          <w:tcPr>
            <w:tcW w:w="1080" w:type="dxa"/>
            <w:shd w:val="clear" w:color="auto" w:fill="C6EFCE"/>
            <w:noWrap/>
          </w:tcPr>
          <w:p w14:paraId="5EE5B567" w14:textId="61BB751D"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02876A43" w14:textId="79A4A024" w:rsidR="006578ED" w:rsidRDefault="00A1618E">
            <w:pPr>
              <w:pStyle w:val="P68B1DB1-Normal13"/>
              <w:spacing w:after="0" w:line="240" w:lineRule="auto"/>
              <w:rPr>
                <w:rFonts w:eastAsia="MS Mincho" w:cs="Times New Roman"/>
                <w:noProof/>
              </w:rPr>
            </w:pPr>
            <w:r>
              <w:rPr>
                <w:noProof/>
              </w:rPr>
              <w:t>Umowy z publicznymi organami badawczymi</w:t>
            </w:r>
          </w:p>
        </w:tc>
        <w:tc>
          <w:tcPr>
            <w:tcW w:w="1276" w:type="dxa"/>
            <w:shd w:val="clear" w:color="auto" w:fill="C6EFCE"/>
            <w:noWrap/>
          </w:tcPr>
          <w:p w14:paraId="5043CB0F" w14:textId="67BDD0D2" w:rsidR="006578ED" w:rsidRDefault="00A1618E">
            <w:pPr>
              <w:pStyle w:val="P68B1DB1-Normal13"/>
              <w:spacing w:after="0" w:line="240" w:lineRule="auto"/>
              <w:jc w:val="center"/>
              <w:rPr>
                <w:rFonts w:eastAsia="MS Mincho" w:cs="Times New Roman"/>
                <w:noProof/>
              </w:rPr>
            </w:pPr>
            <w:r>
              <w:rPr>
                <w:noProof/>
              </w:rPr>
              <w:t>Podpisanie umów z publicznymi organami badawczymi</w:t>
            </w:r>
          </w:p>
        </w:tc>
        <w:tc>
          <w:tcPr>
            <w:tcW w:w="850" w:type="dxa"/>
            <w:shd w:val="clear" w:color="auto" w:fill="C6EFCE"/>
            <w:noWrap/>
          </w:tcPr>
          <w:p w14:paraId="11027AA7" w14:textId="71EDFADA"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5D64A453" w14:textId="6A13CB52"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174B1212" w14:textId="0A8BA489"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5585A9C2" w14:textId="05227E10"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0B50C5A4" w14:textId="19AA6B8A" w:rsidR="006578ED" w:rsidRDefault="00A1618E">
            <w:pPr>
              <w:pStyle w:val="P68B1DB1-Normal13"/>
              <w:spacing w:after="0" w:line="240" w:lineRule="auto"/>
              <w:jc w:val="center"/>
              <w:rPr>
                <w:rFonts w:eastAsia="MS Mincho" w:cs="Times New Roman"/>
                <w:noProof/>
              </w:rPr>
            </w:pPr>
            <w:r>
              <w:rPr>
                <w:noProof/>
              </w:rPr>
              <w:t>2021</w:t>
            </w:r>
          </w:p>
        </w:tc>
        <w:tc>
          <w:tcPr>
            <w:tcW w:w="5387" w:type="dxa"/>
            <w:shd w:val="clear" w:color="auto" w:fill="C6EFCE"/>
            <w:noWrap/>
          </w:tcPr>
          <w:p w14:paraId="616FEBE4" w14:textId="0DDE28BB" w:rsidR="006578ED" w:rsidRDefault="00A1618E">
            <w:pPr>
              <w:pStyle w:val="P68B1DB1-Normal13"/>
              <w:spacing w:after="0" w:line="240" w:lineRule="auto"/>
              <w:rPr>
                <w:rFonts w:eastAsia="MS Mincho" w:cs="Times New Roman"/>
                <w:noProof/>
              </w:rPr>
            </w:pPr>
            <w:r>
              <w:rPr>
                <w:noProof/>
              </w:rPr>
              <w:t xml:space="preserve">Podpisanie umów z publicznymi jednostkami badawczymi w celu promowania badań w dziedzinie rybołówstwa i akwakultury, zapewniających podejście ekosystemowe do podejmowania decyzji w zakresie zarządzania rybołówstwem </w:t>
            </w:r>
          </w:p>
        </w:tc>
      </w:tr>
      <w:tr w:rsidR="006578ED" w14:paraId="256BC99F" w14:textId="77777777">
        <w:trPr>
          <w:trHeight w:val="309"/>
        </w:trPr>
        <w:tc>
          <w:tcPr>
            <w:tcW w:w="709" w:type="dxa"/>
            <w:shd w:val="clear" w:color="auto" w:fill="C6EFCE"/>
            <w:noWrap/>
          </w:tcPr>
          <w:p w14:paraId="5FE3165D" w14:textId="0AFB058B" w:rsidR="006578ED" w:rsidRDefault="00A1618E">
            <w:pPr>
              <w:pStyle w:val="P68B1DB1-Normal13"/>
              <w:spacing w:after="0" w:line="240" w:lineRule="auto"/>
              <w:jc w:val="center"/>
              <w:rPr>
                <w:rFonts w:eastAsia="MS Mincho" w:cs="Times New Roman"/>
                <w:noProof/>
              </w:rPr>
            </w:pPr>
            <w:r>
              <w:rPr>
                <w:noProof/>
              </w:rPr>
              <w:t>57</w:t>
            </w:r>
          </w:p>
        </w:tc>
        <w:tc>
          <w:tcPr>
            <w:tcW w:w="851" w:type="dxa"/>
            <w:shd w:val="clear" w:color="auto" w:fill="C6EFCE"/>
            <w:noWrap/>
          </w:tcPr>
          <w:p w14:paraId="33E213DF" w14:textId="2023383F" w:rsidR="006578ED" w:rsidRDefault="00A1618E">
            <w:pPr>
              <w:pStyle w:val="P68B1DB1-Normal13"/>
              <w:spacing w:after="0" w:line="240" w:lineRule="auto"/>
              <w:jc w:val="center"/>
              <w:rPr>
                <w:rFonts w:eastAsia="MS Mincho" w:cs="Times New Roman"/>
                <w:noProof/>
              </w:rPr>
            </w:pPr>
            <w:r>
              <w:rPr>
                <w:noProof/>
              </w:rPr>
              <w:t>C3.I7</w:t>
            </w:r>
          </w:p>
        </w:tc>
        <w:tc>
          <w:tcPr>
            <w:tcW w:w="1080" w:type="dxa"/>
            <w:shd w:val="clear" w:color="auto" w:fill="C6EFCE"/>
            <w:noWrap/>
          </w:tcPr>
          <w:p w14:paraId="388498F2" w14:textId="5A9AE697" w:rsidR="006578ED" w:rsidRDefault="00AF6B91">
            <w:pPr>
              <w:pStyle w:val="P68B1DB1-Normal13"/>
              <w:spacing w:after="0" w:line="240" w:lineRule="auto"/>
              <w:jc w:val="center"/>
              <w:rPr>
                <w:rFonts w:eastAsia="MS Mincho" w:cs="Times New Roman"/>
                <w:noProof/>
              </w:rPr>
            </w:pPr>
            <w:r>
              <w:rPr>
                <w:noProof/>
              </w:rPr>
              <w:t>Cel</w:t>
            </w:r>
          </w:p>
        </w:tc>
        <w:tc>
          <w:tcPr>
            <w:tcW w:w="2889" w:type="dxa"/>
            <w:shd w:val="clear" w:color="auto" w:fill="C6EFCE"/>
            <w:noWrap/>
          </w:tcPr>
          <w:p w14:paraId="31C63DEF" w14:textId="7F56AF6E" w:rsidR="006578ED" w:rsidRDefault="00A1618E">
            <w:pPr>
              <w:pStyle w:val="P68B1DB1-Normal13"/>
              <w:spacing w:after="0" w:line="240" w:lineRule="auto"/>
              <w:rPr>
                <w:rFonts w:eastAsia="MS Mincho" w:cs="Times New Roman"/>
                <w:noProof/>
              </w:rPr>
            </w:pPr>
            <w:r>
              <w:rPr>
                <w:noProof/>
              </w:rPr>
              <w:t>Zakup sond akustycznych do badań w rybołówstwie</w:t>
            </w:r>
          </w:p>
        </w:tc>
        <w:tc>
          <w:tcPr>
            <w:tcW w:w="1276" w:type="dxa"/>
            <w:shd w:val="clear" w:color="auto" w:fill="C6EFCE"/>
            <w:noWrap/>
          </w:tcPr>
          <w:p w14:paraId="01947563" w14:textId="78C22953"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8BC89FB" w14:textId="7792EE1E" w:rsidR="006578ED" w:rsidRDefault="00A1618E">
            <w:pPr>
              <w:pStyle w:val="P68B1DB1-Normal13"/>
              <w:spacing w:after="0" w:line="240" w:lineRule="auto"/>
              <w:jc w:val="right"/>
              <w:rPr>
                <w:rFonts w:eastAsia="MS Mincho" w:cs="Times New Roman"/>
                <w:noProof/>
              </w:rPr>
            </w:pPr>
            <w:r>
              <w:rPr>
                <w:noProof/>
              </w:rPr>
              <w:t>Liczba </w:t>
            </w:r>
          </w:p>
        </w:tc>
        <w:tc>
          <w:tcPr>
            <w:tcW w:w="567" w:type="dxa"/>
            <w:shd w:val="clear" w:color="auto" w:fill="C6EFCE"/>
            <w:noWrap/>
          </w:tcPr>
          <w:p w14:paraId="70945AB8" w14:textId="73B2824C"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45FB2F13" w14:textId="2CA05724" w:rsidR="006578ED" w:rsidRDefault="00A1618E">
            <w:pPr>
              <w:pStyle w:val="P68B1DB1-Normal13"/>
              <w:spacing w:after="0" w:line="240" w:lineRule="auto"/>
              <w:jc w:val="right"/>
              <w:rPr>
                <w:rFonts w:eastAsia="MS Mincho" w:cs="Times New Roman"/>
                <w:noProof/>
              </w:rPr>
            </w:pPr>
            <w:r>
              <w:rPr>
                <w:noProof/>
              </w:rPr>
              <w:t>2</w:t>
            </w:r>
          </w:p>
        </w:tc>
        <w:tc>
          <w:tcPr>
            <w:tcW w:w="425" w:type="dxa"/>
            <w:shd w:val="clear" w:color="auto" w:fill="C6EFCE"/>
            <w:noWrap/>
          </w:tcPr>
          <w:p w14:paraId="1317816B" w14:textId="2D1D514B"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5B19E796" w14:textId="77777777"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0DBBBB21" w14:textId="66ECFD7E" w:rsidR="006578ED" w:rsidRDefault="00A1618E">
            <w:pPr>
              <w:pStyle w:val="P68B1DB1-Normal13"/>
              <w:spacing w:after="0" w:line="240" w:lineRule="auto"/>
              <w:rPr>
                <w:rFonts w:cs="Times New Roman"/>
                <w:noProof/>
              </w:rPr>
            </w:pPr>
            <w:r>
              <w:rPr>
                <w:noProof/>
              </w:rPr>
              <w:t>Publikacja na platformie zamówień publicznych zamówienia udzielonego na nabycie dwóch sond akustycznych przeznaczonych do badań w dziedzinie rybołówstwa. Celem nabycia dwóch sond dla dwóch istniejących statków badawczych jest zapewnienie jakości uzyskanych danych i w związku z tym sprzyjanie ocenom naukowym różnych stad gatunków pelagicznych, przyczyniając się do zrównoważonego charakteru rybołówstwa i podejmowania decyzji w kwestiach zarządzania rybołówstwem opartych na najlepszej wiedzy naukowej.</w:t>
            </w:r>
          </w:p>
        </w:tc>
      </w:tr>
      <w:tr w:rsidR="006578ED" w14:paraId="1406655C" w14:textId="77777777">
        <w:trPr>
          <w:trHeight w:val="309"/>
        </w:trPr>
        <w:tc>
          <w:tcPr>
            <w:tcW w:w="709" w:type="dxa"/>
            <w:shd w:val="clear" w:color="auto" w:fill="C6EFCE"/>
            <w:noWrap/>
          </w:tcPr>
          <w:p w14:paraId="6F8A58DE" w14:textId="51E18F9A" w:rsidR="006578ED" w:rsidRDefault="00A1618E">
            <w:pPr>
              <w:pStyle w:val="P68B1DB1-Normal13"/>
              <w:spacing w:after="0" w:line="240" w:lineRule="auto"/>
              <w:jc w:val="center"/>
              <w:rPr>
                <w:rFonts w:eastAsia="MS Mincho" w:cs="Times New Roman"/>
                <w:noProof/>
              </w:rPr>
            </w:pPr>
            <w:r>
              <w:rPr>
                <w:noProof/>
              </w:rPr>
              <w:t>58</w:t>
            </w:r>
          </w:p>
        </w:tc>
        <w:tc>
          <w:tcPr>
            <w:tcW w:w="851" w:type="dxa"/>
            <w:shd w:val="clear" w:color="auto" w:fill="C6EFCE"/>
            <w:noWrap/>
          </w:tcPr>
          <w:p w14:paraId="2E9F658E" w14:textId="51F7C3D1" w:rsidR="006578ED" w:rsidRDefault="00A1618E">
            <w:pPr>
              <w:pStyle w:val="P68B1DB1-Normal13"/>
              <w:spacing w:after="0" w:line="240" w:lineRule="auto"/>
              <w:jc w:val="center"/>
              <w:rPr>
                <w:rFonts w:eastAsia="MS Mincho" w:cs="Times New Roman"/>
                <w:noProof/>
              </w:rPr>
            </w:pPr>
            <w:r>
              <w:rPr>
                <w:noProof/>
              </w:rPr>
              <w:t>C3.I8</w:t>
            </w:r>
          </w:p>
        </w:tc>
        <w:tc>
          <w:tcPr>
            <w:tcW w:w="1080" w:type="dxa"/>
            <w:shd w:val="clear" w:color="auto" w:fill="C6EFCE"/>
            <w:noWrap/>
          </w:tcPr>
          <w:p w14:paraId="36908B73" w14:textId="345F23CB" w:rsidR="006578ED" w:rsidRDefault="00AF6B91">
            <w:pPr>
              <w:pStyle w:val="P68B1DB1-Normal13"/>
              <w:spacing w:after="0" w:line="240" w:lineRule="auto"/>
              <w:jc w:val="center"/>
              <w:rPr>
                <w:rFonts w:eastAsia="MS Mincho" w:cs="Times New Roman"/>
                <w:noProof/>
              </w:rPr>
            </w:pPr>
            <w:r>
              <w:rPr>
                <w:noProof/>
              </w:rPr>
              <w:t>Cel</w:t>
            </w:r>
          </w:p>
        </w:tc>
        <w:tc>
          <w:tcPr>
            <w:tcW w:w="2889" w:type="dxa"/>
            <w:shd w:val="clear" w:color="auto" w:fill="C6EFCE"/>
            <w:noWrap/>
          </w:tcPr>
          <w:p w14:paraId="59366F03" w14:textId="43979B10" w:rsidR="006578ED" w:rsidRDefault="00A1618E">
            <w:pPr>
              <w:pStyle w:val="P68B1DB1-Normal13"/>
              <w:spacing w:after="0" w:line="240" w:lineRule="auto"/>
              <w:rPr>
                <w:rFonts w:eastAsia="MS Mincho" w:cs="Times New Roman"/>
                <w:noProof/>
              </w:rPr>
            </w:pPr>
            <w:r>
              <w:rPr>
                <w:noProof/>
              </w:rPr>
              <w:t>Projekty badawczo-rozwojowe i innowacyjne wspierające odporność i zrównoważony charakter sektora rybołówstwa i akwakultury</w:t>
            </w:r>
          </w:p>
        </w:tc>
        <w:tc>
          <w:tcPr>
            <w:tcW w:w="1276" w:type="dxa"/>
            <w:shd w:val="clear" w:color="auto" w:fill="C6EFCE"/>
            <w:noWrap/>
          </w:tcPr>
          <w:p w14:paraId="4E801B33" w14:textId="60B7C178"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184D15E4" w14:textId="251C36AF" w:rsidR="006578ED" w:rsidRDefault="00A1618E">
            <w:pPr>
              <w:pStyle w:val="P68B1DB1-Normal13"/>
              <w:spacing w:after="0" w:line="240" w:lineRule="auto"/>
              <w:jc w:val="right"/>
              <w:rPr>
                <w:rFonts w:eastAsia="MS Mincho" w:cs="Times New Roman"/>
                <w:noProof/>
              </w:rPr>
            </w:pPr>
            <w:r>
              <w:rPr>
                <w:noProof/>
              </w:rPr>
              <w:t>Liczba</w:t>
            </w:r>
          </w:p>
        </w:tc>
        <w:tc>
          <w:tcPr>
            <w:tcW w:w="567" w:type="dxa"/>
            <w:shd w:val="clear" w:color="auto" w:fill="C6EFCE"/>
            <w:noWrap/>
          </w:tcPr>
          <w:p w14:paraId="63A420E6" w14:textId="024DED6A"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028EB558" w14:textId="5B485D53" w:rsidR="006578ED" w:rsidRDefault="00A1618E">
            <w:pPr>
              <w:pStyle w:val="P68B1DB1-Normal13"/>
              <w:spacing w:after="0" w:line="240" w:lineRule="auto"/>
              <w:jc w:val="right"/>
              <w:rPr>
                <w:rFonts w:eastAsia="MS Mincho" w:cs="Times New Roman"/>
                <w:noProof/>
              </w:rPr>
            </w:pPr>
            <w:r>
              <w:rPr>
                <w:noProof/>
              </w:rPr>
              <w:t>20</w:t>
            </w:r>
          </w:p>
        </w:tc>
        <w:tc>
          <w:tcPr>
            <w:tcW w:w="425" w:type="dxa"/>
            <w:shd w:val="clear" w:color="auto" w:fill="C6EFCE"/>
            <w:noWrap/>
          </w:tcPr>
          <w:p w14:paraId="6AC464C5" w14:textId="03C03C1D"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3A713548" w14:textId="6D21B9C8" w:rsidR="006578ED" w:rsidRDefault="00A1618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10FE26EE" w14:textId="5CCB02F0" w:rsidR="006578ED" w:rsidRDefault="00A1618E">
            <w:pPr>
              <w:pStyle w:val="P68B1DB1-Normal13"/>
              <w:spacing w:after="0" w:line="240" w:lineRule="auto"/>
              <w:rPr>
                <w:rFonts w:eastAsia="MS Mincho" w:cs="Times New Roman"/>
                <w:noProof/>
              </w:rPr>
            </w:pPr>
            <w:r>
              <w:rPr>
                <w:noProof/>
              </w:rPr>
              <w:t>Ukończenie co najmniej 20 projektów w zakresie badań, rozwoju i innowacji w celu przyjęcia nowych technologii sprzyjających odporności i zrównoważonemu charakterowi sektora rybołówstwa i akwakultury.</w:t>
            </w:r>
          </w:p>
        </w:tc>
      </w:tr>
      <w:tr w:rsidR="006578ED" w14:paraId="30C4F024" w14:textId="77777777">
        <w:trPr>
          <w:trHeight w:val="309"/>
        </w:trPr>
        <w:tc>
          <w:tcPr>
            <w:tcW w:w="709" w:type="dxa"/>
            <w:shd w:val="clear" w:color="auto" w:fill="C6EFCE"/>
            <w:noWrap/>
          </w:tcPr>
          <w:p w14:paraId="4D2760AF" w14:textId="25DEC3E5" w:rsidR="006578ED" w:rsidRDefault="00A1618E">
            <w:pPr>
              <w:pStyle w:val="P68B1DB1-Normal13"/>
              <w:spacing w:after="0" w:line="240" w:lineRule="auto"/>
              <w:jc w:val="center"/>
              <w:rPr>
                <w:rFonts w:eastAsia="MS Mincho" w:cs="Times New Roman"/>
                <w:noProof/>
              </w:rPr>
            </w:pPr>
            <w:r>
              <w:rPr>
                <w:noProof/>
              </w:rPr>
              <w:t>59</w:t>
            </w:r>
          </w:p>
        </w:tc>
        <w:tc>
          <w:tcPr>
            <w:tcW w:w="851" w:type="dxa"/>
            <w:shd w:val="clear" w:color="auto" w:fill="C6EFCE"/>
            <w:noWrap/>
          </w:tcPr>
          <w:p w14:paraId="74A6100D" w14:textId="2914EE3A" w:rsidR="006578ED" w:rsidRDefault="00A1618E">
            <w:pPr>
              <w:pStyle w:val="P68B1DB1-Normal13"/>
              <w:spacing w:after="0" w:line="240" w:lineRule="auto"/>
              <w:jc w:val="center"/>
              <w:rPr>
                <w:rFonts w:eastAsia="MS Mincho" w:cs="Times New Roman"/>
                <w:noProof/>
              </w:rPr>
            </w:pPr>
            <w:r>
              <w:rPr>
                <w:noProof/>
              </w:rPr>
              <w:t>C3.I9</w:t>
            </w:r>
          </w:p>
        </w:tc>
        <w:tc>
          <w:tcPr>
            <w:tcW w:w="1080" w:type="dxa"/>
            <w:shd w:val="clear" w:color="auto" w:fill="C6EFCE"/>
            <w:noWrap/>
          </w:tcPr>
          <w:p w14:paraId="60A92451" w14:textId="6CB1E063"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2F0C1A98" w14:textId="305A7BC7" w:rsidR="006578ED" w:rsidRDefault="00A1618E">
            <w:pPr>
              <w:pStyle w:val="P68B1DB1-Normal13"/>
              <w:spacing w:after="0" w:line="240" w:lineRule="auto"/>
              <w:rPr>
                <w:rFonts w:eastAsia="MS Mincho" w:cs="Times New Roman"/>
                <w:noProof/>
              </w:rPr>
            </w:pPr>
            <w:r>
              <w:rPr>
                <w:noProof/>
              </w:rPr>
              <w:t xml:space="preserve">Cyfrowe wzmocnienie hiszpańskiego systemu informacji o rybołówstwie (SIPE) oraz systemu nadzoru połowów </w:t>
            </w:r>
          </w:p>
        </w:tc>
        <w:tc>
          <w:tcPr>
            <w:tcW w:w="1276" w:type="dxa"/>
            <w:shd w:val="clear" w:color="auto" w:fill="C6EFCE"/>
            <w:noWrap/>
          </w:tcPr>
          <w:p w14:paraId="07459315" w14:textId="14D49FA8" w:rsidR="006578ED" w:rsidRDefault="00A1618E">
            <w:pPr>
              <w:pStyle w:val="P68B1DB1-Normal13"/>
              <w:spacing w:after="0" w:line="240" w:lineRule="auto"/>
              <w:jc w:val="center"/>
              <w:rPr>
                <w:rFonts w:eastAsia="MS Mincho" w:cs="Times New Roman"/>
                <w:noProof/>
              </w:rPr>
            </w:pPr>
            <w:r>
              <w:rPr>
                <w:noProof/>
              </w:rPr>
              <w:t>Instalacja drugiej bariery zapory sieciowej</w:t>
            </w:r>
          </w:p>
        </w:tc>
        <w:tc>
          <w:tcPr>
            <w:tcW w:w="850" w:type="dxa"/>
            <w:shd w:val="clear" w:color="auto" w:fill="C6EFCE"/>
            <w:noWrap/>
          </w:tcPr>
          <w:p w14:paraId="492888C9" w14:textId="0C17A82B" w:rsidR="006578ED" w:rsidRDefault="00A1618E">
            <w:pPr>
              <w:pStyle w:val="P68B1DB1-Normal13"/>
              <w:spacing w:after="0" w:line="240" w:lineRule="auto"/>
              <w:jc w:val="right"/>
              <w:rPr>
                <w:rFonts w:eastAsia="MS Mincho" w:cs="Times New Roman"/>
                <w:noProof/>
              </w:rPr>
            </w:pPr>
            <w:r>
              <w:rPr>
                <w:noProof/>
              </w:rPr>
              <w:t> </w:t>
            </w:r>
          </w:p>
        </w:tc>
        <w:tc>
          <w:tcPr>
            <w:tcW w:w="567" w:type="dxa"/>
            <w:shd w:val="clear" w:color="auto" w:fill="C6EFCE"/>
            <w:noWrap/>
          </w:tcPr>
          <w:p w14:paraId="3081C80F" w14:textId="192EA673"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144751B" w14:textId="7A6D4372"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0DC41FC3" w14:textId="1CDF7EA2"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162C3D42" w14:textId="6DF5AFA2" w:rsidR="006578ED" w:rsidRDefault="00A1618E">
            <w:pPr>
              <w:pStyle w:val="P68B1DB1-Normal13"/>
              <w:spacing w:after="0" w:line="240" w:lineRule="auto"/>
              <w:jc w:val="center"/>
              <w:rPr>
                <w:rFonts w:eastAsia="MS Mincho" w:cs="Times New Roman"/>
                <w:noProof/>
              </w:rPr>
            </w:pPr>
            <w:r>
              <w:rPr>
                <w:noProof/>
              </w:rPr>
              <w:t>2023</w:t>
            </w:r>
          </w:p>
        </w:tc>
        <w:tc>
          <w:tcPr>
            <w:tcW w:w="5387" w:type="dxa"/>
            <w:shd w:val="clear" w:color="auto" w:fill="C6EFCE"/>
            <w:noWrap/>
          </w:tcPr>
          <w:p w14:paraId="514E70BC" w14:textId="1ECD3BCB" w:rsidR="006578ED" w:rsidRDefault="00A1618E">
            <w:pPr>
              <w:pStyle w:val="P68B1DB1-Normal13"/>
              <w:spacing w:after="0" w:line="240" w:lineRule="auto"/>
              <w:rPr>
                <w:rFonts w:eastAsia="MS Mincho" w:cs="Times New Roman"/>
                <w:noProof/>
              </w:rPr>
            </w:pPr>
            <w:r>
              <w:rPr>
                <w:noProof/>
              </w:rPr>
              <w:t xml:space="preserve">Cyfrowe wzmocnienie informacji o połowach i nadzoru, w tym zainstalowanie drugiej bariery zapory sieciowej (zapory ogniowej) w celu zwiększenia bezpieczeństwa hiszpańskiego systemu informacji o rybołówstwie (SIPE), zgodnie z wymogami ustanowionymi w krajowym systemie bezpieczeństwa (ENS) w zakresie wysokiego poziomu bezpieczeństwa oraz cyfryzacji statków rybackich. </w:t>
            </w:r>
          </w:p>
        </w:tc>
      </w:tr>
      <w:tr w:rsidR="006578ED" w14:paraId="1E462E9F" w14:textId="77777777">
        <w:trPr>
          <w:trHeight w:val="309"/>
        </w:trPr>
        <w:tc>
          <w:tcPr>
            <w:tcW w:w="709" w:type="dxa"/>
            <w:shd w:val="clear" w:color="auto" w:fill="C6EFCE"/>
            <w:noWrap/>
          </w:tcPr>
          <w:p w14:paraId="60E7A8A8" w14:textId="3D95EEAB" w:rsidR="006578ED" w:rsidRDefault="00A1618E">
            <w:pPr>
              <w:pStyle w:val="P68B1DB1-Normal13"/>
              <w:spacing w:after="0" w:line="240" w:lineRule="auto"/>
              <w:jc w:val="center"/>
              <w:rPr>
                <w:rFonts w:eastAsia="MS Mincho" w:cs="Times New Roman"/>
                <w:noProof/>
              </w:rPr>
            </w:pPr>
            <w:r>
              <w:rPr>
                <w:noProof/>
              </w:rPr>
              <w:t>60</w:t>
            </w:r>
          </w:p>
        </w:tc>
        <w:tc>
          <w:tcPr>
            <w:tcW w:w="851" w:type="dxa"/>
            <w:shd w:val="clear" w:color="auto" w:fill="C6EFCE"/>
            <w:noWrap/>
          </w:tcPr>
          <w:p w14:paraId="195DB6A2" w14:textId="48CC61DA" w:rsidR="006578ED" w:rsidRDefault="00A1618E">
            <w:pPr>
              <w:pStyle w:val="P68B1DB1-Normal13"/>
              <w:spacing w:after="0" w:line="240" w:lineRule="auto"/>
              <w:jc w:val="center"/>
              <w:rPr>
                <w:rFonts w:eastAsia="MS Mincho" w:cs="Times New Roman"/>
                <w:noProof/>
              </w:rPr>
            </w:pPr>
            <w:r>
              <w:rPr>
                <w:noProof/>
              </w:rPr>
              <w:t>C3.I10</w:t>
            </w:r>
          </w:p>
        </w:tc>
        <w:tc>
          <w:tcPr>
            <w:tcW w:w="1080" w:type="dxa"/>
            <w:shd w:val="clear" w:color="auto" w:fill="C6EFCE"/>
            <w:noWrap/>
          </w:tcPr>
          <w:p w14:paraId="1EE4D7E7" w14:textId="5CB58721" w:rsidR="006578ED" w:rsidRDefault="00AF6B91">
            <w:pPr>
              <w:pStyle w:val="P68B1DB1-Normal13"/>
              <w:spacing w:after="0" w:line="240" w:lineRule="auto"/>
              <w:jc w:val="center"/>
              <w:rPr>
                <w:rFonts w:eastAsia="MS Mincho" w:cs="Times New Roman"/>
                <w:noProof/>
              </w:rPr>
            </w:pPr>
            <w:r>
              <w:rPr>
                <w:noProof/>
              </w:rPr>
              <w:t>Kamień milowy</w:t>
            </w:r>
          </w:p>
        </w:tc>
        <w:tc>
          <w:tcPr>
            <w:tcW w:w="2889" w:type="dxa"/>
            <w:shd w:val="clear" w:color="auto" w:fill="C6EFCE"/>
            <w:noWrap/>
          </w:tcPr>
          <w:p w14:paraId="4637942A" w14:textId="732F9F04" w:rsidR="006578ED" w:rsidRDefault="00A1618E">
            <w:pPr>
              <w:pStyle w:val="P68B1DB1-Normal13"/>
              <w:spacing w:after="0" w:line="240" w:lineRule="auto"/>
              <w:rPr>
                <w:rFonts w:eastAsia="MS Mincho" w:cs="Times New Roman"/>
                <w:noProof/>
              </w:rPr>
            </w:pPr>
            <w:r>
              <w:rPr>
                <w:noProof/>
              </w:rPr>
              <w:t xml:space="preserve">Zakup lekkich łodzi patrolowych i pełnomorskich statków patrolowych w celu zwalczania nielegalnych, nieraportowanych i nieuregulowanych połowów </w:t>
            </w:r>
          </w:p>
        </w:tc>
        <w:tc>
          <w:tcPr>
            <w:tcW w:w="1276" w:type="dxa"/>
            <w:shd w:val="clear" w:color="auto" w:fill="C6EFCE"/>
            <w:noWrap/>
          </w:tcPr>
          <w:p w14:paraId="6537F28F" w14:textId="6B858899" w:rsidR="006578ED" w:rsidRDefault="00A1618E">
            <w:pPr>
              <w:pStyle w:val="P68B1DB1-Normal13"/>
              <w:spacing w:after="0" w:line="240" w:lineRule="auto"/>
              <w:jc w:val="center"/>
              <w:rPr>
                <w:rFonts w:eastAsia="MS Mincho" w:cs="Times New Roman"/>
                <w:noProof/>
              </w:rPr>
            </w:pPr>
            <w:r>
              <w:rPr>
                <w:noProof/>
              </w:rPr>
              <w:t xml:space="preserve">Publikacja na platformie zamówień publicznych informacji o udzieleniu zamówienia </w:t>
            </w:r>
          </w:p>
        </w:tc>
        <w:tc>
          <w:tcPr>
            <w:tcW w:w="850" w:type="dxa"/>
            <w:shd w:val="clear" w:color="auto" w:fill="C6EFCE"/>
            <w:noWrap/>
          </w:tcPr>
          <w:p w14:paraId="24395A78" w14:textId="10EB6BDF"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3209E21E" w14:textId="425DB139"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B5474F0" w14:textId="772120D4"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73E51AB3" w14:textId="21E7D668"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31A5C52D" w14:textId="1D6B0EE5"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79CBC4EB" w14:textId="1CF9B6A1" w:rsidR="006578ED" w:rsidRDefault="00A1618E">
            <w:pPr>
              <w:pStyle w:val="P68B1DB1-Normal13"/>
              <w:spacing w:after="0" w:line="240" w:lineRule="auto"/>
              <w:rPr>
                <w:rFonts w:eastAsia="MS Mincho" w:cs="Times New Roman"/>
                <w:noProof/>
              </w:rPr>
            </w:pPr>
            <w:r>
              <w:rPr>
                <w:noProof/>
              </w:rPr>
              <w:t>Publikacja na platformie zamówień publicznych zamówienia na cztery nowe lekkie łodzie patrolowe i trzy odnowione statki patrolowe pełnomorskie, które będą wykorzystywane do zwalczania nielegalnych, nieraportowanych i nieuregulowanych połowów, które nadal stanowią jedno z największych istniejących zagrożeń dla ekosystemów morskich. Należy poszukiwać najlepszej technologii umożliwiającej zapewnienie zgodności z wytycznymi technicznymi dotyczącymi zasady „nie czyń poważnych szkód” (2021/C58/01).</w:t>
            </w:r>
          </w:p>
        </w:tc>
      </w:tr>
      <w:tr w:rsidR="006578ED" w14:paraId="7F936975" w14:textId="77777777">
        <w:trPr>
          <w:trHeight w:val="309"/>
        </w:trPr>
        <w:tc>
          <w:tcPr>
            <w:tcW w:w="709" w:type="dxa"/>
            <w:shd w:val="clear" w:color="auto" w:fill="C6EFCE"/>
            <w:noWrap/>
          </w:tcPr>
          <w:p w14:paraId="6E55690C" w14:textId="0FF76394" w:rsidR="006578ED" w:rsidRDefault="00A1618E">
            <w:pPr>
              <w:pStyle w:val="P68B1DB1-Normal13"/>
              <w:spacing w:after="0" w:line="240" w:lineRule="auto"/>
              <w:jc w:val="center"/>
              <w:rPr>
                <w:rFonts w:eastAsia="MS Mincho" w:cs="Times New Roman"/>
                <w:noProof/>
              </w:rPr>
            </w:pPr>
            <w:r>
              <w:rPr>
                <w:noProof/>
              </w:rPr>
              <w:t>61</w:t>
            </w:r>
          </w:p>
        </w:tc>
        <w:tc>
          <w:tcPr>
            <w:tcW w:w="851" w:type="dxa"/>
            <w:shd w:val="clear" w:color="auto" w:fill="C6EFCE"/>
            <w:noWrap/>
          </w:tcPr>
          <w:p w14:paraId="1A723A1E" w14:textId="31EE0C7E" w:rsidR="006578ED" w:rsidRDefault="00A1618E">
            <w:pPr>
              <w:pStyle w:val="P68B1DB1-Normal13"/>
              <w:spacing w:after="0" w:line="240" w:lineRule="auto"/>
              <w:jc w:val="center"/>
              <w:rPr>
                <w:rFonts w:eastAsia="MS Mincho" w:cs="Times New Roman"/>
                <w:noProof/>
              </w:rPr>
            </w:pPr>
            <w:r>
              <w:rPr>
                <w:noProof/>
              </w:rPr>
              <w:t>C3.I11</w:t>
            </w:r>
          </w:p>
        </w:tc>
        <w:tc>
          <w:tcPr>
            <w:tcW w:w="1080" w:type="dxa"/>
            <w:shd w:val="clear" w:color="auto" w:fill="C6EFCE"/>
            <w:noWrap/>
          </w:tcPr>
          <w:p w14:paraId="02EB2921" w14:textId="042B3EDC" w:rsidR="006578ED" w:rsidRDefault="00AF6B91">
            <w:pPr>
              <w:pStyle w:val="P68B1DB1-Normal13"/>
              <w:spacing w:after="0" w:line="240" w:lineRule="auto"/>
              <w:jc w:val="center"/>
              <w:rPr>
                <w:rFonts w:eastAsia="MS Mincho" w:cs="Times New Roman"/>
                <w:noProof/>
              </w:rPr>
            </w:pPr>
            <w:r>
              <w:rPr>
                <w:noProof/>
              </w:rPr>
              <w:t>Cel</w:t>
            </w:r>
          </w:p>
        </w:tc>
        <w:tc>
          <w:tcPr>
            <w:tcW w:w="2889" w:type="dxa"/>
            <w:shd w:val="clear" w:color="auto" w:fill="C6EFCE"/>
            <w:noWrap/>
          </w:tcPr>
          <w:p w14:paraId="5707BEAA" w14:textId="61081F60" w:rsidR="006578ED" w:rsidRDefault="00A1618E">
            <w:pPr>
              <w:pStyle w:val="P68B1DB1-Normal13"/>
              <w:spacing w:after="0" w:line="240" w:lineRule="auto"/>
              <w:rPr>
                <w:rFonts w:eastAsia="MS Mincho" w:cs="Times New Roman"/>
                <w:noProof/>
              </w:rPr>
            </w:pPr>
            <w:r>
              <w:rPr>
                <w:noProof/>
              </w:rPr>
              <w:t>Finansowanie projektów inwestycyjnych w sektorze rybołówstwa</w:t>
            </w:r>
          </w:p>
        </w:tc>
        <w:tc>
          <w:tcPr>
            <w:tcW w:w="1276" w:type="dxa"/>
            <w:shd w:val="clear" w:color="auto" w:fill="C6EFCE"/>
            <w:noWrap/>
          </w:tcPr>
          <w:p w14:paraId="3973365E" w14:textId="572DF5B8"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222CCC41" w14:textId="248FA75A" w:rsidR="006578ED" w:rsidRDefault="00A1618E">
            <w:pPr>
              <w:pStyle w:val="P68B1DB1-Normal13"/>
              <w:spacing w:after="0" w:line="240" w:lineRule="auto"/>
              <w:jc w:val="right"/>
              <w:rPr>
                <w:rFonts w:eastAsia="MS Mincho" w:cs="Times New Roman"/>
                <w:noProof/>
              </w:rPr>
            </w:pPr>
            <w:r>
              <w:rPr>
                <w:noProof/>
              </w:rPr>
              <w:t>Mln EUR</w:t>
            </w:r>
          </w:p>
        </w:tc>
        <w:tc>
          <w:tcPr>
            <w:tcW w:w="567" w:type="dxa"/>
            <w:shd w:val="clear" w:color="auto" w:fill="C6EFCE"/>
            <w:noWrap/>
          </w:tcPr>
          <w:p w14:paraId="66E8DF9A" w14:textId="360D9327"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637F08B6" w14:textId="5981BE43" w:rsidR="006578ED" w:rsidRDefault="00A1618E">
            <w:pPr>
              <w:pStyle w:val="P68B1DB1-Normal13"/>
              <w:spacing w:after="0" w:line="240" w:lineRule="auto"/>
              <w:jc w:val="right"/>
              <w:rPr>
                <w:rFonts w:eastAsia="MS Mincho" w:cs="Times New Roman"/>
                <w:noProof/>
              </w:rPr>
            </w:pPr>
            <w:r>
              <w:rPr>
                <w:noProof/>
              </w:rPr>
              <w:t>5</w:t>
            </w:r>
          </w:p>
        </w:tc>
        <w:tc>
          <w:tcPr>
            <w:tcW w:w="425" w:type="dxa"/>
            <w:shd w:val="clear" w:color="auto" w:fill="C6EFCE"/>
            <w:noWrap/>
          </w:tcPr>
          <w:p w14:paraId="067D6490" w14:textId="1CD2F723"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5EC703BC" w14:textId="13F59FB8" w:rsidR="006578ED" w:rsidRDefault="00A1618E">
            <w:pPr>
              <w:pStyle w:val="P68B1DB1-Normal13"/>
              <w:spacing w:after="0" w:line="240" w:lineRule="auto"/>
              <w:jc w:val="center"/>
              <w:rPr>
                <w:rFonts w:eastAsia="MS Mincho" w:cs="Times New Roman"/>
                <w:noProof/>
              </w:rPr>
            </w:pPr>
            <w:r>
              <w:rPr>
                <w:noProof/>
              </w:rPr>
              <w:t>2022</w:t>
            </w:r>
          </w:p>
        </w:tc>
        <w:tc>
          <w:tcPr>
            <w:tcW w:w="5387" w:type="dxa"/>
            <w:shd w:val="clear" w:color="auto" w:fill="C6EFCE"/>
            <w:noWrap/>
          </w:tcPr>
          <w:p w14:paraId="67E761D4" w14:textId="3B79A698" w:rsidR="006578ED" w:rsidRDefault="00A1618E">
            <w:pPr>
              <w:pStyle w:val="P68B1DB1-Normal13"/>
              <w:spacing w:after="0" w:line="240" w:lineRule="auto"/>
              <w:rPr>
                <w:rFonts w:eastAsia="MS Mincho" w:cs="Times New Roman"/>
                <w:noProof/>
              </w:rPr>
            </w:pPr>
            <w:r>
              <w:rPr>
                <w:noProof/>
              </w:rPr>
              <w:t>Zatwierdzenie umowy między Ministerstwem Rolnictwa, Rybołówstwa i Żywności a SAECA w sprawie wsparcia finansowania projektów inwestycyjnych w sektorze rybołówstwa poprzez udzielenie Sociedad Anónima Estatal de Cauciónónal de Caución Agraria (SAECA) pożyczki w wysokości co najmniej 5 000 000 EUR na utworzenie linii finansowania przeznaczonej na regwarancję projektów z działaniami związanymi ze zrównoważonym rybołówstwem; poprawa warunków pracy i bezpieczeństwa działania; oraz digitalizację procesów i systemów. Wyżej wymieniona umowa zawiera klauzulę gwarantującą zgodność transakcji wspieranych w ramach tej inwestycji z wytycznymi technicznymi dotyczącymi zasady „nie czyń poważnych szkód” (2021/C58/01) transakcji objętych wsparciem w ramach tego środka poprzez zastosowanie kontroli zrównoważonego charakteru projektów, wykazu wyłączeń oraz wymogu zgodności z odpowiednimi unijnymi i krajowymi przepisami w zakresie ochrony środowiska.</w:t>
            </w:r>
          </w:p>
        </w:tc>
      </w:tr>
    </w:tbl>
    <w:p w14:paraId="70DF9E56" w14:textId="77777777" w:rsidR="006578ED" w:rsidRDefault="006578ED">
      <w:pPr>
        <w:spacing w:before="120" w:after="120" w:line="240" w:lineRule="auto"/>
        <w:ind w:left="709"/>
        <w:jc w:val="both"/>
        <w:rPr>
          <w:rFonts w:ascii="Times New Roman" w:hAnsi="Times New Roman" w:cs="Times New Roman"/>
          <w:noProof/>
          <w:sz w:val="24"/>
        </w:rPr>
      </w:pPr>
    </w:p>
    <w:p w14:paraId="44E871BC" w14:textId="77777777" w:rsidR="006578ED" w:rsidRDefault="006578ED">
      <w:pPr>
        <w:spacing w:before="120" w:after="120" w:line="240" w:lineRule="auto"/>
        <w:ind w:left="709"/>
        <w:jc w:val="both"/>
        <w:rPr>
          <w:rFonts w:ascii="Times New Roman" w:hAnsi="Times New Roman" w:cs="Times New Roman"/>
          <w:noProof/>
          <w:sz w:val="24"/>
        </w:rPr>
      </w:pPr>
    </w:p>
    <w:p w14:paraId="0EB18B02" w14:textId="785A064A" w:rsidR="006578ED" w:rsidRDefault="006578ED">
      <w:pPr>
        <w:spacing w:before="120" w:after="120" w:line="240" w:lineRule="auto"/>
        <w:ind w:left="709"/>
        <w:jc w:val="both"/>
        <w:rPr>
          <w:rFonts w:ascii="Times New Roman" w:hAnsi="Times New Roman" w:cs="Times New Roman"/>
          <w:noProof/>
          <w:sz w:val="24"/>
        </w:rPr>
      </w:pPr>
    </w:p>
    <w:p w14:paraId="2A718143" w14:textId="01B8AB2B" w:rsidR="006578ED" w:rsidRDefault="006578ED">
      <w:pPr>
        <w:spacing w:before="120" w:after="120" w:line="240" w:lineRule="auto"/>
        <w:ind w:left="709"/>
        <w:jc w:val="both"/>
        <w:rPr>
          <w:rFonts w:ascii="Times New Roman" w:hAnsi="Times New Roman" w:cs="Times New Roman"/>
          <w:noProof/>
          <w:sz w:val="24"/>
        </w:rPr>
      </w:pPr>
    </w:p>
    <w:p w14:paraId="6443D1A8" w14:textId="31ECC4F1" w:rsidR="006578ED" w:rsidRDefault="006578ED">
      <w:pPr>
        <w:spacing w:before="120" w:after="120" w:line="240" w:lineRule="auto"/>
        <w:ind w:left="709"/>
        <w:jc w:val="both"/>
        <w:rPr>
          <w:rFonts w:ascii="Times New Roman" w:hAnsi="Times New Roman" w:cs="Times New Roman"/>
          <w:noProof/>
          <w:sz w:val="24"/>
        </w:rPr>
      </w:pPr>
    </w:p>
    <w:p w14:paraId="72DEA653" w14:textId="2C15C0E9" w:rsidR="006578ED" w:rsidRDefault="006578ED">
      <w:pPr>
        <w:spacing w:before="120" w:after="120" w:line="240" w:lineRule="auto"/>
        <w:ind w:left="709"/>
        <w:jc w:val="both"/>
        <w:rPr>
          <w:rFonts w:ascii="Times New Roman" w:hAnsi="Times New Roman" w:cs="Times New Roman"/>
          <w:noProof/>
          <w:sz w:val="24"/>
        </w:rPr>
      </w:pPr>
    </w:p>
    <w:p w14:paraId="62CC3A09" w14:textId="77777777" w:rsidR="006578ED" w:rsidRDefault="006578ED">
      <w:pPr>
        <w:spacing w:before="120" w:after="120" w:line="240" w:lineRule="auto"/>
        <w:ind w:left="709"/>
        <w:jc w:val="both"/>
        <w:rPr>
          <w:rFonts w:ascii="Times New Roman" w:hAnsi="Times New Roman" w:cs="Times New Roman"/>
          <w:noProof/>
          <w:sz w:val="24"/>
        </w:rPr>
        <w:sectPr w:rsidR="006578ED" w:rsidSect="00522183">
          <w:headerReference w:type="even" r:id="rId84"/>
          <w:headerReference w:type="default" r:id="rId85"/>
          <w:footerReference w:type="even" r:id="rId86"/>
          <w:footerReference w:type="default" r:id="rId87"/>
          <w:headerReference w:type="first" r:id="rId88"/>
          <w:footerReference w:type="first" r:id="rId89"/>
          <w:pgSz w:w="16839" w:h="11907" w:orient="landscape"/>
          <w:pgMar w:top="1417" w:right="1134" w:bottom="1417" w:left="1134" w:header="709" w:footer="709" w:gutter="0"/>
          <w:cols w:space="720"/>
          <w:docGrid w:linePitch="360"/>
        </w:sectPr>
      </w:pPr>
    </w:p>
    <w:p w14:paraId="066BE16A" w14:textId="5EC21CA0" w:rsidR="006578ED" w:rsidRDefault="00A1618E">
      <w:pPr>
        <w:pStyle w:val="P68B1DB1-Text120"/>
        <w:ind w:left="709"/>
        <w:rPr>
          <w:rFonts w:eastAsia="MS Mincho" w:cs="Times New Roman"/>
          <w:noProof/>
        </w:rPr>
      </w:pPr>
      <w:r>
        <w:rPr>
          <w:b/>
          <w:noProof/>
        </w:rPr>
        <w:t>C.3. Opis reform i inwestycji na potrzeby wsparcia w formie pożyczki</w:t>
      </w:r>
    </w:p>
    <w:p w14:paraId="649BE32E" w14:textId="142FEB50" w:rsidR="006578ED" w:rsidRDefault="00A1618E">
      <w:pPr>
        <w:pStyle w:val="P68B1DB1-Normal6"/>
        <w:spacing w:before="120" w:after="120" w:line="240" w:lineRule="auto"/>
        <w:jc w:val="both"/>
        <w:rPr>
          <w:rFonts w:eastAsia="MS Mincho" w:cs="Times New Roman"/>
          <w:noProof/>
        </w:rPr>
      </w:pPr>
      <w:bookmarkStart w:id="10" w:name="_Hlk144117337"/>
      <w:r>
        <w:rPr>
          <w:noProof/>
        </w:rPr>
        <w:t>Reforma 7 (C3.R7) – Ustawa o zapobieganiu stratom i marnotrawieniu żywności</w:t>
      </w:r>
    </w:p>
    <w:bookmarkEnd w:id="10"/>
    <w:p w14:paraId="78010986" w14:textId="67321E87" w:rsidR="006578ED" w:rsidRDefault="00A1618E">
      <w:pPr>
        <w:pStyle w:val="P68B1DB1-Normal4"/>
        <w:spacing w:before="120" w:after="120" w:line="240" w:lineRule="auto"/>
        <w:jc w:val="both"/>
        <w:rPr>
          <w:rFonts w:cs="Times New Roman"/>
          <w:noProof/>
        </w:rPr>
      </w:pPr>
      <w:r>
        <w:rPr>
          <w:noProof/>
        </w:rPr>
        <w:t>Celem tej reformy jest zapobieganie stratom i marnotrawieniu żywności poprzez ustanowienie hierarchii priorytetów w stosowaniu żywności, tak aby nie stała się ona marnotrawstwem.</w:t>
      </w:r>
    </w:p>
    <w:p w14:paraId="5AA96578" w14:textId="489BD0AD" w:rsidR="006578ED" w:rsidRDefault="00A1618E">
      <w:pPr>
        <w:pStyle w:val="P68B1DB1-Normal4"/>
        <w:spacing w:before="120" w:after="120" w:line="240" w:lineRule="auto"/>
        <w:jc w:val="both"/>
        <w:rPr>
          <w:rFonts w:cs="Times New Roman"/>
          <w:noProof/>
        </w:rPr>
      </w:pPr>
      <w:r>
        <w:rPr>
          <w:noProof/>
        </w:rPr>
        <w:t>Nowe rozporządzenie ma na celu bardziej efektywne zarządzanie zasobami poprzez:</w:t>
      </w:r>
    </w:p>
    <w:p w14:paraId="66D140DA" w14:textId="7A04BE09" w:rsidR="006578ED" w:rsidRDefault="00A1618E">
      <w:pPr>
        <w:pStyle w:val="P68B1DB1-ListParagraph7"/>
        <w:numPr>
          <w:ilvl w:val="0"/>
          <w:numId w:val="42"/>
        </w:numPr>
        <w:spacing w:before="120" w:after="120" w:line="240" w:lineRule="auto"/>
        <w:jc w:val="both"/>
        <w:rPr>
          <w:rFonts w:cs="Times New Roman"/>
          <w:noProof/>
        </w:rPr>
      </w:pPr>
      <w:r>
        <w:rPr>
          <w:noProof/>
        </w:rPr>
        <w:t xml:space="preserve">promowanie biogospodarki o obiegu zamkniętym; </w:t>
      </w:r>
    </w:p>
    <w:p w14:paraId="36661960" w14:textId="291D1459" w:rsidR="006578ED" w:rsidRDefault="00A1618E">
      <w:pPr>
        <w:pStyle w:val="P68B1DB1-ListParagraph7"/>
        <w:numPr>
          <w:ilvl w:val="0"/>
          <w:numId w:val="42"/>
        </w:numPr>
        <w:spacing w:before="120" w:after="120" w:line="240" w:lineRule="auto"/>
        <w:jc w:val="both"/>
        <w:rPr>
          <w:rFonts w:cs="Times New Roman"/>
          <w:noProof/>
        </w:rPr>
      </w:pPr>
      <w:r>
        <w:rPr>
          <w:noProof/>
        </w:rPr>
        <w:t xml:space="preserve">promowanie odzyskiwania i dystrybucji nadwyżek żywności do celów solidarności społecznej, traktując ją priorytetowo do wykorzystania przez ludzi; </w:t>
      </w:r>
    </w:p>
    <w:p w14:paraId="76DD6320" w14:textId="615A7ABE" w:rsidR="006578ED" w:rsidRDefault="00A1618E">
      <w:pPr>
        <w:pStyle w:val="P68B1DB1-ListParagraph7"/>
        <w:numPr>
          <w:ilvl w:val="0"/>
          <w:numId w:val="42"/>
        </w:numPr>
        <w:spacing w:before="120" w:after="120" w:line="240" w:lineRule="auto"/>
        <w:jc w:val="both"/>
        <w:rPr>
          <w:rFonts w:cs="Times New Roman"/>
          <w:noProof/>
        </w:rPr>
      </w:pPr>
      <w:r>
        <w:rPr>
          <w:noProof/>
        </w:rPr>
        <w:t xml:space="preserve">wspieranie badań naukowych i innowacji w dziedzinie zapobiegania stratom i marnotrawieniu żywności oraz ograniczania tych strat i marnotrawienia żywności; </w:t>
      </w:r>
    </w:p>
    <w:p w14:paraId="3D61E10A" w14:textId="32F47E66" w:rsidR="006578ED" w:rsidRDefault="00A1618E">
      <w:pPr>
        <w:pStyle w:val="P68B1DB1-ListParagraph7"/>
        <w:numPr>
          <w:ilvl w:val="0"/>
          <w:numId w:val="42"/>
        </w:numPr>
        <w:spacing w:before="120" w:after="120" w:line="240" w:lineRule="auto"/>
        <w:jc w:val="both"/>
        <w:rPr>
          <w:rFonts w:cs="Times New Roman"/>
          <w:noProof/>
        </w:rPr>
      </w:pPr>
      <w:r>
        <w:rPr>
          <w:noProof/>
        </w:rPr>
        <w:t>realizacja celu w zakresie odpowiedzialnej produkcji i konsumpcji określonego w Agendzie 2030; oraz</w:t>
      </w:r>
    </w:p>
    <w:p w14:paraId="20011AAB" w14:textId="4C3751D2" w:rsidR="006578ED" w:rsidRDefault="00A1618E">
      <w:pPr>
        <w:pStyle w:val="P68B1DB1-ListParagraph7"/>
        <w:numPr>
          <w:ilvl w:val="0"/>
          <w:numId w:val="42"/>
        </w:numPr>
        <w:spacing w:before="120" w:after="120" w:line="240" w:lineRule="auto"/>
        <w:jc w:val="both"/>
        <w:rPr>
          <w:rFonts w:cs="Times New Roman"/>
          <w:noProof/>
        </w:rPr>
      </w:pPr>
      <w:r>
        <w:rPr>
          <w:noProof/>
        </w:rPr>
        <w:t>ograniczenie emisji gazów cieplarnianych i innych zanieczyszczeń.</w:t>
      </w:r>
    </w:p>
    <w:p w14:paraId="388EA854" w14:textId="2FD188BE" w:rsidR="006578ED" w:rsidRDefault="00A1618E">
      <w:pPr>
        <w:pStyle w:val="P68B1DB1-Normal4"/>
        <w:spacing w:before="120" w:after="120" w:line="240" w:lineRule="auto"/>
        <w:jc w:val="both"/>
        <w:rPr>
          <w:rFonts w:cs="Times New Roman"/>
          <w:noProof/>
        </w:rPr>
      </w:pPr>
      <w:r>
        <w:rPr>
          <w:noProof/>
        </w:rPr>
        <w:t>Wdrożenie środka należy zakończyć do dnia 30 czerwca 20</w:t>
      </w:r>
      <w:r w:rsidRPr="00A1618E">
        <w:rPr>
          <w:noProof/>
          <w:lang w:val="pl-PL"/>
        </w:rPr>
        <w:t>26 r.</w:t>
      </w:r>
    </w:p>
    <w:p w14:paraId="7155D10D" w14:textId="64D439B7" w:rsidR="006578ED" w:rsidRDefault="00A1618E">
      <w:pPr>
        <w:pStyle w:val="P68B1DB1-Normal6"/>
        <w:spacing w:before="120" w:after="120" w:line="240" w:lineRule="auto"/>
        <w:jc w:val="both"/>
        <w:rPr>
          <w:rFonts w:eastAsia="MS Mincho" w:cs="Times New Roman"/>
          <w:noProof/>
        </w:rPr>
      </w:pPr>
      <w:bookmarkStart w:id="11" w:name="_Hlk144116941"/>
      <w:r>
        <w:rPr>
          <w:noProof/>
        </w:rPr>
        <w:t>Reforma 8 (C3.R8) – Rozporządzenie w sprawie systemu informacji o gospodarstwach rolnych</w:t>
      </w:r>
    </w:p>
    <w:bookmarkEnd w:id="11"/>
    <w:p w14:paraId="026A03FE" w14:textId="2376605F" w:rsidR="006578ED" w:rsidRDefault="00A1618E">
      <w:pPr>
        <w:pStyle w:val="P68B1DB1-Normal4"/>
        <w:spacing w:before="120" w:after="120" w:line="240" w:lineRule="auto"/>
        <w:jc w:val="both"/>
        <w:rPr>
          <w:rFonts w:cs="Times New Roman"/>
          <w:noProof/>
        </w:rPr>
      </w:pPr>
      <w:r>
        <w:rPr>
          <w:noProof/>
        </w:rPr>
        <w:t>Celem tej reformy jest utworzenie systemu informacji o rolnictwie i leśnictwie (SIEX), aby umożliwić Ministerstwu Rolnictwa, Rybołówstwa i Żywności zarządzanie polityką rolną i hodowlę zwierząt gospodarskich. System informacyjny upraszcza relacje rolników z administracją i usprawnia zarządzanie działalnością rolników poprzez gromadzenie istotnych informacji na temat gospodarstw rolnych w jednym systemie informacyjnym,</w:t>
      </w:r>
    </w:p>
    <w:p w14:paraId="513ECEA3" w14:textId="0BC29786" w:rsidR="006578ED" w:rsidRPr="00A1618E" w:rsidRDefault="00A1618E">
      <w:pPr>
        <w:pStyle w:val="P68B1DB1-Normal4"/>
        <w:spacing w:line="257" w:lineRule="auto"/>
        <w:jc w:val="both"/>
        <w:rPr>
          <w:rFonts w:cs="Times New Roman"/>
          <w:noProof/>
          <w:lang w:val="pl-PL"/>
        </w:rPr>
      </w:pPr>
      <w:r>
        <w:rPr>
          <w:noProof/>
        </w:rPr>
        <w:t xml:space="preserve">Rozporządzenie ustanawia i reguluje system informacyjny dla gospodarstw rolnych i hodowlanych oraz produkcji rolnej, a także autonomiczny rejestr gospodarstw rolnych i cyfrowy rejestr gospodarstw rolnych. W cyfrowej księdze gospodarstw rolnych przewiduje się odpowiedni okres przejściowy: w szczególności </w:t>
      </w:r>
      <w:r w:rsidRPr="00A1618E">
        <w:rPr>
          <w:noProof/>
          <w:lang w:val="pl-PL"/>
        </w:rPr>
        <w:t>art. </w:t>
      </w:r>
      <w:bookmarkStart w:id="12" w:name="_Hlk144117029"/>
      <w:r w:rsidRPr="00A1618E">
        <w:rPr>
          <w:noProof/>
          <w:lang w:val="pl-PL"/>
        </w:rPr>
        <w:t>9</w:t>
      </w:r>
      <w:r>
        <w:rPr>
          <w:noProof/>
        </w:rPr>
        <w:t xml:space="preserve"> i 10 cyfrowej księgi gospodarstw rolnych wchodzą w życie w odniesieniu do wszystkich gospodarstw rolnych nie później niż w trzecim kwartale </w:t>
      </w:r>
      <w:bookmarkEnd w:id="12"/>
      <w:r>
        <w:rPr>
          <w:noProof/>
        </w:rPr>
        <w:t>20</w:t>
      </w:r>
      <w:r w:rsidRPr="00A1618E">
        <w:rPr>
          <w:noProof/>
          <w:lang w:val="pl-PL"/>
        </w:rPr>
        <w:t xml:space="preserve">25 r. </w:t>
      </w:r>
    </w:p>
    <w:p w14:paraId="3034905E" w14:textId="5281951F" w:rsidR="006578ED" w:rsidRDefault="00A1618E">
      <w:pPr>
        <w:pStyle w:val="P68B1DB1-Normal4"/>
        <w:spacing w:line="257" w:lineRule="auto"/>
        <w:jc w:val="both"/>
        <w:rPr>
          <w:rFonts w:cs="Times New Roman"/>
          <w:noProof/>
        </w:rPr>
      </w:pPr>
      <w:r>
        <w:rPr>
          <w:noProof/>
        </w:rPr>
        <w:t>Wdrożenie środka należy zakończyć do dnia 30 września 20</w:t>
      </w:r>
      <w:r w:rsidRPr="00A1618E">
        <w:rPr>
          <w:noProof/>
          <w:lang w:val="pl-PL"/>
        </w:rPr>
        <w:t>25 r.</w:t>
      </w:r>
    </w:p>
    <w:p w14:paraId="3B02038A" w14:textId="1A2F7F71" w:rsidR="006578ED" w:rsidRDefault="00A1618E">
      <w:pPr>
        <w:pStyle w:val="P68B1DB1-Normal6"/>
        <w:spacing w:before="120" w:after="120" w:line="240" w:lineRule="auto"/>
        <w:jc w:val="both"/>
        <w:rPr>
          <w:rFonts w:cs="Times New Roman"/>
          <w:noProof/>
        </w:rPr>
      </w:pPr>
      <w:r>
        <w:rPr>
          <w:noProof/>
        </w:rPr>
        <w:t xml:space="preserve">Inwestycja 12 (C3.I12) – Plan poprawy efektywności i zrównoważonego charakteru nawadniania </w:t>
      </w:r>
    </w:p>
    <w:p w14:paraId="3CC16C42" w14:textId="0E0C7647" w:rsidR="006578ED" w:rsidRDefault="00A1618E">
      <w:pPr>
        <w:pStyle w:val="P68B1DB1-Normal4"/>
        <w:spacing w:before="120" w:after="120" w:line="240" w:lineRule="auto"/>
        <w:jc w:val="both"/>
        <w:rPr>
          <w:rFonts w:cs="Times New Roman"/>
          <w:noProof/>
        </w:rPr>
      </w:pPr>
      <w:r>
        <w:rPr>
          <w:noProof/>
        </w:rPr>
        <w:t>Celem tego środka jest zwiększenie ambicji inwestycji 1 (C3.I1): Plan poprawy efektywności i zrównoważonego charakteru nawadniania poprzez zwiększenie liczby zmodernizowanych hektarów pod względem oszczędności wody i efektywności energetycznej.</w:t>
      </w:r>
    </w:p>
    <w:p w14:paraId="2509A6F4" w14:textId="272475B2" w:rsidR="006578ED" w:rsidRDefault="00A1618E">
      <w:pPr>
        <w:pStyle w:val="P68B1DB1-Normal4"/>
        <w:spacing w:before="120" w:after="120" w:line="240" w:lineRule="auto"/>
        <w:jc w:val="both"/>
        <w:rPr>
          <w:rFonts w:cs="Times New Roman"/>
          <w:noProof/>
        </w:rPr>
      </w:pPr>
      <w:r>
        <w:rPr>
          <w:noProof/>
        </w:rPr>
        <w:t>Wdrożenie środka należy zakończyć do dnia 30 czerwca 20</w:t>
      </w:r>
      <w:r w:rsidRPr="00A1618E">
        <w:rPr>
          <w:noProof/>
          <w:lang w:val="pl-PL"/>
        </w:rPr>
        <w:t>26 r.</w:t>
      </w:r>
    </w:p>
    <w:p w14:paraId="6DAC6ACD" w14:textId="77777777" w:rsidR="006578ED" w:rsidRDefault="006578ED">
      <w:pPr>
        <w:spacing w:before="120" w:after="120" w:line="240" w:lineRule="auto"/>
        <w:jc w:val="both"/>
        <w:rPr>
          <w:rFonts w:ascii="Times New Roman" w:hAnsi="Times New Roman" w:cs="Times New Roman"/>
          <w:noProof/>
          <w:sz w:val="24"/>
        </w:rPr>
      </w:pPr>
    </w:p>
    <w:p w14:paraId="705C34EA" w14:textId="32FBFADA" w:rsidR="006578ED" w:rsidRDefault="00A1618E">
      <w:pPr>
        <w:pStyle w:val="P68B1DB1-Normal5"/>
        <w:spacing w:before="120" w:after="120" w:line="240" w:lineRule="auto"/>
        <w:ind w:left="709"/>
        <w:jc w:val="both"/>
        <w:rPr>
          <w:rFonts w:cs="Times New Roman"/>
          <w:noProof/>
        </w:rPr>
      </w:pPr>
      <w:r>
        <w:rPr>
          <w:noProof/>
        </w:rPr>
        <w:t xml:space="preserve">C.4. </w:t>
      </w:r>
      <w:r>
        <w:rPr>
          <w:noProof/>
        </w:rPr>
        <w:tab/>
        <w:t>Cele pośrednie, wartości docelowe, wskaźniki oraz harmonogram monitorowania i wdrażania wsparcia w formie pożyczek</w:t>
      </w:r>
    </w:p>
    <w:p w14:paraId="205EEAAB" w14:textId="7ABAACEE" w:rsidR="006578ED" w:rsidRDefault="00A1618E">
      <w:pPr>
        <w:pStyle w:val="P68B1DB1-Normal18"/>
        <w:spacing w:before="120" w:after="120" w:line="240" w:lineRule="auto"/>
        <w:jc w:val="both"/>
        <w:rPr>
          <w:rFonts w:cs="Times New Roman"/>
          <w:noProof/>
        </w:rPr>
      </w:pPr>
      <w:r>
        <w:rPr>
          <w:noProof/>
        </w:rPr>
        <w:t>Zob. tabela poniżej. Datą odniesienia dla wszystkich wskaźników jest dzień 1 lutego 20</w:t>
      </w:r>
      <w:r w:rsidRPr="00A1618E">
        <w:rPr>
          <w:noProof/>
          <w:lang w:val="pl-PL"/>
        </w:rPr>
        <w:t>20 r.</w:t>
      </w:r>
      <w:r>
        <w:rPr>
          <w:noProof/>
        </w:rPr>
        <w:t>, chyba że w opisie działania wskazano inaczej. Kwoty w tabeli nie obejmują VAT.</w:t>
      </w:r>
    </w:p>
    <w:p w14:paraId="02B0CF37" w14:textId="77777777" w:rsidR="006578ED" w:rsidRDefault="006578ED">
      <w:pPr>
        <w:spacing w:before="120" w:after="120" w:line="240" w:lineRule="auto"/>
        <w:jc w:val="both"/>
        <w:rPr>
          <w:rFonts w:ascii="Times New Roman" w:hAnsi="Times New Roman" w:cs="Times New Roman"/>
          <w:i/>
          <w:noProof/>
          <w:sz w:val="24"/>
        </w:rPr>
      </w:pPr>
    </w:p>
    <w:p w14:paraId="3F634206" w14:textId="0C0F90FE" w:rsidR="006578ED" w:rsidRDefault="006578ED">
      <w:pPr>
        <w:spacing w:before="120" w:after="120" w:line="240" w:lineRule="auto"/>
        <w:jc w:val="both"/>
        <w:rPr>
          <w:rFonts w:ascii="Times New Roman" w:hAnsi="Times New Roman" w:cs="Times New Roman"/>
          <w:i/>
          <w:noProof/>
          <w:sz w:val="24"/>
        </w:rPr>
        <w:sectPr w:rsidR="006578ED" w:rsidSect="00522183">
          <w:headerReference w:type="even" r:id="rId90"/>
          <w:headerReference w:type="default" r:id="rId91"/>
          <w:footerReference w:type="even" r:id="rId92"/>
          <w:footerReference w:type="default" r:id="rId93"/>
          <w:headerReference w:type="first" r:id="rId94"/>
          <w:footerReference w:type="first" r:id="rId95"/>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1080"/>
        <w:gridCol w:w="2889"/>
        <w:gridCol w:w="1276"/>
        <w:gridCol w:w="850"/>
        <w:gridCol w:w="567"/>
        <w:gridCol w:w="709"/>
        <w:gridCol w:w="425"/>
        <w:gridCol w:w="567"/>
        <w:gridCol w:w="5387"/>
      </w:tblGrid>
      <w:tr w:rsidR="006578ED" w14:paraId="77B98CAE" w14:textId="77777777">
        <w:trPr>
          <w:trHeight w:val="309"/>
          <w:tblHeader/>
        </w:trPr>
        <w:tc>
          <w:tcPr>
            <w:tcW w:w="709" w:type="dxa"/>
            <w:tcBorders>
              <w:bottom w:val="nil"/>
            </w:tcBorders>
            <w:shd w:val="clear" w:color="auto" w:fill="C6D9F1" w:themeFill="text2" w:themeFillTint="33"/>
            <w:noWrap/>
            <w:vAlign w:val="center"/>
          </w:tcPr>
          <w:p w14:paraId="337A57E0"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7789EA1D" w14:textId="77777777" w:rsidR="006578ED" w:rsidRDefault="00A1618E">
            <w:pPr>
              <w:pStyle w:val="P68B1DB1-Normal12"/>
              <w:spacing w:after="0" w:line="240" w:lineRule="auto"/>
              <w:jc w:val="center"/>
              <w:rPr>
                <w:rFonts w:cs="Times New Roman"/>
                <w:noProof/>
              </w:rPr>
            </w:pPr>
            <w:r>
              <w:rPr>
                <w:noProof/>
              </w:rPr>
              <w:t>Środek</w:t>
            </w:r>
          </w:p>
        </w:tc>
        <w:tc>
          <w:tcPr>
            <w:tcW w:w="1080" w:type="dxa"/>
            <w:tcBorders>
              <w:bottom w:val="nil"/>
            </w:tcBorders>
            <w:shd w:val="clear" w:color="auto" w:fill="C6D9F1" w:themeFill="text2" w:themeFillTint="33"/>
            <w:noWrap/>
            <w:vAlign w:val="center"/>
          </w:tcPr>
          <w:p w14:paraId="00E74E27" w14:textId="1AEA7404"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889" w:type="dxa"/>
            <w:tcBorders>
              <w:bottom w:val="nil"/>
            </w:tcBorders>
            <w:shd w:val="clear" w:color="auto" w:fill="C6D9F1" w:themeFill="text2" w:themeFillTint="33"/>
            <w:noWrap/>
            <w:vAlign w:val="center"/>
          </w:tcPr>
          <w:p w14:paraId="44ADEC22" w14:textId="77777777" w:rsidR="006578ED" w:rsidRDefault="00A1618E">
            <w:pPr>
              <w:pStyle w:val="P68B1DB1-Normal12"/>
              <w:spacing w:after="0" w:line="240" w:lineRule="auto"/>
              <w:jc w:val="center"/>
              <w:rPr>
                <w:rFonts w:cs="Times New Roman"/>
                <w:noProof/>
              </w:rPr>
            </w:pPr>
            <w:r>
              <w:rPr>
                <w:noProof/>
              </w:rPr>
              <w:t>Nazwa</w:t>
            </w:r>
          </w:p>
        </w:tc>
        <w:tc>
          <w:tcPr>
            <w:tcW w:w="1276" w:type="dxa"/>
            <w:tcBorders>
              <w:bottom w:val="nil"/>
            </w:tcBorders>
            <w:shd w:val="clear" w:color="auto" w:fill="C6D9F1" w:themeFill="text2" w:themeFillTint="33"/>
            <w:noWrap/>
            <w:vAlign w:val="center"/>
          </w:tcPr>
          <w:p w14:paraId="5F48B682"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126" w:type="dxa"/>
            <w:gridSpan w:val="3"/>
            <w:shd w:val="clear" w:color="auto" w:fill="C6D9F1" w:themeFill="text2" w:themeFillTint="33"/>
            <w:noWrap/>
            <w:vAlign w:val="center"/>
          </w:tcPr>
          <w:p w14:paraId="038E7C96"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0C4E346D" w14:textId="77777777" w:rsidR="006578ED" w:rsidRDefault="00A1618E">
            <w:pPr>
              <w:pStyle w:val="P68B1DB1-Normal12"/>
              <w:spacing w:after="0" w:line="240" w:lineRule="auto"/>
              <w:jc w:val="center"/>
              <w:rPr>
                <w:rFonts w:cs="Times New Roman"/>
                <w:noProof/>
              </w:rPr>
            </w:pPr>
            <w:r>
              <w:rPr>
                <w:noProof/>
              </w:rPr>
              <w:t>Czas</w:t>
            </w:r>
          </w:p>
        </w:tc>
        <w:tc>
          <w:tcPr>
            <w:tcW w:w="5387" w:type="dxa"/>
            <w:tcBorders>
              <w:bottom w:val="nil"/>
            </w:tcBorders>
            <w:shd w:val="clear" w:color="auto" w:fill="C6D9F1" w:themeFill="text2" w:themeFillTint="33"/>
            <w:noWrap/>
            <w:vAlign w:val="center"/>
          </w:tcPr>
          <w:p w14:paraId="2F3DFA56" w14:textId="25219FB5"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0FB3FC90" w14:textId="77777777">
        <w:trPr>
          <w:trHeight w:val="309"/>
          <w:tblHeader/>
        </w:trPr>
        <w:tc>
          <w:tcPr>
            <w:tcW w:w="709" w:type="dxa"/>
            <w:tcBorders>
              <w:top w:val="nil"/>
            </w:tcBorders>
            <w:shd w:val="clear" w:color="auto" w:fill="C6D9F1" w:themeFill="text2" w:themeFillTint="33"/>
            <w:noWrap/>
          </w:tcPr>
          <w:p w14:paraId="2456EE71"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6062903" w14:textId="77777777" w:rsidR="006578ED" w:rsidRDefault="006578ED">
            <w:pPr>
              <w:spacing w:after="0" w:line="240" w:lineRule="auto"/>
              <w:jc w:val="center"/>
              <w:rPr>
                <w:rFonts w:ascii="Times New Roman" w:hAnsi="Times New Roman" w:cs="Times New Roman"/>
                <w:b/>
                <w:noProof/>
                <w:sz w:val="18"/>
              </w:rPr>
            </w:pPr>
          </w:p>
        </w:tc>
        <w:tc>
          <w:tcPr>
            <w:tcW w:w="1080" w:type="dxa"/>
            <w:tcBorders>
              <w:top w:val="nil"/>
            </w:tcBorders>
            <w:shd w:val="clear" w:color="auto" w:fill="C6D9F1" w:themeFill="text2" w:themeFillTint="33"/>
            <w:noWrap/>
          </w:tcPr>
          <w:p w14:paraId="25602844" w14:textId="77777777" w:rsidR="006578ED" w:rsidRDefault="006578ED">
            <w:pPr>
              <w:spacing w:after="0" w:line="240" w:lineRule="auto"/>
              <w:jc w:val="center"/>
              <w:rPr>
                <w:rFonts w:ascii="Times New Roman" w:hAnsi="Times New Roman" w:cs="Times New Roman"/>
                <w:b/>
                <w:noProof/>
                <w:sz w:val="18"/>
              </w:rPr>
            </w:pPr>
          </w:p>
        </w:tc>
        <w:tc>
          <w:tcPr>
            <w:tcW w:w="2889" w:type="dxa"/>
            <w:tcBorders>
              <w:top w:val="nil"/>
            </w:tcBorders>
            <w:shd w:val="clear" w:color="auto" w:fill="C6D9F1" w:themeFill="text2" w:themeFillTint="33"/>
            <w:noWrap/>
          </w:tcPr>
          <w:p w14:paraId="74F579D0" w14:textId="77777777" w:rsidR="006578ED" w:rsidRDefault="006578ED">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084F1AD9"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5DC5BB17"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vAlign w:val="center"/>
          </w:tcPr>
          <w:p w14:paraId="05A74D68" w14:textId="77777777" w:rsidR="006578ED" w:rsidRDefault="00A1618E">
            <w:pPr>
              <w:pStyle w:val="P68B1DB1-Normal12"/>
              <w:spacing w:after="0" w:line="240" w:lineRule="auto"/>
              <w:jc w:val="center"/>
              <w:rPr>
                <w:rFonts w:cs="Times New Roman"/>
                <w:noProof/>
              </w:rPr>
            </w:pPr>
            <w:r>
              <w:rPr>
                <w:noProof/>
              </w:rPr>
              <w:t>Wartość wyjściowa</w:t>
            </w:r>
          </w:p>
        </w:tc>
        <w:tc>
          <w:tcPr>
            <w:tcW w:w="709" w:type="dxa"/>
            <w:shd w:val="clear" w:color="auto" w:fill="C6D9F1" w:themeFill="text2" w:themeFillTint="33"/>
            <w:noWrap/>
            <w:vAlign w:val="center"/>
          </w:tcPr>
          <w:p w14:paraId="7E513F68"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vAlign w:val="center"/>
          </w:tcPr>
          <w:p w14:paraId="0DFA7491"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5C5694D9" w14:textId="77777777" w:rsidR="006578ED" w:rsidRDefault="00A1618E">
            <w:pPr>
              <w:pStyle w:val="P68B1DB1-Normal12"/>
              <w:spacing w:after="0" w:line="240" w:lineRule="auto"/>
              <w:jc w:val="center"/>
              <w:rPr>
                <w:rFonts w:cs="Times New Roman"/>
                <w:noProof/>
              </w:rPr>
            </w:pPr>
            <w:r>
              <w:rPr>
                <w:noProof/>
              </w:rPr>
              <w:t>Rok</w:t>
            </w:r>
          </w:p>
        </w:tc>
        <w:tc>
          <w:tcPr>
            <w:tcW w:w="5387" w:type="dxa"/>
            <w:tcBorders>
              <w:top w:val="nil"/>
            </w:tcBorders>
            <w:shd w:val="clear" w:color="auto" w:fill="C6D9F1" w:themeFill="text2" w:themeFillTint="33"/>
            <w:noWrap/>
          </w:tcPr>
          <w:p w14:paraId="00992F30" w14:textId="77777777" w:rsidR="006578ED" w:rsidRDefault="006578ED">
            <w:pPr>
              <w:spacing w:after="0" w:line="240" w:lineRule="auto"/>
              <w:rPr>
                <w:rFonts w:ascii="Times New Roman" w:hAnsi="Times New Roman" w:cs="Times New Roman"/>
                <w:b/>
                <w:noProof/>
                <w:sz w:val="18"/>
              </w:rPr>
            </w:pPr>
          </w:p>
        </w:tc>
      </w:tr>
      <w:tr w:rsidR="006578ED" w14:paraId="09C47A75" w14:textId="77777777">
        <w:trPr>
          <w:trHeight w:val="499"/>
        </w:trPr>
        <w:tc>
          <w:tcPr>
            <w:tcW w:w="709" w:type="dxa"/>
            <w:shd w:val="clear" w:color="auto" w:fill="C6EFCE"/>
            <w:noWrap/>
          </w:tcPr>
          <w:p w14:paraId="06ECD5AB" w14:textId="70156A1E" w:rsidR="006578ED" w:rsidRDefault="00A1618E">
            <w:pPr>
              <w:pStyle w:val="P68B1DB1-Normal13"/>
              <w:spacing w:after="0" w:line="240" w:lineRule="auto"/>
              <w:jc w:val="center"/>
              <w:rPr>
                <w:rFonts w:eastAsia="MS Mincho" w:cs="Times New Roman"/>
                <w:noProof/>
              </w:rPr>
            </w:pPr>
            <w:r>
              <w:rPr>
                <w:noProof/>
              </w:rPr>
              <w:t>L8</w:t>
            </w:r>
          </w:p>
        </w:tc>
        <w:tc>
          <w:tcPr>
            <w:tcW w:w="851" w:type="dxa"/>
            <w:shd w:val="clear" w:color="auto" w:fill="C6EFCE"/>
            <w:noWrap/>
          </w:tcPr>
          <w:p w14:paraId="46CDA653" w14:textId="3A3289B4" w:rsidR="006578ED" w:rsidRDefault="00A1618E">
            <w:pPr>
              <w:pStyle w:val="P68B1DB1-Normal13"/>
              <w:spacing w:after="0" w:line="240" w:lineRule="auto"/>
              <w:jc w:val="center"/>
              <w:rPr>
                <w:rFonts w:eastAsia="MS Mincho" w:cs="Times New Roman"/>
                <w:noProof/>
              </w:rPr>
            </w:pPr>
            <w:r>
              <w:rPr>
                <w:noProof/>
              </w:rPr>
              <w:t>C3.R7</w:t>
            </w:r>
          </w:p>
        </w:tc>
        <w:tc>
          <w:tcPr>
            <w:tcW w:w="1080" w:type="dxa"/>
            <w:shd w:val="clear" w:color="auto" w:fill="C6EFCE"/>
            <w:noWrap/>
          </w:tcPr>
          <w:p w14:paraId="5A728BE4" w14:textId="1947A973" w:rsidR="006578ED" w:rsidRDefault="00AF6B91">
            <w:pPr>
              <w:pStyle w:val="P68B1DB1-Normal13"/>
              <w:spacing w:after="0" w:line="240" w:lineRule="auto"/>
              <w:jc w:val="center"/>
              <w:rPr>
                <w:rFonts w:eastAsia="MS Mincho" w:cs="Times New Roman"/>
                <w:noProof/>
              </w:rPr>
            </w:pPr>
            <w:r>
              <w:rPr>
                <w:noProof/>
              </w:rPr>
              <w:t xml:space="preserve">Kamień milowy </w:t>
            </w:r>
          </w:p>
        </w:tc>
        <w:tc>
          <w:tcPr>
            <w:tcW w:w="2889" w:type="dxa"/>
            <w:shd w:val="clear" w:color="auto" w:fill="C6EFCE"/>
            <w:noWrap/>
          </w:tcPr>
          <w:p w14:paraId="776D81CA" w14:textId="2D9B0DA6" w:rsidR="006578ED" w:rsidRDefault="00A1618E">
            <w:pPr>
              <w:pStyle w:val="P68B1DB1-Normal13"/>
              <w:spacing w:after="0" w:line="240" w:lineRule="auto"/>
              <w:rPr>
                <w:rFonts w:eastAsia="MS Mincho" w:cs="Times New Roman"/>
                <w:noProof/>
              </w:rPr>
            </w:pPr>
            <w:r>
              <w:rPr>
                <w:noProof/>
              </w:rPr>
              <w:t>Wejście w życie ustawy o zapobieganiu stratom i marnotrawieniu żywności</w:t>
            </w:r>
          </w:p>
        </w:tc>
        <w:tc>
          <w:tcPr>
            <w:tcW w:w="1276" w:type="dxa"/>
            <w:shd w:val="clear" w:color="auto" w:fill="C6EFCE"/>
            <w:noWrap/>
          </w:tcPr>
          <w:p w14:paraId="3F192C07" w14:textId="2955BA86" w:rsidR="006578ED" w:rsidRDefault="00A1618E">
            <w:pPr>
              <w:pStyle w:val="P68B1DB1-Normal13"/>
              <w:spacing w:after="0" w:line="240" w:lineRule="auto"/>
              <w:jc w:val="center"/>
              <w:rPr>
                <w:rFonts w:eastAsia="MS Mincho" w:cs="Times New Roman"/>
                <w:noProof/>
              </w:rPr>
            </w:pPr>
            <w:r>
              <w:rPr>
                <w:noProof/>
              </w:rPr>
              <w:t>Przepis ustawy o wejściu w życie</w:t>
            </w:r>
          </w:p>
        </w:tc>
        <w:tc>
          <w:tcPr>
            <w:tcW w:w="850" w:type="dxa"/>
            <w:shd w:val="clear" w:color="auto" w:fill="C6EFCE"/>
            <w:noWrap/>
          </w:tcPr>
          <w:p w14:paraId="43BAD5F2" w14:textId="6E689CDC"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1AE70BD" w14:textId="19EF3350"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4C27FBF8" w14:textId="21110AE6"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4FA35EE" w14:textId="486C80FA" w:rsidR="006578ED" w:rsidRDefault="00A1618E">
            <w:pPr>
              <w:pStyle w:val="P68B1DB1-Normal13"/>
              <w:spacing w:after="0" w:line="240" w:lineRule="auto"/>
              <w:jc w:val="center"/>
              <w:rPr>
                <w:rFonts w:eastAsia="MS Mincho" w:cs="Times New Roman"/>
                <w:noProof/>
              </w:rPr>
            </w:pPr>
            <w:r>
              <w:rPr>
                <w:noProof/>
              </w:rPr>
              <w:t xml:space="preserve"> </w:t>
            </w:r>
            <w:r w:rsidR="00EC188C">
              <w:rPr>
                <w:noProof/>
              </w:rPr>
              <w:t>KW.</w:t>
            </w:r>
            <w:r>
              <w:rPr>
                <w:noProof/>
              </w:rPr>
              <w:t xml:space="preserve"> 2</w:t>
            </w:r>
          </w:p>
        </w:tc>
        <w:tc>
          <w:tcPr>
            <w:tcW w:w="567" w:type="dxa"/>
            <w:shd w:val="clear" w:color="auto" w:fill="C6EFCE"/>
            <w:noWrap/>
          </w:tcPr>
          <w:p w14:paraId="7DF3C752" w14:textId="0A625AD7" w:rsidR="006578ED" w:rsidRDefault="00A1618E">
            <w:pPr>
              <w:pStyle w:val="P68B1DB1-Normal13"/>
              <w:spacing w:after="0" w:line="240" w:lineRule="auto"/>
              <w:jc w:val="center"/>
              <w:rPr>
                <w:rFonts w:eastAsia="MS Mincho" w:cs="Times New Roman"/>
                <w:noProof/>
              </w:rPr>
            </w:pPr>
            <w:r>
              <w:rPr>
                <w:noProof/>
              </w:rPr>
              <w:t xml:space="preserve">2026 </w:t>
            </w:r>
          </w:p>
        </w:tc>
        <w:tc>
          <w:tcPr>
            <w:tcW w:w="5387" w:type="dxa"/>
            <w:shd w:val="clear" w:color="auto" w:fill="C6EFCE"/>
            <w:noWrap/>
          </w:tcPr>
          <w:p w14:paraId="0C328928" w14:textId="0C99D758" w:rsidR="006578ED" w:rsidRDefault="00A1618E">
            <w:pPr>
              <w:pStyle w:val="P68B1DB1-Normal13"/>
              <w:spacing w:line="240" w:lineRule="auto"/>
              <w:jc w:val="both"/>
              <w:rPr>
                <w:rFonts w:cs="Times New Roman"/>
                <w:noProof/>
              </w:rPr>
            </w:pPr>
            <w:r>
              <w:rPr>
                <w:noProof/>
              </w:rPr>
              <w:t>Wejście w życie rozporządzenia w sprawie zapobiegania stratom i marnotrawieniu żywności, zgodnie z opisem środka.</w:t>
            </w:r>
          </w:p>
        </w:tc>
      </w:tr>
      <w:tr w:rsidR="006578ED" w14:paraId="6EDA9D91" w14:textId="77777777">
        <w:trPr>
          <w:trHeight w:val="309"/>
        </w:trPr>
        <w:tc>
          <w:tcPr>
            <w:tcW w:w="709" w:type="dxa"/>
            <w:shd w:val="clear" w:color="auto" w:fill="C6EFCE"/>
            <w:noWrap/>
          </w:tcPr>
          <w:p w14:paraId="7161990D" w14:textId="12334B2C" w:rsidR="006578ED" w:rsidRDefault="00A1618E">
            <w:pPr>
              <w:pStyle w:val="P68B1DB1-Normal13"/>
              <w:spacing w:after="0" w:line="240" w:lineRule="auto"/>
              <w:jc w:val="center"/>
              <w:rPr>
                <w:rFonts w:cs="Times New Roman"/>
                <w:noProof/>
              </w:rPr>
            </w:pPr>
            <w:r>
              <w:rPr>
                <w:noProof/>
              </w:rPr>
              <w:t>L9</w:t>
            </w:r>
          </w:p>
        </w:tc>
        <w:tc>
          <w:tcPr>
            <w:tcW w:w="851" w:type="dxa"/>
            <w:shd w:val="clear" w:color="auto" w:fill="C6EFCE"/>
            <w:noWrap/>
          </w:tcPr>
          <w:p w14:paraId="483982C1" w14:textId="20DDE527" w:rsidR="006578ED" w:rsidRDefault="00A1618E">
            <w:pPr>
              <w:pStyle w:val="P68B1DB1-Normal13"/>
              <w:spacing w:after="0" w:line="240" w:lineRule="auto"/>
              <w:jc w:val="center"/>
              <w:rPr>
                <w:rFonts w:cs="Times New Roman"/>
                <w:noProof/>
              </w:rPr>
            </w:pPr>
            <w:r>
              <w:rPr>
                <w:noProof/>
              </w:rPr>
              <w:t>C3.R8</w:t>
            </w:r>
          </w:p>
        </w:tc>
        <w:tc>
          <w:tcPr>
            <w:tcW w:w="1080" w:type="dxa"/>
            <w:shd w:val="clear" w:color="auto" w:fill="C6EFCE"/>
            <w:noWrap/>
          </w:tcPr>
          <w:p w14:paraId="615A09D7" w14:textId="4244A793" w:rsidR="006578ED" w:rsidRDefault="00AF6B91">
            <w:pPr>
              <w:pStyle w:val="P68B1DB1-Normal13"/>
              <w:spacing w:after="0" w:line="240" w:lineRule="auto"/>
              <w:jc w:val="center"/>
              <w:rPr>
                <w:rFonts w:cs="Times New Roman"/>
                <w:noProof/>
              </w:rPr>
            </w:pPr>
            <w:r>
              <w:rPr>
                <w:noProof/>
              </w:rPr>
              <w:t>Kamień milowy</w:t>
            </w:r>
          </w:p>
        </w:tc>
        <w:tc>
          <w:tcPr>
            <w:tcW w:w="2889" w:type="dxa"/>
            <w:shd w:val="clear" w:color="auto" w:fill="C6EFCE"/>
            <w:noWrap/>
          </w:tcPr>
          <w:p w14:paraId="5638743E" w14:textId="68CEC7BA" w:rsidR="006578ED" w:rsidRDefault="00A1618E">
            <w:pPr>
              <w:pStyle w:val="P68B1DB1-Normal13"/>
              <w:spacing w:after="0" w:line="240" w:lineRule="auto"/>
              <w:rPr>
                <w:rFonts w:cs="Times New Roman"/>
                <w:noProof/>
              </w:rPr>
            </w:pPr>
            <w:r>
              <w:rPr>
                <w:noProof/>
              </w:rPr>
              <w:t>Wejście w życie rozporządzenia w sprawie systemu informacyjnego dla gospodarstw rolnych</w:t>
            </w:r>
          </w:p>
        </w:tc>
        <w:tc>
          <w:tcPr>
            <w:tcW w:w="1276" w:type="dxa"/>
            <w:shd w:val="clear" w:color="auto" w:fill="C6EFCE"/>
            <w:noWrap/>
          </w:tcPr>
          <w:p w14:paraId="4ED04105" w14:textId="0FE25973" w:rsidR="006578ED" w:rsidRDefault="00A1618E">
            <w:pPr>
              <w:pStyle w:val="P68B1DB1-Normal13"/>
              <w:spacing w:after="0" w:line="240" w:lineRule="auto"/>
              <w:jc w:val="center"/>
              <w:rPr>
                <w:rFonts w:cs="Times New Roman"/>
                <w:noProof/>
              </w:rPr>
            </w:pPr>
            <w:r>
              <w:rPr>
                <w:noProof/>
              </w:rPr>
              <w:t>Przepis dekretu królewskiego w sprawie wejścia w życie</w:t>
            </w:r>
          </w:p>
        </w:tc>
        <w:tc>
          <w:tcPr>
            <w:tcW w:w="850" w:type="dxa"/>
            <w:shd w:val="clear" w:color="auto" w:fill="C6EFCE"/>
            <w:noWrap/>
          </w:tcPr>
          <w:p w14:paraId="265B3622" w14:textId="4D4D1781" w:rsidR="006578ED" w:rsidRDefault="00A1618E">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14387D9D" w14:textId="218B91A6" w:rsidR="006578ED" w:rsidRDefault="00A1618E">
            <w:pPr>
              <w:pStyle w:val="P68B1DB1-Normal13"/>
              <w:spacing w:after="0" w:line="240" w:lineRule="auto"/>
              <w:jc w:val="right"/>
              <w:rPr>
                <w:rFonts w:cs="Times New Roman"/>
                <w:noProof/>
              </w:rPr>
            </w:pPr>
            <w:r>
              <w:rPr>
                <w:noProof/>
              </w:rPr>
              <w:t xml:space="preserve"> </w:t>
            </w:r>
          </w:p>
        </w:tc>
        <w:tc>
          <w:tcPr>
            <w:tcW w:w="709" w:type="dxa"/>
            <w:shd w:val="clear" w:color="auto" w:fill="C6EFCE"/>
            <w:noWrap/>
          </w:tcPr>
          <w:p w14:paraId="5637998B" w14:textId="025F425C" w:rsidR="006578ED" w:rsidRDefault="00A1618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2E0A5B77" w14:textId="6CF20A12" w:rsidR="006578ED" w:rsidRDefault="00A1618E">
            <w:pPr>
              <w:pStyle w:val="P68B1DB1-Normal13"/>
              <w:spacing w:after="0" w:line="240" w:lineRule="auto"/>
              <w:jc w:val="center"/>
              <w:rPr>
                <w:rFonts w:cs="Times New Roman"/>
                <w:noProof/>
              </w:rPr>
            </w:pPr>
            <w:r>
              <w:rPr>
                <w:noProof/>
              </w:rPr>
              <w:t xml:space="preserve"> </w:t>
            </w:r>
            <w:r w:rsidR="00EC188C">
              <w:rPr>
                <w:noProof/>
              </w:rPr>
              <w:t>KW.</w:t>
            </w:r>
            <w:r>
              <w:rPr>
                <w:noProof/>
              </w:rPr>
              <w:t xml:space="preserve"> 3</w:t>
            </w:r>
          </w:p>
        </w:tc>
        <w:tc>
          <w:tcPr>
            <w:tcW w:w="567" w:type="dxa"/>
            <w:shd w:val="clear" w:color="auto" w:fill="C6EFCE"/>
            <w:noWrap/>
          </w:tcPr>
          <w:p w14:paraId="5E63A245" w14:textId="27DE9857" w:rsidR="006578ED" w:rsidRDefault="00A1618E">
            <w:pPr>
              <w:pStyle w:val="P68B1DB1-Normal13"/>
              <w:spacing w:after="0" w:line="240" w:lineRule="auto"/>
              <w:jc w:val="center"/>
              <w:rPr>
                <w:rFonts w:cs="Times New Roman"/>
                <w:noProof/>
              </w:rPr>
            </w:pPr>
            <w:r>
              <w:rPr>
                <w:noProof/>
              </w:rPr>
              <w:t xml:space="preserve">2025 </w:t>
            </w:r>
          </w:p>
        </w:tc>
        <w:tc>
          <w:tcPr>
            <w:tcW w:w="5387" w:type="dxa"/>
            <w:shd w:val="clear" w:color="auto" w:fill="C6EFCE"/>
            <w:noWrap/>
          </w:tcPr>
          <w:p w14:paraId="2F551A31" w14:textId="2337F450" w:rsidR="006578ED" w:rsidRDefault="00A1618E">
            <w:pPr>
              <w:pStyle w:val="P68B1DB1-Normal13"/>
              <w:spacing w:after="0" w:line="240" w:lineRule="auto"/>
              <w:rPr>
                <w:rFonts w:cs="Times New Roman"/>
                <w:noProof/>
              </w:rPr>
            </w:pPr>
            <w:r>
              <w:rPr>
                <w:noProof/>
              </w:rPr>
              <w:t>Wejście w życie dekretu królewskiego w sprawie systemu informacyjnego dla gospodarstw rolnych, zgodnie z opisem środka.</w:t>
            </w:r>
          </w:p>
        </w:tc>
      </w:tr>
      <w:tr w:rsidR="006578ED" w14:paraId="4F361425" w14:textId="77777777">
        <w:trPr>
          <w:trHeight w:val="309"/>
        </w:trPr>
        <w:tc>
          <w:tcPr>
            <w:tcW w:w="709" w:type="dxa"/>
            <w:shd w:val="clear" w:color="auto" w:fill="C6EFCE"/>
            <w:noWrap/>
          </w:tcPr>
          <w:p w14:paraId="3765393A" w14:textId="39A39A05" w:rsidR="006578ED" w:rsidRDefault="00A1618E">
            <w:pPr>
              <w:pStyle w:val="P68B1DB1-Normal13"/>
              <w:spacing w:after="0" w:line="240" w:lineRule="auto"/>
              <w:jc w:val="center"/>
              <w:rPr>
                <w:rFonts w:cs="Times New Roman"/>
                <w:noProof/>
              </w:rPr>
            </w:pPr>
            <w:r>
              <w:rPr>
                <w:noProof/>
              </w:rPr>
              <w:t>L10</w:t>
            </w:r>
          </w:p>
        </w:tc>
        <w:tc>
          <w:tcPr>
            <w:tcW w:w="851" w:type="dxa"/>
            <w:shd w:val="clear" w:color="auto" w:fill="C6EFCE"/>
            <w:noWrap/>
          </w:tcPr>
          <w:p w14:paraId="41512B9B" w14:textId="36CEDF11" w:rsidR="006578ED" w:rsidRDefault="00A1618E">
            <w:pPr>
              <w:pStyle w:val="P68B1DB1-Normal13"/>
              <w:spacing w:after="0" w:line="240" w:lineRule="auto"/>
              <w:jc w:val="center"/>
              <w:rPr>
                <w:rFonts w:cs="Times New Roman"/>
                <w:noProof/>
              </w:rPr>
            </w:pPr>
            <w:r>
              <w:rPr>
                <w:noProof/>
              </w:rPr>
              <w:t>C3.I12</w:t>
            </w:r>
          </w:p>
        </w:tc>
        <w:tc>
          <w:tcPr>
            <w:tcW w:w="1080" w:type="dxa"/>
            <w:shd w:val="clear" w:color="auto" w:fill="C6EFCE"/>
            <w:noWrap/>
          </w:tcPr>
          <w:p w14:paraId="6202A25D" w14:textId="78455010" w:rsidR="006578ED" w:rsidRDefault="00AF6B91">
            <w:pPr>
              <w:pStyle w:val="P68B1DB1-Normal13"/>
              <w:spacing w:after="0" w:line="240" w:lineRule="auto"/>
              <w:jc w:val="center"/>
              <w:rPr>
                <w:rFonts w:cs="Times New Roman"/>
                <w:noProof/>
              </w:rPr>
            </w:pPr>
            <w:r>
              <w:rPr>
                <w:noProof/>
              </w:rPr>
              <w:t>Cel</w:t>
            </w:r>
          </w:p>
        </w:tc>
        <w:tc>
          <w:tcPr>
            <w:tcW w:w="2889" w:type="dxa"/>
            <w:shd w:val="clear" w:color="auto" w:fill="C6EFCE"/>
            <w:noWrap/>
          </w:tcPr>
          <w:p w14:paraId="1A1BA773" w14:textId="6D27B516" w:rsidR="006578ED" w:rsidRDefault="00A1618E">
            <w:pPr>
              <w:pStyle w:val="P68B1DB1-Normal13"/>
              <w:spacing w:after="0" w:line="240" w:lineRule="auto"/>
              <w:rPr>
                <w:rFonts w:cs="Times New Roman"/>
                <w:noProof/>
              </w:rPr>
            </w:pPr>
            <w:r>
              <w:rPr>
                <w:noProof/>
              </w:rPr>
              <w:t>Wdrożenie porozumienia między Ministerstwem Rolnictwa, Rybołówstwa i Żywności (MAPA) a SEIASA w celu wsparcia poprawy i zrównoważenia obszarów nawadnianych (etap III)</w:t>
            </w:r>
          </w:p>
        </w:tc>
        <w:tc>
          <w:tcPr>
            <w:tcW w:w="1276" w:type="dxa"/>
            <w:shd w:val="clear" w:color="auto" w:fill="C6EFCE"/>
            <w:noWrap/>
          </w:tcPr>
          <w:p w14:paraId="31F39C34"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69BC3DEC" w14:textId="2866E2AD" w:rsidR="006578ED" w:rsidRDefault="00A1618E">
            <w:pPr>
              <w:pStyle w:val="P68B1DB1-Normal13"/>
              <w:spacing w:after="0" w:line="240" w:lineRule="auto"/>
              <w:jc w:val="right"/>
              <w:rPr>
                <w:rFonts w:cs="Times New Roman"/>
                <w:noProof/>
              </w:rPr>
            </w:pPr>
            <w:r>
              <w:rPr>
                <w:noProof/>
              </w:rPr>
              <w:t xml:space="preserve"> Mln EUR</w:t>
            </w:r>
          </w:p>
        </w:tc>
        <w:tc>
          <w:tcPr>
            <w:tcW w:w="567" w:type="dxa"/>
            <w:shd w:val="clear" w:color="auto" w:fill="C6EFCE"/>
            <w:noWrap/>
          </w:tcPr>
          <w:p w14:paraId="75A06810" w14:textId="0E12D261"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25C52C25" w14:textId="031D8A51" w:rsidR="006578ED" w:rsidRDefault="00A1618E">
            <w:pPr>
              <w:pStyle w:val="P68B1DB1-Normal13"/>
              <w:spacing w:after="0" w:line="240" w:lineRule="auto"/>
              <w:jc w:val="right"/>
              <w:rPr>
                <w:rFonts w:cs="Times New Roman"/>
                <w:noProof/>
              </w:rPr>
            </w:pPr>
            <w:r>
              <w:rPr>
                <w:noProof/>
              </w:rPr>
              <w:t>260</w:t>
            </w:r>
          </w:p>
        </w:tc>
        <w:tc>
          <w:tcPr>
            <w:tcW w:w="425" w:type="dxa"/>
            <w:shd w:val="clear" w:color="auto" w:fill="C6EFCE"/>
            <w:noWrap/>
          </w:tcPr>
          <w:p w14:paraId="183B4483" w14:textId="74E2F848"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34C00A7D" w14:textId="5735484F" w:rsidR="006578ED" w:rsidRDefault="00A1618E">
            <w:pPr>
              <w:pStyle w:val="P68B1DB1-Normal13"/>
              <w:spacing w:after="0" w:line="240" w:lineRule="auto"/>
              <w:jc w:val="center"/>
              <w:rPr>
                <w:rFonts w:cs="Times New Roman"/>
                <w:noProof/>
              </w:rPr>
            </w:pPr>
            <w:r>
              <w:rPr>
                <w:noProof/>
              </w:rPr>
              <w:t>2023</w:t>
            </w:r>
          </w:p>
        </w:tc>
        <w:tc>
          <w:tcPr>
            <w:tcW w:w="5387" w:type="dxa"/>
            <w:shd w:val="clear" w:color="auto" w:fill="C6EFCE"/>
            <w:noWrap/>
          </w:tcPr>
          <w:p w14:paraId="465F4064" w14:textId="597CF67D" w:rsidR="006578ED" w:rsidRDefault="00A1618E">
            <w:pPr>
              <w:pStyle w:val="P68B1DB1-Normal13"/>
              <w:spacing w:after="0" w:line="240" w:lineRule="auto"/>
              <w:rPr>
                <w:rFonts w:cs="Times New Roman"/>
                <w:noProof/>
              </w:rPr>
            </w:pPr>
            <w:r>
              <w:rPr>
                <w:noProof/>
              </w:rPr>
              <w:t>Umowa o współpracy między Ministerstwem Rolnictwa, Rybołówstwa i Żywności (MAPA) a SEIASA (etap III; Wykonanie budżetu w wysokości 260 000 000 EUR) wdraża warunki planu na rzecz poprawy efektywności i zrównoważonego charakteru nawadniania realizowanego w ramach tego projektu inwestycyjnego. Ta norma prawna reguluje, między innymi, publiczny/prywatny system finansowania tych inwestycji modernizacyjnych nawadniających, kryteria wyboru projektów, procedury realizacji planu oraz wykaz działań, które należy przeprowadzić w związku z wykonaniem budżetu w ramach tego środka.</w:t>
            </w:r>
          </w:p>
        </w:tc>
      </w:tr>
      <w:tr w:rsidR="006578ED" w14:paraId="50413452" w14:textId="77777777">
        <w:trPr>
          <w:trHeight w:val="309"/>
        </w:trPr>
        <w:tc>
          <w:tcPr>
            <w:tcW w:w="709" w:type="dxa"/>
            <w:shd w:val="clear" w:color="auto" w:fill="C6EFCE"/>
            <w:noWrap/>
          </w:tcPr>
          <w:p w14:paraId="277D79EB" w14:textId="33C73E96" w:rsidR="006578ED" w:rsidRDefault="00A1618E">
            <w:pPr>
              <w:pStyle w:val="P68B1DB1-Normal13"/>
              <w:spacing w:after="0" w:line="240" w:lineRule="auto"/>
              <w:jc w:val="center"/>
              <w:rPr>
                <w:rFonts w:cs="Times New Roman"/>
                <w:noProof/>
              </w:rPr>
            </w:pPr>
            <w:r>
              <w:rPr>
                <w:noProof/>
              </w:rPr>
              <w:t>L11</w:t>
            </w:r>
          </w:p>
        </w:tc>
        <w:tc>
          <w:tcPr>
            <w:tcW w:w="851" w:type="dxa"/>
            <w:shd w:val="clear" w:color="auto" w:fill="C6EFCE"/>
            <w:noWrap/>
          </w:tcPr>
          <w:p w14:paraId="13BAE5B2" w14:textId="0AC9B46B" w:rsidR="006578ED" w:rsidRDefault="00A1618E">
            <w:pPr>
              <w:pStyle w:val="P68B1DB1-Normal13"/>
              <w:spacing w:after="0" w:line="240" w:lineRule="auto"/>
              <w:jc w:val="center"/>
              <w:rPr>
                <w:rFonts w:cs="Times New Roman"/>
                <w:noProof/>
              </w:rPr>
            </w:pPr>
            <w:r>
              <w:rPr>
                <w:noProof/>
              </w:rPr>
              <w:t>C3.I12</w:t>
            </w:r>
          </w:p>
        </w:tc>
        <w:tc>
          <w:tcPr>
            <w:tcW w:w="1080" w:type="dxa"/>
            <w:shd w:val="clear" w:color="auto" w:fill="C6EFCE"/>
            <w:noWrap/>
          </w:tcPr>
          <w:p w14:paraId="040A8F6C" w14:textId="089A49B3" w:rsidR="006578ED" w:rsidRDefault="00AF6B91">
            <w:pPr>
              <w:pStyle w:val="P68B1DB1-Normal13"/>
              <w:spacing w:after="0" w:line="240" w:lineRule="auto"/>
              <w:jc w:val="center"/>
              <w:rPr>
                <w:rFonts w:cs="Times New Roman"/>
                <w:noProof/>
              </w:rPr>
            </w:pPr>
            <w:r>
              <w:rPr>
                <w:noProof/>
              </w:rPr>
              <w:t>Cel</w:t>
            </w:r>
          </w:p>
        </w:tc>
        <w:tc>
          <w:tcPr>
            <w:tcW w:w="2889" w:type="dxa"/>
            <w:shd w:val="clear" w:color="auto" w:fill="C6EFCE"/>
            <w:noWrap/>
          </w:tcPr>
          <w:p w14:paraId="242CC6BA" w14:textId="427B9484" w:rsidR="006578ED" w:rsidRDefault="00A1618E">
            <w:pPr>
              <w:pStyle w:val="P68B1DB1-Normal13"/>
              <w:spacing w:after="0" w:line="240" w:lineRule="auto"/>
              <w:rPr>
                <w:rFonts w:cs="Times New Roman"/>
                <w:noProof/>
              </w:rPr>
            </w:pPr>
            <w:r>
              <w:rPr>
                <w:noProof/>
              </w:rPr>
              <w:t xml:space="preserve">Modernizacja zmodernizowanych systemów nawadniania pod względem oszczędności wody i efektywności energetycznej </w:t>
            </w:r>
          </w:p>
        </w:tc>
        <w:tc>
          <w:tcPr>
            <w:tcW w:w="1276" w:type="dxa"/>
            <w:shd w:val="clear" w:color="auto" w:fill="C6EFCE"/>
            <w:noWrap/>
          </w:tcPr>
          <w:p w14:paraId="64D092A7"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3096FCA4" w14:textId="67C75958" w:rsidR="006578ED" w:rsidRDefault="00A1618E">
            <w:pPr>
              <w:pStyle w:val="P68B1DB1-Normal13"/>
              <w:spacing w:after="0" w:line="240" w:lineRule="auto"/>
              <w:jc w:val="right"/>
              <w:rPr>
                <w:rFonts w:cs="Times New Roman"/>
                <w:noProof/>
              </w:rPr>
            </w:pPr>
            <w:r>
              <w:rPr>
                <w:noProof/>
              </w:rPr>
              <w:t>Liczba (hektary)</w:t>
            </w:r>
          </w:p>
        </w:tc>
        <w:tc>
          <w:tcPr>
            <w:tcW w:w="567" w:type="dxa"/>
            <w:shd w:val="clear" w:color="auto" w:fill="C6EFCE"/>
            <w:noWrap/>
          </w:tcPr>
          <w:p w14:paraId="2B66EF9A" w14:textId="6D53B724" w:rsidR="006578ED" w:rsidRDefault="00A1618E">
            <w:pPr>
              <w:pStyle w:val="P68B1DB1-Normal13"/>
              <w:spacing w:after="0" w:line="240" w:lineRule="auto"/>
              <w:jc w:val="right"/>
              <w:rPr>
                <w:rFonts w:cs="Times New Roman"/>
                <w:noProof/>
              </w:rPr>
            </w:pPr>
            <w:r>
              <w:rPr>
                <w:noProof/>
              </w:rPr>
              <w:t>125 000</w:t>
            </w:r>
          </w:p>
        </w:tc>
        <w:tc>
          <w:tcPr>
            <w:tcW w:w="709" w:type="dxa"/>
            <w:shd w:val="clear" w:color="auto" w:fill="C6EFCE"/>
            <w:noWrap/>
          </w:tcPr>
          <w:p w14:paraId="2702C07D" w14:textId="3ED9D421" w:rsidR="006578ED" w:rsidRDefault="00A1618E">
            <w:pPr>
              <w:pStyle w:val="P68B1DB1-Normal13"/>
              <w:spacing w:after="0" w:line="240" w:lineRule="auto"/>
              <w:jc w:val="right"/>
              <w:rPr>
                <w:rFonts w:cs="Times New Roman"/>
                <w:noProof/>
              </w:rPr>
            </w:pPr>
            <w:r>
              <w:rPr>
                <w:noProof/>
              </w:rPr>
              <w:t>160 000</w:t>
            </w:r>
          </w:p>
        </w:tc>
        <w:tc>
          <w:tcPr>
            <w:tcW w:w="425" w:type="dxa"/>
            <w:shd w:val="clear" w:color="auto" w:fill="C6EFCE"/>
            <w:noWrap/>
          </w:tcPr>
          <w:p w14:paraId="2F9F3136" w14:textId="5B244870"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092FA822" w14:textId="0E6ECC23" w:rsidR="006578ED" w:rsidRDefault="00A1618E">
            <w:pPr>
              <w:pStyle w:val="P68B1DB1-Normal13"/>
              <w:spacing w:after="0" w:line="240" w:lineRule="auto"/>
              <w:jc w:val="center"/>
              <w:rPr>
                <w:rFonts w:cs="Times New Roman"/>
                <w:noProof/>
              </w:rPr>
            </w:pPr>
            <w:r>
              <w:rPr>
                <w:noProof/>
              </w:rPr>
              <w:t>2026</w:t>
            </w:r>
          </w:p>
        </w:tc>
        <w:tc>
          <w:tcPr>
            <w:tcW w:w="5387" w:type="dxa"/>
            <w:shd w:val="clear" w:color="auto" w:fill="C6EFCE"/>
            <w:noWrap/>
          </w:tcPr>
          <w:p w14:paraId="0451C6B8" w14:textId="2DE1816C" w:rsidR="006578ED" w:rsidRDefault="00A1618E">
            <w:pPr>
              <w:pStyle w:val="P68B1DB1-Normal13"/>
              <w:spacing w:after="0" w:line="240" w:lineRule="auto"/>
              <w:rPr>
                <w:rFonts w:cs="Times New Roman"/>
                <w:noProof/>
              </w:rPr>
            </w:pPr>
            <w:r>
              <w:rPr>
                <w:noProof/>
              </w:rPr>
              <w:t>Co najmniej 160 000 ha zmodernizowanych systemów nawadniania pod względem oszczędności wody i efektywności energetycznej. Powierzchnia zmodernizowana wraz z inwestycjami w ramach planu odbudowy i zwiększania odporności, a także typologia przeprowadzonych działań znajdują odzwierciedlenie w umowach o współpracy podpisanych przez SEIASA z zainteresowanymi społecznościami użytkowników wody. Umowy te określają konkretne działania, które należy podjąć w celu zagwarantowania oszczędności wody i efektywności energetycznej w zmodernizowanych systemach nawadniania. Niektóre z działań, które należy przeprowadzić w ramach tego planu, to: zastąpienie korzystania z wód podziemnych lub powierzchniowych wykorzystaniem niekonwencjonalnych zasobów wodnych (odzyskanych lub odsalonych zgodnie z wytycznymi technicznymi dotyczącymi zasady „nie czyń poważnych szkód” (2021/C58/01) (ii) wdrożenie systemów regulacji wód, które umożliwiają nawadnianie grawitacyjne (z wykorzystaniem różnicy wysokości, tak aby transport wody nie wymagał wykorzystania energii), (iii) zastąpienie energii ze źródeł kopalnych niezbędnej do pompowania odnawialnymi źródłami energii (głównie energią fotowoltaiczną), (iv) wymiana rowów na wolnym powietrzu wykonanych z betonu lub ziemi na zakopane rury, (v) budowa stacji filtracyjnych i pompujących oraz (vi) instalacja liczników i systemów zdalnego zarządzania. Do II kwartału 20</w:t>
            </w:r>
            <w:r w:rsidRPr="00A1618E">
              <w:rPr>
                <w:noProof/>
                <w:lang w:val="pl-PL"/>
              </w:rPr>
              <w:t>26 r.</w:t>
            </w:r>
            <w:r>
              <w:rPr>
                <w:noProof/>
              </w:rPr>
              <w:t xml:space="preserve"> zmodernizowano co najmniej 35000 hektarów systemów nawadniania pod względem oszczędności wody i efektywności energetycznej, co można zweryfikować w ramach porozumień SIEASA-Wspólnoty Nawadniające. (Podstawa oparta na celu 48)</w:t>
            </w:r>
          </w:p>
        </w:tc>
      </w:tr>
    </w:tbl>
    <w:p w14:paraId="111CCC4F" w14:textId="77777777" w:rsidR="006578ED" w:rsidRDefault="006578ED">
      <w:pPr>
        <w:spacing w:before="120" w:after="120" w:line="240" w:lineRule="auto"/>
        <w:jc w:val="both"/>
        <w:rPr>
          <w:rFonts w:ascii="Times New Roman" w:hAnsi="Times New Roman" w:cs="Times New Roman"/>
          <w:noProof/>
          <w:sz w:val="24"/>
        </w:rPr>
      </w:pPr>
    </w:p>
    <w:p w14:paraId="159885DA" w14:textId="127E154C" w:rsidR="006578ED" w:rsidRDefault="006578ED">
      <w:pPr>
        <w:spacing w:before="120" w:after="120" w:line="240" w:lineRule="auto"/>
        <w:jc w:val="both"/>
        <w:rPr>
          <w:rFonts w:ascii="Times New Roman" w:hAnsi="Times New Roman" w:cs="Times New Roman"/>
          <w:noProof/>
          <w:sz w:val="24"/>
        </w:rPr>
      </w:pPr>
    </w:p>
    <w:p w14:paraId="375E651E" w14:textId="7B0D8992" w:rsidR="006578ED" w:rsidRDefault="006578ED">
      <w:pPr>
        <w:spacing w:before="120" w:after="120" w:line="240" w:lineRule="auto"/>
        <w:jc w:val="both"/>
        <w:rPr>
          <w:rFonts w:ascii="Times New Roman" w:hAnsi="Times New Roman" w:cs="Times New Roman"/>
          <w:noProof/>
          <w:sz w:val="24"/>
        </w:rPr>
        <w:sectPr w:rsidR="006578ED" w:rsidSect="00522183">
          <w:headerReference w:type="even" r:id="rId96"/>
          <w:headerReference w:type="default" r:id="rId97"/>
          <w:footerReference w:type="even" r:id="rId98"/>
          <w:footerReference w:type="default" r:id="rId99"/>
          <w:headerReference w:type="first" r:id="rId100"/>
          <w:footerReference w:type="first" r:id="rId101"/>
          <w:pgSz w:w="16839" w:h="11907" w:orient="landscape"/>
          <w:pgMar w:top="1417" w:right="1134" w:bottom="1417" w:left="1134" w:header="709" w:footer="709" w:gutter="0"/>
          <w:cols w:space="720"/>
          <w:docGrid w:linePitch="360"/>
        </w:sectPr>
      </w:pPr>
    </w:p>
    <w:p w14:paraId="3066E461" w14:textId="081498BD" w:rsidR="006578ED" w:rsidRDefault="00A1618E">
      <w:pPr>
        <w:pStyle w:val="P68B1DB1-Heading12"/>
        <w:rPr>
          <w:rFonts w:cs="Times New Roman"/>
          <w:noProof/>
        </w:rPr>
      </w:pPr>
      <w:r>
        <w:rPr>
          <w:noProof/>
        </w:rPr>
        <w:t>D. KOMPONENT 04: Ekosystemy i różnorodność biologiczna</w:t>
      </w:r>
    </w:p>
    <w:p w14:paraId="30F8696F" w14:textId="7F86195D" w:rsidR="006578ED" w:rsidRDefault="00A1618E">
      <w:pPr>
        <w:pStyle w:val="P68B1DB1-Normal4"/>
        <w:spacing w:before="120" w:after="120" w:line="240" w:lineRule="auto"/>
        <w:jc w:val="both"/>
        <w:rPr>
          <w:rFonts w:cs="Times New Roman"/>
          <w:noProof/>
        </w:rPr>
      </w:pPr>
      <w:r>
        <w:rPr>
          <w:noProof/>
        </w:rPr>
        <w:t xml:space="preserve">Ten element hiszpańskiego planu odbudowy i zwiększania odporności uwzględnia podatność Hiszpanii na bezpośrednie i pośrednie negatywne skutki zmiany klimatu ze względu na biogeografię i geomorfologię poprzez poprawę stanu ochrony ekosystemów, w razie potrzeby poprzez ich odbudowę ekologiczną i odwrócenie procesu utraty różnorodności biologicznej, zapewnienie zrównoważonego wykorzystania zasobów naturalnych oraz ochronę i poprawę usług ekosystemowych. Komponent ten przyczynia się również do przystosowania ekosystemów do negatywnych skutków zmiany klimatu poprzez przyjęcie środków minimalizujących jej skutki, przyjęcie krajowej strategii zwalczania pustynnienia i skoncentrowanie się na pożarach lasów. </w:t>
      </w:r>
    </w:p>
    <w:p w14:paraId="6B11FF22" w14:textId="404003C0" w:rsidR="006578ED" w:rsidRDefault="00A1618E">
      <w:pPr>
        <w:pStyle w:val="P68B1DB1-Normal4"/>
        <w:spacing w:before="120" w:after="120" w:line="240" w:lineRule="auto"/>
        <w:jc w:val="both"/>
        <w:rPr>
          <w:rFonts w:cs="Times New Roman"/>
          <w:noProof/>
        </w:rPr>
      </w:pPr>
      <w:r>
        <w:rPr>
          <w:noProof/>
        </w:rPr>
        <w:t>Dodatkowy nacisk kładzie się na ochronę, zachowanie i odbudowę ekosystemów morskich. Realizacja tego elementu hiszpańskiego planu odbudowy i zwiększania odporności (i) uruchomi niebieską agendę na rzecz poprawy mórz i ich różnorodności biologicznej; zwiększenie udziału chronionych obszarów morskich poprzez ochronę co najmniej 18 % terytorium Hiszpanii do końca 20</w:t>
      </w:r>
      <w:r w:rsidRPr="00A1618E">
        <w:rPr>
          <w:noProof/>
          <w:lang w:val="pl-PL"/>
        </w:rPr>
        <w:t>25 r.</w:t>
      </w:r>
      <w:r>
        <w:rPr>
          <w:noProof/>
        </w:rPr>
        <w:t>, chroniąc zarówno faunę, jak i florę; oraz (iii) wprowadzenie, po raz pierwszy w Hiszpanii, ram zarządzania morskiego.</w:t>
      </w:r>
    </w:p>
    <w:p w14:paraId="6A501ED7" w14:textId="72A3AB43" w:rsidR="006578ED" w:rsidRDefault="00A1618E">
      <w:pPr>
        <w:pStyle w:val="P68B1DB1-Normal4"/>
        <w:spacing w:before="120" w:after="120" w:line="240" w:lineRule="auto"/>
        <w:jc w:val="both"/>
        <w:rPr>
          <w:rFonts w:cs="Times New Roman"/>
          <w:noProof/>
        </w:rPr>
      </w:pPr>
      <w:r>
        <w:rPr>
          <w:noProof/>
        </w:rPr>
        <w:t xml:space="preserve">Ponadto ma ona również na celu ochronę obszarów wiejskich, ich ekosystemów, różnorodności biologicznej i terenów zalesionych oraz zrównoważone zarządzanie nimi. Obszary wiejskie, na których wyludnianie miało szczególnie niekorzystne skutki, są w znacznej części bogatego dziedzictwa przyrodniczego Hiszpanii i w związku z tym stanowią źródło bogactwa lokalnego, otwierając możliwości odwrócenia tendencji spadkowej demograficznej. </w:t>
      </w:r>
    </w:p>
    <w:p w14:paraId="4BF45026" w14:textId="6556C6A4" w:rsidR="006578ED" w:rsidRDefault="00A1618E">
      <w:pPr>
        <w:pStyle w:val="P68B1DB1-Normal4"/>
        <w:spacing w:before="120" w:after="120" w:line="240" w:lineRule="auto"/>
        <w:jc w:val="both"/>
        <w:rPr>
          <w:rFonts w:cs="Times New Roman"/>
          <w:noProof/>
        </w:rPr>
      </w:pPr>
      <w:r>
        <w:rPr>
          <w:noProof/>
        </w:rPr>
        <w:t xml:space="preserve">Ten element hiszpańskiego planu odbudowy i zwiększania odporności wspiera inwestycje w transformację ekologiczną i cyfrową (zalecenie dla poszczególnych krajów </w:t>
      </w:r>
      <w:r w:rsidRPr="00A1618E">
        <w:rPr>
          <w:noProof/>
          <w:lang w:val="pl-PL"/>
        </w:rPr>
        <w:t>nr 3</w:t>
      </w:r>
      <w:r>
        <w:rPr>
          <w:noProof/>
        </w:rPr>
        <w:t xml:space="preserve"> z 20</w:t>
      </w:r>
      <w:r w:rsidRPr="00A1618E">
        <w:rPr>
          <w:noProof/>
          <w:lang w:val="pl-PL"/>
        </w:rPr>
        <w:t>20 r.</w:t>
      </w:r>
      <w:r>
        <w:rPr>
          <w:noProof/>
        </w:rPr>
        <w:t xml:space="preserve">). Wspiera on również właściwe gospodarowanie gruntami, w szczególności gospodarkę leśną, ochronę przyrody i odbudowę zgodnie z celami Europejskiego Zielonego Ładu i unijnej strategii na rzecz bioróżnorodności 2030. </w:t>
      </w:r>
    </w:p>
    <w:p w14:paraId="44250219" w14:textId="6423BF36"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21FC91AB" w14:textId="00687B8E" w:rsidR="006578ED" w:rsidRDefault="00A1618E">
      <w:pPr>
        <w:pStyle w:val="P68B1DB1-Normal5"/>
        <w:spacing w:before="120" w:after="120" w:line="240" w:lineRule="auto"/>
        <w:ind w:left="720"/>
        <w:jc w:val="both"/>
        <w:rPr>
          <w:rFonts w:cs="Times New Roman"/>
          <w:i/>
          <w:noProof/>
        </w:rPr>
      </w:pPr>
      <w:r>
        <w:rPr>
          <w:noProof/>
        </w:rPr>
        <w:t xml:space="preserve">D.1. </w:t>
      </w:r>
      <w:r>
        <w:rPr>
          <w:noProof/>
        </w:rPr>
        <w:tab/>
        <w:t>Opis reform i inwestycji, które mają być finansowane z bezzwrotnego wsparcia finansowego</w:t>
      </w:r>
    </w:p>
    <w:p w14:paraId="25340F12" w14:textId="150A5861" w:rsidR="006578ED" w:rsidRDefault="00A1618E">
      <w:pPr>
        <w:pStyle w:val="P68B1DB1-Normal6"/>
        <w:spacing w:before="120" w:after="120" w:line="240" w:lineRule="auto"/>
        <w:jc w:val="both"/>
        <w:rPr>
          <w:rFonts w:cs="Times New Roman"/>
          <w:noProof/>
        </w:rPr>
      </w:pPr>
      <w:r>
        <w:rPr>
          <w:noProof/>
        </w:rPr>
        <w:t>Reforma 1 (C4.R1) – Ochrona różnorodności biologicznej obszarów lądowych i morskich</w:t>
      </w:r>
    </w:p>
    <w:p w14:paraId="59340859" w14:textId="3E4212BD" w:rsidR="006578ED" w:rsidRDefault="00A1618E">
      <w:pPr>
        <w:pStyle w:val="P68B1DB1-Normal4"/>
        <w:spacing w:before="120" w:after="120" w:line="240" w:lineRule="auto"/>
        <w:jc w:val="both"/>
        <w:rPr>
          <w:rFonts w:cs="Times New Roman"/>
          <w:noProof/>
        </w:rPr>
      </w:pPr>
      <w:r>
        <w:rPr>
          <w:noProof/>
        </w:rPr>
        <w:t xml:space="preserve">Reforma ta zaktualizuje przepisy dotyczące różnorodności biologicznej i dziedzictwa naturalnego, aby wesprzeć wypełnianie zobowiązań wynikających z Konwencji o różnorodności biologicznej i niedawno przyjętej unijnej strategii na rzecz bioróżnorodności 2030. </w:t>
      </w:r>
    </w:p>
    <w:p w14:paraId="701C4F91" w14:textId="583898ED" w:rsidR="006578ED" w:rsidRDefault="00A1618E">
      <w:pPr>
        <w:pStyle w:val="P68B1DB1-Normal4"/>
        <w:spacing w:before="120" w:after="120" w:line="240" w:lineRule="auto"/>
        <w:jc w:val="both"/>
        <w:rPr>
          <w:rFonts w:cs="Times New Roman"/>
          <w:noProof/>
        </w:rPr>
      </w:pPr>
      <w:r>
        <w:rPr>
          <w:noProof/>
        </w:rPr>
        <w:t xml:space="preserve">Głównym działaniem w ramach tej reformy jest przygotowanie, zatwierdzenie i wdrożenie strategicznego planu na rzecz dziedzictwa naturalnego i różnorodności biologicznej (określonego w ustawie 42/2007 o dziedzictwie naturalnym i różnorodności biologicznej), aby wywrzeć długotrwały wpływ na ochronę wszystkich hiszpańskich systemów przyrodniczych i zarządzanie nimi, a także na usługi świadczone społeczeństwu. Reforma ta obejmuje również następujące działania w ramach tego środka: </w:t>
      </w:r>
    </w:p>
    <w:p w14:paraId="09D845DD" w14:textId="2E11D6B8" w:rsidR="006578ED" w:rsidRDefault="00A1618E">
      <w:pPr>
        <w:pStyle w:val="P68B1DB1-Normal4"/>
        <w:numPr>
          <w:ilvl w:val="0"/>
          <w:numId w:val="90"/>
        </w:numPr>
        <w:spacing w:before="120" w:after="160" w:line="240" w:lineRule="auto"/>
        <w:ind w:left="714" w:hanging="357"/>
        <w:contextualSpacing/>
        <w:jc w:val="both"/>
        <w:rPr>
          <w:rFonts w:cs="Times New Roman"/>
          <w:noProof/>
        </w:rPr>
      </w:pPr>
      <w:r>
        <w:rPr>
          <w:noProof/>
        </w:rPr>
        <w:t xml:space="preserve">Przyjęcie strategii na rzecz różnorodności biologicznej, nauki i wiedzy, która określi główne luki w badaniach naukowych i określi konkretne obszary, w których badania w dziedzinie różnorodności biologicznej są konieczne. </w:t>
      </w:r>
    </w:p>
    <w:p w14:paraId="005A8DCC" w14:textId="2611C6B2" w:rsidR="006578ED" w:rsidRDefault="00A1618E">
      <w:pPr>
        <w:pStyle w:val="P68B1DB1-Normal4"/>
        <w:numPr>
          <w:ilvl w:val="0"/>
          <w:numId w:val="90"/>
        </w:numPr>
        <w:spacing w:before="120" w:after="160" w:line="240" w:lineRule="auto"/>
        <w:contextualSpacing/>
        <w:jc w:val="both"/>
        <w:rPr>
          <w:rFonts w:cs="Times New Roman"/>
          <w:noProof/>
        </w:rPr>
      </w:pPr>
      <w:r>
        <w:rPr>
          <w:noProof/>
        </w:rPr>
        <w:t xml:space="preserve">Przyjęcie dekretu królewskiego w sprawie zatwierdzenia planu dotyczącego sieci morskich obszarów chronionych, który wspiera spójną pod względem ekologicznym sieć przyczyniającą się do ochrony obszarów dziedzictwa naturalnego i morskiej różnorodności biologicznej, wspierając planowane, skuteczne i spójne zarządzanie morskimi obszarami chronionymi. </w:t>
      </w:r>
    </w:p>
    <w:p w14:paraId="6814E040" w14:textId="3D76ABD7" w:rsidR="006578ED" w:rsidRDefault="00A1618E">
      <w:pPr>
        <w:pStyle w:val="P68B1DB1-Normal4"/>
        <w:numPr>
          <w:ilvl w:val="0"/>
          <w:numId w:val="90"/>
        </w:numPr>
        <w:spacing w:before="120" w:after="160" w:line="240" w:lineRule="auto"/>
        <w:contextualSpacing/>
        <w:jc w:val="both"/>
        <w:rPr>
          <w:rFonts w:cs="Times New Roman"/>
          <w:noProof/>
        </w:rPr>
      </w:pPr>
      <w:r>
        <w:rPr>
          <w:noProof/>
        </w:rPr>
        <w:t xml:space="preserve">Krajowa strategia na rzecz ochrony owadów zapylających przewiduje działania niezbędne do poprawy sytuacji owadów zapylających. Strategia ta koncentruje się w szczególności na (i) promowaniu obszarów korzystnych dla owadów zapylających; poprawa zarządzania ryzykiem stwarzanym przez gatunki szkodliwe oraz ograniczanie ryzyka stwarzanego przez gatunki szkodliwe; produkty fitosanitarne; oraz (iv) promowanie badań nad ochroną owadów zapylających oraz rozpowszechnianie związanych z nimi wyników badań w tej dziedzinie. </w:t>
      </w:r>
    </w:p>
    <w:p w14:paraId="16BFEBDC" w14:textId="7D976AB2" w:rsidR="006578ED" w:rsidRDefault="00A1618E">
      <w:pPr>
        <w:pStyle w:val="P68B1DB1-Normal4"/>
        <w:numPr>
          <w:ilvl w:val="0"/>
          <w:numId w:val="90"/>
        </w:numPr>
        <w:spacing w:before="120" w:after="160" w:line="240" w:lineRule="auto"/>
        <w:contextualSpacing/>
        <w:jc w:val="both"/>
        <w:rPr>
          <w:rFonts w:cs="Times New Roman"/>
          <w:noProof/>
        </w:rPr>
      </w:pPr>
      <w:r>
        <w:rPr>
          <w:noProof/>
        </w:rPr>
        <w:t xml:space="preserve">Przyjęcie rozporządzenia w sprawie aktualizacji organów administracyjnych i naukowych na mocy Konwencji o międzynarodowym handlu dzikimi zwierzętami i roślinami gatunków zagrożonych wyginięciem (rozporządzenie CITES), które zagwarantuje wdrożenie środków wynikających z CITES i zagwarantuje, że handel nie będzie szkodliwy dla stanu ochrony gatunków i ich długoterminowego przetrwania. </w:t>
      </w:r>
    </w:p>
    <w:p w14:paraId="37927D61" w14:textId="66506A39" w:rsidR="006578ED" w:rsidRDefault="00A1618E">
      <w:pPr>
        <w:pStyle w:val="P68B1DB1-Normal4"/>
        <w:numPr>
          <w:ilvl w:val="0"/>
          <w:numId w:val="90"/>
        </w:numPr>
        <w:spacing w:before="120" w:after="120" w:line="240" w:lineRule="auto"/>
        <w:ind w:left="714" w:hanging="357"/>
        <w:jc w:val="both"/>
        <w:rPr>
          <w:rFonts w:cs="Times New Roman"/>
          <w:noProof/>
        </w:rPr>
      </w:pPr>
      <w:r>
        <w:rPr>
          <w:noProof/>
        </w:rPr>
        <w:t xml:space="preserve">Plan ochrony i odbudowy terenów podmokłych, który gwarantuje ochronę i racjonalne wykorzystanie terenów podmokłych. </w:t>
      </w:r>
    </w:p>
    <w:p w14:paraId="3EAB1E06" w14:textId="2CE95AE1" w:rsidR="006578ED" w:rsidRDefault="00A1618E">
      <w:pPr>
        <w:pStyle w:val="P68B1DB1-Normal4"/>
        <w:spacing w:before="120" w:after="120" w:line="240" w:lineRule="auto"/>
        <w:jc w:val="both"/>
        <w:rPr>
          <w:rFonts w:cs="Times New Roman"/>
          <w:noProof/>
        </w:rPr>
      </w:pPr>
      <w:r>
        <w:rPr>
          <w:noProof/>
        </w:rPr>
        <w:t xml:space="preserve">Rozwój tych działań w ramach tego środka będzie bezpośrednio wspierany przez inwestycje 1 i inwestycje 2 w ramach tego komponentu hiszpańskiego planu odbudowy i zwiększania odporności (opisane poniżej). Uzupełnia on również dwie pozostałe reformy i inwestycje opisane w tym elemencie hiszpańskiego planu odbudowy i zwiększania odporności. </w:t>
      </w:r>
    </w:p>
    <w:p w14:paraId="18300707" w14:textId="6822F23C" w:rsidR="006578ED" w:rsidRDefault="00A1618E">
      <w:pPr>
        <w:pStyle w:val="P68B1DB1-Normal4"/>
        <w:spacing w:before="120" w:after="120" w:line="240" w:lineRule="auto"/>
        <w:jc w:val="both"/>
        <w:rPr>
          <w:rFonts w:cs="Times New Roman"/>
          <w:noProof/>
        </w:rPr>
      </w:pPr>
      <w:r>
        <w:rPr>
          <w:noProof/>
        </w:rPr>
        <w:t>Wdrożenie środka należy zakończyć do dnia 31 grudnia 20</w:t>
      </w:r>
      <w:r w:rsidRPr="00A1618E">
        <w:rPr>
          <w:noProof/>
          <w:lang w:val="pl-PL"/>
        </w:rPr>
        <w:t>22 r.</w:t>
      </w:r>
      <w:r>
        <w:rPr>
          <w:noProof/>
        </w:rPr>
        <w:t xml:space="preserve"> </w:t>
      </w:r>
    </w:p>
    <w:p w14:paraId="020DA12D" w14:textId="67B280B4" w:rsidR="006578ED" w:rsidRDefault="00A1618E">
      <w:pPr>
        <w:pStyle w:val="P68B1DB1-Normal6"/>
        <w:spacing w:before="120" w:after="120" w:line="240" w:lineRule="auto"/>
        <w:jc w:val="both"/>
        <w:rPr>
          <w:rFonts w:cs="Times New Roman"/>
          <w:noProof/>
        </w:rPr>
      </w:pPr>
      <w:r>
        <w:rPr>
          <w:noProof/>
        </w:rPr>
        <w:t>Reforma 2 (C4.R2) – Odbudowa ekosystemów i zielonej infrastruktury</w:t>
      </w:r>
    </w:p>
    <w:p w14:paraId="39BD5F75" w14:textId="6CDA80DF" w:rsidR="006578ED" w:rsidRDefault="00A1618E">
      <w:pPr>
        <w:pStyle w:val="P68B1DB1-Normal4"/>
        <w:spacing w:before="120" w:after="120" w:line="240" w:lineRule="auto"/>
        <w:jc w:val="both"/>
        <w:rPr>
          <w:rFonts w:cs="Times New Roman"/>
          <w:noProof/>
        </w:rPr>
      </w:pPr>
      <w:r>
        <w:rPr>
          <w:noProof/>
        </w:rPr>
        <w:t xml:space="preserve">Celem tej reformy jest opracowanie i wdrożenie strategii rządu centralnego na rzecz zielonej infrastruktury, łączności i odbudowy ekologicznej, przywrócenie zniszczonych ekosystemów i skonsolidowanie </w:t>
      </w:r>
      <w:r w:rsidRPr="00A1618E">
        <w:rPr>
          <w:noProof/>
          <w:lang w:val="pl-PL"/>
        </w:rPr>
        <w:t>do 2</w:t>
      </w:r>
      <w:r>
        <w:rPr>
          <w:noProof/>
        </w:rPr>
        <w:t>0</w:t>
      </w:r>
      <w:r w:rsidRPr="00A1618E">
        <w:rPr>
          <w:noProof/>
          <w:lang w:val="pl-PL"/>
        </w:rPr>
        <w:t>50 r.</w:t>
      </w:r>
      <w:r>
        <w:rPr>
          <w:noProof/>
        </w:rPr>
        <w:t xml:space="preserve"> sieci w pełni funkcjonalnych lądowych i morskich obszarów naturalnych i półnaturalnych połączonych w Hiszpanii.</w:t>
      </w:r>
    </w:p>
    <w:p w14:paraId="40AEC7EC" w14:textId="65515F70" w:rsidR="006578ED" w:rsidRDefault="00A1618E">
      <w:pPr>
        <w:pStyle w:val="P68B1DB1-Normal4"/>
        <w:spacing w:before="120" w:after="120" w:line="240" w:lineRule="auto"/>
        <w:jc w:val="both"/>
        <w:rPr>
          <w:rFonts w:cs="Times New Roman"/>
          <w:noProof/>
        </w:rPr>
      </w:pPr>
      <w:r>
        <w:rPr>
          <w:noProof/>
        </w:rPr>
        <w:t xml:space="preserve">Reformy te obejmują siedem różnych kierunków działania mających na celu: ograniczenie skutków fragmentacji i utraty łączności ekologicznej; odbudowa siedlisk i ekosystemów na kluczowych obszarach; utrzymanie i poprawa świadczenia usług ekosystemowych elementów zielonej infrastruktury; zwiększenie odporności elementów związanych z zieloną infrastrukturą; zapewnienie spójności terytorialnej; włączenie skutecznej zielonej infrastruktury; oraz (vii) zapewnienie odpowiedniej komunikacji, edukacji i udziału grup interesu i społeczeństwa w rozwoju zielonej infrastruktury. </w:t>
      </w:r>
    </w:p>
    <w:p w14:paraId="568339C9" w14:textId="75FCC24D" w:rsidR="006578ED" w:rsidRDefault="00A1618E">
      <w:pPr>
        <w:pStyle w:val="P68B1DB1-Normal4"/>
        <w:spacing w:before="120" w:after="120" w:line="240" w:lineRule="auto"/>
        <w:jc w:val="both"/>
        <w:rPr>
          <w:rFonts w:cs="Times New Roman"/>
          <w:noProof/>
        </w:rPr>
      </w:pPr>
      <w:r>
        <w:rPr>
          <w:noProof/>
        </w:rPr>
        <w:t xml:space="preserve">Reforma ta jest dodatkowo wspierana w ramach inwestycji 3 w ramach tego komponentu hiszpańskiego planu odbudowy i zwiększania odporności, w szczególności w odniesieniu do zaleceń unijnej strategii na rzecz bioróżnorodności 2030 dotyczących włączenia korytarzy ekologicznych, sadzenia drzew na dużą skalę, znacznych postępów w rekultywacji zanieczyszczonych gruntów oraz celu, jakim jest zapewnienie miastom liczącym co najmniej 20000 mieszkańców ambitnego planu zazieleniania obszarów miejskich. Jest on również związany z reformą 1 i inwestycją 1 w ramach tego komponentu hiszpańskiego planu odbudowy i zwiększania odporności. </w:t>
      </w:r>
    </w:p>
    <w:p w14:paraId="3C9F2936" w14:textId="1A1A6BA0" w:rsidR="006578ED" w:rsidRDefault="00A1618E">
      <w:pPr>
        <w:pStyle w:val="P68B1DB1-Normal4"/>
        <w:spacing w:before="120" w:after="120" w:line="240" w:lineRule="auto"/>
        <w:jc w:val="both"/>
        <w:rPr>
          <w:rFonts w:cs="Times New Roman"/>
          <w:noProof/>
        </w:rPr>
      </w:pPr>
      <w:r>
        <w:rPr>
          <w:noProof/>
        </w:rPr>
        <w:t>Wdrożenie środka należy zakończyć do dnia 30 czerwca 20</w:t>
      </w:r>
      <w:r w:rsidRPr="00A1618E">
        <w:rPr>
          <w:noProof/>
          <w:lang w:val="pl-PL"/>
        </w:rPr>
        <w:t>21 r.</w:t>
      </w:r>
      <w:r>
        <w:rPr>
          <w:noProof/>
        </w:rPr>
        <w:t xml:space="preserve"> </w:t>
      </w:r>
    </w:p>
    <w:p w14:paraId="4C4CB362" w14:textId="77777777" w:rsidR="006578ED" w:rsidRDefault="00A1618E">
      <w:pPr>
        <w:pStyle w:val="P68B1DB1-Normal6"/>
        <w:spacing w:before="120" w:after="120" w:line="240" w:lineRule="auto"/>
        <w:jc w:val="both"/>
        <w:rPr>
          <w:rFonts w:cs="Times New Roman"/>
          <w:noProof/>
        </w:rPr>
      </w:pPr>
      <w:r>
        <w:rPr>
          <w:noProof/>
        </w:rPr>
        <w:t>Reforma 3 (C4.R3) – Zrównoważona gospodarka leśna</w:t>
      </w:r>
    </w:p>
    <w:p w14:paraId="5B135FED" w14:textId="6478AA3F" w:rsidR="006578ED" w:rsidRDefault="00A1618E">
      <w:pPr>
        <w:pStyle w:val="P68B1DB1-Normal4"/>
        <w:spacing w:before="120" w:after="120" w:line="240" w:lineRule="auto"/>
        <w:jc w:val="both"/>
        <w:rPr>
          <w:rFonts w:cs="Times New Roman"/>
          <w:noProof/>
        </w:rPr>
      </w:pPr>
      <w:r>
        <w:rPr>
          <w:noProof/>
        </w:rPr>
        <w:t>Reforma ta zaktualizuje hiszpańską strategię leśną z 19</w:t>
      </w:r>
      <w:r w:rsidRPr="00A1618E">
        <w:rPr>
          <w:noProof/>
          <w:lang w:val="pl-PL"/>
        </w:rPr>
        <w:t>99 r.</w:t>
      </w:r>
      <w:r>
        <w:rPr>
          <w:noProof/>
        </w:rPr>
        <w:t xml:space="preserve"> wraz z hiszpańskim planem leśnym na lata 2002–2032, opracowując pakiet działań mających na celu pobudzenie sektora leśnego, obejmujący całą las hiszpański: ochrona gatunków i obszarów, pożary, własność, ewolucja, obecny stan i tendencje na obszarach i zasobach leśnych. Reforma dotyczy ożywienia gospodarczego i społecznego dużych obszarów wiejskich, które borykają się z poważnymi problemami wyludniania, i jest dobrze dostosowana do Europejskiego Zielonego Ładu. </w:t>
      </w:r>
    </w:p>
    <w:p w14:paraId="73FE2331" w14:textId="77777777" w:rsidR="006578ED" w:rsidRDefault="00A1618E">
      <w:pPr>
        <w:pStyle w:val="P68B1DB1-Normal4"/>
        <w:spacing w:before="120" w:after="120" w:line="240" w:lineRule="auto"/>
        <w:jc w:val="both"/>
        <w:rPr>
          <w:rFonts w:cs="Times New Roman"/>
          <w:noProof/>
        </w:rPr>
      </w:pPr>
      <w:r>
        <w:rPr>
          <w:noProof/>
        </w:rPr>
        <w:t>Hiszpańska strategia leśna obejmuje pięć priorytetów strategicznych:</w:t>
      </w:r>
    </w:p>
    <w:p w14:paraId="014728FC" w14:textId="7A530A3C" w:rsidR="006578ED" w:rsidRDefault="00A1618E">
      <w:pPr>
        <w:pStyle w:val="P68B1DB1-Normal4"/>
        <w:numPr>
          <w:ilvl w:val="0"/>
          <w:numId w:val="87"/>
        </w:numPr>
        <w:spacing w:before="120" w:after="160" w:line="240" w:lineRule="auto"/>
        <w:contextualSpacing/>
        <w:jc w:val="both"/>
        <w:rPr>
          <w:rFonts w:cs="Times New Roman"/>
          <w:noProof/>
        </w:rPr>
      </w:pPr>
      <w:r>
        <w:rPr>
          <w:noProof/>
        </w:rPr>
        <w:t>Ochrona i poprawa stanu dziedzictwa naturalnego, różnorodności biologicznej i łączności.</w:t>
      </w:r>
    </w:p>
    <w:p w14:paraId="54D6C91C" w14:textId="0ED8C058" w:rsidR="006578ED" w:rsidRDefault="00A1618E">
      <w:pPr>
        <w:pStyle w:val="P68B1DB1-Normal4"/>
        <w:numPr>
          <w:ilvl w:val="0"/>
          <w:numId w:val="87"/>
        </w:numPr>
        <w:spacing w:before="120" w:after="160" w:line="240" w:lineRule="auto"/>
        <w:contextualSpacing/>
        <w:jc w:val="both"/>
        <w:rPr>
          <w:rFonts w:cs="Times New Roman"/>
          <w:noProof/>
        </w:rPr>
      </w:pPr>
      <w:r>
        <w:rPr>
          <w:noProof/>
        </w:rPr>
        <w:t xml:space="preserve">Ochrona, bezpieczeństwo zdrowia i ochrona prewencji oraz dostosowanie do zagrożeń naturalnych i środowiskowych. </w:t>
      </w:r>
    </w:p>
    <w:p w14:paraId="25D0CC2D" w14:textId="3ABD2EAA" w:rsidR="006578ED" w:rsidRDefault="00A1618E">
      <w:pPr>
        <w:pStyle w:val="P68B1DB1-Normal4"/>
        <w:numPr>
          <w:ilvl w:val="0"/>
          <w:numId w:val="87"/>
        </w:numPr>
        <w:spacing w:before="120" w:after="160" w:line="240" w:lineRule="auto"/>
        <w:contextualSpacing/>
        <w:jc w:val="both"/>
        <w:rPr>
          <w:rFonts w:cs="Times New Roman"/>
          <w:noProof/>
        </w:rPr>
      </w:pPr>
      <w:r>
        <w:rPr>
          <w:noProof/>
        </w:rPr>
        <w:t>Biogospodarka leśna: zielona gospodarka i miejsca pracy, mobilizacja zasobów leśnych oraz zrównoważony rozwój społeczno-gospodarczy sektora leśnego.</w:t>
      </w:r>
    </w:p>
    <w:p w14:paraId="72908E0E" w14:textId="430B3F98" w:rsidR="006578ED" w:rsidRDefault="00A1618E">
      <w:pPr>
        <w:pStyle w:val="P68B1DB1-Normal4"/>
        <w:numPr>
          <w:ilvl w:val="0"/>
          <w:numId w:val="87"/>
        </w:numPr>
        <w:spacing w:before="120" w:after="160" w:line="240" w:lineRule="auto"/>
        <w:contextualSpacing/>
        <w:jc w:val="both"/>
        <w:rPr>
          <w:rFonts w:cs="Times New Roman"/>
          <w:noProof/>
        </w:rPr>
      </w:pPr>
      <w:r>
        <w:rPr>
          <w:noProof/>
        </w:rPr>
        <w:t>Rozwój i doskonalenie wiedzy i kultury leśnej.</w:t>
      </w:r>
    </w:p>
    <w:p w14:paraId="1FBCD1F4" w14:textId="2B7A7497" w:rsidR="006578ED" w:rsidRDefault="00A1618E">
      <w:pPr>
        <w:pStyle w:val="P68B1DB1-Normal4"/>
        <w:numPr>
          <w:ilvl w:val="0"/>
          <w:numId w:val="87"/>
        </w:numPr>
        <w:spacing w:before="120" w:after="120" w:line="240" w:lineRule="auto"/>
        <w:ind w:left="357" w:hanging="357"/>
        <w:jc w:val="both"/>
        <w:rPr>
          <w:rFonts w:cs="Times New Roman"/>
          <w:noProof/>
        </w:rPr>
      </w:pPr>
      <w:r>
        <w:rPr>
          <w:noProof/>
        </w:rPr>
        <w:t>Model gospodarki leśnej: regulacyjne, administracyjne i instrumentalne ramy hiszpańskiej polityki leśnej.</w:t>
      </w:r>
    </w:p>
    <w:p w14:paraId="394982C6" w14:textId="7EFA1BCC" w:rsidR="006578ED" w:rsidRDefault="00A1618E">
      <w:pPr>
        <w:pStyle w:val="P68B1DB1-Normal4"/>
        <w:spacing w:before="120" w:after="120" w:line="240" w:lineRule="auto"/>
        <w:jc w:val="both"/>
        <w:rPr>
          <w:rFonts w:cs="Times New Roman"/>
          <w:noProof/>
        </w:rPr>
      </w:pPr>
      <w:r>
        <w:rPr>
          <w:noProof/>
        </w:rPr>
        <w:t xml:space="preserve">Hiszpańska strategia leśna zawiera dwa główne instrumenty, które są niezbędne do zreformowania całego sektora leśnego. Pierwszym z nich jest przyjęcie wytycznych dotyczących zrównoważonej gospodarki leśnej. Wytyczne te obejmują takie kwestie jak różnorodność biologiczna, zmiana klimatu i biogospodarka o obiegu zamkniętym. Po drugie, strategiczne wytyczne dotyczące gospodarki pożarami lasów w Hiszpanii, w których określone zostaną cele, które należy osiągnąć, określić główne kierunki prac i określić grupy społeczne o pewnym stopniu odpowiedzialności. Te strategiczne wytyczne mają kluczowe znaczenie dla kontroli pożarów lasów i wzmocnienia strategicznej pozycji sektora leśnego w kontekście transformacji ekologicznej. </w:t>
      </w:r>
    </w:p>
    <w:p w14:paraId="1606FD51" w14:textId="06AC565F" w:rsidR="006578ED" w:rsidRDefault="00A1618E">
      <w:pPr>
        <w:pStyle w:val="P68B1DB1-Normal4"/>
        <w:spacing w:before="120" w:after="120" w:line="240" w:lineRule="auto"/>
        <w:jc w:val="both"/>
        <w:rPr>
          <w:rFonts w:cs="Times New Roman"/>
          <w:noProof/>
        </w:rPr>
      </w:pPr>
      <w:r>
        <w:rPr>
          <w:noProof/>
        </w:rPr>
        <w:t>Wdrożenie reformy zostanie zakończone do dnia 31 grudnia 20</w:t>
      </w:r>
      <w:r w:rsidRPr="00A1618E">
        <w:rPr>
          <w:noProof/>
          <w:lang w:val="pl-PL"/>
        </w:rPr>
        <w:t>22 r.</w:t>
      </w:r>
      <w:r>
        <w:rPr>
          <w:noProof/>
        </w:rPr>
        <w:t xml:space="preserve"> </w:t>
      </w:r>
    </w:p>
    <w:p w14:paraId="06E3C4A2" w14:textId="53465832" w:rsidR="006578ED" w:rsidRDefault="00A1618E">
      <w:pPr>
        <w:pStyle w:val="P68B1DB1-Normal6"/>
        <w:spacing w:before="120" w:after="120" w:line="240" w:lineRule="auto"/>
        <w:jc w:val="both"/>
        <w:rPr>
          <w:rFonts w:cs="Times New Roman"/>
          <w:noProof/>
        </w:rPr>
      </w:pPr>
      <w:r>
        <w:rPr>
          <w:noProof/>
        </w:rPr>
        <w:t>Inwestycja 1 (C4.I1) – Cyfryzacja i wiedza o dziedzictwie naturalnym</w:t>
      </w:r>
    </w:p>
    <w:p w14:paraId="099D11B9" w14:textId="2605CCF3" w:rsidR="006578ED" w:rsidRDefault="00A1618E">
      <w:pPr>
        <w:pStyle w:val="P68B1DB1-Normal4"/>
        <w:spacing w:before="120" w:after="120" w:line="240" w:lineRule="auto"/>
        <w:jc w:val="both"/>
        <w:rPr>
          <w:rFonts w:cs="Times New Roman"/>
          <w:noProof/>
          <w:u w:val="single"/>
        </w:rPr>
      </w:pPr>
      <w:r>
        <w:rPr>
          <w:noProof/>
        </w:rPr>
        <w:t>W ramach inwestycji ustanawia się system cyfryzacji zarządzania dziedzictwem naturalnym, jego kontroli i monitorowania, obejmujący zarówno obszary lądowe, jak i morskie. Inwestycja ta ma na celu osiągnięcie znacznej poprawy wiedzy na temat gatunków i siedlisk, a także mapowania informacji i dziedzictwa naturalnego, w tym geologicznego. Inwestycja koncentruje się na pozyskiwaniu informacji i zarządzaniu nimi, w tym na:</w:t>
      </w:r>
    </w:p>
    <w:p w14:paraId="54D4512D" w14:textId="128BACAC" w:rsidR="006578ED" w:rsidRDefault="00A1618E">
      <w:pPr>
        <w:pStyle w:val="P68B1DB1-Normal4"/>
        <w:numPr>
          <w:ilvl w:val="0"/>
          <w:numId w:val="226"/>
        </w:numPr>
        <w:spacing w:before="120" w:after="160" w:line="240" w:lineRule="auto"/>
        <w:contextualSpacing/>
        <w:jc w:val="both"/>
        <w:rPr>
          <w:rFonts w:cs="Times New Roman"/>
          <w:noProof/>
        </w:rPr>
      </w:pPr>
      <w:r>
        <w:rPr>
          <w:noProof/>
        </w:rPr>
        <w:t xml:space="preserve">Program mający na celu poprawę wiedzy i cyfryzacji w zakresie różnorodności biologicznej i zarządzania dziedzictwem naturalnym na szczeblu krajowym poprzez rozwój sieci monitorowania, wdrożenie czujników oraz wykorzystanie stacjonarnych i ruchomych cyfrowych systemów pozyskiwania informacji. </w:t>
      </w:r>
    </w:p>
    <w:p w14:paraId="4CE99295" w14:textId="1C1CB6F6" w:rsidR="006578ED" w:rsidRDefault="00A1618E">
      <w:pPr>
        <w:pStyle w:val="P68B1DB1-Normal4"/>
        <w:numPr>
          <w:ilvl w:val="0"/>
          <w:numId w:val="226"/>
        </w:numPr>
        <w:spacing w:before="120" w:after="120" w:line="240" w:lineRule="auto"/>
        <w:ind w:left="357" w:hanging="357"/>
        <w:jc w:val="both"/>
        <w:rPr>
          <w:rFonts w:cs="Times New Roman"/>
          <w:noProof/>
        </w:rPr>
      </w:pPr>
      <w:r>
        <w:rPr>
          <w:noProof/>
        </w:rPr>
        <w:t xml:space="preserve">Rozwój systemów lub platform zarządzania informacjami na szczeblu krajowym z dodatkowymi zdolnościami analitycznymi i rozpowszechniającymi. </w:t>
      </w:r>
    </w:p>
    <w:p w14:paraId="45010B81" w14:textId="5D442A4E" w:rsidR="006578ED" w:rsidRDefault="00A1618E">
      <w:pPr>
        <w:pStyle w:val="P68B1DB1-Normal4"/>
        <w:spacing w:before="120" w:after="120" w:line="240" w:lineRule="auto"/>
        <w:jc w:val="both"/>
        <w:rPr>
          <w:rFonts w:cs="Times New Roman"/>
          <w:noProof/>
        </w:rPr>
      </w:pPr>
      <w:r>
        <w:rPr>
          <w:noProof/>
        </w:rPr>
        <w:t xml:space="preserve">Należy uruchomić aktualizację systemu awioniki floty statków powietrznych amfibii, która obejmuje projektowanie, certyfikację i zakup sprzętu, który ma uczynić statki powietrzne bezpieczniejszymi i skuteczniejszymi podczas gaszenia pożarów. Oczekuje się, że środek ten nie spowoduje znaczących szkód dla celów środowiskowych w rozumieniu </w:t>
      </w:r>
      <w:r w:rsidRPr="00A1618E">
        <w:rPr>
          <w:noProof/>
          <w:lang w:val="pl-PL"/>
        </w:rPr>
        <w:t>art. 1</w:t>
      </w:r>
      <w:r>
        <w:rPr>
          <w:noProof/>
        </w:rPr>
        <w:t xml:space="preserve">7 rozporządzenia (UE) 2020/852, biorąc pod uwagę opis środka i działania łagodzące określone w planie odbudowy i zwiększania odporności zgodnie z wytycznymi technicznymi dotyczącymi zasady „nie czyń poważnych szkód” (2021/C58/01). W szczególności poprawa systemu awioniki we flocie statków powietrznych amfibii jest włączana wyłącznie do istniejących statków powietrznych i nie może wydłużać okresu eksploatacji ani pojemności tych statków powietrznych. Zapewnia on bezpieczeństwo i warunki lotu podczas operacji, w których są wykorzystywane do gaszenia pożarów lasów. </w:t>
      </w:r>
    </w:p>
    <w:p w14:paraId="08E0D1DD" w14:textId="46E4DC2D"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r>
        <w:rPr>
          <w:noProof/>
        </w:rPr>
        <w:t xml:space="preserve"> </w:t>
      </w:r>
    </w:p>
    <w:p w14:paraId="032D8062" w14:textId="6499F3B3" w:rsidR="006578ED" w:rsidRDefault="00A1618E">
      <w:pPr>
        <w:pStyle w:val="P68B1DB1-Normal6"/>
        <w:keepNext/>
        <w:spacing w:before="120" w:after="120" w:line="240" w:lineRule="auto"/>
        <w:jc w:val="both"/>
        <w:rPr>
          <w:rFonts w:cs="Times New Roman"/>
          <w:noProof/>
        </w:rPr>
      </w:pPr>
      <w:r>
        <w:rPr>
          <w:noProof/>
        </w:rPr>
        <w:t>Inwestycje 2 (C4.I2) – Ochrona różnorodności biologicznej obszarów lądowych i morskich</w:t>
      </w:r>
    </w:p>
    <w:p w14:paraId="099D951E" w14:textId="79F593F3" w:rsidR="006578ED" w:rsidRDefault="00A1618E">
      <w:pPr>
        <w:pStyle w:val="P68B1DB1-Normal4"/>
        <w:keepNext/>
        <w:spacing w:before="120" w:after="120" w:line="240" w:lineRule="auto"/>
        <w:jc w:val="both"/>
        <w:rPr>
          <w:rFonts w:cs="Times New Roman"/>
          <w:noProof/>
        </w:rPr>
      </w:pPr>
      <w:r>
        <w:rPr>
          <w:noProof/>
        </w:rPr>
        <w:t xml:space="preserve">Inwestycja ta obejmuje zestaw inwestycji bezpośrednich i linii dotacji na ochronę różnorodności biologicznej zarówno lądowej, jak i morskiej. Obejmuje on pięć kierunków działań, które są dostosowane do reformy 1: </w:t>
      </w:r>
    </w:p>
    <w:p w14:paraId="28E70048" w14:textId="1E0B6748" w:rsidR="006578ED" w:rsidRDefault="00A1618E">
      <w:pPr>
        <w:pStyle w:val="P68B1DB1-Normal4"/>
        <w:numPr>
          <w:ilvl w:val="0"/>
          <w:numId w:val="227"/>
        </w:numPr>
        <w:spacing w:before="120" w:after="160" w:line="240" w:lineRule="auto"/>
        <w:contextualSpacing/>
        <w:jc w:val="both"/>
        <w:rPr>
          <w:rFonts w:cs="Times New Roman"/>
          <w:noProof/>
        </w:rPr>
      </w:pPr>
      <w:r>
        <w:rPr>
          <w:noProof/>
        </w:rPr>
        <w:t xml:space="preserve">Ochrona różnorodności biologicznej lądowej, poprawa stanu ochrony gatunków i siedlisk, zapobieganie zagrożeniom i śmiertelności, a także działania mające na celu kontrolę i wyeliminowanie inwazyjnych gatunków obcych. </w:t>
      </w:r>
    </w:p>
    <w:p w14:paraId="5B4482F1" w14:textId="55B8B538" w:rsidR="006578ED" w:rsidRDefault="00A1618E">
      <w:pPr>
        <w:pStyle w:val="P68B1DB1-Normal4"/>
        <w:numPr>
          <w:ilvl w:val="0"/>
          <w:numId w:val="227"/>
        </w:numPr>
        <w:spacing w:before="120" w:after="160" w:line="240" w:lineRule="auto"/>
        <w:contextualSpacing/>
        <w:jc w:val="both"/>
        <w:rPr>
          <w:rFonts w:cs="Times New Roman"/>
          <w:noProof/>
        </w:rPr>
      </w:pPr>
      <w:r>
        <w:rPr>
          <w:noProof/>
        </w:rPr>
        <w:t xml:space="preserve">Poprawa infrastruktury, która obejmuje takie działania jak dostarczanie, modernizacja i modernizacja obiektów i infrastruktury związanej z zarządzaniem dziedzictwem naturalnym oraz podnoszenie świadomości, a także podkreślanie i upowszechnianie znaczenia ochrony różnorodności biologicznej dla zdrowia i dobrostanu ludzi. </w:t>
      </w:r>
    </w:p>
    <w:p w14:paraId="2BE7436A" w14:textId="19FD6785" w:rsidR="006578ED" w:rsidRDefault="00A1618E">
      <w:pPr>
        <w:pStyle w:val="P68B1DB1-Normal4"/>
        <w:numPr>
          <w:ilvl w:val="0"/>
          <w:numId w:val="227"/>
        </w:numPr>
        <w:spacing w:before="120" w:after="160" w:line="240" w:lineRule="auto"/>
        <w:contextualSpacing/>
        <w:jc w:val="both"/>
        <w:rPr>
          <w:rFonts w:cs="Times New Roman"/>
          <w:noProof/>
        </w:rPr>
      </w:pPr>
      <w:r>
        <w:rPr>
          <w:noProof/>
        </w:rPr>
        <w:t xml:space="preserve">Inwestycja w zachowanie morskiej różnorodności biologicznej w celu ochrony co najmniej 18 % hiszpańskiego terytorium morskiego </w:t>
      </w:r>
      <w:r w:rsidRPr="00A1618E">
        <w:rPr>
          <w:noProof/>
          <w:lang w:val="pl-PL"/>
        </w:rPr>
        <w:t>do 2</w:t>
      </w:r>
      <w:r>
        <w:rPr>
          <w:noProof/>
        </w:rPr>
        <w:t>0</w:t>
      </w:r>
      <w:r w:rsidRPr="00A1618E">
        <w:rPr>
          <w:noProof/>
          <w:lang w:val="pl-PL"/>
        </w:rPr>
        <w:t>25 r.</w:t>
      </w:r>
      <w:r>
        <w:rPr>
          <w:noProof/>
        </w:rPr>
        <w:t xml:space="preserve"> </w:t>
      </w:r>
    </w:p>
    <w:p w14:paraId="5100FD0E" w14:textId="57FDFEBC" w:rsidR="006578ED" w:rsidRDefault="00A1618E">
      <w:pPr>
        <w:pStyle w:val="P68B1DB1-Normal4"/>
        <w:numPr>
          <w:ilvl w:val="0"/>
          <w:numId w:val="227"/>
        </w:numPr>
        <w:spacing w:before="120" w:after="160" w:line="240" w:lineRule="auto"/>
        <w:contextualSpacing/>
        <w:jc w:val="both"/>
        <w:rPr>
          <w:rFonts w:cs="Times New Roman"/>
          <w:noProof/>
        </w:rPr>
      </w:pPr>
      <w:r>
        <w:rPr>
          <w:noProof/>
        </w:rPr>
        <w:t xml:space="preserve">Odtwarzanie terenów podmokłych poprzez działania mające na celu ochronę, poprawę i odbudowę terenów podmokłych, w szczególności tych związanych z planem ochrony i odbudowy terenów podmokłych przewidzianym w reformie 2. </w:t>
      </w:r>
    </w:p>
    <w:p w14:paraId="4D9ABA9A" w14:textId="6214ABBB" w:rsidR="006578ED" w:rsidRDefault="00A1618E">
      <w:pPr>
        <w:pStyle w:val="P68B1DB1-Normal4"/>
        <w:numPr>
          <w:ilvl w:val="0"/>
          <w:numId w:val="227"/>
        </w:numPr>
        <w:spacing w:before="120" w:after="120" w:line="240" w:lineRule="auto"/>
        <w:ind w:left="357" w:hanging="357"/>
        <w:jc w:val="both"/>
        <w:rPr>
          <w:rFonts w:cs="Times New Roman"/>
          <w:noProof/>
        </w:rPr>
      </w:pPr>
      <w:r>
        <w:rPr>
          <w:noProof/>
        </w:rPr>
        <w:t xml:space="preserve">Kontrola handlu międzynarodowego w celu usprawnienia i konsolidacji sieci ośrodków ratunkowych CITES oraz wzmocnienia planu działania przeciwko nielegalnemu handlowi. </w:t>
      </w:r>
    </w:p>
    <w:p w14:paraId="066857D4" w14:textId="085CC6B4" w:rsidR="006578ED" w:rsidRDefault="00A1618E">
      <w:pPr>
        <w:pStyle w:val="P68B1DB1-Normal4"/>
        <w:spacing w:before="120" w:after="120" w:line="240" w:lineRule="auto"/>
        <w:jc w:val="both"/>
        <w:rPr>
          <w:rFonts w:cs="Times New Roman"/>
          <w:noProof/>
        </w:rPr>
      </w:pPr>
      <w:r>
        <w:rPr>
          <w:noProof/>
        </w:rPr>
        <w:t xml:space="preserve">Oczekuje się, że środek ten nie spowoduje znaczących szkód dla celów środowiskowych w rozumieniu </w:t>
      </w:r>
      <w:r w:rsidRPr="00A1618E">
        <w:rPr>
          <w:noProof/>
          <w:lang w:val="pl-PL"/>
        </w:rPr>
        <w:t>art. 1</w:t>
      </w:r>
      <w:r>
        <w:rPr>
          <w:noProof/>
        </w:rPr>
        <w:t xml:space="preserve">7 rozporządzenia (UE) 2020/852, biorąc pod uwagę opis środka i działania łagodzące określone w planie odbudowy i zwiększania odporności zgodnie z wytycznymi technicznymi dotyczącymi zasady „nie czyń poważnych szkód” (2021/C58/01). W szczególności w przypadku zakupu statków specjalnego przeznaczenia kryteria wyboru inwestycji zapewniają wybór wyłącznie najlepszych dostępnych technologii o najniższym wpływie na środowisko w sektorze, z uwzględnieniem specjalnego przeznaczenia, którym służą. </w:t>
      </w:r>
    </w:p>
    <w:p w14:paraId="7C5BBC2A" w14:textId="0E24213F"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r>
        <w:rPr>
          <w:noProof/>
        </w:rPr>
        <w:t xml:space="preserve"> </w:t>
      </w:r>
    </w:p>
    <w:p w14:paraId="5041CEF8" w14:textId="3DCB7B5A" w:rsidR="006578ED" w:rsidRDefault="00A1618E">
      <w:pPr>
        <w:pStyle w:val="P68B1DB1-Normal6"/>
        <w:spacing w:before="120" w:after="120" w:line="240" w:lineRule="auto"/>
        <w:jc w:val="both"/>
        <w:rPr>
          <w:rFonts w:cs="Times New Roman"/>
          <w:noProof/>
        </w:rPr>
      </w:pPr>
      <w:r>
        <w:rPr>
          <w:noProof/>
        </w:rPr>
        <w:t>Inwestycja 3 (C4.I3) – Odbudowa ekosystemów i zielonej infrastruktury</w:t>
      </w:r>
    </w:p>
    <w:p w14:paraId="067A6342" w14:textId="32310E08" w:rsidR="006578ED" w:rsidRDefault="00A1618E">
      <w:pPr>
        <w:pStyle w:val="P68B1DB1-Normal4"/>
        <w:spacing w:before="120" w:after="120" w:line="240" w:lineRule="auto"/>
        <w:jc w:val="both"/>
        <w:rPr>
          <w:rFonts w:cs="Times New Roman"/>
          <w:noProof/>
        </w:rPr>
      </w:pPr>
      <w:r>
        <w:rPr>
          <w:noProof/>
        </w:rPr>
        <w:t xml:space="preserve">Inwestycja ta obejmuje zestaw działań wspierających realizację reformy 2. Celem jest odbudowa naturalnych ekosystemów i obszarów zdegradowanych przez działalność wydobywczą, a także innych inicjatyw w środowisku miejskim mających na celu promowanie łączności miejskiej i odwrócenie. </w:t>
      </w:r>
    </w:p>
    <w:p w14:paraId="0EFA8DBE" w14:textId="37AA93CF" w:rsidR="006578ED" w:rsidRDefault="00A1618E">
      <w:pPr>
        <w:pStyle w:val="P68B1DB1-Normal4"/>
        <w:spacing w:before="120" w:after="120" w:line="240" w:lineRule="auto"/>
        <w:jc w:val="both"/>
        <w:rPr>
          <w:rFonts w:cs="Times New Roman"/>
          <w:noProof/>
        </w:rPr>
      </w:pPr>
      <w:r>
        <w:rPr>
          <w:noProof/>
        </w:rPr>
        <w:t xml:space="preserve">Celem inwestycji jest odbudowa co najmniej 30000 hektarów naturalnych ekosystemów. Działania na rzecz odbudowy koncentrują się na zdegradowanych terytoriach lub ekosystemach poprzez eliminację sztucznych elementów, poprawę gleby i morfologii oraz odnowę roślinności i naturalizację. W odniesieniu do górnictwa inwestycja ma na celu rekultywację co najmniej 30 byłych terenów górniczych. Rekultywacja byłych terenów górniczych obejmuje dekontaminację gleby, odbudowę morfologii oraz odnowę roślinności i naturalizację byłych terenów górniczych, które nie są już eksploatowane. </w:t>
      </w:r>
    </w:p>
    <w:p w14:paraId="0B8C5AF7" w14:textId="01208FF8" w:rsidR="006578ED" w:rsidRDefault="00A1618E">
      <w:pPr>
        <w:pStyle w:val="P68B1DB1-Normal4"/>
        <w:spacing w:before="120" w:after="120" w:line="240" w:lineRule="auto"/>
        <w:jc w:val="both"/>
        <w:rPr>
          <w:rFonts w:cs="Times New Roman"/>
          <w:noProof/>
        </w:rPr>
      </w:pPr>
      <w:r>
        <w:rPr>
          <w:noProof/>
        </w:rPr>
        <w:t xml:space="preserve">Ponadto inwestycje promują zieloną infrastrukturę, zaspokajając potrzeby władz lokalnych, w tym: strategie planowania i rewitalizacji obszarów miejskich mające na celu stworzenie i regenerację zielonej i niebieskiej infrastruktury oraz uwolnienie przestrzeni miejskiej w celu zwiększenia różnorodności biologicznej, przepuszczalności gleby i naturalnej łączności w miastach; działania i projekty obejmujące procesy zarządzania i uczestnictwa, zarządzanie przestrzeniami zielonymi i niebieskimi oraz projekty metabolizmu miast związane z różnorodnością biologiczną; oraz (iii) wsparcie projektów w zakresie wyposażenia i infrastruktury na potrzeby planowania urbanistycznego. </w:t>
      </w:r>
    </w:p>
    <w:p w14:paraId="3B8A491A" w14:textId="246359FD"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6B3AF97C" w14:textId="77777777" w:rsidR="006578ED" w:rsidRDefault="00A1618E">
      <w:pPr>
        <w:pStyle w:val="P68B1DB1-Normal6"/>
        <w:spacing w:before="120" w:after="120" w:line="240" w:lineRule="auto"/>
        <w:jc w:val="both"/>
        <w:rPr>
          <w:rFonts w:cs="Times New Roman"/>
          <w:noProof/>
        </w:rPr>
      </w:pPr>
      <w:r>
        <w:rPr>
          <w:noProof/>
        </w:rPr>
        <w:t>C4.I4 Zrównoważona gospodarka leśna</w:t>
      </w:r>
    </w:p>
    <w:p w14:paraId="69ABB971" w14:textId="2B5B0241" w:rsidR="006578ED" w:rsidRDefault="00A1618E">
      <w:pPr>
        <w:pStyle w:val="P68B1DB1-Normal4"/>
        <w:spacing w:before="120" w:after="120" w:line="240" w:lineRule="auto"/>
        <w:jc w:val="both"/>
        <w:rPr>
          <w:rFonts w:cs="Times New Roman"/>
          <w:noProof/>
        </w:rPr>
      </w:pPr>
      <w:r>
        <w:rPr>
          <w:noProof/>
        </w:rPr>
        <w:t xml:space="preserve">Inwestycja ta obejmuje inwestycje w zrównoważoną gospodarkę leśną: </w:t>
      </w:r>
    </w:p>
    <w:p w14:paraId="2788BBF5" w14:textId="0A5A23EB" w:rsidR="006578ED" w:rsidRDefault="00A1618E">
      <w:pPr>
        <w:pStyle w:val="P68B1DB1-Normal4"/>
        <w:numPr>
          <w:ilvl w:val="0"/>
          <w:numId w:val="228"/>
        </w:numPr>
        <w:spacing w:before="120" w:after="160" w:line="240" w:lineRule="auto"/>
        <w:contextualSpacing/>
        <w:jc w:val="both"/>
        <w:rPr>
          <w:rFonts w:cs="Times New Roman"/>
          <w:noProof/>
        </w:rPr>
      </w:pPr>
      <w:r>
        <w:rPr>
          <w:noProof/>
        </w:rPr>
        <w:t xml:space="preserve">Działania mające na celu poprawę gospodarki leśnej w zakresie zwalczania pożarów lasów i innych interwencji związanych z gospodarką leśną; wsparcie techniczne dla właścicieli lasów i administracji w celu konsolidacji własności publicznej; plany urządzenia lasu mające na celu promowanie różnorodności biologicznej i zrównoważonego użytkowania lasów. </w:t>
      </w:r>
    </w:p>
    <w:p w14:paraId="397F3A18" w14:textId="791A37EF" w:rsidR="006578ED" w:rsidRDefault="00A1618E">
      <w:pPr>
        <w:pStyle w:val="P68B1DB1-Normal4"/>
        <w:numPr>
          <w:ilvl w:val="0"/>
          <w:numId w:val="228"/>
        </w:numPr>
        <w:spacing w:before="120" w:after="160" w:line="240" w:lineRule="auto"/>
        <w:contextualSpacing/>
        <w:jc w:val="both"/>
        <w:rPr>
          <w:rFonts w:cs="Times New Roman"/>
          <w:noProof/>
        </w:rPr>
      </w:pPr>
      <w:r>
        <w:rPr>
          <w:noProof/>
        </w:rPr>
        <w:t xml:space="preserve">Działania, które chronią zmianę klimatu i przystosowują się do niej, w tym odnowienie co najmniej 100 obiektów przeciwpożarowych specjalnego przeznaczenia, baz straży pożarnej oraz postępy w działaniach na rzecz poprawy stanu lasów. </w:t>
      </w:r>
    </w:p>
    <w:p w14:paraId="2D9AEB0F" w14:textId="30002B83" w:rsidR="006578ED" w:rsidRDefault="00A1618E">
      <w:pPr>
        <w:pStyle w:val="P68B1DB1-Normal4"/>
        <w:numPr>
          <w:ilvl w:val="0"/>
          <w:numId w:val="228"/>
        </w:numPr>
        <w:spacing w:before="120" w:after="120" w:line="240" w:lineRule="auto"/>
        <w:ind w:left="357" w:hanging="357"/>
        <w:jc w:val="both"/>
        <w:rPr>
          <w:rFonts w:cs="Times New Roman"/>
          <w:noProof/>
        </w:rPr>
      </w:pPr>
      <w:r>
        <w:rPr>
          <w:noProof/>
        </w:rPr>
        <w:t xml:space="preserve">W ramach zestawu działań wspiera się sektor leśny jako kluczowy zasób w radzeniu sobie z wyzwaniami demograficznymi, ze szczególnym uwzględnieniem ekologicznej przedsiębiorczości i lokalnej biogospodarki. Ta część inwestycji obejmuje dotacje dla władz lokalnych oraz innych podmiotów publicznych i prywatnych w celu promowania konkurencyjności, przedsiębiorczości i zrównoważonego rozwoju sektora leśnego i jego przemysłu. Działania te koncentrują się w szczególności na tworzeniu zielonych miejsc pracy, w szczególności poprzez wspieranie udziału kobiet i młodzieży w sektorze leśnym i ekologicznej przedsiębiorczości. </w:t>
      </w:r>
    </w:p>
    <w:p w14:paraId="73F7F758" w14:textId="6DA65E64" w:rsidR="006578ED" w:rsidRDefault="00A1618E">
      <w:pPr>
        <w:pStyle w:val="P68B1DB1-Normal4"/>
        <w:spacing w:before="120" w:after="120" w:line="240" w:lineRule="auto"/>
        <w:jc w:val="both"/>
        <w:rPr>
          <w:rFonts w:cs="Times New Roman"/>
          <w:noProof/>
        </w:rPr>
      </w:pPr>
      <w:r>
        <w:rPr>
          <w:noProof/>
        </w:rPr>
        <w:t xml:space="preserve">Oczekuje się, że środek ten nie spowoduje znaczących szkód dla celów środowiskowych w rozumieniu </w:t>
      </w:r>
      <w:r w:rsidRPr="00A1618E">
        <w:rPr>
          <w:noProof/>
          <w:lang w:val="pl-PL"/>
        </w:rPr>
        <w:t>art. 1</w:t>
      </w:r>
      <w:r>
        <w:rPr>
          <w:noProof/>
        </w:rPr>
        <w:t>7 rozporządzenia (UE) 2020/852, biorąc pod uwagę opis środka i działania łagodzące określone w planie odbudowy i zwiększania odporności zgodnie z wytycznymi technicznymi dotyczącymi zasady „nie czyń poważnych szkód” (2021/C58/01). W szczególności środek ten wyraźnie zapobiega wspieraniu plantacji monokulturowych, zwłaszcza eukaliptusa, i wyklucza je w celu zminimalizowania deficytu wody i ryzyka pożarów. Przy zakupie sprzętu gaśniczego wspierane są wyłącznie najlepsze dostępne technologie o najniższym wpływie na środowisko w sektorze, z uwzględnieniem specjalnego przeznaczenia, jakim są one wykorzystywane.</w:t>
      </w:r>
    </w:p>
    <w:p w14:paraId="1D7B6836" w14:textId="29C2D7B8"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2E997092" w14:textId="55335C86" w:rsidR="006578ED" w:rsidRDefault="00A1618E">
      <w:pPr>
        <w:pStyle w:val="P68B1DB1-Normal5"/>
        <w:spacing w:before="120" w:after="120" w:line="240" w:lineRule="auto"/>
        <w:ind w:left="709"/>
        <w:jc w:val="both"/>
        <w:rPr>
          <w:rFonts w:cs="Times New Roman"/>
          <w:noProof/>
        </w:rPr>
      </w:pPr>
      <w:r>
        <w:rPr>
          <w:noProof/>
        </w:rPr>
        <w:t xml:space="preserve">D.2. </w:t>
      </w:r>
      <w:r>
        <w:rPr>
          <w:noProof/>
        </w:rPr>
        <w:tab/>
        <w:t>Kamienie milowe, wartości docelowe, wskaźniki i harmonogram monitorowania i realizacji na potrzeby bezzwrotnego wsparcia finansowego</w:t>
      </w:r>
    </w:p>
    <w:p w14:paraId="4293400D" w14:textId="4F144722"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144A5D23" w14:textId="77777777" w:rsidR="006578ED" w:rsidRDefault="006578ED">
      <w:pPr>
        <w:spacing w:before="120" w:after="120" w:line="240" w:lineRule="auto"/>
        <w:jc w:val="both"/>
        <w:rPr>
          <w:rFonts w:ascii="Times New Roman" w:hAnsi="Times New Roman" w:cs="Times New Roman"/>
          <w:noProof/>
          <w:sz w:val="24"/>
        </w:rPr>
        <w:sectPr w:rsidR="006578ED" w:rsidSect="00522183">
          <w:headerReference w:type="even" r:id="rId102"/>
          <w:headerReference w:type="default" r:id="rId103"/>
          <w:footerReference w:type="even" r:id="rId104"/>
          <w:footerReference w:type="default" r:id="rId105"/>
          <w:headerReference w:type="first" r:id="rId106"/>
          <w:footerReference w:type="first" r:id="rId107"/>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851"/>
        <w:gridCol w:w="992"/>
        <w:gridCol w:w="2126"/>
        <w:gridCol w:w="1276"/>
        <w:gridCol w:w="850"/>
        <w:gridCol w:w="567"/>
        <w:gridCol w:w="709"/>
        <w:gridCol w:w="425"/>
        <w:gridCol w:w="567"/>
        <w:gridCol w:w="6096"/>
      </w:tblGrid>
      <w:tr w:rsidR="006578ED" w14:paraId="38A1D4BF" w14:textId="77777777">
        <w:trPr>
          <w:trHeight w:val="309"/>
          <w:tblHeader/>
        </w:trPr>
        <w:tc>
          <w:tcPr>
            <w:tcW w:w="851" w:type="dxa"/>
            <w:tcBorders>
              <w:bottom w:val="nil"/>
            </w:tcBorders>
            <w:shd w:val="clear" w:color="auto" w:fill="C6D9F1" w:themeFill="text2" w:themeFillTint="33"/>
            <w:noWrap/>
            <w:vAlign w:val="center"/>
          </w:tcPr>
          <w:p w14:paraId="4EA0688D"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37349FCC" w14:textId="77777777" w:rsidR="006578ED" w:rsidRDefault="00A1618E">
            <w:pPr>
              <w:pStyle w:val="P68B1DB1-Normal12"/>
              <w:spacing w:after="0" w:line="240" w:lineRule="auto"/>
              <w:jc w:val="center"/>
              <w:rPr>
                <w:rFonts w:cs="Times New Roman"/>
                <w:noProof/>
              </w:rPr>
            </w:pPr>
            <w:r>
              <w:rPr>
                <w:noProof/>
              </w:rPr>
              <w:t>Środek</w:t>
            </w:r>
          </w:p>
        </w:tc>
        <w:tc>
          <w:tcPr>
            <w:tcW w:w="992" w:type="dxa"/>
            <w:tcBorders>
              <w:bottom w:val="nil"/>
            </w:tcBorders>
            <w:shd w:val="clear" w:color="auto" w:fill="C6D9F1" w:themeFill="text2" w:themeFillTint="33"/>
            <w:noWrap/>
            <w:vAlign w:val="center"/>
          </w:tcPr>
          <w:p w14:paraId="1C39CEE4" w14:textId="3128280D"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126" w:type="dxa"/>
            <w:tcBorders>
              <w:bottom w:val="nil"/>
            </w:tcBorders>
            <w:shd w:val="clear" w:color="auto" w:fill="C6D9F1" w:themeFill="text2" w:themeFillTint="33"/>
            <w:noWrap/>
            <w:vAlign w:val="center"/>
          </w:tcPr>
          <w:p w14:paraId="44BD188F" w14:textId="77777777" w:rsidR="006578ED" w:rsidRDefault="00A1618E">
            <w:pPr>
              <w:pStyle w:val="P68B1DB1-Normal12"/>
              <w:spacing w:after="0" w:line="240" w:lineRule="auto"/>
              <w:jc w:val="center"/>
              <w:rPr>
                <w:rFonts w:cs="Times New Roman"/>
                <w:noProof/>
              </w:rPr>
            </w:pPr>
            <w:r>
              <w:rPr>
                <w:noProof/>
              </w:rPr>
              <w:t>Nazwa</w:t>
            </w:r>
          </w:p>
        </w:tc>
        <w:tc>
          <w:tcPr>
            <w:tcW w:w="1276" w:type="dxa"/>
            <w:tcBorders>
              <w:bottom w:val="nil"/>
            </w:tcBorders>
            <w:shd w:val="clear" w:color="auto" w:fill="C6D9F1" w:themeFill="text2" w:themeFillTint="33"/>
            <w:noWrap/>
            <w:vAlign w:val="center"/>
          </w:tcPr>
          <w:p w14:paraId="4E2A6197"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126" w:type="dxa"/>
            <w:gridSpan w:val="3"/>
            <w:shd w:val="clear" w:color="auto" w:fill="C6D9F1" w:themeFill="text2" w:themeFillTint="33"/>
            <w:noWrap/>
            <w:vAlign w:val="center"/>
          </w:tcPr>
          <w:p w14:paraId="37FB5AFD"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307F8153" w14:textId="77777777" w:rsidR="006578ED" w:rsidRDefault="00A1618E">
            <w:pPr>
              <w:pStyle w:val="P68B1DB1-Normal12"/>
              <w:spacing w:after="0" w:line="240" w:lineRule="auto"/>
              <w:jc w:val="center"/>
              <w:rPr>
                <w:rFonts w:cs="Times New Roman"/>
                <w:noProof/>
              </w:rPr>
            </w:pPr>
            <w:r>
              <w:rPr>
                <w:noProof/>
              </w:rPr>
              <w:t>Czas</w:t>
            </w:r>
          </w:p>
        </w:tc>
        <w:tc>
          <w:tcPr>
            <w:tcW w:w="6096" w:type="dxa"/>
            <w:tcBorders>
              <w:bottom w:val="nil"/>
            </w:tcBorders>
            <w:shd w:val="clear" w:color="auto" w:fill="C6D9F1" w:themeFill="text2" w:themeFillTint="33"/>
            <w:noWrap/>
            <w:vAlign w:val="center"/>
          </w:tcPr>
          <w:p w14:paraId="376C7589" w14:textId="13883AA9"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67E72A50" w14:textId="77777777">
        <w:trPr>
          <w:trHeight w:val="309"/>
          <w:tblHeader/>
        </w:trPr>
        <w:tc>
          <w:tcPr>
            <w:tcW w:w="851" w:type="dxa"/>
            <w:tcBorders>
              <w:top w:val="nil"/>
            </w:tcBorders>
            <w:shd w:val="clear" w:color="auto" w:fill="C6D9F1" w:themeFill="text2" w:themeFillTint="33"/>
            <w:noWrap/>
          </w:tcPr>
          <w:p w14:paraId="738610EB"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37805D2" w14:textId="77777777" w:rsidR="006578ED" w:rsidRDefault="006578ED">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463F29E8" w14:textId="77777777" w:rsidR="006578ED" w:rsidRDefault="006578ED">
            <w:pPr>
              <w:spacing w:after="0" w:line="240" w:lineRule="auto"/>
              <w:jc w:val="center"/>
              <w:rPr>
                <w:rFonts w:ascii="Times New Roman" w:hAnsi="Times New Roman" w:cs="Times New Roman"/>
                <w:b/>
                <w:noProof/>
                <w:sz w:val="18"/>
              </w:rPr>
            </w:pPr>
          </w:p>
        </w:tc>
        <w:tc>
          <w:tcPr>
            <w:tcW w:w="2126" w:type="dxa"/>
            <w:tcBorders>
              <w:top w:val="nil"/>
            </w:tcBorders>
            <w:shd w:val="clear" w:color="auto" w:fill="C6D9F1" w:themeFill="text2" w:themeFillTint="33"/>
            <w:noWrap/>
          </w:tcPr>
          <w:p w14:paraId="3B7B4B86" w14:textId="77777777" w:rsidR="006578ED" w:rsidRDefault="006578ED">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3A0FF5F2"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3E5A4947"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vAlign w:val="center"/>
          </w:tcPr>
          <w:p w14:paraId="123CDAE8" w14:textId="77777777" w:rsidR="006578ED" w:rsidRDefault="00A1618E">
            <w:pPr>
              <w:pStyle w:val="P68B1DB1-Normal12"/>
              <w:spacing w:after="0" w:line="240" w:lineRule="auto"/>
              <w:jc w:val="center"/>
              <w:rPr>
                <w:rFonts w:cs="Times New Roman"/>
                <w:noProof/>
              </w:rPr>
            </w:pPr>
            <w:r>
              <w:rPr>
                <w:noProof/>
              </w:rPr>
              <w:t>Wartość wyjściowa</w:t>
            </w:r>
          </w:p>
        </w:tc>
        <w:tc>
          <w:tcPr>
            <w:tcW w:w="709" w:type="dxa"/>
            <w:shd w:val="clear" w:color="auto" w:fill="C6D9F1" w:themeFill="text2" w:themeFillTint="33"/>
            <w:noWrap/>
            <w:vAlign w:val="center"/>
          </w:tcPr>
          <w:p w14:paraId="44FCF72C"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vAlign w:val="center"/>
          </w:tcPr>
          <w:p w14:paraId="57EEC46D"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07C5301E" w14:textId="77777777" w:rsidR="006578ED" w:rsidRDefault="00A1618E">
            <w:pPr>
              <w:pStyle w:val="P68B1DB1-Normal12"/>
              <w:spacing w:after="0" w:line="240" w:lineRule="auto"/>
              <w:jc w:val="center"/>
              <w:rPr>
                <w:rFonts w:cs="Times New Roman"/>
                <w:noProof/>
              </w:rPr>
            </w:pPr>
            <w:r>
              <w:rPr>
                <w:noProof/>
              </w:rPr>
              <w:t>Rok</w:t>
            </w:r>
          </w:p>
        </w:tc>
        <w:tc>
          <w:tcPr>
            <w:tcW w:w="6096" w:type="dxa"/>
            <w:tcBorders>
              <w:top w:val="nil"/>
            </w:tcBorders>
            <w:shd w:val="clear" w:color="auto" w:fill="C6D9F1" w:themeFill="text2" w:themeFillTint="33"/>
            <w:noWrap/>
          </w:tcPr>
          <w:p w14:paraId="5630AD66" w14:textId="77777777" w:rsidR="006578ED" w:rsidRDefault="006578ED">
            <w:pPr>
              <w:spacing w:after="0" w:line="240" w:lineRule="auto"/>
              <w:rPr>
                <w:rFonts w:ascii="Times New Roman" w:hAnsi="Times New Roman" w:cs="Times New Roman"/>
                <w:b/>
                <w:noProof/>
                <w:sz w:val="18"/>
              </w:rPr>
            </w:pPr>
          </w:p>
        </w:tc>
      </w:tr>
      <w:tr w:rsidR="006578ED" w14:paraId="0889AFF1" w14:textId="77777777">
        <w:trPr>
          <w:trHeight w:val="309"/>
        </w:trPr>
        <w:tc>
          <w:tcPr>
            <w:tcW w:w="851" w:type="dxa"/>
            <w:shd w:val="clear" w:color="auto" w:fill="C6EFCE"/>
            <w:noWrap/>
          </w:tcPr>
          <w:p w14:paraId="04C1D538" w14:textId="77777777" w:rsidR="006578ED" w:rsidRDefault="00A1618E">
            <w:pPr>
              <w:pStyle w:val="P68B1DB1-Normal13"/>
              <w:spacing w:after="0" w:line="240" w:lineRule="auto"/>
              <w:jc w:val="center"/>
              <w:rPr>
                <w:rFonts w:eastAsia="MS Mincho" w:cs="Times New Roman"/>
                <w:noProof/>
              </w:rPr>
            </w:pPr>
            <w:r>
              <w:rPr>
                <w:noProof/>
              </w:rPr>
              <w:t>62</w:t>
            </w:r>
          </w:p>
        </w:tc>
        <w:tc>
          <w:tcPr>
            <w:tcW w:w="851" w:type="dxa"/>
            <w:shd w:val="clear" w:color="auto" w:fill="C6EFCE"/>
            <w:noWrap/>
          </w:tcPr>
          <w:p w14:paraId="454EEF67" w14:textId="77777777" w:rsidR="006578ED" w:rsidRDefault="00A1618E">
            <w:pPr>
              <w:pStyle w:val="P68B1DB1-Normal13"/>
              <w:spacing w:after="0" w:line="240" w:lineRule="auto"/>
              <w:jc w:val="center"/>
              <w:rPr>
                <w:rFonts w:eastAsia="MS Mincho" w:cs="Times New Roman"/>
                <w:noProof/>
              </w:rPr>
            </w:pPr>
            <w:r>
              <w:rPr>
                <w:noProof/>
              </w:rPr>
              <w:t>C4.R1</w:t>
            </w:r>
          </w:p>
        </w:tc>
        <w:tc>
          <w:tcPr>
            <w:tcW w:w="992" w:type="dxa"/>
            <w:shd w:val="clear" w:color="auto" w:fill="C6EFCE"/>
            <w:noWrap/>
          </w:tcPr>
          <w:p w14:paraId="2B9DE707" w14:textId="005BDFA4" w:rsidR="006578ED" w:rsidRDefault="00AF6B91">
            <w:pPr>
              <w:pStyle w:val="P68B1DB1-Normal13"/>
              <w:spacing w:after="0" w:line="240" w:lineRule="auto"/>
              <w:jc w:val="center"/>
              <w:rPr>
                <w:rFonts w:eastAsia="MS Mincho" w:cs="Times New Roman"/>
                <w:noProof/>
              </w:rPr>
            </w:pPr>
            <w:r>
              <w:rPr>
                <w:noProof/>
              </w:rPr>
              <w:t>Kamień milowy</w:t>
            </w:r>
          </w:p>
        </w:tc>
        <w:tc>
          <w:tcPr>
            <w:tcW w:w="2126" w:type="dxa"/>
            <w:shd w:val="clear" w:color="auto" w:fill="C6EFCE"/>
            <w:noWrap/>
          </w:tcPr>
          <w:p w14:paraId="02923C49" w14:textId="5D2B7B9A" w:rsidR="006578ED" w:rsidRDefault="00A1618E">
            <w:pPr>
              <w:pStyle w:val="P68B1DB1-Normal13"/>
              <w:spacing w:after="0" w:line="240" w:lineRule="auto"/>
              <w:rPr>
                <w:rFonts w:eastAsia="MS Mincho" w:cs="Times New Roman"/>
                <w:noProof/>
              </w:rPr>
            </w:pPr>
            <w:r>
              <w:rPr>
                <w:noProof/>
              </w:rPr>
              <w:t xml:space="preserve">Plan strategiczny na rzecz dziedzictwa naturalnego i różnorodności biologicznej oraz plan dotyczący sieci chronionych obszarów morskich </w:t>
            </w:r>
          </w:p>
        </w:tc>
        <w:tc>
          <w:tcPr>
            <w:tcW w:w="1276" w:type="dxa"/>
            <w:shd w:val="clear" w:color="auto" w:fill="C6EFCE"/>
            <w:noWrap/>
          </w:tcPr>
          <w:p w14:paraId="6964E4DC" w14:textId="2BF89F25" w:rsidR="006578ED" w:rsidRDefault="00A1618E">
            <w:pPr>
              <w:pStyle w:val="P68B1DB1-Normal13"/>
              <w:spacing w:after="0" w:line="240" w:lineRule="auto"/>
              <w:jc w:val="center"/>
              <w:rPr>
                <w:rFonts w:eastAsia="MS Mincho" w:cs="Times New Roman"/>
                <w:noProof/>
              </w:rPr>
            </w:pPr>
            <w:r>
              <w:rPr>
                <w:noProof/>
              </w:rPr>
              <w:t>Publikacja w Dzienniku Urzędowym</w:t>
            </w:r>
          </w:p>
        </w:tc>
        <w:tc>
          <w:tcPr>
            <w:tcW w:w="850" w:type="dxa"/>
            <w:shd w:val="clear" w:color="auto" w:fill="C6EFCE"/>
            <w:noWrap/>
          </w:tcPr>
          <w:p w14:paraId="7BFC34AB" w14:textId="77777777" w:rsidR="006578ED" w:rsidRDefault="00A1618E">
            <w:pPr>
              <w:pStyle w:val="P68B1DB1-Normal13"/>
              <w:spacing w:after="0" w:line="240" w:lineRule="auto"/>
              <w:jc w:val="right"/>
              <w:rPr>
                <w:rFonts w:eastAsia="MS Mincho" w:cs="Times New Roman"/>
                <w:noProof/>
              </w:rPr>
            </w:pPr>
            <w:r>
              <w:rPr>
                <w:noProof/>
              </w:rPr>
              <w:t> </w:t>
            </w:r>
          </w:p>
        </w:tc>
        <w:tc>
          <w:tcPr>
            <w:tcW w:w="567" w:type="dxa"/>
            <w:shd w:val="clear" w:color="auto" w:fill="C6EFCE"/>
            <w:noWrap/>
          </w:tcPr>
          <w:p w14:paraId="2CA4ECA7" w14:textId="77777777" w:rsidR="006578ED" w:rsidRDefault="00A1618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157D6B25" w14:textId="77777777" w:rsidR="006578ED" w:rsidRDefault="00A1618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654DB9FF" w14:textId="6FB45F40"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09F1A918" w14:textId="77777777" w:rsidR="006578ED" w:rsidRDefault="00A1618E">
            <w:pPr>
              <w:pStyle w:val="P68B1DB1-Normal13"/>
              <w:spacing w:after="0" w:line="240" w:lineRule="auto"/>
              <w:jc w:val="center"/>
              <w:rPr>
                <w:rFonts w:eastAsia="MS Mincho" w:cs="Times New Roman"/>
                <w:noProof/>
              </w:rPr>
            </w:pPr>
            <w:r>
              <w:rPr>
                <w:noProof/>
              </w:rPr>
              <w:t>2022</w:t>
            </w:r>
          </w:p>
        </w:tc>
        <w:tc>
          <w:tcPr>
            <w:tcW w:w="6096" w:type="dxa"/>
            <w:shd w:val="clear" w:color="auto" w:fill="C6EFCE"/>
            <w:noWrap/>
          </w:tcPr>
          <w:p w14:paraId="65F86F5F" w14:textId="4E69E423" w:rsidR="006578ED" w:rsidRDefault="00A1618E">
            <w:pPr>
              <w:pStyle w:val="P68B1DB1-Normal13"/>
              <w:spacing w:after="0" w:line="240" w:lineRule="auto"/>
              <w:rPr>
                <w:rFonts w:eastAsia="MS Mincho" w:cs="Times New Roman"/>
                <w:noProof/>
              </w:rPr>
            </w:pPr>
            <w:r>
              <w:rPr>
                <w:noProof/>
              </w:rPr>
              <w:t>Przyjęcie strategicznego planu na rzecz dziedzictwa naturalnego i różnorodności biologicznej (dekret królewski) oraz planu dotyczącego sieci chronionych obszarów morskich (dekret królewski), w tym utworzenia co najmniej dziewięciu baz gospodarki morskiej, (iii) strategii na rzecz różnorodności biologicznej, nauki i wiedzy, iv) krajowej strategii ochrony owadów zapylających, v) aktualizowania organów, organów administracyjnych i naukowych na mocy Konwencji o międzynarodowym handlu dzikimi zwierzętami i roślinami gatunków zagrożonych wyginięciem oraz (vi) planu ochrony i odbudowy terenów podmokłych.</w:t>
            </w:r>
          </w:p>
        </w:tc>
      </w:tr>
      <w:tr w:rsidR="006578ED" w14:paraId="21F03F8F" w14:textId="77777777">
        <w:trPr>
          <w:trHeight w:val="309"/>
        </w:trPr>
        <w:tc>
          <w:tcPr>
            <w:tcW w:w="851" w:type="dxa"/>
            <w:shd w:val="clear" w:color="auto" w:fill="C6EFCE"/>
            <w:noWrap/>
          </w:tcPr>
          <w:p w14:paraId="43028211" w14:textId="77777777" w:rsidR="006578ED" w:rsidRDefault="00A1618E">
            <w:pPr>
              <w:pStyle w:val="P68B1DB1-Normal13"/>
              <w:spacing w:after="0" w:line="240" w:lineRule="auto"/>
              <w:jc w:val="center"/>
              <w:rPr>
                <w:rFonts w:eastAsia="MS Mincho" w:cs="Times New Roman"/>
                <w:noProof/>
              </w:rPr>
            </w:pPr>
            <w:r>
              <w:rPr>
                <w:noProof/>
              </w:rPr>
              <w:t>63</w:t>
            </w:r>
          </w:p>
        </w:tc>
        <w:tc>
          <w:tcPr>
            <w:tcW w:w="851" w:type="dxa"/>
            <w:shd w:val="clear" w:color="auto" w:fill="C6EFCE"/>
            <w:noWrap/>
          </w:tcPr>
          <w:p w14:paraId="6A6470C9" w14:textId="77777777" w:rsidR="006578ED" w:rsidRDefault="00A1618E">
            <w:pPr>
              <w:pStyle w:val="P68B1DB1-Normal13"/>
              <w:spacing w:after="0" w:line="240" w:lineRule="auto"/>
              <w:jc w:val="center"/>
              <w:rPr>
                <w:rFonts w:eastAsia="MS Mincho" w:cs="Times New Roman"/>
                <w:noProof/>
              </w:rPr>
            </w:pPr>
            <w:r>
              <w:rPr>
                <w:noProof/>
              </w:rPr>
              <w:t>C4.R2</w:t>
            </w:r>
          </w:p>
        </w:tc>
        <w:tc>
          <w:tcPr>
            <w:tcW w:w="992" w:type="dxa"/>
            <w:shd w:val="clear" w:color="auto" w:fill="C6EFCE"/>
            <w:noWrap/>
          </w:tcPr>
          <w:p w14:paraId="3E638E00" w14:textId="7DFCC057" w:rsidR="006578ED" w:rsidRDefault="00AF6B91">
            <w:pPr>
              <w:pStyle w:val="P68B1DB1-Normal13"/>
              <w:spacing w:after="0" w:line="240" w:lineRule="auto"/>
              <w:jc w:val="center"/>
              <w:rPr>
                <w:rFonts w:eastAsia="MS Mincho" w:cs="Times New Roman"/>
                <w:noProof/>
              </w:rPr>
            </w:pPr>
            <w:r>
              <w:rPr>
                <w:noProof/>
              </w:rPr>
              <w:t>Kamień milowy</w:t>
            </w:r>
          </w:p>
        </w:tc>
        <w:tc>
          <w:tcPr>
            <w:tcW w:w="2126" w:type="dxa"/>
            <w:shd w:val="clear" w:color="auto" w:fill="C6EFCE"/>
            <w:noWrap/>
          </w:tcPr>
          <w:p w14:paraId="24215B88" w14:textId="2825DA89" w:rsidR="006578ED" w:rsidRDefault="00A1618E">
            <w:pPr>
              <w:pStyle w:val="P68B1DB1-Normal13"/>
              <w:spacing w:after="0" w:line="240" w:lineRule="auto"/>
              <w:rPr>
                <w:rFonts w:eastAsia="MS Mincho" w:cs="Times New Roman"/>
                <w:noProof/>
              </w:rPr>
            </w:pPr>
            <w:r>
              <w:rPr>
                <w:noProof/>
              </w:rPr>
              <w:t>Przyjęcie krajowej strategii na rzecz zielonej infrastruktury, łączności i odbudowy ekologicznej</w:t>
            </w:r>
          </w:p>
        </w:tc>
        <w:tc>
          <w:tcPr>
            <w:tcW w:w="1276" w:type="dxa"/>
            <w:shd w:val="clear" w:color="auto" w:fill="C6EFCE"/>
            <w:noWrap/>
          </w:tcPr>
          <w:p w14:paraId="2B5B2E57" w14:textId="0B635DDE" w:rsidR="006578ED" w:rsidRDefault="00A1618E">
            <w:pPr>
              <w:pStyle w:val="P68B1DB1-Normal13"/>
              <w:spacing w:after="0" w:line="240" w:lineRule="auto"/>
              <w:jc w:val="center"/>
              <w:rPr>
                <w:rFonts w:eastAsia="MS Mincho" w:cs="Times New Roman"/>
                <w:noProof/>
              </w:rPr>
            </w:pPr>
            <w:r>
              <w:rPr>
                <w:noProof/>
              </w:rPr>
              <w:t>Publikacja w Dzienniku Urzędowym</w:t>
            </w:r>
          </w:p>
        </w:tc>
        <w:tc>
          <w:tcPr>
            <w:tcW w:w="850" w:type="dxa"/>
            <w:shd w:val="clear" w:color="auto" w:fill="C6EFCE"/>
            <w:noWrap/>
          </w:tcPr>
          <w:p w14:paraId="11596254"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06ED1C03"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707D7BCF"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372F91B2" w14:textId="09FDA2A8"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007151C5" w14:textId="77777777" w:rsidR="006578ED" w:rsidRDefault="00A1618E">
            <w:pPr>
              <w:pStyle w:val="P68B1DB1-Normal13"/>
              <w:spacing w:after="0" w:line="240" w:lineRule="auto"/>
              <w:jc w:val="center"/>
              <w:rPr>
                <w:rFonts w:eastAsia="MS Mincho" w:cs="Times New Roman"/>
                <w:noProof/>
              </w:rPr>
            </w:pPr>
            <w:r>
              <w:rPr>
                <w:noProof/>
              </w:rPr>
              <w:t>2021</w:t>
            </w:r>
          </w:p>
        </w:tc>
        <w:tc>
          <w:tcPr>
            <w:tcW w:w="6096" w:type="dxa"/>
            <w:shd w:val="clear" w:color="auto" w:fill="C6EFCE"/>
            <w:noWrap/>
          </w:tcPr>
          <w:p w14:paraId="09DF981C" w14:textId="50F3A4BD" w:rsidR="006578ED" w:rsidRDefault="00A1618E">
            <w:pPr>
              <w:pStyle w:val="P68B1DB1-Normal13"/>
              <w:spacing w:after="0" w:line="240" w:lineRule="auto"/>
              <w:rPr>
                <w:rFonts w:eastAsia="MS Mincho" w:cs="Times New Roman"/>
                <w:noProof/>
              </w:rPr>
            </w:pPr>
            <w:r>
              <w:rPr>
                <w:noProof/>
              </w:rPr>
              <w:t>Przyjęcie krajowej strategii na rzecz zielonej infrastruktury, łączności i odbudowy ekologicznej. Strategia obejmuje kierunki działania mające na celu osiągnięcie: ograniczenie skutków fragmentacji i utraty łączności ekologicznej; odbudowa ekosystemów na kluczowych obszarach; utrzymanie i poprawa świadczenia usług ekosystemowych; poprawa odporności; (v) zdefiniowanie modelu zarządzania; oraz (vi) komunikacja, edukacja i udział zainteresowanych stron.</w:t>
            </w:r>
          </w:p>
        </w:tc>
      </w:tr>
      <w:tr w:rsidR="006578ED" w14:paraId="76603375" w14:textId="77777777">
        <w:trPr>
          <w:trHeight w:val="309"/>
        </w:trPr>
        <w:tc>
          <w:tcPr>
            <w:tcW w:w="851" w:type="dxa"/>
            <w:shd w:val="clear" w:color="auto" w:fill="C6EFCE"/>
            <w:noWrap/>
          </w:tcPr>
          <w:p w14:paraId="55440C04" w14:textId="77777777" w:rsidR="006578ED" w:rsidRDefault="00A1618E">
            <w:pPr>
              <w:pStyle w:val="P68B1DB1-Normal13"/>
              <w:spacing w:after="0" w:line="240" w:lineRule="auto"/>
              <w:jc w:val="center"/>
              <w:rPr>
                <w:rFonts w:eastAsia="MS Mincho" w:cs="Times New Roman"/>
                <w:noProof/>
              </w:rPr>
            </w:pPr>
            <w:r>
              <w:rPr>
                <w:noProof/>
              </w:rPr>
              <w:t>64</w:t>
            </w:r>
          </w:p>
        </w:tc>
        <w:tc>
          <w:tcPr>
            <w:tcW w:w="851" w:type="dxa"/>
            <w:shd w:val="clear" w:color="auto" w:fill="C6EFCE"/>
            <w:noWrap/>
          </w:tcPr>
          <w:p w14:paraId="54F57C4C" w14:textId="77777777" w:rsidR="006578ED" w:rsidRDefault="00A1618E">
            <w:pPr>
              <w:pStyle w:val="P68B1DB1-Normal13"/>
              <w:spacing w:after="0" w:line="240" w:lineRule="auto"/>
              <w:jc w:val="center"/>
              <w:rPr>
                <w:rFonts w:eastAsia="MS Mincho" w:cs="Times New Roman"/>
                <w:noProof/>
              </w:rPr>
            </w:pPr>
            <w:r>
              <w:rPr>
                <w:noProof/>
              </w:rPr>
              <w:t>C4.R3</w:t>
            </w:r>
          </w:p>
        </w:tc>
        <w:tc>
          <w:tcPr>
            <w:tcW w:w="992" w:type="dxa"/>
            <w:shd w:val="clear" w:color="auto" w:fill="C6EFCE"/>
            <w:noWrap/>
          </w:tcPr>
          <w:p w14:paraId="7CBC6735" w14:textId="16749896" w:rsidR="006578ED" w:rsidRDefault="00AF6B91">
            <w:pPr>
              <w:pStyle w:val="P68B1DB1-Normal13"/>
              <w:spacing w:after="0" w:line="240" w:lineRule="auto"/>
              <w:jc w:val="center"/>
              <w:rPr>
                <w:rFonts w:eastAsia="MS Mincho" w:cs="Times New Roman"/>
                <w:noProof/>
              </w:rPr>
            </w:pPr>
            <w:r>
              <w:rPr>
                <w:noProof/>
              </w:rPr>
              <w:t>Kamień milowy</w:t>
            </w:r>
          </w:p>
        </w:tc>
        <w:tc>
          <w:tcPr>
            <w:tcW w:w="2126" w:type="dxa"/>
            <w:shd w:val="clear" w:color="auto" w:fill="C6EFCE"/>
            <w:noWrap/>
          </w:tcPr>
          <w:p w14:paraId="3C25E92A" w14:textId="3F0C5962" w:rsidR="006578ED" w:rsidRDefault="00A1618E">
            <w:pPr>
              <w:pStyle w:val="P68B1DB1-Normal13"/>
              <w:spacing w:after="0" w:line="240" w:lineRule="auto"/>
              <w:rPr>
                <w:rFonts w:eastAsia="MS Mincho" w:cs="Times New Roman"/>
                <w:noProof/>
              </w:rPr>
            </w:pPr>
            <w:r>
              <w:rPr>
                <w:noProof/>
              </w:rPr>
              <w:t>Zatwierdzenie hiszpańskiej strategii leśnej i planu wsparcia</w:t>
            </w:r>
          </w:p>
        </w:tc>
        <w:tc>
          <w:tcPr>
            <w:tcW w:w="1276" w:type="dxa"/>
            <w:shd w:val="clear" w:color="auto" w:fill="C6EFCE"/>
            <w:noWrap/>
          </w:tcPr>
          <w:p w14:paraId="5908B21B" w14:textId="7037612D" w:rsidR="006578ED" w:rsidRDefault="00A1618E">
            <w:pPr>
              <w:pStyle w:val="P68B1DB1-Normal13"/>
              <w:spacing w:after="0" w:line="240" w:lineRule="auto"/>
              <w:jc w:val="center"/>
              <w:rPr>
                <w:rFonts w:eastAsia="MS Mincho" w:cs="Times New Roman"/>
                <w:noProof/>
              </w:rPr>
            </w:pPr>
            <w:r>
              <w:rPr>
                <w:noProof/>
              </w:rPr>
              <w:t>Publikacja w Dzienniku Urzędowym</w:t>
            </w:r>
          </w:p>
        </w:tc>
        <w:tc>
          <w:tcPr>
            <w:tcW w:w="850" w:type="dxa"/>
            <w:shd w:val="clear" w:color="auto" w:fill="C6EFCE"/>
            <w:noWrap/>
          </w:tcPr>
          <w:p w14:paraId="2A47D515"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15E48944"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0A4E68ED"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686F1C1C" w14:textId="0D906286"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2C8BB7A9" w14:textId="77777777" w:rsidR="006578ED" w:rsidRDefault="00A1618E">
            <w:pPr>
              <w:pStyle w:val="P68B1DB1-Normal13"/>
              <w:spacing w:after="0" w:line="240" w:lineRule="auto"/>
              <w:jc w:val="center"/>
              <w:rPr>
                <w:rFonts w:eastAsia="MS Mincho" w:cs="Times New Roman"/>
                <w:noProof/>
              </w:rPr>
            </w:pPr>
            <w:r>
              <w:rPr>
                <w:noProof/>
              </w:rPr>
              <w:t>2022</w:t>
            </w:r>
          </w:p>
        </w:tc>
        <w:tc>
          <w:tcPr>
            <w:tcW w:w="6096" w:type="dxa"/>
            <w:shd w:val="clear" w:color="auto" w:fill="C6EFCE"/>
            <w:noWrap/>
          </w:tcPr>
          <w:p w14:paraId="6E970EA2" w14:textId="17B2D6D8" w:rsidR="006578ED" w:rsidRDefault="00A1618E">
            <w:pPr>
              <w:pStyle w:val="P68B1DB1-Normal13"/>
              <w:spacing w:after="0" w:line="240" w:lineRule="auto"/>
              <w:rPr>
                <w:rFonts w:eastAsia="MS Mincho" w:cs="Times New Roman"/>
                <w:noProof/>
              </w:rPr>
            </w:pPr>
            <w:r>
              <w:rPr>
                <w:noProof/>
              </w:rPr>
              <w:t>Przyjęcie hiszpańskiej strategii leśnej i planu wsparcia, które obejmują wytyczne dotyczące zrównoważonej gospodarki leśnej.</w:t>
            </w:r>
          </w:p>
        </w:tc>
      </w:tr>
      <w:tr w:rsidR="006578ED" w14:paraId="4C4C7EFD" w14:textId="77777777">
        <w:trPr>
          <w:trHeight w:val="309"/>
        </w:trPr>
        <w:tc>
          <w:tcPr>
            <w:tcW w:w="851" w:type="dxa"/>
            <w:shd w:val="clear" w:color="auto" w:fill="C6EFCE"/>
            <w:noWrap/>
          </w:tcPr>
          <w:p w14:paraId="46DE38F6" w14:textId="77777777" w:rsidR="006578ED" w:rsidRDefault="00A1618E">
            <w:pPr>
              <w:pStyle w:val="P68B1DB1-Normal13"/>
              <w:spacing w:after="0" w:line="240" w:lineRule="auto"/>
              <w:jc w:val="center"/>
              <w:rPr>
                <w:rFonts w:eastAsia="MS Mincho" w:cs="Times New Roman"/>
                <w:noProof/>
              </w:rPr>
            </w:pPr>
            <w:r>
              <w:rPr>
                <w:noProof/>
              </w:rPr>
              <w:t>65</w:t>
            </w:r>
          </w:p>
        </w:tc>
        <w:tc>
          <w:tcPr>
            <w:tcW w:w="851" w:type="dxa"/>
            <w:shd w:val="clear" w:color="auto" w:fill="C6EFCE"/>
            <w:noWrap/>
          </w:tcPr>
          <w:p w14:paraId="4DB89285" w14:textId="77777777" w:rsidR="006578ED" w:rsidRDefault="00A1618E">
            <w:pPr>
              <w:pStyle w:val="P68B1DB1-Normal13"/>
              <w:spacing w:after="0" w:line="240" w:lineRule="auto"/>
              <w:jc w:val="center"/>
              <w:rPr>
                <w:rFonts w:eastAsia="MS Mincho" w:cs="Times New Roman"/>
                <w:noProof/>
              </w:rPr>
            </w:pPr>
            <w:r>
              <w:rPr>
                <w:noProof/>
              </w:rPr>
              <w:t>C4.I1</w:t>
            </w:r>
          </w:p>
        </w:tc>
        <w:tc>
          <w:tcPr>
            <w:tcW w:w="992" w:type="dxa"/>
            <w:shd w:val="clear" w:color="auto" w:fill="C6EFCE"/>
            <w:noWrap/>
          </w:tcPr>
          <w:p w14:paraId="497BDA4B" w14:textId="4F9573CE" w:rsidR="006578ED" w:rsidRDefault="00AF6B91">
            <w:pPr>
              <w:pStyle w:val="P68B1DB1-Normal13"/>
              <w:spacing w:after="0" w:line="240" w:lineRule="auto"/>
              <w:jc w:val="center"/>
              <w:rPr>
                <w:rFonts w:eastAsia="MS Mincho" w:cs="Times New Roman"/>
                <w:noProof/>
              </w:rPr>
            </w:pPr>
            <w:r>
              <w:rPr>
                <w:noProof/>
              </w:rPr>
              <w:t>Kamień milowy</w:t>
            </w:r>
          </w:p>
        </w:tc>
        <w:tc>
          <w:tcPr>
            <w:tcW w:w="2126" w:type="dxa"/>
            <w:shd w:val="clear" w:color="auto" w:fill="C6EFCE"/>
            <w:noWrap/>
          </w:tcPr>
          <w:p w14:paraId="043BD904" w14:textId="3C0D5E51" w:rsidR="006578ED" w:rsidRDefault="00A1618E">
            <w:pPr>
              <w:pStyle w:val="P68B1DB1-Normal13"/>
              <w:spacing w:after="0" w:line="240" w:lineRule="auto"/>
              <w:rPr>
                <w:rFonts w:eastAsia="MS Mincho" w:cs="Times New Roman"/>
                <w:noProof/>
              </w:rPr>
            </w:pPr>
            <w:r>
              <w:rPr>
                <w:noProof/>
              </w:rPr>
              <w:t>Udzielanie zamówień na samoloty specjalnego przeznaczenia do gaszenia pożarów oraz utworzenie systemu monitorowania wiedzy o różnorodności biologicznej i zarządzania nią</w:t>
            </w:r>
          </w:p>
        </w:tc>
        <w:tc>
          <w:tcPr>
            <w:tcW w:w="1276" w:type="dxa"/>
            <w:shd w:val="clear" w:color="auto" w:fill="C6EFCE"/>
            <w:noWrap/>
          </w:tcPr>
          <w:p w14:paraId="58C01D8C" w14:textId="77777777" w:rsidR="006578ED" w:rsidRDefault="00A1618E">
            <w:pPr>
              <w:pStyle w:val="P68B1DB1-Normal13"/>
              <w:spacing w:after="0" w:line="240" w:lineRule="auto"/>
              <w:jc w:val="center"/>
              <w:rPr>
                <w:rFonts w:eastAsia="MS Mincho" w:cs="Times New Roman"/>
                <w:noProof/>
              </w:rPr>
            </w:pPr>
            <w:r>
              <w:rPr>
                <w:noProof/>
              </w:rPr>
              <w:t>Udzielanie zamówień</w:t>
            </w:r>
          </w:p>
        </w:tc>
        <w:tc>
          <w:tcPr>
            <w:tcW w:w="850" w:type="dxa"/>
            <w:shd w:val="clear" w:color="auto" w:fill="C6EFCE"/>
            <w:noWrap/>
          </w:tcPr>
          <w:p w14:paraId="30E85FE0"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2080AEB9"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29AC5F55"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647EC82C" w14:textId="305CAA77"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2CA49D28" w14:textId="77777777" w:rsidR="006578ED" w:rsidRDefault="00A1618E">
            <w:pPr>
              <w:pStyle w:val="P68B1DB1-Normal13"/>
              <w:spacing w:after="0" w:line="240" w:lineRule="auto"/>
              <w:jc w:val="center"/>
              <w:rPr>
                <w:rFonts w:eastAsia="MS Mincho" w:cs="Times New Roman"/>
                <w:noProof/>
              </w:rPr>
            </w:pPr>
            <w:r>
              <w:rPr>
                <w:noProof/>
              </w:rPr>
              <w:t>2022</w:t>
            </w:r>
          </w:p>
        </w:tc>
        <w:tc>
          <w:tcPr>
            <w:tcW w:w="6096" w:type="dxa"/>
            <w:shd w:val="clear" w:color="auto" w:fill="C6EFCE"/>
            <w:noWrap/>
          </w:tcPr>
          <w:p w14:paraId="24085CCD" w14:textId="2FAB565F" w:rsidR="006578ED" w:rsidRDefault="00A1618E">
            <w:pPr>
              <w:pStyle w:val="P68B1DB1-Normal13"/>
              <w:spacing w:after="0" w:line="240" w:lineRule="auto"/>
              <w:rPr>
                <w:rFonts w:eastAsia="MS Mincho" w:cs="Times New Roman"/>
                <w:noProof/>
              </w:rPr>
            </w:pPr>
            <w:r>
              <w:rPr>
                <w:noProof/>
              </w:rPr>
              <w:t>Udzielanie zamówień na modernizację i modernizację co najmniej dziesięciu statków powietrznych specjalnego przeznaczenia (Kanadair) do gaszenia pożarów oraz udostępnienie systemu monitorowania i zarządzania wiedzą na temat różnorodności biologicznej. System obejmuje poszerzanie wiedzy na temat gatunków i siedlisk oraz platformę cyfrową. Inwestycja zapewnia zgodność z wytycznymi technicznymi dotyczącymi zasady „nie czyń poważnych szkód” (2021/C58/01) poprzez modernizację wyłącznie istniejących statków powietrznych, które nie wydłużają okresu ich eksploatacji ani przepustowości.</w:t>
            </w:r>
          </w:p>
        </w:tc>
      </w:tr>
      <w:tr w:rsidR="006578ED" w14:paraId="49DC0193" w14:textId="77777777">
        <w:trPr>
          <w:trHeight w:val="309"/>
        </w:trPr>
        <w:tc>
          <w:tcPr>
            <w:tcW w:w="851" w:type="dxa"/>
            <w:shd w:val="clear" w:color="auto" w:fill="C6EFCE"/>
            <w:noWrap/>
          </w:tcPr>
          <w:p w14:paraId="43A19E73" w14:textId="1ED42F4E" w:rsidR="006578ED" w:rsidRDefault="00A1618E">
            <w:pPr>
              <w:pStyle w:val="P68B1DB1-Normal13"/>
              <w:spacing w:after="0" w:line="240" w:lineRule="auto"/>
              <w:jc w:val="center"/>
              <w:rPr>
                <w:rFonts w:eastAsia="MS Mincho" w:cs="Times New Roman"/>
                <w:noProof/>
              </w:rPr>
            </w:pPr>
            <w:r>
              <w:rPr>
                <w:noProof/>
              </w:rPr>
              <w:t>66</w:t>
            </w:r>
          </w:p>
        </w:tc>
        <w:tc>
          <w:tcPr>
            <w:tcW w:w="851" w:type="dxa"/>
            <w:shd w:val="clear" w:color="auto" w:fill="C6EFCE"/>
            <w:noWrap/>
          </w:tcPr>
          <w:p w14:paraId="59DED0D3" w14:textId="77777777" w:rsidR="006578ED" w:rsidRDefault="00A1618E">
            <w:pPr>
              <w:pStyle w:val="P68B1DB1-Normal13"/>
              <w:spacing w:after="0" w:line="240" w:lineRule="auto"/>
              <w:jc w:val="center"/>
              <w:rPr>
                <w:rFonts w:eastAsia="MS Mincho" w:cs="Times New Roman"/>
                <w:noProof/>
              </w:rPr>
            </w:pPr>
            <w:r>
              <w:rPr>
                <w:noProof/>
              </w:rPr>
              <w:t>C4.I1</w:t>
            </w:r>
          </w:p>
        </w:tc>
        <w:tc>
          <w:tcPr>
            <w:tcW w:w="992" w:type="dxa"/>
            <w:shd w:val="clear" w:color="auto" w:fill="C6EFCE"/>
            <w:noWrap/>
          </w:tcPr>
          <w:p w14:paraId="24D19C8D" w14:textId="180F7095" w:rsidR="006578ED" w:rsidRDefault="00AF6B91">
            <w:pPr>
              <w:pStyle w:val="P68B1DB1-Normal13"/>
              <w:spacing w:after="0" w:line="240" w:lineRule="auto"/>
              <w:jc w:val="center"/>
              <w:rPr>
                <w:rFonts w:eastAsia="MS Mincho" w:cs="Times New Roman"/>
                <w:noProof/>
              </w:rPr>
            </w:pPr>
            <w:r>
              <w:rPr>
                <w:noProof/>
              </w:rPr>
              <w:t>Kamień milowy</w:t>
            </w:r>
          </w:p>
        </w:tc>
        <w:tc>
          <w:tcPr>
            <w:tcW w:w="2126" w:type="dxa"/>
            <w:shd w:val="clear" w:color="auto" w:fill="C6EFCE"/>
            <w:noWrap/>
          </w:tcPr>
          <w:p w14:paraId="1A68EE37" w14:textId="5E75FDF6" w:rsidR="006578ED" w:rsidRDefault="00A1618E">
            <w:pPr>
              <w:pStyle w:val="P68B1DB1-Normal13"/>
              <w:spacing w:after="0" w:line="240" w:lineRule="auto"/>
              <w:rPr>
                <w:rFonts w:eastAsia="MS Mincho" w:cs="Times New Roman"/>
                <w:noProof/>
              </w:rPr>
            </w:pPr>
            <w:r>
              <w:rPr>
                <w:noProof/>
              </w:rPr>
              <w:t>Ukończenie i uruchomienie systemu monitorowania wiedzy o różnorodności biologicznej i zarządzania nią</w:t>
            </w:r>
          </w:p>
        </w:tc>
        <w:tc>
          <w:tcPr>
            <w:tcW w:w="1276" w:type="dxa"/>
            <w:shd w:val="clear" w:color="auto" w:fill="C6EFCE"/>
            <w:noWrap/>
          </w:tcPr>
          <w:p w14:paraId="4EEE0BA8" w14:textId="77777777" w:rsidR="006578ED" w:rsidRDefault="00A1618E">
            <w:pPr>
              <w:pStyle w:val="P68B1DB1-Normal21"/>
              <w:spacing w:after="0" w:line="240" w:lineRule="auto"/>
              <w:jc w:val="center"/>
              <w:rPr>
                <w:rFonts w:eastAsia="MS Mincho" w:cs="Times New Roman"/>
                <w:noProof/>
              </w:rPr>
            </w:pPr>
            <w:r>
              <w:rPr>
                <w:noProof/>
              </w:rPr>
              <w:t>ACTA de Recepción</w:t>
            </w:r>
          </w:p>
        </w:tc>
        <w:tc>
          <w:tcPr>
            <w:tcW w:w="850" w:type="dxa"/>
            <w:shd w:val="clear" w:color="auto" w:fill="C6EFCE"/>
            <w:noWrap/>
          </w:tcPr>
          <w:p w14:paraId="79E427E6" w14:textId="77777777" w:rsidR="006578ED" w:rsidRDefault="00A1618E">
            <w:pPr>
              <w:pStyle w:val="P68B1DB1-Normal13"/>
              <w:spacing w:after="0" w:line="240" w:lineRule="auto"/>
              <w:jc w:val="right"/>
              <w:rPr>
                <w:rFonts w:eastAsia="MS Mincho" w:cs="Times New Roman"/>
                <w:noProof/>
              </w:rPr>
            </w:pPr>
            <w:r>
              <w:rPr>
                <w:noProof/>
              </w:rPr>
              <w:t> </w:t>
            </w:r>
          </w:p>
        </w:tc>
        <w:tc>
          <w:tcPr>
            <w:tcW w:w="567" w:type="dxa"/>
            <w:shd w:val="clear" w:color="auto" w:fill="C6EFCE"/>
            <w:noWrap/>
          </w:tcPr>
          <w:p w14:paraId="566C1BCE" w14:textId="77777777" w:rsidR="006578ED" w:rsidRDefault="00A1618E">
            <w:pPr>
              <w:pStyle w:val="P68B1DB1-Normal13"/>
              <w:spacing w:after="0" w:line="240" w:lineRule="auto"/>
              <w:jc w:val="right"/>
              <w:rPr>
                <w:rFonts w:eastAsia="MS Mincho" w:cs="Times New Roman"/>
                <w:noProof/>
              </w:rPr>
            </w:pPr>
            <w:r>
              <w:rPr>
                <w:noProof/>
              </w:rPr>
              <w:t> </w:t>
            </w:r>
          </w:p>
        </w:tc>
        <w:tc>
          <w:tcPr>
            <w:tcW w:w="709" w:type="dxa"/>
            <w:shd w:val="clear" w:color="auto" w:fill="C6EFCE"/>
            <w:noWrap/>
          </w:tcPr>
          <w:p w14:paraId="1DB36F4A" w14:textId="77777777" w:rsidR="006578ED" w:rsidRDefault="00A1618E">
            <w:pPr>
              <w:pStyle w:val="P68B1DB1-Normal13"/>
              <w:spacing w:after="0" w:line="240" w:lineRule="auto"/>
              <w:jc w:val="right"/>
              <w:rPr>
                <w:rFonts w:eastAsia="MS Mincho" w:cs="Times New Roman"/>
                <w:noProof/>
              </w:rPr>
            </w:pPr>
            <w:r>
              <w:rPr>
                <w:noProof/>
              </w:rPr>
              <w:t> </w:t>
            </w:r>
          </w:p>
        </w:tc>
        <w:tc>
          <w:tcPr>
            <w:tcW w:w="425" w:type="dxa"/>
            <w:shd w:val="clear" w:color="auto" w:fill="C6EFCE"/>
            <w:noWrap/>
          </w:tcPr>
          <w:p w14:paraId="1655411C" w14:textId="36DDC5FA"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1A5F6368" w14:textId="77777777" w:rsidR="006578ED" w:rsidRDefault="00A1618E">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6874F34F" w14:textId="35DBD084" w:rsidR="006578ED" w:rsidRDefault="00A1618E">
            <w:pPr>
              <w:pStyle w:val="P68B1DB1-Normal13"/>
              <w:spacing w:after="0" w:line="240" w:lineRule="auto"/>
              <w:rPr>
                <w:rFonts w:cs="Times New Roman"/>
                <w:noProof/>
              </w:rPr>
            </w:pPr>
            <w:r>
              <w:rPr>
                <w:noProof/>
              </w:rPr>
              <w:t xml:space="preserve">System monitorowania i zarządzania wiedzą o różnorodności biologicznej został ukończony i funkcjonuje (w tym platforma cyfrowa) oraz przeprowadzono precyzyjny lot LIDAR obejmujący co najmniej 75 % terytorium lądowego kraju. </w:t>
            </w:r>
          </w:p>
        </w:tc>
      </w:tr>
      <w:tr w:rsidR="006578ED" w14:paraId="246B8B84" w14:textId="77777777">
        <w:trPr>
          <w:trHeight w:val="309"/>
        </w:trPr>
        <w:tc>
          <w:tcPr>
            <w:tcW w:w="851" w:type="dxa"/>
            <w:shd w:val="clear" w:color="auto" w:fill="C6EFCE"/>
            <w:noWrap/>
          </w:tcPr>
          <w:p w14:paraId="1CB76B51" w14:textId="77777777" w:rsidR="006578ED" w:rsidRDefault="00A1618E">
            <w:pPr>
              <w:pStyle w:val="P68B1DB1-Normal13"/>
              <w:spacing w:after="0" w:line="240" w:lineRule="auto"/>
              <w:jc w:val="center"/>
              <w:rPr>
                <w:rFonts w:eastAsia="MS Mincho" w:cs="Times New Roman"/>
                <w:noProof/>
              </w:rPr>
            </w:pPr>
            <w:r>
              <w:rPr>
                <w:noProof/>
              </w:rPr>
              <w:t>67</w:t>
            </w:r>
          </w:p>
        </w:tc>
        <w:tc>
          <w:tcPr>
            <w:tcW w:w="851" w:type="dxa"/>
            <w:shd w:val="clear" w:color="auto" w:fill="C6EFCE"/>
            <w:noWrap/>
          </w:tcPr>
          <w:p w14:paraId="7C064685" w14:textId="77777777" w:rsidR="006578ED" w:rsidRDefault="00A1618E">
            <w:pPr>
              <w:pStyle w:val="P68B1DB1-Normal13"/>
              <w:spacing w:after="0" w:line="240" w:lineRule="auto"/>
              <w:jc w:val="center"/>
              <w:rPr>
                <w:rFonts w:eastAsia="MS Mincho" w:cs="Times New Roman"/>
                <w:noProof/>
              </w:rPr>
            </w:pPr>
            <w:r>
              <w:rPr>
                <w:noProof/>
              </w:rPr>
              <w:t>C4.I2</w:t>
            </w:r>
          </w:p>
        </w:tc>
        <w:tc>
          <w:tcPr>
            <w:tcW w:w="992" w:type="dxa"/>
            <w:shd w:val="clear" w:color="auto" w:fill="C6EFCE"/>
            <w:noWrap/>
          </w:tcPr>
          <w:p w14:paraId="067EFF58" w14:textId="49B03884" w:rsidR="006578ED" w:rsidRDefault="00AF6B91">
            <w:pPr>
              <w:pStyle w:val="P68B1DB1-Normal13"/>
              <w:spacing w:after="0" w:line="240" w:lineRule="auto"/>
              <w:jc w:val="center"/>
              <w:rPr>
                <w:rFonts w:eastAsia="MS Mincho" w:cs="Times New Roman"/>
                <w:noProof/>
              </w:rPr>
            </w:pPr>
            <w:r>
              <w:rPr>
                <w:noProof/>
              </w:rPr>
              <w:t>Cel</w:t>
            </w:r>
          </w:p>
        </w:tc>
        <w:tc>
          <w:tcPr>
            <w:tcW w:w="2126" w:type="dxa"/>
            <w:shd w:val="clear" w:color="auto" w:fill="C6EFCE"/>
            <w:noWrap/>
          </w:tcPr>
          <w:p w14:paraId="6E204478" w14:textId="77777777" w:rsidR="006578ED" w:rsidRDefault="00A1618E">
            <w:pPr>
              <w:pStyle w:val="P68B1DB1-Normal13"/>
              <w:spacing w:after="0" w:line="240" w:lineRule="auto"/>
              <w:rPr>
                <w:rFonts w:eastAsia="MS Mincho" w:cs="Times New Roman"/>
                <w:noProof/>
              </w:rPr>
            </w:pPr>
            <w:r>
              <w:rPr>
                <w:noProof/>
              </w:rPr>
              <w:t xml:space="preserve">Morskie obszary chronione </w:t>
            </w:r>
          </w:p>
        </w:tc>
        <w:tc>
          <w:tcPr>
            <w:tcW w:w="1276" w:type="dxa"/>
            <w:shd w:val="clear" w:color="auto" w:fill="C6EFCE"/>
            <w:noWrap/>
          </w:tcPr>
          <w:p w14:paraId="61829076"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B6C19F2" w14:textId="77777777" w:rsidR="006578ED" w:rsidRDefault="00A1618E">
            <w:pPr>
              <w:pStyle w:val="P68B1DB1-Normal13"/>
              <w:spacing w:after="0" w:line="240" w:lineRule="auto"/>
              <w:jc w:val="center"/>
              <w:rPr>
                <w:rFonts w:eastAsia="MS Mincho" w:cs="Times New Roman"/>
                <w:noProof/>
              </w:rPr>
            </w:pPr>
            <w:r>
              <w:rPr>
                <w:noProof/>
              </w:rPr>
              <w:t>% hiszpańskiego terytorium morskiego</w:t>
            </w:r>
          </w:p>
        </w:tc>
        <w:tc>
          <w:tcPr>
            <w:tcW w:w="567" w:type="dxa"/>
            <w:shd w:val="clear" w:color="auto" w:fill="C6EFCE"/>
            <w:noWrap/>
          </w:tcPr>
          <w:p w14:paraId="5D0116D1" w14:textId="77777777" w:rsidR="006578ED" w:rsidRDefault="00A1618E">
            <w:pPr>
              <w:pStyle w:val="P68B1DB1-Normal13"/>
              <w:spacing w:after="0" w:line="240" w:lineRule="auto"/>
              <w:jc w:val="right"/>
              <w:rPr>
                <w:rFonts w:eastAsia="MS Mincho" w:cs="Times New Roman"/>
                <w:noProof/>
              </w:rPr>
            </w:pPr>
            <w:r>
              <w:rPr>
                <w:noProof/>
              </w:rPr>
              <w:t>13</w:t>
            </w:r>
          </w:p>
        </w:tc>
        <w:tc>
          <w:tcPr>
            <w:tcW w:w="709" w:type="dxa"/>
            <w:shd w:val="clear" w:color="auto" w:fill="C6EFCE"/>
            <w:noWrap/>
          </w:tcPr>
          <w:p w14:paraId="423D4B9D" w14:textId="77777777" w:rsidR="006578ED" w:rsidRDefault="00A1618E">
            <w:pPr>
              <w:pStyle w:val="P68B1DB1-Normal13"/>
              <w:spacing w:after="0" w:line="240" w:lineRule="auto"/>
              <w:jc w:val="right"/>
              <w:rPr>
                <w:rFonts w:eastAsia="MS Mincho" w:cs="Times New Roman"/>
                <w:noProof/>
              </w:rPr>
            </w:pPr>
            <w:r>
              <w:rPr>
                <w:noProof/>
              </w:rPr>
              <w:t>15</w:t>
            </w:r>
          </w:p>
        </w:tc>
        <w:tc>
          <w:tcPr>
            <w:tcW w:w="425" w:type="dxa"/>
            <w:shd w:val="clear" w:color="auto" w:fill="C6EFCE"/>
            <w:noWrap/>
          </w:tcPr>
          <w:p w14:paraId="23956E26" w14:textId="3CD56DF7"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72C583B8" w14:textId="77777777" w:rsidR="006578ED" w:rsidRDefault="00A1618E">
            <w:pPr>
              <w:pStyle w:val="P68B1DB1-Normal13"/>
              <w:spacing w:after="0" w:line="240" w:lineRule="auto"/>
              <w:jc w:val="center"/>
              <w:rPr>
                <w:rFonts w:eastAsia="MS Mincho" w:cs="Times New Roman"/>
                <w:noProof/>
              </w:rPr>
            </w:pPr>
            <w:r>
              <w:rPr>
                <w:noProof/>
              </w:rPr>
              <w:t>2023</w:t>
            </w:r>
          </w:p>
        </w:tc>
        <w:tc>
          <w:tcPr>
            <w:tcW w:w="6096" w:type="dxa"/>
            <w:shd w:val="clear" w:color="auto" w:fill="C6EFCE"/>
            <w:noWrap/>
          </w:tcPr>
          <w:p w14:paraId="4B1A0A70" w14:textId="54B9D4FE" w:rsidR="006578ED" w:rsidRDefault="00A1618E">
            <w:pPr>
              <w:pStyle w:val="P68B1DB1-Normal13"/>
              <w:spacing w:after="0" w:line="240" w:lineRule="auto"/>
              <w:rPr>
                <w:rFonts w:eastAsia="MS Mincho" w:cs="Times New Roman"/>
                <w:noProof/>
              </w:rPr>
            </w:pPr>
            <w:r>
              <w:rPr>
                <w:noProof/>
              </w:rPr>
              <w:t>Osiągnięcie morskiego obszaru chronionego na poziomie co najmniej 15 % hiszpańskiego terytorium morskiego. Morski obszar chroniony oznacza terytorium morskie włączone do sieci Natura 2000 lub inne kategorie chronionych obszarów naturalnych, zgodnie z ustawą 42/2007; obszary chronione instrumentami międzynarodowymi i rezerwatami morskimi włącza się, w stosownych przypadkach, do RAMPE (hiszpańskiej sieci morskich obszarów chronionych). (Podstawa: 31 grudnia 20</w:t>
            </w:r>
            <w:r w:rsidRPr="00A1618E">
              <w:rPr>
                <w:noProof/>
                <w:lang w:val="pl-PL"/>
              </w:rPr>
              <w:t>20 r.</w:t>
            </w:r>
            <w:r>
              <w:rPr>
                <w:noProof/>
              </w:rPr>
              <w:t xml:space="preserve">) </w:t>
            </w:r>
          </w:p>
        </w:tc>
      </w:tr>
      <w:tr w:rsidR="006578ED" w14:paraId="39A6ECF2" w14:textId="77777777">
        <w:trPr>
          <w:trHeight w:val="309"/>
        </w:trPr>
        <w:tc>
          <w:tcPr>
            <w:tcW w:w="851" w:type="dxa"/>
            <w:shd w:val="clear" w:color="auto" w:fill="C6EFCE"/>
            <w:noWrap/>
          </w:tcPr>
          <w:p w14:paraId="224139B5" w14:textId="77777777" w:rsidR="006578ED" w:rsidRDefault="00A1618E">
            <w:pPr>
              <w:pStyle w:val="P68B1DB1-Normal13"/>
              <w:spacing w:after="0" w:line="240" w:lineRule="auto"/>
              <w:jc w:val="center"/>
              <w:rPr>
                <w:rFonts w:cs="Times New Roman"/>
                <w:noProof/>
              </w:rPr>
            </w:pPr>
            <w:r>
              <w:rPr>
                <w:noProof/>
              </w:rPr>
              <w:t>68</w:t>
            </w:r>
          </w:p>
        </w:tc>
        <w:tc>
          <w:tcPr>
            <w:tcW w:w="851" w:type="dxa"/>
            <w:shd w:val="clear" w:color="auto" w:fill="C6EFCE"/>
            <w:noWrap/>
          </w:tcPr>
          <w:p w14:paraId="08B4E5E9" w14:textId="77777777" w:rsidR="006578ED" w:rsidRDefault="00A1618E">
            <w:pPr>
              <w:pStyle w:val="P68B1DB1-Normal13"/>
              <w:spacing w:after="0" w:line="240" w:lineRule="auto"/>
              <w:jc w:val="center"/>
              <w:rPr>
                <w:rFonts w:cs="Times New Roman"/>
                <w:noProof/>
              </w:rPr>
            </w:pPr>
            <w:r>
              <w:rPr>
                <w:noProof/>
              </w:rPr>
              <w:t>C4.I2</w:t>
            </w:r>
          </w:p>
        </w:tc>
        <w:tc>
          <w:tcPr>
            <w:tcW w:w="992" w:type="dxa"/>
            <w:shd w:val="clear" w:color="auto" w:fill="C6EFCE"/>
            <w:noWrap/>
          </w:tcPr>
          <w:p w14:paraId="5D7BA318" w14:textId="1D37650C" w:rsidR="006578ED" w:rsidRDefault="00AF6B91">
            <w:pPr>
              <w:pStyle w:val="P68B1DB1-Normal13"/>
              <w:spacing w:after="0" w:line="240" w:lineRule="auto"/>
              <w:jc w:val="center"/>
              <w:rPr>
                <w:rFonts w:cs="Times New Roman"/>
                <w:noProof/>
              </w:rPr>
            </w:pPr>
            <w:r>
              <w:rPr>
                <w:noProof/>
              </w:rPr>
              <w:t>Cel</w:t>
            </w:r>
          </w:p>
        </w:tc>
        <w:tc>
          <w:tcPr>
            <w:tcW w:w="2126" w:type="dxa"/>
            <w:shd w:val="clear" w:color="auto" w:fill="C6EFCE"/>
            <w:noWrap/>
          </w:tcPr>
          <w:p w14:paraId="74522CB6" w14:textId="77777777" w:rsidR="006578ED" w:rsidRDefault="00A1618E">
            <w:pPr>
              <w:pStyle w:val="P68B1DB1-Normal13"/>
              <w:spacing w:after="0" w:line="240" w:lineRule="auto"/>
              <w:rPr>
                <w:rFonts w:cs="Times New Roman"/>
                <w:noProof/>
              </w:rPr>
            </w:pPr>
            <w:r>
              <w:rPr>
                <w:noProof/>
              </w:rPr>
              <w:t xml:space="preserve">Morskie obszary chronione </w:t>
            </w:r>
          </w:p>
        </w:tc>
        <w:tc>
          <w:tcPr>
            <w:tcW w:w="1276" w:type="dxa"/>
            <w:shd w:val="clear" w:color="auto" w:fill="C6EFCE"/>
            <w:noWrap/>
          </w:tcPr>
          <w:p w14:paraId="2BA226A1"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017E78C1" w14:textId="77777777" w:rsidR="006578ED" w:rsidRDefault="00A1618E">
            <w:pPr>
              <w:pStyle w:val="P68B1DB1-Normal13"/>
              <w:spacing w:after="0" w:line="240" w:lineRule="auto"/>
              <w:jc w:val="center"/>
              <w:rPr>
                <w:rFonts w:cs="Times New Roman"/>
                <w:noProof/>
              </w:rPr>
            </w:pPr>
            <w:r>
              <w:rPr>
                <w:noProof/>
              </w:rPr>
              <w:t>% hiszpańskiego terytorium morskiego</w:t>
            </w:r>
          </w:p>
        </w:tc>
        <w:tc>
          <w:tcPr>
            <w:tcW w:w="567" w:type="dxa"/>
            <w:shd w:val="clear" w:color="auto" w:fill="C6EFCE"/>
            <w:noWrap/>
          </w:tcPr>
          <w:p w14:paraId="4C2A823A" w14:textId="77777777" w:rsidR="006578ED" w:rsidRDefault="00A1618E">
            <w:pPr>
              <w:pStyle w:val="P68B1DB1-Normal13"/>
              <w:spacing w:after="0" w:line="240" w:lineRule="auto"/>
              <w:jc w:val="right"/>
              <w:rPr>
                <w:rFonts w:cs="Times New Roman"/>
                <w:noProof/>
              </w:rPr>
            </w:pPr>
            <w:r>
              <w:rPr>
                <w:noProof/>
              </w:rPr>
              <w:t>15</w:t>
            </w:r>
          </w:p>
        </w:tc>
        <w:tc>
          <w:tcPr>
            <w:tcW w:w="709" w:type="dxa"/>
            <w:shd w:val="clear" w:color="auto" w:fill="C6EFCE"/>
            <w:noWrap/>
          </w:tcPr>
          <w:p w14:paraId="5D9857E1" w14:textId="77777777" w:rsidR="006578ED" w:rsidRDefault="00A1618E">
            <w:pPr>
              <w:pStyle w:val="P68B1DB1-Normal13"/>
              <w:spacing w:after="0" w:line="240" w:lineRule="auto"/>
              <w:jc w:val="right"/>
              <w:rPr>
                <w:rFonts w:cs="Times New Roman"/>
                <w:noProof/>
              </w:rPr>
            </w:pPr>
            <w:r>
              <w:rPr>
                <w:noProof/>
              </w:rPr>
              <w:t>18</w:t>
            </w:r>
          </w:p>
        </w:tc>
        <w:tc>
          <w:tcPr>
            <w:tcW w:w="425" w:type="dxa"/>
            <w:shd w:val="clear" w:color="auto" w:fill="C6EFCE"/>
            <w:noWrap/>
          </w:tcPr>
          <w:p w14:paraId="0D4AC936" w14:textId="0A6198FE"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4FA36ACC" w14:textId="77777777" w:rsidR="006578ED" w:rsidRDefault="00A1618E">
            <w:pPr>
              <w:pStyle w:val="P68B1DB1-Normal13"/>
              <w:spacing w:after="0" w:line="240" w:lineRule="auto"/>
              <w:jc w:val="center"/>
              <w:rPr>
                <w:rFonts w:cs="Times New Roman"/>
                <w:noProof/>
              </w:rPr>
            </w:pPr>
            <w:r>
              <w:rPr>
                <w:noProof/>
              </w:rPr>
              <w:t>2025</w:t>
            </w:r>
          </w:p>
        </w:tc>
        <w:tc>
          <w:tcPr>
            <w:tcW w:w="6096" w:type="dxa"/>
            <w:shd w:val="clear" w:color="auto" w:fill="C6EFCE"/>
            <w:noWrap/>
          </w:tcPr>
          <w:p w14:paraId="12544D96" w14:textId="0F6195DC" w:rsidR="006578ED" w:rsidRDefault="00A1618E">
            <w:pPr>
              <w:pStyle w:val="P68B1DB1-Normal13"/>
              <w:spacing w:after="0" w:line="240" w:lineRule="auto"/>
              <w:rPr>
                <w:rFonts w:cs="Times New Roman"/>
                <w:noProof/>
              </w:rPr>
            </w:pPr>
            <w:r>
              <w:rPr>
                <w:noProof/>
              </w:rPr>
              <w:t>Osiągnięcie morskiego obszaru chronionego na co najmniej 18 % hiszpańskiego terytorium morskiego. Morski obszar chroniony to terytorium morskie włączone do sieci Natura 2000 lub innych kategorii chronionych obszarów naturalnych, zgodnie z ustawą 42/2007; obszary chronione instrumentami międzynarodowymi i rezerwatami morskimi włącza się, w stosownych przypadkach, do RAMPE (hiszpańskiej sieci morskich obszarów chronionych). (Podstawa: 31 grudnia 20</w:t>
            </w:r>
            <w:r w:rsidRPr="00A1618E">
              <w:rPr>
                <w:noProof/>
                <w:lang w:val="pl-PL"/>
              </w:rPr>
              <w:t>23 r.</w:t>
            </w:r>
            <w:r>
              <w:rPr>
                <w:noProof/>
              </w:rPr>
              <w:t>)</w:t>
            </w:r>
          </w:p>
        </w:tc>
      </w:tr>
      <w:tr w:rsidR="006578ED" w14:paraId="0E646B10" w14:textId="77777777">
        <w:trPr>
          <w:trHeight w:val="309"/>
        </w:trPr>
        <w:tc>
          <w:tcPr>
            <w:tcW w:w="851" w:type="dxa"/>
            <w:shd w:val="clear" w:color="auto" w:fill="C6EFCE"/>
            <w:noWrap/>
          </w:tcPr>
          <w:p w14:paraId="5D87285D" w14:textId="77777777" w:rsidR="006578ED" w:rsidRDefault="00A1618E">
            <w:pPr>
              <w:pStyle w:val="P68B1DB1-Normal13"/>
              <w:spacing w:after="0" w:line="240" w:lineRule="auto"/>
              <w:jc w:val="center"/>
              <w:rPr>
                <w:rFonts w:eastAsia="MS Mincho" w:cs="Times New Roman"/>
                <w:noProof/>
              </w:rPr>
            </w:pPr>
            <w:r>
              <w:rPr>
                <w:noProof/>
              </w:rPr>
              <w:t>69</w:t>
            </w:r>
          </w:p>
        </w:tc>
        <w:tc>
          <w:tcPr>
            <w:tcW w:w="851" w:type="dxa"/>
            <w:shd w:val="clear" w:color="auto" w:fill="C6EFCE"/>
            <w:noWrap/>
          </w:tcPr>
          <w:p w14:paraId="3AC0FAB3" w14:textId="77777777" w:rsidR="006578ED" w:rsidRDefault="00A1618E">
            <w:pPr>
              <w:pStyle w:val="P68B1DB1-Normal13"/>
              <w:spacing w:after="0" w:line="240" w:lineRule="auto"/>
              <w:jc w:val="center"/>
              <w:rPr>
                <w:rFonts w:eastAsia="MS Mincho" w:cs="Times New Roman"/>
                <w:noProof/>
              </w:rPr>
            </w:pPr>
            <w:r>
              <w:rPr>
                <w:noProof/>
              </w:rPr>
              <w:t>C4.I2</w:t>
            </w:r>
          </w:p>
        </w:tc>
        <w:tc>
          <w:tcPr>
            <w:tcW w:w="992" w:type="dxa"/>
            <w:shd w:val="clear" w:color="auto" w:fill="C6EFCE"/>
            <w:noWrap/>
          </w:tcPr>
          <w:p w14:paraId="207ECE38" w14:textId="538766FA" w:rsidR="006578ED" w:rsidRDefault="00AF6B91">
            <w:pPr>
              <w:pStyle w:val="P68B1DB1-Normal13"/>
              <w:spacing w:after="0" w:line="240" w:lineRule="auto"/>
              <w:jc w:val="center"/>
              <w:rPr>
                <w:rFonts w:eastAsia="MS Mincho" w:cs="Times New Roman"/>
                <w:noProof/>
              </w:rPr>
            </w:pPr>
            <w:r>
              <w:rPr>
                <w:noProof/>
              </w:rPr>
              <w:t>Cel</w:t>
            </w:r>
          </w:p>
        </w:tc>
        <w:tc>
          <w:tcPr>
            <w:tcW w:w="2126" w:type="dxa"/>
            <w:shd w:val="clear" w:color="auto" w:fill="C6EFCE"/>
            <w:noWrap/>
          </w:tcPr>
          <w:p w14:paraId="00C6CFE2" w14:textId="77777777" w:rsidR="006578ED" w:rsidRDefault="00A1618E">
            <w:pPr>
              <w:pStyle w:val="P68B1DB1-Normal13"/>
              <w:spacing w:after="0" w:line="240" w:lineRule="auto"/>
              <w:rPr>
                <w:rFonts w:eastAsia="MS Mincho" w:cs="Times New Roman"/>
                <w:noProof/>
              </w:rPr>
            </w:pPr>
            <w:r>
              <w:rPr>
                <w:noProof/>
              </w:rPr>
              <w:t>Działania na rzecz ochrony różnorodności biologicznej</w:t>
            </w:r>
          </w:p>
        </w:tc>
        <w:tc>
          <w:tcPr>
            <w:tcW w:w="1276" w:type="dxa"/>
            <w:shd w:val="clear" w:color="auto" w:fill="C6EFCE"/>
            <w:noWrap/>
          </w:tcPr>
          <w:p w14:paraId="17AD93B2"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0F314C26" w14:textId="77777777" w:rsidR="006578ED" w:rsidRDefault="00A1618E">
            <w:pPr>
              <w:pStyle w:val="P68B1DB1-Normal13"/>
              <w:spacing w:after="0" w:line="240" w:lineRule="auto"/>
              <w:jc w:val="center"/>
              <w:rPr>
                <w:rFonts w:eastAsia="MS Mincho" w:cs="Times New Roman"/>
                <w:noProof/>
              </w:rPr>
            </w:pPr>
            <w:r>
              <w:rPr>
                <w:noProof/>
              </w:rPr>
              <w:t>Liczba (hektary)</w:t>
            </w:r>
          </w:p>
        </w:tc>
        <w:tc>
          <w:tcPr>
            <w:tcW w:w="567" w:type="dxa"/>
            <w:shd w:val="clear" w:color="auto" w:fill="C6EFCE"/>
            <w:noWrap/>
          </w:tcPr>
          <w:p w14:paraId="1E6EE343" w14:textId="77777777"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2E818D2F" w14:textId="77777777" w:rsidR="006578ED" w:rsidRDefault="00A1618E">
            <w:pPr>
              <w:pStyle w:val="P68B1DB1-Normal13"/>
              <w:spacing w:after="0" w:line="240" w:lineRule="auto"/>
              <w:jc w:val="right"/>
              <w:rPr>
                <w:rFonts w:eastAsia="MS Mincho" w:cs="Times New Roman"/>
                <w:noProof/>
              </w:rPr>
            </w:pPr>
            <w:r>
              <w:rPr>
                <w:noProof/>
              </w:rPr>
              <w:t>50 000</w:t>
            </w:r>
          </w:p>
        </w:tc>
        <w:tc>
          <w:tcPr>
            <w:tcW w:w="425" w:type="dxa"/>
            <w:shd w:val="clear" w:color="auto" w:fill="C6EFCE"/>
            <w:noWrap/>
          </w:tcPr>
          <w:p w14:paraId="32D6FAE0" w14:textId="209B8F7A"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52E5F677" w14:textId="77777777" w:rsidR="006578ED" w:rsidRDefault="00A1618E">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4D3026EA" w14:textId="2BDB45C9" w:rsidR="006578ED" w:rsidRDefault="00A1618E">
            <w:pPr>
              <w:pStyle w:val="P68B1DB1-Normal13"/>
              <w:spacing w:after="0" w:line="240" w:lineRule="auto"/>
              <w:rPr>
                <w:rFonts w:eastAsia="MS Mincho" w:cs="Times New Roman"/>
                <w:noProof/>
              </w:rPr>
            </w:pPr>
            <w:r>
              <w:rPr>
                <w:noProof/>
              </w:rPr>
              <w:t xml:space="preserve">Co najmniej 50000 hektarów objętych zakończonymi działaniami na rzecz ochrony różnorodności biologicznej. Działania ochronne obejmują: działania zapobiegające śmiertelności gatunków fauny i flory, (ii) działania mające na celu wczesne wykrywanie, kontrolę lub eliminację gatunków inwazyjnych, (iii) środki zarządzania i poprawy siedlisk, w szczególności podejmowane na gatunkach chronionych, (iv) działania służące odbudowie terenów podmokłych, takie jak poprawa dynamiki naturalnej, ilości i jakości wody oraz fauny i flory; oraz (v) działania zapewniające, odnawiające i modernizujące obiekty i infrastrukturę związane z zarządzaniem dziedzictwem naturalnym, w szczególności obszarami chronionymi (Natura 2000 i chronione przestrzenie przyrodnicze), oraz modernizacja infrastruktury Konwencji o nielegalnym handlu dzikimi zwierzętami i roślinami gatunków zagrożonych wyginięciem (CITES), w tym utworzenie nowego ratowniczego ośrodka referencyjnego. W przypadku zakupu statków specjalnego przeznaczenia kryteria wyboru inwestycji zapewniają zgodność z wytycznymi technicznymi dotyczącymi zasady „nie czyń poważnych szkód” (2021/C58/01) poprzez wspieranie wyłącznie najlepszych dostępnych technologii o najniższym wpływie na środowisko w sektorze, z uwzględnieniem specjalnego przeznaczenia, którym służą. </w:t>
            </w:r>
          </w:p>
        </w:tc>
      </w:tr>
      <w:tr w:rsidR="006578ED" w14:paraId="19C39336" w14:textId="77777777">
        <w:trPr>
          <w:trHeight w:val="309"/>
        </w:trPr>
        <w:tc>
          <w:tcPr>
            <w:tcW w:w="851" w:type="dxa"/>
            <w:shd w:val="clear" w:color="auto" w:fill="C6EFCE"/>
            <w:noWrap/>
          </w:tcPr>
          <w:p w14:paraId="743D8313" w14:textId="77777777" w:rsidR="006578ED" w:rsidRDefault="00A1618E">
            <w:pPr>
              <w:pStyle w:val="P68B1DB1-Normal13"/>
              <w:spacing w:after="0" w:line="240" w:lineRule="auto"/>
              <w:jc w:val="center"/>
              <w:rPr>
                <w:rFonts w:eastAsia="MS Mincho" w:cs="Times New Roman"/>
                <w:noProof/>
              </w:rPr>
            </w:pPr>
            <w:r>
              <w:rPr>
                <w:noProof/>
              </w:rPr>
              <w:t>70</w:t>
            </w:r>
          </w:p>
        </w:tc>
        <w:tc>
          <w:tcPr>
            <w:tcW w:w="851" w:type="dxa"/>
            <w:shd w:val="clear" w:color="auto" w:fill="C6EFCE"/>
            <w:noWrap/>
          </w:tcPr>
          <w:p w14:paraId="5FFACCF4" w14:textId="77777777" w:rsidR="006578ED" w:rsidRDefault="00A1618E">
            <w:pPr>
              <w:pStyle w:val="P68B1DB1-Normal13"/>
              <w:spacing w:after="0" w:line="240" w:lineRule="auto"/>
              <w:jc w:val="center"/>
              <w:rPr>
                <w:rFonts w:eastAsia="MS Mincho" w:cs="Times New Roman"/>
                <w:noProof/>
              </w:rPr>
            </w:pPr>
            <w:r>
              <w:rPr>
                <w:noProof/>
              </w:rPr>
              <w:t>C4.I3</w:t>
            </w:r>
          </w:p>
        </w:tc>
        <w:tc>
          <w:tcPr>
            <w:tcW w:w="992" w:type="dxa"/>
            <w:shd w:val="clear" w:color="auto" w:fill="C6EFCE"/>
            <w:noWrap/>
          </w:tcPr>
          <w:p w14:paraId="1663E188" w14:textId="55749D33" w:rsidR="006578ED" w:rsidRDefault="00AF6B91">
            <w:pPr>
              <w:pStyle w:val="P68B1DB1-Normal13"/>
              <w:spacing w:after="0" w:line="240" w:lineRule="auto"/>
              <w:jc w:val="center"/>
              <w:rPr>
                <w:rFonts w:eastAsia="MS Mincho" w:cs="Times New Roman"/>
                <w:noProof/>
              </w:rPr>
            </w:pPr>
            <w:r>
              <w:rPr>
                <w:noProof/>
              </w:rPr>
              <w:t>Cel</w:t>
            </w:r>
          </w:p>
        </w:tc>
        <w:tc>
          <w:tcPr>
            <w:tcW w:w="2126" w:type="dxa"/>
            <w:shd w:val="clear" w:color="auto" w:fill="C6EFCE"/>
            <w:noWrap/>
          </w:tcPr>
          <w:p w14:paraId="5918C8BE" w14:textId="77777777" w:rsidR="006578ED" w:rsidRDefault="00A1618E">
            <w:pPr>
              <w:pStyle w:val="P68B1DB1-Normal13"/>
              <w:spacing w:after="0" w:line="240" w:lineRule="auto"/>
              <w:rPr>
                <w:rFonts w:eastAsia="MS Mincho" w:cs="Times New Roman"/>
                <w:noProof/>
              </w:rPr>
            </w:pPr>
            <w:r>
              <w:rPr>
                <w:noProof/>
              </w:rPr>
              <w:t>Rekultywacja byłych terenów górniczych (co najmniej 20 dawnych terenów górniczych)</w:t>
            </w:r>
          </w:p>
        </w:tc>
        <w:tc>
          <w:tcPr>
            <w:tcW w:w="1276" w:type="dxa"/>
            <w:shd w:val="clear" w:color="auto" w:fill="C6EFCE"/>
            <w:noWrap/>
          </w:tcPr>
          <w:p w14:paraId="0DE4B5B7"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6A9BF725" w14:textId="77777777" w:rsidR="006578ED" w:rsidRDefault="00A1618E">
            <w:pPr>
              <w:pStyle w:val="P68B1DB1-Normal13"/>
              <w:spacing w:after="0" w:line="240" w:lineRule="auto"/>
              <w:jc w:val="center"/>
              <w:rPr>
                <w:rFonts w:eastAsia="MS Mincho" w:cs="Times New Roman"/>
                <w:noProof/>
              </w:rPr>
            </w:pPr>
            <w:r>
              <w:rPr>
                <w:noProof/>
              </w:rPr>
              <w:t>Liczba (miejsca wydobycia)</w:t>
            </w:r>
          </w:p>
        </w:tc>
        <w:tc>
          <w:tcPr>
            <w:tcW w:w="567" w:type="dxa"/>
            <w:shd w:val="clear" w:color="auto" w:fill="C6EFCE"/>
            <w:noWrap/>
          </w:tcPr>
          <w:p w14:paraId="42EFDDCA" w14:textId="77777777"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77BB07BD" w14:textId="77777777" w:rsidR="006578ED" w:rsidRDefault="00A1618E">
            <w:pPr>
              <w:pStyle w:val="P68B1DB1-Normal13"/>
              <w:spacing w:after="0" w:line="240" w:lineRule="auto"/>
              <w:jc w:val="right"/>
              <w:rPr>
                <w:rFonts w:eastAsia="MS Mincho" w:cs="Times New Roman"/>
                <w:noProof/>
              </w:rPr>
            </w:pPr>
            <w:r>
              <w:rPr>
                <w:noProof/>
              </w:rPr>
              <w:t>20</w:t>
            </w:r>
          </w:p>
        </w:tc>
        <w:tc>
          <w:tcPr>
            <w:tcW w:w="425" w:type="dxa"/>
            <w:shd w:val="clear" w:color="auto" w:fill="C6EFCE"/>
            <w:noWrap/>
          </w:tcPr>
          <w:p w14:paraId="7D4BE697" w14:textId="35503828"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62B4D3A0" w14:textId="77777777" w:rsidR="006578ED" w:rsidRDefault="00A1618E">
            <w:pPr>
              <w:pStyle w:val="P68B1DB1-Normal13"/>
              <w:spacing w:after="0" w:line="240" w:lineRule="auto"/>
              <w:jc w:val="center"/>
              <w:rPr>
                <w:rFonts w:eastAsia="MS Mincho" w:cs="Times New Roman"/>
                <w:noProof/>
              </w:rPr>
            </w:pPr>
            <w:r>
              <w:rPr>
                <w:noProof/>
              </w:rPr>
              <w:t>2023</w:t>
            </w:r>
          </w:p>
        </w:tc>
        <w:tc>
          <w:tcPr>
            <w:tcW w:w="6096" w:type="dxa"/>
            <w:shd w:val="clear" w:color="auto" w:fill="C6EFCE"/>
            <w:noWrap/>
          </w:tcPr>
          <w:p w14:paraId="598D2537" w14:textId="21B32A4B" w:rsidR="006578ED" w:rsidRDefault="00A1618E">
            <w:pPr>
              <w:pStyle w:val="P68B1DB1-Normal13"/>
              <w:spacing w:after="0" w:line="240" w:lineRule="auto"/>
              <w:rPr>
                <w:rFonts w:eastAsia="MS Mincho" w:cs="Times New Roman"/>
                <w:noProof/>
              </w:rPr>
            </w:pPr>
            <w:r>
              <w:rPr>
                <w:noProof/>
              </w:rPr>
              <w:t>Rekultywacja co najmniej 50 % każdego terenu górniczego, ukierunkowana na co najmniej 20 byłych terenów górniczych, w tym dekontaminację gleby, odbudowę morfologii oraz odnowę roślinności i naturalizację.</w:t>
            </w:r>
          </w:p>
        </w:tc>
      </w:tr>
      <w:tr w:rsidR="006578ED" w14:paraId="16763420" w14:textId="77777777">
        <w:trPr>
          <w:trHeight w:val="309"/>
        </w:trPr>
        <w:tc>
          <w:tcPr>
            <w:tcW w:w="851" w:type="dxa"/>
            <w:shd w:val="clear" w:color="auto" w:fill="C6EFCE"/>
            <w:noWrap/>
          </w:tcPr>
          <w:p w14:paraId="2A4CBA15" w14:textId="16E7A848" w:rsidR="006578ED" w:rsidRDefault="00A1618E">
            <w:pPr>
              <w:pStyle w:val="P68B1DB1-Normal13"/>
              <w:spacing w:after="0" w:line="240" w:lineRule="auto"/>
              <w:jc w:val="center"/>
              <w:rPr>
                <w:rFonts w:eastAsia="MS Mincho" w:cs="Times New Roman"/>
                <w:noProof/>
              </w:rPr>
            </w:pPr>
            <w:r>
              <w:rPr>
                <w:noProof/>
              </w:rPr>
              <w:t>71</w:t>
            </w:r>
          </w:p>
        </w:tc>
        <w:tc>
          <w:tcPr>
            <w:tcW w:w="851" w:type="dxa"/>
            <w:shd w:val="clear" w:color="auto" w:fill="C6EFCE"/>
            <w:noWrap/>
          </w:tcPr>
          <w:p w14:paraId="31CDC745" w14:textId="77777777" w:rsidR="006578ED" w:rsidRDefault="00A1618E">
            <w:pPr>
              <w:pStyle w:val="P68B1DB1-Normal13"/>
              <w:spacing w:after="0" w:line="240" w:lineRule="auto"/>
              <w:jc w:val="center"/>
              <w:rPr>
                <w:rFonts w:eastAsia="MS Mincho" w:cs="Times New Roman"/>
                <w:noProof/>
              </w:rPr>
            </w:pPr>
            <w:r>
              <w:rPr>
                <w:noProof/>
              </w:rPr>
              <w:t>C4.I3</w:t>
            </w:r>
          </w:p>
        </w:tc>
        <w:tc>
          <w:tcPr>
            <w:tcW w:w="992" w:type="dxa"/>
            <w:shd w:val="clear" w:color="auto" w:fill="C6EFCE"/>
            <w:noWrap/>
          </w:tcPr>
          <w:p w14:paraId="49BB626F" w14:textId="033AEC8C" w:rsidR="006578ED" w:rsidRDefault="00AF6B91">
            <w:pPr>
              <w:pStyle w:val="P68B1DB1-Normal13"/>
              <w:spacing w:after="0" w:line="240" w:lineRule="auto"/>
              <w:jc w:val="center"/>
              <w:rPr>
                <w:rFonts w:eastAsia="MS Mincho" w:cs="Times New Roman"/>
                <w:noProof/>
              </w:rPr>
            </w:pPr>
            <w:r>
              <w:rPr>
                <w:noProof/>
              </w:rPr>
              <w:t>Kamień milowy</w:t>
            </w:r>
          </w:p>
        </w:tc>
        <w:tc>
          <w:tcPr>
            <w:tcW w:w="2126" w:type="dxa"/>
            <w:shd w:val="clear" w:color="auto" w:fill="C6EFCE"/>
            <w:noWrap/>
          </w:tcPr>
          <w:p w14:paraId="0C0DFDFF" w14:textId="3322203A" w:rsidR="006578ED" w:rsidRDefault="00A1618E">
            <w:pPr>
              <w:pStyle w:val="P68B1DB1-Normal13"/>
              <w:spacing w:after="0" w:line="240" w:lineRule="auto"/>
              <w:rPr>
                <w:rFonts w:eastAsia="MS Mincho" w:cs="Times New Roman"/>
                <w:noProof/>
              </w:rPr>
            </w:pPr>
            <w:r>
              <w:rPr>
                <w:noProof/>
              </w:rPr>
              <w:t xml:space="preserve">Działania w zakresie odbudowy ekosystemów </w:t>
            </w:r>
          </w:p>
        </w:tc>
        <w:tc>
          <w:tcPr>
            <w:tcW w:w="1276" w:type="dxa"/>
            <w:shd w:val="clear" w:color="auto" w:fill="C6EFCE"/>
            <w:noWrap/>
          </w:tcPr>
          <w:p w14:paraId="66204FF1" w14:textId="7B82D200" w:rsidR="006578ED" w:rsidRDefault="00A1618E">
            <w:pPr>
              <w:pStyle w:val="P68B1DB1-Normal13"/>
              <w:spacing w:after="0" w:line="240" w:lineRule="auto"/>
              <w:jc w:val="center"/>
              <w:rPr>
                <w:rFonts w:eastAsia="MS Mincho" w:cs="Times New Roman"/>
                <w:noProof/>
              </w:rPr>
            </w:pPr>
            <w:r>
              <w:rPr>
                <w:noProof/>
              </w:rPr>
              <w:t xml:space="preserve">Urzędowa certyfikacja ukończonych prac/projektów </w:t>
            </w:r>
          </w:p>
        </w:tc>
        <w:tc>
          <w:tcPr>
            <w:tcW w:w="850" w:type="dxa"/>
            <w:shd w:val="clear" w:color="auto" w:fill="C6EFCE"/>
            <w:noWrap/>
          </w:tcPr>
          <w:p w14:paraId="32002FF6" w14:textId="2C75ECCF" w:rsidR="006578ED" w:rsidRDefault="006578ED">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624370D3" w14:textId="430A96D8" w:rsidR="006578ED" w:rsidRDefault="006578ED">
            <w:pPr>
              <w:spacing w:after="0" w:line="240" w:lineRule="auto"/>
              <w:jc w:val="right"/>
              <w:rPr>
                <w:rFonts w:ascii="Times New Roman" w:eastAsia="MS Mincho" w:hAnsi="Times New Roman" w:cs="Times New Roman"/>
                <w:noProof/>
                <w:sz w:val="18"/>
              </w:rPr>
            </w:pPr>
          </w:p>
        </w:tc>
        <w:tc>
          <w:tcPr>
            <w:tcW w:w="709" w:type="dxa"/>
            <w:shd w:val="clear" w:color="auto" w:fill="C6EFCE"/>
            <w:noWrap/>
          </w:tcPr>
          <w:p w14:paraId="1129AE4B" w14:textId="0849A78D" w:rsidR="006578ED" w:rsidRDefault="006578ED">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1D69C1E3" w14:textId="1AADBA4E"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04715A28" w14:textId="29790B72" w:rsidR="006578ED" w:rsidRDefault="00A1618E">
            <w:pPr>
              <w:pStyle w:val="P68B1DB1-Normal13"/>
              <w:spacing w:after="0" w:line="240" w:lineRule="auto"/>
              <w:jc w:val="center"/>
              <w:rPr>
                <w:rFonts w:cs="Times New Roman"/>
                <w:noProof/>
              </w:rPr>
            </w:pPr>
            <w:r>
              <w:rPr>
                <w:noProof/>
              </w:rPr>
              <w:t xml:space="preserve">2025 </w:t>
            </w:r>
          </w:p>
        </w:tc>
        <w:tc>
          <w:tcPr>
            <w:tcW w:w="6096" w:type="dxa"/>
            <w:shd w:val="clear" w:color="auto" w:fill="C6EFCE"/>
            <w:noWrap/>
          </w:tcPr>
          <w:p w14:paraId="63501E8C" w14:textId="71666BE0" w:rsidR="006578ED" w:rsidRDefault="00A1618E">
            <w:pPr>
              <w:pStyle w:val="P68B1DB1-Normal13"/>
              <w:spacing w:after="0" w:line="240" w:lineRule="auto"/>
              <w:rPr>
                <w:rFonts w:eastAsia="MS Mincho" w:cs="Times New Roman"/>
                <w:noProof/>
              </w:rPr>
            </w:pPr>
            <w:r>
              <w:rPr>
                <w:noProof/>
              </w:rPr>
              <w:t xml:space="preserve">Co najmniej 30000 hektarów objętych zakończonymi działaniami na rzecz odbudowy ekosystemów na zdegradowanych terytoriach lub ekosystemach, w tym eliminacją sztucznych elementów, poprawą gleby i morfologii, odnową roślinnością i naturalizacją oraz ukończeniem projektów związanych z zieloną infrastrukturą w co najmniej 30 miastach liczących ponad 50000 mieszkańców. </w:t>
            </w:r>
          </w:p>
        </w:tc>
      </w:tr>
      <w:tr w:rsidR="006578ED" w14:paraId="68AF4929" w14:textId="77777777">
        <w:trPr>
          <w:trHeight w:val="309"/>
        </w:trPr>
        <w:tc>
          <w:tcPr>
            <w:tcW w:w="851" w:type="dxa"/>
            <w:shd w:val="clear" w:color="auto" w:fill="C6EFCE"/>
            <w:noWrap/>
          </w:tcPr>
          <w:p w14:paraId="23D9E551" w14:textId="77777777" w:rsidR="006578ED" w:rsidRDefault="00A1618E">
            <w:pPr>
              <w:pStyle w:val="P68B1DB1-Normal13"/>
              <w:spacing w:after="0" w:line="240" w:lineRule="auto"/>
              <w:jc w:val="center"/>
              <w:rPr>
                <w:rFonts w:eastAsia="MS Mincho" w:cs="Times New Roman"/>
                <w:noProof/>
              </w:rPr>
            </w:pPr>
            <w:r>
              <w:rPr>
                <w:noProof/>
              </w:rPr>
              <w:t>72</w:t>
            </w:r>
          </w:p>
        </w:tc>
        <w:tc>
          <w:tcPr>
            <w:tcW w:w="851" w:type="dxa"/>
            <w:shd w:val="clear" w:color="auto" w:fill="C6EFCE"/>
            <w:noWrap/>
          </w:tcPr>
          <w:p w14:paraId="6D366088" w14:textId="77777777" w:rsidR="006578ED" w:rsidRDefault="00A1618E">
            <w:pPr>
              <w:pStyle w:val="P68B1DB1-Normal13"/>
              <w:spacing w:after="0" w:line="240" w:lineRule="auto"/>
              <w:jc w:val="center"/>
              <w:rPr>
                <w:rFonts w:eastAsia="MS Mincho" w:cs="Times New Roman"/>
                <w:noProof/>
              </w:rPr>
            </w:pPr>
            <w:r>
              <w:rPr>
                <w:noProof/>
              </w:rPr>
              <w:t>C4.I3</w:t>
            </w:r>
          </w:p>
        </w:tc>
        <w:tc>
          <w:tcPr>
            <w:tcW w:w="992" w:type="dxa"/>
            <w:shd w:val="clear" w:color="auto" w:fill="C6EFCE"/>
            <w:noWrap/>
          </w:tcPr>
          <w:p w14:paraId="2A1DC271" w14:textId="1F3D3564" w:rsidR="006578ED" w:rsidRDefault="00AF6B91">
            <w:pPr>
              <w:pStyle w:val="P68B1DB1-Normal13"/>
              <w:spacing w:after="0" w:line="240" w:lineRule="auto"/>
              <w:jc w:val="center"/>
              <w:rPr>
                <w:rFonts w:eastAsia="MS Mincho" w:cs="Times New Roman"/>
                <w:noProof/>
              </w:rPr>
            </w:pPr>
            <w:r>
              <w:rPr>
                <w:noProof/>
              </w:rPr>
              <w:t>Cel</w:t>
            </w:r>
          </w:p>
        </w:tc>
        <w:tc>
          <w:tcPr>
            <w:tcW w:w="2126" w:type="dxa"/>
            <w:shd w:val="clear" w:color="auto" w:fill="C6EFCE"/>
            <w:noWrap/>
          </w:tcPr>
          <w:p w14:paraId="2D238FBC" w14:textId="77777777" w:rsidR="006578ED" w:rsidRDefault="00A1618E">
            <w:pPr>
              <w:pStyle w:val="P68B1DB1-Normal13"/>
              <w:spacing w:after="0" w:line="240" w:lineRule="auto"/>
              <w:rPr>
                <w:rFonts w:eastAsia="MS Mincho" w:cs="Times New Roman"/>
                <w:noProof/>
              </w:rPr>
            </w:pPr>
            <w:r>
              <w:rPr>
                <w:noProof/>
              </w:rPr>
              <w:t>Zakończenie rekultywacji byłych terenów górniczych (co najmniej 30 dawnych terenów górniczych)</w:t>
            </w:r>
          </w:p>
        </w:tc>
        <w:tc>
          <w:tcPr>
            <w:tcW w:w="1276" w:type="dxa"/>
            <w:shd w:val="clear" w:color="auto" w:fill="C6EFCE"/>
            <w:noWrap/>
          </w:tcPr>
          <w:p w14:paraId="2DBF0D7D" w14:textId="77777777" w:rsidR="006578ED" w:rsidRDefault="006578ED">
            <w:pPr>
              <w:spacing w:after="0" w:line="240" w:lineRule="auto"/>
              <w:jc w:val="center"/>
              <w:rPr>
                <w:rFonts w:ascii="Times New Roman" w:eastAsia="MS Mincho" w:hAnsi="Times New Roman" w:cs="Times New Roman"/>
                <w:noProof/>
                <w:sz w:val="18"/>
              </w:rPr>
            </w:pPr>
          </w:p>
        </w:tc>
        <w:tc>
          <w:tcPr>
            <w:tcW w:w="850" w:type="dxa"/>
            <w:shd w:val="clear" w:color="auto" w:fill="C6EFCE"/>
            <w:noWrap/>
          </w:tcPr>
          <w:p w14:paraId="520E6432" w14:textId="77777777" w:rsidR="006578ED" w:rsidRDefault="00A1618E">
            <w:pPr>
              <w:pStyle w:val="P68B1DB1-Normal13"/>
              <w:spacing w:after="0" w:line="240" w:lineRule="auto"/>
              <w:jc w:val="right"/>
              <w:rPr>
                <w:rFonts w:eastAsia="MS Mincho" w:cs="Times New Roman"/>
                <w:noProof/>
              </w:rPr>
            </w:pPr>
            <w:r>
              <w:rPr>
                <w:noProof/>
              </w:rPr>
              <w:t>Liczba (miejsca wydobycia)</w:t>
            </w:r>
          </w:p>
        </w:tc>
        <w:tc>
          <w:tcPr>
            <w:tcW w:w="567" w:type="dxa"/>
            <w:shd w:val="clear" w:color="auto" w:fill="C6EFCE"/>
            <w:noWrap/>
          </w:tcPr>
          <w:p w14:paraId="5353C90A" w14:textId="77777777" w:rsidR="006578ED" w:rsidRDefault="00A1618E">
            <w:pPr>
              <w:pStyle w:val="P68B1DB1-Normal13"/>
              <w:spacing w:after="0" w:line="240" w:lineRule="auto"/>
              <w:jc w:val="right"/>
              <w:rPr>
                <w:rFonts w:eastAsia="MS Mincho" w:cs="Times New Roman"/>
                <w:noProof/>
              </w:rPr>
            </w:pPr>
            <w:r>
              <w:rPr>
                <w:noProof/>
              </w:rPr>
              <w:t>0</w:t>
            </w:r>
          </w:p>
        </w:tc>
        <w:tc>
          <w:tcPr>
            <w:tcW w:w="709" w:type="dxa"/>
            <w:shd w:val="clear" w:color="auto" w:fill="C6EFCE"/>
            <w:noWrap/>
          </w:tcPr>
          <w:p w14:paraId="18E8C380" w14:textId="77777777" w:rsidR="006578ED" w:rsidRDefault="00A1618E">
            <w:pPr>
              <w:pStyle w:val="P68B1DB1-Normal13"/>
              <w:spacing w:after="0" w:line="240" w:lineRule="auto"/>
              <w:jc w:val="right"/>
              <w:rPr>
                <w:rFonts w:eastAsia="MS Mincho" w:cs="Times New Roman"/>
                <w:noProof/>
              </w:rPr>
            </w:pPr>
            <w:r>
              <w:rPr>
                <w:noProof/>
              </w:rPr>
              <w:t>30</w:t>
            </w:r>
          </w:p>
        </w:tc>
        <w:tc>
          <w:tcPr>
            <w:tcW w:w="425" w:type="dxa"/>
            <w:shd w:val="clear" w:color="auto" w:fill="C6EFCE"/>
            <w:noWrap/>
          </w:tcPr>
          <w:p w14:paraId="0E1FBC29" w14:textId="10D9CB8B"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771F6154" w14:textId="77777777" w:rsidR="006578ED" w:rsidRDefault="00A1618E">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7F51EC37" w14:textId="31ED2AD9" w:rsidR="006578ED" w:rsidRDefault="00A1618E">
            <w:pPr>
              <w:pStyle w:val="P68B1DB1-Normal13"/>
              <w:spacing w:after="0" w:line="240" w:lineRule="auto"/>
              <w:rPr>
                <w:rFonts w:eastAsia="MS Mincho" w:cs="Times New Roman"/>
                <w:noProof/>
              </w:rPr>
            </w:pPr>
            <w:r>
              <w:rPr>
                <w:noProof/>
              </w:rPr>
              <w:t xml:space="preserve">Rekultywowano co najmniej 30 byłych terenów górniczych, w tym odkażanie gleby, rekultywację morfologii oraz rekultywację i naturalizację dawnych terenów górniczych, które nie są już eksploatowane. </w:t>
            </w:r>
          </w:p>
        </w:tc>
      </w:tr>
      <w:tr w:rsidR="006578ED" w14:paraId="34FD8005" w14:textId="77777777">
        <w:trPr>
          <w:trHeight w:val="309"/>
        </w:trPr>
        <w:tc>
          <w:tcPr>
            <w:tcW w:w="851" w:type="dxa"/>
            <w:shd w:val="clear" w:color="auto" w:fill="C6EFCE"/>
            <w:noWrap/>
          </w:tcPr>
          <w:p w14:paraId="0375044D" w14:textId="3E0D4FB5" w:rsidR="006578ED" w:rsidRDefault="00A1618E">
            <w:pPr>
              <w:pStyle w:val="P68B1DB1-Normal13"/>
              <w:spacing w:after="0" w:line="240" w:lineRule="auto"/>
              <w:jc w:val="center"/>
              <w:rPr>
                <w:rFonts w:cs="Times New Roman"/>
                <w:noProof/>
              </w:rPr>
            </w:pPr>
            <w:r>
              <w:rPr>
                <w:noProof/>
              </w:rPr>
              <w:t>73</w:t>
            </w:r>
          </w:p>
        </w:tc>
        <w:tc>
          <w:tcPr>
            <w:tcW w:w="851" w:type="dxa"/>
            <w:shd w:val="clear" w:color="auto" w:fill="C6EFCE"/>
            <w:noWrap/>
          </w:tcPr>
          <w:p w14:paraId="3B32B977" w14:textId="50FD26F3" w:rsidR="006578ED" w:rsidRDefault="00A1618E">
            <w:pPr>
              <w:pStyle w:val="P68B1DB1-Normal13"/>
              <w:spacing w:after="0" w:line="240" w:lineRule="auto"/>
              <w:jc w:val="center"/>
              <w:rPr>
                <w:rFonts w:cs="Times New Roman"/>
                <w:noProof/>
              </w:rPr>
            </w:pPr>
            <w:r>
              <w:rPr>
                <w:noProof/>
              </w:rPr>
              <w:t>C4.I4</w:t>
            </w:r>
          </w:p>
        </w:tc>
        <w:tc>
          <w:tcPr>
            <w:tcW w:w="992" w:type="dxa"/>
            <w:shd w:val="clear" w:color="auto" w:fill="C6EFCE"/>
            <w:noWrap/>
          </w:tcPr>
          <w:p w14:paraId="2401EC9D" w14:textId="116770EA" w:rsidR="006578ED" w:rsidRDefault="00AF6B91">
            <w:pPr>
              <w:pStyle w:val="P68B1DB1-Normal13"/>
              <w:spacing w:after="0" w:line="240" w:lineRule="auto"/>
              <w:jc w:val="center"/>
              <w:rPr>
                <w:rFonts w:cs="Times New Roman"/>
                <w:noProof/>
              </w:rPr>
            </w:pPr>
            <w:r>
              <w:rPr>
                <w:noProof/>
              </w:rPr>
              <w:t>Kamień milowy</w:t>
            </w:r>
          </w:p>
        </w:tc>
        <w:tc>
          <w:tcPr>
            <w:tcW w:w="2126" w:type="dxa"/>
            <w:shd w:val="clear" w:color="auto" w:fill="C6EFCE"/>
            <w:noWrap/>
          </w:tcPr>
          <w:p w14:paraId="78DF0977" w14:textId="241900F7" w:rsidR="006578ED" w:rsidRDefault="00A1618E">
            <w:pPr>
              <w:pStyle w:val="P68B1DB1-Normal13"/>
              <w:spacing w:after="0" w:line="240" w:lineRule="auto"/>
              <w:rPr>
                <w:rFonts w:cs="Times New Roman"/>
                <w:noProof/>
              </w:rPr>
            </w:pPr>
            <w:r>
              <w:rPr>
                <w:noProof/>
              </w:rPr>
              <w:t xml:space="preserve">Działania na rzecz zrównoważonej gospodarki leśnej </w:t>
            </w:r>
          </w:p>
        </w:tc>
        <w:tc>
          <w:tcPr>
            <w:tcW w:w="1276" w:type="dxa"/>
            <w:shd w:val="clear" w:color="auto" w:fill="C6EFCE"/>
            <w:noWrap/>
          </w:tcPr>
          <w:p w14:paraId="1F7B108B" w14:textId="6E46D2C7" w:rsidR="006578ED" w:rsidRDefault="00A1618E">
            <w:pPr>
              <w:pStyle w:val="P68B1DB1-Normal13"/>
              <w:spacing w:after="0" w:line="240" w:lineRule="auto"/>
              <w:jc w:val="center"/>
              <w:rPr>
                <w:rFonts w:cs="Times New Roman"/>
                <w:noProof/>
              </w:rPr>
            </w:pPr>
            <w:r>
              <w:rPr>
                <w:noProof/>
              </w:rPr>
              <w:t>Certyfikat podpisany przez MITERD</w:t>
            </w:r>
          </w:p>
        </w:tc>
        <w:tc>
          <w:tcPr>
            <w:tcW w:w="850" w:type="dxa"/>
            <w:shd w:val="clear" w:color="auto" w:fill="C6EFCE"/>
            <w:noWrap/>
          </w:tcPr>
          <w:p w14:paraId="4F367724" w14:textId="2E110E56" w:rsidR="006578ED" w:rsidRDefault="00A1618E">
            <w:pPr>
              <w:pStyle w:val="P68B1DB1-Normal13"/>
              <w:spacing w:after="0" w:line="240" w:lineRule="auto"/>
              <w:jc w:val="right"/>
              <w:rPr>
                <w:rFonts w:cs="Times New Roman"/>
                <w:noProof/>
              </w:rPr>
            </w:pPr>
            <w:r>
              <w:rPr>
                <w:noProof/>
              </w:rPr>
              <w:t> </w:t>
            </w:r>
          </w:p>
        </w:tc>
        <w:tc>
          <w:tcPr>
            <w:tcW w:w="567" w:type="dxa"/>
            <w:shd w:val="clear" w:color="auto" w:fill="C6EFCE"/>
            <w:noWrap/>
          </w:tcPr>
          <w:p w14:paraId="77858754" w14:textId="5F5FBE66" w:rsidR="006578ED" w:rsidRDefault="00A1618E">
            <w:pPr>
              <w:pStyle w:val="P68B1DB1-Normal13"/>
              <w:spacing w:after="0" w:line="240" w:lineRule="auto"/>
              <w:jc w:val="right"/>
              <w:rPr>
                <w:rFonts w:cs="Times New Roman"/>
                <w:noProof/>
              </w:rPr>
            </w:pPr>
            <w:r>
              <w:rPr>
                <w:noProof/>
              </w:rPr>
              <w:t> </w:t>
            </w:r>
          </w:p>
        </w:tc>
        <w:tc>
          <w:tcPr>
            <w:tcW w:w="709" w:type="dxa"/>
            <w:shd w:val="clear" w:color="auto" w:fill="C6EFCE"/>
            <w:noWrap/>
          </w:tcPr>
          <w:p w14:paraId="58A586E4" w14:textId="771841FE" w:rsidR="006578ED" w:rsidRDefault="00A1618E">
            <w:pPr>
              <w:pStyle w:val="P68B1DB1-Normal13"/>
              <w:spacing w:after="0" w:line="240" w:lineRule="auto"/>
              <w:jc w:val="right"/>
              <w:rPr>
                <w:rFonts w:cs="Times New Roman"/>
                <w:noProof/>
              </w:rPr>
            </w:pPr>
            <w:r>
              <w:rPr>
                <w:noProof/>
              </w:rPr>
              <w:t> </w:t>
            </w:r>
          </w:p>
        </w:tc>
        <w:tc>
          <w:tcPr>
            <w:tcW w:w="425" w:type="dxa"/>
            <w:shd w:val="clear" w:color="auto" w:fill="C6EFCE"/>
            <w:noWrap/>
          </w:tcPr>
          <w:p w14:paraId="6134CFE3" w14:textId="6A975825"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4218295B" w14:textId="77FD4B1E" w:rsidR="006578ED" w:rsidRDefault="00A1618E">
            <w:pPr>
              <w:pStyle w:val="P68B1DB1-Normal13"/>
              <w:spacing w:after="0" w:line="240" w:lineRule="auto"/>
              <w:jc w:val="center"/>
              <w:rPr>
                <w:rFonts w:cs="Times New Roman"/>
                <w:noProof/>
              </w:rPr>
            </w:pPr>
            <w:r>
              <w:rPr>
                <w:noProof/>
              </w:rPr>
              <w:t xml:space="preserve">2023 </w:t>
            </w:r>
          </w:p>
        </w:tc>
        <w:tc>
          <w:tcPr>
            <w:tcW w:w="6096" w:type="dxa"/>
            <w:shd w:val="clear" w:color="auto" w:fill="C6EFCE"/>
            <w:noWrap/>
          </w:tcPr>
          <w:p w14:paraId="33F7657F" w14:textId="5346B1D4" w:rsidR="006578ED" w:rsidRDefault="00A1618E">
            <w:pPr>
              <w:pStyle w:val="P68B1DB1-Normal13"/>
              <w:spacing w:after="0" w:line="240" w:lineRule="auto"/>
              <w:rPr>
                <w:rFonts w:cs="Times New Roman"/>
                <w:noProof/>
              </w:rPr>
            </w:pPr>
            <w:r>
              <w:rPr>
                <w:noProof/>
              </w:rPr>
              <w:t xml:space="preserve">Odnowienie co najmniej 100 pojazdów specjalnego przeznaczenia do gaszenia pożarów. Kryteria wyboru inwestycji zapewniają zgodność z wytycznymi technicznymi dotyczącymi zasady „nie czyń poważnych szkód” (2021/C58/01) poprzez wspieranie wyłącznie najlepszych dostępnych technologii o najniższym wpływie na środowisko w sektorze, z uwzględnieniem specjalnego celu, jakim służą. </w:t>
            </w:r>
          </w:p>
        </w:tc>
      </w:tr>
      <w:tr w:rsidR="006578ED" w14:paraId="23BEFE0B" w14:textId="77777777">
        <w:trPr>
          <w:trHeight w:val="309"/>
        </w:trPr>
        <w:tc>
          <w:tcPr>
            <w:tcW w:w="851" w:type="dxa"/>
            <w:shd w:val="clear" w:color="auto" w:fill="C6EFCE"/>
            <w:noWrap/>
          </w:tcPr>
          <w:p w14:paraId="25C60E7B" w14:textId="1588200C" w:rsidR="006578ED" w:rsidRDefault="00A1618E">
            <w:pPr>
              <w:pStyle w:val="P68B1DB1-Normal13"/>
              <w:spacing w:after="0" w:line="240" w:lineRule="auto"/>
              <w:jc w:val="center"/>
              <w:rPr>
                <w:rFonts w:cs="Times New Roman"/>
                <w:noProof/>
              </w:rPr>
            </w:pPr>
            <w:r>
              <w:rPr>
                <w:noProof/>
              </w:rPr>
              <w:t>425</w:t>
            </w:r>
          </w:p>
        </w:tc>
        <w:tc>
          <w:tcPr>
            <w:tcW w:w="851" w:type="dxa"/>
            <w:shd w:val="clear" w:color="auto" w:fill="C6EFCE"/>
            <w:noWrap/>
          </w:tcPr>
          <w:p w14:paraId="3A265DED" w14:textId="14C3DB14" w:rsidR="006578ED" w:rsidRDefault="00A1618E">
            <w:pPr>
              <w:pStyle w:val="P68B1DB1-Normal13"/>
              <w:spacing w:after="0" w:line="240" w:lineRule="auto"/>
              <w:jc w:val="center"/>
              <w:rPr>
                <w:rFonts w:cs="Times New Roman"/>
                <w:noProof/>
              </w:rPr>
            </w:pPr>
            <w:r>
              <w:rPr>
                <w:noProof/>
              </w:rPr>
              <w:t>C4.I4</w:t>
            </w:r>
          </w:p>
        </w:tc>
        <w:tc>
          <w:tcPr>
            <w:tcW w:w="992" w:type="dxa"/>
            <w:shd w:val="clear" w:color="auto" w:fill="C6EFCE"/>
            <w:noWrap/>
          </w:tcPr>
          <w:p w14:paraId="6CEE0D62" w14:textId="2B80A2D9" w:rsidR="006578ED" w:rsidRDefault="00AF6B91">
            <w:pPr>
              <w:pStyle w:val="P68B1DB1-Normal13"/>
              <w:spacing w:after="0" w:line="240" w:lineRule="auto"/>
              <w:jc w:val="center"/>
              <w:rPr>
                <w:rFonts w:cs="Times New Roman"/>
                <w:noProof/>
              </w:rPr>
            </w:pPr>
            <w:r>
              <w:rPr>
                <w:noProof/>
              </w:rPr>
              <w:t>Kamień milowy</w:t>
            </w:r>
          </w:p>
        </w:tc>
        <w:tc>
          <w:tcPr>
            <w:tcW w:w="2126" w:type="dxa"/>
            <w:shd w:val="clear" w:color="auto" w:fill="C6EFCE"/>
            <w:noWrap/>
          </w:tcPr>
          <w:p w14:paraId="038462F7" w14:textId="5C85A665" w:rsidR="006578ED" w:rsidRDefault="00A1618E">
            <w:pPr>
              <w:pStyle w:val="P68B1DB1-Normal13"/>
              <w:spacing w:after="0" w:line="240" w:lineRule="auto"/>
              <w:rPr>
                <w:rFonts w:cs="Times New Roman"/>
                <w:noProof/>
              </w:rPr>
            </w:pPr>
            <w:r>
              <w:rPr>
                <w:noProof/>
              </w:rPr>
              <w:t>Działania na rzecz zrównoważonej gospodarki leśnej (część II)</w:t>
            </w:r>
          </w:p>
        </w:tc>
        <w:tc>
          <w:tcPr>
            <w:tcW w:w="1276" w:type="dxa"/>
            <w:shd w:val="clear" w:color="auto" w:fill="C6EFCE"/>
            <w:noWrap/>
          </w:tcPr>
          <w:p w14:paraId="08D542AC" w14:textId="44C55E2E" w:rsidR="006578ED" w:rsidRDefault="00A1618E">
            <w:pPr>
              <w:pStyle w:val="P68B1DB1-Normal13"/>
              <w:spacing w:after="0" w:line="240" w:lineRule="auto"/>
              <w:jc w:val="center"/>
              <w:rPr>
                <w:rFonts w:cs="Times New Roman"/>
                <w:noProof/>
              </w:rPr>
            </w:pPr>
            <w:r>
              <w:rPr>
                <w:noProof/>
              </w:rPr>
              <w:t>Certyfikat podpisany przez MITERD</w:t>
            </w:r>
          </w:p>
        </w:tc>
        <w:tc>
          <w:tcPr>
            <w:tcW w:w="850" w:type="dxa"/>
            <w:shd w:val="clear" w:color="auto" w:fill="C6EFCE"/>
            <w:noWrap/>
          </w:tcPr>
          <w:p w14:paraId="786B8903" w14:textId="77777777" w:rsidR="006578ED" w:rsidRDefault="006578ED">
            <w:pPr>
              <w:spacing w:after="0" w:line="240" w:lineRule="auto"/>
              <w:jc w:val="right"/>
              <w:rPr>
                <w:rFonts w:ascii="Times New Roman" w:hAnsi="Times New Roman" w:cs="Times New Roman"/>
                <w:noProof/>
                <w:sz w:val="18"/>
              </w:rPr>
            </w:pPr>
          </w:p>
        </w:tc>
        <w:tc>
          <w:tcPr>
            <w:tcW w:w="567" w:type="dxa"/>
            <w:shd w:val="clear" w:color="auto" w:fill="C6EFCE"/>
            <w:noWrap/>
          </w:tcPr>
          <w:p w14:paraId="507431B3"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14A37260"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5D679840" w14:textId="444AB9E4"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6A48C51C" w14:textId="435E4784" w:rsidR="006578ED" w:rsidRDefault="00A1618E">
            <w:pPr>
              <w:pStyle w:val="P68B1DB1-Normal13"/>
              <w:spacing w:after="0" w:line="240" w:lineRule="auto"/>
              <w:jc w:val="center"/>
              <w:rPr>
                <w:rFonts w:cs="Times New Roman"/>
                <w:noProof/>
              </w:rPr>
            </w:pPr>
            <w:r>
              <w:rPr>
                <w:noProof/>
              </w:rPr>
              <w:t>2026</w:t>
            </w:r>
          </w:p>
        </w:tc>
        <w:tc>
          <w:tcPr>
            <w:tcW w:w="6096" w:type="dxa"/>
            <w:shd w:val="clear" w:color="auto" w:fill="C6EFCE"/>
            <w:noWrap/>
          </w:tcPr>
          <w:p w14:paraId="04BEB8AA" w14:textId="74F2A5E8" w:rsidR="006578ED" w:rsidRDefault="00A1618E">
            <w:pPr>
              <w:pStyle w:val="P68B1DB1-Normal13"/>
              <w:spacing w:after="0" w:line="240" w:lineRule="auto"/>
              <w:rPr>
                <w:rFonts w:cs="Times New Roman"/>
                <w:noProof/>
              </w:rPr>
            </w:pPr>
            <w:r>
              <w:rPr>
                <w:noProof/>
              </w:rPr>
              <w:t>Zakończenie działań w zakresie zrównoważonej gospodarki leśnej, w tym renowacja baz straży pożarnej i zakończenie działań na rzecz poprawy stanu lasów, w tym planowania praktyk w zakresie adaptacyjnej zrównoważonej gospodarki leśnej i wzbogacania gatunków oraz co najmniej 70 projektów wspierających zieloną przedsiębiorczość i lokalną biogospodarkę, zgodnie z opisem środka. Kryteria wyboru inwestycji zapewniają zgodność z wytycznymi technicznymi dotyczącymi zasady „nie czyń poważnych szkód” (2021/C58/01) poprzez wspieranie wyłącznie najlepszych dostępnych technologii o najniższym wpływie na środowisko w sektorze, z uwzględnieniem specjalnego celu, jakim służą.</w:t>
            </w:r>
          </w:p>
        </w:tc>
      </w:tr>
    </w:tbl>
    <w:p w14:paraId="6B62F1B3" w14:textId="77777777" w:rsidR="006578ED" w:rsidRDefault="006578ED">
      <w:pPr>
        <w:spacing w:before="120" w:after="120" w:line="240" w:lineRule="auto"/>
        <w:jc w:val="both"/>
        <w:rPr>
          <w:rFonts w:ascii="Times New Roman" w:hAnsi="Times New Roman" w:cs="Times New Roman"/>
          <w:noProof/>
          <w:sz w:val="24"/>
        </w:rPr>
      </w:pPr>
    </w:p>
    <w:p w14:paraId="1CCA4F00" w14:textId="2C9CB4D8" w:rsidR="006578ED" w:rsidRDefault="006578ED">
      <w:pPr>
        <w:keepNext/>
        <w:spacing w:before="120" w:after="120" w:line="240" w:lineRule="auto"/>
        <w:ind w:left="720"/>
        <w:jc w:val="both"/>
        <w:rPr>
          <w:rFonts w:ascii="Times New Roman" w:hAnsi="Times New Roman" w:cs="Times New Roman"/>
          <w:b/>
          <w:noProof/>
          <w:sz w:val="24"/>
          <w:u w:val="single"/>
        </w:rPr>
        <w:sectPr w:rsidR="006578ED" w:rsidSect="00522183">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417" w:right="1134" w:bottom="1417" w:left="1134" w:header="709" w:footer="709" w:gutter="0"/>
          <w:cols w:space="720"/>
          <w:docGrid w:linePitch="360"/>
        </w:sectPr>
      </w:pPr>
    </w:p>
    <w:p w14:paraId="5254717D" w14:textId="7EB080A6" w:rsidR="006578ED" w:rsidRDefault="00A1618E">
      <w:pPr>
        <w:pStyle w:val="P68B1DB1-Normal5"/>
        <w:keepNext/>
        <w:spacing w:before="120" w:after="120" w:line="240" w:lineRule="auto"/>
        <w:ind w:left="720"/>
        <w:jc w:val="both"/>
        <w:rPr>
          <w:rFonts w:cs="Times New Roman"/>
          <w:noProof/>
        </w:rPr>
      </w:pPr>
      <w:r>
        <w:rPr>
          <w:noProof/>
        </w:rPr>
        <w:t xml:space="preserve">D.3. </w:t>
      </w:r>
      <w:r>
        <w:rPr>
          <w:noProof/>
        </w:rPr>
        <w:tab/>
        <w:t>Opis inwestycji w celu wsparcia w formie pożyczki</w:t>
      </w:r>
    </w:p>
    <w:p w14:paraId="3E0AEBC0" w14:textId="37122D8A" w:rsidR="006578ED" w:rsidRDefault="00A1618E">
      <w:pPr>
        <w:pStyle w:val="P68B1DB1-Normal6"/>
        <w:spacing w:before="120" w:after="120" w:line="240" w:lineRule="auto"/>
        <w:jc w:val="both"/>
        <w:rPr>
          <w:rFonts w:cs="Times New Roman"/>
          <w:noProof/>
        </w:rPr>
      </w:pPr>
      <w:r>
        <w:rPr>
          <w:noProof/>
        </w:rPr>
        <w:t>Reforma 4 (C4.R4) – Krajowa strategia zwalczania pustynnienia</w:t>
      </w:r>
    </w:p>
    <w:p w14:paraId="5728AEA5" w14:textId="769A09B1" w:rsidR="006578ED" w:rsidRDefault="00A1618E">
      <w:pPr>
        <w:pStyle w:val="P68B1DB1-Normal4"/>
        <w:spacing w:before="120" w:after="120" w:line="240" w:lineRule="auto"/>
        <w:jc w:val="both"/>
        <w:rPr>
          <w:rFonts w:cs="Times New Roman"/>
          <w:noProof/>
        </w:rPr>
      </w:pPr>
      <w:r>
        <w:rPr>
          <w:noProof/>
        </w:rPr>
        <w:t>Reforma ta zaktualizuje krajową strategię zwalczania pustynnienia, zastępując krajowy plan działania na rzecz zwalczania pustynnienia opublikowany w 20</w:t>
      </w:r>
      <w:r w:rsidRPr="00A1618E">
        <w:rPr>
          <w:noProof/>
          <w:lang w:val="pl-PL"/>
        </w:rPr>
        <w:t>08 r.</w:t>
      </w:r>
      <w:r>
        <w:rPr>
          <w:noProof/>
        </w:rPr>
        <w:t>, tworząc nowe ramy strategiczne dla walki z pustynnieniem na terytorium Hiszpanii. Reforma ta ma przyczynić się do ochrony, zachowania i poprawy kapitału naturalnego, ukierunkowanej na obszary suche, półsuche i suche podwilgociowe, a także zminimalizować degradację gleby.</w:t>
      </w:r>
    </w:p>
    <w:p w14:paraId="4EC0D026" w14:textId="77777777" w:rsidR="006578ED" w:rsidRDefault="00A1618E">
      <w:pPr>
        <w:pStyle w:val="P68B1DB1-Normal4"/>
        <w:spacing w:before="120" w:after="120" w:line="240" w:lineRule="auto"/>
        <w:jc w:val="both"/>
        <w:rPr>
          <w:rFonts w:cs="Times New Roman"/>
          <w:noProof/>
        </w:rPr>
      </w:pPr>
      <w:r>
        <w:rPr>
          <w:noProof/>
        </w:rPr>
        <w:t xml:space="preserve">Strategia opiera się na trzech filarach: </w:t>
      </w:r>
    </w:p>
    <w:p w14:paraId="55FE2456" w14:textId="0A13EBCD" w:rsidR="006578ED" w:rsidRDefault="00A1618E">
      <w:pPr>
        <w:pStyle w:val="P68B1DB1-ListParagraph7"/>
        <w:numPr>
          <w:ilvl w:val="0"/>
          <w:numId w:val="41"/>
        </w:numPr>
        <w:spacing w:before="120" w:after="120" w:line="240" w:lineRule="auto"/>
        <w:jc w:val="both"/>
        <w:rPr>
          <w:rFonts w:cs="Times New Roman"/>
          <w:noProof/>
        </w:rPr>
      </w:pPr>
      <w:r>
        <w:rPr>
          <w:noProof/>
        </w:rPr>
        <w:t xml:space="preserve">Działania mające na celu zapobieganie pustynnieniu i ograniczanie go oraz odtwarzanie zdegradowanych obszarów. </w:t>
      </w:r>
    </w:p>
    <w:p w14:paraId="11C4CB9D" w14:textId="4731E3CE" w:rsidR="006578ED" w:rsidRDefault="00A1618E">
      <w:pPr>
        <w:pStyle w:val="P68B1DB1-ListParagraph7"/>
        <w:numPr>
          <w:ilvl w:val="0"/>
          <w:numId w:val="41"/>
        </w:numPr>
        <w:spacing w:before="120" w:after="120" w:line="240" w:lineRule="auto"/>
        <w:jc w:val="both"/>
        <w:rPr>
          <w:rFonts w:cs="Times New Roman"/>
          <w:noProof/>
        </w:rPr>
      </w:pPr>
      <w:r>
        <w:rPr>
          <w:noProof/>
        </w:rPr>
        <w:t xml:space="preserve">Budowanie zdolności i zarządzanie. </w:t>
      </w:r>
    </w:p>
    <w:p w14:paraId="45C40DBE" w14:textId="387CED12" w:rsidR="006578ED" w:rsidRDefault="00A1618E">
      <w:pPr>
        <w:pStyle w:val="P68B1DB1-ListParagraph7"/>
        <w:numPr>
          <w:ilvl w:val="0"/>
          <w:numId w:val="41"/>
        </w:numPr>
        <w:spacing w:before="120" w:after="120" w:line="240" w:lineRule="auto"/>
        <w:jc w:val="both"/>
        <w:rPr>
          <w:rFonts w:cs="Times New Roman"/>
          <w:noProof/>
        </w:rPr>
      </w:pPr>
      <w:r>
        <w:rPr>
          <w:noProof/>
        </w:rPr>
        <w:t xml:space="preserve">Wiedza i społeczeństwo: działania mające na celu poprawę wiedzy, przejrzystości i udziału społeczeństwa obywatelskiego. </w:t>
      </w:r>
    </w:p>
    <w:p w14:paraId="0D500559" w14:textId="0C3197BA" w:rsidR="006578ED" w:rsidRDefault="00A1618E">
      <w:pPr>
        <w:pStyle w:val="P68B1DB1-Normal4"/>
        <w:spacing w:before="120" w:after="120" w:line="240" w:lineRule="auto"/>
        <w:jc w:val="both"/>
        <w:rPr>
          <w:rFonts w:cs="Times New Roman"/>
          <w:noProof/>
        </w:rPr>
      </w:pPr>
      <w:r>
        <w:rPr>
          <w:noProof/>
        </w:rPr>
        <w:t xml:space="preserve">Reforma ta obejmuje powiązany plan działania na lata 2022–2026. Niniejszy plan działania przyczynia się do opracowania strategii, określa priorytety oraz określa treść i harmonogram ich realizacji. </w:t>
      </w:r>
    </w:p>
    <w:p w14:paraId="51E9DA35" w14:textId="5C31B1BD" w:rsidR="006578ED" w:rsidRDefault="00A1618E">
      <w:pPr>
        <w:pStyle w:val="P68B1DB1-Normal4"/>
        <w:spacing w:before="120" w:after="120" w:line="240" w:lineRule="auto"/>
        <w:jc w:val="both"/>
        <w:rPr>
          <w:rFonts w:cs="Times New Roman"/>
          <w:noProof/>
        </w:rPr>
      </w:pPr>
      <w:r>
        <w:rPr>
          <w:noProof/>
        </w:rPr>
        <w:t xml:space="preserve">Strategia wspiera również koordynację i współpracę między właściwymi podmiotami zajmującymi się kwestiami pustynnienia oraz tworzy następujące organy kolegialne: </w:t>
      </w:r>
    </w:p>
    <w:p w14:paraId="136509E9" w14:textId="07BBF395" w:rsidR="006578ED" w:rsidRDefault="00A1618E">
      <w:pPr>
        <w:pStyle w:val="P68B1DB1-ListParagraph7"/>
        <w:numPr>
          <w:ilvl w:val="0"/>
          <w:numId w:val="39"/>
        </w:numPr>
        <w:spacing w:before="120" w:after="120" w:line="240" w:lineRule="auto"/>
        <w:jc w:val="both"/>
        <w:rPr>
          <w:rFonts w:cs="Times New Roman"/>
          <w:noProof/>
        </w:rPr>
      </w:pPr>
      <w:r>
        <w:rPr>
          <w:noProof/>
        </w:rPr>
        <w:t xml:space="preserve">Krajowy komitet ds. zwalczania pustynnienia, przy Krajowej Komisji ds. Dziedzictwa Przyrodniczego i Różnorodności Biologicznej. Celem Komitetu jest działanie jako organ doradczy i wspieranie współpracy między administracją krajową a administracjami wspólnot autonomicznych; </w:t>
      </w:r>
    </w:p>
    <w:p w14:paraId="2639DD47" w14:textId="693D82A1" w:rsidR="006578ED" w:rsidRDefault="00A1618E">
      <w:pPr>
        <w:pStyle w:val="P68B1DB1-ListParagraph7"/>
        <w:numPr>
          <w:ilvl w:val="0"/>
          <w:numId w:val="39"/>
        </w:numPr>
        <w:spacing w:before="120" w:after="120" w:line="240" w:lineRule="auto"/>
        <w:jc w:val="both"/>
        <w:rPr>
          <w:rFonts w:cs="Times New Roman"/>
          <w:noProof/>
        </w:rPr>
      </w:pPr>
      <w:r>
        <w:rPr>
          <w:noProof/>
        </w:rPr>
        <w:t>Krajowa Rada ds. Walki z pustynnieniem. Organ ten działa jako organ doradczy udzielający wsparcia administracji krajowej oraz przyczyniający się do koordynacji działań naukowych i społeczeństwa obywatelskiego; oraz</w:t>
      </w:r>
    </w:p>
    <w:p w14:paraId="14EAB806" w14:textId="73DB6C19" w:rsidR="006578ED" w:rsidRDefault="00A1618E">
      <w:pPr>
        <w:pStyle w:val="P68B1DB1-ListParagraph7"/>
        <w:numPr>
          <w:ilvl w:val="0"/>
          <w:numId w:val="39"/>
        </w:numPr>
        <w:spacing w:before="120" w:after="120" w:line="240" w:lineRule="auto"/>
        <w:jc w:val="both"/>
        <w:rPr>
          <w:rFonts w:cs="Times New Roman"/>
          <w:noProof/>
        </w:rPr>
      </w:pPr>
      <w:r>
        <w:rPr>
          <w:noProof/>
        </w:rPr>
        <w:t xml:space="preserve">Jednostka techniczna zajmująca się zwalczaniem pustynnienia w ramach Dyrekcji Generalnej ds. Różnorodności Biologicznej, Leśnictwa i pustynnienia w Ministerstwie Transformacji Ekologicznej i Wyzwania Demograficznego. Jednostka ta odpowiada za opracowywanie, wdrażanie i koordynację środków i działań dotyczących pustynnienia na terytorium Hiszpanii. </w:t>
      </w:r>
    </w:p>
    <w:p w14:paraId="1727D508" w14:textId="276D5E9C" w:rsidR="006578ED" w:rsidRDefault="00A1618E">
      <w:pPr>
        <w:pStyle w:val="P68B1DB1-Normal4"/>
        <w:spacing w:before="120" w:after="120" w:line="240" w:lineRule="auto"/>
        <w:jc w:val="both"/>
        <w:rPr>
          <w:rFonts w:cs="Times New Roman"/>
          <w:noProof/>
        </w:rPr>
      </w:pPr>
      <w:r>
        <w:rPr>
          <w:noProof/>
        </w:rPr>
        <w:t>Wdrożenie środka musi zostać zakończone do dnia 31 grudnia 20</w:t>
      </w:r>
      <w:r w:rsidRPr="00A1618E">
        <w:rPr>
          <w:noProof/>
          <w:lang w:val="pl-PL"/>
        </w:rPr>
        <w:t>24 r.</w:t>
      </w:r>
    </w:p>
    <w:p w14:paraId="01C9430F" w14:textId="77777777" w:rsidR="006578ED" w:rsidRDefault="006578ED">
      <w:pPr>
        <w:spacing w:before="120" w:after="120" w:line="240" w:lineRule="auto"/>
        <w:jc w:val="both"/>
        <w:rPr>
          <w:rFonts w:ascii="Times New Roman" w:hAnsi="Times New Roman" w:cs="Times New Roman"/>
          <w:noProof/>
          <w:sz w:val="24"/>
        </w:rPr>
      </w:pPr>
    </w:p>
    <w:p w14:paraId="2CBFC02A" w14:textId="3C9A2CC2" w:rsidR="006578ED" w:rsidRDefault="00A1618E">
      <w:pPr>
        <w:pStyle w:val="P68B1DB1-Normal5"/>
        <w:spacing w:before="120" w:after="120" w:line="240" w:lineRule="auto"/>
        <w:ind w:left="709"/>
        <w:jc w:val="both"/>
        <w:rPr>
          <w:rFonts w:cs="Times New Roman"/>
          <w:noProof/>
        </w:rPr>
      </w:pPr>
      <w:r>
        <w:rPr>
          <w:noProof/>
        </w:rPr>
        <w:t xml:space="preserve">D.4. </w:t>
      </w:r>
      <w:r>
        <w:rPr>
          <w:noProof/>
        </w:rPr>
        <w:tab/>
        <w:t xml:space="preserve">Cele pośrednie, wartości docelowe, wskaźniki oraz harmonogram monitorowania i wdrażania wsparcia w formie pożyczek </w:t>
      </w:r>
    </w:p>
    <w:p w14:paraId="533BCFD1" w14:textId="76C7C805"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510ED064" w14:textId="2F536112" w:rsidR="006578ED" w:rsidRDefault="006578ED">
      <w:pPr>
        <w:spacing w:before="120" w:after="120" w:line="240" w:lineRule="auto"/>
        <w:jc w:val="both"/>
        <w:rPr>
          <w:rFonts w:ascii="Times New Roman" w:hAnsi="Times New Roman" w:cs="Times New Roman"/>
          <w:b/>
          <w:noProof/>
          <w:sz w:val="24"/>
          <w:u w:val="single"/>
        </w:rPr>
      </w:pPr>
    </w:p>
    <w:p w14:paraId="42BFB184" w14:textId="16096736" w:rsidR="006578ED" w:rsidRDefault="006578ED">
      <w:pPr>
        <w:spacing w:before="120" w:after="120" w:line="240" w:lineRule="auto"/>
        <w:jc w:val="both"/>
        <w:rPr>
          <w:rFonts w:ascii="Times New Roman" w:hAnsi="Times New Roman" w:cs="Times New Roman"/>
          <w:noProof/>
          <w:sz w:val="24"/>
        </w:rPr>
        <w:sectPr w:rsidR="006578ED" w:rsidSect="00522183">
          <w:headerReference w:type="even" r:id="rId114"/>
          <w:headerReference w:type="default" r:id="rId115"/>
          <w:footerReference w:type="even" r:id="rId116"/>
          <w:footerReference w:type="default" r:id="rId117"/>
          <w:headerReference w:type="first" r:id="rId118"/>
          <w:footerReference w:type="first" r:id="rId119"/>
          <w:pgSz w:w="11907" w:h="16839"/>
          <w:pgMar w:top="1134" w:right="1417" w:bottom="1134" w:left="1417" w:header="709" w:footer="709" w:gutter="0"/>
          <w:cols w:space="720"/>
          <w:docGrid w:linePitch="360"/>
        </w:sectPr>
      </w:pPr>
    </w:p>
    <w:p w14:paraId="2F4418AF" w14:textId="77777777" w:rsidR="006578ED" w:rsidRDefault="006578ED">
      <w:pPr>
        <w:spacing w:before="120" w:after="120" w:line="240" w:lineRule="auto"/>
        <w:jc w:val="both"/>
        <w:rPr>
          <w:rFonts w:ascii="Times New Roman" w:hAnsi="Times New Roman" w:cs="Times New Roman"/>
          <w:noProof/>
          <w:sz w:val="24"/>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6578ED" w14:paraId="0982F655" w14:textId="77777777">
        <w:trPr>
          <w:trHeight w:val="309"/>
          <w:tblHeader/>
        </w:trPr>
        <w:tc>
          <w:tcPr>
            <w:tcW w:w="709" w:type="dxa"/>
            <w:tcBorders>
              <w:bottom w:val="nil"/>
            </w:tcBorders>
            <w:shd w:val="clear" w:color="auto" w:fill="C6D9F1" w:themeFill="text2" w:themeFillTint="33"/>
            <w:noWrap/>
            <w:vAlign w:val="center"/>
          </w:tcPr>
          <w:p w14:paraId="434CDFC2"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7730F4B5"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2C28BECA" w14:textId="37F3C8D2"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835" w:type="dxa"/>
            <w:tcBorders>
              <w:bottom w:val="nil"/>
            </w:tcBorders>
            <w:shd w:val="clear" w:color="auto" w:fill="C6D9F1" w:themeFill="text2" w:themeFillTint="33"/>
            <w:noWrap/>
            <w:vAlign w:val="center"/>
          </w:tcPr>
          <w:p w14:paraId="322C08C0" w14:textId="77777777" w:rsidR="006578ED" w:rsidRDefault="00A1618E">
            <w:pPr>
              <w:pStyle w:val="P68B1DB1-Normal12"/>
              <w:spacing w:after="0" w:line="240" w:lineRule="auto"/>
              <w:jc w:val="center"/>
              <w:rPr>
                <w:rFonts w:cs="Times New Roman"/>
                <w:noProof/>
              </w:rPr>
            </w:pPr>
            <w:r>
              <w:rPr>
                <w:noProof/>
              </w:rPr>
              <w:t>Nazwa</w:t>
            </w:r>
          </w:p>
        </w:tc>
        <w:tc>
          <w:tcPr>
            <w:tcW w:w="993" w:type="dxa"/>
            <w:tcBorders>
              <w:bottom w:val="nil"/>
            </w:tcBorders>
            <w:shd w:val="clear" w:color="auto" w:fill="C6D9F1" w:themeFill="text2" w:themeFillTint="33"/>
            <w:noWrap/>
            <w:vAlign w:val="center"/>
          </w:tcPr>
          <w:p w14:paraId="5E587E85"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84" w:type="dxa"/>
            <w:gridSpan w:val="3"/>
            <w:shd w:val="clear" w:color="auto" w:fill="C6D9F1" w:themeFill="text2" w:themeFillTint="33"/>
            <w:noWrap/>
            <w:vAlign w:val="center"/>
          </w:tcPr>
          <w:p w14:paraId="03FAAD2E"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42D270AA" w14:textId="77777777" w:rsidR="006578ED" w:rsidRDefault="00A1618E">
            <w:pPr>
              <w:pStyle w:val="P68B1DB1-Normal12"/>
              <w:spacing w:after="0" w:line="240" w:lineRule="auto"/>
              <w:jc w:val="center"/>
              <w:rPr>
                <w:rFonts w:cs="Times New Roman"/>
                <w:noProof/>
              </w:rPr>
            </w:pPr>
            <w:r>
              <w:rPr>
                <w:noProof/>
              </w:rPr>
              <w:t>Czas</w:t>
            </w:r>
          </w:p>
        </w:tc>
        <w:tc>
          <w:tcPr>
            <w:tcW w:w="6096" w:type="dxa"/>
            <w:tcBorders>
              <w:bottom w:val="nil"/>
            </w:tcBorders>
            <w:shd w:val="clear" w:color="auto" w:fill="C6D9F1" w:themeFill="text2" w:themeFillTint="33"/>
            <w:noWrap/>
            <w:vAlign w:val="center"/>
          </w:tcPr>
          <w:p w14:paraId="1E38F104" w14:textId="4534A0F0"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22567CB0" w14:textId="77777777">
        <w:trPr>
          <w:trHeight w:val="309"/>
          <w:tblHeader/>
        </w:trPr>
        <w:tc>
          <w:tcPr>
            <w:tcW w:w="709" w:type="dxa"/>
            <w:tcBorders>
              <w:top w:val="nil"/>
            </w:tcBorders>
            <w:shd w:val="clear" w:color="auto" w:fill="C6D9F1" w:themeFill="text2" w:themeFillTint="33"/>
            <w:noWrap/>
          </w:tcPr>
          <w:p w14:paraId="0030C01F"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947234D"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9222A19" w14:textId="77777777" w:rsidR="006578ED" w:rsidRDefault="006578ED">
            <w:pPr>
              <w:spacing w:after="0" w:line="240" w:lineRule="auto"/>
              <w:jc w:val="center"/>
              <w:rPr>
                <w:rFonts w:ascii="Times New Roman" w:hAnsi="Times New Roman" w:cs="Times New Roman"/>
                <w:b/>
                <w:noProof/>
                <w:sz w:val="18"/>
              </w:rPr>
            </w:pPr>
          </w:p>
        </w:tc>
        <w:tc>
          <w:tcPr>
            <w:tcW w:w="2835" w:type="dxa"/>
            <w:tcBorders>
              <w:top w:val="nil"/>
            </w:tcBorders>
            <w:shd w:val="clear" w:color="auto" w:fill="C6D9F1" w:themeFill="text2" w:themeFillTint="33"/>
            <w:noWrap/>
          </w:tcPr>
          <w:p w14:paraId="5EB5E33D" w14:textId="77777777" w:rsidR="006578ED" w:rsidRDefault="006578ED">
            <w:pPr>
              <w:spacing w:after="0" w:line="240" w:lineRule="auto"/>
              <w:rPr>
                <w:rFonts w:ascii="Times New Roman" w:hAnsi="Times New Roman" w:cs="Times New Roman"/>
                <w:b/>
                <w:noProof/>
                <w:sz w:val="18"/>
              </w:rPr>
            </w:pPr>
          </w:p>
        </w:tc>
        <w:tc>
          <w:tcPr>
            <w:tcW w:w="993" w:type="dxa"/>
            <w:tcBorders>
              <w:top w:val="nil"/>
            </w:tcBorders>
            <w:shd w:val="clear" w:color="auto" w:fill="C6D9F1" w:themeFill="text2" w:themeFillTint="33"/>
            <w:noWrap/>
          </w:tcPr>
          <w:p w14:paraId="02DB730E"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37D99609" w14:textId="77777777" w:rsidR="006578ED" w:rsidRDefault="00A1618E">
            <w:pPr>
              <w:pStyle w:val="P68B1DB1-Normal12"/>
              <w:spacing w:after="0" w:line="240" w:lineRule="auto"/>
              <w:jc w:val="center"/>
              <w:rPr>
                <w:rFonts w:cs="Times New Roman"/>
                <w:noProof/>
              </w:rPr>
            </w:pPr>
            <w:r>
              <w:rPr>
                <w:noProof/>
              </w:rPr>
              <w:t>Jednostka</w:t>
            </w:r>
          </w:p>
        </w:tc>
        <w:tc>
          <w:tcPr>
            <w:tcW w:w="425" w:type="dxa"/>
            <w:shd w:val="clear" w:color="auto" w:fill="C6D9F1" w:themeFill="text2" w:themeFillTint="33"/>
            <w:noWrap/>
            <w:vAlign w:val="center"/>
          </w:tcPr>
          <w:p w14:paraId="315DA8B8" w14:textId="77777777" w:rsidR="006578ED" w:rsidRDefault="00A1618E">
            <w:pPr>
              <w:pStyle w:val="P68B1DB1-Normal12"/>
              <w:spacing w:after="0" w:line="240" w:lineRule="auto"/>
              <w:jc w:val="center"/>
              <w:rPr>
                <w:rFonts w:cs="Times New Roman"/>
                <w:noProof/>
              </w:rPr>
            </w:pPr>
            <w:r>
              <w:rPr>
                <w:noProof/>
              </w:rPr>
              <w:t>Wartość wyjściowa</w:t>
            </w:r>
          </w:p>
        </w:tc>
        <w:tc>
          <w:tcPr>
            <w:tcW w:w="709" w:type="dxa"/>
            <w:shd w:val="clear" w:color="auto" w:fill="C6D9F1" w:themeFill="text2" w:themeFillTint="33"/>
            <w:noWrap/>
            <w:vAlign w:val="center"/>
          </w:tcPr>
          <w:p w14:paraId="711E7654"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vAlign w:val="center"/>
          </w:tcPr>
          <w:p w14:paraId="38AE6C67"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168176E0" w14:textId="77777777" w:rsidR="006578ED" w:rsidRDefault="00A1618E">
            <w:pPr>
              <w:pStyle w:val="P68B1DB1-Normal12"/>
              <w:spacing w:after="0" w:line="240" w:lineRule="auto"/>
              <w:jc w:val="center"/>
              <w:rPr>
                <w:rFonts w:cs="Times New Roman"/>
                <w:noProof/>
              </w:rPr>
            </w:pPr>
            <w:r>
              <w:rPr>
                <w:noProof/>
              </w:rPr>
              <w:t>Rok</w:t>
            </w:r>
          </w:p>
        </w:tc>
        <w:tc>
          <w:tcPr>
            <w:tcW w:w="6096" w:type="dxa"/>
            <w:tcBorders>
              <w:top w:val="nil"/>
            </w:tcBorders>
            <w:shd w:val="clear" w:color="auto" w:fill="C6D9F1" w:themeFill="text2" w:themeFillTint="33"/>
            <w:noWrap/>
          </w:tcPr>
          <w:p w14:paraId="7FBA1F7A" w14:textId="77777777" w:rsidR="006578ED" w:rsidRDefault="006578ED">
            <w:pPr>
              <w:spacing w:after="0" w:line="240" w:lineRule="auto"/>
              <w:rPr>
                <w:rFonts w:ascii="Times New Roman" w:hAnsi="Times New Roman" w:cs="Times New Roman"/>
                <w:b/>
                <w:noProof/>
                <w:sz w:val="18"/>
              </w:rPr>
            </w:pPr>
          </w:p>
        </w:tc>
      </w:tr>
      <w:tr w:rsidR="006578ED" w14:paraId="0CF12790" w14:textId="77777777">
        <w:trPr>
          <w:trHeight w:val="309"/>
        </w:trPr>
        <w:tc>
          <w:tcPr>
            <w:tcW w:w="709" w:type="dxa"/>
            <w:shd w:val="clear" w:color="auto" w:fill="C6EFCE"/>
            <w:noWrap/>
          </w:tcPr>
          <w:p w14:paraId="57980422" w14:textId="4C50EFCC" w:rsidR="006578ED" w:rsidRDefault="00A1618E">
            <w:pPr>
              <w:pStyle w:val="P68B1DB1-Normal13"/>
              <w:spacing w:after="0" w:line="240" w:lineRule="auto"/>
              <w:jc w:val="center"/>
              <w:rPr>
                <w:rFonts w:eastAsia="MS Mincho" w:cs="Times New Roman"/>
                <w:noProof/>
              </w:rPr>
            </w:pPr>
            <w:r>
              <w:rPr>
                <w:noProof/>
              </w:rPr>
              <w:t>L12</w:t>
            </w:r>
          </w:p>
          <w:p w14:paraId="6AFA3F08" w14:textId="73A98BC6" w:rsidR="006578ED" w:rsidRDefault="006578ED">
            <w:pPr>
              <w:spacing w:after="0" w:line="240" w:lineRule="auto"/>
              <w:jc w:val="center"/>
              <w:rPr>
                <w:rFonts w:ascii="Times New Roman" w:eastAsia="MS Mincho" w:hAnsi="Times New Roman" w:cs="Times New Roman"/>
                <w:noProof/>
                <w:sz w:val="18"/>
              </w:rPr>
            </w:pPr>
          </w:p>
        </w:tc>
        <w:tc>
          <w:tcPr>
            <w:tcW w:w="851" w:type="dxa"/>
            <w:shd w:val="clear" w:color="auto" w:fill="C6EFCE"/>
            <w:noWrap/>
          </w:tcPr>
          <w:p w14:paraId="1D51009B" w14:textId="7DFE2321" w:rsidR="006578ED" w:rsidRDefault="00A1618E">
            <w:pPr>
              <w:pStyle w:val="P68B1DB1-Normal13"/>
              <w:spacing w:after="0" w:line="240" w:lineRule="auto"/>
              <w:jc w:val="center"/>
              <w:rPr>
                <w:rFonts w:eastAsia="MS Mincho" w:cs="Times New Roman"/>
                <w:noProof/>
              </w:rPr>
            </w:pPr>
            <w:r>
              <w:rPr>
                <w:noProof/>
              </w:rPr>
              <w:t>C4.R4</w:t>
            </w:r>
          </w:p>
        </w:tc>
        <w:tc>
          <w:tcPr>
            <w:tcW w:w="850" w:type="dxa"/>
            <w:shd w:val="clear" w:color="auto" w:fill="C6EFCE"/>
            <w:noWrap/>
          </w:tcPr>
          <w:p w14:paraId="479106F6" w14:textId="28196694" w:rsidR="006578ED" w:rsidRDefault="00AF6B91">
            <w:pPr>
              <w:pStyle w:val="P68B1DB1-Normal13"/>
              <w:spacing w:after="0" w:line="240" w:lineRule="auto"/>
              <w:jc w:val="center"/>
              <w:rPr>
                <w:rFonts w:eastAsia="MS Mincho" w:cs="Times New Roman"/>
                <w:noProof/>
              </w:rPr>
            </w:pPr>
            <w:r>
              <w:rPr>
                <w:noProof/>
              </w:rPr>
              <w:t>Kamień milowy</w:t>
            </w:r>
          </w:p>
        </w:tc>
        <w:tc>
          <w:tcPr>
            <w:tcW w:w="2835" w:type="dxa"/>
            <w:shd w:val="clear" w:color="auto" w:fill="C6EFCE"/>
            <w:noWrap/>
          </w:tcPr>
          <w:p w14:paraId="21C4DE3D" w14:textId="23B8DBBF" w:rsidR="006578ED" w:rsidRDefault="00A1618E">
            <w:pPr>
              <w:pStyle w:val="P68B1DB1-Normal13"/>
              <w:spacing w:after="0" w:line="240" w:lineRule="auto"/>
              <w:rPr>
                <w:rFonts w:eastAsia="MS Mincho" w:cs="Times New Roman"/>
                <w:noProof/>
              </w:rPr>
            </w:pPr>
            <w:r>
              <w:rPr>
                <w:noProof/>
              </w:rPr>
              <w:t xml:space="preserve">Przyjęcie krajowej strategii zwalczania pustynnienia i związanego z nią planu działania (2022–2026) oraz utworzenie organów kolegialnych. </w:t>
            </w:r>
          </w:p>
        </w:tc>
        <w:tc>
          <w:tcPr>
            <w:tcW w:w="993" w:type="dxa"/>
            <w:shd w:val="clear" w:color="auto" w:fill="C6EFCE"/>
            <w:noWrap/>
          </w:tcPr>
          <w:p w14:paraId="188E9FF5" w14:textId="61253A2A" w:rsidR="006578ED" w:rsidRDefault="00A1618E">
            <w:pPr>
              <w:pStyle w:val="P68B1DB1-Normal13"/>
              <w:spacing w:after="0" w:line="240" w:lineRule="auto"/>
              <w:jc w:val="center"/>
              <w:rPr>
                <w:rFonts w:eastAsia="MS Mincho" w:cs="Times New Roman"/>
                <w:noProof/>
              </w:rPr>
            </w:pPr>
            <w:r>
              <w:rPr>
                <w:noProof/>
              </w:rPr>
              <w:t>Publikacja w Dzienniku Urzędowym</w:t>
            </w:r>
          </w:p>
        </w:tc>
        <w:tc>
          <w:tcPr>
            <w:tcW w:w="850" w:type="dxa"/>
            <w:shd w:val="clear" w:color="auto" w:fill="C6EFCE"/>
            <w:noWrap/>
          </w:tcPr>
          <w:p w14:paraId="329B2CA8" w14:textId="05D3053C" w:rsidR="006578ED" w:rsidRDefault="006578ED">
            <w:pPr>
              <w:pStyle w:val="P68B1DB1-Normal13"/>
              <w:spacing w:after="0" w:line="240" w:lineRule="auto"/>
              <w:rPr>
                <w:rFonts w:eastAsia="MS Mincho" w:cs="Times New Roman"/>
                <w:noProof/>
              </w:rPr>
            </w:pPr>
          </w:p>
        </w:tc>
        <w:tc>
          <w:tcPr>
            <w:tcW w:w="425" w:type="dxa"/>
            <w:shd w:val="clear" w:color="auto" w:fill="C6EFCE"/>
            <w:noWrap/>
          </w:tcPr>
          <w:p w14:paraId="060CFAC8" w14:textId="418932F9"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3AFD84A7" w14:textId="3D5AB106"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2AD6C4C6" w14:textId="47F05153"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0C47AC0F" w14:textId="743AEA69" w:rsidR="006578ED" w:rsidRDefault="00A1618E">
            <w:pPr>
              <w:pStyle w:val="P68B1DB1-Normal13"/>
              <w:spacing w:after="0" w:line="240" w:lineRule="auto"/>
              <w:jc w:val="center"/>
              <w:rPr>
                <w:rFonts w:eastAsia="MS Mincho" w:cs="Times New Roman"/>
                <w:noProof/>
              </w:rPr>
            </w:pPr>
            <w:r>
              <w:rPr>
                <w:noProof/>
              </w:rPr>
              <w:t>2024</w:t>
            </w:r>
          </w:p>
        </w:tc>
        <w:tc>
          <w:tcPr>
            <w:tcW w:w="6096" w:type="dxa"/>
            <w:shd w:val="clear" w:color="auto" w:fill="C6EFCE"/>
            <w:noWrap/>
          </w:tcPr>
          <w:p w14:paraId="34A083E8" w14:textId="44450C8E" w:rsidR="006578ED" w:rsidRDefault="00A1618E">
            <w:pPr>
              <w:pStyle w:val="P68B1DB1-Normal13"/>
              <w:spacing w:after="0" w:line="240" w:lineRule="auto"/>
              <w:rPr>
                <w:rFonts w:eastAsia="MS Mincho" w:cs="Times New Roman"/>
                <w:noProof/>
              </w:rPr>
            </w:pPr>
            <w:r>
              <w:rPr>
                <w:noProof/>
              </w:rPr>
              <w:t xml:space="preserve">Przyjęcie krajowej strategii zwalczania pustynnienia i związanych z nią działań, zgodnie z opisem środka. </w:t>
            </w:r>
          </w:p>
        </w:tc>
      </w:tr>
    </w:tbl>
    <w:p w14:paraId="02F2C34E" w14:textId="769AB717" w:rsidR="006578ED" w:rsidRDefault="006578ED">
      <w:pPr>
        <w:spacing w:before="120" w:after="120" w:line="240" w:lineRule="auto"/>
        <w:jc w:val="both"/>
        <w:rPr>
          <w:rFonts w:ascii="Times New Roman" w:hAnsi="Times New Roman" w:cs="Times New Roman"/>
          <w:noProof/>
          <w:sz w:val="24"/>
        </w:rPr>
        <w:sectPr w:rsidR="006578ED" w:rsidSect="00522183">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417" w:right="1134" w:bottom="1417" w:left="1134" w:header="709" w:footer="709" w:gutter="0"/>
          <w:cols w:space="720"/>
          <w:docGrid w:linePitch="360"/>
        </w:sectPr>
      </w:pPr>
    </w:p>
    <w:p w14:paraId="53A58CED" w14:textId="2AE353DA" w:rsidR="006578ED" w:rsidRDefault="00A1618E">
      <w:pPr>
        <w:pStyle w:val="P68B1DB1-Heading12"/>
        <w:rPr>
          <w:rFonts w:cs="Times New Roman"/>
          <w:noProof/>
        </w:rPr>
      </w:pPr>
      <w:r>
        <w:rPr>
          <w:noProof/>
        </w:rPr>
        <w:t xml:space="preserve">E. </w:t>
      </w:r>
      <w:r w:rsidR="00EC188C">
        <w:rPr>
          <w:noProof/>
        </w:rPr>
        <w:t>KOMPONENT</w:t>
      </w:r>
      <w:r>
        <w:rPr>
          <w:noProof/>
        </w:rPr>
        <w:t xml:space="preserve"> 05: Wybrzeże i zasoby wodne</w:t>
      </w:r>
    </w:p>
    <w:p w14:paraId="411410E6" w14:textId="4920389C" w:rsidR="006578ED" w:rsidRDefault="00A1618E">
      <w:pPr>
        <w:pStyle w:val="P68B1DB1-Normal4"/>
        <w:spacing w:before="120" w:after="120" w:line="240" w:lineRule="auto"/>
        <w:jc w:val="both"/>
        <w:rPr>
          <w:rFonts w:cs="Times New Roman"/>
          <w:noProof/>
        </w:rPr>
      </w:pPr>
      <w:r>
        <w:rPr>
          <w:noProof/>
        </w:rPr>
        <w:t xml:space="preserve">Komponent ten ma na celu poprawę zarządzania zasobami wodnymi, wdrożenie polityki adaptacji obszarów przybrzeżnych w celu przeciwdziałania negatywnym skutkom zmiany klimatu oraz wzmocnienie wdrażania strategii morskich i planów zagospodarowania przestrzennego obszarów morskich. </w:t>
      </w:r>
    </w:p>
    <w:p w14:paraId="446DF730" w14:textId="37FDCA6A" w:rsidR="006578ED" w:rsidRDefault="00A1618E">
      <w:pPr>
        <w:pStyle w:val="P68B1DB1-Normal4"/>
        <w:spacing w:before="120" w:after="120" w:line="240" w:lineRule="auto"/>
        <w:jc w:val="both"/>
        <w:rPr>
          <w:rFonts w:cs="Times New Roman"/>
          <w:noProof/>
        </w:rPr>
      </w:pPr>
      <w:r>
        <w:rPr>
          <w:noProof/>
        </w:rPr>
        <w:t>Aby poprawić zarządzanie zasobami wodnymi, Hiszpania musi stawić czoła różnym wyzwaniom, takim jak identyfikacja nowych nowych substancji zanieczyszczających (np. mikrodrobin plastiku), istniejąca luka inwestycyjna w planowaniu, przystosowanie wybrzeża do zmiany klimatu, kontrola i zarządzanie publiczną domeną hydrograficzną, mienie morskie i uzdatnianie wody oraz opóźnienia we wdrażaniu nowych technologii i technologii ICT w zakresie gospodarki wodnej. W tym celu Hiszpania poprawi efektywność sektora. Hiszpania dąży również do lepszego dostosowania gospodarowania zasobami wodnymi do celów środowiskowych, takich jak cele określone w Europejskim Zielonym Ładzie, strategii na rzecz bioróżnorodności 2030 i planie działania UE na rzecz eliminacji zanieczyszczeń. W tym celu wdraża się różne strategie, takie jak cyfryzacja administracji publicznej w celu uzyskania dostępu do informacji, w tym jakości wody i zgodności z przepływami ekologicznymi, zapewnienie i poprawa infrastruktury środowiskowej, bezpieczeństwo infrastruktury lub poprawa stanu wód podziemnych i odzysku warstw wodonośnych.</w:t>
      </w:r>
    </w:p>
    <w:p w14:paraId="4B419439" w14:textId="372797F0" w:rsidR="006578ED" w:rsidRDefault="00A1618E">
      <w:pPr>
        <w:pStyle w:val="P68B1DB1-Normal4"/>
        <w:spacing w:before="120" w:after="120" w:line="240" w:lineRule="auto"/>
        <w:jc w:val="both"/>
        <w:rPr>
          <w:rFonts w:cs="Times New Roman"/>
          <w:noProof/>
        </w:rPr>
      </w:pPr>
      <w:r>
        <w:rPr>
          <w:noProof/>
        </w:rPr>
        <w:t>Skutki erozji i powodzi na wybrzeżu pogłębiły się w wyniku zmiany klimatu. W związku z tym w ramach tego komponentu hiszpańskiego planu odbudowy i zwiększania odporności wdraża się również politykę przystosowania hiszpańskiego wybrzeża do negatywnych skutków zmiany klimatu. Aby zwalczać erozję i zmniejszyć ryzyko powodzi, wprowadza się szereg środków dostosowawczych, takich jak odbudowa środowiska naturalnego obszarów zdegradowanych, poprawa uporządkowanego i prawidłowego dostępu do publicznego lądowego obszaru morskiego lub opracowanie i wdrożenie rozwiązań opartych na zasobach przyrody. Ta linia działania ma na celu stworzenie bardziej odpornej linii brzegowej na skutki zmiany klimatu, a także lepsze przygotowanie sektora turystyki i innych sektorów zależnych od stanu obszarów przybrzeżnych. Ponadto przyczyni się to do dalszego wzmocnienia roli programu Copernicus, który ma kluczowe znaczenie dla zapobiegania szkodom i skutkom ekstremalnych zdarzeń pogodowych oraz oceny tych szkód i skutków.</w:t>
      </w:r>
    </w:p>
    <w:p w14:paraId="7350F698" w14:textId="0C054F35" w:rsidR="006578ED" w:rsidRDefault="00A1618E">
      <w:pPr>
        <w:pStyle w:val="P68B1DB1-Normal4"/>
        <w:spacing w:before="120" w:after="120" w:line="240" w:lineRule="auto"/>
        <w:jc w:val="both"/>
        <w:rPr>
          <w:rFonts w:cs="Times New Roman"/>
          <w:noProof/>
        </w:rPr>
      </w:pPr>
      <w:r>
        <w:rPr>
          <w:noProof/>
        </w:rPr>
        <w:t xml:space="preserve">W ramach tego komponentu hiszpańskiego planu odbudowy i zwiększania odporności Hiszpania będzie promować optymalny zrównoważony rozwój sektorów morskich i chronić środowisko morskie w celu osiągnięcia jego dobrego stanu środowiska poprzez przyjęcie ustawy, transpozycję dyrektywy ramowej w sprawie strategii morskiej i wzmocnienie jej wdrażania. </w:t>
      </w:r>
    </w:p>
    <w:p w14:paraId="7921A5A8" w14:textId="262A1D7B" w:rsidR="006578ED" w:rsidRDefault="00A1618E">
      <w:pPr>
        <w:pStyle w:val="P68B1DB1-Normal4"/>
        <w:spacing w:before="120" w:after="120" w:line="240" w:lineRule="auto"/>
        <w:jc w:val="both"/>
        <w:rPr>
          <w:rFonts w:cs="Times New Roman"/>
          <w:noProof/>
        </w:rPr>
      </w:pPr>
      <w:r>
        <w:rPr>
          <w:noProof/>
        </w:rPr>
        <w:t xml:space="preserve">Ten element hiszpańskiego planu odbudowy i zwiększania odporności przyczynia się do skoncentrowania inwestycyjnej polityki gospodarczej na wspieraniu efektywności energetycznej i wykorzystania zasobów (zalecenie dla poszczególnych krajów </w:t>
      </w:r>
      <w:r w:rsidRPr="00A1618E">
        <w:rPr>
          <w:noProof/>
          <w:lang w:val="pl-PL"/>
        </w:rPr>
        <w:t>nr 3</w:t>
      </w:r>
      <w:r>
        <w:rPr>
          <w:noProof/>
        </w:rPr>
        <w:t xml:space="preserve"> z 20</w:t>
      </w:r>
      <w:r w:rsidRPr="00A1618E">
        <w:rPr>
          <w:noProof/>
          <w:lang w:val="pl-PL"/>
        </w:rPr>
        <w:t>19 r.</w:t>
      </w:r>
      <w:r>
        <w:rPr>
          <w:noProof/>
        </w:rPr>
        <w:t xml:space="preserve">). Koncentruje się w nim również na transformacji ekologicznej i cyfrowej, w szczególności poprzez wspieranie badań naukowych i innowacji, czystej i wydajnej produkcji i wykorzystania źródeł energii, infrastruktury energetycznej, gospodarki wodnej i gospodarki odpadami oraz zrównoważonego transportu (zalecenie dla poszczególnych krajów </w:t>
      </w:r>
      <w:r w:rsidRPr="00A1618E">
        <w:rPr>
          <w:noProof/>
          <w:lang w:val="pl-PL"/>
        </w:rPr>
        <w:t>nr 3</w:t>
      </w:r>
      <w:r>
        <w:rPr>
          <w:noProof/>
        </w:rPr>
        <w:t xml:space="preserve"> z 20</w:t>
      </w:r>
      <w:r w:rsidRPr="00A1618E">
        <w:rPr>
          <w:noProof/>
          <w:lang w:val="pl-PL"/>
        </w:rPr>
        <w:t>20 r.</w:t>
      </w:r>
      <w:r>
        <w:rPr>
          <w:noProof/>
        </w:rPr>
        <w:t xml:space="preserve">). Zwiększa ono również ponowne wykorzystanie wody (zalecenie dla poszczególnych krajów </w:t>
      </w:r>
      <w:r w:rsidRPr="00A1618E">
        <w:rPr>
          <w:noProof/>
          <w:lang w:val="pl-PL"/>
        </w:rPr>
        <w:t>nr 3</w:t>
      </w:r>
      <w:r>
        <w:rPr>
          <w:noProof/>
        </w:rPr>
        <w:t xml:space="preserve"> z 20</w:t>
      </w:r>
      <w:r w:rsidRPr="00A1618E">
        <w:rPr>
          <w:noProof/>
          <w:lang w:val="pl-PL"/>
        </w:rPr>
        <w:t>22 r.</w:t>
      </w:r>
      <w:r>
        <w:rPr>
          <w:noProof/>
        </w:rPr>
        <w:t xml:space="preserve">). </w:t>
      </w:r>
    </w:p>
    <w:p w14:paraId="1B2C36A4" w14:textId="4EA84C76"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47EE4D1F" w14:textId="3ABA2F69" w:rsidR="006578ED" w:rsidRDefault="00A1618E">
      <w:pPr>
        <w:pStyle w:val="P68B1DB1-Normal5"/>
        <w:keepNext/>
        <w:spacing w:before="120" w:after="120" w:line="240" w:lineRule="auto"/>
        <w:ind w:left="720"/>
        <w:jc w:val="both"/>
        <w:rPr>
          <w:rFonts w:cs="Times New Roman"/>
          <w:i/>
          <w:noProof/>
        </w:rPr>
      </w:pPr>
      <w:r>
        <w:rPr>
          <w:noProof/>
        </w:rPr>
        <w:t xml:space="preserve">E.1. </w:t>
      </w:r>
      <w:r>
        <w:rPr>
          <w:noProof/>
        </w:rPr>
        <w:tab/>
        <w:t>Opis reform i inwestycji, które mają być finansowane z bezzwrotnego wsparcia finansowego</w:t>
      </w:r>
    </w:p>
    <w:p w14:paraId="6B2567BA" w14:textId="6C2FB435" w:rsidR="006578ED" w:rsidRDefault="00A1618E">
      <w:pPr>
        <w:pStyle w:val="P68B1DB1-Normal6"/>
        <w:keepNext/>
        <w:spacing w:before="120" w:after="120" w:line="240" w:lineRule="auto"/>
        <w:jc w:val="both"/>
        <w:rPr>
          <w:rFonts w:cs="Times New Roman"/>
          <w:noProof/>
        </w:rPr>
      </w:pPr>
      <w:r>
        <w:rPr>
          <w:noProof/>
        </w:rPr>
        <w:t>Reforma 1 (C5.R1) – Plany i strategie gospodarki wodnej oraz zmiany regulacyjne</w:t>
      </w:r>
    </w:p>
    <w:p w14:paraId="20497A4A" w14:textId="49230CB6" w:rsidR="006578ED" w:rsidRDefault="00A1618E">
      <w:pPr>
        <w:pStyle w:val="P68B1DB1-Normal4"/>
        <w:keepNext/>
        <w:spacing w:before="120" w:after="120" w:line="240" w:lineRule="auto"/>
        <w:jc w:val="both"/>
        <w:rPr>
          <w:rFonts w:cs="Times New Roman"/>
          <w:noProof/>
        </w:rPr>
      </w:pPr>
      <w:r>
        <w:rPr>
          <w:noProof/>
        </w:rPr>
        <w:t xml:space="preserve">Reforma dotyczy przeglądu i aktualizacji ustawy – Prawo wodne, jej przepisów wykonawczych i innych aktów prawa wtórnego, aby zapewnić ramy prawne sprzyjające inwestycjom. Reforma obejmuje przyjęcie i zmianę szeregu planów i strategii stanowiących podstawę inwestycji i gospodarki wodnej, które wzmacniają i zwiększają inwestycje. Te zmiany regulacyjne muszą być dostosowane do Europejskiego Zielonego Ładu. </w:t>
      </w:r>
    </w:p>
    <w:p w14:paraId="4F41A8EA" w14:textId="7D53049F" w:rsidR="006578ED" w:rsidRDefault="00A1618E">
      <w:pPr>
        <w:pStyle w:val="P68B1DB1-Normal4"/>
        <w:spacing w:before="120" w:after="120" w:line="240" w:lineRule="auto"/>
        <w:jc w:val="both"/>
        <w:rPr>
          <w:rFonts w:cs="Times New Roman"/>
          <w:noProof/>
        </w:rPr>
      </w:pPr>
      <w:r>
        <w:rPr>
          <w:noProof/>
        </w:rPr>
        <w:t xml:space="preserve">Reforma ta obejmuje liczne kwestie dotyczące wszystkich rodzajów wody, takie jak m.in. ulepszone ramy finansowe dotyczące ponownego wykorzystania ścieków, przyjęcie norm technicznych dotyczących bezpieczeństwa zapór i ich zbiorników, przyjęcie krajowego planu oczyszczania, remediacji, efektywności, oszczędności i ponownego wykorzystania wody (wdrażanie uzdatniania, kanalizacji, efektywności, oszczędności, ponownego wykorzystania i bezpieczeństwa infrastruktury – plan DSEAR). </w:t>
      </w:r>
    </w:p>
    <w:p w14:paraId="34A42ADB" w14:textId="14D40307" w:rsidR="006578ED" w:rsidRDefault="00A1618E">
      <w:pPr>
        <w:pStyle w:val="P68B1DB1-Normal4"/>
        <w:spacing w:before="120" w:after="120" w:line="240" w:lineRule="auto"/>
        <w:jc w:val="both"/>
        <w:rPr>
          <w:rFonts w:cs="Times New Roman"/>
          <w:noProof/>
        </w:rPr>
      </w:pPr>
      <w:r>
        <w:rPr>
          <w:noProof/>
        </w:rPr>
        <w:t>Środek ten zostanie zakończony do dnia 30 czerwca 20</w:t>
      </w:r>
      <w:r w:rsidRPr="00A1618E">
        <w:rPr>
          <w:noProof/>
          <w:lang w:val="pl-PL"/>
        </w:rPr>
        <w:t>23 r.</w:t>
      </w:r>
      <w:r>
        <w:rPr>
          <w:noProof/>
        </w:rPr>
        <w:t xml:space="preserve"> </w:t>
      </w:r>
    </w:p>
    <w:p w14:paraId="431D7824" w14:textId="520944FC" w:rsidR="006578ED" w:rsidRDefault="00A1618E">
      <w:pPr>
        <w:pStyle w:val="P68B1DB1-Normal6"/>
        <w:spacing w:before="120" w:after="120" w:line="240" w:lineRule="auto"/>
        <w:jc w:val="both"/>
        <w:rPr>
          <w:rFonts w:cs="Times New Roman"/>
          <w:noProof/>
        </w:rPr>
      </w:pPr>
      <w:r>
        <w:rPr>
          <w:noProof/>
        </w:rPr>
        <w:t>Inwestycje 1 (C5.I1) – Wdrożenie działań w zakresie leczenia, kanalizacji, efektywności, oszczędności, ponownego wykorzystania i bezpieczeństwa infrastruktury (DESEAR)</w:t>
      </w:r>
    </w:p>
    <w:p w14:paraId="3F9DF6FF" w14:textId="77777777" w:rsidR="006578ED" w:rsidRDefault="00A1618E">
      <w:pPr>
        <w:pStyle w:val="P68B1DB1-Normal4"/>
        <w:spacing w:before="120" w:after="120" w:line="240" w:lineRule="auto"/>
        <w:jc w:val="both"/>
        <w:rPr>
          <w:rFonts w:cs="Times New Roman"/>
          <w:noProof/>
        </w:rPr>
      </w:pPr>
      <w:r>
        <w:rPr>
          <w:noProof/>
        </w:rPr>
        <w:t>Inwestycja ta obejmuje następujące działania:</w:t>
      </w:r>
    </w:p>
    <w:p w14:paraId="73C11D16" w14:textId="5F23C50C" w:rsidR="006578ED" w:rsidRDefault="00A1618E">
      <w:pPr>
        <w:pStyle w:val="P68B1DB1-Normal4"/>
        <w:numPr>
          <w:ilvl w:val="0"/>
          <w:numId w:val="91"/>
        </w:numPr>
        <w:spacing w:before="120" w:after="160" w:line="240" w:lineRule="auto"/>
        <w:contextualSpacing/>
        <w:jc w:val="both"/>
        <w:rPr>
          <w:rFonts w:cs="Times New Roman"/>
          <w:noProof/>
        </w:rPr>
      </w:pPr>
      <w:r>
        <w:rPr>
          <w:noProof/>
        </w:rPr>
        <w:t xml:space="preserve">Wdrożenie środków uzdatniania, kanalizacji i ponownego wykorzystania wody. Celem tego kierunku działania jest poprawa zbierania i oczyszczania ścieków komunalnych. W niektórych przypadkach w ramach działań należy ponownie wykorzystać ścieki komunalne, zmniejszając tym samym obecne presje związane z poborem wody. Nowe środki oczyszczania zapewniają zerowe zużycie energii netto przez cały system oczyszczania ścieków. Infrastrukturę uwzględnia się co najmniej w przypadku nowej lub zmodernizowanej infrastruktury oczyszczania ścieków zapewniającej dodatkową zdolność do oczyszczania ścieków. Oczyszczanie jest nowo wyznaczone lub zmodernizowane do poziomu co najmniej zgodnie z dyrektywą dotyczącą oczyszczania ścieków komunalnych (dyrektywa 91/271/EWG). Poprawa i odnowienie istniejącej infrastruktury skutkuje zmniejszeniem średniego zużycia energii o co najmniej 10 %. Oszczędności te osiąga się poprzez wdrożenie środków w zakresie efektywności energetycznej (kogeneracja, odzysk energii i ciepła, panele fotowoltaiczne, oświetlenie LED itp.) przy opracowywaniu projektów oraz wprowadzeniu klauzul i kryteriów efektywności energetycznej do zaproszeń do składania projektów i prac. </w:t>
      </w:r>
    </w:p>
    <w:p w14:paraId="5832932A" w14:textId="7362651A" w:rsidR="006578ED" w:rsidRDefault="00A1618E">
      <w:pPr>
        <w:pStyle w:val="P68B1DB1-Normal4"/>
        <w:numPr>
          <w:ilvl w:val="0"/>
          <w:numId w:val="91"/>
        </w:numPr>
        <w:spacing w:before="120" w:after="160" w:line="240" w:lineRule="auto"/>
        <w:contextualSpacing/>
        <w:jc w:val="both"/>
        <w:rPr>
          <w:rFonts w:cs="Times New Roman"/>
          <w:noProof/>
        </w:rPr>
      </w:pPr>
      <w:r>
        <w:rPr>
          <w:noProof/>
        </w:rPr>
        <w:t xml:space="preserve">Działania mające na celu poprawę wydajności i ograniczenie strat wody. W ramach działań wdraża się system dotacji na rzecz poprawy wydajności sieci dostaw w średnich i małych gminach, umożliwiający gminom lub organom publicznym odpowiedzialnym za zaopatrzenie w wodę poprawę tej efektywności poprzez zmniejszenie strat w sieciach dystrybucyjnych oraz działania mające na celu naprawę i poprawę infrastruktury magazynowania wody, jak również instalacji w średnich i małych gminach. Mieszkańcy obsługiwanych przez tę infrastrukturę odpowiadają mieszkańcom obsługiwanym przez system dystrybucji wody. </w:t>
      </w:r>
    </w:p>
    <w:p w14:paraId="1C71DD76" w14:textId="4220B86F" w:rsidR="006578ED" w:rsidRDefault="00A1618E">
      <w:pPr>
        <w:pStyle w:val="P68B1DB1-Normal4"/>
        <w:numPr>
          <w:ilvl w:val="0"/>
          <w:numId w:val="91"/>
        </w:numPr>
        <w:spacing w:after="0" w:line="240" w:lineRule="auto"/>
        <w:ind w:left="357" w:hanging="357"/>
        <w:jc w:val="both"/>
        <w:rPr>
          <w:rFonts w:cs="Times New Roman"/>
          <w:noProof/>
        </w:rPr>
      </w:pPr>
      <w:r>
        <w:rPr>
          <w:noProof/>
        </w:rPr>
        <w:t>Inwestycje mające na celu poprawę bezpieczeństwa zapór i zbiorników. Działania te zapewniają bezpieczeństwo istniejących dużych zapór państwowych poprzez wdrożenie odpowiednich planów operacyjno-ratowniczych i innych działań uzupełniających. Nie może to prowadzić do budowy nowych zapór ani do rozbudowy istniejących zapór.</w:t>
      </w:r>
    </w:p>
    <w:p w14:paraId="5D5FA6C3" w14:textId="61D60370" w:rsidR="006578ED" w:rsidRPr="00A1618E" w:rsidRDefault="00A1618E">
      <w:pPr>
        <w:pStyle w:val="P68B1DB1-Normal4"/>
        <w:numPr>
          <w:ilvl w:val="0"/>
          <w:numId w:val="91"/>
        </w:numPr>
        <w:spacing w:after="0" w:line="240" w:lineRule="auto"/>
        <w:ind w:left="357" w:hanging="357"/>
        <w:jc w:val="both"/>
        <w:rPr>
          <w:rFonts w:cs="Times New Roman"/>
          <w:noProof/>
          <w:lang w:val="pl-PL"/>
        </w:rPr>
      </w:pPr>
      <w:r>
        <w:rPr>
          <w:noProof/>
        </w:rPr>
        <w:t xml:space="preserve">Działania mające na celu poprawę efektywności energetycznej i wodnej w miejskim obiegu wody. Działania te promują projekty związane z oczyszczaniem, kanalizacji i ponownym wykorzystaniem wody, poprawą oszczędnego gospodarowania wodą i ograniczeniem strat wody poprzez cyfryzację użytkowników wody. Odbywa się to na obszarze L’Horta Sud w Walencji, zapewniając nową infrastrukturę uzdatniania wody, kanalizacji i ponownego wykorzystania </w:t>
      </w:r>
      <w:r w:rsidRPr="00A1618E">
        <w:rPr>
          <w:noProof/>
          <w:lang w:val="pl-PL"/>
        </w:rPr>
        <w:t>dla 2</w:t>
      </w:r>
      <w:r>
        <w:rPr>
          <w:noProof/>
        </w:rPr>
        <w:t xml:space="preserve">50000 osób o równoważnej liczbie mieszkańców; oraz w zakładzie oczyszczania w Rincón de León w Alicante, poprawa gospodarki wodnej do celów nawadniania </w:t>
      </w:r>
      <w:r w:rsidRPr="00A1618E">
        <w:rPr>
          <w:noProof/>
          <w:lang w:val="pl-PL"/>
        </w:rPr>
        <w:t>na 1</w:t>
      </w:r>
      <w:r>
        <w:rPr>
          <w:noProof/>
        </w:rPr>
        <w:t>8500 hektarów</w:t>
      </w:r>
      <w:r w:rsidRPr="00A1618E">
        <w:rPr>
          <w:noProof/>
          <w:lang w:val="pl-PL"/>
        </w:rPr>
        <w:t xml:space="preserve">. </w:t>
      </w:r>
    </w:p>
    <w:p w14:paraId="0A4C1CF3" w14:textId="154FEFFF" w:rsidR="006578ED" w:rsidRDefault="00A1618E">
      <w:pPr>
        <w:pStyle w:val="P68B1DB1-Normal4"/>
        <w:spacing w:before="120" w:after="120" w:line="240" w:lineRule="auto"/>
        <w:jc w:val="both"/>
        <w:rPr>
          <w:rFonts w:cs="Times New Roman"/>
          <w:noProof/>
        </w:rPr>
      </w:pPr>
      <w:r>
        <w:rPr>
          <w:noProof/>
        </w:rPr>
        <w:t>Inwestycja zostanie zakończona do dnia 30 czerwca 20</w:t>
      </w:r>
      <w:r w:rsidRPr="00A1618E">
        <w:rPr>
          <w:noProof/>
          <w:lang w:val="pl-PL"/>
        </w:rPr>
        <w:t>26 r.</w:t>
      </w:r>
      <w:r>
        <w:rPr>
          <w:noProof/>
        </w:rPr>
        <w:t xml:space="preserve"> </w:t>
      </w:r>
    </w:p>
    <w:p w14:paraId="277B6F8E" w14:textId="2C971A59" w:rsidR="006578ED" w:rsidRDefault="00A1618E">
      <w:pPr>
        <w:pStyle w:val="P68B1DB1-Normal6"/>
        <w:spacing w:before="120" w:after="120" w:line="240" w:lineRule="auto"/>
        <w:jc w:val="both"/>
        <w:rPr>
          <w:rFonts w:cs="Times New Roman"/>
          <w:noProof/>
        </w:rPr>
      </w:pPr>
      <w:r>
        <w:rPr>
          <w:noProof/>
        </w:rPr>
        <w:t>Inwestycja 2 (C5.I2) – Monitorowanie i odbudowa ekosystemów rzecznych, odbudowa warstw wodonośnych i ograniczanie ryzyka powodziowego</w:t>
      </w:r>
    </w:p>
    <w:p w14:paraId="289BB7B3" w14:textId="77777777" w:rsidR="006578ED" w:rsidRDefault="00A1618E">
      <w:pPr>
        <w:pStyle w:val="P68B1DB1-Normal4"/>
        <w:spacing w:before="120" w:after="120" w:line="240" w:lineRule="auto"/>
        <w:jc w:val="both"/>
        <w:rPr>
          <w:rFonts w:cs="Times New Roman"/>
          <w:noProof/>
        </w:rPr>
      </w:pPr>
      <w:r>
        <w:rPr>
          <w:noProof/>
        </w:rPr>
        <w:t>Celem tej inwestycji jest:</w:t>
      </w:r>
    </w:p>
    <w:p w14:paraId="4D23A9E6" w14:textId="69828E22" w:rsidR="006578ED" w:rsidRDefault="00A1618E">
      <w:pPr>
        <w:pStyle w:val="P68B1DB1-Normal4"/>
        <w:numPr>
          <w:ilvl w:val="0"/>
          <w:numId w:val="92"/>
        </w:numPr>
        <w:spacing w:before="120" w:after="160" w:line="240" w:lineRule="auto"/>
        <w:contextualSpacing/>
        <w:jc w:val="both"/>
        <w:rPr>
          <w:rFonts w:cs="Times New Roman"/>
          <w:noProof/>
        </w:rPr>
      </w:pPr>
      <w:r>
        <w:rPr>
          <w:noProof/>
        </w:rPr>
        <w:t>Monitorowanie i odtwarzanie ekosystemów rzecznych i naturalnych rezerwatów rzek. Linia ta obejmuje szereg konkretnych działań mających na celu przywrócenie przestrzeni rzecznej, rozbudowę sieci monitorowania i poprawę inwentaryzacji zagrożeń hydromorfologicznych.</w:t>
      </w:r>
    </w:p>
    <w:p w14:paraId="00815E0F" w14:textId="4552597B" w:rsidR="006578ED" w:rsidRDefault="00A1618E">
      <w:pPr>
        <w:pStyle w:val="P68B1DB1-Normal4"/>
        <w:numPr>
          <w:ilvl w:val="0"/>
          <w:numId w:val="92"/>
        </w:numPr>
        <w:spacing w:before="120" w:after="160" w:line="240" w:lineRule="auto"/>
        <w:contextualSpacing/>
        <w:jc w:val="both"/>
        <w:rPr>
          <w:rFonts w:cs="Times New Roman"/>
          <w:noProof/>
        </w:rPr>
      </w:pPr>
      <w:r>
        <w:rPr>
          <w:noProof/>
        </w:rPr>
        <w:t>Ustanowienie działań mających na celu ograniczenie ryzyka powodziowego. Ten kierunek działania obejmuje już istniejące plany zarządzania ryzykiem powodziowym, w tym środki zapobiegawcze w zakresie planowania przestrzennego i urbanistycznego, opracowanie wytycznych technicznych mających na celu zmniejszenie podatności obszarów narażonych na powodzie w strefach powodziowych oraz wspieranie dostosowania różnych sektorów gospodarki do ryzyka powodziowego. Ponadto gminy zajmują się wdrażaniem środków odbudowy rzek w środowiskach miejskich, wprowadzają zrównoważone systemy odwadniania oraz poprawiają przenikalność środowisk miejskich i ich powiązanie z wartościami środowiskowymi rzek na obszarach miejskich poprzez opracowanie wytycznych technicznych i celów planowania gospodarki wodnej.</w:t>
      </w:r>
    </w:p>
    <w:p w14:paraId="5F010068" w14:textId="796E7D14" w:rsidR="006578ED" w:rsidRDefault="00A1618E">
      <w:pPr>
        <w:pStyle w:val="P68B1DB1-Normal4"/>
        <w:numPr>
          <w:ilvl w:val="0"/>
          <w:numId w:val="92"/>
        </w:numPr>
        <w:spacing w:before="120" w:after="120" w:line="240" w:lineRule="auto"/>
        <w:ind w:left="357" w:hanging="357"/>
        <w:jc w:val="both"/>
        <w:rPr>
          <w:rFonts w:cs="Times New Roman"/>
          <w:noProof/>
        </w:rPr>
      </w:pPr>
      <w:r>
        <w:rPr>
          <w:noProof/>
        </w:rPr>
        <w:t xml:space="preserve">Przyjęcie środków mających na celu ograniczenie poboru wód podziemnych poprzez wykorzystanie alternatywnych zasobów (odzysk warstw wodonośnych). Środki te mają na celu ograniczenie poboru niektórych jednolitych części wód podziemnych – w szczególności tych zagrażających </w:t>
      </w:r>
      <w:r>
        <w:rPr>
          <w:i/>
          <w:noProof/>
        </w:rPr>
        <w:t>obszarowi Doñana</w:t>
      </w:r>
      <w:r>
        <w:rPr>
          <w:noProof/>
        </w:rPr>
        <w:t xml:space="preserve"> i niektórym warstwom wodonośnym w południowo-wschodniej Hiszpanii – oraz rozbudowę sieci monitoringu piezometrycznego.</w:t>
      </w:r>
    </w:p>
    <w:p w14:paraId="5B3C678C" w14:textId="2B48EEEB" w:rsidR="006578ED" w:rsidRPr="00A1618E" w:rsidRDefault="00A1618E">
      <w:pPr>
        <w:pStyle w:val="P68B1DB1-Normal4"/>
        <w:numPr>
          <w:ilvl w:val="0"/>
          <w:numId w:val="92"/>
        </w:numPr>
        <w:spacing w:before="120" w:after="120" w:line="240" w:lineRule="auto"/>
        <w:ind w:left="357" w:hanging="357"/>
        <w:jc w:val="both"/>
        <w:rPr>
          <w:rFonts w:cs="Times New Roman"/>
          <w:noProof/>
          <w:lang w:val="pl-PL"/>
        </w:rPr>
      </w:pPr>
      <w:r>
        <w:rPr>
          <w:noProof/>
        </w:rPr>
        <w:t>Dostaw energii fotowoltaicznej do zakładów odsalania i ich dystrybucji</w:t>
      </w:r>
      <w:r w:rsidRPr="00A1618E">
        <w:rPr>
          <w:noProof/>
          <w:lang w:val="pl-PL"/>
        </w:rPr>
        <w:t xml:space="preserve">. </w:t>
      </w:r>
    </w:p>
    <w:p w14:paraId="7CC753ED" w14:textId="4AECE962" w:rsidR="006578ED" w:rsidRDefault="00A1618E">
      <w:pPr>
        <w:pStyle w:val="P68B1DB1-Normal4"/>
        <w:spacing w:before="120" w:after="120" w:line="240" w:lineRule="auto"/>
        <w:jc w:val="both"/>
        <w:rPr>
          <w:rFonts w:cs="Times New Roman"/>
          <w:noProof/>
        </w:rPr>
      </w:pPr>
      <w:r>
        <w:rPr>
          <w:noProof/>
        </w:rPr>
        <w:t xml:space="preserve">Oczekuje się, że środek ten nie spowoduje znaczących szkód dla celów środowiskowych w rozumieniu </w:t>
      </w:r>
      <w:r w:rsidRPr="00A1618E">
        <w:rPr>
          <w:noProof/>
          <w:lang w:val="pl-PL"/>
        </w:rPr>
        <w:t>art. 1</w:t>
      </w:r>
      <w:r>
        <w:rPr>
          <w:noProof/>
        </w:rPr>
        <w:t xml:space="preserve">7 rozporządzenia (UE) 2020/852, biorąc pod uwagę opis środka i działania łagodzące określone w planie odbudowy i zwiększania odporności zgodnie z wytycznymi technicznymi dotyczącymi zasady „nie czyń poważnych szkód” (2021/C58/01). W szczególności woda odsalona jest produkowana z wykorzystaniem najlepszej dostępnej technologii o najniższym wpływie na środowisko w sektorze. </w:t>
      </w:r>
    </w:p>
    <w:p w14:paraId="4B2AF1BD" w14:textId="24D5919A" w:rsidR="006578ED" w:rsidRDefault="00A1618E">
      <w:pPr>
        <w:pStyle w:val="P68B1DB1-Normal4"/>
        <w:spacing w:before="120" w:after="120" w:line="240" w:lineRule="auto"/>
        <w:jc w:val="both"/>
        <w:rPr>
          <w:rFonts w:cs="Times New Roman"/>
          <w:noProof/>
        </w:rPr>
      </w:pPr>
      <w:r>
        <w:rPr>
          <w:noProof/>
        </w:rPr>
        <w:t>Inwestycja ta zostanie zakończona do dnia 30 czerwca 20</w:t>
      </w:r>
      <w:r w:rsidRPr="00A1618E">
        <w:rPr>
          <w:noProof/>
          <w:lang w:val="pl-PL"/>
        </w:rPr>
        <w:t>26 r.</w:t>
      </w:r>
      <w:r>
        <w:rPr>
          <w:noProof/>
        </w:rPr>
        <w:t xml:space="preserve"> </w:t>
      </w:r>
    </w:p>
    <w:p w14:paraId="070A9A31" w14:textId="3B36866E" w:rsidR="006578ED" w:rsidRDefault="00A1618E">
      <w:pPr>
        <w:pStyle w:val="P68B1DB1-Normal6"/>
        <w:spacing w:before="120" w:after="120" w:line="240" w:lineRule="auto"/>
        <w:jc w:val="both"/>
        <w:rPr>
          <w:rFonts w:cs="Times New Roman"/>
          <w:noProof/>
        </w:rPr>
      </w:pPr>
      <w:r>
        <w:rPr>
          <w:noProof/>
        </w:rPr>
        <w:t>Inwestycja 3 (C5.I3) – Transformacja cyfrowa w sektorze wodnym (Egzekwowanie przepisów cyfrowych w dziedzinie środowiska) – Strategiczny projekt na rzecz odbudowy i transformacji gospodarczej (PERTE) dotyczący cyfryzacji zastosowań wody.</w:t>
      </w:r>
    </w:p>
    <w:p w14:paraId="554E6A8B" w14:textId="5204591C" w:rsidR="006578ED" w:rsidRPr="00A1618E" w:rsidRDefault="00A1618E">
      <w:pPr>
        <w:pStyle w:val="P68B1DB1-Normal4"/>
        <w:spacing w:before="120" w:after="120" w:line="240" w:lineRule="auto"/>
        <w:jc w:val="both"/>
        <w:rPr>
          <w:rFonts w:cs="Times New Roman"/>
          <w:noProof/>
          <w:lang w:val="pl-PL"/>
        </w:rPr>
      </w:pPr>
      <w:r>
        <w:rPr>
          <w:noProof/>
        </w:rPr>
        <w:t>Transformacja cyfrowa może odegrać kluczową rolę w poprawie efektywności sektora wodnego. Aby poprawić cyfryzację gospodarki wodnej, w ramach tej inwestycji realizowane są trzy kierunki działania</w:t>
      </w:r>
      <w:r w:rsidRPr="00A1618E">
        <w:rPr>
          <w:noProof/>
          <w:lang w:val="pl-PL"/>
        </w:rPr>
        <w:t xml:space="preserve">: </w:t>
      </w:r>
    </w:p>
    <w:p w14:paraId="215E8BC9" w14:textId="345F1759" w:rsidR="006578ED" w:rsidRDefault="00A1618E">
      <w:pPr>
        <w:pStyle w:val="P68B1DB1-ListParagraph7"/>
        <w:numPr>
          <w:ilvl w:val="0"/>
          <w:numId w:val="93"/>
        </w:numPr>
        <w:spacing w:before="120" w:line="240" w:lineRule="auto"/>
        <w:jc w:val="both"/>
        <w:rPr>
          <w:rFonts w:cs="Times New Roman"/>
          <w:noProof/>
        </w:rPr>
      </w:pPr>
      <w:r>
        <w:rPr>
          <w:noProof/>
        </w:rPr>
        <w:t xml:space="preserve">Poprawa wiedzy i wykorzystania zasobów wodnych – PERTE na potrzeby cyfryzacji wykorzystania wody. To PERTE ma na celu modernizację obiegu wody poprzez cyfryzację i innowacje. Pozwoli to osiągnąć bardziej wydajną i zrównoważoną gospodarkę wodną dzięki poprawie wiedzy na temat wykorzystania wody poprzez cyfryzację. Odbywa się to poprzez wspieranie programów promujących cyfryzację w miejskim cyklu wodnym, w drodze konkurencyjnych zaproszeń do składania ofert oraz w zakresie nawadniania za pośrednictwem cyfrowego zestawu do nawadniania. </w:t>
      </w:r>
    </w:p>
    <w:p w14:paraId="18993E17" w14:textId="79E6A1C9" w:rsidR="006578ED" w:rsidRDefault="00A1618E">
      <w:pPr>
        <w:pStyle w:val="P68B1DB1-ListParagraph7"/>
        <w:numPr>
          <w:ilvl w:val="0"/>
          <w:numId w:val="93"/>
        </w:numPr>
        <w:spacing w:after="0" w:line="240" w:lineRule="auto"/>
        <w:jc w:val="both"/>
        <w:rPr>
          <w:rFonts w:cs="Times New Roman"/>
          <w:noProof/>
        </w:rPr>
      </w:pPr>
      <w:r>
        <w:rPr>
          <w:noProof/>
        </w:rPr>
        <w:t xml:space="preserve">Działania mające na celu monitorowanie opadów deszczu w dorzeczach i na obszarach przybrzeżnych. Ta linia działania wspiera odnowienie sieci radarów meteorologicznych i uzupełnienie jej o nowe urządzenia bliskiego zasięgu, takie jak odnowienie i ulepszenie automatycznych stacji meteorologicznych do kalibracji radarów w czasie rzeczywistym oraz projektowanie, rozwój i wdrożenie krajowego centrum radarowego. </w:t>
      </w:r>
    </w:p>
    <w:p w14:paraId="6F6BD6C5" w14:textId="0FF73272" w:rsidR="006578ED" w:rsidRDefault="00A1618E">
      <w:pPr>
        <w:pStyle w:val="P68B1DB1-Normal4"/>
        <w:numPr>
          <w:ilvl w:val="0"/>
          <w:numId w:val="93"/>
        </w:numPr>
        <w:spacing w:after="0" w:line="240" w:lineRule="auto"/>
        <w:ind w:left="357" w:hanging="357"/>
        <w:jc w:val="both"/>
        <w:rPr>
          <w:rFonts w:cs="Times New Roman"/>
          <w:noProof/>
        </w:rPr>
      </w:pPr>
      <w:r>
        <w:rPr>
          <w:noProof/>
        </w:rPr>
        <w:t xml:space="preserve">Ulepszona obserwacja meteorologiczna i monitorowanie ryzyka klimatycznego oraz zapobieganie mu, obejmuje to nowy zintegrowany system pomocy meteorologicznej, narzędzia obserwacji meteorologicznej służące wczesnemu ostrzeganiu, w tym wdrożenie zintegrowanego globalnego systemu obserwacji, ustanowienie outsourcingu, automatyczną kontrolę jakości i znakowanie danych meteorologicznych z wykorzystaniem technik sztucznej inteligencji, głębokość danych NoSQL w celu skutecznego wdrożenia danych opartych na przetwarzaniu dużych ilości danych. </w:t>
      </w:r>
    </w:p>
    <w:p w14:paraId="660533E1" w14:textId="29244635" w:rsidR="006578ED" w:rsidRDefault="00A1618E">
      <w:pPr>
        <w:pStyle w:val="P68B1DB1-Normal4"/>
        <w:spacing w:before="120" w:after="120" w:line="240" w:lineRule="auto"/>
        <w:jc w:val="both"/>
        <w:rPr>
          <w:rFonts w:cs="Times New Roman"/>
          <w:noProof/>
        </w:rPr>
      </w:pPr>
      <w:r>
        <w:rPr>
          <w:noProof/>
        </w:rPr>
        <w:t>Inwestycja dotyczy oddania do eksploatacji 26 narzędzi lub odnowionej infrastruktury w celu poprawy wiedzy i wykorzystania zasobów wodnych oraz monitorowania opadów deszczu i innych danych meteorologicznych w celu zapobiegania zagrożeniom klimatycznym.</w:t>
      </w:r>
    </w:p>
    <w:p w14:paraId="09230588" w14:textId="11029B23" w:rsidR="006578ED" w:rsidRDefault="00A1618E">
      <w:pPr>
        <w:pStyle w:val="P68B1DB1-Normal4"/>
        <w:spacing w:before="120" w:after="120" w:line="240" w:lineRule="auto"/>
        <w:jc w:val="both"/>
        <w:rPr>
          <w:rFonts w:cs="Times New Roman"/>
          <w:noProof/>
        </w:rPr>
      </w:pPr>
      <w:r>
        <w:rPr>
          <w:noProof/>
        </w:rPr>
        <w:t>Inwestycja zostanie zakończona do dnia 30 czerwca 20</w:t>
      </w:r>
      <w:r w:rsidRPr="00A1618E">
        <w:rPr>
          <w:noProof/>
          <w:lang w:val="pl-PL"/>
        </w:rPr>
        <w:t>26 r.</w:t>
      </w:r>
      <w:r>
        <w:rPr>
          <w:noProof/>
        </w:rPr>
        <w:t xml:space="preserve"> </w:t>
      </w:r>
    </w:p>
    <w:p w14:paraId="5E7C27E2" w14:textId="5E22C06A" w:rsidR="006578ED" w:rsidRDefault="00A1618E">
      <w:pPr>
        <w:pStyle w:val="P68B1DB1-Normal6"/>
        <w:keepNext/>
        <w:spacing w:before="120" w:after="120" w:line="240" w:lineRule="auto"/>
        <w:jc w:val="both"/>
        <w:rPr>
          <w:rFonts w:cs="Times New Roman"/>
          <w:noProof/>
        </w:rPr>
      </w:pPr>
      <w:r>
        <w:rPr>
          <w:noProof/>
        </w:rPr>
        <w:t>Inwestycja 4 (C5.I4) – Dostosowanie linii brzegowej do zmiany klimatu oraz wdrażanie strategii morskich i planów planowania przestrzennego obszarów morskich</w:t>
      </w:r>
    </w:p>
    <w:p w14:paraId="7A7A0757" w14:textId="7E4D91F7" w:rsidR="006578ED" w:rsidRDefault="00A1618E">
      <w:pPr>
        <w:pStyle w:val="P68B1DB1-Normal4"/>
        <w:keepNext/>
        <w:spacing w:before="120" w:after="120" w:line="240" w:lineRule="auto"/>
        <w:jc w:val="both"/>
        <w:rPr>
          <w:rFonts w:cs="Times New Roman"/>
          <w:noProof/>
        </w:rPr>
      </w:pPr>
      <w:r>
        <w:rPr>
          <w:noProof/>
        </w:rPr>
        <w:t xml:space="preserve">Zmiana klimatu ma i oczekuje się, że będzie miała silny negatywny wpływ na hiszpańskie wybrzeże. Inwestycja ta ma na celu wdrożenie strategii przystosowania wybrzeża do skutków zmiany klimatu w celu zwiększenia odporności hiszpańskiego wybrzeża na zmianę klimatu i zmienność klimatu oraz włączenia przystosowania się do zmiany klimatu do planowania wybrzeża hiszpańskiego i zarządzania nim. Obejmuje to tworzenie falochronów, sztucznych plaż, powierzchni pływających, gospodarowania osadami, rozwiązań opartych na zasobach przyrody, odbudowy plaży i systemów wydmowych, infrastruktury ochrony wybrzeża, wdrażania inteligentnych sieci na potrzeby zdalnego monitorowania erozji obszarów przybrzeżnych lub działań o podobnych skutkach. </w:t>
      </w:r>
    </w:p>
    <w:p w14:paraId="6E481BF5" w14:textId="3190C603" w:rsidR="006578ED" w:rsidRDefault="00A1618E">
      <w:pPr>
        <w:pStyle w:val="P68B1DB1-Normal4"/>
        <w:spacing w:before="120" w:after="120" w:line="240" w:lineRule="auto"/>
        <w:jc w:val="both"/>
        <w:rPr>
          <w:rFonts w:cs="Times New Roman"/>
          <w:noProof/>
        </w:rPr>
      </w:pPr>
      <w:r>
        <w:rPr>
          <w:noProof/>
        </w:rPr>
        <w:t xml:space="preserve">Inwestycja ta ma na celu ochronę i odbudowę ekosystemów przybrzeżnych lub obszarów zdegradowanych. Cel ten osiąga się poprzez różne działania, takie jak: przenoszenie instalacji dotkniętych skutkami regresu; wyznaczanie obszarów morskich będących własnością państwa; odzyskiwanie nienależnych lub nieodpowiednio okupowanych nad brzegami mórz będących własnością państwa; ocena ryzyka i zarządzanie ryzykiem lub podobne działania; odbudowa środowiska zdegradowanych obszarów i ekosystemów przybrzeżnych, ochrona wybrzeża i zarządzanie nim; lub (vi) działania o podobnych skutkach. </w:t>
      </w:r>
    </w:p>
    <w:p w14:paraId="5490957C" w14:textId="5F2A8A21" w:rsidR="006578ED" w:rsidRDefault="00A1618E">
      <w:pPr>
        <w:pStyle w:val="P68B1DB1-Normal4"/>
        <w:spacing w:before="120" w:after="120" w:line="240" w:lineRule="auto"/>
        <w:jc w:val="both"/>
        <w:rPr>
          <w:rFonts w:cs="Times New Roman"/>
          <w:noProof/>
        </w:rPr>
      </w:pPr>
      <w:r>
        <w:rPr>
          <w:noProof/>
        </w:rPr>
        <w:t xml:space="preserve">Środek ten poprawia również uporządkowaną i poprawną dostępność do publicznego lądowego obszaru morskiego poprzez odbudowę gruntów w celu zapewnienia dostępu do domeny publicznej, planowania dostępu, zarządzania nim i przywrócenia dostępu lub działań o podobnym skutku. Inwestycja dotyczy realizacji polityki strategicznego planowania morskiego. Jest to realizowane za pomocą planowania przestrzennego obszarów morskich, strategii morskich, doradztwa naukowego na temat oceanów i klimatu oraz opracowania georeferencyjnej aplikacji internetowej dla użytkowników morza. </w:t>
      </w:r>
    </w:p>
    <w:p w14:paraId="1EB9D0C2" w14:textId="08AC1335" w:rsidR="006578ED" w:rsidRDefault="00A1618E">
      <w:pPr>
        <w:pStyle w:val="P68B1DB1-Normal4"/>
        <w:spacing w:before="120" w:after="120" w:line="240" w:lineRule="auto"/>
        <w:jc w:val="both"/>
        <w:rPr>
          <w:rFonts w:cs="Times New Roman"/>
          <w:noProof/>
        </w:rPr>
      </w:pPr>
      <w:r>
        <w:rPr>
          <w:noProof/>
        </w:rPr>
        <w:t>Inwestycja ta zostanie zakończona do dnia 31 grudnia 20</w:t>
      </w:r>
      <w:r w:rsidRPr="00A1618E">
        <w:rPr>
          <w:noProof/>
          <w:lang w:val="pl-PL"/>
        </w:rPr>
        <w:t>25 r.</w:t>
      </w:r>
      <w:r>
        <w:rPr>
          <w:noProof/>
        </w:rPr>
        <w:t xml:space="preserve"> </w:t>
      </w:r>
    </w:p>
    <w:p w14:paraId="4AE0E1B1" w14:textId="261D28C3" w:rsidR="006578ED" w:rsidRDefault="00A1618E">
      <w:pPr>
        <w:pStyle w:val="P68B1DB1-Normal5"/>
        <w:spacing w:before="120" w:after="120" w:line="240" w:lineRule="auto"/>
        <w:ind w:left="720"/>
        <w:jc w:val="both"/>
        <w:rPr>
          <w:rFonts w:cs="Times New Roman"/>
          <w:noProof/>
        </w:rPr>
      </w:pPr>
      <w:r>
        <w:rPr>
          <w:noProof/>
        </w:rPr>
        <w:t xml:space="preserve">E.2. </w:t>
      </w:r>
      <w:r>
        <w:rPr>
          <w:noProof/>
        </w:rPr>
        <w:tab/>
        <w:t>Kamienie milowe, wartości docelowe, wskaźniki i harmonogram monitorowania i realizacji na potrzeby bezzwrotnego wsparcia finansowego</w:t>
      </w:r>
    </w:p>
    <w:p w14:paraId="2F87F039" w14:textId="16ED396E"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680A4E5D" w14:textId="77777777" w:rsidR="006578ED" w:rsidRDefault="006578ED">
      <w:pPr>
        <w:spacing w:before="120" w:after="120" w:line="240" w:lineRule="auto"/>
        <w:ind w:left="709"/>
        <w:jc w:val="both"/>
        <w:rPr>
          <w:rFonts w:ascii="Times New Roman" w:hAnsi="Times New Roman" w:cs="Times New Roman"/>
          <w:noProof/>
          <w:sz w:val="24"/>
        </w:rPr>
        <w:sectPr w:rsidR="006578ED" w:rsidSect="00522183">
          <w:headerReference w:type="even" r:id="rId126"/>
          <w:headerReference w:type="default" r:id="rId127"/>
          <w:footerReference w:type="even" r:id="rId128"/>
          <w:footerReference w:type="default" r:id="rId129"/>
          <w:headerReference w:type="first" r:id="rId130"/>
          <w:footerReference w:type="first" r:id="rId13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6578ED" w14:paraId="701187C7" w14:textId="77777777">
        <w:trPr>
          <w:trHeight w:val="309"/>
          <w:tblHeader/>
        </w:trPr>
        <w:tc>
          <w:tcPr>
            <w:tcW w:w="709" w:type="dxa"/>
            <w:tcBorders>
              <w:bottom w:val="nil"/>
            </w:tcBorders>
            <w:shd w:val="clear" w:color="auto" w:fill="C6D9F1" w:themeFill="text2" w:themeFillTint="33"/>
            <w:noWrap/>
            <w:vAlign w:val="center"/>
          </w:tcPr>
          <w:p w14:paraId="4EEC6ACA"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3A6302B5"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69514B1F" w14:textId="2F8A141C"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835" w:type="dxa"/>
            <w:tcBorders>
              <w:bottom w:val="nil"/>
            </w:tcBorders>
            <w:shd w:val="clear" w:color="auto" w:fill="C6D9F1" w:themeFill="text2" w:themeFillTint="33"/>
            <w:noWrap/>
            <w:vAlign w:val="center"/>
          </w:tcPr>
          <w:p w14:paraId="178F8722" w14:textId="77777777" w:rsidR="006578ED" w:rsidRDefault="00A1618E">
            <w:pPr>
              <w:pStyle w:val="P68B1DB1-Normal12"/>
              <w:spacing w:after="0" w:line="240" w:lineRule="auto"/>
              <w:jc w:val="center"/>
              <w:rPr>
                <w:rFonts w:cs="Times New Roman"/>
                <w:noProof/>
              </w:rPr>
            </w:pPr>
            <w:r>
              <w:rPr>
                <w:noProof/>
              </w:rPr>
              <w:t>Nazwa</w:t>
            </w:r>
          </w:p>
        </w:tc>
        <w:tc>
          <w:tcPr>
            <w:tcW w:w="993" w:type="dxa"/>
            <w:tcBorders>
              <w:bottom w:val="nil"/>
            </w:tcBorders>
            <w:shd w:val="clear" w:color="auto" w:fill="C6D9F1" w:themeFill="text2" w:themeFillTint="33"/>
            <w:noWrap/>
            <w:vAlign w:val="center"/>
          </w:tcPr>
          <w:p w14:paraId="3A30B3BB"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84" w:type="dxa"/>
            <w:gridSpan w:val="3"/>
            <w:shd w:val="clear" w:color="auto" w:fill="C6D9F1" w:themeFill="text2" w:themeFillTint="33"/>
            <w:noWrap/>
            <w:vAlign w:val="center"/>
          </w:tcPr>
          <w:p w14:paraId="0A60ADD5"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32A3605C" w14:textId="77777777" w:rsidR="006578ED" w:rsidRDefault="00A1618E">
            <w:pPr>
              <w:pStyle w:val="P68B1DB1-Normal12"/>
              <w:spacing w:after="0" w:line="240" w:lineRule="auto"/>
              <w:jc w:val="center"/>
              <w:rPr>
                <w:rFonts w:cs="Times New Roman"/>
                <w:noProof/>
              </w:rPr>
            </w:pPr>
            <w:r>
              <w:rPr>
                <w:noProof/>
              </w:rPr>
              <w:t>Czas</w:t>
            </w:r>
          </w:p>
        </w:tc>
        <w:tc>
          <w:tcPr>
            <w:tcW w:w="6096" w:type="dxa"/>
            <w:tcBorders>
              <w:bottom w:val="nil"/>
            </w:tcBorders>
            <w:shd w:val="clear" w:color="auto" w:fill="C6D9F1" w:themeFill="text2" w:themeFillTint="33"/>
            <w:noWrap/>
            <w:vAlign w:val="center"/>
          </w:tcPr>
          <w:p w14:paraId="7C1CC161" w14:textId="26D13C60"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6F9ACA8B" w14:textId="77777777">
        <w:trPr>
          <w:trHeight w:val="309"/>
          <w:tblHeader/>
        </w:trPr>
        <w:tc>
          <w:tcPr>
            <w:tcW w:w="709" w:type="dxa"/>
            <w:tcBorders>
              <w:top w:val="nil"/>
            </w:tcBorders>
            <w:shd w:val="clear" w:color="auto" w:fill="C6D9F1" w:themeFill="text2" w:themeFillTint="33"/>
            <w:noWrap/>
          </w:tcPr>
          <w:p w14:paraId="19219836"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296FEF7D"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7194DBDC" w14:textId="77777777" w:rsidR="006578ED" w:rsidRDefault="006578ED">
            <w:pPr>
              <w:spacing w:after="0" w:line="240" w:lineRule="auto"/>
              <w:jc w:val="center"/>
              <w:rPr>
                <w:rFonts w:ascii="Times New Roman" w:hAnsi="Times New Roman" w:cs="Times New Roman"/>
                <w:b/>
                <w:noProof/>
                <w:sz w:val="18"/>
              </w:rPr>
            </w:pPr>
          </w:p>
        </w:tc>
        <w:tc>
          <w:tcPr>
            <w:tcW w:w="2835" w:type="dxa"/>
            <w:tcBorders>
              <w:top w:val="nil"/>
            </w:tcBorders>
            <w:shd w:val="clear" w:color="auto" w:fill="C6D9F1" w:themeFill="text2" w:themeFillTint="33"/>
            <w:noWrap/>
          </w:tcPr>
          <w:p w14:paraId="769D0D3C" w14:textId="77777777" w:rsidR="006578ED" w:rsidRDefault="006578ED">
            <w:pPr>
              <w:spacing w:after="0" w:line="240" w:lineRule="auto"/>
              <w:rPr>
                <w:rFonts w:ascii="Times New Roman" w:hAnsi="Times New Roman" w:cs="Times New Roman"/>
                <w:b/>
                <w:noProof/>
                <w:sz w:val="18"/>
              </w:rPr>
            </w:pPr>
          </w:p>
        </w:tc>
        <w:tc>
          <w:tcPr>
            <w:tcW w:w="993" w:type="dxa"/>
            <w:tcBorders>
              <w:top w:val="nil"/>
            </w:tcBorders>
            <w:shd w:val="clear" w:color="auto" w:fill="C6D9F1" w:themeFill="text2" w:themeFillTint="33"/>
            <w:noWrap/>
          </w:tcPr>
          <w:p w14:paraId="54CD245A"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7B173101" w14:textId="77777777" w:rsidR="006578ED" w:rsidRDefault="00A1618E">
            <w:pPr>
              <w:pStyle w:val="P68B1DB1-Normal12"/>
              <w:spacing w:after="0" w:line="240" w:lineRule="auto"/>
              <w:jc w:val="center"/>
              <w:rPr>
                <w:rFonts w:cs="Times New Roman"/>
                <w:noProof/>
              </w:rPr>
            </w:pPr>
            <w:r>
              <w:rPr>
                <w:noProof/>
              </w:rPr>
              <w:t>Jednostka</w:t>
            </w:r>
          </w:p>
        </w:tc>
        <w:tc>
          <w:tcPr>
            <w:tcW w:w="425" w:type="dxa"/>
            <w:shd w:val="clear" w:color="auto" w:fill="C6D9F1" w:themeFill="text2" w:themeFillTint="33"/>
            <w:noWrap/>
            <w:vAlign w:val="center"/>
          </w:tcPr>
          <w:p w14:paraId="005A6B31" w14:textId="77777777" w:rsidR="006578ED" w:rsidRDefault="00A1618E">
            <w:pPr>
              <w:pStyle w:val="P68B1DB1-Normal12"/>
              <w:spacing w:after="0" w:line="240" w:lineRule="auto"/>
              <w:jc w:val="center"/>
              <w:rPr>
                <w:rFonts w:cs="Times New Roman"/>
                <w:noProof/>
              </w:rPr>
            </w:pPr>
            <w:r>
              <w:rPr>
                <w:noProof/>
              </w:rPr>
              <w:t>Wartość wyjściowa</w:t>
            </w:r>
          </w:p>
        </w:tc>
        <w:tc>
          <w:tcPr>
            <w:tcW w:w="709" w:type="dxa"/>
            <w:shd w:val="clear" w:color="auto" w:fill="C6D9F1" w:themeFill="text2" w:themeFillTint="33"/>
            <w:noWrap/>
            <w:vAlign w:val="center"/>
          </w:tcPr>
          <w:p w14:paraId="04C27F3C"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vAlign w:val="center"/>
          </w:tcPr>
          <w:p w14:paraId="6D5F76BE"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72C88E70" w14:textId="77777777" w:rsidR="006578ED" w:rsidRDefault="00A1618E">
            <w:pPr>
              <w:pStyle w:val="P68B1DB1-Normal12"/>
              <w:spacing w:after="0" w:line="240" w:lineRule="auto"/>
              <w:jc w:val="center"/>
              <w:rPr>
                <w:rFonts w:cs="Times New Roman"/>
                <w:noProof/>
              </w:rPr>
            </w:pPr>
            <w:r>
              <w:rPr>
                <w:noProof/>
              </w:rPr>
              <w:t>Rok</w:t>
            </w:r>
          </w:p>
        </w:tc>
        <w:tc>
          <w:tcPr>
            <w:tcW w:w="6096" w:type="dxa"/>
            <w:tcBorders>
              <w:top w:val="nil"/>
            </w:tcBorders>
            <w:shd w:val="clear" w:color="auto" w:fill="C6D9F1" w:themeFill="text2" w:themeFillTint="33"/>
            <w:noWrap/>
          </w:tcPr>
          <w:p w14:paraId="1231BE67" w14:textId="77777777" w:rsidR="006578ED" w:rsidRDefault="006578ED">
            <w:pPr>
              <w:spacing w:after="0" w:line="240" w:lineRule="auto"/>
              <w:rPr>
                <w:rFonts w:ascii="Times New Roman" w:hAnsi="Times New Roman" w:cs="Times New Roman"/>
                <w:b/>
                <w:noProof/>
                <w:sz w:val="18"/>
              </w:rPr>
            </w:pPr>
          </w:p>
        </w:tc>
      </w:tr>
      <w:tr w:rsidR="006578ED" w14:paraId="2F037FBF" w14:textId="77777777">
        <w:trPr>
          <w:trHeight w:val="309"/>
        </w:trPr>
        <w:tc>
          <w:tcPr>
            <w:tcW w:w="709" w:type="dxa"/>
            <w:shd w:val="clear" w:color="auto" w:fill="C6EFCE"/>
            <w:noWrap/>
          </w:tcPr>
          <w:p w14:paraId="72947656" w14:textId="77777777" w:rsidR="006578ED" w:rsidRDefault="00A1618E">
            <w:pPr>
              <w:pStyle w:val="P68B1DB1-Normal13"/>
              <w:spacing w:after="0" w:line="240" w:lineRule="auto"/>
              <w:jc w:val="center"/>
              <w:rPr>
                <w:rFonts w:eastAsia="MS Mincho" w:cs="Times New Roman"/>
                <w:noProof/>
              </w:rPr>
            </w:pPr>
            <w:r>
              <w:rPr>
                <w:noProof/>
              </w:rPr>
              <w:t>74</w:t>
            </w:r>
          </w:p>
        </w:tc>
        <w:tc>
          <w:tcPr>
            <w:tcW w:w="851" w:type="dxa"/>
            <w:shd w:val="clear" w:color="auto" w:fill="C6EFCE"/>
            <w:noWrap/>
          </w:tcPr>
          <w:p w14:paraId="31550F39" w14:textId="77777777" w:rsidR="006578ED" w:rsidRDefault="00A1618E">
            <w:pPr>
              <w:pStyle w:val="P68B1DB1-Normal13"/>
              <w:spacing w:after="0" w:line="240" w:lineRule="auto"/>
              <w:jc w:val="center"/>
              <w:rPr>
                <w:rFonts w:eastAsia="MS Mincho" w:cs="Times New Roman"/>
                <w:noProof/>
              </w:rPr>
            </w:pPr>
            <w:r>
              <w:rPr>
                <w:noProof/>
              </w:rPr>
              <w:t>C5.R1</w:t>
            </w:r>
          </w:p>
        </w:tc>
        <w:tc>
          <w:tcPr>
            <w:tcW w:w="850" w:type="dxa"/>
            <w:shd w:val="clear" w:color="auto" w:fill="C6EFCE"/>
            <w:noWrap/>
          </w:tcPr>
          <w:p w14:paraId="407CADBF" w14:textId="09D25FC7" w:rsidR="006578ED" w:rsidRDefault="00AF6B91">
            <w:pPr>
              <w:pStyle w:val="P68B1DB1-Normal13"/>
              <w:spacing w:after="0" w:line="240" w:lineRule="auto"/>
              <w:jc w:val="center"/>
              <w:rPr>
                <w:rFonts w:eastAsia="MS Mincho" w:cs="Times New Roman"/>
                <w:noProof/>
              </w:rPr>
            </w:pPr>
            <w:r>
              <w:rPr>
                <w:noProof/>
              </w:rPr>
              <w:t>Kamień milowy</w:t>
            </w:r>
          </w:p>
        </w:tc>
        <w:tc>
          <w:tcPr>
            <w:tcW w:w="2835" w:type="dxa"/>
            <w:shd w:val="clear" w:color="auto" w:fill="C6EFCE"/>
            <w:noWrap/>
          </w:tcPr>
          <w:p w14:paraId="07FACBF3" w14:textId="54F92F44" w:rsidR="006578ED" w:rsidRDefault="00A1618E">
            <w:pPr>
              <w:pStyle w:val="P68B1DB1-Normal13"/>
              <w:spacing w:after="0" w:line="240" w:lineRule="auto"/>
              <w:rPr>
                <w:rFonts w:eastAsia="MS Mincho" w:cs="Times New Roman"/>
                <w:noProof/>
              </w:rPr>
            </w:pPr>
            <w:r>
              <w:rPr>
                <w:noProof/>
              </w:rPr>
              <w:t xml:space="preserve">Wejście w życie zmian do rozporządzenia w sprawie planowania hydrologicznego </w:t>
            </w:r>
          </w:p>
        </w:tc>
        <w:tc>
          <w:tcPr>
            <w:tcW w:w="993" w:type="dxa"/>
            <w:shd w:val="clear" w:color="auto" w:fill="C6EFCE"/>
            <w:noWrap/>
          </w:tcPr>
          <w:p w14:paraId="7F6415FC" w14:textId="07235E59" w:rsidR="006578ED" w:rsidRDefault="00A1618E">
            <w:pPr>
              <w:pStyle w:val="P68B1DB1-Normal13"/>
              <w:spacing w:after="0" w:line="240" w:lineRule="auto"/>
              <w:jc w:val="center"/>
              <w:rPr>
                <w:rFonts w:eastAsia="MS Mincho" w:cs="Times New Roman"/>
                <w:noProof/>
              </w:rPr>
            </w:pPr>
            <w:r>
              <w:rPr>
                <w:noProof/>
              </w:rPr>
              <w:t>Przepis dekretu królewskiego w sprawie wejścia w życie</w:t>
            </w:r>
          </w:p>
        </w:tc>
        <w:tc>
          <w:tcPr>
            <w:tcW w:w="850" w:type="dxa"/>
            <w:shd w:val="clear" w:color="auto" w:fill="C6EFCE"/>
            <w:noWrap/>
          </w:tcPr>
          <w:p w14:paraId="4A2859AB"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1ECA394A"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709" w:type="dxa"/>
            <w:shd w:val="clear" w:color="auto" w:fill="C6EFCE"/>
            <w:noWrap/>
          </w:tcPr>
          <w:p w14:paraId="5F21F270"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51B8BD07" w14:textId="0B9B0C9B"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55BFB259" w14:textId="77777777" w:rsidR="006578ED" w:rsidRDefault="00A1618E">
            <w:pPr>
              <w:pStyle w:val="P68B1DB1-Normal13"/>
              <w:spacing w:after="0" w:line="240" w:lineRule="auto"/>
              <w:jc w:val="center"/>
              <w:rPr>
                <w:rFonts w:eastAsia="MS Mincho" w:cs="Times New Roman"/>
                <w:noProof/>
              </w:rPr>
            </w:pPr>
            <w:r>
              <w:rPr>
                <w:noProof/>
              </w:rPr>
              <w:t>2021</w:t>
            </w:r>
          </w:p>
        </w:tc>
        <w:tc>
          <w:tcPr>
            <w:tcW w:w="6096" w:type="dxa"/>
            <w:shd w:val="clear" w:color="auto" w:fill="C6EFCE"/>
            <w:noWrap/>
          </w:tcPr>
          <w:p w14:paraId="3A6C8438" w14:textId="69902C1D" w:rsidR="006578ED" w:rsidRDefault="00A1618E">
            <w:pPr>
              <w:pStyle w:val="P68B1DB1-Normal13"/>
              <w:spacing w:after="0" w:line="240" w:lineRule="auto"/>
              <w:rPr>
                <w:rFonts w:eastAsia="MS Mincho" w:cs="Times New Roman"/>
                <w:noProof/>
              </w:rPr>
            </w:pPr>
            <w:r>
              <w:rPr>
                <w:noProof/>
              </w:rPr>
              <w:t xml:space="preserve">Dekret królewski zmieniający rozporządzenie w sprawie planowania hydrologicznego (Dziennik Urzędowy). Zmiany dotyczą aspektów związanych z suszami i niedoborem wody, wymogów wdrażania ramowej dyrektywy wodnej oraz odpowiednich norm w ramach wspólnej strategii wdrażania dyrektyw wodnych. </w:t>
            </w:r>
          </w:p>
        </w:tc>
      </w:tr>
      <w:tr w:rsidR="006578ED" w14:paraId="3692C050" w14:textId="77777777">
        <w:trPr>
          <w:trHeight w:val="309"/>
        </w:trPr>
        <w:tc>
          <w:tcPr>
            <w:tcW w:w="709" w:type="dxa"/>
            <w:shd w:val="clear" w:color="auto" w:fill="C6EFCE"/>
            <w:noWrap/>
          </w:tcPr>
          <w:p w14:paraId="58A771A2" w14:textId="77777777" w:rsidR="006578ED" w:rsidRDefault="00A1618E">
            <w:pPr>
              <w:pStyle w:val="P68B1DB1-Normal13"/>
              <w:spacing w:after="0" w:line="240" w:lineRule="auto"/>
              <w:jc w:val="center"/>
              <w:rPr>
                <w:rFonts w:cs="Times New Roman"/>
                <w:noProof/>
              </w:rPr>
            </w:pPr>
            <w:r>
              <w:rPr>
                <w:noProof/>
              </w:rPr>
              <w:t>75</w:t>
            </w:r>
          </w:p>
        </w:tc>
        <w:tc>
          <w:tcPr>
            <w:tcW w:w="851" w:type="dxa"/>
            <w:shd w:val="clear" w:color="auto" w:fill="C6EFCE"/>
            <w:noWrap/>
          </w:tcPr>
          <w:p w14:paraId="657A3EC8" w14:textId="77777777" w:rsidR="006578ED" w:rsidRDefault="00A1618E">
            <w:pPr>
              <w:pStyle w:val="P68B1DB1-Normal13"/>
              <w:spacing w:after="0" w:line="240" w:lineRule="auto"/>
              <w:jc w:val="center"/>
              <w:rPr>
                <w:rFonts w:cs="Times New Roman"/>
                <w:noProof/>
              </w:rPr>
            </w:pPr>
            <w:r>
              <w:rPr>
                <w:noProof/>
              </w:rPr>
              <w:t>C5.R1</w:t>
            </w:r>
          </w:p>
        </w:tc>
        <w:tc>
          <w:tcPr>
            <w:tcW w:w="850" w:type="dxa"/>
            <w:shd w:val="clear" w:color="auto" w:fill="C6EFCE"/>
            <w:noWrap/>
          </w:tcPr>
          <w:p w14:paraId="4C62E683" w14:textId="2F48AF26" w:rsidR="006578ED" w:rsidRDefault="00AF6B91">
            <w:pPr>
              <w:pStyle w:val="P68B1DB1-Normal13"/>
              <w:spacing w:after="0" w:line="240" w:lineRule="auto"/>
              <w:jc w:val="center"/>
              <w:rPr>
                <w:rFonts w:cs="Times New Roman"/>
                <w:noProof/>
              </w:rPr>
            </w:pPr>
            <w:r>
              <w:rPr>
                <w:noProof/>
              </w:rPr>
              <w:t>Kamień milowy</w:t>
            </w:r>
          </w:p>
        </w:tc>
        <w:tc>
          <w:tcPr>
            <w:tcW w:w="2835" w:type="dxa"/>
            <w:shd w:val="clear" w:color="auto" w:fill="C6EFCE"/>
            <w:noWrap/>
          </w:tcPr>
          <w:p w14:paraId="7608EE0D" w14:textId="59339351" w:rsidR="006578ED" w:rsidRDefault="00A1618E">
            <w:pPr>
              <w:pStyle w:val="P68B1DB1-Normal13"/>
              <w:spacing w:after="0" w:line="240" w:lineRule="auto"/>
              <w:rPr>
                <w:rFonts w:cs="Times New Roman"/>
                <w:noProof/>
              </w:rPr>
            </w:pPr>
            <w:r>
              <w:rPr>
                <w:noProof/>
              </w:rPr>
              <w:t>Wejście w życie zmiany ustawy Prawo wodne i nowego rozporządzenia zastępującego dekret królewski 1620/2007</w:t>
            </w:r>
          </w:p>
        </w:tc>
        <w:tc>
          <w:tcPr>
            <w:tcW w:w="993" w:type="dxa"/>
            <w:shd w:val="clear" w:color="auto" w:fill="C6EFCE"/>
            <w:noWrap/>
          </w:tcPr>
          <w:p w14:paraId="6AF562B1" w14:textId="71512890" w:rsidR="006578ED" w:rsidRDefault="00A1618E">
            <w:pPr>
              <w:pStyle w:val="P68B1DB1-Normal13"/>
              <w:spacing w:after="0" w:line="240" w:lineRule="auto"/>
              <w:jc w:val="center"/>
              <w:rPr>
                <w:rFonts w:cs="Times New Roman"/>
                <w:noProof/>
              </w:rPr>
            </w:pPr>
            <w:r>
              <w:rPr>
                <w:noProof/>
              </w:rPr>
              <w:t xml:space="preserve">Przepis ustawy Prawo wodne w sprawie wejścia w życie </w:t>
            </w:r>
          </w:p>
        </w:tc>
        <w:tc>
          <w:tcPr>
            <w:tcW w:w="850" w:type="dxa"/>
            <w:shd w:val="clear" w:color="auto" w:fill="C6EFCE"/>
            <w:noWrap/>
          </w:tcPr>
          <w:p w14:paraId="7146A6A2" w14:textId="77777777" w:rsidR="006578ED" w:rsidRDefault="00A1618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3E226854" w14:textId="77777777" w:rsidR="006578ED" w:rsidRDefault="00A1618E">
            <w:pPr>
              <w:pStyle w:val="P68B1DB1-Normal13"/>
              <w:spacing w:after="0" w:line="240" w:lineRule="auto"/>
              <w:jc w:val="right"/>
              <w:rPr>
                <w:rFonts w:cs="Times New Roman"/>
                <w:noProof/>
              </w:rPr>
            </w:pPr>
            <w:r>
              <w:rPr>
                <w:noProof/>
              </w:rPr>
              <w:t xml:space="preserve"> </w:t>
            </w:r>
          </w:p>
        </w:tc>
        <w:tc>
          <w:tcPr>
            <w:tcW w:w="709" w:type="dxa"/>
            <w:shd w:val="clear" w:color="auto" w:fill="C6EFCE"/>
            <w:noWrap/>
          </w:tcPr>
          <w:p w14:paraId="61965C7B" w14:textId="77777777" w:rsidR="006578ED" w:rsidRDefault="00A1618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361C868B" w14:textId="55E74B37"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4E8F09C0" w14:textId="77777777" w:rsidR="006578ED" w:rsidRDefault="00A1618E">
            <w:pPr>
              <w:pStyle w:val="P68B1DB1-Normal13"/>
              <w:spacing w:after="0" w:line="240" w:lineRule="auto"/>
              <w:jc w:val="center"/>
              <w:rPr>
                <w:rFonts w:cs="Times New Roman"/>
                <w:noProof/>
              </w:rPr>
            </w:pPr>
            <w:r>
              <w:rPr>
                <w:noProof/>
              </w:rPr>
              <w:t>2023</w:t>
            </w:r>
          </w:p>
        </w:tc>
        <w:tc>
          <w:tcPr>
            <w:tcW w:w="6096" w:type="dxa"/>
            <w:shd w:val="clear" w:color="auto" w:fill="C6EFCE"/>
            <w:noWrap/>
          </w:tcPr>
          <w:p w14:paraId="3B352102" w14:textId="2109F9D8" w:rsidR="006578ED" w:rsidRDefault="00A1618E">
            <w:pPr>
              <w:pStyle w:val="P68B1DB1-Normal13"/>
              <w:spacing w:after="0" w:line="240" w:lineRule="auto"/>
              <w:rPr>
                <w:rFonts w:cs="Times New Roman"/>
                <w:noProof/>
              </w:rPr>
            </w:pPr>
            <w:r>
              <w:rPr>
                <w:noProof/>
              </w:rPr>
              <w:t xml:space="preserve">Zmiana ustawy – Prawo wodne w celu uwzględnienia zmiany podatków od zrzutów ścieków oraz systemu odzyskiwania kosztów infrastruktury wodnej zgodnie z zasadami „zanieczyszczający płaci” i zwrotu kosztów. Nowe rozporządzenie zastępujące dekret królewski 1620/2007 zmieni ramy regulacyjne i finansowe dotyczące ponownego wykorzystania ścieków zgodnie z zasadami „zanieczyszczający płaci” i zwrotu kosztów, usprawni monitorowanie i ochronę jednolitych części wód, w tym wód podziemnych, oraz zajmie się kwestią suszy i niedoboru. </w:t>
            </w:r>
          </w:p>
        </w:tc>
      </w:tr>
      <w:tr w:rsidR="006578ED" w14:paraId="149D7459" w14:textId="77777777">
        <w:trPr>
          <w:trHeight w:val="309"/>
        </w:trPr>
        <w:tc>
          <w:tcPr>
            <w:tcW w:w="709" w:type="dxa"/>
            <w:shd w:val="clear" w:color="auto" w:fill="C6EFCE"/>
            <w:noWrap/>
          </w:tcPr>
          <w:p w14:paraId="13DC3A13" w14:textId="77777777" w:rsidR="006578ED" w:rsidRDefault="00A1618E">
            <w:pPr>
              <w:pStyle w:val="P68B1DB1-Normal13"/>
              <w:spacing w:after="0" w:line="240" w:lineRule="auto"/>
              <w:jc w:val="center"/>
              <w:rPr>
                <w:rFonts w:cs="Times New Roman"/>
                <w:noProof/>
              </w:rPr>
            </w:pPr>
            <w:r>
              <w:rPr>
                <w:noProof/>
              </w:rPr>
              <w:t>76</w:t>
            </w:r>
          </w:p>
        </w:tc>
        <w:tc>
          <w:tcPr>
            <w:tcW w:w="851" w:type="dxa"/>
            <w:shd w:val="clear" w:color="auto" w:fill="C6EFCE"/>
            <w:noWrap/>
          </w:tcPr>
          <w:p w14:paraId="049534DE" w14:textId="77777777" w:rsidR="006578ED" w:rsidRDefault="00A1618E">
            <w:pPr>
              <w:pStyle w:val="P68B1DB1-Normal13"/>
              <w:spacing w:after="0" w:line="240" w:lineRule="auto"/>
              <w:jc w:val="center"/>
              <w:rPr>
                <w:rFonts w:cs="Times New Roman"/>
                <w:noProof/>
              </w:rPr>
            </w:pPr>
            <w:r>
              <w:rPr>
                <w:noProof/>
              </w:rPr>
              <w:t>C5.I1</w:t>
            </w:r>
          </w:p>
        </w:tc>
        <w:tc>
          <w:tcPr>
            <w:tcW w:w="850" w:type="dxa"/>
            <w:shd w:val="clear" w:color="auto" w:fill="C6EFCE"/>
            <w:noWrap/>
          </w:tcPr>
          <w:p w14:paraId="4BD27F86" w14:textId="668EEB97" w:rsidR="006578ED" w:rsidRDefault="00AF6B91">
            <w:pPr>
              <w:pStyle w:val="P68B1DB1-Normal13"/>
              <w:spacing w:after="0" w:line="240" w:lineRule="auto"/>
              <w:jc w:val="center"/>
              <w:rPr>
                <w:rFonts w:cs="Times New Roman"/>
                <w:noProof/>
              </w:rPr>
            </w:pPr>
            <w:r>
              <w:rPr>
                <w:noProof/>
              </w:rPr>
              <w:t>Cel</w:t>
            </w:r>
          </w:p>
        </w:tc>
        <w:tc>
          <w:tcPr>
            <w:tcW w:w="2835" w:type="dxa"/>
            <w:shd w:val="clear" w:color="auto" w:fill="C6EFCE"/>
            <w:noWrap/>
          </w:tcPr>
          <w:p w14:paraId="1CA7A6EA" w14:textId="77777777" w:rsidR="006578ED" w:rsidRDefault="00A1618E">
            <w:pPr>
              <w:pStyle w:val="P68B1DB1-Normal13"/>
              <w:spacing w:after="0" w:line="240" w:lineRule="auto"/>
              <w:rPr>
                <w:rFonts w:cs="Times New Roman"/>
                <w:noProof/>
              </w:rPr>
            </w:pPr>
            <w:r>
              <w:rPr>
                <w:noProof/>
              </w:rPr>
              <w:t xml:space="preserve">Ulepszona infrastruktura wodno-ściekowa </w:t>
            </w:r>
          </w:p>
        </w:tc>
        <w:tc>
          <w:tcPr>
            <w:tcW w:w="993" w:type="dxa"/>
            <w:shd w:val="clear" w:color="auto" w:fill="C6EFCE"/>
            <w:noWrap/>
          </w:tcPr>
          <w:p w14:paraId="36FEB5B0"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1B2052BD" w14:textId="77777777" w:rsidR="006578ED" w:rsidRDefault="00A1618E">
            <w:pPr>
              <w:pStyle w:val="P68B1DB1-Normal13"/>
              <w:spacing w:after="0" w:line="240" w:lineRule="auto"/>
              <w:jc w:val="right"/>
              <w:rPr>
                <w:rFonts w:cs="Times New Roman"/>
                <w:noProof/>
              </w:rPr>
            </w:pPr>
            <w:r>
              <w:rPr>
                <w:noProof/>
              </w:rPr>
              <w:t>Liczba</w:t>
            </w:r>
          </w:p>
          <w:p w14:paraId="4729B1D0" w14:textId="77777777" w:rsidR="006578ED" w:rsidRDefault="00A1618E">
            <w:pPr>
              <w:pStyle w:val="P68B1DB1-Normal13"/>
              <w:spacing w:after="0" w:line="240" w:lineRule="auto"/>
              <w:jc w:val="right"/>
              <w:rPr>
                <w:rFonts w:cs="Times New Roman"/>
                <w:noProof/>
              </w:rPr>
            </w:pPr>
            <w:r>
              <w:rPr>
                <w:noProof/>
              </w:rPr>
              <w:t>(populacja)</w:t>
            </w:r>
          </w:p>
        </w:tc>
        <w:tc>
          <w:tcPr>
            <w:tcW w:w="425" w:type="dxa"/>
            <w:shd w:val="clear" w:color="auto" w:fill="C6EFCE"/>
            <w:noWrap/>
          </w:tcPr>
          <w:p w14:paraId="5F1B12B4" w14:textId="77777777"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1B50CB73" w14:textId="77777777" w:rsidR="006578ED" w:rsidRDefault="00A1618E">
            <w:pPr>
              <w:pStyle w:val="P68B1DB1-Normal13"/>
              <w:spacing w:after="0" w:line="240" w:lineRule="auto"/>
              <w:jc w:val="right"/>
              <w:rPr>
                <w:rFonts w:cs="Times New Roman"/>
                <w:noProof/>
              </w:rPr>
            </w:pPr>
            <w:r>
              <w:rPr>
                <w:noProof/>
              </w:rPr>
              <w:t>175 000</w:t>
            </w:r>
          </w:p>
        </w:tc>
        <w:tc>
          <w:tcPr>
            <w:tcW w:w="425" w:type="dxa"/>
            <w:shd w:val="clear" w:color="auto" w:fill="C6EFCE"/>
            <w:noWrap/>
          </w:tcPr>
          <w:p w14:paraId="6E302E4F" w14:textId="3EDF14F3"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5DA843A6" w14:textId="0D5D49CC" w:rsidR="006578ED" w:rsidRDefault="00A1618E">
            <w:pPr>
              <w:pStyle w:val="P68B1DB1-Normal13"/>
              <w:spacing w:after="0" w:line="240" w:lineRule="auto"/>
              <w:jc w:val="center"/>
              <w:rPr>
                <w:rFonts w:cs="Times New Roman"/>
                <w:noProof/>
              </w:rPr>
            </w:pPr>
            <w:r>
              <w:rPr>
                <w:noProof/>
              </w:rPr>
              <w:t>2023</w:t>
            </w:r>
          </w:p>
        </w:tc>
        <w:tc>
          <w:tcPr>
            <w:tcW w:w="6096" w:type="dxa"/>
            <w:shd w:val="clear" w:color="auto" w:fill="C6EFCE"/>
            <w:noWrap/>
          </w:tcPr>
          <w:p w14:paraId="402BDA6E" w14:textId="52CF926B" w:rsidR="006578ED" w:rsidRDefault="00A1618E">
            <w:pPr>
              <w:pStyle w:val="P68B1DB1-Normal13"/>
              <w:spacing w:after="0" w:line="240" w:lineRule="auto"/>
              <w:rPr>
                <w:rFonts w:cs="Times New Roman"/>
                <w:noProof/>
              </w:rPr>
            </w:pPr>
            <w:r>
              <w:rPr>
                <w:noProof/>
              </w:rPr>
              <w:t>Oddanie do użytku infrastruktury wodno-kanalizacyjnej zapewniającej obsługę na poziomie co najmniej 175000 mieszkańców w celu zapewnienia zgodności z dyrektywą 91/271/EWG i spełnienia kryteriów efektywności energetycznej lub poprawy efektywności lub zmniejszenia strat wody w systemach dystrybucji wody.</w:t>
            </w:r>
          </w:p>
        </w:tc>
      </w:tr>
      <w:tr w:rsidR="006578ED" w14:paraId="00E767E5" w14:textId="77777777">
        <w:trPr>
          <w:trHeight w:val="309"/>
        </w:trPr>
        <w:tc>
          <w:tcPr>
            <w:tcW w:w="709" w:type="dxa"/>
            <w:shd w:val="clear" w:color="auto" w:fill="C6EFCE"/>
            <w:noWrap/>
          </w:tcPr>
          <w:p w14:paraId="0280E385" w14:textId="1ED608DC" w:rsidR="006578ED" w:rsidRDefault="00A1618E">
            <w:pPr>
              <w:pStyle w:val="P68B1DB1-Normal13"/>
              <w:spacing w:after="0" w:line="240" w:lineRule="auto"/>
              <w:jc w:val="center"/>
              <w:rPr>
                <w:rFonts w:cs="Times New Roman"/>
                <w:noProof/>
              </w:rPr>
            </w:pPr>
            <w:r>
              <w:rPr>
                <w:noProof/>
              </w:rPr>
              <w:t>427</w:t>
            </w:r>
          </w:p>
        </w:tc>
        <w:tc>
          <w:tcPr>
            <w:tcW w:w="851" w:type="dxa"/>
            <w:shd w:val="clear" w:color="auto" w:fill="C6EFCE"/>
            <w:noWrap/>
          </w:tcPr>
          <w:p w14:paraId="25A52349" w14:textId="141EA5E8" w:rsidR="006578ED" w:rsidRDefault="00A1618E">
            <w:pPr>
              <w:pStyle w:val="P68B1DB1-Normal13"/>
              <w:spacing w:after="0" w:line="240" w:lineRule="auto"/>
              <w:jc w:val="center"/>
              <w:rPr>
                <w:rFonts w:cs="Times New Roman"/>
                <w:noProof/>
              </w:rPr>
            </w:pPr>
            <w:r>
              <w:rPr>
                <w:noProof/>
              </w:rPr>
              <w:t>C5.I1</w:t>
            </w:r>
          </w:p>
        </w:tc>
        <w:tc>
          <w:tcPr>
            <w:tcW w:w="850" w:type="dxa"/>
            <w:shd w:val="clear" w:color="auto" w:fill="C6EFCE"/>
            <w:noWrap/>
          </w:tcPr>
          <w:p w14:paraId="4B476350" w14:textId="7D89CF50" w:rsidR="006578ED" w:rsidRDefault="00AF6B91">
            <w:pPr>
              <w:pStyle w:val="P68B1DB1-Normal13"/>
              <w:spacing w:after="0" w:line="240" w:lineRule="auto"/>
              <w:jc w:val="center"/>
              <w:rPr>
                <w:rFonts w:cs="Times New Roman"/>
                <w:noProof/>
              </w:rPr>
            </w:pPr>
            <w:r>
              <w:rPr>
                <w:noProof/>
              </w:rPr>
              <w:t>Cel</w:t>
            </w:r>
          </w:p>
        </w:tc>
        <w:tc>
          <w:tcPr>
            <w:tcW w:w="2835" w:type="dxa"/>
            <w:shd w:val="clear" w:color="auto" w:fill="C6EFCE"/>
            <w:noWrap/>
          </w:tcPr>
          <w:p w14:paraId="0CB9E2F6" w14:textId="11B2C0F5" w:rsidR="006578ED" w:rsidRDefault="00A1618E">
            <w:pPr>
              <w:pStyle w:val="P68B1DB1-Normal13"/>
              <w:spacing w:after="0" w:line="240" w:lineRule="auto"/>
              <w:rPr>
                <w:rFonts w:cs="Times New Roman"/>
                <w:noProof/>
              </w:rPr>
            </w:pPr>
            <w:r>
              <w:rPr>
                <w:noProof/>
              </w:rPr>
              <w:t>Ulepszona infrastruktura wodno-ściekowa</w:t>
            </w:r>
          </w:p>
        </w:tc>
        <w:tc>
          <w:tcPr>
            <w:tcW w:w="993" w:type="dxa"/>
            <w:shd w:val="clear" w:color="auto" w:fill="C6EFCE"/>
            <w:noWrap/>
          </w:tcPr>
          <w:p w14:paraId="5244A440"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2E5DFD86" w14:textId="74FA8708" w:rsidR="006578ED" w:rsidRDefault="00A1618E">
            <w:pPr>
              <w:pStyle w:val="P68B1DB1-Normal13"/>
              <w:spacing w:after="0" w:line="240" w:lineRule="auto"/>
              <w:jc w:val="right"/>
              <w:rPr>
                <w:rFonts w:cs="Times New Roman"/>
                <w:noProof/>
              </w:rPr>
            </w:pPr>
            <w:r>
              <w:rPr>
                <w:noProof/>
              </w:rPr>
              <w:t>Liczba (populacja)</w:t>
            </w:r>
          </w:p>
        </w:tc>
        <w:tc>
          <w:tcPr>
            <w:tcW w:w="425" w:type="dxa"/>
            <w:shd w:val="clear" w:color="auto" w:fill="C6EFCE"/>
            <w:noWrap/>
          </w:tcPr>
          <w:p w14:paraId="66D3C216" w14:textId="4A1B400E" w:rsidR="006578ED" w:rsidRDefault="00A1618E">
            <w:pPr>
              <w:pStyle w:val="P68B1DB1-Normal13"/>
              <w:spacing w:after="0" w:line="240" w:lineRule="auto"/>
              <w:jc w:val="right"/>
              <w:rPr>
                <w:rFonts w:cs="Times New Roman"/>
                <w:noProof/>
              </w:rPr>
            </w:pPr>
            <w:r>
              <w:rPr>
                <w:noProof/>
              </w:rPr>
              <w:t>175 000</w:t>
            </w:r>
          </w:p>
        </w:tc>
        <w:tc>
          <w:tcPr>
            <w:tcW w:w="709" w:type="dxa"/>
            <w:shd w:val="clear" w:color="auto" w:fill="C6EFCE"/>
            <w:noWrap/>
          </w:tcPr>
          <w:p w14:paraId="1275468F" w14:textId="77777777" w:rsidR="006578ED" w:rsidRDefault="00A1618E">
            <w:pPr>
              <w:pStyle w:val="P68B1DB1-Normal13"/>
              <w:spacing w:after="0" w:line="240" w:lineRule="auto"/>
              <w:jc w:val="right"/>
              <w:rPr>
                <w:rFonts w:cs="Times New Roman"/>
                <w:noProof/>
              </w:rPr>
            </w:pPr>
            <w:r>
              <w:rPr>
                <w:noProof/>
              </w:rPr>
              <w:t>425 000</w:t>
            </w:r>
          </w:p>
          <w:p w14:paraId="64C9BFF9"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2AD6A892" w14:textId="481C0B82"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080DBF36" w14:textId="5655E14F" w:rsidR="006578ED" w:rsidRDefault="00A1618E">
            <w:pPr>
              <w:pStyle w:val="P68B1DB1-Normal13"/>
              <w:spacing w:after="0" w:line="240" w:lineRule="auto"/>
              <w:jc w:val="center"/>
              <w:rPr>
                <w:rFonts w:cs="Times New Roman"/>
                <w:noProof/>
              </w:rPr>
            </w:pPr>
            <w:r>
              <w:rPr>
                <w:noProof/>
              </w:rPr>
              <w:t>2026</w:t>
            </w:r>
          </w:p>
        </w:tc>
        <w:tc>
          <w:tcPr>
            <w:tcW w:w="6096" w:type="dxa"/>
            <w:shd w:val="clear" w:color="auto" w:fill="C6EFCE"/>
            <w:noWrap/>
          </w:tcPr>
          <w:p w14:paraId="126D29C0" w14:textId="54BB97E1" w:rsidR="006578ED" w:rsidRDefault="00A1618E">
            <w:pPr>
              <w:pStyle w:val="P68B1DB1-Normal13"/>
              <w:spacing w:after="0" w:line="240" w:lineRule="auto"/>
              <w:rPr>
                <w:rFonts w:cs="Times New Roman"/>
                <w:noProof/>
              </w:rPr>
            </w:pPr>
            <w:r>
              <w:rPr>
                <w:noProof/>
              </w:rPr>
              <w:t>Oddanie do użytku infrastruktury wodno-kanalizacyjnej zapewniającej obsługę na poziomie co najmniej 425000 mieszkańców, w celu zapewnienia zgodności z dyrektywą 91/271/EWG i spełnienia kryteriów efektywności energetycznej lub poprawy efektywności lub zmniejszenia strat wody w systemach dystrybucji wody. (Podstawa: 30 czerwca 20</w:t>
            </w:r>
            <w:r w:rsidRPr="00A1618E">
              <w:rPr>
                <w:noProof/>
                <w:lang w:val="pl-PL"/>
              </w:rPr>
              <w:t>23 r.</w:t>
            </w:r>
            <w:r>
              <w:rPr>
                <w:noProof/>
              </w:rPr>
              <w:t xml:space="preserve">). </w:t>
            </w:r>
          </w:p>
        </w:tc>
      </w:tr>
      <w:tr w:rsidR="006578ED" w14:paraId="78916C97" w14:textId="77777777">
        <w:trPr>
          <w:trHeight w:val="309"/>
        </w:trPr>
        <w:tc>
          <w:tcPr>
            <w:tcW w:w="709" w:type="dxa"/>
            <w:shd w:val="clear" w:color="auto" w:fill="C6EFCE"/>
            <w:noWrap/>
          </w:tcPr>
          <w:p w14:paraId="160393C8" w14:textId="42483417" w:rsidR="006578ED" w:rsidRDefault="00A1618E">
            <w:pPr>
              <w:pStyle w:val="P68B1DB1-Normal13"/>
              <w:spacing w:after="0" w:line="240" w:lineRule="auto"/>
              <w:jc w:val="center"/>
              <w:rPr>
                <w:rFonts w:cs="Times New Roman"/>
                <w:noProof/>
              </w:rPr>
            </w:pPr>
            <w:r>
              <w:rPr>
                <w:noProof/>
              </w:rPr>
              <w:t>428</w:t>
            </w:r>
          </w:p>
        </w:tc>
        <w:tc>
          <w:tcPr>
            <w:tcW w:w="851" w:type="dxa"/>
            <w:shd w:val="clear" w:color="auto" w:fill="C6EFCE"/>
            <w:noWrap/>
          </w:tcPr>
          <w:p w14:paraId="22491947" w14:textId="67032E05" w:rsidR="006578ED" w:rsidRDefault="00A1618E">
            <w:pPr>
              <w:pStyle w:val="P68B1DB1-Normal13"/>
              <w:spacing w:after="0" w:line="240" w:lineRule="auto"/>
              <w:jc w:val="center"/>
              <w:rPr>
                <w:rFonts w:cs="Times New Roman"/>
                <w:noProof/>
              </w:rPr>
            </w:pPr>
            <w:r>
              <w:rPr>
                <w:noProof/>
              </w:rPr>
              <w:t>C5.I1</w:t>
            </w:r>
          </w:p>
        </w:tc>
        <w:tc>
          <w:tcPr>
            <w:tcW w:w="850" w:type="dxa"/>
            <w:shd w:val="clear" w:color="auto" w:fill="C6EFCE"/>
            <w:noWrap/>
          </w:tcPr>
          <w:p w14:paraId="695B866B" w14:textId="24D878F0" w:rsidR="006578ED" w:rsidRDefault="00AF6B91">
            <w:pPr>
              <w:pStyle w:val="P68B1DB1-Normal13"/>
              <w:spacing w:after="0" w:line="240" w:lineRule="auto"/>
              <w:jc w:val="center"/>
              <w:rPr>
                <w:rFonts w:cs="Times New Roman"/>
                <w:noProof/>
              </w:rPr>
            </w:pPr>
            <w:r>
              <w:rPr>
                <w:noProof/>
              </w:rPr>
              <w:t>Cel</w:t>
            </w:r>
          </w:p>
        </w:tc>
        <w:tc>
          <w:tcPr>
            <w:tcW w:w="2835" w:type="dxa"/>
            <w:shd w:val="clear" w:color="auto" w:fill="C6EFCE"/>
            <w:noWrap/>
          </w:tcPr>
          <w:p w14:paraId="7740979A" w14:textId="033E4F4E" w:rsidR="006578ED" w:rsidRDefault="00A1618E">
            <w:pPr>
              <w:pStyle w:val="P68B1DB1-Normal13"/>
              <w:spacing w:after="0" w:line="240" w:lineRule="auto"/>
              <w:rPr>
                <w:rFonts w:cs="Times New Roman"/>
                <w:noProof/>
              </w:rPr>
            </w:pPr>
            <w:r>
              <w:rPr>
                <w:noProof/>
              </w:rPr>
              <w:t xml:space="preserve">Ulepszona infrastruktura wodno-ściekowa </w:t>
            </w:r>
          </w:p>
        </w:tc>
        <w:tc>
          <w:tcPr>
            <w:tcW w:w="993" w:type="dxa"/>
            <w:shd w:val="clear" w:color="auto" w:fill="C6EFCE"/>
            <w:noWrap/>
          </w:tcPr>
          <w:p w14:paraId="0404DBE5"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497497DD" w14:textId="66F6BA91" w:rsidR="006578ED" w:rsidRDefault="00A1618E">
            <w:pPr>
              <w:pStyle w:val="P68B1DB1-Normal13"/>
              <w:spacing w:after="0" w:line="240" w:lineRule="auto"/>
              <w:jc w:val="right"/>
              <w:rPr>
                <w:rFonts w:cs="Times New Roman"/>
                <w:noProof/>
              </w:rPr>
            </w:pPr>
            <w:r>
              <w:rPr>
                <w:noProof/>
              </w:rPr>
              <w:t>Liczba (hektary)</w:t>
            </w:r>
          </w:p>
        </w:tc>
        <w:tc>
          <w:tcPr>
            <w:tcW w:w="425" w:type="dxa"/>
            <w:shd w:val="clear" w:color="auto" w:fill="C6EFCE"/>
            <w:noWrap/>
          </w:tcPr>
          <w:p w14:paraId="18F2D18E" w14:textId="22602C10"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365DE703" w14:textId="5E87350E" w:rsidR="006578ED" w:rsidRDefault="00A1618E">
            <w:pPr>
              <w:pStyle w:val="P68B1DB1-Normal13"/>
              <w:spacing w:after="0" w:line="240" w:lineRule="auto"/>
              <w:jc w:val="right"/>
              <w:rPr>
                <w:rFonts w:cs="Times New Roman"/>
                <w:noProof/>
              </w:rPr>
            </w:pPr>
            <w:r>
              <w:rPr>
                <w:noProof/>
              </w:rPr>
              <w:t>18 500</w:t>
            </w:r>
          </w:p>
        </w:tc>
        <w:tc>
          <w:tcPr>
            <w:tcW w:w="425" w:type="dxa"/>
            <w:shd w:val="clear" w:color="auto" w:fill="C6EFCE"/>
            <w:noWrap/>
          </w:tcPr>
          <w:p w14:paraId="4B74414B" w14:textId="4A5BF8AA"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45F9C6F8" w14:textId="4171479E" w:rsidR="006578ED" w:rsidRDefault="00A1618E">
            <w:pPr>
              <w:pStyle w:val="P68B1DB1-Normal13"/>
              <w:spacing w:after="0" w:line="240" w:lineRule="auto"/>
              <w:jc w:val="center"/>
              <w:rPr>
                <w:rFonts w:cs="Times New Roman"/>
                <w:noProof/>
              </w:rPr>
            </w:pPr>
            <w:r>
              <w:rPr>
                <w:noProof/>
              </w:rPr>
              <w:t>2026</w:t>
            </w:r>
          </w:p>
        </w:tc>
        <w:tc>
          <w:tcPr>
            <w:tcW w:w="6096" w:type="dxa"/>
            <w:shd w:val="clear" w:color="auto" w:fill="C6EFCE"/>
            <w:noWrap/>
          </w:tcPr>
          <w:p w14:paraId="1A52E114" w14:textId="5F6D7C6E" w:rsidR="006578ED" w:rsidRDefault="00A1618E">
            <w:pPr>
              <w:pStyle w:val="P68B1DB1-Normal13"/>
              <w:spacing w:after="0" w:line="240" w:lineRule="auto"/>
              <w:rPr>
                <w:rFonts w:cs="Times New Roman"/>
                <w:noProof/>
              </w:rPr>
            </w:pPr>
            <w:r>
              <w:rPr>
                <w:noProof/>
              </w:rPr>
              <w:t xml:space="preserve">Oddanie do użytku wody do ponownego wykorzystania z infrastruktury oczyszczania ścieków w oczyszczalni ścieków w Rincón de León w Alicante, poprawa gospodarki wodnej do celów nawadniania </w:t>
            </w:r>
            <w:r w:rsidRPr="00A1618E">
              <w:rPr>
                <w:noProof/>
                <w:lang w:val="pl-PL"/>
              </w:rPr>
              <w:t>na 1</w:t>
            </w:r>
            <w:r>
              <w:rPr>
                <w:noProof/>
              </w:rPr>
              <w:t xml:space="preserve">8500 hektarów, w celu zapewnienia zgodności z dyrektywą 91/271/EWG i spełnienia kryteriów efektywności energetycznej lub poprawy efektywności lub zmniejszenia strat wody w systemach dystrybucji wody. </w:t>
            </w:r>
          </w:p>
        </w:tc>
      </w:tr>
      <w:tr w:rsidR="006578ED" w14:paraId="6A7BF543" w14:textId="77777777">
        <w:trPr>
          <w:trHeight w:val="309"/>
        </w:trPr>
        <w:tc>
          <w:tcPr>
            <w:tcW w:w="709" w:type="dxa"/>
            <w:shd w:val="clear" w:color="auto" w:fill="C6EFCE"/>
            <w:noWrap/>
          </w:tcPr>
          <w:p w14:paraId="23DB4977" w14:textId="77777777" w:rsidR="006578ED" w:rsidRDefault="00A1618E">
            <w:pPr>
              <w:pStyle w:val="P68B1DB1-Normal13"/>
              <w:spacing w:after="0" w:line="240" w:lineRule="auto"/>
              <w:jc w:val="center"/>
              <w:rPr>
                <w:rFonts w:cs="Times New Roman"/>
                <w:noProof/>
              </w:rPr>
            </w:pPr>
            <w:r>
              <w:rPr>
                <w:noProof/>
              </w:rPr>
              <w:t>77</w:t>
            </w:r>
          </w:p>
        </w:tc>
        <w:tc>
          <w:tcPr>
            <w:tcW w:w="851" w:type="dxa"/>
            <w:shd w:val="clear" w:color="auto" w:fill="C6EFCE"/>
            <w:noWrap/>
          </w:tcPr>
          <w:p w14:paraId="6C1DF220" w14:textId="77777777" w:rsidR="006578ED" w:rsidRDefault="00A1618E">
            <w:pPr>
              <w:pStyle w:val="P68B1DB1-Normal13"/>
              <w:spacing w:after="0" w:line="240" w:lineRule="auto"/>
              <w:jc w:val="center"/>
              <w:rPr>
                <w:rFonts w:cs="Times New Roman"/>
                <w:noProof/>
              </w:rPr>
            </w:pPr>
            <w:r>
              <w:rPr>
                <w:noProof/>
              </w:rPr>
              <w:t>C5.I2</w:t>
            </w:r>
          </w:p>
        </w:tc>
        <w:tc>
          <w:tcPr>
            <w:tcW w:w="850" w:type="dxa"/>
            <w:shd w:val="clear" w:color="auto" w:fill="C6EFCE"/>
            <w:noWrap/>
          </w:tcPr>
          <w:p w14:paraId="4BEBFB89" w14:textId="0730C683" w:rsidR="006578ED" w:rsidRDefault="00AF6B91">
            <w:pPr>
              <w:pStyle w:val="P68B1DB1-Normal13"/>
              <w:spacing w:after="0" w:line="240" w:lineRule="auto"/>
              <w:jc w:val="center"/>
              <w:rPr>
                <w:rFonts w:cs="Times New Roman"/>
                <w:noProof/>
              </w:rPr>
            </w:pPr>
            <w:r>
              <w:rPr>
                <w:noProof/>
              </w:rPr>
              <w:t>Kamień milowy</w:t>
            </w:r>
          </w:p>
        </w:tc>
        <w:tc>
          <w:tcPr>
            <w:tcW w:w="2835" w:type="dxa"/>
            <w:shd w:val="clear" w:color="auto" w:fill="C6EFCE"/>
            <w:noWrap/>
          </w:tcPr>
          <w:p w14:paraId="21723D5B" w14:textId="77777777" w:rsidR="006578ED" w:rsidRDefault="00A1618E">
            <w:pPr>
              <w:pStyle w:val="P68B1DB1-Normal13"/>
              <w:spacing w:after="0" w:line="240" w:lineRule="auto"/>
              <w:rPr>
                <w:rFonts w:cs="Times New Roman"/>
                <w:noProof/>
              </w:rPr>
            </w:pPr>
            <w:r>
              <w:rPr>
                <w:noProof/>
              </w:rPr>
              <w:t>Przywrócenie ochrony brzegów rzek przed ryzykiem powodziowym</w:t>
            </w:r>
          </w:p>
        </w:tc>
        <w:tc>
          <w:tcPr>
            <w:tcW w:w="993" w:type="dxa"/>
            <w:shd w:val="clear" w:color="auto" w:fill="C6EFCE"/>
            <w:noWrap/>
          </w:tcPr>
          <w:p w14:paraId="5FD6348B" w14:textId="77777777" w:rsidR="006578ED" w:rsidRDefault="00A1618E">
            <w:pPr>
              <w:pStyle w:val="P68B1DB1-Normal13"/>
              <w:spacing w:after="0" w:line="240" w:lineRule="auto"/>
              <w:jc w:val="center"/>
              <w:rPr>
                <w:rFonts w:cs="Times New Roman"/>
                <w:noProof/>
              </w:rPr>
            </w:pPr>
            <w:r>
              <w:rPr>
                <w:noProof/>
              </w:rPr>
              <w:t>Certyfikaty podpisane przez MITERD</w:t>
            </w:r>
          </w:p>
        </w:tc>
        <w:tc>
          <w:tcPr>
            <w:tcW w:w="850" w:type="dxa"/>
            <w:shd w:val="clear" w:color="auto" w:fill="C6EFCE"/>
            <w:noWrap/>
          </w:tcPr>
          <w:p w14:paraId="3F8C8A50" w14:textId="77777777" w:rsidR="006578ED" w:rsidRDefault="00A1618E">
            <w:pPr>
              <w:pStyle w:val="P68B1DB1-Normal13"/>
              <w:spacing w:after="0" w:line="240" w:lineRule="auto"/>
              <w:jc w:val="right"/>
              <w:rPr>
                <w:rFonts w:cs="Times New Roman"/>
                <w:noProof/>
              </w:rPr>
            </w:pPr>
            <w:r>
              <w:rPr>
                <w:noProof/>
              </w:rPr>
              <w:t> </w:t>
            </w:r>
          </w:p>
        </w:tc>
        <w:tc>
          <w:tcPr>
            <w:tcW w:w="425" w:type="dxa"/>
            <w:shd w:val="clear" w:color="auto" w:fill="C6EFCE"/>
            <w:noWrap/>
          </w:tcPr>
          <w:p w14:paraId="3CEEED34" w14:textId="77777777" w:rsidR="006578ED" w:rsidRDefault="00A1618E">
            <w:pPr>
              <w:pStyle w:val="P68B1DB1-Normal13"/>
              <w:spacing w:after="0" w:line="240" w:lineRule="auto"/>
              <w:jc w:val="right"/>
              <w:rPr>
                <w:rFonts w:cs="Times New Roman"/>
                <w:noProof/>
              </w:rPr>
            </w:pPr>
            <w:r>
              <w:rPr>
                <w:noProof/>
              </w:rPr>
              <w:t> </w:t>
            </w:r>
          </w:p>
        </w:tc>
        <w:tc>
          <w:tcPr>
            <w:tcW w:w="709" w:type="dxa"/>
            <w:shd w:val="clear" w:color="auto" w:fill="C6EFCE"/>
            <w:noWrap/>
          </w:tcPr>
          <w:p w14:paraId="42F19EF9" w14:textId="77777777" w:rsidR="006578ED" w:rsidRDefault="00A1618E">
            <w:pPr>
              <w:pStyle w:val="P68B1DB1-Normal13"/>
              <w:spacing w:after="0" w:line="240" w:lineRule="auto"/>
              <w:jc w:val="right"/>
              <w:rPr>
                <w:rFonts w:cs="Times New Roman"/>
                <w:noProof/>
              </w:rPr>
            </w:pPr>
            <w:r>
              <w:rPr>
                <w:noProof/>
              </w:rPr>
              <w:t> </w:t>
            </w:r>
          </w:p>
        </w:tc>
        <w:tc>
          <w:tcPr>
            <w:tcW w:w="425" w:type="dxa"/>
            <w:shd w:val="clear" w:color="auto" w:fill="C6EFCE"/>
            <w:noWrap/>
          </w:tcPr>
          <w:p w14:paraId="6136DAB4" w14:textId="7AC64632"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7269043E" w14:textId="77777777" w:rsidR="006578ED" w:rsidRDefault="00A1618E">
            <w:pPr>
              <w:pStyle w:val="P68B1DB1-Normal13"/>
              <w:spacing w:after="0" w:line="240" w:lineRule="auto"/>
              <w:jc w:val="center"/>
              <w:rPr>
                <w:rFonts w:cs="Times New Roman"/>
                <w:noProof/>
              </w:rPr>
            </w:pPr>
            <w:r>
              <w:rPr>
                <w:noProof/>
              </w:rPr>
              <w:t>2022</w:t>
            </w:r>
          </w:p>
        </w:tc>
        <w:tc>
          <w:tcPr>
            <w:tcW w:w="6096" w:type="dxa"/>
            <w:shd w:val="clear" w:color="auto" w:fill="C6EFCE"/>
            <w:noWrap/>
          </w:tcPr>
          <w:p w14:paraId="02044E4F" w14:textId="7F4F6E49" w:rsidR="006578ED" w:rsidRDefault="00A1618E">
            <w:pPr>
              <w:pStyle w:val="P68B1DB1-Normal13"/>
              <w:spacing w:after="0" w:line="240" w:lineRule="auto"/>
              <w:rPr>
                <w:rFonts w:cs="Times New Roman"/>
                <w:noProof/>
              </w:rPr>
            </w:pPr>
            <w:r>
              <w:rPr>
                <w:noProof/>
              </w:rPr>
              <w:t>Odbudowano co najmniej 200 km brzegów rzek i ochronę co najmniej 40000 mieszkańców przed ryzykiem powodziowym.</w:t>
            </w:r>
          </w:p>
        </w:tc>
      </w:tr>
      <w:tr w:rsidR="006578ED" w14:paraId="0B55FCA1" w14:textId="77777777">
        <w:trPr>
          <w:trHeight w:val="309"/>
        </w:trPr>
        <w:tc>
          <w:tcPr>
            <w:tcW w:w="709" w:type="dxa"/>
            <w:shd w:val="clear" w:color="auto" w:fill="C6EFCE"/>
            <w:noWrap/>
          </w:tcPr>
          <w:p w14:paraId="299BFF4E" w14:textId="4E52D3FC" w:rsidR="006578ED" w:rsidRDefault="00A1618E">
            <w:pPr>
              <w:pStyle w:val="P68B1DB1-Normal13"/>
              <w:spacing w:after="0" w:line="240" w:lineRule="auto"/>
              <w:jc w:val="center"/>
              <w:rPr>
                <w:rFonts w:cs="Times New Roman"/>
                <w:noProof/>
              </w:rPr>
            </w:pPr>
            <w:r>
              <w:rPr>
                <w:noProof/>
              </w:rPr>
              <w:t>78</w:t>
            </w:r>
          </w:p>
        </w:tc>
        <w:tc>
          <w:tcPr>
            <w:tcW w:w="851" w:type="dxa"/>
            <w:shd w:val="clear" w:color="auto" w:fill="C6EFCE"/>
            <w:noWrap/>
          </w:tcPr>
          <w:p w14:paraId="580E7276" w14:textId="77777777" w:rsidR="006578ED" w:rsidRDefault="00A1618E">
            <w:pPr>
              <w:pStyle w:val="P68B1DB1-Normal13"/>
              <w:spacing w:after="0" w:line="240" w:lineRule="auto"/>
              <w:jc w:val="center"/>
              <w:rPr>
                <w:rFonts w:cs="Times New Roman"/>
                <w:noProof/>
              </w:rPr>
            </w:pPr>
            <w:r>
              <w:rPr>
                <w:noProof/>
              </w:rPr>
              <w:t>C5.I2</w:t>
            </w:r>
          </w:p>
        </w:tc>
        <w:tc>
          <w:tcPr>
            <w:tcW w:w="850" w:type="dxa"/>
            <w:shd w:val="clear" w:color="auto" w:fill="C6EFCE"/>
            <w:noWrap/>
          </w:tcPr>
          <w:p w14:paraId="4253F6F2" w14:textId="27C48BA8" w:rsidR="006578ED" w:rsidRDefault="00AF6B91">
            <w:pPr>
              <w:pStyle w:val="P68B1DB1-Normal13"/>
              <w:spacing w:after="0" w:line="240" w:lineRule="auto"/>
              <w:jc w:val="center"/>
              <w:rPr>
                <w:rFonts w:cs="Times New Roman"/>
                <w:noProof/>
              </w:rPr>
            </w:pPr>
            <w:r>
              <w:rPr>
                <w:noProof/>
              </w:rPr>
              <w:t>Cel</w:t>
            </w:r>
          </w:p>
        </w:tc>
        <w:tc>
          <w:tcPr>
            <w:tcW w:w="2835" w:type="dxa"/>
            <w:shd w:val="clear" w:color="auto" w:fill="C6EFCE"/>
            <w:noWrap/>
          </w:tcPr>
          <w:p w14:paraId="3F112361" w14:textId="55FACD27" w:rsidR="006578ED" w:rsidRDefault="00A1618E">
            <w:pPr>
              <w:pStyle w:val="P68B1DB1-Normal13"/>
              <w:spacing w:after="0" w:line="240" w:lineRule="auto"/>
              <w:rPr>
                <w:rFonts w:cs="Times New Roman"/>
                <w:noProof/>
              </w:rPr>
            </w:pPr>
            <w:r>
              <w:rPr>
                <w:noProof/>
              </w:rPr>
              <w:t xml:space="preserve">Zmniejszenie objętości wody pobieranej z warstw wodonośnych </w:t>
            </w:r>
          </w:p>
        </w:tc>
        <w:tc>
          <w:tcPr>
            <w:tcW w:w="993" w:type="dxa"/>
            <w:shd w:val="clear" w:color="auto" w:fill="C6EFCE"/>
            <w:noWrap/>
          </w:tcPr>
          <w:p w14:paraId="30D7AA69"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61AB7739" w14:textId="77777777" w:rsidR="006578ED" w:rsidRDefault="00A1618E">
            <w:pPr>
              <w:pStyle w:val="P68B1DB1-Normal13"/>
              <w:spacing w:after="0" w:line="240" w:lineRule="auto"/>
              <w:jc w:val="right"/>
              <w:rPr>
                <w:rFonts w:cs="Times New Roman"/>
                <w:noProof/>
              </w:rPr>
            </w:pPr>
            <w:r>
              <w:rPr>
                <w:noProof/>
              </w:rPr>
              <w:t>Liczba</w:t>
            </w:r>
          </w:p>
          <w:p w14:paraId="6E27ADFB" w14:textId="77777777" w:rsidR="006578ED" w:rsidRDefault="00A1618E">
            <w:pPr>
              <w:pStyle w:val="P68B1DB1-Normal13"/>
              <w:spacing w:after="0" w:line="240" w:lineRule="auto"/>
              <w:jc w:val="right"/>
              <w:rPr>
                <w:rFonts w:cs="Times New Roman"/>
                <w:noProof/>
              </w:rPr>
            </w:pPr>
            <w:r>
              <w:rPr>
                <w:noProof/>
              </w:rPr>
              <w:t>(HM</w:t>
            </w:r>
            <w:r>
              <w:rPr>
                <w:noProof/>
                <w:vertAlign w:val="superscript"/>
              </w:rPr>
              <w:t>3</w:t>
            </w:r>
            <w:r>
              <w:rPr>
                <w:noProof/>
              </w:rPr>
              <w:t>/rok)</w:t>
            </w:r>
          </w:p>
        </w:tc>
        <w:tc>
          <w:tcPr>
            <w:tcW w:w="425" w:type="dxa"/>
            <w:shd w:val="clear" w:color="auto" w:fill="C6EFCE"/>
            <w:noWrap/>
          </w:tcPr>
          <w:p w14:paraId="71AFE04B" w14:textId="77777777" w:rsidR="006578ED" w:rsidRDefault="00A1618E">
            <w:pPr>
              <w:pStyle w:val="P68B1DB1-Normal13"/>
              <w:spacing w:after="0" w:line="240" w:lineRule="auto"/>
              <w:jc w:val="right"/>
              <w:rPr>
                <w:rFonts w:cs="Times New Roman"/>
                <w:noProof/>
              </w:rPr>
            </w:pPr>
            <w:r>
              <w:rPr>
                <w:noProof/>
              </w:rPr>
              <w:t>510</w:t>
            </w:r>
          </w:p>
        </w:tc>
        <w:tc>
          <w:tcPr>
            <w:tcW w:w="709" w:type="dxa"/>
            <w:shd w:val="clear" w:color="auto" w:fill="C6EFCE"/>
            <w:noWrap/>
          </w:tcPr>
          <w:p w14:paraId="611E64A3" w14:textId="6DEC8A1F" w:rsidR="006578ED" w:rsidRDefault="00A1618E">
            <w:pPr>
              <w:pStyle w:val="P68B1DB1-Normal13"/>
              <w:spacing w:after="0" w:line="240" w:lineRule="auto"/>
              <w:jc w:val="right"/>
              <w:rPr>
                <w:rFonts w:cs="Times New Roman"/>
                <w:noProof/>
              </w:rPr>
            </w:pPr>
            <w:r>
              <w:rPr>
                <w:noProof/>
              </w:rPr>
              <w:t>470</w:t>
            </w:r>
          </w:p>
        </w:tc>
        <w:tc>
          <w:tcPr>
            <w:tcW w:w="425" w:type="dxa"/>
            <w:shd w:val="clear" w:color="auto" w:fill="C6EFCE"/>
            <w:noWrap/>
          </w:tcPr>
          <w:p w14:paraId="577E0A3D" w14:textId="7DA72360"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5D71C2FD" w14:textId="03EEAC8E" w:rsidR="006578ED" w:rsidRDefault="00A1618E">
            <w:pPr>
              <w:pStyle w:val="P68B1DB1-Normal13"/>
              <w:spacing w:after="0" w:line="240" w:lineRule="auto"/>
              <w:jc w:val="center"/>
              <w:rPr>
                <w:rFonts w:cs="Times New Roman"/>
                <w:noProof/>
              </w:rPr>
            </w:pPr>
            <w:r>
              <w:rPr>
                <w:noProof/>
              </w:rPr>
              <w:t>2025</w:t>
            </w:r>
          </w:p>
        </w:tc>
        <w:tc>
          <w:tcPr>
            <w:tcW w:w="6096" w:type="dxa"/>
            <w:shd w:val="clear" w:color="auto" w:fill="C6EFCE"/>
            <w:noWrap/>
          </w:tcPr>
          <w:p w14:paraId="3738FB87" w14:textId="52BC29DA" w:rsidR="006578ED" w:rsidRDefault="00A1618E">
            <w:pPr>
              <w:pStyle w:val="P68B1DB1-Normal13"/>
              <w:spacing w:after="0" w:line="240" w:lineRule="auto"/>
              <w:rPr>
                <w:rFonts w:cs="Times New Roman"/>
                <w:noProof/>
              </w:rPr>
            </w:pPr>
            <w:r>
              <w:rPr>
                <w:noProof/>
              </w:rPr>
              <w:t>Zmniejszenie rocznej ilości wody pobieranej z warstw wodonośnych znajdujących się w Doñana, Segura-Mar Menor, Mancha Oriental oraz Reguły z 510</w:t>
            </w:r>
            <w:r>
              <w:rPr>
                <w:noProof/>
                <w:vertAlign w:val="superscript"/>
              </w:rPr>
              <w:t>godz.</w:t>
            </w:r>
            <w:r>
              <w:rPr>
                <w:noProof/>
              </w:rPr>
              <w:t xml:space="preserve">3/rok </w:t>
            </w:r>
            <w:r w:rsidRPr="00A1618E">
              <w:rPr>
                <w:noProof/>
                <w:lang w:val="pl-PL"/>
              </w:rPr>
              <w:t>do 4</w:t>
            </w:r>
            <w:r>
              <w:rPr>
                <w:noProof/>
              </w:rPr>
              <w:t>70</w:t>
            </w:r>
            <w:r>
              <w:rPr>
                <w:noProof/>
                <w:vertAlign w:val="superscript"/>
              </w:rPr>
              <w:t>godz.</w:t>
            </w:r>
            <w:r>
              <w:rPr>
                <w:noProof/>
              </w:rPr>
              <w:t>3/rok.</w:t>
            </w:r>
          </w:p>
        </w:tc>
      </w:tr>
      <w:tr w:rsidR="006578ED" w14:paraId="7E0E198C" w14:textId="77777777">
        <w:trPr>
          <w:trHeight w:val="309"/>
        </w:trPr>
        <w:tc>
          <w:tcPr>
            <w:tcW w:w="709" w:type="dxa"/>
            <w:shd w:val="clear" w:color="auto" w:fill="C6EFCE"/>
            <w:noWrap/>
          </w:tcPr>
          <w:p w14:paraId="6A7DEE54" w14:textId="24F76C24" w:rsidR="006578ED" w:rsidRDefault="00A1618E">
            <w:pPr>
              <w:pStyle w:val="P68B1DB1-Normal13"/>
              <w:spacing w:after="0" w:line="240" w:lineRule="auto"/>
              <w:jc w:val="center"/>
              <w:rPr>
                <w:rFonts w:cs="Times New Roman"/>
                <w:noProof/>
              </w:rPr>
            </w:pPr>
            <w:r>
              <w:rPr>
                <w:noProof/>
              </w:rPr>
              <w:t>429</w:t>
            </w:r>
          </w:p>
        </w:tc>
        <w:tc>
          <w:tcPr>
            <w:tcW w:w="851" w:type="dxa"/>
            <w:shd w:val="clear" w:color="auto" w:fill="C6EFCE"/>
            <w:noWrap/>
          </w:tcPr>
          <w:p w14:paraId="7C2CF9C2" w14:textId="42FC58C0" w:rsidR="006578ED" w:rsidRDefault="00A1618E">
            <w:pPr>
              <w:pStyle w:val="P68B1DB1-Normal13"/>
              <w:spacing w:after="0" w:line="240" w:lineRule="auto"/>
              <w:jc w:val="center"/>
              <w:rPr>
                <w:rFonts w:cs="Times New Roman"/>
                <w:noProof/>
              </w:rPr>
            </w:pPr>
            <w:r>
              <w:rPr>
                <w:noProof/>
              </w:rPr>
              <w:t>C5.I2</w:t>
            </w:r>
          </w:p>
        </w:tc>
        <w:tc>
          <w:tcPr>
            <w:tcW w:w="850" w:type="dxa"/>
            <w:shd w:val="clear" w:color="auto" w:fill="C6EFCE"/>
            <w:noWrap/>
          </w:tcPr>
          <w:p w14:paraId="6476813C" w14:textId="237599E5" w:rsidR="006578ED" w:rsidRDefault="00AF6B91">
            <w:pPr>
              <w:pStyle w:val="P68B1DB1-Normal13"/>
              <w:spacing w:after="0" w:line="240" w:lineRule="auto"/>
              <w:jc w:val="center"/>
              <w:rPr>
                <w:rFonts w:cs="Times New Roman"/>
                <w:noProof/>
              </w:rPr>
            </w:pPr>
            <w:r>
              <w:rPr>
                <w:noProof/>
              </w:rPr>
              <w:t>Kamień milowy</w:t>
            </w:r>
          </w:p>
        </w:tc>
        <w:tc>
          <w:tcPr>
            <w:tcW w:w="2835" w:type="dxa"/>
            <w:shd w:val="clear" w:color="auto" w:fill="C6EFCE"/>
            <w:noWrap/>
          </w:tcPr>
          <w:p w14:paraId="3148BB15" w14:textId="492E691A" w:rsidR="006578ED" w:rsidRDefault="00A1618E">
            <w:pPr>
              <w:pStyle w:val="P68B1DB1-Normal13"/>
              <w:spacing w:after="0" w:line="240" w:lineRule="auto"/>
              <w:rPr>
                <w:rFonts w:cs="Times New Roman"/>
                <w:noProof/>
              </w:rPr>
            </w:pPr>
            <w:r>
              <w:rPr>
                <w:noProof/>
              </w:rPr>
              <w:t>Dostawa energii fotowoltaicznej do zakładów odsalania i jej dystrybucja</w:t>
            </w:r>
          </w:p>
        </w:tc>
        <w:tc>
          <w:tcPr>
            <w:tcW w:w="993" w:type="dxa"/>
            <w:shd w:val="clear" w:color="auto" w:fill="C6EFCE"/>
            <w:noWrap/>
          </w:tcPr>
          <w:p w14:paraId="4E3DD7C4" w14:textId="4D3FFD06" w:rsidR="006578ED" w:rsidRDefault="00A1618E">
            <w:pPr>
              <w:pStyle w:val="P68B1DB1-Normal13"/>
              <w:spacing w:after="0" w:line="240" w:lineRule="auto"/>
              <w:jc w:val="center"/>
              <w:rPr>
                <w:rFonts w:cs="Times New Roman"/>
                <w:noProof/>
              </w:rPr>
            </w:pPr>
            <w:r>
              <w:rPr>
                <w:noProof/>
              </w:rPr>
              <w:t>Sprawozdanie zewnętrzne poświadczające oszczędności</w:t>
            </w:r>
          </w:p>
        </w:tc>
        <w:tc>
          <w:tcPr>
            <w:tcW w:w="850" w:type="dxa"/>
            <w:shd w:val="clear" w:color="auto" w:fill="C6EFCE"/>
            <w:noWrap/>
          </w:tcPr>
          <w:p w14:paraId="358B4A74"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3BB40C39"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0545B682"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5E775DDC" w14:textId="2D47F44A"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2458A973" w14:textId="20CC9F6A" w:rsidR="006578ED" w:rsidRDefault="00A1618E">
            <w:pPr>
              <w:pStyle w:val="P68B1DB1-Normal13"/>
              <w:spacing w:after="0" w:line="240" w:lineRule="auto"/>
              <w:jc w:val="center"/>
              <w:rPr>
                <w:rFonts w:cs="Times New Roman"/>
                <w:noProof/>
              </w:rPr>
            </w:pPr>
            <w:r>
              <w:rPr>
                <w:noProof/>
              </w:rPr>
              <w:t>2026</w:t>
            </w:r>
          </w:p>
        </w:tc>
        <w:tc>
          <w:tcPr>
            <w:tcW w:w="6096" w:type="dxa"/>
            <w:shd w:val="clear" w:color="auto" w:fill="C6EFCE"/>
            <w:noWrap/>
          </w:tcPr>
          <w:p w14:paraId="78696329" w14:textId="0B7C6FEB" w:rsidR="006578ED" w:rsidRDefault="00A1618E">
            <w:pPr>
              <w:pStyle w:val="P68B1DB1-Normal13"/>
              <w:spacing w:after="0" w:line="240" w:lineRule="auto"/>
              <w:rPr>
                <w:rFonts w:cs="Times New Roman"/>
                <w:noProof/>
              </w:rPr>
            </w:pPr>
            <w:r>
              <w:rPr>
                <w:noProof/>
              </w:rPr>
              <w:t xml:space="preserve">Zastąpić 35 % energii zużywanej w zakładach odsalania wody w Murcji i Almerii (Torrevieja, Valdelentisco, Águilas Carboneras, Bajo Almanzora i Campo de Dalias) oraz transport wody między Júcar-Vinalopó w drodze konsumpcji własnej energii fotowoltaicznej. </w:t>
            </w:r>
          </w:p>
        </w:tc>
      </w:tr>
      <w:tr w:rsidR="006578ED" w14:paraId="4204513B" w14:textId="77777777">
        <w:trPr>
          <w:trHeight w:val="309"/>
        </w:trPr>
        <w:tc>
          <w:tcPr>
            <w:tcW w:w="709" w:type="dxa"/>
            <w:shd w:val="clear" w:color="auto" w:fill="C6EFCE"/>
            <w:noWrap/>
          </w:tcPr>
          <w:p w14:paraId="454C5040" w14:textId="7249954A" w:rsidR="006578ED" w:rsidRDefault="00A1618E">
            <w:pPr>
              <w:pStyle w:val="P68B1DB1-Normal13"/>
              <w:spacing w:after="0" w:line="240" w:lineRule="auto"/>
              <w:jc w:val="center"/>
              <w:rPr>
                <w:rFonts w:cs="Times New Roman"/>
                <w:noProof/>
              </w:rPr>
            </w:pPr>
            <w:r>
              <w:rPr>
                <w:noProof/>
              </w:rPr>
              <w:t>430</w:t>
            </w:r>
          </w:p>
        </w:tc>
        <w:tc>
          <w:tcPr>
            <w:tcW w:w="851" w:type="dxa"/>
            <w:shd w:val="clear" w:color="auto" w:fill="C6EFCE"/>
            <w:noWrap/>
          </w:tcPr>
          <w:p w14:paraId="1BAF7D32" w14:textId="0BF1273B" w:rsidR="006578ED" w:rsidRDefault="00A1618E">
            <w:pPr>
              <w:pStyle w:val="P68B1DB1-Normal13"/>
              <w:spacing w:after="0" w:line="240" w:lineRule="auto"/>
              <w:jc w:val="center"/>
              <w:rPr>
                <w:rFonts w:cs="Times New Roman"/>
                <w:noProof/>
              </w:rPr>
            </w:pPr>
            <w:r>
              <w:rPr>
                <w:noProof/>
              </w:rPr>
              <w:t>C5.I3</w:t>
            </w:r>
          </w:p>
        </w:tc>
        <w:tc>
          <w:tcPr>
            <w:tcW w:w="850" w:type="dxa"/>
            <w:shd w:val="clear" w:color="auto" w:fill="C6EFCE"/>
            <w:noWrap/>
          </w:tcPr>
          <w:p w14:paraId="3662A7C1" w14:textId="47257AE5" w:rsidR="006578ED" w:rsidRDefault="00AF6B91">
            <w:pPr>
              <w:pStyle w:val="P68B1DB1-Normal13"/>
              <w:spacing w:after="0" w:line="240" w:lineRule="auto"/>
              <w:jc w:val="center"/>
              <w:rPr>
                <w:rFonts w:cs="Times New Roman"/>
                <w:noProof/>
              </w:rPr>
            </w:pPr>
            <w:r>
              <w:rPr>
                <w:noProof/>
              </w:rPr>
              <w:t>Kamień milowy</w:t>
            </w:r>
          </w:p>
        </w:tc>
        <w:tc>
          <w:tcPr>
            <w:tcW w:w="2835" w:type="dxa"/>
            <w:shd w:val="clear" w:color="auto" w:fill="C6EFCE"/>
            <w:noWrap/>
          </w:tcPr>
          <w:p w14:paraId="01CA609F" w14:textId="05E72970" w:rsidR="006578ED" w:rsidRDefault="00A1618E">
            <w:pPr>
              <w:pStyle w:val="P68B1DB1-Normal13"/>
              <w:spacing w:after="0" w:line="240" w:lineRule="auto"/>
              <w:rPr>
                <w:rFonts w:cs="Times New Roman"/>
                <w:noProof/>
              </w:rPr>
            </w:pPr>
            <w:r>
              <w:rPr>
                <w:noProof/>
              </w:rPr>
              <w:t>Działania w zakresie PERTE na rzecz cyfryzacji użytkowników wody</w:t>
            </w:r>
          </w:p>
        </w:tc>
        <w:tc>
          <w:tcPr>
            <w:tcW w:w="993" w:type="dxa"/>
            <w:shd w:val="clear" w:color="auto" w:fill="C6EFCE"/>
            <w:noWrap/>
          </w:tcPr>
          <w:p w14:paraId="4BE96E81" w14:textId="23602FAB" w:rsidR="006578ED" w:rsidRDefault="00A1618E">
            <w:pPr>
              <w:pStyle w:val="P68B1DB1-Normal13"/>
              <w:spacing w:after="0" w:line="240" w:lineRule="auto"/>
              <w:jc w:val="center"/>
              <w:rPr>
                <w:rFonts w:cs="Times New Roman"/>
                <w:noProof/>
              </w:rPr>
            </w:pPr>
            <w:r>
              <w:rPr>
                <w:noProof/>
              </w:rPr>
              <w:t>Oficjalne powiadomienie o ukończonych pracach</w:t>
            </w:r>
          </w:p>
        </w:tc>
        <w:tc>
          <w:tcPr>
            <w:tcW w:w="850" w:type="dxa"/>
            <w:shd w:val="clear" w:color="auto" w:fill="C6EFCE"/>
            <w:noWrap/>
          </w:tcPr>
          <w:p w14:paraId="5541344A"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417FDB2A"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6107C3C1"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01EDB9BB" w14:textId="370986CE"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17FADCA7" w14:textId="2382CF14" w:rsidR="006578ED" w:rsidRDefault="00A1618E">
            <w:pPr>
              <w:pStyle w:val="P68B1DB1-Normal13"/>
              <w:spacing w:after="0" w:line="240" w:lineRule="auto"/>
              <w:jc w:val="center"/>
              <w:rPr>
                <w:rFonts w:cs="Times New Roman"/>
                <w:noProof/>
              </w:rPr>
            </w:pPr>
            <w:r>
              <w:rPr>
                <w:noProof/>
              </w:rPr>
              <w:t>2026</w:t>
            </w:r>
          </w:p>
        </w:tc>
        <w:tc>
          <w:tcPr>
            <w:tcW w:w="6096" w:type="dxa"/>
            <w:shd w:val="clear" w:color="auto" w:fill="C6EFCE"/>
            <w:noWrap/>
          </w:tcPr>
          <w:p w14:paraId="0DEFC279" w14:textId="359D1471" w:rsidR="006578ED" w:rsidRDefault="00A1618E">
            <w:pPr>
              <w:pStyle w:val="P68B1DB1-Normal13"/>
              <w:spacing w:after="0" w:line="240" w:lineRule="auto"/>
              <w:rPr>
                <w:rFonts w:cs="Times New Roman"/>
                <w:noProof/>
              </w:rPr>
            </w:pPr>
            <w:r>
              <w:rPr>
                <w:noProof/>
              </w:rPr>
              <w:t>Co najmniej 5000000 mieszkańców korzystających z uruchomienia projektów cyfryzacji miejskiego cyklu wodnego i co najmniej 200000 hektarów korzystających z cyfrowego zestawu do nawadniania w ramach PERTE na potrzeby cyfryzacji wykorzystania wody.</w:t>
            </w:r>
          </w:p>
        </w:tc>
      </w:tr>
      <w:tr w:rsidR="006578ED" w14:paraId="15BF41AD" w14:textId="77777777">
        <w:trPr>
          <w:trHeight w:val="309"/>
        </w:trPr>
        <w:tc>
          <w:tcPr>
            <w:tcW w:w="709" w:type="dxa"/>
            <w:shd w:val="clear" w:color="auto" w:fill="C6EFCE"/>
            <w:noWrap/>
          </w:tcPr>
          <w:p w14:paraId="43F02807" w14:textId="06550A44" w:rsidR="006578ED" w:rsidRDefault="00A1618E">
            <w:pPr>
              <w:pStyle w:val="P68B1DB1-Normal13"/>
              <w:spacing w:after="0" w:line="240" w:lineRule="auto"/>
              <w:jc w:val="center"/>
              <w:rPr>
                <w:rFonts w:cs="Times New Roman"/>
                <w:noProof/>
              </w:rPr>
            </w:pPr>
            <w:r>
              <w:rPr>
                <w:noProof/>
              </w:rPr>
              <w:t xml:space="preserve">79 </w:t>
            </w:r>
          </w:p>
        </w:tc>
        <w:tc>
          <w:tcPr>
            <w:tcW w:w="851" w:type="dxa"/>
            <w:shd w:val="clear" w:color="auto" w:fill="C6EFCE"/>
            <w:noWrap/>
          </w:tcPr>
          <w:p w14:paraId="69C258CB" w14:textId="77777777" w:rsidR="006578ED" w:rsidRDefault="00A1618E">
            <w:pPr>
              <w:pStyle w:val="P68B1DB1-Normal13"/>
              <w:spacing w:after="0" w:line="240" w:lineRule="auto"/>
              <w:jc w:val="center"/>
              <w:rPr>
                <w:rFonts w:cs="Times New Roman"/>
                <w:noProof/>
              </w:rPr>
            </w:pPr>
            <w:r>
              <w:rPr>
                <w:noProof/>
              </w:rPr>
              <w:t>C5.I3</w:t>
            </w:r>
          </w:p>
        </w:tc>
        <w:tc>
          <w:tcPr>
            <w:tcW w:w="850" w:type="dxa"/>
            <w:shd w:val="clear" w:color="auto" w:fill="C6EFCE"/>
            <w:noWrap/>
          </w:tcPr>
          <w:p w14:paraId="0B4835D4" w14:textId="09B26657" w:rsidR="006578ED" w:rsidRDefault="00AF6B91">
            <w:pPr>
              <w:pStyle w:val="P68B1DB1-Normal13"/>
              <w:spacing w:after="0" w:line="240" w:lineRule="auto"/>
              <w:jc w:val="center"/>
              <w:rPr>
                <w:rFonts w:cs="Times New Roman"/>
                <w:noProof/>
              </w:rPr>
            </w:pPr>
            <w:r>
              <w:rPr>
                <w:noProof/>
              </w:rPr>
              <w:t>Kamień milowy</w:t>
            </w:r>
          </w:p>
        </w:tc>
        <w:tc>
          <w:tcPr>
            <w:tcW w:w="2835" w:type="dxa"/>
            <w:shd w:val="clear" w:color="auto" w:fill="C6EFCE"/>
            <w:noWrap/>
          </w:tcPr>
          <w:p w14:paraId="1B2C2561" w14:textId="605C3A3B" w:rsidR="006578ED" w:rsidRDefault="00A1618E">
            <w:pPr>
              <w:pStyle w:val="P68B1DB1-Normal13"/>
              <w:spacing w:after="0" w:line="240" w:lineRule="auto"/>
              <w:rPr>
                <w:rFonts w:cs="Times New Roman"/>
                <w:noProof/>
              </w:rPr>
            </w:pPr>
            <w:r>
              <w:rPr>
                <w:noProof/>
              </w:rPr>
              <w:t xml:space="preserve">Udzielanie zamówień na wdrożenie narzędzi służących poprawie wiedzy i wykorzystaniu zasobów wodnych oraz monitorowaniu opadów deszczu i innych danych meteorologicznych </w:t>
            </w:r>
          </w:p>
        </w:tc>
        <w:tc>
          <w:tcPr>
            <w:tcW w:w="993" w:type="dxa"/>
            <w:shd w:val="clear" w:color="auto" w:fill="C6EFCE"/>
            <w:noWrap/>
          </w:tcPr>
          <w:p w14:paraId="674C043C" w14:textId="2177AD92" w:rsidR="006578ED" w:rsidRDefault="00A1618E">
            <w:pPr>
              <w:pStyle w:val="P68B1DB1-Normal13"/>
              <w:spacing w:after="0" w:line="240" w:lineRule="auto"/>
              <w:jc w:val="center"/>
              <w:rPr>
                <w:rFonts w:cs="Times New Roman"/>
                <w:noProof/>
              </w:rPr>
            </w:pPr>
            <w:r>
              <w:rPr>
                <w:noProof/>
              </w:rPr>
              <w:t>Udzielone zamówienia</w:t>
            </w:r>
          </w:p>
        </w:tc>
        <w:tc>
          <w:tcPr>
            <w:tcW w:w="850" w:type="dxa"/>
            <w:shd w:val="clear" w:color="auto" w:fill="C6EFCE"/>
            <w:noWrap/>
          </w:tcPr>
          <w:p w14:paraId="4D855984" w14:textId="77777777" w:rsidR="006578ED" w:rsidRDefault="00A1618E">
            <w:pPr>
              <w:pStyle w:val="P68B1DB1-Normal13"/>
              <w:spacing w:after="0" w:line="240" w:lineRule="auto"/>
              <w:jc w:val="right"/>
              <w:rPr>
                <w:rFonts w:cs="Times New Roman"/>
                <w:noProof/>
              </w:rPr>
            </w:pPr>
            <w:r>
              <w:rPr>
                <w:noProof/>
              </w:rPr>
              <w:t> </w:t>
            </w:r>
          </w:p>
        </w:tc>
        <w:tc>
          <w:tcPr>
            <w:tcW w:w="425" w:type="dxa"/>
            <w:shd w:val="clear" w:color="auto" w:fill="C6EFCE"/>
            <w:noWrap/>
          </w:tcPr>
          <w:p w14:paraId="6CE2FCB8" w14:textId="77777777" w:rsidR="006578ED" w:rsidRDefault="00A1618E">
            <w:pPr>
              <w:pStyle w:val="P68B1DB1-Normal13"/>
              <w:spacing w:after="0" w:line="240" w:lineRule="auto"/>
              <w:jc w:val="right"/>
              <w:rPr>
                <w:rFonts w:cs="Times New Roman"/>
                <w:noProof/>
              </w:rPr>
            </w:pPr>
            <w:r>
              <w:rPr>
                <w:noProof/>
              </w:rPr>
              <w:t> </w:t>
            </w:r>
          </w:p>
        </w:tc>
        <w:tc>
          <w:tcPr>
            <w:tcW w:w="709" w:type="dxa"/>
            <w:shd w:val="clear" w:color="auto" w:fill="C6EFCE"/>
            <w:noWrap/>
          </w:tcPr>
          <w:p w14:paraId="6A84B78A" w14:textId="77777777" w:rsidR="006578ED" w:rsidRDefault="00A1618E">
            <w:pPr>
              <w:pStyle w:val="P68B1DB1-Normal13"/>
              <w:spacing w:after="0" w:line="240" w:lineRule="auto"/>
              <w:jc w:val="right"/>
              <w:rPr>
                <w:rFonts w:cs="Times New Roman"/>
                <w:noProof/>
              </w:rPr>
            </w:pPr>
            <w:r>
              <w:rPr>
                <w:noProof/>
              </w:rPr>
              <w:t> </w:t>
            </w:r>
          </w:p>
        </w:tc>
        <w:tc>
          <w:tcPr>
            <w:tcW w:w="425" w:type="dxa"/>
            <w:shd w:val="clear" w:color="auto" w:fill="C6EFCE"/>
            <w:noWrap/>
          </w:tcPr>
          <w:p w14:paraId="233DE13E" w14:textId="2EF4B5B4"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1C934F3F" w14:textId="2E968EB1" w:rsidR="006578ED" w:rsidRDefault="00A1618E">
            <w:pPr>
              <w:pStyle w:val="P68B1DB1-Normal13"/>
              <w:spacing w:after="0" w:line="240" w:lineRule="auto"/>
              <w:jc w:val="center"/>
              <w:rPr>
                <w:rFonts w:cs="Times New Roman"/>
                <w:noProof/>
              </w:rPr>
            </w:pPr>
            <w:r>
              <w:rPr>
                <w:noProof/>
              </w:rPr>
              <w:t>2023</w:t>
            </w:r>
          </w:p>
        </w:tc>
        <w:tc>
          <w:tcPr>
            <w:tcW w:w="6096" w:type="dxa"/>
            <w:shd w:val="clear" w:color="auto" w:fill="C6EFCE"/>
            <w:noWrap/>
          </w:tcPr>
          <w:p w14:paraId="43D09E20" w14:textId="52A2BDDD" w:rsidR="006578ED" w:rsidRDefault="00A1618E">
            <w:pPr>
              <w:pStyle w:val="P68B1DB1-Normal13"/>
              <w:spacing w:after="0" w:line="240" w:lineRule="auto"/>
              <w:rPr>
                <w:rFonts w:cs="Times New Roman"/>
                <w:noProof/>
              </w:rPr>
            </w:pPr>
            <w:r>
              <w:rPr>
                <w:noProof/>
              </w:rPr>
              <w:t>Udzielanie zamówień na wdrożenie 26 narzędzi lub odnowionej infrastruktury w celu poprawy wiedzy i wykorzystania zasobów wodnych oraz monitorowania opadów deszczu i innych danych meteorologicznych w celu zapobiegania zagrożeniom klimatycznym. Działania te dotyczą przede wszystkim opracowania i wdrożenia elektronicznego rejestru wody, zarządzania danymi hydrologicznymi i jakością wody, digitalizacji przetwarzania plików oraz modernizacji lotniczej sieci nadzoru meteorologicznego.</w:t>
            </w:r>
          </w:p>
        </w:tc>
      </w:tr>
      <w:tr w:rsidR="006578ED" w14:paraId="45F41C16" w14:textId="77777777">
        <w:trPr>
          <w:trHeight w:val="309"/>
        </w:trPr>
        <w:tc>
          <w:tcPr>
            <w:tcW w:w="709" w:type="dxa"/>
            <w:shd w:val="clear" w:color="auto" w:fill="C6EFCE"/>
            <w:noWrap/>
          </w:tcPr>
          <w:p w14:paraId="38F3D7FE" w14:textId="16B5EE7E" w:rsidR="006578ED" w:rsidRDefault="00A1618E">
            <w:pPr>
              <w:pStyle w:val="P68B1DB1-Normal13"/>
              <w:spacing w:after="0" w:line="240" w:lineRule="auto"/>
              <w:jc w:val="center"/>
              <w:rPr>
                <w:rFonts w:cs="Times New Roman"/>
                <w:noProof/>
              </w:rPr>
            </w:pPr>
            <w:r>
              <w:rPr>
                <w:noProof/>
              </w:rPr>
              <w:t>426</w:t>
            </w:r>
          </w:p>
        </w:tc>
        <w:tc>
          <w:tcPr>
            <w:tcW w:w="851" w:type="dxa"/>
            <w:shd w:val="clear" w:color="auto" w:fill="C6EFCE"/>
            <w:noWrap/>
          </w:tcPr>
          <w:p w14:paraId="7DB1F380" w14:textId="3104BA05" w:rsidR="006578ED" w:rsidRDefault="00A1618E">
            <w:pPr>
              <w:pStyle w:val="P68B1DB1-Normal13"/>
              <w:spacing w:after="0" w:line="240" w:lineRule="auto"/>
              <w:jc w:val="center"/>
              <w:rPr>
                <w:rFonts w:cs="Times New Roman"/>
                <w:noProof/>
              </w:rPr>
            </w:pPr>
            <w:r>
              <w:rPr>
                <w:noProof/>
              </w:rPr>
              <w:t>C5.I3</w:t>
            </w:r>
          </w:p>
        </w:tc>
        <w:tc>
          <w:tcPr>
            <w:tcW w:w="850" w:type="dxa"/>
            <w:shd w:val="clear" w:color="auto" w:fill="C6EFCE"/>
            <w:noWrap/>
          </w:tcPr>
          <w:p w14:paraId="2ED7799A" w14:textId="31AF781D" w:rsidR="006578ED" w:rsidRDefault="00AF6B91">
            <w:pPr>
              <w:pStyle w:val="P68B1DB1-Normal13"/>
              <w:spacing w:after="0" w:line="240" w:lineRule="auto"/>
              <w:jc w:val="center"/>
              <w:rPr>
                <w:rFonts w:cs="Times New Roman"/>
                <w:noProof/>
              </w:rPr>
            </w:pPr>
            <w:r>
              <w:rPr>
                <w:noProof/>
              </w:rPr>
              <w:t>Kamień milowy</w:t>
            </w:r>
          </w:p>
        </w:tc>
        <w:tc>
          <w:tcPr>
            <w:tcW w:w="2835" w:type="dxa"/>
            <w:shd w:val="clear" w:color="auto" w:fill="C6EFCE"/>
            <w:noWrap/>
          </w:tcPr>
          <w:p w14:paraId="1B60C56A" w14:textId="79D387AA" w:rsidR="006578ED" w:rsidRDefault="00A1618E">
            <w:pPr>
              <w:pStyle w:val="P68B1DB1-Normal13"/>
              <w:spacing w:after="0" w:line="240" w:lineRule="auto"/>
              <w:rPr>
                <w:rFonts w:cs="Times New Roman"/>
                <w:noProof/>
              </w:rPr>
            </w:pPr>
            <w:r>
              <w:rPr>
                <w:noProof/>
              </w:rPr>
              <w:t>Oddanie do użytku narzędzi służących poprawie znajomości i wykorzystania zasobów wodnych oraz monitorowaniu opadów deszczu i innych danych meteorologicznych</w:t>
            </w:r>
          </w:p>
        </w:tc>
        <w:tc>
          <w:tcPr>
            <w:tcW w:w="993" w:type="dxa"/>
            <w:shd w:val="clear" w:color="auto" w:fill="C6EFCE"/>
            <w:noWrap/>
          </w:tcPr>
          <w:p w14:paraId="6A823D63" w14:textId="2BBD2D25" w:rsidR="006578ED" w:rsidRDefault="00A1618E">
            <w:pPr>
              <w:pStyle w:val="P68B1DB1-Normal13"/>
              <w:spacing w:after="0" w:line="240" w:lineRule="auto"/>
              <w:jc w:val="center"/>
              <w:rPr>
                <w:rFonts w:cs="Times New Roman"/>
                <w:noProof/>
              </w:rPr>
            </w:pPr>
            <w:r>
              <w:rPr>
                <w:noProof/>
              </w:rPr>
              <w:t>Certyfikaty podpisane przez MITERD</w:t>
            </w:r>
          </w:p>
        </w:tc>
        <w:tc>
          <w:tcPr>
            <w:tcW w:w="850" w:type="dxa"/>
            <w:shd w:val="clear" w:color="auto" w:fill="C6EFCE"/>
            <w:noWrap/>
          </w:tcPr>
          <w:p w14:paraId="2179DC8D"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5B0EE20A"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65028B26" w14:textId="77777777"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2DA111C3" w14:textId="726C2694"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17334155" w14:textId="05F8D019" w:rsidR="006578ED" w:rsidRDefault="00A1618E">
            <w:pPr>
              <w:pStyle w:val="P68B1DB1-Normal13"/>
              <w:spacing w:after="0" w:line="240" w:lineRule="auto"/>
              <w:jc w:val="center"/>
              <w:rPr>
                <w:rFonts w:cs="Times New Roman"/>
                <w:noProof/>
              </w:rPr>
            </w:pPr>
            <w:r>
              <w:rPr>
                <w:noProof/>
              </w:rPr>
              <w:t>2026</w:t>
            </w:r>
          </w:p>
        </w:tc>
        <w:tc>
          <w:tcPr>
            <w:tcW w:w="6096" w:type="dxa"/>
            <w:shd w:val="clear" w:color="auto" w:fill="C6EFCE"/>
            <w:noWrap/>
          </w:tcPr>
          <w:p w14:paraId="245E050A" w14:textId="1AB741FE" w:rsidR="006578ED" w:rsidRDefault="00A1618E">
            <w:pPr>
              <w:pStyle w:val="P68B1DB1-Normal13"/>
              <w:spacing w:after="0" w:line="240" w:lineRule="auto"/>
              <w:rPr>
                <w:rFonts w:cs="Times New Roman"/>
                <w:noProof/>
              </w:rPr>
            </w:pPr>
            <w:r>
              <w:rPr>
                <w:noProof/>
              </w:rPr>
              <w:t>Oddanie do użytku 26 narzędzi lub odnowionej infrastruktury w celu poprawy wiedzy i wykorzystania zasobów wodnych oraz monitorowania opadów deszczu i innych danych meteorologicznych w celu zapobiegania zagrożeniom klimatycznym. Działania te dotyczą przede wszystkim opracowania i wdrożenia elektronicznego rejestru wody, zarządzania danymi hydrologicznymi i jakością wody, digitalizacji przetwarzania plików oraz modernizacji lotniczej sieci nadzoru meteorologicznego.</w:t>
            </w:r>
          </w:p>
        </w:tc>
      </w:tr>
      <w:tr w:rsidR="006578ED" w14:paraId="1BAC1ACB" w14:textId="77777777">
        <w:trPr>
          <w:trHeight w:val="309"/>
        </w:trPr>
        <w:tc>
          <w:tcPr>
            <w:tcW w:w="709" w:type="dxa"/>
            <w:shd w:val="clear" w:color="auto" w:fill="C6EFCE"/>
            <w:noWrap/>
          </w:tcPr>
          <w:p w14:paraId="0F8EA849" w14:textId="77777777" w:rsidR="006578ED" w:rsidRDefault="00A1618E">
            <w:pPr>
              <w:pStyle w:val="P68B1DB1-Normal13"/>
              <w:spacing w:after="0" w:line="240" w:lineRule="auto"/>
              <w:jc w:val="center"/>
              <w:rPr>
                <w:rFonts w:cs="Times New Roman"/>
                <w:noProof/>
              </w:rPr>
            </w:pPr>
            <w:r>
              <w:rPr>
                <w:noProof/>
              </w:rPr>
              <w:t>80</w:t>
            </w:r>
          </w:p>
        </w:tc>
        <w:tc>
          <w:tcPr>
            <w:tcW w:w="851" w:type="dxa"/>
            <w:shd w:val="clear" w:color="auto" w:fill="C6EFCE"/>
            <w:noWrap/>
          </w:tcPr>
          <w:p w14:paraId="4032C757" w14:textId="77777777" w:rsidR="006578ED" w:rsidRDefault="00A1618E">
            <w:pPr>
              <w:pStyle w:val="P68B1DB1-Normal13"/>
              <w:spacing w:after="0" w:line="240" w:lineRule="auto"/>
              <w:jc w:val="center"/>
              <w:rPr>
                <w:rFonts w:cs="Times New Roman"/>
                <w:noProof/>
              </w:rPr>
            </w:pPr>
            <w:r>
              <w:rPr>
                <w:noProof/>
              </w:rPr>
              <w:t>C5.I4</w:t>
            </w:r>
          </w:p>
        </w:tc>
        <w:tc>
          <w:tcPr>
            <w:tcW w:w="850" w:type="dxa"/>
            <w:shd w:val="clear" w:color="auto" w:fill="C6EFCE"/>
            <w:noWrap/>
          </w:tcPr>
          <w:p w14:paraId="01329650" w14:textId="4C115FF0" w:rsidR="006578ED" w:rsidRDefault="00AF6B91">
            <w:pPr>
              <w:pStyle w:val="P68B1DB1-Normal13"/>
              <w:spacing w:after="0" w:line="240" w:lineRule="auto"/>
              <w:jc w:val="center"/>
              <w:rPr>
                <w:rFonts w:cs="Times New Roman"/>
                <w:noProof/>
              </w:rPr>
            </w:pPr>
            <w:r>
              <w:rPr>
                <w:noProof/>
              </w:rPr>
              <w:t>Cel</w:t>
            </w:r>
          </w:p>
        </w:tc>
        <w:tc>
          <w:tcPr>
            <w:tcW w:w="2835" w:type="dxa"/>
            <w:shd w:val="clear" w:color="auto" w:fill="C6EFCE"/>
            <w:noWrap/>
          </w:tcPr>
          <w:p w14:paraId="1178CAED" w14:textId="434A95E4" w:rsidR="006578ED" w:rsidRDefault="00A1618E">
            <w:pPr>
              <w:pStyle w:val="P68B1DB1-Normal13"/>
              <w:spacing w:after="0" w:line="240" w:lineRule="auto"/>
              <w:rPr>
                <w:rFonts w:cs="Times New Roman"/>
                <w:noProof/>
              </w:rPr>
            </w:pPr>
            <w:r>
              <w:rPr>
                <w:noProof/>
              </w:rPr>
              <w:t xml:space="preserve">Odbudowa zdegradowanych obszarów i ekosystemów w odległości co najmniej 50 kilometrów linii brzegowej </w:t>
            </w:r>
          </w:p>
        </w:tc>
        <w:tc>
          <w:tcPr>
            <w:tcW w:w="993" w:type="dxa"/>
            <w:shd w:val="clear" w:color="auto" w:fill="C6EFCE"/>
            <w:noWrap/>
          </w:tcPr>
          <w:p w14:paraId="7196D064"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7D0D37D8" w14:textId="77777777" w:rsidR="006578ED" w:rsidRDefault="00A1618E">
            <w:pPr>
              <w:pStyle w:val="P68B1DB1-Normal13"/>
              <w:spacing w:after="0" w:line="240" w:lineRule="auto"/>
              <w:jc w:val="right"/>
              <w:rPr>
                <w:rFonts w:cs="Times New Roman"/>
                <w:noProof/>
              </w:rPr>
            </w:pPr>
            <w:r>
              <w:rPr>
                <w:noProof/>
              </w:rPr>
              <w:t>Liczba (kilometry)</w:t>
            </w:r>
          </w:p>
        </w:tc>
        <w:tc>
          <w:tcPr>
            <w:tcW w:w="425" w:type="dxa"/>
            <w:shd w:val="clear" w:color="auto" w:fill="C6EFCE"/>
            <w:noWrap/>
          </w:tcPr>
          <w:p w14:paraId="5EC6149D" w14:textId="77777777"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2EC8893D" w14:textId="77777777" w:rsidR="006578ED" w:rsidRDefault="00A1618E">
            <w:pPr>
              <w:pStyle w:val="P68B1DB1-Normal13"/>
              <w:spacing w:after="0" w:line="240" w:lineRule="auto"/>
              <w:jc w:val="right"/>
              <w:rPr>
                <w:rFonts w:cs="Times New Roman"/>
                <w:noProof/>
              </w:rPr>
            </w:pPr>
            <w:r>
              <w:rPr>
                <w:noProof/>
              </w:rPr>
              <w:t>50</w:t>
            </w:r>
          </w:p>
        </w:tc>
        <w:tc>
          <w:tcPr>
            <w:tcW w:w="425" w:type="dxa"/>
            <w:shd w:val="clear" w:color="auto" w:fill="C6EFCE"/>
            <w:noWrap/>
          </w:tcPr>
          <w:p w14:paraId="76EBF224" w14:textId="397F60C1"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7506936E" w14:textId="77777777" w:rsidR="006578ED" w:rsidRDefault="00A1618E">
            <w:pPr>
              <w:pStyle w:val="P68B1DB1-Normal13"/>
              <w:spacing w:after="0" w:line="240" w:lineRule="auto"/>
              <w:jc w:val="center"/>
              <w:rPr>
                <w:rFonts w:cs="Times New Roman"/>
                <w:noProof/>
              </w:rPr>
            </w:pPr>
            <w:r>
              <w:rPr>
                <w:noProof/>
              </w:rPr>
              <w:t>2022</w:t>
            </w:r>
          </w:p>
        </w:tc>
        <w:tc>
          <w:tcPr>
            <w:tcW w:w="6096" w:type="dxa"/>
            <w:shd w:val="clear" w:color="auto" w:fill="C6EFCE"/>
            <w:noWrap/>
          </w:tcPr>
          <w:p w14:paraId="19ECDCCC" w14:textId="1DB1734B" w:rsidR="006578ED" w:rsidRDefault="00A1618E">
            <w:pPr>
              <w:pStyle w:val="P68B1DB1-Normal8"/>
              <w:spacing w:after="0" w:line="240" w:lineRule="auto"/>
              <w:rPr>
                <w:rFonts w:cs="Times New Roman"/>
                <w:noProof/>
                <w:sz w:val="18"/>
              </w:rPr>
            </w:pPr>
            <w:r>
              <w:rPr>
                <w:noProof/>
                <w:sz w:val="18"/>
              </w:rPr>
              <w:t>Ukończenie co najmniej 50 km linii brzegowej w celu odbudowy zdegradowanych obszarów i ekosystemów, ochrony i zwiększenia dostępności obszarów przybrzeżnych, łagodzenia erozji, lepszej wiedzy oraz zwiększenia odporności obszarów przybrzeżnych i przystosowania się do skutków zmiany klimatu, zdalnego monitorowania i wdrażania strategicznych polityk planowania morskiego. W działaniach uwzględnia się którąkolwiek z poniższych kwestii:</w:t>
            </w:r>
            <w:r>
              <w:rPr>
                <w:noProof/>
              </w:rPr>
              <w:br/>
            </w:r>
            <w:r>
              <w:rPr>
                <w:noProof/>
                <w:sz w:val="18"/>
              </w:rPr>
              <w:t>zwiększenie odporności hiszpańskiego wybrzeża na negatywne skutki zmiany klimatu poprzez walkę z erozją i wzmocnienie linii brzegowej. Obejmuje to tworzenie falochronów, sztucznych plaż, powierzchni pływających, zarządzanie osadami, rozwiązania oparte na zasobach przyrody, odbudowę plaż i systemów wydmowych, infrastrukturę ochrony wybrzeża, wdrożenie inteligentnych sieci monitorowania erozji obszarów przybrzeżnych lub działania o podobnych skutkach.</w:t>
            </w:r>
            <w:r>
              <w:rPr>
                <w:noProof/>
              </w:rPr>
              <w:br/>
            </w:r>
            <w:r>
              <w:rPr>
                <w:noProof/>
                <w:sz w:val="18"/>
              </w:rPr>
              <w:t>ochrona i odbudowa ekosystemów przybrzeżnych lub obszarów zdegradowanych. Dokonuje się tego poprzez a) relokację instalacji dotkniętych odsunięciem; wyznaczenie granic lądowego obszaru morskiego będącego własnością państwa; odzyskiwanie nienależnych lub nieodpowiednio okupowanych państwowych gruntów nad brzegami mórz; ocena ryzyka i zarządzanie ryzykiem lub podobne działania; odbudowa środowiska zdegradowanych obszarów przybrzeżnych i ekosystemów; ochrona wybrzeża i zarządzanie nim; lub g) działania o podobnych skutkach.</w:t>
            </w:r>
            <w:r>
              <w:rPr>
                <w:noProof/>
              </w:rPr>
              <w:br/>
            </w:r>
            <w:r>
              <w:rPr>
                <w:noProof/>
                <w:sz w:val="18"/>
              </w:rPr>
              <w:t>poprawa uporządkowanego i prawidłowego dostępu do publicznego lądowego obszaru morskiego. Odbywa się to poprzez odzyskanie gruntów w celu zapewnienia dostępu do domeny publicznej, planowanie dostępu, zarządzanie nim i przywrócenie dostępu lub działania o podobnych skutkach.</w:t>
            </w:r>
            <w:r>
              <w:rPr>
                <w:noProof/>
              </w:rPr>
              <w:br/>
            </w:r>
            <w:r>
              <w:rPr>
                <w:noProof/>
                <w:sz w:val="18"/>
              </w:rPr>
              <w:t>(IV) Wdrażanie strategicznych polityk planowania morskiego. Odbywa się to poprzez wdrożenie planowania przestrzennego obszarów morskich, strategii morskich, doradztwa naukowego w zakresie oceanów, klimatu i wybrzeży oraz opracowanie georeferencyjnej aplikacji internetowej dla użytkowników morza.</w:t>
            </w:r>
          </w:p>
        </w:tc>
      </w:tr>
      <w:tr w:rsidR="006578ED" w14:paraId="52BFA199" w14:textId="77777777">
        <w:trPr>
          <w:trHeight w:val="309"/>
        </w:trPr>
        <w:tc>
          <w:tcPr>
            <w:tcW w:w="709" w:type="dxa"/>
            <w:shd w:val="clear" w:color="auto" w:fill="C6EFCE"/>
            <w:noWrap/>
          </w:tcPr>
          <w:p w14:paraId="1944BFB1" w14:textId="77777777" w:rsidR="006578ED" w:rsidRDefault="00A1618E">
            <w:pPr>
              <w:pStyle w:val="P68B1DB1-Normal13"/>
              <w:spacing w:after="0" w:line="240" w:lineRule="auto"/>
              <w:jc w:val="center"/>
              <w:rPr>
                <w:rFonts w:cs="Times New Roman"/>
                <w:noProof/>
              </w:rPr>
            </w:pPr>
            <w:r>
              <w:rPr>
                <w:noProof/>
              </w:rPr>
              <w:t>81</w:t>
            </w:r>
          </w:p>
        </w:tc>
        <w:tc>
          <w:tcPr>
            <w:tcW w:w="851" w:type="dxa"/>
            <w:shd w:val="clear" w:color="auto" w:fill="C6EFCE"/>
            <w:noWrap/>
          </w:tcPr>
          <w:p w14:paraId="20E2CDE1" w14:textId="77777777" w:rsidR="006578ED" w:rsidRDefault="00A1618E">
            <w:pPr>
              <w:pStyle w:val="P68B1DB1-Normal13"/>
              <w:spacing w:after="0" w:line="240" w:lineRule="auto"/>
              <w:jc w:val="center"/>
              <w:rPr>
                <w:rFonts w:cs="Times New Roman"/>
                <w:noProof/>
              </w:rPr>
            </w:pPr>
            <w:r>
              <w:rPr>
                <w:noProof/>
              </w:rPr>
              <w:t>C5.I4</w:t>
            </w:r>
          </w:p>
        </w:tc>
        <w:tc>
          <w:tcPr>
            <w:tcW w:w="850" w:type="dxa"/>
            <w:shd w:val="clear" w:color="auto" w:fill="C6EFCE"/>
            <w:noWrap/>
          </w:tcPr>
          <w:p w14:paraId="3678FA0E" w14:textId="24D5D270" w:rsidR="006578ED" w:rsidRDefault="00AF6B91">
            <w:pPr>
              <w:pStyle w:val="P68B1DB1-Normal13"/>
              <w:spacing w:after="0" w:line="240" w:lineRule="auto"/>
              <w:jc w:val="center"/>
              <w:rPr>
                <w:rFonts w:cs="Times New Roman"/>
                <w:noProof/>
              </w:rPr>
            </w:pPr>
            <w:r>
              <w:rPr>
                <w:noProof/>
              </w:rPr>
              <w:t>Cel</w:t>
            </w:r>
          </w:p>
        </w:tc>
        <w:tc>
          <w:tcPr>
            <w:tcW w:w="2835" w:type="dxa"/>
            <w:shd w:val="clear" w:color="auto" w:fill="C6EFCE"/>
            <w:noWrap/>
          </w:tcPr>
          <w:p w14:paraId="2FA11EB4" w14:textId="559559B4" w:rsidR="006578ED" w:rsidRDefault="00A1618E">
            <w:pPr>
              <w:pStyle w:val="P68B1DB1-Normal13"/>
              <w:spacing w:after="0" w:line="240" w:lineRule="auto"/>
              <w:rPr>
                <w:rFonts w:cs="Times New Roman"/>
                <w:noProof/>
              </w:rPr>
            </w:pPr>
            <w:r>
              <w:rPr>
                <w:noProof/>
              </w:rPr>
              <w:t>Odbudowa zdegradowanych obszarów i ekosystemów w odległości co najmniej 100 kilometrów linii brzegowej</w:t>
            </w:r>
          </w:p>
        </w:tc>
        <w:tc>
          <w:tcPr>
            <w:tcW w:w="993" w:type="dxa"/>
            <w:shd w:val="clear" w:color="auto" w:fill="C6EFCE"/>
            <w:noWrap/>
          </w:tcPr>
          <w:p w14:paraId="34FF1C98"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20A5B720" w14:textId="77777777" w:rsidR="006578ED" w:rsidRDefault="00A1618E">
            <w:pPr>
              <w:pStyle w:val="P68B1DB1-Normal13"/>
              <w:spacing w:after="0" w:line="240" w:lineRule="auto"/>
              <w:jc w:val="right"/>
              <w:rPr>
                <w:rFonts w:cs="Times New Roman"/>
                <w:noProof/>
              </w:rPr>
            </w:pPr>
            <w:r>
              <w:rPr>
                <w:noProof/>
              </w:rPr>
              <w:t>Liczba (kilometry)</w:t>
            </w:r>
          </w:p>
        </w:tc>
        <w:tc>
          <w:tcPr>
            <w:tcW w:w="425" w:type="dxa"/>
            <w:shd w:val="clear" w:color="auto" w:fill="C6EFCE"/>
            <w:noWrap/>
          </w:tcPr>
          <w:p w14:paraId="5AE91C80" w14:textId="77777777" w:rsidR="006578ED" w:rsidRDefault="00A1618E">
            <w:pPr>
              <w:pStyle w:val="P68B1DB1-Normal13"/>
              <w:spacing w:after="0" w:line="240" w:lineRule="auto"/>
              <w:jc w:val="right"/>
              <w:rPr>
                <w:rFonts w:cs="Times New Roman"/>
                <w:noProof/>
              </w:rPr>
            </w:pPr>
            <w:r>
              <w:rPr>
                <w:noProof/>
              </w:rPr>
              <w:t>50</w:t>
            </w:r>
          </w:p>
        </w:tc>
        <w:tc>
          <w:tcPr>
            <w:tcW w:w="709" w:type="dxa"/>
            <w:shd w:val="clear" w:color="auto" w:fill="C6EFCE"/>
            <w:noWrap/>
          </w:tcPr>
          <w:p w14:paraId="02B72823" w14:textId="1F2B50A6" w:rsidR="006578ED" w:rsidRDefault="00A1618E">
            <w:pPr>
              <w:pStyle w:val="P68B1DB1-Normal13"/>
              <w:spacing w:after="0" w:line="240" w:lineRule="auto"/>
              <w:jc w:val="right"/>
              <w:rPr>
                <w:rFonts w:cs="Times New Roman"/>
                <w:noProof/>
              </w:rPr>
            </w:pPr>
            <w:r>
              <w:rPr>
                <w:noProof/>
              </w:rPr>
              <w:t>100</w:t>
            </w:r>
          </w:p>
        </w:tc>
        <w:tc>
          <w:tcPr>
            <w:tcW w:w="425" w:type="dxa"/>
            <w:shd w:val="clear" w:color="auto" w:fill="C6EFCE"/>
            <w:noWrap/>
          </w:tcPr>
          <w:p w14:paraId="5E4CD473" w14:textId="7A4AC126"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665C4E8C" w14:textId="776FA070" w:rsidR="006578ED" w:rsidRDefault="00A1618E">
            <w:pPr>
              <w:pStyle w:val="P68B1DB1-Normal13"/>
              <w:spacing w:after="0" w:line="240" w:lineRule="auto"/>
              <w:jc w:val="center"/>
              <w:rPr>
                <w:rFonts w:cs="Times New Roman"/>
                <w:noProof/>
              </w:rPr>
            </w:pPr>
            <w:r>
              <w:rPr>
                <w:noProof/>
              </w:rPr>
              <w:t>2023</w:t>
            </w:r>
          </w:p>
        </w:tc>
        <w:tc>
          <w:tcPr>
            <w:tcW w:w="6096" w:type="dxa"/>
            <w:shd w:val="clear" w:color="auto" w:fill="C6EFCE"/>
            <w:noWrap/>
          </w:tcPr>
          <w:p w14:paraId="4956F0E0" w14:textId="4100C833" w:rsidR="006578ED" w:rsidRDefault="00A1618E">
            <w:pPr>
              <w:pStyle w:val="P68B1DB1-Normal8"/>
              <w:spacing w:after="0" w:line="240" w:lineRule="auto"/>
              <w:rPr>
                <w:rFonts w:cs="Times New Roman"/>
                <w:noProof/>
                <w:sz w:val="18"/>
              </w:rPr>
            </w:pPr>
            <w:r>
              <w:rPr>
                <w:noProof/>
                <w:sz w:val="18"/>
              </w:rPr>
              <w:t>Zakończenie prac obejmujących co najmniej 100 km linii brzegowej w zakresie odbudowy zdegradowanych obszarów i ekosystemów, ochrony i zwiększenia dostępności obszarów przybrzeżnych, łagodzenia erozji, lepszej wiedzy oraz zwiększenia odporności obszarów przybrzeżnych i przystosowania się do skutków zmiany klimatu, zdalnego monitorowania i wdrażania strategicznych polityk planowania morskiego. Roboty obejmują:</w:t>
            </w:r>
            <w:r>
              <w:rPr>
                <w:noProof/>
              </w:rPr>
              <w:br/>
            </w:r>
            <w:r>
              <w:rPr>
                <w:noProof/>
                <w:sz w:val="18"/>
              </w:rPr>
              <w:t>zwiększenie odporności hiszpańskiego wybrzeża na negatywne skutki zmiany klimatu poprzez walkę z erozją i wzmocnienie linii brzegowej. Obejmuje to tworzenie falochronów, sztucznych plaż, powierzchni pływających, zarządzanie osadami, rozwiązania oparte na zasobach przyrody, odbudowę plaż i systemów wydmowych, infrastrukturę ochrony wybrzeża, wdrożenie inteligentnych sieci monitorowania erozji obszarów przybrzeżnych lub działania o podobnych skutkach.</w:t>
            </w:r>
            <w:r>
              <w:rPr>
                <w:noProof/>
              </w:rPr>
              <w:br/>
            </w:r>
            <w:r>
              <w:rPr>
                <w:noProof/>
                <w:sz w:val="18"/>
              </w:rPr>
              <w:t>ochrona i odbudowa ekosystemów przybrzeżnych lub obszarów zdegradowanych. Dokonuje się tego poprzez a) relokację instalacji dotkniętych odsunięciem; wyznaczenie granic lądowego obszaru morskiego będącego własnością państwa; odzyskiwanie nienależnych lub nieodpowiednio okupowanych państwowych gruntów nad brzegami mórz; ocena ryzyka i zarządzanie ryzykiem lub podobne działania; odbudowa środowiska zdegradowanych obszarów przybrzeżnych i ekosystemów; ochrona wybrzeża i zarządzanie nim; lub g) działania o podobnych skutkach.</w:t>
            </w:r>
            <w:r>
              <w:rPr>
                <w:noProof/>
              </w:rPr>
              <w:br/>
            </w:r>
            <w:r>
              <w:rPr>
                <w:noProof/>
                <w:sz w:val="18"/>
              </w:rPr>
              <w:t>poprawa uporządkowanego i prawidłowego dostępu do publicznego lądowego obszaru morskiego. Odbywa się to poprzez odzyskanie gruntów w celu zapewnienia dostępu do domeny publicznej, planowanie dostępu, zarządzanie nim i przywrócenie dostępu lub działania o podobnym skutku.</w:t>
            </w:r>
            <w:r>
              <w:rPr>
                <w:noProof/>
              </w:rPr>
              <w:br/>
            </w:r>
            <w:r>
              <w:rPr>
                <w:noProof/>
                <w:sz w:val="18"/>
              </w:rPr>
              <w:t>(IV) Wdrażanie strategicznych polityk planowania morskiego. Odbywa się to poprzez wdrożenie planowania przestrzennego obszarów morskich, strategii morskich, doradztwa naukowego w zakresie oceanów, klimatu i wybrzeży oraz opracowanie georeferencyjnej aplikacji internetowej dla użytkowników morza. (Podstawa: 31 grudnia 20</w:t>
            </w:r>
            <w:r w:rsidRPr="00A1618E">
              <w:rPr>
                <w:noProof/>
                <w:sz w:val="18"/>
                <w:lang w:val="pl-PL"/>
              </w:rPr>
              <w:t>22 r.</w:t>
            </w:r>
            <w:r>
              <w:rPr>
                <w:noProof/>
                <w:sz w:val="18"/>
              </w:rPr>
              <w:t>)</w:t>
            </w:r>
          </w:p>
        </w:tc>
      </w:tr>
      <w:tr w:rsidR="006578ED" w14:paraId="792C4F9E" w14:textId="77777777">
        <w:trPr>
          <w:trHeight w:val="309"/>
        </w:trPr>
        <w:tc>
          <w:tcPr>
            <w:tcW w:w="709" w:type="dxa"/>
            <w:shd w:val="clear" w:color="auto" w:fill="C6EFCE"/>
            <w:noWrap/>
          </w:tcPr>
          <w:p w14:paraId="6129792C" w14:textId="34D0A125" w:rsidR="006578ED" w:rsidRDefault="00A1618E">
            <w:pPr>
              <w:pStyle w:val="P68B1DB1-Normal13"/>
              <w:spacing w:after="0" w:line="240" w:lineRule="auto"/>
              <w:jc w:val="center"/>
              <w:rPr>
                <w:rFonts w:cs="Times New Roman"/>
                <w:noProof/>
              </w:rPr>
            </w:pPr>
            <w:r>
              <w:rPr>
                <w:noProof/>
              </w:rPr>
              <w:t>81b</w:t>
            </w:r>
          </w:p>
        </w:tc>
        <w:tc>
          <w:tcPr>
            <w:tcW w:w="851" w:type="dxa"/>
            <w:shd w:val="clear" w:color="auto" w:fill="C6EFCE"/>
            <w:noWrap/>
          </w:tcPr>
          <w:p w14:paraId="0F1A69C0" w14:textId="0A5C6C45" w:rsidR="006578ED" w:rsidRDefault="00A1618E">
            <w:pPr>
              <w:pStyle w:val="P68B1DB1-Normal13"/>
              <w:spacing w:after="0" w:line="240" w:lineRule="auto"/>
              <w:jc w:val="center"/>
              <w:rPr>
                <w:rFonts w:cs="Times New Roman"/>
                <w:noProof/>
              </w:rPr>
            </w:pPr>
            <w:r>
              <w:rPr>
                <w:noProof/>
              </w:rPr>
              <w:t>C5.I4</w:t>
            </w:r>
          </w:p>
        </w:tc>
        <w:tc>
          <w:tcPr>
            <w:tcW w:w="850" w:type="dxa"/>
            <w:shd w:val="clear" w:color="auto" w:fill="C6EFCE"/>
            <w:noWrap/>
          </w:tcPr>
          <w:p w14:paraId="03579949" w14:textId="1A945370" w:rsidR="006578ED" w:rsidRDefault="00AF6B91">
            <w:pPr>
              <w:pStyle w:val="P68B1DB1-Normal13"/>
              <w:spacing w:after="0" w:line="240" w:lineRule="auto"/>
              <w:jc w:val="center"/>
              <w:rPr>
                <w:rFonts w:cs="Times New Roman"/>
                <w:noProof/>
              </w:rPr>
            </w:pPr>
            <w:r>
              <w:rPr>
                <w:noProof/>
              </w:rPr>
              <w:t>Cel</w:t>
            </w:r>
          </w:p>
        </w:tc>
        <w:tc>
          <w:tcPr>
            <w:tcW w:w="2835" w:type="dxa"/>
            <w:shd w:val="clear" w:color="auto" w:fill="C6EFCE"/>
            <w:noWrap/>
          </w:tcPr>
          <w:p w14:paraId="52A03147" w14:textId="50E05AC7" w:rsidR="006578ED" w:rsidRDefault="00A1618E">
            <w:pPr>
              <w:pStyle w:val="P68B1DB1-Normal13"/>
              <w:spacing w:after="0" w:line="240" w:lineRule="auto"/>
              <w:rPr>
                <w:rFonts w:cs="Times New Roman"/>
                <w:noProof/>
              </w:rPr>
            </w:pPr>
            <w:r>
              <w:rPr>
                <w:noProof/>
              </w:rPr>
              <w:t>Odbudowa zdegradowanych obszarów i ekosystemów w odległości co najmniej 145 kilometrów linii brzegowej</w:t>
            </w:r>
          </w:p>
        </w:tc>
        <w:tc>
          <w:tcPr>
            <w:tcW w:w="993" w:type="dxa"/>
            <w:shd w:val="clear" w:color="auto" w:fill="C6EFCE"/>
            <w:noWrap/>
          </w:tcPr>
          <w:p w14:paraId="668F4DA1"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22A1F55A" w14:textId="0F961F79" w:rsidR="006578ED" w:rsidRDefault="00A1618E">
            <w:pPr>
              <w:pStyle w:val="P68B1DB1-Normal13"/>
              <w:spacing w:after="0" w:line="240" w:lineRule="auto"/>
              <w:jc w:val="right"/>
              <w:rPr>
                <w:rFonts w:cs="Times New Roman"/>
                <w:noProof/>
              </w:rPr>
            </w:pPr>
            <w:r>
              <w:rPr>
                <w:noProof/>
              </w:rPr>
              <w:t>Liczba (kilometry)</w:t>
            </w:r>
          </w:p>
        </w:tc>
        <w:tc>
          <w:tcPr>
            <w:tcW w:w="425" w:type="dxa"/>
            <w:shd w:val="clear" w:color="auto" w:fill="C6EFCE"/>
            <w:noWrap/>
          </w:tcPr>
          <w:p w14:paraId="3A4E4BB2" w14:textId="71217CD5" w:rsidR="006578ED" w:rsidRDefault="00A1618E">
            <w:pPr>
              <w:pStyle w:val="P68B1DB1-Normal13"/>
              <w:spacing w:after="0" w:line="240" w:lineRule="auto"/>
              <w:jc w:val="right"/>
              <w:rPr>
                <w:rFonts w:cs="Times New Roman"/>
                <w:noProof/>
              </w:rPr>
            </w:pPr>
            <w:r>
              <w:rPr>
                <w:noProof/>
              </w:rPr>
              <w:t>100</w:t>
            </w:r>
          </w:p>
        </w:tc>
        <w:tc>
          <w:tcPr>
            <w:tcW w:w="709" w:type="dxa"/>
            <w:shd w:val="clear" w:color="auto" w:fill="C6EFCE"/>
            <w:noWrap/>
          </w:tcPr>
          <w:p w14:paraId="68BAC8DF" w14:textId="582E983F" w:rsidR="006578ED" w:rsidRDefault="00A1618E">
            <w:pPr>
              <w:pStyle w:val="P68B1DB1-Normal13"/>
              <w:spacing w:after="0" w:line="240" w:lineRule="auto"/>
              <w:jc w:val="right"/>
              <w:rPr>
                <w:rFonts w:cs="Times New Roman"/>
                <w:noProof/>
              </w:rPr>
            </w:pPr>
            <w:r>
              <w:rPr>
                <w:noProof/>
              </w:rPr>
              <w:t>145</w:t>
            </w:r>
          </w:p>
        </w:tc>
        <w:tc>
          <w:tcPr>
            <w:tcW w:w="425" w:type="dxa"/>
            <w:shd w:val="clear" w:color="auto" w:fill="C6EFCE"/>
            <w:noWrap/>
          </w:tcPr>
          <w:p w14:paraId="60B911B7" w14:textId="687893D1"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36E9793D" w14:textId="7E9AC3D5" w:rsidR="006578ED" w:rsidRDefault="00A1618E">
            <w:pPr>
              <w:pStyle w:val="P68B1DB1-Normal13"/>
              <w:spacing w:after="0" w:line="240" w:lineRule="auto"/>
              <w:jc w:val="center"/>
              <w:rPr>
                <w:rFonts w:cs="Times New Roman"/>
                <w:noProof/>
              </w:rPr>
            </w:pPr>
            <w:r>
              <w:rPr>
                <w:noProof/>
              </w:rPr>
              <w:t>2025</w:t>
            </w:r>
          </w:p>
        </w:tc>
        <w:tc>
          <w:tcPr>
            <w:tcW w:w="6096" w:type="dxa"/>
            <w:shd w:val="clear" w:color="auto" w:fill="C6EFCE"/>
            <w:noWrap/>
          </w:tcPr>
          <w:p w14:paraId="35DCF83F" w14:textId="6DC60DEC" w:rsidR="006578ED" w:rsidRDefault="00A1618E">
            <w:pPr>
              <w:pStyle w:val="P68B1DB1-Normal8"/>
              <w:spacing w:after="0" w:line="240" w:lineRule="auto"/>
              <w:rPr>
                <w:rFonts w:cs="Times New Roman"/>
                <w:noProof/>
                <w:sz w:val="18"/>
              </w:rPr>
            </w:pPr>
            <w:r>
              <w:rPr>
                <w:noProof/>
                <w:sz w:val="18"/>
              </w:rPr>
              <w:t>Zakończenie prac obejmujących co najmniej 145 km linii brzegowej w zakresie odbudowy zdegradowanych obszarów i ekosystemów, ochrony i zwiększenia dostępności obszarów przybrzeżnych, łagodzenia erozji, lepszej wiedzy oraz zwiększenia odporności obszarów przybrzeżnych i przystosowania się do skutków zmiany klimatu, zdalnego monitorowania i wdrażania strategicznych polityk planowania morskiego. Roboty obejmują:</w:t>
            </w:r>
            <w:r>
              <w:rPr>
                <w:noProof/>
              </w:rPr>
              <w:br/>
            </w:r>
            <w:r>
              <w:rPr>
                <w:noProof/>
                <w:sz w:val="18"/>
              </w:rPr>
              <w:t>zwiększenie odporności hiszpańskiego wybrzeża na negatywne skutki zmiany klimatu poprzez walkę z erozją i wzmocnienie linii brzegowej. Obejmuje to tworzenie falochronów, sztucznych plaż, powierzchni pływających, zarządzanie osadami, rozwiązania oparte na zasobach przyrody, odbudowę plaż i systemów wydmowych, infrastrukturę ochrony wybrzeża, wdrożenie inteligentnych sieci monitorowania erozji obszarów przybrzeżnych lub działania o podobnych skutkach.</w:t>
            </w:r>
            <w:r>
              <w:rPr>
                <w:noProof/>
              </w:rPr>
              <w:br/>
            </w:r>
            <w:r>
              <w:rPr>
                <w:noProof/>
                <w:sz w:val="18"/>
              </w:rPr>
              <w:t>ochrona i odbudowa ekosystemów przybrzeżnych lub obszarów zdegradowanych. Dokonuje się tego poprzez a) relokację instalacji dotkniętych odsunięciem; wyznaczenie granic lądowego obszaru morskiego będącego własnością państwa; odzyskiwanie nienależnych lub nieodpowiednio okupowanych państwowych gruntów nad brzegami mórz; ocena ryzyka i zarządzanie ryzykiem lub podobne działania; odbudowa środowiska zdegradowanych obszarów przybrzeżnych i ekosystemów; ochrona wybrzeża i zarządzanie nim; lub g) działania o podobnych skutkach.</w:t>
            </w:r>
            <w:r>
              <w:rPr>
                <w:noProof/>
              </w:rPr>
              <w:br/>
            </w:r>
            <w:r>
              <w:rPr>
                <w:noProof/>
                <w:sz w:val="18"/>
              </w:rPr>
              <w:t>poprawa uporządkowanego i prawidłowego dostępu do publicznego lądowego obszaru morskiego. Odbywa się to poprzez odzyskanie gruntów w celu zapewnienia dostępu do domeny publicznej, planowanie dostępu, zarządzanie nim i przywrócenie dostępu lub działania o podobnym skutku.</w:t>
            </w:r>
            <w:r>
              <w:rPr>
                <w:noProof/>
              </w:rPr>
              <w:br/>
            </w:r>
            <w:r>
              <w:rPr>
                <w:noProof/>
                <w:sz w:val="18"/>
              </w:rPr>
              <w:t>(IV) Wdrażanie strategicznych polityk planowania morskiego. Odbywa się to poprzez wdrożenie planowania przestrzennego obszarów morskich, strategii morskich, doradztwa naukowego w zakresie oceanów, klimatu i wybrzeży oraz opracowanie georeferencyjnej aplikacji internetowej dla użytkowników morza. (Podstawa: 31 grudnia 20</w:t>
            </w:r>
            <w:r w:rsidRPr="00A1618E">
              <w:rPr>
                <w:noProof/>
                <w:sz w:val="18"/>
                <w:lang w:val="pl-PL"/>
              </w:rPr>
              <w:t>23 r.</w:t>
            </w:r>
            <w:r>
              <w:rPr>
                <w:noProof/>
                <w:sz w:val="18"/>
              </w:rPr>
              <w:t>)</w:t>
            </w:r>
          </w:p>
        </w:tc>
      </w:tr>
    </w:tbl>
    <w:p w14:paraId="48B77EB9" w14:textId="77777777" w:rsidR="006578ED" w:rsidRDefault="006578ED">
      <w:pPr>
        <w:keepNext/>
        <w:spacing w:before="120" w:after="120" w:line="240" w:lineRule="auto"/>
        <w:ind w:left="720"/>
        <w:jc w:val="both"/>
        <w:rPr>
          <w:rFonts w:ascii="Times New Roman" w:hAnsi="Times New Roman" w:cs="Times New Roman"/>
          <w:b/>
          <w:noProof/>
          <w:sz w:val="24"/>
          <w:u w:val="single"/>
        </w:rPr>
      </w:pPr>
    </w:p>
    <w:p w14:paraId="74AFE277" w14:textId="77777777" w:rsidR="006578ED" w:rsidRDefault="006578ED">
      <w:pPr>
        <w:keepNext/>
        <w:spacing w:before="120" w:after="120" w:line="240" w:lineRule="auto"/>
        <w:ind w:left="720"/>
        <w:jc w:val="both"/>
        <w:rPr>
          <w:rFonts w:ascii="Times New Roman" w:hAnsi="Times New Roman" w:cs="Times New Roman"/>
          <w:noProof/>
          <w:sz w:val="24"/>
          <w:u w:val="single"/>
        </w:rPr>
        <w:sectPr w:rsidR="006578ED" w:rsidSect="0035659C">
          <w:headerReference w:type="even" r:id="rId132"/>
          <w:headerReference w:type="default" r:id="rId133"/>
          <w:footerReference w:type="even" r:id="rId134"/>
          <w:footerReference w:type="default" r:id="rId135"/>
          <w:headerReference w:type="first" r:id="rId136"/>
          <w:footerReference w:type="first" r:id="rId137"/>
          <w:pgSz w:w="16839" w:h="11907" w:orient="landscape"/>
          <w:pgMar w:top="1417" w:right="1134" w:bottom="1417" w:left="1134" w:header="709" w:footer="709" w:gutter="0"/>
          <w:cols w:space="720"/>
          <w:docGrid w:linePitch="360"/>
        </w:sectPr>
      </w:pPr>
    </w:p>
    <w:p w14:paraId="18EB0796" w14:textId="3EFD9FFE" w:rsidR="006578ED" w:rsidRDefault="00A1618E">
      <w:pPr>
        <w:pStyle w:val="P68B1DB1-Normal5"/>
        <w:keepNext/>
        <w:spacing w:before="120" w:after="120" w:line="240" w:lineRule="auto"/>
        <w:ind w:left="720"/>
        <w:jc w:val="both"/>
        <w:rPr>
          <w:rFonts w:cs="Times New Roman"/>
          <w:noProof/>
        </w:rPr>
      </w:pPr>
      <w:r>
        <w:rPr>
          <w:noProof/>
        </w:rPr>
        <w:t xml:space="preserve">E.3. </w:t>
      </w:r>
      <w:r>
        <w:rPr>
          <w:noProof/>
        </w:rPr>
        <w:tab/>
        <w:t>Opis inwestycji w celu wsparcia w formie pożyczki</w:t>
      </w:r>
    </w:p>
    <w:p w14:paraId="3D9C6AA9" w14:textId="4C0B3FCC" w:rsidR="006578ED" w:rsidRDefault="00A1618E">
      <w:pPr>
        <w:pStyle w:val="P68B1DB1-Text120"/>
        <w:ind w:left="0"/>
        <w:rPr>
          <w:rFonts w:cs="Times New Roman"/>
          <w:noProof/>
        </w:rPr>
      </w:pPr>
      <w:r>
        <w:rPr>
          <w:noProof/>
        </w:rPr>
        <w:t>Inwestycja 5 (C5.I5) – Odzysk warstw wodonośnych z wykorzystaniem zasobów alternatywnych</w:t>
      </w:r>
    </w:p>
    <w:p w14:paraId="570A1B4B" w14:textId="112BEDFF" w:rsidR="006578ED" w:rsidRDefault="00A1618E">
      <w:pPr>
        <w:pStyle w:val="P68B1DB1-Text119"/>
        <w:ind w:left="0"/>
        <w:rPr>
          <w:rFonts w:cs="Times New Roman"/>
          <w:noProof/>
        </w:rPr>
      </w:pPr>
      <w:r>
        <w:rPr>
          <w:noProof/>
        </w:rPr>
        <w:t xml:space="preserve">Celem tej inwestycji jest ograniczenie poboru wód podziemnych, w szczególności w dorzeczu Segury, dorzeczu Morza Śródziemnego – Andaluzji oraz w wewnętrznych dorzeczach Katalonii. </w:t>
      </w:r>
    </w:p>
    <w:p w14:paraId="70874476" w14:textId="1CF67D1D" w:rsidR="006578ED" w:rsidRPr="00A1618E" w:rsidRDefault="00A1618E">
      <w:pPr>
        <w:pStyle w:val="P68B1DB1-Text119"/>
        <w:ind w:left="0"/>
        <w:rPr>
          <w:rFonts w:cs="Times New Roman"/>
          <w:noProof/>
          <w:lang w:val="pl-PL"/>
        </w:rPr>
      </w:pPr>
      <w:r>
        <w:rPr>
          <w:noProof/>
        </w:rPr>
        <w:t>Inwestycja ta ma na celu (i) stworzenie połączeń między różnymi instalacjami odsalania wody w dorzeczu Segury w celu zapewnienia bezpieczeństwa wodnego użytkownikom akduktu Tajo-Segura, (ii) wprowadzenie wody do systemu pochodzącego z różnych urządzeń do ponownego wykorzystania w regionie Alicante oraz (iii) przeprowadzenie działań odsalania wody w wewnętrznym obszarze dorzecza Katalonii (Tordera II – Foix) oraz Morza Śródziemnego – Andaluzjańskiego (Costa del Sol i Levante Almeriense). Działania te mają na celu zmniejszenie ilości wód podziemnych wydobytych z warstw wodonośnych, które są nadmiernie eksploatowane i znajdują się w złym stanie ekologicznym, przy jednoczesnym zapewnieniu bezpieczeństwa wodnego różnym użytkownikom i wspieraniu odzysku warstw wodonośnych</w:t>
      </w:r>
      <w:r w:rsidRPr="00A1618E">
        <w:rPr>
          <w:noProof/>
          <w:lang w:val="pl-PL"/>
        </w:rPr>
        <w:t xml:space="preserve">. </w:t>
      </w:r>
    </w:p>
    <w:p w14:paraId="0930EAAC" w14:textId="5D76FDD3" w:rsidR="006578ED" w:rsidRPr="00A1618E" w:rsidRDefault="00A1618E">
      <w:pPr>
        <w:pStyle w:val="P68B1DB1-Text119"/>
        <w:ind w:left="0"/>
        <w:rPr>
          <w:rFonts w:cs="Times New Roman"/>
          <w:noProof/>
          <w:lang w:val="pl-PL"/>
        </w:rPr>
      </w:pPr>
      <w:r>
        <w:rPr>
          <w:noProof/>
        </w:rPr>
        <w:t xml:space="preserve">Oczekuje się, że środek ten nie spowoduje znaczących szkód dla celów środowiskowych w rozumieniu </w:t>
      </w:r>
      <w:r w:rsidRPr="00A1618E">
        <w:rPr>
          <w:noProof/>
          <w:lang w:val="pl-PL"/>
        </w:rPr>
        <w:t>art. 1</w:t>
      </w:r>
      <w:r>
        <w:rPr>
          <w:noProof/>
        </w:rPr>
        <w:t>7 rozporządzenia (UE) 2020/852, biorąc pod uwagę opis środka i działania łagodzące określone w planie odbudowy i zwiększania odporności zgodnie z wytycznymi technicznymi dotyczącymi zasady „nie czyń poważnych szkód” (2021/C58/01). W szczególności woda odsalona jest produkowana z wykorzystaniem najlepszej dostępnej technologii o najniższym wpływie na środowisko w sektorze. Ponadto inwestycja nie może prowadzić do rozszerzenia nawadnianych obszarów ani do zwiększenia intensywności nawadniania</w:t>
      </w:r>
      <w:r w:rsidRPr="00A1618E">
        <w:rPr>
          <w:noProof/>
          <w:lang w:val="pl-PL"/>
        </w:rPr>
        <w:t xml:space="preserve">. </w:t>
      </w:r>
    </w:p>
    <w:p w14:paraId="192FF083" w14:textId="35237F55" w:rsidR="006578ED" w:rsidRDefault="00A1618E">
      <w:pPr>
        <w:pStyle w:val="P68B1DB1-Text119"/>
        <w:ind w:left="0"/>
        <w:rPr>
          <w:rFonts w:cs="Times New Roman"/>
          <w:noProof/>
        </w:rPr>
      </w:pPr>
      <w:r>
        <w:rPr>
          <w:noProof/>
        </w:rPr>
        <w:t>Inwestycja ta zostanie zakończona do dnia 30 czerwca 20</w:t>
      </w:r>
      <w:r w:rsidRPr="00A1618E">
        <w:rPr>
          <w:noProof/>
          <w:lang w:val="pl-PL"/>
        </w:rPr>
        <w:t>26 r.</w:t>
      </w:r>
      <w:r>
        <w:rPr>
          <w:noProof/>
        </w:rPr>
        <w:t xml:space="preserve"> </w:t>
      </w:r>
    </w:p>
    <w:p w14:paraId="731ED120" w14:textId="20D7EEA9" w:rsidR="006578ED" w:rsidRDefault="00A1618E">
      <w:pPr>
        <w:pStyle w:val="P68B1DB1-Text120"/>
        <w:ind w:left="0"/>
        <w:rPr>
          <w:rFonts w:cs="Times New Roman"/>
          <w:noProof/>
        </w:rPr>
      </w:pPr>
      <w:r>
        <w:rPr>
          <w:noProof/>
        </w:rPr>
        <w:t>Inwestycja 6 (C5.I6) – PERTE na rzecz cyfryzacji wykorzystania wody</w:t>
      </w:r>
    </w:p>
    <w:p w14:paraId="35B74DE3" w14:textId="366070EE" w:rsidR="006578ED" w:rsidRDefault="00A1618E">
      <w:pPr>
        <w:pStyle w:val="P68B1DB1-Text119"/>
        <w:ind w:left="0"/>
        <w:rPr>
          <w:rFonts w:cs="Times New Roman"/>
          <w:noProof/>
        </w:rPr>
      </w:pPr>
      <w:r>
        <w:rPr>
          <w:noProof/>
        </w:rPr>
        <w:t xml:space="preserve">Inwestycja ta ma na celu wspieranie projektów na rzecz wdrażania technologii promujących cyfryzację oraz wzmacniających ramy monitorowania i kontroli wykorzystania wody w obiegu wody w miastach, ze szczególnym uwzględnieniem średnich i dużych gmin oraz sektora przemysłowego. </w:t>
      </w:r>
    </w:p>
    <w:p w14:paraId="4A0A5EDD" w14:textId="6D8D82B2" w:rsidR="006578ED" w:rsidRDefault="00A1618E">
      <w:pPr>
        <w:pStyle w:val="P68B1DB1-Text119"/>
        <w:ind w:left="0"/>
        <w:rPr>
          <w:rFonts w:cs="Times New Roman"/>
          <w:noProof/>
        </w:rPr>
      </w:pPr>
      <w:r>
        <w:rPr>
          <w:noProof/>
        </w:rPr>
        <w:t>Inwestycja ta zostanie zakończona do dnia 30 czerwca 20</w:t>
      </w:r>
      <w:r w:rsidRPr="00A1618E">
        <w:rPr>
          <w:noProof/>
          <w:lang w:val="pl-PL"/>
        </w:rPr>
        <w:t>26 r.</w:t>
      </w:r>
      <w:r>
        <w:rPr>
          <w:noProof/>
        </w:rPr>
        <w:t xml:space="preserve"> </w:t>
      </w:r>
    </w:p>
    <w:p w14:paraId="47321117" w14:textId="77777777" w:rsidR="006578ED" w:rsidRDefault="006578ED">
      <w:pPr>
        <w:pStyle w:val="Text1"/>
        <w:ind w:left="0"/>
        <w:rPr>
          <w:rFonts w:ascii="Times New Roman" w:eastAsia="MS Mincho" w:hAnsi="Times New Roman" w:cs="Times New Roman"/>
          <w:noProof/>
        </w:rPr>
      </w:pPr>
    </w:p>
    <w:p w14:paraId="3DBF2AF7" w14:textId="6100E765" w:rsidR="006578ED" w:rsidRDefault="00A1618E">
      <w:pPr>
        <w:pStyle w:val="P68B1DB1-Normal5"/>
        <w:spacing w:before="120" w:after="120" w:line="240" w:lineRule="auto"/>
        <w:ind w:left="709"/>
        <w:jc w:val="both"/>
        <w:rPr>
          <w:rFonts w:cs="Times New Roman"/>
          <w:noProof/>
        </w:rPr>
      </w:pPr>
      <w:r>
        <w:rPr>
          <w:noProof/>
        </w:rPr>
        <w:t xml:space="preserve">E.4. </w:t>
      </w:r>
      <w:r>
        <w:rPr>
          <w:noProof/>
        </w:rPr>
        <w:tab/>
        <w:t>Cele pośrednie, wartości docelowe, wskaźniki oraz harmonogram monitorowania i wdrażania wsparcia w formie pożyczek</w:t>
      </w:r>
    </w:p>
    <w:p w14:paraId="69E02543" w14:textId="370D8CA2" w:rsidR="006578ED" w:rsidRDefault="00A1618E">
      <w:pPr>
        <w:pStyle w:val="P68B1DB1-Normal4"/>
        <w:spacing w:before="120" w:after="120" w:line="240" w:lineRule="auto"/>
        <w:jc w:val="both"/>
        <w:rPr>
          <w:rFonts w:cs="Times New Roman"/>
          <w:i/>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77C6D6B5" w14:textId="77777777" w:rsidR="006578ED" w:rsidRDefault="006578ED">
      <w:pPr>
        <w:spacing w:before="120" w:after="120" w:line="240" w:lineRule="auto"/>
        <w:jc w:val="both"/>
        <w:rPr>
          <w:rFonts w:ascii="Times New Roman" w:hAnsi="Times New Roman" w:cs="Times New Roman"/>
          <w:noProof/>
        </w:rPr>
        <w:sectPr w:rsidR="006578ED" w:rsidSect="0035659C">
          <w:headerReference w:type="even" r:id="rId138"/>
          <w:headerReference w:type="default" r:id="rId139"/>
          <w:footerReference w:type="even" r:id="rId140"/>
          <w:footerReference w:type="default" r:id="rId141"/>
          <w:headerReference w:type="first" r:id="rId142"/>
          <w:footerReference w:type="first" r:id="rId143"/>
          <w:pgSz w:w="11907" w:h="16839"/>
          <w:pgMar w:top="1134" w:right="1417" w:bottom="1134" w:left="1417" w:header="709" w:footer="709" w:gutter="0"/>
          <w:cols w:space="720"/>
          <w:docGrid w:linePitch="360"/>
        </w:sectPr>
      </w:pPr>
    </w:p>
    <w:p w14:paraId="1B72A816" w14:textId="77777777" w:rsidR="006578ED" w:rsidRDefault="006578ED">
      <w:pPr>
        <w:spacing w:before="120" w:after="120" w:line="240" w:lineRule="auto"/>
        <w:jc w:val="both"/>
        <w:rPr>
          <w:rFonts w:ascii="Times New Roman" w:hAnsi="Times New Roman" w:cs="Times New Roman"/>
          <w:noProof/>
        </w:rPr>
      </w:pPr>
    </w:p>
    <w:p w14:paraId="23906EED" w14:textId="77777777" w:rsidR="006578ED" w:rsidRDefault="006578ED">
      <w:pPr>
        <w:pStyle w:val="Text1"/>
        <w:ind w:left="0"/>
        <w:rPr>
          <w:rFonts w:ascii="Times New Roman" w:eastAsia="MS Mincho" w:hAnsi="Times New Roman" w:cs="Times New Roman"/>
          <w:noProof/>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835"/>
        <w:gridCol w:w="993"/>
        <w:gridCol w:w="850"/>
        <w:gridCol w:w="425"/>
        <w:gridCol w:w="709"/>
        <w:gridCol w:w="425"/>
        <w:gridCol w:w="567"/>
        <w:gridCol w:w="6096"/>
      </w:tblGrid>
      <w:tr w:rsidR="006578ED" w14:paraId="391966F2" w14:textId="77777777">
        <w:trPr>
          <w:trHeight w:val="309"/>
          <w:tblHeader/>
        </w:trPr>
        <w:tc>
          <w:tcPr>
            <w:tcW w:w="709" w:type="dxa"/>
            <w:tcBorders>
              <w:bottom w:val="nil"/>
            </w:tcBorders>
            <w:shd w:val="clear" w:color="auto" w:fill="C6D9F1" w:themeFill="text2" w:themeFillTint="33"/>
            <w:noWrap/>
            <w:vAlign w:val="center"/>
          </w:tcPr>
          <w:p w14:paraId="12BD0FD1" w14:textId="77777777" w:rsidR="006578ED" w:rsidRDefault="00A1618E">
            <w:pPr>
              <w:pStyle w:val="P68B1DB1-Normal12"/>
              <w:spacing w:after="0" w:line="240" w:lineRule="auto"/>
              <w:jc w:val="center"/>
              <w:rPr>
                <w:rFonts w:cs="Times New Roman"/>
                <w:noProof/>
              </w:rPr>
            </w:pPr>
            <w:bookmarkStart w:id="13" w:name="_Hlk138346203"/>
            <w:r>
              <w:rPr>
                <w:noProof/>
              </w:rPr>
              <w:t>Liczba</w:t>
            </w:r>
          </w:p>
        </w:tc>
        <w:tc>
          <w:tcPr>
            <w:tcW w:w="851" w:type="dxa"/>
            <w:tcBorders>
              <w:bottom w:val="nil"/>
            </w:tcBorders>
            <w:shd w:val="clear" w:color="auto" w:fill="C6D9F1" w:themeFill="text2" w:themeFillTint="33"/>
            <w:noWrap/>
            <w:vAlign w:val="center"/>
          </w:tcPr>
          <w:p w14:paraId="7A1486DC"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0086A022" w14:textId="2679A8AE"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835" w:type="dxa"/>
            <w:tcBorders>
              <w:bottom w:val="nil"/>
            </w:tcBorders>
            <w:shd w:val="clear" w:color="auto" w:fill="C6D9F1" w:themeFill="text2" w:themeFillTint="33"/>
            <w:noWrap/>
            <w:vAlign w:val="center"/>
          </w:tcPr>
          <w:p w14:paraId="47B9F5B8" w14:textId="77777777" w:rsidR="006578ED" w:rsidRDefault="00A1618E">
            <w:pPr>
              <w:pStyle w:val="P68B1DB1-Normal12"/>
              <w:spacing w:after="0" w:line="240" w:lineRule="auto"/>
              <w:jc w:val="center"/>
              <w:rPr>
                <w:rFonts w:cs="Times New Roman"/>
                <w:noProof/>
              </w:rPr>
            </w:pPr>
            <w:r>
              <w:rPr>
                <w:noProof/>
              </w:rPr>
              <w:t>Nazwa</w:t>
            </w:r>
          </w:p>
        </w:tc>
        <w:tc>
          <w:tcPr>
            <w:tcW w:w="993" w:type="dxa"/>
            <w:tcBorders>
              <w:bottom w:val="nil"/>
            </w:tcBorders>
            <w:shd w:val="clear" w:color="auto" w:fill="C6D9F1" w:themeFill="text2" w:themeFillTint="33"/>
            <w:noWrap/>
            <w:vAlign w:val="center"/>
          </w:tcPr>
          <w:p w14:paraId="4414649E"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84" w:type="dxa"/>
            <w:gridSpan w:val="3"/>
            <w:shd w:val="clear" w:color="auto" w:fill="C6D9F1" w:themeFill="text2" w:themeFillTint="33"/>
            <w:noWrap/>
            <w:vAlign w:val="center"/>
          </w:tcPr>
          <w:p w14:paraId="5D64DF5B"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01D99DB9" w14:textId="77777777" w:rsidR="006578ED" w:rsidRDefault="00A1618E">
            <w:pPr>
              <w:pStyle w:val="P68B1DB1-Normal12"/>
              <w:spacing w:after="0" w:line="240" w:lineRule="auto"/>
              <w:jc w:val="center"/>
              <w:rPr>
                <w:rFonts w:cs="Times New Roman"/>
                <w:noProof/>
              </w:rPr>
            </w:pPr>
            <w:r>
              <w:rPr>
                <w:noProof/>
              </w:rPr>
              <w:t>Czas</w:t>
            </w:r>
          </w:p>
        </w:tc>
        <w:tc>
          <w:tcPr>
            <w:tcW w:w="6096" w:type="dxa"/>
            <w:tcBorders>
              <w:bottom w:val="nil"/>
            </w:tcBorders>
            <w:shd w:val="clear" w:color="auto" w:fill="C6D9F1" w:themeFill="text2" w:themeFillTint="33"/>
            <w:noWrap/>
            <w:vAlign w:val="center"/>
          </w:tcPr>
          <w:p w14:paraId="148478C2" w14:textId="5A4BCDAF"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54EFC1AE" w14:textId="77777777">
        <w:trPr>
          <w:trHeight w:val="309"/>
          <w:tblHeader/>
        </w:trPr>
        <w:tc>
          <w:tcPr>
            <w:tcW w:w="709" w:type="dxa"/>
            <w:tcBorders>
              <w:top w:val="nil"/>
            </w:tcBorders>
            <w:shd w:val="clear" w:color="auto" w:fill="C6D9F1" w:themeFill="text2" w:themeFillTint="33"/>
            <w:noWrap/>
          </w:tcPr>
          <w:p w14:paraId="1E8F32CC"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69C90A0"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F654621" w14:textId="77777777" w:rsidR="006578ED" w:rsidRDefault="006578ED">
            <w:pPr>
              <w:spacing w:after="0" w:line="240" w:lineRule="auto"/>
              <w:jc w:val="center"/>
              <w:rPr>
                <w:rFonts w:ascii="Times New Roman" w:hAnsi="Times New Roman" w:cs="Times New Roman"/>
                <w:b/>
                <w:noProof/>
                <w:sz w:val="18"/>
              </w:rPr>
            </w:pPr>
          </w:p>
        </w:tc>
        <w:tc>
          <w:tcPr>
            <w:tcW w:w="2835" w:type="dxa"/>
            <w:tcBorders>
              <w:top w:val="nil"/>
            </w:tcBorders>
            <w:shd w:val="clear" w:color="auto" w:fill="C6D9F1" w:themeFill="text2" w:themeFillTint="33"/>
            <w:noWrap/>
          </w:tcPr>
          <w:p w14:paraId="1B405182" w14:textId="77777777" w:rsidR="006578ED" w:rsidRDefault="006578ED">
            <w:pPr>
              <w:spacing w:after="0" w:line="240" w:lineRule="auto"/>
              <w:rPr>
                <w:rFonts w:ascii="Times New Roman" w:hAnsi="Times New Roman" w:cs="Times New Roman"/>
                <w:b/>
                <w:noProof/>
                <w:sz w:val="18"/>
              </w:rPr>
            </w:pPr>
          </w:p>
        </w:tc>
        <w:tc>
          <w:tcPr>
            <w:tcW w:w="993" w:type="dxa"/>
            <w:tcBorders>
              <w:top w:val="nil"/>
            </w:tcBorders>
            <w:shd w:val="clear" w:color="auto" w:fill="C6D9F1" w:themeFill="text2" w:themeFillTint="33"/>
            <w:noWrap/>
          </w:tcPr>
          <w:p w14:paraId="0D83A2E6"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0E0D0DA7" w14:textId="77777777" w:rsidR="006578ED" w:rsidRDefault="00A1618E">
            <w:pPr>
              <w:pStyle w:val="P68B1DB1-Normal12"/>
              <w:spacing w:after="0" w:line="240" w:lineRule="auto"/>
              <w:jc w:val="center"/>
              <w:rPr>
                <w:rFonts w:cs="Times New Roman"/>
                <w:noProof/>
              </w:rPr>
            </w:pPr>
            <w:r>
              <w:rPr>
                <w:noProof/>
              </w:rPr>
              <w:t>Jednostka</w:t>
            </w:r>
          </w:p>
        </w:tc>
        <w:tc>
          <w:tcPr>
            <w:tcW w:w="425" w:type="dxa"/>
            <w:shd w:val="clear" w:color="auto" w:fill="C6D9F1" w:themeFill="text2" w:themeFillTint="33"/>
            <w:noWrap/>
            <w:vAlign w:val="center"/>
          </w:tcPr>
          <w:p w14:paraId="25D166B5" w14:textId="77777777" w:rsidR="006578ED" w:rsidRDefault="00A1618E">
            <w:pPr>
              <w:pStyle w:val="P68B1DB1-Normal12"/>
              <w:spacing w:after="0" w:line="240" w:lineRule="auto"/>
              <w:jc w:val="center"/>
              <w:rPr>
                <w:rFonts w:cs="Times New Roman"/>
                <w:noProof/>
              </w:rPr>
            </w:pPr>
            <w:r>
              <w:rPr>
                <w:noProof/>
              </w:rPr>
              <w:t>Wartość wyjściowa</w:t>
            </w:r>
          </w:p>
        </w:tc>
        <w:tc>
          <w:tcPr>
            <w:tcW w:w="709" w:type="dxa"/>
            <w:shd w:val="clear" w:color="auto" w:fill="C6D9F1" w:themeFill="text2" w:themeFillTint="33"/>
            <w:noWrap/>
            <w:vAlign w:val="center"/>
          </w:tcPr>
          <w:p w14:paraId="6D5DF994"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vAlign w:val="center"/>
          </w:tcPr>
          <w:p w14:paraId="493C9C13"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53C61BD" w14:textId="77777777" w:rsidR="006578ED" w:rsidRDefault="00A1618E">
            <w:pPr>
              <w:pStyle w:val="P68B1DB1-Normal12"/>
              <w:spacing w:after="0" w:line="240" w:lineRule="auto"/>
              <w:jc w:val="center"/>
              <w:rPr>
                <w:rFonts w:cs="Times New Roman"/>
                <w:noProof/>
              </w:rPr>
            </w:pPr>
            <w:r>
              <w:rPr>
                <w:noProof/>
              </w:rPr>
              <w:t>Rok</w:t>
            </w:r>
          </w:p>
        </w:tc>
        <w:tc>
          <w:tcPr>
            <w:tcW w:w="6096" w:type="dxa"/>
            <w:tcBorders>
              <w:top w:val="nil"/>
            </w:tcBorders>
            <w:shd w:val="clear" w:color="auto" w:fill="C6D9F1" w:themeFill="text2" w:themeFillTint="33"/>
            <w:noWrap/>
          </w:tcPr>
          <w:p w14:paraId="687E6B85" w14:textId="77777777" w:rsidR="006578ED" w:rsidRDefault="006578ED">
            <w:pPr>
              <w:spacing w:after="0" w:line="240" w:lineRule="auto"/>
              <w:rPr>
                <w:rFonts w:ascii="Times New Roman" w:hAnsi="Times New Roman" w:cs="Times New Roman"/>
                <w:b/>
                <w:noProof/>
                <w:sz w:val="18"/>
              </w:rPr>
            </w:pPr>
          </w:p>
        </w:tc>
      </w:tr>
      <w:tr w:rsidR="006578ED" w14:paraId="4DB045D4" w14:textId="77777777">
        <w:trPr>
          <w:trHeight w:val="309"/>
        </w:trPr>
        <w:tc>
          <w:tcPr>
            <w:tcW w:w="709" w:type="dxa"/>
            <w:shd w:val="clear" w:color="auto" w:fill="C6EFCE"/>
            <w:noWrap/>
          </w:tcPr>
          <w:p w14:paraId="0CE60D6D" w14:textId="569AC578" w:rsidR="006578ED" w:rsidRDefault="00A1618E">
            <w:pPr>
              <w:pStyle w:val="P68B1DB1-Normal13"/>
              <w:spacing w:after="0" w:line="240" w:lineRule="auto"/>
              <w:jc w:val="center"/>
              <w:rPr>
                <w:rFonts w:eastAsia="MS Mincho" w:cs="Times New Roman"/>
                <w:noProof/>
              </w:rPr>
            </w:pPr>
            <w:r>
              <w:rPr>
                <w:noProof/>
              </w:rPr>
              <w:t>L13</w:t>
            </w:r>
          </w:p>
        </w:tc>
        <w:tc>
          <w:tcPr>
            <w:tcW w:w="851" w:type="dxa"/>
            <w:shd w:val="clear" w:color="auto" w:fill="C6EFCE"/>
            <w:noWrap/>
          </w:tcPr>
          <w:p w14:paraId="709DC092" w14:textId="721839BE" w:rsidR="006578ED" w:rsidRDefault="00A1618E">
            <w:pPr>
              <w:pStyle w:val="P68B1DB1-Normal13"/>
              <w:spacing w:after="0" w:line="240" w:lineRule="auto"/>
              <w:jc w:val="center"/>
              <w:rPr>
                <w:rFonts w:eastAsia="MS Mincho" w:cs="Times New Roman"/>
                <w:noProof/>
              </w:rPr>
            </w:pPr>
            <w:r>
              <w:rPr>
                <w:noProof/>
              </w:rPr>
              <w:t>C5.I5</w:t>
            </w:r>
          </w:p>
        </w:tc>
        <w:tc>
          <w:tcPr>
            <w:tcW w:w="850" w:type="dxa"/>
            <w:shd w:val="clear" w:color="auto" w:fill="C6EFCE"/>
            <w:noWrap/>
          </w:tcPr>
          <w:p w14:paraId="6EF1A728" w14:textId="0E3572CD" w:rsidR="006578ED" w:rsidRDefault="00AF6B91">
            <w:pPr>
              <w:pStyle w:val="P68B1DB1-Normal13"/>
              <w:spacing w:after="0" w:line="240" w:lineRule="auto"/>
              <w:jc w:val="center"/>
              <w:rPr>
                <w:rFonts w:eastAsia="MS Mincho" w:cs="Times New Roman"/>
                <w:noProof/>
              </w:rPr>
            </w:pPr>
            <w:r>
              <w:rPr>
                <w:noProof/>
              </w:rPr>
              <w:t>Cel</w:t>
            </w:r>
          </w:p>
        </w:tc>
        <w:tc>
          <w:tcPr>
            <w:tcW w:w="2835" w:type="dxa"/>
            <w:shd w:val="clear" w:color="auto" w:fill="C6EFCE"/>
            <w:noWrap/>
          </w:tcPr>
          <w:p w14:paraId="47A6AF21" w14:textId="0491A6D9" w:rsidR="006578ED" w:rsidRDefault="00A1618E">
            <w:pPr>
              <w:pStyle w:val="P68B1DB1-Normal13"/>
              <w:spacing w:after="0" w:line="240" w:lineRule="auto"/>
              <w:rPr>
                <w:rFonts w:eastAsia="MS Mincho" w:cs="Times New Roman"/>
                <w:noProof/>
              </w:rPr>
            </w:pPr>
            <w:r>
              <w:rPr>
                <w:noProof/>
              </w:rPr>
              <w:t>Ograniczenie wydobycia wód podziemnych</w:t>
            </w:r>
          </w:p>
        </w:tc>
        <w:tc>
          <w:tcPr>
            <w:tcW w:w="993" w:type="dxa"/>
            <w:shd w:val="clear" w:color="auto" w:fill="C6EFCE"/>
            <w:noWrap/>
          </w:tcPr>
          <w:p w14:paraId="609959BB" w14:textId="39228FF8"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7614457B" w14:textId="3FDE48C9" w:rsidR="006578ED" w:rsidRDefault="00A1618E">
            <w:pPr>
              <w:pStyle w:val="P68B1DB1-Normal13"/>
              <w:spacing w:after="0" w:line="240" w:lineRule="auto"/>
              <w:jc w:val="right"/>
              <w:rPr>
                <w:rFonts w:eastAsia="MS Mincho" w:cs="Times New Roman"/>
                <w:noProof/>
              </w:rPr>
            </w:pPr>
            <w:r>
              <w:rPr>
                <w:noProof/>
              </w:rPr>
              <w:t xml:space="preserve">Liczba (hm3/rok) </w:t>
            </w:r>
          </w:p>
        </w:tc>
        <w:tc>
          <w:tcPr>
            <w:tcW w:w="425" w:type="dxa"/>
            <w:shd w:val="clear" w:color="auto" w:fill="C6EFCE"/>
            <w:noWrap/>
          </w:tcPr>
          <w:p w14:paraId="02BA64C4" w14:textId="1E482E31" w:rsidR="006578ED" w:rsidRDefault="00A1618E">
            <w:pPr>
              <w:pStyle w:val="P68B1DB1-Normal13"/>
              <w:spacing w:after="0" w:line="240" w:lineRule="auto"/>
              <w:jc w:val="right"/>
              <w:rPr>
                <w:rFonts w:eastAsia="MS Mincho" w:cs="Times New Roman"/>
                <w:noProof/>
              </w:rPr>
            </w:pPr>
            <w:r>
              <w:rPr>
                <w:noProof/>
              </w:rPr>
              <w:t xml:space="preserve">0 </w:t>
            </w:r>
          </w:p>
        </w:tc>
        <w:tc>
          <w:tcPr>
            <w:tcW w:w="709" w:type="dxa"/>
            <w:shd w:val="clear" w:color="auto" w:fill="C6EFCE"/>
            <w:noWrap/>
          </w:tcPr>
          <w:p w14:paraId="43B86807" w14:textId="69674AB9" w:rsidR="006578ED" w:rsidRDefault="00A1618E">
            <w:pPr>
              <w:pStyle w:val="P68B1DB1-Normal13"/>
              <w:spacing w:after="0" w:line="240" w:lineRule="auto"/>
              <w:jc w:val="right"/>
              <w:rPr>
                <w:rFonts w:eastAsia="MS Mincho" w:cs="Times New Roman"/>
                <w:noProof/>
              </w:rPr>
            </w:pPr>
            <w:r>
              <w:rPr>
                <w:noProof/>
              </w:rPr>
              <w:t xml:space="preserve">60 </w:t>
            </w:r>
          </w:p>
        </w:tc>
        <w:tc>
          <w:tcPr>
            <w:tcW w:w="425" w:type="dxa"/>
            <w:shd w:val="clear" w:color="auto" w:fill="C6EFCE"/>
            <w:noWrap/>
          </w:tcPr>
          <w:p w14:paraId="147BB08F" w14:textId="457EA4B0" w:rsidR="006578ED" w:rsidRDefault="00EC188C">
            <w:pPr>
              <w:pStyle w:val="P68B1DB1-Normal13"/>
              <w:spacing w:after="0" w:line="240" w:lineRule="auto"/>
              <w:jc w:val="center"/>
              <w:rPr>
                <w:rFonts w:eastAsia="MS Mincho" w:cs="Times New Roman"/>
                <w:noProof/>
              </w:rPr>
            </w:pPr>
            <w:r>
              <w:rPr>
                <w:noProof/>
              </w:rPr>
              <w:t>KW. 2</w:t>
            </w:r>
          </w:p>
        </w:tc>
        <w:tc>
          <w:tcPr>
            <w:tcW w:w="567" w:type="dxa"/>
            <w:shd w:val="clear" w:color="auto" w:fill="C6EFCE"/>
            <w:noWrap/>
          </w:tcPr>
          <w:p w14:paraId="68312A86" w14:textId="2757FA3D" w:rsidR="006578ED" w:rsidRDefault="00A1618E">
            <w:pPr>
              <w:pStyle w:val="P68B1DB1-Normal13"/>
              <w:spacing w:after="0" w:line="240" w:lineRule="auto"/>
              <w:jc w:val="center"/>
              <w:rPr>
                <w:rFonts w:eastAsia="MS Mincho" w:cs="Times New Roman"/>
                <w:noProof/>
              </w:rPr>
            </w:pPr>
            <w:r>
              <w:rPr>
                <w:noProof/>
              </w:rPr>
              <w:t>2026</w:t>
            </w:r>
          </w:p>
        </w:tc>
        <w:tc>
          <w:tcPr>
            <w:tcW w:w="6096" w:type="dxa"/>
            <w:shd w:val="clear" w:color="auto" w:fill="C6EFCE"/>
            <w:noWrap/>
          </w:tcPr>
          <w:p w14:paraId="413948F2" w14:textId="01242452" w:rsidR="006578ED" w:rsidRDefault="00A1618E">
            <w:pPr>
              <w:pStyle w:val="P68B1DB1-Normal13"/>
              <w:spacing w:after="0" w:line="240" w:lineRule="auto"/>
              <w:rPr>
                <w:rFonts w:eastAsia="MS Mincho" w:cs="Times New Roman"/>
                <w:noProof/>
              </w:rPr>
            </w:pPr>
            <w:r>
              <w:rPr>
                <w:noProof/>
              </w:rPr>
              <w:t xml:space="preserve">Dostarczanie alternatywnych zasobów z zakładów odsalania, przy jednoczesnym osiągnięciu równoważnego zmniejszenia rocznej ilości wód podziemnych wydobytych z warstw wodonośnych znajdujących się w wewnętrznych dorzeczach Katalonii i dorzeczy Morza Śródziemnego – Andaluzji, zgodnie z opisem środka. </w:t>
            </w:r>
          </w:p>
        </w:tc>
      </w:tr>
      <w:tr w:rsidR="006578ED" w14:paraId="236752E1" w14:textId="77777777">
        <w:trPr>
          <w:trHeight w:val="309"/>
        </w:trPr>
        <w:tc>
          <w:tcPr>
            <w:tcW w:w="709" w:type="dxa"/>
            <w:shd w:val="clear" w:color="auto" w:fill="C6EFCE"/>
            <w:noWrap/>
          </w:tcPr>
          <w:p w14:paraId="7E73AEA7" w14:textId="42D94A6F" w:rsidR="006578ED" w:rsidRDefault="00A1618E">
            <w:pPr>
              <w:pStyle w:val="P68B1DB1-Normal13"/>
              <w:spacing w:after="0" w:line="240" w:lineRule="auto"/>
              <w:jc w:val="center"/>
              <w:rPr>
                <w:rFonts w:cs="Times New Roman"/>
                <w:noProof/>
              </w:rPr>
            </w:pPr>
            <w:r>
              <w:rPr>
                <w:noProof/>
              </w:rPr>
              <w:t>L14</w:t>
            </w:r>
          </w:p>
        </w:tc>
        <w:tc>
          <w:tcPr>
            <w:tcW w:w="851" w:type="dxa"/>
            <w:shd w:val="clear" w:color="auto" w:fill="C6EFCE"/>
            <w:noWrap/>
          </w:tcPr>
          <w:p w14:paraId="3700384D" w14:textId="7473AFB4" w:rsidR="006578ED" w:rsidRDefault="00A1618E">
            <w:pPr>
              <w:pStyle w:val="P68B1DB1-Normal13"/>
              <w:spacing w:after="0" w:line="240" w:lineRule="auto"/>
              <w:jc w:val="center"/>
              <w:rPr>
                <w:rFonts w:cs="Times New Roman"/>
                <w:noProof/>
              </w:rPr>
            </w:pPr>
            <w:r>
              <w:rPr>
                <w:noProof/>
              </w:rPr>
              <w:t>C5.I6</w:t>
            </w:r>
          </w:p>
        </w:tc>
        <w:tc>
          <w:tcPr>
            <w:tcW w:w="850" w:type="dxa"/>
            <w:shd w:val="clear" w:color="auto" w:fill="C6EFCE"/>
            <w:noWrap/>
          </w:tcPr>
          <w:p w14:paraId="1E7CB0BA" w14:textId="2205BAC2" w:rsidR="006578ED" w:rsidRDefault="00AF6B91">
            <w:pPr>
              <w:pStyle w:val="P68B1DB1-Normal13"/>
              <w:spacing w:after="0" w:line="240" w:lineRule="auto"/>
              <w:jc w:val="center"/>
              <w:rPr>
                <w:rFonts w:cs="Times New Roman"/>
                <w:noProof/>
              </w:rPr>
            </w:pPr>
            <w:r>
              <w:rPr>
                <w:noProof/>
              </w:rPr>
              <w:t>Kamień milowy</w:t>
            </w:r>
          </w:p>
        </w:tc>
        <w:tc>
          <w:tcPr>
            <w:tcW w:w="2835" w:type="dxa"/>
            <w:shd w:val="clear" w:color="auto" w:fill="C6EFCE"/>
            <w:noWrap/>
          </w:tcPr>
          <w:p w14:paraId="30947F60" w14:textId="0AED58F4" w:rsidR="006578ED" w:rsidRDefault="00A1618E">
            <w:pPr>
              <w:pStyle w:val="P68B1DB1-Normal13"/>
              <w:spacing w:after="0" w:line="240" w:lineRule="auto"/>
              <w:rPr>
                <w:rFonts w:cs="Times New Roman"/>
                <w:noProof/>
              </w:rPr>
            </w:pPr>
            <w:r>
              <w:rPr>
                <w:noProof/>
              </w:rPr>
              <w:t>Działania na rzecz cyfryzacji miejskiego cyklu wodnego i sektora przemysłowego</w:t>
            </w:r>
          </w:p>
        </w:tc>
        <w:tc>
          <w:tcPr>
            <w:tcW w:w="993" w:type="dxa"/>
            <w:shd w:val="clear" w:color="auto" w:fill="C6EFCE"/>
            <w:noWrap/>
          </w:tcPr>
          <w:p w14:paraId="4BE75B5E" w14:textId="1D013008" w:rsidR="006578ED" w:rsidRDefault="00A1618E">
            <w:pPr>
              <w:pStyle w:val="P68B1DB1-Normal13"/>
              <w:spacing w:after="0" w:line="240" w:lineRule="auto"/>
              <w:jc w:val="center"/>
              <w:rPr>
                <w:rFonts w:cs="Times New Roman"/>
                <w:noProof/>
              </w:rPr>
            </w:pPr>
            <w:r>
              <w:rPr>
                <w:noProof/>
              </w:rPr>
              <w:t xml:space="preserve"> Oficjalne powiadomienie o ukończonych pracach</w:t>
            </w:r>
          </w:p>
        </w:tc>
        <w:tc>
          <w:tcPr>
            <w:tcW w:w="850" w:type="dxa"/>
            <w:shd w:val="clear" w:color="auto" w:fill="C6EFCE"/>
            <w:noWrap/>
          </w:tcPr>
          <w:p w14:paraId="05A908A8" w14:textId="70F58511" w:rsidR="006578ED" w:rsidRDefault="00A1618E">
            <w:pPr>
              <w:pStyle w:val="P68B1DB1-Normal13"/>
              <w:spacing w:after="0" w:line="240" w:lineRule="auto"/>
              <w:jc w:val="right"/>
              <w:rPr>
                <w:rFonts w:cs="Times New Roman"/>
                <w:noProof/>
              </w:rPr>
            </w:pPr>
            <w:r>
              <w:rPr>
                <w:noProof/>
              </w:rPr>
              <w:t xml:space="preserve"> </w:t>
            </w:r>
          </w:p>
        </w:tc>
        <w:tc>
          <w:tcPr>
            <w:tcW w:w="425" w:type="dxa"/>
            <w:shd w:val="clear" w:color="auto" w:fill="C6EFCE"/>
            <w:noWrap/>
          </w:tcPr>
          <w:p w14:paraId="40BDD0E6" w14:textId="6FFB4C1C"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4D03E66A" w14:textId="48B971C1" w:rsidR="006578ED" w:rsidRDefault="006578ED">
            <w:pPr>
              <w:spacing w:after="0" w:line="240" w:lineRule="auto"/>
              <w:jc w:val="right"/>
              <w:rPr>
                <w:rFonts w:ascii="Times New Roman" w:hAnsi="Times New Roman" w:cs="Times New Roman"/>
                <w:noProof/>
                <w:sz w:val="18"/>
              </w:rPr>
            </w:pPr>
          </w:p>
        </w:tc>
        <w:tc>
          <w:tcPr>
            <w:tcW w:w="425" w:type="dxa"/>
            <w:shd w:val="clear" w:color="auto" w:fill="C6EFCE"/>
            <w:noWrap/>
          </w:tcPr>
          <w:p w14:paraId="29AB48B3" w14:textId="36465E42" w:rsidR="006578ED" w:rsidRDefault="00EC188C">
            <w:pPr>
              <w:pStyle w:val="P68B1DB1-Normal13"/>
              <w:spacing w:after="0" w:line="240" w:lineRule="auto"/>
              <w:jc w:val="center"/>
              <w:rPr>
                <w:rFonts w:cs="Times New Roman"/>
                <w:noProof/>
              </w:rPr>
            </w:pPr>
            <w:r>
              <w:rPr>
                <w:noProof/>
              </w:rPr>
              <w:t xml:space="preserve">KW. 2 </w:t>
            </w:r>
          </w:p>
        </w:tc>
        <w:tc>
          <w:tcPr>
            <w:tcW w:w="567" w:type="dxa"/>
            <w:shd w:val="clear" w:color="auto" w:fill="C6EFCE"/>
            <w:noWrap/>
          </w:tcPr>
          <w:p w14:paraId="2B10CCDA" w14:textId="6F2A8907" w:rsidR="006578ED" w:rsidRDefault="00A1618E">
            <w:pPr>
              <w:pStyle w:val="P68B1DB1-Normal13"/>
              <w:spacing w:after="0" w:line="240" w:lineRule="auto"/>
              <w:jc w:val="center"/>
              <w:rPr>
                <w:rFonts w:cs="Times New Roman"/>
                <w:noProof/>
              </w:rPr>
            </w:pPr>
            <w:r>
              <w:rPr>
                <w:noProof/>
              </w:rPr>
              <w:t>2026</w:t>
            </w:r>
          </w:p>
        </w:tc>
        <w:tc>
          <w:tcPr>
            <w:tcW w:w="6096" w:type="dxa"/>
            <w:shd w:val="clear" w:color="auto" w:fill="C6EFCE"/>
            <w:noWrap/>
          </w:tcPr>
          <w:p w14:paraId="3E8F8829" w14:textId="5BB6EC38" w:rsidR="006578ED" w:rsidRDefault="00A1618E">
            <w:pPr>
              <w:pStyle w:val="P68B1DB1-Normal13"/>
              <w:spacing w:after="0" w:line="240" w:lineRule="auto"/>
              <w:rPr>
                <w:rFonts w:cs="Times New Roman"/>
                <w:noProof/>
              </w:rPr>
            </w:pPr>
            <w:r>
              <w:rPr>
                <w:noProof/>
              </w:rPr>
              <w:t xml:space="preserve">10000000 mieszkańców skorzystało z projektów cyfryzacji miejskiego cyklu wodnego i co najmniej 90 projektów przemysłowych dotyczących wody. </w:t>
            </w:r>
          </w:p>
        </w:tc>
      </w:tr>
      <w:bookmarkEnd w:id="13"/>
    </w:tbl>
    <w:p w14:paraId="02DCC3DF" w14:textId="6426C795" w:rsidR="006578ED" w:rsidRDefault="006578ED">
      <w:pPr>
        <w:pStyle w:val="Text1"/>
        <w:ind w:left="0"/>
        <w:rPr>
          <w:rFonts w:ascii="Times New Roman" w:eastAsia="Calibri" w:hAnsi="Times New Roman" w:cs="Times New Roman"/>
          <w:noProof/>
        </w:rPr>
        <w:sectPr w:rsidR="006578ED" w:rsidSect="0035659C">
          <w:headerReference w:type="even" r:id="rId144"/>
          <w:headerReference w:type="default" r:id="rId145"/>
          <w:footerReference w:type="even" r:id="rId146"/>
          <w:footerReference w:type="default" r:id="rId147"/>
          <w:headerReference w:type="first" r:id="rId148"/>
          <w:footerReference w:type="first" r:id="rId149"/>
          <w:pgSz w:w="16839" w:h="11907" w:orient="landscape"/>
          <w:pgMar w:top="1417" w:right="1134" w:bottom="1417" w:left="1134" w:header="709" w:footer="709" w:gutter="0"/>
          <w:cols w:space="720"/>
          <w:docGrid w:linePitch="360"/>
        </w:sectPr>
      </w:pPr>
    </w:p>
    <w:p w14:paraId="711F0FB5" w14:textId="6A0A0092" w:rsidR="006578ED" w:rsidRDefault="00A1618E">
      <w:pPr>
        <w:pStyle w:val="P68B1DB1-Heading12"/>
        <w:rPr>
          <w:rFonts w:cs="Times New Roman"/>
          <w:noProof/>
        </w:rPr>
      </w:pPr>
      <w:r>
        <w:rPr>
          <w:noProof/>
        </w:rPr>
        <w:t>F. KOMPONENT 06: Zrównoważona mobilność (długoterminowa)</w:t>
      </w:r>
    </w:p>
    <w:p w14:paraId="4BA2FD7C" w14:textId="332BDC4E" w:rsidR="006578ED" w:rsidRDefault="00A1618E">
      <w:pPr>
        <w:pStyle w:val="P68B1DB1-Normal4"/>
        <w:spacing w:line="240" w:lineRule="auto"/>
        <w:jc w:val="both"/>
        <w:rPr>
          <w:rFonts w:cs="Times New Roman"/>
          <w:noProof/>
        </w:rPr>
      </w:pPr>
      <w:r>
        <w:rPr>
          <w:noProof/>
        </w:rPr>
        <w:t>Ten element hiszpańskiego planu odbudowy i zwiększania odporności odnosi się do następujących wyzwań: 1) przejście na bardziej zrównoważone rodzaje transportu; Ograniczenie emisji w sektorze transportu; 3) uczynienie sektora transportu bezpieczniejszym, bardziej dostępnym, zrównoważonym i sprzyjającym włączeniu społecznemu.</w:t>
      </w:r>
    </w:p>
    <w:p w14:paraId="719433C5" w14:textId="2EE3D510" w:rsidR="006578ED" w:rsidRDefault="00A1618E">
      <w:pPr>
        <w:pStyle w:val="P68B1DB1-Normal4"/>
        <w:spacing w:line="240" w:lineRule="auto"/>
        <w:jc w:val="both"/>
        <w:rPr>
          <w:rFonts w:cs="Times New Roman"/>
          <w:noProof/>
        </w:rPr>
      </w:pPr>
      <w:r>
        <w:rPr>
          <w:noProof/>
        </w:rPr>
        <w:t>Cele komponentu są następujące: rozwój hiszpańskiej sieci kolejowej (w szczególności korytarzy bazowych TEN-</w:t>
      </w:r>
      <w:r w:rsidR="00AF6B91">
        <w:rPr>
          <w:noProof/>
        </w:rPr>
        <w:t>Cel</w:t>
      </w:r>
      <w:r>
        <w:rPr>
          <w:noProof/>
        </w:rPr>
        <w:t xml:space="preserve"> i sieci TEN-</w:t>
      </w:r>
      <w:r w:rsidR="00AF6B91">
        <w:rPr>
          <w:noProof/>
        </w:rPr>
        <w:t>Cel</w:t>
      </w:r>
      <w:r>
        <w:rPr>
          <w:noProof/>
        </w:rPr>
        <w:t xml:space="preserve"> innych niż podstawowe); ustanowienie bardziej interoperacyjnej sieci transportowej (kolejowej, drogowej, portowej) w celu zmniejszenia jej śladu węglowego; poprawa połączeń transgranicznych z Francją i Portugalią; modernizacja sektora transportu wraz z przyjęciem zaawansowanych technologii cyfrowych. </w:t>
      </w:r>
    </w:p>
    <w:p w14:paraId="3BF698B3" w14:textId="02D20B5E" w:rsidR="006578ED" w:rsidRDefault="00A1618E">
      <w:pPr>
        <w:pStyle w:val="P68B1DB1-Normal4"/>
        <w:spacing w:line="240" w:lineRule="auto"/>
        <w:jc w:val="both"/>
        <w:rPr>
          <w:rFonts w:cs="Times New Roman"/>
          <w:noProof/>
        </w:rPr>
      </w:pPr>
      <w:r>
        <w:rPr>
          <w:noProof/>
        </w:rPr>
        <w:t xml:space="preserve">Komponent ten odnosi się do zaleceń dla poszczególnych krajów w sprawie promowania inwestycji w zakresie efektywności energetycznej i wykorzystania zasobów oraz w sprawie promowania infrastruktury kolejowego transportu towarowego (zalecenie dla poszczególnych krajów </w:t>
      </w:r>
      <w:r w:rsidRPr="00A1618E">
        <w:rPr>
          <w:noProof/>
          <w:lang w:val="pl-PL"/>
        </w:rPr>
        <w:t>nr 3</w:t>
      </w:r>
      <w:r>
        <w:rPr>
          <w:noProof/>
        </w:rPr>
        <w:t xml:space="preserve"> z 20</w:t>
      </w:r>
      <w:r w:rsidRPr="00A1618E">
        <w:rPr>
          <w:noProof/>
          <w:lang w:val="pl-PL"/>
        </w:rPr>
        <w:t>19 r.</w:t>
      </w:r>
      <w:r>
        <w:rPr>
          <w:noProof/>
        </w:rPr>
        <w:t xml:space="preserve">) oraz w sprawie inwestycji w transformację ekologiczną i cyfrową oraz zrównoważony transport (zalecenie dla poszczególnych krajów </w:t>
      </w:r>
      <w:r w:rsidRPr="00A1618E">
        <w:rPr>
          <w:noProof/>
          <w:lang w:val="pl-PL"/>
        </w:rPr>
        <w:t>nr 3</w:t>
      </w:r>
      <w:r>
        <w:rPr>
          <w:noProof/>
        </w:rPr>
        <w:t xml:space="preserve"> z 20</w:t>
      </w:r>
      <w:r w:rsidRPr="00A1618E">
        <w:rPr>
          <w:noProof/>
          <w:lang w:val="pl-PL"/>
        </w:rPr>
        <w:t>20 r.</w:t>
      </w:r>
      <w:r>
        <w:rPr>
          <w:noProof/>
        </w:rPr>
        <w:t>).</w:t>
      </w:r>
    </w:p>
    <w:p w14:paraId="121535DA" w14:textId="1431B394" w:rsidR="006578ED" w:rsidRDefault="00A1618E">
      <w:pPr>
        <w:pStyle w:val="P68B1DB1-Normal4"/>
        <w:spacing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1097947D" w14:textId="185C5B14" w:rsidR="006578ED" w:rsidRDefault="00A1618E">
      <w:pPr>
        <w:pStyle w:val="P68B1DB1-Normal5"/>
        <w:spacing w:before="120" w:after="120" w:line="240" w:lineRule="auto"/>
        <w:ind w:left="709"/>
        <w:jc w:val="both"/>
        <w:rPr>
          <w:rFonts w:cs="Times New Roman"/>
          <w:i/>
          <w:noProof/>
        </w:rPr>
      </w:pPr>
      <w:r>
        <w:rPr>
          <w:noProof/>
        </w:rPr>
        <w:t xml:space="preserve">F.1. </w:t>
      </w:r>
      <w:r>
        <w:rPr>
          <w:noProof/>
        </w:rPr>
        <w:tab/>
        <w:t>Opis reform i inwestycji, które mają być finansowane z bezzwrotnego wsparcia finansowego</w:t>
      </w:r>
    </w:p>
    <w:p w14:paraId="7CF8E487" w14:textId="68BC20EA" w:rsidR="006578ED" w:rsidRDefault="00A1618E">
      <w:pPr>
        <w:pStyle w:val="P68B1DB1-Normal6"/>
        <w:spacing w:line="240" w:lineRule="auto"/>
        <w:jc w:val="both"/>
        <w:rPr>
          <w:rFonts w:cs="Times New Roman"/>
          <w:noProof/>
        </w:rPr>
      </w:pPr>
      <w:r>
        <w:rPr>
          <w:noProof/>
        </w:rPr>
        <w:t>Reforma 1 (C6.R1) – Strategia na rzecz bezpiecznej, zrównoważonej i połączonej mobilności</w:t>
      </w:r>
    </w:p>
    <w:p w14:paraId="52F710EE" w14:textId="77777777" w:rsidR="006578ED" w:rsidRDefault="00A1618E">
      <w:pPr>
        <w:pStyle w:val="P68B1DB1-Normal4"/>
        <w:spacing w:line="240" w:lineRule="auto"/>
        <w:jc w:val="both"/>
        <w:rPr>
          <w:rFonts w:cs="Times New Roman"/>
          <w:noProof/>
        </w:rPr>
      </w:pPr>
      <w:r>
        <w:rPr>
          <w:noProof/>
        </w:rPr>
        <w:t xml:space="preserve">Celem środka jest: </w:t>
      </w:r>
    </w:p>
    <w:p w14:paraId="409A6AA4" w14:textId="735D8AB3" w:rsidR="006578ED" w:rsidRDefault="00A1618E">
      <w:pPr>
        <w:pStyle w:val="P68B1DB1-ListParagraph7"/>
        <w:numPr>
          <w:ilvl w:val="0"/>
          <w:numId w:val="171"/>
        </w:numPr>
        <w:spacing w:line="240" w:lineRule="auto"/>
        <w:jc w:val="both"/>
        <w:rPr>
          <w:rFonts w:cs="Times New Roman"/>
          <w:noProof/>
        </w:rPr>
      </w:pPr>
      <w:r>
        <w:rPr>
          <w:noProof/>
        </w:rPr>
        <w:t xml:space="preserve">Zwiększenie bezpieczeństwa sieci mobilności, zapewniając lepszą ochronę osób i towarów, podnosząc standardy i ograniczając liczbę wypadków. </w:t>
      </w:r>
    </w:p>
    <w:p w14:paraId="48EAEA90" w14:textId="5EFE71C0" w:rsidR="006578ED" w:rsidRDefault="00A1618E">
      <w:pPr>
        <w:pStyle w:val="P68B1DB1-ListParagraph7"/>
        <w:numPr>
          <w:ilvl w:val="0"/>
          <w:numId w:val="171"/>
        </w:numPr>
        <w:spacing w:line="240" w:lineRule="auto"/>
        <w:jc w:val="both"/>
        <w:rPr>
          <w:rFonts w:cs="Times New Roman"/>
          <w:noProof/>
        </w:rPr>
      </w:pPr>
      <w:r>
        <w:rPr>
          <w:noProof/>
        </w:rPr>
        <w:t xml:space="preserve">Zwiększenie zrównoważonego rozwoju poprzez priorytetowe traktowanie codziennej mobilności, sprawiedliwości gospodarczej i społecznej, efektywności energetycznej i walki ze zmianą klimatu. </w:t>
      </w:r>
    </w:p>
    <w:p w14:paraId="688326EE" w14:textId="2CEB0933" w:rsidR="006578ED" w:rsidRDefault="00A1618E">
      <w:pPr>
        <w:pStyle w:val="P68B1DB1-ListParagraph7"/>
        <w:numPr>
          <w:ilvl w:val="0"/>
          <w:numId w:val="171"/>
        </w:numPr>
        <w:spacing w:line="240" w:lineRule="auto"/>
        <w:jc w:val="both"/>
        <w:rPr>
          <w:rFonts w:cs="Times New Roman"/>
          <w:noProof/>
        </w:rPr>
      </w:pPr>
      <w:r>
        <w:rPr>
          <w:noProof/>
        </w:rPr>
        <w:t>Poprawa łączności dzięki cyfryzacji, postępowi technologicznemu i łączności multimodalnej.</w:t>
      </w:r>
    </w:p>
    <w:p w14:paraId="3C003996" w14:textId="67C65768" w:rsidR="006578ED" w:rsidRDefault="00A1618E">
      <w:pPr>
        <w:pStyle w:val="P68B1DB1-Normal4"/>
        <w:spacing w:line="240" w:lineRule="auto"/>
        <w:jc w:val="both"/>
        <w:rPr>
          <w:rFonts w:cs="Times New Roman"/>
          <w:noProof/>
        </w:rPr>
      </w:pPr>
      <w:r>
        <w:rPr>
          <w:noProof/>
        </w:rPr>
        <w:t xml:space="preserve">Strategia obejmuje konkretne działania w następujących dziewięciu obszarach: </w:t>
      </w:r>
    </w:p>
    <w:p w14:paraId="2CF7308B" w14:textId="77777777" w:rsidR="006578ED" w:rsidRDefault="00A1618E">
      <w:pPr>
        <w:pStyle w:val="P68B1DB1-ListParagraph7"/>
        <w:numPr>
          <w:ilvl w:val="0"/>
          <w:numId w:val="172"/>
        </w:numPr>
        <w:spacing w:line="240" w:lineRule="auto"/>
        <w:jc w:val="both"/>
        <w:rPr>
          <w:rFonts w:cs="Times New Roman"/>
          <w:noProof/>
        </w:rPr>
      </w:pPr>
      <w:r>
        <w:rPr>
          <w:noProof/>
        </w:rPr>
        <w:t xml:space="preserve">Mobilność dla wszystkich (zapewnienie powszechnej dostępności po rozsądnych kosztach); </w:t>
      </w:r>
    </w:p>
    <w:p w14:paraId="7CFBDBEE" w14:textId="0F375AF3" w:rsidR="006578ED" w:rsidRDefault="00A1618E">
      <w:pPr>
        <w:pStyle w:val="P68B1DB1-ListParagraph7"/>
        <w:numPr>
          <w:ilvl w:val="0"/>
          <w:numId w:val="172"/>
        </w:numPr>
        <w:spacing w:line="240" w:lineRule="auto"/>
        <w:jc w:val="both"/>
        <w:rPr>
          <w:rFonts w:cs="Times New Roman"/>
          <w:noProof/>
        </w:rPr>
      </w:pPr>
      <w:r>
        <w:rPr>
          <w:noProof/>
        </w:rPr>
        <w:t xml:space="preserve">Nowe polityki inwestycyjne (w celu zapewnienia odpowiedniego finansowania infrastruktury transportowej i usług transportowych); </w:t>
      </w:r>
    </w:p>
    <w:p w14:paraId="4DF51691" w14:textId="7BE8175A" w:rsidR="006578ED" w:rsidRDefault="00A1618E">
      <w:pPr>
        <w:pStyle w:val="P68B1DB1-ListParagraph7"/>
        <w:numPr>
          <w:ilvl w:val="0"/>
          <w:numId w:val="172"/>
        </w:numPr>
        <w:spacing w:line="240" w:lineRule="auto"/>
        <w:jc w:val="both"/>
        <w:rPr>
          <w:rFonts w:cs="Times New Roman"/>
          <w:noProof/>
        </w:rPr>
      </w:pPr>
      <w:r>
        <w:rPr>
          <w:noProof/>
        </w:rPr>
        <w:t xml:space="preserve">Bezpieczna mobilność (priorytetyzacja inwestycji w monitorowanie, utrzymanie i cyberbezpieczeństwo); </w:t>
      </w:r>
    </w:p>
    <w:p w14:paraId="47C9B44E" w14:textId="77777777" w:rsidR="006578ED" w:rsidRDefault="00A1618E">
      <w:pPr>
        <w:pStyle w:val="P68B1DB1-ListParagraph7"/>
        <w:numPr>
          <w:ilvl w:val="0"/>
          <w:numId w:val="172"/>
        </w:numPr>
        <w:spacing w:line="240" w:lineRule="auto"/>
        <w:jc w:val="both"/>
        <w:rPr>
          <w:rFonts w:cs="Times New Roman"/>
          <w:noProof/>
        </w:rPr>
      </w:pPr>
      <w:r>
        <w:rPr>
          <w:noProof/>
        </w:rPr>
        <w:t xml:space="preserve">Mobilność niskoemisyjna (zwiększenie efektywności, zmniejszenie zużycia energii); </w:t>
      </w:r>
    </w:p>
    <w:p w14:paraId="65035110" w14:textId="65C487E5" w:rsidR="006578ED" w:rsidRDefault="00A1618E">
      <w:pPr>
        <w:pStyle w:val="P68B1DB1-ListParagraph7"/>
        <w:numPr>
          <w:ilvl w:val="0"/>
          <w:numId w:val="172"/>
        </w:numPr>
        <w:spacing w:line="240" w:lineRule="auto"/>
        <w:jc w:val="both"/>
        <w:rPr>
          <w:rFonts w:cs="Times New Roman"/>
          <w:noProof/>
        </w:rPr>
      </w:pPr>
      <w:r>
        <w:rPr>
          <w:noProof/>
        </w:rPr>
        <w:t xml:space="preserve">Inteligentna mobilność (wspieranie badań i rozwoju oraz innowacji w zakresie mobilności, budowa inteligentnej infrastruktury i zarządzanie nią); </w:t>
      </w:r>
    </w:p>
    <w:p w14:paraId="0ED2C07F" w14:textId="2E8C4F1D" w:rsidR="006578ED" w:rsidRDefault="00A1618E">
      <w:pPr>
        <w:pStyle w:val="P68B1DB1-ListParagraph7"/>
        <w:numPr>
          <w:ilvl w:val="0"/>
          <w:numId w:val="172"/>
        </w:numPr>
        <w:spacing w:line="240" w:lineRule="auto"/>
        <w:jc w:val="both"/>
        <w:rPr>
          <w:rFonts w:cs="Times New Roman"/>
          <w:noProof/>
        </w:rPr>
      </w:pPr>
      <w:r>
        <w:rPr>
          <w:noProof/>
        </w:rPr>
        <w:t xml:space="preserve">Inteligentne intermodalne łańcuchy logistyczne (priorytetowe traktowanie kolejowego transportu towarów w programach publicznych i prywatnych); </w:t>
      </w:r>
    </w:p>
    <w:p w14:paraId="33DEC856" w14:textId="649C8267" w:rsidR="006578ED" w:rsidRDefault="00A1618E">
      <w:pPr>
        <w:pStyle w:val="P68B1DB1-ListParagraph7"/>
        <w:numPr>
          <w:ilvl w:val="0"/>
          <w:numId w:val="172"/>
        </w:numPr>
        <w:spacing w:line="240" w:lineRule="auto"/>
        <w:jc w:val="both"/>
        <w:rPr>
          <w:rFonts w:cs="Times New Roman"/>
          <w:noProof/>
        </w:rPr>
      </w:pPr>
      <w:r>
        <w:rPr>
          <w:noProof/>
        </w:rPr>
        <w:t xml:space="preserve">Połączenie Europy i połączenie ze światem (podłączenie portów do intermodalnych terminali logistycznych oraz zacieśnienie współpracy z krajami sąsiadującymi w celu koordynacji budowy lub poprawy infrastruktury transgranicznej); </w:t>
      </w:r>
    </w:p>
    <w:p w14:paraId="29ECA6C5" w14:textId="4C48E256" w:rsidR="006578ED" w:rsidRDefault="00A1618E">
      <w:pPr>
        <w:pStyle w:val="P68B1DB1-ListParagraph7"/>
        <w:numPr>
          <w:ilvl w:val="0"/>
          <w:numId w:val="172"/>
        </w:numPr>
        <w:spacing w:line="240" w:lineRule="auto"/>
        <w:jc w:val="both"/>
        <w:rPr>
          <w:rFonts w:cs="Times New Roman"/>
          <w:noProof/>
        </w:rPr>
      </w:pPr>
      <w:r>
        <w:rPr>
          <w:noProof/>
        </w:rPr>
        <w:t>Aspekty społeczne i pracownicze (równowaga płci oraz działania w zakresie zmiany i podnoszenia kwalifikacji pracowników sektora transportu); oraz</w:t>
      </w:r>
    </w:p>
    <w:p w14:paraId="3A87BF4B" w14:textId="27A1619A" w:rsidR="006578ED" w:rsidRDefault="00A1618E">
      <w:pPr>
        <w:pStyle w:val="P68B1DB1-ListParagraph7"/>
        <w:numPr>
          <w:ilvl w:val="0"/>
          <w:numId w:val="172"/>
        </w:numPr>
        <w:spacing w:line="240" w:lineRule="auto"/>
        <w:jc w:val="both"/>
        <w:rPr>
          <w:rFonts w:cs="Times New Roman"/>
          <w:noProof/>
        </w:rPr>
      </w:pPr>
      <w:r>
        <w:rPr>
          <w:noProof/>
        </w:rPr>
        <w:t>Cyfryzacja ministerstwa transportu, mobilności i agendy miejskiej w celu uwzględnienia transformacji cyfrowej oraz zwiększenia otwartości i innowacyjności.</w:t>
      </w:r>
    </w:p>
    <w:p w14:paraId="52B14BA0" w14:textId="24978D3C" w:rsidR="006578ED" w:rsidRDefault="00A1618E">
      <w:pPr>
        <w:pStyle w:val="P68B1DB1-Normal4"/>
        <w:autoSpaceDE w:val="0"/>
        <w:autoSpaceDN w:val="0"/>
        <w:spacing w:before="40" w:after="40" w:line="240" w:lineRule="auto"/>
        <w:jc w:val="both"/>
        <w:rPr>
          <w:rFonts w:eastAsia="MS Mincho" w:cs="Times New Roman"/>
          <w:noProof/>
        </w:rPr>
      </w:pPr>
      <w:r>
        <w:rPr>
          <w:noProof/>
        </w:rPr>
        <w:t>Wdrożenie środka zostanie zakończone do dnia 31 grudnia 20</w:t>
      </w:r>
      <w:r w:rsidRPr="00A1618E">
        <w:rPr>
          <w:noProof/>
          <w:lang w:val="pl-PL"/>
        </w:rPr>
        <w:t>21 r.</w:t>
      </w:r>
    </w:p>
    <w:p w14:paraId="5366D74F" w14:textId="77777777" w:rsidR="006578ED" w:rsidRDefault="006578ED">
      <w:pPr>
        <w:keepNext/>
        <w:spacing w:line="240" w:lineRule="auto"/>
        <w:jc w:val="both"/>
        <w:rPr>
          <w:rFonts w:ascii="Times New Roman" w:hAnsi="Times New Roman" w:cs="Times New Roman"/>
          <w:noProof/>
          <w:sz w:val="24"/>
          <w:u w:val="single"/>
        </w:rPr>
      </w:pPr>
    </w:p>
    <w:p w14:paraId="4703E1F8" w14:textId="4C3975BE" w:rsidR="006578ED" w:rsidRDefault="00A1618E">
      <w:pPr>
        <w:pStyle w:val="P68B1DB1-Normal6"/>
        <w:keepNext/>
        <w:spacing w:line="240" w:lineRule="auto"/>
        <w:jc w:val="both"/>
        <w:rPr>
          <w:rFonts w:cs="Times New Roman"/>
          <w:noProof/>
        </w:rPr>
      </w:pPr>
      <w:r>
        <w:rPr>
          <w:noProof/>
        </w:rPr>
        <w:t>Reforma 2 (C6.R2) – Orientacyjna strategia kolejowa</w:t>
      </w:r>
    </w:p>
    <w:p w14:paraId="624738E4" w14:textId="25A4D271" w:rsidR="006578ED" w:rsidRDefault="00A1618E">
      <w:pPr>
        <w:pStyle w:val="P68B1DB1-Normal4"/>
        <w:spacing w:line="240" w:lineRule="auto"/>
        <w:jc w:val="both"/>
        <w:rPr>
          <w:rFonts w:cs="Times New Roman"/>
          <w:noProof/>
        </w:rPr>
      </w:pPr>
      <w:r>
        <w:rPr>
          <w:noProof/>
        </w:rPr>
        <w:t>Celem reformy jest ustanowienie instrumentów zapewniających spójne i skuteczne spełnianie przez sieć kolejową przyszłych potrzeb w zakresie mobilności. W strategii ustanawia się jasny scenariusz planowania dla środka transportu kolejowego i umożliwia dostosowanie priorytetów inwestycyjnych do strategii na rzecz bezpiecznej, zrównoważonej i opartej na sieci mobilności (R1).</w:t>
      </w:r>
    </w:p>
    <w:p w14:paraId="7C129B8F" w14:textId="08496BB2" w:rsidR="006578ED" w:rsidRDefault="00A1618E">
      <w:pPr>
        <w:pStyle w:val="P68B1DB1-Normal4"/>
        <w:spacing w:line="240" w:lineRule="auto"/>
        <w:jc w:val="both"/>
        <w:rPr>
          <w:rFonts w:cs="Times New Roman"/>
          <w:noProof/>
        </w:rPr>
      </w:pPr>
      <w:r>
        <w:rPr>
          <w:noProof/>
        </w:rPr>
        <w:t xml:space="preserve">Reforma obejmuje kilka działań, w tym: </w:t>
      </w:r>
    </w:p>
    <w:p w14:paraId="79891D7F" w14:textId="484093D0" w:rsidR="006578ED" w:rsidRDefault="00A1618E">
      <w:pPr>
        <w:pStyle w:val="P68B1DB1-ListParagraph7"/>
        <w:numPr>
          <w:ilvl w:val="0"/>
          <w:numId w:val="173"/>
        </w:numPr>
        <w:spacing w:line="240" w:lineRule="auto"/>
        <w:jc w:val="both"/>
        <w:rPr>
          <w:rFonts w:cs="Times New Roman"/>
          <w:noProof/>
        </w:rPr>
      </w:pPr>
      <w:r>
        <w:rPr>
          <w:noProof/>
        </w:rPr>
        <w:t xml:space="preserve">opracowanie jaśniejszego planowania działań w sektorze kolejowym, szczególnie ukierunkowanych na codzienną mobilność; </w:t>
      </w:r>
    </w:p>
    <w:p w14:paraId="44EEB80D" w14:textId="77777777" w:rsidR="006578ED" w:rsidRDefault="00A1618E">
      <w:pPr>
        <w:pStyle w:val="P68B1DB1-ListParagraph7"/>
        <w:numPr>
          <w:ilvl w:val="0"/>
          <w:numId w:val="173"/>
        </w:numPr>
        <w:spacing w:line="240" w:lineRule="auto"/>
        <w:jc w:val="both"/>
        <w:rPr>
          <w:rFonts w:cs="Times New Roman"/>
          <w:noProof/>
        </w:rPr>
      </w:pPr>
      <w:r>
        <w:rPr>
          <w:noProof/>
        </w:rPr>
        <w:t xml:space="preserve">poprawa konserwacji sieci; </w:t>
      </w:r>
    </w:p>
    <w:p w14:paraId="1776C835" w14:textId="77777777" w:rsidR="006578ED" w:rsidRDefault="00A1618E">
      <w:pPr>
        <w:pStyle w:val="P68B1DB1-ListParagraph7"/>
        <w:numPr>
          <w:ilvl w:val="0"/>
          <w:numId w:val="173"/>
        </w:numPr>
        <w:spacing w:line="240" w:lineRule="auto"/>
        <w:jc w:val="both"/>
        <w:rPr>
          <w:rFonts w:cs="Times New Roman"/>
          <w:noProof/>
        </w:rPr>
      </w:pPr>
      <w:r>
        <w:rPr>
          <w:noProof/>
        </w:rPr>
        <w:t xml:space="preserve">zapewnienie stabilności ekonomicznej sieci kolejowej; </w:t>
      </w:r>
    </w:p>
    <w:p w14:paraId="40CC3A21" w14:textId="4682CC05" w:rsidR="006578ED" w:rsidRDefault="00A1618E">
      <w:pPr>
        <w:pStyle w:val="P68B1DB1-ListParagraph7"/>
        <w:numPr>
          <w:ilvl w:val="0"/>
          <w:numId w:val="173"/>
        </w:numPr>
        <w:spacing w:line="240" w:lineRule="auto"/>
        <w:jc w:val="both"/>
        <w:rPr>
          <w:rFonts w:cs="Times New Roman"/>
          <w:noProof/>
        </w:rPr>
      </w:pPr>
      <w:r>
        <w:rPr>
          <w:noProof/>
        </w:rPr>
        <w:t xml:space="preserve">priorytetowe traktowanie efektywnego gospodarowania zasobami, wraz z oceną ex ante i ex post projektów inwestycyjnych; </w:t>
      </w:r>
    </w:p>
    <w:p w14:paraId="50F30C3F" w14:textId="1B341283" w:rsidR="006578ED" w:rsidRDefault="00A1618E">
      <w:pPr>
        <w:pStyle w:val="P68B1DB1-ListParagraph7"/>
        <w:numPr>
          <w:ilvl w:val="0"/>
          <w:numId w:val="173"/>
        </w:numPr>
        <w:spacing w:line="240" w:lineRule="auto"/>
        <w:jc w:val="both"/>
        <w:rPr>
          <w:rFonts w:cs="Times New Roman"/>
          <w:noProof/>
        </w:rPr>
      </w:pPr>
      <w:r>
        <w:rPr>
          <w:noProof/>
        </w:rPr>
        <w:t xml:space="preserve">zwiększenie interoperacyjności sieci, zwłaszcza w korytarzach sieci transeuropejskich, oraz intermodalności sieci; </w:t>
      </w:r>
    </w:p>
    <w:p w14:paraId="00A3CD9D" w14:textId="77777777" w:rsidR="006578ED" w:rsidRDefault="00A1618E">
      <w:pPr>
        <w:pStyle w:val="P68B1DB1-ListParagraph7"/>
        <w:numPr>
          <w:ilvl w:val="0"/>
          <w:numId w:val="173"/>
        </w:numPr>
        <w:spacing w:line="240" w:lineRule="auto"/>
        <w:jc w:val="both"/>
        <w:rPr>
          <w:rFonts w:cs="Times New Roman"/>
          <w:noProof/>
        </w:rPr>
      </w:pPr>
      <w:r>
        <w:rPr>
          <w:noProof/>
        </w:rPr>
        <w:t xml:space="preserve">pobudzenie kolejowego ruchu towarowego; </w:t>
      </w:r>
    </w:p>
    <w:p w14:paraId="190B71EE" w14:textId="48AEC644" w:rsidR="006578ED" w:rsidRDefault="00A1618E">
      <w:pPr>
        <w:pStyle w:val="P68B1DB1-ListParagraph7"/>
        <w:numPr>
          <w:ilvl w:val="0"/>
          <w:numId w:val="173"/>
        </w:numPr>
        <w:spacing w:line="240" w:lineRule="auto"/>
        <w:jc w:val="both"/>
        <w:rPr>
          <w:rFonts w:cs="Times New Roman"/>
          <w:noProof/>
        </w:rPr>
      </w:pPr>
      <w:r>
        <w:rPr>
          <w:noProof/>
        </w:rPr>
        <w:t>zwiększenie bezpieczeństwa w transporcie kolejowym oraz</w:t>
      </w:r>
    </w:p>
    <w:p w14:paraId="60599542" w14:textId="723EFC0E" w:rsidR="006578ED" w:rsidRDefault="00A1618E">
      <w:pPr>
        <w:pStyle w:val="P68B1DB1-ListParagraph7"/>
        <w:numPr>
          <w:ilvl w:val="0"/>
          <w:numId w:val="173"/>
        </w:numPr>
        <w:spacing w:line="240" w:lineRule="auto"/>
        <w:jc w:val="both"/>
        <w:rPr>
          <w:rFonts w:cs="Times New Roman"/>
          <w:noProof/>
        </w:rPr>
      </w:pPr>
      <w:r>
        <w:rPr>
          <w:noProof/>
        </w:rPr>
        <w:t>wspieranie cyfryzacji transportu i innowacji w celu zapewnienia mobilności opartej na sieci.</w:t>
      </w:r>
    </w:p>
    <w:p w14:paraId="29CB9B9C" w14:textId="7CD67FC5" w:rsidR="006578ED" w:rsidRDefault="00A1618E">
      <w:pPr>
        <w:pStyle w:val="P68B1DB1-Normal4"/>
        <w:spacing w:line="240" w:lineRule="auto"/>
        <w:jc w:val="both"/>
        <w:rPr>
          <w:rFonts w:cs="Times New Roman"/>
          <w:noProof/>
        </w:rPr>
      </w:pPr>
      <w:r>
        <w:rPr>
          <w:noProof/>
        </w:rPr>
        <w:t>Wdrożenie środka należy zakończyć do dnia 31 grudnia 20</w:t>
      </w:r>
      <w:r w:rsidRPr="00A1618E">
        <w:rPr>
          <w:noProof/>
          <w:lang w:val="pl-PL"/>
        </w:rPr>
        <w:t>22 r.</w:t>
      </w:r>
    </w:p>
    <w:p w14:paraId="63DE0F88" w14:textId="17705106" w:rsidR="006578ED" w:rsidRDefault="00A1618E">
      <w:pPr>
        <w:pStyle w:val="P68B1DB1-Normal6"/>
        <w:spacing w:line="240" w:lineRule="auto"/>
        <w:jc w:val="both"/>
        <w:rPr>
          <w:rFonts w:cs="Times New Roman"/>
          <w:noProof/>
        </w:rPr>
      </w:pPr>
      <w:r>
        <w:rPr>
          <w:noProof/>
        </w:rPr>
        <w:t>Inwestycja 1 (C6.I1) – Krajowa sieć przesyłowa: Europejskie korytarze</w:t>
      </w:r>
    </w:p>
    <w:p w14:paraId="36F21E81" w14:textId="06DE7C50" w:rsidR="006578ED" w:rsidRDefault="00A1618E">
      <w:pPr>
        <w:pStyle w:val="P68B1DB1-Normal4"/>
        <w:spacing w:line="240" w:lineRule="auto"/>
        <w:jc w:val="both"/>
        <w:rPr>
          <w:rFonts w:cs="Times New Roman"/>
          <w:noProof/>
        </w:rPr>
      </w:pPr>
      <w:r>
        <w:rPr>
          <w:noProof/>
        </w:rPr>
        <w:t>Celem środka jest budowa nowej infrastruktury kolejowej w podstawowych europejskich korytarzach TEN-</w:t>
      </w:r>
      <w:r w:rsidR="00AF6B91">
        <w:rPr>
          <w:noProof/>
        </w:rPr>
        <w:t>Cel</w:t>
      </w:r>
      <w:r>
        <w:rPr>
          <w:noProof/>
        </w:rPr>
        <w:t xml:space="preserve"> oraz modernizacja i modernizacja istniejących korytarzy.</w:t>
      </w:r>
    </w:p>
    <w:p w14:paraId="5E43C7F3" w14:textId="0BDB4403" w:rsidR="006578ED" w:rsidRDefault="00A1618E">
      <w:pPr>
        <w:pStyle w:val="P68B1DB1-Normal4"/>
        <w:spacing w:line="240" w:lineRule="auto"/>
        <w:jc w:val="both"/>
        <w:rPr>
          <w:rFonts w:cs="Times New Roman"/>
          <w:noProof/>
        </w:rPr>
      </w:pPr>
      <w:r>
        <w:rPr>
          <w:noProof/>
        </w:rPr>
        <w:t xml:space="preserve">Inwestycja obejmuje działania o następujących głównych wymiarach: </w:t>
      </w:r>
    </w:p>
    <w:p w14:paraId="1F40726A" w14:textId="11457324" w:rsidR="006578ED" w:rsidRDefault="00A1618E">
      <w:pPr>
        <w:pStyle w:val="P68B1DB1-ListParagraph7"/>
        <w:numPr>
          <w:ilvl w:val="0"/>
          <w:numId w:val="174"/>
        </w:numPr>
        <w:spacing w:line="240" w:lineRule="auto"/>
        <w:jc w:val="both"/>
        <w:rPr>
          <w:rFonts w:cs="Times New Roman"/>
          <w:noProof/>
        </w:rPr>
      </w:pPr>
      <w:r>
        <w:rPr>
          <w:noProof/>
        </w:rPr>
        <w:t>Platformę: Projekty umożliwiające stworzenie infrastruktury, która będzie obsługiwać tory kolejowe i która obejmuje nasypy, wiadukty, wiadukty, tunele itp. Są to głównie budowa nowej infrastruktury;</w:t>
      </w:r>
    </w:p>
    <w:p w14:paraId="2A3A78ED" w14:textId="77777777" w:rsidR="006578ED" w:rsidRDefault="00A1618E">
      <w:pPr>
        <w:pStyle w:val="P68B1DB1-ListParagraph7"/>
        <w:numPr>
          <w:ilvl w:val="0"/>
          <w:numId w:val="174"/>
        </w:numPr>
        <w:spacing w:line="240" w:lineRule="auto"/>
        <w:jc w:val="both"/>
        <w:rPr>
          <w:rFonts w:cs="Times New Roman"/>
          <w:noProof/>
        </w:rPr>
      </w:pPr>
      <w:r>
        <w:rPr>
          <w:noProof/>
        </w:rPr>
        <w:t>Wymiana usług: Działania mające na celu przywrócenie istniejących usług (światło, nawadnianie, woda itp.), na które mają wpływ podczas wykonywania robót kolejowych;</w:t>
      </w:r>
    </w:p>
    <w:p w14:paraId="5DEB5229" w14:textId="61C5BC17" w:rsidR="006578ED" w:rsidRDefault="00A1618E">
      <w:pPr>
        <w:pStyle w:val="P68B1DB1-ListParagraph7"/>
        <w:numPr>
          <w:ilvl w:val="0"/>
          <w:numId w:val="174"/>
        </w:numPr>
        <w:spacing w:line="240" w:lineRule="auto"/>
        <w:jc w:val="both"/>
        <w:rPr>
          <w:rFonts w:cs="Times New Roman"/>
          <w:noProof/>
        </w:rPr>
      </w:pPr>
      <w:r>
        <w:rPr>
          <w:noProof/>
        </w:rPr>
        <w:t>Tory: Działania mające na celu montaż i dostawę materiałów torowych (podsyp, podkłady kolejowe, rozjazdy i urządzenia rozbudowujące) na nowych odcinkach kolejowych, jak również odnowienie istniejących torów;</w:t>
      </w:r>
    </w:p>
    <w:p w14:paraId="5D9AC05F" w14:textId="629B2391" w:rsidR="006578ED" w:rsidRDefault="00A1618E">
      <w:pPr>
        <w:pStyle w:val="P68B1DB1-ListParagraph7"/>
        <w:numPr>
          <w:ilvl w:val="0"/>
          <w:numId w:val="174"/>
        </w:numPr>
        <w:spacing w:line="240" w:lineRule="auto"/>
        <w:jc w:val="both"/>
        <w:rPr>
          <w:rFonts w:cs="Times New Roman"/>
          <w:noProof/>
        </w:rPr>
      </w:pPr>
      <w:r>
        <w:rPr>
          <w:noProof/>
        </w:rPr>
        <w:t>Energia elektryczna: Działania dotyczące elektryfikacji linii, w tym: napowietrzna sieć jezdna, podstacje trakcyjne, centra transformacji, zdalne sterowanie energią, linie wysokiego napięcia;</w:t>
      </w:r>
    </w:p>
    <w:p w14:paraId="124CBBCC" w14:textId="7C4EF1EC" w:rsidR="006578ED" w:rsidRDefault="00A1618E">
      <w:pPr>
        <w:pStyle w:val="P68B1DB1-ListParagraph7"/>
        <w:numPr>
          <w:ilvl w:val="0"/>
          <w:numId w:val="174"/>
        </w:numPr>
        <w:spacing w:line="240" w:lineRule="auto"/>
        <w:jc w:val="both"/>
        <w:rPr>
          <w:rFonts w:cs="Times New Roman"/>
          <w:noProof/>
        </w:rPr>
      </w:pPr>
      <w:r>
        <w:rPr>
          <w:noProof/>
        </w:rPr>
        <w:t>Sygnalizacja i sterowanie ruchem drogowym: Projekty dotyczące wdrożenia nowych systemów sygnalizacji i sterowania ruchem;</w:t>
      </w:r>
    </w:p>
    <w:p w14:paraId="5CD85DA3" w14:textId="6F2F2BB4" w:rsidR="006578ED" w:rsidRDefault="00A1618E">
      <w:pPr>
        <w:pStyle w:val="P68B1DB1-ListParagraph7"/>
        <w:numPr>
          <w:ilvl w:val="0"/>
          <w:numId w:val="174"/>
        </w:numPr>
        <w:spacing w:line="240" w:lineRule="auto"/>
        <w:jc w:val="both"/>
        <w:rPr>
          <w:rFonts w:cs="Times New Roman"/>
          <w:noProof/>
        </w:rPr>
      </w:pPr>
      <w:r>
        <w:rPr>
          <w:noProof/>
        </w:rPr>
        <w:t>Telekomunikacja: Projekty dotyczące telefonii stacjonarnej i ruchomej na liniach kolejowych.</w:t>
      </w:r>
    </w:p>
    <w:p w14:paraId="661B790D" w14:textId="55069AA2" w:rsidR="006578ED" w:rsidRDefault="00A1618E">
      <w:pPr>
        <w:pStyle w:val="P68B1DB1-ListParagraph7"/>
        <w:numPr>
          <w:ilvl w:val="0"/>
          <w:numId w:val="174"/>
        </w:numPr>
        <w:spacing w:line="240" w:lineRule="auto"/>
        <w:jc w:val="both"/>
        <w:rPr>
          <w:rFonts w:cs="Times New Roman"/>
          <w:noProof/>
        </w:rPr>
      </w:pPr>
      <w:r>
        <w:rPr>
          <w:noProof/>
        </w:rPr>
        <w:t>Stacje: Modernizacja i remont istniejących stacji, a także budowa nowych stacji.</w:t>
      </w:r>
    </w:p>
    <w:p w14:paraId="5A851514" w14:textId="709E3809" w:rsidR="006578ED" w:rsidRDefault="00A1618E">
      <w:pPr>
        <w:pStyle w:val="P68B1DB1-Normal4"/>
        <w:spacing w:line="240" w:lineRule="auto"/>
        <w:jc w:val="both"/>
        <w:rPr>
          <w:rFonts w:cs="Times New Roman"/>
          <w:noProof/>
        </w:rPr>
      </w:pPr>
      <w:r>
        <w:rPr>
          <w:noProof/>
        </w:rPr>
        <w:t xml:space="preserve">Prace należy zakończyć na co najmniej 1400 kilometrów sieci wchodzących w skład korytarzy atlantyckich i śródziemnomorskich, w tym działania mające na celu poprawę istniejących odcinków oraz inwestycje mające na celu poczynienie postępów w budowie nowych odcinków. </w:t>
      </w:r>
    </w:p>
    <w:p w14:paraId="1EFEFCA5" w14:textId="68317A36" w:rsidR="006578ED" w:rsidRDefault="00A1618E">
      <w:pPr>
        <w:pStyle w:val="P68B1DB1-Normal4"/>
        <w:spacing w:line="240" w:lineRule="auto"/>
        <w:jc w:val="both"/>
        <w:rPr>
          <w:rFonts w:cs="Times New Roman"/>
          <w:noProof/>
        </w:rPr>
      </w:pPr>
      <w:r>
        <w:rPr>
          <w:noProof/>
        </w:rPr>
        <w:t>Realizacja inwestycji zakończy się do dnia 30 czerwca 20</w:t>
      </w:r>
      <w:r w:rsidRPr="00A1618E">
        <w:rPr>
          <w:noProof/>
          <w:lang w:val="pl-PL"/>
        </w:rPr>
        <w:t>26 r.</w:t>
      </w:r>
    </w:p>
    <w:p w14:paraId="568CF66A" w14:textId="77777777" w:rsidR="006578ED" w:rsidRDefault="00A1618E">
      <w:pPr>
        <w:pStyle w:val="P68B1DB1-Normal6"/>
        <w:spacing w:line="240" w:lineRule="auto"/>
        <w:jc w:val="both"/>
        <w:rPr>
          <w:rFonts w:cs="Times New Roman"/>
          <w:noProof/>
        </w:rPr>
      </w:pPr>
      <w:r>
        <w:rPr>
          <w:noProof/>
        </w:rPr>
        <w:t>Inwestycja 2 (C6.I2) – Transeuropejska Sieć Transportowa, inne roboty</w:t>
      </w:r>
    </w:p>
    <w:p w14:paraId="653154FC" w14:textId="2EBD6A0F" w:rsidR="006578ED" w:rsidRDefault="00A1618E">
      <w:pPr>
        <w:pStyle w:val="P68B1DB1-Normal4"/>
        <w:spacing w:before="60" w:afterLines="60" w:after="144" w:line="240" w:lineRule="auto"/>
        <w:jc w:val="both"/>
        <w:rPr>
          <w:rFonts w:cs="Times New Roman"/>
          <w:noProof/>
        </w:rPr>
      </w:pPr>
      <w:r>
        <w:rPr>
          <w:noProof/>
        </w:rPr>
        <w:t xml:space="preserve">Celem środka jest poprawa krajowej sieci transportowej obejmującej wszystkie rodzaje transportu (kolej, drogowy, lotniczy), aby uczynić ją bardziej niezawodną, zrównoważoną, bezpieczną i odporną. </w:t>
      </w:r>
    </w:p>
    <w:p w14:paraId="5DA01CD6" w14:textId="77777777" w:rsidR="006578ED" w:rsidRDefault="00A1618E">
      <w:pPr>
        <w:pStyle w:val="P68B1DB1-Normal4"/>
        <w:spacing w:before="60" w:afterLines="60" w:after="144" w:line="240" w:lineRule="auto"/>
        <w:jc w:val="both"/>
        <w:rPr>
          <w:rFonts w:cs="Times New Roman"/>
          <w:noProof/>
        </w:rPr>
      </w:pPr>
      <w:r>
        <w:rPr>
          <w:noProof/>
        </w:rPr>
        <w:t>Inwestycja obejmuje następujące działania:</w:t>
      </w:r>
    </w:p>
    <w:p w14:paraId="4DEB9CC4" w14:textId="2502D316" w:rsidR="006578ED" w:rsidRDefault="00A1618E">
      <w:pPr>
        <w:pStyle w:val="P68B1DB1-ListParagraph7"/>
        <w:numPr>
          <w:ilvl w:val="0"/>
          <w:numId w:val="177"/>
        </w:numPr>
        <w:spacing w:before="60" w:afterLines="60" w:after="144" w:line="240" w:lineRule="auto"/>
        <w:ind w:left="993" w:hanging="284"/>
        <w:jc w:val="both"/>
        <w:rPr>
          <w:rFonts w:cs="Times New Roman"/>
          <w:noProof/>
        </w:rPr>
      </w:pPr>
      <w:r>
        <w:rPr>
          <w:noProof/>
        </w:rPr>
        <w:t>Modernizacja sieci kolejowej w stosunku do sieci TEN-</w:t>
      </w:r>
      <w:r w:rsidR="00AF6B91">
        <w:rPr>
          <w:noProof/>
        </w:rPr>
        <w:t>Cel</w:t>
      </w:r>
      <w:r>
        <w:rPr>
          <w:noProof/>
        </w:rPr>
        <w:t xml:space="preserve"> nienależącej do sieci bazowej poprzez prace na odległość co najmniej 900 kilometrów;</w:t>
      </w:r>
    </w:p>
    <w:p w14:paraId="78BD8813" w14:textId="3DEF853C" w:rsidR="006578ED" w:rsidRDefault="00A1618E">
      <w:pPr>
        <w:pStyle w:val="P68B1DB1-ListParagraph7"/>
        <w:numPr>
          <w:ilvl w:val="0"/>
          <w:numId w:val="177"/>
        </w:numPr>
        <w:spacing w:before="60" w:afterLines="60" w:after="144" w:line="240" w:lineRule="auto"/>
        <w:ind w:left="993" w:hanging="284"/>
        <w:jc w:val="both"/>
        <w:rPr>
          <w:rFonts w:cs="Times New Roman"/>
          <w:noProof/>
        </w:rPr>
      </w:pPr>
      <w:r>
        <w:rPr>
          <w:noProof/>
        </w:rPr>
        <w:t>Zwiększenie bezpieczeństwa sieci drogowej zgodnie z przepisami krajowymi i europejskimi.</w:t>
      </w:r>
    </w:p>
    <w:p w14:paraId="20F4A635" w14:textId="77777777" w:rsidR="006578ED" w:rsidRDefault="00A1618E">
      <w:pPr>
        <w:pStyle w:val="P68B1DB1-ListParagraph7"/>
        <w:numPr>
          <w:ilvl w:val="0"/>
          <w:numId w:val="177"/>
        </w:numPr>
        <w:spacing w:before="60" w:afterLines="60" w:after="144" w:line="240" w:lineRule="auto"/>
        <w:ind w:left="993" w:hanging="284"/>
        <w:jc w:val="both"/>
        <w:rPr>
          <w:rFonts w:cs="Times New Roman"/>
          <w:noProof/>
        </w:rPr>
      </w:pPr>
      <w:r>
        <w:rPr>
          <w:noProof/>
        </w:rPr>
        <w:t xml:space="preserve">Pobudzenie rozwoju jednolitej europejskiej przestrzeni powietrznej (20 projektów); </w:t>
      </w:r>
    </w:p>
    <w:p w14:paraId="30B597CF" w14:textId="6F88944A" w:rsidR="006578ED" w:rsidRDefault="00A1618E">
      <w:pPr>
        <w:pStyle w:val="P68B1DB1-ListParagraph7"/>
        <w:numPr>
          <w:ilvl w:val="0"/>
          <w:numId w:val="177"/>
        </w:numPr>
        <w:spacing w:before="60" w:afterLines="60" w:after="144" w:line="240" w:lineRule="auto"/>
        <w:ind w:left="993" w:hanging="284"/>
        <w:jc w:val="both"/>
        <w:rPr>
          <w:rFonts w:cs="Times New Roman"/>
          <w:noProof/>
        </w:rPr>
      </w:pPr>
      <w:r>
        <w:rPr>
          <w:noProof/>
        </w:rPr>
        <w:t xml:space="preserve">Wspieranie transformacji cyfrowej Ministerstwa Transportu, Mobilności i agendy miejskiej. </w:t>
      </w:r>
    </w:p>
    <w:p w14:paraId="3D6D2685" w14:textId="2F0CE243" w:rsidR="006578ED" w:rsidRDefault="00A1618E">
      <w:pPr>
        <w:pStyle w:val="P68B1DB1-Normal4"/>
        <w:spacing w:before="60" w:afterLines="60" w:after="144" w:line="240" w:lineRule="auto"/>
        <w:jc w:val="both"/>
        <w:rPr>
          <w:rFonts w:cs="Times New Roman"/>
          <w:noProof/>
        </w:rPr>
      </w:pPr>
      <w:r>
        <w:rPr>
          <w:noProof/>
        </w:rPr>
        <w:t>Kryteria wyboru zapewniają, aby co najmniej 1 010 000 000 EUR przyczyniało się do realizacji celów związanych ze zmianą klimatu przy zastosowaniu współczynnika klimatycznego wynoszącego 100 % i co najmniej 301 000 000 EUR ze współczynnikiem klimatycznym wynoszącym co najmniej 40 %, zgodnie z załącznikiem VI do rozporządzenia (UE) 2021/241 w sprawie Instrumentu na rzecz Odbudowy i Zwiększania Odporności.</w:t>
      </w:r>
    </w:p>
    <w:p w14:paraId="4168DB18" w14:textId="6C5EAF29" w:rsidR="006578ED" w:rsidRDefault="00A1618E">
      <w:pPr>
        <w:pStyle w:val="P68B1DB1-Normal4"/>
        <w:spacing w:before="60" w:afterLines="60" w:after="144" w:line="240" w:lineRule="auto"/>
        <w:jc w:val="both"/>
        <w:rPr>
          <w:rFonts w:cs="Times New Roman"/>
          <w:noProof/>
        </w:rPr>
      </w:pPr>
      <w:r>
        <w:rPr>
          <w:noProof/>
        </w:rPr>
        <w:t>Realizacja inwestycji zakończy się do dnia 30 czerwca 20</w:t>
      </w:r>
      <w:r w:rsidRPr="00A1618E">
        <w:rPr>
          <w:noProof/>
          <w:lang w:val="pl-PL"/>
        </w:rPr>
        <w:t>26 r.</w:t>
      </w:r>
    </w:p>
    <w:p w14:paraId="43EE3CA8" w14:textId="75D979A1" w:rsidR="006578ED" w:rsidRDefault="00A1618E">
      <w:pPr>
        <w:pStyle w:val="P68B1DB1-Normal6"/>
        <w:spacing w:line="240" w:lineRule="auto"/>
        <w:jc w:val="both"/>
        <w:rPr>
          <w:rFonts w:cs="Times New Roman"/>
          <w:noProof/>
        </w:rPr>
      </w:pPr>
      <w:r>
        <w:rPr>
          <w:noProof/>
        </w:rPr>
        <w:t>Inwestycja 3 (C6.I3) – Intermodalność i logistyka</w:t>
      </w:r>
    </w:p>
    <w:p w14:paraId="0960D80B" w14:textId="1DF5F531" w:rsidR="006578ED" w:rsidRDefault="00A1618E">
      <w:pPr>
        <w:pStyle w:val="P68B1DB1-Normal4"/>
        <w:spacing w:line="240" w:lineRule="auto"/>
        <w:jc w:val="both"/>
        <w:rPr>
          <w:rFonts w:cs="Times New Roman"/>
          <w:noProof/>
        </w:rPr>
      </w:pPr>
      <w:r>
        <w:rPr>
          <w:noProof/>
        </w:rPr>
        <w:t xml:space="preserve">Celem środka jest wdrożenie </w:t>
      </w:r>
      <w:r w:rsidRPr="00A1618E">
        <w:rPr>
          <w:noProof/>
          <w:lang w:val="pl-PL"/>
        </w:rPr>
        <w:t>osi 6</w:t>
      </w:r>
      <w:r>
        <w:rPr>
          <w:noProof/>
        </w:rPr>
        <w:t xml:space="preserve"> strategii na rzecz bezpiecznej, zrównoważonej i połączonej mobilności (R1) dotyczącej inteligentnych intermodalnych łańcuchów logistycznych.</w:t>
      </w:r>
    </w:p>
    <w:p w14:paraId="39D659E0" w14:textId="77777777" w:rsidR="006578ED" w:rsidRDefault="00A1618E">
      <w:pPr>
        <w:pStyle w:val="P68B1DB1-Normal4"/>
        <w:spacing w:line="240" w:lineRule="auto"/>
        <w:jc w:val="both"/>
        <w:rPr>
          <w:rFonts w:cs="Times New Roman"/>
          <w:noProof/>
        </w:rPr>
      </w:pPr>
      <w:r>
        <w:rPr>
          <w:noProof/>
        </w:rPr>
        <w:t xml:space="preserve">Inwestycja obejmuje trzy kierunki działań: </w:t>
      </w:r>
    </w:p>
    <w:p w14:paraId="10D30F47" w14:textId="11710C54" w:rsidR="006578ED" w:rsidRDefault="00A1618E">
      <w:pPr>
        <w:pStyle w:val="P68B1DB1-ListParagraph7"/>
        <w:numPr>
          <w:ilvl w:val="0"/>
          <w:numId w:val="176"/>
        </w:numPr>
        <w:spacing w:line="240" w:lineRule="auto"/>
        <w:ind w:left="993" w:hanging="284"/>
        <w:jc w:val="both"/>
        <w:rPr>
          <w:rFonts w:cs="Times New Roman"/>
          <w:noProof/>
        </w:rPr>
      </w:pPr>
      <w:r>
        <w:rPr>
          <w:noProof/>
        </w:rPr>
        <w:t xml:space="preserve">rozwój lub modernizacja dziewięciu strategicznych terminali intermodalnych i logistycznych, aby w niektórych przypadkach zintegrować terminale intermodalne z obszarem logistycznym, a we wszystkich przypadkach zwiększyć przechodzenie z transportu drogowego na kolejowy; </w:t>
      </w:r>
    </w:p>
    <w:p w14:paraId="5262CC62" w14:textId="6043B3BC" w:rsidR="006578ED" w:rsidRDefault="00A1618E">
      <w:pPr>
        <w:pStyle w:val="P68B1DB1-ListParagraph7"/>
        <w:numPr>
          <w:ilvl w:val="0"/>
          <w:numId w:val="176"/>
        </w:numPr>
        <w:spacing w:line="240" w:lineRule="auto"/>
        <w:ind w:left="993" w:hanging="284"/>
        <w:jc w:val="both"/>
        <w:rPr>
          <w:rFonts w:cs="Times New Roman"/>
          <w:noProof/>
        </w:rPr>
      </w:pPr>
      <w:r>
        <w:rPr>
          <w:noProof/>
        </w:rPr>
        <w:t xml:space="preserve">poprawa dostępu kolejowego i drogowego do portów hiszpańskich w celu pobudzenia kolejowego transportu towarowego poprzez poprawę połączenia portów z koleją (2 porty) i siecią drogową (jeden port); </w:t>
      </w:r>
    </w:p>
    <w:p w14:paraId="183C0C7A" w14:textId="6A0D47A9" w:rsidR="006578ED" w:rsidRDefault="00A1618E">
      <w:pPr>
        <w:pStyle w:val="P68B1DB1-ListParagraph7"/>
        <w:numPr>
          <w:ilvl w:val="0"/>
          <w:numId w:val="176"/>
        </w:numPr>
        <w:spacing w:line="240" w:lineRule="auto"/>
        <w:ind w:left="993" w:hanging="284"/>
        <w:jc w:val="both"/>
        <w:rPr>
          <w:rFonts w:cs="Times New Roman"/>
          <w:noProof/>
        </w:rPr>
      </w:pPr>
      <w:r>
        <w:rPr>
          <w:noProof/>
        </w:rPr>
        <w:t>poprawa dostępności (19 projektów) i zrównoważonego charakteru portów (projekty w 25 organach portowych).</w:t>
      </w:r>
    </w:p>
    <w:p w14:paraId="13AF8CCF" w14:textId="37970870" w:rsidR="006578ED" w:rsidRDefault="00A1618E">
      <w:pPr>
        <w:pStyle w:val="P68B1DB1-Normal4"/>
        <w:spacing w:line="240" w:lineRule="auto"/>
        <w:jc w:val="both"/>
        <w:rPr>
          <w:rFonts w:cs="Times New Roman"/>
          <w:noProof/>
        </w:rPr>
      </w:pPr>
      <w:r>
        <w:rPr>
          <w:noProof/>
        </w:rPr>
        <w:t>Kryteria wyboru zapewniają, aby co najmniej 584 000 000 EUR przyczyniało się do realizacji celów związanych ze zmianą klimatu przy zastosowaniu współczynnika klimatycznego wynoszącego 100 % i co najmniej 217 000 000 EUR ze współczynnikiem klimatycznym wynoszącym co najmniej 40 %, zgodnie z załącznikiem VI do rozporządzenia (UE) 2021/241 w sprawie Instrumentu na rzecz Odbudowy i Zwiększania Odporności.</w:t>
      </w:r>
    </w:p>
    <w:p w14:paraId="38AB270D" w14:textId="469B10B7" w:rsidR="006578ED" w:rsidRDefault="00A1618E">
      <w:pPr>
        <w:pStyle w:val="P68B1DB1-Normal4"/>
        <w:spacing w:line="240" w:lineRule="auto"/>
        <w:jc w:val="both"/>
        <w:rPr>
          <w:rFonts w:cs="Times New Roman"/>
          <w:noProof/>
        </w:rPr>
      </w:pPr>
      <w:r>
        <w:rPr>
          <w:noProof/>
        </w:rPr>
        <w:t>Realizacja inwestycji zakończy się do dnia 30 czerwca 20</w:t>
      </w:r>
      <w:r w:rsidRPr="00A1618E">
        <w:rPr>
          <w:noProof/>
          <w:lang w:val="pl-PL"/>
        </w:rPr>
        <w:t>26 r.</w:t>
      </w:r>
    </w:p>
    <w:p w14:paraId="4FC3640E" w14:textId="0DC90DA0" w:rsidR="006578ED" w:rsidRDefault="00A1618E">
      <w:pPr>
        <w:pStyle w:val="P68B1DB1-Normal6"/>
        <w:spacing w:line="240" w:lineRule="auto"/>
        <w:jc w:val="both"/>
        <w:rPr>
          <w:rFonts w:cs="Times New Roman"/>
          <w:noProof/>
        </w:rPr>
      </w:pPr>
      <w:r>
        <w:rPr>
          <w:noProof/>
        </w:rPr>
        <w:t>Inwestycje 4 (C6.I4) – Program wsparcia na rzecz zrównoważonego i cyfrowego transportu</w:t>
      </w:r>
    </w:p>
    <w:p w14:paraId="7847248B" w14:textId="2FC6362B" w:rsidR="006578ED" w:rsidRDefault="00A1618E">
      <w:pPr>
        <w:pStyle w:val="P68B1DB1-Normal4"/>
        <w:spacing w:line="240" w:lineRule="auto"/>
        <w:jc w:val="both"/>
        <w:rPr>
          <w:rFonts w:cs="Times New Roman"/>
          <w:noProof/>
        </w:rPr>
      </w:pPr>
      <w:r>
        <w:rPr>
          <w:noProof/>
        </w:rPr>
        <w:t>Celem środka jest poprawa wydajności systemu transportowego poprzez cyfryzację i wprowadzenie nowych technologii w sektorze oraz wspieranie najbardziej zrównoważonych środków transportu, w szczególności kolei. Inwestycja ta jest zgodna z inicjatywami programu prac instrumentu „Łącząc Europę” i wzywa do rozwoju transeuropejskiej sieci transportowej.</w:t>
      </w:r>
    </w:p>
    <w:p w14:paraId="472FA319" w14:textId="5937B51D" w:rsidR="006578ED" w:rsidRDefault="00A1618E">
      <w:pPr>
        <w:pStyle w:val="P68B1DB1-Normal4"/>
        <w:spacing w:line="240" w:lineRule="auto"/>
        <w:jc w:val="both"/>
        <w:rPr>
          <w:rFonts w:cs="Times New Roman"/>
          <w:noProof/>
        </w:rPr>
      </w:pPr>
      <w:r>
        <w:rPr>
          <w:noProof/>
        </w:rPr>
        <w:t>Inwestycja obejmuje pakiet 15 działań w następujących obszarach:</w:t>
      </w:r>
    </w:p>
    <w:p w14:paraId="30FC8C22" w14:textId="79713097" w:rsidR="006578ED" w:rsidRDefault="00A1618E">
      <w:pPr>
        <w:pStyle w:val="P68B1DB1-Normal18"/>
        <w:spacing w:line="240" w:lineRule="auto"/>
        <w:ind w:firstLine="709"/>
        <w:jc w:val="both"/>
        <w:rPr>
          <w:rFonts w:cs="Times New Roman"/>
          <w:noProof/>
        </w:rPr>
      </w:pPr>
      <w:r>
        <w:rPr>
          <w:noProof/>
        </w:rPr>
        <w:t xml:space="preserve">Kierunek działań 1. Interoperacyjność w kolejowym transporcie towarowym </w:t>
      </w:r>
    </w:p>
    <w:p w14:paraId="26BB990F" w14:textId="77777777" w:rsidR="006578ED" w:rsidRDefault="00A1618E">
      <w:pPr>
        <w:pStyle w:val="P68B1DB1-Normal4"/>
        <w:spacing w:line="240" w:lineRule="auto"/>
        <w:ind w:left="709"/>
        <w:jc w:val="both"/>
        <w:rPr>
          <w:rFonts w:cs="Times New Roman"/>
          <w:noProof/>
        </w:rPr>
      </w:pPr>
      <w:r>
        <w:rPr>
          <w:noProof/>
        </w:rPr>
        <w:t xml:space="preserve">1. Pokładowe europejskie systemy zarządzania ruchem kolejowym (ERTMS); </w:t>
      </w:r>
    </w:p>
    <w:p w14:paraId="3B85F9B0" w14:textId="77777777" w:rsidR="006578ED" w:rsidRDefault="00A1618E">
      <w:pPr>
        <w:pStyle w:val="P68B1DB1-Normal4"/>
        <w:spacing w:line="240" w:lineRule="auto"/>
        <w:ind w:left="709"/>
        <w:jc w:val="both"/>
        <w:rPr>
          <w:rFonts w:cs="Times New Roman"/>
          <w:noProof/>
        </w:rPr>
      </w:pPr>
      <w:r>
        <w:rPr>
          <w:noProof/>
        </w:rPr>
        <w:t>2. Działania usuwające bariery dla interoperacyjności kolei;</w:t>
      </w:r>
    </w:p>
    <w:p w14:paraId="5DE276B0" w14:textId="762C8FAA" w:rsidR="006578ED" w:rsidRDefault="00A1618E">
      <w:pPr>
        <w:pStyle w:val="P68B1DB1-Normal4"/>
        <w:spacing w:line="240" w:lineRule="auto"/>
        <w:ind w:left="709"/>
        <w:jc w:val="both"/>
        <w:rPr>
          <w:rFonts w:cs="Times New Roman"/>
          <w:noProof/>
        </w:rPr>
      </w:pPr>
      <w:r>
        <w:rPr>
          <w:noProof/>
        </w:rPr>
        <w:t>3. Innowacje i rozwój osi zmiennej szerokości toru w lokomotywach;</w:t>
      </w:r>
    </w:p>
    <w:p w14:paraId="1FBCE622" w14:textId="77777777" w:rsidR="006578ED" w:rsidRDefault="00A1618E">
      <w:pPr>
        <w:pStyle w:val="P68B1DB1-Normal18"/>
        <w:spacing w:line="240" w:lineRule="auto"/>
        <w:ind w:firstLine="709"/>
        <w:jc w:val="both"/>
        <w:rPr>
          <w:rFonts w:cs="Times New Roman"/>
          <w:noProof/>
        </w:rPr>
      </w:pPr>
      <w:r>
        <w:rPr>
          <w:noProof/>
        </w:rPr>
        <w:t xml:space="preserve">Kierunek działań 2. Promowanie intermodalności transportu </w:t>
      </w:r>
    </w:p>
    <w:p w14:paraId="3C87EE9B" w14:textId="1FEA7FB7" w:rsidR="006578ED" w:rsidRDefault="00A1618E">
      <w:pPr>
        <w:pStyle w:val="P68B1DB1-Normal4"/>
        <w:spacing w:line="240" w:lineRule="auto"/>
        <w:ind w:left="709"/>
        <w:jc w:val="both"/>
        <w:rPr>
          <w:rFonts w:cs="Times New Roman"/>
          <w:noProof/>
        </w:rPr>
      </w:pPr>
      <w:r>
        <w:rPr>
          <w:noProof/>
        </w:rPr>
        <w:t>4. Budowa, dostosowanie lub modernizacja ładunków i intermodalnych terminali kolejowo-drogowych oraz ich połączeń lądowych;</w:t>
      </w:r>
    </w:p>
    <w:p w14:paraId="272A7D53" w14:textId="60316B11" w:rsidR="006578ED" w:rsidRDefault="00A1618E">
      <w:pPr>
        <w:pStyle w:val="P68B1DB1-Normal4"/>
        <w:spacing w:line="240" w:lineRule="auto"/>
        <w:ind w:left="709"/>
        <w:jc w:val="both"/>
        <w:rPr>
          <w:rFonts w:cs="Times New Roman"/>
          <w:noProof/>
        </w:rPr>
      </w:pPr>
      <w:r>
        <w:rPr>
          <w:noProof/>
        </w:rPr>
        <w:t>5. Wspieranie zrównoważonego transportu towarowego (kolejowego i morskiego) w oparciu o ECO-INCENTIVES w odniesieniu do podaży i popytu;</w:t>
      </w:r>
    </w:p>
    <w:p w14:paraId="643CEABC" w14:textId="77777777" w:rsidR="006578ED" w:rsidRDefault="00A1618E">
      <w:pPr>
        <w:pStyle w:val="P68B1DB1-Normal18"/>
        <w:spacing w:line="240" w:lineRule="auto"/>
        <w:ind w:firstLine="709"/>
        <w:jc w:val="both"/>
        <w:rPr>
          <w:rFonts w:cs="Times New Roman"/>
          <w:noProof/>
        </w:rPr>
      </w:pPr>
      <w:r>
        <w:rPr>
          <w:noProof/>
        </w:rPr>
        <w:t>Kierunek działań 3. Modernizacja wyposażenia kolejowego transportu towarowego</w:t>
      </w:r>
    </w:p>
    <w:p w14:paraId="170E29B3" w14:textId="549E6C44" w:rsidR="006578ED" w:rsidRDefault="00A1618E">
      <w:pPr>
        <w:pStyle w:val="P68B1DB1-Normal4"/>
        <w:spacing w:line="240" w:lineRule="auto"/>
        <w:ind w:left="709"/>
        <w:jc w:val="both"/>
        <w:rPr>
          <w:rFonts w:cs="Times New Roman"/>
          <w:noProof/>
        </w:rPr>
      </w:pPr>
      <w:r>
        <w:rPr>
          <w:noProof/>
        </w:rPr>
        <w:t>6. Działania wspierające przebudowę lub modernizację wagonów towarowych przeznaczonych do kolejowego transportu towarowego, w tym świadczenie usług autostradowych;</w:t>
      </w:r>
    </w:p>
    <w:p w14:paraId="38774CFD" w14:textId="77777777" w:rsidR="006578ED" w:rsidRDefault="00A1618E">
      <w:pPr>
        <w:pStyle w:val="P68B1DB1-Normal4"/>
        <w:spacing w:line="240" w:lineRule="auto"/>
        <w:ind w:left="709"/>
        <w:jc w:val="both"/>
        <w:rPr>
          <w:rFonts w:cs="Times New Roman"/>
          <w:noProof/>
        </w:rPr>
      </w:pPr>
      <w:r>
        <w:rPr>
          <w:noProof/>
        </w:rPr>
        <w:t>7. Działania wspierające modernizację lub dostosowanie urządzeń kolejowych do innych materiałów wykorzystujących paliwa alternatywne, takie jak wodór lub energia elektryczna;</w:t>
      </w:r>
    </w:p>
    <w:p w14:paraId="4B288179" w14:textId="73630668" w:rsidR="006578ED" w:rsidRDefault="00A1618E">
      <w:pPr>
        <w:pStyle w:val="P68B1DB1-Normal18"/>
        <w:spacing w:line="240" w:lineRule="auto"/>
        <w:ind w:firstLine="709"/>
        <w:jc w:val="both"/>
        <w:rPr>
          <w:rFonts w:cs="Times New Roman"/>
          <w:noProof/>
        </w:rPr>
      </w:pPr>
      <w:r>
        <w:rPr>
          <w:noProof/>
        </w:rPr>
        <w:t>Kierunek działań 4. Bezpieczny, zrównoważony i połączony transport drogowy</w:t>
      </w:r>
    </w:p>
    <w:p w14:paraId="5BFDD935" w14:textId="13AF0727" w:rsidR="006578ED" w:rsidRDefault="00A1618E">
      <w:pPr>
        <w:pStyle w:val="P68B1DB1-Normal4"/>
        <w:spacing w:line="240" w:lineRule="auto"/>
        <w:ind w:left="709"/>
        <w:jc w:val="both"/>
        <w:rPr>
          <w:rFonts w:cs="Times New Roman"/>
          <w:noProof/>
        </w:rPr>
      </w:pPr>
      <w:r>
        <w:rPr>
          <w:noProof/>
        </w:rPr>
        <w:t>8. Budowa i modernizacja bezpiecznych parkingów dla pojazdów użytkowych oraz świadczenie usług informacyjnych;</w:t>
      </w:r>
    </w:p>
    <w:p w14:paraId="1A688CE0" w14:textId="1CE642A3" w:rsidR="006578ED" w:rsidRDefault="00A1618E">
      <w:pPr>
        <w:pStyle w:val="P68B1DB1-Normal4"/>
        <w:spacing w:line="240" w:lineRule="auto"/>
        <w:ind w:left="709"/>
        <w:jc w:val="both"/>
        <w:rPr>
          <w:rFonts w:cs="Times New Roman"/>
          <w:noProof/>
        </w:rPr>
      </w:pPr>
      <w:r>
        <w:rPr>
          <w:noProof/>
        </w:rPr>
        <w:t>9. Inteligentne usługi transportowe dla sektora drogowego (ITS) w ramach koncesji na autostrady płatne oraz inne usługi w zakresie bezpieczeństwa i ochrony dróg;</w:t>
      </w:r>
    </w:p>
    <w:p w14:paraId="6153E05C" w14:textId="1E802103" w:rsidR="006578ED" w:rsidRDefault="00A1618E">
      <w:pPr>
        <w:pStyle w:val="P68B1DB1-Normal4"/>
        <w:spacing w:line="240" w:lineRule="auto"/>
        <w:ind w:left="709"/>
        <w:jc w:val="both"/>
        <w:rPr>
          <w:rFonts w:cs="Times New Roman"/>
          <w:noProof/>
        </w:rPr>
      </w:pPr>
      <w:r>
        <w:rPr>
          <w:noProof/>
        </w:rPr>
        <w:t>10. Działania wspierające rozwój alternatywnej infrastruktury tankowania pojazdów ciężkich w sieci drogowej. Kryteria kwalifikowalności w odniesieniu do tego środka zapewniają zgodność z wytycznymi technicznymi dotyczącymi zasady „nie czyń poważnych szkód” (2021/C58/01) poprzez określenie warunku, zgodnie z którym infrastruktura przejścia i dystrybucji paliw gazowych musi być aktywowana w momencie budowy na potrzeby transportu gazów odnawialnych i niskoemisyjnych;</w:t>
      </w:r>
    </w:p>
    <w:p w14:paraId="585B0BAC" w14:textId="62E865DA" w:rsidR="006578ED" w:rsidRDefault="00A1618E">
      <w:pPr>
        <w:pStyle w:val="P68B1DB1-Normal4"/>
        <w:spacing w:line="240" w:lineRule="auto"/>
        <w:ind w:left="709"/>
        <w:jc w:val="both"/>
        <w:rPr>
          <w:rFonts w:cs="Times New Roman"/>
          <w:noProof/>
        </w:rPr>
      </w:pPr>
      <w:r>
        <w:rPr>
          <w:noProof/>
        </w:rPr>
        <w:t>11. Działania wspierające modernizację lub dostosowanie maszyn do zrównoważonej nawierzchni drogowej, zmniejszenie śladu węglowego i ograniczenie hałasu;</w:t>
      </w:r>
    </w:p>
    <w:p w14:paraId="58F57D9D" w14:textId="4C77A4E1" w:rsidR="006578ED" w:rsidRDefault="00A1618E">
      <w:pPr>
        <w:pStyle w:val="P68B1DB1-Normal18"/>
        <w:spacing w:line="240" w:lineRule="auto"/>
        <w:ind w:firstLine="709"/>
        <w:jc w:val="both"/>
        <w:rPr>
          <w:rFonts w:cs="Times New Roman"/>
          <w:noProof/>
        </w:rPr>
      </w:pPr>
      <w:r>
        <w:rPr>
          <w:noProof/>
        </w:rPr>
        <w:t>Kierunek działań 5. Zrównoważony charakter transportu morskiego i lotniczego</w:t>
      </w:r>
    </w:p>
    <w:p w14:paraId="5D543C70" w14:textId="3EB5B3E9" w:rsidR="006578ED" w:rsidRDefault="00A1618E">
      <w:pPr>
        <w:pStyle w:val="P68B1DB1-Normal4"/>
        <w:spacing w:line="240" w:lineRule="auto"/>
        <w:ind w:left="709"/>
        <w:jc w:val="both"/>
        <w:rPr>
          <w:rFonts w:cs="Times New Roman"/>
          <w:noProof/>
        </w:rPr>
      </w:pPr>
      <w:r>
        <w:rPr>
          <w:noProof/>
        </w:rPr>
        <w:t>12. Wsparcie na rzecz wprowadzania paliw alternatywnych w portach i portach lotniczych. Kryteria kwalifikowalności w odniesieniu do tego środka zapewniają zgodność z wytycznymi technicznymi dotyczącymi zasady „nie czyń poważnych szkód” (2021/C58/01) poprzez określenie warunku, zgodnie z którym infrastruktura przejścia i dystrybucji paliw gazowych musi być aktywowana w momencie budowy na potrzeby transportu gazów odnawialnych i niskoemisyjnych;</w:t>
      </w:r>
    </w:p>
    <w:p w14:paraId="031CE937" w14:textId="371F303F" w:rsidR="006578ED" w:rsidRDefault="00A1618E">
      <w:pPr>
        <w:pStyle w:val="P68B1DB1-Normal4"/>
        <w:spacing w:line="240" w:lineRule="auto"/>
        <w:ind w:left="709"/>
        <w:jc w:val="both"/>
        <w:rPr>
          <w:rFonts w:cs="Times New Roman"/>
          <w:noProof/>
        </w:rPr>
      </w:pPr>
      <w:r>
        <w:rPr>
          <w:noProof/>
        </w:rPr>
        <w:t>13. Wspieranie wdrażania alternatywnych technologii energetycznych w sektorze morskim;</w:t>
      </w:r>
    </w:p>
    <w:p w14:paraId="164B7123" w14:textId="77777777" w:rsidR="006578ED" w:rsidRDefault="00A1618E">
      <w:pPr>
        <w:pStyle w:val="P68B1DB1-Normal18"/>
        <w:spacing w:line="240" w:lineRule="auto"/>
        <w:ind w:firstLine="709"/>
        <w:jc w:val="both"/>
        <w:rPr>
          <w:rFonts w:cs="Times New Roman"/>
          <w:noProof/>
        </w:rPr>
      </w:pPr>
      <w:r>
        <w:rPr>
          <w:noProof/>
        </w:rPr>
        <w:t>Kierunek działań 6. Cyfryzacja transportu</w:t>
      </w:r>
    </w:p>
    <w:p w14:paraId="144D893F" w14:textId="0A93E879" w:rsidR="006578ED" w:rsidRDefault="00A1618E">
      <w:pPr>
        <w:pStyle w:val="P68B1DB1-Normal4"/>
        <w:spacing w:line="240" w:lineRule="auto"/>
        <w:ind w:left="709"/>
        <w:jc w:val="both"/>
        <w:rPr>
          <w:rFonts w:cs="Times New Roman"/>
          <w:noProof/>
        </w:rPr>
      </w:pPr>
      <w:r>
        <w:rPr>
          <w:noProof/>
        </w:rPr>
        <w:t>14. Projekty dotyczące cyfryzacji usług transportu pasażerskiego i towarowego na szczeblu krajowym;</w:t>
      </w:r>
    </w:p>
    <w:p w14:paraId="70A9FC9F" w14:textId="77777777" w:rsidR="006578ED" w:rsidRDefault="00A1618E">
      <w:pPr>
        <w:pStyle w:val="P68B1DB1-Normal18"/>
        <w:spacing w:line="240" w:lineRule="auto"/>
        <w:ind w:firstLine="709"/>
        <w:jc w:val="both"/>
        <w:rPr>
          <w:rFonts w:cs="Times New Roman"/>
          <w:noProof/>
        </w:rPr>
      </w:pPr>
      <w:r>
        <w:rPr>
          <w:noProof/>
        </w:rPr>
        <w:t xml:space="preserve">Przekazanie do wspólnot autonomicznych </w:t>
      </w:r>
    </w:p>
    <w:p w14:paraId="55F5DA0E" w14:textId="0651A9E7" w:rsidR="006578ED" w:rsidRDefault="00A1618E">
      <w:pPr>
        <w:pStyle w:val="P68B1DB1-Normal4"/>
        <w:spacing w:line="240" w:lineRule="auto"/>
        <w:ind w:left="709"/>
        <w:jc w:val="both"/>
        <w:rPr>
          <w:rFonts w:cs="Times New Roman"/>
          <w:noProof/>
        </w:rPr>
      </w:pPr>
      <w:r>
        <w:rPr>
          <w:noProof/>
        </w:rPr>
        <w:t>15. Projekty na rzecz cyfryzacji usług transportu pasażerskiego i towarowego na szczeblu regionalnym i lokalnym;</w:t>
      </w:r>
    </w:p>
    <w:p w14:paraId="1151D345" w14:textId="69A3A980" w:rsidR="006578ED" w:rsidRDefault="00A1618E">
      <w:pPr>
        <w:pStyle w:val="P68B1DB1-Normal4"/>
        <w:spacing w:line="240" w:lineRule="auto"/>
        <w:jc w:val="both"/>
        <w:rPr>
          <w:rFonts w:cs="Times New Roman"/>
          <w:noProof/>
        </w:rPr>
      </w:pPr>
      <w:r>
        <w:rPr>
          <w:noProof/>
        </w:rPr>
        <w:t>Kryteria wyboru zapewniają, aby co najmniej 63 500 000 EUR przyczyniało się do realizacji celów związanych ze zmianą klimatu przy zastosowaniu współczynnika klimatycznego wynoszącego 100 % i co najmniej 210 000 000 EUR ze współczynnikiem klimatycznym wynoszącym co najmniej 40 %, zgodnie z załącznikiem VI do rozporządzenia (UE) 2021/241 w sprawie Instrumentu na rzecz Odbudowy i Zwiększania Odporności.</w:t>
      </w:r>
    </w:p>
    <w:p w14:paraId="6A97E3B3" w14:textId="4DD377C7" w:rsidR="006578ED" w:rsidRDefault="00A1618E">
      <w:pPr>
        <w:pStyle w:val="P68B1DB1-Normal4"/>
        <w:spacing w:line="240" w:lineRule="auto"/>
        <w:jc w:val="both"/>
        <w:rPr>
          <w:rFonts w:cs="Times New Roman"/>
          <w:b/>
          <w:noProof/>
          <w:u w:val="single"/>
        </w:rPr>
      </w:pPr>
      <w:r>
        <w:rPr>
          <w:noProof/>
        </w:rPr>
        <w:t>Realizacja inwestycji zakończy się do dnia 30 czerwca 20</w:t>
      </w:r>
      <w:r w:rsidRPr="00A1618E">
        <w:rPr>
          <w:noProof/>
          <w:lang w:val="pl-PL"/>
        </w:rPr>
        <w:t>26 r.</w:t>
      </w:r>
    </w:p>
    <w:p w14:paraId="58835673" w14:textId="7891CC76" w:rsidR="006578ED" w:rsidRDefault="00A1618E">
      <w:pPr>
        <w:pStyle w:val="P68B1DB1-Normal5"/>
        <w:spacing w:before="120" w:after="120" w:line="240" w:lineRule="auto"/>
        <w:ind w:left="709"/>
        <w:jc w:val="both"/>
        <w:rPr>
          <w:rFonts w:cs="Times New Roman"/>
          <w:noProof/>
        </w:rPr>
      </w:pPr>
      <w:r>
        <w:rPr>
          <w:noProof/>
        </w:rPr>
        <w:t xml:space="preserve">F.2. </w:t>
      </w:r>
      <w:r>
        <w:rPr>
          <w:noProof/>
        </w:rPr>
        <w:tab/>
        <w:t>Kamienie milowe, wartości docelowe, wskaźniki i harmonogram monitorowania i realizacji na potrzeby bezzwrotnego wsparcia finansowego</w:t>
      </w:r>
    </w:p>
    <w:p w14:paraId="19D0813A" w14:textId="46FB2B3D"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48A21919" w14:textId="77777777" w:rsidR="006578ED" w:rsidRDefault="006578ED">
      <w:pPr>
        <w:spacing w:before="120" w:after="120" w:line="240" w:lineRule="auto"/>
        <w:jc w:val="both"/>
        <w:rPr>
          <w:rFonts w:ascii="Times New Roman" w:hAnsi="Times New Roman" w:cs="Times New Roman"/>
          <w:b/>
          <w:noProof/>
          <w:sz w:val="24"/>
          <w:u w:val="single"/>
        </w:rPr>
      </w:pPr>
    </w:p>
    <w:p w14:paraId="6BD18F9B" w14:textId="77777777" w:rsidR="006578ED" w:rsidRDefault="006578ED">
      <w:pPr>
        <w:spacing w:before="120" w:after="120" w:line="240" w:lineRule="auto"/>
        <w:ind w:left="709"/>
        <w:jc w:val="both"/>
        <w:rPr>
          <w:rFonts w:ascii="Times New Roman" w:hAnsi="Times New Roman" w:cs="Times New Roman"/>
          <w:noProof/>
          <w:sz w:val="24"/>
        </w:rPr>
      </w:pPr>
    </w:p>
    <w:p w14:paraId="238601FE" w14:textId="77777777" w:rsidR="006578ED" w:rsidRDefault="006578ED">
      <w:pPr>
        <w:spacing w:before="120" w:after="120" w:line="240" w:lineRule="auto"/>
        <w:ind w:left="709"/>
        <w:jc w:val="both"/>
        <w:rPr>
          <w:rFonts w:ascii="Times New Roman" w:hAnsi="Times New Roman" w:cs="Times New Roman"/>
          <w:noProof/>
          <w:sz w:val="24"/>
        </w:rPr>
        <w:sectPr w:rsidR="006578ED" w:rsidSect="0035659C">
          <w:headerReference w:type="even" r:id="rId150"/>
          <w:headerReference w:type="default" r:id="rId151"/>
          <w:footerReference w:type="even" r:id="rId152"/>
          <w:footerReference w:type="default" r:id="rId153"/>
          <w:headerReference w:type="first" r:id="rId154"/>
          <w:footerReference w:type="first" r:id="rId155"/>
          <w:pgSz w:w="11907" w:h="16839"/>
          <w:pgMar w:top="1134" w:right="1417" w:bottom="1134" w:left="1417" w:header="709" w:footer="709" w:gutter="0"/>
          <w:cols w:space="720"/>
          <w:docGrid w:linePitch="360"/>
        </w:sectPr>
      </w:pPr>
    </w:p>
    <w:tbl>
      <w:tblPr>
        <w:tblW w:w="1414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134"/>
        <w:gridCol w:w="850"/>
        <w:gridCol w:w="567"/>
        <w:gridCol w:w="567"/>
        <w:gridCol w:w="425"/>
        <w:gridCol w:w="567"/>
        <w:gridCol w:w="6066"/>
      </w:tblGrid>
      <w:tr w:rsidR="006578ED" w14:paraId="2264A0BA" w14:textId="77777777">
        <w:trPr>
          <w:trHeight w:val="309"/>
          <w:tblHeader/>
        </w:trPr>
        <w:tc>
          <w:tcPr>
            <w:tcW w:w="709" w:type="dxa"/>
            <w:tcBorders>
              <w:bottom w:val="nil"/>
            </w:tcBorders>
            <w:shd w:val="clear" w:color="auto" w:fill="C6D9F1" w:themeFill="text2" w:themeFillTint="33"/>
            <w:noWrap/>
            <w:vAlign w:val="center"/>
          </w:tcPr>
          <w:p w14:paraId="3E7FF3B6"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1BA64599"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7CC8C155" w14:textId="1B3BE46F"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1560" w:type="dxa"/>
            <w:tcBorders>
              <w:bottom w:val="nil"/>
            </w:tcBorders>
            <w:shd w:val="clear" w:color="auto" w:fill="C6D9F1" w:themeFill="text2" w:themeFillTint="33"/>
            <w:noWrap/>
            <w:vAlign w:val="center"/>
          </w:tcPr>
          <w:p w14:paraId="69C41B3B" w14:textId="77777777" w:rsidR="006578ED" w:rsidRDefault="00A1618E">
            <w:pPr>
              <w:pStyle w:val="P68B1DB1-Normal12"/>
              <w:spacing w:after="0" w:line="240" w:lineRule="auto"/>
              <w:jc w:val="center"/>
              <w:rPr>
                <w:rFonts w:cs="Times New Roman"/>
                <w:noProof/>
              </w:rPr>
            </w:pPr>
            <w:r>
              <w:rPr>
                <w:noProof/>
              </w:rPr>
              <w:t>Nazwa</w:t>
            </w:r>
          </w:p>
        </w:tc>
        <w:tc>
          <w:tcPr>
            <w:tcW w:w="1134" w:type="dxa"/>
            <w:tcBorders>
              <w:bottom w:val="nil"/>
            </w:tcBorders>
            <w:shd w:val="clear" w:color="auto" w:fill="C6D9F1" w:themeFill="text2" w:themeFillTint="33"/>
            <w:noWrap/>
            <w:vAlign w:val="center"/>
          </w:tcPr>
          <w:p w14:paraId="36402FE8"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84" w:type="dxa"/>
            <w:gridSpan w:val="3"/>
            <w:shd w:val="clear" w:color="auto" w:fill="C6D9F1" w:themeFill="text2" w:themeFillTint="33"/>
            <w:noWrap/>
            <w:vAlign w:val="center"/>
          </w:tcPr>
          <w:p w14:paraId="12A6E265"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728075A5" w14:textId="77777777" w:rsidR="006578ED" w:rsidRDefault="00A1618E">
            <w:pPr>
              <w:pStyle w:val="P68B1DB1-Normal12"/>
              <w:spacing w:after="0" w:line="240" w:lineRule="auto"/>
              <w:jc w:val="center"/>
              <w:rPr>
                <w:rFonts w:cs="Times New Roman"/>
                <w:noProof/>
              </w:rPr>
            </w:pPr>
            <w:r>
              <w:rPr>
                <w:noProof/>
              </w:rPr>
              <w:t>Czas</w:t>
            </w:r>
          </w:p>
        </w:tc>
        <w:tc>
          <w:tcPr>
            <w:tcW w:w="6066" w:type="dxa"/>
            <w:tcBorders>
              <w:bottom w:val="nil"/>
            </w:tcBorders>
            <w:shd w:val="clear" w:color="auto" w:fill="C6D9F1" w:themeFill="text2" w:themeFillTint="33"/>
            <w:noWrap/>
            <w:vAlign w:val="center"/>
          </w:tcPr>
          <w:p w14:paraId="5AC1046A" w14:textId="4326B5BA"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6F717916" w14:textId="77777777">
        <w:trPr>
          <w:trHeight w:val="309"/>
          <w:tblHeader/>
        </w:trPr>
        <w:tc>
          <w:tcPr>
            <w:tcW w:w="709" w:type="dxa"/>
            <w:tcBorders>
              <w:top w:val="nil"/>
            </w:tcBorders>
            <w:shd w:val="clear" w:color="auto" w:fill="C6D9F1" w:themeFill="text2" w:themeFillTint="33"/>
            <w:noWrap/>
          </w:tcPr>
          <w:p w14:paraId="0F3CABC7"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5B08B5D1"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6DEB4AB" w14:textId="77777777" w:rsidR="006578ED" w:rsidRDefault="006578ED">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0AD9C6F4" w14:textId="77777777" w:rsidR="006578ED" w:rsidRDefault="006578ED">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B1F511A"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444B5E16"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vAlign w:val="center"/>
          </w:tcPr>
          <w:p w14:paraId="4AA23600" w14:textId="77777777" w:rsidR="006578ED" w:rsidRDefault="00A1618E">
            <w:pPr>
              <w:pStyle w:val="P68B1DB1-Normal12"/>
              <w:spacing w:after="0" w:line="240" w:lineRule="auto"/>
              <w:jc w:val="center"/>
              <w:rPr>
                <w:rFonts w:cs="Times New Roman"/>
                <w:noProof/>
              </w:rPr>
            </w:pPr>
            <w:r>
              <w:rPr>
                <w:noProof/>
              </w:rPr>
              <w:t>Wartość wyjściowa</w:t>
            </w:r>
          </w:p>
        </w:tc>
        <w:tc>
          <w:tcPr>
            <w:tcW w:w="567" w:type="dxa"/>
            <w:shd w:val="clear" w:color="auto" w:fill="C6D9F1" w:themeFill="text2" w:themeFillTint="33"/>
            <w:noWrap/>
            <w:vAlign w:val="center"/>
          </w:tcPr>
          <w:p w14:paraId="21A36EB4"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vAlign w:val="center"/>
          </w:tcPr>
          <w:p w14:paraId="5A5446A4"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2F79DAA1" w14:textId="77777777" w:rsidR="006578ED" w:rsidRDefault="00A1618E">
            <w:pPr>
              <w:pStyle w:val="P68B1DB1-Normal12"/>
              <w:spacing w:after="0" w:line="240" w:lineRule="auto"/>
              <w:jc w:val="center"/>
              <w:rPr>
                <w:rFonts w:cs="Times New Roman"/>
                <w:noProof/>
              </w:rPr>
            </w:pPr>
            <w:r>
              <w:rPr>
                <w:noProof/>
              </w:rPr>
              <w:t>Rok</w:t>
            </w:r>
          </w:p>
        </w:tc>
        <w:tc>
          <w:tcPr>
            <w:tcW w:w="6066" w:type="dxa"/>
            <w:tcBorders>
              <w:top w:val="nil"/>
            </w:tcBorders>
            <w:shd w:val="clear" w:color="auto" w:fill="C6D9F1" w:themeFill="text2" w:themeFillTint="33"/>
            <w:noWrap/>
          </w:tcPr>
          <w:p w14:paraId="65F9C3DC" w14:textId="77777777" w:rsidR="006578ED" w:rsidRDefault="006578ED">
            <w:pPr>
              <w:spacing w:after="0" w:line="240" w:lineRule="auto"/>
              <w:rPr>
                <w:rFonts w:ascii="Times New Roman" w:hAnsi="Times New Roman" w:cs="Times New Roman"/>
                <w:b/>
                <w:noProof/>
                <w:sz w:val="18"/>
              </w:rPr>
            </w:pPr>
          </w:p>
        </w:tc>
      </w:tr>
      <w:tr w:rsidR="006578ED" w14:paraId="7093E2CB" w14:textId="77777777">
        <w:trPr>
          <w:trHeight w:val="309"/>
        </w:trPr>
        <w:tc>
          <w:tcPr>
            <w:tcW w:w="709" w:type="dxa"/>
            <w:shd w:val="clear" w:color="auto" w:fill="C6EFCE"/>
            <w:noWrap/>
          </w:tcPr>
          <w:p w14:paraId="49D83C2D" w14:textId="77777777" w:rsidR="006578ED" w:rsidRDefault="00A1618E">
            <w:pPr>
              <w:pStyle w:val="P68B1DB1-Normal13"/>
              <w:spacing w:after="0" w:line="240" w:lineRule="auto"/>
              <w:jc w:val="center"/>
              <w:rPr>
                <w:rFonts w:eastAsia="MS Mincho" w:cs="Times New Roman"/>
                <w:noProof/>
              </w:rPr>
            </w:pPr>
            <w:r>
              <w:rPr>
                <w:noProof/>
              </w:rPr>
              <w:t>82</w:t>
            </w:r>
          </w:p>
        </w:tc>
        <w:tc>
          <w:tcPr>
            <w:tcW w:w="851" w:type="dxa"/>
            <w:shd w:val="clear" w:color="auto" w:fill="C6EFCE"/>
            <w:noWrap/>
          </w:tcPr>
          <w:p w14:paraId="2D6099C9" w14:textId="77777777" w:rsidR="006578ED" w:rsidRDefault="00A1618E">
            <w:pPr>
              <w:pStyle w:val="P68B1DB1-Normal13"/>
              <w:spacing w:after="0" w:line="240" w:lineRule="auto"/>
              <w:jc w:val="center"/>
              <w:rPr>
                <w:rFonts w:eastAsia="MS Mincho" w:cs="Times New Roman"/>
                <w:noProof/>
              </w:rPr>
            </w:pPr>
            <w:r>
              <w:rPr>
                <w:noProof/>
              </w:rPr>
              <w:t>C6.R1</w:t>
            </w:r>
          </w:p>
        </w:tc>
        <w:tc>
          <w:tcPr>
            <w:tcW w:w="850" w:type="dxa"/>
            <w:shd w:val="clear" w:color="auto" w:fill="C6EFCE"/>
            <w:noWrap/>
          </w:tcPr>
          <w:p w14:paraId="7F5CD847" w14:textId="44C02AD6" w:rsidR="006578ED" w:rsidRDefault="00AF6B91">
            <w:pPr>
              <w:pStyle w:val="P68B1DB1-Normal13"/>
              <w:spacing w:after="0" w:line="240" w:lineRule="auto"/>
              <w:jc w:val="center"/>
              <w:rPr>
                <w:rFonts w:eastAsia="MS Mincho" w:cs="Times New Roman"/>
                <w:noProof/>
              </w:rPr>
            </w:pPr>
            <w:r>
              <w:rPr>
                <w:noProof/>
              </w:rPr>
              <w:t>Kamień milowy</w:t>
            </w:r>
          </w:p>
        </w:tc>
        <w:tc>
          <w:tcPr>
            <w:tcW w:w="1560" w:type="dxa"/>
            <w:shd w:val="clear" w:color="auto" w:fill="C6EFCE"/>
            <w:noWrap/>
          </w:tcPr>
          <w:p w14:paraId="5B0922AD" w14:textId="6DECEA7D" w:rsidR="006578ED" w:rsidRDefault="00A1618E">
            <w:pPr>
              <w:pStyle w:val="P68B1DB1-Normal13"/>
              <w:spacing w:after="0" w:line="240" w:lineRule="auto"/>
              <w:rPr>
                <w:rFonts w:eastAsia="MS Mincho" w:cs="Times New Roman"/>
                <w:noProof/>
              </w:rPr>
            </w:pPr>
            <w:r>
              <w:rPr>
                <w:noProof/>
              </w:rPr>
              <w:t>Strategia na rzecz zrównoważonej, bezpiecznej i opartej na sieci mobilności (konsultacje publiczne)</w:t>
            </w:r>
          </w:p>
        </w:tc>
        <w:tc>
          <w:tcPr>
            <w:tcW w:w="1134" w:type="dxa"/>
            <w:shd w:val="clear" w:color="auto" w:fill="C6EFCE"/>
            <w:noWrap/>
          </w:tcPr>
          <w:p w14:paraId="1FD62937" w14:textId="18C0A57A" w:rsidR="006578ED" w:rsidRDefault="00A1618E">
            <w:pPr>
              <w:pStyle w:val="P68B1DB1-Normal13"/>
              <w:spacing w:after="0" w:line="240" w:lineRule="auto"/>
              <w:jc w:val="center"/>
              <w:rPr>
                <w:rFonts w:eastAsia="MS Mincho" w:cs="Times New Roman"/>
                <w:noProof/>
              </w:rPr>
            </w:pPr>
            <w:r>
              <w:rPr>
                <w:noProof/>
              </w:rPr>
              <w:t>Zawiadomienie o zakończeniu konsultacji</w:t>
            </w:r>
          </w:p>
        </w:tc>
        <w:tc>
          <w:tcPr>
            <w:tcW w:w="850" w:type="dxa"/>
            <w:shd w:val="clear" w:color="auto" w:fill="C6EFCE"/>
            <w:noWrap/>
          </w:tcPr>
          <w:p w14:paraId="4467701B"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762EAA38"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16E66445"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425" w:type="dxa"/>
            <w:shd w:val="clear" w:color="auto" w:fill="C6EFCE"/>
            <w:noWrap/>
          </w:tcPr>
          <w:p w14:paraId="46E2525C" w14:textId="38CB3867" w:rsidR="006578ED" w:rsidRDefault="00EC188C">
            <w:pPr>
              <w:pStyle w:val="P68B1DB1-Normal13"/>
              <w:spacing w:after="0" w:line="240" w:lineRule="auto"/>
              <w:jc w:val="center"/>
              <w:rPr>
                <w:rFonts w:eastAsia="MS Mincho" w:cs="Times New Roman"/>
                <w:noProof/>
              </w:rPr>
            </w:pPr>
            <w:r>
              <w:rPr>
                <w:noProof/>
              </w:rPr>
              <w:t>KW. 4</w:t>
            </w:r>
          </w:p>
        </w:tc>
        <w:tc>
          <w:tcPr>
            <w:tcW w:w="567" w:type="dxa"/>
            <w:shd w:val="clear" w:color="auto" w:fill="C6EFCE"/>
            <w:noWrap/>
          </w:tcPr>
          <w:p w14:paraId="6458ECF6" w14:textId="77777777" w:rsidR="006578ED" w:rsidRDefault="00A1618E">
            <w:pPr>
              <w:pStyle w:val="P68B1DB1-Normal13"/>
              <w:spacing w:after="0" w:line="240" w:lineRule="auto"/>
              <w:jc w:val="center"/>
              <w:rPr>
                <w:rFonts w:eastAsia="MS Mincho" w:cs="Times New Roman"/>
                <w:noProof/>
              </w:rPr>
            </w:pPr>
            <w:r>
              <w:rPr>
                <w:noProof/>
              </w:rPr>
              <w:t>2020</w:t>
            </w:r>
          </w:p>
        </w:tc>
        <w:tc>
          <w:tcPr>
            <w:tcW w:w="6066" w:type="dxa"/>
            <w:shd w:val="clear" w:color="auto" w:fill="C6EFCE"/>
            <w:noWrap/>
          </w:tcPr>
          <w:p w14:paraId="082F3B67" w14:textId="4309A4A0" w:rsidR="006578ED" w:rsidRDefault="00A1618E">
            <w:pPr>
              <w:pStyle w:val="P68B1DB1-Normal13"/>
              <w:spacing w:after="0" w:line="240" w:lineRule="auto"/>
              <w:rPr>
                <w:rFonts w:eastAsia="MS Mincho" w:cs="Times New Roman"/>
                <w:noProof/>
              </w:rPr>
            </w:pPr>
            <w:r>
              <w:rPr>
                <w:noProof/>
              </w:rPr>
              <w:t>Zakończenie procesu konsultacji społecznych w ramach strategii dotyczącej działań w następujących dziewięciu obszarach:</w:t>
            </w:r>
            <w:r>
              <w:rPr>
                <w:noProof/>
              </w:rPr>
              <w:br/>
              <w:t>Mobilność dla wszystkich (w celu zapewnienia powszechnej dostępności po rozsądnych kosztach);</w:t>
            </w:r>
            <w:r>
              <w:rPr>
                <w:noProof/>
              </w:rPr>
              <w:br/>
              <w:t>Nowe polityki inwestycyjne (w celu zapewnienia odpowiedniego finansowania infrastruktury transportowej i usług transportowych);</w:t>
            </w:r>
            <w:r>
              <w:rPr>
                <w:noProof/>
              </w:rPr>
              <w:br/>
              <w:t>Bezpieczna mobilność (priorytetyzacja inwestycji w monitorowanie, utrzymanie i cyberbezpieczeństwo);</w:t>
            </w:r>
            <w:r>
              <w:rPr>
                <w:noProof/>
              </w:rPr>
              <w:br/>
              <w:t>Mobilność niskoemisyjna (zwiększenie efektywności, zmniejszenie zużycia energii);</w:t>
            </w:r>
            <w:r>
              <w:rPr>
                <w:noProof/>
              </w:rPr>
              <w:br/>
              <w:t>Inteligentna mobilność (wspieranie badań i rozwoju oraz innowacji w zakresie mobilności, budowa inteligentnej infrastruktury i zarządzanie nią);</w:t>
            </w:r>
            <w:r>
              <w:rPr>
                <w:noProof/>
              </w:rPr>
              <w:br/>
              <w:t>Inteligentne intermodalne łańcuchy logistyczne (w celu priorytetowego traktowania kolejowego transportu towarów);</w:t>
            </w:r>
            <w:r>
              <w:rPr>
                <w:noProof/>
              </w:rPr>
              <w:br/>
              <w:t>Łączenie Europy i połączeń ze światem (podłączenie portów do intermodalnych terminali logistycznych oraz zacieśnienie współpracy z krajami sąsiadującymi w celu koordynacji budowy lub poprawy infrastruktury transgranicznej);</w:t>
            </w:r>
            <w:r>
              <w:rPr>
                <w:noProof/>
              </w:rPr>
              <w:br/>
              <w:t>Aspekty społeczne i pracownicze (równowaga płci oraz działania w zakresie przekwalifikowania i podnoszenia kwalifikacji pracowników sektora transportu);</w:t>
            </w:r>
            <w:r>
              <w:rPr>
                <w:noProof/>
              </w:rPr>
              <w:br/>
              <w:t>Cyfryzacja Ministerstwa Transportu (MITMA).</w:t>
            </w:r>
          </w:p>
        </w:tc>
      </w:tr>
      <w:tr w:rsidR="006578ED" w14:paraId="25E71458" w14:textId="77777777">
        <w:trPr>
          <w:trHeight w:val="309"/>
        </w:trPr>
        <w:tc>
          <w:tcPr>
            <w:tcW w:w="709" w:type="dxa"/>
            <w:shd w:val="clear" w:color="auto" w:fill="C6EFCE"/>
            <w:noWrap/>
          </w:tcPr>
          <w:p w14:paraId="702436C1" w14:textId="77777777" w:rsidR="006578ED" w:rsidRDefault="00A1618E">
            <w:pPr>
              <w:pStyle w:val="P68B1DB1-Normal13"/>
              <w:spacing w:after="0" w:line="240" w:lineRule="auto"/>
              <w:jc w:val="center"/>
              <w:rPr>
                <w:rFonts w:eastAsia="MS Mincho" w:cs="Times New Roman"/>
                <w:noProof/>
              </w:rPr>
            </w:pPr>
            <w:r>
              <w:rPr>
                <w:noProof/>
              </w:rPr>
              <w:t>83</w:t>
            </w:r>
          </w:p>
        </w:tc>
        <w:tc>
          <w:tcPr>
            <w:tcW w:w="851" w:type="dxa"/>
            <w:shd w:val="clear" w:color="auto" w:fill="C6EFCE"/>
            <w:noWrap/>
          </w:tcPr>
          <w:p w14:paraId="4325626B" w14:textId="77777777" w:rsidR="006578ED" w:rsidRDefault="00A1618E">
            <w:pPr>
              <w:pStyle w:val="P68B1DB1-Normal13"/>
              <w:spacing w:after="0" w:line="240" w:lineRule="auto"/>
              <w:jc w:val="center"/>
              <w:rPr>
                <w:rFonts w:eastAsia="MS Mincho" w:cs="Times New Roman"/>
                <w:noProof/>
              </w:rPr>
            </w:pPr>
            <w:r>
              <w:rPr>
                <w:noProof/>
              </w:rPr>
              <w:t>C6.R1</w:t>
            </w:r>
          </w:p>
        </w:tc>
        <w:tc>
          <w:tcPr>
            <w:tcW w:w="850" w:type="dxa"/>
            <w:shd w:val="clear" w:color="auto" w:fill="C6EFCE"/>
            <w:noWrap/>
          </w:tcPr>
          <w:p w14:paraId="2C576514" w14:textId="52931D52" w:rsidR="006578ED" w:rsidRDefault="00AF6B91">
            <w:pPr>
              <w:pStyle w:val="P68B1DB1-Normal13"/>
              <w:spacing w:after="0" w:line="240" w:lineRule="auto"/>
              <w:jc w:val="center"/>
              <w:rPr>
                <w:rFonts w:eastAsia="MS Mincho" w:cs="Times New Roman"/>
                <w:noProof/>
              </w:rPr>
            </w:pPr>
            <w:r>
              <w:rPr>
                <w:noProof/>
              </w:rPr>
              <w:t>Kamień milowy</w:t>
            </w:r>
          </w:p>
        </w:tc>
        <w:tc>
          <w:tcPr>
            <w:tcW w:w="1560" w:type="dxa"/>
            <w:shd w:val="clear" w:color="auto" w:fill="C6EFCE"/>
            <w:noWrap/>
          </w:tcPr>
          <w:p w14:paraId="4598375C" w14:textId="67485825" w:rsidR="006578ED" w:rsidRDefault="00A1618E">
            <w:pPr>
              <w:pStyle w:val="P68B1DB1-Normal13"/>
              <w:spacing w:after="0" w:line="240" w:lineRule="auto"/>
              <w:rPr>
                <w:rFonts w:eastAsia="MS Mincho" w:cs="Times New Roman"/>
                <w:noProof/>
              </w:rPr>
            </w:pPr>
            <w:r>
              <w:rPr>
                <w:noProof/>
              </w:rPr>
              <w:t xml:space="preserve">Strategia na rzecz zrównoważonej, bezpiecznej i opartej na sieci mobilności (zatwierdzenie) </w:t>
            </w:r>
          </w:p>
        </w:tc>
        <w:tc>
          <w:tcPr>
            <w:tcW w:w="1134" w:type="dxa"/>
            <w:shd w:val="clear" w:color="auto" w:fill="C6EFCE"/>
            <w:noWrap/>
          </w:tcPr>
          <w:p w14:paraId="3A6DB7E6" w14:textId="77777777" w:rsidR="006578ED" w:rsidRDefault="00A1618E">
            <w:pPr>
              <w:pStyle w:val="P68B1DB1-Normal13"/>
              <w:spacing w:after="0" w:line="240" w:lineRule="auto"/>
              <w:jc w:val="center"/>
              <w:rPr>
                <w:rFonts w:eastAsia="MS Mincho" w:cs="Times New Roman"/>
                <w:noProof/>
              </w:rPr>
            </w:pPr>
            <w:r>
              <w:rPr>
                <w:noProof/>
              </w:rPr>
              <w:t>Zatwierdzenie przez Radę Ministrów</w:t>
            </w:r>
          </w:p>
        </w:tc>
        <w:tc>
          <w:tcPr>
            <w:tcW w:w="850" w:type="dxa"/>
            <w:shd w:val="clear" w:color="auto" w:fill="C6EFCE"/>
            <w:noWrap/>
          </w:tcPr>
          <w:p w14:paraId="7DE13593"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6EBA70B7" w14:textId="77777777" w:rsidR="006578ED" w:rsidRDefault="00A1618E">
            <w:pPr>
              <w:pStyle w:val="P68B1DB1-Normal13"/>
              <w:spacing w:after="0" w:line="240" w:lineRule="auto"/>
              <w:jc w:val="right"/>
              <w:rPr>
                <w:rFonts w:eastAsia="MS Mincho" w:cs="Times New Roman"/>
                <w:noProof/>
              </w:rPr>
            </w:pPr>
            <w:r>
              <w:rPr>
                <w:noProof/>
              </w:rPr>
              <w:t xml:space="preserve"> </w:t>
            </w:r>
          </w:p>
        </w:tc>
        <w:tc>
          <w:tcPr>
            <w:tcW w:w="567" w:type="dxa"/>
            <w:shd w:val="clear" w:color="auto" w:fill="C6EFCE"/>
            <w:noWrap/>
          </w:tcPr>
          <w:p w14:paraId="3F2CD050"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1B8E0E01" w14:textId="0BAD7A19"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62DDAFF6" w14:textId="77777777" w:rsidR="006578ED" w:rsidRDefault="00A1618E">
            <w:pPr>
              <w:pStyle w:val="P68B1DB1-Normal13"/>
              <w:spacing w:after="0" w:line="240" w:lineRule="auto"/>
              <w:jc w:val="center"/>
              <w:rPr>
                <w:rFonts w:eastAsia="Calibri" w:cs="Times New Roman"/>
                <w:noProof/>
              </w:rPr>
            </w:pPr>
            <w:r>
              <w:rPr>
                <w:noProof/>
              </w:rPr>
              <w:t>2021</w:t>
            </w:r>
          </w:p>
        </w:tc>
        <w:tc>
          <w:tcPr>
            <w:tcW w:w="6066" w:type="dxa"/>
            <w:shd w:val="clear" w:color="auto" w:fill="C6EFCE"/>
            <w:noWrap/>
          </w:tcPr>
          <w:p w14:paraId="65F89C6C" w14:textId="39DDD293" w:rsidR="006578ED" w:rsidRDefault="00A1618E">
            <w:pPr>
              <w:pStyle w:val="P68B1DB1-Normal13"/>
              <w:spacing w:after="0" w:line="240" w:lineRule="auto"/>
              <w:rPr>
                <w:rFonts w:eastAsia="Calibri" w:cs="Times New Roman"/>
                <w:noProof/>
              </w:rPr>
            </w:pPr>
            <w:r>
              <w:rPr>
                <w:noProof/>
              </w:rPr>
              <w:t>Zatwierdzenie przez Radę Ministrów strategii dotyczącej działań w następujących dziewięciu obszarach:</w:t>
            </w:r>
            <w:r>
              <w:rPr>
                <w:noProof/>
              </w:rPr>
              <w:br/>
              <w:t>Mobilność dla wszystkich (w celu zapewnienia powszechnej dostępności po rozsądnych kosztach);</w:t>
            </w:r>
            <w:r>
              <w:rPr>
                <w:noProof/>
              </w:rPr>
              <w:br/>
              <w:t>Nowe polityki inwestycyjne (w celu zapewnienia odpowiedniego finansowania infrastruktury transportowej i usług transportowych);</w:t>
            </w:r>
            <w:r>
              <w:rPr>
                <w:noProof/>
              </w:rPr>
              <w:br/>
              <w:t>Bezpieczna mobilność (priorytetyzacja inwestycji w monitorowanie, utrzymanie i cyberbezpieczeństwo);</w:t>
            </w:r>
            <w:r>
              <w:rPr>
                <w:noProof/>
              </w:rPr>
              <w:br/>
              <w:t>Mobilność niskoemisyjna (zwiększenie efektywności, zmniejszenie zużycia energii);</w:t>
            </w:r>
            <w:r>
              <w:rPr>
                <w:noProof/>
              </w:rPr>
              <w:br/>
              <w:t>Inteligentna mobilność (wspieranie badań i rozwoju oraz innowacji w zakresie mobilności, budowa inteligentnej infrastruktury i zarządzanie nią);</w:t>
            </w:r>
            <w:r>
              <w:rPr>
                <w:noProof/>
              </w:rPr>
              <w:br/>
              <w:t>Inteligentne intermodalne łańcuchy logistyczne (priorytetowe traktowanie kolejowego transportu towarów w programach publicznych i prywatnych);</w:t>
            </w:r>
            <w:r>
              <w:rPr>
                <w:noProof/>
              </w:rPr>
              <w:br/>
              <w:t>Łączenie Europy i połączeń ze światem (podłączenie portów do intermodalnych terminali logistycznych oraz zacieśnienie współpracy z krajami sąsiadującymi w celu koordynacji budowy lub poprawy infrastruktury transgranicznej);</w:t>
            </w:r>
            <w:r>
              <w:rPr>
                <w:noProof/>
              </w:rPr>
              <w:br/>
              <w:t>Aspekty społeczne i pracownicze (równowaga płci oraz działania w zakresie przekwalifikowania i podnoszenia kwalifikacji pracowników sektora transportu);</w:t>
            </w:r>
            <w:r>
              <w:rPr>
                <w:noProof/>
              </w:rPr>
              <w:br/>
              <w:t>Cyfryzacja Ministerstwa Transportu MITMA.</w:t>
            </w:r>
          </w:p>
        </w:tc>
      </w:tr>
      <w:tr w:rsidR="006578ED" w14:paraId="7D05ACBB" w14:textId="77777777">
        <w:trPr>
          <w:trHeight w:val="309"/>
        </w:trPr>
        <w:tc>
          <w:tcPr>
            <w:tcW w:w="709" w:type="dxa"/>
            <w:shd w:val="clear" w:color="auto" w:fill="C6EFCE"/>
            <w:noWrap/>
          </w:tcPr>
          <w:p w14:paraId="31B2963F" w14:textId="77777777" w:rsidR="006578ED" w:rsidRDefault="00A1618E">
            <w:pPr>
              <w:pStyle w:val="P68B1DB1-Normal13"/>
              <w:spacing w:after="0" w:line="240" w:lineRule="auto"/>
              <w:jc w:val="center"/>
              <w:rPr>
                <w:rFonts w:eastAsia="Calibri" w:cs="Times New Roman"/>
                <w:noProof/>
              </w:rPr>
            </w:pPr>
            <w:r>
              <w:rPr>
                <w:noProof/>
              </w:rPr>
              <w:t>84</w:t>
            </w:r>
          </w:p>
        </w:tc>
        <w:tc>
          <w:tcPr>
            <w:tcW w:w="851" w:type="dxa"/>
            <w:shd w:val="clear" w:color="auto" w:fill="C6EFCE"/>
            <w:noWrap/>
          </w:tcPr>
          <w:p w14:paraId="7C599BFA" w14:textId="77777777" w:rsidR="006578ED" w:rsidRDefault="00A1618E">
            <w:pPr>
              <w:pStyle w:val="P68B1DB1-Normal13"/>
              <w:spacing w:after="0" w:line="240" w:lineRule="auto"/>
              <w:jc w:val="center"/>
              <w:rPr>
                <w:rFonts w:eastAsia="Calibri" w:cs="Times New Roman"/>
                <w:noProof/>
              </w:rPr>
            </w:pPr>
            <w:r>
              <w:rPr>
                <w:noProof/>
              </w:rPr>
              <w:t>C6.R2</w:t>
            </w:r>
          </w:p>
        </w:tc>
        <w:tc>
          <w:tcPr>
            <w:tcW w:w="850" w:type="dxa"/>
            <w:shd w:val="clear" w:color="auto" w:fill="C6EFCE"/>
            <w:noWrap/>
          </w:tcPr>
          <w:p w14:paraId="696A3350" w14:textId="455797A8" w:rsidR="006578ED" w:rsidRDefault="00AF6B91">
            <w:pPr>
              <w:pStyle w:val="P68B1DB1-Normal13"/>
              <w:spacing w:after="0" w:line="240" w:lineRule="auto"/>
              <w:jc w:val="center"/>
              <w:rPr>
                <w:rFonts w:eastAsia="Calibri" w:cs="Times New Roman"/>
                <w:noProof/>
              </w:rPr>
            </w:pPr>
            <w:r>
              <w:rPr>
                <w:noProof/>
              </w:rPr>
              <w:t>Kamień milowy</w:t>
            </w:r>
          </w:p>
        </w:tc>
        <w:tc>
          <w:tcPr>
            <w:tcW w:w="1560" w:type="dxa"/>
            <w:shd w:val="clear" w:color="auto" w:fill="C6EFCE"/>
            <w:noWrap/>
          </w:tcPr>
          <w:p w14:paraId="038B2FB2" w14:textId="77777777" w:rsidR="006578ED" w:rsidRDefault="00A1618E">
            <w:pPr>
              <w:pStyle w:val="P68B1DB1-Normal13"/>
              <w:spacing w:after="0" w:line="240" w:lineRule="auto"/>
              <w:rPr>
                <w:rFonts w:eastAsia="Calibri" w:cs="Times New Roman"/>
                <w:noProof/>
              </w:rPr>
            </w:pPr>
            <w:r>
              <w:rPr>
                <w:noProof/>
              </w:rPr>
              <w:t>Orientacyjna strategia kolejowa</w:t>
            </w:r>
          </w:p>
        </w:tc>
        <w:tc>
          <w:tcPr>
            <w:tcW w:w="1134" w:type="dxa"/>
            <w:shd w:val="clear" w:color="auto" w:fill="C6EFCE"/>
            <w:noWrap/>
          </w:tcPr>
          <w:p w14:paraId="3DA68056" w14:textId="5CD08729" w:rsidR="006578ED" w:rsidRDefault="00A1618E">
            <w:pPr>
              <w:pStyle w:val="P68B1DB1-Normal13"/>
              <w:spacing w:after="0" w:line="240" w:lineRule="auto"/>
              <w:jc w:val="center"/>
              <w:rPr>
                <w:rFonts w:eastAsia="Calibri" w:cs="Times New Roman"/>
                <w:noProof/>
              </w:rPr>
            </w:pPr>
            <w:r>
              <w:rPr>
                <w:noProof/>
              </w:rPr>
              <w:t>Publikacja w Dzienniku Urzędowym</w:t>
            </w:r>
          </w:p>
        </w:tc>
        <w:tc>
          <w:tcPr>
            <w:tcW w:w="850" w:type="dxa"/>
            <w:shd w:val="clear" w:color="auto" w:fill="C6EFCE"/>
            <w:noWrap/>
          </w:tcPr>
          <w:p w14:paraId="72121151"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2D65AFA"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09845CEA"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47A1A93F" w14:textId="23E1640C"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10646892" w14:textId="77777777" w:rsidR="006578ED" w:rsidRDefault="00A1618E">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755A0E16" w14:textId="0DAE0D0D" w:rsidR="006578ED" w:rsidRDefault="00A1618E">
            <w:pPr>
              <w:pStyle w:val="P68B1DB1-Normal13"/>
              <w:spacing w:after="0" w:line="240" w:lineRule="auto"/>
              <w:rPr>
                <w:rFonts w:eastAsia="Calibri" w:cs="Times New Roman"/>
                <w:noProof/>
              </w:rPr>
            </w:pPr>
            <w:r>
              <w:rPr>
                <w:noProof/>
              </w:rPr>
              <w:t xml:space="preserve">Publikacja w Dzienniku Urzędowym uchwały zatwierdzającej indykatywnej strategii kolejowej zawierającej działania w zakresie: </w:t>
            </w:r>
            <w:r>
              <w:rPr>
                <w:noProof/>
              </w:rPr>
              <w:br/>
              <w:t xml:space="preserve">ustanowienie jaśniejszego planowania działań w sektorze kolejowym, szczególnie ukierunkowanych na codzienną mobilność; </w:t>
            </w:r>
            <w:r>
              <w:rPr>
                <w:noProof/>
              </w:rPr>
              <w:br/>
              <w:t xml:space="preserve">poprawa konserwacji sieci; </w:t>
            </w:r>
            <w:r>
              <w:rPr>
                <w:noProof/>
              </w:rPr>
              <w:br/>
              <w:t xml:space="preserve">zapewnienie stabilności ekonomicznej sieci kolejowej; </w:t>
            </w:r>
            <w:r>
              <w:rPr>
                <w:noProof/>
              </w:rPr>
              <w:br/>
              <w:t xml:space="preserve">nadanie priorytetu efektywnemu gospodarowaniu zasobami, wraz z oceną ex ante i ex post projektów inwestycyjnych; </w:t>
            </w:r>
            <w:r>
              <w:rPr>
                <w:noProof/>
              </w:rPr>
              <w:br/>
              <w:t xml:space="preserve">zwiększenie interoperacyjności sieci, zwłaszcza w korytarzach sieci transeuropejskich, oraz intermodalności sieci; </w:t>
            </w:r>
            <w:r>
              <w:rPr>
                <w:noProof/>
              </w:rPr>
              <w:br/>
              <w:t xml:space="preserve">pobudzanie kolejowego ruchu towarowego; </w:t>
            </w:r>
            <w:r>
              <w:rPr>
                <w:noProof/>
              </w:rPr>
              <w:br/>
              <w:t xml:space="preserve">zwiększenie bezpieczeństwa w transporcie kolejowym; </w:t>
            </w:r>
            <w:r>
              <w:rPr>
                <w:noProof/>
              </w:rPr>
              <w:br/>
              <w:t>wspieranie cyfryzacji transportu i innowacji w celu zapewnienia mobilności opartej na sieci.</w:t>
            </w:r>
            <w:r>
              <w:rPr>
                <w:noProof/>
              </w:rPr>
              <w:br/>
              <w:t>W odniesieniu do wszystkich działań ujętych w „indykatywnej strategii kolejowej” zapewnienie spełnienia przepisów ustawy 21/2013 o ocenie oddziaływania na środowisko i ustawy 9/2018 z dnia 5 grudnia zmieniającej ustawę 21/2013 oraz wdrożenie wymaganych działań łagodzących w celu ochrony środowiska w ramach oceny oddziaływania na środowisko (OOŚ).</w:t>
            </w:r>
          </w:p>
        </w:tc>
      </w:tr>
      <w:tr w:rsidR="006578ED" w14:paraId="0AFEE561" w14:textId="77777777">
        <w:trPr>
          <w:trHeight w:val="309"/>
        </w:trPr>
        <w:tc>
          <w:tcPr>
            <w:tcW w:w="709" w:type="dxa"/>
            <w:shd w:val="clear" w:color="auto" w:fill="C6EFCE"/>
            <w:noWrap/>
          </w:tcPr>
          <w:p w14:paraId="663C344E" w14:textId="0BCEE8DD" w:rsidR="006578ED" w:rsidRDefault="00A1618E">
            <w:pPr>
              <w:pStyle w:val="P68B1DB1-Normal13"/>
              <w:spacing w:after="0" w:line="240" w:lineRule="auto"/>
              <w:jc w:val="center"/>
              <w:rPr>
                <w:rFonts w:eastAsia="Calibri" w:cs="Times New Roman"/>
                <w:noProof/>
              </w:rPr>
            </w:pPr>
            <w:r>
              <w:rPr>
                <w:noProof/>
              </w:rPr>
              <w:t>85</w:t>
            </w:r>
          </w:p>
        </w:tc>
        <w:tc>
          <w:tcPr>
            <w:tcW w:w="851" w:type="dxa"/>
            <w:shd w:val="clear" w:color="auto" w:fill="C6EFCE"/>
            <w:noWrap/>
          </w:tcPr>
          <w:p w14:paraId="0F519D59" w14:textId="77777777" w:rsidR="006578ED" w:rsidRDefault="00A1618E">
            <w:pPr>
              <w:pStyle w:val="P68B1DB1-Normal13"/>
              <w:spacing w:after="0" w:line="240" w:lineRule="auto"/>
              <w:jc w:val="center"/>
              <w:rPr>
                <w:rFonts w:eastAsia="Calibri" w:cs="Times New Roman"/>
                <w:noProof/>
              </w:rPr>
            </w:pPr>
            <w:r>
              <w:rPr>
                <w:noProof/>
              </w:rPr>
              <w:t>C6.I1</w:t>
            </w:r>
          </w:p>
        </w:tc>
        <w:tc>
          <w:tcPr>
            <w:tcW w:w="850" w:type="dxa"/>
            <w:shd w:val="clear" w:color="auto" w:fill="C6EFCE"/>
            <w:noWrap/>
          </w:tcPr>
          <w:p w14:paraId="5BB7AFFC" w14:textId="63D7E606" w:rsidR="006578ED" w:rsidRDefault="00AF6B91">
            <w:pPr>
              <w:pStyle w:val="P68B1DB1-Normal13"/>
              <w:spacing w:after="0" w:line="240" w:lineRule="auto"/>
              <w:jc w:val="center"/>
              <w:rPr>
                <w:rFonts w:eastAsia="Calibri" w:cs="Times New Roman"/>
                <w:noProof/>
              </w:rPr>
            </w:pPr>
            <w:r>
              <w:rPr>
                <w:noProof/>
              </w:rPr>
              <w:t>Kamień milowy</w:t>
            </w:r>
          </w:p>
        </w:tc>
        <w:tc>
          <w:tcPr>
            <w:tcW w:w="1560" w:type="dxa"/>
            <w:shd w:val="clear" w:color="auto" w:fill="C6EFCE"/>
            <w:noWrap/>
          </w:tcPr>
          <w:p w14:paraId="6FDBCDCA" w14:textId="3F59A0AA" w:rsidR="006578ED" w:rsidRDefault="00A1618E">
            <w:pPr>
              <w:pStyle w:val="P68B1DB1-Normal13"/>
              <w:spacing w:after="0" w:line="240" w:lineRule="auto"/>
              <w:rPr>
                <w:rFonts w:eastAsia="Calibri" w:cs="Times New Roman"/>
                <w:noProof/>
              </w:rPr>
            </w:pPr>
            <w:r>
              <w:rPr>
                <w:noProof/>
              </w:rPr>
              <w:t>Sieć bazowa TEN-</w:t>
            </w:r>
            <w:r w:rsidR="00AF6B91">
              <w:rPr>
                <w:noProof/>
              </w:rPr>
              <w:t>Cel</w:t>
            </w:r>
            <w:r>
              <w:rPr>
                <w:noProof/>
              </w:rPr>
              <w:t>: przyznawanie projektów</w:t>
            </w:r>
          </w:p>
        </w:tc>
        <w:tc>
          <w:tcPr>
            <w:tcW w:w="1134" w:type="dxa"/>
            <w:shd w:val="clear" w:color="auto" w:fill="C6EFCE"/>
            <w:noWrap/>
          </w:tcPr>
          <w:p w14:paraId="576BD3EB" w14:textId="2E4615DF" w:rsidR="006578ED" w:rsidRDefault="00A1618E">
            <w:pPr>
              <w:pStyle w:val="P68B1DB1-Normal13"/>
              <w:spacing w:after="0" w:line="240" w:lineRule="auto"/>
              <w:jc w:val="center"/>
              <w:rPr>
                <w:rFonts w:eastAsia="Calibri" w:cs="Times New Roman"/>
                <w:noProof/>
              </w:rPr>
            </w:pPr>
            <w:r>
              <w:rPr>
                <w:noProof/>
              </w:rPr>
              <w:t>Oficjalne powiadomienie o przyznaniu projektu—</w:t>
            </w:r>
          </w:p>
        </w:tc>
        <w:tc>
          <w:tcPr>
            <w:tcW w:w="850" w:type="dxa"/>
            <w:shd w:val="clear" w:color="auto" w:fill="C6EFCE"/>
            <w:noWrap/>
          </w:tcPr>
          <w:p w14:paraId="3E40803B" w14:textId="77777777" w:rsidR="006578ED" w:rsidRDefault="00A1618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3AA4ADE7"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ADD6AFE" w14:textId="77777777" w:rsidR="006578ED" w:rsidRDefault="00A1618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0BD78B8F" w14:textId="48B700A4"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1C646597" w14:textId="77777777" w:rsidR="006578ED" w:rsidRDefault="00A1618E">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72DDA19B" w14:textId="5D6E1025" w:rsidR="006578ED" w:rsidRDefault="00A1618E">
            <w:pPr>
              <w:pStyle w:val="P68B1DB1-Normal8"/>
              <w:spacing w:after="0" w:line="240" w:lineRule="auto"/>
              <w:rPr>
                <w:rFonts w:cs="Times New Roman"/>
                <w:noProof/>
                <w:sz w:val="18"/>
              </w:rPr>
            </w:pPr>
            <w:r>
              <w:rPr>
                <w:noProof/>
                <w:sz w:val="18"/>
              </w:rPr>
              <w:t>Budżet w wysokości co najmniej 1 400 000 000 EUR przyznany na sieć bazową TEN-</w:t>
            </w:r>
            <w:r w:rsidR="00AF6B91">
              <w:rPr>
                <w:noProof/>
                <w:sz w:val="18"/>
              </w:rPr>
              <w:t>Cel</w:t>
            </w:r>
            <w:r>
              <w:rPr>
                <w:noProof/>
                <w:sz w:val="18"/>
              </w:rPr>
              <w:t xml:space="preserve"> w co najmniej jednym z następujących korytarzy: </w:t>
            </w:r>
            <w:r>
              <w:rPr>
                <w:noProof/>
              </w:rPr>
              <w:br/>
            </w:r>
            <w:r>
              <w:rPr>
                <w:noProof/>
                <w:sz w:val="18"/>
              </w:rPr>
              <w:t>KORYTARZ ATLANTYCKI</w:t>
            </w:r>
            <w:r>
              <w:rPr>
                <w:noProof/>
              </w:rPr>
              <w:br/>
              <w:t xml:space="preserve"> </w:t>
            </w:r>
            <w:r>
              <w:rPr>
                <w:noProof/>
                <w:sz w:val="18"/>
              </w:rPr>
              <w:t>• Y Vasca: Vitoria-Bilbao-San Sebastian/Astigarraga-Irun</w:t>
            </w:r>
            <w:r>
              <w:rPr>
                <w:noProof/>
              </w:rPr>
              <w:br/>
              <w:t xml:space="preserve"> </w:t>
            </w:r>
            <w:r>
              <w:rPr>
                <w:noProof/>
                <w:sz w:val="18"/>
              </w:rPr>
              <w:t>• Valladolid-Palencia-León</w:t>
            </w:r>
            <w:r>
              <w:rPr>
                <w:noProof/>
              </w:rPr>
              <w:br/>
              <w:t xml:space="preserve"> </w:t>
            </w:r>
            <w:r>
              <w:rPr>
                <w:noProof/>
                <w:sz w:val="18"/>
              </w:rPr>
              <w:t>• León-La Robla-Pola de Lena</w:t>
            </w:r>
            <w:r>
              <w:rPr>
                <w:noProof/>
              </w:rPr>
              <w:br/>
              <w:t xml:space="preserve"> </w:t>
            </w:r>
            <w:r>
              <w:rPr>
                <w:noProof/>
                <w:sz w:val="18"/>
              </w:rPr>
              <w:t>• Castejón-Pamplona-Logroño-Bilbao</w:t>
            </w:r>
          </w:p>
          <w:p w14:paraId="4F7E14A6" w14:textId="0C25F427" w:rsidR="006578ED" w:rsidRDefault="00A1618E">
            <w:pPr>
              <w:pStyle w:val="P68B1DB1-Normal8"/>
              <w:spacing w:after="0" w:line="240" w:lineRule="auto"/>
              <w:rPr>
                <w:rFonts w:cs="Times New Roman"/>
                <w:noProof/>
                <w:sz w:val="18"/>
              </w:rPr>
            </w:pPr>
            <w:r>
              <w:rPr>
                <w:noProof/>
                <w:sz w:val="18"/>
              </w:rPr>
              <w:t>• La Coruña-Vigo-Ourense</w:t>
            </w:r>
            <w:r>
              <w:rPr>
                <w:noProof/>
              </w:rPr>
              <w:br/>
            </w:r>
            <w:r>
              <w:rPr>
                <w:noProof/>
                <w:sz w:val="18"/>
              </w:rPr>
              <w:t>• Ourense-Monforte</w:t>
            </w:r>
          </w:p>
          <w:p w14:paraId="25A8B19A" w14:textId="5983C8F2" w:rsidR="006578ED" w:rsidRDefault="00A1618E">
            <w:pPr>
              <w:pStyle w:val="P68B1DB1-Normal8"/>
              <w:spacing w:after="0"/>
              <w:rPr>
                <w:rFonts w:cs="Times New Roman"/>
                <w:noProof/>
                <w:sz w:val="18"/>
              </w:rPr>
            </w:pPr>
            <w:r>
              <w:rPr>
                <w:noProof/>
                <w:sz w:val="18"/>
              </w:rPr>
              <w:t>• Monforte-León</w:t>
            </w:r>
            <w:r>
              <w:rPr>
                <w:noProof/>
              </w:rPr>
              <w:br/>
            </w:r>
            <w:r>
              <w:rPr>
                <w:noProof/>
                <w:sz w:val="18"/>
              </w:rPr>
              <w:t>• Talayuela-Plasencia-Cáceres-Mérida-Badajoz</w:t>
            </w:r>
          </w:p>
          <w:p w14:paraId="1C814A71" w14:textId="3719664A" w:rsidR="006578ED" w:rsidRDefault="00A1618E">
            <w:pPr>
              <w:pStyle w:val="P68B1DB1-Normal13"/>
              <w:spacing w:after="0"/>
              <w:jc w:val="both"/>
              <w:rPr>
                <w:rFonts w:cs="Times New Roman"/>
                <w:noProof/>
              </w:rPr>
            </w:pPr>
            <w:r>
              <w:rPr>
                <w:noProof/>
              </w:rPr>
              <w:t xml:space="preserve">• Talayuela-Madryt-Valladolid-Vitoria </w:t>
            </w:r>
          </w:p>
          <w:p w14:paraId="2711880D" w14:textId="45762D7F" w:rsidR="006578ED" w:rsidRDefault="00A1618E">
            <w:pPr>
              <w:pStyle w:val="P68B1DB1-Normal13"/>
              <w:spacing w:after="0"/>
              <w:jc w:val="both"/>
              <w:rPr>
                <w:rFonts w:cs="Times New Roman"/>
                <w:noProof/>
              </w:rPr>
            </w:pPr>
            <w:r>
              <w:rPr>
                <w:noProof/>
              </w:rPr>
              <w:t>• Sevilla-Huelva</w:t>
            </w:r>
          </w:p>
          <w:p w14:paraId="7E352252" w14:textId="45762D7F" w:rsidR="006578ED" w:rsidRDefault="00A1618E">
            <w:pPr>
              <w:pStyle w:val="P68B1DB1-Normal8"/>
              <w:spacing w:after="0" w:line="240" w:lineRule="auto"/>
              <w:rPr>
                <w:rFonts w:cs="Times New Roman"/>
                <w:noProof/>
                <w:sz w:val="18"/>
              </w:rPr>
            </w:pPr>
            <w:r>
              <w:rPr>
                <w:noProof/>
              </w:rPr>
              <w:br/>
            </w:r>
            <w:r>
              <w:rPr>
                <w:noProof/>
                <w:sz w:val="18"/>
              </w:rPr>
              <w:t>KORYTARZ MORZE ŚRÓDZIEMNE:</w:t>
            </w:r>
            <w:r>
              <w:rPr>
                <w:noProof/>
              </w:rPr>
              <w:br/>
            </w:r>
            <w:r>
              <w:rPr>
                <w:noProof/>
                <w:sz w:val="18"/>
              </w:rPr>
              <w:t>• Madryt-Zaragoza-Tarragona</w:t>
            </w:r>
          </w:p>
          <w:p w14:paraId="324E204A" w14:textId="45762D7F" w:rsidR="006578ED" w:rsidRDefault="006578ED">
            <w:pPr>
              <w:spacing w:after="0" w:line="240" w:lineRule="auto"/>
              <w:rPr>
                <w:rFonts w:ascii="Times New Roman" w:hAnsi="Times New Roman" w:cs="Times New Roman"/>
                <w:noProof/>
                <w:sz w:val="18"/>
              </w:rPr>
            </w:pPr>
          </w:p>
          <w:p w14:paraId="43858E69" w14:textId="45762D7F" w:rsidR="006578ED" w:rsidRDefault="00A1618E">
            <w:pPr>
              <w:pStyle w:val="P68B1DB1-Normal13"/>
              <w:spacing w:after="0" w:line="240" w:lineRule="auto"/>
              <w:rPr>
                <w:rFonts w:cs="Times New Roman"/>
                <w:noProof/>
              </w:rPr>
            </w:pPr>
            <w:r>
              <w:rPr>
                <w:noProof/>
              </w:rPr>
              <w:t>• Frontera francesa-Barcelona/Tarragona-Vandellós</w:t>
            </w:r>
          </w:p>
          <w:p w14:paraId="4A5AD4EF" w14:textId="45762D7F" w:rsidR="006578ED" w:rsidRDefault="00A1618E">
            <w:pPr>
              <w:pStyle w:val="P68B1DB1-Normal8"/>
              <w:spacing w:after="0" w:line="240" w:lineRule="auto"/>
              <w:rPr>
                <w:rFonts w:cs="Times New Roman"/>
                <w:noProof/>
                <w:sz w:val="18"/>
              </w:rPr>
            </w:pPr>
            <w:r>
              <w:rPr>
                <w:noProof/>
                <w:sz w:val="18"/>
              </w:rPr>
              <w:t>• Vandellós-Castellón</w:t>
            </w:r>
            <w:r>
              <w:rPr>
                <w:noProof/>
              </w:rPr>
              <w:br/>
            </w:r>
            <w:r>
              <w:rPr>
                <w:noProof/>
                <w:sz w:val="18"/>
              </w:rPr>
              <w:t>• Sagunto-Teruel – Saragoza</w:t>
            </w:r>
            <w:r>
              <w:rPr>
                <w:noProof/>
              </w:rPr>
              <w:br/>
              <w:t xml:space="preserve"> </w:t>
            </w:r>
            <w:r>
              <w:rPr>
                <w:noProof/>
                <w:sz w:val="18"/>
              </w:rPr>
              <w:t>• Saragoza-Tarragona</w:t>
            </w:r>
            <w:r>
              <w:rPr>
                <w:noProof/>
              </w:rPr>
              <w:br/>
              <w:t xml:space="preserve"> </w:t>
            </w:r>
            <w:r>
              <w:rPr>
                <w:noProof/>
                <w:sz w:val="18"/>
              </w:rPr>
              <w:t>• Castellón-Valencia-La Encina-Alicante</w:t>
            </w:r>
          </w:p>
          <w:p w14:paraId="7246D609" w14:textId="7888A4DB" w:rsidR="006578ED" w:rsidRDefault="00A1618E">
            <w:pPr>
              <w:pStyle w:val="P68B1DB1-Normal8"/>
              <w:spacing w:after="0"/>
              <w:rPr>
                <w:rFonts w:cs="Times New Roman"/>
                <w:noProof/>
                <w:sz w:val="18"/>
              </w:rPr>
            </w:pPr>
            <w:r>
              <w:rPr>
                <w:noProof/>
                <w:sz w:val="18"/>
              </w:rPr>
              <w:t>• Alcázar de San Juan-La Encina</w:t>
            </w:r>
            <w:r>
              <w:rPr>
                <w:noProof/>
              </w:rPr>
              <w:br/>
            </w:r>
            <w:r>
              <w:rPr>
                <w:noProof/>
                <w:sz w:val="18"/>
              </w:rPr>
              <w:t>• Murcja-Kartagena</w:t>
            </w:r>
            <w:r>
              <w:rPr>
                <w:noProof/>
              </w:rPr>
              <w:br/>
              <w:t xml:space="preserve"> </w:t>
            </w:r>
            <w:r>
              <w:rPr>
                <w:noProof/>
                <w:sz w:val="18"/>
              </w:rPr>
              <w:t>• Murcja-Almería</w:t>
            </w:r>
          </w:p>
          <w:p w14:paraId="6D7E4E24" w14:textId="45762D7F" w:rsidR="006578ED" w:rsidRDefault="00A1618E">
            <w:pPr>
              <w:pStyle w:val="P68B1DB1-Normal13"/>
              <w:spacing w:after="0"/>
              <w:rPr>
                <w:rFonts w:cs="Times New Roman"/>
                <w:noProof/>
              </w:rPr>
            </w:pPr>
            <w:r>
              <w:rPr>
                <w:noProof/>
              </w:rPr>
              <w:t>• Utrera-Antequera Santa Ana</w:t>
            </w:r>
          </w:p>
          <w:p w14:paraId="2188A029" w14:textId="45762D7F" w:rsidR="006578ED" w:rsidRDefault="00A1618E">
            <w:pPr>
              <w:pStyle w:val="P68B1DB1-Normal13"/>
              <w:spacing w:after="0"/>
              <w:jc w:val="both"/>
              <w:rPr>
                <w:rFonts w:cs="Times New Roman"/>
                <w:noProof/>
              </w:rPr>
            </w:pPr>
            <w:r>
              <w:rPr>
                <w:noProof/>
              </w:rPr>
              <w:t>• Madryt-Walencja</w:t>
            </w:r>
          </w:p>
          <w:p w14:paraId="5EB1FC24" w14:textId="2FE2C000" w:rsidR="006578ED" w:rsidRDefault="00A1618E">
            <w:pPr>
              <w:pStyle w:val="P68B1DB1-Normal8"/>
              <w:spacing w:after="0" w:line="240" w:lineRule="auto"/>
              <w:rPr>
                <w:rFonts w:cs="Times New Roman"/>
                <w:noProof/>
                <w:sz w:val="18"/>
              </w:rPr>
            </w:pPr>
            <w:r>
              <w:rPr>
                <w:noProof/>
              </w:rPr>
              <w:br/>
            </w:r>
            <w:r>
              <w:rPr>
                <w:noProof/>
                <w:sz w:val="18"/>
              </w:rPr>
              <w:t>WSPÓLNE DLA OBU KORYTARZY</w:t>
            </w:r>
            <w:r>
              <w:rPr>
                <w:noProof/>
              </w:rPr>
              <w:br/>
              <w:t xml:space="preserve"> </w:t>
            </w:r>
            <w:r>
              <w:rPr>
                <w:noProof/>
                <w:sz w:val="18"/>
              </w:rPr>
              <w:t>• Połączenie HSL Barcelona – HSL Levante</w:t>
            </w:r>
            <w:r>
              <w:rPr>
                <w:noProof/>
              </w:rPr>
              <w:br/>
              <w:t xml:space="preserve"> </w:t>
            </w:r>
            <w:r>
              <w:rPr>
                <w:noProof/>
                <w:sz w:val="18"/>
              </w:rPr>
              <w:t>• Aranjuez-Alcázar de San Juan-Manzanares-Córdoba-Algeciras</w:t>
            </w:r>
            <w:r>
              <w:rPr>
                <w:noProof/>
              </w:rPr>
              <w:br/>
              <w:t xml:space="preserve"> </w:t>
            </w:r>
            <w:r>
              <w:rPr>
                <w:noProof/>
                <w:sz w:val="18"/>
              </w:rPr>
              <w:t>• Madryt-Sewilla</w:t>
            </w:r>
            <w:r>
              <w:rPr>
                <w:noProof/>
              </w:rPr>
              <w:br/>
              <w:t xml:space="preserve"> </w:t>
            </w:r>
            <w:r>
              <w:rPr>
                <w:noProof/>
                <w:sz w:val="18"/>
              </w:rPr>
              <w:t>Roboty obejmują następujące rodzaje działań:</w:t>
            </w:r>
            <w:r>
              <w:rPr>
                <w:noProof/>
              </w:rPr>
              <w:br/>
            </w:r>
            <w:r>
              <w:rPr>
                <w:noProof/>
                <w:sz w:val="18"/>
              </w:rPr>
              <w:t>• Platforma. Obejmuje to projekty, które umożliwiają budowę infrastruktury, która będzie obsługiwać tory i która obejmuje nasypy, przegrody, wiadukty, tunele itp. Obejmują one głównie budowę nowej infrastruktury.</w:t>
            </w:r>
            <w:r>
              <w:rPr>
                <w:noProof/>
              </w:rPr>
              <w:br/>
            </w:r>
            <w:r>
              <w:rPr>
                <w:noProof/>
                <w:sz w:val="18"/>
              </w:rPr>
              <w:t>• Wymiana usług. Obejmuje on działania mające na celu przywrócenie istniejących usług (leka, nawadniania, wody itp.), na które mają wpływ podczas wykonywania robót kolejowych.</w:t>
            </w:r>
            <w:r>
              <w:rPr>
                <w:noProof/>
              </w:rPr>
              <w:br/>
            </w:r>
            <w:r>
              <w:rPr>
                <w:noProof/>
                <w:sz w:val="18"/>
              </w:rPr>
              <w:t>• Tory. Obejmuje on działania w zakresie montażu i dostarczania materiałów torowych (podsypki, podkłady, szyny, rozjazdy i urządzenia rozbudowujące) na nowych odcinkach kolejowych, a także odnawianie istniejących torów.</w:t>
            </w:r>
            <w:r>
              <w:rPr>
                <w:noProof/>
              </w:rPr>
              <w:br/>
            </w:r>
            <w:r>
              <w:rPr>
                <w:noProof/>
                <w:sz w:val="18"/>
              </w:rPr>
              <w:t>• Energia elektryczna. Obejmuje on działania mające na celu elektryfikację linii, w tym: napowietrzna sieć jezdna, podstacje trakcyjne, centra transformacji, zdalne sterowanie energią, linie wysokiego napięcia itp.</w:t>
            </w:r>
            <w:r>
              <w:rPr>
                <w:noProof/>
              </w:rPr>
              <w:br/>
              <w:t xml:space="preserve"> </w:t>
            </w:r>
            <w:r>
              <w:rPr>
                <w:noProof/>
                <w:sz w:val="18"/>
              </w:rPr>
              <w:t>• Sygnalizowanie i sterowanie ruchem drogowym. Obejmuje on projekty mające na celu wdrożenie nowych systemów sygnalizacji i sterowania ruchem (ERTMS itp.).</w:t>
            </w:r>
            <w:r>
              <w:rPr>
                <w:noProof/>
              </w:rPr>
              <w:br/>
            </w:r>
            <w:r>
              <w:rPr>
                <w:noProof/>
                <w:sz w:val="18"/>
              </w:rPr>
              <w:t>• Telekomunikacja. Obejmuje projekty związane z telekomunikacją stacjonarną i ruchomą na liniach kolejowych (takich jak światłowody, GSM-R)</w:t>
            </w:r>
            <w:r>
              <w:rPr>
                <w:noProof/>
              </w:rPr>
              <w:br/>
              <w:t xml:space="preserve"> </w:t>
            </w:r>
            <w:r>
              <w:rPr>
                <w:noProof/>
                <w:sz w:val="18"/>
              </w:rPr>
              <w:t>• Stacje. Obejmuje to modernizację i remont istniejących stacji, a także budowę nowych stacji.</w:t>
            </w:r>
          </w:p>
        </w:tc>
      </w:tr>
      <w:tr w:rsidR="006578ED" w14:paraId="79F038B6" w14:textId="77777777">
        <w:trPr>
          <w:trHeight w:val="309"/>
        </w:trPr>
        <w:tc>
          <w:tcPr>
            <w:tcW w:w="709" w:type="dxa"/>
            <w:shd w:val="clear" w:color="auto" w:fill="C6EFCE"/>
            <w:noWrap/>
          </w:tcPr>
          <w:p w14:paraId="4894D1EF" w14:textId="77777777" w:rsidR="006578ED" w:rsidRDefault="00A1618E">
            <w:pPr>
              <w:pStyle w:val="P68B1DB1-Normal13"/>
              <w:spacing w:after="0" w:line="240" w:lineRule="auto"/>
              <w:jc w:val="center"/>
              <w:rPr>
                <w:rFonts w:cs="Times New Roman"/>
                <w:noProof/>
              </w:rPr>
            </w:pPr>
            <w:r>
              <w:rPr>
                <w:noProof/>
              </w:rPr>
              <w:t>86</w:t>
            </w:r>
          </w:p>
        </w:tc>
        <w:tc>
          <w:tcPr>
            <w:tcW w:w="851" w:type="dxa"/>
            <w:shd w:val="clear" w:color="auto" w:fill="C6EFCE"/>
            <w:noWrap/>
          </w:tcPr>
          <w:p w14:paraId="6E297F68" w14:textId="77777777" w:rsidR="006578ED" w:rsidRDefault="00A1618E">
            <w:pPr>
              <w:pStyle w:val="P68B1DB1-Normal13"/>
              <w:spacing w:after="0" w:line="240" w:lineRule="auto"/>
              <w:jc w:val="center"/>
              <w:rPr>
                <w:rFonts w:cs="Times New Roman"/>
                <w:noProof/>
              </w:rPr>
            </w:pPr>
            <w:r>
              <w:rPr>
                <w:noProof/>
              </w:rPr>
              <w:t>C6.I1</w:t>
            </w:r>
          </w:p>
        </w:tc>
        <w:tc>
          <w:tcPr>
            <w:tcW w:w="850" w:type="dxa"/>
            <w:shd w:val="clear" w:color="auto" w:fill="C6EFCE"/>
            <w:noWrap/>
          </w:tcPr>
          <w:p w14:paraId="5CEACC07" w14:textId="7CB155E7" w:rsidR="006578ED" w:rsidRDefault="00AF6B91">
            <w:pPr>
              <w:pStyle w:val="P68B1DB1-Normal13"/>
              <w:spacing w:after="0" w:line="240" w:lineRule="auto"/>
              <w:jc w:val="center"/>
              <w:rPr>
                <w:rFonts w:cs="Times New Roman"/>
                <w:noProof/>
              </w:rPr>
            </w:pPr>
            <w:r>
              <w:rPr>
                <w:noProof/>
              </w:rPr>
              <w:t>Cel</w:t>
            </w:r>
          </w:p>
        </w:tc>
        <w:tc>
          <w:tcPr>
            <w:tcW w:w="1560" w:type="dxa"/>
            <w:shd w:val="clear" w:color="auto" w:fill="C6EFCE"/>
            <w:noWrap/>
          </w:tcPr>
          <w:p w14:paraId="73D30899" w14:textId="6C54DA80" w:rsidR="006578ED" w:rsidRDefault="00A1618E">
            <w:pPr>
              <w:pStyle w:val="P68B1DB1-Normal13"/>
              <w:spacing w:after="0" w:line="240" w:lineRule="auto"/>
              <w:rPr>
                <w:rFonts w:cs="Times New Roman"/>
                <w:noProof/>
              </w:rPr>
            </w:pPr>
            <w:r>
              <w:rPr>
                <w:noProof/>
              </w:rPr>
              <w:t>Sieć bazowa TEN-</w:t>
            </w:r>
            <w:r w:rsidR="00AF6B91">
              <w:rPr>
                <w:noProof/>
              </w:rPr>
              <w:t>Cel</w:t>
            </w:r>
            <w:r>
              <w:rPr>
                <w:noProof/>
              </w:rPr>
              <w:t xml:space="preserve">: postępy w pracach </w:t>
            </w:r>
          </w:p>
        </w:tc>
        <w:tc>
          <w:tcPr>
            <w:tcW w:w="1134" w:type="dxa"/>
            <w:shd w:val="clear" w:color="auto" w:fill="C6EFCE"/>
            <w:noWrap/>
          </w:tcPr>
          <w:p w14:paraId="6A09E912"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3E935E90" w14:textId="77777777" w:rsidR="006578ED" w:rsidRDefault="00A1618E">
            <w:pPr>
              <w:pStyle w:val="P68B1DB1-Normal13"/>
              <w:spacing w:after="0" w:line="240" w:lineRule="auto"/>
              <w:jc w:val="center"/>
              <w:rPr>
                <w:rFonts w:cs="Times New Roman"/>
                <w:noProof/>
              </w:rPr>
            </w:pPr>
            <w:r>
              <w:rPr>
                <w:noProof/>
              </w:rPr>
              <w:t>Liczba (km)</w:t>
            </w:r>
          </w:p>
        </w:tc>
        <w:tc>
          <w:tcPr>
            <w:tcW w:w="567" w:type="dxa"/>
            <w:shd w:val="clear" w:color="auto" w:fill="C6EFCE"/>
            <w:noWrap/>
          </w:tcPr>
          <w:p w14:paraId="674C0320" w14:textId="77777777" w:rsidR="006578ED" w:rsidRDefault="00A1618E">
            <w:pPr>
              <w:pStyle w:val="P68B1DB1-Normal13"/>
              <w:spacing w:after="0" w:line="240" w:lineRule="auto"/>
              <w:jc w:val="right"/>
              <w:rPr>
                <w:rFonts w:cs="Times New Roman"/>
                <w:noProof/>
              </w:rPr>
            </w:pPr>
            <w:r>
              <w:rPr>
                <w:noProof/>
              </w:rPr>
              <w:t>0</w:t>
            </w:r>
          </w:p>
        </w:tc>
        <w:tc>
          <w:tcPr>
            <w:tcW w:w="567" w:type="dxa"/>
            <w:shd w:val="clear" w:color="auto" w:fill="C6EFCE"/>
            <w:noWrap/>
          </w:tcPr>
          <w:p w14:paraId="14BEB24D" w14:textId="77777777" w:rsidR="006578ED" w:rsidRDefault="00A1618E">
            <w:pPr>
              <w:pStyle w:val="P68B1DB1-Normal13"/>
              <w:spacing w:after="0" w:line="240" w:lineRule="auto"/>
              <w:jc w:val="right"/>
              <w:rPr>
                <w:rFonts w:cs="Times New Roman"/>
                <w:noProof/>
              </w:rPr>
            </w:pPr>
            <w:r>
              <w:rPr>
                <w:noProof/>
              </w:rPr>
              <w:t>335</w:t>
            </w:r>
          </w:p>
        </w:tc>
        <w:tc>
          <w:tcPr>
            <w:tcW w:w="425" w:type="dxa"/>
            <w:shd w:val="clear" w:color="auto" w:fill="C6EFCE"/>
            <w:noWrap/>
          </w:tcPr>
          <w:p w14:paraId="0171B95B" w14:textId="3A3EC046"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665BC6A2" w14:textId="77777777" w:rsidR="006578ED" w:rsidRDefault="00A1618E">
            <w:pPr>
              <w:pStyle w:val="P68B1DB1-Normal13"/>
              <w:spacing w:after="0" w:line="240" w:lineRule="auto"/>
              <w:jc w:val="center"/>
              <w:rPr>
                <w:rFonts w:cs="Times New Roman"/>
                <w:noProof/>
              </w:rPr>
            </w:pPr>
            <w:r>
              <w:rPr>
                <w:noProof/>
              </w:rPr>
              <w:t>2024</w:t>
            </w:r>
          </w:p>
        </w:tc>
        <w:tc>
          <w:tcPr>
            <w:tcW w:w="6066" w:type="dxa"/>
            <w:shd w:val="clear" w:color="auto" w:fill="C6EFCE"/>
            <w:noWrap/>
          </w:tcPr>
          <w:p w14:paraId="3DD4BD97" w14:textId="266CE241" w:rsidR="006578ED" w:rsidRDefault="00A1618E">
            <w:pPr>
              <w:pStyle w:val="P68B1DB1-Normal13"/>
              <w:spacing w:after="0" w:line="240" w:lineRule="auto"/>
              <w:rPr>
                <w:rFonts w:cs="Times New Roman"/>
                <w:noProof/>
              </w:rPr>
            </w:pPr>
            <w:r>
              <w:rPr>
                <w:noProof/>
              </w:rPr>
              <w:t>Co najmniej 335 kilometrów ukończonych robót w sieci bazowej TEN-</w:t>
            </w:r>
            <w:r w:rsidR="00AF6B91">
              <w:rPr>
                <w:noProof/>
              </w:rPr>
              <w:t>Cel</w:t>
            </w:r>
            <w:r>
              <w:rPr>
                <w:noProof/>
              </w:rPr>
              <w:t xml:space="preserve"> w korytarzach i o cechach określonych w wartości docelowej nr #85 z czwartego kwartału 20</w:t>
            </w:r>
            <w:r w:rsidRPr="00A1618E">
              <w:rPr>
                <w:noProof/>
                <w:lang w:val="pl-PL"/>
              </w:rPr>
              <w:t>22 r.</w:t>
            </w:r>
            <w:r>
              <w:rPr>
                <w:noProof/>
              </w:rPr>
              <w:t xml:space="preserve"> </w:t>
            </w:r>
          </w:p>
        </w:tc>
      </w:tr>
      <w:tr w:rsidR="006578ED" w14:paraId="33F640E8" w14:textId="77777777">
        <w:trPr>
          <w:trHeight w:val="309"/>
        </w:trPr>
        <w:tc>
          <w:tcPr>
            <w:tcW w:w="709" w:type="dxa"/>
            <w:shd w:val="clear" w:color="auto" w:fill="C6EFCE"/>
            <w:noWrap/>
          </w:tcPr>
          <w:p w14:paraId="67DDB69B" w14:textId="77777777" w:rsidR="006578ED" w:rsidRDefault="00A1618E">
            <w:pPr>
              <w:pStyle w:val="P68B1DB1-Normal13"/>
              <w:spacing w:after="0" w:line="240" w:lineRule="auto"/>
              <w:jc w:val="center"/>
              <w:rPr>
                <w:rFonts w:eastAsia="Calibri" w:cs="Times New Roman"/>
                <w:noProof/>
              </w:rPr>
            </w:pPr>
            <w:r>
              <w:rPr>
                <w:noProof/>
              </w:rPr>
              <w:t>87</w:t>
            </w:r>
          </w:p>
        </w:tc>
        <w:tc>
          <w:tcPr>
            <w:tcW w:w="851" w:type="dxa"/>
            <w:shd w:val="clear" w:color="auto" w:fill="C6EFCE"/>
            <w:noWrap/>
          </w:tcPr>
          <w:p w14:paraId="1322D1FC" w14:textId="77777777" w:rsidR="006578ED" w:rsidRDefault="00A1618E">
            <w:pPr>
              <w:pStyle w:val="P68B1DB1-Normal13"/>
              <w:spacing w:after="0" w:line="240" w:lineRule="auto"/>
              <w:jc w:val="center"/>
              <w:rPr>
                <w:rFonts w:eastAsia="Calibri" w:cs="Times New Roman"/>
                <w:noProof/>
              </w:rPr>
            </w:pPr>
            <w:r>
              <w:rPr>
                <w:noProof/>
              </w:rPr>
              <w:t>C6.I1</w:t>
            </w:r>
          </w:p>
        </w:tc>
        <w:tc>
          <w:tcPr>
            <w:tcW w:w="850" w:type="dxa"/>
            <w:shd w:val="clear" w:color="auto" w:fill="C6EFCE"/>
            <w:noWrap/>
          </w:tcPr>
          <w:p w14:paraId="3C81BE46" w14:textId="78E543BC" w:rsidR="006578ED" w:rsidRDefault="00AF6B91">
            <w:pPr>
              <w:pStyle w:val="P68B1DB1-Normal13"/>
              <w:spacing w:after="0" w:line="240" w:lineRule="auto"/>
              <w:jc w:val="center"/>
              <w:rPr>
                <w:rFonts w:eastAsia="Calibri" w:cs="Times New Roman"/>
                <w:noProof/>
              </w:rPr>
            </w:pPr>
            <w:r>
              <w:rPr>
                <w:noProof/>
              </w:rPr>
              <w:t>Cel</w:t>
            </w:r>
          </w:p>
        </w:tc>
        <w:tc>
          <w:tcPr>
            <w:tcW w:w="1560" w:type="dxa"/>
            <w:shd w:val="clear" w:color="auto" w:fill="C6EFCE"/>
            <w:noWrap/>
          </w:tcPr>
          <w:p w14:paraId="70B957AF" w14:textId="52DDEDC4" w:rsidR="006578ED" w:rsidRDefault="00A1618E">
            <w:pPr>
              <w:pStyle w:val="P68B1DB1-Normal13"/>
              <w:spacing w:after="0" w:line="240" w:lineRule="auto"/>
              <w:rPr>
                <w:rFonts w:eastAsia="Calibri" w:cs="Times New Roman"/>
                <w:noProof/>
              </w:rPr>
            </w:pPr>
            <w:r>
              <w:rPr>
                <w:noProof/>
              </w:rPr>
              <w:t>Sieć bazowa TEN-</w:t>
            </w:r>
            <w:r w:rsidR="00AF6B91">
              <w:rPr>
                <w:noProof/>
              </w:rPr>
              <w:t>Cel</w:t>
            </w:r>
            <w:r>
              <w:rPr>
                <w:noProof/>
              </w:rPr>
              <w:t xml:space="preserve">: zakończenie prac </w:t>
            </w:r>
          </w:p>
        </w:tc>
        <w:tc>
          <w:tcPr>
            <w:tcW w:w="1134" w:type="dxa"/>
            <w:shd w:val="clear" w:color="auto" w:fill="C6EFCE"/>
            <w:noWrap/>
          </w:tcPr>
          <w:p w14:paraId="33E67AC6" w14:textId="77777777" w:rsidR="006578ED" w:rsidRDefault="00A1618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1C84F6D9" w14:textId="77777777" w:rsidR="006578ED" w:rsidRDefault="00A1618E">
            <w:pPr>
              <w:pStyle w:val="P68B1DB1-Normal13"/>
              <w:spacing w:after="0" w:line="240" w:lineRule="auto"/>
              <w:jc w:val="center"/>
              <w:rPr>
                <w:rFonts w:eastAsia="Calibri" w:cs="Times New Roman"/>
                <w:noProof/>
              </w:rPr>
            </w:pPr>
            <w:r>
              <w:rPr>
                <w:noProof/>
              </w:rPr>
              <w:t>Liczba (km)</w:t>
            </w:r>
          </w:p>
        </w:tc>
        <w:tc>
          <w:tcPr>
            <w:tcW w:w="567" w:type="dxa"/>
            <w:shd w:val="clear" w:color="auto" w:fill="C6EFCE"/>
            <w:noWrap/>
          </w:tcPr>
          <w:p w14:paraId="2996073B" w14:textId="77777777" w:rsidR="006578ED" w:rsidRDefault="00A1618E">
            <w:pPr>
              <w:pStyle w:val="P68B1DB1-Normal13"/>
              <w:spacing w:after="0" w:line="240" w:lineRule="auto"/>
              <w:jc w:val="right"/>
              <w:rPr>
                <w:rFonts w:eastAsia="Calibri" w:cs="Times New Roman"/>
                <w:noProof/>
              </w:rPr>
            </w:pPr>
            <w:r>
              <w:rPr>
                <w:noProof/>
              </w:rPr>
              <w:t>335</w:t>
            </w:r>
          </w:p>
        </w:tc>
        <w:tc>
          <w:tcPr>
            <w:tcW w:w="567" w:type="dxa"/>
            <w:shd w:val="clear" w:color="auto" w:fill="C6EFCE"/>
            <w:noWrap/>
          </w:tcPr>
          <w:p w14:paraId="6671B730" w14:textId="77777777" w:rsidR="006578ED" w:rsidRDefault="00A1618E">
            <w:pPr>
              <w:pStyle w:val="P68B1DB1-Normal13"/>
              <w:spacing w:after="0" w:line="240" w:lineRule="auto"/>
              <w:jc w:val="right"/>
              <w:rPr>
                <w:rFonts w:eastAsia="Calibri" w:cs="Times New Roman"/>
                <w:noProof/>
              </w:rPr>
            </w:pPr>
            <w:r>
              <w:rPr>
                <w:noProof/>
              </w:rPr>
              <w:t>1 400</w:t>
            </w:r>
          </w:p>
        </w:tc>
        <w:tc>
          <w:tcPr>
            <w:tcW w:w="425" w:type="dxa"/>
            <w:shd w:val="clear" w:color="auto" w:fill="C6EFCE"/>
            <w:noWrap/>
          </w:tcPr>
          <w:p w14:paraId="39627014" w14:textId="3866A4E7" w:rsidR="006578ED" w:rsidRDefault="00EC188C">
            <w:pPr>
              <w:pStyle w:val="P68B1DB1-Normal13"/>
              <w:spacing w:after="0" w:line="240" w:lineRule="auto"/>
              <w:jc w:val="center"/>
              <w:rPr>
                <w:rFonts w:eastAsia="Calibri" w:cs="Times New Roman"/>
                <w:noProof/>
              </w:rPr>
            </w:pPr>
            <w:r>
              <w:rPr>
                <w:noProof/>
              </w:rPr>
              <w:t>KW. 2</w:t>
            </w:r>
          </w:p>
        </w:tc>
        <w:tc>
          <w:tcPr>
            <w:tcW w:w="567" w:type="dxa"/>
            <w:shd w:val="clear" w:color="auto" w:fill="C6EFCE"/>
            <w:noWrap/>
          </w:tcPr>
          <w:p w14:paraId="10641807" w14:textId="77777777" w:rsidR="006578ED" w:rsidRDefault="00A1618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79709815" w14:textId="48A1AABE" w:rsidR="006578ED" w:rsidRDefault="00A1618E">
            <w:pPr>
              <w:pStyle w:val="P68B1DB1-Normal13"/>
              <w:spacing w:after="0" w:line="240" w:lineRule="auto"/>
              <w:rPr>
                <w:rFonts w:eastAsia="Calibri" w:cs="Times New Roman"/>
                <w:noProof/>
              </w:rPr>
            </w:pPr>
            <w:r>
              <w:rPr>
                <w:noProof/>
              </w:rPr>
              <w:t>Co najmniej 1400 kilometrów ukończonych robót w sieci bazowej TEN-</w:t>
            </w:r>
            <w:r w:rsidR="00AF6B91">
              <w:rPr>
                <w:noProof/>
              </w:rPr>
              <w:t>Cel</w:t>
            </w:r>
            <w:r>
              <w:rPr>
                <w:noProof/>
              </w:rPr>
              <w:t xml:space="preserve"> w korytarzach i o cechach określonych w wartości docelowej nr #85 z czwartego kwartału 20</w:t>
            </w:r>
            <w:r w:rsidRPr="00A1618E">
              <w:rPr>
                <w:noProof/>
                <w:lang w:val="pl-PL"/>
              </w:rPr>
              <w:t>22 r.</w:t>
            </w:r>
            <w:r>
              <w:rPr>
                <w:noProof/>
              </w:rPr>
              <w:t xml:space="preserve"> (podstawa: 31 grudnia 20</w:t>
            </w:r>
            <w:r w:rsidRPr="00A1618E">
              <w:rPr>
                <w:noProof/>
                <w:lang w:val="pl-PL"/>
              </w:rPr>
              <w:t>24 r.</w:t>
            </w:r>
            <w:r>
              <w:rPr>
                <w:noProof/>
              </w:rPr>
              <w:t>).</w:t>
            </w:r>
          </w:p>
        </w:tc>
      </w:tr>
      <w:tr w:rsidR="006578ED" w14:paraId="476E2B6F" w14:textId="77777777">
        <w:trPr>
          <w:trHeight w:val="309"/>
        </w:trPr>
        <w:tc>
          <w:tcPr>
            <w:tcW w:w="709" w:type="dxa"/>
            <w:shd w:val="clear" w:color="auto" w:fill="C6EFCE"/>
            <w:noWrap/>
          </w:tcPr>
          <w:p w14:paraId="1DCB3458" w14:textId="77777777" w:rsidR="006578ED" w:rsidRDefault="00A1618E">
            <w:pPr>
              <w:pStyle w:val="P68B1DB1-Normal13"/>
              <w:spacing w:after="0" w:line="240" w:lineRule="auto"/>
              <w:jc w:val="center"/>
              <w:rPr>
                <w:rFonts w:eastAsia="Calibri" w:cs="Times New Roman"/>
                <w:noProof/>
              </w:rPr>
            </w:pPr>
            <w:r>
              <w:rPr>
                <w:noProof/>
              </w:rPr>
              <w:t>88</w:t>
            </w:r>
          </w:p>
        </w:tc>
        <w:tc>
          <w:tcPr>
            <w:tcW w:w="851" w:type="dxa"/>
            <w:shd w:val="clear" w:color="auto" w:fill="C6EFCE"/>
            <w:noWrap/>
          </w:tcPr>
          <w:p w14:paraId="36E9323E" w14:textId="77777777" w:rsidR="006578ED" w:rsidRDefault="00A1618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374870AA" w14:textId="60A97BC6" w:rsidR="006578ED" w:rsidRDefault="00AF6B91">
            <w:pPr>
              <w:pStyle w:val="P68B1DB1-Normal13"/>
              <w:spacing w:after="0" w:line="240" w:lineRule="auto"/>
              <w:jc w:val="center"/>
              <w:rPr>
                <w:rFonts w:eastAsia="Calibri" w:cs="Times New Roman"/>
                <w:noProof/>
              </w:rPr>
            </w:pPr>
            <w:r>
              <w:rPr>
                <w:noProof/>
              </w:rPr>
              <w:t>Kamień milowy</w:t>
            </w:r>
          </w:p>
        </w:tc>
        <w:tc>
          <w:tcPr>
            <w:tcW w:w="1560" w:type="dxa"/>
            <w:shd w:val="clear" w:color="auto" w:fill="C6EFCE"/>
            <w:noWrap/>
          </w:tcPr>
          <w:p w14:paraId="11FE6E32" w14:textId="3CEE5590" w:rsidR="006578ED" w:rsidRDefault="00A1618E">
            <w:pPr>
              <w:pStyle w:val="P68B1DB1-Normal13"/>
              <w:spacing w:after="0" w:line="240" w:lineRule="auto"/>
              <w:rPr>
                <w:rFonts w:eastAsia="Calibri" w:cs="Times New Roman"/>
                <w:noProof/>
              </w:rPr>
            </w:pPr>
            <w:r>
              <w:rPr>
                <w:noProof/>
              </w:rPr>
              <w:t>Sieć TEN-</w:t>
            </w:r>
            <w:r w:rsidR="00AF6B91">
              <w:rPr>
                <w:noProof/>
              </w:rPr>
              <w:t>Cel</w:t>
            </w:r>
            <w:r>
              <w:rPr>
                <w:noProof/>
              </w:rPr>
              <w:t xml:space="preserve"> różne rodzaje transportu (kolejowe i drogowe): częściowe przyznanie budżetu</w:t>
            </w:r>
          </w:p>
        </w:tc>
        <w:tc>
          <w:tcPr>
            <w:tcW w:w="1134" w:type="dxa"/>
            <w:shd w:val="clear" w:color="auto" w:fill="C6EFCE"/>
            <w:noWrap/>
          </w:tcPr>
          <w:p w14:paraId="112BB7C3" w14:textId="225782DF" w:rsidR="006578ED" w:rsidRDefault="00A1618E">
            <w:pPr>
              <w:pStyle w:val="P68B1DB1-Normal13"/>
              <w:spacing w:after="0" w:line="240" w:lineRule="auto"/>
              <w:jc w:val="center"/>
              <w:rPr>
                <w:rFonts w:eastAsia="Calibri" w:cs="Times New Roman"/>
                <w:noProof/>
              </w:rPr>
            </w:pPr>
            <w:r>
              <w:rPr>
                <w:noProof/>
              </w:rPr>
              <w:t>Oficjalne powiadomienie o przyznaniu projektu—</w:t>
            </w:r>
          </w:p>
        </w:tc>
        <w:tc>
          <w:tcPr>
            <w:tcW w:w="850" w:type="dxa"/>
            <w:shd w:val="clear" w:color="auto" w:fill="C6EFCE"/>
            <w:noWrap/>
          </w:tcPr>
          <w:p w14:paraId="3BAC30D4" w14:textId="77777777" w:rsidR="006578ED" w:rsidRDefault="00A1618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77ABD302"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8605206" w14:textId="77777777" w:rsidR="006578ED" w:rsidRDefault="00A1618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79A890B5" w14:textId="727AC61F"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069484E3" w14:textId="77777777" w:rsidR="006578ED" w:rsidRDefault="00A1618E">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29B783A3" w14:textId="16647ECE" w:rsidR="006578ED" w:rsidRDefault="00A1618E">
            <w:pPr>
              <w:pStyle w:val="P68B1DB1-Normal13"/>
              <w:spacing w:after="0" w:line="240" w:lineRule="auto"/>
              <w:rPr>
                <w:rFonts w:eastAsia="Calibri" w:cs="Times New Roman"/>
                <w:noProof/>
              </w:rPr>
            </w:pPr>
            <w:r>
              <w:rPr>
                <w:noProof/>
              </w:rPr>
              <w:t>Łączny budżet przyznany w wysokości co najmniej 1 000 000 000 EUR (całkowity budżet 1 717 000 000 EUR) na interwencje w sieci TEN-</w:t>
            </w:r>
            <w:r w:rsidR="00AF6B91">
              <w:rPr>
                <w:noProof/>
              </w:rPr>
              <w:t>Cel</w:t>
            </w:r>
            <w:r>
              <w:rPr>
                <w:noProof/>
              </w:rPr>
              <w:t xml:space="preserve"> inne niż podstawowe w różnych rodzajach transportu (kolejowe i drogowe). Projekty wybiera się zgodnie z następującymi kryteriami wyboru:</w:t>
            </w:r>
            <w:r>
              <w:rPr>
                <w:noProof/>
              </w:rPr>
              <w:br/>
              <w:t>zwiększenie interoperacyjności sieci kolejowej, głównie w odniesieniu do TEN-</w:t>
            </w:r>
            <w:r w:rsidR="00AF6B91">
              <w:rPr>
                <w:noProof/>
              </w:rPr>
              <w:t>Cel</w:t>
            </w:r>
            <w:r>
              <w:rPr>
                <w:noProof/>
              </w:rPr>
              <w:t>, dzięki pracom na co najmniej 900 km sieci (1 010 000 000 EUR). Obejmuje to następujące interwencje:</w:t>
            </w:r>
            <w:r>
              <w:rPr>
                <w:noProof/>
              </w:rPr>
              <w:br/>
              <w:t xml:space="preserve">• Poprawa infrastruktury technologicznej zarządzania ruchem kolejowym </w:t>
            </w:r>
            <w:r>
              <w:rPr>
                <w:noProof/>
              </w:rPr>
              <w:br/>
              <w:t xml:space="preserve">• Bezpieczeństwo (takie jak cyberbezpieczeństwo, instalacja detektorów zderzeniowych) </w:t>
            </w:r>
            <w:r>
              <w:rPr>
                <w:noProof/>
              </w:rPr>
              <w:br/>
              <w:t xml:space="preserve">• Zabezpieczenia akustyczne/mapy hałasu </w:t>
            </w:r>
            <w:r>
              <w:rPr>
                <w:noProof/>
              </w:rPr>
              <w:br/>
              <w:t xml:space="preserve">• Rozwój technologii satelitarnej stosowanej do sygnalizacji kolejowej ERTMS </w:t>
            </w:r>
            <w:r>
              <w:rPr>
                <w:noProof/>
              </w:rPr>
              <w:br/>
              <w:t xml:space="preserve">• Elektryfikacja odcinków (np. Monforte-Lugo) </w:t>
            </w:r>
            <w:r>
              <w:rPr>
                <w:noProof/>
              </w:rPr>
              <w:br/>
              <w:t xml:space="preserve">• Odnowienie toru (np. Soria-Torralba, Xátiva-Ontinyent i Monforte-Lugo) </w:t>
            </w:r>
            <w:r>
              <w:rPr>
                <w:noProof/>
              </w:rPr>
              <w:br/>
              <w:t xml:space="preserve">• Poprawa podsystemu „Sterowanie” (np. Soria-Torralba i Ávila-Salamanca) </w:t>
            </w:r>
            <w:r>
              <w:rPr>
                <w:noProof/>
              </w:rPr>
              <w:br/>
              <w:t xml:space="preserve">• Tworzenie nowych odcinków lub wariantów (takich jak Palencia-Santander, wariant Rincón de Soto i Variant of Ourense) </w:t>
            </w:r>
            <w:r>
              <w:rPr>
                <w:noProof/>
              </w:rPr>
              <w:br/>
              <w:t>zwiększenie bezpieczeństwa sieci drogowej zgodnie z przepisami krajowymi i europejskimi (707 000 000 EUR).</w:t>
            </w:r>
            <w:r>
              <w:rPr>
                <w:noProof/>
              </w:rPr>
              <w:br/>
              <w:t xml:space="preserve">• Poprawa bezpieczeństwa ruchu drogowego (w tym bezpieczeństwa ruchu drogowego w co najmniej 80 tunelach) oraz ochrona wrażliwych gatunków dzikiej fauny i flory oraz użytkowników (357 000 000 EUR). </w:t>
            </w:r>
            <w:r>
              <w:rPr>
                <w:noProof/>
              </w:rPr>
              <w:br/>
              <w:t xml:space="preserve">• Działania na rzecz zrównoważonego rozwoju, efektywności energetycznej i ograniczenia hałasu (302 000 000 EUR) </w:t>
            </w:r>
            <w:r>
              <w:rPr>
                <w:noProof/>
              </w:rPr>
              <w:br/>
              <w:t xml:space="preserve">• Cyfryzacja: Wdrożenie systemów monitorowania mostów, tuneli, z wykorzystaniem analizy dużych zbiorów danych i internetu rzeczy; cyfryzacja dróg w zakresie monitorowania i utrzymania (35 000 000 EUR). </w:t>
            </w:r>
            <w:r>
              <w:rPr>
                <w:noProof/>
              </w:rPr>
              <w:br/>
              <w:t xml:space="preserve">• Wdrożenie inteligentnych systemów transportowych na pasach dla autobusów-VAO (13 000 000 EUR). </w:t>
            </w:r>
            <w:r>
              <w:rPr>
                <w:noProof/>
              </w:rPr>
              <w:br/>
              <w:t xml:space="preserve">• Aktualizacja wstępnego projektu stałego połączenia w Cieśninie Gibraltarskiej (2 300 000 EUR). </w:t>
            </w:r>
            <w:r>
              <w:rPr>
                <w:noProof/>
              </w:rPr>
              <w:br/>
              <w:t>Kryteria wyboru zapewniają, aby w II kwartale 20</w:t>
            </w:r>
            <w:r w:rsidRPr="00A1618E">
              <w:rPr>
                <w:noProof/>
                <w:lang w:val="pl-PL"/>
              </w:rPr>
              <w:t>26 r.</w:t>
            </w:r>
            <w:r>
              <w:rPr>
                <w:noProof/>
              </w:rPr>
              <w:t xml:space="preserve"> co najmniej 1 010 000 000 EUR przyczyniało się do realizacji celów związanych ze zmianą klimatu przy zastosowaniu współczynnika klimatycznego wynoszącego 100 % i co najmniej 301 000 000 EUR ze współczynnikiem klimatycznym wynoszącym co najmniej 40 %, zgodnie z załącznikiem VI do rozporządzenia (UE) 2021/241 w sprawie Instrumentu na rzecz Odbudowy i Zwiększania Odporności.</w:t>
            </w:r>
          </w:p>
        </w:tc>
      </w:tr>
      <w:tr w:rsidR="006578ED" w14:paraId="53B93168" w14:textId="77777777">
        <w:trPr>
          <w:trHeight w:val="309"/>
        </w:trPr>
        <w:tc>
          <w:tcPr>
            <w:tcW w:w="709" w:type="dxa"/>
            <w:shd w:val="clear" w:color="auto" w:fill="C6EFCE"/>
            <w:noWrap/>
          </w:tcPr>
          <w:p w14:paraId="4EF93A77" w14:textId="77777777" w:rsidR="006578ED" w:rsidRDefault="00A1618E">
            <w:pPr>
              <w:pStyle w:val="P68B1DB1-Normal13"/>
              <w:spacing w:after="0" w:line="240" w:lineRule="auto"/>
              <w:jc w:val="center"/>
              <w:rPr>
                <w:rFonts w:eastAsia="Calibri" w:cs="Times New Roman"/>
                <w:noProof/>
              </w:rPr>
            </w:pPr>
            <w:r>
              <w:rPr>
                <w:noProof/>
              </w:rPr>
              <w:t>89</w:t>
            </w:r>
          </w:p>
        </w:tc>
        <w:tc>
          <w:tcPr>
            <w:tcW w:w="851" w:type="dxa"/>
            <w:shd w:val="clear" w:color="auto" w:fill="C6EFCE"/>
            <w:noWrap/>
          </w:tcPr>
          <w:p w14:paraId="63469D30" w14:textId="77777777" w:rsidR="006578ED" w:rsidRDefault="00A1618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7010B219" w14:textId="6FA0E682" w:rsidR="006578ED" w:rsidRDefault="00AF6B91">
            <w:pPr>
              <w:pStyle w:val="P68B1DB1-Normal13"/>
              <w:spacing w:after="0" w:line="240" w:lineRule="auto"/>
              <w:jc w:val="center"/>
              <w:rPr>
                <w:rFonts w:eastAsia="Calibri" w:cs="Times New Roman"/>
                <w:noProof/>
              </w:rPr>
            </w:pPr>
            <w:r>
              <w:rPr>
                <w:noProof/>
              </w:rPr>
              <w:t>Cel</w:t>
            </w:r>
          </w:p>
        </w:tc>
        <w:tc>
          <w:tcPr>
            <w:tcW w:w="1560" w:type="dxa"/>
            <w:shd w:val="clear" w:color="auto" w:fill="C6EFCE"/>
            <w:noWrap/>
          </w:tcPr>
          <w:p w14:paraId="76322FAB" w14:textId="2A5A46E3" w:rsidR="006578ED" w:rsidRDefault="00A1618E">
            <w:pPr>
              <w:pStyle w:val="P68B1DB1-Normal13"/>
              <w:spacing w:after="0" w:line="240" w:lineRule="auto"/>
              <w:rPr>
                <w:rFonts w:eastAsia="Calibri" w:cs="Times New Roman"/>
                <w:noProof/>
              </w:rPr>
            </w:pPr>
            <w:r>
              <w:rPr>
                <w:noProof/>
              </w:rPr>
              <w:t>Sieć TEN-</w:t>
            </w:r>
            <w:r w:rsidR="00AF6B91">
              <w:rPr>
                <w:noProof/>
              </w:rPr>
              <w:t>Cel</w:t>
            </w:r>
            <w:r>
              <w:rPr>
                <w:noProof/>
              </w:rPr>
              <w:t xml:space="preserve"> nienależąca do sieci bazowej: postępy w pracach kolejowych</w:t>
            </w:r>
          </w:p>
        </w:tc>
        <w:tc>
          <w:tcPr>
            <w:tcW w:w="1134" w:type="dxa"/>
            <w:shd w:val="clear" w:color="auto" w:fill="C6EFCE"/>
            <w:noWrap/>
          </w:tcPr>
          <w:p w14:paraId="1BBD13F9" w14:textId="77777777" w:rsidR="006578ED" w:rsidRDefault="00A1618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610FC190" w14:textId="77777777" w:rsidR="006578ED" w:rsidRDefault="00A1618E">
            <w:pPr>
              <w:pStyle w:val="P68B1DB1-Normal13"/>
              <w:spacing w:after="0" w:line="240" w:lineRule="auto"/>
              <w:jc w:val="center"/>
              <w:rPr>
                <w:rFonts w:eastAsia="Calibri" w:cs="Times New Roman"/>
                <w:noProof/>
              </w:rPr>
            </w:pPr>
            <w:r>
              <w:rPr>
                <w:noProof/>
              </w:rPr>
              <w:t>Liczba (km)</w:t>
            </w:r>
          </w:p>
        </w:tc>
        <w:tc>
          <w:tcPr>
            <w:tcW w:w="567" w:type="dxa"/>
            <w:shd w:val="clear" w:color="auto" w:fill="C6EFCE"/>
            <w:noWrap/>
          </w:tcPr>
          <w:p w14:paraId="222157C1" w14:textId="77777777" w:rsidR="006578ED" w:rsidRDefault="00A1618E">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036AC05E" w14:textId="77777777" w:rsidR="006578ED" w:rsidRDefault="00A1618E">
            <w:pPr>
              <w:pStyle w:val="P68B1DB1-Normal13"/>
              <w:spacing w:after="0" w:line="240" w:lineRule="auto"/>
              <w:jc w:val="right"/>
              <w:rPr>
                <w:rFonts w:eastAsia="Calibri" w:cs="Times New Roman"/>
                <w:noProof/>
              </w:rPr>
            </w:pPr>
            <w:r>
              <w:rPr>
                <w:noProof/>
              </w:rPr>
              <w:t>347</w:t>
            </w:r>
          </w:p>
        </w:tc>
        <w:tc>
          <w:tcPr>
            <w:tcW w:w="425" w:type="dxa"/>
            <w:shd w:val="clear" w:color="auto" w:fill="C6EFCE"/>
            <w:noWrap/>
          </w:tcPr>
          <w:p w14:paraId="12360FBC" w14:textId="4C7CD1E0"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1B012AA2" w14:textId="77777777" w:rsidR="006578ED" w:rsidRDefault="00A1618E">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47B3F21C" w14:textId="279F98E2" w:rsidR="006578ED" w:rsidRDefault="00A1618E">
            <w:pPr>
              <w:pStyle w:val="P68B1DB1-Normal13"/>
              <w:spacing w:after="0" w:line="240" w:lineRule="auto"/>
              <w:rPr>
                <w:rFonts w:eastAsia="Calibri" w:cs="Times New Roman"/>
                <w:noProof/>
              </w:rPr>
            </w:pPr>
            <w:r>
              <w:rPr>
                <w:noProof/>
              </w:rPr>
              <w:t>Co najmniej 347 kilometrów robót ukończonych w celu zwiększenia interoperacyjności sieci kolejowej, głównie w odniesieniu do TEN-</w:t>
            </w:r>
            <w:r w:rsidR="00AF6B91">
              <w:rPr>
                <w:noProof/>
              </w:rPr>
              <w:t>Cel</w:t>
            </w:r>
            <w:r>
              <w:rPr>
                <w:noProof/>
              </w:rPr>
              <w:t>, przy czym ostateczny cel dotyczy całości robót na co najmniej 900 km sieci. Prace prowadzone są na obszarach określonych w decyzji o przyznaniu projektu w IV kwartale 20</w:t>
            </w:r>
            <w:r w:rsidRPr="00A1618E">
              <w:rPr>
                <w:noProof/>
                <w:lang w:val="pl-PL"/>
              </w:rPr>
              <w:t>22 r.</w:t>
            </w:r>
            <w:r>
              <w:rPr>
                <w:noProof/>
              </w:rPr>
              <w:t xml:space="preserve"> </w:t>
            </w:r>
            <w:r w:rsidRPr="00A1618E">
              <w:rPr>
                <w:noProof/>
                <w:lang w:val="pl-PL"/>
              </w:rPr>
              <w:t>lit. a)</w:t>
            </w:r>
            <w:r>
              <w:rPr>
                <w:noProof/>
              </w:rPr>
              <w:t xml:space="preserve"> (kamień milowy 88) </w:t>
            </w:r>
          </w:p>
        </w:tc>
      </w:tr>
      <w:tr w:rsidR="006578ED" w14:paraId="69D24A91" w14:textId="77777777">
        <w:trPr>
          <w:trHeight w:val="309"/>
        </w:trPr>
        <w:tc>
          <w:tcPr>
            <w:tcW w:w="709" w:type="dxa"/>
            <w:shd w:val="clear" w:color="auto" w:fill="C6EFCE"/>
            <w:noWrap/>
          </w:tcPr>
          <w:p w14:paraId="5AA05B6E" w14:textId="77777777" w:rsidR="006578ED" w:rsidRDefault="00A1618E">
            <w:pPr>
              <w:pStyle w:val="P68B1DB1-Normal13"/>
              <w:spacing w:after="0" w:line="240" w:lineRule="auto"/>
              <w:jc w:val="center"/>
              <w:rPr>
                <w:rFonts w:eastAsia="Calibri" w:cs="Times New Roman"/>
                <w:noProof/>
              </w:rPr>
            </w:pPr>
            <w:r>
              <w:rPr>
                <w:noProof/>
              </w:rPr>
              <w:t>90</w:t>
            </w:r>
          </w:p>
        </w:tc>
        <w:tc>
          <w:tcPr>
            <w:tcW w:w="851" w:type="dxa"/>
            <w:shd w:val="clear" w:color="auto" w:fill="C6EFCE"/>
            <w:noWrap/>
          </w:tcPr>
          <w:p w14:paraId="2994C83D" w14:textId="77777777" w:rsidR="006578ED" w:rsidRDefault="00A1618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336A9382" w14:textId="6AC7C6C5" w:rsidR="006578ED" w:rsidRDefault="00AF6B91">
            <w:pPr>
              <w:pStyle w:val="P68B1DB1-Normal13"/>
              <w:spacing w:after="0" w:line="240" w:lineRule="auto"/>
              <w:jc w:val="center"/>
              <w:rPr>
                <w:rFonts w:eastAsia="Calibri" w:cs="Times New Roman"/>
                <w:noProof/>
              </w:rPr>
            </w:pPr>
            <w:r>
              <w:rPr>
                <w:noProof/>
              </w:rPr>
              <w:t>Cel</w:t>
            </w:r>
          </w:p>
        </w:tc>
        <w:tc>
          <w:tcPr>
            <w:tcW w:w="1560" w:type="dxa"/>
            <w:shd w:val="clear" w:color="auto" w:fill="C6EFCE"/>
            <w:noWrap/>
          </w:tcPr>
          <w:p w14:paraId="4C190BEA" w14:textId="4536191B" w:rsidR="006578ED" w:rsidRDefault="00A1618E">
            <w:pPr>
              <w:pStyle w:val="P68B1DB1-Normal13"/>
              <w:spacing w:after="0" w:line="240" w:lineRule="auto"/>
              <w:rPr>
                <w:rFonts w:eastAsia="Calibri" w:cs="Times New Roman"/>
                <w:noProof/>
              </w:rPr>
            </w:pPr>
            <w:r>
              <w:rPr>
                <w:noProof/>
              </w:rPr>
              <w:t>Jednolita europejska przestrzeń powietrzna: projekt, na który przyznano dofinansowanie, i postępy w realizacji projektów</w:t>
            </w:r>
          </w:p>
        </w:tc>
        <w:tc>
          <w:tcPr>
            <w:tcW w:w="1134" w:type="dxa"/>
            <w:shd w:val="clear" w:color="auto" w:fill="C6EFCE"/>
            <w:noWrap/>
          </w:tcPr>
          <w:p w14:paraId="0BE14808" w14:textId="77777777" w:rsidR="006578ED" w:rsidRDefault="00A1618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114A3362" w14:textId="77777777" w:rsidR="006578ED" w:rsidRDefault="00A1618E">
            <w:pPr>
              <w:pStyle w:val="P68B1DB1-Normal13"/>
              <w:spacing w:after="0" w:line="240" w:lineRule="auto"/>
              <w:jc w:val="center"/>
              <w:rPr>
                <w:rFonts w:eastAsia="Calibri" w:cs="Times New Roman"/>
                <w:noProof/>
              </w:rPr>
            </w:pPr>
            <w:r>
              <w:rPr>
                <w:noProof/>
              </w:rPr>
              <w:t xml:space="preserve">Liczba </w:t>
            </w:r>
          </w:p>
        </w:tc>
        <w:tc>
          <w:tcPr>
            <w:tcW w:w="567" w:type="dxa"/>
            <w:shd w:val="clear" w:color="auto" w:fill="C6EFCE"/>
            <w:noWrap/>
          </w:tcPr>
          <w:p w14:paraId="69777341" w14:textId="77777777" w:rsidR="006578ED" w:rsidRDefault="00A1618E">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41150DF2" w14:textId="77777777" w:rsidR="006578ED" w:rsidRDefault="00A1618E">
            <w:pPr>
              <w:pStyle w:val="P68B1DB1-Normal13"/>
              <w:spacing w:after="0" w:line="240" w:lineRule="auto"/>
              <w:jc w:val="right"/>
              <w:rPr>
                <w:rFonts w:eastAsia="Calibri" w:cs="Times New Roman"/>
                <w:noProof/>
              </w:rPr>
            </w:pPr>
            <w:r>
              <w:rPr>
                <w:noProof/>
              </w:rPr>
              <w:t>15</w:t>
            </w:r>
          </w:p>
        </w:tc>
        <w:tc>
          <w:tcPr>
            <w:tcW w:w="425" w:type="dxa"/>
            <w:shd w:val="clear" w:color="auto" w:fill="C6EFCE"/>
            <w:noWrap/>
          </w:tcPr>
          <w:p w14:paraId="41A11207" w14:textId="02C2006A"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3A98CC6F" w14:textId="77777777" w:rsidR="006578ED" w:rsidRDefault="00A1618E">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7E26515C" w14:textId="78E1C194" w:rsidR="006578ED" w:rsidRDefault="00A1618E">
            <w:pPr>
              <w:pStyle w:val="P68B1DB1-Normal13"/>
              <w:spacing w:after="0" w:line="240" w:lineRule="auto"/>
              <w:rPr>
                <w:rFonts w:eastAsia="Calibri" w:cs="Times New Roman"/>
                <w:noProof/>
              </w:rPr>
            </w:pPr>
            <w:r>
              <w:rPr>
                <w:noProof/>
              </w:rPr>
              <w:t>Łączna liczba ukończonych co najmniej 15 projektów (cel końcowy 20 projektów) w zakresie cyfryzacji i bezpieczeństwa na potrzeby rozwoju jednolitej europejskiej przestrzeni powietrznej z następującej listy kryteriów wyboru: Łączna liczba ukończonych co najmniej 15 projektów (cel końcowy 20 projektów) w zakresie cyfryzacji i bezpieczeństwa na potrzeby rozwoju jednolitej europejskiej przestrzeni powietrznej z następującej listy kryteriów wyboru:</w:t>
            </w:r>
            <w:r>
              <w:rPr>
                <w:noProof/>
              </w:rPr>
              <w:br/>
              <w:t>• Inwestycje bezpośrednie realizowane za pośrednictwem ENAIRE (kierownik żeglugi powietrznej w Hiszpanii) na rzecz rozwoju jednolitej europejskiej przestrzeni powietrznej, związane z modernizacją systemów kontroli ruchu lotniczego i systemów dozorowania, transformacją cyfrową systemów informacyjnych i rozwojem systemów łączności.</w:t>
            </w:r>
            <w:r>
              <w:rPr>
                <w:noProof/>
              </w:rPr>
              <w:br/>
              <w:t xml:space="preserve">• Cyfryzacja dokumentacji lotniczej (danych i mapowania) dostępnej dla użytkowników na potrzeby wykonywania lotów </w:t>
            </w:r>
            <w:r>
              <w:rPr>
                <w:noProof/>
              </w:rPr>
              <w:br/>
              <w:t xml:space="preserve">• Rozszerzenie zasięgu Ziemi/powietrza oraz digitalizacja głosu w komunikacji pilota-kontrolera. Poprawa zasięgu na niskim poziomie w niektórych obszarach przestrzeni powietrznej poprzez modernizację naziemnej infrastruktury łączności </w:t>
            </w:r>
            <w:r>
              <w:rPr>
                <w:noProof/>
              </w:rPr>
              <w:br/>
              <w:t xml:space="preserve">• Rozwój systemu łączności głosowej w ośrodkach kontroli ruchu lotniczego dzięki cyfryzacji i zaawansowanym technologiom, zapewniającym lepszą jakość, większe bezpieczeństwo, dostępność informacji i zwiększenie zdolności awaryjnych </w:t>
            </w:r>
            <w:r>
              <w:rPr>
                <w:noProof/>
              </w:rPr>
              <w:br/>
              <w:t xml:space="preserve">• Modernizacja technologiczna sieci radarów pierwotnych, poprawa wydajności i ukierunkowanie systemów na pełną cyfryzację radarów pierwotnych z wykorzystaniem wszystkich dostępnych osiągnięć technologicznych w celu zwiększenia wydajności operacyjnej </w:t>
            </w:r>
            <w:r>
              <w:rPr>
                <w:noProof/>
              </w:rPr>
              <w:br/>
              <w:t xml:space="preserve">• Rozwój systemów radarowych drugorzędnych w stosunku do technologii Modo S. dostarczających informacji do systemu kontroli ruchu lotniczego </w:t>
            </w:r>
            <w:r>
              <w:rPr>
                <w:noProof/>
              </w:rPr>
              <w:br/>
              <w:t xml:space="preserve">• Wymiana sprzętu różnych systemów ENAIRE </w:t>
            </w:r>
            <w:r>
              <w:rPr>
                <w:noProof/>
              </w:rPr>
              <w:br/>
              <w:t xml:space="preserve">• Opracowanie różnych aplikacji zarządczych i operacyjnych na potrzeby zarządzania ENAIRE </w:t>
            </w:r>
            <w:r>
              <w:rPr>
                <w:noProof/>
              </w:rPr>
              <w:br/>
              <w:t xml:space="preserve">• Modernizacja technologiczna systemów żeglugi morskiej poprzez priorytetowe traktowanie ich pełnej cyfryzacji oraz wdrożenie systemów monitorowania i rozwiązań w zakresie zdalnej kontroli </w:t>
            </w:r>
            <w:r>
              <w:rPr>
                <w:noProof/>
              </w:rPr>
              <w:br/>
              <w:t>• Stworzenie infrastruktury w celu wdrożenia nowych systemów kontroli ruchu lotniczego. Niezbędne do zapewnienia wdrożenia nowych koncepcji operacyjnych w Hiszpanii. Ponadto uwzględniono modernizację instalacji w celu zapewnienia odporności na awarie.</w:t>
            </w:r>
            <w:r>
              <w:rPr>
                <w:noProof/>
              </w:rPr>
              <w:br/>
              <w:t xml:space="preserve">• Cyfryzacja i automatyzacja technicznego zarządzania operacyjnego w celu usprawnienia narzędzi zdalnego monitorowania systemów w sposób zintegrowany </w:t>
            </w:r>
            <w:r>
              <w:rPr>
                <w:noProof/>
              </w:rPr>
              <w:br/>
              <w:t>• Modernizacja systemu kontroli ruchu lotniczego pod kątem zgodności z kryteriami regulacyjnymi, obejmująca ulepszenia w zakresie przepustowości, bezpieczeństwa, cyberbezpieczeństwa i cyfryzacji wynikające z jednolitej europejskiej przestrzeni powietrznej</w:t>
            </w:r>
          </w:p>
        </w:tc>
      </w:tr>
      <w:tr w:rsidR="006578ED" w14:paraId="28651AEB" w14:textId="77777777">
        <w:trPr>
          <w:trHeight w:val="309"/>
        </w:trPr>
        <w:tc>
          <w:tcPr>
            <w:tcW w:w="709" w:type="dxa"/>
            <w:shd w:val="clear" w:color="auto" w:fill="C6EFCE"/>
            <w:noWrap/>
          </w:tcPr>
          <w:p w14:paraId="7E57E621" w14:textId="77777777" w:rsidR="006578ED" w:rsidRDefault="00A1618E">
            <w:pPr>
              <w:pStyle w:val="P68B1DB1-Normal13"/>
              <w:spacing w:after="0" w:line="240" w:lineRule="auto"/>
              <w:jc w:val="center"/>
              <w:rPr>
                <w:rFonts w:eastAsia="Calibri" w:cs="Times New Roman"/>
                <w:noProof/>
              </w:rPr>
            </w:pPr>
            <w:r>
              <w:rPr>
                <w:noProof/>
              </w:rPr>
              <w:t>91</w:t>
            </w:r>
          </w:p>
        </w:tc>
        <w:tc>
          <w:tcPr>
            <w:tcW w:w="851" w:type="dxa"/>
            <w:shd w:val="clear" w:color="auto" w:fill="C6EFCE"/>
            <w:noWrap/>
          </w:tcPr>
          <w:p w14:paraId="31A8D38A" w14:textId="77777777" w:rsidR="006578ED" w:rsidRDefault="00A1618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7FE72E92" w14:textId="17238E3C" w:rsidR="006578ED" w:rsidRDefault="00AF6B91">
            <w:pPr>
              <w:pStyle w:val="P68B1DB1-Normal13"/>
              <w:spacing w:after="0" w:line="240" w:lineRule="auto"/>
              <w:jc w:val="center"/>
              <w:rPr>
                <w:rFonts w:eastAsia="Calibri" w:cs="Times New Roman"/>
                <w:noProof/>
              </w:rPr>
            </w:pPr>
            <w:r>
              <w:rPr>
                <w:noProof/>
              </w:rPr>
              <w:t>Kamień milowy</w:t>
            </w:r>
          </w:p>
        </w:tc>
        <w:tc>
          <w:tcPr>
            <w:tcW w:w="1560" w:type="dxa"/>
            <w:shd w:val="clear" w:color="auto" w:fill="C6EFCE"/>
            <w:noWrap/>
          </w:tcPr>
          <w:p w14:paraId="6DE5166A" w14:textId="61E70903" w:rsidR="006578ED" w:rsidRDefault="00A1618E">
            <w:pPr>
              <w:pStyle w:val="P68B1DB1-Normal13"/>
              <w:spacing w:after="0" w:line="240" w:lineRule="auto"/>
              <w:rPr>
                <w:rFonts w:eastAsia="Calibri" w:cs="Times New Roman"/>
                <w:noProof/>
              </w:rPr>
            </w:pPr>
            <w:r>
              <w:rPr>
                <w:noProof/>
              </w:rPr>
              <w:t>Cyfryzacja Ministerstwa Transportu, Mobilności i agendy miejskiej</w:t>
            </w:r>
          </w:p>
        </w:tc>
        <w:tc>
          <w:tcPr>
            <w:tcW w:w="1134" w:type="dxa"/>
            <w:shd w:val="clear" w:color="auto" w:fill="C6EFCE"/>
            <w:noWrap/>
          </w:tcPr>
          <w:p w14:paraId="7A8F370F" w14:textId="3BFDEA12" w:rsidR="006578ED" w:rsidRDefault="00A1618E">
            <w:pPr>
              <w:pStyle w:val="P68B1DB1-Normal13"/>
              <w:spacing w:after="0" w:line="240" w:lineRule="auto"/>
              <w:jc w:val="center"/>
              <w:rPr>
                <w:rFonts w:eastAsia="Calibri" w:cs="Times New Roman"/>
                <w:noProof/>
              </w:rPr>
            </w:pPr>
            <w:r>
              <w:rPr>
                <w:noProof/>
              </w:rPr>
              <w:t>Oficjalne powiadomienie o zakończeniu prac</w:t>
            </w:r>
          </w:p>
        </w:tc>
        <w:tc>
          <w:tcPr>
            <w:tcW w:w="850" w:type="dxa"/>
            <w:shd w:val="clear" w:color="auto" w:fill="C6EFCE"/>
            <w:noWrap/>
          </w:tcPr>
          <w:p w14:paraId="26105B5D" w14:textId="77777777" w:rsidR="006578ED" w:rsidRDefault="00A1618E">
            <w:pPr>
              <w:pStyle w:val="P68B1DB1-Normal13"/>
              <w:spacing w:after="0" w:line="240" w:lineRule="auto"/>
              <w:jc w:val="center"/>
              <w:rPr>
                <w:rFonts w:eastAsia="Calibri" w:cs="Times New Roman"/>
                <w:noProof/>
              </w:rPr>
            </w:pPr>
            <w:r>
              <w:rPr>
                <w:noProof/>
              </w:rPr>
              <w:t> </w:t>
            </w:r>
          </w:p>
        </w:tc>
        <w:tc>
          <w:tcPr>
            <w:tcW w:w="567" w:type="dxa"/>
            <w:shd w:val="clear" w:color="auto" w:fill="C6EFCE"/>
            <w:noWrap/>
          </w:tcPr>
          <w:p w14:paraId="15B3EB6E" w14:textId="77777777" w:rsidR="006578ED" w:rsidRDefault="00A1618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42CAE146" w14:textId="77777777" w:rsidR="006578ED" w:rsidRDefault="00A1618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6B987D97" w14:textId="16E237C7"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378F7546" w14:textId="77777777" w:rsidR="006578ED" w:rsidRDefault="00A1618E">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13ACFA3D" w14:textId="58859543" w:rsidR="006578ED" w:rsidRDefault="00A1618E">
            <w:pPr>
              <w:pStyle w:val="P68B1DB1-Normal13"/>
              <w:spacing w:after="0" w:line="240" w:lineRule="auto"/>
              <w:rPr>
                <w:rFonts w:eastAsia="Calibri" w:cs="Times New Roman"/>
                <w:noProof/>
              </w:rPr>
            </w:pPr>
            <w:r>
              <w:rPr>
                <w:noProof/>
              </w:rPr>
              <w:t>Zakończenie następujących projektów:</w:t>
            </w:r>
            <w:r>
              <w:rPr>
                <w:noProof/>
              </w:rPr>
              <w:br/>
              <w:t>• Budowanie modelowania informacji (BIM) uruchamianie platformy współpracy w zakresie zarządzania informacjami i modelami cyfrowymi.</w:t>
            </w:r>
            <w:r>
              <w:rPr>
                <w:noProof/>
              </w:rPr>
              <w:br/>
              <w:t>• Zwiększanie mobilności jako usługi, dostarczanie otwartych danych i wykorzystywanie nowych technologii do analizy i optymalizacji mobilności.</w:t>
            </w:r>
            <w:r>
              <w:rPr>
                <w:noProof/>
              </w:rPr>
              <w:br/>
              <w:t xml:space="preserve">• Wdrożenie systemu analizy, monitorowania, nadzoru, kontroli potrzeb, wdrażania usług oraz wdrażania i stosowania nowych technologii w transporcie lądowym. </w:t>
            </w:r>
            <w:r>
              <w:rPr>
                <w:noProof/>
              </w:rPr>
              <w:br/>
              <w:t>• Plan cyfryzacji Dyrekcji Generalnej ds. Dróg.</w:t>
            </w:r>
            <w:r>
              <w:rPr>
                <w:noProof/>
              </w:rPr>
              <w:br/>
              <w:t>• Rozwój nowych usług i poprawa zarządzania m.in. w dziedzinie informacji powietrznej, morskiej i geograficznej.</w:t>
            </w:r>
          </w:p>
        </w:tc>
      </w:tr>
      <w:tr w:rsidR="006578ED" w14:paraId="78FBFD04" w14:textId="77777777">
        <w:trPr>
          <w:trHeight w:val="309"/>
        </w:trPr>
        <w:tc>
          <w:tcPr>
            <w:tcW w:w="709" w:type="dxa"/>
            <w:shd w:val="clear" w:color="auto" w:fill="C6EFCE"/>
            <w:noWrap/>
          </w:tcPr>
          <w:p w14:paraId="54E323BA" w14:textId="77777777" w:rsidR="006578ED" w:rsidRDefault="00A1618E">
            <w:pPr>
              <w:pStyle w:val="P68B1DB1-Normal13"/>
              <w:spacing w:after="0" w:line="240" w:lineRule="auto"/>
              <w:jc w:val="center"/>
              <w:rPr>
                <w:rFonts w:eastAsia="Calibri" w:cs="Times New Roman"/>
                <w:noProof/>
              </w:rPr>
            </w:pPr>
            <w:r>
              <w:rPr>
                <w:noProof/>
              </w:rPr>
              <w:t>92</w:t>
            </w:r>
          </w:p>
        </w:tc>
        <w:tc>
          <w:tcPr>
            <w:tcW w:w="851" w:type="dxa"/>
            <w:shd w:val="clear" w:color="auto" w:fill="C6EFCE"/>
            <w:noWrap/>
          </w:tcPr>
          <w:p w14:paraId="28DF5B12" w14:textId="77777777" w:rsidR="006578ED" w:rsidRDefault="00A1618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1BE4F848" w14:textId="50C10235" w:rsidR="006578ED" w:rsidRDefault="00AF6B91">
            <w:pPr>
              <w:pStyle w:val="P68B1DB1-Normal13"/>
              <w:spacing w:after="0" w:line="240" w:lineRule="auto"/>
              <w:jc w:val="center"/>
              <w:rPr>
                <w:rFonts w:eastAsia="Calibri" w:cs="Times New Roman"/>
                <w:noProof/>
              </w:rPr>
            </w:pPr>
            <w:r>
              <w:rPr>
                <w:noProof/>
              </w:rPr>
              <w:t>Cel</w:t>
            </w:r>
          </w:p>
        </w:tc>
        <w:tc>
          <w:tcPr>
            <w:tcW w:w="1560" w:type="dxa"/>
            <w:shd w:val="clear" w:color="auto" w:fill="C6EFCE"/>
            <w:noWrap/>
          </w:tcPr>
          <w:p w14:paraId="1AA5D08D" w14:textId="44D6BC32" w:rsidR="006578ED" w:rsidRDefault="00A1618E">
            <w:pPr>
              <w:pStyle w:val="P68B1DB1-Normal13"/>
              <w:spacing w:after="0" w:line="240" w:lineRule="auto"/>
              <w:rPr>
                <w:rFonts w:eastAsia="Calibri" w:cs="Times New Roman"/>
                <w:noProof/>
              </w:rPr>
            </w:pPr>
            <w:r>
              <w:rPr>
                <w:noProof/>
              </w:rPr>
              <w:t>Nowa lub zmodernizowana sieć TEN-</w:t>
            </w:r>
            <w:r w:rsidR="00AF6B91">
              <w:rPr>
                <w:noProof/>
              </w:rPr>
              <w:t>Cel</w:t>
            </w:r>
            <w:r>
              <w:rPr>
                <w:noProof/>
              </w:rPr>
              <w:t xml:space="preserve">, inne roboty </w:t>
            </w:r>
          </w:p>
        </w:tc>
        <w:tc>
          <w:tcPr>
            <w:tcW w:w="1134" w:type="dxa"/>
            <w:shd w:val="clear" w:color="auto" w:fill="C6EFCE"/>
            <w:noWrap/>
          </w:tcPr>
          <w:p w14:paraId="09FA2A7E" w14:textId="77777777" w:rsidR="006578ED" w:rsidRDefault="00A1618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71E02098" w14:textId="77777777" w:rsidR="006578ED" w:rsidRDefault="00A1618E">
            <w:pPr>
              <w:pStyle w:val="P68B1DB1-Normal13"/>
              <w:spacing w:after="0" w:line="240" w:lineRule="auto"/>
              <w:jc w:val="center"/>
              <w:rPr>
                <w:rFonts w:eastAsia="Calibri" w:cs="Times New Roman"/>
                <w:noProof/>
              </w:rPr>
            </w:pPr>
            <w:r>
              <w:rPr>
                <w:noProof/>
              </w:rPr>
              <w:t xml:space="preserve">Liczba (km) </w:t>
            </w:r>
          </w:p>
        </w:tc>
        <w:tc>
          <w:tcPr>
            <w:tcW w:w="567" w:type="dxa"/>
            <w:shd w:val="clear" w:color="auto" w:fill="C6EFCE"/>
            <w:noWrap/>
          </w:tcPr>
          <w:p w14:paraId="083C8542" w14:textId="77777777" w:rsidR="006578ED" w:rsidRDefault="00A1618E">
            <w:pPr>
              <w:pStyle w:val="P68B1DB1-Normal13"/>
              <w:spacing w:after="0" w:line="240" w:lineRule="auto"/>
              <w:jc w:val="right"/>
              <w:rPr>
                <w:rFonts w:eastAsia="Calibri" w:cs="Times New Roman"/>
                <w:noProof/>
              </w:rPr>
            </w:pPr>
            <w:r>
              <w:rPr>
                <w:noProof/>
              </w:rPr>
              <w:t>347</w:t>
            </w:r>
          </w:p>
        </w:tc>
        <w:tc>
          <w:tcPr>
            <w:tcW w:w="567" w:type="dxa"/>
            <w:shd w:val="clear" w:color="auto" w:fill="C6EFCE"/>
            <w:noWrap/>
          </w:tcPr>
          <w:p w14:paraId="686A1351" w14:textId="77777777" w:rsidR="006578ED" w:rsidRDefault="00A1618E">
            <w:pPr>
              <w:pStyle w:val="P68B1DB1-Normal13"/>
              <w:spacing w:after="0" w:line="240" w:lineRule="auto"/>
              <w:jc w:val="right"/>
              <w:rPr>
                <w:rFonts w:eastAsia="Calibri" w:cs="Times New Roman"/>
                <w:noProof/>
              </w:rPr>
            </w:pPr>
            <w:r>
              <w:rPr>
                <w:noProof/>
              </w:rPr>
              <w:t>900</w:t>
            </w:r>
          </w:p>
        </w:tc>
        <w:tc>
          <w:tcPr>
            <w:tcW w:w="425" w:type="dxa"/>
            <w:shd w:val="clear" w:color="auto" w:fill="C6EFCE"/>
            <w:noWrap/>
          </w:tcPr>
          <w:p w14:paraId="5AF26E6F" w14:textId="4BDDBF63" w:rsidR="006578ED" w:rsidRDefault="00EC188C">
            <w:pPr>
              <w:pStyle w:val="P68B1DB1-Normal13"/>
              <w:spacing w:after="0" w:line="240" w:lineRule="auto"/>
              <w:jc w:val="center"/>
              <w:rPr>
                <w:rFonts w:eastAsia="Calibri" w:cs="Times New Roman"/>
                <w:noProof/>
              </w:rPr>
            </w:pPr>
            <w:r>
              <w:rPr>
                <w:noProof/>
              </w:rPr>
              <w:t>KW. 2</w:t>
            </w:r>
          </w:p>
        </w:tc>
        <w:tc>
          <w:tcPr>
            <w:tcW w:w="567" w:type="dxa"/>
            <w:shd w:val="clear" w:color="auto" w:fill="C6EFCE"/>
            <w:noWrap/>
          </w:tcPr>
          <w:p w14:paraId="7B84253B" w14:textId="77777777" w:rsidR="006578ED" w:rsidRDefault="00A1618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136DBF99" w14:textId="1F05DE97" w:rsidR="006578ED" w:rsidRDefault="00A1618E">
            <w:pPr>
              <w:pStyle w:val="P68B1DB1-Normal13"/>
              <w:spacing w:after="0" w:line="240" w:lineRule="auto"/>
              <w:rPr>
                <w:rFonts w:eastAsia="Calibri" w:cs="Times New Roman"/>
                <w:noProof/>
              </w:rPr>
            </w:pPr>
            <w:r>
              <w:rPr>
                <w:noProof/>
              </w:rPr>
              <w:t>Ukończenie co najmniej 900 kilometrów robót mających na celu zwiększenie interoperacyjności sieci kolejowej, głównie w odniesieniu do TEN-</w:t>
            </w:r>
            <w:r w:rsidR="00AF6B91">
              <w:rPr>
                <w:noProof/>
              </w:rPr>
              <w:t>Cel</w:t>
            </w:r>
            <w:r>
              <w:rPr>
                <w:noProof/>
              </w:rPr>
              <w:t xml:space="preserve"> wraz z robotami. Prace prowadzone są na obszarach określonych w kryteriach wyboru dotyczących przyznania projektu w czwartym kwartale 20</w:t>
            </w:r>
            <w:r w:rsidRPr="00A1618E">
              <w:rPr>
                <w:noProof/>
                <w:lang w:val="pl-PL"/>
              </w:rPr>
              <w:t>22 r.</w:t>
            </w:r>
            <w:r>
              <w:rPr>
                <w:noProof/>
              </w:rPr>
              <w:t xml:space="preserve"> </w:t>
            </w:r>
            <w:r w:rsidRPr="00A1618E">
              <w:rPr>
                <w:noProof/>
                <w:lang w:val="pl-PL"/>
              </w:rPr>
              <w:t>lit. a)</w:t>
            </w:r>
            <w:r>
              <w:rPr>
                <w:noProof/>
              </w:rPr>
              <w:t xml:space="preserve"> (kamień milowy 88). (podstawa: 31 grudnia 20</w:t>
            </w:r>
            <w:r w:rsidRPr="00A1618E">
              <w:rPr>
                <w:noProof/>
                <w:lang w:val="pl-PL"/>
              </w:rPr>
              <w:t>24 r.</w:t>
            </w:r>
            <w:r>
              <w:rPr>
                <w:noProof/>
              </w:rPr>
              <w:t>).</w:t>
            </w:r>
          </w:p>
        </w:tc>
      </w:tr>
      <w:tr w:rsidR="006578ED" w14:paraId="26C7BB39" w14:textId="77777777">
        <w:trPr>
          <w:trHeight w:val="309"/>
        </w:trPr>
        <w:tc>
          <w:tcPr>
            <w:tcW w:w="709" w:type="dxa"/>
            <w:shd w:val="clear" w:color="auto" w:fill="C6EFCE"/>
            <w:noWrap/>
          </w:tcPr>
          <w:p w14:paraId="52205903" w14:textId="77777777" w:rsidR="006578ED" w:rsidRDefault="00A1618E">
            <w:pPr>
              <w:pStyle w:val="P68B1DB1-Normal13"/>
              <w:spacing w:after="0" w:line="240" w:lineRule="auto"/>
              <w:jc w:val="center"/>
              <w:rPr>
                <w:rFonts w:eastAsia="Calibri" w:cs="Times New Roman"/>
                <w:noProof/>
              </w:rPr>
            </w:pPr>
            <w:r>
              <w:rPr>
                <w:noProof/>
              </w:rPr>
              <w:t>93</w:t>
            </w:r>
          </w:p>
        </w:tc>
        <w:tc>
          <w:tcPr>
            <w:tcW w:w="851" w:type="dxa"/>
            <w:shd w:val="clear" w:color="auto" w:fill="C6EFCE"/>
            <w:noWrap/>
          </w:tcPr>
          <w:p w14:paraId="4307AF87" w14:textId="77777777" w:rsidR="006578ED" w:rsidRDefault="00A1618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40406B83" w14:textId="3B9CD38A" w:rsidR="006578ED" w:rsidRDefault="00AF6B91">
            <w:pPr>
              <w:pStyle w:val="P68B1DB1-Normal13"/>
              <w:spacing w:after="0" w:line="240" w:lineRule="auto"/>
              <w:jc w:val="center"/>
              <w:rPr>
                <w:rFonts w:eastAsia="Calibri" w:cs="Times New Roman"/>
                <w:noProof/>
              </w:rPr>
            </w:pPr>
            <w:r>
              <w:rPr>
                <w:noProof/>
              </w:rPr>
              <w:t>Cel</w:t>
            </w:r>
          </w:p>
        </w:tc>
        <w:tc>
          <w:tcPr>
            <w:tcW w:w="1560" w:type="dxa"/>
            <w:shd w:val="clear" w:color="auto" w:fill="C6EFCE"/>
            <w:noWrap/>
          </w:tcPr>
          <w:p w14:paraId="45C2620C" w14:textId="77777777" w:rsidR="006578ED" w:rsidRDefault="00A1618E">
            <w:pPr>
              <w:pStyle w:val="P68B1DB1-Normal13"/>
              <w:spacing w:after="0" w:line="240" w:lineRule="auto"/>
              <w:rPr>
                <w:rFonts w:eastAsia="Calibri" w:cs="Times New Roman"/>
                <w:noProof/>
              </w:rPr>
            </w:pPr>
            <w:r>
              <w:rPr>
                <w:noProof/>
              </w:rPr>
              <w:t>Jednolita europejska przestrzeń powietrzna: zakończenie projektu</w:t>
            </w:r>
          </w:p>
        </w:tc>
        <w:tc>
          <w:tcPr>
            <w:tcW w:w="1134" w:type="dxa"/>
            <w:shd w:val="clear" w:color="auto" w:fill="C6EFCE"/>
            <w:noWrap/>
          </w:tcPr>
          <w:p w14:paraId="237AFA41" w14:textId="77777777" w:rsidR="006578ED" w:rsidRDefault="00A1618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1CB940D8" w14:textId="77777777" w:rsidR="006578ED" w:rsidRDefault="00A1618E">
            <w:pPr>
              <w:pStyle w:val="P68B1DB1-Normal13"/>
              <w:spacing w:after="0" w:line="240" w:lineRule="auto"/>
              <w:jc w:val="right"/>
              <w:rPr>
                <w:rFonts w:eastAsia="Calibri" w:cs="Times New Roman"/>
                <w:noProof/>
              </w:rPr>
            </w:pPr>
            <w:r>
              <w:rPr>
                <w:noProof/>
              </w:rPr>
              <w:t>Liczba</w:t>
            </w:r>
          </w:p>
        </w:tc>
        <w:tc>
          <w:tcPr>
            <w:tcW w:w="567" w:type="dxa"/>
            <w:shd w:val="clear" w:color="auto" w:fill="C6EFCE"/>
            <w:noWrap/>
          </w:tcPr>
          <w:p w14:paraId="46BB2669" w14:textId="77777777" w:rsidR="006578ED" w:rsidRDefault="00A1618E">
            <w:pPr>
              <w:pStyle w:val="P68B1DB1-Normal13"/>
              <w:spacing w:after="0" w:line="240" w:lineRule="auto"/>
              <w:jc w:val="right"/>
              <w:rPr>
                <w:rFonts w:eastAsia="Calibri" w:cs="Times New Roman"/>
                <w:noProof/>
              </w:rPr>
            </w:pPr>
            <w:r>
              <w:rPr>
                <w:noProof/>
              </w:rPr>
              <w:t>15</w:t>
            </w:r>
          </w:p>
        </w:tc>
        <w:tc>
          <w:tcPr>
            <w:tcW w:w="567" w:type="dxa"/>
            <w:shd w:val="clear" w:color="auto" w:fill="C6EFCE"/>
            <w:noWrap/>
          </w:tcPr>
          <w:p w14:paraId="74BC2F5A" w14:textId="77777777" w:rsidR="006578ED" w:rsidRDefault="00A1618E">
            <w:pPr>
              <w:pStyle w:val="P68B1DB1-Normal13"/>
              <w:spacing w:after="0" w:line="240" w:lineRule="auto"/>
              <w:jc w:val="right"/>
              <w:rPr>
                <w:rFonts w:eastAsia="Calibri" w:cs="Times New Roman"/>
                <w:noProof/>
              </w:rPr>
            </w:pPr>
            <w:r>
              <w:rPr>
                <w:noProof/>
              </w:rPr>
              <w:t>20</w:t>
            </w:r>
          </w:p>
        </w:tc>
        <w:tc>
          <w:tcPr>
            <w:tcW w:w="425" w:type="dxa"/>
            <w:shd w:val="clear" w:color="auto" w:fill="C6EFCE"/>
            <w:noWrap/>
          </w:tcPr>
          <w:p w14:paraId="1D92D728" w14:textId="56EDCA8B" w:rsidR="006578ED" w:rsidRDefault="00EC188C">
            <w:pPr>
              <w:pStyle w:val="P68B1DB1-Normal13"/>
              <w:spacing w:after="0" w:line="240" w:lineRule="auto"/>
              <w:jc w:val="center"/>
              <w:rPr>
                <w:rFonts w:eastAsia="Calibri" w:cs="Times New Roman"/>
                <w:noProof/>
              </w:rPr>
            </w:pPr>
            <w:r>
              <w:rPr>
                <w:noProof/>
              </w:rPr>
              <w:t>KW. 2</w:t>
            </w:r>
          </w:p>
        </w:tc>
        <w:tc>
          <w:tcPr>
            <w:tcW w:w="567" w:type="dxa"/>
            <w:shd w:val="clear" w:color="auto" w:fill="C6EFCE"/>
            <w:noWrap/>
          </w:tcPr>
          <w:p w14:paraId="7E23C7FD" w14:textId="77777777" w:rsidR="006578ED" w:rsidRDefault="00A1618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315DD83C" w14:textId="5FC2E620" w:rsidR="006578ED" w:rsidRDefault="00A1618E">
            <w:pPr>
              <w:pStyle w:val="P68B1DB1-Normal13"/>
              <w:spacing w:after="0" w:line="240" w:lineRule="auto"/>
              <w:rPr>
                <w:rFonts w:eastAsia="Calibri" w:cs="Times New Roman"/>
                <w:noProof/>
              </w:rPr>
            </w:pPr>
            <w:r>
              <w:rPr>
                <w:noProof/>
              </w:rPr>
              <w:t>Co najmniej 20 projektów ukończonych w dziedzinie cyfryzacji i bezpieczeństwa na potrzeby rozwoju jednolitej europejskiej przestrzeni powietrznej, przy czym projekty wybrane zgodnie z kryteriami wyboru (kamień milenijny 90) (podstawa: 31 grudnia 20</w:t>
            </w:r>
            <w:r w:rsidRPr="00A1618E">
              <w:rPr>
                <w:noProof/>
                <w:lang w:val="pl-PL"/>
              </w:rPr>
              <w:t>24 r.</w:t>
            </w:r>
            <w:r>
              <w:rPr>
                <w:noProof/>
              </w:rPr>
              <w:t>).</w:t>
            </w:r>
          </w:p>
        </w:tc>
      </w:tr>
      <w:tr w:rsidR="006578ED" w14:paraId="7AE80DCA" w14:textId="77777777">
        <w:trPr>
          <w:trHeight w:val="309"/>
        </w:trPr>
        <w:tc>
          <w:tcPr>
            <w:tcW w:w="709" w:type="dxa"/>
            <w:shd w:val="clear" w:color="auto" w:fill="C6EFCE"/>
            <w:noWrap/>
          </w:tcPr>
          <w:p w14:paraId="662CABB4" w14:textId="77777777" w:rsidR="006578ED" w:rsidRDefault="00A1618E">
            <w:pPr>
              <w:pStyle w:val="P68B1DB1-Normal13"/>
              <w:spacing w:after="0" w:line="240" w:lineRule="auto"/>
              <w:jc w:val="center"/>
              <w:rPr>
                <w:rFonts w:eastAsia="Calibri" w:cs="Times New Roman"/>
                <w:noProof/>
              </w:rPr>
            </w:pPr>
            <w:r>
              <w:rPr>
                <w:noProof/>
              </w:rPr>
              <w:t>94</w:t>
            </w:r>
          </w:p>
        </w:tc>
        <w:tc>
          <w:tcPr>
            <w:tcW w:w="851" w:type="dxa"/>
            <w:shd w:val="clear" w:color="auto" w:fill="C6EFCE"/>
            <w:noWrap/>
          </w:tcPr>
          <w:p w14:paraId="606FE42A" w14:textId="77777777" w:rsidR="006578ED" w:rsidRDefault="00A1618E">
            <w:pPr>
              <w:pStyle w:val="P68B1DB1-Normal13"/>
              <w:spacing w:after="0" w:line="240" w:lineRule="auto"/>
              <w:jc w:val="center"/>
              <w:rPr>
                <w:rFonts w:eastAsia="Calibri" w:cs="Times New Roman"/>
                <w:noProof/>
              </w:rPr>
            </w:pPr>
            <w:r>
              <w:rPr>
                <w:noProof/>
              </w:rPr>
              <w:t>C6.I2</w:t>
            </w:r>
          </w:p>
        </w:tc>
        <w:tc>
          <w:tcPr>
            <w:tcW w:w="850" w:type="dxa"/>
            <w:shd w:val="clear" w:color="auto" w:fill="C6EFCE"/>
            <w:noWrap/>
          </w:tcPr>
          <w:p w14:paraId="1F965BD1" w14:textId="0A7A3204" w:rsidR="006578ED" w:rsidRDefault="00AF6B91">
            <w:pPr>
              <w:pStyle w:val="P68B1DB1-Normal13"/>
              <w:spacing w:after="0" w:line="240" w:lineRule="auto"/>
              <w:jc w:val="center"/>
              <w:rPr>
                <w:rFonts w:eastAsia="Calibri" w:cs="Times New Roman"/>
                <w:noProof/>
              </w:rPr>
            </w:pPr>
            <w:r>
              <w:rPr>
                <w:noProof/>
              </w:rPr>
              <w:t>Kamień milowy</w:t>
            </w:r>
          </w:p>
        </w:tc>
        <w:tc>
          <w:tcPr>
            <w:tcW w:w="1560" w:type="dxa"/>
            <w:shd w:val="clear" w:color="auto" w:fill="C6EFCE"/>
            <w:noWrap/>
          </w:tcPr>
          <w:p w14:paraId="76D8F0EF" w14:textId="77777777" w:rsidR="006578ED" w:rsidRDefault="00A1618E">
            <w:pPr>
              <w:pStyle w:val="P68B1DB1-Normal13"/>
              <w:spacing w:after="0" w:line="240" w:lineRule="auto"/>
              <w:rPr>
                <w:rFonts w:eastAsia="Calibri" w:cs="Times New Roman"/>
                <w:noProof/>
              </w:rPr>
            </w:pPr>
            <w:r>
              <w:rPr>
                <w:noProof/>
              </w:rPr>
              <w:t xml:space="preserve">Sieć dróg państwowych dostosowana do obowiązujących przepisów </w:t>
            </w:r>
          </w:p>
        </w:tc>
        <w:tc>
          <w:tcPr>
            <w:tcW w:w="1134" w:type="dxa"/>
            <w:shd w:val="clear" w:color="auto" w:fill="C6EFCE"/>
            <w:noWrap/>
          </w:tcPr>
          <w:p w14:paraId="5ED31B6D" w14:textId="77777777" w:rsidR="006578ED" w:rsidRDefault="00A1618E">
            <w:pPr>
              <w:pStyle w:val="P68B1DB1-Normal13"/>
              <w:spacing w:after="0" w:line="240" w:lineRule="auto"/>
              <w:jc w:val="center"/>
              <w:rPr>
                <w:rFonts w:eastAsia="Calibri" w:cs="Times New Roman"/>
                <w:noProof/>
              </w:rPr>
            </w:pPr>
            <w:r>
              <w:rPr>
                <w:noProof/>
              </w:rPr>
              <w:t>Zakończenie projektu</w:t>
            </w:r>
          </w:p>
        </w:tc>
        <w:tc>
          <w:tcPr>
            <w:tcW w:w="850" w:type="dxa"/>
            <w:shd w:val="clear" w:color="auto" w:fill="C6EFCE"/>
            <w:noWrap/>
          </w:tcPr>
          <w:p w14:paraId="1AF05E09" w14:textId="77777777" w:rsidR="006578ED" w:rsidRDefault="00A1618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0C9381D1"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BF368CB" w14:textId="77777777" w:rsidR="006578ED" w:rsidRDefault="00A1618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0BC2A4FB" w14:textId="7CC5B07A" w:rsidR="006578ED" w:rsidRDefault="00EC188C">
            <w:pPr>
              <w:pStyle w:val="P68B1DB1-Normal13"/>
              <w:spacing w:after="0" w:line="240" w:lineRule="auto"/>
              <w:jc w:val="center"/>
              <w:rPr>
                <w:rFonts w:eastAsia="Calibri" w:cs="Times New Roman"/>
                <w:noProof/>
              </w:rPr>
            </w:pPr>
            <w:r>
              <w:rPr>
                <w:noProof/>
              </w:rPr>
              <w:t>KW. 2</w:t>
            </w:r>
          </w:p>
        </w:tc>
        <w:tc>
          <w:tcPr>
            <w:tcW w:w="567" w:type="dxa"/>
            <w:shd w:val="clear" w:color="auto" w:fill="C6EFCE"/>
            <w:noWrap/>
          </w:tcPr>
          <w:p w14:paraId="2C164734" w14:textId="77777777" w:rsidR="006578ED" w:rsidRDefault="00A1618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55CF59BF" w14:textId="34EF18B1" w:rsidR="006578ED" w:rsidRDefault="00A1618E">
            <w:pPr>
              <w:pStyle w:val="P68B1DB1-Normal13"/>
              <w:spacing w:after="0" w:line="240" w:lineRule="auto"/>
              <w:rPr>
                <w:rFonts w:eastAsia="Calibri" w:cs="Times New Roman"/>
                <w:noProof/>
              </w:rPr>
            </w:pPr>
            <w:r>
              <w:rPr>
                <w:noProof/>
              </w:rPr>
              <w:t>Zakończenie prac mających na celu zwiększenie bezpieczeństwa sieci dróg państwowych zgodnie z przepisami krajowymi i europejskimi dotyczy obszarów określonych w kryteriach wyboru dotyczących przyznania projektu w IV kwartale 20</w:t>
            </w:r>
            <w:r w:rsidRPr="00A1618E">
              <w:rPr>
                <w:noProof/>
                <w:lang w:val="pl-PL"/>
              </w:rPr>
              <w:t>22 r.</w:t>
            </w:r>
            <w:r>
              <w:rPr>
                <w:noProof/>
              </w:rPr>
              <w:t xml:space="preserve"> </w:t>
            </w:r>
            <w:r w:rsidRPr="00A1618E">
              <w:rPr>
                <w:noProof/>
                <w:lang w:val="pl-PL"/>
              </w:rPr>
              <w:t>lit. b)</w:t>
            </w:r>
            <w:r>
              <w:rPr>
                <w:noProof/>
              </w:rPr>
              <w:t xml:space="preserve"> (kamień milowy 88) i obejmuje prace w co najmniej 80 tunelach, prace mające na celu poprawę ogrodzeń i oznakowania w celu zmniejszenia prawdopodobieństwa wystąpienia dzikich zwierząt, realizację działań mających na celu poprawę warunków bezpieczeństwa najsłabszych użytkowników dróg, takich jak piesi i rowerzyści (walkwasy, ścieżki rowerowe), działania na rzecz ograniczenia hałasu, cyfryzacja (wdrażanie systemów monitorowania mostów, tuneli, stosowanie analizy dużych zbiorów danych i internetu rzeczy); cyfryzacja dróg na potrzeby monitorowania i utrzymania), wdrożenie inteligentnych systemów transportowych w samolotach autobusowych.</w:t>
            </w:r>
          </w:p>
        </w:tc>
      </w:tr>
      <w:tr w:rsidR="006578ED" w14:paraId="72C896A4" w14:textId="77777777">
        <w:trPr>
          <w:trHeight w:val="309"/>
        </w:trPr>
        <w:tc>
          <w:tcPr>
            <w:tcW w:w="709" w:type="dxa"/>
            <w:shd w:val="clear" w:color="auto" w:fill="C6EFCE"/>
            <w:noWrap/>
          </w:tcPr>
          <w:p w14:paraId="3A9150B4" w14:textId="77777777" w:rsidR="006578ED" w:rsidRDefault="00A1618E">
            <w:pPr>
              <w:pStyle w:val="P68B1DB1-Normal13"/>
              <w:spacing w:after="0" w:line="240" w:lineRule="auto"/>
              <w:jc w:val="center"/>
              <w:rPr>
                <w:rFonts w:eastAsia="Calibri" w:cs="Times New Roman"/>
                <w:noProof/>
              </w:rPr>
            </w:pPr>
            <w:r>
              <w:rPr>
                <w:noProof/>
              </w:rPr>
              <w:t>95</w:t>
            </w:r>
          </w:p>
        </w:tc>
        <w:tc>
          <w:tcPr>
            <w:tcW w:w="851" w:type="dxa"/>
            <w:shd w:val="clear" w:color="auto" w:fill="C6EFCE"/>
            <w:noWrap/>
          </w:tcPr>
          <w:p w14:paraId="5291B500" w14:textId="77777777" w:rsidR="006578ED" w:rsidRDefault="00A1618E">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7731F430" w14:textId="255C6ED4" w:rsidR="006578ED" w:rsidRDefault="00AF6B91">
            <w:pPr>
              <w:pStyle w:val="P68B1DB1-Normal13"/>
              <w:spacing w:after="0" w:line="240" w:lineRule="auto"/>
              <w:jc w:val="center"/>
              <w:rPr>
                <w:rFonts w:eastAsia="Calibri" w:cs="Times New Roman"/>
                <w:noProof/>
              </w:rPr>
            </w:pPr>
            <w:r>
              <w:rPr>
                <w:noProof/>
              </w:rPr>
              <w:t>Kamień milowy</w:t>
            </w:r>
          </w:p>
        </w:tc>
        <w:tc>
          <w:tcPr>
            <w:tcW w:w="1560" w:type="dxa"/>
            <w:shd w:val="clear" w:color="auto" w:fill="C6EFCE"/>
            <w:noWrap/>
          </w:tcPr>
          <w:p w14:paraId="678348CE" w14:textId="3D3355EF" w:rsidR="006578ED" w:rsidRDefault="00A1618E">
            <w:pPr>
              <w:pStyle w:val="P68B1DB1-Normal13"/>
              <w:spacing w:after="0" w:line="240" w:lineRule="auto"/>
              <w:rPr>
                <w:rFonts w:eastAsia="Calibri" w:cs="Times New Roman"/>
                <w:noProof/>
              </w:rPr>
            </w:pPr>
            <w:r>
              <w:rPr>
                <w:noProof/>
              </w:rPr>
              <w:t xml:space="preserve">Infrastruktura intermodalna i logistyczna: częściowe przyznanie budżetu </w:t>
            </w:r>
          </w:p>
        </w:tc>
        <w:tc>
          <w:tcPr>
            <w:tcW w:w="1134" w:type="dxa"/>
            <w:shd w:val="clear" w:color="auto" w:fill="C6EFCE"/>
            <w:noWrap/>
          </w:tcPr>
          <w:p w14:paraId="2F4859FA" w14:textId="72BB5936" w:rsidR="006578ED" w:rsidRDefault="00A1618E">
            <w:pPr>
              <w:pStyle w:val="P68B1DB1-Normal13"/>
              <w:spacing w:after="0" w:line="240" w:lineRule="auto"/>
              <w:jc w:val="center"/>
              <w:rPr>
                <w:rFonts w:eastAsia="Calibri" w:cs="Times New Roman"/>
                <w:noProof/>
              </w:rPr>
            </w:pPr>
            <w:r>
              <w:rPr>
                <w:noProof/>
              </w:rPr>
              <w:t>Oficjalne powiadomienie o przyznaniu projektu—</w:t>
            </w:r>
          </w:p>
        </w:tc>
        <w:tc>
          <w:tcPr>
            <w:tcW w:w="850" w:type="dxa"/>
            <w:shd w:val="clear" w:color="auto" w:fill="C6EFCE"/>
            <w:noWrap/>
          </w:tcPr>
          <w:p w14:paraId="7EE978CC" w14:textId="77777777" w:rsidR="006578ED" w:rsidRDefault="00A1618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5DD46645"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4B9B179D" w14:textId="77777777" w:rsidR="006578ED" w:rsidRDefault="00A1618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03B6F028" w14:textId="546C3D64"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72CB7BC4" w14:textId="77777777" w:rsidR="006578ED" w:rsidRDefault="00A1618E">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5E6C250E" w14:textId="6F32CB86" w:rsidR="006578ED" w:rsidRDefault="00A1618E">
            <w:pPr>
              <w:pStyle w:val="P68B1DB1-Normal13"/>
              <w:spacing w:after="0" w:line="240" w:lineRule="auto"/>
              <w:rPr>
                <w:rFonts w:eastAsia="Calibri" w:cs="Times New Roman"/>
                <w:noProof/>
              </w:rPr>
            </w:pPr>
            <w:r>
              <w:rPr>
                <w:noProof/>
              </w:rPr>
              <w:t>Łączny budżet przyznany w wysokości co najmniej 3 300 000 000 EUR (całkowity budżet docelowy w wysokości 974 000 000 EUR) na interwencje mające na celu poprawę infrastruktury intermodalnej i logistycznej</w:t>
            </w:r>
            <w:r>
              <w:rPr>
                <w:noProof/>
              </w:rPr>
              <w:br/>
              <w:t>Projekty są przyznawane zgodnie z następującymi kryteriami wyboru:</w:t>
            </w:r>
            <w:r>
              <w:rPr>
                <w:noProof/>
              </w:rPr>
              <w:br/>
              <w:t xml:space="preserve">a) rozwój i modernizacja dziewięciu strategicznych terminali intermodalnych i logistycznych (TILOS 217 000 000 EUR) w celu zintegrowania terminalu intermodalnego z obszarem logistycznym, w niektórych przypadkach oraz w celu pobudzenia przesunięcia międzygałęziowego transportu towarowego z transportu drogowego na kolejowy, we wszystkich przypadkach. Terminale i obiekty logistyczne to: </w:t>
            </w:r>
            <w:r>
              <w:rPr>
                <w:noProof/>
              </w:rPr>
              <w:br/>
              <w:t>• Vicálvaro w Madrycie;</w:t>
            </w:r>
            <w:r>
              <w:rPr>
                <w:noProof/>
              </w:rPr>
              <w:br/>
              <w:t xml:space="preserve">• La Llagosta w Barcelonie </w:t>
            </w:r>
            <w:r>
              <w:rPr>
                <w:noProof/>
              </w:rPr>
              <w:br/>
              <w:t xml:space="preserve">• San Luis w Walencji </w:t>
            </w:r>
            <w:r>
              <w:rPr>
                <w:noProof/>
              </w:rPr>
              <w:br/>
              <w:t>• Júndiz w Álavie.</w:t>
            </w:r>
            <w:r>
              <w:rPr>
                <w:noProof/>
              </w:rPr>
              <w:br/>
              <w:t xml:space="preserve">• Obiekt logistyczny Can Tunis (Barcelona) </w:t>
            </w:r>
            <w:r>
              <w:rPr>
                <w:noProof/>
              </w:rPr>
              <w:br/>
              <w:t xml:space="preserve">• Terminal Orduña (Bizkaia) </w:t>
            </w:r>
            <w:r>
              <w:rPr>
                <w:noProof/>
              </w:rPr>
              <w:br/>
              <w:t xml:space="preserve">• Obiekt logistyczny w Lezo (Gipuzkoa) </w:t>
            </w:r>
            <w:r>
              <w:rPr>
                <w:noProof/>
              </w:rPr>
              <w:br/>
              <w:t xml:space="preserve">• Muriedas (Santander) </w:t>
            </w:r>
            <w:r>
              <w:rPr>
                <w:noProof/>
              </w:rPr>
              <w:br/>
              <w:t xml:space="preserve">• Terminal Escombreras (Murcja) </w:t>
            </w:r>
            <w:r>
              <w:rPr>
                <w:noProof/>
              </w:rPr>
              <w:br/>
              <w:t xml:space="preserve">poprawa dostępu kolejowego do dwóch portów hiszpańskich (407 700 000 EUR) oraz dostępu drogowego do jednego portu (43 000 000 EUR), w tym: </w:t>
            </w:r>
            <w:r>
              <w:rPr>
                <w:noProof/>
              </w:rPr>
              <w:br/>
              <w:t xml:space="preserve">• Dostęp kolejowy do portu A Coruña </w:t>
            </w:r>
            <w:r>
              <w:rPr>
                <w:noProof/>
              </w:rPr>
              <w:br/>
              <w:t xml:space="preserve">• Dostęp kolejowy do portu w Castellón </w:t>
            </w:r>
            <w:r>
              <w:rPr>
                <w:noProof/>
              </w:rPr>
              <w:br/>
              <w:t xml:space="preserve">• Dostęp do portu w Algeciras </w:t>
            </w:r>
            <w:r>
              <w:rPr>
                <w:noProof/>
              </w:rPr>
              <w:br/>
              <w:t xml:space="preserve">• Budowa bocznic 750 m. </w:t>
            </w:r>
            <w:r>
              <w:rPr>
                <w:noProof/>
              </w:rPr>
              <w:br/>
              <w:t>poprawa dostępności (19 projektów) i trwałości (25 projektów) w portach (306 000 000 EUR), w tym:</w:t>
            </w:r>
            <w:r>
              <w:rPr>
                <w:noProof/>
              </w:rPr>
              <w:br/>
              <w:t>• Dostępność (176 000 000 EUR,): roboty związane z dostępem do kolei, w tym prace remontowe i modernizacyjne, a także nowy dostęp i poprawa ruchu wewnętrznego w portach poprzez dostosowanie infrastruktury, która kontynuuje swój zewnętrzny dostęp lądowy.</w:t>
            </w:r>
            <w:r>
              <w:rPr>
                <w:noProof/>
              </w:rPr>
              <w:br/>
              <w:t xml:space="preserve">• Zrównoważony rozwój: w tym odpowiedniość systemów zaopatrzenia w wodę i systemów sanitarnych; plany poprawy jakości powietrza; instalacja bardziej wydajnych sieci energetycznych; instalacje fotowoltaiczne; renowacja sieci oświetleniowych i instalacja technologii LED; systemy sterowania zużyciem energii; modernizacja systemów przetwarzania </w:t>
            </w:r>
            <w:r>
              <w:rPr>
                <w:noProof/>
              </w:rPr>
              <w:br/>
              <w:t>Celem działań jest wdrożenie obszaru 6 strategii na rzecz bezpiecznej, zrównoważonej i połączonej mobilności (R1) dotyczącej inteligentnych intermodalnych łańcuchów logistycznych.</w:t>
            </w:r>
            <w:r>
              <w:rPr>
                <w:noProof/>
              </w:rPr>
              <w:br/>
              <w:t>Kryteria wyboru zapewniają, aby z całkowitego budżetu docelowego wynoszącego 974 000 000 EUR co najmniej 584 000 000 EUR przyczyniało się do realizacji celów związanych ze zmianą klimatu przy zastosowaniu współczynnika klimatycznego wynoszącego 100 % i co najmniej 217 000 000 EUR przy współczynniku klimatycznym wynoszącym co najmniej 40 %, zgodnie z załącznikiem VI do rozporządzenia (UE) 2021/241 w sprawie Instrumentu na rzecz Odbudowy i Zwiększania Odporności.</w:t>
            </w:r>
          </w:p>
        </w:tc>
      </w:tr>
      <w:tr w:rsidR="006578ED" w14:paraId="205345C6" w14:textId="77777777">
        <w:trPr>
          <w:trHeight w:val="309"/>
        </w:trPr>
        <w:tc>
          <w:tcPr>
            <w:tcW w:w="709" w:type="dxa"/>
            <w:shd w:val="clear" w:color="auto" w:fill="C6EFCE"/>
            <w:noWrap/>
          </w:tcPr>
          <w:p w14:paraId="5E240B06" w14:textId="77777777" w:rsidR="006578ED" w:rsidRDefault="00A1618E">
            <w:pPr>
              <w:pStyle w:val="P68B1DB1-Normal13"/>
              <w:spacing w:after="0" w:line="240" w:lineRule="auto"/>
              <w:jc w:val="center"/>
              <w:rPr>
                <w:rFonts w:eastAsia="Calibri" w:cs="Times New Roman"/>
                <w:noProof/>
              </w:rPr>
            </w:pPr>
            <w:r>
              <w:rPr>
                <w:noProof/>
              </w:rPr>
              <w:t>96</w:t>
            </w:r>
          </w:p>
        </w:tc>
        <w:tc>
          <w:tcPr>
            <w:tcW w:w="851" w:type="dxa"/>
            <w:shd w:val="clear" w:color="auto" w:fill="C6EFCE"/>
            <w:noWrap/>
          </w:tcPr>
          <w:p w14:paraId="0423B15F" w14:textId="77777777" w:rsidR="006578ED" w:rsidRDefault="00A1618E">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2A206639" w14:textId="39E25DCF" w:rsidR="006578ED" w:rsidRDefault="00AF6B91">
            <w:pPr>
              <w:pStyle w:val="P68B1DB1-Normal13"/>
              <w:spacing w:after="0" w:line="240" w:lineRule="auto"/>
              <w:jc w:val="center"/>
              <w:rPr>
                <w:rFonts w:eastAsia="Calibri" w:cs="Times New Roman"/>
                <w:noProof/>
              </w:rPr>
            </w:pPr>
            <w:r>
              <w:rPr>
                <w:noProof/>
              </w:rPr>
              <w:t>Kamień milowy</w:t>
            </w:r>
          </w:p>
        </w:tc>
        <w:tc>
          <w:tcPr>
            <w:tcW w:w="1560" w:type="dxa"/>
            <w:shd w:val="clear" w:color="auto" w:fill="C6EFCE"/>
            <w:noWrap/>
          </w:tcPr>
          <w:p w14:paraId="3BA36AFE" w14:textId="13ABA968" w:rsidR="006578ED" w:rsidRDefault="00A1618E">
            <w:pPr>
              <w:pStyle w:val="P68B1DB1-Normal13"/>
              <w:spacing w:after="0" w:line="240" w:lineRule="auto"/>
              <w:rPr>
                <w:rFonts w:eastAsia="Calibri" w:cs="Times New Roman"/>
                <w:noProof/>
              </w:rPr>
            </w:pPr>
            <w:r>
              <w:rPr>
                <w:noProof/>
              </w:rPr>
              <w:t xml:space="preserve">Wykonanie budżetu infrastruktury intermodalnej i logistycznej </w:t>
            </w:r>
          </w:p>
        </w:tc>
        <w:tc>
          <w:tcPr>
            <w:tcW w:w="1134" w:type="dxa"/>
            <w:shd w:val="clear" w:color="auto" w:fill="C6EFCE"/>
            <w:noWrap/>
          </w:tcPr>
          <w:p w14:paraId="21530F9C" w14:textId="4785CE08" w:rsidR="006578ED" w:rsidRDefault="00A1618E">
            <w:pPr>
              <w:pStyle w:val="P68B1DB1-Normal13"/>
              <w:spacing w:after="0" w:line="240" w:lineRule="auto"/>
              <w:jc w:val="center"/>
              <w:rPr>
                <w:rFonts w:eastAsia="Calibri" w:cs="Times New Roman"/>
                <w:noProof/>
              </w:rPr>
            </w:pPr>
            <w:r>
              <w:rPr>
                <w:noProof/>
              </w:rPr>
              <w:t xml:space="preserve">Oficjalne powiadomienie o wykonaniu budżetu </w:t>
            </w:r>
          </w:p>
        </w:tc>
        <w:tc>
          <w:tcPr>
            <w:tcW w:w="850" w:type="dxa"/>
            <w:shd w:val="clear" w:color="auto" w:fill="C6EFCE"/>
            <w:noWrap/>
          </w:tcPr>
          <w:p w14:paraId="38BC71DC" w14:textId="77777777" w:rsidR="006578ED" w:rsidRDefault="00A1618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66978A9C"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4CD2E59C" w14:textId="77777777" w:rsidR="006578ED" w:rsidRDefault="00A1618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36174567" w14:textId="4CC1F1BB"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05689B90" w14:textId="77777777" w:rsidR="006578ED" w:rsidRDefault="00A1618E">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0816BCB3" w14:textId="451CABF9" w:rsidR="006578ED" w:rsidRDefault="00A1618E">
            <w:pPr>
              <w:pStyle w:val="P68B1DB1-Normal13"/>
              <w:spacing w:after="0" w:line="240" w:lineRule="auto"/>
              <w:rPr>
                <w:rFonts w:eastAsia="Calibri" w:cs="Times New Roman"/>
                <w:noProof/>
              </w:rPr>
            </w:pPr>
            <w:r>
              <w:rPr>
                <w:noProof/>
              </w:rPr>
              <w:t>Łączny budżet wykonany na co najmniej 590 000 000 EUR na struktury infrastruktury intermodalnej i logistycznej Roboty w obszarach określonych w kryteriach wyboru dotyczących przyznania projektu w czwartym kwartale 20</w:t>
            </w:r>
            <w:r w:rsidRPr="00A1618E">
              <w:rPr>
                <w:noProof/>
                <w:lang w:val="pl-PL"/>
              </w:rPr>
              <w:t>22 r.</w:t>
            </w:r>
            <w:r>
              <w:rPr>
                <w:noProof/>
              </w:rPr>
              <w:t xml:space="preserve">, </w:t>
            </w:r>
            <w:r w:rsidRPr="00A1618E">
              <w:rPr>
                <w:noProof/>
                <w:lang w:val="pl-PL"/>
              </w:rPr>
              <w:t>lit. a)</w:t>
            </w:r>
            <w:r>
              <w:rPr>
                <w:noProof/>
              </w:rPr>
              <w:t>, b) i c) (kamień 95)</w:t>
            </w:r>
          </w:p>
        </w:tc>
      </w:tr>
      <w:tr w:rsidR="006578ED" w14:paraId="48B359EC" w14:textId="77777777">
        <w:trPr>
          <w:trHeight w:val="309"/>
        </w:trPr>
        <w:tc>
          <w:tcPr>
            <w:tcW w:w="709" w:type="dxa"/>
            <w:shd w:val="clear" w:color="auto" w:fill="C6EFCE"/>
            <w:noWrap/>
          </w:tcPr>
          <w:p w14:paraId="5C30BB71" w14:textId="77777777" w:rsidR="006578ED" w:rsidRDefault="00A1618E">
            <w:pPr>
              <w:pStyle w:val="P68B1DB1-Normal13"/>
              <w:spacing w:after="0" w:line="240" w:lineRule="auto"/>
              <w:jc w:val="center"/>
              <w:rPr>
                <w:rFonts w:eastAsia="Calibri" w:cs="Times New Roman"/>
                <w:noProof/>
              </w:rPr>
            </w:pPr>
            <w:r>
              <w:rPr>
                <w:noProof/>
              </w:rPr>
              <w:t>97</w:t>
            </w:r>
          </w:p>
        </w:tc>
        <w:tc>
          <w:tcPr>
            <w:tcW w:w="851" w:type="dxa"/>
            <w:shd w:val="clear" w:color="auto" w:fill="C6EFCE"/>
            <w:noWrap/>
          </w:tcPr>
          <w:p w14:paraId="7C3AC971" w14:textId="77777777" w:rsidR="006578ED" w:rsidRDefault="00A1618E">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495C5B68" w14:textId="744C8004" w:rsidR="006578ED" w:rsidRDefault="00AF6B91">
            <w:pPr>
              <w:pStyle w:val="P68B1DB1-Normal13"/>
              <w:spacing w:after="0" w:line="240" w:lineRule="auto"/>
              <w:jc w:val="center"/>
              <w:rPr>
                <w:rFonts w:eastAsia="Calibri" w:cs="Times New Roman"/>
                <w:noProof/>
              </w:rPr>
            </w:pPr>
            <w:r>
              <w:rPr>
                <w:noProof/>
              </w:rPr>
              <w:t>Cel</w:t>
            </w:r>
          </w:p>
        </w:tc>
        <w:tc>
          <w:tcPr>
            <w:tcW w:w="1560" w:type="dxa"/>
            <w:shd w:val="clear" w:color="auto" w:fill="C6EFCE"/>
            <w:noWrap/>
          </w:tcPr>
          <w:p w14:paraId="7FE03AC2" w14:textId="4D9B2C9F" w:rsidR="006578ED" w:rsidRDefault="00A1618E">
            <w:pPr>
              <w:pStyle w:val="P68B1DB1-Normal13"/>
              <w:spacing w:after="0" w:line="240" w:lineRule="auto"/>
              <w:rPr>
                <w:rFonts w:eastAsia="Calibri" w:cs="Times New Roman"/>
                <w:noProof/>
              </w:rPr>
            </w:pPr>
            <w:r>
              <w:rPr>
                <w:noProof/>
              </w:rPr>
              <w:t xml:space="preserve">Infrastruktura intermodalna i logistyczna </w:t>
            </w:r>
          </w:p>
        </w:tc>
        <w:tc>
          <w:tcPr>
            <w:tcW w:w="1134" w:type="dxa"/>
            <w:shd w:val="clear" w:color="auto" w:fill="C6EFCE"/>
            <w:noWrap/>
          </w:tcPr>
          <w:p w14:paraId="3AD8BB85" w14:textId="77777777" w:rsidR="006578ED" w:rsidRDefault="00A1618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3B29AAD3" w14:textId="77777777" w:rsidR="006578ED" w:rsidRDefault="00A1618E">
            <w:pPr>
              <w:pStyle w:val="P68B1DB1-Normal13"/>
              <w:spacing w:after="0" w:line="240" w:lineRule="auto"/>
              <w:jc w:val="right"/>
              <w:rPr>
                <w:rFonts w:eastAsia="Calibri" w:cs="Times New Roman"/>
                <w:noProof/>
              </w:rPr>
            </w:pPr>
            <w:r>
              <w:rPr>
                <w:noProof/>
              </w:rPr>
              <w:t>Liczba</w:t>
            </w:r>
          </w:p>
        </w:tc>
        <w:tc>
          <w:tcPr>
            <w:tcW w:w="567" w:type="dxa"/>
            <w:shd w:val="clear" w:color="auto" w:fill="C6EFCE"/>
            <w:noWrap/>
          </w:tcPr>
          <w:p w14:paraId="290A9710" w14:textId="77777777" w:rsidR="006578ED" w:rsidRDefault="00A1618E">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48DF98D7" w14:textId="77777777" w:rsidR="006578ED" w:rsidRDefault="00A1618E">
            <w:pPr>
              <w:pStyle w:val="P68B1DB1-Normal13"/>
              <w:spacing w:after="0" w:line="240" w:lineRule="auto"/>
              <w:jc w:val="right"/>
              <w:rPr>
                <w:rFonts w:eastAsia="Calibri" w:cs="Times New Roman"/>
                <w:noProof/>
              </w:rPr>
            </w:pPr>
            <w:r>
              <w:rPr>
                <w:noProof/>
              </w:rPr>
              <w:t>12</w:t>
            </w:r>
          </w:p>
        </w:tc>
        <w:tc>
          <w:tcPr>
            <w:tcW w:w="425" w:type="dxa"/>
            <w:shd w:val="clear" w:color="auto" w:fill="C6EFCE"/>
            <w:noWrap/>
          </w:tcPr>
          <w:p w14:paraId="1081CEB9" w14:textId="4BC99FAE" w:rsidR="006578ED" w:rsidRDefault="00EC188C">
            <w:pPr>
              <w:pStyle w:val="P68B1DB1-Normal13"/>
              <w:spacing w:after="0" w:line="240" w:lineRule="auto"/>
              <w:jc w:val="center"/>
              <w:rPr>
                <w:rFonts w:eastAsia="Calibri" w:cs="Times New Roman"/>
                <w:noProof/>
              </w:rPr>
            </w:pPr>
            <w:r>
              <w:rPr>
                <w:noProof/>
              </w:rPr>
              <w:t>KW. 2</w:t>
            </w:r>
          </w:p>
        </w:tc>
        <w:tc>
          <w:tcPr>
            <w:tcW w:w="567" w:type="dxa"/>
            <w:shd w:val="clear" w:color="auto" w:fill="C6EFCE"/>
            <w:noWrap/>
          </w:tcPr>
          <w:p w14:paraId="03D54D94" w14:textId="77777777" w:rsidR="006578ED" w:rsidRDefault="00A1618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6DA6CB92" w14:textId="0EA0EC27" w:rsidR="006578ED" w:rsidRDefault="00A1618E">
            <w:pPr>
              <w:pStyle w:val="P68B1DB1-Normal13"/>
              <w:spacing w:after="0" w:line="240" w:lineRule="auto"/>
              <w:rPr>
                <w:rFonts w:eastAsia="Calibri" w:cs="Times New Roman"/>
                <w:noProof/>
              </w:rPr>
            </w:pPr>
            <w:r>
              <w:rPr>
                <w:noProof/>
              </w:rPr>
              <w:t>Zakończenie prac w dziewięciu strategicznych terminalach intermodalnych i logistycznych (Tilos) oraz w trzech portach dostęp do nowych lub zmodernizowanych portów w celu pobudzenia kolejowego transportu towarowego. Prace prowadzone są w obszarach określonych w kryteriach wyboru przyznania projektu w IV kwartale 20</w:t>
            </w:r>
            <w:r w:rsidRPr="00A1618E">
              <w:rPr>
                <w:noProof/>
                <w:lang w:val="pl-PL"/>
              </w:rPr>
              <w:t>22 r.</w:t>
            </w:r>
            <w:r>
              <w:rPr>
                <w:noProof/>
              </w:rPr>
              <w:t xml:space="preserve">, </w:t>
            </w:r>
            <w:r w:rsidRPr="00A1618E">
              <w:rPr>
                <w:noProof/>
                <w:lang w:val="pl-PL"/>
              </w:rPr>
              <w:t>lit. a)</w:t>
            </w:r>
            <w:r>
              <w:rPr>
                <w:noProof/>
              </w:rPr>
              <w:t xml:space="preserve"> i b) (kamień 95). </w:t>
            </w:r>
          </w:p>
        </w:tc>
      </w:tr>
      <w:tr w:rsidR="006578ED" w14:paraId="55E37360" w14:textId="77777777">
        <w:trPr>
          <w:trHeight w:val="309"/>
        </w:trPr>
        <w:tc>
          <w:tcPr>
            <w:tcW w:w="709" w:type="dxa"/>
            <w:shd w:val="clear" w:color="auto" w:fill="C6EFCE"/>
            <w:noWrap/>
          </w:tcPr>
          <w:p w14:paraId="1D3E6FDD" w14:textId="77777777" w:rsidR="006578ED" w:rsidRDefault="00A1618E">
            <w:pPr>
              <w:pStyle w:val="P68B1DB1-Normal13"/>
              <w:spacing w:after="0" w:line="240" w:lineRule="auto"/>
              <w:jc w:val="center"/>
              <w:rPr>
                <w:rFonts w:eastAsia="Calibri" w:cs="Times New Roman"/>
                <w:noProof/>
              </w:rPr>
            </w:pPr>
            <w:r>
              <w:rPr>
                <w:noProof/>
              </w:rPr>
              <w:t>98</w:t>
            </w:r>
          </w:p>
        </w:tc>
        <w:tc>
          <w:tcPr>
            <w:tcW w:w="851" w:type="dxa"/>
            <w:shd w:val="clear" w:color="auto" w:fill="C6EFCE"/>
            <w:noWrap/>
          </w:tcPr>
          <w:p w14:paraId="62B12274" w14:textId="77777777" w:rsidR="006578ED" w:rsidRDefault="00A1618E">
            <w:pPr>
              <w:pStyle w:val="P68B1DB1-Normal13"/>
              <w:spacing w:after="0" w:line="240" w:lineRule="auto"/>
              <w:jc w:val="center"/>
              <w:rPr>
                <w:rFonts w:eastAsia="Calibri" w:cs="Times New Roman"/>
                <w:noProof/>
              </w:rPr>
            </w:pPr>
            <w:r>
              <w:rPr>
                <w:noProof/>
              </w:rPr>
              <w:t>C6.I3</w:t>
            </w:r>
          </w:p>
        </w:tc>
        <w:tc>
          <w:tcPr>
            <w:tcW w:w="850" w:type="dxa"/>
            <w:shd w:val="clear" w:color="auto" w:fill="C6EFCE"/>
            <w:noWrap/>
          </w:tcPr>
          <w:p w14:paraId="6B68F24E" w14:textId="5C9A4CEB" w:rsidR="006578ED" w:rsidRDefault="00AF6B91">
            <w:pPr>
              <w:pStyle w:val="P68B1DB1-Normal13"/>
              <w:spacing w:after="0" w:line="240" w:lineRule="auto"/>
              <w:jc w:val="center"/>
              <w:rPr>
                <w:rFonts w:eastAsia="Calibri" w:cs="Times New Roman"/>
                <w:noProof/>
              </w:rPr>
            </w:pPr>
            <w:r>
              <w:rPr>
                <w:noProof/>
              </w:rPr>
              <w:t>Cel</w:t>
            </w:r>
          </w:p>
        </w:tc>
        <w:tc>
          <w:tcPr>
            <w:tcW w:w="1560" w:type="dxa"/>
            <w:shd w:val="clear" w:color="auto" w:fill="C6EFCE"/>
            <w:noWrap/>
          </w:tcPr>
          <w:p w14:paraId="2FEE4FFB" w14:textId="54B8E70C" w:rsidR="006578ED" w:rsidRDefault="00A1618E">
            <w:pPr>
              <w:pStyle w:val="P68B1DB1-Normal13"/>
              <w:spacing w:after="0" w:line="240" w:lineRule="auto"/>
              <w:rPr>
                <w:rFonts w:eastAsia="Calibri" w:cs="Times New Roman"/>
                <w:noProof/>
              </w:rPr>
            </w:pPr>
            <w:r>
              <w:rPr>
                <w:noProof/>
              </w:rPr>
              <w:t xml:space="preserve">Zakończenie projektów w zakresie dostępności kolei i projektów dotyczących trwałości portów </w:t>
            </w:r>
          </w:p>
        </w:tc>
        <w:tc>
          <w:tcPr>
            <w:tcW w:w="1134" w:type="dxa"/>
            <w:shd w:val="clear" w:color="auto" w:fill="C6EFCE"/>
            <w:noWrap/>
          </w:tcPr>
          <w:p w14:paraId="3AC2E41B" w14:textId="77777777" w:rsidR="006578ED" w:rsidRDefault="00A1618E">
            <w:pPr>
              <w:pStyle w:val="P68B1DB1-Normal13"/>
              <w:spacing w:after="0" w:line="240" w:lineRule="auto"/>
              <w:jc w:val="center"/>
              <w:rPr>
                <w:rFonts w:eastAsia="Calibri" w:cs="Times New Roman"/>
                <w:noProof/>
              </w:rPr>
            </w:pPr>
            <w:r>
              <w:rPr>
                <w:noProof/>
              </w:rPr>
              <w:t>—</w:t>
            </w:r>
          </w:p>
        </w:tc>
        <w:tc>
          <w:tcPr>
            <w:tcW w:w="850" w:type="dxa"/>
            <w:shd w:val="clear" w:color="auto" w:fill="C6EFCE"/>
            <w:noWrap/>
          </w:tcPr>
          <w:p w14:paraId="5E79806A" w14:textId="77777777" w:rsidR="006578ED" w:rsidRDefault="00A1618E">
            <w:pPr>
              <w:pStyle w:val="P68B1DB1-Normal13"/>
              <w:spacing w:after="0" w:line="240" w:lineRule="auto"/>
              <w:jc w:val="right"/>
              <w:rPr>
                <w:rFonts w:eastAsia="Calibri" w:cs="Times New Roman"/>
                <w:noProof/>
              </w:rPr>
            </w:pPr>
            <w:r>
              <w:rPr>
                <w:noProof/>
              </w:rPr>
              <w:t>Liczba</w:t>
            </w:r>
          </w:p>
        </w:tc>
        <w:tc>
          <w:tcPr>
            <w:tcW w:w="567" w:type="dxa"/>
            <w:shd w:val="clear" w:color="auto" w:fill="C6EFCE"/>
            <w:noWrap/>
          </w:tcPr>
          <w:p w14:paraId="40717F1A" w14:textId="77777777" w:rsidR="006578ED" w:rsidRDefault="00A1618E">
            <w:pPr>
              <w:pStyle w:val="P68B1DB1-Normal13"/>
              <w:spacing w:after="0" w:line="240" w:lineRule="auto"/>
              <w:jc w:val="right"/>
              <w:rPr>
                <w:rFonts w:eastAsia="Calibri" w:cs="Times New Roman"/>
                <w:noProof/>
              </w:rPr>
            </w:pPr>
            <w:r>
              <w:rPr>
                <w:noProof/>
              </w:rPr>
              <w:t>0</w:t>
            </w:r>
          </w:p>
        </w:tc>
        <w:tc>
          <w:tcPr>
            <w:tcW w:w="567" w:type="dxa"/>
            <w:shd w:val="clear" w:color="auto" w:fill="C6EFCE"/>
            <w:noWrap/>
          </w:tcPr>
          <w:p w14:paraId="270091A6" w14:textId="77777777" w:rsidR="006578ED" w:rsidRDefault="00A1618E">
            <w:pPr>
              <w:pStyle w:val="P68B1DB1-Normal13"/>
              <w:spacing w:after="0" w:line="240" w:lineRule="auto"/>
              <w:jc w:val="right"/>
              <w:rPr>
                <w:rFonts w:eastAsia="Calibri" w:cs="Times New Roman"/>
                <w:noProof/>
              </w:rPr>
            </w:pPr>
            <w:r>
              <w:rPr>
                <w:noProof/>
              </w:rPr>
              <w:t>44</w:t>
            </w:r>
          </w:p>
        </w:tc>
        <w:tc>
          <w:tcPr>
            <w:tcW w:w="425" w:type="dxa"/>
            <w:shd w:val="clear" w:color="auto" w:fill="C6EFCE"/>
            <w:noWrap/>
          </w:tcPr>
          <w:p w14:paraId="17B62A45" w14:textId="3C4851F0" w:rsidR="006578ED" w:rsidRDefault="00EC188C">
            <w:pPr>
              <w:pStyle w:val="P68B1DB1-Normal13"/>
              <w:spacing w:after="0" w:line="240" w:lineRule="auto"/>
              <w:jc w:val="center"/>
              <w:rPr>
                <w:rFonts w:eastAsia="Calibri" w:cs="Times New Roman"/>
                <w:noProof/>
              </w:rPr>
            </w:pPr>
            <w:r>
              <w:rPr>
                <w:noProof/>
              </w:rPr>
              <w:t>KW. 2</w:t>
            </w:r>
          </w:p>
        </w:tc>
        <w:tc>
          <w:tcPr>
            <w:tcW w:w="567" w:type="dxa"/>
            <w:shd w:val="clear" w:color="auto" w:fill="C6EFCE"/>
            <w:noWrap/>
          </w:tcPr>
          <w:p w14:paraId="56E4FF22" w14:textId="77777777" w:rsidR="006578ED" w:rsidRDefault="00A1618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6C922BF8" w14:textId="5BD1C9CB" w:rsidR="006578ED" w:rsidRDefault="00A1618E">
            <w:pPr>
              <w:pStyle w:val="P68B1DB1-Normal13"/>
              <w:spacing w:after="0" w:line="240" w:lineRule="auto"/>
              <w:rPr>
                <w:rFonts w:eastAsia="Calibri" w:cs="Times New Roman"/>
                <w:noProof/>
              </w:rPr>
            </w:pPr>
            <w:r>
              <w:rPr>
                <w:noProof/>
              </w:rPr>
              <w:t>Zakończenie 44 działań (19 + 25): co najmniej 19 projektów dotyczących dostępności kolei i realizacji projektów dotyczących zrównoważonego rozwoju w obrębie portów w różnych 25 organach portowych. Prace prowadzone są w obszarach określonych w kryteriach wyboru przyznania projektu w IV kwartale 20</w:t>
            </w:r>
            <w:r w:rsidRPr="00A1618E">
              <w:rPr>
                <w:noProof/>
                <w:lang w:val="pl-PL"/>
              </w:rPr>
              <w:t>22 r.</w:t>
            </w:r>
            <w:r>
              <w:rPr>
                <w:noProof/>
              </w:rPr>
              <w:t xml:space="preserve">, </w:t>
            </w:r>
            <w:r w:rsidRPr="00A1618E">
              <w:rPr>
                <w:noProof/>
                <w:lang w:val="pl-PL"/>
              </w:rPr>
              <w:t>lit. c)</w:t>
            </w:r>
            <w:r>
              <w:rPr>
                <w:noProof/>
              </w:rPr>
              <w:t xml:space="preserve"> (kamień 95). </w:t>
            </w:r>
          </w:p>
        </w:tc>
      </w:tr>
      <w:tr w:rsidR="006578ED" w14:paraId="52A0EDE1" w14:textId="77777777">
        <w:trPr>
          <w:trHeight w:val="309"/>
        </w:trPr>
        <w:tc>
          <w:tcPr>
            <w:tcW w:w="709" w:type="dxa"/>
            <w:shd w:val="clear" w:color="auto" w:fill="C6EFCE"/>
            <w:noWrap/>
          </w:tcPr>
          <w:p w14:paraId="4C1829E2" w14:textId="1BC823A7" w:rsidR="006578ED" w:rsidRDefault="00A1618E">
            <w:pPr>
              <w:pStyle w:val="P68B1DB1-Normal13"/>
              <w:spacing w:after="0" w:line="240" w:lineRule="auto"/>
              <w:jc w:val="center"/>
              <w:rPr>
                <w:rFonts w:eastAsia="Calibri" w:cs="Times New Roman"/>
                <w:noProof/>
              </w:rPr>
            </w:pPr>
            <w:r>
              <w:rPr>
                <w:noProof/>
              </w:rPr>
              <w:t>99</w:t>
            </w:r>
          </w:p>
        </w:tc>
        <w:tc>
          <w:tcPr>
            <w:tcW w:w="851" w:type="dxa"/>
            <w:shd w:val="clear" w:color="auto" w:fill="C6EFCE"/>
            <w:noWrap/>
          </w:tcPr>
          <w:p w14:paraId="3B30915B" w14:textId="77777777" w:rsidR="006578ED" w:rsidRDefault="00A1618E">
            <w:pPr>
              <w:pStyle w:val="P68B1DB1-Normal13"/>
              <w:spacing w:after="0" w:line="240" w:lineRule="auto"/>
              <w:jc w:val="center"/>
              <w:rPr>
                <w:rFonts w:eastAsia="Calibri" w:cs="Times New Roman"/>
                <w:noProof/>
              </w:rPr>
            </w:pPr>
            <w:r>
              <w:rPr>
                <w:noProof/>
              </w:rPr>
              <w:t>C6.I4</w:t>
            </w:r>
          </w:p>
        </w:tc>
        <w:tc>
          <w:tcPr>
            <w:tcW w:w="850" w:type="dxa"/>
            <w:shd w:val="clear" w:color="auto" w:fill="C6EFCE"/>
            <w:noWrap/>
          </w:tcPr>
          <w:p w14:paraId="6D421D03" w14:textId="6D94064F" w:rsidR="006578ED" w:rsidRDefault="00AF6B91">
            <w:pPr>
              <w:pStyle w:val="P68B1DB1-Normal13"/>
              <w:spacing w:after="0" w:line="240" w:lineRule="auto"/>
              <w:jc w:val="center"/>
              <w:rPr>
                <w:rFonts w:eastAsia="Calibri" w:cs="Times New Roman"/>
                <w:noProof/>
              </w:rPr>
            </w:pPr>
            <w:r>
              <w:rPr>
                <w:noProof/>
              </w:rPr>
              <w:t>Kamień milowy</w:t>
            </w:r>
          </w:p>
        </w:tc>
        <w:tc>
          <w:tcPr>
            <w:tcW w:w="1560" w:type="dxa"/>
            <w:shd w:val="clear" w:color="auto" w:fill="C6EFCE"/>
            <w:noWrap/>
          </w:tcPr>
          <w:p w14:paraId="7ACB2AAB" w14:textId="0CDA5B3A" w:rsidR="006578ED" w:rsidRDefault="00A1618E">
            <w:pPr>
              <w:pStyle w:val="P68B1DB1-Normal13"/>
              <w:spacing w:after="0" w:line="240" w:lineRule="auto"/>
              <w:rPr>
                <w:rFonts w:eastAsia="Calibri" w:cs="Times New Roman"/>
                <w:noProof/>
              </w:rPr>
            </w:pPr>
            <w:r>
              <w:rPr>
                <w:noProof/>
              </w:rPr>
              <w:t xml:space="preserve">Wsparcie programu na rzecz zrównoważonego i cyfrowego transportu. </w:t>
            </w:r>
          </w:p>
        </w:tc>
        <w:tc>
          <w:tcPr>
            <w:tcW w:w="1134" w:type="dxa"/>
            <w:shd w:val="clear" w:color="auto" w:fill="C6EFCE"/>
            <w:noWrap/>
          </w:tcPr>
          <w:p w14:paraId="0E045576" w14:textId="77777777" w:rsidR="006578ED" w:rsidRDefault="00A1618E">
            <w:pPr>
              <w:pStyle w:val="P68B1DB1-Normal13"/>
              <w:spacing w:after="0" w:line="240" w:lineRule="auto"/>
              <w:jc w:val="center"/>
              <w:rPr>
                <w:rFonts w:eastAsia="Calibri" w:cs="Times New Roman"/>
                <w:noProof/>
              </w:rPr>
            </w:pPr>
            <w:r>
              <w:rPr>
                <w:noProof/>
              </w:rPr>
              <w:t>Publikacja Dziennika Urzędowego</w:t>
            </w:r>
          </w:p>
        </w:tc>
        <w:tc>
          <w:tcPr>
            <w:tcW w:w="850" w:type="dxa"/>
            <w:shd w:val="clear" w:color="auto" w:fill="C6EFCE"/>
            <w:noWrap/>
          </w:tcPr>
          <w:p w14:paraId="6F8FFF11"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36B16C7"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597B45D8"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73216A16" w14:textId="6216C7B4"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4E312855" w14:textId="77777777" w:rsidR="006578ED" w:rsidRDefault="00A1618E">
            <w:pPr>
              <w:pStyle w:val="P68B1DB1-Normal13"/>
              <w:spacing w:after="0" w:line="240" w:lineRule="auto"/>
              <w:jc w:val="center"/>
              <w:rPr>
                <w:rFonts w:eastAsia="Calibri" w:cs="Times New Roman"/>
                <w:noProof/>
              </w:rPr>
            </w:pPr>
            <w:r>
              <w:rPr>
                <w:noProof/>
              </w:rPr>
              <w:t>2022</w:t>
            </w:r>
          </w:p>
        </w:tc>
        <w:tc>
          <w:tcPr>
            <w:tcW w:w="6066" w:type="dxa"/>
            <w:shd w:val="clear" w:color="auto" w:fill="C6EFCE"/>
            <w:noWrap/>
          </w:tcPr>
          <w:p w14:paraId="769F7FD6" w14:textId="2E0FF1F0" w:rsidR="006578ED" w:rsidRDefault="00A1618E">
            <w:pPr>
              <w:pStyle w:val="P68B1DB1-Normal13"/>
              <w:spacing w:after="0" w:line="240" w:lineRule="auto"/>
              <w:rPr>
                <w:rFonts w:eastAsia="Calibri" w:cs="Times New Roman"/>
                <w:noProof/>
              </w:rPr>
            </w:pPr>
            <w:r>
              <w:rPr>
                <w:noProof/>
              </w:rPr>
              <w:t xml:space="preserve">Publikacja w Dzienniku Urzędowym decyzji o przyznaniu 800 000 000 EUR w ramach programu na rzecz zrównoważonego i cyfrowego transportu. </w:t>
            </w:r>
            <w:r>
              <w:rPr>
                <w:noProof/>
              </w:rPr>
              <w:br/>
              <w:t>Projekty przyznaje się na następujące 15 działań.</w:t>
            </w:r>
            <w:r>
              <w:rPr>
                <w:noProof/>
              </w:rPr>
              <w:br/>
              <w:t xml:space="preserve">Kierunek działań 1. Interoperacyjność w kolejowym transporcie towarowym </w:t>
            </w:r>
            <w:r>
              <w:rPr>
                <w:noProof/>
              </w:rPr>
              <w:br/>
              <w:t xml:space="preserve">1. Pokładowe europejskie systemy zarządzania ruchem kolejowym (ERTMS) </w:t>
            </w:r>
            <w:r>
              <w:rPr>
                <w:noProof/>
              </w:rPr>
              <w:br/>
              <w:t>2. Działania usuwające bariery dla interoperacyjności kolei zgodnie z TSI.</w:t>
            </w:r>
            <w:r>
              <w:rPr>
                <w:noProof/>
              </w:rPr>
              <w:br/>
              <w:t xml:space="preserve">Systemy redukcji hałasu w taborze kolejowym </w:t>
            </w:r>
            <w:r>
              <w:rPr>
                <w:noProof/>
              </w:rPr>
              <w:br/>
              <w:t xml:space="preserve">Dostosowanie lokomotyw do różnych napięć roboczych </w:t>
            </w:r>
            <w:r>
              <w:rPr>
                <w:noProof/>
              </w:rPr>
              <w:br/>
              <w:t xml:space="preserve">Instalacja osi o zmiennej skrajni na wagonach towarowych </w:t>
            </w:r>
            <w:r>
              <w:rPr>
                <w:noProof/>
              </w:rPr>
              <w:br/>
              <w:t>3. Innowacje i rozwój osi zmiennej szerokości toru w lokomotywach.</w:t>
            </w:r>
            <w:r>
              <w:rPr>
                <w:noProof/>
              </w:rPr>
              <w:br/>
              <w:t xml:space="preserve">Kierunek działań 2. Promowanie intermodalności transportu 4. Budowa, dostosowanie lub modernizacja ładunków i intermodalnych terminali kolejowo-drogowych oraz ich połączeń lądowych </w:t>
            </w:r>
            <w:r>
              <w:rPr>
                <w:noProof/>
              </w:rPr>
              <w:br/>
              <w:t xml:space="preserve">5. Wsparcie dla zrównoważonego transportu towarowego (kolejowego i morskiego) w oparciu o ECO-INCENTIVES w odniesieniu do podaży i popytu </w:t>
            </w:r>
            <w:r>
              <w:rPr>
                <w:noProof/>
              </w:rPr>
              <w:br/>
              <w:t xml:space="preserve">Kierunek działań 3. Modernizacja wyposażenia kolejowego transportu towarowego </w:t>
            </w:r>
            <w:r>
              <w:rPr>
                <w:noProof/>
              </w:rPr>
              <w:br/>
              <w:t>6. Działania wspierające przebudowę lub modernizację wagonów towarowych przeznaczonych do kolejowego transportu towarowego, w tym świadczenie usług autostradowych.</w:t>
            </w:r>
            <w:r>
              <w:rPr>
                <w:noProof/>
              </w:rPr>
              <w:br/>
              <w:t xml:space="preserve">7. Działania wspierające modernizację lub dostosowanie wyposażenia ciągników kolejowych do innych materiałów wykorzystujących paliwa alternatywne (wodór lub energia elektryczna). </w:t>
            </w:r>
            <w:r>
              <w:rPr>
                <w:noProof/>
              </w:rPr>
              <w:br/>
              <w:t xml:space="preserve">Kierunek działań 4. Bezpieczny, zrównoważony i połączony transport drogowy </w:t>
            </w:r>
            <w:r>
              <w:rPr>
                <w:noProof/>
              </w:rPr>
              <w:br/>
              <w:t xml:space="preserve">8. Budowa i modernizacja bezpiecznych parkingów dla pojazdów użytkowych oraz świadczenie usług informacyjnych (rozporządzenie delegowane (UE) </w:t>
            </w:r>
            <w:r w:rsidRPr="00A1618E">
              <w:rPr>
                <w:noProof/>
                <w:lang w:val="pl-PL"/>
              </w:rPr>
              <w:t>nr 8</w:t>
            </w:r>
            <w:r>
              <w:rPr>
                <w:noProof/>
              </w:rPr>
              <w:t>85/2013).</w:t>
            </w:r>
            <w:r>
              <w:rPr>
                <w:noProof/>
              </w:rPr>
              <w:br/>
              <w:t>9. Inteligentne usługi transportowe dla sektora drogowego (ITS) w ramach koncesji na autostrady płatne oraz inne usługi w zakresie bezpieczeństwa i ochrony dróg.</w:t>
            </w:r>
            <w:r>
              <w:rPr>
                <w:noProof/>
              </w:rPr>
              <w:br/>
              <w:t xml:space="preserve">10. Działania wspierające rozwój infrastruktury tankowania paliw alternatywnych dla pojazdów ciężkich w sieci drogowej </w:t>
            </w:r>
            <w:r>
              <w:rPr>
                <w:noProof/>
              </w:rPr>
              <w:br/>
              <w:t xml:space="preserve">11. Działania wspierające modernizację lub dostosowanie środków i maszyn w celu osiągnięcia zrównoważonej nawierzchni: zmniejszenie śladu węglowego i reduktorów dźwięku </w:t>
            </w:r>
            <w:r>
              <w:rPr>
                <w:noProof/>
              </w:rPr>
              <w:br/>
              <w:t xml:space="preserve">Kierunek działań 5. Zrównoważony charakter transportu morskiego i lotniczego </w:t>
            </w:r>
            <w:r>
              <w:rPr>
                <w:noProof/>
              </w:rPr>
              <w:br/>
              <w:t>12. Wsparcie na rzecz wprowadzania paliw alternatywnych w portach i portach lotniczych.</w:t>
            </w:r>
            <w:r>
              <w:rPr>
                <w:noProof/>
              </w:rPr>
              <w:br/>
              <w:t>13. Wsparcie na rzecz upowszechnienia napędowych alternatywnych technologii energetycznych w sektorze morskim.</w:t>
            </w:r>
            <w:r>
              <w:rPr>
                <w:noProof/>
              </w:rPr>
              <w:br/>
              <w:t xml:space="preserve">Kierunek działań 6. Cyfryzacja transportu </w:t>
            </w:r>
            <w:r>
              <w:rPr>
                <w:noProof/>
              </w:rPr>
              <w:br/>
              <w:t>14. Projekty dotyczące cyfryzacji usług transportu pasażerskiego i towarowego na szczeblu krajowym.</w:t>
            </w:r>
            <w:r>
              <w:rPr>
                <w:noProof/>
              </w:rPr>
              <w:br/>
              <w:t xml:space="preserve">Przekazanie do wspólnot autonomicznych </w:t>
            </w:r>
            <w:r>
              <w:rPr>
                <w:noProof/>
              </w:rPr>
              <w:br/>
              <w:t>15. Projekty na rzecz cyfryzacji usług transportu pasażerskiego i towarowego na szczeblu regionalnym i lokalnym.</w:t>
            </w:r>
            <w:r>
              <w:rPr>
                <w:noProof/>
              </w:rPr>
              <w:br/>
              <w:t>W przypadku działań 10 i 12 kryteria wyboru muszą być zgodne z wytycznymi technicznymi dotyczącymi zasady „nie czyń poważnych szkód” (2021/C58/01), zapewniając, aby infrastruktura była aktywowana w momencie budowy na potrzeby transportu gazów odnawialnych i niskoemisyjnych.</w:t>
            </w:r>
            <w:r>
              <w:rPr>
                <w:noProof/>
              </w:rPr>
              <w:br/>
              <w:t>Kryteria wyboru zapewniają, aby co najmniej 63 500 000 EUR przyczyniało się do realizacji celów związanych ze zmianą klimatu przy zastosowaniu współczynnika klimatycznego wynoszącego 100 % i co najmniej 210 000 000 EUR ze współczynnikiem klimatycznym wynoszącym co najmniej 40 %, zgodnie z załącznikiem VI do rozporządzenia (UE) 2021/241 w sprawie Instrumentu na rzecz Odbudowy i Zwiększania Odporności.</w:t>
            </w:r>
          </w:p>
        </w:tc>
      </w:tr>
      <w:tr w:rsidR="006578ED" w14:paraId="19F42941" w14:textId="77777777">
        <w:trPr>
          <w:trHeight w:val="309"/>
        </w:trPr>
        <w:tc>
          <w:tcPr>
            <w:tcW w:w="709" w:type="dxa"/>
            <w:shd w:val="clear" w:color="auto" w:fill="C6EFCE"/>
            <w:noWrap/>
          </w:tcPr>
          <w:p w14:paraId="7863B65F" w14:textId="77777777" w:rsidR="006578ED" w:rsidRDefault="00A1618E">
            <w:pPr>
              <w:pStyle w:val="P68B1DB1-Normal13"/>
              <w:spacing w:after="0" w:line="240" w:lineRule="auto"/>
              <w:jc w:val="center"/>
              <w:rPr>
                <w:rFonts w:eastAsia="Calibri" w:cs="Times New Roman"/>
                <w:noProof/>
              </w:rPr>
            </w:pPr>
            <w:r>
              <w:rPr>
                <w:noProof/>
              </w:rPr>
              <w:t>100</w:t>
            </w:r>
          </w:p>
        </w:tc>
        <w:tc>
          <w:tcPr>
            <w:tcW w:w="851" w:type="dxa"/>
            <w:shd w:val="clear" w:color="auto" w:fill="C6EFCE"/>
            <w:noWrap/>
          </w:tcPr>
          <w:p w14:paraId="17F5D837" w14:textId="77777777" w:rsidR="006578ED" w:rsidRDefault="00A1618E">
            <w:pPr>
              <w:pStyle w:val="P68B1DB1-Normal13"/>
              <w:spacing w:after="0" w:line="240" w:lineRule="auto"/>
              <w:jc w:val="center"/>
              <w:rPr>
                <w:rFonts w:eastAsia="Calibri" w:cs="Times New Roman"/>
                <w:noProof/>
              </w:rPr>
            </w:pPr>
            <w:r>
              <w:rPr>
                <w:noProof/>
              </w:rPr>
              <w:t>C6.I4</w:t>
            </w:r>
          </w:p>
        </w:tc>
        <w:tc>
          <w:tcPr>
            <w:tcW w:w="850" w:type="dxa"/>
            <w:shd w:val="clear" w:color="auto" w:fill="C6EFCE"/>
            <w:noWrap/>
          </w:tcPr>
          <w:p w14:paraId="17EBD725" w14:textId="6B024D4E" w:rsidR="006578ED" w:rsidRDefault="00AF6B91">
            <w:pPr>
              <w:pStyle w:val="P68B1DB1-Normal13"/>
              <w:spacing w:after="0" w:line="240" w:lineRule="auto"/>
              <w:jc w:val="center"/>
              <w:rPr>
                <w:rFonts w:eastAsia="Calibri" w:cs="Times New Roman"/>
                <w:noProof/>
              </w:rPr>
            </w:pPr>
            <w:r>
              <w:rPr>
                <w:noProof/>
              </w:rPr>
              <w:t>Kamień milowy</w:t>
            </w:r>
          </w:p>
        </w:tc>
        <w:tc>
          <w:tcPr>
            <w:tcW w:w="1560" w:type="dxa"/>
            <w:shd w:val="clear" w:color="auto" w:fill="C6EFCE"/>
            <w:noWrap/>
          </w:tcPr>
          <w:p w14:paraId="6BF83F4C" w14:textId="163B7C90" w:rsidR="006578ED" w:rsidRDefault="00A1618E">
            <w:pPr>
              <w:pStyle w:val="P68B1DB1-Normal13"/>
              <w:spacing w:after="0" w:line="240" w:lineRule="auto"/>
              <w:rPr>
                <w:rFonts w:eastAsia="Calibri" w:cs="Times New Roman"/>
                <w:noProof/>
              </w:rPr>
            </w:pPr>
            <w:r>
              <w:rPr>
                <w:noProof/>
              </w:rPr>
              <w:t>Zrównoważony i cyfrowy transport: rozpoczęcie prac</w:t>
            </w:r>
          </w:p>
        </w:tc>
        <w:tc>
          <w:tcPr>
            <w:tcW w:w="1134" w:type="dxa"/>
            <w:shd w:val="clear" w:color="auto" w:fill="C6EFCE"/>
            <w:noWrap/>
          </w:tcPr>
          <w:p w14:paraId="24CF6479" w14:textId="5E3B941A" w:rsidR="006578ED" w:rsidRDefault="00A1618E">
            <w:pPr>
              <w:pStyle w:val="P68B1DB1-Normal13"/>
              <w:spacing w:after="0" w:line="240" w:lineRule="auto"/>
              <w:jc w:val="center"/>
              <w:rPr>
                <w:rFonts w:eastAsia="Calibri" w:cs="Times New Roman"/>
                <w:noProof/>
              </w:rPr>
            </w:pPr>
            <w:r>
              <w:rPr>
                <w:noProof/>
              </w:rPr>
              <w:t xml:space="preserve">Oficjalne powiadomienie o rozpoczęciu prac </w:t>
            </w:r>
          </w:p>
        </w:tc>
        <w:tc>
          <w:tcPr>
            <w:tcW w:w="850" w:type="dxa"/>
            <w:shd w:val="clear" w:color="auto" w:fill="C6EFCE"/>
            <w:noWrap/>
          </w:tcPr>
          <w:p w14:paraId="582CCBB7"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7737F961"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339FCE4D"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425" w:type="dxa"/>
            <w:shd w:val="clear" w:color="auto" w:fill="C6EFCE"/>
            <w:noWrap/>
          </w:tcPr>
          <w:p w14:paraId="65FAD227" w14:textId="34C87443"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66D14CBD" w14:textId="77777777" w:rsidR="006578ED" w:rsidRDefault="00A1618E">
            <w:pPr>
              <w:pStyle w:val="P68B1DB1-Normal13"/>
              <w:spacing w:after="0" w:line="240" w:lineRule="auto"/>
              <w:jc w:val="center"/>
              <w:rPr>
                <w:rFonts w:eastAsia="Calibri" w:cs="Times New Roman"/>
                <w:noProof/>
              </w:rPr>
            </w:pPr>
            <w:r>
              <w:rPr>
                <w:noProof/>
              </w:rPr>
              <w:t>2024</w:t>
            </w:r>
          </w:p>
        </w:tc>
        <w:tc>
          <w:tcPr>
            <w:tcW w:w="6066" w:type="dxa"/>
            <w:shd w:val="clear" w:color="auto" w:fill="C6EFCE"/>
            <w:noWrap/>
          </w:tcPr>
          <w:p w14:paraId="05C5E7B3" w14:textId="3FCC3B5B" w:rsidR="006578ED" w:rsidRDefault="00A1618E">
            <w:pPr>
              <w:pStyle w:val="P68B1DB1-Normal13"/>
              <w:spacing w:after="0" w:line="240" w:lineRule="auto"/>
              <w:rPr>
                <w:rFonts w:eastAsia="Calibri" w:cs="Times New Roman"/>
                <w:noProof/>
              </w:rPr>
            </w:pPr>
            <w:r>
              <w:rPr>
                <w:noProof/>
              </w:rPr>
              <w:t>Rozpoczęcie prac w ramach wszystkich projektów przyznanych w IV kwartale 20</w:t>
            </w:r>
            <w:r w:rsidRPr="00A1618E">
              <w:rPr>
                <w:noProof/>
                <w:lang w:val="pl-PL"/>
              </w:rPr>
              <w:t>22 r.</w:t>
            </w:r>
            <w:r>
              <w:rPr>
                <w:noProof/>
              </w:rPr>
              <w:t xml:space="preserve"> (kamień milowy 99) w celu promowania zrównoważonego i cyfrowego transportu. Prace prowadzone są na obszarach określonych w kryteriach wyboru przyznania projektu w IV kwartale 20</w:t>
            </w:r>
            <w:r w:rsidRPr="00A1618E">
              <w:rPr>
                <w:noProof/>
                <w:lang w:val="pl-PL"/>
              </w:rPr>
              <w:t>22 r.</w:t>
            </w:r>
            <w:r>
              <w:rPr>
                <w:noProof/>
              </w:rPr>
              <w:t xml:space="preserve"> (kamień milowy 99).</w:t>
            </w:r>
          </w:p>
        </w:tc>
      </w:tr>
      <w:tr w:rsidR="006578ED" w14:paraId="6668EE6D" w14:textId="77777777">
        <w:trPr>
          <w:trHeight w:val="309"/>
        </w:trPr>
        <w:tc>
          <w:tcPr>
            <w:tcW w:w="709" w:type="dxa"/>
            <w:shd w:val="clear" w:color="auto" w:fill="C6EFCE"/>
            <w:noWrap/>
          </w:tcPr>
          <w:p w14:paraId="6666C624" w14:textId="77777777" w:rsidR="006578ED" w:rsidRDefault="00A1618E">
            <w:pPr>
              <w:pStyle w:val="P68B1DB1-Normal13"/>
              <w:spacing w:after="0" w:line="240" w:lineRule="auto"/>
              <w:jc w:val="center"/>
              <w:rPr>
                <w:rFonts w:eastAsia="Calibri" w:cs="Times New Roman"/>
                <w:noProof/>
              </w:rPr>
            </w:pPr>
            <w:r>
              <w:rPr>
                <w:noProof/>
              </w:rPr>
              <w:t>101</w:t>
            </w:r>
          </w:p>
        </w:tc>
        <w:tc>
          <w:tcPr>
            <w:tcW w:w="851" w:type="dxa"/>
            <w:shd w:val="clear" w:color="auto" w:fill="C6EFCE"/>
            <w:noWrap/>
          </w:tcPr>
          <w:p w14:paraId="57632699" w14:textId="77777777" w:rsidR="006578ED" w:rsidRDefault="00A1618E">
            <w:pPr>
              <w:pStyle w:val="P68B1DB1-Normal13"/>
              <w:spacing w:after="0" w:line="240" w:lineRule="auto"/>
              <w:jc w:val="center"/>
              <w:rPr>
                <w:rFonts w:eastAsia="Calibri" w:cs="Times New Roman"/>
                <w:noProof/>
              </w:rPr>
            </w:pPr>
            <w:r>
              <w:rPr>
                <w:noProof/>
              </w:rPr>
              <w:t>C6.I4</w:t>
            </w:r>
          </w:p>
        </w:tc>
        <w:tc>
          <w:tcPr>
            <w:tcW w:w="850" w:type="dxa"/>
            <w:shd w:val="clear" w:color="auto" w:fill="C6EFCE"/>
            <w:noWrap/>
          </w:tcPr>
          <w:p w14:paraId="702ECB99" w14:textId="467F54B6" w:rsidR="006578ED" w:rsidRDefault="00AF6B91">
            <w:pPr>
              <w:pStyle w:val="P68B1DB1-Normal13"/>
              <w:spacing w:after="0" w:line="240" w:lineRule="auto"/>
              <w:jc w:val="center"/>
              <w:rPr>
                <w:rFonts w:eastAsia="Calibri" w:cs="Times New Roman"/>
                <w:noProof/>
              </w:rPr>
            </w:pPr>
            <w:r>
              <w:rPr>
                <w:noProof/>
              </w:rPr>
              <w:t>Kamień milowy</w:t>
            </w:r>
          </w:p>
        </w:tc>
        <w:tc>
          <w:tcPr>
            <w:tcW w:w="1560" w:type="dxa"/>
            <w:shd w:val="clear" w:color="auto" w:fill="C6EFCE"/>
            <w:noWrap/>
          </w:tcPr>
          <w:p w14:paraId="7422091B" w14:textId="3275C6FB" w:rsidR="006578ED" w:rsidRDefault="00A1618E">
            <w:pPr>
              <w:pStyle w:val="P68B1DB1-Normal13"/>
              <w:spacing w:after="0" w:line="240" w:lineRule="auto"/>
              <w:rPr>
                <w:rFonts w:eastAsia="Calibri" w:cs="Times New Roman"/>
                <w:noProof/>
              </w:rPr>
            </w:pPr>
            <w:r>
              <w:rPr>
                <w:noProof/>
              </w:rPr>
              <w:t>Zrównoważony i cyfrowy transport: zakończenie prac</w:t>
            </w:r>
          </w:p>
        </w:tc>
        <w:tc>
          <w:tcPr>
            <w:tcW w:w="1134" w:type="dxa"/>
            <w:shd w:val="clear" w:color="auto" w:fill="C6EFCE"/>
            <w:noWrap/>
          </w:tcPr>
          <w:p w14:paraId="60E5B26E" w14:textId="46576CB7" w:rsidR="006578ED" w:rsidRDefault="00A1618E">
            <w:pPr>
              <w:pStyle w:val="P68B1DB1-Normal13"/>
              <w:spacing w:after="0" w:line="240" w:lineRule="auto"/>
              <w:jc w:val="center"/>
              <w:rPr>
                <w:rFonts w:eastAsia="Calibri" w:cs="Times New Roman"/>
                <w:noProof/>
              </w:rPr>
            </w:pPr>
            <w:r>
              <w:rPr>
                <w:noProof/>
              </w:rPr>
              <w:t>Oficjalne powiadomienie o zakończeniu prac</w:t>
            </w:r>
          </w:p>
        </w:tc>
        <w:tc>
          <w:tcPr>
            <w:tcW w:w="850" w:type="dxa"/>
            <w:shd w:val="clear" w:color="auto" w:fill="C6EFCE"/>
            <w:noWrap/>
          </w:tcPr>
          <w:p w14:paraId="5F11E8D2" w14:textId="77777777" w:rsidR="006578ED" w:rsidRDefault="00A1618E">
            <w:pPr>
              <w:pStyle w:val="P68B1DB1-Normal13"/>
              <w:spacing w:after="0" w:line="240" w:lineRule="auto"/>
              <w:jc w:val="right"/>
              <w:rPr>
                <w:rFonts w:eastAsia="Calibri" w:cs="Times New Roman"/>
                <w:noProof/>
              </w:rPr>
            </w:pPr>
            <w:r>
              <w:rPr>
                <w:noProof/>
              </w:rPr>
              <w:t> </w:t>
            </w:r>
          </w:p>
        </w:tc>
        <w:tc>
          <w:tcPr>
            <w:tcW w:w="567" w:type="dxa"/>
            <w:shd w:val="clear" w:color="auto" w:fill="C6EFCE"/>
            <w:noWrap/>
          </w:tcPr>
          <w:p w14:paraId="56156A73"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93C4773" w14:textId="77777777" w:rsidR="006578ED" w:rsidRDefault="00A1618E">
            <w:pPr>
              <w:pStyle w:val="P68B1DB1-Normal13"/>
              <w:spacing w:after="0" w:line="240" w:lineRule="auto"/>
              <w:jc w:val="right"/>
              <w:rPr>
                <w:rFonts w:eastAsia="Calibri" w:cs="Times New Roman"/>
                <w:noProof/>
              </w:rPr>
            </w:pPr>
            <w:r>
              <w:rPr>
                <w:noProof/>
              </w:rPr>
              <w:t> </w:t>
            </w:r>
          </w:p>
        </w:tc>
        <w:tc>
          <w:tcPr>
            <w:tcW w:w="425" w:type="dxa"/>
            <w:shd w:val="clear" w:color="auto" w:fill="C6EFCE"/>
            <w:noWrap/>
          </w:tcPr>
          <w:p w14:paraId="5A0931A9" w14:textId="53E77703" w:rsidR="006578ED" w:rsidRDefault="00EC188C">
            <w:pPr>
              <w:pStyle w:val="P68B1DB1-Normal13"/>
              <w:spacing w:after="0" w:line="240" w:lineRule="auto"/>
              <w:jc w:val="center"/>
              <w:rPr>
                <w:rFonts w:eastAsia="Calibri" w:cs="Times New Roman"/>
                <w:noProof/>
              </w:rPr>
            </w:pPr>
            <w:r>
              <w:rPr>
                <w:noProof/>
              </w:rPr>
              <w:t>KW. 2</w:t>
            </w:r>
          </w:p>
        </w:tc>
        <w:tc>
          <w:tcPr>
            <w:tcW w:w="567" w:type="dxa"/>
            <w:shd w:val="clear" w:color="auto" w:fill="C6EFCE"/>
            <w:noWrap/>
          </w:tcPr>
          <w:p w14:paraId="4C391F0A" w14:textId="77777777" w:rsidR="006578ED" w:rsidRDefault="00A1618E">
            <w:pPr>
              <w:pStyle w:val="P68B1DB1-Normal13"/>
              <w:spacing w:after="0" w:line="240" w:lineRule="auto"/>
              <w:jc w:val="center"/>
              <w:rPr>
                <w:rFonts w:eastAsia="Calibri" w:cs="Times New Roman"/>
                <w:noProof/>
              </w:rPr>
            </w:pPr>
            <w:r>
              <w:rPr>
                <w:noProof/>
              </w:rPr>
              <w:t>2026</w:t>
            </w:r>
          </w:p>
        </w:tc>
        <w:tc>
          <w:tcPr>
            <w:tcW w:w="6066" w:type="dxa"/>
            <w:shd w:val="clear" w:color="auto" w:fill="C6EFCE"/>
            <w:noWrap/>
          </w:tcPr>
          <w:p w14:paraId="421AB524" w14:textId="6D064963" w:rsidR="006578ED" w:rsidRDefault="00A1618E">
            <w:pPr>
              <w:pStyle w:val="P68B1DB1-Normal13"/>
              <w:spacing w:after="0" w:line="240" w:lineRule="auto"/>
              <w:rPr>
                <w:rFonts w:eastAsia="Calibri" w:cs="Times New Roman"/>
                <w:noProof/>
              </w:rPr>
            </w:pPr>
            <w:r>
              <w:rPr>
                <w:noProof/>
              </w:rPr>
              <w:t>Zakończenie wszystkich projektów przyznanych w IV kwartale 20</w:t>
            </w:r>
            <w:r w:rsidRPr="00A1618E">
              <w:rPr>
                <w:noProof/>
                <w:lang w:val="pl-PL"/>
              </w:rPr>
              <w:t>22 r.</w:t>
            </w:r>
            <w:r>
              <w:rPr>
                <w:noProof/>
              </w:rPr>
              <w:t xml:space="preserve"> (kamień milowy 99) w celu promowania zrównoważonego i cyfrowego transportu. Prace prowadzone są w obszarach określonych w kryteriach wyboru dotyczących przyznania projektu w IV kwartale 20</w:t>
            </w:r>
            <w:r w:rsidRPr="00A1618E">
              <w:rPr>
                <w:noProof/>
                <w:lang w:val="pl-PL"/>
              </w:rPr>
              <w:t>22 r.</w:t>
            </w:r>
            <w:r>
              <w:rPr>
                <w:noProof/>
              </w:rPr>
              <w:br/>
              <w:t>W przypadku środków 10 i 12 kryteria wyboru muszą być zgodne z wytycznymi technicznymi dotyczącymi zasady „nie czyń poważnych szkód” (2021/C58/01), zapewniając, aby infrastruktura była aktywowana w momencie budowy na potrzeby transportu gazów odnawialnych i niskoemisyjnych.</w:t>
            </w:r>
          </w:p>
        </w:tc>
      </w:tr>
    </w:tbl>
    <w:p w14:paraId="1F3B1409" w14:textId="77777777" w:rsidR="006578ED" w:rsidRDefault="006578ED">
      <w:pPr>
        <w:spacing w:before="120" w:after="120" w:line="240" w:lineRule="auto"/>
        <w:jc w:val="both"/>
        <w:rPr>
          <w:rFonts w:ascii="Times New Roman" w:hAnsi="Times New Roman" w:cs="Times New Roman"/>
          <w:noProof/>
          <w:sz w:val="24"/>
        </w:rPr>
        <w:sectPr w:rsidR="006578ED" w:rsidSect="0035659C">
          <w:headerReference w:type="even" r:id="rId156"/>
          <w:headerReference w:type="default" r:id="rId157"/>
          <w:footerReference w:type="even" r:id="rId158"/>
          <w:footerReference w:type="default" r:id="rId159"/>
          <w:headerReference w:type="first" r:id="rId160"/>
          <w:footerReference w:type="first" r:id="rId161"/>
          <w:pgSz w:w="16839" w:h="11907" w:orient="landscape"/>
          <w:pgMar w:top="1417" w:right="1134" w:bottom="1417" w:left="1134" w:header="709" w:footer="709" w:gutter="0"/>
          <w:cols w:space="720"/>
          <w:docGrid w:linePitch="360"/>
        </w:sectPr>
      </w:pPr>
    </w:p>
    <w:p w14:paraId="480D5346" w14:textId="1FBFD220" w:rsidR="006578ED" w:rsidRDefault="00A1618E">
      <w:pPr>
        <w:pStyle w:val="P68B1DB1-Normal5"/>
        <w:keepNext/>
        <w:spacing w:before="120" w:after="120" w:line="240" w:lineRule="auto"/>
        <w:ind w:left="720"/>
        <w:jc w:val="both"/>
        <w:rPr>
          <w:rFonts w:cs="Times New Roman"/>
          <w:noProof/>
        </w:rPr>
      </w:pPr>
      <w:r>
        <w:rPr>
          <w:noProof/>
        </w:rPr>
        <w:t xml:space="preserve">F.3. </w:t>
      </w:r>
      <w:r>
        <w:rPr>
          <w:noProof/>
        </w:rPr>
        <w:tab/>
        <w:t>Opis inwestycji w celu wsparcia w formie pożyczki</w:t>
      </w:r>
    </w:p>
    <w:p w14:paraId="41E41CB2" w14:textId="28BB7C4E" w:rsidR="006578ED" w:rsidRDefault="00A1618E">
      <w:pPr>
        <w:pStyle w:val="P68B1DB1-Normal6"/>
        <w:keepNext/>
        <w:spacing w:before="120" w:after="120" w:line="240" w:lineRule="auto"/>
        <w:jc w:val="both"/>
        <w:rPr>
          <w:rFonts w:cs="Times New Roman"/>
          <w:noProof/>
        </w:rPr>
      </w:pPr>
      <w:r>
        <w:rPr>
          <w:noProof/>
        </w:rPr>
        <w:t>Reforma 3 (C6.R3) – Strategia na rzecz efektywności energetycznej krajowej sieci autostrad</w:t>
      </w:r>
    </w:p>
    <w:p w14:paraId="672DC29C" w14:textId="2CAF209C" w:rsidR="006578ED" w:rsidRDefault="00A1618E">
      <w:pPr>
        <w:pStyle w:val="P68B1DB1-Normal4"/>
        <w:keepNext/>
        <w:spacing w:before="120" w:after="120" w:line="240" w:lineRule="auto"/>
        <w:jc w:val="both"/>
        <w:rPr>
          <w:rFonts w:cs="Times New Roman"/>
          <w:noProof/>
        </w:rPr>
      </w:pPr>
      <w:bookmarkStart w:id="14" w:name="_Hlk145340180"/>
      <w:r>
        <w:rPr>
          <w:noProof/>
        </w:rPr>
        <w:t xml:space="preserve">Celem tej reformy jest opublikowanie strategii na rzecz racjonalizacji zużycia energii w sieci dróg państwowych oraz ustanowienie zestawu środków mających na celu poprawę efektywności energetycznej w ramach sieci dróg państwowych. </w:t>
      </w:r>
    </w:p>
    <w:bookmarkEnd w:id="14"/>
    <w:p w14:paraId="618FD4BA" w14:textId="77777777" w:rsidR="006578ED" w:rsidRDefault="00A1618E">
      <w:pPr>
        <w:pStyle w:val="P68B1DB1-Normal4"/>
        <w:keepNext/>
        <w:spacing w:before="120" w:after="120" w:line="240" w:lineRule="auto"/>
        <w:jc w:val="both"/>
        <w:rPr>
          <w:rFonts w:cs="Times New Roman"/>
          <w:noProof/>
        </w:rPr>
      </w:pPr>
      <w:r>
        <w:rPr>
          <w:noProof/>
        </w:rPr>
        <w:t>Strategia ta obejmuje co najmniej następujące elementy:</w:t>
      </w:r>
    </w:p>
    <w:p w14:paraId="65E0DFA6" w14:textId="03A60BEA" w:rsidR="006578ED" w:rsidRDefault="00A1618E">
      <w:pPr>
        <w:pStyle w:val="P68B1DB1-ListParagraph7"/>
        <w:keepNext/>
        <w:numPr>
          <w:ilvl w:val="0"/>
          <w:numId w:val="299"/>
        </w:numPr>
        <w:spacing w:before="120" w:after="120" w:line="240" w:lineRule="auto"/>
        <w:ind w:left="426"/>
        <w:jc w:val="both"/>
        <w:rPr>
          <w:rFonts w:cs="Times New Roman"/>
          <w:noProof/>
        </w:rPr>
      </w:pPr>
      <w:r>
        <w:rPr>
          <w:noProof/>
        </w:rPr>
        <w:t>analizę dostaw energii przez Krajową Sieć Drogową;</w:t>
      </w:r>
    </w:p>
    <w:p w14:paraId="7EF0DBB6" w14:textId="6E1633A5" w:rsidR="006578ED" w:rsidRDefault="00A1618E">
      <w:pPr>
        <w:pStyle w:val="P68B1DB1-ListParagraph7"/>
        <w:keepNext/>
        <w:numPr>
          <w:ilvl w:val="0"/>
          <w:numId w:val="299"/>
        </w:numPr>
        <w:spacing w:before="120" w:after="120" w:line="240" w:lineRule="auto"/>
        <w:ind w:left="426"/>
        <w:jc w:val="both"/>
        <w:rPr>
          <w:rFonts w:cs="Times New Roman"/>
          <w:noProof/>
        </w:rPr>
      </w:pPr>
      <w:r>
        <w:rPr>
          <w:noProof/>
        </w:rPr>
        <w:t>analizę obecnej sytuacji w Krajowej Sieci Drogowej pod względem oświetlenia oraz uzasadnienie możliwych rozwiązań;</w:t>
      </w:r>
    </w:p>
    <w:p w14:paraId="7929D158" w14:textId="64B77AFF" w:rsidR="006578ED" w:rsidRDefault="00A1618E">
      <w:pPr>
        <w:pStyle w:val="P68B1DB1-ListParagraph7"/>
        <w:keepNext/>
        <w:numPr>
          <w:ilvl w:val="0"/>
          <w:numId w:val="299"/>
        </w:numPr>
        <w:spacing w:before="120" w:after="120" w:line="240" w:lineRule="auto"/>
        <w:ind w:left="426"/>
        <w:jc w:val="both"/>
        <w:rPr>
          <w:rFonts w:cs="Times New Roman"/>
          <w:noProof/>
        </w:rPr>
      </w:pPr>
      <w:r>
        <w:rPr>
          <w:noProof/>
        </w:rPr>
        <w:t>wykaz środków, które mają zostać wdrożone, wraz z harmonogramem ich wdrożenia;</w:t>
      </w:r>
    </w:p>
    <w:p w14:paraId="54512377" w14:textId="4DD8825A" w:rsidR="006578ED" w:rsidRDefault="00A1618E">
      <w:pPr>
        <w:pStyle w:val="P68B1DB1-ListParagraph7"/>
        <w:keepNext/>
        <w:numPr>
          <w:ilvl w:val="0"/>
          <w:numId w:val="299"/>
        </w:numPr>
        <w:spacing w:before="120" w:after="120" w:line="240" w:lineRule="auto"/>
        <w:ind w:left="426"/>
        <w:jc w:val="both"/>
        <w:rPr>
          <w:rFonts w:cs="Times New Roman"/>
          <w:noProof/>
        </w:rPr>
      </w:pPr>
      <w:r>
        <w:rPr>
          <w:noProof/>
        </w:rPr>
        <w:t>wykaz działań, które należy wykonać w systemie oświetlenia sieci drogowej; oraz</w:t>
      </w:r>
    </w:p>
    <w:p w14:paraId="47CA67DE" w14:textId="01B7E7BF" w:rsidR="006578ED" w:rsidRDefault="00A1618E">
      <w:pPr>
        <w:pStyle w:val="P68B1DB1-ListParagraph7"/>
        <w:keepNext/>
        <w:numPr>
          <w:ilvl w:val="0"/>
          <w:numId w:val="299"/>
        </w:numPr>
        <w:spacing w:before="120" w:after="120" w:line="240" w:lineRule="auto"/>
        <w:ind w:left="426"/>
        <w:jc w:val="both"/>
        <w:rPr>
          <w:rFonts w:cs="Times New Roman"/>
          <w:noProof/>
        </w:rPr>
      </w:pPr>
      <w:r>
        <w:rPr>
          <w:noProof/>
        </w:rPr>
        <w:t>plan inwestycyjny i finansowy dotyczący wymaganych środków, które mają zostać wdrożone zgodnie z harmonogramem.</w:t>
      </w:r>
    </w:p>
    <w:p w14:paraId="6260E200" w14:textId="1F261A45" w:rsidR="006578ED" w:rsidRDefault="00A1618E">
      <w:pPr>
        <w:pStyle w:val="P68B1DB1-Normal4"/>
        <w:keepNext/>
        <w:spacing w:before="120" w:after="120" w:line="240" w:lineRule="auto"/>
        <w:jc w:val="both"/>
        <w:rPr>
          <w:rFonts w:cs="Times New Roman"/>
          <w:noProof/>
        </w:rPr>
      </w:pPr>
      <w:r>
        <w:rPr>
          <w:noProof/>
        </w:rPr>
        <w:t>Strategia zostanie opublikowana w pierwszym kwartale 20</w:t>
      </w:r>
      <w:r w:rsidRPr="00A1618E">
        <w:rPr>
          <w:noProof/>
          <w:lang w:val="pl-PL"/>
        </w:rPr>
        <w:t>24 r.</w:t>
      </w:r>
      <w:r>
        <w:rPr>
          <w:noProof/>
        </w:rPr>
        <w:t xml:space="preserve"> </w:t>
      </w:r>
    </w:p>
    <w:p w14:paraId="3AFF8F1C" w14:textId="6B686833" w:rsidR="006578ED" w:rsidRDefault="00A1618E">
      <w:pPr>
        <w:pStyle w:val="P68B1DB1-Normal4"/>
        <w:keepNext/>
        <w:spacing w:before="120" w:after="120" w:line="240" w:lineRule="auto"/>
        <w:jc w:val="both"/>
        <w:rPr>
          <w:rFonts w:cs="Times New Roman"/>
          <w:noProof/>
        </w:rPr>
      </w:pPr>
      <w:r>
        <w:rPr>
          <w:noProof/>
        </w:rPr>
        <w:t xml:space="preserve">W ramach wdrażania strategii na rzecz efektywności energetycznej krajowej sieci autostrad Generalna Dyrekcja Dróg dokonuje obliczenia śladu węglowego </w:t>
      </w:r>
      <w:r w:rsidRPr="00A1618E">
        <w:rPr>
          <w:noProof/>
          <w:lang w:val="pl-PL"/>
        </w:rPr>
        <w:t>na 2</w:t>
      </w:r>
      <w:r>
        <w:rPr>
          <w:noProof/>
        </w:rPr>
        <w:t>0</w:t>
      </w:r>
      <w:r w:rsidRPr="00A1618E">
        <w:rPr>
          <w:noProof/>
          <w:lang w:val="pl-PL"/>
        </w:rPr>
        <w:t>24 r.</w:t>
      </w:r>
      <w:r>
        <w:rPr>
          <w:noProof/>
        </w:rPr>
        <w:t>, którego wyniki zostaną przedstawione w 20</w:t>
      </w:r>
      <w:r w:rsidRPr="00A1618E">
        <w:rPr>
          <w:noProof/>
          <w:lang w:val="pl-PL"/>
        </w:rPr>
        <w:t>25 r.</w:t>
      </w:r>
    </w:p>
    <w:p w14:paraId="3C71D9C4" w14:textId="1B0BA4FF" w:rsidR="006578ED" w:rsidRDefault="00A1618E">
      <w:pPr>
        <w:pStyle w:val="P68B1DB1-Normal4"/>
        <w:keepNext/>
        <w:spacing w:before="120" w:after="120" w:line="240" w:lineRule="auto"/>
        <w:jc w:val="both"/>
        <w:rPr>
          <w:rFonts w:cs="Times New Roman"/>
          <w:noProof/>
        </w:rPr>
      </w:pPr>
      <w:r>
        <w:rPr>
          <w:noProof/>
        </w:rPr>
        <w:t>Wdrażanie środka zostanie zakończone do dnia 31 grudnia 20</w:t>
      </w:r>
      <w:r w:rsidRPr="00A1618E">
        <w:rPr>
          <w:noProof/>
          <w:lang w:val="pl-PL"/>
        </w:rPr>
        <w:t>25 r.</w:t>
      </w:r>
    </w:p>
    <w:p w14:paraId="6073A5AE" w14:textId="44E1D08D" w:rsidR="006578ED" w:rsidRDefault="00A1618E">
      <w:pPr>
        <w:pStyle w:val="P68B1DB1-Normal5"/>
        <w:keepNext/>
        <w:spacing w:before="120" w:after="120" w:line="240" w:lineRule="auto"/>
        <w:ind w:left="709"/>
        <w:jc w:val="both"/>
        <w:rPr>
          <w:rFonts w:cs="Times New Roman"/>
          <w:noProof/>
        </w:rPr>
      </w:pPr>
      <w:r>
        <w:rPr>
          <w:noProof/>
        </w:rPr>
        <w:t xml:space="preserve">F.4. </w:t>
      </w:r>
      <w:r>
        <w:rPr>
          <w:noProof/>
        </w:rPr>
        <w:tab/>
        <w:t>Cele pośrednie, wartości docelowe, wskaźniki oraz harmonogram monitorowania i wdrażania wsparcia w formie pożyczek</w:t>
      </w:r>
    </w:p>
    <w:p w14:paraId="1B69D7D8" w14:textId="18B3FF21" w:rsidR="006578ED" w:rsidRDefault="00A1618E">
      <w:pPr>
        <w:pStyle w:val="P68B1DB1-Normal18"/>
        <w:keepNext/>
        <w:spacing w:before="120" w:after="120" w:line="240" w:lineRule="auto"/>
        <w:jc w:val="both"/>
        <w:rPr>
          <w:rFonts w:cs="Times New Roman"/>
          <w:noProof/>
        </w:rPr>
        <w:sectPr w:rsidR="006578ED" w:rsidSect="0035659C">
          <w:headerReference w:type="even" r:id="rId162"/>
          <w:headerReference w:type="default" r:id="rId163"/>
          <w:footerReference w:type="even" r:id="rId164"/>
          <w:footerReference w:type="default" r:id="rId165"/>
          <w:headerReference w:type="first" r:id="rId166"/>
          <w:footerReference w:type="first" r:id="rId167"/>
          <w:pgSz w:w="11907" w:h="16839"/>
          <w:pgMar w:top="1134" w:right="1417" w:bottom="1134" w:left="1417" w:header="709" w:footer="709" w:gutter="0"/>
          <w:cols w:space="720"/>
          <w:docGrid w:linePitch="360"/>
        </w:sectPr>
      </w:pPr>
      <w:r>
        <w:rPr>
          <w:noProof/>
        </w:rPr>
        <w:t>Zob. tabela poniżej. Datą odniesienia dla wszystkich wskaźników jest 1 lutego, chyba że w opisie działania wskazano inaczej. Kwoty w tabeli nie obejmują VAT.</w:t>
      </w:r>
    </w:p>
    <w:tbl>
      <w:tblPr>
        <w:tblW w:w="1414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134"/>
        <w:gridCol w:w="850"/>
        <w:gridCol w:w="567"/>
        <w:gridCol w:w="567"/>
        <w:gridCol w:w="425"/>
        <w:gridCol w:w="567"/>
        <w:gridCol w:w="6066"/>
      </w:tblGrid>
      <w:tr w:rsidR="006578ED" w14:paraId="6C70091A" w14:textId="77777777">
        <w:trPr>
          <w:trHeight w:val="309"/>
          <w:tblHeader/>
        </w:trPr>
        <w:tc>
          <w:tcPr>
            <w:tcW w:w="709" w:type="dxa"/>
            <w:tcBorders>
              <w:bottom w:val="nil"/>
            </w:tcBorders>
            <w:shd w:val="clear" w:color="auto" w:fill="C6D9F1" w:themeFill="text2" w:themeFillTint="33"/>
            <w:noWrap/>
            <w:vAlign w:val="center"/>
          </w:tcPr>
          <w:p w14:paraId="0F94297D"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42085BC1"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55B4CF8E" w14:textId="0937FC32"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1560" w:type="dxa"/>
            <w:tcBorders>
              <w:bottom w:val="nil"/>
            </w:tcBorders>
            <w:shd w:val="clear" w:color="auto" w:fill="C6D9F1" w:themeFill="text2" w:themeFillTint="33"/>
            <w:noWrap/>
            <w:vAlign w:val="center"/>
          </w:tcPr>
          <w:p w14:paraId="148B6FA0" w14:textId="77777777" w:rsidR="006578ED" w:rsidRDefault="00A1618E">
            <w:pPr>
              <w:pStyle w:val="P68B1DB1-Normal12"/>
              <w:spacing w:after="0" w:line="240" w:lineRule="auto"/>
              <w:jc w:val="center"/>
              <w:rPr>
                <w:rFonts w:cs="Times New Roman"/>
                <w:noProof/>
              </w:rPr>
            </w:pPr>
            <w:r>
              <w:rPr>
                <w:noProof/>
              </w:rPr>
              <w:t>Nazwa</w:t>
            </w:r>
          </w:p>
        </w:tc>
        <w:tc>
          <w:tcPr>
            <w:tcW w:w="1134" w:type="dxa"/>
            <w:tcBorders>
              <w:bottom w:val="nil"/>
            </w:tcBorders>
            <w:shd w:val="clear" w:color="auto" w:fill="C6D9F1" w:themeFill="text2" w:themeFillTint="33"/>
            <w:noWrap/>
            <w:vAlign w:val="center"/>
          </w:tcPr>
          <w:p w14:paraId="44461C53"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84" w:type="dxa"/>
            <w:gridSpan w:val="3"/>
            <w:shd w:val="clear" w:color="auto" w:fill="C6D9F1" w:themeFill="text2" w:themeFillTint="33"/>
            <w:noWrap/>
            <w:vAlign w:val="center"/>
          </w:tcPr>
          <w:p w14:paraId="50B975C4"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75E7C355" w14:textId="77777777" w:rsidR="006578ED" w:rsidRDefault="00A1618E">
            <w:pPr>
              <w:pStyle w:val="P68B1DB1-Normal12"/>
              <w:spacing w:after="0" w:line="240" w:lineRule="auto"/>
              <w:jc w:val="center"/>
              <w:rPr>
                <w:rFonts w:cs="Times New Roman"/>
                <w:noProof/>
              </w:rPr>
            </w:pPr>
            <w:r>
              <w:rPr>
                <w:noProof/>
              </w:rPr>
              <w:t>Czas</w:t>
            </w:r>
          </w:p>
        </w:tc>
        <w:tc>
          <w:tcPr>
            <w:tcW w:w="6066" w:type="dxa"/>
            <w:tcBorders>
              <w:bottom w:val="nil"/>
            </w:tcBorders>
            <w:shd w:val="clear" w:color="auto" w:fill="C6D9F1" w:themeFill="text2" w:themeFillTint="33"/>
            <w:noWrap/>
            <w:vAlign w:val="center"/>
          </w:tcPr>
          <w:p w14:paraId="573D79A1" w14:textId="6DFAC47B"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127AB19D" w14:textId="77777777">
        <w:trPr>
          <w:trHeight w:val="309"/>
          <w:tblHeader/>
        </w:trPr>
        <w:tc>
          <w:tcPr>
            <w:tcW w:w="709" w:type="dxa"/>
            <w:tcBorders>
              <w:top w:val="nil"/>
            </w:tcBorders>
            <w:shd w:val="clear" w:color="auto" w:fill="C6D9F1" w:themeFill="text2" w:themeFillTint="33"/>
            <w:noWrap/>
          </w:tcPr>
          <w:p w14:paraId="211A0EB4"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FB2C45D"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8240DBD" w14:textId="77777777" w:rsidR="006578ED" w:rsidRDefault="006578ED">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6A2FB924" w14:textId="77777777" w:rsidR="006578ED" w:rsidRDefault="006578ED">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3DE7DBC"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498A5F1A"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vAlign w:val="center"/>
          </w:tcPr>
          <w:p w14:paraId="5C6F3F10" w14:textId="77777777" w:rsidR="006578ED" w:rsidRDefault="00A1618E">
            <w:pPr>
              <w:pStyle w:val="P68B1DB1-Normal12"/>
              <w:spacing w:after="0" w:line="240" w:lineRule="auto"/>
              <w:jc w:val="center"/>
              <w:rPr>
                <w:rFonts w:cs="Times New Roman"/>
                <w:noProof/>
              </w:rPr>
            </w:pPr>
            <w:r>
              <w:rPr>
                <w:noProof/>
              </w:rPr>
              <w:t>Wartość wyjściowa</w:t>
            </w:r>
          </w:p>
        </w:tc>
        <w:tc>
          <w:tcPr>
            <w:tcW w:w="567" w:type="dxa"/>
            <w:shd w:val="clear" w:color="auto" w:fill="C6D9F1" w:themeFill="text2" w:themeFillTint="33"/>
            <w:noWrap/>
            <w:vAlign w:val="center"/>
          </w:tcPr>
          <w:p w14:paraId="32D321C1"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vAlign w:val="center"/>
          </w:tcPr>
          <w:p w14:paraId="68C2B3E4"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107C164F" w14:textId="77777777" w:rsidR="006578ED" w:rsidRDefault="00A1618E">
            <w:pPr>
              <w:pStyle w:val="P68B1DB1-Normal12"/>
              <w:spacing w:after="0" w:line="240" w:lineRule="auto"/>
              <w:jc w:val="center"/>
              <w:rPr>
                <w:rFonts w:cs="Times New Roman"/>
                <w:noProof/>
              </w:rPr>
            </w:pPr>
            <w:r>
              <w:rPr>
                <w:noProof/>
              </w:rPr>
              <w:t>Rok</w:t>
            </w:r>
          </w:p>
        </w:tc>
        <w:tc>
          <w:tcPr>
            <w:tcW w:w="6066" w:type="dxa"/>
            <w:tcBorders>
              <w:top w:val="nil"/>
            </w:tcBorders>
            <w:shd w:val="clear" w:color="auto" w:fill="C6D9F1" w:themeFill="text2" w:themeFillTint="33"/>
            <w:noWrap/>
          </w:tcPr>
          <w:p w14:paraId="03709E6F" w14:textId="77777777" w:rsidR="006578ED" w:rsidRDefault="006578ED">
            <w:pPr>
              <w:spacing w:after="0" w:line="240" w:lineRule="auto"/>
              <w:rPr>
                <w:rFonts w:ascii="Times New Roman" w:hAnsi="Times New Roman" w:cs="Times New Roman"/>
                <w:b/>
                <w:noProof/>
                <w:sz w:val="18"/>
              </w:rPr>
            </w:pPr>
          </w:p>
        </w:tc>
      </w:tr>
      <w:tr w:rsidR="006578ED" w14:paraId="20DE5AEE" w14:textId="77777777">
        <w:trPr>
          <w:trHeight w:val="309"/>
        </w:trPr>
        <w:tc>
          <w:tcPr>
            <w:tcW w:w="709" w:type="dxa"/>
            <w:shd w:val="clear" w:color="auto" w:fill="C6EFCE"/>
            <w:noWrap/>
          </w:tcPr>
          <w:p w14:paraId="07FC8ABD" w14:textId="45474011" w:rsidR="006578ED" w:rsidRDefault="00A1618E">
            <w:pPr>
              <w:pStyle w:val="P68B1DB1-Normal13"/>
              <w:spacing w:after="0" w:line="240" w:lineRule="auto"/>
              <w:jc w:val="center"/>
              <w:rPr>
                <w:rFonts w:eastAsia="Times New Roman" w:cs="Times New Roman"/>
                <w:noProof/>
              </w:rPr>
            </w:pPr>
            <w:r>
              <w:rPr>
                <w:noProof/>
              </w:rPr>
              <w:t>L15</w:t>
            </w:r>
          </w:p>
        </w:tc>
        <w:tc>
          <w:tcPr>
            <w:tcW w:w="851" w:type="dxa"/>
            <w:shd w:val="clear" w:color="auto" w:fill="C6EFCE"/>
            <w:noWrap/>
          </w:tcPr>
          <w:p w14:paraId="7E6318B2" w14:textId="77777777" w:rsidR="006578ED" w:rsidRDefault="00A1618E">
            <w:pPr>
              <w:pStyle w:val="P68B1DB1-Normal13"/>
              <w:spacing w:after="0" w:line="240" w:lineRule="auto"/>
              <w:jc w:val="center"/>
              <w:rPr>
                <w:rFonts w:cs="Times New Roman"/>
                <w:noProof/>
              </w:rPr>
            </w:pPr>
            <w:r>
              <w:rPr>
                <w:noProof/>
              </w:rPr>
              <w:t>C6.R3</w:t>
            </w:r>
          </w:p>
        </w:tc>
        <w:tc>
          <w:tcPr>
            <w:tcW w:w="850" w:type="dxa"/>
            <w:shd w:val="clear" w:color="auto" w:fill="C6EFCE"/>
            <w:noWrap/>
          </w:tcPr>
          <w:p w14:paraId="3AB77307" w14:textId="26501C46" w:rsidR="006578ED" w:rsidRDefault="00AF6B91">
            <w:pPr>
              <w:pStyle w:val="P68B1DB1-Normal13"/>
              <w:spacing w:after="0" w:line="240" w:lineRule="auto"/>
              <w:jc w:val="center"/>
              <w:rPr>
                <w:rFonts w:cs="Times New Roman"/>
                <w:noProof/>
              </w:rPr>
            </w:pPr>
            <w:r>
              <w:rPr>
                <w:noProof/>
              </w:rPr>
              <w:t>Kamień milowy</w:t>
            </w:r>
          </w:p>
        </w:tc>
        <w:tc>
          <w:tcPr>
            <w:tcW w:w="1560" w:type="dxa"/>
            <w:shd w:val="clear" w:color="auto" w:fill="C6EFCE"/>
            <w:noWrap/>
          </w:tcPr>
          <w:p w14:paraId="2AC4B1E1" w14:textId="77777777" w:rsidR="006578ED" w:rsidRDefault="00A1618E">
            <w:pPr>
              <w:pStyle w:val="P68B1DB1-Normal13"/>
              <w:keepNext/>
              <w:spacing w:line="240" w:lineRule="auto"/>
              <w:jc w:val="both"/>
              <w:rPr>
                <w:rFonts w:cs="Times New Roman"/>
                <w:noProof/>
              </w:rPr>
            </w:pPr>
            <w:r>
              <w:rPr>
                <w:noProof/>
              </w:rPr>
              <w:t>Strategia na rzecz efektywności energetycznej</w:t>
            </w:r>
          </w:p>
        </w:tc>
        <w:tc>
          <w:tcPr>
            <w:tcW w:w="1134" w:type="dxa"/>
            <w:shd w:val="clear" w:color="auto" w:fill="C6EFCE"/>
            <w:noWrap/>
          </w:tcPr>
          <w:p w14:paraId="56E8D283" w14:textId="6053AE90" w:rsidR="006578ED" w:rsidRDefault="00A1618E">
            <w:pPr>
              <w:pStyle w:val="P68B1DB1-Normal13"/>
              <w:spacing w:after="0" w:line="240" w:lineRule="auto"/>
              <w:jc w:val="center"/>
              <w:rPr>
                <w:rFonts w:cs="Times New Roman"/>
                <w:noProof/>
              </w:rPr>
            </w:pPr>
            <w:r>
              <w:rPr>
                <w:noProof/>
              </w:rPr>
              <w:t>Publikacja w Dzienniku Urzędowym</w:t>
            </w:r>
          </w:p>
        </w:tc>
        <w:tc>
          <w:tcPr>
            <w:tcW w:w="850" w:type="dxa"/>
            <w:shd w:val="clear" w:color="auto" w:fill="C6EFCE"/>
            <w:noWrap/>
          </w:tcPr>
          <w:p w14:paraId="3CE0DA42" w14:textId="77777777" w:rsidR="006578ED" w:rsidRDefault="006578ED">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1921FAAF" w14:textId="77777777" w:rsidR="006578ED" w:rsidRDefault="006578ED">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479AC3D8" w14:textId="77777777" w:rsidR="006578ED" w:rsidRDefault="006578ED">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17581F1F" w14:textId="741E300E" w:rsidR="006578ED" w:rsidRDefault="00EC188C">
            <w:pPr>
              <w:pStyle w:val="P68B1DB1-Normal13"/>
              <w:spacing w:after="0" w:line="240" w:lineRule="auto"/>
              <w:jc w:val="center"/>
              <w:rPr>
                <w:rFonts w:cs="Times New Roman"/>
                <w:noProof/>
              </w:rPr>
            </w:pPr>
            <w:r>
              <w:rPr>
                <w:noProof/>
              </w:rPr>
              <w:t>KW. 1</w:t>
            </w:r>
          </w:p>
        </w:tc>
        <w:tc>
          <w:tcPr>
            <w:tcW w:w="567" w:type="dxa"/>
            <w:shd w:val="clear" w:color="auto" w:fill="C6EFCE"/>
            <w:noWrap/>
          </w:tcPr>
          <w:p w14:paraId="2AAEA016" w14:textId="13619E7E" w:rsidR="006578ED" w:rsidRDefault="00A1618E">
            <w:pPr>
              <w:pStyle w:val="P68B1DB1-Normal13"/>
              <w:spacing w:after="0" w:line="240" w:lineRule="auto"/>
              <w:jc w:val="center"/>
              <w:rPr>
                <w:rFonts w:cs="Times New Roman"/>
                <w:noProof/>
              </w:rPr>
            </w:pPr>
            <w:r>
              <w:rPr>
                <w:noProof/>
              </w:rPr>
              <w:t>2024</w:t>
            </w:r>
          </w:p>
        </w:tc>
        <w:tc>
          <w:tcPr>
            <w:tcW w:w="6066" w:type="dxa"/>
            <w:shd w:val="clear" w:color="auto" w:fill="C6EFCE"/>
            <w:noWrap/>
          </w:tcPr>
          <w:p w14:paraId="08402BD6" w14:textId="3C29B6D6" w:rsidR="006578ED" w:rsidRDefault="00A1618E">
            <w:pPr>
              <w:pStyle w:val="P68B1DB1-Normal13"/>
              <w:spacing w:after="0" w:line="240" w:lineRule="auto"/>
              <w:rPr>
                <w:rFonts w:cs="Times New Roman"/>
                <w:noProof/>
              </w:rPr>
            </w:pPr>
            <w:r>
              <w:rPr>
                <w:noProof/>
              </w:rPr>
              <w:t>Publikacja w Dzienniku Urzędowym zatwierdzenia Strategii na rzecz efektywności energetycznej Krajowej Sieci Drogowej obejmującej elementy zgodne z opisem środka.</w:t>
            </w:r>
          </w:p>
        </w:tc>
      </w:tr>
      <w:tr w:rsidR="006578ED" w14:paraId="136392DF" w14:textId="77777777">
        <w:trPr>
          <w:trHeight w:val="309"/>
        </w:trPr>
        <w:tc>
          <w:tcPr>
            <w:tcW w:w="709" w:type="dxa"/>
            <w:shd w:val="clear" w:color="auto" w:fill="C6EFCE"/>
            <w:noWrap/>
          </w:tcPr>
          <w:p w14:paraId="0D531A0E" w14:textId="26DB87DE" w:rsidR="006578ED" w:rsidRDefault="00A1618E">
            <w:pPr>
              <w:pStyle w:val="P68B1DB1-Normal13"/>
              <w:spacing w:after="0" w:line="240" w:lineRule="auto"/>
              <w:jc w:val="center"/>
              <w:rPr>
                <w:rFonts w:cs="Times New Roman"/>
                <w:noProof/>
              </w:rPr>
            </w:pPr>
            <w:r>
              <w:rPr>
                <w:noProof/>
              </w:rPr>
              <w:t>L16</w:t>
            </w:r>
          </w:p>
        </w:tc>
        <w:tc>
          <w:tcPr>
            <w:tcW w:w="851" w:type="dxa"/>
            <w:shd w:val="clear" w:color="auto" w:fill="C6EFCE"/>
            <w:noWrap/>
          </w:tcPr>
          <w:p w14:paraId="481B4A66" w14:textId="77777777" w:rsidR="006578ED" w:rsidRDefault="00A1618E">
            <w:pPr>
              <w:pStyle w:val="P68B1DB1-Normal13"/>
              <w:spacing w:after="0" w:line="240" w:lineRule="auto"/>
              <w:jc w:val="center"/>
              <w:rPr>
                <w:rFonts w:cs="Times New Roman"/>
                <w:noProof/>
              </w:rPr>
            </w:pPr>
            <w:r>
              <w:rPr>
                <w:noProof/>
              </w:rPr>
              <w:t>C6.R3</w:t>
            </w:r>
          </w:p>
        </w:tc>
        <w:tc>
          <w:tcPr>
            <w:tcW w:w="850" w:type="dxa"/>
            <w:shd w:val="clear" w:color="auto" w:fill="C6EFCE"/>
            <w:noWrap/>
          </w:tcPr>
          <w:p w14:paraId="5A02178D" w14:textId="02539630" w:rsidR="006578ED" w:rsidRDefault="00AF6B91">
            <w:pPr>
              <w:pStyle w:val="P68B1DB1-Normal13"/>
              <w:spacing w:after="0" w:line="240" w:lineRule="auto"/>
              <w:jc w:val="center"/>
              <w:rPr>
                <w:rFonts w:cs="Times New Roman"/>
                <w:noProof/>
              </w:rPr>
            </w:pPr>
            <w:r>
              <w:rPr>
                <w:noProof/>
              </w:rPr>
              <w:t>Kamień milowy</w:t>
            </w:r>
          </w:p>
        </w:tc>
        <w:tc>
          <w:tcPr>
            <w:tcW w:w="1560" w:type="dxa"/>
            <w:shd w:val="clear" w:color="auto" w:fill="C6EFCE"/>
            <w:noWrap/>
          </w:tcPr>
          <w:p w14:paraId="1D4E56AA" w14:textId="77777777" w:rsidR="006578ED" w:rsidRDefault="00A1618E">
            <w:pPr>
              <w:pStyle w:val="P68B1DB1-Normal13"/>
              <w:keepNext/>
              <w:spacing w:line="240" w:lineRule="auto"/>
              <w:jc w:val="both"/>
              <w:rPr>
                <w:rFonts w:cs="Times New Roman"/>
                <w:noProof/>
              </w:rPr>
            </w:pPr>
            <w:r>
              <w:rPr>
                <w:noProof/>
              </w:rPr>
              <w:t>Obliczanie śladu węglowego przez Dyrekcję Generalną ds. Dróg</w:t>
            </w:r>
          </w:p>
        </w:tc>
        <w:tc>
          <w:tcPr>
            <w:tcW w:w="1134" w:type="dxa"/>
            <w:shd w:val="clear" w:color="auto" w:fill="C6EFCE"/>
            <w:noWrap/>
          </w:tcPr>
          <w:p w14:paraId="615F7473" w14:textId="77777777" w:rsidR="006578ED" w:rsidRDefault="00A1618E">
            <w:pPr>
              <w:pStyle w:val="P68B1DB1-Normal13"/>
              <w:spacing w:after="0" w:line="240" w:lineRule="auto"/>
              <w:jc w:val="center"/>
              <w:rPr>
                <w:rFonts w:cs="Times New Roman"/>
                <w:noProof/>
              </w:rPr>
            </w:pPr>
            <w:r>
              <w:rPr>
                <w:noProof/>
              </w:rPr>
              <w:t>Publikacja wyników na oficjalnej platformie internetowej</w:t>
            </w:r>
          </w:p>
        </w:tc>
        <w:tc>
          <w:tcPr>
            <w:tcW w:w="850" w:type="dxa"/>
            <w:shd w:val="clear" w:color="auto" w:fill="C6EFCE"/>
            <w:noWrap/>
          </w:tcPr>
          <w:p w14:paraId="26033E90" w14:textId="77777777" w:rsidR="006578ED" w:rsidRDefault="006578ED">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6583EB88" w14:textId="77777777" w:rsidR="006578ED" w:rsidRDefault="006578ED">
            <w:pPr>
              <w:spacing w:after="0" w:line="240" w:lineRule="auto"/>
              <w:jc w:val="right"/>
              <w:rPr>
                <w:rFonts w:ascii="Times New Roman" w:eastAsia="MS Mincho" w:hAnsi="Times New Roman" w:cs="Times New Roman"/>
                <w:noProof/>
                <w:sz w:val="18"/>
              </w:rPr>
            </w:pPr>
          </w:p>
        </w:tc>
        <w:tc>
          <w:tcPr>
            <w:tcW w:w="567" w:type="dxa"/>
            <w:shd w:val="clear" w:color="auto" w:fill="C6EFCE"/>
            <w:noWrap/>
          </w:tcPr>
          <w:p w14:paraId="10EFBCB7" w14:textId="77777777" w:rsidR="006578ED" w:rsidRDefault="006578ED">
            <w:pPr>
              <w:spacing w:after="0" w:line="240" w:lineRule="auto"/>
              <w:jc w:val="right"/>
              <w:rPr>
                <w:rFonts w:ascii="Times New Roman" w:eastAsia="MS Mincho" w:hAnsi="Times New Roman" w:cs="Times New Roman"/>
                <w:noProof/>
                <w:sz w:val="18"/>
              </w:rPr>
            </w:pPr>
          </w:p>
        </w:tc>
        <w:tc>
          <w:tcPr>
            <w:tcW w:w="425" w:type="dxa"/>
            <w:shd w:val="clear" w:color="auto" w:fill="C6EFCE"/>
            <w:noWrap/>
          </w:tcPr>
          <w:p w14:paraId="58277911" w14:textId="6EFE1533"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7D5C710A" w14:textId="77777777" w:rsidR="006578ED" w:rsidRDefault="00A1618E">
            <w:pPr>
              <w:pStyle w:val="P68B1DB1-Normal13"/>
              <w:spacing w:after="0" w:line="240" w:lineRule="auto"/>
              <w:jc w:val="center"/>
              <w:rPr>
                <w:rFonts w:cs="Times New Roman"/>
                <w:noProof/>
              </w:rPr>
            </w:pPr>
            <w:r>
              <w:rPr>
                <w:noProof/>
              </w:rPr>
              <w:t>2025</w:t>
            </w:r>
          </w:p>
        </w:tc>
        <w:tc>
          <w:tcPr>
            <w:tcW w:w="6066" w:type="dxa"/>
            <w:shd w:val="clear" w:color="auto" w:fill="C6EFCE"/>
            <w:noWrap/>
          </w:tcPr>
          <w:p w14:paraId="5E69941A" w14:textId="17A9DF22" w:rsidR="006578ED" w:rsidRDefault="00A1618E">
            <w:pPr>
              <w:pStyle w:val="P68B1DB1-Normal13"/>
              <w:spacing w:after="0" w:line="240" w:lineRule="auto"/>
              <w:rPr>
                <w:rFonts w:cs="Times New Roman"/>
                <w:noProof/>
              </w:rPr>
            </w:pPr>
            <w:r>
              <w:rPr>
                <w:noProof/>
              </w:rPr>
              <w:t xml:space="preserve">Obliczenie śladu węglowego przez Generalną Dyrekcję Dróg </w:t>
            </w:r>
            <w:r w:rsidRPr="00A1618E">
              <w:rPr>
                <w:noProof/>
                <w:lang w:val="pl-PL"/>
              </w:rPr>
              <w:t>na 2</w:t>
            </w:r>
            <w:r>
              <w:rPr>
                <w:noProof/>
              </w:rPr>
              <w:t>0</w:t>
            </w:r>
            <w:r w:rsidRPr="00A1618E">
              <w:rPr>
                <w:noProof/>
                <w:lang w:val="pl-PL"/>
              </w:rPr>
              <w:t>24 r.</w:t>
            </w:r>
            <w:r>
              <w:rPr>
                <w:noProof/>
              </w:rPr>
              <w:t>, którego wynik zostanie przedstawiony w 20</w:t>
            </w:r>
            <w:r w:rsidRPr="00A1618E">
              <w:rPr>
                <w:noProof/>
                <w:lang w:val="pl-PL"/>
              </w:rPr>
              <w:t>25 r.</w:t>
            </w:r>
            <w:r>
              <w:rPr>
                <w:noProof/>
              </w:rPr>
              <w:t xml:space="preserve"> w ramach wdrażania strategii na rzecz efektywności energetycznej. </w:t>
            </w:r>
          </w:p>
        </w:tc>
      </w:tr>
    </w:tbl>
    <w:p w14:paraId="387E03AA" w14:textId="5596F60B" w:rsidR="006578ED" w:rsidRDefault="006578ED">
      <w:pPr>
        <w:keepNext/>
        <w:spacing w:before="120" w:after="120" w:line="240" w:lineRule="auto"/>
        <w:jc w:val="both"/>
        <w:rPr>
          <w:rFonts w:ascii="Times New Roman" w:hAnsi="Times New Roman" w:cs="Times New Roman"/>
          <w:i/>
          <w:noProof/>
          <w:sz w:val="24"/>
        </w:rPr>
        <w:sectPr w:rsidR="006578ED" w:rsidSect="0035659C">
          <w:headerReference w:type="even" r:id="rId168"/>
          <w:headerReference w:type="default" r:id="rId169"/>
          <w:footerReference w:type="even" r:id="rId170"/>
          <w:footerReference w:type="default" r:id="rId171"/>
          <w:headerReference w:type="first" r:id="rId172"/>
          <w:footerReference w:type="first" r:id="rId173"/>
          <w:pgSz w:w="16839" w:h="11907" w:orient="landscape"/>
          <w:pgMar w:top="1417" w:right="1134" w:bottom="1417" w:left="1134" w:header="709" w:footer="709" w:gutter="0"/>
          <w:cols w:space="720"/>
          <w:docGrid w:linePitch="360"/>
        </w:sectPr>
      </w:pPr>
    </w:p>
    <w:p w14:paraId="53C80719" w14:textId="753C5416" w:rsidR="006578ED" w:rsidRDefault="00A1618E">
      <w:pPr>
        <w:pStyle w:val="P68B1DB1-Heading12"/>
        <w:rPr>
          <w:rFonts w:cs="Times New Roman"/>
          <w:noProof/>
        </w:rPr>
      </w:pPr>
      <w:r>
        <w:rPr>
          <w:noProof/>
        </w:rPr>
        <w:t>G. KOMPONENT 07: Wdrażanie i integracja odnawialnych źródeł energii</w:t>
      </w:r>
    </w:p>
    <w:p w14:paraId="0BCA915E" w14:textId="6181789B" w:rsidR="006578ED" w:rsidRDefault="00A1618E">
      <w:pPr>
        <w:pStyle w:val="P68B1DB1-Normal4"/>
        <w:spacing w:before="120" w:after="120" w:line="240" w:lineRule="auto"/>
        <w:jc w:val="both"/>
        <w:rPr>
          <w:rFonts w:cs="Times New Roman"/>
          <w:noProof/>
        </w:rPr>
      </w:pPr>
      <w:r>
        <w:rPr>
          <w:noProof/>
        </w:rPr>
        <w:t>W krajowym planie w dziedzinie energii i klimatu Hiszpanii na lata 2021–2030 przewiduje się znaczny wzrost udziału energii ze źródeł odnawialnych w Hiszpanii, osiągając poziom 74 % w sektorze energii elektrycznej i 42 % zużycia końcowego w 20</w:t>
      </w:r>
      <w:r w:rsidRPr="00A1618E">
        <w:rPr>
          <w:noProof/>
          <w:lang w:val="pl-PL"/>
        </w:rPr>
        <w:t>30 r.</w:t>
      </w:r>
      <w:r>
        <w:rPr>
          <w:noProof/>
        </w:rPr>
        <w:t xml:space="preserve"> W</w:t>
      </w:r>
      <w:r>
        <w:rPr>
          <w:noProof/>
          <w:lang w:val="pl-PL"/>
        </w:rPr>
        <w:t> </w:t>
      </w:r>
      <w:r>
        <w:rPr>
          <w:noProof/>
        </w:rPr>
        <w:t xml:space="preserve">tym kontekście celem tego komponentu hiszpańskiego planu odbudowy i zwiększania odporności jest zwiększenie wykorzystania energii ze źródeł odnawialnych za pomocą następujących elementów: </w:t>
      </w:r>
    </w:p>
    <w:p w14:paraId="19807A53" w14:textId="59D2B6D6" w:rsidR="006578ED" w:rsidRDefault="00A1618E">
      <w:pPr>
        <w:pStyle w:val="P68B1DB1-Normal4"/>
        <w:numPr>
          <w:ilvl w:val="0"/>
          <w:numId w:val="63"/>
        </w:numPr>
        <w:spacing w:before="120" w:after="120" w:line="240" w:lineRule="auto"/>
        <w:jc w:val="both"/>
        <w:rPr>
          <w:rFonts w:cs="Times New Roman"/>
          <w:noProof/>
        </w:rPr>
      </w:pPr>
      <w:r>
        <w:rPr>
          <w:noProof/>
        </w:rPr>
        <w:t xml:space="preserve">opracowanie jasnych i przewidywalnych ram regulacyjnych promujących inwestycje w odnawialne źródła energii; </w:t>
      </w:r>
    </w:p>
    <w:p w14:paraId="34DD1FF7" w14:textId="35FBF7B7" w:rsidR="006578ED" w:rsidRDefault="00A1618E">
      <w:pPr>
        <w:pStyle w:val="P68B1DB1-Normal4"/>
        <w:numPr>
          <w:ilvl w:val="0"/>
          <w:numId w:val="63"/>
        </w:numPr>
        <w:spacing w:before="120" w:after="120" w:line="240" w:lineRule="auto"/>
        <w:jc w:val="both"/>
        <w:rPr>
          <w:rFonts w:cs="Times New Roman"/>
          <w:noProof/>
        </w:rPr>
      </w:pPr>
      <w:r>
        <w:rPr>
          <w:noProof/>
        </w:rPr>
        <w:t xml:space="preserve">ustanowienie i konsolidacja przemysłowego łańcucha wartości w dziedzinie odnawialnych źródeł energii; </w:t>
      </w:r>
    </w:p>
    <w:p w14:paraId="2EB428BC" w14:textId="5F9B7202" w:rsidR="006578ED" w:rsidRDefault="00A1618E">
      <w:pPr>
        <w:pStyle w:val="P68B1DB1-Normal4"/>
        <w:numPr>
          <w:ilvl w:val="0"/>
          <w:numId w:val="63"/>
        </w:numPr>
        <w:spacing w:before="120" w:after="120" w:line="240" w:lineRule="auto"/>
        <w:jc w:val="both"/>
        <w:rPr>
          <w:rFonts w:cs="Times New Roman"/>
          <w:noProof/>
        </w:rPr>
      </w:pPr>
      <w:r>
        <w:rPr>
          <w:noProof/>
        </w:rPr>
        <w:t xml:space="preserve">wspieranie innowacyjnych źródeł technologii wytwarzania energii ze źródeł odnawialnych, w tym ich włączenie do zastosowań końcowych; oraz </w:t>
      </w:r>
    </w:p>
    <w:p w14:paraId="08C3D8B9" w14:textId="77777777" w:rsidR="006578ED" w:rsidRDefault="00A1618E">
      <w:pPr>
        <w:pStyle w:val="P68B1DB1-Normal4"/>
        <w:numPr>
          <w:ilvl w:val="0"/>
          <w:numId w:val="63"/>
        </w:numPr>
        <w:spacing w:before="120" w:after="120" w:line="240" w:lineRule="auto"/>
        <w:jc w:val="both"/>
        <w:rPr>
          <w:rFonts w:cs="Times New Roman"/>
          <w:noProof/>
        </w:rPr>
      </w:pPr>
      <w:r>
        <w:rPr>
          <w:noProof/>
        </w:rPr>
        <w:t xml:space="preserve">rozwój umiejętności ekologicznych. </w:t>
      </w:r>
    </w:p>
    <w:p w14:paraId="6DE6D20B" w14:textId="3639B141" w:rsidR="006578ED" w:rsidRDefault="00A1618E">
      <w:pPr>
        <w:pStyle w:val="P68B1DB1-Normal4"/>
        <w:spacing w:before="120" w:after="120" w:line="240" w:lineRule="auto"/>
        <w:jc w:val="both"/>
        <w:rPr>
          <w:rFonts w:cs="Times New Roman"/>
          <w:noProof/>
        </w:rPr>
      </w:pPr>
      <w:r>
        <w:rPr>
          <w:noProof/>
        </w:rPr>
        <w:t>Ponadto komponent ten ma w szczególności na celu promowanie wykorzystania energii ze źródeł odnawialnych na wyspach hiszpańskich, a także udziału obywateli za pośrednictwem społeczności energetycznych działających w zakresie energii odnawialnej.</w:t>
      </w:r>
    </w:p>
    <w:p w14:paraId="071ABE97" w14:textId="57F296D0" w:rsidR="006578ED" w:rsidRDefault="00A1618E">
      <w:pPr>
        <w:pStyle w:val="P68B1DB1-Normal4"/>
        <w:spacing w:before="120" w:after="120" w:line="240" w:lineRule="auto"/>
        <w:jc w:val="both"/>
        <w:rPr>
          <w:rFonts w:cs="Times New Roman"/>
          <w:noProof/>
        </w:rPr>
      </w:pPr>
      <w:r>
        <w:rPr>
          <w:noProof/>
        </w:rPr>
        <w:t xml:space="preserve">Komponent ten jest związany z promowaniem inwestycji w innowacje i efektywność energetyczną (zalecenie dla poszczególnych krajów </w:t>
      </w:r>
      <w:r w:rsidRPr="00A1618E">
        <w:rPr>
          <w:noProof/>
          <w:lang w:val="pl-PL"/>
        </w:rPr>
        <w:t>nr 3</w:t>
      </w:r>
      <w:r>
        <w:rPr>
          <w:noProof/>
        </w:rPr>
        <w:t xml:space="preserve"> z 20</w:t>
      </w:r>
      <w:r w:rsidRPr="00A1618E">
        <w:rPr>
          <w:noProof/>
          <w:lang w:val="pl-PL"/>
        </w:rPr>
        <w:t>19 r.</w:t>
      </w:r>
      <w:r>
        <w:rPr>
          <w:noProof/>
        </w:rPr>
        <w:t xml:space="preserve">). Promuje on również inwestycje publiczne i prywatne oraz wspiera transformację ekologiczną (zalecenie dla poszczególnych krajów </w:t>
      </w:r>
      <w:r w:rsidRPr="00A1618E">
        <w:rPr>
          <w:noProof/>
          <w:lang w:val="pl-PL"/>
        </w:rPr>
        <w:t>nr 3</w:t>
      </w:r>
      <w:r>
        <w:rPr>
          <w:noProof/>
        </w:rPr>
        <w:t xml:space="preserve"> z 20</w:t>
      </w:r>
      <w:r w:rsidRPr="00A1618E">
        <w:rPr>
          <w:noProof/>
          <w:lang w:val="pl-PL"/>
        </w:rPr>
        <w:t>20 r.</w:t>
      </w:r>
      <w:r>
        <w:rPr>
          <w:noProof/>
        </w:rPr>
        <w:t>).</w:t>
      </w:r>
    </w:p>
    <w:p w14:paraId="1018E939" w14:textId="7D96B4A3" w:rsidR="006578ED" w:rsidRPr="00A1618E" w:rsidRDefault="00A1618E">
      <w:pPr>
        <w:pStyle w:val="P68B1DB1-Normal4"/>
        <w:spacing w:before="120" w:after="120" w:line="240" w:lineRule="auto"/>
        <w:jc w:val="both"/>
        <w:rPr>
          <w:rFonts w:cs="Times New Roman"/>
          <w:noProof/>
          <w:lang w:val="pl-PL"/>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r w:rsidRPr="00A1618E">
        <w:rPr>
          <w:noProof/>
          <w:lang w:val="pl-PL"/>
        </w:rPr>
        <w:t xml:space="preserve">. </w:t>
      </w:r>
    </w:p>
    <w:p w14:paraId="2458F8B1" w14:textId="6C421106" w:rsidR="006578ED" w:rsidRDefault="00A1618E">
      <w:pPr>
        <w:pStyle w:val="P68B1DB1-Normal5"/>
        <w:spacing w:before="120" w:after="120" w:line="240" w:lineRule="auto"/>
        <w:ind w:left="709"/>
        <w:jc w:val="both"/>
        <w:rPr>
          <w:rFonts w:cs="Times New Roman"/>
          <w:i/>
          <w:noProof/>
        </w:rPr>
      </w:pPr>
      <w:r>
        <w:rPr>
          <w:noProof/>
        </w:rPr>
        <w:t xml:space="preserve">G.1. </w:t>
      </w:r>
      <w:r>
        <w:rPr>
          <w:noProof/>
        </w:rPr>
        <w:tab/>
        <w:t>Opis reform i inwestycji, które mają być finansowane z bezzwrotnego wsparcia finansowego</w:t>
      </w:r>
    </w:p>
    <w:p w14:paraId="1E488386" w14:textId="77777777" w:rsidR="006578ED" w:rsidRDefault="00A1618E">
      <w:pPr>
        <w:pStyle w:val="P68B1DB1-Normal6"/>
        <w:spacing w:before="120" w:after="120" w:line="240" w:lineRule="auto"/>
        <w:jc w:val="both"/>
        <w:rPr>
          <w:rFonts w:cs="Times New Roman"/>
          <w:noProof/>
        </w:rPr>
      </w:pPr>
      <w:r>
        <w:rPr>
          <w:noProof/>
        </w:rPr>
        <w:t>Reforma 1 (C7.R1) – Ramy regulacyjne na rzecz promowania wytwarzania energii ze źródeł odnawialnych</w:t>
      </w:r>
    </w:p>
    <w:p w14:paraId="5340AD5C" w14:textId="6E765954" w:rsidR="006578ED" w:rsidRDefault="00A1618E">
      <w:pPr>
        <w:pStyle w:val="P68B1DB1-Normal4"/>
        <w:spacing w:before="120" w:after="120" w:line="240" w:lineRule="auto"/>
        <w:jc w:val="both"/>
        <w:rPr>
          <w:rFonts w:cs="Times New Roman"/>
          <w:noProof/>
        </w:rPr>
      </w:pPr>
      <w:r>
        <w:rPr>
          <w:noProof/>
        </w:rPr>
        <w:t xml:space="preserve">Celem tego środka jest wzmocnienie ram regulacyjnych na rzecz promowania wytwarzania energii ze źródeł odnawialnych, aby zwiększyć pewność i zachęcić do prywatnych inwestycji w energię ze źródeł odnawialnych, usunąć bariery we wdrażaniu odnawialnych źródeł energii oraz poprawić ich integrację ze środowiskiem, systemem elektrycznym i z różnymi sektorami. </w:t>
      </w:r>
    </w:p>
    <w:p w14:paraId="1B4AD724" w14:textId="30F89A7C" w:rsidR="006578ED" w:rsidRDefault="00A1618E">
      <w:pPr>
        <w:pStyle w:val="P68B1DB1-Normal4"/>
        <w:spacing w:before="120" w:after="120" w:line="240" w:lineRule="auto"/>
        <w:jc w:val="both"/>
        <w:rPr>
          <w:rFonts w:cs="Times New Roman"/>
          <w:noProof/>
        </w:rPr>
      </w:pPr>
      <w:r>
        <w:rPr>
          <w:noProof/>
        </w:rPr>
        <w:t xml:space="preserve">Środek ten obejmuje szereg kroków ustawodawczych i regulacyjnych, w tym: </w:t>
      </w:r>
    </w:p>
    <w:p w14:paraId="5043E0B8" w14:textId="09488F70" w:rsidR="006578ED" w:rsidRDefault="00A1618E">
      <w:pPr>
        <w:pStyle w:val="P68B1DB1-ListParagraph7"/>
        <w:numPr>
          <w:ilvl w:val="0"/>
          <w:numId w:val="295"/>
        </w:numPr>
        <w:spacing w:before="120" w:after="120" w:line="240" w:lineRule="auto"/>
        <w:jc w:val="both"/>
        <w:rPr>
          <w:rFonts w:cs="Times New Roman"/>
          <w:noProof/>
        </w:rPr>
      </w:pPr>
      <w:r>
        <w:rPr>
          <w:noProof/>
        </w:rPr>
        <w:t>przyjęcie w czerwcu 20</w:t>
      </w:r>
      <w:r w:rsidRPr="00A1618E">
        <w:rPr>
          <w:noProof/>
          <w:lang w:val="pl-PL"/>
        </w:rPr>
        <w:t>20 r.</w:t>
      </w:r>
      <w:r>
        <w:rPr>
          <w:noProof/>
        </w:rPr>
        <w:t xml:space="preserve"> dekretu królewskiego z mocą ustawy 23/2020, który ustanawia nowy system aukcji dla wytwarzania energii ze źródeł odnawialnych i usprawnia mechanizm dostępu wytwarzania energii ze źródeł odnawialnych do sieci elektroenergetycznej; </w:t>
      </w:r>
    </w:p>
    <w:p w14:paraId="486E4DAB" w14:textId="74314D48" w:rsidR="006578ED" w:rsidRDefault="00A1618E">
      <w:pPr>
        <w:pStyle w:val="P68B1DB1-Normal4"/>
        <w:numPr>
          <w:ilvl w:val="0"/>
          <w:numId w:val="295"/>
        </w:numPr>
        <w:spacing w:before="120" w:after="120" w:line="240" w:lineRule="auto"/>
        <w:jc w:val="both"/>
        <w:rPr>
          <w:rFonts w:cs="Times New Roman"/>
          <w:noProof/>
        </w:rPr>
      </w:pPr>
      <w:r>
        <w:rPr>
          <w:noProof/>
        </w:rPr>
        <w:t>przyjęcie w listopadzie 20</w:t>
      </w:r>
      <w:r w:rsidRPr="00A1618E">
        <w:rPr>
          <w:noProof/>
          <w:lang w:val="pl-PL"/>
        </w:rPr>
        <w:t>20 r.</w:t>
      </w:r>
      <w:r>
        <w:rPr>
          <w:noProof/>
        </w:rPr>
        <w:t xml:space="preserve"> dekretu królewskiego 960/2020, który zwiększa przewidywalność dochodów uzyskiwanych z produkcji energii ze źródeł odnawialnych na nowych aukcjach; </w:t>
      </w:r>
    </w:p>
    <w:p w14:paraId="7C6CC9A8" w14:textId="7A63343A" w:rsidR="006578ED" w:rsidRDefault="00A1618E">
      <w:pPr>
        <w:pStyle w:val="P68B1DB1-Normal4"/>
        <w:numPr>
          <w:ilvl w:val="0"/>
          <w:numId w:val="295"/>
        </w:numPr>
        <w:spacing w:before="120" w:after="120" w:line="240" w:lineRule="auto"/>
        <w:jc w:val="both"/>
        <w:rPr>
          <w:rFonts w:cs="Times New Roman"/>
          <w:noProof/>
        </w:rPr>
      </w:pPr>
      <w:r>
        <w:rPr>
          <w:noProof/>
        </w:rPr>
        <w:t>Dekret królewski 1183/2020 z grudnia 20</w:t>
      </w:r>
      <w:r w:rsidRPr="00A1618E">
        <w:rPr>
          <w:noProof/>
          <w:lang w:val="pl-PL"/>
        </w:rPr>
        <w:t>20 r.</w:t>
      </w:r>
      <w:r>
        <w:rPr>
          <w:noProof/>
        </w:rPr>
        <w:t xml:space="preserve">, który reguluje warunki dostępu i przyłączenia do produkcji energii ze źródeł odnawialnych, zgodnie z przepisami dekretu królewskiego z mocą ustawy </w:t>
      </w:r>
      <w:r w:rsidRPr="00A1618E">
        <w:rPr>
          <w:noProof/>
          <w:lang w:val="pl-PL"/>
        </w:rPr>
        <w:t>nr 2</w:t>
      </w:r>
      <w:r>
        <w:rPr>
          <w:noProof/>
        </w:rPr>
        <w:t>3/2020; oraz</w:t>
      </w:r>
    </w:p>
    <w:p w14:paraId="79636C6F" w14:textId="3C3ABF3E" w:rsidR="006578ED" w:rsidRDefault="00A1618E">
      <w:pPr>
        <w:pStyle w:val="P68B1DB1-Normal4"/>
        <w:numPr>
          <w:ilvl w:val="0"/>
          <w:numId w:val="295"/>
        </w:numPr>
        <w:spacing w:before="120" w:after="120" w:line="240" w:lineRule="auto"/>
        <w:jc w:val="both"/>
        <w:rPr>
          <w:rFonts w:cs="Times New Roman"/>
          <w:noProof/>
        </w:rPr>
      </w:pPr>
      <w:r>
        <w:rPr>
          <w:noProof/>
        </w:rPr>
        <w:t>Ustawa o zmianie klimatu i transformacji energetycznej, która ma zostać przyjęta w pierwszej połowie 20</w:t>
      </w:r>
      <w:r w:rsidRPr="00A1618E">
        <w:rPr>
          <w:noProof/>
          <w:lang w:val="pl-PL"/>
        </w:rPr>
        <w:t>21 r.</w:t>
      </w:r>
      <w:r>
        <w:rPr>
          <w:noProof/>
        </w:rPr>
        <w:t xml:space="preserve">, która ustanowi w prawie cele w zakresie energii ze źródeł odnawialnych </w:t>
      </w:r>
      <w:r w:rsidRPr="00A1618E">
        <w:rPr>
          <w:noProof/>
          <w:lang w:val="pl-PL"/>
        </w:rPr>
        <w:t>na 2</w:t>
      </w:r>
      <w:r>
        <w:rPr>
          <w:noProof/>
        </w:rPr>
        <w:t>0</w:t>
      </w:r>
      <w:r w:rsidRPr="00A1618E">
        <w:rPr>
          <w:noProof/>
          <w:lang w:val="pl-PL"/>
        </w:rPr>
        <w:t>30 r.</w:t>
      </w:r>
      <w:r>
        <w:rPr>
          <w:noProof/>
        </w:rPr>
        <w:t xml:space="preserve"> oraz cel neutralności klimatycznej </w:t>
      </w:r>
      <w:r w:rsidRPr="00A1618E">
        <w:rPr>
          <w:noProof/>
          <w:lang w:val="pl-PL"/>
        </w:rPr>
        <w:t>do 2</w:t>
      </w:r>
      <w:r>
        <w:rPr>
          <w:noProof/>
        </w:rPr>
        <w:t>0</w:t>
      </w:r>
      <w:r w:rsidRPr="00A1618E">
        <w:rPr>
          <w:noProof/>
          <w:lang w:val="pl-PL"/>
        </w:rPr>
        <w:t>50 r.</w:t>
      </w:r>
      <w:r>
        <w:rPr>
          <w:noProof/>
        </w:rPr>
        <w:t xml:space="preserve"> (w tym system energii elektrycznej ze źródeł odnawialnych w 100 %). Ustawa ta obejmuje również elementy, które są istotne dla innych elementów planu (takie jak zmniejszenie barier administracyjnych i wymogi dotyczące instalacji publicznych punktów ładowania).</w:t>
      </w:r>
    </w:p>
    <w:p w14:paraId="3B7B3BD7" w14:textId="4F1783F1"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r>
        <w:rPr>
          <w:noProof/>
        </w:rPr>
        <w:t xml:space="preserve"> </w:t>
      </w:r>
    </w:p>
    <w:p w14:paraId="248D7355" w14:textId="77777777" w:rsidR="006578ED" w:rsidRDefault="00A1618E">
      <w:pPr>
        <w:pStyle w:val="P68B1DB1-Normal6"/>
        <w:spacing w:before="120" w:after="120" w:line="240" w:lineRule="auto"/>
        <w:jc w:val="both"/>
        <w:rPr>
          <w:rFonts w:cs="Times New Roman"/>
          <w:noProof/>
        </w:rPr>
      </w:pPr>
      <w:r>
        <w:rPr>
          <w:noProof/>
        </w:rPr>
        <w:t>Reforma 2 (C7.R2) – Krajowa strategia konsumpcji własnej</w:t>
      </w:r>
    </w:p>
    <w:p w14:paraId="563AF658" w14:textId="5962420C" w:rsidR="006578ED" w:rsidRDefault="00A1618E">
      <w:pPr>
        <w:pStyle w:val="P68B1DB1-Normal4"/>
        <w:spacing w:before="120" w:after="120" w:line="240" w:lineRule="auto"/>
        <w:jc w:val="both"/>
        <w:rPr>
          <w:rFonts w:cs="Times New Roman"/>
          <w:noProof/>
        </w:rPr>
      </w:pPr>
      <w:r>
        <w:rPr>
          <w:noProof/>
        </w:rPr>
        <w:t xml:space="preserve">Celem tego środka jest zwiększenie konsumpcji własnej jako alternatywnej formy wytwarzania energii ze źródeł odnawialnych, wyznaczenie celów w tym obszarze na lata 2021–2030 oraz określenie i opracowanie środków mających na celu złagodzenie głównych barier utrudniających ich wdrożenie. Konsumpcja własna przyczynia się do integracji wytwarzania energii ze źródeł odnawialnych w budynkach i środowiskach miejskich oraz zwiększa lokalne zatrudnienie. </w:t>
      </w:r>
    </w:p>
    <w:p w14:paraId="72FA2ACE" w14:textId="047A5B18" w:rsidR="006578ED" w:rsidRDefault="00A1618E">
      <w:pPr>
        <w:pStyle w:val="P68B1DB1-Normal4"/>
        <w:spacing w:before="120" w:after="120" w:line="240" w:lineRule="auto"/>
        <w:jc w:val="both"/>
        <w:rPr>
          <w:rFonts w:cs="Times New Roman"/>
          <w:noProof/>
        </w:rPr>
      </w:pPr>
      <w:r>
        <w:rPr>
          <w:noProof/>
        </w:rPr>
        <w:t>Środek ten obejmuje przyjęcie przez rząd hiszpański krajowej strategii konsumpcji własnej w drugiej połowie 20</w:t>
      </w:r>
      <w:r w:rsidRPr="00A1618E">
        <w:rPr>
          <w:noProof/>
          <w:lang w:val="pl-PL"/>
        </w:rPr>
        <w:t>21 r.</w:t>
      </w:r>
      <w:r>
        <w:rPr>
          <w:noProof/>
        </w:rPr>
        <w:t xml:space="preserve"> w celu zmniejszenia barier administracyjnych dla konsumpcji własnej. Strategia ma na celu zdiagnozowanie obecnej i potencjalnej sytuacji w Hiszpanii oraz określenie środków mających na celu: lepsza koordynacja między administracjami; rozpowszechnianie informacji wśród konsumentów i podnoszenie świadomości; określenie istniejących odpowiednich umiejętności, a także możliwości dalszego szkolenia związanych z wdrażaniem konsumpcji własnej. </w:t>
      </w:r>
    </w:p>
    <w:p w14:paraId="48BFAA29" w14:textId="647EF978" w:rsidR="006578ED" w:rsidRDefault="00A1618E">
      <w:pPr>
        <w:pStyle w:val="P68B1DB1-Normal4"/>
        <w:spacing w:before="120" w:after="120" w:line="240" w:lineRule="auto"/>
        <w:jc w:val="both"/>
        <w:rPr>
          <w:rFonts w:cs="Times New Roman"/>
          <w:noProof/>
        </w:rPr>
      </w:pPr>
      <w:r>
        <w:rPr>
          <w:noProof/>
        </w:rPr>
        <w:t xml:space="preserve">Środek ten dotyczy wdrażania kluczowych elementów krajowej strategii na rzecz konsumpcji własnej, w tym publikacji wytycznych dotyczących sposobów wspierania konsumpcji własnej oraz ukończenia szkoleń mających na celu poprawę wymaganych umiejętności. </w:t>
      </w:r>
    </w:p>
    <w:p w14:paraId="6AA14A28" w14:textId="31195C5E" w:rsidR="006578ED" w:rsidRDefault="00A1618E">
      <w:pPr>
        <w:pStyle w:val="P68B1DB1-Normal4"/>
        <w:spacing w:before="120" w:after="120" w:line="240" w:lineRule="auto"/>
        <w:jc w:val="both"/>
        <w:rPr>
          <w:rFonts w:cs="Times New Roman"/>
          <w:noProof/>
        </w:rPr>
      </w:pPr>
      <w:r>
        <w:rPr>
          <w:noProof/>
        </w:rPr>
        <w:t>Wdrożenie środka należy zakończyć do dnia 30 czerwca 20</w:t>
      </w:r>
      <w:r w:rsidRPr="00A1618E">
        <w:rPr>
          <w:noProof/>
          <w:lang w:val="pl-PL"/>
        </w:rPr>
        <w:t>23 r.</w:t>
      </w:r>
      <w:r>
        <w:rPr>
          <w:noProof/>
        </w:rPr>
        <w:t xml:space="preserve"> </w:t>
      </w:r>
    </w:p>
    <w:p w14:paraId="59B44448" w14:textId="77777777" w:rsidR="006578ED" w:rsidRDefault="00A1618E">
      <w:pPr>
        <w:pStyle w:val="P68B1DB1-Normal6"/>
        <w:spacing w:before="120" w:after="120" w:line="240" w:lineRule="auto"/>
        <w:jc w:val="both"/>
        <w:rPr>
          <w:rFonts w:cs="Times New Roman"/>
          <w:noProof/>
        </w:rPr>
      </w:pPr>
      <w:r>
        <w:rPr>
          <w:noProof/>
        </w:rPr>
        <w:t>Reforma 3 (C7.R3) – Rozwój społeczności energetycznych</w:t>
      </w:r>
    </w:p>
    <w:p w14:paraId="25766895" w14:textId="080754AE" w:rsidR="006578ED" w:rsidRDefault="00A1618E">
      <w:pPr>
        <w:pStyle w:val="P68B1DB1-Normal4"/>
        <w:spacing w:before="120" w:after="120" w:line="240" w:lineRule="auto"/>
        <w:jc w:val="both"/>
        <w:rPr>
          <w:rFonts w:cs="Times New Roman"/>
          <w:noProof/>
        </w:rPr>
      </w:pPr>
      <w:r>
        <w:rPr>
          <w:noProof/>
        </w:rPr>
        <w:t xml:space="preserve">Celem tego środka jest rozwój społeczności energetycznych w celu zwiększenia udziału obywateli w transformacji energetycznej za pośrednictwem społeczności energetycznych działających w zakresie energii odnawialnej i obywatelskich społeczności energetycznych. Środek ten będzie wspierał szkolenia, procesy budowania partycypacji i społeczności oraz wsparcie dla konkretnych projektów. </w:t>
      </w:r>
    </w:p>
    <w:p w14:paraId="483AED78" w14:textId="0FA6859D" w:rsidR="006578ED" w:rsidRDefault="00A1618E">
      <w:pPr>
        <w:pStyle w:val="P68B1DB1-Normal4"/>
        <w:spacing w:before="120" w:after="120" w:line="240" w:lineRule="auto"/>
        <w:jc w:val="both"/>
        <w:rPr>
          <w:rFonts w:cs="Times New Roman"/>
          <w:noProof/>
        </w:rPr>
      </w:pPr>
      <w:r>
        <w:rPr>
          <w:noProof/>
        </w:rPr>
        <w:t>W ramach środka przyznaje się pierwszy projekt pilotażowy dla społeczności energetycznych na podstawie konkurencyjnego zaproszenia do składania ofert w celu wykazania wykonalności tego modelu. Do końca 20</w:t>
      </w:r>
      <w:r w:rsidRPr="00A1618E">
        <w:rPr>
          <w:noProof/>
          <w:lang w:val="pl-PL"/>
        </w:rPr>
        <w:t>24 r.</w:t>
      </w:r>
      <w:r>
        <w:rPr>
          <w:noProof/>
        </w:rPr>
        <w:t xml:space="preserve"> Komisja wdroży 37 projektów pilotażowych z udziałem społeczności lokalnej, wraz z planem działania i określeniem odpowiednich przyszłych kroków. Projekty te opierają się na energii ze źródeł odnawialnych. </w:t>
      </w:r>
    </w:p>
    <w:p w14:paraId="7D97F96C" w14:textId="52B6F799" w:rsidR="006578ED" w:rsidRDefault="00A1618E">
      <w:pPr>
        <w:pStyle w:val="P68B1DB1-Normal4"/>
        <w:spacing w:before="120" w:after="120" w:line="240" w:lineRule="auto"/>
        <w:jc w:val="both"/>
        <w:rPr>
          <w:rFonts w:cs="Times New Roman"/>
          <w:noProof/>
        </w:rPr>
      </w:pPr>
      <w:r>
        <w:rPr>
          <w:noProof/>
        </w:rPr>
        <w:t>Wdrożenie środka musi zostać zakończone do dnia 31 grudnia 20</w:t>
      </w:r>
      <w:r w:rsidRPr="00A1618E">
        <w:rPr>
          <w:noProof/>
          <w:lang w:val="pl-PL"/>
        </w:rPr>
        <w:t>24 r.</w:t>
      </w:r>
      <w:r>
        <w:rPr>
          <w:noProof/>
        </w:rPr>
        <w:t xml:space="preserve"> </w:t>
      </w:r>
    </w:p>
    <w:p w14:paraId="2BB0E1F3" w14:textId="0FA92E9A" w:rsidR="006578ED" w:rsidRDefault="00A1618E">
      <w:pPr>
        <w:pStyle w:val="P68B1DB1-Normal6"/>
        <w:spacing w:before="120" w:after="120" w:line="240" w:lineRule="auto"/>
        <w:jc w:val="both"/>
        <w:rPr>
          <w:rFonts w:cs="Times New Roman"/>
          <w:noProof/>
        </w:rPr>
      </w:pPr>
      <w:r>
        <w:rPr>
          <w:noProof/>
        </w:rPr>
        <w:t>Reforma 4 (C7.R4) – Ramy innowacji i rozwoju technologicznego w dziedzinie energii odnawialnej</w:t>
      </w:r>
    </w:p>
    <w:p w14:paraId="58BF458E" w14:textId="38C53080" w:rsidR="006578ED" w:rsidRDefault="00A1618E">
      <w:pPr>
        <w:pStyle w:val="P68B1DB1-Normal4"/>
        <w:spacing w:before="120" w:after="120" w:line="240" w:lineRule="auto"/>
        <w:jc w:val="both"/>
        <w:rPr>
          <w:rFonts w:cs="Times New Roman"/>
          <w:noProof/>
        </w:rPr>
      </w:pPr>
      <w:r>
        <w:rPr>
          <w:noProof/>
        </w:rPr>
        <w:t xml:space="preserve">Środek ten wzmacnia ramy innowacji i rozwoju technologicznego szeregu odnawialnych źródeł energii oraz przyczynia się do postępów w realizacji celu, jakim jest 100 % udziału odnawialnych źródeł energii w zapotrzebowaniu na energię. Odnawialne źródła energii objęte tym środkiem obejmują morską energię wiatrową i biogaz. Środek ten ułatwia również badania i rozwój w zakresie technologii odnawialnych. </w:t>
      </w:r>
    </w:p>
    <w:p w14:paraId="7D861CFF" w14:textId="2CAC418C" w:rsidR="006578ED" w:rsidRDefault="00A1618E">
      <w:pPr>
        <w:pStyle w:val="P68B1DB1-Normal4"/>
        <w:spacing w:before="120" w:after="120" w:line="240" w:lineRule="auto"/>
        <w:jc w:val="both"/>
        <w:rPr>
          <w:rFonts w:cs="Times New Roman"/>
          <w:noProof/>
        </w:rPr>
      </w:pPr>
      <w:r>
        <w:rPr>
          <w:noProof/>
        </w:rPr>
        <w:t>Środek ten obejmuje publikację planu działania w zakresie morskiej energii wiatrowej i innej energii morskiej. Celem tego planu działania jest zmniejszenie barier administracyjnych utrudniających rozwój tego źródła energii ze źródeł odnawialnych. W szczególności plan działania ma na celu: promowanie badań, rozwoju i innowacji poprzez bardziej elastyczne ramy regulacyjne oraz poprzez wzmocnienie ośrodków technologicznych i platform testowych dla nowych prototypów; określenie możliwości i synergii z kluczowymi sektorami przemysłu; opracowanie odpowiednich ram regulacyjnych dotyczących wdrażania w Hiszpanii (zwłaszcza technologii pływających); oraz d) określenie środków minimalizujących wpływ na środowisko (przy jednoczesnym dążeniu do uproszczenia procedur administracyjnych). Środek ten wdraża kluczowe środki regulacyjne określone w planie działania w celu promowania morskich farm wiatrowych, pobudzenia badań i rozwoju oraz wspierania wdrażania technologii pływających.</w:t>
      </w:r>
    </w:p>
    <w:p w14:paraId="4E54DCE7" w14:textId="0D40EBCF" w:rsidR="006578ED" w:rsidRDefault="00A1618E">
      <w:pPr>
        <w:pStyle w:val="P68B1DB1-Normal4"/>
        <w:spacing w:before="120" w:after="120" w:line="240" w:lineRule="auto"/>
        <w:jc w:val="both"/>
        <w:rPr>
          <w:rFonts w:cs="Times New Roman"/>
          <w:noProof/>
        </w:rPr>
      </w:pPr>
      <w:r>
        <w:rPr>
          <w:noProof/>
        </w:rPr>
        <w:t xml:space="preserve">Drugim elementem tego środka jest publikacja planu działania na rzecz biogazu, w którym analizuje się odpowiednie narzędzia regulacyjne i sektorowe służące promowaniu biogazu, ze szczególnym uwzględnieniem efektywnego wykorzystania tego źródła energii (np. w zastosowaniach rolno-przemysłowych oraz w przypadku pojazdów ciężkich, w przypadku których elektryfikacja nie jest jeszcze alternatywą). Ta część reformy dotyczy realizacji kluczowych działań przewidzianych w planie działania dotyczącym biogazu, w tym: ustanowienie systemu gwarancji pochodzenia gazów odnawialnych, mającego na celu wspieranie inwestycji w biogaz i obniżenie emisyjności sektorów takich jak przemysł i transport; opracowanie narzędzia służącego do obliczania wkładu biogazu w dekarbonizację; oraz c) wstępne badania wykonalności mające na celu promowanie wdrażania instalacji do produkcji biogazu. </w:t>
      </w:r>
    </w:p>
    <w:p w14:paraId="31D254F7" w14:textId="14086DA9"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p>
    <w:p w14:paraId="6C72BB72" w14:textId="0B2C155C" w:rsidR="006578ED" w:rsidRDefault="00A1618E">
      <w:pPr>
        <w:pStyle w:val="P68B1DB1-Normal6"/>
        <w:spacing w:before="120" w:after="120" w:line="240" w:lineRule="auto"/>
        <w:jc w:val="both"/>
        <w:rPr>
          <w:rFonts w:cs="Times New Roman"/>
          <w:noProof/>
        </w:rPr>
      </w:pPr>
      <w:r>
        <w:rPr>
          <w:noProof/>
        </w:rPr>
        <w:t>Inwestycja 1 (C7.I1) – Rozwój innowacyjnych odnawialnych źródeł energii, zintegrowanych z budynkami i procesami produkcyjnymi</w:t>
      </w:r>
    </w:p>
    <w:p w14:paraId="6D9582E1" w14:textId="2E3E2BC3" w:rsidR="006578ED" w:rsidRDefault="00A1618E">
      <w:pPr>
        <w:pStyle w:val="P68B1DB1-Normal4"/>
        <w:spacing w:before="120" w:after="120" w:line="240" w:lineRule="auto"/>
        <w:jc w:val="both"/>
        <w:rPr>
          <w:rFonts w:cs="Times New Roman"/>
          <w:noProof/>
        </w:rPr>
      </w:pPr>
      <w:r>
        <w:rPr>
          <w:noProof/>
        </w:rPr>
        <w:t xml:space="preserve">Celem tego środka jest wspieranie rozwoju innowacyjnych odnawialnych źródeł energii oraz tych, które mają zostać włączone do budynków i procesów produkcyjnych. Wspiera on prosumpcję energii ze źródeł odnawialnych i technologie, które nie są jeszcze w pełni konkurencyjne, w tym odnawialne źródła energii elektrycznej i cieplnej w sektorze rolnym, odnawialne źródła ukierunkowane na potrzeby chłodzenia/ogrzewania w sektorze mieszkaniowym i usługowym, energię cieplną ze źródeł odnawialnych na potrzeby procesów przemysłowych, bioenergię i morskie odnawialne źródła energii. Wsparcie będzie miało formę pomocy inwestycyjnej przyznawanej w drodze przetargów zapewniających efekt racjonalny pod względem kosztów lub bezpośredniego wsparcia kapitałowego dla projektów w zakresie energii odnawialnej. Inwestycja wspierałaby również przekwalifikowanie i podnoszenie kwalifikacji w dziedzinie wytwarzania energii ze źródeł odnawialnych. </w:t>
      </w:r>
    </w:p>
    <w:p w14:paraId="73AEC436" w14:textId="08B2B63B" w:rsidR="006578ED" w:rsidRDefault="00A1618E">
      <w:pPr>
        <w:pStyle w:val="P68B1DB1-Normal4"/>
        <w:spacing w:before="120" w:after="120" w:line="240" w:lineRule="auto"/>
        <w:jc w:val="both"/>
        <w:rPr>
          <w:rFonts w:cs="Times New Roman"/>
          <w:noProof/>
        </w:rPr>
      </w:pPr>
      <w:r>
        <w:rPr>
          <w:noProof/>
        </w:rPr>
        <w:t>Do pierwszej połowy 20</w:t>
      </w:r>
      <w:r w:rsidRPr="00A1618E">
        <w:rPr>
          <w:noProof/>
          <w:lang w:val="pl-PL"/>
        </w:rPr>
        <w:t>26 r.</w:t>
      </w:r>
      <w:r>
        <w:rPr>
          <w:noProof/>
        </w:rPr>
        <w:t xml:space="preserve"> w ramach tej inwestycji zainstaluje się w ramach tej inwestycji co najmniej 3 800 MW produkcji innowacyjnej lub o wartości dodanej.</w:t>
      </w:r>
    </w:p>
    <w:p w14:paraId="3D18D682" w14:textId="48F91D8E"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r>
        <w:rPr>
          <w:noProof/>
        </w:rPr>
        <w:t xml:space="preserve"> </w:t>
      </w:r>
    </w:p>
    <w:p w14:paraId="60E0F2E7" w14:textId="77777777" w:rsidR="006578ED" w:rsidRDefault="00A1618E">
      <w:pPr>
        <w:pStyle w:val="P68B1DB1-Normal6"/>
        <w:spacing w:before="120" w:after="120" w:line="240" w:lineRule="auto"/>
        <w:jc w:val="both"/>
        <w:rPr>
          <w:rFonts w:cs="Times New Roman"/>
          <w:noProof/>
        </w:rPr>
      </w:pPr>
      <w:r>
        <w:rPr>
          <w:noProof/>
        </w:rPr>
        <w:t>Inwestycje 2 (C7.I2) – Zrównoważona energia na wyspach</w:t>
      </w:r>
    </w:p>
    <w:p w14:paraId="2F377D1A" w14:textId="25E6B1E1" w:rsidR="006578ED" w:rsidRDefault="00A1618E">
      <w:pPr>
        <w:pStyle w:val="P68B1DB1-Normal4"/>
        <w:spacing w:before="120" w:after="120" w:line="240" w:lineRule="auto"/>
        <w:jc w:val="both"/>
        <w:rPr>
          <w:rFonts w:cs="Times New Roman"/>
          <w:noProof/>
        </w:rPr>
      </w:pPr>
      <w:r>
        <w:rPr>
          <w:noProof/>
        </w:rPr>
        <w:t>Inwestycja ta ma wspierać zrównoważoną energię na wyspach hiszpańskich (wyspy Kanaryjskie i Balearów) w ramach szerszej strategii wspierania transformacji energetycznej na wyspach, w szczególności poprzez wspieranie projektów dotyczących penetracji i integracji energii ze źródeł odnawialnych na wyspach i systemach innych niż półwyspy. Jest to zgodne z hiszpańskim krajowym planem w dziedzinie energii i klimatu, który obejmuje działania na rzecz dekarbonizacji wysp i zmniejszenia ich zależności od ropy naftowej.</w:t>
      </w:r>
    </w:p>
    <w:p w14:paraId="085FD631" w14:textId="7A0D479F" w:rsidR="006578ED" w:rsidRPr="00A1618E" w:rsidRDefault="00A1618E">
      <w:pPr>
        <w:pStyle w:val="P68B1DB1-Normal4"/>
        <w:spacing w:before="120" w:after="120" w:line="240" w:lineRule="auto"/>
        <w:jc w:val="both"/>
        <w:rPr>
          <w:rFonts w:cs="Times New Roman"/>
          <w:noProof/>
          <w:lang w:val="pl-PL"/>
        </w:rPr>
      </w:pPr>
      <w:r>
        <w:rPr>
          <w:noProof/>
        </w:rPr>
        <w:t>Konkretne inwestycje, które mają być wspierane, obejmują odnawialne źródła energii elektrycznej, rozwiązania w zakresie magazynowania i inteligentne projekty (w ramach programu „Inteligentne wyspy”). Część działań w ramach tej inwestycji będzie opierać się na wiedzy zdobytej w ramach programu „Czysta energia dla wysp UE”</w:t>
      </w:r>
      <w:r w:rsidRPr="00A1618E">
        <w:rPr>
          <w:noProof/>
          <w:lang w:val="pl-PL"/>
        </w:rPr>
        <w:t xml:space="preserve">. </w:t>
      </w:r>
    </w:p>
    <w:p w14:paraId="0F983BEF" w14:textId="23BA0687" w:rsidR="006578ED" w:rsidRDefault="00A1618E">
      <w:pPr>
        <w:pStyle w:val="P68B1DB1-Normal4"/>
        <w:spacing w:before="120" w:after="120" w:line="240" w:lineRule="auto"/>
        <w:jc w:val="both"/>
        <w:rPr>
          <w:rFonts w:cs="Times New Roman"/>
          <w:noProof/>
        </w:rPr>
      </w:pPr>
      <w:r>
        <w:rPr>
          <w:noProof/>
        </w:rPr>
        <w:t>W ramach tej inwestycji instaluje się co najmniej 180 MW wytwarzania energii ze źródeł odnawialnych, a także co najmniej 600 działań, projektów lub programów wspieranych lub realizowanych, w tym: programy lub biura dynamizacji, plany działania wysp, projekty inwestycyjne lub pomocowe związane z programami „Inteligentne wyspy” lub „Czysta energia dla wysp UE”, projektami w zakresie zrównoważonej energii odnawialnej lub magazynowania energii odnawialnej.</w:t>
      </w:r>
    </w:p>
    <w:p w14:paraId="408422B9" w14:textId="6102596B" w:rsidR="006578ED" w:rsidRDefault="00A1618E">
      <w:pPr>
        <w:pStyle w:val="P68B1DB1-Normal4"/>
        <w:spacing w:before="120" w:after="120" w:line="240" w:lineRule="auto"/>
        <w:jc w:val="both"/>
        <w:rPr>
          <w:rFonts w:cs="Times New Roman"/>
          <w:noProof/>
        </w:rPr>
      </w:pPr>
      <w:r>
        <w:rPr>
          <w:noProof/>
        </w:rPr>
        <w:t>Realizacja reformy zakończy się do dnia 30 czerwca 20</w:t>
      </w:r>
      <w:r w:rsidRPr="00A1618E">
        <w:rPr>
          <w:noProof/>
          <w:lang w:val="pl-PL"/>
        </w:rPr>
        <w:t>26 r.</w:t>
      </w:r>
      <w:r>
        <w:rPr>
          <w:noProof/>
        </w:rPr>
        <w:t xml:space="preserve"> </w:t>
      </w:r>
    </w:p>
    <w:p w14:paraId="7D397997" w14:textId="0C3EAC94" w:rsidR="006578ED" w:rsidRDefault="00A1618E">
      <w:pPr>
        <w:pStyle w:val="P68B1DB1-Normal5"/>
        <w:keepNext/>
        <w:spacing w:before="120" w:after="120" w:line="240" w:lineRule="auto"/>
        <w:ind w:left="709"/>
        <w:jc w:val="both"/>
        <w:rPr>
          <w:rFonts w:cs="Times New Roman"/>
          <w:noProof/>
        </w:rPr>
      </w:pPr>
      <w:r>
        <w:rPr>
          <w:noProof/>
        </w:rPr>
        <w:t xml:space="preserve">G.2. </w:t>
      </w:r>
      <w:r>
        <w:rPr>
          <w:noProof/>
        </w:rPr>
        <w:tab/>
        <w:t>Kamienie milowe, wartości docelowe, wskaźniki i harmonogram monitorowania i realizacji na potrzeby bezzwrotnego wsparcia finansowego</w:t>
      </w:r>
    </w:p>
    <w:p w14:paraId="2B466D42" w14:textId="61F5CAD9" w:rsidR="006578ED" w:rsidRDefault="00A1618E">
      <w:pPr>
        <w:pStyle w:val="P68B1DB1-Normal18"/>
        <w:keepNext/>
        <w:spacing w:before="120" w:after="120" w:line="240" w:lineRule="auto"/>
        <w:rPr>
          <w:rFonts w:cs="Times New Roman"/>
          <w:noProof/>
          <w:u w:val="single"/>
        </w:rPr>
        <w:sectPr w:rsidR="006578ED" w:rsidSect="0035659C">
          <w:headerReference w:type="even" r:id="rId174"/>
          <w:headerReference w:type="default" r:id="rId175"/>
          <w:footerReference w:type="even" r:id="rId176"/>
          <w:footerReference w:type="default" r:id="rId177"/>
          <w:headerReference w:type="first" r:id="rId178"/>
          <w:footerReference w:type="first" r:id="rId179"/>
          <w:pgSz w:w="11907" w:h="16839"/>
          <w:pgMar w:top="1134" w:right="1417" w:bottom="1134" w:left="1417" w:header="709" w:footer="709" w:gutter="0"/>
          <w:cols w:space="720"/>
          <w:docGrid w:linePitch="360"/>
        </w:sectPr>
      </w:pPr>
      <w:r>
        <w:rPr>
          <w:noProof/>
        </w:rPr>
        <w:t>Zob. tabela poniżej. Datą odniesienia dla wszystkich wskaźników jest dzień 1 lutego 20</w:t>
      </w:r>
      <w:r w:rsidRPr="00A1618E">
        <w:rPr>
          <w:noProof/>
          <w:lang w:val="pl-PL"/>
        </w:rPr>
        <w:t>20 r.</w:t>
      </w:r>
      <w:r>
        <w:rPr>
          <w:noProof/>
        </w:rPr>
        <w:t>, chyba że w opisie działania wskazano inaczej. Kwoty w tabeli nie obejmują VAT.</w:t>
      </w: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276"/>
        <w:gridCol w:w="850"/>
        <w:gridCol w:w="709"/>
        <w:gridCol w:w="737"/>
        <w:gridCol w:w="567"/>
        <w:gridCol w:w="567"/>
        <w:gridCol w:w="5217"/>
      </w:tblGrid>
      <w:tr w:rsidR="006578ED" w14:paraId="43629D1D" w14:textId="77777777">
        <w:trPr>
          <w:trHeight w:val="309"/>
          <w:tblHeader/>
        </w:trPr>
        <w:tc>
          <w:tcPr>
            <w:tcW w:w="709" w:type="dxa"/>
            <w:tcBorders>
              <w:bottom w:val="nil"/>
            </w:tcBorders>
            <w:shd w:val="clear" w:color="auto" w:fill="C6D9F1" w:themeFill="text2" w:themeFillTint="33"/>
            <w:noWrap/>
            <w:vAlign w:val="center"/>
          </w:tcPr>
          <w:p w14:paraId="1137F6FE"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2D2030B1"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7A014B3E" w14:textId="04D3A47F"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977" w:type="dxa"/>
            <w:tcBorders>
              <w:bottom w:val="nil"/>
            </w:tcBorders>
            <w:shd w:val="clear" w:color="auto" w:fill="C6D9F1" w:themeFill="text2" w:themeFillTint="33"/>
            <w:noWrap/>
            <w:vAlign w:val="center"/>
          </w:tcPr>
          <w:p w14:paraId="76B22AC8" w14:textId="77777777" w:rsidR="006578ED" w:rsidRDefault="00A1618E">
            <w:pPr>
              <w:pStyle w:val="P68B1DB1-Normal12"/>
              <w:spacing w:after="0" w:line="240" w:lineRule="auto"/>
              <w:jc w:val="center"/>
              <w:rPr>
                <w:rFonts w:cs="Times New Roman"/>
                <w:noProof/>
              </w:rPr>
            </w:pPr>
            <w:r>
              <w:rPr>
                <w:noProof/>
              </w:rPr>
              <w:t>Nazwa</w:t>
            </w:r>
          </w:p>
        </w:tc>
        <w:tc>
          <w:tcPr>
            <w:tcW w:w="1276" w:type="dxa"/>
            <w:tcBorders>
              <w:bottom w:val="nil"/>
            </w:tcBorders>
            <w:shd w:val="clear" w:color="auto" w:fill="C6D9F1" w:themeFill="text2" w:themeFillTint="33"/>
            <w:noWrap/>
            <w:vAlign w:val="center"/>
          </w:tcPr>
          <w:p w14:paraId="2DDB3F40"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296" w:type="dxa"/>
            <w:gridSpan w:val="3"/>
            <w:shd w:val="clear" w:color="auto" w:fill="C6D9F1" w:themeFill="text2" w:themeFillTint="33"/>
            <w:noWrap/>
            <w:vAlign w:val="center"/>
          </w:tcPr>
          <w:p w14:paraId="3218836D"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134" w:type="dxa"/>
            <w:gridSpan w:val="2"/>
            <w:shd w:val="clear" w:color="auto" w:fill="C6D9F1" w:themeFill="text2" w:themeFillTint="33"/>
            <w:noWrap/>
            <w:vAlign w:val="center"/>
          </w:tcPr>
          <w:p w14:paraId="1DEC776A" w14:textId="77777777" w:rsidR="006578ED" w:rsidRDefault="00A1618E">
            <w:pPr>
              <w:pStyle w:val="P68B1DB1-Normal12"/>
              <w:spacing w:after="0" w:line="240" w:lineRule="auto"/>
              <w:jc w:val="center"/>
              <w:rPr>
                <w:rFonts w:cs="Times New Roman"/>
                <w:noProof/>
              </w:rPr>
            </w:pPr>
            <w:r>
              <w:rPr>
                <w:noProof/>
              </w:rPr>
              <w:t>Czas</w:t>
            </w:r>
          </w:p>
        </w:tc>
        <w:tc>
          <w:tcPr>
            <w:tcW w:w="5217" w:type="dxa"/>
            <w:tcBorders>
              <w:bottom w:val="nil"/>
            </w:tcBorders>
            <w:shd w:val="clear" w:color="auto" w:fill="C6D9F1" w:themeFill="text2" w:themeFillTint="33"/>
            <w:noWrap/>
            <w:vAlign w:val="center"/>
          </w:tcPr>
          <w:p w14:paraId="3B519A6D" w14:textId="79F3BC6F"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600D2986" w14:textId="77777777">
        <w:trPr>
          <w:trHeight w:val="309"/>
          <w:tblHeader/>
        </w:trPr>
        <w:tc>
          <w:tcPr>
            <w:tcW w:w="709" w:type="dxa"/>
            <w:tcBorders>
              <w:top w:val="nil"/>
            </w:tcBorders>
            <w:shd w:val="clear" w:color="auto" w:fill="C6D9F1" w:themeFill="text2" w:themeFillTint="33"/>
            <w:noWrap/>
          </w:tcPr>
          <w:p w14:paraId="562C75D1"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664355AD"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A965116" w14:textId="77777777" w:rsidR="006578ED" w:rsidRDefault="006578ED">
            <w:pPr>
              <w:spacing w:after="0" w:line="240" w:lineRule="auto"/>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7DF4E37C" w14:textId="77777777" w:rsidR="006578ED" w:rsidRDefault="006578ED">
            <w:pPr>
              <w:spacing w:after="0" w:line="240" w:lineRule="auto"/>
              <w:rPr>
                <w:rFonts w:ascii="Times New Roman" w:hAnsi="Times New Roman" w:cs="Times New Roman"/>
                <w:b/>
                <w:noProof/>
                <w:sz w:val="18"/>
              </w:rPr>
            </w:pPr>
          </w:p>
        </w:tc>
        <w:tc>
          <w:tcPr>
            <w:tcW w:w="1276" w:type="dxa"/>
            <w:tcBorders>
              <w:top w:val="nil"/>
            </w:tcBorders>
            <w:shd w:val="clear" w:color="auto" w:fill="C6D9F1" w:themeFill="text2" w:themeFillTint="33"/>
            <w:noWrap/>
          </w:tcPr>
          <w:p w14:paraId="44FB30F8"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701EC728" w14:textId="77777777" w:rsidR="006578ED" w:rsidRDefault="00A1618E">
            <w:pPr>
              <w:pStyle w:val="P68B1DB1-Normal12"/>
              <w:spacing w:after="0" w:line="240" w:lineRule="auto"/>
              <w:jc w:val="center"/>
              <w:rPr>
                <w:rFonts w:cs="Times New Roman"/>
                <w:noProof/>
              </w:rPr>
            </w:pPr>
            <w:r>
              <w:rPr>
                <w:noProof/>
              </w:rPr>
              <w:t>Jednostka</w:t>
            </w:r>
          </w:p>
        </w:tc>
        <w:tc>
          <w:tcPr>
            <w:tcW w:w="709" w:type="dxa"/>
            <w:shd w:val="clear" w:color="auto" w:fill="C6D9F1" w:themeFill="text2" w:themeFillTint="33"/>
            <w:noWrap/>
          </w:tcPr>
          <w:p w14:paraId="7D9F17E7" w14:textId="77777777" w:rsidR="006578ED" w:rsidRDefault="00A1618E">
            <w:pPr>
              <w:pStyle w:val="P68B1DB1-Normal12"/>
              <w:spacing w:after="0" w:line="240" w:lineRule="auto"/>
              <w:jc w:val="center"/>
              <w:rPr>
                <w:rFonts w:cs="Times New Roman"/>
                <w:noProof/>
              </w:rPr>
            </w:pPr>
            <w:r>
              <w:rPr>
                <w:noProof/>
              </w:rPr>
              <w:t>Bazowy</w:t>
            </w:r>
          </w:p>
        </w:tc>
        <w:tc>
          <w:tcPr>
            <w:tcW w:w="737" w:type="dxa"/>
            <w:shd w:val="clear" w:color="auto" w:fill="C6D9F1" w:themeFill="text2" w:themeFillTint="33"/>
            <w:noWrap/>
          </w:tcPr>
          <w:p w14:paraId="3D8A4BCD" w14:textId="77777777" w:rsidR="006578ED" w:rsidRDefault="00A1618E">
            <w:pPr>
              <w:pStyle w:val="P68B1DB1-Normal12"/>
              <w:spacing w:after="0" w:line="240" w:lineRule="auto"/>
              <w:jc w:val="center"/>
              <w:rPr>
                <w:rFonts w:cs="Times New Roman"/>
                <w:noProof/>
              </w:rPr>
            </w:pPr>
            <w:r>
              <w:rPr>
                <w:noProof/>
              </w:rPr>
              <w:t>Cel</w:t>
            </w:r>
          </w:p>
        </w:tc>
        <w:tc>
          <w:tcPr>
            <w:tcW w:w="567" w:type="dxa"/>
            <w:shd w:val="clear" w:color="auto" w:fill="C6D9F1" w:themeFill="text2" w:themeFillTint="33"/>
            <w:noWrap/>
          </w:tcPr>
          <w:p w14:paraId="0C327E37"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00A6A508" w14:textId="77777777" w:rsidR="006578ED" w:rsidRDefault="00A1618E">
            <w:pPr>
              <w:pStyle w:val="P68B1DB1-Normal12"/>
              <w:spacing w:after="0" w:line="240" w:lineRule="auto"/>
              <w:jc w:val="center"/>
              <w:rPr>
                <w:rFonts w:cs="Times New Roman"/>
                <w:noProof/>
              </w:rPr>
            </w:pPr>
            <w:r>
              <w:rPr>
                <w:noProof/>
              </w:rPr>
              <w:t>Rok</w:t>
            </w:r>
          </w:p>
        </w:tc>
        <w:tc>
          <w:tcPr>
            <w:tcW w:w="5217" w:type="dxa"/>
            <w:tcBorders>
              <w:top w:val="nil"/>
            </w:tcBorders>
            <w:shd w:val="clear" w:color="auto" w:fill="C6D9F1" w:themeFill="text2" w:themeFillTint="33"/>
            <w:noWrap/>
          </w:tcPr>
          <w:p w14:paraId="1DA6542E" w14:textId="77777777" w:rsidR="006578ED" w:rsidRDefault="006578ED">
            <w:pPr>
              <w:spacing w:after="0" w:line="240" w:lineRule="auto"/>
              <w:rPr>
                <w:rFonts w:ascii="Times New Roman" w:hAnsi="Times New Roman" w:cs="Times New Roman"/>
                <w:b/>
                <w:noProof/>
                <w:sz w:val="18"/>
              </w:rPr>
            </w:pPr>
          </w:p>
        </w:tc>
      </w:tr>
      <w:tr w:rsidR="006578ED" w14:paraId="26963381" w14:textId="77777777">
        <w:trPr>
          <w:trHeight w:val="309"/>
        </w:trPr>
        <w:tc>
          <w:tcPr>
            <w:tcW w:w="709" w:type="dxa"/>
            <w:shd w:val="clear" w:color="auto" w:fill="C6EFCE"/>
            <w:noWrap/>
          </w:tcPr>
          <w:p w14:paraId="69F24933" w14:textId="77777777" w:rsidR="006578ED" w:rsidRDefault="00A1618E">
            <w:pPr>
              <w:pStyle w:val="P68B1DB1-Normal13"/>
              <w:spacing w:after="0" w:line="240" w:lineRule="auto"/>
              <w:jc w:val="center"/>
              <w:rPr>
                <w:rFonts w:eastAsia="Calibri" w:cs="Times New Roman"/>
                <w:noProof/>
              </w:rPr>
            </w:pPr>
            <w:r>
              <w:rPr>
                <w:noProof/>
              </w:rPr>
              <w:t>102</w:t>
            </w:r>
          </w:p>
        </w:tc>
        <w:tc>
          <w:tcPr>
            <w:tcW w:w="851" w:type="dxa"/>
            <w:shd w:val="clear" w:color="auto" w:fill="C6EFCE"/>
            <w:noWrap/>
          </w:tcPr>
          <w:p w14:paraId="7BFFF9DE" w14:textId="77777777" w:rsidR="006578ED" w:rsidRDefault="00A1618E">
            <w:pPr>
              <w:pStyle w:val="P68B1DB1-Normal13"/>
              <w:spacing w:after="0" w:line="240" w:lineRule="auto"/>
              <w:jc w:val="center"/>
              <w:rPr>
                <w:rFonts w:eastAsia="Calibri" w:cs="Times New Roman"/>
                <w:noProof/>
              </w:rPr>
            </w:pPr>
            <w:r>
              <w:rPr>
                <w:noProof/>
              </w:rPr>
              <w:t>C7.R1</w:t>
            </w:r>
          </w:p>
        </w:tc>
        <w:tc>
          <w:tcPr>
            <w:tcW w:w="850" w:type="dxa"/>
            <w:shd w:val="clear" w:color="auto" w:fill="C6EFCE"/>
            <w:noWrap/>
          </w:tcPr>
          <w:p w14:paraId="5F9049A3" w14:textId="66070AB0" w:rsidR="006578ED" w:rsidRDefault="00AF6B91">
            <w:pPr>
              <w:pStyle w:val="P68B1DB1-Normal13"/>
              <w:spacing w:after="0" w:line="240" w:lineRule="auto"/>
              <w:jc w:val="center"/>
              <w:rPr>
                <w:rFonts w:eastAsia="Calibri" w:cs="Times New Roman"/>
                <w:noProof/>
              </w:rPr>
            </w:pPr>
            <w:r>
              <w:rPr>
                <w:noProof/>
              </w:rPr>
              <w:t>Kamień milowy</w:t>
            </w:r>
          </w:p>
        </w:tc>
        <w:tc>
          <w:tcPr>
            <w:tcW w:w="2977" w:type="dxa"/>
            <w:shd w:val="clear" w:color="auto" w:fill="C6EFCE"/>
            <w:noWrap/>
          </w:tcPr>
          <w:p w14:paraId="0918C12D" w14:textId="000526F9" w:rsidR="006578ED" w:rsidRDefault="00A1618E">
            <w:pPr>
              <w:pStyle w:val="P68B1DB1-Normal13"/>
              <w:spacing w:after="0" w:line="240" w:lineRule="auto"/>
              <w:rPr>
                <w:rFonts w:eastAsia="Calibri" w:cs="Times New Roman"/>
                <w:noProof/>
              </w:rPr>
            </w:pPr>
            <w:r>
              <w:rPr>
                <w:noProof/>
              </w:rPr>
              <w:t>Wejście w życie dekretu królewskiego z mocą ustawy 23/2020 (środki w dziedzinie energii)</w:t>
            </w:r>
          </w:p>
        </w:tc>
        <w:tc>
          <w:tcPr>
            <w:tcW w:w="1276" w:type="dxa"/>
            <w:shd w:val="clear" w:color="auto" w:fill="C6EFCE"/>
            <w:noWrap/>
          </w:tcPr>
          <w:p w14:paraId="51A46B4C" w14:textId="50C64644" w:rsidR="006578ED" w:rsidRDefault="00A1618E">
            <w:pPr>
              <w:pStyle w:val="P68B1DB1-Normal13"/>
              <w:spacing w:after="0" w:line="240" w:lineRule="auto"/>
              <w:jc w:val="center"/>
              <w:rPr>
                <w:rFonts w:eastAsia="Calibri" w:cs="Times New Roman"/>
                <w:noProof/>
              </w:rPr>
            </w:pPr>
            <w:r>
              <w:rPr>
                <w:noProof/>
              </w:rPr>
              <w:t xml:space="preserve">Przepis w dekrecie królewskim z mocą ustawy </w:t>
            </w:r>
            <w:r w:rsidRPr="00A1618E">
              <w:rPr>
                <w:noProof/>
                <w:lang w:val="pl-PL"/>
              </w:rPr>
              <w:t>nr 2</w:t>
            </w:r>
            <w:r>
              <w:rPr>
                <w:noProof/>
              </w:rPr>
              <w:t>3/2020 w sprawie wejścia w życie</w:t>
            </w:r>
          </w:p>
        </w:tc>
        <w:tc>
          <w:tcPr>
            <w:tcW w:w="850" w:type="dxa"/>
            <w:shd w:val="clear" w:color="auto" w:fill="C6EFCE"/>
            <w:noWrap/>
          </w:tcPr>
          <w:p w14:paraId="714FDA4A"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709" w:type="dxa"/>
            <w:shd w:val="clear" w:color="auto" w:fill="C6EFCE"/>
            <w:noWrap/>
          </w:tcPr>
          <w:p w14:paraId="7B0679C1"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737" w:type="dxa"/>
            <w:shd w:val="clear" w:color="auto" w:fill="C6EFCE"/>
            <w:noWrap/>
          </w:tcPr>
          <w:p w14:paraId="637C29F4"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69FB017B" w14:textId="683C45E3"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12406FD9" w14:textId="77777777" w:rsidR="006578ED" w:rsidRDefault="00A1618E">
            <w:pPr>
              <w:pStyle w:val="P68B1DB1-Normal13"/>
              <w:spacing w:after="0" w:line="240" w:lineRule="auto"/>
              <w:jc w:val="center"/>
              <w:rPr>
                <w:rFonts w:eastAsia="Calibri" w:cs="Times New Roman"/>
                <w:noProof/>
              </w:rPr>
            </w:pPr>
            <w:r>
              <w:rPr>
                <w:noProof/>
              </w:rPr>
              <w:t>2020</w:t>
            </w:r>
          </w:p>
        </w:tc>
        <w:tc>
          <w:tcPr>
            <w:tcW w:w="5217" w:type="dxa"/>
            <w:shd w:val="clear" w:color="auto" w:fill="C6EFCE"/>
            <w:noWrap/>
          </w:tcPr>
          <w:p w14:paraId="346A3E69" w14:textId="6DDE3365" w:rsidR="006578ED" w:rsidRDefault="00A1618E">
            <w:pPr>
              <w:pStyle w:val="P68B1DB1-Normal13"/>
              <w:spacing w:after="0" w:line="240" w:lineRule="auto"/>
              <w:rPr>
                <w:rFonts w:eastAsia="Calibri" w:cs="Times New Roman"/>
                <w:noProof/>
              </w:rPr>
            </w:pPr>
            <w:r>
              <w:rPr>
                <w:noProof/>
              </w:rPr>
              <w:t xml:space="preserve">Dekret królewski z mocą ustawy </w:t>
            </w:r>
            <w:r w:rsidRPr="00A1618E">
              <w:rPr>
                <w:noProof/>
                <w:lang w:val="pl-PL"/>
              </w:rPr>
              <w:t>nr 2</w:t>
            </w:r>
            <w:r>
              <w:rPr>
                <w:noProof/>
              </w:rPr>
              <w:t>3/2020 zatwierdza środki w zakresie energii mające na celu ustanowienie podstawy prawnej dla nowego systemu aukcji, określenie nowych uczestników sektora energetycznego, takich jak niezależni koncentratorzy i społeczności energetyczne działające w zakresie energii odnawialnej, oraz przyczynienie się do racjonalizacji pozwoleń na dostęp i przyłączenie.</w:t>
            </w:r>
          </w:p>
        </w:tc>
      </w:tr>
      <w:tr w:rsidR="006578ED" w14:paraId="63DBD210" w14:textId="77777777">
        <w:trPr>
          <w:trHeight w:val="309"/>
        </w:trPr>
        <w:tc>
          <w:tcPr>
            <w:tcW w:w="709" w:type="dxa"/>
            <w:shd w:val="clear" w:color="auto" w:fill="C6EFCE"/>
            <w:noWrap/>
          </w:tcPr>
          <w:p w14:paraId="49FB466E" w14:textId="77777777" w:rsidR="006578ED" w:rsidRDefault="00A1618E">
            <w:pPr>
              <w:pStyle w:val="P68B1DB1-Normal13"/>
              <w:spacing w:after="0" w:line="240" w:lineRule="auto"/>
              <w:jc w:val="center"/>
              <w:rPr>
                <w:rFonts w:eastAsia="Calibri" w:cs="Times New Roman"/>
                <w:noProof/>
              </w:rPr>
            </w:pPr>
            <w:r>
              <w:rPr>
                <w:noProof/>
              </w:rPr>
              <w:t>103</w:t>
            </w:r>
          </w:p>
        </w:tc>
        <w:tc>
          <w:tcPr>
            <w:tcW w:w="851" w:type="dxa"/>
            <w:shd w:val="clear" w:color="auto" w:fill="C6EFCE"/>
            <w:noWrap/>
          </w:tcPr>
          <w:p w14:paraId="01286CF5" w14:textId="77777777" w:rsidR="006578ED" w:rsidRDefault="00A1618E">
            <w:pPr>
              <w:pStyle w:val="P68B1DB1-Normal13"/>
              <w:spacing w:after="0" w:line="240" w:lineRule="auto"/>
              <w:jc w:val="center"/>
              <w:rPr>
                <w:rFonts w:eastAsia="Calibri" w:cs="Times New Roman"/>
                <w:noProof/>
              </w:rPr>
            </w:pPr>
            <w:r>
              <w:rPr>
                <w:noProof/>
              </w:rPr>
              <w:t>C7.R1</w:t>
            </w:r>
          </w:p>
        </w:tc>
        <w:tc>
          <w:tcPr>
            <w:tcW w:w="850" w:type="dxa"/>
            <w:shd w:val="clear" w:color="auto" w:fill="C6EFCE"/>
            <w:noWrap/>
          </w:tcPr>
          <w:p w14:paraId="765D4946" w14:textId="10A65D80" w:rsidR="006578ED" w:rsidRDefault="00AF6B91">
            <w:pPr>
              <w:pStyle w:val="P68B1DB1-Normal13"/>
              <w:spacing w:after="0" w:line="240" w:lineRule="auto"/>
              <w:jc w:val="center"/>
              <w:rPr>
                <w:rFonts w:eastAsia="Calibri" w:cs="Times New Roman"/>
                <w:noProof/>
              </w:rPr>
            </w:pPr>
            <w:r>
              <w:rPr>
                <w:noProof/>
              </w:rPr>
              <w:t>Kamień milowy</w:t>
            </w:r>
          </w:p>
        </w:tc>
        <w:tc>
          <w:tcPr>
            <w:tcW w:w="2977" w:type="dxa"/>
            <w:shd w:val="clear" w:color="auto" w:fill="C6EFCE"/>
            <w:noWrap/>
          </w:tcPr>
          <w:p w14:paraId="409437D4" w14:textId="380F9522" w:rsidR="006578ED" w:rsidRDefault="00A1618E">
            <w:pPr>
              <w:pStyle w:val="P68B1DB1-Normal13"/>
              <w:spacing w:after="0" w:line="240" w:lineRule="auto"/>
              <w:rPr>
                <w:rFonts w:eastAsia="Calibri" w:cs="Times New Roman"/>
                <w:noProof/>
              </w:rPr>
            </w:pPr>
            <w:r>
              <w:rPr>
                <w:noProof/>
              </w:rPr>
              <w:t>Wejście w życie dekretu królewskiego 960/2020 (system gospodarczy dotyczący energii ze źródeł odnawialnych)</w:t>
            </w:r>
          </w:p>
        </w:tc>
        <w:tc>
          <w:tcPr>
            <w:tcW w:w="1276" w:type="dxa"/>
            <w:shd w:val="clear" w:color="auto" w:fill="C6EFCE"/>
            <w:noWrap/>
          </w:tcPr>
          <w:p w14:paraId="01B679B0" w14:textId="0D76186C" w:rsidR="006578ED" w:rsidRDefault="00A1618E">
            <w:pPr>
              <w:pStyle w:val="P68B1DB1-Normal13"/>
              <w:spacing w:after="0" w:line="240" w:lineRule="auto"/>
              <w:jc w:val="center"/>
              <w:rPr>
                <w:rFonts w:eastAsia="Calibri" w:cs="Times New Roman"/>
                <w:noProof/>
              </w:rPr>
            </w:pPr>
            <w:r>
              <w:rPr>
                <w:noProof/>
              </w:rPr>
              <w:t xml:space="preserve">Przepis w dekrecie królewskim 960/2020 w sprawie wejścia w życie </w:t>
            </w:r>
          </w:p>
        </w:tc>
        <w:tc>
          <w:tcPr>
            <w:tcW w:w="850" w:type="dxa"/>
            <w:shd w:val="clear" w:color="auto" w:fill="C6EFCE"/>
            <w:noWrap/>
          </w:tcPr>
          <w:p w14:paraId="7913A28A"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709" w:type="dxa"/>
            <w:shd w:val="clear" w:color="auto" w:fill="C6EFCE"/>
            <w:noWrap/>
          </w:tcPr>
          <w:p w14:paraId="2F0EC2E1"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737" w:type="dxa"/>
            <w:shd w:val="clear" w:color="auto" w:fill="C6EFCE"/>
            <w:noWrap/>
          </w:tcPr>
          <w:p w14:paraId="1B642F88" w14:textId="77777777" w:rsidR="006578ED" w:rsidRDefault="00A1618E">
            <w:pPr>
              <w:pStyle w:val="P68B1DB1-Normal13"/>
              <w:spacing w:after="0" w:line="240" w:lineRule="auto"/>
              <w:jc w:val="right"/>
              <w:rPr>
                <w:rFonts w:eastAsia="Calibri" w:cs="Times New Roman"/>
                <w:noProof/>
              </w:rPr>
            </w:pPr>
            <w:r>
              <w:rPr>
                <w:noProof/>
              </w:rPr>
              <w:t xml:space="preserve"> </w:t>
            </w:r>
          </w:p>
        </w:tc>
        <w:tc>
          <w:tcPr>
            <w:tcW w:w="567" w:type="dxa"/>
            <w:shd w:val="clear" w:color="auto" w:fill="C6EFCE"/>
            <w:noWrap/>
          </w:tcPr>
          <w:p w14:paraId="791A9D45" w14:textId="458C4483" w:rsidR="006578ED" w:rsidRDefault="00EC188C">
            <w:pPr>
              <w:pStyle w:val="P68B1DB1-Normal13"/>
              <w:spacing w:after="0" w:line="240" w:lineRule="auto"/>
              <w:jc w:val="center"/>
              <w:rPr>
                <w:rFonts w:eastAsia="Calibri" w:cs="Times New Roman"/>
                <w:noProof/>
              </w:rPr>
            </w:pPr>
            <w:r>
              <w:rPr>
                <w:noProof/>
              </w:rPr>
              <w:t>KW. 4</w:t>
            </w:r>
          </w:p>
        </w:tc>
        <w:tc>
          <w:tcPr>
            <w:tcW w:w="567" w:type="dxa"/>
            <w:shd w:val="clear" w:color="auto" w:fill="C6EFCE"/>
            <w:noWrap/>
          </w:tcPr>
          <w:p w14:paraId="0D42C9D5" w14:textId="77777777" w:rsidR="006578ED" w:rsidRDefault="00A1618E">
            <w:pPr>
              <w:pStyle w:val="P68B1DB1-Normal13"/>
              <w:spacing w:after="0" w:line="240" w:lineRule="auto"/>
              <w:jc w:val="center"/>
              <w:rPr>
                <w:rFonts w:eastAsia="Calibri" w:cs="Times New Roman"/>
                <w:noProof/>
              </w:rPr>
            </w:pPr>
            <w:r>
              <w:rPr>
                <w:noProof/>
              </w:rPr>
              <w:t>2020</w:t>
            </w:r>
          </w:p>
        </w:tc>
        <w:tc>
          <w:tcPr>
            <w:tcW w:w="5217" w:type="dxa"/>
            <w:shd w:val="clear" w:color="auto" w:fill="C6EFCE"/>
            <w:noWrap/>
          </w:tcPr>
          <w:p w14:paraId="0B5BED5E" w14:textId="77777777" w:rsidR="006578ED" w:rsidRDefault="00A1618E">
            <w:pPr>
              <w:pStyle w:val="P68B1DB1-Normal13"/>
              <w:spacing w:after="0" w:line="240" w:lineRule="auto"/>
              <w:rPr>
                <w:rFonts w:eastAsia="Calibri" w:cs="Times New Roman"/>
                <w:noProof/>
              </w:rPr>
            </w:pPr>
            <w:r>
              <w:rPr>
                <w:noProof/>
              </w:rPr>
              <w:t>Dekret królewski 960/2020 reguluje system gospodarczy dotyczący energii ze źródeł odnawialnych</w:t>
            </w:r>
          </w:p>
        </w:tc>
      </w:tr>
      <w:tr w:rsidR="006578ED" w14:paraId="15FC492C" w14:textId="77777777">
        <w:trPr>
          <w:trHeight w:val="309"/>
        </w:trPr>
        <w:tc>
          <w:tcPr>
            <w:tcW w:w="709" w:type="dxa"/>
            <w:shd w:val="clear" w:color="auto" w:fill="C6EFCE"/>
            <w:noWrap/>
          </w:tcPr>
          <w:p w14:paraId="0F3167D2" w14:textId="77777777" w:rsidR="006578ED" w:rsidRDefault="00A1618E">
            <w:pPr>
              <w:pStyle w:val="P68B1DB1-Normal13"/>
              <w:spacing w:after="0" w:line="240" w:lineRule="auto"/>
              <w:jc w:val="center"/>
              <w:rPr>
                <w:rFonts w:eastAsia="Calibri" w:cs="Times New Roman"/>
                <w:noProof/>
              </w:rPr>
            </w:pPr>
            <w:r>
              <w:rPr>
                <w:noProof/>
              </w:rPr>
              <w:t>104</w:t>
            </w:r>
          </w:p>
        </w:tc>
        <w:tc>
          <w:tcPr>
            <w:tcW w:w="851" w:type="dxa"/>
            <w:shd w:val="clear" w:color="auto" w:fill="C6EFCE"/>
            <w:noWrap/>
          </w:tcPr>
          <w:p w14:paraId="4A127E87" w14:textId="77777777" w:rsidR="006578ED" w:rsidRDefault="00A1618E">
            <w:pPr>
              <w:pStyle w:val="P68B1DB1-Normal13"/>
              <w:spacing w:after="0" w:line="240" w:lineRule="auto"/>
              <w:jc w:val="center"/>
              <w:rPr>
                <w:rFonts w:eastAsia="Calibri" w:cs="Times New Roman"/>
                <w:noProof/>
              </w:rPr>
            </w:pPr>
            <w:r>
              <w:rPr>
                <w:noProof/>
              </w:rPr>
              <w:t>C7.R1</w:t>
            </w:r>
          </w:p>
        </w:tc>
        <w:tc>
          <w:tcPr>
            <w:tcW w:w="850" w:type="dxa"/>
            <w:shd w:val="clear" w:color="auto" w:fill="C6EFCE"/>
            <w:noWrap/>
          </w:tcPr>
          <w:p w14:paraId="05C89D75" w14:textId="7A5B0025" w:rsidR="006578ED" w:rsidRDefault="00AF6B91">
            <w:pPr>
              <w:pStyle w:val="P68B1DB1-Normal13"/>
              <w:spacing w:after="0" w:line="240" w:lineRule="auto"/>
              <w:jc w:val="center"/>
              <w:rPr>
                <w:rFonts w:eastAsia="Calibri" w:cs="Times New Roman"/>
                <w:noProof/>
              </w:rPr>
            </w:pPr>
            <w:r>
              <w:rPr>
                <w:noProof/>
              </w:rPr>
              <w:t>Kamień milowy</w:t>
            </w:r>
          </w:p>
        </w:tc>
        <w:tc>
          <w:tcPr>
            <w:tcW w:w="2977" w:type="dxa"/>
            <w:shd w:val="clear" w:color="auto" w:fill="C6EFCE"/>
            <w:noWrap/>
          </w:tcPr>
          <w:p w14:paraId="69548247" w14:textId="10CE628B" w:rsidR="006578ED" w:rsidRDefault="00A1618E">
            <w:pPr>
              <w:pStyle w:val="P68B1DB1-Normal13"/>
              <w:spacing w:after="0" w:line="240" w:lineRule="auto"/>
              <w:rPr>
                <w:rFonts w:eastAsia="Calibri" w:cs="Times New Roman"/>
                <w:noProof/>
              </w:rPr>
            </w:pPr>
            <w:r>
              <w:rPr>
                <w:noProof/>
              </w:rPr>
              <w:t>Wejście w życie dekretu królewskiego 1183/2020 (przyłączenie odnawialnych źródeł energii do sieci elektroenergetycznej)</w:t>
            </w:r>
          </w:p>
        </w:tc>
        <w:tc>
          <w:tcPr>
            <w:tcW w:w="1276" w:type="dxa"/>
            <w:shd w:val="clear" w:color="auto" w:fill="C6EFCE"/>
            <w:noWrap/>
          </w:tcPr>
          <w:p w14:paraId="22819967" w14:textId="2ECEACC2" w:rsidR="006578ED" w:rsidRDefault="00A1618E">
            <w:pPr>
              <w:pStyle w:val="P68B1DB1-Normal13"/>
              <w:spacing w:after="0" w:line="240" w:lineRule="auto"/>
              <w:jc w:val="center"/>
              <w:rPr>
                <w:rFonts w:eastAsia="Calibri" w:cs="Times New Roman"/>
                <w:noProof/>
              </w:rPr>
            </w:pPr>
            <w:r>
              <w:rPr>
                <w:noProof/>
              </w:rPr>
              <w:t xml:space="preserve">Przepis w dekrecie królewskim </w:t>
            </w:r>
            <w:r w:rsidRPr="00A1618E">
              <w:rPr>
                <w:noProof/>
                <w:lang w:val="pl-PL"/>
              </w:rPr>
              <w:t>nr 1</w:t>
            </w:r>
            <w:r>
              <w:rPr>
                <w:noProof/>
              </w:rPr>
              <w:t>183/2020 w sprawie wejścia w życie</w:t>
            </w:r>
          </w:p>
        </w:tc>
        <w:tc>
          <w:tcPr>
            <w:tcW w:w="850" w:type="dxa"/>
            <w:shd w:val="clear" w:color="auto" w:fill="C6EFCE"/>
            <w:noWrap/>
          </w:tcPr>
          <w:p w14:paraId="35847AC3"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2F1B62F3"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737" w:type="dxa"/>
            <w:shd w:val="clear" w:color="auto" w:fill="C6EFCE"/>
            <w:noWrap/>
          </w:tcPr>
          <w:p w14:paraId="26E74E7B"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2A9AACBE" w14:textId="2BD23409"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3E9589A3" w14:textId="77777777" w:rsidR="006578ED" w:rsidRDefault="00A1618E">
            <w:pPr>
              <w:pStyle w:val="P68B1DB1-Normal13"/>
              <w:spacing w:after="0" w:line="240" w:lineRule="auto"/>
              <w:jc w:val="center"/>
              <w:rPr>
                <w:rFonts w:eastAsia="Symbol" w:cs="Times New Roman"/>
                <w:noProof/>
              </w:rPr>
            </w:pPr>
            <w:r>
              <w:rPr>
                <w:noProof/>
              </w:rPr>
              <w:t>2020</w:t>
            </w:r>
          </w:p>
        </w:tc>
        <w:tc>
          <w:tcPr>
            <w:tcW w:w="5217" w:type="dxa"/>
            <w:shd w:val="clear" w:color="auto" w:fill="C6EFCE"/>
            <w:noWrap/>
          </w:tcPr>
          <w:p w14:paraId="470396B6" w14:textId="5126E712" w:rsidR="006578ED" w:rsidRDefault="00A1618E">
            <w:pPr>
              <w:pStyle w:val="P68B1DB1-Normal13"/>
              <w:spacing w:after="0" w:line="240" w:lineRule="auto"/>
              <w:rPr>
                <w:rFonts w:eastAsia="Symbol" w:cs="Times New Roman"/>
                <w:noProof/>
              </w:rPr>
            </w:pPr>
            <w:r>
              <w:rPr>
                <w:noProof/>
              </w:rPr>
              <w:t xml:space="preserve">Dekret królewski </w:t>
            </w:r>
            <w:r w:rsidRPr="00A1618E">
              <w:rPr>
                <w:noProof/>
                <w:lang w:val="pl-PL"/>
              </w:rPr>
              <w:t>nr 1</w:t>
            </w:r>
            <w:r>
              <w:rPr>
                <w:noProof/>
              </w:rPr>
              <w:t>183/2020 reguluje hybrydyzację i nakazuje dostęp do energii ze źródeł odnawialnych i ich podłączenie do sieci elektroenergetycznej.</w:t>
            </w:r>
          </w:p>
        </w:tc>
      </w:tr>
      <w:tr w:rsidR="006578ED" w14:paraId="142D8E94" w14:textId="77777777">
        <w:trPr>
          <w:trHeight w:val="309"/>
        </w:trPr>
        <w:tc>
          <w:tcPr>
            <w:tcW w:w="709" w:type="dxa"/>
            <w:shd w:val="clear" w:color="auto" w:fill="C6EFCE"/>
            <w:noWrap/>
          </w:tcPr>
          <w:p w14:paraId="7A8958E4" w14:textId="77777777" w:rsidR="006578ED" w:rsidRDefault="00A1618E">
            <w:pPr>
              <w:pStyle w:val="P68B1DB1-Normal13"/>
              <w:spacing w:after="0" w:line="240" w:lineRule="auto"/>
              <w:jc w:val="center"/>
              <w:rPr>
                <w:rFonts w:eastAsia="Symbol" w:cs="Times New Roman"/>
                <w:noProof/>
              </w:rPr>
            </w:pPr>
            <w:r>
              <w:rPr>
                <w:noProof/>
              </w:rPr>
              <w:t>105</w:t>
            </w:r>
          </w:p>
        </w:tc>
        <w:tc>
          <w:tcPr>
            <w:tcW w:w="851" w:type="dxa"/>
            <w:shd w:val="clear" w:color="auto" w:fill="C6EFCE"/>
            <w:noWrap/>
          </w:tcPr>
          <w:p w14:paraId="17E4B06D" w14:textId="77777777" w:rsidR="006578ED" w:rsidRDefault="00A1618E">
            <w:pPr>
              <w:pStyle w:val="P68B1DB1-Normal13"/>
              <w:spacing w:after="0" w:line="240" w:lineRule="auto"/>
              <w:jc w:val="center"/>
              <w:rPr>
                <w:rFonts w:eastAsia="Symbol" w:cs="Times New Roman"/>
                <w:noProof/>
              </w:rPr>
            </w:pPr>
            <w:r>
              <w:rPr>
                <w:noProof/>
              </w:rPr>
              <w:t>C7.R1</w:t>
            </w:r>
          </w:p>
        </w:tc>
        <w:tc>
          <w:tcPr>
            <w:tcW w:w="850" w:type="dxa"/>
            <w:shd w:val="clear" w:color="auto" w:fill="C6EFCE"/>
            <w:noWrap/>
          </w:tcPr>
          <w:p w14:paraId="4381807A" w14:textId="6E7BF2C7" w:rsidR="006578ED" w:rsidRDefault="00AF6B91">
            <w:pPr>
              <w:pStyle w:val="P68B1DB1-Normal13"/>
              <w:spacing w:after="0" w:line="240" w:lineRule="auto"/>
              <w:jc w:val="center"/>
              <w:rPr>
                <w:rFonts w:eastAsia="Symbol" w:cs="Times New Roman"/>
                <w:noProof/>
              </w:rPr>
            </w:pPr>
            <w:r>
              <w:rPr>
                <w:noProof/>
              </w:rPr>
              <w:t>Kamień milowy</w:t>
            </w:r>
          </w:p>
        </w:tc>
        <w:tc>
          <w:tcPr>
            <w:tcW w:w="2977" w:type="dxa"/>
            <w:shd w:val="clear" w:color="auto" w:fill="C6EFCE"/>
            <w:noWrap/>
          </w:tcPr>
          <w:p w14:paraId="65BB656F" w14:textId="3118BA57" w:rsidR="006578ED" w:rsidRDefault="00A1618E">
            <w:pPr>
              <w:pStyle w:val="P68B1DB1-Normal13"/>
              <w:spacing w:after="0" w:line="240" w:lineRule="auto"/>
              <w:rPr>
                <w:rFonts w:eastAsia="Symbol" w:cs="Times New Roman"/>
                <w:noProof/>
              </w:rPr>
            </w:pPr>
            <w:r>
              <w:rPr>
                <w:noProof/>
              </w:rPr>
              <w:t xml:space="preserve">Wejście w życie ustawy o zmianie klimatu i transformacji energetycznej </w:t>
            </w:r>
          </w:p>
        </w:tc>
        <w:tc>
          <w:tcPr>
            <w:tcW w:w="1276" w:type="dxa"/>
            <w:shd w:val="clear" w:color="auto" w:fill="C6EFCE"/>
            <w:noWrap/>
          </w:tcPr>
          <w:p w14:paraId="342B54EB" w14:textId="2B2F39DD" w:rsidR="006578ED" w:rsidRDefault="00A1618E">
            <w:pPr>
              <w:pStyle w:val="P68B1DB1-Normal13"/>
              <w:spacing w:after="0" w:line="240" w:lineRule="auto"/>
              <w:jc w:val="center"/>
              <w:rPr>
                <w:rFonts w:eastAsia="Symbol" w:cs="Times New Roman"/>
                <w:noProof/>
              </w:rPr>
            </w:pPr>
            <w:r>
              <w:rPr>
                <w:noProof/>
              </w:rPr>
              <w:t xml:space="preserve">Przepis ustawy o zmianie klimatu i transformacji energetycznej po wejściu w życie </w:t>
            </w:r>
          </w:p>
        </w:tc>
        <w:tc>
          <w:tcPr>
            <w:tcW w:w="850" w:type="dxa"/>
            <w:shd w:val="clear" w:color="auto" w:fill="C6EFCE"/>
            <w:noWrap/>
          </w:tcPr>
          <w:p w14:paraId="40612A33"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7E728875"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737" w:type="dxa"/>
            <w:shd w:val="clear" w:color="auto" w:fill="C6EFCE"/>
            <w:noWrap/>
          </w:tcPr>
          <w:p w14:paraId="57E04963"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19FB8615" w14:textId="6A101A55"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03E6644A" w14:textId="77777777" w:rsidR="006578ED" w:rsidRDefault="00A1618E">
            <w:pPr>
              <w:pStyle w:val="P68B1DB1-Normal13"/>
              <w:spacing w:after="0" w:line="240" w:lineRule="auto"/>
              <w:jc w:val="center"/>
              <w:rPr>
                <w:rFonts w:eastAsia="Symbol" w:cs="Times New Roman"/>
                <w:noProof/>
              </w:rPr>
            </w:pPr>
            <w:r>
              <w:rPr>
                <w:noProof/>
              </w:rPr>
              <w:t>2021</w:t>
            </w:r>
          </w:p>
        </w:tc>
        <w:tc>
          <w:tcPr>
            <w:tcW w:w="5217" w:type="dxa"/>
            <w:shd w:val="clear" w:color="auto" w:fill="C6EFCE"/>
            <w:noWrap/>
          </w:tcPr>
          <w:p w14:paraId="36E39784" w14:textId="22377F67" w:rsidR="006578ED" w:rsidRDefault="00A1618E">
            <w:pPr>
              <w:pStyle w:val="P68B1DB1-Normal13"/>
              <w:spacing w:after="0" w:line="240" w:lineRule="auto"/>
              <w:rPr>
                <w:rFonts w:eastAsia="Symbol" w:cs="Times New Roman"/>
                <w:noProof/>
              </w:rPr>
            </w:pPr>
            <w:r>
              <w:rPr>
                <w:noProof/>
              </w:rPr>
              <w:t>Ustawa o zmianie klimatu i transformacji energetycznej zapewnia alternatywną stabilność regulacyjną w stosunku do rozwoju zasobów odnawialnych, zmniejszenie barier administracyjnych i minimalne wymogi dotyczące instalacji publicznych punktów ładowania w eksploatacji.</w:t>
            </w:r>
          </w:p>
        </w:tc>
      </w:tr>
      <w:tr w:rsidR="006578ED" w14:paraId="7F384457" w14:textId="77777777">
        <w:trPr>
          <w:trHeight w:val="309"/>
        </w:trPr>
        <w:tc>
          <w:tcPr>
            <w:tcW w:w="709" w:type="dxa"/>
            <w:shd w:val="clear" w:color="auto" w:fill="C6EFCE"/>
            <w:noWrap/>
          </w:tcPr>
          <w:p w14:paraId="30CBA9E8" w14:textId="77777777" w:rsidR="006578ED" w:rsidRDefault="00A1618E">
            <w:pPr>
              <w:pStyle w:val="P68B1DB1-Normal13"/>
              <w:spacing w:after="0" w:line="240" w:lineRule="auto"/>
              <w:jc w:val="center"/>
              <w:rPr>
                <w:rFonts w:eastAsia="Symbol" w:cs="Times New Roman"/>
                <w:noProof/>
              </w:rPr>
            </w:pPr>
            <w:r>
              <w:rPr>
                <w:noProof/>
              </w:rPr>
              <w:t>106</w:t>
            </w:r>
          </w:p>
        </w:tc>
        <w:tc>
          <w:tcPr>
            <w:tcW w:w="851" w:type="dxa"/>
            <w:shd w:val="clear" w:color="auto" w:fill="C6EFCE"/>
            <w:noWrap/>
          </w:tcPr>
          <w:p w14:paraId="4A649FD6" w14:textId="77777777" w:rsidR="006578ED" w:rsidRDefault="00A1618E">
            <w:pPr>
              <w:pStyle w:val="P68B1DB1-Normal13"/>
              <w:spacing w:after="0" w:line="240" w:lineRule="auto"/>
              <w:jc w:val="center"/>
              <w:rPr>
                <w:rFonts w:eastAsia="Symbol" w:cs="Times New Roman"/>
                <w:noProof/>
              </w:rPr>
            </w:pPr>
            <w:r>
              <w:rPr>
                <w:noProof/>
              </w:rPr>
              <w:t>C7.R1</w:t>
            </w:r>
          </w:p>
        </w:tc>
        <w:tc>
          <w:tcPr>
            <w:tcW w:w="850" w:type="dxa"/>
            <w:shd w:val="clear" w:color="auto" w:fill="C6EFCE"/>
            <w:noWrap/>
          </w:tcPr>
          <w:p w14:paraId="62FA7435" w14:textId="6ECA0E3E" w:rsidR="006578ED" w:rsidRDefault="00AF6B91">
            <w:pPr>
              <w:pStyle w:val="P68B1DB1-Normal13"/>
              <w:spacing w:after="0" w:line="240" w:lineRule="auto"/>
              <w:jc w:val="center"/>
              <w:rPr>
                <w:rFonts w:eastAsia="Symbol" w:cs="Times New Roman"/>
                <w:noProof/>
              </w:rPr>
            </w:pPr>
            <w:r>
              <w:rPr>
                <w:noProof/>
              </w:rPr>
              <w:t>Cel</w:t>
            </w:r>
          </w:p>
        </w:tc>
        <w:tc>
          <w:tcPr>
            <w:tcW w:w="2977" w:type="dxa"/>
            <w:shd w:val="clear" w:color="auto" w:fill="C6EFCE"/>
            <w:noWrap/>
          </w:tcPr>
          <w:p w14:paraId="102B9A1A" w14:textId="3C07FA92" w:rsidR="006578ED" w:rsidRDefault="00A1618E">
            <w:pPr>
              <w:pStyle w:val="P68B1DB1-Normal13"/>
              <w:spacing w:after="0" w:line="240" w:lineRule="auto"/>
              <w:rPr>
                <w:rFonts w:eastAsia="Symbol" w:cs="Times New Roman"/>
                <w:noProof/>
              </w:rPr>
            </w:pPr>
            <w:r>
              <w:rPr>
                <w:noProof/>
              </w:rPr>
              <w:t xml:space="preserve">Dodatkowa zdolność produkcyjna w zakresie energii ze źródeł odnawialnych </w:t>
            </w:r>
          </w:p>
        </w:tc>
        <w:tc>
          <w:tcPr>
            <w:tcW w:w="1276" w:type="dxa"/>
            <w:shd w:val="clear" w:color="auto" w:fill="C6EFCE"/>
            <w:noWrap/>
          </w:tcPr>
          <w:p w14:paraId="09D9AC6E" w14:textId="77777777" w:rsidR="006578ED" w:rsidRDefault="00A1618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3352E0E4" w14:textId="77777777" w:rsidR="006578ED" w:rsidRDefault="00A1618E">
            <w:pPr>
              <w:pStyle w:val="P68B1DB1-Normal13"/>
              <w:spacing w:after="0" w:line="240" w:lineRule="auto"/>
              <w:jc w:val="center"/>
              <w:rPr>
                <w:rFonts w:eastAsia="Symbol" w:cs="Times New Roman"/>
                <w:noProof/>
              </w:rPr>
            </w:pPr>
            <w:r>
              <w:rPr>
                <w:noProof/>
              </w:rPr>
              <w:t>Liczba (MW)</w:t>
            </w:r>
          </w:p>
        </w:tc>
        <w:tc>
          <w:tcPr>
            <w:tcW w:w="709" w:type="dxa"/>
            <w:shd w:val="clear" w:color="auto" w:fill="C6EFCE"/>
            <w:noWrap/>
          </w:tcPr>
          <w:p w14:paraId="486DD9CC" w14:textId="77777777" w:rsidR="006578ED" w:rsidRDefault="00A1618E">
            <w:pPr>
              <w:pStyle w:val="P68B1DB1-Normal13"/>
              <w:spacing w:after="0" w:line="240" w:lineRule="auto"/>
              <w:jc w:val="center"/>
              <w:rPr>
                <w:rFonts w:eastAsia="Symbol" w:cs="Times New Roman"/>
                <w:noProof/>
              </w:rPr>
            </w:pPr>
            <w:r>
              <w:rPr>
                <w:noProof/>
              </w:rPr>
              <w:t>0</w:t>
            </w:r>
          </w:p>
        </w:tc>
        <w:tc>
          <w:tcPr>
            <w:tcW w:w="737" w:type="dxa"/>
            <w:shd w:val="clear" w:color="auto" w:fill="C6EFCE"/>
            <w:noWrap/>
          </w:tcPr>
          <w:p w14:paraId="7B685F59" w14:textId="77777777" w:rsidR="006578ED" w:rsidRDefault="00A1618E">
            <w:pPr>
              <w:pStyle w:val="P68B1DB1-Normal13"/>
              <w:spacing w:after="0" w:line="240" w:lineRule="auto"/>
              <w:jc w:val="center"/>
              <w:rPr>
                <w:rFonts w:eastAsia="Symbol" w:cs="Times New Roman"/>
                <w:noProof/>
              </w:rPr>
            </w:pPr>
            <w:r>
              <w:rPr>
                <w:noProof/>
              </w:rPr>
              <w:t>8 500</w:t>
            </w:r>
          </w:p>
        </w:tc>
        <w:tc>
          <w:tcPr>
            <w:tcW w:w="567" w:type="dxa"/>
            <w:shd w:val="clear" w:color="auto" w:fill="C6EFCE"/>
            <w:noWrap/>
          </w:tcPr>
          <w:p w14:paraId="5F4F02C7" w14:textId="51DE71E0"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6C9F1CE5" w14:textId="77777777" w:rsidR="006578ED" w:rsidRDefault="00A1618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6524BBCC" w14:textId="18D20151" w:rsidR="006578ED" w:rsidRDefault="00A1618E">
            <w:pPr>
              <w:pStyle w:val="P68B1DB1-Normal13"/>
              <w:spacing w:after="0" w:line="240" w:lineRule="auto"/>
              <w:rPr>
                <w:rFonts w:eastAsia="Symbol" w:cs="Times New Roman"/>
                <w:noProof/>
              </w:rPr>
            </w:pPr>
            <w:r>
              <w:rPr>
                <w:noProof/>
              </w:rPr>
              <w:t xml:space="preserve">Łączna dodatkowa zdolność produkcyjna w zakresie energii ze źródeł odnawialnych wspierana na podstawie nowych wspomagających ram prawnych zawartych w reformie C7.R1 (w tym mechanizm aukcyjny ustanowiony w ramach RD 960/2020, nowe rozporządzenie w sprawie zezwoleń na dostęp i przyłączenie oraz w sprawie hybrydyzacji): co najmniej 8 500 MW przyznane </w:t>
            </w:r>
          </w:p>
        </w:tc>
      </w:tr>
      <w:tr w:rsidR="006578ED" w14:paraId="36A95F07" w14:textId="77777777">
        <w:trPr>
          <w:trHeight w:val="309"/>
        </w:trPr>
        <w:tc>
          <w:tcPr>
            <w:tcW w:w="709" w:type="dxa"/>
            <w:shd w:val="clear" w:color="auto" w:fill="C6EFCE"/>
            <w:noWrap/>
          </w:tcPr>
          <w:p w14:paraId="4C3C3ED4" w14:textId="77777777" w:rsidR="006578ED" w:rsidRDefault="00A1618E">
            <w:pPr>
              <w:pStyle w:val="P68B1DB1-Normal13"/>
              <w:spacing w:after="0" w:line="240" w:lineRule="auto"/>
              <w:jc w:val="center"/>
              <w:rPr>
                <w:rFonts w:eastAsia="Symbol" w:cs="Times New Roman"/>
                <w:noProof/>
              </w:rPr>
            </w:pPr>
            <w:r>
              <w:rPr>
                <w:noProof/>
              </w:rPr>
              <w:t>107</w:t>
            </w:r>
          </w:p>
        </w:tc>
        <w:tc>
          <w:tcPr>
            <w:tcW w:w="851" w:type="dxa"/>
            <w:shd w:val="clear" w:color="auto" w:fill="C6EFCE"/>
            <w:noWrap/>
          </w:tcPr>
          <w:p w14:paraId="78AAB5D7" w14:textId="77777777" w:rsidR="006578ED" w:rsidRDefault="00A1618E">
            <w:pPr>
              <w:pStyle w:val="P68B1DB1-Normal13"/>
              <w:spacing w:after="0" w:line="240" w:lineRule="auto"/>
              <w:jc w:val="center"/>
              <w:rPr>
                <w:rFonts w:eastAsia="Symbol" w:cs="Times New Roman"/>
                <w:noProof/>
              </w:rPr>
            </w:pPr>
            <w:r>
              <w:rPr>
                <w:noProof/>
              </w:rPr>
              <w:t>C7.R1</w:t>
            </w:r>
          </w:p>
        </w:tc>
        <w:tc>
          <w:tcPr>
            <w:tcW w:w="850" w:type="dxa"/>
            <w:shd w:val="clear" w:color="auto" w:fill="C6EFCE"/>
            <w:noWrap/>
          </w:tcPr>
          <w:p w14:paraId="6FCEBF26" w14:textId="1D732A32" w:rsidR="006578ED" w:rsidRDefault="00AF6B91">
            <w:pPr>
              <w:pStyle w:val="P68B1DB1-Normal13"/>
              <w:spacing w:after="0" w:line="240" w:lineRule="auto"/>
              <w:jc w:val="center"/>
              <w:rPr>
                <w:rFonts w:eastAsia="Symbol" w:cs="Times New Roman"/>
                <w:noProof/>
              </w:rPr>
            </w:pPr>
            <w:r>
              <w:rPr>
                <w:noProof/>
              </w:rPr>
              <w:t>Cel</w:t>
            </w:r>
          </w:p>
        </w:tc>
        <w:tc>
          <w:tcPr>
            <w:tcW w:w="2977" w:type="dxa"/>
            <w:shd w:val="clear" w:color="auto" w:fill="C6EFCE"/>
            <w:noWrap/>
          </w:tcPr>
          <w:p w14:paraId="49689A7A" w14:textId="7C79F69E" w:rsidR="006578ED" w:rsidRDefault="00A1618E">
            <w:pPr>
              <w:pStyle w:val="P68B1DB1-Normal13"/>
              <w:spacing w:after="0" w:line="240" w:lineRule="auto"/>
              <w:rPr>
                <w:rFonts w:eastAsia="Symbol" w:cs="Times New Roman"/>
                <w:noProof/>
              </w:rPr>
            </w:pPr>
            <w:r>
              <w:rPr>
                <w:noProof/>
              </w:rPr>
              <w:t xml:space="preserve">Łączna dodatkowa moc energii ze źródeł odnawialnych zainstalowana w Hiszpanii </w:t>
            </w:r>
          </w:p>
        </w:tc>
        <w:tc>
          <w:tcPr>
            <w:tcW w:w="1276" w:type="dxa"/>
            <w:shd w:val="clear" w:color="auto" w:fill="C6EFCE"/>
            <w:noWrap/>
          </w:tcPr>
          <w:p w14:paraId="2A9CB6E2" w14:textId="77777777" w:rsidR="006578ED" w:rsidRDefault="00A1618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766B1FE6" w14:textId="77777777" w:rsidR="006578ED" w:rsidRDefault="00A1618E">
            <w:pPr>
              <w:pStyle w:val="P68B1DB1-Normal13"/>
              <w:spacing w:after="0" w:line="240" w:lineRule="auto"/>
              <w:jc w:val="center"/>
              <w:rPr>
                <w:rFonts w:eastAsia="Symbol" w:cs="Times New Roman"/>
                <w:noProof/>
              </w:rPr>
            </w:pPr>
            <w:r>
              <w:rPr>
                <w:noProof/>
              </w:rPr>
              <w:t>Liczba (MW)</w:t>
            </w:r>
          </w:p>
        </w:tc>
        <w:tc>
          <w:tcPr>
            <w:tcW w:w="709" w:type="dxa"/>
            <w:shd w:val="clear" w:color="auto" w:fill="C6EFCE"/>
            <w:noWrap/>
          </w:tcPr>
          <w:p w14:paraId="7DCFEC48" w14:textId="77777777" w:rsidR="006578ED" w:rsidRDefault="00A1618E">
            <w:pPr>
              <w:pStyle w:val="P68B1DB1-Normal13"/>
              <w:spacing w:after="0" w:line="240" w:lineRule="auto"/>
              <w:jc w:val="center"/>
              <w:rPr>
                <w:rFonts w:eastAsia="Symbol" w:cs="Times New Roman"/>
                <w:noProof/>
              </w:rPr>
            </w:pPr>
            <w:r>
              <w:rPr>
                <w:noProof/>
              </w:rPr>
              <w:t>0</w:t>
            </w:r>
          </w:p>
        </w:tc>
        <w:tc>
          <w:tcPr>
            <w:tcW w:w="737" w:type="dxa"/>
            <w:shd w:val="clear" w:color="auto" w:fill="C6EFCE"/>
            <w:noWrap/>
          </w:tcPr>
          <w:p w14:paraId="60C44B81" w14:textId="77777777" w:rsidR="006578ED" w:rsidRDefault="00A1618E">
            <w:pPr>
              <w:pStyle w:val="P68B1DB1-Normal13"/>
              <w:spacing w:after="0" w:line="240" w:lineRule="auto"/>
              <w:jc w:val="center"/>
              <w:rPr>
                <w:rFonts w:eastAsia="Symbol" w:cs="Times New Roman"/>
                <w:noProof/>
              </w:rPr>
            </w:pPr>
            <w:r>
              <w:rPr>
                <w:noProof/>
              </w:rPr>
              <w:t>1 500</w:t>
            </w:r>
          </w:p>
        </w:tc>
        <w:tc>
          <w:tcPr>
            <w:tcW w:w="567" w:type="dxa"/>
            <w:shd w:val="clear" w:color="auto" w:fill="C6EFCE"/>
            <w:noWrap/>
          </w:tcPr>
          <w:p w14:paraId="2871EA41" w14:textId="2E18B0F7"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6CB78806" w14:textId="77777777" w:rsidR="006578ED" w:rsidRDefault="00A1618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4F128F40" w14:textId="7632B817" w:rsidR="006578ED" w:rsidRDefault="00A1618E">
            <w:pPr>
              <w:pStyle w:val="P68B1DB1-Normal13"/>
              <w:spacing w:after="0" w:line="240" w:lineRule="auto"/>
              <w:rPr>
                <w:rFonts w:eastAsia="Symbol" w:cs="Times New Roman"/>
                <w:noProof/>
              </w:rPr>
            </w:pPr>
            <w:r>
              <w:rPr>
                <w:noProof/>
              </w:rPr>
              <w:t xml:space="preserve">Łączna dodatkowa moc energii ze źródeł odnawialnych zainstalowana w Hiszpanii w okresie I </w:t>
            </w:r>
            <w:r w:rsidRPr="00A1618E">
              <w:rPr>
                <w:noProof/>
                <w:lang w:val="pl-PL"/>
              </w:rPr>
              <w:t>kw. 2</w:t>
            </w:r>
            <w:r>
              <w:rPr>
                <w:noProof/>
              </w:rPr>
              <w:t>0</w:t>
            </w:r>
            <w:r w:rsidRPr="00A1618E">
              <w:rPr>
                <w:noProof/>
                <w:lang w:val="pl-PL"/>
              </w:rPr>
              <w:t>20 r.</w:t>
            </w:r>
            <w:r>
              <w:rPr>
                <w:noProof/>
              </w:rPr>
              <w:t xml:space="preserve"> –42023, na podstawie nowych wspomagających ram prawnych zawartych w reformie C7.R1 (w tym mechanizmu aukcyjnego ustanowionego w RD 960/2020, nowego rozporządzenia w sprawie pozwoleń na dostęp i podłączenie oraz w sprawie hybrydyzacji): budowa co najmniej 1 500 MW</w:t>
            </w:r>
          </w:p>
        </w:tc>
      </w:tr>
      <w:tr w:rsidR="006578ED" w14:paraId="64EFED29" w14:textId="77777777">
        <w:trPr>
          <w:trHeight w:val="309"/>
        </w:trPr>
        <w:tc>
          <w:tcPr>
            <w:tcW w:w="709" w:type="dxa"/>
            <w:shd w:val="clear" w:color="auto" w:fill="C6EFCE"/>
            <w:noWrap/>
          </w:tcPr>
          <w:p w14:paraId="352E6F29" w14:textId="77777777" w:rsidR="006578ED" w:rsidRDefault="00A1618E">
            <w:pPr>
              <w:pStyle w:val="P68B1DB1-Normal13"/>
              <w:spacing w:after="0" w:line="240" w:lineRule="auto"/>
              <w:jc w:val="center"/>
              <w:rPr>
                <w:rFonts w:eastAsia="Symbol" w:cs="Times New Roman"/>
                <w:noProof/>
              </w:rPr>
            </w:pPr>
            <w:r>
              <w:rPr>
                <w:noProof/>
              </w:rPr>
              <w:t>108</w:t>
            </w:r>
          </w:p>
        </w:tc>
        <w:tc>
          <w:tcPr>
            <w:tcW w:w="851" w:type="dxa"/>
            <w:shd w:val="clear" w:color="auto" w:fill="C6EFCE"/>
            <w:noWrap/>
          </w:tcPr>
          <w:p w14:paraId="1C68794A" w14:textId="77777777" w:rsidR="006578ED" w:rsidRDefault="00A1618E">
            <w:pPr>
              <w:pStyle w:val="P68B1DB1-Normal13"/>
              <w:spacing w:after="0" w:line="240" w:lineRule="auto"/>
              <w:jc w:val="center"/>
              <w:rPr>
                <w:rFonts w:eastAsia="Symbol" w:cs="Times New Roman"/>
                <w:noProof/>
              </w:rPr>
            </w:pPr>
            <w:r>
              <w:rPr>
                <w:noProof/>
              </w:rPr>
              <w:t>C7.R2</w:t>
            </w:r>
          </w:p>
        </w:tc>
        <w:tc>
          <w:tcPr>
            <w:tcW w:w="850" w:type="dxa"/>
            <w:shd w:val="clear" w:color="auto" w:fill="C6EFCE"/>
            <w:noWrap/>
          </w:tcPr>
          <w:p w14:paraId="15EB8CE3" w14:textId="20CA28DC" w:rsidR="006578ED" w:rsidRDefault="00AF6B91">
            <w:pPr>
              <w:pStyle w:val="P68B1DB1-Normal13"/>
              <w:spacing w:after="0" w:line="240" w:lineRule="auto"/>
              <w:jc w:val="center"/>
              <w:rPr>
                <w:rFonts w:eastAsia="Symbol" w:cs="Times New Roman"/>
                <w:noProof/>
              </w:rPr>
            </w:pPr>
            <w:r>
              <w:rPr>
                <w:noProof/>
              </w:rPr>
              <w:t>Kamień milowy</w:t>
            </w:r>
          </w:p>
        </w:tc>
        <w:tc>
          <w:tcPr>
            <w:tcW w:w="2977" w:type="dxa"/>
            <w:shd w:val="clear" w:color="auto" w:fill="C6EFCE"/>
            <w:noWrap/>
          </w:tcPr>
          <w:p w14:paraId="27D78FE3" w14:textId="77777777" w:rsidR="006578ED" w:rsidRDefault="00A1618E">
            <w:pPr>
              <w:pStyle w:val="P68B1DB1-Normal13"/>
              <w:spacing w:after="0" w:line="240" w:lineRule="auto"/>
              <w:rPr>
                <w:rFonts w:eastAsia="Symbol" w:cs="Times New Roman"/>
                <w:noProof/>
              </w:rPr>
            </w:pPr>
            <w:r>
              <w:rPr>
                <w:noProof/>
              </w:rPr>
              <w:t>Krajowa strategia konsumpcji własnej</w:t>
            </w:r>
          </w:p>
        </w:tc>
        <w:tc>
          <w:tcPr>
            <w:tcW w:w="1276" w:type="dxa"/>
            <w:shd w:val="clear" w:color="auto" w:fill="C6EFCE"/>
            <w:noWrap/>
          </w:tcPr>
          <w:p w14:paraId="1D51184E" w14:textId="77777777" w:rsidR="006578ED" w:rsidRDefault="00A1618E">
            <w:pPr>
              <w:pStyle w:val="P68B1DB1-Normal13"/>
              <w:spacing w:after="0" w:line="240" w:lineRule="auto"/>
              <w:jc w:val="center"/>
              <w:rPr>
                <w:rFonts w:eastAsia="Symbol" w:cs="Times New Roman"/>
                <w:noProof/>
              </w:rPr>
            </w:pPr>
            <w:r>
              <w:rPr>
                <w:noProof/>
              </w:rPr>
              <w:t>Publikacja na stronie internetowej</w:t>
            </w:r>
          </w:p>
        </w:tc>
        <w:tc>
          <w:tcPr>
            <w:tcW w:w="850" w:type="dxa"/>
            <w:shd w:val="clear" w:color="auto" w:fill="C6EFCE"/>
            <w:noWrap/>
          </w:tcPr>
          <w:p w14:paraId="2181972A" w14:textId="77777777" w:rsidR="006578ED" w:rsidRDefault="00A1618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51756CA6" w14:textId="77777777" w:rsidR="006578ED" w:rsidRDefault="00A1618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6AB54743" w14:textId="77777777" w:rsidR="006578ED" w:rsidRDefault="00A1618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934BEC0" w14:textId="1CC7FE14"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79BB372B" w14:textId="77777777" w:rsidR="006578ED" w:rsidRDefault="00A1618E">
            <w:pPr>
              <w:pStyle w:val="P68B1DB1-Normal13"/>
              <w:spacing w:after="0" w:line="240" w:lineRule="auto"/>
              <w:jc w:val="center"/>
              <w:rPr>
                <w:rFonts w:eastAsia="Symbol" w:cs="Times New Roman"/>
                <w:noProof/>
              </w:rPr>
            </w:pPr>
            <w:r>
              <w:rPr>
                <w:noProof/>
              </w:rPr>
              <w:t>2021</w:t>
            </w:r>
          </w:p>
        </w:tc>
        <w:tc>
          <w:tcPr>
            <w:tcW w:w="5217" w:type="dxa"/>
            <w:shd w:val="clear" w:color="auto" w:fill="C6EFCE"/>
            <w:noWrap/>
          </w:tcPr>
          <w:p w14:paraId="183C65A8" w14:textId="3EA44A0F" w:rsidR="006578ED" w:rsidRDefault="00A1618E">
            <w:pPr>
              <w:pStyle w:val="P68B1DB1-Normal13"/>
              <w:spacing w:after="0" w:line="240" w:lineRule="auto"/>
              <w:rPr>
                <w:rFonts w:eastAsia="Symbol" w:cs="Times New Roman"/>
                <w:noProof/>
              </w:rPr>
            </w:pPr>
            <w:r>
              <w:rPr>
                <w:noProof/>
              </w:rPr>
              <w:t>Przyjęcie przez Radę Ministrów i opublikowanie na rządowej stronie internetowej krajowej strategii konsumpcji własnej w celu zmniejszenia barier administracyjnych dla konsumpcji własnej.</w:t>
            </w:r>
          </w:p>
        </w:tc>
      </w:tr>
      <w:tr w:rsidR="006578ED" w14:paraId="07695FFA" w14:textId="77777777">
        <w:trPr>
          <w:trHeight w:val="309"/>
        </w:trPr>
        <w:tc>
          <w:tcPr>
            <w:tcW w:w="709" w:type="dxa"/>
            <w:shd w:val="clear" w:color="auto" w:fill="C6EFCE"/>
            <w:noWrap/>
          </w:tcPr>
          <w:p w14:paraId="15A025E3" w14:textId="77777777" w:rsidR="006578ED" w:rsidRDefault="00A1618E">
            <w:pPr>
              <w:pStyle w:val="P68B1DB1-Normal13"/>
              <w:spacing w:after="0" w:line="240" w:lineRule="auto"/>
              <w:jc w:val="center"/>
              <w:rPr>
                <w:rFonts w:eastAsia="Symbol" w:cs="Times New Roman"/>
                <w:noProof/>
              </w:rPr>
            </w:pPr>
            <w:r>
              <w:rPr>
                <w:noProof/>
              </w:rPr>
              <w:t>109</w:t>
            </w:r>
          </w:p>
        </w:tc>
        <w:tc>
          <w:tcPr>
            <w:tcW w:w="851" w:type="dxa"/>
            <w:shd w:val="clear" w:color="auto" w:fill="C6EFCE"/>
            <w:noWrap/>
          </w:tcPr>
          <w:p w14:paraId="3309A0AA" w14:textId="77777777" w:rsidR="006578ED" w:rsidRDefault="00A1618E">
            <w:pPr>
              <w:pStyle w:val="P68B1DB1-Normal13"/>
              <w:spacing w:after="0" w:line="240" w:lineRule="auto"/>
              <w:jc w:val="center"/>
              <w:rPr>
                <w:rFonts w:eastAsia="Symbol" w:cs="Times New Roman"/>
                <w:noProof/>
              </w:rPr>
            </w:pPr>
            <w:r>
              <w:rPr>
                <w:noProof/>
              </w:rPr>
              <w:t>C7.R2</w:t>
            </w:r>
          </w:p>
        </w:tc>
        <w:tc>
          <w:tcPr>
            <w:tcW w:w="850" w:type="dxa"/>
            <w:shd w:val="clear" w:color="auto" w:fill="C6EFCE"/>
            <w:noWrap/>
          </w:tcPr>
          <w:p w14:paraId="72A29E6B" w14:textId="18E93B22" w:rsidR="006578ED" w:rsidRDefault="00AF6B91">
            <w:pPr>
              <w:pStyle w:val="P68B1DB1-Normal13"/>
              <w:spacing w:after="0" w:line="240" w:lineRule="auto"/>
              <w:jc w:val="center"/>
              <w:rPr>
                <w:rFonts w:eastAsia="Symbol" w:cs="Times New Roman"/>
                <w:noProof/>
              </w:rPr>
            </w:pPr>
            <w:r>
              <w:rPr>
                <w:noProof/>
              </w:rPr>
              <w:t>Kamień milowy</w:t>
            </w:r>
          </w:p>
        </w:tc>
        <w:tc>
          <w:tcPr>
            <w:tcW w:w="2977" w:type="dxa"/>
            <w:shd w:val="clear" w:color="auto" w:fill="C6EFCE"/>
            <w:noWrap/>
          </w:tcPr>
          <w:p w14:paraId="763347A0" w14:textId="283D19A1" w:rsidR="006578ED" w:rsidRDefault="00A1618E">
            <w:pPr>
              <w:pStyle w:val="P68B1DB1-Normal13"/>
              <w:spacing w:after="0" w:line="240" w:lineRule="auto"/>
              <w:rPr>
                <w:rFonts w:eastAsia="Symbol" w:cs="Times New Roman"/>
                <w:noProof/>
              </w:rPr>
            </w:pPr>
            <w:r>
              <w:rPr>
                <w:noProof/>
              </w:rPr>
              <w:t>Zakończenie działań w ramach krajowej strategii konsumpcji własnej</w:t>
            </w:r>
          </w:p>
        </w:tc>
        <w:tc>
          <w:tcPr>
            <w:tcW w:w="1276" w:type="dxa"/>
            <w:shd w:val="clear" w:color="auto" w:fill="C6EFCE"/>
            <w:noWrap/>
          </w:tcPr>
          <w:p w14:paraId="5816E567" w14:textId="77777777" w:rsidR="006578ED" w:rsidRDefault="00A1618E">
            <w:pPr>
              <w:pStyle w:val="P68B1DB1-Normal13"/>
              <w:spacing w:after="0" w:line="240" w:lineRule="auto"/>
              <w:jc w:val="center"/>
              <w:rPr>
                <w:rFonts w:eastAsia="Symbol" w:cs="Times New Roman"/>
                <w:noProof/>
              </w:rPr>
            </w:pPr>
            <w:r>
              <w:rPr>
                <w:noProof/>
              </w:rPr>
              <w:t>Publikacja wyników na stronie internetowej</w:t>
            </w:r>
          </w:p>
        </w:tc>
        <w:tc>
          <w:tcPr>
            <w:tcW w:w="850" w:type="dxa"/>
            <w:shd w:val="clear" w:color="auto" w:fill="C6EFCE"/>
            <w:noWrap/>
          </w:tcPr>
          <w:p w14:paraId="3B89598A" w14:textId="77777777" w:rsidR="006578ED" w:rsidRDefault="00A1618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1D9BD9BE" w14:textId="77777777" w:rsidR="006578ED" w:rsidRDefault="00A1618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4B690AF8" w14:textId="77777777" w:rsidR="006578ED" w:rsidRDefault="00A1618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DE06FBE" w14:textId="0739D2AA"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0D860353" w14:textId="77777777" w:rsidR="006578ED" w:rsidRDefault="00A1618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62B486A3" w14:textId="5C51832D" w:rsidR="006578ED" w:rsidRDefault="00A1618E">
            <w:pPr>
              <w:pStyle w:val="P68B1DB1-Normal13"/>
              <w:spacing w:after="0" w:line="240" w:lineRule="auto"/>
              <w:rPr>
                <w:rFonts w:eastAsia="Symbol" w:cs="Times New Roman"/>
                <w:noProof/>
              </w:rPr>
            </w:pPr>
            <w:r>
              <w:rPr>
                <w:noProof/>
              </w:rPr>
              <w:t>Zakończenie kluczowych działań w ramach krajowej strategii konsumpcji własnej, w tym: opublikowanie na stronie internetowej Ministerstwa Transformacji Ekologicznej wytycznych technicznych oraz wytycznych dla gmin dotyczących sposobów wspierania prosumpcji oraz ukończenia szkoleń mających na celu poprawę wymaganych umiejętności technicznych w zakresie odnawialnych źródeł prosumpcji energii ze źródeł odnawialnych dla co najmniej 500 specjalistów.</w:t>
            </w:r>
          </w:p>
        </w:tc>
      </w:tr>
      <w:tr w:rsidR="006578ED" w14:paraId="0F86EE98" w14:textId="77777777">
        <w:trPr>
          <w:trHeight w:val="309"/>
        </w:trPr>
        <w:tc>
          <w:tcPr>
            <w:tcW w:w="709" w:type="dxa"/>
            <w:shd w:val="clear" w:color="auto" w:fill="C6EFCE"/>
            <w:noWrap/>
          </w:tcPr>
          <w:p w14:paraId="1C213BED" w14:textId="77777777" w:rsidR="006578ED" w:rsidRDefault="00A1618E">
            <w:pPr>
              <w:pStyle w:val="P68B1DB1-Normal13"/>
              <w:spacing w:after="0" w:line="240" w:lineRule="auto"/>
              <w:jc w:val="center"/>
              <w:rPr>
                <w:rFonts w:eastAsia="Symbol" w:cs="Times New Roman"/>
                <w:noProof/>
              </w:rPr>
            </w:pPr>
            <w:r>
              <w:rPr>
                <w:noProof/>
              </w:rPr>
              <w:t>110</w:t>
            </w:r>
          </w:p>
        </w:tc>
        <w:tc>
          <w:tcPr>
            <w:tcW w:w="851" w:type="dxa"/>
            <w:shd w:val="clear" w:color="auto" w:fill="C6EFCE"/>
            <w:noWrap/>
          </w:tcPr>
          <w:p w14:paraId="637C99B4" w14:textId="77777777" w:rsidR="006578ED" w:rsidRDefault="00A1618E">
            <w:pPr>
              <w:pStyle w:val="P68B1DB1-Normal13"/>
              <w:spacing w:after="0" w:line="240" w:lineRule="auto"/>
              <w:jc w:val="center"/>
              <w:rPr>
                <w:rFonts w:eastAsia="Symbol" w:cs="Times New Roman"/>
                <w:noProof/>
              </w:rPr>
            </w:pPr>
            <w:r>
              <w:rPr>
                <w:noProof/>
              </w:rPr>
              <w:t>C7.R3</w:t>
            </w:r>
          </w:p>
        </w:tc>
        <w:tc>
          <w:tcPr>
            <w:tcW w:w="850" w:type="dxa"/>
            <w:shd w:val="clear" w:color="auto" w:fill="C6EFCE"/>
            <w:noWrap/>
          </w:tcPr>
          <w:p w14:paraId="627E5AD6" w14:textId="5C61E6EF" w:rsidR="006578ED" w:rsidRDefault="00AF6B91">
            <w:pPr>
              <w:pStyle w:val="P68B1DB1-Normal13"/>
              <w:spacing w:after="0" w:line="240" w:lineRule="auto"/>
              <w:jc w:val="center"/>
              <w:rPr>
                <w:rFonts w:eastAsia="Symbol" w:cs="Times New Roman"/>
                <w:noProof/>
              </w:rPr>
            </w:pPr>
            <w:r>
              <w:rPr>
                <w:noProof/>
              </w:rPr>
              <w:t>Kamień milowy</w:t>
            </w:r>
          </w:p>
        </w:tc>
        <w:tc>
          <w:tcPr>
            <w:tcW w:w="2977" w:type="dxa"/>
            <w:shd w:val="clear" w:color="auto" w:fill="C6EFCE"/>
            <w:noWrap/>
          </w:tcPr>
          <w:p w14:paraId="28BAB183" w14:textId="77777777" w:rsidR="006578ED" w:rsidRDefault="00A1618E">
            <w:pPr>
              <w:pStyle w:val="P68B1DB1-Normal13"/>
              <w:spacing w:after="0" w:line="240" w:lineRule="auto"/>
              <w:rPr>
                <w:rFonts w:eastAsia="Symbol" w:cs="Times New Roman"/>
                <w:noProof/>
              </w:rPr>
            </w:pPr>
            <w:r>
              <w:rPr>
                <w:noProof/>
              </w:rPr>
              <w:t xml:space="preserve">Projekt pilotażowy na rzecz społeczności energetycznych </w:t>
            </w:r>
          </w:p>
        </w:tc>
        <w:tc>
          <w:tcPr>
            <w:tcW w:w="1276" w:type="dxa"/>
            <w:shd w:val="clear" w:color="auto" w:fill="C6EFCE"/>
            <w:noWrap/>
          </w:tcPr>
          <w:p w14:paraId="4FB2D6F1" w14:textId="77777777" w:rsidR="006578ED" w:rsidRDefault="00A1618E">
            <w:pPr>
              <w:pStyle w:val="P68B1DB1-Normal13"/>
              <w:spacing w:after="0" w:line="240" w:lineRule="auto"/>
              <w:jc w:val="center"/>
              <w:rPr>
                <w:rFonts w:eastAsia="Symbol" w:cs="Times New Roman"/>
                <w:noProof/>
              </w:rPr>
            </w:pPr>
            <w:r>
              <w:rPr>
                <w:noProof/>
              </w:rPr>
              <w:t>Publikacja na stronie internetowej</w:t>
            </w:r>
          </w:p>
        </w:tc>
        <w:tc>
          <w:tcPr>
            <w:tcW w:w="850" w:type="dxa"/>
            <w:shd w:val="clear" w:color="auto" w:fill="C6EFCE"/>
            <w:noWrap/>
          </w:tcPr>
          <w:p w14:paraId="5D2FFEEA" w14:textId="77777777" w:rsidR="006578ED" w:rsidRDefault="00A1618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142A0355" w14:textId="77777777" w:rsidR="006578ED" w:rsidRDefault="00A1618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7069FD48" w14:textId="77777777" w:rsidR="006578ED" w:rsidRDefault="00A1618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5D15D15B" w14:textId="2B296075"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0BA06E4D" w14:textId="77777777" w:rsidR="006578ED" w:rsidRDefault="00A1618E">
            <w:pPr>
              <w:pStyle w:val="P68B1DB1-Normal13"/>
              <w:spacing w:after="0" w:line="240" w:lineRule="auto"/>
              <w:jc w:val="center"/>
              <w:rPr>
                <w:rFonts w:eastAsia="Symbol" w:cs="Times New Roman"/>
                <w:noProof/>
              </w:rPr>
            </w:pPr>
            <w:r>
              <w:rPr>
                <w:noProof/>
              </w:rPr>
              <w:t>2022</w:t>
            </w:r>
          </w:p>
        </w:tc>
        <w:tc>
          <w:tcPr>
            <w:tcW w:w="5217" w:type="dxa"/>
            <w:shd w:val="clear" w:color="auto" w:fill="C6EFCE"/>
            <w:noWrap/>
          </w:tcPr>
          <w:p w14:paraId="70A37D06" w14:textId="70991260" w:rsidR="006578ED" w:rsidRDefault="00A1618E">
            <w:pPr>
              <w:pStyle w:val="P68B1DB1-Normal13"/>
              <w:spacing w:after="0" w:line="240" w:lineRule="auto"/>
              <w:rPr>
                <w:rFonts w:eastAsia="Symbol" w:cs="Times New Roman"/>
                <w:noProof/>
              </w:rPr>
            </w:pPr>
            <w:r>
              <w:rPr>
                <w:noProof/>
              </w:rPr>
              <w:t xml:space="preserve">Przyznanie pierwszego projektu pilotażowego dla społeczności energetycznych na podstawie zaproszeń do składania ofert w celu wykazania wykonalności tego modelu. </w:t>
            </w:r>
          </w:p>
        </w:tc>
      </w:tr>
      <w:tr w:rsidR="006578ED" w14:paraId="7DCEBF7A" w14:textId="77777777">
        <w:trPr>
          <w:trHeight w:val="309"/>
        </w:trPr>
        <w:tc>
          <w:tcPr>
            <w:tcW w:w="709" w:type="dxa"/>
            <w:shd w:val="clear" w:color="auto" w:fill="C6EFCE"/>
            <w:noWrap/>
          </w:tcPr>
          <w:p w14:paraId="4F5DFF28" w14:textId="77777777" w:rsidR="006578ED" w:rsidRDefault="00A1618E">
            <w:pPr>
              <w:pStyle w:val="P68B1DB1-Normal13"/>
              <w:spacing w:after="0" w:line="240" w:lineRule="auto"/>
              <w:jc w:val="center"/>
              <w:rPr>
                <w:rFonts w:eastAsia="Symbol" w:cs="Times New Roman"/>
                <w:noProof/>
              </w:rPr>
            </w:pPr>
            <w:r>
              <w:rPr>
                <w:noProof/>
              </w:rPr>
              <w:t>111</w:t>
            </w:r>
          </w:p>
        </w:tc>
        <w:tc>
          <w:tcPr>
            <w:tcW w:w="851" w:type="dxa"/>
            <w:shd w:val="clear" w:color="auto" w:fill="C6EFCE"/>
            <w:noWrap/>
          </w:tcPr>
          <w:p w14:paraId="02552346" w14:textId="77777777" w:rsidR="006578ED" w:rsidRDefault="00A1618E">
            <w:pPr>
              <w:pStyle w:val="P68B1DB1-Normal13"/>
              <w:spacing w:after="0" w:line="240" w:lineRule="auto"/>
              <w:jc w:val="center"/>
              <w:rPr>
                <w:rFonts w:eastAsia="Symbol" w:cs="Times New Roman"/>
                <w:noProof/>
              </w:rPr>
            </w:pPr>
            <w:r>
              <w:rPr>
                <w:noProof/>
              </w:rPr>
              <w:t>C7.R3</w:t>
            </w:r>
          </w:p>
        </w:tc>
        <w:tc>
          <w:tcPr>
            <w:tcW w:w="850" w:type="dxa"/>
            <w:shd w:val="clear" w:color="auto" w:fill="C6EFCE"/>
            <w:noWrap/>
          </w:tcPr>
          <w:p w14:paraId="2941F8A8" w14:textId="62B7E106" w:rsidR="006578ED" w:rsidRDefault="00AF6B91">
            <w:pPr>
              <w:pStyle w:val="P68B1DB1-Normal13"/>
              <w:spacing w:after="0" w:line="240" w:lineRule="auto"/>
              <w:jc w:val="center"/>
              <w:rPr>
                <w:rFonts w:eastAsia="Symbol" w:cs="Times New Roman"/>
                <w:noProof/>
              </w:rPr>
            </w:pPr>
            <w:r>
              <w:rPr>
                <w:noProof/>
              </w:rPr>
              <w:t>Cel</w:t>
            </w:r>
          </w:p>
        </w:tc>
        <w:tc>
          <w:tcPr>
            <w:tcW w:w="2977" w:type="dxa"/>
            <w:shd w:val="clear" w:color="auto" w:fill="C6EFCE"/>
            <w:noWrap/>
          </w:tcPr>
          <w:p w14:paraId="6B4E7492" w14:textId="3E94B24A" w:rsidR="006578ED" w:rsidRDefault="00A1618E">
            <w:pPr>
              <w:pStyle w:val="P68B1DB1-Normal13"/>
              <w:spacing w:after="0" w:line="240" w:lineRule="auto"/>
              <w:rPr>
                <w:rFonts w:eastAsia="Symbol" w:cs="Times New Roman"/>
                <w:noProof/>
              </w:rPr>
            </w:pPr>
            <w:r>
              <w:rPr>
                <w:noProof/>
              </w:rPr>
              <w:t>Zakończenie projektów pilotażowych związanych z energią w społecznościach lokalnych</w:t>
            </w:r>
          </w:p>
        </w:tc>
        <w:tc>
          <w:tcPr>
            <w:tcW w:w="1276" w:type="dxa"/>
            <w:shd w:val="clear" w:color="auto" w:fill="C6EFCE"/>
            <w:noWrap/>
          </w:tcPr>
          <w:p w14:paraId="0A5B7069" w14:textId="77777777" w:rsidR="006578ED" w:rsidRDefault="00A1618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4D4AEED7" w14:textId="77777777" w:rsidR="006578ED" w:rsidRDefault="00A1618E">
            <w:pPr>
              <w:pStyle w:val="P68B1DB1-Normal13"/>
              <w:spacing w:after="0" w:line="240" w:lineRule="auto"/>
              <w:jc w:val="center"/>
              <w:rPr>
                <w:rFonts w:eastAsia="Symbol" w:cs="Times New Roman"/>
                <w:noProof/>
              </w:rPr>
            </w:pPr>
            <w:r>
              <w:rPr>
                <w:noProof/>
              </w:rPr>
              <w:t>Liczba</w:t>
            </w:r>
          </w:p>
        </w:tc>
        <w:tc>
          <w:tcPr>
            <w:tcW w:w="709" w:type="dxa"/>
            <w:shd w:val="clear" w:color="auto" w:fill="C6EFCE"/>
            <w:noWrap/>
          </w:tcPr>
          <w:p w14:paraId="1CAC2DF5" w14:textId="77777777" w:rsidR="006578ED" w:rsidRDefault="00A1618E">
            <w:pPr>
              <w:pStyle w:val="P68B1DB1-Normal13"/>
              <w:spacing w:after="0" w:line="240" w:lineRule="auto"/>
              <w:jc w:val="center"/>
              <w:rPr>
                <w:rFonts w:eastAsia="Symbol" w:cs="Times New Roman"/>
                <w:noProof/>
              </w:rPr>
            </w:pPr>
            <w:r>
              <w:rPr>
                <w:noProof/>
              </w:rPr>
              <w:t> 0</w:t>
            </w:r>
          </w:p>
        </w:tc>
        <w:tc>
          <w:tcPr>
            <w:tcW w:w="737" w:type="dxa"/>
            <w:shd w:val="clear" w:color="auto" w:fill="C6EFCE"/>
            <w:noWrap/>
          </w:tcPr>
          <w:p w14:paraId="1F392030" w14:textId="77777777" w:rsidR="006578ED" w:rsidRDefault="00A1618E">
            <w:pPr>
              <w:pStyle w:val="P68B1DB1-Normal13"/>
              <w:spacing w:after="0" w:line="240" w:lineRule="auto"/>
              <w:jc w:val="center"/>
              <w:rPr>
                <w:rFonts w:eastAsia="Symbol" w:cs="Times New Roman"/>
                <w:noProof/>
              </w:rPr>
            </w:pPr>
            <w:r>
              <w:rPr>
                <w:noProof/>
              </w:rPr>
              <w:t>37</w:t>
            </w:r>
          </w:p>
        </w:tc>
        <w:tc>
          <w:tcPr>
            <w:tcW w:w="567" w:type="dxa"/>
            <w:shd w:val="clear" w:color="auto" w:fill="C6EFCE"/>
            <w:noWrap/>
          </w:tcPr>
          <w:p w14:paraId="04C84B27" w14:textId="02BC2D4E"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475D344D" w14:textId="7C2136F4" w:rsidR="006578ED" w:rsidRDefault="00A1618E">
            <w:pPr>
              <w:pStyle w:val="P68B1DB1-Normal13"/>
              <w:spacing w:after="0" w:line="240" w:lineRule="auto"/>
              <w:jc w:val="center"/>
              <w:rPr>
                <w:rFonts w:eastAsia="Symbol" w:cs="Times New Roman"/>
                <w:noProof/>
              </w:rPr>
            </w:pPr>
            <w:r>
              <w:rPr>
                <w:noProof/>
              </w:rPr>
              <w:t>2024</w:t>
            </w:r>
          </w:p>
        </w:tc>
        <w:tc>
          <w:tcPr>
            <w:tcW w:w="5217" w:type="dxa"/>
            <w:shd w:val="clear" w:color="auto" w:fill="C6EFCE"/>
            <w:noWrap/>
          </w:tcPr>
          <w:p w14:paraId="346E211B" w14:textId="0918C803" w:rsidR="006578ED" w:rsidRDefault="00A1618E">
            <w:pPr>
              <w:pStyle w:val="P68B1DB1-Normal13"/>
              <w:spacing w:after="0" w:line="240" w:lineRule="auto"/>
              <w:rPr>
                <w:rFonts w:eastAsia="Symbol" w:cs="Times New Roman"/>
                <w:noProof/>
              </w:rPr>
            </w:pPr>
            <w:r>
              <w:rPr>
                <w:noProof/>
              </w:rPr>
              <w:t>Ukończenie co najmniej 37 projektów pilotażowych związanych z energią z udziałem społeczności lokalnej, na podstawie planu działania określającego przeprowadzone działania i dalsze działania. Te projekty pilotażowe mogą obejmować procesy partycypacyjne, wspieranie tworzenia lokalnych społeczności energetycznych lub wdrażanie samych projektów dotyczących energii ze źródeł odnawialnych.</w:t>
            </w:r>
          </w:p>
        </w:tc>
      </w:tr>
      <w:tr w:rsidR="006578ED" w14:paraId="293E68CC" w14:textId="77777777">
        <w:trPr>
          <w:trHeight w:val="309"/>
        </w:trPr>
        <w:tc>
          <w:tcPr>
            <w:tcW w:w="709" w:type="dxa"/>
            <w:shd w:val="clear" w:color="auto" w:fill="C6EFCE"/>
            <w:noWrap/>
          </w:tcPr>
          <w:p w14:paraId="5F0CA593" w14:textId="77777777" w:rsidR="006578ED" w:rsidRDefault="00A1618E">
            <w:pPr>
              <w:pStyle w:val="P68B1DB1-Normal13"/>
              <w:spacing w:after="0" w:line="240" w:lineRule="auto"/>
              <w:jc w:val="center"/>
              <w:rPr>
                <w:rFonts w:eastAsia="Symbol" w:cs="Times New Roman"/>
                <w:noProof/>
              </w:rPr>
            </w:pPr>
            <w:r>
              <w:rPr>
                <w:noProof/>
              </w:rPr>
              <w:t>112</w:t>
            </w:r>
          </w:p>
        </w:tc>
        <w:tc>
          <w:tcPr>
            <w:tcW w:w="851" w:type="dxa"/>
            <w:shd w:val="clear" w:color="auto" w:fill="C6EFCE"/>
            <w:noWrap/>
          </w:tcPr>
          <w:p w14:paraId="20AE2DF1" w14:textId="77777777" w:rsidR="006578ED" w:rsidRDefault="00A1618E">
            <w:pPr>
              <w:pStyle w:val="P68B1DB1-Normal13"/>
              <w:spacing w:after="0" w:line="240" w:lineRule="auto"/>
              <w:jc w:val="center"/>
              <w:rPr>
                <w:rFonts w:eastAsia="Symbol" w:cs="Times New Roman"/>
                <w:noProof/>
              </w:rPr>
            </w:pPr>
            <w:r>
              <w:rPr>
                <w:noProof/>
              </w:rPr>
              <w:t>C7.R4</w:t>
            </w:r>
          </w:p>
        </w:tc>
        <w:tc>
          <w:tcPr>
            <w:tcW w:w="850" w:type="dxa"/>
            <w:shd w:val="clear" w:color="auto" w:fill="C6EFCE"/>
            <w:noWrap/>
          </w:tcPr>
          <w:p w14:paraId="61A57A1C" w14:textId="1E73C6AA" w:rsidR="006578ED" w:rsidRDefault="00AF6B91">
            <w:pPr>
              <w:pStyle w:val="P68B1DB1-Normal13"/>
              <w:spacing w:after="0" w:line="240" w:lineRule="auto"/>
              <w:jc w:val="center"/>
              <w:rPr>
                <w:rFonts w:eastAsia="Symbol" w:cs="Times New Roman"/>
                <w:noProof/>
              </w:rPr>
            </w:pPr>
            <w:r>
              <w:rPr>
                <w:noProof/>
              </w:rPr>
              <w:t>Kamień milowy</w:t>
            </w:r>
          </w:p>
        </w:tc>
        <w:tc>
          <w:tcPr>
            <w:tcW w:w="2977" w:type="dxa"/>
            <w:shd w:val="clear" w:color="auto" w:fill="C6EFCE"/>
            <w:noWrap/>
          </w:tcPr>
          <w:p w14:paraId="1A09D8EB" w14:textId="319A2DAB" w:rsidR="006578ED" w:rsidRDefault="00A1618E">
            <w:pPr>
              <w:pStyle w:val="P68B1DB1-Normal13"/>
              <w:spacing w:after="0" w:line="240" w:lineRule="auto"/>
              <w:rPr>
                <w:rFonts w:eastAsia="Symbol" w:cs="Times New Roman"/>
                <w:noProof/>
              </w:rPr>
            </w:pPr>
            <w:r>
              <w:rPr>
                <w:noProof/>
              </w:rPr>
              <w:t>Plan działania na rzecz morskiej energii wiatrowej i innej energii morskiej</w:t>
            </w:r>
          </w:p>
        </w:tc>
        <w:tc>
          <w:tcPr>
            <w:tcW w:w="1276" w:type="dxa"/>
            <w:shd w:val="clear" w:color="auto" w:fill="C6EFCE"/>
            <w:noWrap/>
          </w:tcPr>
          <w:p w14:paraId="7149803A" w14:textId="77777777" w:rsidR="006578ED" w:rsidRDefault="00A1618E">
            <w:pPr>
              <w:pStyle w:val="P68B1DB1-Normal13"/>
              <w:spacing w:after="0" w:line="240" w:lineRule="auto"/>
              <w:jc w:val="center"/>
              <w:rPr>
                <w:rFonts w:eastAsia="Symbol" w:cs="Times New Roman"/>
                <w:noProof/>
              </w:rPr>
            </w:pPr>
            <w:r>
              <w:rPr>
                <w:noProof/>
              </w:rPr>
              <w:t>Publikacja na stronie internetowej</w:t>
            </w:r>
          </w:p>
        </w:tc>
        <w:tc>
          <w:tcPr>
            <w:tcW w:w="850" w:type="dxa"/>
            <w:shd w:val="clear" w:color="auto" w:fill="C6EFCE"/>
            <w:noWrap/>
          </w:tcPr>
          <w:p w14:paraId="4FA58E2B" w14:textId="77777777" w:rsidR="006578ED" w:rsidRDefault="00A1618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705B4414" w14:textId="77777777" w:rsidR="006578ED" w:rsidRDefault="00A1618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17B578C6" w14:textId="77777777" w:rsidR="006578ED" w:rsidRDefault="00A1618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4DDB2106" w14:textId="3916B933"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116D4EA9" w14:textId="77777777" w:rsidR="006578ED" w:rsidRDefault="00A1618E">
            <w:pPr>
              <w:pStyle w:val="P68B1DB1-Normal13"/>
              <w:spacing w:after="0" w:line="240" w:lineRule="auto"/>
              <w:jc w:val="center"/>
              <w:rPr>
                <w:rFonts w:eastAsia="Symbol" w:cs="Times New Roman"/>
                <w:noProof/>
              </w:rPr>
            </w:pPr>
            <w:r>
              <w:rPr>
                <w:noProof/>
              </w:rPr>
              <w:t>2021</w:t>
            </w:r>
          </w:p>
        </w:tc>
        <w:tc>
          <w:tcPr>
            <w:tcW w:w="5217" w:type="dxa"/>
            <w:shd w:val="clear" w:color="auto" w:fill="C6EFCE"/>
            <w:noWrap/>
          </w:tcPr>
          <w:p w14:paraId="77EDC287" w14:textId="7283DB0B" w:rsidR="006578ED" w:rsidRDefault="00A1618E">
            <w:pPr>
              <w:pStyle w:val="P68B1DB1-Normal13"/>
              <w:spacing w:after="0" w:line="240" w:lineRule="auto"/>
              <w:rPr>
                <w:rFonts w:eastAsia="Symbol" w:cs="Times New Roman"/>
                <w:noProof/>
              </w:rPr>
            </w:pPr>
            <w:r>
              <w:rPr>
                <w:noProof/>
              </w:rPr>
              <w:t>Publikacja planu działania na rzecz morskiej energii wiatrowej i innej energii morskiej w celu zmniejszenia barier administracyjnych utrudniających rozwój tego źródła energii ze źródeł odnawialnych</w:t>
            </w:r>
          </w:p>
        </w:tc>
      </w:tr>
      <w:tr w:rsidR="006578ED" w14:paraId="78B4477D" w14:textId="77777777">
        <w:trPr>
          <w:trHeight w:val="309"/>
        </w:trPr>
        <w:tc>
          <w:tcPr>
            <w:tcW w:w="709" w:type="dxa"/>
            <w:shd w:val="clear" w:color="auto" w:fill="C6EFCE"/>
            <w:noWrap/>
          </w:tcPr>
          <w:p w14:paraId="63F14F84" w14:textId="77777777" w:rsidR="006578ED" w:rsidRDefault="00A1618E">
            <w:pPr>
              <w:pStyle w:val="P68B1DB1-Normal13"/>
              <w:spacing w:after="0" w:line="240" w:lineRule="auto"/>
              <w:jc w:val="center"/>
              <w:rPr>
                <w:rFonts w:eastAsia="Symbol" w:cs="Times New Roman"/>
                <w:noProof/>
              </w:rPr>
            </w:pPr>
            <w:r>
              <w:rPr>
                <w:noProof/>
              </w:rPr>
              <w:t>113</w:t>
            </w:r>
          </w:p>
        </w:tc>
        <w:tc>
          <w:tcPr>
            <w:tcW w:w="851" w:type="dxa"/>
            <w:shd w:val="clear" w:color="auto" w:fill="C6EFCE"/>
            <w:noWrap/>
          </w:tcPr>
          <w:p w14:paraId="29C2D4C9" w14:textId="77777777" w:rsidR="006578ED" w:rsidRDefault="00A1618E">
            <w:pPr>
              <w:pStyle w:val="P68B1DB1-Normal13"/>
              <w:spacing w:after="0" w:line="240" w:lineRule="auto"/>
              <w:jc w:val="center"/>
              <w:rPr>
                <w:rFonts w:eastAsia="Symbol" w:cs="Times New Roman"/>
                <w:noProof/>
              </w:rPr>
            </w:pPr>
            <w:r>
              <w:rPr>
                <w:noProof/>
              </w:rPr>
              <w:t>C7.R4</w:t>
            </w:r>
          </w:p>
        </w:tc>
        <w:tc>
          <w:tcPr>
            <w:tcW w:w="850" w:type="dxa"/>
            <w:shd w:val="clear" w:color="auto" w:fill="C6EFCE"/>
            <w:noWrap/>
          </w:tcPr>
          <w:p w14:paraId="524630E2" w14:textId="429651DA" w:rsidR="006578ED" w:rsidRDefault="00AF6B91">
            <w:pPr>
              <w:pStyle w:val="P68B1DB1-Normal13"/>
              <w:spacing w:after="0" w:line="240" w:lineRule="auto"/>
              <w:jc w:val="center"/>
              <w:rPr>
                <w:rFonts w:eastAsia="Symbol" w:cs="Times New Roman"/>
                <w:noProof/>
              </w:rPr>
            </w:pPr>
            <w:r>
              <w:rPr>
                <w:noProof/>
              </w:rPr>
              <w:t>Kamień milowy</w:t>
            </w:r>
          </w:p>
        </w:tc>
        <w:tc>
          <w:tcPr>
            <w:tcW w:w="2977" w:type="dxa"/>
            <w:shd w:val="clear" w:color="auto" w:fill="C6EFCE"/>
            <w:noWrap/>
          </w:tcPr>
          <w:p w14:paraId="03200769" w14:textId="715C891C" w:rsidR="006578ED" w:rsidRDefault="00A1618E">
            <w:pPr>
              <w:pStyle w:val="P68B1DB1-Normal13"/>
              <w:spacing w:after="0" w:line="240" w:lineRule="auto"/>
              <w:rPr>
                <w:rFonts w:eastAsia="Symbol" w:cs="Times New Roman"/>
                <w:noProof/>
              </w:rPr>
            </w:pPr>
            <w:r>
              <w:rPr>
                <w:noProof/>
              </w:rPr>
              <w:t>Wejście w życie środków regulacyjnych określonych na mapie w odniesieniu do morskiej energii wiatrowej i innej energii morskiej</w:t>
            </w:r>
          </w:p>
        </w:tc>
        <w:tc>
          <w:tcPr>
            <w:tcW w:w="1276" w:type="dxa"/>
            <w:shd w:val="clear" w:color="auto" w:fill="C6EFCE"/>
            <w:noWrap/>
          </w:tcPr>
          <w:p w14:paraId="517C0551" w14:textId="5505DAC2" w:rsidR="006578ED" w:rsidRDefault="00A1618E">
            <w:pPr>
              <w:pStyle w:val="P68B1DB1-Normal13"/>
              <w:spacing w:after="0" w:line="240" w:lineRule="auto"/>
              <w:jc w:val="center"/>
              <w:rPr>
                <w:rFonts w:eastAsia="Symbol" w:cs="Times New Roman"/>
                <w:noProof/>
              </w:rPr>
            </w:pPr>
            <w:r>
              <w:rPr>
                <w:noProof/>
              </w:rPr>
              <w:t>Przepisy zawarte w przepisach wykonawczych z chwilą wejścia w życie</w:t>
            </w:r>
          </w:p>
        </w:tc>
        <w:tc>
          <w:tcPr>
            <w:tcW w:w="850" w:type="dxa"/>
            <w:shd w:val="clear" w:color="auto" w:fill="C6EFCE"/>
            <w:noWrap/>
          </w:tcPr>
          <w:p w14:paraId="1FA429CE" w14:textId="77777777" w:rsidR="006578ED" w:rsidRDefault="00A1618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4E64FEAB" w14:textId="77777777" w:rsidR="006578ED" w:rsidRDefault="00A1618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0F5B8C8A" w14:textId="77777777" w:rsidR="006578ED" w:rsidRDefault="00A1618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1D8520B8" w14:textId="1E366118"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3E931638" w14:textId="77777777" w:rsidR="006578ED" w:rsidRDefault="00A1618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76BAAB49" w14:textId="2DDA3937" w:rsidR="006578ED" w:rsidRDefault="00A1618E">
            <w:pPr>
              <w:pStyle w:val="P68B1DB1-Normal13"/>
              <w:spacing w:after="0" w:line="240" w:lineRule="auto"/>
              <w:rPr>
                <w:rFonts w:eastAsia="Symbol" w:cs="Times New Roman"/>
                <w:noProof/>
              </w:rPr>
            </w:pPr>
            <w:r>
              <w:rPr>
                <w:noProof/>
              </w:rPr>
              <w:t>Wejście w życie kluczowych środków regulacyjnych określonych na mapie morskiej energii wiatrowej i innej energii morskiej w celu promowania badań naukowych i innowacji oraz wspierania wdrażania technologii pływających. Te kluczowe środki obejmują: ostateczne zatwierdzenie planów planowania przestrzennego obszarów morskich, lepsza koordynacja planowania sieci i strategii morskiej oraz aktualizacja ram regulacyjnych.</w:t>
            </w:r>
          </w:p>
        </w:tc>
      </w:tr>
      <w:tr w:rsidR="006578ED" w14:paraId="4EE8FC0F" w14:textId="77777777">
        <w:trPr>
          <w:trHeight w:val="309"/>
        </w:trPr>
        <w:tc>
          <w:tcPr>
            <w:tcW w:w="709" w:type="dxa"/>
            <w:shd w:val="clear" w:color="auto" w:fill="C6EFCE"/>
            <w:noWrap/>
          </w:tcPr>
          <w:p w14:paraId="31A92431" w14:textId="77777777" w:rsidR="006578ED" w:rsidRDefault="00A1618E">
            <w:pPr>
              <w:pStyle w:val="P68B1DB1-Normal13"/>
              <w:spacing w:after="0" w:line="240" w:lineRule="auto"/>
              <w:jc w:val="center"/>
              <w:rPr>
                <w:rFonts w:eastAsia="Symbol" w:cs="Times New Roman"/>
                <w:noProof/>
              </w:rPr>
            </w:pPr>
            <w:r>
              <w:rPr>
                <w:noProof/>
              </w:rPr>
              <w:t>114</w:t>
            </w:r>
          </w:p>
        </w:tc>
        <w:tc>
          <w:tcPr>
            <w:tcW w:w="851" w:type="dxa"/>
            <w:shd w:val="clear" w:color="auto" w:fill="C6EFCE"/>
            <w:noWrap/>
          </w:tcPr>
          <w:p w14:paraId="78568058" w14:textId="77777777" w:rsidR="006578ED" w:rsidRDefault="00A1618E">
            <w:pPr>
              <w:pStyle w:val="P68B1DB1-Normal13"/>
              <w:spacing w:after="0" w:line="240" w:lineRule="auto"/>
              <w:jc w:val="center"/>
              <w:rPr>
                <w:rFonts w:eastAsia="Symbol" w:cs="Times New Roman"/>
                <w:noProof/>
              </w:rPr>
            </w:pPr>
            <w:r>
              <w:rPr>
                <w:noProof/>
              </w:rPr>
              <w:t>C7.R4</w:t>
            </w:r>
          </w:p>
        </w:tc>
        <w:tc>
          <w:tcPr>
            <w:tcW w:w="850" w:type="dxa"/>
            <w:shd w:val="clear" w:color="auto" w:fill="C6EFCE"/>
            <w:noWrap/>
          </w:tcPr>
          <w:p w14:paraId="36E3BA94" w14:textId="6CBDB9B9" w:rsidR="006578ED" w:rsidRDefault="00AF6B91">
            <w:pPr>
              <w:pStyle w:val="P68B1DB1-Normal13"/>
              <w:spacing w:after="0" w:line="240" w:lineRule="auto"/>
              <w:jc w:val="center"/>
              <w:rPr>
                <w:rFonts w:eastAsia="Symbol" w:cs="Times New Roman"/>
                <w:noProof/>
              </w:rPr>
            </w:pPr>
            <w:r>
              <w:rPr>
                <w:noProof/>
              </w:rPr>
              <w:t>Kamień milowy</w:t>
            </w:r>
          </w:p>
        </w:tc>
        <w:tc>
          <w:tcPr>
            <w:tcW w:w="2977" w:type="dxa"/>
            <w:shd w:val="clear" w:color="auto" w:fill="C6EFCE"/>
            <w:noWrap/>
          </w:tcPr>
          <w:p w14:paraId="66D801F0" w14:textId="3553C2CB" w:rsidR="006578ED" w:rsidRDefault="00A1618E">
            <w:pPr>
              <w:pStyle w:val="P68B1DB1-Normal13"/>
              <w:spacing w:after="0" w:line="240" w:lineRule="auto"/>
              <w:rPr>
                <w:rFonts w:eastAsia="Symbol" w:cs="Times New Roman"/>
                <w:noProof/>
              </w:rPr>
            </w:pPr>
            <w:r>
              <w:rPr>
                <w:noProof/>
              </w:rPr>
              <w:t>Zakończenie działań określonych w planie działania dotyczącym biogazu</w:t>
            </w:r>
          </w:p>
        </w:tc>
        <w:tc>
          <w:tcPr>
            <w:tcW w:w="1276" w:type="dxa"/>
            <w:shd w:val="clear" w:color="auto" w:fill="C6EFCE"/>
            <w:noWrap/>
          </w:tcPr>
          <w:p w14:paraId="526D0C03" w14:textId="77777777" w:rsidR="006578ED" w:rsidRDefault="00A1618E">
            <w:pPr>
              <w:pStyle w:val="P68B1DB1-Normal13"/>
              <w:spacing w:after="0" w:line="240" w:lineRule="auto"/>
              <w:jc w:val="center"/>
              <w:rPr>
                <w:rFonts w:eastAsia="Symbol" w:cs="Times New Roman"/>
                <w:noProof/>
              </w:rPr>
            </w:pPr>
            <w:r>
              <w:rPr>
                <w:noProof/>
              </w:rPr>
              <w:t>Publikacja na stronie internetowej</w:t>
            </w:r>
          </w:p>
        </w:tc>
        <w:tc>
          <w:tcPr>
            <w:tcW w:w="850" w:type="dxa"/>
            <w:shd w:val="clear" w:color="auto" w:fill="C6EFCE"/>
            <w:noWrap/>
          </w:tcPr>
          <w:p w14:paraId="248DBDE2" w14:textId="77777777" w:rsidR="006578ED" w:rsidRDefault="00A1618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452D7DC3" w14:textId="77777777" w:rsidR="006578ED" w:rsidRDefault="00A1618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3E835728" w14:textId="77777777" w:rsidR="006578ED" w:rsidRDefault="00A1618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2D4F3C3B" w14:textId="19D6267C"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78EF15BC" w14:textId="77777777" w:rsidR="006578ED" w:rsidRDefault="00A1618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15988DBC" w14:textId="6F856BAE" w:rsidR="006578ED" w:rsidRDefault="00A1618E">
            <w:pPr>
              <w:pStyle w:val="P68B1DB1-Normal13"/>
              <w:spacing w:after="0" w:line="240" w:lineRule="auto"/>
              <w:rPr>
                <w:rFonts w:eastAsia="Symbol" w:cs="Times New Roman"/>
                <w:noProof/>
              </w:rPr>
            </w:pPr>
            <w:r>
              <w:rPr>
                <w:noProof/>
              </w:rPr>
              <w:t>Zakończenie kluczowych środków określonych w planie działania dotyczącym biogazu, w tym ustanowienie systemu gwarancji pochodzenia gazów odnawialnych, w celu poprawy konkurencyjności biogazu i wspierania inwestycji w produkcję biogazu, co zapewni szybsze obniżenie emisyjności w sektorach takich jak przemysł i transport.</w:t>
            </w:r>
          </w:p>
        </w:tc>
      </w:tr>
      <w:tr w:rsidR="006578ED" w14:paraId="63C384DE" w14:textId="77777777">
        <w:trPr>
          <w:trHeight w:val="309"/>
        </w:trPr>
        <w:tc>
          <w:tcPr>
            <w:tcW w:w="709" w:type="dxa"/>
            <w:shd w:val="clear" w:color="auto" w:fill="C6EFCE"/>
            <w:noWrap/>
          </w:tcPr>
          <w:p w14:paraId="7FBB681B" w14:textId="77777777" w:rsidR="006578ED" w:rsidRDefault="00A1618E">
            <w:pPr>
              <w:pStyle w:val="P68B1DB1-Normal13"/>
              <w:spacing w:after="0" w:line="240" w:lineRule="auto"/>
              <w:jc w:val="center"/>
              <w:rPr>
                <w:rFonts w:eastAsia="Symbol" w:cs="Times New Roman"/>
                <w:noProof/>
              </w:rPr>
            </w:pPr>
            <w:r>
              <w:rPr>
                <w:noProof/>
              </w:rPr>
              <w:t>115</w:t>
            </w:r>
          </w:p>
        </w:tc>
        <w:tc>
          <w:tcPr>
            <w:tcW w:w="851" w:type="dxa"/>
            <w:shd w:val="clear" w:color="auto" w:fill="C6EFCE"/>
            <w:noWrap/>
          </w:tcPr>
          <w:p w14:paraId="362CDE17" w14:textId="77777777" w:rsidR="006578ED" w:rsidRDefault="00A1618E">
            <w:pPr>
              <w:pStyle w:val="P68B1DB1-Normal13"/>
              <w:spacing w:after="0" w:line="240" w:lineRule="auto"/>
              <w:jc w:val="center"/>
              <w:rPr>
                <w:rFonts w:eastAsia="Symbol" w:cs="Times New Roman"/>
                <w:noProof/>
              </w:rPr>
            </w:pPr>
            <w:r>
              <w:rPr>
                <w:noProof/>
              </w:rPr>
              <w:t>C7.I1</w:t>
            </w:r>
          </w:p>
        </w:tc>
        <w:tc>
          <w:tcPr>
            <w:tcW w:w="850" w:type="dxa"/>
            <w:shd w:val="clear" w:color="auto" w:fill="C6EFCE"/>
            <w:noWrap/>
          </w:tcPr>
          <w:p w14:paraId="700066EE" w14:textId="7DB26645" w:rsidR="006578ED" w:rsidRDefault="00AF6B91">
            <w:pPr>
              <w:pStyle w:val="P68B1DB1-Normal13"/>
              <w:spacing w:after="0" w:line="240" w:lineRule="auto"/>
              <w:jc w:val="center"/>
              <w:rPr>
                <w:rFonts w:eastAsia="Symbol" w:cs="Times New Roman"/>
                <w:noProof/>
              </w:rPr>
            </w:pPr>
            <w:r>
              <w:rPr>
                <w:noProof/>
              </w:rPr>
              <w:t>Kamień milowy</w:t>
            </w:r>
          </w:p>
        </w:tc>
        <w:tc>
          <w:tcPr>
            <w:tcW w:w="2977" w:type="dxa"/>
            <w:shd w:val="clear" w:color="auto" w:fill="C6EFCE"/>
            <w:noWrap/>
          </w:tcPr>
          <w:p w14:paraId="229661EF" w14:textId="08D45BED" w:rsidR="006578ED" w:rsidRDefault="00A1618E">
            <w:pPr>
              <w:pStyle w:val="P68B1DB1-Normal13"/>
              <w:spacing w:after="0" w:line="240" w:lineRule="auto"/>
              <w:rPr>
                <w:rFonts w:eastAsia="Symbol" w:cs="Times New Roman"/>
                <w:noProof/>
              </w:rPr>
            </w:pPr>
            <w:r>
              <w:rPr>
                <w:noProof/>
              </w:rPr>
              <w:t>Przetarg na wsparcie inwestycyjne na rzecz zdolności innowacyjnych lub o wartości dodanej w zakresie odnawialnych źródeł energii</w:t>
            </w:r>
          </w:p>
        </w:tc>
        <w:tc>
          <w:tcPr>
            <w:tcW w:w="1276" w:type="dxa"/>
            <w:shd w:val="clear" w:color="auto" w:fill="C6EFCE"/>
            <w:noWrap/>
          </w:tcPr>
          <w:p w14:paraId="40DBECFF" w14:textId="77777777" w:rsidR="006578ED" w:rsidRDefault="00A1618E">
            <w:pPr>
              <w:pStyle w:val="P68B1DB1-Normal13"/>
              <w:spacing w:after="0" w:line="240" w:lineRule="auto"/>
              <w:jc w:val="center"/>
              <w:rPr>
                <w:rFonts w:eastAsia="Symbol" w:cs="Times New Roman"/>
                <w:noProof/>
              </w:rPr>
            </w:pPr>
            <w:r>
              <w:rPr>
                <w:noProof/>
              </w:rPr>
              <w:t>Publikacja w Dz.U.</w:t>
            </w:r>
          </w:p>
        </w:tc>
        <w:tc>
          <w:tcPr>
            <w:tcW w:w="850" w:type="dxa"/>
            <w:shd w:val="clear" w:color="auto" w:fill="C6EFCE"/>
            <w:noWrap/>
          </w:tcPr>
          <w:p w14:paraId="46FD6BF3" w14:textId="77777777" w:rsidR="006578ED" w:rsidRDefault="00A1618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0EEEC1AA" w14:textId="77777777" w:rsidR="006578ED" w:rsidRDefault="00A1618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19C7E312" w14:textId="77777777" w:rsidR="006578ED" w:rsidRDefault="00A1618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2BCC829" w14:textId="57BEC015"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4B1264B9" w14:textId="77777777" w:rsidR="006578ED" w:rsidRDefault="00A1618E">
            <w:pPr>
              <w:pStyle w:val="P68B1DB1-Normal13"/>
              <w:spacing w:after="0" w:line="240" w:lineRule="auto"/>
              <w:jc w:val="center"/>
              <w:rPr>
                <w:rFonts w:eastAsia="Symbol" w:cs="Times New Roman"/>
                <w:noProof/>
              </w:rPr>
            </w:pPr>
            <w:r>
              <w:rPr>
                <w:noProof/>
              </w:rPr>
              <w:t>2022</w:t>
            </w:r>
          </w:p>
        </w:tc>
        <w:tc>
          <w:tcPr>
            <w:tcW w:w="5217" w:type="dxa"/>
            <w:shd w:val="clear" w:color="auto" w:fill="C6EFCE"/>
            <w:noWrap/>
          </w:tcPr>
          <w:p w14:paraId="558321B8" w14:textId="31BD39F2" w:rsidR="006578ED" w:rsidRDefault="00A1618E">
            <w:pPr>
              <w:pStyle w:val="P68B1DB1-Normal13"/>
              <w:spacing w:after="0" w:line="240" w:lineRule="auto"/>
              <w:rPr>
                <w:rFonts w:eastAsia="Symbol" w:cs="Times New Roman"/>
                <w:noProof/>
              </w:rPr>
            </w:pPr>
            <w:r>
              <w:rPr>
                <w:noProof/>
              </w:rPr>
              <w:t xml:space="preserve">Publikacja w Dz.U. pierwszego przetargu na wsparcie inwestycyjne na rzecz zdolności innowacyjnych lub o wartości dodanej w zakresie odnawialnych źródeł energii </w:t>
            </w:r>
          </w:p>
        </w:tc>
      </w:tr>
      <w:tr w:rsidR="006578ED" w14:paraId="525CA3D7" w14:textId="77777777">
        <w:trPr>
          <w:trHeight w:val="309"/>
        </w:trPr>
        <w:tc>
          <w:tcPr>
            <w:tcW w:w="709" w:type="dxa"/>
            <w:shd w:val="clear" w:color="auto" w:fill="C6EFCE"/>
            <w:noWrap/>
          </w:tcPr>
          <w:p w14:paraId="0ED21733" w14:textId="77777777" w:rsidR="006578ED" w:rsidRDefault="00A1618E">
            <w:pPr>
              <w:pStyle w:val="P68B1DB1-Normal13"/>
              <w:spacing w:after="0" w:line="240" w:lineRule="auto"/>
              <w:jc w:val="center"/>
              <w:rPr>
                <w:rFonts w:eastAsia="Symbol" w:cs="Times New Roman"/>
                <w:noProof/>
              </w:rPr>
            </w:pPr>
            <w:r>
              <w:rPr>
                <w:noProof/>
              </w:rPr>
              <w:t>116</w:t>
            </w:r>
          </w:p>
        </w:tc>
        <w:tc>
          <w:tcPr>
            <w:tcW w:w="851" w:type="dxa"/>
            <w:shd w:val="clear" w:color="auto" w:fill="C6EFCE"/>
            <w:noWrap/>
          </w:tcPr>
          <w:p w14:paraId="30D6F564" w14:textId="77777777" w:rsidR="006578ED" w:rsidRDefault="00A1618E">
            <w:pPr>
              <w:pStyle w:val="P68B1DB1-Normal13"/>
              <w:spacing w:after="0" w:line="240" w:lineRule="auto"/>
              <w:jc w:val="center"/>
              <w:rPr>
                <w:rFonts w:eastAsia="Symbol" w:cs="Times New Roman"/>
                <w:noProof/>
              </w:rPr>
            </w:pPr>
            <w:r>
              <w:rPr>
                <w:noProof/>
              </w:rPr>
              <w:t>C7.I1</w:t>
            </w:r>
          </w:p>
        </w:tc>
        <w:tc>
          <w:tcPr>
            <w:tcW w:w="850" w:type="dxa"/>
            <w:shd w:val="clear" w:color="auto" w:fill="C6EFCE"/>
            <w:noWrap/>
          </w:tcPr>
          <w:p w14:paraId="36F1F5A9" w14:textId="6A06F7F2" w:rsidR="006578ED" w:rsidRDefault="00AF6B91">
            <w:pPr>
              <w:pStyle w:val="P68B1DB1-Normal13"/>
              <w:spacing w:after="0" w:line="240" w:lineRule="auto"/>
              <w:jc w:val="center"/>
              <w:rPr>
                <w:rFonts w:eastAsia="Symbol" w:cs="Times New Roman"/>
                <w:noProof/>
              </w:rPr>
            </w:pPr>
            <w:r>
              <w:rPr>
                <w:noProof/>
              </w:rPr>
              <w:t>Kamień milowy</w:t>
            </w:r>
          </w:p>
        </w:tc>
        <w:tc>
          <w:tcPr>
            <w:tcW w:w="2977" w:type="dxa"/>
            <w:shd w:val="clear" w:color="auto" w:fill="C6EFCE"/>
            <w:noWrap/>
          </w:tcPr>
          <w:p w14:paraId="55EFD344" w14:textId="77777777" w:rsidR="006578ED" w:rsidRDefault="00A1618E">
            <w:pPr>
              <w:pStyle w:val="P68B1DB1-Normal13"/>
              <w:spacing w:after="0" w:line="240" w:lineRule="auto"/>
              <w:rPr>
                <w:rFonts w:eastAsia="Symbol" w:cs="Times New Roman"/>
                <w:noProof/>
              </w:rPr>
            </w:pPr>
            <w:r>
              <w:rPr>
                <w:noProof/>
              </w:rPr>
              <w:t>Nowe projekty, technologie lub instalacje infrastruktury morskiej energii odnawialnej</w:t>
            </w:r>
          </w:p>
        </w:tc>
        <w:tc>
          <w:tcPr>
            <w:tcW w:w="1276" w:type="dxa"/>
            <w:shd w:val="clear" w:color="auto" w:fill="C6EFCE"/>
            <w:noWrap/>
          </w:tcPr>
          <w:p w14:paraId="5F5B292E" w14:textId="580D947C" w:rsidR="006578ED" w:rsidRDefault="00A1618E">
            <w:pPr>
              <w:pStyle w:val="P68B1DB1-Normal13"/>
              <w:spacing w:after="0" w:line="240" w:lineRule="auto"/>
              <w:jc w:val="center"/>
              <w:rPr>
                <w:rFonts w:eastAsia="Symbol" w:cs="Times New Roman"/>
                <w:noProof/>
              </w:rPr>
            </w:pPr>
            <w:r>
              <w:rPr>
                <w:noProof/>
              </w:rPr>
              <w:t>Decyzja o udzieleniu zamówienia/decyzja organu inwestycyjnego</w:t>
            </w:r>
          </w:p>
        </w:tc>
        <w:tc>
          <w:tcPr>
            <w:tcW w:w="850" w:type="dxa"/>
            <w:shd w:val="clear" w:color="auto" w:fill="C6EFCE"/>
            <w:noWrap/>
          </w:tcPr>
          <w:p w14:paraId="3E85448D" w14:textId="77777777" w:rsidR="006578ED" w:rsidRDefault="00A1618E">
            <w:pPr>
              <w:pStyle w:val="P68B1DB1-Normal13"/>
              <w:spacing w:after="0" w:line="240" w:lineRule="auto"/>
              <w:jc w:val="center"/>
              <w:rPr>
                <w:rFonts w:eastAsia="Symbol" w:cs="Times New Roman"/>
                <w:noProof/>
              </w:rPr>
            </w:pPr>
            <w:r>
              <w:rPr>
                <w:noProof/>
              </w:rPr>
              <w:t> </w:t>
            </w:r>
          </w:p>
        </w:tc>
        <w:tc>
          <w:tcPr>
            <w:tcW w:w="709" w:type="dxa"/>
            <w:shd w:val="clear" w:color="auto" w:fill="C6EFCE"/>
            <w:noWrap/>
          </w:tcPr>
          <w:p w14:paraId="70342F75" w14:textId="77777777" w:rsidR="006578ED" w:rsidRDefault="00A1618E">
            <w:pPr>
              <w:pStyle w:val="P68B1DB1-Normal13"/>
              <w:spacing w:after="0" w:line="240" w:lineRule="auto"/>
              <w:jc w:val="center"/>
              <w:rPr>
                <w:rFonts w:eastAsia="Symbol" w:cs="Times New Roman"/>
                <w:noProof/>
              </w:rPr>
            </w:pPr>
            <w:r>
              <w:rPr>
                <w:noProof/>
              </w:rPr>
              <w:t> </w:t>
            </w:r>
          </w:p>
        </w:tc>
        <w:tc>
          <w:tcPr>
            <w:tcW w:w="737" w:type="dxa"/>
            <w:shd w:val="clear" w:color="auto" w:fill="C6EFCE"/>
            <w:noWrap/>
          </w:tcPr>
          <w:p w14:paraId="0E6A004A" w14:textId="77777777" w:rsidR="006578ED" w:rsidRDefault="00A1618E">
            <w:pPr>
              <w:pStyle w:val="P68B1DB1-Normal13"/>
              <w:spacing w:after="0" w:line="240" w:lineRule="auto"/>
              <w:jc w:val="center"/>
              <w:rPr>
                <w:rFonts w:eastAsia="Symbol" w:cs="Times New Roman"/>
                <w:noProof/>
              </w:rPr>
            </w:pPr>
            <w:r>
              <w:rPr>
                <w:noProof/>
              </w:rPr>
              <w:t> </w:t>
            </w:r>
          </w:p>
        </w:tc>
        <w:tc>
          <w:tcPr>
            <w:tcW w:w="567" w:type="dxa"/>
            <w:shd w:val="clear" w:color="auto" w:fill="C6EFCE"/>
            <w:noWrap/>
          </w:tcPr>
          <w:p w14:paraId="62FEC388" w14:textId="4AD9B2E9" w:rsidR="006578ED" w:rsidRDefault="00EC188C">
            <w:pPr>
              <w:pStyle w:val="P68B1DB1-Normal13"/>
              <w:spacing w:after="0" w:line="240" w:lineRule="auto"/>
              <w:jc w:val="center"/>
              <w:rPr>
                <w:rFonts w:eastAsia="Symbol" w:cs="Times New Roman"/>
                <w:noProof/>
              </w:rPr>
            </w:pPr>
            <w:r>
              <w:rPr>
                <w:noProof/>
              </w:rPr>
              <w:t>KW. 3</w:t>
            </w:r>
          </w:p>
        </w:tc>
        <w:tc>
          <w:tcPr>
            <w:tcW w:w="567" w:type="dxa"/>
            <w:shd w:val="clear" w:color="auto" w:fill="C6EFCE"/>
            <w:noWrap/>
          </w:tcPr>
          <w:p w14:paraId="44F941C4" w14:textId="77777777" w:rsidR="006578ED" w:rsidRDefault="00A1618E">
            <w:pPr>
              <w:pStyle w:val="P68B1DB1-Normal13"/>
              <w:spacing w:after="0" w:line="240" w:lineRule="auto"/>
              <w:jc w:val="center"/>
              <w:rPr>
                <w:rFonts w:eastAsia="Symbol" w:cs="Times New Roman"/>
                <w:noProof/>
              </w:rPr>
            </w:pPr>
            <w:r>
              <w:rPr>
                <w:noProof/>
              </w:rPr>
              <w:t>2023</w:t>
            </w:r>
          </w:p>
        </w:tc>
        <w:tc>
          <w:tcPr>
            <w:tcW w:w="5217" w:type="dxa"/>
            <w:shd w:val="clear" w:color="auto" w:fill="C6EFCE"/>
            <w:noWrap/>
          </w:tcPr>
          <w:p w14:paraId="4DF240FF" w14:textId="3B3AD9E6" w:rsidR="006578ED" w:rsidRDefault="00A1618E">
            <w:pPr>
              <w:pStyle w:val="P68B1DB1-Normal13"/>
              <w:spacing w:after="0" w:line="240" w:lineRule="auto"/>
              <w:rPr>
                <w:rFonts w:eastAsia="Symbol" w:cs="Times New Roman"/>
                <w:noProof/>
              </w:rPr>
            </w:pPr>
            <w:r>
              <w:rPr>
                <w:noProof/>
              </w:rPr>
              <w:t xml:space="preserve">Co najmniej 6 projektów, na które przyznano nagrody w zakresie promowania nowych projektów, technologii lub instalacji infrastruktury morskiej energii odnawialnej. 6 zmian powinno przyczynić się do realizacji projektów w zakresie energii z morskich źródeł odnawialnych w Hiszpanii. Rozwój może obejmować MŚP prowadzące działalność w zakresie energii z morskich źródeł odnawialnych, które otrzymują dotacje, pożyczki lub inwestycje kapitałowe, biorą udział w przedkomercyjnych zamówieniach publicznych, a także dotacje udzielane bezpośrednio na projekty dotyczące energii morskiej ze źródeł odnawialnych lub na prototyp nowej technologii wytwarzania lub wdrażania energii z morskich źródeł odnawialnych. </w:t>
            </w:r>
          </w:p>
        </w:tc>
      </w:tr>
      <w:tr w:rsidR="006578ED" w14:paraId="3343B885" w14:textId="77777777">
        <w:trPr>
          <w:trHeight w:val="309"/>
        </w:trPr>
        <w:tc>
          <w:tcPr>
            <w:tcW w:w="709" w:type="dxa"/>
            <w:shd w:val="clear" w:color="auto" w:fill="C6EFCE"/>
            <w:noWrap/>
          </w:tcPr>
          <w:p w14:paraId="759D24EC" w14:textId="77777777" w:rsidR="006578ED" w:rsidRDefault="00A1618E">
            <w:pPr>
              <w:pStyle w:val="P68B1DB1-Normal13"/>
              <w:spacing w:after="0" w:line="240" w:lineRule="auto"/>
              <w:jc w:val="center"/>
              <w:rPr>
                <w:rFonts w:eastAsia="Symbol" w:cs="Times New Roman"/>
                <w:noProof/>
              </w:rPr>
            </w:pPr>
            <w:r>
              <w:rPr>
                <w:noProof/>
              </w:rPr>
              <w:t>117</w:t>
            </w:r>
          </w:p>
        </w:tc>
        <w:tc>
          <w:tcPr>
            <w:tcW w:w="851" w:type="dxa"/>
            <w:shd w:val="clear" w:color="auto" w:fill="C6EFCE"/>
            <w:noWrap/>
          </w:tcPr>
          <w:p w14:paraId="1FCB6415" w14:textId="77777777" w:rsidR="006578ED" w:rsidRDefault="00A1618E">
            <w:pPr>
              <w:pStyle w:val="P68B1DB1-Normal13"/>
              <w:spacing w:after="0" w:line="240" w:lineRule="auto"/>
              <w:jc w:val="center"/>
              <w:rPr>
                <w:rFonts w:eastAsia="Symbol" w:cs="Times New Roman"/>
                <w:noProof/>
              </w:rPr>
            </w:pPr>
            <w:r>
              <w:rPr>
                <w:noProof/>
              </w:rPr>
              <w:t>C7.I1</w:t>
            </w:r>
          </w:p>
        </w:tc>
        <w:tc>
          <w:tcPr>
            <w:tcW w:w="850" w:type="dxa"/>
            <w:shd w:val="clear" w:color="auto" w:fill="C6EFCE"/>
            <w:noWrap/>
          </w:tcPr>
          <w:p w14:paraId="6B6D6E84" w14:textId="042814BF" w:rsidR="006578ED" w:rsidRDefault="00AF6B91">
            <w:pPr>
              <w:pStyle w:val="P68B1DB1-Normal13"/>
              <w:spacing w:after="0" w:line="240" w:lineRule="auto"/>
              <w:jc w:val="center"/>
              <w:rPr>
                <w:rFonts w:eastAsia="Symbol" w:cs="Times New Roman"/>
                <w:noProof/>
              </w:rPr>
            </w:pPr>
            <w:r>
              <w:rPr>
                <w:noProof/>
              </w:rPr>
              <w:t>Cel</w:t>
            </w:r>
          </w:p>
        </w:tc>
        <w:tc>
          <w:tcPr>
            <w:tcW w:w="2977" w:type="dxa"/>
            <w:shd w:val="clear" w:color="auto" w:fill="C6EFCE"/>
            <w:noWrap/>
          </w:tcPr>
          <w:p w14:paraId="296A9DA6" w14:textId="75AA2CEB" w:rsidR="006578ED" w:rsidRDefault="00A1618E">
            <w:pPr>
              <w:pStyle w:val="P68B1DB1-Normal13"/>
              <w:spacing w:after="0" w:line="240" w:lineRule="auto"/>
              <w:rPr>
                <w:rFonts w:eastAsia="Symbol" w:cs="Times New Roman"/>
                <w:noProof/>
              </w:rPr>
            </w:pPr>
            <w:r>
              <w:rPr>
                <w:noProof/>
              </w:rPr>
              <w:t>Dodatkowa zdolność produkcyjna w zakresie innowacyjnej energii ze źródeł odnawialnych o wartości dodanej</w:t>
            </w:r>
          </w:p>
        </w:tc>
        <w:tc>
          <w:tcPr>
            <w:tcW w:w="1276" w:type="dxa"/>
            <w:shd w:val="clear" w:color="auto" w:fill="C6EFCE"/>
            <w:noWrap/>
          </w:tcPr>
          <w:p w14:paraId="6DF7B9A8" w14:textId="77777777" w:rsidR="006578ED" w:rsidRDefault="00A1618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0ED551FE" w14:textId="77777777" w:rsidR="006578ED" w:rsidRDefault="00A1618E">
            <w:pPr>
              <w:pStyle w:val="P68B1DB1-Normal13"/>
              <w:spacing w:after="0" w:line="240" w:lineRule="auto"/>
              <w:jc w:val="center"/>
              <w:rPr>
                <w:rFonts w:eastAsia="Symbol" w:cs="Times New Roman"/>
                <w:noProof/>
              </w:rPr>
            </w:pPr>
            <w:r>
              <w:rPr>
                <w:noProof/>
              </w:rPr>
              <w:t>Liczba (MW)</w:t>
            </w:r>
          </w:p>
        </w:tc>
        <w:tc>
          <w:tcPr>
            <w:tcW w:w="709" w:type="dxa"/>
            <w:shd w:val="clear" w:color="auto" w:fill="C6EFCE"/>
            <w:noWrap/>
          </w:tcPr>
          <w:p w14:paraId="750AB381" w14:textId="77777777" w:rsidR="006578ED" w:rsidRDefault="00A1618E">
            <w:pPr>
              <w:pStyle w:val="P68B1DB1-Normal13"/>
              <w:spacing w:after="0" w:line="240" w:lineRule="auto"/>
              <w:jc w:val="center"/>
              <w:rPr>
                <w:rFonts w:eastAsia="Symbol" w:cs="Times New Roman"/>
                <w:noProof/>
              </w:rPr>
            </w:pPr>
            <w:r>
              <w:rPr>
                <w:noProof/>
              </w:rPr>
              <w:t>0</w:t>
            </w:r>
          </w:p>
        </w:tc>
        <w:tc>
          <w:tcPr>
            <w:tcW w:w="737" w:type="dxa"/>
            <w:shd w:val="clear" w:color="auto" w:fill="C6EFCE"/>
            <w:noWrap/>
          </w:tcPr>
          <w:p w14:paraId="65516202" w14:textId="77777777" w:rsidR="006578ED" w:rsidRDefault="00A1618E">
            <w:pPr>
              <w:pStyle w:val="P68B1DB1-Normal13"/>
              <w:spacing w:after="0" w:line="240" w:lineRule="auto"/>
              <w:jc w:val="center"/>
              <w:rPr>
                <w:rFonts w:eastAsia="Symbol" w:cs="Times New Roman"/>
                <w:noProof/>
              </w:rPr>
            </w:pPr>
            <w:r>
              <w:rPr>
                <w:noProof/>
              </w:rPr>
              <w:t>3 800</w:t>
            </w:r>
          </w:p>
        </w:tc>
        <w:tc>
          <w:tcPr>
            <w:tcW w:w="567" w:type="dxa"/>
            <w:shd w:val="clear" w:color="auto" w:fill="C6EFCE"/>
            <w:noWrap/>
          </w:tcPr>
          <w:p w14:paraId="72E55E20" w14:textId="5BA0D6F8"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1A3FCE25" w14:textId="77777777" w:rsidR="006578ED" w:rsidRDefault="00A1618E">
            <w:pPr>
              <w:pStyle w:val="P68B1DB1-Normal13"/>
              <w:spacing w:after="0" w:line="240" w:lineRule="auto"/>
              <w:jc w:val="center"/>
              <w:rPr>
                <w:rFonts w:eastAsia="Symbol" w:cs="Times New Roman"/>
                <w:noProof/>
              </w:rPr>
            </w:pPr>
            <w:r>
              <w:rPr>
                <w:noProof/>
              </w:rPr>
              <w:t>2026</w:t>
            </w:r>
          </w:p>
        </w:tc>
        <w:tc>
          <w:tcPr>
            <w:tcW w:w="5217" w:type="dxa"/>
            <w:shd w:val="clear" w:color="auto" w:fill="C6EFCE"/>
            <w:noWrap/>
          </w:tcPr>
          <w:p w14:paraId="7A94C722" w14:textId="1E349C74" w:rsidR="006578ED" w:rsidRDefault="00A1618E">
            <w:pPr>
              <w:pStyle w:val="P68B1DB1-Normal13"/>
              <w:spacing w:after="0" w:line="240" w:lineRule="auto"/>
              <w:rPr>
                <w:rFonts w:eastAsia="Symbol" w:cs="Times New Roman"/>
                <w:noProof/>
              </w:rPr>
            </w:pPr>
            <w:r>
              <w:rPr>
                <w:noProof/>
              </w:rPr>
              <w:t>Łączna dodatkowa zdolność produkcyjna w zakresie energii ze źródeł odnawialnych w odniesieniu do zdolności innowacyjnych lub o wartości dodanej w zakresie odnawialnych źródeł energii (zainstalowano co najmniej 3 800 MW)</w:t>
            </w:r>
          </w:p>
        </w:tc>
      </w:tr>
      <w:tr w:rsidR="006578ED" w14:paraId="6D310B05" w14:textId="77777777">
        <w:trPr>
          <w:trHeight w:val="309"/>
        </w:trPr>
        <w:tc>
          <w:tcPr>
            <w:tcW w:w="709" w:type="dxa"/>
            <w:shd w:val="clear" w:color="auto" w:fill="C6EFCE"/>
            <w:noWrap/>
          </w:tcPr>
          <w:p w14:paraId="3D8C1C99" w14:textId="77777777" w:rsidR="006578ED" w:rsidRDefault="00A1618E">
            <w:pPr>
              <w:pStyle w:val="P68B1DB1-Normal13"/>
              <w:spacing w:after="0" w:line="240" w:lineRule="auto"/>
              <w:jc w:val="center"/>
              <w:rPr>
                <w:rFonts w:cs="Times New Roman"/>
                <w:noProof/>
              </w:rPr>
            </w:pPr>
            <w:r>
              <w:rPr>
                <w:noProof/>
              </w:rPr>
              <w:t>118</w:t>
            </w:r>
          </w:p>
        </w:tc>
        <w:tc>
          <w:tcPr>
            <w:tcW w:w="851" w:type="dxa"/>
            <w:shd w:val="clear" w:color="auto" w:fill="C6EFCE"/>
            <w:noWrap/>
          </w:tcPr>
          <w:p w14:paraId="682041F3" w14:textId="77777777" w:rsidR="006578ED" w:rsidRDefault="00A1618E">
            <w:pPr>
              <w:pStyle w:val="P68B1DB1-Normal13"/>
              <w:spacing w:after="0" w:line="240" w:lineRule="auto"/>
              <w:jc w:val="center"/>
              <w:rPr>
                <w:rFonts w:cs="Times New Roman"/>
                <w:noProof/>
              </w:rPr>
            </w:pPr>
            <w:r>
              <w:rPr>
                <w:noProof/>
              </w:rPr>
              <w:t>C7.I2</w:t>
            </w:r>
          </w:p>
        </w:tc>
        <w:tc>
          <w:tcPr>
            <w:tcW w:w="850" w:type="dxa"/>
            <w:shd w:val="clear" w:color="auto" w:fill="C6EFCE"/>
            <w:noWrap/>
          </w:tcPr>
          <w:p w14:paraId="52C87E1D" w14:textId="7763A4C4" w:rsidR="006578ED" w:rsidRDefault="00AF6B91">
            <w:pPr>
              <w:pStyle w:val="P68B1DB1-Normal13"/>
              <w:spacing w:after="0" w:line="240" w:lineRule="auto"/>
              <w:jc w:val="center"/>
              <w:rPr>
                <w:rFonts w:cs="Times New Roman"/>
                <w:noProof/>
              </w:rPr>
            </w:pPr>
            <w:r>
              <w:rPr>
                <w:noProof/>
              </w:rPr>
              <w:t>Kamień milowy</w:t>
            </w:r>
          </w:p>
        </w:tc>
        <w:tc>
          <w:tcPr>
            <w:tcW w:w="2977" w:type="dxa"/>
            <w:shd w:val="clear" w:color="auto" w:fill="C6EFCE"/>
            <w:noWrap/>
          </w:tcPr>
          <w:p w14:paraId="02CC24B3" w14:textId="5222D36A" w:rsidR="006578ED" w:rsidRDefault="00A1618E">
            <w:pPr>
              <w:pStyle w:val="P68B1DB1-Normal13"/>
              <w:spacing w:after="0" w:line="240" w:lineRule="auto"/>
              <w:rPr>
                <w:rFonts w:cs="Times New Roman"/>
                <w:noProof/>
              </w:rPr>
            </w:pPr>
            <w:r>
              <w:rPr>
                <w:noProof/>
              </w:rPr>
              <w:t xml:space="preserve">Czysta energia i inteligentne projekty dla wysp </w:t>
            </w:r>
          </w:p>
        </w:tc>
        <w:tc>
          <w:tcPr>
            <w:tcW w:w="1276" w:type="dxa"/>
            <w:shd w:val="clear" w:color="auto" w:fill="C6EFCE"/>
            <w:noWrap/>
          </w:tcPr>
          <w:p w14:paraId="34C0E3E8" w14:textId="77777777" w:rsidR="006578ED" w:rsidRDefault="00A1618E">
            <w:pPr>
              <w:pStyle w:val="P68B1DB1-Normal13"/>
              <w:spacing w:after="0" w:line="240" w:lineRule="auto"/>
              <w:jc w:val="center"/>
              <w:rPr>
                <w:rFonts w:cs="Times New Roman"/>
                <w:noProof/>
              </w:rPr>
            </w:pPr>
            <w:r>
              <w:rPr>
                <w:noProof/>
              </w:rPr>
              <w:t>Publikacja na stronie internetowej</w:t>
            </w:r>
          </w:p>
        </w:tc>
        <w:tc>
          <w:tcPr>
            <w:tcW w:w="850" w:type="dxa"/>
            <w:shd w:val="clear" w:color="auto" w:fill="C6EFCE"/>
            <w:noWrap/>
          </w:tcPr>
          <w:p w14:paraId="47F07C36" w14:textId="77777777" w:rsidR="006578ED" w:rsidRDefault="00A1618E">
            <w:pPr>
              <w:pStyle w:val="P68B1DB1-Normal13"/>
              <w:spacing w:after="0" w:line="240" w:lineRule="auto"/>
              <w:jc w:val="center"/>
              <w:rPr>
                <w:rFonts w:cs="Times New Roman"/>
                <w:noProof/>
              </w:rPr>
            </w:pPr>
            <w:r>
              <w:rPr>
                <w:noProof/>
              </w:rPr>
              <w:t> </w:t>
            </w:r>
          </w:p>
        </w:tc>
        <w:tc>
          <w:tcPr>
            <w:tcW w:w="709" w:type="dxa"/>
            <w:shd w:val="clear" w:color="auto" w:fill="C6EFCE"/>
            <w:noWrap/>
          </w:tcPr>
          <w:p w14:paraId="0F6115FE" w14:textId="77777777" w:rsidR="006578ED" w:rsidRDefault="00A1618E">
            <w:pPr>
              <w:pStyle w:val="P68B1DB1-Normal13"/>
              <w:spacing w:after="0" w:line="240" w:lineRule="auto"/>
              <w:jc w:val="center"/>
              <w:rPr>
                <w:rFonts w:cs="Times New Roman"/>
                <w:noProof/>
              </w:rPr>
            </w:pPr>
            <w:r>
              <w:rPr>
                <w:noProof/>
              </w:rPr>
              <w:t> </w:t>
            </w:r>
          </w:p>
        </w:tc>
        <w:tc>
          <w:tcPr>
            <w:tcW w:w="737" w:type="dxa"/>
            <w:shd w:val="clear" w:color="auto" w:fill="C6EFCE"/>
            <w:noWrap/>
          </w:tcPr>
          <w:p w14:paraId="4F32E632" w14:textId="77777777" w:rsidR="006578ED" w:rsidRDefault="00A1618E">
            <w:pPr>
              <w:pStyle w:val="P68B1DB1-Normal13"/>
              <w:spacing w:after="0" w:line="240" w:lineRule="auto"/>
              <w:jc w:val="center"/>
              <w:rPr>
                <w:rFonts w:cs="Times New Roman"/>
                <w:noProof/>
              </w:rPr>
            </w:pPr>
            <w:r>
              <w:rPr>
                <w:noProof/>
              </w:rPr>
              <w:t> </w:t>
            </w:r>
          </w:p>
        </w:tc>
        <w:tc>
          <w:tcPr>
            <w:tcW w:w="567" w:type="dxa"/>
            <w:shd w:val="clear" w:color="auto" w:fill="C6EFCE"/>
            <w:noWrap/>
          </w:tcPr>
          <w:p w14:paraId="51C7C0D8" w14:textId="46A5AADC"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noWrap/>
          </w:tcPr>
          <w:p w14:paraId="731A8916" w14:textId="77777777" w:rsidR="006578ED" w:rsidRDefault="00A1618E">
            <w:pPr>
              <w:pStyle w:val="P68B1DB1-Normal13"/>
              <w:spacing w:after="0" w:line="240" w:lineRule="auto"/>
              <w:jc w:val="center"/>
              <w:rPr>
                <w:rFonts w:cs="Times New Roman"/>
                <w:noProof/>
              </w:rPr>
            </w:pPr>
            <w:r>
              <w:rPr>
                <w:noProof/>
              </w:rPr>
              <w:t>2023</w:t>
            </w:r>
          </w:p>
        </w:tc>
        <w:tc>
          <w:tcPr>
            <w:tcW w:w="5217" w:type="dxa"/>
            <w:shd w:val="clear" w:color="auto" w:fill="C6EFCE"/>
            <w:noWrap/>
          </w:tcPr>
          <w:p w14:paraId="68C8E727" w14:textId="51FF8361" w:rsidR="006578ED" w:rsidRDefault="00A1618E">
            <w:pPr>
              <w:pStyle w:val="P68B1DB1-Normal13"/>
              <w:spacing w:after="0" w:line="240" w:lineRule="auto"/>
              <w:rPr>
                <w:rFonts w:cs="Times New Roman"/>
                <w:noProof/>
              </w:rPr>
            </w:pPr>
            <w:r>
              <w:rPr>
                <w:noProof/>
              </w:rPr>
              <w:t>Utworzenie biura ds. czystej energii i inteligentnych projektów dla wysp w celu zarządzania programami wsparcia w ramach Instrumentu na rzecz Odbudowy i Zwiększania Odporności. Biuro koordynuje dynamizację i rozwój transformacji energetycznej na wyspach.</w:t>
            </w:r>
          </w:p>
        </w:tc>
      </w:tr>
      <w:tr w:rsidR="006578ED" w14:paraId="25A1F8FC" w14:textId="77777777">
        <w:trPr>
          <w:trHeight w:val="309"/>
        </w:trPr>
        <w:tc>
          <w:tcPr>
            <w:tcW w:w="709" w:type="dxa"/>
            <w:shd w:val="clear" w:color="auto" w:fill="C6EFCE"/>
            <w:noWrap/>
          </w:tcPr>
          <w:p w14:paraId="2714F9DC" w14:textId="77777777" w:rsidR="006578ED" w:rsidRDefault="00A1618E">
            <w:pPr>
              <w:pStyle w:val="P68B1DB1-Normal13"/>
              <w:spacing w:after="0" w:line="240" w:lineRule="auto"/>
              <w:jc w:val="center"/>
              <w:rPr>
                <w:rFonts w:cs="Times New Roman"/>
                <w:noProof/>
              </w:rPr>
            </w:pPr>
            <w:r>
              <w:rPr>
                <w:noProof/>
              </w:rPr>
              <w:t>119</w:t>
            </w:r>
          </w:p>
        </w:tc>
        <w:tc>
          <w:tcPr>
            <w:tcW w:w="851" w:type="dxa"/>
            <w:shd w:val="clear" w:color="auto" w:fill="C6EFCE"/>
            <w:noWrap/>
          </w:tcPr>
          <w:p w14:paraId="5014F004" w14:textId="77777777" w:rsidR="006578ED" w:rsidRDefault="00A1618E">
            <w:pPr>
              <w:pStyle w:val="P68B1DB1-Normal13"/>
              <w:spacing w:after="0" w:line="240" w:lineRule="auto"/>
              <w:jc w:val="center"/>
              <w:rPr>
                <w:rFonts w:cs="Times New Roman"/>
                <w:noProof/>
              </w:rPr>
            </w:pPr>
            <w:r>
              <w:rPr>
                <w:noProof/>
              </w:rPr>
              <w:t>C7.I2</w:t>
            </w:r>
          </w:p>
        </w:tc>
        <w:tc>
          <w:tcPr>
            <w:tcW w:w="850" w:type="dxa"/>
            <w:shd w:val="clear" w:color="auto" w:fill="C6EFCE"/>
            <w:noWrap/>
          </w:tcPr>
          <w:p w14:paraId="1AB0E554" w14:textId="1071C8B5"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679AE7D0" w14:textId="77777777" w:rsidR="006578ED" w:rsidRDefault="00A1618E">
            <w:pPr>
              <w:pStyle w:val="P68B1DB1-Normal13"/>
              <w:spacing w:after="0" w:line="240" w:lineRule="auto"/>
              <w:rPr>
                <w:rFonts w:cs="Times New Roman"/>
                <w:noProof/>
              </w:rPr>
            </w:pPr>
            <w:r>
              <w:rPr>
                <w:noProof/>
              </w:rPr>
              <w:t>Zakończenie projektów wspierających transformację energetyczną na wyspach</w:t>
            </w:r>
          </w:p>
        </w:tc>
        <w:tc>
          <w:tcPr>
            <w:tcW w:w="1276" w:type="dxa"/>
            <w:shd w:val="clear" w:color="auto" w:fill="C6EFCE"/>
            <w:noWrap/>
          </w:tcPr>
          <w:p w14:paraId="0E19070B"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4B1E7BCA" w14:textId="77777777" w:rsidR="006578ED" w:rsidRDefault="00A1618E">
            <w:pPr>
              <w:pStyle w:val="P68B1DB1-Normal13"/>
              <w:spacing w:after="0" w:line="240" w:lineRule="auto"/>
              <w:jc w:val="center"/>
              <w:rPr>
                <w:rFonts w:cs="Times New Roman"/>
                <w:noProof/>
              </w:rPr>
            </w:pPr>
            <w:r>
              <w:rPr>
                <w:noProof/>
              </w:rPr>
              <w:t>Liczba</w:t>
            </w:r>
          </w:p>
        </w:tc>
        <w:tc>
          <w:tcPr>
            <w:tcW w:w="709" w:type="dxa"/>
            <w:shd w:val="clear" w:color="auto" w:fill="C6EFCE"/>
            <w:noWrap/>
          </w:tcPr>
          <w:p w14:paraId="481DA1EE" w14:textId="77777777" w:rsidR="006578ED" w:rsidRDefault="00A1618E">
            <w:pPr>
              <w:pStyle w:val="P68B1DB1-Normal13"/>
              <w:spacing w:after="0" w:line="240" w:lineRule="auto"/>
              <w:jc w:val="center"/>
              <w:rPr>
                <w:rFonts w:cs="Times New Roman"/>
                <w:noProof/>
              </w:rPr>
            </w:pPr>
            <w:r>
              <w:rPr>
                <w:noProof/>
              </w:rPr>
              <w:t>0</w:t>
            </w:r>
          </w:p>
        </w:tc>
        <w:tc>
          <w:tcPr>
            <w:tcW w:w="737" w:type="dxa"/>
            <w:shd w:val="clear" w:color="auto" w:fill="C6EFCE"/>
            <w:noWrap/>
          </w:tcPr>
          <w:p w14:paraId="5B060510" w14:textId="03A49CCB" w:rsidR="006578ED" w:rsidRDefault="00A1618E">
            <w:pPr>
              <w:pStyle w:val="P68B1DB1-Normal13"/>
              <w:spacing w:after="0" w:line="240" w:lineRule="auto"/>
              <w:jc w:val="center"/>
              <w:rPr>
                <w:rFonts w:cs="Times New Roman"/>
                <w:noProof/>
              </w:rPr>
            </w:pPr>
            <w:r>
              <w:rPr>
                <w:noProof/>
              </w:rPr>
              <w:t>600</w:t>
            </w:r>
          </w:p>
        </w:tc>
        <w:tc>
          <w:tcPr>
            <w:tcW w:w="567" w:type="dxa"/>
            <w:shd w:val="clear" w:color="auto" w:fill="C6EFCE"/>
            <w:noWrap/>
          </w:tcPr>
          <w:p w14:paraId="2A729CC7" w14:textId="65F33FCB"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noWrap/>
          </w:tcPr>
          <w:p w14:paraId="154BFC85" w14:textId="5D1FDB41" w:rsidR="006578ED" w:rsidRDefault="00A1618E">
            <w:pPr>
              <w:pStyle w:val="P68B1DB1-Normal13"/>
              <w:spacing w:after="0" w:line="240" w:lineRule="auto"/>
              <w:jc w:val="center"/>
              <w:rPr>
                <w:rFonts w:cs="Times New Roman"/>
                <w:noProof/>
              </w:rPr>
            </w:pPr>
            <w:r>
              <w:rPr>
                <w:noProof/>
              </w:rPr>
              <w:t>2025</w:t>
            </w:r>
          </w:p>
        </w:tc>
        <w:tc>
          <w:tcPr>
            <w:tcW w:w="5217" w:type="dxa"/>
            <w:shd w:val="clear" w:color="auto" w:fill="C6EFCE"/>
            <w:noWrap/>
          </w:tcPr>
          <w:p w14:paraId="183909CE" w14:textId="634D35A8" w:rsidR="006578ED" w:rsidRDefault="00A1618E">
            <w:pPr>
              <w:pStyle w:val="P68B1DB1-Normal13"/>
              <w:spacing w:after="0" w:line="240" w:lineRule="auto"/>
              <w:rPr>
                <w:rFonts w:cs="Times New Roman"/>
                <w:noProof/>
              </w:rPr>
            </w:pPr>
            <w:r>
              <w:rPr>
                <w:noProof/>
              </w:rPr>
              <w:t xml:space="preserve">Co najmniej 600 wspieranych lub zrealizowanych działań, projektów lub programów, w tym: programy lub biura dynamizacji, plany działania wysp, projekty inwestycyjne lub pomocowe związane z czystą energią dla wysp UE lub programami na rzecz inteligentnych wysp, energią odnawialną lub projektami w zakresie zrównoważonego magazynowania. </w:t>
            </w:r>
          </w:p>
        </w:tc>
      </w:tr>
      <w:tr w:rsidR="006578ED" w14:paraId="5F6957CB" w14:textId="77777777">
        <w:trPr>
          <w:trHeight w:val="309"/>
        </w:trPr>
        <w:tc>
          <w:tcPr>
            <w:tcW w:w="709" w:type="dxa"/>
            <w:shd w:val="clear" w:color="auto" w:fill="C6EFCE"/>
            <w:noWrap/>
          </w:tcPr>
          <w:p w14:paraId="6CC8039C" w14:textId="77777777" w:rsidR="006578ED" w:rsidRDefault="00A1618E">
            <w:pPr>
              <w:pStyle w:val="P68B1DB1-Normal13"/>
              <w:spacing w:after="0" w:line="240" w:lineRule="auto"/>
              <w:jc w:val="center"/>
              <w:rPr>
                <w:rFonts w:cs="Times New Roman"/>
                <w:noProof/>
              </w:rPr>
            </w:pPr>
            <w:r>
              <w:rPr>
                <w:noProof/>
              </w:rPr>
              <w:t>120</w:t>
            </w:r>
          </w:p>
        </w:tc>
        <w:tc>
          <w:tcPr>
            <w:tcW w:w="851" w:type="dxa"/>
            <w:shd w:val="clear" w:color="auto" w:fill="C6EFCE"/>
            <w:noWrap/>
          </w:tcPr>
          <w:p w14:paraId="223C782C" w14:textId="77777777" w:rsidR="006578ED" w:rsidRDefault="00A1618E">
            <w:pPr>
              <w:pStyle w:val="P68B1DB1-Normal13"/>
              <w:spacing w:after="0" w:line="240" w:lineRule="auto"/>
              <w:jc w:val="center"/>
              <w:rPr>
                <w:rFonts w:cs="Times New Roman"/>
                <w:noProof/>
              </w:rPr>
            </w:pPr>
            <w:r>
              <w:rPr>
                <w:noProof/>
              </w:rPr>
              <w:t>C7.I2</w:t>
            </w:r>
          </w:p>
        </w:tc>
        <w:tc>
          <w:tcPr>
            <w:tcW w:w="850" w:type="dxa"/>
            <w:shd w:val="clear" w:color="auto" w:fill="C6EFCE"/>
            <w:noWrap/>
          </w:tcPr>
          <w:p w14:paraId="0C7EEB46" w14:textId="2D002E57" w:rsidR="006578ED" w:rsidRDefault="00AF6B91">
            <w:pPr>
              <w:pStyle w:val="P68B1DB1-Normal13"/>
              <w:spacing w:after="0" w:line="240" w:lineRule="auto"/>
              <w:jc w:val="center"/>
              <w:rPr>
                <w:rFonts w:cs="Times New Roman"/>
                <w:noProof/>
              </w:rPr>
            </w:pPr>
            <w:r>
              <w:rPr>
                <w:noProof/>
              </w:rPr>
              <w:t>Cel</w:t>
            </w:r>
          </w:p>
        </w:tc>
        <w:tc>
          <w:tcPr>
            <w:tcW w:w="2977" w:type="dxa"/>
            <w:shd w:val="clear" w:color="auto" w:fill="C6EFCE"/>
            <w:noWrap/>
          </w:tcPr>
          <w:p w14:paraId="3952DC11" w14:textId="1EE7A214" w:rsidR="006578ED" w:rsidRDefault="00A1618E">
            <w:pPr>
              <w:pStyle w:val="P68B1DB1-Normal13"/>
              <w:spacing w:after="0" w:line="240" w:lineRule="auto"/>
              <w:rPr>
                <w:rFonts w:cs="Times New Roman"/>
                <w:noProof/>
              </w:rPr>
            </w:pPr>
            <w:r>
              <w:rPr>
                <w:noProof/>
              </w:rPr>
              <w:t>Dodatkowa zdolność produkcyjna w zakresie energii ze źródeł odnawialnych na wyspach</w:t>
            </w:r>
          </w:p>
        </w:tc>
        <w:tc>
          <w:tcPr>
            <w:tcW w:w="1276" w:type="dxa"/>
            <w:shd w:val="clear" w:color="auto" w:fill="C6EFCE"/>
            <w:noWrap/>
          </w:tcPr>
          <w:p w14:paraId="41ED30F3"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5B82470B" w14:textId="77777777" w:rsidR="006578ED" w:rsidRDefault="00A1618E">
            <w:pPr>
              <w:pStyle w:val="P68B1DB1-Normal13"/>
              <w:spacing w:after="0" w:line="240" w:lineRule="auto"/>
              <w:jc w:val="center"/>
              <w:rPr>
                <w:rFonts w:cs="Times New Roman"/>
                <w:noProof/>
              </w:rPr>
            </w:pPr>
            <w:r>
              <w:rPr>
                <w:noProof/>
              </w:rPr>
              <w:t>Liczba (MW)</w:t>
            </w:r>
          </w:p>
        </w:tc>
        <w:tc>
          <w:tcPr>
            <w:tcW w:w="709" w:type="dxa"/>
            <w:shd w:val="clear" w:color="auto" w:fill="C6EFCE"/>
            <w:noWrap/>
          </w:tcPr>
          <w:p w14:paraId="34349761" w14:textId="77777777" w:rsidR="006578ED" w:rsidRDefault="00A1618E">
            <w:pPr>
              <w:pStyle w:val="P68B1DB1-Normal13"/>
              <w:spacing w:after="0" w:line="240" w:lineRule="auto"/>
              <w:jc w:val="center"/>
              <w:rPr>
                <w:rFonts w:cs="Times New Roman"/>
                <w:noProof/>
              </w:rPr>
            </w:pPr>
            <w:r>
              <w:rPr>
                <w:noProof/>
              </w:rPr>
              <w:t>0</w:t>
            </w:r>
          </w:p>
        </w:tc>
        <w:tc>
          <w:tcPr>
            <w:tcW w:w="737" w:type="dxa"/>
            <w:shd w:val="clear" w:color="auto" w:fill="C6EFCE"/>
            <w:noWrap/>
          </w:tcPr>
          <w:p w14:paraId="6F789D83" w14:textId="77777777" w:rsidR="006578ED" w:rsidRDefault="00A1618E">
            <w:pPr>
              <w:pStyle w:val="P68B1DB1-Normal13"/>
              <w:spacing w:after="0" w:line="240" w:lineRule="auto"/>
              <w:jc w:val="center"/>
              <w:rPr>
                <w:rFonts w:cs="Times New Roman"/>
                <w:noProof/>
              </w:rPr>
            </w:pPr>
            <w:r>
              <w:rPr>
                <w:noProof/>
              </w:rPr>
              <w:t>180</w:t>
            </w:r>
          </w:p>
        </w:tc>
        <w:tc>
          <w:tcPr>
            <w:tcW w:w="567" w:type="dxa"/>
            <w:shd w:val="clear" w:color="auto" w:fill="C6EFCE"/>
            <w:noWrap/>
          </w:tcPr>
          <w:p w14:paraId="3D331C6C" w14:textId="0A286231"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18AFB481" w14:textId="77777777" w:rsidR="006578ED" w:rsidRDefault="00A1618E">
            <w:pPr>
              <w:pStyle w:val="P68B1DB1-Normal13"/>
              <w:spacing w:after="0" w:line="240" w:lineRule="auto"/>
              <w:jc w:val="center"/>
              <w:rPr>
                <w:rFonts w:cs="Times New Roman"/>
                <w:noProof/>
              </w:rPr>
            </w:pPr>
            <w:r>
              <w:rPr>
                <w:noProof/>
              </w:rPr>
              <w:t>2026</w:t>
            </w:r>
          </w:p>
        </w:tc>
        <w:tc>
          <w:tcPr>
            <w:tcW w:w="5217" w:type="dxa"/>
            <w:shd w:val="clear" w:color="auto" w:fill="C6EFCE"/>
            <w:noWrap/>
          </w:tcPr>
          <w:p w14:paraId="52E5D44E" w14:textId="715751B3" w:rsidR="006578ED" w:rsidRDefault="00A1618E">
            <w:pPr>
              <w:pStyle w:val="P68B1DB1-Normal13"/>
              <w:spacing w:after="0" w:line="240" w:lineRule="auto"/>
              <w:rPr>
                <w:rFonts w:cs="Times New Roman"/>
                <w:noProof/>
              </w:rPr>
            </w:pPr>
            <w:r>
              <w:rPr>
                <w:noProof/>
              </w:rPr>
              <w:t>Łączna dodatkowa zdolność produkcyjna w zakresie energii ze źródeł odnawialnych zamówiona w drodze przetargów na energię ze źródeł odnawialnych na wyspach (zainstalowano co najmniej 180 MW).</w:t>
            </w:r>
          </w:p>
        </w:tc>
      </w:tr>
    </w:tbl>
    <w:p w14:paraId="3041E394" w14:textId="77777777" w:rsidR="006578ED" w:rsidRDefault="006578ED">
      <w:pPr>
        <w:spacing w:before="120" w:after="120" w:line="240" w:lineRule="auto"/>
        <w:ind w:left="709"/>
        <w:jc w:val="both"/>
        <w:rPr>
          <w:rFonts w:ascii="Times New Roman" w:hAnsi="Times New Roman" w:cs="Times New Roman"/>
          <w:noProof/>
          <w:sz w:val="24"/>
        </w:rPr>
      </w:pPr>
    </w:p>
    <w:p w14:paraId="722B00AE" w14:textId="77777777" w:rsidR="006578ED" w:rsidRDefault="006578ED">
      <w:pPr>
        <w:spacing w:before="120" w:after="120" w:line="240" w:lineRule="auto"/>
        <w:jc w:val="both"/>
        <w:rPr>
          <w:rFonts w:ascii="Times New Roman" w:hAnsi="Times New Roman" w:cs="Times New Roman"/>
          <w:noProof/>
          <w:sz w:val="24"/>
        </w:rPr>
        <w:sectPr w:rsidR="006578ED" w:rsidSect="00EB7CC8">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417" w:right="1134" w:bottom="1417" w:left="1134" w:header="709" w:footer="709" w:gutter="0"/>
          <w:cols w:space="720"/>
          <w:docGrid w:linePitch="360"/>
        </w:sectPr>
      </w:pPr>
    </w:p>
    <w:p w14:paraId="64C6AC05" w14:textId="5D43344A" w:rsidR="006578ED" w:rsidRDefault="00A1618E">
      <w:pPr>
        <w:pStyle w:val="P68B1DB1-Heading12"/>
        <w:rPr>
          <w:rFonts w:cs="Times New Roman"/>
          <w:noProof/>
        </w:rPr>
      </w:pPr>
      <w:r>
        <w:rPr>
          <w:noProof/>
        </w:rPr>
        <w:t xml:space="preserve">H. KOMPONENT 8: </w:t>
      </w:r>
      <w:bookmarkStart w:id="15" w:name="_Hlk145336475"/>
      <w:r>
        <w:rPr>
          <w:noProof/>
        </w:rPr>
        <w:t>Infrastruktura elektroenergetyczna, inteligentne sieci oraz wdrażanie elastyczności i magazynowania</w:t>
      </w:r>
      <w:bookmarkEnd w:id="15"/>
    </w:p>
    <w:p w14:paraId="4E865145" w14:textId="4FDF86C0" w:rsidR="006578ED" w:rsidRDefault="00A1618E">
      <w:pPr>
        <w:pStyle w:val="P68B1DB1-Normal4"/>
        <w:keepNext/>
        <w:spacing w:before="120" w:after="120" w:line="240" w:lineRule="auto"/>
        <w:jc w:val="both"/>
        <w:rPr>
          <w:rFonts w:cs="Times New Roman"/>
          <w:noProof/>
        </w:rPr>
      </w:pPr>
      <w:r>
        <w:rPr>
          <w:noProof/>
        </w:rPr>
        <w:t xml:space="preserve">Celem hiszpańskiego krajowego planu w dziedzinie energii i klimatu jest osiągnięcie 42 % udziału energii ze źródeł odnawialnych w zużyciu energii końcowej </w:t>
      </w:r>
      <w:r w:rsidRPr="00A1618E">
        <w:rPr>
          <w:noProof/>
          <w:lang w:val="pl-PL"/>
        </w:rPr>
        <w:t>do 2</w:t>
      </w:r>
      <w:r>
        <w:rPr>
          <w:noProof/>
        </w:rPr>
        <w:t>0</w:t>
      </w:r>
      <w:r w:rsidRPr="00A1618E">
        <w:rPr>
          <w:noProof/>
          <w:lang w:val="pl-PL"/>
        </w:rPr>
        <w:t>30 r.</w:t>
      </w:r>
      <w:r>
        <w:rPr>
          <w:noProof/>
        </w:rPr>
        <w:t xml:space="preserve"> Integracja rosnącej ilości wytwarzania energii elektrycznej ze źródeł odnawialnych (oczekuje się, że osiągnie 74 % zapotrzebowania w 20</w:t>
      </w:r>
      <w:r w:rsidRPr="00A1618E">
        <w:rPr>
          <w:noProof/>
          <w:lang w:val="pl-PL"/>
        </w:rPr>
        <w:t>30 r.</w:t>
      </w:r>
      <w:r>
        <w:rPr>
          <w:noProof/>
        </w:rPr>
        <w:t xml:space="preserve"> i 100 % </w:t>
      </w:r>
      <w:r w:rsidRPr="00A1618E">
        <w:rPr>
          <w:noProof/>
          <w:lang w:val="pl-PL"/>
        </w:rPr>
        <w:t>do 2</w:t>
      </w:r>
      <w:r>
        <w:rPr>
          <w:noProof/>
        </w:rPr>
        <w:t>0</w:t>
      </w:r>
      <w:r w:rsidRPr="00A1618E">
        <w:rPr>
          <w:noProof/>
          <w:lang w:val="pl-PL"/>
        </w:rPr>
        <w:t>50 r.</w:t>
      </w:r>
      <w:r>
        <w:rPr>
          <w:noProof/>
        </w:rPr>
        <w:t>) wymaga szeregu dodatkowych inwestycji w cyfryzację sieci, magazynowanie i zarządzanie popytem. W szczególności nieciągłość i częściowa przewidywalność technologii odnawialnych oznacza, że magazynowanie energii ma do odegrania ważną rolę, zapewniając elastyczność systemu i stabilność sieci.</w:t>
      </w:r>
    </w:p>
    <w:p w14:paraId="653B21B3" w14:textId="46E603C0" w:rsidR="006578ED" w:rsidRDefault="00A1618E">
      <w:pPr>
        <w:pStyle w:val="P68B1DB1-Normal4"/>
        <w:keepNext/>
        <w:spacing w:before="120" w:after="120" w:line="240" w:lineRule="auto"/>
        <w:jc w:val="both"/>
        <w:rPr>
          <w:rFonts w:cs="Times New Roman"/>
          <w:noProof/>
        </w:rPr>
      </w:pPr>
      <w:r>
        <w:rPr>
          <w:noProof/>
        </w:rPr>
        <w:t xml:space="preserve">W tym kontekście ten element hiszpańskiego planu odbudowy i zwiększania odporności służy realizacji następujących celów: </w:t>
      </w:r>
    </w:p>
    <w:p w14:paraId="10E22E4B" w14:textId="77BD00F2" w:rsidR="006578ED" w:rsidRDefault="00A1618E">
      <w:pPr>
        <w:pStyle w:val="P68B1DB1-Normal4"/>
        <w:keepNext/>
        <w:numPr>
          <w:ilvl w:val="0"/>
          <w:numId w:val="100"/>
        </w:numPr>
        <w:spacing w:before="120" w:after="120" w:line="240" w:lineRule="auto"/>
        <w:jc w:val="both"/>
        <w:rPr>
          <w:rFonts w:cs="Times New Roman"/>
          <w:noProof/>
        </w:rPr>
      </w:pPr>
      <w:r>
        <w:rPr>
          <w:noProof/>
        </w:rPr>
        <w:t>Rozwój bardziej elastycznego, zdecentralizowanego i dynamicznego systemu energetycznego zdolnego do efektywnej i bezpiecznej absorpcji wyższych poziomów wytwarzania energii ze źródeł odnawialnych;</w:t>
      </w:r>
    </w:p>
    <w:p w14:paraId="26A47C0B" w14:textId="77777777" w:rsidR="006578ED" w:rsidRDefault="00A1618E">
      <w:pPr>
        <w:pStyle w:val="P68B1DB1-Normal4"/>
        <w:keepNext/>
        <w:numPr>
          <w:ilvl w:val="0"/>
          <w:numId w:val="100"/>
        </w:numPr>
        <w:spacing w:before="120" w:after="120" w:line="240" w:lineRule="auto"/>
        <w:jc w:val="both"/>
        <w:rPr>
          <w:rFonts w:cs="Times New Roman"/>
          <w:noProof/>
        </w:rPr>
      </w:pPr>
      <w:r>
        <w:rPr>
          <w:noProof/>
        </w:rPr>
        <w:t xml:space="preserve">Rozwój nowych innowacyjnych modeli biznesowych; oraz </w:t>
      </w:r>
    </w:p>
    <w:p w14:paraId="7F015B40" w14:textId="773634F1" w:rsidR="006578ED" w:rsidRDefault="00A1618E">
      <w:pPr>
        <w:pStyle w:val="P68B1DB1-Normal4"/>
        <w:keepNext/>
        <w:numPr>
          <w:ilvl w:val="0"/>
          <w:numId w:val="100"/>
        </w:numPr>
        <w:spacing w:before="120" w:after="120" w:line="240" w:lineRule="auto"/>
        <w:jc w:val="both"/>
        <w:rPr>
          <w:rFonts w:cs="Times New Roman"/>
          <w:noProof/>
        </w:rPr>
      </w:pPr>
      <w:r>
        <w:rPr>
          <w:noProof/>
        </w:rPr>
        <w:t>Zaangażowanie nowych podmiotów w system elektroenergetyczny (producentów, dostawców i konsumentów, oprócz operatorów instalacji magazynowych i koncentratorów) oraz bardziej elastyczne ramy regulacyjne umożliwiające dostosowanie się do nowych potrzeb za pomocą piaskownic regulacyjnych.</w:t>
      </w:r>
    </w:p>
    <w:p w14:paraId="7293DEB4" w14:textId="2A4169BF" w:rsidR="006578ED" w:rsidRDefault="00A1618E">
      <w:pPr>
        <w:pStyle w:val="P68B1DB1-Normal4"/>
        <w:spacing w:before="120" w:after="120" w:line="240" w:lineRule="auto"/>
        <w:jc w:val="both"/>
        <w:rPr>
          <w:rFonts w:cs="Times New Roman"/>
          <w:noProof/>
        </w:rPr>
      </w:pPr>
      <w:r>
        <w:rPr>
          <w:noProof/>
        </w:rPr>
        <w:t xml:space="preserve">Komponent wspiera inwestycje w innowacje i efektywność energetyczną oraz zachęca do przyjmowania skutecznych polityk zachęcających do innowacji (zalecenie dla poszczególnych krajów </w:t>
      </w:r>
      <w:r w:rsidRPr="00A1618E">
        <w:rPr>
          <w:noProof/>
          <w:lang w:val="pl-PL"/>
        </w:rPr>
        <w:t>nr 3</w:t>
      </w:r>
      <w:r>
        <w:rPr>
          <w:noProof/>
        </w:rPr>
        <w:t xml:space="preserve"> z 20</w:t>
      </w:r>
      <w:r w:rsidRPr="00A1618E">
        <w:rPr>
          <w:noProof/>
          <w:lang w:val="pl-PL"/>
        </w:rPr>
        <w:t>19 r.</w:t>
      </w:r>
      <w:r>
        <w:rPr>
          <w:noProof/>
        </w:rPr>
        <w:t xml:space="preserve">). Wspiera on również inwestycje publiczne i prywatne oraz wspiera transformację ekologiczną (zalecenie dla poszczególnych krajów </w:t>
      </w:r>
      <w:r w:rsidRPr="00A1618E">
        <w:rPr>
          <w:noProof/>
          <w:lang w:val="pl-PL"/>
        </w:rPr>
        <w:t>nr 3</w:t>
      </w:r>
      <w:r>
        <w:rPr>
          <w:noProof/>
        </w:rPr>
        <w:t xml:space="preserve"> z 20</w:t>
      </w:r>
      <w:r w:rsidRPr="00A1618E">
        <w:rPr>
          <w:noProof/>
          <w:lang w:val="pl-PL"/>
        </w:rPr>
        <w:t>20 r.</w:t>
      </w:r>
      <w:r>
        <w:rPr>
          <w:noProof/>
        </w:rPr>
        <w:t>).</w:t>
      </w:r>
    </w:p>
    <w:p w14:paraId="721469DA" w14:textId="4F910E3D" w:rsidR="006578ED" w:rsidRDefault="00A1618E">
      <w:pPr>
        <w:pStyle w:val="P68B1DB1-Normal4"/>
        <w:spacing w:before="120" w:after="120" w:line="240" w:lineRule="auto"/>
        <w:jc w:val="both"/>
        <w:rPr>
          <w:rFonts w:cs="Times New Roman"/>
          <w:i/>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 xml:space="preserve">7 rozporządzenia (UE) 2020/852, biorąc pod uwagę opis środków i działań łagodzących określonych w planie odbudowy i zwiększania odporności zgodnie z wytycznymi technicznymi dotyczącymi zasady „nie czyń poważnych szkód” (2021/C58/01). </w:t>
      </w:r>
    </w:p>
    <w:p w14:paraId="2EAC6488" w14:textId="21A3A9DF" w:rsidR="006578ED" w:rsidRDefault="00A1618E">
      <w:pPr>
        <w:pStyle w:val="P68B1DB1-Normal5"/>
        <w:spacing w:before="120" w:after="120" w:line="240" w:lineRule="auto"/>
        <w:ind w:left="709"/>
        <w:jc w:val="both"/>
        <w:rPr>
          <w:rFonts w:cs="Times New Roman"/>
          <w:i/>
          <w:noProof/>
        </w:rPr>
      </w:pPr>
      <w:r>
        <w:rPr>
          <w:noProof/>
        </w:rPr>
        <w:t xml:space="preserve">H.1. </w:t>
      </w:r>
      <w:r>
        <w:rPr>
          <w:noProof/>
        </w:rPr>
        <w:tab/>
        <w:t>Opis reform i inwestycji, które mają być finansowane z bezzwrotnego wsparcia finansowego</w:t>
      </w:r>
    </w:p>
    <w:p w14:paraId="39594D0D" w14:textId="6BE37E93" w:rsidR="006578ED" w:rsidRDefault="00A1618E">
      <w:pPr>
        <w:pStyle w:val="P68B1DB1-Normal6"/>
        <w:spacing w:before="120" w:after="120" w:line="240" w:lineRule="auto"/>
        <w:jc w:val="both"/>
        <w:rPr>
          <w:rFonts w:cs="Times New Roman"/>
          <w:noProof/>
        </w:rPr>
      </w:pPr>
      <w:r>
        <w:rPr>
          <w:noProof/>
        </w:rPr>
        <w:t>Reforma 1 (C8.R1) – Ramy umożliwiające włączenie odnawialnych źródeł energii do systemu energetycznego: sieci, magazynowanie i infrastruktura</w:t>
      </w:r>
    </w:p>
    <w:p w14:paraId="104493A7" w14:textId="31882754" w:rsidR="006578ED" w:rsidRDefault="00A1618E">
      <w:pPr>
        <w:pStyle w:val="P68B1DB1-Normal4"/>
        <w:spacing w:before="120" w:after="120" w:line="240" w:lineRule="auto"/>
        <w:jc w:val="both"/>
        <w:rPr>
          <w:rFonts w:cs="Times New Roman"/>
          <w:noProof/>
        </w:rPr>
      </w:pPr>
      <w:r>
        <w:rPr>
          <w:noProof/>
        </w:rPr>
        <w:t xml:space="preserve">Celem tego środka jest stworzenie przejrzystych i stabilnych ram regulacyjnych, które zapewniają pewność i umożliwiają większe włączenie odnawialnych źródeł energii do systemu energetycznego poprzez inwestycje w sieci, magazynowanie i infrastrukturę. </w:t>
      </w:r>
    </w:p>
    <w:p w14:paraId="428D3EE8" w14:textId="2E8F84FC" w:rsidR="006578ED" w:rsidRDefault="00A1618E">
      <w:pPr>
        <w:pStyle w:val="P68B1DB1-Normal4"/>
        <w:spacing w:before="120" w:after="120" w:line="240" w:lineRule="auto"/>
        <w:jc w:val="both"/>
        <w:rPr>
          <w:rFonts w:cs="Times New Roman"/>
          <w:noProof/>
        </w:rPr>
      </w:pPr>
      <w:r>
        <w:rPr>
          <w:noProof/>
        </w:rPr>
        <w:t xml:space="preserve">Reforma obejmuje długoterminową strategię dekarbonizacji </w:t>
      </w:r>
      <w:r w:rsidRPr="00A1618E">
        <w:rPr>
          <w:noProof/>
          <w:lang w:val="pl-PL"/>
        </w:rPr>
        <w:t>do 2</w:t>
      </w:r>
      <w:r>
        <w:rPr>
          <w:noProof/>
        </w:rPr>
        <w:t>0</w:t>
      </w:r>
      <w:r w:rsidRPr="00A1618E">
        <w:rPr>
          <w:noProof/>
          <w:lang w:val="pl-PL"/>
        </w:rPr>
        <w:t>50 r.</w:t>
      </w:r>
      <w:r>
        <w:rPr>
          <w:noProof/>
        </w:rPr>
        <w:t xml:space="preserve"> („ELP 2050”). Celem tej strategii jest stworzenie podstaw dla strategicznych i regulacyjnych ram skutecznego włączenia odnawialnych źródeł energii do elastycznego i inteligentnego systemu energetycznego. Do celów ELP 2050 należą: ograniczenie emisji gazów cieplarnianych o 90 % w porównaniu z 19</w:t>
      </w:r>
      <w:r w:rsidRPr="00A1618E">
        <w:rPr>
          <w:noProof/>
          <w:lang w:val="pl-PL"/>
        </w:rPr>
        <w:t>90 r.</w:t>
      </w:r>
      <w:r>
        <w:rPr>
          <w:noProof/>
        </w:rPr>
        <w:t xml:space="preserve"> (neutralność klimatyczna); osiągnięcie 97 % udziału energii ze źródeł odnawialnych w zużyciu energii końcowej; oraz c) systemu energii elektrycznej ze źródeł odnawialnych w 100 %. </w:t>
      </w:r>
    </w:p>
    <w:p w14:paraId="13ACBC4F" w14:textId="620DA696" w:rsidR="006578ED" w:rsidRDefault="00A1618E">
      <w:pPr>
        <w:pStyle w:val="P68B1DB1-Normal4"/>
        <w:spacing w:before="120" w:after="120" w:line="240" w:lineRule="auto"/>
        <w:jc w:val="both"/>
        <w:rPr>
          <w:rFonts w:cs="Times New Roman"/>
          <w:noProof/>
        </w:rPr>
      </w:pPr>
      <w:r>
        <w:rPr>
          <w:noProof/>
        </w:rPr>
        <w:t>Wdrożenie środka należy zakończyć do dnia 31 marca 20</w:t>
      </w:r>
      <w:r w:rsidRPr="00A1618E">
        <w:rPr>
          <w:noProof/>
          <w:lang w:val="pl-PL"/>
        </w:rPr>
        <w:t>21 r.</w:t>
      </w:r>
      <w:r>
        <w:rPr>
          <w:noProof/>
        </w:rPr>
        <w:t xml:space="preserve"> </w:t>
      </w:r>
    </w:p>
    <w:p w14:paraId="5028F761" w14:textId="4BF98CA8" w:rsidR="006578ED" w:rsidRDefault="00A1618E">
      <w:pPr>
        <w:pStyle w:val="P68B1DB1-Normal6"/>
        <w:spacing w:before="120" w:after="120" w:line="240" w:lineRule="auto"/>
        <w:jc w:val="both"/>
        <w:rPr>
          <w:rFonts w:cs="Times New Roman"/>
          <w:noProof/>
        </w:rPr>
      </w:pPr>
      <w:r>
        <w:rPr>
          <w:noProof/>
        </w:rPr>
        <w:t>Reforma 2 (C8.R2) – Strategia magazynowania energii i dostosowanie ram regulacyjnych dotyczących wdrażania magazynowania energii</w:t>
      </w:r>
    </w:p>
    <w:p w14:paraId="67A4C692" w14:textId="5893B976" w:rsidR="006578ED" w:rsidRDefault="00A1618E">
      <w:pPr>
        <w:pStyle w:val="P68B1DB1-Normal4"/>
        <w:spacing w:before="120" w:after="120" w:line="240" w:lineRule="auto"/>
        <w:jc w:val="both"/>
        <w:rPr>
          <w:rFonts w:cs="Times New Roman"/>
          <w:noProof/>
        </w:rPr>
      </w:pPr>
      <w:r>
        <w:rPr>
          <w:noProof/>
        </w:rPr>
        <w:t xml:space="preserve">Środek ten ma na celu opracowanie, zatwierdzenie i wdrożenie ram regulacyjnych i strategicznych wspierających magazynowanie energii. Reforma zapewnia niezbędne ramy dla planowanych inwestycji w ramach C8.I1 i C8.I3 dotyczących, odpowiednio, wdrażania magazynowania energii i nowych modeli biznesowych w transformacji energetycznej. </w:t>
      </w:r>
    </w:p>
    <w:p w14:paraId="7FBE421A" w14:textId="34339B57" w:rsidR="006578ED" w:rsidRDefault="00A1618E">
      <w:pPr>
        <w:pStyle w:val="P68B1DB1-Normal4"/>
        <w:spacing w:before="120" w:after="120" w:line="240" w:lineRule="auto"/>
        <w:jc w:val="both"/>
        <w:rPr>
          <w:rFonts w:cs="Times New Roman"/>
          <w:noProof/>
        </w:rPr>
      </w:pPr>
      <w:r>
        <w:rPr>
          <w:noProof/>
        </w:rPr>
        <w:t>Reforma obejmuje zatwierdzenie przez rząd hiszpański strategii magazynowania energii. Celem tej strategii jest udostępnienie 20 GW magazynowania energii w 20</w:t>
      </w:r>
      <w:r w:rsidRPr="00A1618E">
        <w:rPr>
          <w:noProof/>
          <w:lang w:val="pl-PL"/>
        </w:rPr>
        <w:t>30 r.</w:t>
      </w:r>
      <w:r>
        <w:rPr>
          <w:noProof/>
        </w:rPr>
        <w:t xml:space="preserve"> i 30 GW w 20</w:t>
      </w:r>
      <w:r w:rsidRPr="00A1618E">
        <w:rPr>
          <w:noProof/>
          <w:lang w:val="pl-PL"/>
        </w:rPr>
        <w:t>50 r.</w:t>
      </w:r>
      <w:r>
        <w:rPr>
          <w:noProof/>
        </w:rPr>
        <w:t xml:space="preserve"> </w:t>
      </w:r>
    </w:p>
    <w:p w14:paraId="2D43E383" w14:textId="29093035" w:rsidR="006578ED" w:rsidRDefault="00A1618E">
      <w:pPr>
        <w:pStyle w:val="P68B1DB1-Normal4"/>
        <w:spacing w:before="120" w:after="120" w:line="240" w:lineRule="auto"/>
        <w:jc w:val="both"/>
        <w:rPr>
          <w:rFonts w:cs="Times New Roman"/>
          <w:noProof/>
        </w:rPr>
      </w:pPr>
      <w:r>
        <w:rPr>
          <w:noProof/>
        </w:rPr>
        <w:t xml:space="preserve">Reforma obejmuje trzy akty ustawodawcze i wykonawcze: dekret królewski 1183/2020 regulujący dostęp do sieci dla instalacji magazynowych; (II) okólnik </w:t>
      </w:r>
      <w:r>
        <w:rPr>
          <w:i/>
          <w:noProof/>
        </w:rPr>
        <w:t>Comisión Nacional de los Mercados y la Competencia</w:t>
      </w:r>
      <w:r>
        <w:rPr>
          <w:noProof/>
        </w:rPr>
        <w:t xml:space="preserve"> 1/2021 w celu ustanowienia metodyki i warunków dostępu i przyłączenia do sieci przesyłowych i dystrybucyjnych instalacji wytwarzających energię elektryczną; rezolucja </w:t>
      </w:r>
      <w:r>
        <w:rPr>
          <w:i/>
          <w:noProof/>
        </w:rPr>
        <w:t>Comisión Nacional de los Mercados y la Competencia</w:t>
      </w:r>
      <w:r>
        <w:rPr>
          <w:noProof/>
        </w:rPr>
        <w:t xml:space="preserve"> z dnia 10 grudnia 20</w:t>
      </w:r>
      <w:r w:rsidRPr="00A1618E">
        <w:rPr>
          <w:noProof/>
          <w:lang w:val="pl-PL"/>
        </w:rPr>
        <w:t>20 r.</w:t>
      </w:r>
      <w:r>
        <w:rPr>
          <w:noProof/>
        </w:rPr>
        <w:t xml:space="preserve"> regulująca udział instalacji magazynowania energii w świadczeniu usług pomocniczych. </w:t>
      </w:r>
    </w:p>
    <w:p w14:paraId="76A0F24E" w14:textId="6AF2B432" w:rsidR="006578ED" w:rsidRDefault="00A1618E">
      <w:pPr>
        <w:pStyle w:val="P68B1DB1-Normal4"/>
        <w:spacing w:before="120" w:after="120" w:line="240" w:lineRule="auto"/>
        <w:jc w:val="both"/>
        <w:rPr>
          <w:rFonts w:cs="Times New Roman"/>
          <w:noProof/>
        </w:rPr>
      </w:pPr>
      <w:r>
        <w:rPr>
          <w:noProof/>
        </w:rPr>
        <w:t>Wdrożenie środka należy zakończyć do dnia 30 czerwca 20</w:t>
      </w:r>
      <w:r w:rsidRPr="00A1618E">
        <w:rPr>
          <w:noProof/>
          <w:lang w:val="pl-PL"/>
        </w:rPr>
        <w:t>22 r.</w:t>
      </w:r>
    </w:p>
    <w:p w14:paraId="53FF3DAC" w14:textId="76EDFD56" w:rsidR="006578ED" w:rsidRDefault="00A1618E">
      <w:pPr>
        <w:pStyle w:val="P68B1DB1-Normal6"/>
        <w:spacing w:before="120" w:after="120" w:line="240" w:lineRule="auto"/>
        <w:jc w:val="both"/>
        <w:rPr>
          <w:rFonts w:cs="Times New Roman"/>
          <w:noProof/>
        </w:rPr>
      </w:pPr>
      <w:r>
        <w:rPr>
          <w:noProof/>
        </w:rPr>
        <w:t>Reforma 3 (C8.R3) – Opracowanie ram regulacyjnych dotyczących agregacji, zarządzania popytem i usług w zakresie elastyczności</w:t>
      </w:r>
    </w:p>
    <w:p w14:paraId="45CDEA6D" w14:textId="1C730920" w:rsidR="006578ED" w:rsidRDefault="00A1618E">
      <w:pPr>
        <w:pStyle w:val="P68B1DB1-Normal4"/>
        <w:spacing w:before="120" w:after="120" w:line="240" w:lineRule="auto"/>
        <w:jc w:val="both"/>
        <w:rPr>
          <w:rFonts w:cs="Times New Roman"/>
          <w:noProof/>
        </w:rPr>
      </w:pPr>
      <w:r>
        <w:rPr>
          <w:noProof/>
        </w:rPr>
        <w:t>Celem tego środka jest opracowanie ram regulacyjnych niezbędnych do rozwoju inteligentnego i dynamicznego systemu energetycznego, w tym: regulacja usług zarządzania popytem i elastycznością w krajowych ramach regulacyjnych, (ii) opracowanie ram regulacyjnych w celu uwzględnienia różnych usług w zakresie elastyczności oraz (iii) opracowanie ram zapewniających konsumentom dostęp do ich danych dotyczących zużycia energii.</w:t>
      </w:r>
    </w:p>
    <w:p w14:paraId="1353EC9D" w14:textId="752675EE" w:rsidR="006578ED" w:rsidRDefault="00A1618E">
      <w:pPr>
        <w:pStyle w:val="P68B1DB1-Normal4"/>
        <w:spacing w:before="120" w:after="120" w:line="240" w:lineRule="auto"/>
        <w:jc w:val="both"/>
        <w:rPr>
          <w:rFonts w:cs="Times New Roman"/>
          <w:noProof/>
        </w:rPr>
      </w:pPr>
      <w:r>
        <w:rPr>
          <w:noProof/>
        </w:rPr>
        <w:t xml:space="preserve">Reforma musi być zgodna z krajowym planem w dziedzinie klimatu w dziedzinie energii, w którym wyraźnie uznano potrzebę określenia wymogów technicznych dotyczących uczestnictwa w istniejących i rozwijających się rynkach uczestników oferujących energię ze źródeł odnawialnych, operatorów magazynowania energii i podmiotów świadczących usługi w zakresie odpowiedzi odbioru. </w:t>
      </w:r>
    </w:p>
    <w:p w14:paraId="5BF89605" w14:textId="41CC508F" w:rsidR="006578ED" w:rsidRDefault="00A1618E">
      <w:pPr>
        <w:pStyle w:val="P68B1DB1-Normal4"/>
        <w:spacing w:before="120" w:after="120" w:line="240" w:lineRule="auto"/>
        <w:jc w:val="both"/>
        <w:rPr>
          <w:rFonts w:cs="Times New Roman"/>
          <w:noProof/>
        </w:rPr>
      </w:pPr>
      <w:r>
        <w:rPr>
          <w:noProof/>
        </w:rPr>
        <w:t xml:space="preserve">W krajowym planie energetycznym w dziedzinie klimatu podkreślono również potrzebę opracowania statusu koncentratorów, w szczególności niezależnych koncentratorów, aby ułatwić im udział w rynku. W tym celu reforma przewiduje utworzenie statusu niezależnego koncentratora popytu w drodze dekretu królewskiego z mocą ustawy 23/2020, aby umożliwić wejście na rynek detaliczny nowym podmiotom. </w:t>
      </w:r>
    </w:p>
    <w:p w14:paraId="01ECDE59" w14:textId="581E5479" w:rsidR="006578ED" w:rsidRDefault="00A1618E">
      <w:pPr>
        <w:pStyle w:val="P68B1DB1-Normal4"/>
        <w:spacing w:before="120" w:after="120" w:line="240" w:lineRule="auto"/>
        <w:jc w:val="both"/>
        <w:rPr>
          <w:rFonts w:cs="Times New Roman"/>
          <w:noProof/>
        </w:rPr>
      </w:pPr>
      <w:r>
        <w:rPr>
          <w:noProof/>
        </w:rPr>
        <w:t>Oprócz wsparcia krajowego planu w dziedzinie klimatu w dziedzinie energii w ramach reformy dokonuje się transpozycji dyrektywy Parlamentu Europejskiego i Rady (UE) 2019/944 z dnia 5 czerwca 20</w:t>
      </w:r>
      <w:r w:rsidRPr="00A1618E">
        <w:rPr>
          <w:noProof/>
          <w:lang w:val="pl-PL"/>
        </w:rPr>
        <w:t>19 r.</w:t>
      </w:r>
      <w:r>
        <w:rPr>
          <w:noProof/>
        </w:rPr>
        <w:t xml:space="preserve"> w sprawie wspólnych zasad rynku wewnętrznego energii elektrycznej, która ustanawia obowiązek zapewnienia udziału konsumentów w rynkach, w tym poprzez odpowiedź odbioru, promowania uczestnictwa konsumentów w ujęciu indywidualnym lub zagregowanym lub za pośrednictwem niezależnych koncentratorów oraz umożliwienia korzystania z elastyczności w sieciach dystrybucyjnych.</w:t>
      </w:r>
    </w:p>
    <w:p w14:paraId="353C40D9" w14:textId="04396C98"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r>
        <w:rPr>
          <w:noProof/>
        </w:rPr>
        <w:t xml:space="preserve"> </w:t>
      </w:r>
    </w:p>
    <w:p w14:paraId="650094B5" w14:textId="77777777" w:rsidR="006578ED" w:rsidRDefault="00A1618E">
      <w:pPr>
        <w:pStyle w:val="P68B1DB1-Normal4"/>
        <w:spacing w:before="120" w:after="120" w:line="240" w:lineRule="auto"/>
        <w:jc w:val="both"/>
        <w:rPr>
          <w:rFonts w:eastAsia="Symbol" w:cs="Times New Roman"/>
          <w:noProof/>
          <w:u w:val="single"/>
        </w:rPr>
      </w:pPr>
      <w:r>
        <w:rPr>
          <w:noProof/>
          <w:u w:val="single"/>
        </w:rPr>
        <w:t>Reforma 4 (C8.R4) – piaskownice regulacyjne lub stanowiska badawcze</w:t>
      </w:r>
      <w:r>
        <w:rPr>
          <w:noProof/>
        </w:rPr>
        <w:t> </w:t>
      </w:r>
    </w:p>
    <w:p w14:paraId="712416A3" w14:textId="77A1C650" w:rsidR="006578ED" w:rsidRDefault="00A1618E">
      <w:pPr>
        <w:pStyle w:val="P68B1DB1-Normal4"/>
        <w:spacing w:before="120" w:after="120" w:line="240" w:lineRule="auto"/>
        <w:jc w:val="both"/>
        <w:rPr>
          <w:rFonts w:cs="Times New Roman"/>
          <w:noProof/>
        </w:rPr>
      </w:pPr>
      <w:r>
        <w:rPr>
          <w:noProof/>
        </w:rPr>
        <w:t>Środek ten ma na celu opracowanie regulacyjnych łóżek testowych (piaskotek) w krajowych ramach regulacyjnych, umożliwiających wprowadzanie nowych produktów lub rozwiązań technologicznych, wyjątków lub zabezpieczeń regulacyjnych w celu ułatwienia badań naukowych i innowacji w sektorze energetycznym. Reforma jest bezpośrednio powiązana z reformą C8.R3 i z inwestycjami C8.I3.</w:t>
      </w:r>
    </w:p>
    <w:p w14:paraId="06ED5FA6" w14:textId="0CC36718" w:rsidR="006578ED" w:rsidRDefault="00A1618E">
      <w:pPr>
        <w:pStyle w:val="P68B1DB1-Normal4"/>
        <w:spacing w:before="120" w:after="120" w:line="240" w:lineRule="auto"/>
        <w:jc w:val="both"/>
        <w:rPr>
          <w:rFonts w:cs="Times New Roman"/>
          <w:noProof/>
        </w:rPr>
      </w:pPr>
      <w:r>
        <w:rPr>
          <w:noProof/>
        </w:rPr>
        <w:t>Piaskownice regulacyjne umożliwiają przemysłowi testowanie nowych technologii, systemów i usług związanych z elastycznością, odpowiedzią odbioru i magazynowaniem energii w bezpiecznym środowisku, w którym zainteresowane strony mogą doświadczać innowacyjnych rozwiązań bez podlegania wymogom regulacyjnym. Ponadto piaskownice zapewniają dwukierunkowy dialog regulacyjny między administracją a organem regulacyjnym, który przyspieszy i ułatwi przegląd istniejących przepisów oraz dostosowuje je do wejścia na rynek nowych podmiotów. Oczekuje się, że ułatwi to tworzenie technologicznych przedsiębiorstw typu start-up, dając im możliwość przetestowania swoich modeli biznesowych.</w:t>
      </w:r>
    </w:p>
    <w:p w14:paraId="0526FDD2" w14:textId="0E8A165D" w:rsidR="006578ED" w:rsidRDefault="00A1618E">
      <w:pPr>
        <w:pStyle w:val="P68B1DB1-Normal4"/>
        <w:spacing w:before="120" w:after="120" w:line="240" w:lineRule="auto"/>
        <w:jc w:val="both"/>
        <w:rPr>
          <w:rFonts w:cs="Times New Roman"/>
          <w:noProof/>
        </w:rPr>
      </w:pPr>
      <w:r>
        <w:rPr>
          <w:noProof/>
        </w:rPr>
        <w:t>Reforma obejmuje przyjęcie dekretu królewskiego w sprawie rozwoju piaskownic regulacyjnych, aby umożliwić rozwój nowych projektów pilotażowych w celu wspierania badań i innowacji w sektorze energii elektrycznej.</w:t>
      </w:r>
    </w:p>
    <w:p w14:paraId="16B67689" w14:textId="057156E8" w:rsidR="006578ED" w:rsidRDefault="00A1618E">
      <w:pPr>
        <w:pStyle w:val="P68B1DB1-Normal4"/>
        <w:spacing w:before="120" w:after="120" w:line="240" w:lineRule="auto"/>
        <w:jc w:val="both"/>
        <w:rPr>
          <w:rFonts w:cs="Times New Roman"/>
          <w:noProof/>
        </w:rPr>
      </w:pPr>
      <w:r>
        <w:rPr>
          <w:noProof/>
        </w:rPr>
        <w:t>Wdrożenie środka należy zakończyć do dnia 30 czerwca 20</w:t>
      </w:r>
      <w:r w:rsidRPr="00A1618E">
        <w:rPr>
          <w:noProof/>
          <w:lang w:val="pl-PL"/>
        </w:rPr>
        <w:t>23 r.</w:t>
      </w:r>
      <w:r>
        <w:rPr>
          <w:noProof/>
        </w:rPr>
        <w:t xml:space="preserve"> </w:t>
      </w:r>
    </w:p>
    <w:p w14:paraId="39E4FD33" w14:textId="1EFAB5F3" w:rsidR="006578ED" w:rsidRDefault="00A1618E">
      <w:pPr>
        <w:pStyle w:val="P68B1DB1-Normal6"/>
        <w:spacing w:before="120" w:after="120" w:line="240" w:lineRule="auto"/>
        <w:jc w:val="both"/>
        <w:rPr>
          <w:rFonts w:eastAsia="Symbol" w:cs="Times New Roman"/>
          <w:noProof/>
        </w:rPr>
      </w:pPr>
      <w:r>
        <w:rPr>
          <w:noProof/>
        </w:rPr>
        <w:t xml:space="preserve">Inwestycja 1 (C8.I1) – </w:t>
      </w:r>
      <w:bookmarkStart w:id="16" w:name="_Hlk145336439"/>
      <w:r>
        <w:rPr>
          <w:noProof/>
        </w:rPr>
        <w:t>Wdrożenie magazynowania energii</w:t>
      </w:r>
      <w:bookmarkEnd w:id="16"/>
    </w:p>
    <w:p w14:paraId="1A040E87" w14:textId="429C3AE3" w:rsidR="006578ED" w:rsidRDefault="00A1618E">
      <w:pPr>
        <w:pStyle w:val="P68B1DB1-Normal4"/>
        <w:spacing w:before="120" w:after="120" w:line="240" w:lineRule="auto"/>
        <w:jc w:val="both"/>
        <w:rPr>
          <w:rFonts w:eastAsia="Symbol" w:cs="Times New Roman"/>
          <w:noProof/>
        </w:rPr>
      </w:pPr>
      <w:r>
        <w:rPr>
          <w:noProof/>
        </w:rPr>
        <w:t>Celem tego środka jest wdrożenie magazynowania energii poprzez uruchomienie inicjatyw wspierających i inwestycyjnych w dwóch głównych obszarach:</w:t>
      </w:r>
    </w:p>
    <w:p w14:paraId="3E2CB41E" w14:textId="3AA5ABF6" w:rsidR="006578ED" w:rsidRDefault="00A1618E">
      <w:pPr>
        <w:pStyle w:val="P68B1DB1-Normal4"/>
        <w:numPr>
          <w:ilvl w:val="0"/>
          <w:numId w:val="102"/>
        </w:numPr>
        <w:spacing w:before="120" w:after="160" w:line="259" w:lineRule="auto"/>
        <w:ind w:left="426" w:hanging="426"/>
        <w:contextualSpacing/>
        <w:jc w:val="both"/>
        <w:rPr>
          <w:rFonts w:eastAsia="Symbol" w:cs="Times New Roman"/>
          <w:noProof/>
        </w:rPr>
      </w:pPr>
      <w:r>
        <w:rPr>
          <w:noProof/>
        </w:rPr>
        <w:t>Rozwój magazynowania na dużą skalę. Magazynowanie na dużą skalę jest niezbędne do zintegrowania większych ilości energii ze źródeł odnawialnych i świadczenia usług na rzecz systemu, począwszy od regulacji częstotliwości, wsparcia na płycie (elastyczność) lub czarnego startu; oraz</w:t>
      </w:r>
    </w:p>
    <w:p w14:paraId="633A868D" w14:textId="40EE7E5F" w:rsidR="006578ED" w:rsidRDefault="00A1618E">
      <w:pPr>
        <w:pStyle w:val="P68B1DB1-Normal4"/>
        <w:numPr>
          <w:ilvl w:val="0"/>
          <w:numId w:val="102"/>
        </w:numPr>
        <w:spacing w:before="120" w:after="160" w:line="259" w:lineRule="auto"/>
        <w:ind w:left="426" w:hanging="426"/>
        <w:contextualSpacing/>
        <w:jc w:val="both"/>
        <w:rPr>
          <w:rFonts w:eastAsia="Symbol" w:cs="Times New Roman"/>
          <w:noProof/>
        </w:rPr>
      </w:pPr>
      <w:r>
        <w:rPr>
          <w:noProof/>
        </w:rPr>
        <w:t xml:space="preserve">Promowanie magazynowania za licznikiem i zintegrowane na poziomie sektorowym. Technologie stojące za licznikiem mogą obejmować instalacje do własnego zużycia, akumulatory litowe i systemy magazynowania ciepła. </w:t>
      </w:r>
    </w:p>
    <w:p w14:paraId="26F518F8" w14:textId="5BD768B1" w:rsidR="006578ED" w:rsidRDefault="00A1618E">
      <w:pPr>
        <w:pStyle w:val="P68B1DB1-Normal4"/>
        <w:spacing w:before="120" w:after="120" w:line="240" w:lineRule="auto"/>
        <w:jc w:val="both"/>
        <w:rPr>
          <w:rFonts w:eastAsia="Symbol" w:cs="Times New Roman"/>
          <w:noProof/>
        </w:rPr>
      </w:pPr>
      <w:r>
        <w:rPr>
          <w:noProof/>
        </w:rPr>
        <w:t>Proponowane inwestycje są wspierane w ramach określonych przez reformy tego komponentu, w szczególności reformy C8.R1 i C8.R2, które stanowią podstawę prawną i strategiczną dla skutecznego wdrażania magazynowania energii.</w:t>
      </w:r>
    </w:p>
    <w:p w14:paraId="36426B1B" w14:textId="04C0C5B6" w:rsidR="006578ED" w:rsidRDefault="00A1618E">
      <w:pPr>
        <w:pStyle w:val="P68B1DB1-Normal4"/>
        <w:spacing w:before="120" w:after="120" w:line="240" w:lineRule="auto"/>
        <w:jc w:val="both"/>
        <w:rPr>
          <w:rFonts w:eastAsia="Symbol" w:cs="Times New Roman"/>
          <w:noProof/>
        </w:rPr>
      </w:pPr>
      <w:r>
        <w:rPr>
          <w:noProof/>
        </w:rPr>
        <w:t>Środek ten jest wdrażany poprzez innowacyjne projekty magazynowania, które przyczyniają się do transformacji energetycznej, w szczególności w celu zapewnienia nowej elastyczności sektorowi energetycznemu, w tym integracji odnawialnych źródeł energii. Należy uruchomić co najmniej pięć innowacyjnych projektów magazynowania lub zainstalować łączną moc co najmniej 660 MW (lub równoważną całkowitą dostawę energii (MWh)).</w:t>
      </w:r>
    </w:p>
    <w:p w14:paraId="65A5BF43" w14:textId="550BB54A" w:rsidR="006578ED" w:rsidRDefault="00A1618E">
      <w:pPr>
        <w:pStyle w:val="P68B1DB1-Normal4"/>
        <w:spacing w:before="120" w:after="120" w:line="240" w:lineRule="auto"/>
        <w:jc w:val="both"/>
        <w:rPr>
          <w:rFonts w:eastAsia="Symbol" w:cs="Times New Roman"/>
          <w:noProof/>
        </w:rPr>
      </w:pPr>
      <w:r>
        <w:rPr>
          <w:noProof/>
        </w:rPr>
        <w:t>Realizacja inwestycji zakończy się do dnia 30 czerwca 20</w:t>
      </w:r>
      <w:r w:rsidRPr="00A1618E">
        <w:rPr>
          <w:noProof/>
          <w:lang w:val="pl-PL"/>
        </w:rPr>
        <w:t>26 r.</w:t>
      </w:r>
      <w:r>
        <w:rPr>
          <w:noProof/>
        </w:rPr>
        <w:t xml:space="preserve"> </w:t>
      </w:r>
    </w:p>
    <w:p w14:paraId="16F7D81D" w14:textId="77777777" w:rsidR="006578ED" w:rsidRDefault="00A1618E">
      <w:pPr>
        <w:pStyle w:val="P68B1DB1-Normal6"/>
        <w:spacing w:before="120" w:after="120" w:line="240" w:lineRule="auto"/>
        <w:jc w:val="both"/>
        <w:rPr>
          <w:rFonts w:eastAsia="Symbol" w:cs="Times New Roman"/>
          <w:noProof/>
        </w:rPr>
      </w:pPr>
      <w:r>
        <w:rPr>
          <w:noProof/>
        </w:rPr>
        <w:t>Inwestycja 2 (C8.I2) – Cyfryzacja sieci</w:t>
      </w:r>
    </w:p>
    <w:p w14:paraId="49080D56" w14:textId="1B9F16C8" w:rsidR="006578ED" w:rsidRDefault="00A1618E">
      <w:pPr>
        <w:pStyle w:val="P68B1DB1-Normal4"/>
        <w:spacing w:before="120" w:after="120" w:line="240" w:lineRule="auto"/>
        <w:jc w:val="both"/>
        <w:rPr>
          <w:rFonts w:eastAsiaTheme="minorEastAsia" w:cs="Times New Roman"/>
          <w:noProof/>
        </w:rPr>
      </w:pPr>
      <w:r>
        <w:rPr>
          <w:noProof/>
        </w:rPr>
        <w:t>Środek ten zapewnia wsparcie dla inwestycji związanych z cyfryzacją sieci dystrybucyjnych w celu dostosowania ich do wymogów niezbędnych do przeprowadzenia transformacji energetycznej. Potrzeba cyfryzacji sieci elektroenergetycznych jest częścią dyrektywy Parlamentu Europejskiego i Rady (UE) 2019/944 z dnia 5 czerwca 20</w:t>
      </w:r>
      <w:r w:rsidRPr="00A1618E">
        <w:rPr>
          <w:noProof/>
          <w:lang w:val="pl-PL"/>
        </w:rPr>
        <w:t>19 r.</w:t>
      </w:r>
      <w:r>
        <w:rPr>
          <w:noProof/>
        </w:rPr>
        <w:t xml:space="preserve"> w sprawie wspólnych zasad rynku wewnętrznego energii elektrycznej, która stanowi, że państwa członkowskie powinny zachęcać do modernizacji sieci, na przykład poprzez wprowadzenie inteligentnych sieci. Cyfryzacja sieci jest niezbędna do przyspieszenia transformacji systemu energetycznego przy większej obecności energii ze źródeł odnawialnych, aby zapewnić bezpieczny i odporny system elektroenergetyczny. Ma to szczególne znaczenie na obszarach innych niż półwyspu charakteryzujące się większą podatnością na zagrożenia i uzależnieniem energetycznym. </w:t>
      </w:r>
    </w:p>
    <w:p w14:paraId="72358A2A" w14:textId="5B4998F1" w:rsidR="006578ED" w:rsidRDefault="00A1618E">
      <w:pPr>
        <w:pStyle w:val="P68B1DB1-Normal4"/>
        <w:spacing w:before="120" w:after="120" w:line="240" w:lineRule="auto"/>
        <w:jc w:val="both"/>
        <w:rPr>
          <w:rFonts w:eastAsiaTheme="minorEastAsia" w:cs="Times New Roman"/>
          <w:noProof/>
        </w:rPr>
      </w:pPr>
      <w:r>
        <w:rPr>
          <w:noProof/>
        </w:rPr>
        <w:t>Ogólnym celem środka jest zwiększenie konkurencyjności energii elektrycznej, przyspieszenie elektryfikacji gospodarki. W tym celu środek przewiduje wstępny mechanizm wsparcia, aby zmaksymalizować potencjał cyfryzacji sieci poprzez: zmniejszenie strat i wycieków energii ze źródeł odnawialnych, (ii) sprzyjanie uczestnictwu popytu w zarządzaniu systemem elektroenergetycznym oraz (iii) optymalizacja konfiguracji sieci.</w:t>
      </w:r>
    </w:p>
    <w:p w14:paraId="2CC15D25" w14:textId="77777777" w:rsidR="006578ED" w:rsidRDefault="00A1618E">
      <w:pPr>
        <w:pStyle w:val="P68B1DB1-Normal4"/>
        <w:spacing w:before="120" w:after="120" w:line="240" w:lineRule="auto"/>
        <w:jc w:val="both"/>
        <w:rPr>
          <w:rFonts w:eastAsiaTheme="minorEastAsia" w:cs="Times New Roman"/>
          <w:noProof/>
        </w:rPr>
      </w:pPr>
      <w:r>
        <w:rPr>
          <w:noProof/>
        </w:rPr>
        <w:t>Środek obejmuje przyznanie przedsiębiorstwom dystrybucyjnym co najmniej 35 innowacyjnych projektów cyfryzacji (w zakresie inteligentnej dystrybucji energii elektrycznej).</w:t>
      </w:r>
    </w:p>
    <w:p w14:paraId="6BC816DA" w14:textId="59858247" w:rsidR="006578ED" w:rsidRPr="00A1618E" w:rsidRDefault="00A1618E">
      <w:pPr>
        <w:pStyle w:val="P68B1DB1-Normal4"/>
        <w:spacing w:before="120" w:after="120" w:line="240" w:lineRule="auto"/>
        <w:jc w:val="both"/>
        <w:rPr>
          <w:rFonts w:eastAsiaTheme="minorEastAsia" w:cs="Times New Roman"/>
          <w:noProof/>
          <w:lang w:val="pl-PL"/>
        </w:rPr>
      </w:pPr>
      <w:r>
        <w:rPr>
          <w:noProof/>
        </w:rPr>
        <w:t>Realizacja inwestycji zostanie zakończona do dnia 31 grudnia 20</w:t>
      </w:r>
      <w:r w:rsidRPr="00A1618E">
        <w:rPr>
          <w:noProof/>
          <w:lang w:val="pl-PL"/>
        </w:rPr>
        <w:t xml:space="preserve">23 r. </w:t>
      </w:r>
    </w:p>
    <w:p w14:paraId="2ACDB3D4" w14:textId="71667536" w:rsidR="006578ED" w:rsidRDefault="00A1618E">
      <w:pPr>
        <w:pStyle w:val="P68B1DB1-Normal6"/>
        <w:keepNext/>
        <w:spacing w:before="120" w:after="120" w:line="240" w:lineRule="auto"/>
        <w:jc w:val="both"/>
        <w:rPr>
          <w:rFonts w:eastAsia="Symbol" w:cs="Times New Roman"/>
          <w:noProof/>
        </w:rPr>
      </w:pPr>
      <w:r>
        <w:rPr>
          <w:noProof/>
        </w:rPr>
        <w:t>Inwestycje 3 (C8.I3) – Nowe modele biznesowe w transformacji energetycznej</w:t>
      </w:r>
    </w:p>
    <w:p w14:paraId="6D6F38D9" w14:textId="429CB77E" w:rsidR="006578ED" w:rsidRDefault="00A1618E">
      <w:pPr>
        <w:pStyle w:val="P68B1DB1-Normal4"/>
        <w:keepNext/>
        <w:spacing w:before="120" w:after="120" w:line="240" w:lineRule="auto"/>
        <w:jc w:val="both"/>
        <w:rPr>
          <w:rFonts w:eastAsia="Symbol" w:cs="Times New Roman"/>
          <w:noProof/>
        </w:rPr>
      </w:pPr>
      <w:r>
        <w:rPr>
          <w:noProof/>
        </w:rPr>
        <w:t xml:space="preserve">Środek ten obejmuje inwestycje i mechanizmy wsparcia mające na celu pobudzenie nowych modeli biznesowych w zakresie transformacji związanej z wdrażaniem magazynowania energii, a także z zarządzaniem i recyklingiem w drugim cyklu życia, zarządzaniem popytem, agregatorami, usługami w zakresie elastyczności, dostępem do danych i piaskownicami. Środek ten obejmuje w szczególności: </w:t>
      </w:r>
    </w:p>
    <w:p w14:paraId="5C89B677" w14:textId="4B495C15" w:rsidR="006578ED" w:rsidRDefault="00A1618E">
      <w:pPr>
        <w:pStyle w:val="P68B1DB1-Normal4"/>
        <w:numPr>
          <w:ilvl w:val="0"/>
          <w:numId w:val="101"/>
        </w:numPr>
        <w:spacing w:before="120" w:after="160" w:line="259" w:lineRule="auto"/>
        <w:ind w:left="426" w:hanging="426"/>
        <w:contextualSpacing/>
        <w:jc w:val="both"/>
        <w:rPr>
          <w:rFonts w:eastAsia="Symbol" w:cs="Times New Roman"/>
          <w:noProof/>
        </w:rPr>
      </w:pPr>
      <w:r>
        <w:rPr>
          <w:noProof/>
        </w:rPr>
        <w:t>Wspieranie rozmieszczenia koncentratorów na krajowym rynku energii elektrycznej, ze szczególnym uwzględnieniem niezależnych koncentratorów poprzez instalację urządzeń pomiarowych w czasie rzeczywistym (opomiarowanie podlicznikami) oraz ośrodków kontroli i komunikacji, a także promowanie platform agregacyjnych;</w:t>
      </w:r>
    </w:p>
    <w:p w14:paraId="73FE182B" w14:textId="0E61A431" w:rsidR="006578ED" w:rsidRDefault="00A1618E">
      <w:pPr>
        <w:pStyle w:val="P68B1DB1-Normal4"/>
        <w:numPr>
          <w:ilvl w:val="0"/>
          <w:numId w:val="101"/>
        </w:numPr>
        <w:spacing w:before="120" w:after="160" w:line="259" w:lineRule="auto"/>
        <w:ind w:left="426" w:hanging="426"/>
        <w:contextualSpacing/>
        <w:jc w:val="both"/>
        <w:rPr>
          <w:rFonts w:eastAsia="Symbol" w:cs="Times New Roman"/>
          <w:noProof/>
        </w:rPr>
      </w:pPr>
      <w:r>
        <w:rPr>
          <w:noProof/>
        </w:rPr>
        <w:t>Wdrożenie magazynowania w całym łańcuchu wartości;</w:t>
      </w:r>
    </w:p>
    <w:p w14:paraId="7A574EA9" w14:textId="232009C2" w:rsidR="006578ED" w:rsidRDefault="00A1618E">
      <w:pPr>
        <w:pStyle w:val="P68B1DB1-Normal4"/>
        <w:numPr>
          <w:ilvl w:val="0"/>
          <w:numId w:val="101"/>
        </w:numPr>
        <w:spacing w:before="120" w:after="160" w:line="259" w:lineRule="auto"/>
        <w:ind w:left="426" w:hanging="426"/>
        <w:contextualSpacing/>
        <w:jc w:val="both"/>
        <w:rPr>
          <w:rFonts w:eastAsia="Symbol" w:cs="Times New Roman"/>
          <w:noProof/>
        </w:rPr>
      </w:pPr>
      <w:r>
        <w:rPr>
          <w:noProof/>
        </w:rPr>
        <w:t>Wspieranie projektów zarządzania popytem w różnych profilach konsumentów (duży przemysł, MŚP, społeczności energetyczne działające w zakresie energii odnawialnej/obywatelskie społeczności energetyczne, koncentratorzy itp.);</w:t>
      </w:r>
    </w:p>
    <w:p w14:paraId="0616224B" w14:textId="4DA915A7" w:rsidR="006578ED" w:rsidRDefault="00A1618E">
      <w:pPr>
        <w:pStyle w:val="P68B1DB1-Normal4"/>
        <w:numPr>
          <w:ilvl w:val="0"/>
          <w:numId w:val="101"/>
        </w:numPr>
        <w:spacing w:before="120" w:after="160" w:line="259" w:lineRule="auto"/>
        <w:ind w:left="426" w:hanging="426"/>
        <w:contextualSpacing/>
        <w:jc w:val="both"/>
        <w:rPr>
          <w:rFonts w:eastAsia="Symbol" w:cs="Times New Roman"/>
          <w:noProof/>
        </w:rPr>
      </w:pPr>
      <w:r>
        <w:rPr>
          <w:noProof/>
        </w:rPr>
        <w:t>Wzywa do składania wniosków o przeprowadzanie testów regulacyjnych w formie bezpośredniej, konkurencyjnej pomocy lub umów o współpracy; oraz</w:t>
      </w:r>
    </w:p>
    <w:p w14:paraId="07056859" w14:textId="03C0F4E4" w:rsidR="006578ED" w:rsidRDefault="00A1618E">
      <w:pPr>
        <w:pStyle w:val="P68B1DB1-Normal4"/>
        <w:numPr>
          <w:ilvl w:val="0"/>
          <w:numId w:val="101"/>
        </w:numPr>
        <w:spacing w:before="120" w:after="120" w:line="259" w:lineRule="auto"/>
        <w:ind w:left="425" w:hanging="425"/>
        <w:jc w:val="both"/>
        <w:rPr>
          <w:rFonts w:eastAsia="Symbol" w:cs="Times New Roman"/>
          <w:noProof/>
        </w:rPr>
      </w:pPr>
      <w:r>
        <w:rPr>
          <w:noProof/>
        </w:rPr>
        <w:t>Wsparcie dla przedsiębiorstw typu start-up lub innowacyjnych inicjatyw w dziedzinie energii.</w:t>
      </w:r>
    </w:p>
    <w:p w14:paraId="01C11A95" w14:textId="598B6B6D" w:rsidR="006578ED" w:rsidRDefault="00A1618E">
      <w:pPr>
        <w:pStyle w:val="P68B1DB1-Normal4"/>
        <w:spacing w:before="120" w:after="120" w:line="240" w:lineRule="auto"/>
        <w:jc w:val="both"/>
        <w:rPr>
          <w:rFonts w:eastAsia="Symbol" w:cs="Times New Roman"/>
          <w:noProof/>
        </w:rPr>
      </w:pPr>
      <w:r>
        <w:rPr>
          <w:noProof/>
        </w:rPr>
        <w:t>Inwestycja jest ściśle powiązana z reformą C8.R4, której celem jest stworzenie piaskownic regulacyjnych dla innowacyjnych projektów. Opiera się on również na ramach strategicznych i regulacyjnych określonych w innych reformach, w szczególności w reformie C8.R3.</w:t>
      </w:r>
    </w:p>
    <w:p w14:paraId="7C132290" w14:textId="5701D2A0" w:rsidR="006578ED" w:rsidRDefault="00A1618E">
      <w:pPr>
        <w:pStyle w:val="P68B1DB1-Normal4"/>
        <w:spacing w:before="120" w:after="120" w:line="240" w:lineRule="auto"/>
        <w:jc w:val="both"/>
        <w:rPr>
          <w:rFonts w:eastAsia="Symbol" w:cs="Times New Roman"/>
          <w:noProof/>
        </w:rPr>
      </w:pPr>
      <w:r>
        <w:rPr>
          <w:noProof/>
        </w:rPr>
        <w:t>Oczekuje się, że co najmniej 18 projektów zostanie przyznanych na promowanie nowych modeli biznesowych w zakresie transformacji energetycznej, w tym inteligentnych systemów pomiarowych, magazynowania, odpowiedzi odbioru, usług w zakresie elastyczności i danych.</w:t>
      </w:r>
    </w:p>
    <w:p w14:paraId="7AFBC81D" w14:textId="4ACBB3B5" w:rsidR="006578ED" w:rsidRDefault="00A1618E">
      <w:pPr>
        <w:pStyle w:val="P68B1DB1-Normal4"/>
        <w:spacing w:before="120" w:after="120" w:line="240" w:lineRule="auto"/>
        <w:jc w:val="both"/>
        <w:rPr>
          <w:rFonts w:eastAsia="Symbol" w:cs="Times New Roman"/>
          <w:noProof/>
        </w:rPr>
      </w:pPr>
      <w:r>
        <w:rPr>
          <w:noProof/>
        </w:rPr>
        <w:t>Realizacja inwestycji zostanie zakończona do dnia 31 grudnia 20</w:t>
      </w:r>
      <w:r w:rsidRPr="00A1618E">
        <w:rPr>
          <w:noProof/>
          <w:lang w:val="pl-PL"/>
        </w:rPr>
        <w:t>23 r.</w:t>
      </w:r>
    </w:p>
    <w:p w14:paraId="0C18562F" w14:textId="7C6995AF" w:rsidR="006578ED" w:rsidRDefault="00A1618E">
      <w:pPr>
        <w:pStyle w:val="P68B1DB1-Normal5"/>
        <w:spacing w:before="120" w:after="120" w:line="240" w:lineRule="auto"/>
        <w:ind w:left="709"/>
        <w:jc w:val="both"/>
        <w:rPr>
          <w:rFonts w:cs="Times New Roman"/>
          <w:noProof/>
        </w:rPr>
      </w:pPr>
      <w:r>
        <w:rPr>
          <w:noProof/>
        </w:rPr>
        <w:t xml:space="preserve">H.2. </w:t>
      </w:r>
      <w:r>
        <w:rPr>
          <w:noProof/>
        </w:rPr>
        <w:tab/>
        <w:t>Kamienie milowe, wartości docelowe, wskaźniki i harmonogram monitorowania i realizacji na potrzeby bezzwrotnego wsparcia finansowego</w:t>
      </w:r>
    </w:p>
    <w:p w14:paraId="19C00E4A" w14:textId="383767BC" w:rsidR="006578ED" w:rsidRDefault="00A1618E">
      <w:pPr>
        <w:pStyle w:val="P68B1DB1-Normal4"/>
        <w:spacing w:before="120" w:after="120" w:line="240" w:lineRule="auto"/>
        <w:jc w:val="both"/>
        <w:rPr>
          <w:rFonts w:cs="Times New Roman"/>
          <w:b/>
          <w:noProof/>
          <w:u w:val="single"/>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42C6D796" w14:textId="77777777" w:rsidR="006578ED" w:rsidRDefault="006578ED">
      <w:pPr>
        <w:spacing w:before="120" w:after="120" w:line="240" w:lineRule="auto"/>
        <w:jc w:val="both"/>
        <w:rPr>
          <w:rFonts w:ascii="Times New Roman" w:hAnsi="Times New Roman" w:cs="Times New Roman"/>
          <w:i/>
          <w:noProof/>
          <w:sz w:val="24"/>
        </w:rPr>
      </w:pPr>
    </w:p>
    <w:p w14:paraId="6E1831B3"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186"/>
          <w:headerReference w:type="default" r:id="rId187"/>
          <w:footerReference w:type="even" r:id="rId188"/>
          <w:footerReference w:type="default" r:id="rId189"/>
          <w:headerReference w:type="first" r:id="rId190"/>
          <w:footerReference w:type="first" r:id="rId19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410"/>
        <w:gridCol w:w="1134"/>
        <w:gridCol w:w="851"/>
        <w:gridCol w:w="567"/>
        <w:gridCol w:w="567"/>
        <w:gridCol w:w="567"/>
        <w:gridCol w:w="567"/>
        <w:gridCol w:w="6237"/>
      </w:tblGrid>
      <w:tr w:rsidR="006578ED" w14:paraId="06A4CBE2" w14:textId="77777777">
        <w:trPr>
          <w:trHeight w:val="309"/>
          <w:tblHeader/>
        </w:trPr>
        <w:tc>
          <w:tcPr>
            <w:tcW w:w="709" w:type="dxa"/>
            <w:tcBorders>
              <w:bottom w:val="nil"/>
            </w:tcBorders>
            <w:shd w:val="clear" w:color="auto" w:fill="C6D9F1" w:themeFill="text2" w:themeFillTint="33"/>
            <w:noWrap/>
            <w:vAlign w:val="center"/>
          </w:tcPr>
          <w:p w14:paraId="27A0EC95"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683D1FD8"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00006DBC" w14:textId="14592CEE"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410" w:type="dxa"/>
            <w:tcBorders>
              <w:bottom w:val="nil"/>
            </w:tcBorders>
            <w:shd w:val="clear" w:color="auto" w:fill="C6D9F1" w:themeFill="text2" w:themeFillTint="33"/>
            <w:noWrap/>
            <w:vAlign w:val="center"/>
          </w:tcPr>
          <w:p w14:paraId="0399D578" w14:textId="77777777" w:rsidR="006578ED" w:rsidRDefault="00A1618E">
            <w:pPr>
              <w:pStyle w:val="P68B1DB1-Normal12"/>
              <w:spacing w:after="0" w:line="240" w:lineRule="auto"/>
              <w:jc w:val="center"/>
              <w:rPr>
                <w:rFonts w:cs="Times New Roman"/>
                <w:noProof/>
              </w:rPr>
            </w:pPr>
            <w:r>
              <w:rPr>
                <w:noProof/>
              </w:rPr>
              <w:t>Nazwa</w:t>
            </w:r>
          </w:p>
        </w:tc>
        <w:tc>
          <w:tcPr>
            <w:tcW w:w="1134" w:type="dxa"/>
            <w:tcBorders>
              <w:bottom w:val="nil"/>
            </w:tcBorders>
            <w:shd w:val="clear" w:color="auto" w:fill="C6D9F1" w:themeFill="text2" w:themeFillTint="33"/>
            <w:noWrap/>
            <w:vAlign w:val="center"/>
          </w:tcPr>
          <w:p w14:paraId="6956393C"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85" w:type="dxa"/>
            <w:gridSpan w:val="3"/>
            <w:shd w:val="clear" w:color="auto" w:fill="C6D9F1" w:themeFill="text2" w:themeFillTint="33"/>
            <w:noWrap/>
            <w:vAlign w:val="center"/>
          </w:tcPr>
          <w:p w14:paraId="2AF17811"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134" w:type="dxa"/>
            <w:gridSpan w:val="2"/>
            <w:shd w:val="clear" w:color="auto" w:fill="C6D9F1" w:themeFill="text2" w:themeFillTint="33"/>
            <w:noWrap/>
            <w:vAlign w:val="center"/>
          </w:tcPr>
          <w:p w14:paraId="581508C5" w14:textId="77777777" w:rsidR="006578ED" w:rsidRDefault="00A1618E">
            <w:pPr>
              <w:pStyle w:val="P68B1DB1-Normal12"/>
              <w:spacing w:after="0" w:line="240" w:lineRule="auto"/>
              <w:jc w:val="center"/>
              <w:rPr>
                <w:rFonts w:cs="Times New Roman"/>
                <w:noProof/>
              </w:rPr>
            </w:pPr>
            <w:r>
              <w:rPr>
                <w:noProof/>
              </w:rPr>
              <w:t>Czas</w:t>
            </w:r>
          </w:p>
        </w:tc>
        <w:tc>
          <w:tcPr>
            <w:tcW w:w="6237" w:type="dxa"/>
            <w:tcBorders>
              <w:bottom w:val="nil"/>
            </w:tcBorders>
            <w:shd w:val="clear" w:color="auto" w:fill="C6D9F1" w:themeFill="text2" w:themeFillTint="33"/>
            <w:noWrap/>
            <w:vAlign w:val="center"/>
          </w:tcPr>
          <w:p w14:paraId="16810C53" w14:textId="7D7CD0F0"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0E43F52B" w14:textId="77777777">
        <w:trPr>
          <w:trHeight w:val="309"/>
          <w:tblHeader/>
        </w:trPr>
        <w:tc>
          <w:tcPr>
            <w:tcW w:w="709" w:type="dxa"/>
            <w:tcBorders>
              <w:top w:val="nil"/>
            </w:tcBorders>
            <w:shd w:val="clear" w:color="auto" w:fill="C6D9F1" w:themeFill="text2" w:themeFillTint="33"/>
            <w:noWrap/>
          </w:tcPr>
          <w:p w14:paraId="54E11D2A"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1126E5D"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2DE403A5" w14:textId="77777777" w:rsidR="006578ED" w:rsidRDefault="006578ED">
            <w:pPr>
              <w:spacing w:after="0" w:line="240" w:lineRule="auto"/>
              <w:jc w:val="center"/>
              <w:rPr>
                <w:rFonts w:ascii="Times New Roman" w:hAnsi="Times New Roman" w:cs="Times New Roman"/>
                <w:b/>
                <w:noProof/>
                <w:sz w:val="18"/>
              </w:rPr>
            </w:pPr>
          </w:p>
        </w:tc>
        <w:tc>
          <w:tcPr>
            <w:tcW w:w="2410" w:type="dxa"/>
            <w:tcBorders>
              <w:top w:val="nil"/>
            </w:tcBorders>
            <w:shd w:val="clear" w:color="auto" w:fill="C6D9F1" w:themeFill="text2" w:themeFillTint="33"/>
            <w:noWrap/>
          </w:tcPr>
          <w:p w14:paraId="62431CDC" w14:textId="77777777" w:rsidR="006578ED" w:rsidRDefault="006578ED">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49E398E2" w14:textId="77777777" w:rsidR="006578ED" w:rsidRDefault="006578ED">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vAlign w:val="center"/>
          </w:tcPr>
          <w:p w14:paraId="4ABBA8A3"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vAlign w:val="center"/>
          </w:tcPr>
          <w:p w14:paraId="394E72C3" w14:textId="77777777" w:rsidR="006578ED" w:rsidRDefault="00A1618E">
            <w:pPr>
              <w:pStyle w:val="P68B1DB1-Normal12"/>
              <w:spacing w:after="0" w:line="240" w:lineRule="auto"/>
              <w:jc w:val="center"/>
              <w:rPr>
                <w:rFonts w:cs="Times New Roman"/>
                <w:noProof/>
              </w:rPr>
            </w:pPr>
            <w:r>
              <w:rPr>
                <w:noProof/>
              </w:rPr>
              <w:t>Wartość wyjściowa</w:t>
            </w:r>
          </w:p>
        </w:tc>
        <w:tc>
          <w:tcPr>
            <w:tcW w:w="567" w:type="dxa"/>
            <w:shd w:val="clear" w:color="auto" w:fill="C6D9F1" w:themeFill="text2" w:themeFillTint="33"/>
            <w:noWrap/>
            <w:vAlign w:val="center"/>
          </w:tcPr>
          <w:p w14:paraId="2E8B2227" w14:textId="77777777" w:rsidR="006578ED" w:rsidRDefault="00A1618E">
            <w:pPr>
              <w:pStyle w:val="P68B1DB1-Normal12"/>
              <w:spacing w:after="0" w:line="240" w:lineRule="auto"/>
              <w:jc w:val="center"/>
              <w:rPr>
                <w:rFonts w:cs="Times New Roman"/>
                <w:noProof/>
              </w:rPr>
            </w:pPr>
            <w:r>
              <w:rPr>
                <w:noProof/>
              </w:rPr>
              <w:t>Cel</w:t>
            </w:r>
          </w:p>
        </w:tc>
        <w:tc>
          <w:tcPr>
            <w:tcW w:w="567" w:type="dxa"/>
            <w:shd w:val="clear" w:color="auto" w:fill="C6D9F1" w:themeFill="text2" w:themeFillTint="33"/>
            <w:noWrap/>
            <w:vAlign w:val="center"/>
          </w:tcPr>
          <w:p w14:paraId="1B0FDDEC"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34F5C5B" w14:textId="77777777" w:rsidR="006578ED" w:rsidRDefault="00A1618E">
            <w:pPr>
              <w:pStyle w:val="P68B1DB1-Normal12"/>
              <w:spacing w:after="0" w:line="240" w:lineRule="auto"/>
              <w:jc w:val="center"/>
              <w:rPr>
                <w:rFonts w:cs="Times New Roman"/>
                <w:noProof/>
              </w:rPr>
            </w:pPr>
            <w:r>
              <w:rPr>
                <w:noProof/>
              </w:rPr>
              <w:t>Rok</w:t>
            </w:r>
          </w:p>
        </w:tc>
        <w:tc>
          <w:tcPr>
            <w:tcW w:w="6237" w:type="dxa"/>
            <w:tcBorders>
              <w:top w:val="nil"/>
            </w:tcBorders>
            <w:shd w:val="clear" w:color="auto" w:fill="C6D9F1" w:themeFill="text2" w:themeFillTint="33"/>
            <w:noWrap/>
          </w:tcPr>
          <w:p w14:paraId="16287F21" w14:textId="77777777" w:rsidR="006578ED" w:rsidRDefault="006578ED">
            <w:pPr>
              <w:spacing w:after="0" w:line="240" w:lineRule="auto"/>
              <w:rPr>
                <w:rFonts w:ascii="Times New Roman" w:hAnsi="Times New Roman" w:cs="Times New Roman"/>
                <w:b/>
                <w:noProof/>
                <w:sz w:val="18"/>
              </w:rPr>
            </w:pPr>
          </w:p>
        </w:tc>
      </w:tr>
      <w:tr w:rsidR="006578ED" w14:paraId="1D80BCA7" w14:textId="77777777">
        <w:trPr>
          <w:trHeight w:val="309"/>
        </w:trPr>
        <w:tc>
          <w:tcPr>
            <w:tcW w:w="709" w:type="dxa"/>
            <w:shd w:val="clear" w:color="auto" w:fill="C6EFCE"/>
            <w:noWrap/>
          </w:tcPr>
          <w:p w14:paraId="52DEB7E5" w14:textId="77777777" w:rsidR="006578ED" w:rsidRDefault="00A1618E">
            <w:pPr>
              <w:pStyle w:val="P68B1DB1-Normal13"/>
              <w:spacing w:after="0" w:line="240" w:lineRule="auto"/>
              <w:jc w:val="center"/>
              <w:rPr>
                <w:rFonts w:eastAsia="Symbol" w:cs="Times New Roman"/>
                <w:noProof/>
              </w:rPr>
            </w:pPr>
            <w:r>
              <w:rPr>
                <w:noProof/>
              </w:rPr>
              <w:t>121</w:t>
            </w:r>
          </w:p>
        </w:tc>
        <w:tc>
          <w:tcPr>
            <w:tcW w:w="851" w:type="dxa"/>
            <w:shd w:val="clear" w:color="auto" w:fill="C6EFCE"/>
            <w:noWrap/>
          </w:tcPr>
          <w:p w14:paraId="33FAD8A2" w14:textId="77777777" w:rsidR="006578ED" w:rsidRDefault="00A1618E">
            <w:pPr>
              <w:pStyle w:val="P68B1DB1-Normal13"/>
              <w:spacing w:after="0" w:line="240" w:lineRule="auto"/>
              <w:jc w:val="center"/>
              <w:rPr>
                <w:rFonts w:eastAsia="Symbol" w:cs="Times New Roman"/>
                <w:noProof/>
              </w:rPr>
            </w:pPr>
            <w:r>
              <w:rPr>
                <w:noProof/>
              </w:rPr>
              <w:t>C8.R1</w:t>
            </w:r>
          </w:p>
        </w:tc>
        <w:tc>
          <w:tcPr>
            <w:tcW w:w="850" w:type="dxa"/>
            <w:shd w:val="clear" w:color="auto" w:fill="C6EFCE"/>
            <w:noWrap/>
          </w:tcPr>
          <w:p w14:paraId="06BB0C0F" w14:textId="5B9F695F" w:rsidR="006578ED" w:rsidRDefault="00AF6B91">
            <w:pPr>
              <w:pStyle w:val="P68B1DB1-Normal13"/>
              <w:spacing w:after="0" w:line="240" w:lineRule="auto"/>
              <w:jc w:val="center"/>
              <w:rPr>
                <w:rFonts w:eastAsia="Symbol" w:cs="Times New Roman"/>
                <w:noProof/>
              </w:rPr>
            </w:pPr>
            <w:r>
              <w:rPr>
                <w:noProof/>
              </w:rPr>
              <w:t>Kamień milowy</w:t>
            </w:r>
          </w:p>
        </w:tc>
        <w:tc>
          <w:tcPr>
            <w:tcW w:w="2410" w:type="dxa"/>
            <w:shd w:val="clear" w:color="auto" w:fill="C6EFCE"/>
            <w:noWrap/>
          </w:tcPr>
          <w:p w14:paraId="5562B7B2" w14:textId="77777777" w:rsidR="006578ED" w:rsidRDefault="00A1618E">
            <w:pPr>
              <w:pStyle w:val="P68B1DB1-Normal13"/>
              <w:spacing w:after="0" w:line="240" w:lineRule="auto"/>
              <w:rPr>
                <w:rFonts w:eastAsia="Symbol" w:cs="Times New Roman"/>
                <w:noProof/>
              </w:rPr>
            </w:pPr>
            <w:r>
              <w:rPr>
                <w:noProof/>
              </w:rPr>
              <w:t>Zatwierdzenie długoterminowej strategii dekarbonizacji („ELP2050”).</w:t>
            </w:r>
          </w:p>
        </w:tc>
        <w:tc>
          <w:tcPr>
            <w:tcW w:w="1134" w:type="dxa"/>
            <w:shd w:val="clear" w:color="auto" w:fill="C6EFCE"/>
            <w:noWrap/>
          </w:tcPr>
          <w:p w14:paraId="082FD219" w14:textId="77777777" w:rsidR="006578ED" w:rsidRDefault="00A1618E">
            <w:pPr>
              <w:pStyle w:val="P68B1DB1-Normal13"/>
              <w:spacing w:after="0" w:line="240" w:lineRule="auto"/>
              <w:jc w:val="center"/>
              <w:rPr>
                <w:rFonts w:eastAsia="Symbol" w:cs="Times New Roman"/>
                <w:noProof/>
              </w:rPr>
            </w:pPr>
            <w:r>
              <w:rPr>
                <w:noProof/>
              </w:rPr>
              <w:t>Zatwierdzenie przez Radę Ministrów</w:t>
            </w:r>
          </w:p>
        </w:tc>
        <w:tc>
          <w:tcPr>
            <w:tcW w:w="851" w:type="dxa"/>
            <w:shd w:val="clear" w:color="auto" w:fill="C6EFCE"/>
            <w:noWrap/>
          </w:tcPr>
          <w:p w14:paraId="4D23D007"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7256260"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29B840A6"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2F103B77" w14:textId="5363C2B7" w:rsidR="006578ED" w:rsidRDefault="00EC188C">
            <w:pPr>
              <w:pStyle w:val="P68B1DB1-Normal13"/>
              <w:spacing w:after="0" w:line="240" w:lineRule="auto"/>
              <w:jc w:val="center"/>
              <w:rPr>
                <w:rFonts w:eastAsia="Symbol" w:cs="Times New Roman"/>
                <w:noProof/>
              </w:rPr>
            </w:pPr>
            <w:r>
              <w:rPr>
                <w:noProof/>
              </w:rPr>
              <w:t>KW. 1</w:t>
            </w:r>
          </w:p>
        </w:tc>
        <w:tc>
          <w:tcPr>
            <w:tcW w:w="567" w:type="dxa"/>
            <w:shd w:val="clear" w:color="auto" w:fill="C6EFCE"/>
            <w:noWrap/>
          </w:tcPr>
          <w:p w14:paraId="7351E708" w14:textId="77777777" w:rsidR="006578ED" w:rsidRDefault="00A1618E">
            <w:pPr>
              <w:pStyle w:val="P68B1DB1-Normal13"/>
              <w:spacing w:after="0" w:line="240" w:lineRule="auto"/>
              <w:jc w:val="center"/>
              <w:rPr>
                <w:rFonts w:eastAsia="Symbol" w:cs="Times New Roman"/>
                <w:noProof/>
              </w:rPr>
            </w:pPr>
            <w:r>
              <w:rPr>
                <w:noProof/>
              </w:rPr>
              <w:t>2021</w:t>
            </w:r>
          </w:p>
        </w:tc>
        <w:tc>
          <w:tcPr>
            <w:tcW w:w="6237" w:type="dxa"/>
            <w:shd w:val="clear" w:color="auto" w:fill="C6EFCE"/>
            <w:noWrap/>
          </w:tcPr>
          <w:p w14:paraId="21034D0B" w14:textId="30A0C1FD" w:rsidR="006578ED" w:rsidRDefault="00A1618E">
            <w:pPr>
              <w:pStyle w:val="P68B1DB1-Normal13"/>
              <w:spacing w:after="0" w:line="240" w:lineRule="auto"/>
              <w:rPr>
                <w:rFonts w:eastAsia="Symbol" w:cs="Times New Roman"/>
                <w:noProof/>
              </w:rPr>
            </w:pPr>
            <w:r>
              <w:rPr>
                <w:noProof/>
              </w:rPr>
              <w:t>Zatwierdzenie długoterminowej strategii dekarbonizacji („ELP2050”). ELP50 stanowi podstawę określenia strategicznych i regulacyjnych ram skutecznego włączenia energii ze źródeł odnawialnych do elastycznego i inteligentnego systemu energetycznego, które należy interpretować w kontekście szerszego podejścia określonego w krajowym planie w dziedzinie energii i klimatu.</w:t>
            </w:r>
          </w:p>
        </w:tc>
      </w:tr>
      <w:tr w:rsidR="006578ED" w14:paraId="76CF18B4" w14:textId="77777777">
        <w:trPr>
          <w:trHeight w:val="309"/>
        </w:trPr>
        <w:tc>
          <w:tcPr>
            <w:tcW w:w="709" w:type="dxa"/>
            <w:shd w:val="clear" w:color="auto" w:fill="C6EFCE"/>
            <w:noWrap/>
          </w:tcPr>
          <w:p w14:paraId="18EE793C" w14:textId="77777777" w:rsidR="006578ED" w:rsidRDefault="00A1618E">
            <w:pPr>
              <w:pStyle w:val="P68B1DB1-Normal13"/>
              <w:spacing w:after="0" w:line="240" w:lineRule="auto"/>
              <w:jc w:val="center"/>
              <w:rPr>
                <w:rFonts w:eastAsia="Symbol" w:cs="Times New Roman"/>
                <w:noProof/>
              </w:rPr>
            </w:pPr>
            <w:r>
              <w:rPr>
                <w:noProof/>
              </w:rPr>
              <w:t>122</w:t>
            </w:r>
          </w:p>
        </w:tc>
        <w:tc>
          <w:tcPr>
            <w:tcW w:w="851" w:type="dxa"/>
            <w:shd w:val="clear" w:color="auto" w:fill="C6EFCE"/>
            <w:noWrap/>
          </w:tcPr>
          <w:p w14:paraId="5D63AFB9" w14:textId="77777777" w:rsidR="006578ED" w:rsidRDefault="00A1618E">
            <w:pPr>
              <w:pStyle w:val="P68B1DB1-Normal13"/>
              <w:spacing w:after="0" w:line="240" w:lineRule="auto"/>
              <w:jc w:val="center"/>
              <w:rPr>
                <w:rFonts w:eastAsia="Symbol" w:cs="Times New Roman"/>
                <w:noProof/>
              </w:rPr>
            </w:pPr>
            <w:r>
              <w:rPr>
                <w:noProof/>
              </w:rPr>
              <w:t>C8.R2</w:t>
            </w:r>
          </w:p>
        </w:tc>
        <w:tc>
          <w:tcPr>
            <w:tcW w:w="850" w:type="dxa"/>
            <w:shd w:val="clear" w:color="auto" w:fill="C6EFCE"/>
            <w:noWrap/>
          </w:tcPr>
          <w:p w14:paraId="28C76C2F" w14:textId="713159DF" w:rsidR="006578ED" w:rsidRDefault="00AF6B91">
            <w:pPr>
              <w:pStyle w:val="P68B1DB1-Normal13"/>
              <w:spacing w:after="0" w:line="240" w:lineRule="auto"/>
              <w:jc w:val="center"/>
              <w:rPr>
                <w:rFonts w:eastAsia="Symbol" w:cs="Times New Roman"/>
                <w:noProof/>
              </w:rPr>
            </w:pPr>
            <w:r>
              <w:rPr>
                <w:noProof/>
              </w:rPr>
              <w:t>Kamień milowy</w:t>
            </w:r>
          </w:p>
        </w:tc>
        <w:tc>
          <w:tcPr>
            <w:tcW w:w="2410" w:type="dxa"/>
            <w:shd w:val="clear" w:color="auto" w:fill="C6EFCE"/>
            <w:noWrap/>
          </w:tcPr>
          <w:p w14:paraId="5DC07101" w14:textId="05FF8E78" w:rsidR="006578ED" w:rsidRDefault="00A1618E">
            <w:pPr>
              <w:pStyle w:val="P68B1DB1-Normal13"/>
              <w:spacing w:after="0" w:line="240" w:lineRule="auto"/>
              <w:rPr>
                <w:rFonts w:eastAsia="Symbol" w:cs="Times New Roman"/>
                <w:noProof/>
              </w:rPr>
            </w:pPr>
            <w:r>
              <w:rPr>
                <w:noProof/>
              </w:rPr>
              <w:t>Wejście w życie reform w zakresie planowania, ustawodawstwa i regulacji w celu promowania rozwoju rozwiązań w zakresie magazynowania energii.</w:t>
            </w:r>
          </w:p>
        </w:tc>
        <w:tc>
          <w:tcPr>
            <w:tcW w:w="1134" w:type="dxa"/>
            <w:shd w:val="clear" w:color="auto" w:fill="C6EFCE"/>
            <w:noWrap/>
          </w:tcPr>
          <w:p w14:paraId="5DE3B16A" w14:textId="140784DB" w:rsidR="006578ED" w:rsidRDefault="00A1618E">
            <w:pPr>
              <w:pStyle w:val="P68B1DB1-Normal13"/>
              <w:spacing w:after="0" w:line="240" w:lineRule="auto"/>
              <w:jc w:val="center"/>
              <w:rPr>
                <w:rFonts w:eastAsia="Symbol" w:cs="Times New Roman"/>
                <w:noProof/>
              </w:rPr>
            </w:pPr>
            <w:r>
              <w:rPr>
                <w:noProof/>
              </w:rPr>
              <w:t xml:space="preserve">Przepisy w przepisach ustawowych i wykonawczych z chwilą wejścia w życie </w:t>
            </w:r>
          </w:p>
        </w:tc>
        <w:tc>
          <w:tcPr>
            <w:tcW w:w="851" w:type="dxa"/>
            <w:shd w:val="clear" w:color="auto" w:fill="C6EFCE"/>
            <w:noWrap/>
          </w:tcPr>
          <w:p w14:paraId="0DD171FB"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1CFE44F5"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19ADC6D0"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6A517C7D" w14:textId="4FF103DE"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0054E802" w14:textId="77777777" w:rsidR="006578ED" w:rsidRDefault="00A1618E">
            <w:pPr>
              <w:pStyle w:val="P68B1DB1-Normal13"/>
              <w:spacing w:after="0" w:line="240" w:lineRule="auto"/>
              <w:jc w:val="center"/>
              <w:rPr>
                <w:rFonts w:eastAsia="Symbol" w:cs="Times New Roman"/>
                <w:noProof/>
              </w:rPr>
            </w:pPr>
            <w:r>
              <w:rPr>
                <w:noProof/>
              </w:rPr>
              <w:t>2021</w:t>
            </w:r>
          </w:p>
        </w:tc>
        <w:tc>
          <w:tcPr>
            <w:tcW w:w="6237" w:type="dxa"/>
            <w:shd w:val="clear" w:color="auto" w:fill="C6EFCE"/>
            <w:noWrap/>
          </w:tcPr>
          <w:p w14:paraId="5D8ADA9C" w14:textId="5C768BF0" w:rsidR="006578ED" w:rsidRDefault="00A1618E">
            <w:pPr>
              <w:pStyle w:val="P68B1DB1-Normal13"/>
              <w:spacing w:after="0" w:line="240" w:lineRule="auto"/>
              <w:rPr>
                <w:rFonts w:eastAsia="Symbol" w:cs="Times New Roman"/>
                <w:noProof/>
              </w:rPr>
            </w:pPr>
            <w:r>
              <w:rPr>
                <w:noProof/>
              </w:rPr>
              <w:t>Przyjęcie i wejście w życie następujących reform w zakresie planowania, ustawodawstwa i regulacji w celu promowania rozwoju rozwiązań w zakresie magazynowania energii:</w:t>
            </w:r>
            <w:r>
              <w:rPr>
                <w:noProof/>
              </w:rPr>
              <w:br/>
              <w:t>a) Zatwierdzenie w ramach strategii Rady Ministrów ds. Magazynowania Energii, której celem jest wspieranie wdrażania magazynowania energii za pomocą 66 konkretnych środków pogrupowanych w 10 kierunkach działania zawartych w strategii. Celem jest udostępnienie 20 GW magazynowania energii w 20</w:t>
            </w:r>
            <w:r w:rsidRPr="00A1618E">
              <w:rPr>
                <w:noProof/>
                <w:lang w:val="pl-PL"/>
              </w:rPr>
              <w:t>30 r.</w:t>
            </w:r>
            <w:r>
              <w:rPr>
                <w:noProof/>
              </w:rPr>
              <w:t xml:space="preserve"> i 30 GW w 20</w:t>
            </w:r>
            <w:r w:rsidRPr="00A1618E">
              <w:rPr>
                <w:noProof/>
                <w:lang w:val="pl-PL"/>
              </w:rPr>
              <w:t>50 r.</w:t>
            </w:r>
            <w:r>
              <w:rPr>
                <w:noProof/>
              </w:rPr>
              <w:t xml:space="preserve">; </w:t>
            </w:r>
            <w:r>
              <w:rPr>
                <w:noProof/>
              </w:rPr>
              <w:br/>
              <w:t xml:space="preserve">publikacja w Dz.U. dekretu królewskiego </w:t>
            </w:r>
            <w:r w:rsidRPr="00A1618E">
              <w:rPr>
                <w:noProof/>
                <w:lang w:val="pl-PL"/>
              </w:rPr>
              <w:t>nr 1</w:t>
            </w:r>
            <w:r>
              <w:rPr>
                <w:noProof/>
              </w:rPr>
              <w:t xml:space="preserve">183/2020 w celu uregulowania dostępu do sieci dla instalacji magazynowych. </w:t>
            </w:r>
            <w:r>
              <w:rPr>
                <w:noProof/>
              </w:rPr>
              <w:br/>
              <w:t xml:space="preserve">publikacja w Dz.U. okólnika </w:t>
            </w:r>
            <w:r w:rsidRPr="00A1618E">
              <w:rPr>
                <w:noProof/>
                <w:lang w:val="pl-PL"/>
              </w:rPr>
              <w:t>nr 1</w:t>
            </w:r>
            <w:r>
              <w:rPr>
                <w:noProof/>
              </w:rPr>
              <w:t xml:space="preserve">/2021 sporządzona przez </w:t>
            </w:r>
            <w:r>
              <w:rPr>
                <w:i/>
                <w:noProof/>
              </w:rPr>
              <w:t>Comisión Nacional de los Mercados y la Competencia</w:t>
            </w:r>
            <w:r>
              <w:rPr>
                <w:noProof/>
              </w:rPr>
              <w:t xml:space="preserve"> w celu ustanowienia metodyki i warunków dostępu do sieci przesyłowych i dystrybucyjnych instalacji wytwarzających energię elektryczną oraz przyłączenia do nich. </w:t>
            </w:r>
            <w:r>
              <w:rPr>
                <w:noProof/>
              </w:rPr>
              <w:br/>
              <w:t>publikacja w Dz.U. rezolucji z dnia 10 grudnia 20</w:t>
            </w:r>
            <w:r w:rsidRPr="00A1618E">
              <w:rPr>
                <w:noProof/>
                <w:lang w:val="pl-PL"/>
              </w:rPr>
              <w:t>20 r.</w:t>
            </w:r>
            <w:r>
              <w:rPr>
                <w:noProof/>
              </w:rPr>
              <w:t xml:space="preserve"> regulującej udział instalacji magazynowania energii w świadczeniu usług pomocniczych</w:t>
            </w:r>
          </w:p>
        </w:tc>
      </w:tr>
      <w:tr w:rsidR="006578ED" w14:paraId="758CECA4" w14:textId="77777777">
        <w:trPr>
          <w:trHeight w:val="309"/>
        </w:trPr>
        <w:tc>
          <w:tcPr>
            <w:tcW w:w="709" w:type="dxa"/>
            <w:shd w:val="clear" w:color="auto" w:fill="C6EFCE"/>
            <w:noWrap/>
          </w:tcPr>
          <w:p w14:paraId="19FCCF4E" w14:textId="77777777" w:rsidR="006578ED" w:rsidRDefault="00A1618E">
            <w:pPr>
              <w:pStyle w:val="P68B1DB1-Normal13"/>
              <w:spacing w:after="0" w:line="240" w:lineRule="auto"/>
              <w:jc w:val="center"/>
              <w:rPr>
                <w:rFonts w:eastAsia="Symbol" w:cs="Times New Roman"/>
                <w:noProof/>
              </w:rPr>
            </w:pPr>
            <w:r>
              <w:rPr>
                <w:noProof/>
              </w:rPr>
              <w:t>123</w:t>
            </w:r>
          </w:p>
        </w:tc>
        <w:tc>
          <w:tcPr>
            <w:tcW w:w="851" w:type="dxa"/>
            <w:shd w:val="clear" w:color="auto" w:fill="C6EFCE"/>
            <w:noWrap/>
          </w:tcPr>
          <w:p w14:paraId="2142BC9D" w14:textId="77777777" w:rsidR="006578ED" w:rsidRDefault="00A1618E">
            <w:pPr>
              <w:pStyle w:val="P68B1DB1-Normal13"/>
              <w:spacing w:after="0" w:line="240" w:lineRule="auto"/>
              <w:jc w:val="center"/>
              <w:rPr>
                <w:rFonts w:eastAsia="Symbol" w:cs="Times New Roman"/>
                <w:noProof/>
              </w:rPr>
            </w:pPr>
            <w:r>
              <w:rPr>
                <w:noProof/>
              </w:rPr>
              <w:t>C8.R3</w:t>
            </w:r>
          </w:p>
        </w:tc>
        <w:tc>
          <w:tcPr>
            <w:tcW w:w="850" w:type="dxa"/>
            <w:shd w:val="clear" w:color="auto" w:fill="C6EFCE"/>
            <w:noWrap/>
          </w:tcPr>
          <w:p w14:paraId="25E36A0E" w14:textId="14C929D6" w:rsidR="006578ED" w:rsidRDefault="00AF6B91">
            <w:pPr>
              <w:pStyle w:val="P68B1DB1-Normal13"/>
              <w:spacing w:after="0" w:line="240" w:lineRule="auto"/>
              <w:jc w:val="center"/>
              <w:rPr>
                <w:rFonts w:eastAsia="Symbol" w:cs="Times New Roman"/>
                <w:noProof/>
              </w:rPr>
            </w:pPr>
            <w:r>
              <w:rPr>
                <w:noProof/>
              </w:rPr>
              <w:t>Kamień milowy</w:t>
            </w:r>
          </w:p>
        </w:tc>
        <w:tc>
          <w:tcPr>
            <w:tcW w:w="2410" w:type="dxa"/>
            <w:shd w:val="clear" w:color="auto" w:fill="C6EFCE"/>
            <w:noWrap/>
          </w:tcPr>
          <w:p w14:paraId="6E675971" w14:textId="4732984F" w:rsidR="006578ED" w:rsidRDefault="00A1618E">
            <w:pPr>
              <w:pStyle w:val="P68B1DB1-Normal13"/>
              <w:spacing w:after="0" w:line="240" w:lineRule="auto"/>
              <w:rPr>
                <w:rFonts w:eastAsia="Symbol" w:cs="Times New Roman"/>
                <w:noProof/>
              </w:rPr>
            </w:pPr>
            <w:r>
              <w:rPr>
                <w:noProof/>
              </w:rPr>
              <w:t>Wejście w życie środków regulacyjnych służących włączeniu elastyczności i reagowania po stronie popytu.</w:t>
            </w:r>
          </w:p>
        </w:tc>
        <w:tc>
          <w:tcPr>
            <w:tcW w:w="1134" w:type="dxa"/>
            <w:shd w:val="clear" w:color="auto" w:fill="C6EFCE"/>
            <w:noWrap/>
          </w:tcPr>
          <w:p w14:paraId="0020148A" w14:textId="1AB05C4C" w:rsidR="006578ED" w:rsidRDefault="00A1618E">
            <w:pPr>
              <w:pStyle w:val="P68B1DB1-Normal13"/>
              <w:spacing w:after="0" w:line="240" w:lineRule="auto"/>
              <w:jc w:val="center"/>
              <w:rPr>
                <w:rFonts w:eastAsia="Symbol" w:cs="Times New Roman"/>
                <w:noProof/>
              </w:rPr>
            </w:pPr>
            <w:r>
              <w:rPr>
                <w:noProof/>
              </w:rPr>
              <w:t>Przepisy w przepisach ustawowych i wykonawczych z chwilą wejścia w życie</w:t>
            </w:r>
          </w:p>
        </w:tc>
        <w:tc>
          <w:tcPr>
            <w:tcW w:w="851" w:type="dxa"/>
            <w:shd w:val="clear" w:color="auto" w:fill="C6EFCE"/>
            <w:noWrap/>
          </w:tcPr>
          <w:p w14:paraId="74B8AB3B"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75DBCBFA"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E165042"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9C43906" w14:textId="439BB006"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4A7F294E" w14:textId="77777777" w:rsidR="006578ED" w:rsidRDefault="00A1618E">
            <w:pPr>
              <w:pStyle w:val="P68B1DB1-Normal13"/>
              <w:spacing w:after="0" w:line="240" w:lineRule="auto"/>
              <w:jc w:val="center"/>
              <w:rPr>
                <w:rFonts w:eastAsia="Symbol" w:cs="Times New Roman"/>
                <w:noProof/>
              </w:rPr>
            </w:pPr>
            <w:r>
              <w:rPr>
                <w:noProof/>
              </w:rPr>
              <w:t>2023</w:t>
            </w:r>
          </w:p>
        </w:tc>
        <w:tc>
          <w:tcPr>
            <w:tcW w:w="6237" w:type="dxa"/>
            <w:shd w:val="clear" w:color="auto" w:fill="C6EFCE"/>
            <w:noWrap/>
          </w:tcPr>
          <w:p w14:paraId="54B6299E" w14:textId="4F5263AF" w:rsidR="006578ED" w:rsidRDefault="00A1618E">
            <w:pPr>
              <w:pStyle w:val="P68B1DB1-Normal13"/>
              <w:spacing w:after="0" w:line="240" w:lineRule="auto"/>
              <w:rPr>
                <w:rFonts w:eastAsia="Symbol" w:cs="Times New Roman"/>
                <w:noProof/>
              </w:rPr>
            </w:pPr>
            <w:r>
              <w:rPr>
                <w:noProof/>
              </w:rPr>
              <w:t>Opracowanie ram regulacyjnych służących integracji elastyczności i reagowania po stronie popytu poprzez następujące działania:</w:t>
            </w:r>
            <w:r>
              <w:rPr>
                <w:noProof/>
              </w:rPr>
              <w:br/>
              <w:t xml:space="preserve">publikacja rezolucji </w:t>
            </w:r>
            <w:r>
              <w:rPr>
                <w:i/>
                <w:noProof/>
              </w:rPr>
              <w:t>Comisión Nacional de los Mercados y la Competencia</w:t>
            </w:r>
            <w:r>
              <w:rPr>
                <w:noProof/>
              </w:rPr>
              <w:t xml:space="preserve"> z dnia 10 grudnia 20</w:t>
            </w:r>
            <w:r w:rsidRPr="00A1618E">
              <w:rPr>
                <w:noProof/>
                <w:lang w:val="pl-PL"/>
              </w:rPr>
              <w:t>20 r.</w:t>
            </w:r>
            <w:r>
              <w:rPr>
                <w:noProof/>
              </w:rPr>
              <w:t xml:space="preserve"> dostosowująca niektóre procedury operacyjne dotyczące udziału w usługach bilansujących. </w:t>
            </w:r>
            <w:r>
              <w:rPr>
                <w:noProof/>
              </w:rPr>
              <w:br/>
              <w:t xml:space="preserve">przyjęcie przepisów w pełni transponujących dyrektywę 2019/944 </w:t>
            </w:r>
            <w:r>
              <w:rPr>
                <w:noProof/>
              </w:rPr>
              <w:br/>
              <w:t>przyjęcie RDL23/2020 w celu stworzenia statusu niezależnego koncentratora</w:t>
            </w:r>
          </w:p>
        </w:tc>
      </w:tr>
      <w:tr w:rsidR="006578ED" w14:paraId="7A1B5EE6" w14:textId="77777777">
        <w:trPr>
          <w:trHeight w:val="309"/>
        </w:trPr>
        <w:tc>
          <w:tcPr>
            <w:tcW w:w="709" w:type="dxa"/>
            <w:shd w:val="clear" w:color="auto" w:fill="C6EFCE"/>
            <w:noWrap/>
          </w:tcPr>
          <w:p w14:paraId="307C2F63" w14:textId="77777777" w:rsidR="006578ED" w:rsidRDefault="00A1618E">
            <w:pPr>
              <w:pStyle w:val="P68B1DB1-Normal13"/>
              <w:spacing w:after="0" w:line="240" w:lineRule="auto"/>
              <w:jc w:val="center"/>
              <w:rPr>
                <w:rFonts w:eastAsia="Symbol" w:cs="Times New Roman"/>
                <w:noProof/>
              </w:rPr>
            </w:pPr>
            <w:r>
              <w:rPr>
                <w:noProof/>
              </w:rPr>
              <w:t>124</w:t>
            </w:r>
          </w:p>
        </w:tc>
        <w:tc>
          <w:tcPr>
            <w:tcW w:w="851" w:type="dxa"/>
            <w:shd w:val="clear" w:color="auto" w:fill="C6EFCE"/>
            <w:noWrap/>
          </w:tcPr>
          <w:p w14:paraId="529615EE" w14:textId="77777777" w:rsidR="006578ED" w:rsidRDefault="00A1618E">
            <w:pPr>
              <w:pStyle w:val="P68B1DB1-Normal13"/>
              <w:spacing w:after="0" w:line="240" w:lineRule="auto"/>
              <w:jc w:val="center"/>
              <w:rPr>
                <w:rFonts w:eastAsia="Symbol" w:cs="Times New Roman"/>
                <w:noProof/>
              </w:rPr>
            </w:pPr>
            <w:r>
              <w:rPr>
                <w:noProof/>
              </w:rPr>
              <w:t>C8.R4</w:t>
            </w:r>
          </w:p>
        </w:tc>
        <w:tc>
          <w:tcPr>
            <w:tcW w:w="850" w:type="dxa"/>
            <w:shd w:val="clear" w:color="auto" w:fill="C6EFCE"/>
            <w:noWrap/>
          </w:tcPr>
          <w:p w14:paraId="668F19A2" w14:textId="0CB00DCD" w:rsidR="006578ED" w:rsidRDefault="00AF6B91">
            <w:pPr>
              <w:pStyle w:val="P68B1DB1-Normal13"/>
              <w:spacing w:after="0" w:line="240" w:lineRule="auto"/>
              <w:jc w:val="center"/>
              <w:rPr>
                <w:rFonts w:eastAsia="Symbol" w:cs="Times New Roman"/>
                <w:noProof/>
              </w:rPr>
            </w:pPr>
            <w:r>
              <w:rPr>
                <w:noProof/>
              </w:rPr>
              <w:t>Kamień milowy</w:t>
            </w:r>
          </w:p>
        </w:tc>
        <w:tc>
          <w:tcPr>
            <w:tcW w:w="2410" w:type="dxa"/>
            <w:shd w:val="clear" w:color="auto" w:fill="C6EFCE"/>
            <w:noWrap/>
          </w:tcPr>
          <w:p w14:paraId="4F417C56" w14:textId="114B86CA" w:rsidR="006578ED" w:rsidRDefault="00A1618E">
            <w:pPr>
              <w:pStyle w:val="P68B1DB1-Normal13"/>
              <w:spacing w:after="0" w:line="240" w:lineRule="auto"/>
              <w:rPr>
                <w:rFonts w:eastAsia="Symbol" w:cs="Times New Roman"/>
                <w:noProof/>
              </w:rPr>
            </w:pPr>
            <w:r>
              <w:rPr>
                <w:noProof/>
              </w:rPr>
              <w:t>Wejście w życie środków mających na celu promowanie piaskownic regulacyjnych w celu wspierania badań naukowych i innowacji w sektorze energii elektrycznej.</w:t>
            </w:r>
          </w:p>
        </w:tc>
        <w:tc>
          <w:tcPr>
            <w:tcW w:w="1134" w:type="dxa"/>
            <w:shd w:val="clear" w:color="auto" w:fill="C6EFCE"/>
            <w:noWrap/>
          </w:tcPr>
          <w:p w14:paraId="1B051689" w14:textId="379DA4B3" w:rsidR="006578ED" w:rsidRDefault="00A1618E">
            <w:pPr>
              <w:pStyle w:val="P68B1DB1-Normal13"/>
              <w:spacing w:after="0" w:line="240" w:lineRule="auto"/>
              <w:jc w:val="center"/>
              <w:rPr>
                <w:rFonts w:eastAsia="Symbol" w:cs="Times New Roman"/>
                <w:noProof/>
              </w:rPr>
            </w:pPr>
            <w:r>
              <w:rPr>
                <w:noProof/>
              </w:rPr>
              <w:t>Przepisy dekretu królewskiego w sprawie wejścia w życie</w:t>
            </w:r>
          </w:p>
        </w:tc>
        <w:tc>
          <w:tcPr>
            <w:tcW w:w="851" w:type="dxa"/>
            <w:shd w:val="clear" w:color="auto" w:fill="C6EFCE"/>
            <w:noWrap/>
          </w:tcPr>
          <w:p w14:paraId="4FC280CF"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4F22BBF"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523978C1"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A241AD9" w14:textId="4D6F1BDF"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28553E30" w14:textId="77777777" w:rsidR="006578ED" w:rsidRDefault="00A1618E">
            <w:pPr>
              <w:pStyle w:val="P68B1DB1-Normal13"/>
              <w:spacing w:after="0" w:line="240" w:lineRule="auto"/>
              <w:jc w:val="center"/>
              <w:rPr>
                <w:rFonts w:eastAsia="Symbol" w:cs="Times New Roman"/>
                <w:noProof/>
              </w:rPr>
            </w:pPr>
            <w:r>
              <w:rPr>
                <w:noProof/>
              </w:rPr>
              <w:t>2022</w:t>
            </w:r>
          </w:p>
        </w:tc>
        <w:tc>
          <w:tcPr>
            <w:tcW w:w="6237" w:type="dxa"/>
            <w:shd w:val="clear" w:color="auto" w:fill="C6EFCE"/>
            <w:noWrap/>
          </w:tcPr>
          <w:p w14:paraId="27BED47E" w14:textId="44E75290" w:rsidR="006578ED" w:rsidRDefault="00A1618E">
            <w:pPr>
              <w:pStyle w:val="P68B1DB1-Normal13"/>
              <w:spacing w:after="0" w:line="240" w:lineRule="auto"/>
              <w:rPr>
                <w:rFonts w:eastAsia="Symbol" w:cs="Times New Roman"/>
                <w:noProof/>
              </w:rPr>
            </w:pPr>
            <w:r>
              <w:rPr>
                <w:noProof/>
              </w:rPr>
              <w:t>Publikacja i wejście w życie dekretu królewskiego w sprawie rozwoju piaskownic regulacyjnych, aby umożliwić rozwój nowych projektów pilotażowych w celu wspierania badań i innowacji w sektorze energii elektrycznej.</w:t>
            </w:r>
            <w:r>
              <w:rPr>
                <w:noProof/>
              </w:rPr>
              <w:br/>
              <w:t>Prawodawstwo umożliwia przemysłowi testowanie nowych technologii, systemów i usług związanych z elastycznością, odpowiedzią odbioru i magazynowaniem energii w bezpiecznej i sprzyjającej przestrzeni, w której zainteresowane strony mogą doświadczać innowacyjnych rozwiązań bez podlegania obowiązującym wymogom regulacyjnym. Ponadto zapewni to dwukierunkowy dialog regulacyjny między administracją a organem regulacyjnym, który przyspieszy i ułatwi przegląd istniejących przepisów oraz dostosowanie ich do wejścia na rynek nowych podmiotów, zachęcając do tworzenia nowych przedsiębiorstw technologicznych poprzez umożliwienie im przetestowania ich modeli biznesowych.</w:t>
            </w:r>
          </w:p>
        </w:tc>
      </w:tr>
      <w:tr w:rsidR="006578ED" w14:paraId="04519AEA" w14:textId="77777777">
        <w:trPr>
          <w:trHeight w:val="309"/>
        </w:trPr>
        <w:tc>
          <w:tcPr>
            <w:tcW w:w="709" w:type="dxa"/>
            <w:shd w:val="clear" w:color="auto" w:fill="C6EFCE"/>
            <w:noWrap/>
          </w:tcPr>
          <w:p w14:paraId="6F5FA94C" w14:textId="77777777" w:rsidR="006578ED" w:rsidRDefault="00A1618E">
            <w:pPr>
              <w:pStyle w:val="P68B1DB1-Normal13"/>
              <w:spacing w:after="0" w:line="240" w:lineRule="auto"/>
              <w:jc w:val="center"/>
              <w:rPr>
                <w:rFonts w:eastAsia="Symbol" w:cs="Times New Roman"/>
                <w:noProof/>
              </w:rPr>
            </w:pPr>
            <w:r>
              <w:rPr>
                <w:noProof/>
              </w:rPr>
              <w:t>125</w:t>
            </w:r>
          </w:p>
        </w:tc>
        <w:tc>
          <w:tcPr>
            <w:tcW w:w="851" w:type="dxa"/>
            <w:shd w:val="clear" w:color="auto" w:fill="C6EFCE"/>
            <w:noWrap/>
          </w:tcPr>
          <w:p w14:paraId="06D58454" w14:textId="77777777" w:rsidR="006578ED" w:rsidRDefault="00A1618E">
            <w:pPr>
              <w:pStyle w:val="P68B1DB1-Normal13"/>
              <w:spacing w:after="0" w:line="240" w:lineRule="auto"/>
              <w:jc w:val="center"/>
              <w:rPr>
                <w:rFonts w:eastAsia="Symbol" w:cs="Times New Roman"/>
                <w:noProof/>
              </w:rPr>
            </w:pPr>
            <w:r>
              <w:rPr>
                <w:noProof/>
              </w:rPr>
              <w:t>C8.I1</w:t>
            </w:r>
          </w:p>
        </w:tc>
        <w:tc>
          <w:tcPr>
            <w:tcW w:w="850" w:type="dxa"/>
            <w:shd w:val="clear" w:color="auto" w:fill="C6EFCE"/>
            <w:noWrap/>
          </w:tcPr>
          <w:p w14:paraId="5AB88429" w14:textId="39AC077E" w:rsidR="006578ED" w:rsidRDefault="00AF6B91">
            <w:pPr>
              <w:pStyle w:val="P68B1DB1-Normal13"/>
              <w:spacing w:after="0" w:line="240" w:lineRule="auto"/>
              <w:jc w:val="center"/>
              <w:rPr>
                <w:rFonts w:eastAsia="Symbol" w:cs="Times New Roman"/>
                <w:noProof/>
              </w:rPr>
            </w:pPr>
            <w:r>
              <w:rPr>
                <w:noProof/>
              </w:rPr>
              <w:t>Cel</w:t>
            </w:r>
          </w:p>
        </w:tc>
        <w:tc>
          <w:tcPr>
            <w:tcW w:w="2410" w:type="dxa"/>
            <w:shd w:val="clear" w:color="auto" w:fill="C6EFCE"/>
            <w:noWrap/>
          </w:tcPr>
          <w:p w14:paraId="5F91E240" w14:textId="08FF31F2" w:rsidR="006578ED" w:rsidRDefault="00A1618E">
            <w:pPr>
              <w:pStyle w:val="P68B1DB1-Normal13"/>
              <w:spacing w:after="0" w:line="240" w:lineRule="auto"/>
              <w:rPr>
                <w:rFonts w:eastAsia="Symbol" w:cs="Times New Roman"/>
                <w:noProof/>
              </w:rPr>
            </w:pPr>
            <w:r>
              <w:rPr>
                <w:noProof/>
              </w:rPr>
              <w:t>Przyznanie dotacji na innowacyjne projekty w zakresie magazynowania</w:t>
            </w:r>
          </w:p>
        </w:tc>
        <w:tc>
          <w:tcPr>
            <w:tcW w:w="1134" w:type="dxa"/>
            <w:shd w:val="clear" w:color="auto" w:fill="C6EFCE"/>
            <w:noWrap/>
          </w:tcPr>
          <w:p w14:paraId="798B00B3" w14:textId="77777777" w:rsidR="006578ED" w:rsidRDefault="00A1618E">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17063D6C" w14:textId="77777777" w:rsidR="006578ED" w:rsidRDefault="00A1618E">
            <w:pPr>
              <w:pStyle w:val="P68B1DB1-Normal13"/>
              <w:spacing w:after="0" w:line="240" w:lineRule="auto"/>
              <w:rPr>
                <w:rFonts w:eastAsia="Symbol" w:cs="Times New Roman"/>
                <w:noProof/>
              </w:rPr>
            </w:pPr>
            <w:r>
              <w:rPr>
                <w:noProof/>
              </w:rPr>
              <w:t>Liczba</w:t>
            </w:r>
          </w:p>
        </w:tc>
        <w:tc>
          <w:tcPr>
            <w:tcW w:w="567" w:type="dxa"/>
            <w:shd w:val="clear" w:color="auto" w:fill="C6EFCE"/>
            <w:noWrap/>
          </w:tcPr>
          <w:p w14:paraId="69740B58" w14:textId="77777777" w:rsidR="006578ED" w:rsidRDefault="00A1618E">
            <w:pPr>
              <w:pStyle w:val="P68B1DB1-Normal13"/>
              <w:spacing w:after="0" w:line="240" w:lineRule="auto"/>
              <w:rPr>
                <w:rFonts w:eastAsia="Symbol" w:cs="Times New Roman"/>
                <w:noProof/>
              </w:rPr>
            </w:pPr>
            <w:r>
              <w:rPr>
                <w:noProof/>
              </w:rPr>
              <w:t>0</w:t>
            </w:r>
          </w:p>
        </w:tc>
        <w:tc>
          <w:tcPr>
            <w:tcW w:w="567" w:type="dxa"/>
            <w:shd w:val="clear" w:color="auto" w:fill="C6EFCE"/>
            <w:noWrap/>
          </w:tcPr>
          <w:p w14:paraId="76DB90EB" w14:textId="77777777" w:rsidR="006578ED" w:rsidRDefault="00A1618E">
            <w:pPr>
              <w:pStyle w:val="P68B1DB1-Normal13"/>
              <w:spacing w:after="0" w:line="240" w:lineRule="auto"/>
              <w:rPr>
                <w:rFonts w:eastAsia="Symbol" w:cs="Times New Roman"/>
                <w:noProof/>
              </w:rPr>
            </w:pPr>
            <w:r>
              <w:rPr>
                <w:noProof/>
              </w:rPr>
              <w:t>5</w:t>
            </w:r>
          </w:p>
        </w:tc>
        <w:tc>
          <w:tcPr>
            <w:tcW w:w="567" w:type="dxa"/>
            <w:shd w:val="clear" w:color="auto" w:fill="C6EFCE"/>
            <w:noWrap/>
          </w:tcPr>
          <w:p w14:paraId="7F6BA4A9" w14:textId="50AFAA55" w:rsidR="006578ED" w:rsidRDefault="00EC188C">
            <w:pPr>
              <w:pStyle w:val="P68B1DB1-Normal13"/>
              <w:spacing w:after="0" w:line="240" w:lineRule="auto"/>
              <w:rPr>
                <w:rFonts w:eastAsia="Symbol" w:cs="Times New Roman"/>
                <w:noProof/>
              </w:rPr>
            </w:pPr>
            <w:r>
              <w:rPr>
                <w:noProof/>
              </w:rPr>
              <w:t>KW. 4</w:t>
            </w:r>
          </w:p>
        </w:tc>
        <w:tc>
          <w:tcPr>
            <w:tcW w:w="567" w:type="dxa"/>
            <w:shd w:val="clear" w:color="auto" w:fill="C6EFCE"/>
            <w:noWrap/>
          </w:tcPr>
          <w:p w14:paraId="49683A13" w14:textId="77777777" w:rsidR="006578ED" w:rsidRDefault="00A1618E">
            <w:pPr>
              <w:pStyle w:val="P68B1DB1-Normal13"/>
              <w:spacing w:after="0" w:line="240" w:lineRule="auto"/>
              <w:rPr>
                <w:rFonts w:eastAsia="Symbol" w:cs="Times New Roman"/>
                <w:noProof/>
              </w:rPr>
            </w:pPr>
            <w:r>
              <w:rPr>
                <w:noProof/>
              </w:rPr>
              <w:t>2023</w:t>
            </w:r>
          </w:p>
        </w:tc>
        <w:tc>
          <w:tcPr>
            <w:tcW w:w="6237" w:type="dxa"/>
            <w:shd w:val="clear" w:color="auto" w:fill="C6EFCE"/>
            <w:noWrap/>
          </w:tcPr>
          <w:p w14:paraId="1AEA4272" w14:textId="30AE0715" w:rsidR="006578ED" w:rsidRDefault="00A1618E">
            <w:pPr>
              <w:pStyle w:val="P68B1DB1-Normal13"/>
              <w:spacing w:after="0" w:line="240" w:lineRule="auto"/>
              <w:rPr>
                <w:rFonts w:eastAsia="Symbol" w:cs="Times New Roman"/>
                <w:noProof/>
              </w:rPr>
            </w:pPr>
            <w:r>
              <w:rPr>
                <w:noProof/>
              </w:rPr>
              <w:t>Przyznano co najmniej pięć innowacyjnych projektów w zakresie magazynowania, odpowiadających łącznej mocy zainstalowanej wynoszącej co najmniej 660 MW lub równoważnej całkowitej dostawie energii (MWh).</w:t>
            </w:r>
          </w:p>
        </w:tc>
      </w:tr>
      <w:tr w:rsidR="006578ED" w14:paraId="45A4480E" w14:textId="77777777">
        <w:trPr>
          <w:trHeight w:val="309"/>
        </w:trPr>
        <w:tc>
          <w:tcPr>
            <w:tcW w:w="709" w:type="dxa"/>
            <w:shd w:val="clear" w:color="auto" w:fill="C6EFCE"/>
            <w:noWrap/>
          </w:tcPr>
          <w:p w14:paraId="29CB5CC8" w14:textId="77777777" w:rsidR="006578ED" w:rsidRDefault="00A1618E">
            <w:pPr>
              <w:pStyle w:val="P68B1DB1-Normal13"/>
              <w:spacing w:after="0" w:line="240" w:lineRule="auto"/>
              <w:jc w:val="center"/>
              <w:rPr>
                <w:rFonts w:eastAsia="Symbol" w:cs="Times New Roman"/>
                <w:noProof/>
              </w:rPr>
            </w:pPr>
            <w:r>
              <w:rPr>
                <w:noProof/>
              </w:rPr>
              <w:t>126</w:t>
            </w:r>
          </w:p>
        </w:tc>
        <w:tc>
          <w:tcPr>
            <w:tcW w:w="851" w:type="dxa"/>
            <w:shd w:val="clear" w:color="auto" w:fill="C6EFCE"/>
            <w:noWrap/>
          </w:tcPr>
          <w:p w14:paraId="3FC33339" w14:textId="77777777" w:rsidR="006578ED" w:rsidRDefault="00A1618E">
            <w:pPr>
              <w:pStyle w:val="P68B1DB1-Normal13"/>
              <w:spacing w:after="0" w:line="240" w:lineRule="auto"/>
              <w:jc w:val="center"/>
              <w:rPr>
                <w:rFonts w:eastAsia="Symbol" w:cs="Times New Roman"/>
                <w:noProof/>
              </w:rPr>
            </w:pPr>
            <w:r>
              <w:rPr>
                <w:noProof/>
              </w:rPr>
              <w:t>C8.I1</w:t>
            </w:r>
          </w:p>
        </w:tc>
        <w:tc>
          <w:tcPr>
            <w:tcW w:w="850" w:type="dxa"/>
            <w:shd w:val="clear" w:color="auto" w:fill="C6EFCE"/>
            <w:noWrap/>
          </w:tcPr>
          <w:p w14:paraId="18E03913" w14:textId="01E1043B" w:rsidR="006578ED" w:rsidRDefault="00AF6B91">
            <w:pPr>
              <w:pStyle w:val="P68B1DB1-Normal13"/>
              <w:spacing w:after="0" w:line="240" w:lineRule="auto"/>
              <w:jc w:val="center"/>
              <w:rPr>
                <w:rFonts w:eastAsia="Symbol" w:cs="Times New Roman"/>
                <w:noProof/>
              </w:rPr>
            </w:pPr>
            <w:r>
              <w:rPr>
                <w:noProof/>
              </w:rPr>
              <w:t>Cel</w:t>
            </w:r>
          </w:p>
        </w:tc>
        <w:tc>
          <w:tcPr>
            <w:tcW w:w="2410" w:type="dxa"/>
            <w:shd w:val="clear" w:color="auto" w:fill="C6EFCE"/>
            <w:noWrap/>
          </w:tcPr>
          <w:p w14:paraId="27F78DE3" w14:textId="77777777" w:rsidR="006578ED" w:rsidRDefault="00A1618E">
            <w:pPr>
              <w:pStyle w:val="P68B1DB1-Normal13"/>
              <w:spacing w:after="0" w:line="240" w:lineRule="auto"/>
              <w:rPr>
                <w:rFonts w:eastAsia="Symbol" w:cs="Times New Roman"/>
                <w:noProof/>
              </w:rPr>
            </w:pPr>
            <w:r>
              <w:rPr>
                <w:noProof/>
              </w:rPr>
              <w:t xml:space="preserve">Realizacja innowacyjnych projektów magazynowania </w:t>
            </w:r>
          </w:p>
        </w:tc>
        <w:tc>
          <w:tcPr>
            <w:tcW w:w="1134" w:type="dxa"/>
            <w:shd w:val="clear" w:color="auto" w:fill="C6EFCE"/>
            <w:noWrap/>
          </w:tcPr>
          <w:p w14:paraId="781E6FF2" w14:textId="77777777" w:rsidR="006578ED" w:rsidRDefault="00A1618E">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5FDC705A" w14:textId="77777777" w:rsidR="006578ED" w:rsidRDefault="00A1618E">
            <w:pPr>
              <w:pStyle w:val="P68B1DB1-Normal13"/>
              <w:spacing w:after="0" w:line="240" w:lineRule="auto"/>
              <w:rPr>
                <w:rFonts w:eastAsia="Symbol" w:cs="Times New Roman"/>
                <w:noProof/>
              </w:rPr>
            </w:pPr>
            <w:r>
              <w:rPr>
                <w:noProof/>
              </w:rPr>
              <w:t>Liczba</w:t>
            </w:r>
          </w:p>
        </w:tc>
        <w:tc>
          <w:tcPr>
            <w:tcW w:w="567" w:type="dxa"/>
            <w:shd w:val="clear" w:color="auto" w:fill="C6EFCE"/>
            <w:noWrap/>
          </w:tcPr>
          <w:p w14:paraId="22BA10F0" w14:textId="77777777" w:rsidR="006578ED" w:rsidRDefault="00A1618E">
            <w:pPr>
              <w:pStyle w:val="P68B1DB1-Normal13"/>
              <w:spacing w:after="0" w:line="240" w:lineRule="auto"/>
              <w:rPr>
                <w:rFonts w:eastAsia="Symbol" w:cs="Times New Roman"/>
                <w:noProof/>
              </w:rPr>
            </w:pPr>
            <w:r>
              <w:rPr>
                <w:noProof/>
              </w:rPr>
              <w:t>0</w:t>
            </w:r>
          </w:p>
        </w:tc>
        <w:tc>
          <w:tcPr>
            <w:tcW w:w="567" w:type="dxa"/>
            <w:shd w:val="clear" w:color="auto" w:fill="C6EFCE"/>
            <w:noWrap/>
          </w:tcPr>
          <w:p w14:paraId="729DE7E4" w14:textId="77777777" w:rsidR="006578ED" w:rsidRDefault="00A1618E">
            <w:pPr>
              <w:pStyle w:val="P68B1DB1-Normal13"/>
              <w:spacing w:after="0" w:line="240" w:lineRule="auto"/>
              <w:rPr>
                <w:rFonts w:eastAsia="Symbol" w:cs="Times New Roman"/>
                <w:noProof/>
              </w:rPr>
            </w:pPr>
            <w:r>
              <w:rPr>
                <w:noProof/>
              </w:rPr>
              <w:t>5</w:t>
            </w:r>
          </w:p>
        </w:tc>
        <w:tc>
          <w:tcPr>
            <w:tcW w:w="567" w:type="dxa"/>
            <w:shd w:val="clear" w:color="auto" w:fill="C6EFCE"/>
            <w:noWrap/>
          </w:tcPr>
          <w:p w14:paraId="7E7AE58A" w14:textId="223744B9" w:rsidR="006578ED" w:rsidRDefault="00EC188C">
            <w:pPr>
              <w:pStyle w:val="P68B1DB1-Normal13"/>
              <w:spacing w:after="0" w:line="240" w:lineRule="auto"/>
              <w:rPr>
                <w:rFonts w:eastAsia="Symbol" w:cs="Times New Roman"/>
                <w:noProof/>
              </w:rPr>
            </w:pPr>
            <w:r>
              <w:rPr>
                <w:noProof/>
              </w:rPr>
              <w:t>KW. 2</w:t>
            </w:r>
          </w:p>
        </w:tc>
        <w:tc>
          <w:tcPr>
            <w:tcW w:w="567" w:type="dxa"/>
            <w:shd w:val="clear" w:color="auto" w:fill="C6EFCE"/>
            <w:noWrap/>
          </w:tcPr>
          <w:p w14:paraId="591965C3" w14:textId="77777777" w:rsidR="006578ED" w:rsidRDefault="00A1618E">
            <w:pPr>
              <w:pStyle w:val="P68B1DB1-Normal13"/>
              <w:spacing w:after="0" w:line="240" w:lineRule="auto"/>
              <w:rPr>
                <w:rFonts w:eastAsia="Symbol" w:cs="Times New Roman"/>
                <w:noProof/>
              </w:rPr>
            </w:pPr>
            <w:r>
              <w:rPr>
                <w:noProof/>
              </w:rPr>
              <w:t>2026</w:t>
            </w:r>
          </w:p>
        </w:tc>
        <w:tc>
          <w:tcPr>
            <w:tcW w:w="6237" w:type="dxa"/>
            <w:shd w:val="clear" w:color="auto" w:fill="C6EFCE"/>
            <w:noWrap/>
          </w:tcPr>
          <w:p w14:paraId="1A697520" w14:textId="7D04B1BC" w:rsidR="006578ED" w:rsidRDefault="00A1618E">
            <w:pPr>
              <w:pStyle w:val="P68B1DB1-Normal13"/>
              <w:spacing w:after="0" w:line="240" w:lineRule="auto"/>
              <w:rPr>
                <w:rFonts w:eastAsia="Symbol" w:cs="Times New Roman"/>
                <w:noProof/>
              </w:rPr>
            </w:pPr>
            <w:r>
              <w:rPr>
                <w:noProof/>
              </w:rPr>
              <w:t>Działa co najmniej pięć innowacyjnych projektów magazynowania, odpowiadających łącznej mocy zainstalowanej wynoszącej co najmniej 660 MW lub równoważnej całkowitej podaży energii (MWh).</w:t>
            </w:r>
          </w:p>
        </w:tc>
      </w:tr>
      <w:tr w:rsidR="006578ED" w14:paraId="5B483695" w14:textId="77777777">
        <w:trPr>
          <w:trHeight w:val="309"/>
        </w:trPr>
        <w:tc>
          <w:tcPr>
            <w:tcW w:w="709" w:type="dxa"/>
            <w:shd w:val="clear" w:color="auto" w:fill="C6EFCE"/>
            <w:noWrap/>
          </w:tcPr>
          <w:p w14:paraId="1D66412A" w14:textId="77777777" w:rsidR="006578ED" w:rsidRDefault="00A1618E">
            <w:pPr>
              <w:pStyle w:val="P68B1DB1-Normal13"/>
              <w:spacing w:after="0" w:line="240" w:lineRule="auto"/>
              <w:jc w:val="center"/>
              <w:rPr>
                <w:rFonts w:eastAsia="Symbol" w:cs="Times New Roman"/>
                <w:noProof/>
              </w:rPr>
            </w:pPr>
            <w:r>
              <w:rPr>
                <w:noProof/>
              </w:rPr>
              <w:t>127</w:t>
            </w:r>
          </w:p>
        </w:tc>
        <w:tc>
          <w:tcPr>
            <w:tcW w:w="851" w:type="dxa"/>
            <w:shd w:val="clear" w:color="auto" w:fill="C6EFCE"/>
            <w:noWrap/>
          </w:tcPr>
          <w:p w14:paraId="7CB14AB8" w14:textId="77777777" w:rsidR="006578ED" w:rsidRDefault="00A1618E">
            <w:pPr>
              <w:pStyle w:val="P68B1DB1-Normal13"/>
              <w:spacing w:after="0" w:line="240" w:lineRule="auto"/>
              <w:jc w:val="center"/>
              <w:rPr>
                <w:rFonts w:eastAsia="Symbol" w:cs="Times New Roman"/>
                <w:noProof/>
              </w:rPr>
            </w:pPr>
            <w:r>
              <w:rPr>
                <w:noProof/>
              </w:rPr>
              <w:t>C8.I2</w:t>
            </w:r>
          </w:p>
        </w:tc>
        <w:tc>
          <w:tcPr>
            <w:tcW w:w="850" w:type="dxa"/>
            <w:shd w:val="clear" w:color="auto" w:fill="C6EFCE"/>
            <w:noWrap/>
          </w:tcPr>
          <w:p w14:paraId="39FE3A95" w14:textId="59C7EDA7" w:rsidR="006578ED" w:rsidRDefault="00AF6B91">
            <w:pPr>
              <w:pStyle w:val="P68B1DB1-Normal13"/>
              <w:spacing w:after="0" w:line="240" w:lineRule="auto"/>
              <w:jc w:val="center"/>
              <w:rPr>
                <w:rFonts w:eastAsia="Symbol" w:cs="Times New Roman"/>
                <w:noProof/>
              </w:rPr>
            </w:pPr>
            <w:r>
              <w:rPr>
                <w:noProof/>
              </w:rPr>
              <w:t>Cel</w:t>
            </w:r>
          </w:p>
        </w:tc>
        <w:tc>
          <w:tcPr>
            <w:tcW w:w="2410" w:type="dxa"/>
            <w:shd w:val="clear" w:color="auto" w:fill="C6EFCE"/>
            <w:noWrap/>
          </w:tcPr>
          <w:p w14:paraId="131AF0C6" w14:textId="77777777" w:rsidR="006578ED" w:rsidRDefault="00A1618E">
            <w:pPr>
              <w:pStyle w:val="P68B1DB1-Normal13"/>
              <w:spacing w:after="0" w:line="240" w:lineRule="auto"/>
              <w:rPr>
                <w:rFonts w:eastAsia="Symbol" w:cs="Times New Roman"/>
                <w:noProof/>
              </w:rPr>
            </w:pPr>
            <w:r>
              <w:rPr>
                <w:noProof/>
              </w:rPr>
              <w:t>Innowacyjne projekty cyfryzacji dystrybucji energii elektrycznej</w:t>
            </w:r>
          </w:p>
        </w:tc>
        <w:tc>
          <w:tcPr>
            <w:tcW w:w="1134" w:type="dxa"/>
            <w:shd w:val="clear" w:color="auto" w:fill="C6EFCE"/>
            <w:noWrap/>
          </w:tcPr>
          <w:p w14:paraId="6A595F49" w14:textId="77777777" w:rsidR="006578ED" w:rsidRDefault="00A1618E">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5BE55C08" w14:textId="77777777" w:rsidR="006578ED" w:rsidRDefault="00A1618E">
            <w:pPr>
              <w:pStyle w:val="P68B1DB1-Normal13"/>
              <w:spacing w:after="0" w:line="240" w:lineRule="auto"/>
              <w:rPr>
                <w:rFonts w:eastAsia="Symbol" w:cs="Times New Roman"/>
                <w:noProof/>
              </w:rPr>
            </w:pPr>
            <w:r>
              <w:rPr>
                <w:noProof/>
              </w:rPr>
              <w:t>Liczba</w:t>
            </w:r>
          </w:p>
        </w:tc>
        <w:tc>
          <w:tcPr>
            <w:tcW w:w="567" w:type="dxa"/>
            <w:shd w:val="clear" w:color="auto" w:fill="C6EFCE"/>
            <w:noWrap/>
          </w:tcPr>
          <w:p w14:paraId="55C3BA76" w14:textId="77777777" w:rsidR="006578ED" w:rsidRDefault="00A1618E">
            <w:pPr>
              <w:pStyle w:val="P68B1DB1-Normal13"/>
              <w:spacing w:after="0" w:line="240" w:lineRule="auto"/>
              <w:rPr>
                <w:rFonts w:eastAsia="Symbol" w:cs="Times New Roman"/>
                <w:noProof/>
              </w:rPr>
            </w:pPr>
            <w:r>
              <w:rPr>
                <w:noProof/>
              </w:rPr>
              <w:t>0</w:t>
            </w:r>
          </w:p>
        </w:tc>
        <w:tc>
          <w:tcPr>
            <w:tcW w:w="567" w:type="dxa"/>
            <w:shd w:val="clear" w:color="auto" w:fill="C6EFCE"/>
            <w:noWrap/>
          </w:tcPr>
          <w:p w14:paraId="491C6846" w14:textId="77777777" w:rsidR="006578ED" w:rsidRDefault="00A1618E">
            <w:pPr>
              <w:pStyle w:val="P68B1DB1-Normal13"/>
              <w:spacing w:after="0" w:line="240" w:lineRule="auto"/>
              <w:rPr>
                <w:rFonts w:eastAsia="Symbol" w:cs="Times New Roman"/>
                <w:noProof/>
              </w:rPr>
            </w:pPr>
            <w:r>
              <w:rPr>
                <w:noProof/>
              </w:rPr>
              <w:t>35</w:t>
            </w:r>
          </w:p>
        </w:tc>
        <w:tc>
          <w:tcPr>
            <w:tcW w:w="567" w:type="dxa"/>
            <w:shd w:val="clear" w:color="auto" w:fill="C6EFCE"/>
            <w:noWrap/>
          </w:tcPr>
          <w:p w14:paraId="238BEE81" w14:textId="60C41C3E" w:rsidR="006578ED" w:rsidRDefault="00EC188C">
            <w:pPr>
              <w:pStyle w:val="P68B1DB1-Normal13"/>
              <w:spacing w:after="0" w:line="240" w:lineRule="auto"/>
              <w:rPr>
                <w:rFonts w:eastAsia="Symbol" w:cs="Times New Roman"/>
                <w:noProof/>
              </w:rPr>
            </w:pPr>
            <w:r>
              <w:rPr>
                <w:noProof/>
              </w:rPr>
              <w:t>KW. 4</w:t>
            </w:r>
          </w:p>
        </w:tc>
        <w:tc>
          <w:tcPr>
            <w:tcW w:w="567" w:type="dxa"/>
            <w:shd w:val="clear" w:color="auto" w:fill="C6EFCE"/>
            <w:noWrap/>
          </w:tcPr>
          <w:p w14:paraId="14D07E19" w14:textId="77777777" w:rsidR="006578ED" w:rsidRDefault="00A1618E">
            <w:pPr>
              <w:pStyle w:val="P68B1DB1-Normal13"/>
              <w:spacing w:after="0" w:line="240" w:lineRule="auto"/>
              <w:rPr>
                <w:rFonts w:eastAsia="Symbol" w:cs="Times New Roman"/>
                <w:noProof/>
              </w:rPr>
            </w:pPr>
            <w:r>
              <w:rPr>
                <w:noProof/>
              </w:rPr>
              <w:t>2023</w:t>
            </w:r>
          </w:p>
        </w:tc>
        <w:tc>
          <w:tcPr>
            <w:tcW w:w="6237" w:type="dxa"/>
            <w:shd w:val="clear" w:color="auto" w:fill="C6EFCE"/>
            <w:noWrap/>
          </w:tcPr>
          <w:p w14:paraId="553A4548" w14:textId="4D41C9F1" w:rsidR="006578ED" w:rsidRDefault="00A1618E">
            <w:pPr>
              <w:pStyle w:val="P68B1DB1-Normal13"/>
              <w:spacing w:after="0" w:line="240" w:lineRule="auto"/>
              <w:rPr>
                <w:rFonts w:eastAsia="Symbol" w:cs="Times New Roman"/>
                <w:noProof/>
              </w:rPr>
            </w:pPr>
            <w:r>
              <w:rPr>
                <w:noProof/>
              </w:rPr>
              <w:t xml:space="preserve">Co najmniej 35 innowacyjnych projektów cyfryzacji (w tym automatyzacji sieci) przyznanych przedsiębiorstwom dystrybucyjnym, zgodnie z charakterystyką i definicjami określonymi w okólniku </w:t>
            </w:r>
            <w:r w:rsidRPr="00A1618E">
              <w:rPr>
                <w:noProof/>
                <w:lang w:val="pl-PL"/>
              </w:rPr>
              <w:t>nr 6</w:t>
            </w:r>
            <w:r>
              <w:rPr>
                <w:noProof/>
              </w:rPr>
              <w:t xml:space="preserve">/2019 </w:t>
            </w:r>
            <w:r>
              <w:rPr>
                <w:i/>
                <w:noProof/>
              </w:rPr>
              <w:t xml:space="preserve">Comisión Nacional de los Mercados y la Competencia. </w:t>
            </w:r>
          </w:p>
        </w:tc>
      </w:tr>
      <w:tr w:rsidR="006578ED" w14:paraId="059216D8" w14:textId="77777777">
        <w:trPr>
          <w:trHeight w:val="309"/>
        </w:trPr>
        <w:tc>
          <w:tcPr>
            <w:tcW w:w="709" w:type="dxa"/>
            <w:shd w:val="clear" w:color="auto" w:fill="C6EFCE"/>
            <w:noWrap/>
          </w:tcPr>
          <w:p w14:paraId="2D965B08" w14:textId="77777777" w:rsidR="006578ED" w:rsidRDefault="00A1618E">
            <w:pPr>
              <w:pStyle w:val="P68B1DB1-Normal13"/>
              <w:spacing w:after="0" w:line="240" w:lineRule="auto"/>
              <w:jc w:val="center"/>
              <w:rPr>
                <w:rFonts w:eastAsia="Symbol" w:cs="Times New Roman"/>
                <w:noProof/>
              </w:rPr>
            </w:pPr>
            <w:r>
              <w:rPr>
                <w:noProof/>
              </w:rPr>
              <w:t>128</w:t>
            </w:r>
          </w:p>
        </w:tc>
        <w:tc>
          <w:tcPr>
            <w:tcW w:w="851" w:type="dxa"/>
            <w:shd w:val="clear" w:color="auto" w:fill="C6EFCE"/>
            <w:noWrap/>
          </w:tcPr>
          <w:p w14:paraId="028AA18D" w14:textId="77777777" w:rsidR="006578ED" w:rsidRDefault="00A1618E">
            <w:pPr>
              <w:pStyle w:val="P68B1DB1-Normal13"/>
              <w:spacing w:after="0" w:line="240" w:lineRule="auto"/>
              <w:jc w:val="center"/>
              <w:rPr>
                <w:rFonts w:eastAsia="Symbol" w:cs="Times New Roman"/>
                <w:noProof/>
              </w:rPr>
            </w:pPr>
            <w:r>
              <w:rPr>
                <w:noProof/>
              </w:rPr>
              <w:t>C8.I3</w:t>
            </w:r>
          </w:p>
        </w:tc>
        <w:tc>
          <w:tcPr>
            <w:tcW w:w="850" w:type="dxa"/>
            <w:shd w:val="clear" w:color="auto" w:fill="C6EFCE"/>
            <w:noWrap/>
          </w:tcPr>
          <w:p w14:paraId="2691E9AB" w14:textId="4DBCE655" w:rsidR="006578ED" w:rsidRDefault="00AF6B91">
            <w:pPr>
              <w:pStyle w:val="P68B1DB1-Normal13"/>
              <w:spacing w:after="0" w:line="240" w:lineRule="auto"/>
              <w:jc w:val="center"/>
              <w:rPr>
                <w:rFonts w:eastAsia="Symbol" w:cs="Times New Roman"/>
                <w:noProof/>
              </w:rPr>
            </w:pPr>
            <w:r>
              <w:rPr>
                <w:noProof/>
              </w:rPr>
              <w:t>Cel</w:t>
            </w:r>
          </w:p>
        </w:tc>
        <w:tc>
          <w:tcPr>
            <w:tcW w:w="2410" w:type="dxa"/>
            <w:shd w:val="clear" w:color="auto" w:fill="C6EFCE"/>
            <w:noWrap/>
          </w:tcPr>
          <w:p w14:paraId="35733FA2" w14:textId="77777777" w:rsidR="006578ED" w:rsidRDefault="00A1618E">
            <w:pPr>
              <w:pStyle w:val="P68B1DB1-Normal13"/>
              <w:spacing w:after="0" w:line="240" w:lineRule="auto"/>
              <w:rPr>
                <w:rFonts w:eastAsia="Symbol" w:cs="Times New Roman"/>
                <w:noProof/>
              </w:rPr>
            </w:pPr>
            <w:r>
              <w:rPr>
                <w:noProof/>
              </w:rPr>
              <w:t>Projekty promujące nowe modele biznesowe na rzecz transformacji energetycznej</w:t>
            </w:r>
          </w:p>
        </w:tc>
        <w:tc>
          <w:tcPr>
            <w:tcW w:w="1134" w:type="dxa"/>
            <w:shd w:val="clear" w:color="auto" w:fill="C6EFCE"/>
            <w:noWrap/>
          </w:tcPr>
          <w:p w14:paraId="541EC805" w14:textId="77777777" w:rsidR="006578ED" w:rsidRDefault="00A1618E">
            <w:pPr>
              <w:pStyle w:val="P68B1DB1-Normal13"/>
              <w:spacing w:after="0" w:line="240" w:lineRule="auto"/>
              <w:jc w:val="center"/>
              <w:rPr>
                <w:rFonts w:eastAsia="Symbol" w:cs="Times New Roman"/>
                <w:noProof/>
              </w:rPr>
            </w:pPr>
            <w:r>
              <w:rPr>
                <w:noProof/>
              </w:rPr>
              <w:t>—</w:t>
            </w:r>
          </w:p>
        </w:tc>
        <w:tc>
          <w:tcPr>
            <w:tcW w:w="851" w:type="dxa"/>
            <w:shd w:val="clear" w:color="auto" w:fill="C6EFCE"/>
            <w:noWrap/>
          </w:tcPr>
          <w:p w14:paraId="06746E3A" w14:textId="77777777" w:rsidR="006578ED" w:rsidRDefault="00A1618E">
            <w:pPr>
              <w:pStyle w:val="P68B1DB1-Normal13"/>
              <w:spacing w:after="0" w:line="240" w:lineRule="auto"/>
              <w:rPr>
                <w:rFonts w:eastAsia="Symbol" w:cs="Times New Roman"/>
                <w:noProof/>
              </w:rPr>
            </w:pPr>
            <w:r>
              <w:rPr>
                <w:noProof/>
              </w:rPr>
              <w:t>Liczba</w:t>
            </w:r>
          </w:p>
        </w:tc>
        <w:tc>
          <w:tcPr>
            <w:tcW w:w="567" w:type="dxa"/>
            <w:shd w:val="clear" w:color="auto" w:fill="C6EFCE"/>
            <w:noWrap/>
          </w:tcPr>
          <w:p w14:paraId="50BD7287" w14:textId="77777777" w:rsidR="006578ED" w:rsidRDefault="00A1618E">
            <w:pPr>
              <w:pStyle w:val="P68B1DB1-Normal13"/>
              <w:spacing w:after="0" w:line="240" w:lineRule="auto"/>
              <w:rPr>
                <w:rFonts w:eastAsia="Symbol" w:cs="Times New Roman"/>
                <w:noProof/>
              </w:rPr>
            </w:pPr>
            <w:r>
              <w:rPr>
                <w:noProof/>
              </w:rPr>
              <w:t>0</w:t>
            </w:r>
          </w:p>
        </w:tc>
        <w:tc>
          <w:tcPr>
            <w:tcW w:w="567" w:type="dxa"/>
            <w:shd w:val="clear" w:color="auto" w:fill="C6EFCE"/>
            <w:noWrap/>
          </w:tcPr>
          <w:p w14:paraId="4818E51F" w14:textId="77777777" w:rsidR="006578ED" w:rsidRDefault="00A1618E">
            <w:pPr>
              <w:pStyle w:val="P68B1DB1-Normal13"/>
              <w:spacing w:after="0" w:line="240" w:lineRule="auto"/>
              <w:rPr>
                <w:rFonts w:eastAsia="Symbol" w:cs="Times New Roman"/>
                <w:noProof/>
              </w:rPr>
            </w:pPr>
            <w:r>
              <w:rPr>
                <w:noProof/>
              </w:rPr>
              <w:t>18</w:t>
            </w:r>
          </w:p>
        </w:tc>
        <w:tc>
          <w:tcPr>
            <w:tcW w:w="567" w:type="dxa"/>
            <w:shd w:val="clear" w:color="auto" w:fill="C6EFCE"/>
            <w:noWrap/>
          </w:tcPr>
          <w:p w14:paraId="486814C6" w14:textId="652BEE89" w:rsidR="006578ED" w:rsidRDefault="00EC188C">
            <w:pPr>
              <w:pStyle w:val="P68B1DB1-Normal13"/>
              <w:spacing w:after="0" w:line="240" w:lineRule="auto"/>
              <w:rPr>
                <w:rFonts w:eastAsia="Symbol" w:cs="Times New Roman"/>
                <w:noProof/>
              </w:rPr>
            </w:pPr>
            <w:r>
              <w:rPr>
                <w:noProof/>
              </w:rPr>
              <w:t>KW. 4</w:t>
            </w:r>
          </w:p>
        </w:tc>
        <w:tc>
          <w:tcPr>
            <w:tcW w:w="567" w:type="dxa"/>
            <w:shd w:val="clear" w:color="auto" w:fill="C6EFCE"/>
            <w:noWrap/>
          </w:tcPr>
          <w:p w14:paraId="45709DDA" w14:textId="77777777" w:rsidR="006578ED" w:rsidRDefault="00A1618E">
            <w:pPr>
              <w:pStyle w:val="P68B1DB1-Normal13"/>
              <w:spacing w:after="0" w:line="240" w:lineRule="auto"/>
              <w:rPr>
                <w:rFonts w:eastAsia="Symbol" w:cs="Times New Roman"/>
                <w:noProof/>
              </w:rPr>
            </w:pPr>
            <w:r>
              <w:rPr>
                <w:noProof/>
              </w:rPr>
              <w:t>2023</w:t>
            </w:r>
          </w:p>
        </w:tc>
        <w:tc>
          <w:tcPr>
            <w:tcW w:w="6237" w:type="dxa"/>
            <w:shd w:val="clear" w:color="auto" w:fill="C6EFCE"/>
            <w:noWrap/>
          </w:tcPr>
          <w:p w14:paraId="53F8B662" w14:textId="3F5B1A50" w:rsidR="006578ED" w:rsidRDefault="00A1618E">
            <w:pPr>
              <w:pStyle w:val="P68B1DB1-Normal13"/>
              <w:spacing w:after="0" w:line="240" w:lineRule="auto"/>
              <w:rPr>
                <w:rFonts w:eastAsia="Symbol" w:cs="Times New Roman"/>
                <w:noProof/>
              </w:rPr>
            </w:pPr>
            <w:r>
              <w:rPr>
                <w:noProof/>
              </w:rPr>
              <w:t>Co najmniej 18 projektów promujących nowe modele biznesowe na rzecz transformacji energetycznej, w tym inteligentne systemy pomiarowe, magazynowanie, odpowiedź odbioru, usługi w zakresie elastyczności i dane.</w:t>
            </w:r>
          </w:p>
        </w:tc>
      </w:tr>
    </w:tbl>
    <w:p w14:paraId="5BE93A62" w14:textId="77777777" w:rsidR="006578ED" w:rsidRDefault="006578ED">
      <w:pPr>
        <w:spacing w:before="120" w:after="120" w:line="240" w:lineRule="auto"/>
        <w:ind w:left="709"/>
        <w:jc w:val="both"/>
        <w:rPr>
          <w:rFonts w:ascii="Times New Roman" w:hAnsi="Times New Roman" w:cs="Times New Roman"/>
          <w:noProof/>
          <w:sz w:val="24"/>
        </w:rPr>
        <w:sectPr w:rsidR="006578ED" w:rsidSect="00B90E2C">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417" w:right="1134" w:bottom="1417" w:left="1134" w:header="709" w:footer="709" w:gutter="0"/>
          <w:cols w:space="720"/>
          <w:docGrid w:linePitch="360"/>
        </w:sectPr>
      </w:pPr>
    </w:p>
    <w:p w14:paraId="26735E13" w14:textId="61E0CF78" w:rsidR="006578ED" w:rsidRDefault="00A1618E">
      <w:pPr>
        <w:pStyle w:val="P68B1DB1-Heading12"/>
        <w:rPr>
          <w:rFonts w:cs="Times New Roman"/>
          <w:noProof/>
        </w:rPr>
      </w:pPr>
      <w:r>
        <w:rPr>
          <w:noProof/>
        </w:rPr>
        <w:t>I. KOMPONENT 9: Wodór odnawialny</w:t>
      </w:r>
    </w:p>
    <w:p w14:paraId="288656AE" w14:textId="30FEDB75" w:rsidR="006578ED" w:rsidRDefault="00A1618E">
      <w:pPr>
        <w:pStyle w:val="P68B1DB1-Normal4"/>
        <w:spacing w:before="100" w:beforeAutospacing="1" w:after="120" w:line="240" w:lineRule="auto"/>
        <w:jc w:val="both"/>
        <w:rPr>
          <w:rFonts w:eastAsia="Symbol" w:cs="Times New Roman"/>
          <w:noProof/>
        </w:rPr>
      </w:pPr>
      <w:r>
        <w:rPr>
          <w:noProof/>
        </w:rPr>
        <w:t>Hiszpański krajowy plan w dziedzinie energii i klimatu na lata 2021–2030 ma na celu ograniczenie emisji gazów cieplarnianych o 23 % w porównaniu z 19</w:t>
      </w:r>
      <w:r w:rsidRPr="00A1618E">
        <w:rPr>
          <w:noProof/>
          <w:lang w:val="pl-PL"/>
        </w:rPr>
        <w:t>90 r.</w:t>
      </w:r>
      <w:r>
        <w:rPr>
          <w:noProof/>
        </w:rPr>
        <w:t xml:space="preserve"> W</w:t>
      </w:r>
      <w:r>
        <w:rPr>
          <w:noProof/>
          <w:lang w:val="pl-PL"/>
        </w:rPr>
        <w:t> </w:t>
      </w:r>
      <w:r>
        <w:rPr>
          <w:noProof/>
        </w:rPr>
        <w:t>tym kontekście głównym celem komponentu 9 hiszpańskiego planu odbudowy i zwiększania odporności jest rozwój technologii wodorowych wykorzystujących energię odnawialną:</w:t>
      </w:r>
    </w:p>
    <w:p w14:paraId="0D1E20E6" w14:textId="5D95346E" w:rsidR="006578ED" w:rsidRDefault="00A1618E">
      <w:pPr>
        <w:pStyle w:val="P68B1DB1-Normal4"/>
        <w:numPr>
          <w:ilvl w:val="0"/>
          <w:numId w:val="103"/>
        </w:numPr>
        <w:spacing w:before="120" w:after="100" w:afterAutospacing="1" w:line="240" w:lineRule="auto"/>
        <w:ind w:left="714" w:hanging="357"/>
        <w:jc w:val="both"/>
        <w:rPr>
          <w:rFonts w:eastAsia="Symbol" w:cs="Times New Roman"/>
          <w:noProof/>
        </w:rPr>
      </w:pPr>
      <w:r>
        <w:rPr>
          <w:noProof/>
        </w:rPr>
        <w:t>Jako środek magazynowania energii w celu zarządzania różnicami między podażą a popytem na energię elektryczną, zapewniając elastyczność systemu elektroenergetycznego.</w:t>
      </w:r>
    </w:p>
    <w:p w14:paraId="3D47ADF2" w14:textId="1245888F" w:rsidR="006578ED" w:rsidRDefault="00A1618E">
      <w:pPr>
        <w:pStyle w:val="P68B1DB1-Normal4"/>
        <w:numPr>
          <w:ilvl w:val="0"/>
          <w:numId w:val="103"/>
        </w:numPr>
        <w:spacing w:before="100" w:beforeAutospacing="1" w:after="100" w:afterAutospacing="1" w:line="240" w:lineRule="auto"/>
        <w:jc w:val="both"/>
        <w:rPr>
          <w:rFonts w:eastAsia="Symbol" w:cs="Times New Roman"/>
          <w:noProof/>
        </w:rPr>
      </w:pPr>
      <w:r>
        <w:rPr>
          <w:noProof/>
        </w:rPr>
        <w:t>Poprzez wspieranie ich rozwoju i konsolidacji w całym łańcuchu wartości w przemyśle, biorąc pod uwagę, że technologie te nie są obecnie gotowe do działania na warunkach rynkowych;</w:t>
      </w:r>
    </w:p>
    <w:p w14:paraId="42B5638D" w14:textId="4A85D5C1" w:rsidR="006578ED" w:rsidRDefault="00A1618E">
      <w:pPr>
        <w:pStyle w:val="P68B1DB1-Normal4"/>
        <w:numPr>
          <w:ilvl w:val="0"/>
          <w:numId w:val="103"/>
        </w:numPr>
        <w:spacing w:before="100" w:beforeAutospacing="1" w:after="100" w:afterAutospacing="1" w:line="240" w:lineRule="auto"/>
        <w:jc w:val="both"/>
        <w:rPr>
          <w:rFonts w:eastAsia="Symbol" w:cs="Times New Roman"/>
          <w:noProof/>
        </w:rPr>
      </w:pPr>
      <w:r>
        <w:rPr>
          <w:noProof/>
        </w:rPr>
        <w:t>Poprzez wspieranie ich włączania do zastosowań końcowych, w tym w celu zastąpienia wodoru pochodzącego z paliw kopalnych w przemyśle; oraz</w:t>
      </w:r>
    </w:p>
    <w:p w14:paraId="7330754E" w14:textId="77777777" w:rsidR="006578ED" w:rsidRDefault="00A1618E">
      <w:pPr>
        <w:pStyle w:val="P68B1DB1-Normal4"/>
        <w:numPr>
          <w:ilvl w:val="0"/>
          <w:numId w:val="103"/>
        </w:numPr>
        <w:spacing w:before="100" w:beforeAutospacing="1" w:after="100" w:afterAutospacing="1" w:line="240" w:lineRule="auto"/>
        <w:jc w:val="both"/>
        <w:rPr>
          <w:rFonts w:eastAsia="Symbol" w:cs="Times New Roman"/>
          <w:noProof/>
        </w:rPr>
      </w:pPr>
      <w:r>
        <w:rPr>
          <w:noProof/>
        </w:rPr>
        <w:t>Poprzez rozwijanie umiejętności ekologicznych.</w:t>
      </w:r>
    </w:p>
    <w:p w14:paraId="4BF6AF04" w14:textId="4E894DE9" w:rsidR="006578ED" w:rsidRDefault="00A1618E">
      <w:pPr>
        <w:pStyle w:val="P68B1DB1-Normal4"/>
        <w:spacing w:before="120" w:after="120" w:line="240" w:lineRule="auto"/>
        <w:jc w:val="both"/>
        <w:rPr>
          <w:rFonts w:eastAsia="Symbol" w:cs="Times New Roman"/>
          <w:noProof/>
        </w:rPr>
      </w:pPr>
      <w:r>
        <w:rPr>
          <w:noProof/>
        </w:rPr>
        <w:t xml:space="preserve">Ten element hiszpańskiego planu odbudowy i zwiększania odporności jest odpowiedzią na zalecenia dla poszczególnych krajów dotyczące promowania inwestycji w innowacje i efektywność energetyczną (zalecenie dla poszczególnych krajów </w:t>
      </w:r>
      <w:r w:rsidRPr="00A1618E">
        <w:rPr>
          <w:noProof/>
          <w:lang w:val="pl-PL"/>
        </w:rPr>
        <w:t>nr 3</w:t>
      </w:r>
      <w:r>
        <w:rPr>
          <w:noProof/>
        </w:rPr>
        <w:t xml:space="preserve"> z 20</w:t>
      </w:r>
      <w:r w:rsidRPr="00A1618E">
        <w:rPr>
          <w:noProof/>
          <w:lang w:val="pl-PL"/>
        </w:rPr>
        <w:t>19 r.</w:t>
      </w:r>
      <w:r>
        <w:rPr>
          <w:noProof/>
        </w:rPr>
        <w:t xml:space="preserve">) oraz wspierania transformacji ekologicznej (zalecenie dla poszczególnych krajów </w:t>
      </w:r>
      <w:r w:rsidRPr="00A1618E">
        <w:rPr>
          <w:noProof/>
          <w:lang w:val="pl-PL"/>
        </w:rPr>
        <w:t>nr 3</w:t>
      </w:r>
      <w:r>
        <w:rPr>
          <w:noProof/>
        </w:rPr>
        <w:t xml:space="preserve"> z 20</w:t>
      </w:r>
      <w:r w:rsidRPr="00A1618E">
        <w:rPr>
          <w:noProof/>
          <w:lang w:val="pl-PL"/>
        </w:rPr>
        <w:t>20 r.</w:t>
      </w:r>
      <w:r>
        <w:rPr>
          <w:noProof/>
        </w:rPr>
        <w:t>).</w:t>
      </w:r>
    </w:p>
    <w:p w14:paraId="2842BC08" w14:textId="28FAD3F9" w:rsidR="006578ED" w:rsidRDefault="00A1618E">
      <w:pPr>
        <w:pStyle w:val="P68B1DB1-Normal4"/>
        <w:spacing w:before="120" w:after="120" w:line="240" w:lineRule="auto"/>
        <w:jc w:val="both"/>
        <w:rPr>
          <w:rFonts w:eastAsia="Symbol" w:cs="Times New Roman"/>
          <w:noProof/>
        </w:rPr>
      </w:pPr>
      <w:r>
        <w:rPr>
          <w:noProof/>
        </w:rPr>
        <w:t>Komponent ten jest częścią strategii w zakresie energii ze źródeł odnawialnych stanowiącej podstawę komponentu 1 i 6 (wykorzystanie wodoru do celów mobilności i transportu), komponentu 7 (wytwarzanie energii ze źródeł odnawialnych) oraz komponentu 8 (magazynowanie i inteligentne sieci) hiszpańskiego planu odbudowy i zwiększania odporności.</w:t>
      </w:r>
    </w:p>
    <w:p w14:paraId="78BACA75" w14:textId="701B928D" w:rsidR="006578ED" w:rsidRDefault="00A1618E">
      <w:pPr>
        <w:pStyle w:val="P68B1DB1-Normal4"/>
        <w:spacing w:before="120" w:after="120" w:line="240" w:lineRule="auto"/>
        <w:jc w:val="both"/>
        <w:rPr>
          <w:rFonts w:eastAsia="Symbol"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4FF66529" w14:textId="236559C0" w:rsidR="006578ED" w:rsidRDefault="00A1618E">
      <w:pPr>
        <w:pStyle w:val="P68B1DB1-Normal5"/>
        <w:spacing w:before="120" w:after="120" w:line="240" w:lineRule="auto"/>
        <w:ind w:left="709"/>
        <w:jc w:val="both"/>
        <w:rPr>
          <w:rFonts w:cs="Times New Roman"/>
          <w:i/>
          <w:noProof/>
        </w:rPr>
      </w:pPr>
      <w:r>
        <w:rPr>
          <w:noProof/>
        </w:rPr>
        <w:t xml:space="preserve">I.1. </w:t>
      </w:r>
      <w:r>
        <w:rPr>
          <w:noProof/>
        </w:rPr>
        <w:tab/>
        <w:t>Opis reform i inwestycji, które mają być finansowane z bezzwrotnego wsparcia finansowego</w:t>
      </w:r>
    </w:p>
    <w:p w14:paraId="17D959E5" w14:textId="2BA462A6" w:rsidR="006578ED" w:rsidRDefault="00A1618E">
      <w:pPr>
        <w:pStyle w:val="P68B1DB1-Normal6"/>
        <w:spacing w:before="120" w:after="120" w:line="240" w:lineRule="auto"/>
        <w:jc w:val="both"/>
        <w:rPr>
          <w:rFonts w:cs="Times New Roman"/>
          <w:noProof/>
        </w:rPr>
      </w:pPr>
      <w:r>
        <w:rPr>
          <w:noProof/>
        </w:rPr>
        <w:t>Reforma 1 (C9.R1) – Plan działania w zakresie wodoru</w:t>
      </w:r>
    </w:p>
    <w:p w14:paraId="5C4CCA21" w14:textId="0F72EC5C" w:rsidR="006578ED" w:rsidRDefault="00A1618E">
      <w:pPr>
        <w:pStyle w:val="P68B1DB1-Normal4"/>
        <w:spacing w:before="120" w:after="120" w:line="240" w:lineRule="auto"/>
        <w:jc w:val="both"/>
        <w:rPr>
          <w:rFonts w:cs="Times New Roman"/>
          <w:noProof/>
        </w:rPr>
      </w:pPr>
      <w:r>
        <w:rPr>
          <w:noProof/>
        </w:rPr>
        <w:t xml:space="preserve">Środek ten zapewnia ramy rozwoju wodoru odnawialnego w Hiszpanii („plan działania w zakresie wodoru”). W tym celu określono w nim cele, które należy osiągnąć </w:t>
      </w:r>
      <w:r w:rsidRPr="00A1618E">
        <w:rPr>
          <w:noProof/>
          <w:lang w:val="pl-PL"/>
        </w:rPr>
        <w:t>do 2</w:t>
      </w:r>
      <w:r>
        <w:rPr>
          <w:noProof/>
        </w:rPr>
        <w:t>0</w:t>
      </w:r>
      <w:r w:rsidRPr="00A1618E">
        <w:rPr>
          <w:noProof/>
          <w:lang w:val="pl-PL"/>
        </w:rPr>
        <w:t>30 r.</w:t>
      </w:r>
      <w:r>
        <w:rPr>
          <w:noProof/>
        </w:rPr>
        <w:t xml:space="preserve"> w zakresie mocy zainstalowanej w podziale na sektory (przemysł i transport). Plan działania w zakresie wodoru został zatwierdzony przez Radę Ministrów w październiku 20</w:t>
      </w:r>
      <w:r w:rsidRPr="00A1618E">
        <w:rPr>
          <w:noProof/>
          <w:lang w:val="pl-PL"/>
        </w:rPr>
        <w:t>20 r.</w:t>
      </w:r>
      <w:r>
        <w:rPr>
          <w:noProof/>
        </w:rPr>
        <w:t xml:space="preserve"> Środek ustanawia również konkretne środki wspierające realizację planu działania poprzez zapewnienie dostaw elektrolizerów wodorowych wykorzystujących energię ze źródeł odnawialnych. Powiązane działania regulacyjne obejmują i) ustanowienie instrumentu regulacyjnego obejmującego wyznaczenie krajowych organów wydających gwarancje pochodzenia gazów odnawialnych, w tym wodoru odnawialnego, oraz zarządzanie tymi organami; oraz (ii) mechanizm regulacyjny określający, w jaki sposób weryfikuje się odnawialne pochodzenie wodoru.</w:t>
      </w:r>
    </w:p>
    <w:p w14:paraId="25D44E01" w14:textId="45A1E9C1" w:rsidR="006578ED" w:rsidRDefault="00A1618E">
      <w:pPr>
        <w:pStyle w:val="P68B1DB1-Normal4"/>
        <w:spacing w:before="120" w:after="120" w:line="240" w:lineRule="auto"/>
        <w:jc w:val="both"/>
        <w:rPr>
          <w:rFonts w:cs="Times New Roman"/>
          <w:noProof/>
        </w:rPr>
      </w:pPr>
      <w:r>
        <w:rPr>
          <w:noProof/>
        </w:rPr>
        <w:t>Reforma ta zostanie zakończona do dnia 30 czerwca 20</w:t>
      </w:r>
      <w:r w:rsidRPr="00A1618E">
        <w:rPr>
          <w:noProof/>
          <w:lang w:val="pl-PL"/>
        </w:rPr>
        <w:t>22 r.</w:t>
      </w:r>
    </w:p>
    <w:p w14:paraId="39B5F0A4" w14:textId="77777777" w:rsidR="006578ED" w:rsidRDefault="00A1618E">
      <w:pPr>
        <w:pStyle w:val="P68B1DB1-Normal6"/>
        <w:spacing w:before="120" w:after="120" w:line="240" w:lineRule="auto"/>
        <w:jc w:val="both"/>
        <w:rPr>
          <w:rFonts w:cs="Times New Roman"/>
          <w:noProof/>
        </w:rPr>
      </w:pPr>
      <w:r>
        <w:rPr>
          <w:noProof/>
        </w:rPr>
        <w:t>Inwestycja 1 (C9.I1) – Wodor odnawialny, projekt krajowy</w:t>
      </w:r>
    </w:p>
    <w:p w14:paraId="3F4F92E4" w14:textId="55E9AAF5" w:rsidR="006578ED" w:rsidRDefault="00A1618E">
      <w:pPr>
        <w:pStyle w:val="P68B1DB1-Normal4"/>
        <w:spacing w:before="120" w:after="120" w:line="240" w:lineRule="auto"/>
        <w:jc w:val="both"/>
        <w:rPr>
          <w:rFonts w:cs="Times New Roman"/>
          <w:noProof/>
        </w:rPr>
      </w:pPr>
      <w:r>
        <w:rPr>
          <w:noProof/>
        </w:rPr>
        <w:t xml:space="preserve">Środek ten ma przyczynić się do wdrożenia planu działania w zakresie wodoru w czterech kierunkach działań. </w:t>
      </w:r>
    </w:p>
    <w:p w14:paraId="1FFCBA85" w14:textId="4F2382E8" w:rsidR="006578ED" w:rsidRDefault="00A1618E">
      <w:pPr>
        <w:pStyle w:val="P68B1DB1-Normal4"/>
        <w:spacing w:before="120" w:after="120" w:line="240" w:lineRule="auto"/>
        <w:jc w:val="both"/>
        <w:rPr>
          <w:rFonts w:cs="Times New Roman"/>
          <w:noProof/>
        </w:rPr>
      </w:pPr>
      <w:r>
        <w:rPr>
          <w:noProof/>
        </w:rPr>
        <w:t>Pierwszym z nich jest pobudzenie wiedzy i innowacyjności hiszpańskiego łańcucha wartości, ze szczególnym uwzględnieniem MŚP. Ze względu na wczesny poziom gotowości technologicznej tej technologii środek ten przewiduje potrzebę wsparcia co najmniej dziesięciu MŚP w celu wzmocnienia i wzmocnienia istniejącego hiszpańskiego łańcucha wartości poprzez wzmocnienie jednego lub kilku z następujących działań: zdolności produkcyjne, umiejętności, konkurencyjność, transfer wiedzy i technologii lub wymiar międzynarodowy. Środek ten jest również ukierunkowany na pięć rozwiązań technologicznych lub prototypów (takich jak elektrolizery, sprężarki, zbiorniki magazynowe, ogniwa paliwowe i systemy transportowe oparte na H2), w tym „pierwszego rodzaju” w celu wsparcia walidacji nowych, rozbudowanych projektów lub prototypów związanych z produkcją, logistyką dystrybucji lub zużyciem wodoru. Ponadto środek ten obejmuje co najmniej dziesięć interwencji mających na celu poprawę obiektów badawczych lub wdrożenie nowych linii produkcyjnych kluczowych technologii prorozwojowych lub systemów w łańcuchu dostaw wodoru, takich jak elektrolizery lub ogniwa paliwowe. Organy te: i) poprawa obiektów badawczych, rozwoju i innowacji, laboratoriów lub powiązanego sprzętu; lub (ii) ulepszanie instalacji lub zamawianie nowych urządzeń (takich jak obrabiarki) do produkcji systemów, urządzeń lub komponentów związanych z wodorem i ogniwami paliwowymi.</w:t>
      </w:r>
    </w:p>
    <w:p w14:paraId="43DBC220" w14:textId="5A772F5D" w:rsidR="006578ED" w:rsidRDefault="00A1618E">
      <w:pPr>
        <w:pStyle w:val="P68B1DB1-Normal4"/>
        <w:spacing w:before="120" w:after="120" w:line="240" w:lineRule="auto"/>
        <w:jc w:val="both"/>
        <w:rPr>
          <w:rFonts w:cs="Times New Roman"/>
          <w:noProof/>
        </w:rPr>
      </w:pPr>
      <w:r>
        <w:rPr>
          <w:noProof/>
        </w:rPr>
        <w:t xml:space="preserve">Drugi kierunek działania ma na celu utworzenie dwóch klastrów wodoru odnawialnego łączących produkcję, przetwarzanie i zużycie na dużą skalę. Celem co najmniej jednego z tych klastrów jest zintegrowanie elektrolizeru wodoru odnawialnego o dużej mocy, który dostarcza wodór bezpośrednio lokalnym konsumentom przemysłowym. Elektrolizer musi być zasilany energią elektryczną ze źródeł odnawialnych. Powstający w ten sposób wodór włącza się do procesów przemysłowych i łańcuchów dostaw przedsiębiorstw (w tym dostosowanie i odejście od zużycia wodoru pochodzącego z paliw kopalnych) w celu zastąpienia co najmniej 5 % ich rocznego zużycia wodoru opartego na paliwach kopalnych. </w:t>
      </w:r>
    </w:p>
    <w:p w14:paraId="444CDF05" w14:textId="40534668" w:rsidR="006578ED" w:rsidRDefault="00A1618E">
      <w:pPr>
        <w:pStyle w:val="P68B1DB1-Normal4"/>
        <w:spacing w:before="120" w:after="120" w:line="240" w:lineRule="auto"/>
        <w:jc w:val="both"/>
        <w:rPr>
          <w:rFonts w:cs="Times New Roman"/>
          <w:noProof/>
        </w:rPr>
      </w:pPr>
      <w:r>
        <w:rPr>
          <w:noProof/>
        </w:rPr>
        <w:t>Trzecia linia działania przewiduje wsparcie wdrażania wodoru w szeregu (co najmniej dziesięciu) innych pionierskich projektów o mniejszej wielkości niż klaster. Mają one na celu wprowadzenie wodoru odnawialnego poza pojedynczym węzłem przemysłowym do odizolowanych systemów energetycznych, które umożliwiają włączenie wodoru odnawialnego do takich dziedzin jak transport. Oczekuje się, że interwencje te obejmą produkcję, dystrybucję i zużycie wodoru odnawialnego, zwiększając zasięg w różnych sektorach i częściach terytorium Hiszpanii.</w:t>
      </w:r>
    </w:p>
    <w:p w14:paraId="19FE883E" w14:textId="0C17FD15" w:rsidR="006578ED" w:rsidRDefault="00A1618E">
      <w:pPr>
        <w:pStyle w:val="P68B1DB1-Normal4"/>
        <w:spacing w:before="120" w:after="120" w:line="240" w:lineRule="auto"/>
        <w:jc w:val="both"/>
        <w:rPr>
          <w:rFonts w:cs="Times New Roman"/>
          <w:noProof/>
        </w:rPr>
      </w:pPr>
      <w:r>
        <w:rPr>
          <w:noProof/>
        </w:rPr>
        <w:t xml:space="preserve">Ponadto środek ma na celu promowanie wodoru w ramach szerszej strategii UE na rzecz rozwoju unijnego łańcucha wartości. W rezultacie niektóre przedsiębiorstwa wspierane w ramach środka mogą stać się częścią planowanego projektu IPCEI dotyczącego wodoru, wraz z przedsiębiorstwami z innych państw członkowskich, w oparciu o odpowiednie ramy współpracy w Unii w celu zintegrowania krajowych łańcuchów wartości w celu zwiększenia konkurencyjności. </w:t>
      </w:r>
    </w:p>
    <w:p w14:paraId="2236E336" w14:textId="7040D274" w:rsidR="006578ED" w:rsidRDefault="00A1618E">
      <w:pPr>
        <w:pStyle w:val="P68B1DB1-Normal4"/>
        <w:spacing w:before="120" w:after="120" w:line="240" w:lineRule="auto"/>
        <w:jc w:val="both"/>
        <w:rPr>
          <w:rFonts w:cs="Times New Roman"/>
          <w:noProof/>
        </w:rPr>
      </w:pPr>
      <w:r>
        <w:rPr>
          <w:noProof/>
        </w:rPr>
        <w:t>Całkowita dopuszczalna zdolność produkcyjna wszystkich elektrolizerów w wyniku połączenia wszystkich czterech kierunków działania w ramach C9.I1 wynosi co najmniej 700 MW.</w:t>
      </w:r>
    </w:p>
    <w:p w14:paraId="54D9525F" w14:textId="7CB4A1B9" w:rsidR="006578ED" w:rsidRDefault="00A1618E">
      <w:pPr>
        <w:pStyle w:val="P68B1DB1-Normal4"/>
        <w:spacing w:before="120" w:after="120" w:line="240" w:lineRule="auto"/>
        <w:jc w:val="both"/>
        <w:rPr>
          <w:rFonts w:cs="Times New Roman"/>
          <w:noProof/>
        </w:rPr>
      </w:pPr>
      <w:r>
        <w:rPr>
          <w:noProof/>
        </w:rPr>
        <w:t xml:space="preserve">Oczekuje się, że środek ten nie spowoduje znaczących szkód dla celów środowiskowych w rozumieniu </w:t>
      </w:r>
      <w:r w:rsidRPr="00A1618E">
        <w:rPr>
          <w:noProof/>
          <w:lang w:val="pl-PL"/>
        </w:rPr>
        <w:t>art. 1</w:t>
      </w:r>
      <w:r>
        <w:rPr>
          <w:noProof/>
        </w:rPr>
        <w:t>7 rozporządzenia (UE) 2020/852, biorąc pod uwagę opis środka i działania łagodzące określone w planie odbudowy i zwiększania odporności zgodnie z wytycznymi technicznymi dotyczącymi zasady „nie czyń poważnych szkód” (2021/C58/01). W szczególności integracja wodoru odnawialnego wspiera elektryfikację procesów przemysłowych.</w:t>
      </w:r>
    </w:p>
    <w:p w14:paraId="7DA19D38" w14:textId="2902C3A6" w:rsidR="006578ED" w:rsidRDefault="00A1618E">
      <w:pPr>
        <w:pStyle w:val="P68B1DB1-Normal4"/>
        <w:spacing w:before="120" w:after="120" w:line="240" w:lineRule="auto"/>
        <w:jc w:val="both"/>
        <w:rPr>
          <w:rFonts w:cs="Times New Roman"/>
          <w:noProof/>
        </w:rPr>
      </w:pPr>
      <w:r>
        <w:rPr>
          <w:noProof/>
        </w:rPr>
        <w:t>Działania w ramach tej inwestycji zostaną zakończone do dnia 30 czerwca 20</w:t>
      </w:r>
      <w:r w:rsidRPr="00A1618E">
        <w:rPr>
          <w:noProof/>
          <w:lang w:val="pl-PL"/>
        </w:rPr>
        <w:t>26 r.</w:t>
      </w:r>
    </w:p>
    <w:p w14:paraId="43708E19" w14:textId="72E3FCBA" w:rsidR="006578ED" w:rsidRDefault="00A1618E">
      <w:pPr>
        <w:pStyle w:val="P68B1DB1-Normal5"/>
        <w:spacing w:before="120" w:after="120" w:line="240" w:lineRule="auto"/>
        <w:ind w:left="709"/>
        <w:jc w:val="both"/>
        <w:rPr>
          <w:rFonts w:cs="Times New Roman"/>
          <w:noProof/>
        </w:rPr>
      </w:pPr>
      <w:r>
        <w:rPr>
          <w:noProof/>
        </w:rPr>
        <w:t xml:space="preserve">I.2. </w:t>
      </w:r>
      <w:r>
        <w:rPr>
          <w:noProof/>
        </w:rPr>
        <w:tab/>
        <w:t>Kamienie milowe, wartości docelowe, wskaźniki i harmonogram monitorowania i realizacji na potrzeby bezzwrotnego wsparcia finansowego</w:t>
      </w:r>
    </w:p>
    <w:p w14:paraId="411B07C8" w14:textId="77A4A71B"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384BA73E"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198"/>
          <w:headerReference w:type="default" r:id="rId199"/>
          <w:footerReference w:type="even" r:id="rId200"/>
          <w:footerReference w:type="default" r:id="rId201"/>
          <w:headerReference w:type="first" r:id="rId202"/>
          <w:footerReference w:type="first" r:id="rId203"/>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560"/>
        <w:gridCol w:w="1275"/>
        <w:gridCol w:w="851"/>
        <w:gridCol w:w="567"/>
        <w:gridCol w:w="567"/>
        <w:gridCol w:w="425"/>
        <w:gridCol w:w="567"/>
        <w:gridCol w:w="7088"/>
      </w:tblGrid>
      <w:tr w:rsidR="006578ED" w14:paraId="70B5729A" w14:textId="77777777">
        <w:trPr>
          <w:trHeight w:val="309"/>
          <w:tblHeader/>
        </w:trPr>
        <w:tc>
          <w:tcPr>
            <w:tcW w:w="709" w:type="dxa"/>
            <w:tcBorders>
              <w:bottom w:val="nil"/>
            </w:tcBorders>
            <w:shd w:val="clear" w:color="auto" w:fill="C6D9F1" w:themeFill="text2" w:themeFillTint="33"/>
            <w:noWrap/>
            <w:vAlign w:val="center"/>
          </w:tcPr>
          <w:p w14:paraId="7A0548FF"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4C4718D6"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395E9546" w14:textId="4F7D01ED"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1560" w:type="dxa"/>
            <w:tcBorders>
              <w:bottom w:val="nil"/>
            </w:tcBorders>
            <w:shd w:val="clear" w:color="auto" w:fill="C6D9F1" w:themeFill="text2" w:themeFillTint="33"/>
            <w:noWrap/>
            <w:vAlign w:val="center"/>
          </w:tcPr>
          <w:p w14:paraId="03B9116E" w14:textId="77777777" w:rsidR="006578ED" w:rsidRDefault="00A1618E">
            <w:pPr>
              <w:pStyle w:val="P68B1DB1-Normal12"/>
              <w:spacing w:after="0" w:line="240" w:lineRule="auto"/>
              <w:jc w:val="center"/>
              <w:rPr>
                <w:rFonts w:cs="Times New Roman"/>
                <w:noProof/>
              </w:rPr>
            </w:pPr>
            <w:r>
              <w:rPr>
                <w:noProof/>
              </w:rPr>
              <w:t>Nazwa</w:t>
            </w:r>
          </w:p>
        </w:tc>
        <w:tc>
          <w:tcPr>
            <w:tcW w:w="1275" w:type="dxa"/>
            <w:tcBorders>
              <w:bottom w:val="nil"/>
            </w:tcBorders>
            <w:shd w:val="clear" w:color="auto" w:fill="C6D9F1" w:themeFill="text2" w:themeFillTint="33"/>
            <w:noWrap/>
            <w:vAlign w:val="center"/>
          </w:tcPr>
          <w:p w14:paraId="7AB38A7F"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85" w:type="dxa"/>
            <w:gridSpan w:val="3"/>
            <w:shd w:val="clear" w:color="auto" w:fill="C6D9F1" w:themeFill="text2" w:themeFillTint="33"/>
            <w:noWrap/>
            <w:vAlign w:val="center"/>
          </w:tcPr>
          <w:p w14:paraId="714AE6A0"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56FD496D" w14:textId="77777777" w:rsidR="006578ED" w:rsidRDefault="00A1618E">
            <w:pPr>
              <w:pStyle w:val="P68B1DB1-Normal12"/>
              <w:spacing w:after="0" w:line="240" w:lineRule="auto"/>
              <w:jc w:val="center"/>
              <w:rPr>
                <w:rFonts w:cs="Times New Roman"/>
                <w:noProof/>
              </w:rPr>
            </w:pPr>
            <w:r>
              <w:rPr>
                <w:noProof/>
              </w:rPr>
              <w:t>Czas</w:t>
            </w:r>
          </w:p>
        </w:tc>
        <w:tc>
          <w:tcPr>
            <w:tcW w:w="7088" w:type="dxa"/>
            <w:tcBorders>
              <w:bottom w:val="nil"/>
            </w:tcBorders>
            <w:shd w:val="clear" w:color="auto" w:fill="C6D9F1" w:themeFill="text2" w:themeFillTint="33"/>
            <w:noWrap/>
            <w:vAlign w:val="center"/>
          </w:tcPr>
          <w:p w14:paraId="45F81A50" w14:textId="2CA84550"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7B560C90" w14:textId="77777777">
        <w:trPr>
          <w:trHeight w:val="309"/>
          <w:tblHeader/>
        </w:trPr>
        <w:tc>
          <w:tcPr>
            <w:tcW w:w="709" w:type="dxa"/>
            <w:tcBorders>
              <w:top w:val="nil"/>
            </w:tcBorders>
            <w:shd w:val="clear" w:color="auto" w:fill="C6D9F1" w:themeFill="text2" w:themeFillTint="33"/>
            <w:noWrap/>
          </w:tcPr>
          <w:p w14:paraId="34B3F2EB"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D34F5C7"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B4020A7" w14:textId="77777777" w:rsidR="006578ED" w:rsidRDefault="006578ED">
            <w:pPr>
              <w:spacing w:after="0" w:line="240" w:lineRule="auto"/>
              <w:jc w:val="center"/>
              <w:rPr>
                <w:rFonts w:ascii="Times New Roman" w:hAnsi="Times New Roman" w:cs="Times New Roman"/>
                <w:b/>
                <w:noProof/>
                <w:sz w:val="18"/>
              </w:rPr>
            </w:pPr>
          </w:p>
        </w:tc>
        <w:tc>
          <w:tcPr>
            <w:tcW w:w="1560" w:type="dxa"/>
            <w:tcBorders>
              <w:top w:val="nil"/>
            </w:tcBorders>
            <w:shd w:val="clear" w:color="auto" w:fill="C6D9F1" w:themeFill="text2" w:themeFillTint="33"/>
            <w:noWrap/>
          </w:tcPr>
          <w:p w14:paraId="1D7B270A" w14:textId="77777777" w:rsidR="006578ED" w:rsidRDefault="006578ED">
            <w:pPr>
              <w:spacing w:after="0" w:line="240" w:lineRule="auto"/>
              <w:rPr>
                <w:rFonts w:ascii="Times New Roman" w:hAnsi="Times New Roman" w:cs="Times New Roman"/>
                <w:b/>
                <w:noProof/>
                <w:sz w:val="18"/>
              </w:rPr>
            </w:pPr>
          </w:p>
        </w:tc>
        <w:tc>
          <w:tcPr>
            <w:tcW w:w="1275" w:type="dxa"/>
            <w:tcBorders>
              <w:top w:val="nil"/>
            </w:tcBorders>
            <w:shd w:val="clear" w:color="auto" w:fill="C6D9F1" w:themeFill="text2" w:themeFillTint="33"/>
            <w:noWrap/>
          </w:tcPr>
          <w:p w14:paraId="4F904CB7" w14:textId="77777777" w:rsidR="006578ED" w:rsidRDefault="006578ED">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vAlign w:val="center"/>
          </w:tcPr>
          <w:p w14:paraId="295A2B3D"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vAlign w:val="center"/>
          </w:tcPr>
          <w:p w14:paraId="64354F4C" w14:textId="77777777" w:rsidR="006578ED" w:rsidRDefault="00A1618E">
            <w:pPr>
              <w:pStyle w:val="P68B1DB1-Normal12"/>
              <w:spacing w:after="0" w:line="240" w:lineRule="auto"/>
              <w:jc w:val="center"/>
              <w:rPr>
                <w:rFonts w:cs="Times New Roman"/>
                <w:noProof/>
              </w:rPr>
            </w:pPr>
            <w:r>
              <w:rPr>
                <w:noProof/>
              </w:rPr>
              <w:t>Wartość wyjściowa</w:t>
            </w:r>
          </w:p>
        </w:tc>
        <w:tc>
          <w:tcPr>
            <w:tcW w:w="567" w:type="dxa"/>
            <w:shd w:val="clear" w:color="auto" w:fill="C6D9F1" w:themeFill="text2" w:themeFillTint="33"/>
            <w:noWrap/>
            <w:vAlign w:val="center"/>
          </w:tcPr>
          <w:p w14:paraId="0CB8A499"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vAlign w:val="center"/>
          </w:tcPr>
          <w:p w14:paraId="11B3A307"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6831318" w14:textId="77777777" w:rsidR="006578ED" w:rsidRDefault="00A1618E">
            <w:pPr>
              <w:pStyle w:val="P68B1DB1-Normal12"/>
              <w:spacing w:after="0" w:line="240" w:lineRule="auto"/>
              <w:jc w:val="center"/>
              <w:rPr>
                <w:rFonts w:cs="Times New Roman"/>
                <w:noProof/>
              </w:rPr>
            </w:pPr>
            <w:r>
              <w:rPr>
                <w:noProof/>
              </w:rPr>
              <w:t>Rok</w:t>
            </w:r>
          </w:p>
        </w:tc>
        <w:tc>
          <w:tcPr>
            <w:tcW w:w="7088" w:type="dxa"/>
            <w:tcBorders>
              <w:top w:val="nil"/>
            </w:tcBorders>
            <w:shd w:val="clear" w:color="auto" w:fill="C6D9F1" w:themeFill="text2" w:themeFillTint="33"/>
            <w:noWrap/>
          </w:tcPr>
          <w:p w14:paraId="06971CD3" w14:textId="77777777" w:rsidR="006578ED" w:rsidRDefault="006578ED">
            <w:pPr>
              <w:spacing w:after="0" w:line="240" w:lineRule="auto"/>
              <w:rPr>
                <w:rFonts w:ascii="Times New Roman" w:hAnsi="Times New Roman" w:cs="Times New Roman"/>
                <w:b/>
                <w:noProof/>
                <w:sz w:val="18"/>
              </w:rPr>
            </w:pPr>
          </w:p>
        </w:tc>
      </w:tr>
      <w:tr w:rsidR="006578ED" w14:paraId="48827676" w14:textId="77777777">
        <w:trPr>
          <w:trHeight w:val="309"/>
        </w:trPr>
        <w:tc>
          <w:tcPr>
            <w:tcW w:w="709" w:type="dxa"/>
            <w:shd w:val="clear" w:color="auto" w:fill="C6EFCE"/>
            <w:noWrap/>
          </w:tcPr>
          <w:p w14:paraId="6D3A19EC" w14:textId="77777777" w:rsidR="006578ED" w:rsidRDefault="00A1618E">
            <w:pPr>
              <w:pStyle w:val="P68B1DB1-Normal13"/>
              <w:spacing w:after="0" w:line="240" w:lineRule="auto"/>
              <w:jc w:val="center"/>
              <w:rPr>
                <w:rFonts w:eastAsia="Symbol" w:cs="Times New Roman"/>
                <w:noProof/>
              </w:rPr>
            </w:pPr>
            <w:r>
              <w:rPr>
                <w:noProof/>
              </w:rPr>
              <w:t>129</w:t>
            </w:r>
          </w:p>
        </w:tc>
        <w:tc>
          <w:tcPr>
            <w:tcW w:w="851" w:type="dxa"/>
            <w:shd w:val="clear" w:color="auto" w:fill="C6EFCE"/>
            <w:noWrap/>
          </w:tcPr>
          <w:p w14:paraId="1E1A9AF7" w14:textId="77777777" w:rsidR="006578ED" w:rsidRDefault="00A1618E">
            <w:pPr>
              <w:pStyle w:val="P68B1DB1-Normal13"/>
              <w:spacing w:after="0" w:line="240" w:lineRule="auto"/>
              <w:jc w:val="center"/>
              <w:rPr>
                <w:rFonts w:eastAsia="Symbol" w:cs="Times New Roman"/>
                <w:noProof/>
              </w:rPr>
            </w:pPr>
            <w:r>
              <w:rPr>
                <w:noProof/>
              </w:rPr>
              <w:t>C9.R1</w:t>
            </w:r>
          </w:p>
        </w:tc>
        <w:tc>
          <w:tcPr>
            <w:tcW w:w="850" w:type="dxa"/>
            <w:shd w:val="clear" w:color="auto" w:fill="C6EFCE"/>
            <w:noWrap/>
          </w:tcPr>
          <w:p w14:paraId="027A594E" w14:textId="48375075" w:rsidR="006578ED" w:rsidRDefault="00AF6B91">
            <w:pPr>
              <w:pStyle w:val="P68B1DB1-Normal13"/>
              <w:spacing w:after="0" w:line="240" w:lineRule="auto"/>
              <w:jc w:val="center"/>
              <w:rPr>
                <w:rFonts w:eastAsia="Symbol" w:cs="Times New Roman"/>
                <w:noProof/>
              </w:rPr>
            </w:pPr>
            <w:r>
              <w:rPr>
                <w:noProof/>
              </w:rPr>
              <w:t>Kamień milowy</w:t>
            </w:r>
          </w:p>
        </w:tc>
        <w:tc>
          <w:tcPr>
            <w:tcW w:w="1560" w:type="dxa"/>
            <w:shd w:val="clear" w:color="auto" w:fill="C6EFCE"/>
            <w:noWrap/>
          </w:tcPr>
          <w:p w14:paraId="69497764" w14:textId="284BE13B" w:rsidR="006578ED" w:rsidRDefault="00A1618E">
            <w:pPr>
              <w:pStyle w:val="P68B1DB1-Normal13"/>
              <w:spacing w:after="0" w:line="240" w:lineRule="auto"/>
              <w:rPr>
                <w:rFonts w:eastAsia="Symbol" w:cs="Times New Roman"/>
                <w:noProof/>
              </w:rPr>
            </w:pPr>
            <w:r>
              <w:rPr>
                <w:noProof/>
              </w:rPr>
              <w:t xml:space="preserve">Plan działania w zakresie wodoru </w:t>
            </w:r>
          </w:p>
        </w:tc>
        <w:tc>
          <w:tcPr>
            <w:tcW w:w="1275" w:type="dxa"/>
            <w:shd w:val="clear" w:color="auto" w:fill="C6EFCE"/>
            <w:noWrap/>
          </w:tcPr>
          <w:p w14:paraId="59EECAAA" w14:textId="77777777" w:rsidR="006578ED" w:rsidRDefault="00A1618E">
            <w:pPr>
              <w:pStyle w:val="P68B1DB1-Normal13"/>
              <w:spacing w:after="0" w:line="240" w:lineRule="auto"/>
              <w:jc w:val="center"/>
              <w:rPr>
                <w:rFonts w:eastAsia="Symbol" w:cs="Times New Roman"/>
                <w:noProof/>
              </w:rPr>
            </w:pPr>
            <w:r>
              <w:rPr>
                <w:noProof/>
              </w:rPr>
              <w:t>Zatwierdzenie przez Radę Ministrów</w:t>
            </w:r>
          </w:p>
        </w:tc>
        <w:tc>
          <w:tcPr>
            <w:tcW w:w="851" w:type="dxa"/>
            <w:shd w:val="clear" w:color="auto" w:fill="C6EFCE"/>
            <w:noWrap/>
          </w:tcPr>
          <w:p w14:paraId="7BF3D9A5"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0A711F4A"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BFE8F37"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1F72B8DF" w14:textId="60870C29"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74519F6D" w14:textId="77777777" w:rsidR="006578ED" w:rsidRDefault="00A1618E">
            <w:pPr>
              <w:pStyle w:val="P68B1DB1-Normal13"/>
              <w:spacing w:after="0" w:line="240" w:lineRule="auto"/>
              <w:jc w:val="center"/>
              <w:rPr>
                <w:rFonts w:eastAsia="Symbol" w:cs="Times New Roman"/>
                <w:noProof/>
              </w:rPr>
            </w:pPr>
            <w:r>
              <w:rPr>
                <w:noProof/>
              </w:rPr>
              <w:t>2020</w:t>
            </w:r>
          </w:p>
        </w:tc>
        <w:tc>
          <w:tcPr>
            <w:tcW w:w="7088" w:type="dxa"/>
            <w:shd w:val="clear" w:color="auto" w:fill="C6EFCE"/>
            <w:noWrap/>
          </w:tcPr>
          <w:p w14:paraId="48591468" w14:textId="2495420D" w:rsidR="006578ED" w:rsidRDefault="00A1618E">
            <w:pPr>
              <w:pStyle w:val="P68B1DB1-Normal13"/>
              <w:spacing w:after="0" w:line="240" w:lineRule="auto"/>
              <w:jc w:val="both"/>
              <w:rPr>
                <w:rFonts w:eastAsia="Symbol" w:cs="Times New Roman"/>
                <w:noProof/>
              </w:rPr>
            </w:pPr>
            <w:r>
              <w:rPr>
                <w:noProof/>
              </w:rPr>
              <w:t xml:space="preserve">Zatwierdzenie planu działania w zakresie wodoru przez Radę Ministrów. W planie działania dotyczącym wodoru ustanowiono określone przez Hiszpanię wytyczne dotyczące rozwoju sektora wodoru odnawialnego. W tym celu określono w nim cele, które należy osiągnąć </w:t>
            </w:r>
            <w:r w:rsidRPr="00A1618E">
              <w:rPr>
                <w:noProof/>
                <w:lang w:val="pl-PL"/>
              </w:rPr>
              <w:t>do 2</w:t>
            </w:r>
            <w:r>
              <w:rPr>
                <w:noProof/>
              </w:rPr>
              <w:t>0</w:t>
            </w:r>
            <w:r w:rsidRPr="00A1618E">
              <w:rPr>
                <w:noProof/>
                <w:lang w:val="pl-PL"/>
              </w:rPr>
              <w:t>30 r.</w:t>
            </w:r>
            <w:r>
              <w:rPr>
                <w:noProof/>
              </w:rPr>
              <w:t xml:space="preserve"> w zakresie mocy zainstalowanej, przemysłu i mobilności.</w:t>
            </w:r>
          </w:p>
        </w:tc>
      </w:tr>
      <w:tr w:rsidR="006578ED" w14:paraId="643D8A21" w14:textId="77777777">
        <w:trPr>
          <w:trHeight w:val="309"/>
        </w:trPr>
        <w:tc>
          <w:tcPr>
            <w:tcW w:w="709" w:type="dxa"/>
            <w:shd w:val="clear" w:color="auto" w:fill="C6EFCE"/>
            <w:noWrap/>
          </w:tcPr>
          <w:p w14:paraId="72CF255B" w14:textId="77777777" w:rsidR="006578ED" w:rsidRDefault="00A1618E">
            <w:pPr>
              <w:pStyle w:val="P68B1DB1-Normal13"/>
              <w:spacing w:after="0" w:line="240" w:lineRule="auto"/>
              <w:jc w:val="center"/>
              <w:rPr>
                <w:rFonts w:eastAsia="Symbol" w:cs="Times New Roman"/>
                <w:noProof/>
              </w:rPr>
            </w:pPr>
            <w:r>
              <w:rPr>
                <w:noProof/>
              </w:rPr>
              <w:t>130</w:t>
            </w:r>
          </w:p>
        </w:tc>
        <w:tc>
          <w:tcPr>
            <w:tcW w:w="851" w:type="dxa"/>
            <w:shd w:val="clear" w:color="auto" w:fill="C6EFCE"/>
            <w:noWrap/>
          </w:tcPr>
          <w:p w14:paraId="1086F5AC" w14:textId="77777777" w:rsidR="006578ED" w:rsidRDefault="00A1618E">
            <w:pPr>
              <w:pStyle w:val="P68B1DB1-Normal13"/>
              <w:spacing w:after="0" w:line="240" w:lineRule="auto"/>
              <w:jc w:val="center"/>
              <w:rPr>
                <w:rFonts w:eastAsia="Symbol" w:cs="Times New Roman"/>
                <w:noProof/>
              </w:rPr>
            </w:pPr>
            <w:r>
              <w:rPr>
                <w:noProof/>
              </w:rPr>
              <w:t>C9.R1</w:t>
            </w:r>
          </w:p>
        </w:tc>
        <w:tc>
          <w:tcPr>
            <w:tcW w:w="850" w:type="dxa"/>
            <w:shd w:val="clear" w:color="auto" w:fill="C6EFCE"/>
            <w:noWrap/>
          </w:tcPr>
          <w:p w14:paraId="5AB23280" w14:textId="3169C8ED" w:rsidR="006578ED" w:rsidRDefault="00AF6B91">
            <w:pPr>
              <w:pStyle w:val="P68B1DB1-Normal13"/>
              <w:spacing w:after="0" w:line="240" w:lineRule="auto"/>
              <w:jc w:val="center"/>
              <w:rPr>
                <w:rFonts w:eastAsia="Symbol" w:cs="Times New Roman"/>
                <w:noProof/>
              </w:rPr>
            </w:pPr>
            <w:r>
              <w:rPr>
                <w:noProof/>
              </w:rPr>
              <w:t>Kamień milowy</w:t>
            </w:r>
          </w:p>
        </w:tc>
        <w:tc>
          <w:tcPr>
            <w:tcW w:w="1560" w:type="dxa"/>
            <w:shd w:val="clear" w:color="auto" w:fill="C6EFCE"/>
            <w:noWrap/>
          </w:tcPr>
          <w:p w14:paraId="0E77B031" w14:textId="2FF7159F" w:rsidR="006578ED" w:rsidRDefault="00A1618E">
            <w:pPr>
              <w:pStyle w:val="P68B1DB1-Normal13"/>
              <w:spacing w:after="0" w:line="240" w:lineRule="auto"/>
              <w:rPr>
                <w:rFonts w:eastAsia="Symbol" w:cs="Times New Roman"/>
                <w:noProof/>
              </w:rPr>
            </w:pPr>
            <w:r>
              <w:rPr>
                <w:noProof/>
              </w:rPr>
              <w:t>Wejście w życie rozporządzenia ustanawiającego gwarancje pochodzenia gazów odnawialnych</w:t>
            </w:r>
          </w:p>
        </w:tc>
        <w:tc>
          <w:tcPr>
            <w:tcW w:w="1275" w:type="dxa"/>
            <w:shd w:val="clear" w:color="auto" w:fill="C6EFCE"/>
            <w:noWrap/>
          </w:tcPr>
          <w:p w14:paraId="42C94EF3" w14:textId="6C9F8C85" w:rsidR="006578ED" w:rsidRDefault="00A1618E">
            <w:pPr>
              <w:pStyle w:val="P68B1DB1-Normal13"/>
              <w:spacing w:after="0" w:line="240" w:lineRule="auto"/>
              <w:jc w:val="center"/>
              <w:rPr>
                <w:rFonts w:eastAsia="Symbol" w:cs="Times New Roman"/>
                <w:noProof/>
              </w:rPr>
            </w:pPr>
            <w:r>
              <w:rPr>
                <w:noProof/>
              </w:rPr>
              <w:t>Przepis rozporządzenia wskazujący na wejście w życie rozporządzenia</w:t>
            </w:r>
          </w:p>
        </w:tc>
        <w:tc>
          <w:tcPr>
            <w:tcW w:w="851" w:type="dxa"/>
            <w:shd w:val="clear" w:color="auto" w:fill="C6EFCE"/>
            <w:noWrap/>
          </w:tcPr>
          <w:p w14:paraId="7AA3CD39"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63ABC34F"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78492FB3"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7C1816B5" w14:textId="398737D8"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444B82BA" w14:textId="77777777" w:rsidR="006578ED" w:rsidRDefault="00A1618E">
            <w:pPr>
              <w:pStyle w:val="P68B1DB1-Normal13"/>
              <w:spacing w:after="0" w:line="240" w:lineRule="auto"/>
              <w:jc w:val="center"/>
              <w:rPr>
                <w:rFonts w:eastAsia="Symbol" w:cs="Times New Roman"/>
                <w:noProof/>
              </w:rPr>
            </w:pPr>
            <w:r>
              <w:rPr>
                <w:noProof/>
              </w:rPr>
              <w:t>2022</w:t>
            </w:r>
          </w:p>
        </w:tc>
        <w:tc>
          <w:tcPr>
            <w:tcW w:w="7088" w:type="dxa"/>
            <w:shd w:val="clear" w:color="auto" w:fill="C6EFCE"/>
            <w:noWrap/>
          </w:tcPr>
          <w:p w14:paraId="0A48B93F" w14:textId="63BB2E27" w:rsidR="006578ED" w:rsidRDefault="00A1618E">
            <w:pPr>
              <w:pStyle w:val="P68B1DB1-Normal13"/>
              <w:spacing w:after="0" w:line="240" w:lineRule="auto"/>
              <w:jc w:val="both"/>
              <w:rPr>
                <w:rFonts w:eastAsia="Symbol" w:cs="Times New Roman"/>
                <w:noProof/>
              </w:rPr>
            </w:pPr>
            <w:r>
              <w:rPr>
                <w:noProof/>
              </w:rPr>
              <w:t>Wejście w życie rozporządzenia ustanawiającego krajowy system gwarancji pochodzenia gazów odnawialnych, w tym wodoru odnawialnego, zapewniającego 100 % energii odnawialnej. System, który ma zostać ustanowiony na mocy instrumentu regulacyjnego, obejmuje mianowanie krajowych organów wydających oraz przyjęcie sposobu zarządzania nimi; oraz mechanizm regulacyjny określający, w jaki sposób weryfikuje się odnawialne pochodzenie wodoru.</w:t>
            </w:r>
          </w:p>
        </w:tc>
      </w:tr>
      <w:tr w:rsidR="006578ED" w14:paraId="1F499200" w14:textId="77777777">
        <w:trPr>
          <w:trHeight w:val="309"/>
        </w:trPr>
        <w:tc>
          <w:tcPr>
            <w:tcW w:w="709" w:type="dxa"/>
            <w:shd w:val="clear" w:color="auto" w:fill="C6EFCE"/>
            <w:noWrap/>
          </w:tcPr>
          <w:p w14:paraId="0F7B3593" w14:textId="77777777" w:rsidR="006578ED" w:rsidRDefault="00A1618E">
            <w:pPr>
              <w:pStyle w:val="P68B1DB1-Normal13"/>
              <w:spacing w:after="0" w:line="240" w:lineRule="auto"/>
              <w:jc w:val="center"/>
              <w:rPr>
                <w:rFonts w:eastAsia="Symbol" w:cs="Times New Roman"/>
                <w:noProof/>
              </w:rPr>
            </w:pPr>
            <w:r>
              <w:rPr>
                <w:noProof/>
              </w:rPr>
              <w:t>131</w:t>
            </w:r>
          </w:p>
        </w:tc>
        <w:tc>
          <w:tcPr>
            <w:tcW w:w="851" w:type="dxa"/>
            <w:shd w:val="clear" w:color="auto" w:fill="C6EFCE"/>
            <w:noWrap/>
          </w:tcPr>
          <w:p w14:paraId="5A32E065" w14:textId="77777777" w:rsidR="006578ED" w:rsidRDefault="00A1618E">
            <w:pPr>
              <w:pStyle w:val="P68B1DB1-Normal13"/>
              <w:spacing w:after="0" w:line="240" w:lineRule="auto"/>
              <w:jc w:val="center"/>
              <w:rPr>
                <w:rFonts w:eastAsia="Symbol" w:cs="Times New Roman"/>
                <w:noProof/>
              </w:rPr>
            </w:pPr>
            <w:r>
              <w:rPr>
                <w:noProof/>
              </w:rPr>
              <w:t>C9.I1</w:t>
            </w:r>
          </w:p>
        </w:tc>
        <w:tc>
          <w:tcPr>
            <w:tcW w:w="850" w:type="dxa"/>
            <w:shd w:val="clear" w:color="auto" w:fill="C6EFCE"/>
            <w:noWrap/>
          </w:tcPr>
          <w:p w14:paraId="13D228FA" w14:textId="2D1D35B0" w:rsidR="006578ED" w:rsidRDefault="00AF6B91">
            <w:pPr>
              <w:pStyle w:val="P68B1DB1-Normal13"/>
              <w:spacing w:after="0" w:line="240" w:lineRule="auto"/>
              <w:jc w:val="center"/>
              <w:rPr>
                <w:rFonts w:eastAsia="Symbol" w:cs="Times New Roman"/>
                <w:noProof/>
              </w:rPr>
            </w:pPr>
            <w:r>
              <w:rPr>
                <w:noProof/>
              </w:rPr>
              <w:t>Cel</w:t>
            </w:r>
          </w:p>
        </w:tc>
        <w:tc>
          <w:tcPr>
            <w:tcW w:w="1560" w:type="dxa"/>
            <w:shd w:val="clear" w:color="auto" w:fill="C6EFCE"/>
            <w:noWrap/>
          </w:tcPr>
          <w:p w14:paraId="40537FCA" w14:textId="6AA9B240" w:rsidR="006578ED" w:rsidRDefault="00A1618E">
            <w:pPr>
              <w:pStyle w:val="P68B1DB1-Normal13"/>
              <w:spacing w:after="0" w:line="240" w:lineRule="auto"/>
              <w:rPr>
                <w:rFonts w:eastAsia="Symbol" w:cs="Times New Roman"/>
                <w:noProof/>
              </w:rPr>
            </w:pPr>
            <w:r>
              <w:rPr>
                <w:noProof/>
              </w:rPr>
              <w:t>Finansowanie MŚP w celu wzmocnienia łańcucha wartości w zakresie wodoru</w:t>
            </w:r>
          </w:p>
        </w:tc>
        <w:tc>
          <w:tcPr>
            <w:tcW w:w="1275" w:type="dxa"/>
            <w:shd w:val="clear" w:color="auto" w:fill="C6EFCE"/>
            <w:noWrap/>
          </w:tcPr>
          <w:p w14:paraId="2A1F701D" w14:textId="77777777" w:rsidR="006578ED" w:rsidRDefault="006578ED">
            <w:pPr>
              <w:spacing w:after="0" w:line="240" w:lineRule="auto"/>
              <w:jc w:val="center"/>
              <w:rPr>
                <w:rFonts w:ascii="Times New Roman" w:eastAsia="Symbol" w:hAnsi="Times New Roman" w:cs="Times New Roman"/>
                <w:noProof/>
                <w:sz w:val="18"/>
              </w:rPr>
            </w:pPr>
          </w:p>
        </w:tc>
        <w:tc>
          <w:tcPr>
            <w:tcW w:w="851" w:type="dxa"/>
            <w:shd w:val="clear" w:color="auto" w:fill="C6EFCE"/>
            <w:noWrap/>
          </w:tcPr>
          <w:p w14:paraId="092A1C54" w14:textId="77777777" w:rsidR="006578ED" w:rsidRDefault="00A1618E">
            <w:pPr>
              <w:pStyle w:val="P68B1DB1-Normal13"/>
              <w:spacing w:after="0" w:line="240" w:lineRule="auto"/>
              <w:jc w:val="center"/>
              <w:rPr>
                <w:rFonts w:eastAsia="Symbol" w:cs="Times New Roman"/>
                <w:noProof/>
              </w:rPr>
            </w:pPr>
            <w:r>
              <w:rPr>
                <w:noProof/>
              </w:rPr>
              <w:t>Liczba</w:t>
            </w:r>
          </w:p>
        </w:tc>
        <w:tc>
          <w:tcPr>
            <w:tcW w:w="567" w:type="dxa"/>
            <w:shd w:val="clear" w:color="auto" w:fill="C6EFCE"/>
            <w:noWrap/>
          </w:tcPr>
          <w:p w14:paraId="52ECD0D9" w14:textId="77777777" w:rsidR="006578ED" w:rsidRDefault="00A1618E">
            <w:pPr>
              <w:pStyle w:val="P68B1DB1-Normal13"/>
              <w:spacing w:after="0" w:line="240" w:lineRule="auto"/>
              <w:jc w:val="center"/>
              <w:rPr>
                <w:rFonts w:eastAsia="Symbol" w:cs="Times New Roman"/>
                <w:noProof/>
              </w:rPr>
            </w:pPr>
            <w:r>
              <w:rPr>
                <w:noProof/>
              </w:rPr>
              <w:t>0</w:t>
            </w:r>
          </w:p>
        </w:tc>
        <w:tc>
          <w:tcPr>
            <w:tcW w:w="567" w:type="dxa"/>
            <w:shd w:val="clear" w:color="auto" w:fill="C6EFCE"/>
            <w:noWrap/>
          </w:tcPr>
          <w:p w14:paraId="446DE71A" w14:textId="77777777" w:rsidR="006578ED" w:rsidRDefault="00A1618E">
            <w:pPr>
              <w:pStyle w:val="P68B1DB1-Normal13"/>
              <w:spacing w:after="0" w:line="240" w:lineRule="auto"/>
              <w:jc w:val="center"/>
              <w:rPr>
                <w:rFonts w:eastAsia="Symbol" w:cs="Times New Roman"/>
                <w:noProof/>
              </w:rPr>
            </w:pPr>
            <w:r>
              <w:rPr>
                <w:noProof/>
              </w:rPr>
              <w:t>10</w:t>
            </w:r>
          </w:p>
        </w:tc>
        <w:tc>
          <w:tcPr>
            <w:tcW w:w="425" w:type="dxa"/>
            <w:shd w:val="clear" w:color="auto" w:fill="C6EFCE"/>
            <w:noWrap/>
          </w:tcPr>
          <w:p w14:paraId="3AC58826" w14:textId="34F7D946"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064CBC82" w14:textId="77777777" w:rsidR="006578ED" w:rsidRDefault="00A1618E">
            <w:pPr>
              <w:pStyle w:val="P68B1DB1-Normal13"/>
              <w:spacing w:after="0" w:line="240" w:lineRule="auto"/>
              <w:jc w:val="center"/>
              <w:rPr>
                <w:rFonts w:eastAsia="Symbol" w:cs="Times New Roman"/>
                <w:noProof/>
              </w:rPr>
            </w:pPr>
            <w:r>
              <w:rPr>
                <w:noProof/>
              </w:rPr>
              <w:t>2023</w:t>
            </w:r>
          </w:p>
        </w:tc>
        <w:tc>
          <w:tcPr>
            <w:tcW w:w="7088" w:type="dxa"/>
            <w:shd w:val="clear" w:color="auto" w:fill="C6EFCE"/>
            <w:noWrap/>
          </w:tcPr>
          <w:p w14:paraId="56B43BD0" w14:textId="200D3816" w:rsidR="006578ED" w:rsidRDefault="00A1618E">
            <w:pPr>
              <w:pStyle w:val="P68B1DB1-Normal13"/>
              <w:spacing w:after="0" w:line="240" w:lineRule="auto"/>
              <w:jc w:val="both"/>
              <w:rPr>
                <w:rFonts w:eastAsia="Symbol" w:cs="Times New Roman"/>
                <w:noProof/>
              </w:rPr>
            </w:pPr>
            <w:r>
              <w:rPr>
                <w:noProof/>
              </w:rPr>
              <w:t>Co najmniej dziesięć MŚP sfinansowanych w celu wzmocnienia i wzmocnienia istniejącego hiszpańskiego łańcucha wartości w zakresie wodoru poprzez wzmocnienie co najmniej jednej z następujących cech: zdolności produkcyjne, umiejętności, konkurencyjność, transfer wiedzy i technologii, wymiar międzynarodowy.</w:t>
            </w:r>
          </w:p>
        </w:tc>
      </w:tr>
      <w:tr w:rsidR="006578ED" w14:paraId="1C5EFDF2" w14:textId="77777777">
        <w:trPr>
          <w:trHeight w:val="309"/>
        </w:trPr>
        <w:tc>
          <w:tcPr>
            <w:tcW w:w="709" w:type="dxa"/>
            <w:shd w:val="clear" w:color="auto" w:fill="C6EFCE"/>
            <w:noWrap/>
          </w:tcPr>
          <w:p w14:paraId="4B9E354E" w14:textId="77777777" w:rsidR="006578ED" w:rsidRDefault="00A1618E">
            <w:pPr>
              <w:pStyle w:val="P68B1DB1-Normal13"/>
              <w:spacing w:after="0" w:line="240" w:lineRule="auto"/>
              <w:jc w:val="center"/>
              <w:rPr>
                <w:rFonts w:eastAsia="Symbol" w:cs="Times New Roman"/>
                <w:noProof/>
              </w:rPr>
            </w:pPr>
            <w:r>
              <w:rPr>
                <w:noProof/>
              </w:rPr>
              <w:t>132</w:t>
            </w:r>
          </w:p>
        </w:tc>
        <w:tc>
          <w:tcPr>
            <w:tcW w:w="851" w:type="dxa"/>
            <w:shd w:val="clear" w:color="auto" w:fill="C6EFCE"/>
            <w:noWrap/>
          </w:tcPr>
          <w:p w14:paraId="2535655F" w14:textId="77777777" w:rsidR="006578ED" w:rsidRDefault="00A1618E">
            <w:pPr>
              <w:pStyle w:val="P68B1DB1-Normal13"/>
              <w:spacing w:after="0" w:line="240" w:lineRule="auto"/>
              <w:jc w:val="center"/>
              <w:rPr>
                <w:rFonts w:eastAsia="Symbol" w:cs="Times New Roman"/>
                <w:noProof/>
              </w:rPr>
            </w:pPr>
            <w:r>
              <w:rPr>
                <w:noProof/>
              </w:rPr>
              <w:t>C9.I1</w:t>
            </w:r>
          </w:p>
        </w:tc>
        <w:tc>
          <w:tcPr>
            <w:tcW w:w="850" w:type="dxa"/>
            <w:shd w:val="clear" w:color="auto" w:fill="C6EFCE"/>
            <w:noWrap/>
          </w:tcPr>
          <w:p w14:paraId="5E71A530" w14:textId="34ED862A" w:rsidR="006578ED" w:rsidRDefault="00AF6B91">
            <w:pPr>
              <w:pStyle w:val="P68B1DB1-Normal13"/>
              <w:spacing w:after="0" w:line="240" w:lineRule="auto"/>
              <w:jc w:val="center"/>
              <w:rPr>
                <w:rFonts w:eastAsia="Symbol" w:cs="Times New Roman"/>
                <w:noProof/>
              </w:rPr>
            </w:pPr>
            <w:r>
              <w:rPr>
                <w:noProof/>
              </w:rPr>
              <w:t>Cel</w:t>
            </w:r>
          </w:p>
        </w:tc>
        <w:tc>
          <w:tcPr>
            <w:tcW w:w="1560" w:type="dxa"/>
            <w:shd w:val="clear" w:color="auto" w:fill="C6EFCE"/>
            <w:noWrap/>
          </w:tcPr>
          <w:p w14:paraId="281138A0" w14:textId="64F2EB49" w:rsidR="006578ED" w:rsidRDefault="00A1618E">
            <w:pPr>
              <w:pStyle w:val="P68B1DB1-Normal13"/>
              <w:spacing w:after="0" w:line="240" w:lineRule="auto"/>
              <w:rPr>
                <w:rFonts w:eastAsia="Symbol" w:cs="Times New Roman"/>
                <w:noProof/>
              </w:rPr>
            </w:pPr>
            <w:r>
              <w:rPr>
                <w:noProof/>
              </w:rPr>
              <w:t xml:space="preserve">Rozwój technologiczny w łańcuchu wartości wodoru odnawialnego </w:t>
            </w:r>
          </w:p>
        </w:tc>
        <w:tc>
          <w:tcPr>
            <w:tcW w:w="1275" w:type="dxa"/>
            <w:shd w:val="clear" w:color="auto" w:fill="C6EFCE"/>
            <w:noWrap/>
          </w:tcPr>
          <w:p w14:paraId="03EFCA41" w14:textId="77777777" w:rsidR="006578ED" w:rsidRDefault="006578ED">
            <w:pPr>
              <w:spacing w:after="0" w:line="240" w:lineRule="auto"/>
              <w:jc w:val="center"/>
              <w:rPr>
                <w:rFonts w:ascii="Times New Roman" w:eastAsia="Symbol" w:hAnsi="Times New Roman" w:cs="Times New Roman"/>
                <w:noProof/>
                <w:sz w:val="18"/>
              </w:rPr>
            </w:pPr>
          </w:p>
        </w:tc>
        <w:tc>
          <w:tcPr>
            <w:tcW w:w="851" w:type="dxa"/>
            <w:shd w:val="clear" w:color="auto" w:fill="C6EFCE"/>
            <w:noWrap/>
          </w:tcPr>
          <w:p w14:paraId="4FA49C9E" w14:textId="77777777" w:rsidR="006578ED" w:rsidRDefault="00A1618E">
            <w:pPr>
              <w:pStyle w:val="P68B1DB1-Normal13"/>
              <w:spacing w:after="0" w:line="240" w:lineRule="auto"/>
              <w:jc w:val="center"/>
              <w:rPr>
                <w:rFonts w:eastAsia="Symbol" w:cs="Times New Roman"/>
                <w:noProof/>
              </w:rPr>
            </w:pPr>
            <w:r>
              <w:rPr>
                <w:noProof/>
              </w:rPr>
              <w:t>Liczba</w:t>
            </w:r>
          </w:p>
        </w:tc>
        <w:tc>
          <w:tcPr>
            <w:tcW w:w="567" w:type="dxa"/>
            <w:shd w:val="clear" w:color="auto" w:fill="C6EFCE"/>
            <w:noWrap/>
          </w:tcPr>
          <w:p w14:paraId="1FAB9ECC" w14:textId="77777777" w:rsidR="006578ED" w:rsidRDefault="00A1618E">
            <w:pPr>
              <w:pStyle w:val="P68B1DB1-Normal13"/>
              <w:spacing w:after="0" w:line="240" w:lineRule="auto"/>
              <w:jc w:val="center"/>
              <w:rPr>
                <w:rFonts w:eastAsia="Symbol" w:cs="Times New Roman"/>
                <w:noProof/>
              </w:rPr>
            </w:pPr>
            <w:r>
              <w:rPr>
                <w:noProof/>
              </w:rPr>
              <w:t>0</w:t>
            </w:r>
          </w:p>
        </w:tc>
        <w:tc>
          <w:tcPr>
            <w:tcW w:w="567" w:type="dxa"/>
            <w:shd w:val="clear" w:color="auto" w:fill="C6EFCE"/>
            <w:noWrap/>
          </w:tcPr>
          <w:p w14:paraId="1D0ADF7A" w14:textId="77777777" w:rsidR="006578ED" w:rsidRDefault="00A1618E">
            <w:pPr>
              <w:pStyle w:val="P68B1DB1-Normal13"/>
              <w:spacing w:after="0" w:line="240" w:lineRule="auto"/>
              <w:jc w:val="center"/>
              <w:rPr>
                <w:rFonts w:eastAsia="Symbol" w:cs="Times New Roman"/>
                <w:noProof/>
              </w:rPr>
            </w:pPr>
            <w:r>
              <w:rPr>
                <w:noProof/>
              </w:rPr>
              <w:t>5</w:t>
            </w:r>
          </w:p>
        </w:tc>
        <w:tc>
          <w:tcPr>
            <w:tcW w:w="425" w:type="dxa"/>
            <w:shd w:val="clear" w:color="auto" w:fill="C6EFCE"/>
            <w:noWrap/>
          </w:tcPr>
          <w:p w14:paraId="12684B35" w14:textId="61197272"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0E6A961E" w14:textId="77777777" w:rsidR="006578ED" w:rsidRDefault="00A1618E">
            <w:pPr>
              <w:pStyle w:val="P68B1DB1-Normal13"/>
              <w:spacing w:after="0" w:line="240" w:lineRule="auto"/>
              <w:jc w:val="center"/>
              <w:rPr>
                <w:rFonts w:eastAsia="Symbol" w:cs="Times New Roman"/>
                <w:noProof/>
              </w:rPr>
            </w:pPr>
            <w:r>
              <w:rPr>
                <w:noProof/>
              </w:rPr>
              <w:t>2023</w:t>
            </w:r>
          </w:p>
        </w:tc>
        <w:tc>
          <w:tcPr>
            <w:tcW w:w="7088" w:type="dxa"/>
            <w:shd w:val="clear" w:color="auto" w:fill="C6EFCE"/>
            <w:noWrap/>
          </w:tcPr>
          <w:p w14:paraId="58CA16E2" w14:textId="709C335E" w:rsidR="006578ED" w:rsidRDefault="00A1618E">
            <w:pPr>
              <w:pStyle w:val="P68B1DB1-Normal13"/>
              <w:spacing w:after="0" w:line="240" w:lineRule="auto"/>
              <w:jc w:val="both"/>
              <w:rPr>
                <w:rFonts w:eastAsia="Symbol" w:cs="Times New Roman"/>
                <w:noProof/>
              </w:rPr>
            </w:pPr>
            <w:r>
              <w:rPr>
                <w:noProof/>
              </w:rPr>
              <w:t>Co najmniej pięć rozwiązań technologicznych lub prototypów w całym finansowanym łańcuchu wartości wodoru odnawialnego. (Takie jak elektrolizery, sprężarki, zbiorniki magazynowe, ogniwa paliwowe i systemy transportowe oparte na wodorze) mogą obejmować „pierwsze” rozwiązania umożliwiające walidację nowego, rozszerzonego projektu lub prototypu związanego z produkcją, logistyką i zużyciem wodoru.</w:t>
            </w:r>
          </w:p>
        </w:tc>
      </w:tr>
      <w:tr w:rsidR="006578ED" w14:paraId="13C14E05" w14:textId="77777777">
        <w:trPr>
          <w:trHeight w:val="309"/>
        </w:trPr>
        <w:tc>
          <w:tcPr>
            <w:tcW w:w="709" w:type="dxa"/>
            <w:shd w:val="clear" w:color="auto" w:fill="C6EFCE"/>
            <w:noWrap/>
          </w:tcPr>
          <w:p w14:paraId="4F1384E9" w14:textId="77777777" w:rsidR="006578ED" w:rsidRDefault="00A1618E">
            <w:pPr>
              <w:pStyle w:val="P68B1DB1-Normal13"/>
              <w:spacing w:after="0" w:line="240" w:lineRule="auto"/>
              <w:jc w:val="center"/>
              <w:rPr>
                <w:rFonts w:cs="Times New Roman"/>
                <w:noProof/>
              </w:rPr>
            </w:pPr>
            <w:r>
              <w:rPr>
                <w:noProof/>
              </w:rPr>
              <w:t>133</w:t>
            </w:r>
          </w:p>
        </w:tc>
        <w:tc>
          <w:tcPr>
            <w:tcW w:w="851" w:type="dxa"/>
            <w:shd w:val="clear" w:color="auto" w:fill="C6EFCE"/>
            <w:noWrap/>
          </w:tcPr>
          <w:p w14:paraId="3A6C49DB" w14:textId="77777777" w:rsidR="006578ED" w:rsidRDefault="00A1618E">
            <w:pPr>
              <w:pStyle w:val="P68B1DB1-Normal13"/>
              <w:spacing w:after="0" w:line="240" w:lineRule="auto"/>
              <w:jc w:val="center"/>
              <w:rPr>
                <w:rFonts w:cs="Times New Roman"/>
                <w:noProof/>
              </w:rPr>
            </w:pPr>
            <w:r>
              <w:rPr>
                <w:noProof/>
              </w:rPr>
              <w:t>C9.I1</w:t>
            </w:r>
          </w:p>
        </w:tc>
        <w:tc>
          <w:tcPr>
            <w:tcW w:w="850" w:type="dxa"/>
            <w:shd w:val="clear" w:color="auto" w:fill="C6EFCE"/>
            <w:noWrap/>
          </w:tcPr>
          <w:p w14:paraId="1F655EAE" w14:textId="69DA6F07" w:rsidR="006578ED" w:rsidRDefault="00AF6B91">
            <w:pPr>
              <w:pStyle w:val="P68B1DB1-Normal13"/>
              <w:spacing w:after="0" w:line="240" w:lineRule="auto"/>
              <w:jc w:val="center"/>
              <w:rPr>
                <w:rFonts w:cs="Times New Roman"/>
                <w:noProof/>
              </w:rPr>
            </w:pPr>
            <w:r>
              <w:rPr>
                <w:noProof/>
              </w:rPr>
              <w:t>Cel</w:t>
            </w:r>
          </w:p>
        </w:tc>
        <w:tc>
          <w:tcPr>
            <w:tcW w:w="1560" w:type="dxa"/>
            <w:shd w:val="clear" w:color="auto" w:fill="C6EFCE"/>
            <w:noWrap/>
          </w:tcPr>
          <w:p w14:paraId="6C0D95C0" w14:textId="3D36B671" w:rsidR="006578ED" w:rsidRDefault="00A1618E">
            <w:pPr>
              <w:pStyle w:val="P68B1DB1-Normal13"/>
              <w:spacing w:after="0" w:line="240" w:lineRule="auto"/>
              <w:rPr>
                <w:rFonts w:cs="Times New Roman"/>
                <w:noProof/>
              </w:rPr>
            </w:pPr>
            <w:r>
              <w:rPr>
                <w:noProof/>
              </w:rPr>
              <w:t xml:space="preserve">Klastry wodoru odnawialnego (lub doliny) </w:t>
            </w:r>
          </w:p>
        </w:tc>
        <w:tc>
          <w:tcPr>
            <w:tcW w:w="1275" w:type="dxa"/>
            <w:shd w:val="clear" w:color="auto" w:fill="C6EFCE"/>
            <w:noWrap/>
          </w:tcPr>
          <w:p w14:paraId="5F96A722" w14:textId="77777777" w:rsidR="006578ED" w:rsidRDefault="006578ED">
            <w:pPr>
              <w:spacing w:after="0" w:line="240" w:lineRule="auto"/>
              <w:jc w:val="center"/>
              <w:rPr>
                <w:rFonts w:ascii="Times New Roman" w:hAnsi="Times New Roman" w:cs="Times New Roman"/>
                <w:noProof/>
                <w:sz w:val="18"/>
              </w:rPr>
            </w:pPr>
          </w:p>
        </w:tc>
        <w:tc>
          <w:tcPr>
            <w:tcW w:w="851" w:type="dxa"/>
            <w:shd w:val="clear" w:color="auto" w:fill="C6EFCE"/>
            <w:noWrap/>
          </w:tcPr>
          <w:p w14:paraId="0EE310A7" w14:textId="77777777" w:rsidR="006578ED" w:rsidRDefault="00A1618E">
            <w:pPr>
              <w:pStyle w:val="P68B1DB1-Normal13"/>
              <w:spacing w:after="0" w:line="240" w:lineRule="auto"/>
              <w:jc w:val="center"/>
              <w:rPr>
                <w:rFonts w:cs="Times New Roman"/>
                <w:noProof/>
              </w:rPr>
            </w:pPr>
            <w:r>
              <w:rPr>
                <w:noProof/>
              </w:rPr>
              <w:t>Liczba</w:t>
            </w:r>
          </w:p>
        </w:tc>
        <w:tc>
          <w:tcPr>
            <w:tcW w:w="567" w:type="dxa"/>
            <w:shd w:val="clear" w:color="auto" w:fill="C6EFCE"/>
            <w:noWrap/>
          </w:tcPr>
          <w:p w14:paraId="35306EB0" w14:textId="77777777" w:rsidR="006578ED" w:rsidRDefault="00A1618E">
            <w:pPr>
              <w:pStyle w:val="P68B1DB1-Normal13"/>
              <w:spacing w:after="0" w:line="240" w:lineRule="auto"/>
              <w:jc w:val="center"/>
              <w:rPr>
                <w:rFonts w:cs="Times New Roman"/>
                <w:noProof/>
              </w:rPr>
            </w:pPr>
            <w:r>
              <w:rPr>
                <w:noProof/>
              </w:rPr>
              <w:t>0</w:t>
            </w:r>
          </w:p>
        </w:tc>
        <w:tc>
          <w:tcPr>
            <w:tcW w:w="567" w:type="dxa"/>
            <w:shd w:val="clear" w:color="auto" w:fill="C6EFCE"/>
            <w:noWrap/>
          </w:tcPr>
          <w:p w14:paraId="78E884CA" w14:textId="77777777" w:rsidR="006578ED" w:rsidRDefault="00A1618E">
            <w:pPr>
              <w:pStyle w:val="P68B1DB1-Normal13"/>
              <w:spacing w:after="0" w:line="240" w:lineRule="auto"/>
              <w:jc w:val="center"/>
              <w:rPr>
                <w:rFonts w:cs="Times New Roman"/>
                <w:noProof/>
              </w:rPr>
            </w:pPr>
            <w:r>
              <w:rPr>
                <w:noProof/>
              </w:rPr>
              <w:t>2</w:t>
            </w:r>
          </w:p>
        </w:tc>
        <w:tc>
          <w:tcPr>
            <w:tcW w:w="425" w:type="dxa"/>
            <w:shd w:val="clear" w:color="auto" w:fill="C6EFCE"/>
            <w:noWrap/>
          </w:tcPr>
          <w:p w14:paraId="755C47E4" w14:textId="7CBCCB74"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57AA7494" w14:textId="77777777" w:rsidR="006578ED" w:rsidRDefault="00A1618E">
            <w:pPr>
              <w:pStyle w:val="P68B1DB1-Normal13"/>
              <w:spacing w:after="0" w:line="240" w:lineRule="auto"/>
              <w:jc w:val="center"/>
              <w:rPr>
                <w:rFonts w:cs="Times New Roman"/>
                <w:noProof/>
              </w:rPr>
            </w:pPr>
            <w:r>
              <w:rPr>
                <w:noProof/>
              </w:rPr>
              <w:t>2023</w:t>
            </w:r>
          </w:p>
        </w:tc>
        <w:tc>
          <w:tcPr>
            <w:tcW w:w="7088" w:type="dxa"/>
            <w:shd w:val="clear" w:color="auto" w:fill="C6EFCE"/>
            <w:noWrap/>
          </w:tcPr>
          <w:p w14:paraId="4ECB08D3" w14:textId="1F212AC4" w:rsidR="006578ED" w:rsidRDefault="00A1618E">
            <w:pPr>
              <w:pStyle w:val="P68B1DB1-Normal13"/>
              <w:spacing w:after="0" w:line="240" w:lineRule="auto"/>
              <w:jc w:val="both"/>
              <w:rPr>
                <w:rFonts w:cs="Times New Roman"/>
                <w:noProof/>
              </w:rPr>
            </w:pPr>
            <w:r>
              <w:rPr>
                <w:noProof/>
              </w:rPr>
              <w:t>Co najmniej dwa klastry wodoru odnawialnego (lub doliny) na potrzeby finansowanej integracji sektorowej. Klastry lub duże doliny wodorowe skupiają i integrują na szczeblu lokalnym podaż, dystrybucję (logistyka) i popyt na wodór odnawialny w określonych miejscach w celu wypierania szarego wodoru i paliw kopalnych.</w:t>
            </w:r>
          </w:p>
        </w:tc>
      </w:tr>
      <w:tr w:rsidR="006578ED" w14:paraId="694ABF21" w14:textId="77777777">
        <w:trPr>
          <w:trHeight w:val="309"/>
        </w:trPr>
        <w:tc>
          <w:tcPr>
            <w:tcW w:w="709" w:type="dxa"/>
            <w:shd w:val="clear" w:color="auto" w:fill="C6EFCE"/>
            <w:noWrap/>
          </w:tcPr>
          <w:p w14:paraId="5E7BE1F9" w14:textId="77777777" w:rsidR="006578ED" w:rsidRDefault="00A1618E">
            <w:pPr>
              <w:pStyle w:val="P68B1DB1-Normal13"/>
              <w:spacing w:after="0" w:line="240" w:lineRule="auto"/>
              <w:jc w:val="center"/>
              <w:rPr>
                <w:rFonts w:cs="Times New Roman"/>
                <w:noProof/>
              </w:rPr>
            </w:pPr>
            <w:r>
              <w:rPr>
                <w:noProof/>
              </w:rPr>
              <w:t>134</w:t>
            </w:r>
          </w:p>
        </w:tc>
        <w:tc>
          <w:tcPr>
            <w:tcW w:w="851" w:type="dxa"/>
            <w:shd w:val="clear" w:color="auto" w:fill="C6EFCE"/>
            <w:noWrap/>
          </w:tcPr>
          <w:p w14:paraId="6E05B520" w14:textId="77777777" w:rsidR="006578ED" w:rsidRDefault="00A1618E">
            <w:pPr>
              <w:pStyle w:val="P68B1DB1-Normal13"/>
              <w:spacing w:after="0" w:line="240" w:lineRule="auto"/>
              <w:jc w:val="center"/>
              <w:rPr>
                <w:rFonts w:cs="Times New Roman"/>
                <w:noProof/>
              </w:rPr>
            </w:pPr>
            <w:r>
              <w:rPr>
                <w:noProof/>
              </w:rPr>
              <w:t>C9.I1</w:t>
            </w:r>
          </w:p>
        </w:tc>
        <w:tc>
          <w:tcPr>
            <w:tcW w:w="850" w:type="dxa"/>
            <w:shd w:val="clear" w:color="auto" w:fill="C6EFCE"/>
            <w:noWrap/>
          </w:tcPr>
          <w:p w14:paraId="3557F291" w14:textId="612A0ED5" w:rsidR="006578ED" w:rsidRDefault="00AF6B91">
            <w:pPr>
              <w:pStyle w:val="P68B1DB1-Normal13"/>
              <w:spacing w:after="0" w:line="240" w:lineRule="auto"/>
              <w:jc w:val="center"/>
              <w:rPr>
                <w:rFonts w:cs="Times New Roman"/>
                <w:noProof/>
              </w:rPr>
            </w:pPr>
            <w:r>
              <w:rPr>
                <w:noProof/>
              </w:rPr>
              <w:t>Cel</w:t>
            </w:r>
          </w:p>
        </w:tc>
        <w:tc>
          <w:tcPr>
            <w:tcW w:w="1560" w:type="dxa"/>
            <w:shd w:val="clear" w:color="auto" w:fill="C6EFCE"/>
            <w:noWrap/>
          </w:tcPr>
          <w:p w14:paraId="5ED82443" w14:textId="7701EFBA" w:rsidR="006578ED" w:rsidRDefault="00A1618E">
            <w:pPr>
              <w:pStyle w:val="P68B1DB1-Normal13"/>
              <w:spacing w:after="0" w:line="240" w:lineRule="auto"/>
              <w:jc w:val="both"/>
              <w:rPr>
                <w:rFonts w:cs="Times New Roman"/>
                <w:noProof/>
              </w:rPr>
            </w:pPr>
            <w:r>
              <w:rPr>
                <w:noProof/>
              </w:rPr>
              <w:t xml:space="preserve">Projekty pionierskie dotyczące wodoru </w:t>
            </w:r>
          </w:p>
        </w:tc>
        <w:tc>
          <w:tcPr>
            <w:tcW w:w="1275" w:type="dxa"/>
            <w:shd w:val="clear" w:color="auto" w:fill="C6EFCE"/>
            <w:noWrap/>
          </w:tcPr>
          <w:p w14:paraId="5B95CD12" w14:textId="77777777" w:rsidR="006578ED" w:rsidRDefault="006578ED">
            <w:pPr>
              <w:spacing w:after="0" w:line="240" w:lineRule="auto"/>
              <w:jc w:val="center"/>
              <w:rPr>
                <w:rFonts w:ascii="Times New Roman" w:hAnsi="Times New Roman" w:cs="Times New Roman"/>
                <w:noProof/>
                <w:sz w:val="18"/>
              </w:rPr>
            </w:pPr>
          </w:p>
        </w:tc>
        <w:tc>
          <w:tcPr>
            <w:tcW w:w="851" w:type="dxa"/>
            <w:shd w:val="clear" w:color="auto" w:fill="C6EFCE"/>
            <w:noWrap/>
          </w:tcPr>
          <w:p w14:paraId="3BC66541" w14:textId="77777777" w:rsidR="006578ED" w:rsidRDefault="00A1618E">
            <w:pPr>
              <w:pStyle w:val="P68B1DB1-Normal13"/>
              <w:spacing w:after="0" w:line="240" w:lineRule="auto"/>
              <w:jc w:val="center"/>
              <w:rPr>
                <w:rFonts w:cs="Times New Roman"/>
                <w:noProof/>
              </w:rPr>
            </w:pPr>
            <w:r>
              <w:rPr>
                <w:noProof/>
              </w:rPr>
              <w:t>Liczba</w:t>
            </w:r>
          </w:p>
        </w:tc>
        <w:tc>
          <w:tcPr>
            <w:tcW w:w="567" w:type="dxa"/>
            <w:shd w:val="clear" w:color="auto" w:fill="C6EFCE"/>
            <w:noWrap/>
          </w:tcPr>
          <w:p w14:paraId="2EAC5A90" w14:textId="77777777" w:rsidR="006578ED" w:rsidRDefault="00A1618E">
            <w:pPr>
              <w:pStyle w:val="P68B1DB1-Normal13"/>
              <w:spacing w:after="0" w:line="240" w:lineRule="auto"/>
              <w:jc w:val="center"/>
              <w:rPr>
                <w:rFonts w:cs="Times New Roman"/>
                <w:noProof/>
              </w:rPr>
            </w:pPr>
            <w:r>
              <w:rPr>
                <w:noProof/>
              </w:rPr>
              <w:t>0</w:t>
            </w:r>
          </w:p>
        </w:tc>
        <w:tc>
          <w:tcPr>
            <w:tcW w:w="567" w:type="dxa"/>
            <w:shd w:val="clear" w:color="auto" w:fill="C6EFCE"/>
            <w:noWrap/>
          </w:tcPr>
          <w:p w14:paraId="3E1FE5D4" w14:textId="77777777" w:rsidR="006578ED" w:rsidRDefault="00A1618E">
            <w:pPr>
              <w:pStyle w:val="P68B1DB1-Normal13"/>
              <w:spacing w:after="0" w:line="240" w:lineRule="auto"/>
              <w:jc w:val="center"/>
              <w:rPr>
                <w:rFonts w:cs="Times New Roman"/>
                <w:noProof/>
              </w:rPr>
            </w:pPr>
            <w:r>
              <w:rPr>
                <w:noProof/>
              </w:rPr>
              <w:t>10</w:t>
            </w:r>
          </w:p>
        </w:tc>
        <w:tc>
          <w:tcPr>
            <w:tcW w:w="425" w:type="dxa"/>
            <w:shd w:val="clear" w:color="auto" w:fill="C6EFCE"/>
            <w:noWrap/>
          </w:tcPr>
          <w:p w14:paraId="1B37B511" w14:textId="3B20E8E0"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5D5D93FA" w14:textId="77777777" w:rsidR="006578ED" w:rsidRDefault="00A1618E">
            <w:pPr>
              <w:pStyle w:val="P68B1DB1-Normal13"/>
              <w:spacing w:after="0" w:line="240" w:lineRule="auto"/>
              <w:jc w:val="center"/>
              <w:rPr>
                <w:rFonts w:cs="Times New Roman"/>
                <w:noProof/>
              </w:rPr>
            </w:pPr>
            <w:r>
              <w:rPr>
                <w:noProof/>
              </w:rPr>
              <w:t>2023</w:t>
            </w:r>
          </w:p>
        </w:tc>
        <w:tc>
          <w:tcPr>
            <w:tcW w:w="7088" w:type="dxa"/>
            <w:shd w:val="clear" w:color="auto" w:fill="C6EFCE"/>
            <w:noWrap/>
          </w:tcPr>
          <w:p w14:paraId="15C23AD9" w14:textId="1117C26D" w:rsidR="006578ED" w:rsidRDefault="00A1618E">
            <w:pPr>
              <w:pStyle w:val="P68B1DB1-Normal13"/>
              <w:spacing w:after="0" w:line="240" w:lineRule="auto"/>
              <w:jc w:val="both"/>
              <w:rPr>
                <w:rFonts w:cs="Times New Roman"/>
                <w:noProof/>
              </w:rPr>
            </w:pPr>
            <w:r>
              <w:rPr>
                <w:noProof/>
              </w:rPr>
              <w:t>Sfinansowano co najmniej dziesięć pionierskich projektów. Obejmują one projekty zintegrowane, które obejmują produkcję, dystrybucję i zużycie wodoru odnawialnego w miejscach innych niż klastry. Projekty mogą obejmować integrację innych niezbędnych działań, takich jak badania oparte na wiedzy i zdolności.</w:t>
            </w:r>
          </w:p>
        </w:tc>
      </w:tr>
      <w:tr w:rsidR="006578ED" w14:paraId="1FCD4E4E" w14:textId="77777777">
        <w:trPr>
          <w:trHeight w:val="309"/>
        </w:trPr>
        <w:tc>
          <w:tcPr>
            <w:tcW w:w="709" w:type="dxa"/>
            <w:shd w:val="clear" w:color="auto" w:fill="C6EFCE"/>
            <w:noWrap/>
          </w:tcPr>
          <w:p w14:paraId="5B7F6EDA" w14:textId="77777777" w:rsidR="006578ED" w:rsidRDefault="00A1618E">
            <w:pPr>
              <w:pStyle w:val="P68B1DB1-Normal13"/>
              <w:spacing w:after="0" w:line="240" w:lineRule="auto"/>
              <w:jc w:val="center"/>
              <w:rPr>
                <w:rFonts w:cs="Times New Roman"/>
                <w:noProof/>
              </w:rPr>
            </w:pPr>
            <w:r>
              <w:rPr>
                <w:noProof/>
              </w:rPr>
              <w:t>135</w:t>
            </w:r>
          </w:p>
        </w:tc>
        <w:tc>
          <w:tcPr>
            <w:tcW w:w="851" w:type="dxa"/>
            <w:shd w:val="clear" w:color="auto" w:fill="C6EFCE"/>
            <w:noWrap/>
          </w:tcPr>
          <w:p w14:paraId="662347B1" w14:textId="77777777" w:rsidR="006578ED" w:rsidRDefault="00A1618E">
            <w:pPr>
              <w:pStyle w:val="P68B1DB1-Normal13"/>
              <w:spacing w:after="0" w:line="240" w:lineRule="auto"/>
              <w:jc w:val="center"/>
              <w:rPr>
                <w:rFonts w:cs="Times New Roman"/>
                <w:noProof/>
              </w:rPr>
            </w:pPr>
            <w:r>
              <w:rPr>
                <w:noProof/>
              </w:rPr>
              <w:t>C9.I1</w:t>
            </w:r>
          </w:p>
        </w:tc>
        <w:tc>
          <w:tcPr>
            <w:tcW w:w="850" w:type="dxa"/>
            <w:shd w:val="clear" w:color="auto" w:fill="C6EFCE"/>
            <w:noWrap/>
          </w:tcPr>
          <w:p w14:paraId="3330C96E" w14:textId="4B7CDFE8" w:rsidR="006578ED" w:rsidRDefault="00AF6B91">
            <w:pPr>
              <w:pStyle w:val="P68B1DB1-Normal13"/>
              <w:spacing w:after="0" w:line="240" w:lineRule="auto"/>
              <w:jc w:val="center"/>
              <w:rPr>
                <w:rFonts w:cs="Times New Roman"/>
                <w:noProof/>
              </w:rPr>
            </w:pPr>
            <w:r>
              <w:rPr>
                <w:noProof/>
              </w:rPr>
              <w:t>Cel</w:t>
            </w:r>
          </w:p>
        </w:tc>
        <w:tc>
          <w:tcPr>
            <w:tcW w:w="1560" w:type="dxa"/>
            <w:shd w:val="clear" w:color="auto" w:fill="C6EFCE"/>
            <w:noWrap/>
          </w:tcPr>
          <w:p w14:paraId="447F5240" w14:textId="77777777" w:rsidR="006578ED" w:rsidRDefault="00A1618E">
            <w:pPr>
              <w:pStyle w:val="P68B1DB1-Normal13"/>
              <w:spacing w:after="0" w:line="240" w:lineRule="auto"/>
              <w:jc w:val="both"/>
              <w:rPr>
                <w:rFonts w:cs="Times New Roman"/>
                <w:noProof/>
              </w:rPr>
            </w:pPr>
            <w:r>
              <w:rPr>
                <w:noProof/>
              </w:rPr>
              <w:t>Placówki badawcze lub nowe linie produkcyjne.</w:t>
            </w:r>
          </w:p>
        </w:tc>
        <w:tc>
          <w:tcPr>
            <w:tcW w:w="1275" w:type="dxa"/>
            <w:shd w:val="clear" w:color="auto" w:fill="C6EFCE"/>
            <w:noWrap/>
          </w:tcPr>
          <w:p w14:paraId="5220BBB2" w14:textId="77777777" w:rsidR="006578ED" w:rsidRDefault="006578ED">
            <w:pPr>
              <w:spacing w:after="0" w:line="240" w:lineRule="auto"/>
              <w:jc w:val="center"/>
              <w:rPr>
                <w:rFonts w:ascii="Times New Roman" w:hAnsi="Times New Roman" w:cs="Times New Roman"/>
                <w:noProof/>
                <w:sz w:val="18"/>
              </w:rPr>
            </w:pPr>
          </w:p>
        </w:tc>
        <w:tc>
          <w:tcPr>
            <w:tcW w:w="851" w:type="dxa"/>
            <w:shd w:val="clear" w:color="auto" w:fill="C6EFCE"/>
            <w:noWrap/>
          </w:tcPr>
          <w:p w14:paraId="0AFFA88C" w14:textId="77777777" w:rsidR="006578ED" w:rsidRDefault="00A1618E">
            <w:pPr>
              <w:pStyle w:val="P68B1DB1-Normal13"/>
              <w:spacing w:after="0" w:line="240" w:lineRule="auto"/>
              <w:jc w:val="center"/>
              <w:rPr>
                <w:rFonts w:cs="Times New Roman"/>
                <w:noProof/>
              </w:rPr>
            </w:pPr>
            <w:r>
              <w:rPr>
                <w:noProof/>
              </w:rPr>
              <w:t>Liczba</w:t>
            </w:r>
          </w:p>
        </w:tc>
        <w:tc>
          <w:tcPr>
            <w:tcW w:w="567" w:type="dxa"/>
            <w:shd w:val="clear" w:color="auto" w:fill="C6EFCE"/>
            <w:noWrap/>
          </w:tcPr>
          <w:p w14:paraId="26EE7DBF" w14:textId="77777777" w:rsidR="006578ED" w:rsidRDefault="00A1618E">
            <w:pPr>
              <w:pStyle w:val="P68B1DB1-Normal13"/>
              <w:spacing w:after="0" w:line="240" w:lineRule="auto"/>
              <w:jc w:val="center"/>
              <w:rPr>
                <w:rFonts w:cs="Times New Roman"/>
                <w:noProof/>
              </w:rPr>
            </w:pPr>
            <w:r>
              <w:rPr>
                <w:noProof/>
              </w:rPr>
              <w:t>0</w:t>
            </w:r>
          </w:p>
        </w:tc>
        <w:tc>
          <w:tcPr>
            <w:tcW w:w="567" w:type="dxa"/>
            <w:shd w:val="clear" w:color="auto" w:fill="C6EFCE"/>
            <w:noWrap/>
          </w:tcPr>
          <w:p w14:paraId="31830EAB" w14:textId="77777777" w:rsidR="006578ED" w:rsidRDefault="00A1618E">
            <w:pPr>
              <w:pStyle w:val="P68B1DB1-Normal13"/>
              <w:spacing w:after="0" w:line="240" w:lineRule="auto"/>
              <w:jc w:val="center"/>
              <w:rPr>
                <w:rFonts w:cs="Times New Roman"/>
                <w:noProof/>
              </w:rPr>
            </w:pPr>
            <w:r>
              <w:rPr>
                <w:noProof/>
              </w:rPr>
              <w:t>10</w:t>
            </w:r>
          </w:p>
        </w:tc>
        <w:tc>
          <w:tcPr>
            <w:tcW w:w="425" w:type="dxa"/>
            <w:shd w:val="clear" w:color="auto" w:fill="C6EFCE"/>
            <w:noWrap/>
          </w:tcPr>
          <w:p w14:paraId="2B258E0F" w14:textId="300BC9FB"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53ECD6F9" w14:textId="77777777" w:rsidR="006578ED" w:rsidRDefault="00A1618E">
            <w:pPr>
              <w:pStyle w:val="P68B1DB1-Normal13"/>
              <w:spacing w:after="0" w:line="240" w:lineRule="auto"/>
              <w:jc w:val="center"/>
              <w:rPr>
                <w:rFonts w:cs="Times New Roman"/>
                <w:noProof/>
              </w:rPr>
            </w:pPr>
            <w:r>
              <w:rPr>
                <w:noProof/>
              </w:rPr>
              <w:t>2023</w:t>
            </w:r>
          </w:p>
        </w:tc>
        <w:tc>
          <w:tcPr>
            <w:tcW w:w="7088" w:type="dxa"/>
            <w:shd w:val="clear" w:color="auto" w:fill="C6EFCE"/>
            <w:noWrap/>
          </w:tcPr>
          <w:p w14:paraId="56CF1166" w14:textId="4C6737C2" w:rsidR="006578ED" w:rsidRDefault="00A1618E">
            <w:pPr>
              <w:pStyle w:val="P68B1DB1-Normal13"/>
              <w:spacing w:after="0" w:line="240" w:lineRule="auto"/>
              <w:jc w:val="both"/>
              <w:rPr>
                <w:rFonts w:cs="Times New Roman"/>
                <w:noProof/>
              </w:rPr>
            </w:pPr>
            <w:r>
              <w:rPr>
                <w:noProof/>
              </w:rPr>
              <w:t>Co najmniej dziesięć finansowanych interwencji ukierunkowanych na poprawę obiektów badawczych lub wdrożenie nowych linii produkcyjnych. Interwencje</w:t>
            </w:r>
            <w:r w:rsidRPr="00A1618E">
              <w:rPr>
                <w:noProof/>
                <w:lang w:val="pl-PL"/>
              </w:rPr>
              <w:t>: 1</w:t>
            </w:r>
            <w:r>
              <w:rPr>
                <w:noProof/>
              </w:rPr>
              <w:t xml:space="preserve">) poprawa obiektów badawczych lub laboratoriów badawczych związanych z badaniami, rozwojem i innowacją lub powiązanego sprzętu; </w:t>
            </w:r>
            <w:r w:rsidRPr="00A1618E">
              <w:rPr>
                <w:noProof/>
                <w:lang w:val="pl-PL"/>
              </w:rPr>
              <w:t>lub 2</w:t>
            </w:r>
            <w:r>
              <w:rPr>
                <w:noProof/>
              </w:rPr>
              <w:t>) ulepszanie instalacji lub zamawianie nowych urządzeń (takich jak obrabiarki) lub technik produkcji systemów, urządzeń lub komponentów związanych z wodorem i ogniwami paliwowymi.</w:t>
            </w:r>
          </w:p>
        </w:tc>
      </w:tr>
      <w:tr w:rsidR="006578ED" w14:paraId="6FC9F33E" w14:textId="77777777">
        <w:trPr>
          <w:trHeight w:val="309"/>
        </w:trPr>
        <w:tc>
          <w:tcPr>
            <w:tcW w:w="709" w:type="dxa"/>
            <w:shd w:val="clear" w:color="auto" w:fill="C6EFCE"/>
            <w:noWrap/>
          </w:tcPr>
          <w:p w14:paraId="01BB90B5" w14:textId="77777777" w:rsidR="006578ED" w:rsidRDefault="00A1618E">
            <w:pPr>
              <w:pStyle w:val="P68B1DB1-Normal13"/>
              <w:spacing w:after="0" w:line="240" w:lineRule="auto"/>
              <w:jc w:val="center"/>
              <w:rPr>
                <w:rFonts w:cs="Times New Roman"/>
                <w:noProof/>
              </w:rPr>
            </w:pPr>
            <w:r>
              <w:rPr>
                <w:noProof/>
              </w:rPr>
              <w:t>136</w:t>
            </w:r>
          </w:p>
        </w:tc>
        <w:tc>
          <w:tcPr>
            <w:tcW w:w="851" w:type="dxa"/>
            <w:shd w:val="clear" w:color="auto" w:fill="C6EFCE"/>
            <w:noWrap/>
          </w:tcPr>
          <w:p w14:paraId="69297731" w14:textId="77777777" w:rsidR="006578ED" w:rsidRDefault="00A1618E">
            <w:pPr>
              <w:pStyle w:val="P68B1DB1-Normal13"/>
              <w:spacing w:after="0" w:line="240" w:lineRule="auto"/>
              <w:jc w:val="center"/>
              <w:rPr>
                <w:rFonts w:cs="Times New Roman"/>
                <w:noProof/>
              </w:rPr>
            </w:pPr>
            <w:r>
              <w:rPr>
                <w:noProof/>
              </w:rPr>
              <w:t>C9.I1</w:t>
            </w:r>
          </w:p>
        </w:tc>
        <w:tc>
          <w:tcPr>
            <w:tcW w:w="850" w:type="dxa"/>
            <w:shd w:val="clear" w:color="auto" w:fill="C6EFCE"/>
            <w:noWrap/>
          </w:tcPr>
          <w:p w14:paraId="49FACFB9" w14:textId="634E554D" w:rsidR="006578ED" w:rsidRDefault="00AF6B91">
            <w:pPr>
              <w:pStyle w:val="P68B1DB1-Normal13"/>
              <w:spacing w:after="0" w:line="240" w:lineRule="auto"/>
              <w:jc w:val="center"/>
              <w:rPr>
                <w:rFonts w:cs="Times New Roman"/>
                <w:noProof/>
              </w:rPr>
            </w:pPr>
            <w:r>
              <w:rPr>
                <w:noProof/>
              </w:rPr>
              <w:t>Cel</w:t>
            </w:r>
          </w:p>
        </w:tc>
        <w:tc>
          <w:tcPr>
            <w:tcW w:w="1560" w:type="dxa"/>
            <w:shd w:val="clear" w:color="auto" w:fill="C6EFCE"/>
            <w:noWrap/>
          </w:tcPr>
          <w:p w14:paraId="3E33FC8F" w14:textId="77777777" w:rsidR="006578ED" w:rsidRDefault="00A1618E">
            <w:pPr>
              <w:pStyle w:val="P68B1DB1-Normal13"/>
              <w:spacing w:after="0" w:line="240" w:lineRule="auto"/>
              <w:jc w:val="both"/>
              <w:rPr>
                <w:rFonts w:cs="Times New Roman"/>
                <w:noProof/>
              </w:rPr>
            </w:pPr>
            <w:r>
              <w:rPr>
                <w:noProof/>
              </w:rPr>
              <w:t>Dopuszczalna pojemność elektrolizerów</w:t>
            </w:r>
          </w:p>
        </w:tc>
        <w:tc>
          <w:tcPr>
            <w:tcW w:w="1275" w:type="dxa"/>
            <w:shd w:val="clear" w:color="auto" w:fill="C6EFCE"/>
            <w:noWrap/>
          </w:tcPr>
          <w:p w14:paraId="13CB595B" w14:textId="77777777" w:rsidR="006578ED" w:rsidRDefault="006578ED">
            <w:pPr>
              <w:spacing w:after="0" w:line="240" w:lineRule="auto"/>
              <w:jc w:val="center"/>
              <w:rPr>
                <w:rFonts w:ascii="Times New Roman" w:hAnsi="Times New Roman" w:cs="Times New Roman"/>
                <w:noProof/>
                <w:sz w:val="18"/>
              </w:rPr>
            </w:pPr>
          </w:p>
        </w:tc>
        <w:tc>
          <w:tcPr>
            <w:tcW w:w="851" w:type="dxa"/>
            <w:shd w:val="clear" w:color="auto" w:fill="C6EFCE"/>
            <w:noWrap/>
          </w:tcPr>
          <w:p w14:paraId="541F1B07" w14:textId="77777777" w:rsidR="006578ED" w:rsidRDefault="00A1618E">
            <w:pPr>
              <w:pStyle w:val="P68B1DB1-Normal13"/>
              <w:spacing w:after="0" w:line="240" w:lineRule="auto"/>
              <w:jc w:val="center"/>
              <w:rPr>
                <w:rFonts w:cs="Times New Roman"/>
                <w:noProof/>
              </w:rPr>
            </w:pPr>
            <w:r>
              <w:rPr>
                <w:noProof/>
              </w:rPr>
              <w:t>Liczba</w:t>
            </w:r>
          </w:p>
          <w:p w14:paraId="5F8575A9" w14:textId="77777777" w:rsidR="006578ED" w:rsidRDefault="00A1618E">
            <w:pPr>
              <w:pStyle w:val="P68B1DB1-Normal13"/>
              <w:spacing w:after="0" w:line="240" w:lineRule="auto"/>
              <w:jc w:val="center"/>
              <w:rPr>
                <w:rFonts w:cs="Times New Roman"/>
                <w:noProof/>
              </w:rPr>
            </w:pPr>
            <w:r>
              <w:rPr>
                <w:noProof/>
              </w:rPr>
              <w:t>(MW)</w:t>
            </w:r>
          </w:p>
        </w:tc>
        <w:tc>
          <w:tcPr>
            <w:tcW w:w="567" w:type="dxa"/>
            <w:shd w:val="clear" w:color="auto" w:fill="C6EFCE"/>
            <w:noWrap/>
          </w:tcPr>
          <w:p w14:paraId="5C0A68D0" w14:textId="77777777" w:rsidR="006578ED" w:rsidRDefault="00A1618E">
            <w:pPr>
              <w:pStyle w:val="P68B1DB1-Normal13"/>
              <w:spacing w:after="0" w:line="240" w:lineRule="auto"/>
              <w:jc w:val="center"/>
              <w:rPr>
                <w:rFonts w:cs="Times New Roman"/>
                <w:noProof/>
              </w:rPr>
            </w:pPr>
            <w:r>
              <w:rPr>
                <w:noProof/>
              </w:rPr>
              <w:t>0</w:t>
            </w:r>
          </w:p>
        </w:tc>
        <w:tc>
          <w:tcPr>
            <w:tcW w:w="567" w:type="dxa"/>
            <w:shd w:val="clear" w:color="auto" w:fill="C6EFCE"/>
            <w:noWrap/>
          </w:tcPr>
          <w:p w14:paraId="11BB722B" w14:textId="41471449" w:rsidR="006578ED" w:rsidRDefault="00A1618E">
            <w:pPr>
              <w:pStyle w:val="P68B1DB1-Normal13"/>
              <w:spacing w:after="0" w:line="240" w:lineRule="auto"/>
              <w:jc w:val="center"/>
              <w:rPr>
                <w:rFonts w:cs="Times New Roman"/>
                <w:noProof/>
              </w:rPr>
            </w:pPr>
            <w:r>
              <w:rPr>
                <w:noProof/>
              </w:rPr>
              <w:t>700</w:t>
            </w:r>
          </w:p>
        </w:tc>
        <w:tc>
          <w:tcPr>
            <w:tcW w:w="425" w:type="dxa"/>
            <w:shd w:val="clear" w:color="auto" w:fill="C6EFCE"/>
            <w:noWrap/>
          </w:tcPr>
          <w:p w14:paraId="7EBA18D0" w14:textId="5A99678B"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2EF6E9DD" w14:textId="77777777" w:rsidR="006578ED" w:rsidRDefault="00A1618E">
            <w:pPr>
              <w:pStyle w:val="P68B1DB1-Normal13"/>
              <w:spacing w:after="0" w:line="240" w:lineRule="auto"/>
              <w:jc w:val="center"/>
              <w:rPr>
                <w:rFonts w:cs="Times New Roman"/>
                <w:noProof/>
              </w:rPr>
            </w:pPr>
            <w:r>
              <w:rPr>
                <w:noProof/>
              </w:rPr>
              <w:t>2026</w:t>
            </w:r>
          </w:p>
        </w:tc>
        <w:tc>
          <w:tcPr>
            <w:tcW w:w="7088" w:type="dxa"/>
            <w:shd w:val="clear" w:color="auto" w:fill="C6EFCE"/>
            <w:noWrap/>
          </w:tcPr>
          <w:p w14:paraId="1AE03AEF" w14:textId="55B40166" w:rsidR="006578ED" w:rsidRDefault="00A1618E">
            <w:pPr>
              <w:pStyle w:val="P68B1DB1-Normal13"/>
              <w:spacing w:after="0" w:line="240" w:lineRule="auto"/>
              <w:jc w:val="both"/>
              <w:rPr>
                <w:rFonts w:cs="Times New Roman"/>
                <w:noProof/>
              </w:rPr>
            </w:pPr>
            <w:r>
              <w:rPr>
                <w:noProof/>
              </w:rPr>
              <w:t>Co najmniej 700 MW całkowitej pojemności elektrolizerów objętych zezwoleniem, w tym infrastruktury uzupełniającej. Akredytacja za pomocą jednego z trzech następujących środków: wprowadzenie do rejestru krajowego systemu gwarancji pochodzenia gazów odnawialnych lub zezwolenia administracyjnego dla obiektu wydanego przez właściwy organ lub ostatecznej decyzji inwestycyjnej (FID) dostarczonej przez beneficjenta.</w:t>
            </w:r>
          </w:p>
        </w:tc>
      </w:tr>
    </w:tbl>
    <w:p w14:paraId="6D9C8D39" w14:textId="77777777" w:rsidR="006578ED" w:rsidRDefault="006578ED">
      <w:pPr>
        <w:spacing w:before="120" w:after="120" w:line="240" w:lineRule="auto"/>
        <w:ind w:left="709"/>
        <w:jc w:val="both"/>
        <w:rPr>
          <w:rFonts w:ascii="Times New Roman" w:hAnsi="Times New Roman" w:cs="Times New Roman"/>
          <w:noProof/>
          <w:sz w:val="24"/>
        </w:rPr>
      </w:pPr>
    </w:p>
    <w:p w14:paraId="675E05EE"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417" w:right="1134" w:bottom="1417" w:left="1134" w:header="709" w:footer="709" w:gutter="0"/>
          <w:cols w:space="720"/>
          <w:docGrid w:linePitch="360"/>
        </w:sectPr>
      </w:pPr>
    </w:p>
    <w:p w14:paraId="5B1C3E22" w14:textId="5F2EDB9B" w:rsidR="006578ED" w:rsidRDefault="00A1618E">
      <w:pPr>
        <w:pStyle w:val="P68B1DB1-Heading12"/>
        <w:rPr>
          <w:rFonts w:cs="Times New Roman"/>
          <w:noProof/>
        </w:rPr>
      </w:pPr>
      <w:r>
        <w:rPr>
          <w:noProof/>
        </w:rPr>
        <w:t>J. KOMPONENT 10: Sprawiedliwa transformacja</w:t>
      </w:r>
    </w:p>
    <w:p w14:paraId="5BB6F28A" w14:textId="00D5733B" w:rsidR="006578ED" w:rsidRDefault="00A1618E">
      <w:pPr>
        <w:pStyle w:val="P68B1DB1-Normal22"/>
        <w:spacing w:before="120" w:after="120" w:line="240" w:lineRule="auto"/>
        <w:jc w:val="both"/>
        <w:rPr>
          <w:rFonts w:cs="Times New Roman"/>
          <w:noProof/>
        </w:rPr>
      </w:pPr>
      <w:r>
        <w:rPr>
          <w:noProof/>
        </w:rPr>
        <w:t>Ten element hiszpańskiego planu odbudowy i zwiększania odporności dotyczy skutków gospodarczych i społecznych na obszarach geograficznych dotkniętych zamykaniem elektrowni węglowych i elektrowni węglowych/jądrowych, które dodatkowo spotęgowały skutki pandemii COVID-19 i zamknięcie elektrowni cieplnych. Dodatkowym celem jest zmiana modelu produkcji i pobudzenie transformacji w celu wsparcia bardziej odpornego modelu gospodarczego i społecznego terytoriów na przyszłość. Strategia została opracowana równolegle z hiszpańskim planem terytorialnym Funduszu na rzecz Sprawiedliwej Transformacji (FST), który ma mieć szerszy zakres, dłuższy czas trwania i bardziej strategiczny nacisk na rozwój i wsparcie biznesowe.</w:t>
      </w:r>
    </w:p>
    <w:p w14:paraId="6C066958" w14:textId="39F59968" w:rsidR="006578ED" w:rsidRDefault="00A1618E">
      <w:pPr>
        <w:pStyle w:val="P68B1DB1-Normal4"/>
        <w:spacing w:before="120" w:after="120" w:line="240" w:lineRule="auto"/>
        <w:jc w:val="both"/>
        <w:rPr>
          <w:rFonts w:cs="Times New Roman"/>
          <w:noProof/>
        </w:rPr>
      </w:pPr>
      <w:r>
        <w:rPr>
          <w:noProof/>
        </w:rPr>
        <w:t xml:space="preserve">Komponent przyczynia się do realizacji zaleceń dla poszczególnych krajów związanych ze wspieraniem zatrudnienia poprzez środki mające na celu utrzymanie miejsc pracy, skuteczne zachęty do rekrutacji i rozwoju umiejętności (zalecenie dla poszczególnych krajów </w:t>
      </w:r>
      <w:r w:rsidRPr="00A1618E">
        <w:rPr>
          <w:noProof/>
          <w:lang w:val="pl-PL"/>
        </w:rPr>
        <w:t>nr 2</w:t>
      </w:r>
      <w:r>
        <w:rPr>
          <w:noProof/>
        </w:rPr>
        <w:t xml:space="preserve"> z 20</w:t>
      </w:r>
      <w:r w:rsidRPr="00A1618E">
        <w:rPr>
          <w:noProof/>
          <w:lang w:val="pl-PL"/>
        </w:rPr>
        <w:t>20 r.</w:t>
      </w:r>
      <w:r>
        <w:rPr>
          <w:noProof/>
        </w:rPr>
        <w:t xml:space="preserve">); promowanie inwestycji publicznych i prywatnych wspierających transformację ekologiczną (zalecenie dla poszczególnych krajów </w:t>
      </w:r>
      <w:r w:rsidRPr="00A1618E">
        <w:rPr>
          <w:noProof/>
          <w:lang w:val="pl-PL"/>
        </w:rPr>
        <w:t>nr 3</w:t>
      </w:r>
      <w:r>
        <w:rPr>
          <w:noProof/>
        </w:rPr>
        <w:t xml:space="preserve"> z 20</w:t>
      </w:r>
      <w:r w:rsidRPr="00A1618E">
        <w:rPr>
          <w:noProof/>
          <w:lang w:val="pl-PL"/>
        </w:rPr>
        <w:t>20 r.</w:t>
      </w:r>
      <w:r>
        <w:rPr>
          <w:noProof/>
        </w:rPr>
        <w:t xml:space="preserve">); oraz zacieśnienie współpracy na szczeblu administracji rządowej (zalecenie dla poszczególnych krajów </w:t>
      </w:r>
      <w:r w:rsidRPr="00A1618E">
        <w:rPr>
          <w:noProof/>
          <w:lang w:val="pl-PL"/>
        </w:rPr>
        <w:t>nr 4</w:t>
      </w:r>
      <w:r>
        <w:rPr>
          <w:noProof/>
        </w:rPr>
        <w:t xml:space="preserve"> z 20</w:t>
      </w:r>
      <w:r w:rsidRPr="00A1618E">
        <w:rPr>
          <w:noProof/>
          <w:lang w:val="pl-PL"/>
        </w:rPr>
        <w:t>19 r.</w:t>
      </w:r>
      <w:r>
        <w:rPr>
          <w:noProof/>
        </w:rPr>
        <w:t>).</w:t>
      </w:r>
    </w:p>
    <w:p w14:paraId="4A870DE6" w14:textId="54AEE509" w:rsidR="006578ED" w:rsidRDefault="00A1618E">
      <w:pPr>
        <w:pStyle w:val="P68B1DB1-Normal4"/>
        <w:spacing w:before="120" w:after="120" w:line="240" w:lineRule="auto"/>
        <w:jc w:val="both"/>
        <w:rPr>
          <w:rFonts w:cs="Times New Roman"/>
          <w:noProof/>
          <w:shd w:val="clear" w:color="auto" w:fill="FFFFF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42759D05" w14:textId="420228FF" w:rsidR="006578ED" w:rsidRDefault="00A1618E">
      <w:pPr>
        <w:pStyle w:val="P68B1DB1-Normal5"/>
        <w:spacing w:before="120" w:after="120" w:line="240" w:lineRule="auto"/>
        <w:ind w:left="709"/>
        <w:jc w:val="both"/>
        <w:rPr>
          <w:rFonts w:cs="Times New Roman"/>
          <w:i/>
          <w:noProof/>
        </w:rPr>
      </w:pPr>
      <w:r>
        <w:rPr>
          <w:noProof/>
        </w:rPr>
        <w:t xml:space="preserve">J.1. </w:t>
      </w:r>
      <w:r>
        <w:rPr>
          <w:noProof/>
        </w:rPr>
        <w:tab/>
        <w:t>Opis reform i inwestycji, które mają być finansowane z bezzwrotnego wsparcia finansowego</w:t>
      </w:r>
    </w:p>
    <w:p w14:paraId="7BF9F8E3" w14:textId="77777777" w:rsidR="006578ED" w:rsidRDefault="00A1618E">
      <w:pPr>
        <w:pStyle w:val="P68B1DB1-Normal23"/>
        <w:spacing w:before="120" w:after="120" w:line="240" w:lineRule="auto"/>
        <w:jc w:val="both"/>
        <w:rPr>
          <w:rFonts w:cs="Times New Roman"/>
          <w:noProof/>
        </w:rPr>
      </w:pPr>
      <w:r>
        <w:rPr>
          <w:noProof/>
        </w:rPr>
        <w:t>Reforma 1 (C10.R1) – Protokoły sprawiedliwej transformacji</w:t>
      </w:r>
    </w:p>
    <w:p w14:paraId="71CB9634" w14:textId="4342B470" w:rsidR="006578ED" w:rsidRDefault="00A1618E">
      <w:pPr>
        <w:pStyle w:val="P68B1DB1-Normal22"/>
        <w:spacing w:before="120" w:after="120" w:line="240" w:lineRule="auto"/>
        <w:jc w:val="both"/>
        <w:rPr>
          <w:rFonts w:cs="Times New Roman"/>
          <w:noProof/>
        </w:rPr>
      </w:pPr>
      <w:r>
        <w:rPr>
          <w:noProof/>
        </w:rPr>
        <w:t>W lutym 20</w:t>
      </w:r>
      <w:r w:rsidRPr="00A1618E">
        <w:rPr>
          <w:noProof/>
          <w:lang w:val="pl-PL"/>
        </w:rPr>
        <w:t>20 r.</w:t>
      </w:r>
      <w:r>
        <w:rPr>
          <w:noProof/>
        </w:rPr>
        <w:t xml:space="preserve"> rząd zatwierdził strategię sprawiedliwej transformacji odzwierciedloną w krajowym planie w dziedzinie energii i klimatu. W kontekście niniejszej strategii oraz w ramach hiszpańskiego planu odbudowy i zwiększania odporności reforma ta ustanawia 12 protokołów sprawiedliwej transformacji obejmujących każdy obszar, którego dotyczy zamknięcie elektrowni węglowych i elektrowni węglowych. Każdy z protokołów Funduszu na rzecz Sprawiedliwej Transformacji obejmuje co najmniej obszar, którego dotyczy zamknięcie elektrowni węglowej. Protokoły określają kompleksowe i szczegółowe terytorialne plany działania jako narzędzia zrównoważenia środowiskowego, gospodarczego i społecznego dotkniętych terytoriów. Nacisk kładzie się m.in. </w:t>
      </w:r>
      <w:r>
        <w:rPr>
          <w:i/>
          <w:noProof/>
        </w:rPr>
        <w:t>na utrzymanie</w:t>
      </w:r>
      <w:r>
        <w:rPr>
          <w:noProof/>
        </w:rPr>
        <w:t xml:space="preserve"> i tworzenie miejsc pracy, promowanie dywersyfikacji i specjalizacji, zwiększenie atrakcyjności obszarów do walki z wyludnianiem oraz odbudowę środowiska. Protokoły te obejmują współpracę odpowiednich podmiotów lokalnych (publicznych i prywatnych, w tym przedsiębiorstw, partnerów społecznych, sektora edukacji, organizacji pozarządowych itp.). </w:t>
      </w:r>
    </w:p>
    <w:p w14:paraId="4B3369C9" w14:textId="0EC2D97F" w:rsidR="006578ED" w:rsidRDefault="00A1618E">
      <w:pPr>
        <w:pStyle w:val="P68B1DB1-Normal22"/>
        <w:spacing w:before="120" w:after="120" w:line="240" w:lineRule="auto"/>
        <w:jc w:val="both"/>
        <w:rPr>
          <w:rFonts w:cs="Times New Roman"/>
          <w:noProof/>
        </w:rPr>
      </w:pPr>
      <w:r>
        <w:rPr>
          <w:noProof/>
        </w:rPr>
        <w:t xml:space="preserve">Reforma ta obejmuje również ustanowienie Instytutu Sprawiedliwej Transformacji. Celem Instytutu jest określenie i przyjęcie działań gwarantujących sprawiedliwe traktowanie pracowników i terytoriów dotkniętych przejściem na gospodarkę niskoemisyjną, minimalizację negatywnego wpływu na zatrudnienie i ludność tych terytoriów oraz optymalizację możliwości związanych z procesem transformacji. Do głównych zadań Instytutu należy promowanie kształtowania polityki przemysłowej, badania i rozwój, promowanie działalności gospodarczej, zatrudnienia i szkolenia zawodowego. </w:t>
      </w:r>
    </w:p>
    <w:p w14:paraId="12C249A7" w14:textId="46347354" w:rsidR="006578ED" w:rsidRDefault="00A1618E">
      <w:pPr>
        <w:pStyle w:val="P68B1DB1-Normal22"/>
        <w:spacing w:before="120" w:after="120" w:line="240" w:lineRule="auto"/>
        <w:jc w:val="both"/>
        <w:rPr>
          <w:rFonts w:cs="Times New Roman"/>
          <w:noProof/>
        </w:rPr>
      </w:pPr>
      <w:r>
        <w:rPr>
          <w:noProof/>
        </w:rPr>
        <w:t xml:space="preserve">Środek ten obejmuje również utworzenie komitetu doradczego złożonego z przedstawicieli departamentów ministerialnych oraz przedstawicieli władz lokalnych i regionalnych, który będzie doradzał i oceniał wpływ polityki sprawiedliwej transformacji. </w:t>
      </w:r>
    </w:p>
    <w:p w14:paraId="36F54EEC" w14:textId="5DC7BBD8" w:rsidR="006578ED" w:rsidRDefault="00A1618E">
      <w:pPr>
        <w:pStyle w:val="P68B1DB1-Normal22"/>
        <w:spacing w:before="120" w:after="120" w:line="240" w:lineRule="auto"/>
        <w:jc w:val="both"/>
        <w:rPr>
          <w:rFonts w:cs="Times New Roman"/>
          <w:noProof/>
        </w:rPr>
      </w:pPr>
      <w:r>
        <w:rPr>
          <w:noProof/>
        </w:rPr>
        <w:t>Wdrożenie środka należy zakończyć do dnia 30 czerwca 20</w:t>
      </w:r>
      <w:r w:rsidRPr="00A1618E">
        <w:rPr>
          <w:noProof/>
          <w:lang w:val="pl-PL"/>
        </w:rPr>
        <w:t>23 r.</w:t>
      </w:r>
    </w:p>
    <w:p w14:paraId="209E9848" w14:textId="77777777" w:rsidR="006578ED" w:rsidRDefault="00A1618E">
      <w:pPr>
        <w:pStyle w:val="P68B1DB1-Normal23"/>
        <w:spacing w:before="120" w:after="120" w:line="240" w:lineRule="auto"/>
        <w:jc w:val="both"/>
        <w:rPr>
          <w:rFonts w:cs="Times New Roman"/>
          <w:noProof/>
        </w:rPr>
      </w:pPr>
      <w:r>
        <w:rPr>
          <w:noProof/>
        </w:rPr>
        <w:t>Inwestycje 1 (C10.I1) – Inwestycje na rzecz sprawiedliwej transformacji</w:t>
      </w:r>
    </w:p>
    <w:p w14:paraId="121B1291" w14:textId="6EF225E5" w:rsidR="006578ED" w:rsidRDefault="00A1618E">
      <w:pPr>
        <w:pStyle w:val="P68B1DB1-Normal22"/>
        <w:spacing w:before="120" w:after="120" w:line="240" w:lineRule="auto"/>
        <w:jc w:val="both"/>
        <w:rPr>
          <w:rFonts w:cs="Times New Roman"/>
          <w:noProof/>
        </w:rPr>
      </w:pPr>
      <w:r>
        <w:rPr>
          <w:noProof/>
        </w:rPr>
        <w:t xml:space="preserve">Protokołach sprawiedliwej transformacji towarzyszą inwestycje na tych terytoriach w celu: </w:t>
      </w:r>
    </w:p>
    <w:p w14:paraId="3F06503D" w14:textId="41185B07" w:rsidR="006578ED" w:rsidRDefault="00A1618E">
      <w:pPr>
        <w:pStyle w:val="P68B1DB1-Normal22"/>
        <w:numPr>
          <w:ilvl w:val="0"/>
          <w:numId w:val="105"/>
        </w:numPr>
        <w:spacing w:before="120" w:after="120" w:line="240" w:lineRule="auto"/>
        <w:jc w:val="both"/>
        <w:rPr>
          <w:rFonts w:cs="Times New Roman"/>
          <w:noProof/>
        </w:rPr>
      </w:pPr>
      <w:r>
        <w:rPr>
          <w:noProof/>
        </w:rPr>
        <w:t xml:space="preserve">tworzenie miejsc pracy i wspieranie działalności krótkoterminowej; </w:t>
      </w:r>
    </w:p>
    <w:p w14:paraId="3E748B07" w14:textId="6F3D7D13" w:rsidR="006578ED" w:rsidRDefault="00A1618E">
      <w:pPr>
        <w:pStyle w:val="P68B1DB1-Normal22"/>
        <w:numPr>
          <w:ilvl w:val="0"/>
          <w:numId w:val="105"/>
        </w:numPr>
        <w:spacing w:before="120" w:after="120" w:line="240" w:lineRule="auto"/>
        <w:jc w:val="both"/>
        <w:rPr>
          <w:rFonts w:cs="Times New Roman"/>
          <w:noProof/>
        </w:rPr>
      </w:pPr>
      <w:r>
        <w:rPr>
          <w:noProof/>
        </w:rPr>
        <w:t>przyspieszenie zmian poprzez skupienie się na projektach pilotażowych na mniejszą skalę, które – jeżeli zostaną uznane za skuteczne – zostałyby rozszerzone w kontekście FST; oraz</w:t>
      </w:r>
    </w:p>
    <w:p w14:paraId="15A0C0C7" w14:textId="75A548B5" w:rsidR="006578ED" w:rsidRDefault="00A1618E">
      <w:pPr>
        <w:pStyle w:val="P68B1DB1-Normal22"/>
        <w:numPr>
          <w:ilvl w:val="0"/>
          <w:numId w:val="105"/>
        </w:numPr>
        <w:spacing w:before="120" w:after="120" w:line="240" w:lineRule="auto"/>
        <w:jc w:val="both"/>
        <w:rPr>
          <w:rFonts w:cs="Times New Roman"/>
          <w:noProof/>
        </w:rPr>
      </w:pPr>
      <w:r>
        <w:rPr>
          <w:noProof/>
        </w:rPr>
        <w:t xml:space="preserve">pobudzanie rozwoju gospodarczego, przyczyniając się do spójności społecznej i terytorialnej. </w:t>
      </w:r>
    </w:p>
    <w:p w14:paraId="0C490A71" w14:textId="77777777" w:rsidR="006578ED" w:rsidRDefault="00A1618E">
      <w:pPr>
        <w:pStyle w:val="P68B1DB1-Normal22"/>
        <w:spacing w:before="120" w:after="120" w:line="240" w:lineRule="auto"/>
        <w:jc w:val="both"/>
        <w:rPr>
          <w:rFonts w:cs="Times New Roman"/>
          <w:noProof/>
        </w:rPr>
      </w:pPr>
      <w:r>
        <w:rPr>
          <w:noProof/>
        </w:rPr>
        <w:t xml:space="preserve">Projekty są ukierunkowane na cztery konkretne obszary: </w:t>
      </w:r>
    </w:p>
    <w:p w14:paraId="0952D290" w14:textId="2FB3A54F" w:rsidR="006578ED" w:rsidRDefault="00A1618E">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 xml:space="preserve">Plany odbudowy środowiska (np. </w:t>
      </w:r>
      <w:r>
        <w:rPr>
          <w:noProof/>
        </w:rPr>
        <w:t>ponowne zalesianie lub rekultywacja roślinności)</w:t>
      </w:r>
      <w:r>
        <w:rPr>
          <w:noProof/>
          <w:shd w:val="clear" w:color="auto" w:fill="FFFFFF"/>
        </w:rPr>
        <w:t xml:space="preserve"> dla zamkniętych lub opuszczonych terenów górniczych oraz terenów o obniżonej jakości przylegających do elektrowni termicznych lub jądrowych, obejmujące co najmniej 2000 hektarów rekultywowanych terenów</w:t>
      </w:r>
      <w:r w:rsidRPr="00A1618E">
        <w:rPr>
          <w:noProof/>
          <w:shd w:val="clear" w:color="auto" w:fill="FFFFFF"/>
          <w:lang w:val="pl-PL"/>
        </w:rPr>
        <w:t>.</w:t>
      </w:r>
      <w:r w:rsidRPr="00A1618E">
        <w:rPr>
          <w:noProof/>
          <w:lang w:val="pl-PL"/>
        </w:rPr>
        <w:t xml:space="preserve"> </w:t>
      </w:r>
      <w:r w:rsidRPr="00A1618E">
        <w:rPr>
          <w:noProof/>
          <w:shd w:val="clear" w:color="auto" w:fill="FFFFFF"/>
          <w:lang w:val="pl-PL"/>
        </w:rPr>
        <w:t>W</w:t>
      </w:r>
      <w:r>
        <w:rPr>
          <w:noProof/>
          <w:shd w:val="clear" w:color="auto" w:fill="FFFFFF"/>
          <w:lang w:val="pl-PL"/>
        </w:rPr>
        <w:t> </w:t>
      </w:r>
      <w:r>
        <w:rPr>
          <w:noProof/>
          <w:shd w:val="clear" w:color="auto" w:fill="FFFFFF"/>
        </w:rPr>
        <w:t>ramach tych planów instalacje i instalacje górnicze mają zostać zdemontowane, a gleba ma być rekultywowana i poddana procesom ponownego zalesiania lub odnowy roślin, instalacjom wykorzystującym energię odnawialną lub ekoalternatywnym rozwojowi gospodarczemu;</w:t>
      </w:r>
    </w:p>
    <w:p w14:paraId="700ACC35" w14:textId="4F65B8B8" w:rsidR="006578ED" w:rsidRDefault="00A1618E">
      <w:pPr>
        <w:pStyle w:val="P68B1DB1-Normal4"/>
        <w:numPr>
          <w:ilvl w:val="0"/>
          <w:numId w:val="104"/>
        </w:numPr>
        <w:spacing w:before="120" w:after="120" w:line="240" w:lineRule="auto"/>
        <w:jc w:val="both"/>
        <w:rPr>
          <w:rFonts w:cs="Times New Roman"/>
          <w:noProof/>
        </w:rPr>
      </w:pPr>
      <w:r>
        <w:rPr>
          <w:noProof/>
          <w:shd w:val="clear" w:color="auto" w:fill="FFFFFF"/>
        </w:rPr>
        <w:t xml:space="preserve">Co najmniej </w:t>
      </w:r>
      <w:r>
        <w:rPr>
          <w:noProof/>
        </w:rPr>
        <w:t>130</w:t>
      </w:r>
      <w:r>
        <w:rPr>
          <w:noProof/>
          <w:shd w:val="clear" w:color="auto" w:fill="FFFFFF"/>
        </w:rPr>
        <w:t xml:space="preserve"> projektów w zakresie infrastruktury środowiskowej, cyfrowej i społecznej w gminach i na terytoriach przechodzących transformację w kierunku gospodarki niskoemisyjnej, na łączną kwotę inwestycji finansowych o wartości co najmniej 102 000 000 EUR. Projekty obejmują szereg obszarów, w tym: </w:t>
      </w:r>
      <w:r>
        <w:rPr>
          <w:noProof/>
        </w:rPr>
        <w:t>remont infrastruktury i budynków publicznych; innowacyjne projekty na rzecz komunikacji między gminami lub odizolowanymi obszarami mieszkalnymi w oparciu o rozwiązania w zakresie zrównoważonej mobilności oraz odbudowę i alternatywne wykorzystanie istniejącej infrastruktury transportowej; rekultywacja infrastruktury publicznej wspierającej gospodarkę o obiegu zamkniętym, w tym zakładów zbiorowego wytwarzania odpadów, ośrodków gospodarowania odpadami; projekty środowiskowe mające na celu rekultywację i poprawę stanu obszarów publicznych (takich jak rezerwaty, chodniki rzeczne lub nabrzeża i obszary interpretacji przyrody); infrastruktura cyfrowa i usługi cyfrowe na rzecz rozwoju spółdzielni produktów ekologicznych lub wspólnotowych programów wspólnych zakupów i sprzedaży przez internet.</w:t>
      </w:r>
    </w:p>
    <w:p w14:paraId="68A2ED79" w14:textId="64949CE0" w:rsidR="006578ED" w:rsidRDefault="00A1618E">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Wsparcie dwóch projektów w zakresie badań, rozwoju i innowacji w dziedzinie magazynowania energii i ekologicznego wodoru</w:t>
      </w:r>
      <w:r>
        <w:rPr>
          <w:noProof/>
        </w:rPr>
        <w:t>. Projekty mają na celu dostosowanie instalacji i laboratoriów CIUDEN (</w:t>
      </w:r>
      <w:r>
        <w:rPr>
          <w:i/>
          <w:noProof/>
        </w:rPr>
        <w:t xml:space="preserve">Ciudad de la Energía) </w:t>
      </w:r>
      <w:r>
        <w:rPr>
          <w:noProof/>
        </w:rPr>
        <w:t>– rządowej fundacji badawczej, rozwojowej i innowacyjnej utworzonej w Bierzo (Leon) przy Instytucie Sprawiedliwej Transformacji i w zależności od Ministerstwa ds. Transformacji Ekologicznej i Wyzwań Demograficznych – na potrzeby dwóch projektów BRI dotyczących produkcji zielonego wodoru i magazynowania energii; oraz</w:t>
      </w:r>
    </w:p>
    <w:p w14:paraId="30266114" w14:textId="4B776538" w:rsidR="006578ED" w:rsidRDefault="00A1618E">
      <w:pPr>
        <w:pStyle w:val="P68B1DB1-Normal4"/>
        <w:numPr>
          <w:ilvl w:val="0"/>
          <w:numId w:val="104"/>
        </w:numPr>
        <w:spacing w:before="120" w:after="120" w:line="240" w:lineRule="auto"/>
        <w:jc w:val="both"/>
        <w:rPr>
          <w:rFonts w:cs="Times New Roman"/>
          <w:noProof/>
          <w:shd w:val="clear" w:color="auto" w:fill="FFFFFF"/>
        </w:rPr>
      </w:pPr>
      <w:r>
        <w:rPr>
          <w:noProof/>
          <w:shd w:val="clear" w:color="auto" w:fill="FFFFFF"/>
        </w:rPr>
        <w:t xml:space="preserve">Wsparcie na rzecz przekwalifikowania i zwiększania szans na zatrudnienie pracowników i osób dotkniętych przejściem na gospodarkę niskoemisyjną, przy czym co najmniej </w:t>
      </w:r>
      <w:r>
        <w:rPr>
          <w:noProof/>
        </w:rPr>
        <w:t>840</w:t>
      </w:r>
      <w:r>
        <w:rPr>
          <w:noProof/>
          <w:shd w:val="clear" w:color="auto" w:fill="FFFFFF"/>
        </w:rPr>
        <w:t xml:space="preserve"> osób otrzymuje zindywidualizowaną pomoc w poszukiwaniu pracy lub</w:t>
      </w:r>
      <w:r>
        <w:rPr>
          <w:noProof/>
        </w:rPr>
        <w:t>ścieżki</w:t>
      </w:r>
      <w:r>
        <w:rPr>
          <w:noProof/>
          <w:shd w:val="clear" w:color="auto" w:fill="FFFFFF"/>
        </w:rPr>
        <w:t xml:space="preserve"> przekwalifikowania. Pomoc w przekwalifikowaniu powinna obejmować co najmniej następujące obszary: instalacja i </w:t>
      </w:r>
      <w:r>
        <w:rPr>
          <w:noProof/>
        </w:rPr>
        <w:t xml:space="preserve">konserwacja energii </w:t>
      </w:r>
      <w:r>
        <w:rPr>
          <w:noProof/>
          <w:shd w:val="clear" w:color="auto" w:fill="FFFFFF"/>
        </w:rPr>
        <w:t xml:space="preserve">ze źródeł odnawialnych (energia wiatrowa i fotowoltaiczna), rekultywacja i zarządzanie środowiskiem lub zintegrowana i energetyczna rekultywacja budynków mieszkalnych. </w:t>
      </w:r>
    </w:p>
    <w:p w14:paraId="0E19EE43" w14:textId="50F2829D" w:rsidR="006578ED" w:rsidRDefault="00A1618E">
      <w:pPr>
        <w:pStyle w:val="P68B1DB1-Normal4"/>
        <w:spacing w:before="120" w:after="120" w:line="240" w:lineRule="auto"/>
        <w:jc w:val="both"/>
        <w:rPr>
          <w:rFonts w:cs="Times New Roman"/>
          <w:b/>
          <w:noProof/>
          <w:u w:val="single"/>
        </w:rPr>
      </w:pPr>
      <w:r>
        <w:rPr>
          <w:noProof/>
        </w:rPr>
        <w:t>Realizacja inwestycji zakończy się do dnia 30 czerwca 20</w:t>
      </w:r>
      <w:r w:rsidRPr="00A1618E">
        <w:rPr>
          <w:noProof/>
          <w:lang w:val="pl-PL"/>
        </w:rPr>
        <w:t>26 r.</w:t>
      </w:r>
    </w:p>
    <w:p w14:paraId="12C670DD" w14:textId="4AED67A6" w:rsidR="006578ED" w:rsidRDefault="00A1618E">
      <w:pPr>
        <w:pStyle w:val="P68B1DB1-Normal5"/>
        <w:spacing w:before="120" w:after="120" w:line="240" w:lineRule="auto"/>
        <w:ind w:left="709"/>
        <w:jc w:val="both"/>
        <w:rPr>
          <w:rFonts w:cs="Times New Roman"/>
          <w:noProof/>
        </w:rPr>
      </w:pPr>
      <w:r>
        <w:rPr>
          <w:noProof/>
        </w:rPr>
        <w:t xml:space="preserve">J.2. </w:t>
      </w:r>
      <w:r>
        <w:rPr>
          <w:noProof/>
        </w:rPr>
        <w:tab/>
        <w:t>Kamienie milowe, wartości docelowe, wskaźniki i harmonogram monitorowania i realizacji na potrzeby bezzwrotnego wsparcia finansowego</w:t>
      </w:r>
    </w:p>
    <w:p w14:paraId="20264558" w14:textId="61F51860" w:rsidR="006578ED" w:rsidRDefault="00A1618E">
      <w:pPr>
        <w:pStyle w:val="P68B1DB1-Normal4"/>
        <w:spacing w:before="120" w:after="120" w:line="240" w:lineRule="auto"/>
        <w:rPr>
          <w:rFonts w:cs="Times New Roman"/>
          <w:noProof/>
        </w:rPr>
        <w:sectPr w:rsidR="006578ED" w:rsidSect="00EB7CC8">
          <w:headerReference w:type="even" r:id="rId210"/>
          <w:headerReference w:type="default" r:id="rId211"/>
          <w:footerReference w:type="even" r:id="rId212"/>
          <w:footerReference w:type="default" r:id="rId213"/>
          <w:headerReference w:type="first" r:id="rId214"/>
          <w:footerReference w:type="first" r:id="rId215"/>
          <w:pgSz w:w="11907" w:h="16839"/>
          <w:pgMar w:top="1134" w:right="1417" w:bottom="1134" w:left="1417" w:header="709" w:footer="709" w:gutter="0"/>
          <w:cols w:space="720"/>
          <w:docGrid w:linePitch="360"/>
        </w:sect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3261"/>
        <w:gridCol w:w="992"/>
        <w:gridCol w:w="850"/>
        <w:gridCol w:w="567"/>
        <w:gridCol w:w="709"/>
        <w:gridCol w:w="425"/>
        <w:gridCol w:w="567"/>
        <w:gridCol w:w="5529"/>
      </w:tblGrid>
      <w:tr w:rsidR="006578ED" w14:paraId="7C0B19A3" w14:textId="77777777">
        <w:trPr>
          <w:trHeight w:val="309"/>
          <w:tblHeader/>
        </w:trPr>
        <w:tc>
          <w:tcPr>
            <w:tcW w:w="709" w:type="dxa"/>
            <w:tcBorders>
              <w:bottom w:val="nil"/>
            </w:tcBorders>
            <w:shd w:val="clear" w:color="auto" w:fill="C6D9F1" w:themeFill="text2" w:themeFillTint="33"/>
            <w:noWrap/>
            <w:vAlign w:val="center"/>
          </w:tcPr>
          <w:p w14:paraId="47810258"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7A8A3BC4"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0E73BAB9" w14:textId="1A372916"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3261" w:type="dxa"/>
            <w:tcBorders>
              <w:bottom w:val="nil"/>
            </w:tcBorders>
            <w:shd w:val="clear" w:color="auto" w:fill="C6D9F1" w:themeFill="text2" w:themeFillTint="33"/>
            <w:noWrap/>
            <w:vAlign w:val="center"/>
          </w:tcPr>
          <w:p w14:paraId="0100A987" w14:textId="77777777" w:rsidR="006578ED" w:rsidRDefault="00A1618E">
            <w:pPr>
              <w:pStyle w:val="P68B1DB1-Normal12"/>
              <w:spacing w:after="0" w:line="240" w:lineRule="auto"/>
              <w:jc w:val="center"/>
              <w:rPr>
                <w:rFonts w:cs="Times New Roman"/>
                <w:noProof/>
              </w:rPr>
            </w:pPr>
            <w:r>
              <w:rPr>
                <w:noProof/>
              </w:rPr>
              <w:t>Nazwa</w:t>
            </w:r>
          </w:p>
        </w:tc>
        <w:tc>
          <w:tcPr>
            <w:tcW w:w="992" w:type="dxa"/>
            <w:tcBorders>
              <w:bottom w:val="nil"/>
            </w:tcBorders>
            <w:shd w:val="clear" w:color="auto" w:fill="C6D9F1" w:themeFill="text2" w:themeFillTint="33"/>
            <w:noWrap/>
            <w:vAlign w:val="center"/>
          </w:tcPr>
          <w:p w14:paraId="32563B3D"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126" w:type="dxa"/>
            <w:gridSpan w:val="3"/>
            <w:shd w:val="clear" w:color="auto" w:fill="C6D9F1" w:themeFill="text2" w:themeFillTint="33"/>
            <w:noWrap/>
            <w:vAlign w:val="center"/>
          </w:tcPr>
          <w:p w14:paraId="0DB55535"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4793D532" w14:textId="77777777" w:rsidR="006578ED" w:rsidRDefault="00A1618E">
            <w:pPr>
              <w:pStyle w:val="P68B1DB1-Normal12"/>
              <w:spacing w:after="0" w:line="240" w:lineRule="auto"/>
              <w:jc w:val="center"/>
              <w:rPr>
                <w:rFonts w:cs="Times New Roman"/>
                <w:noProof/>
              </w:rPr>
            </w:pPr>
            <w:r>
              <w:rPr>
                <w:noProof/>
              </w:rPr>
              <w:t>Czas</w:t>
            </w:r>
          </w:p>
        </w:tc>
        <w:tc>
          <w:tcPr>
            <w:tcW w:w="5529" w:type="dxa"/>
            <w:tcBorders>
              <w:bottom w:val="nil"/>
            </w:tcBorders>
            <w:shd w:val="clear" w:color="auto" w:fill="C6D9F1" w:themeFill="text2" w:themeFillTint="33"/>
            <w:noWrap/>
            <w:vAlign w:val="center"/>
          </w:tcPr>
          <w:p w14:paraId="1FA168C9" w14:textId="55A8AC80"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7A0970B9" w14:textId="77777777">
        <w:trPr>
          <w:trHeight w:val="309"/>
          <w:tblHeader/>
        </w:trPr>
        <w:tc>
          <w:tcPr>
            <w:tcW w:w="709" w:type="dxa"/>
            <w:tcBorders>
              <w:top w:val="nil"/>
            </w:tcBorders>
            <w:shd w:val="clear" w:color="auto" w:fill="C6D9F1" w:themeFill="text2" w:themeFillTint="33"/>
            <w:noWrap/>
          </w:tcPr>
          <w:p w14:paraId="2FC17F8B"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0A4F7224"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5AE48A43" w14:textId="77777777" w:rsidR="006578ED" w:rsidRDefault="006578ED">
            <w:pPr>
              <w:spacing w:after="0" w:line="240" w:lineRule="auto"/>
              <w:jc w:val="center"/>
              <w:rPr>
                <w:rFonts w:ascii="Times New Roman" w:hAnsi="Times New Roman" w:cs="Times New Roman"/>
                <w:b/>
                <w:noProof/>
                <w:sz w:val="18"/>
              </w:rPr>
            </w:pPr>
          </w:p>
        </w:tc>
        <w:tc>
          <w:tcPr>
            <w:tcW w:w="3261" w:type="dxa"/>
            <w:tcBorders>
              <w:top w:val="nil"/>
            </w:tcBorders>
            <w:shd w:val="clear" w:color="auto" w:fill="C6D9F1" w:themeFill="text2" w:themeFillTint="33"/>
            <w:noWrap/>
          </w:tcPr>
          <w:p w14:paraId="50F40DEB" w14:textId="77777777" w:rsidR="006578ED" w:rsidRDefault="006578ED">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77A52294"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524FBEBB"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tcPr>
          <w:p w14:paraId="774C8C57" w14:textId="77777777" w:rsidR="006578ED" w:rsidRDefault="00A1618E">
            <w:pPr>
              <w:pStyle w:val="P68B1DB1-Normal12"/>
              <w:spacing w:after="0" w:line="240" w:lineRule="auto"/>
              <w:jc w:val="center"/>
              <w:rPr>
                <w:rFonts w:cs="Times New Roman"/>
                <w:noProof/>
              </w:rPr>
            </w:pPr>
            <w:r>
              <w:rPr>
                <w:noProof/>
              </w:rPr>
              <w:t>Wartość wyjściowa</w:t>
            </w:r>
          </w:p>
        </w:tc>
        <w:tc>
          <w:tcPr>
            <w:tcW w:w="709" w:type="dxa"/>
            <w:shd w:val="clear" w:color="auto" w:fill="C6D9F1" w:themeFill="text2" w:themeFillTint="33"/>
            <w:noWrap/>
          </w:tcPr>
          <w:p w14:paraId="498E2A4F"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tcPr>
          <w:p w14:paraId="394D9DAB"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6A32D50D" w14:textId="77777777" w:rsidR="006578ED" w:rsidRDefault="00A1618E">
            <w:pPr>
              <w:pStyle w:val="P68B1DB1-Normal12"/>
              <w:spacing w:after="0" w:line="240" w:lineRule="auto"/>
              <w:jc w:val="center"/>
              <w:rPr>
                <w:rFonts w:cs="Times New Roman"/>
                <w:noProof/>
              </w:rPr>
            </w:pPr>
            <w:r>
              <w:rPr>
                <w:noProof/>
              </w:rPr>
              <w:t>Rok</w:t>
            </w:r>
          </w:p>
        </w:tc>
        <w:tc>
          <w:tcPr>
            <w:tcW w:w="5529" w:type="dxa"/>
            <w:tcBorders>
              <w:top w:val="nil"/>
            </w:tcBorders>
            <w:shd w:val="clear" w:color="auto" w:fill="C6D9F1" w:themeFill="text2" w:themeFillTint="33"/>
            <w:noWrap/>
          </w:tcPr>
          <w:p w14:paraId="007DCDA8" w14:textId="77777777" w:rsidR="006578ED" w:rsidRDefault="006578ED">
            <w:pPr>
              <w:spacing w:after="0" w:line="240" w:lineRule="auto"/>
              <w:rPr>
                <w:rFonts w:ascii="Times New Roman" w:hAnsi="Times New Roman" w:cs="Times New Roman"/>
                <w:b/>
                <w:noProof/>
                <w:sz w:val="18"/>
              </w:rPr>
            </w:pPr>
          </w:p>
        </w:tc>
      </w:tr>
      <w:tr w:rsidR="006578ED" w14:paraId="6BC71F45" w14:textId="77777777">
        <w:trPr>
          <w:trHeight w:val="309"/>
        </w:trPr>
        <w:tc>
          <w:tcPr>
            <w:tcW w:w="709" w:type="dxa"/>
            <w:shd w:val="clear" w:color="auto" w:fill="C6EFCE"/>
            <w:noWrap/>
          </w:tcPr>
          <w:p w14:paraId="41E5CE6F" w14:textId="77777777" w:rsidR="006578ED" w:rsidRDefault="00A1618E">
            <w:pPr>
              <w:pStyle w:val="P68B1DB1-Normal13"/>
              <w:spacing w:after="0" w:line="240" w:lineRule="auto"/>
              <w:jc w:val="center"/>
              <w:rPr>
                <w:rFonts w:eastAsia="Symbol" w:cs="Times New Roman"/>
                <w:noProof/>
              </w:rPr>
            </w:pPr>
            <w:r>
              <w:rPr>
                <w:noProof/>
              </w:rPr>
              <w:t>137</w:t>
            </w:r>
          </w:p>
        </w:tc>
        <w:tc>
          <w:tcPr>
            <w:tcW w:w="851" w:type="dxa"/>
            <w:shd w:val="clear" w:color="auto" w:fill="C6EFCE"/>
            <w:noWrap/>
          </w:tcPr>
          <w:p w14:paraId="79F6A2C5" w14:textId="77777777" w:rsidR="006578ED" w:rsidRDefault="00A1618E">
            <w:pPr>
              <w:pStyle w:val="P68B1DB1-Normal13"/>
              <w:spacing w:after="0" w:line="240" w:lineRule="auto"/>
              <w:jc w:val="center"/>
              <w:rPr>
                <w:rFonts w:eastAsia="Symbol" w:cs="Times New Roman"/>
                <w:noProof/>
              </w:rPr>
            </w:pPr>
            <w:r>
              <w:rPr>
                <w:noProof/>
              </w:rPr>
              <w:t>C10.R1</w:t>
            </w:r>
          </w:p>
        </w:tc>
        <w:tc>
          <w:tcPr>
            <w:tcW w:w="850" w:type="dxa"/>
            <w:shd w:val="clear" w:color="auto" w:fill="C6EFCE"/>
            <w:noWrap/>
          </w:tcPr>
          <w:p w14:paraId="720AF5AC" w14:textId="774FED81" w:rsidR="006578ED" w:rsidRDefault="00AF6B91">
            <w:pPr>
              <w:pStyle w:val="P68B1DB1-Normal13"/>
              <w:spacing w:after="0" w:line="240" w:lineRule="auto"/>
              <w:jc w:val="center"/>
              <w:rPr>
                <w:rFonts w:eastAsia="Symbol" w:cs="Times New Roman"/>
                <w:noProof/>
              </w:rPr>
            </w:pPr>
            <w:r>
              <w:rPr>
                <w:noProof/>
              </w:rPr>
              <w:t>Kamień milowy</w:t>
            </w:r>
          </w:p>
        </w:tc>
        <w:tc>
          <w:tcPr>
            <w:tcW w:w="3261" w:type="dxa"/>
            <w:shd w:val="clear" w:color="auto" w:fill="C6EFCE"/>
            <w:noWrap/>
          </w:tcPr>
          <w:p w14:paraId="7932CEC1" w14:textId="77777777" w:rsidR="006578ED" w:rsidRDefault="00A1618E">
            <w:pPr>
              <w:pStyle w:val="P68B1DB1-Normal13"/>
              <w:spacing w:after="0" w:line="240" w:lineRule="auto"/>
              <w:rPr>
                <w:rFonts w:eastAsia="Symbol" w:cs="Times New Roman"/>
                <w:noProof/>
              </w:rPr>
            </w:pPr>
            <w:r>
              <w:rPr>
                <w:noProof/>
              </w:rPr>
              <w:t xml:space="preserve">Utworzenie Instytutu Funduszu na rzecz Sprawiedliwej Transformacji </w:t>
            </w:r>
          </w:p>
        </w:tc>
        <w:tc>
          <w:tcPr>
            <w:tcW w:w="992" w:type="dxa"/>
            <w:shd w:val="clear" w:color="auto" w:fill="C6EFCE"/>
            <w:noWrap/>
          </w:tcPr>
          <w:p w14:paraId="713B5DF0" w14:textId="77777777" w:rsidR="006578ED" w:rsidRDefault="00A1618E">
            <w:pPr>
              <w:pStyle w:val="P68B1DB1-Normal13"/>
              <w:spacing w:after="0" w:line="240" w:lineRule="auto"/>
              <w:jc w:val="center"/>
              <w:rPr>
                <w:rFonts w:eastAsia="Symbol" w:cs="Times New Roman"/>
                <w:noProof/>
              </w:rPr>
            </w:pPr>
            <w:r>
              <w:rPr>
                <w:noProof/>
              </w:rPr>
              <w:t>Publikacja w Dz.U.</w:t>
            </w:r>
          </w:p>
        </w:tc>
        <w:tc>
          <w:tcPr>
            <w:tcW w:w="850" w:type="dxa"/>
            <w:shd w:val="clear" w:color="auto" w:fill="C6EFCE"/>
            <w:noWrap/>
          </w:tcPr>
          <w:p w14:paraId="606C22D1"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3079E7C0"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7C9FA973"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013C9489" w14:textId="364FDFC1" w:rsidR="006578ED" w:rsidRDefault="00EC188C">
            <w:pPr>
              <w:pStyle w:val="P68B1DB1-Normal13"/>
              <w:spacing w:after="0" w:line="240" w:lineRule="auto"/>
              <w:jc w:val="center"/>
              <w:rPr>
                <w:rFonts w:eastAsia="Symbol" w:cs="Times New Roman"/>
                <w:noProof/>
              </w:rPr>
            </w:pPr>
            <w:r>
              <w:rPr>
                <w:noProof/>
              </w:rPr>
              <w:t>KW. 1</w:t>
            </w:r>
          </w:p>
        </w:tc>
        <w:tc>
          <w:tcPr>
            <w:tcW w:w="567" w:type="dxa"/>
            <w:shd w:val="clear" w:color="auto" w:fill="C6EFCE"/>
            <w:noWrap/>
          </w:tcPr>
          <w:p w14:paraId="69044F9D" w14:textId="77777777" w:rsidR="006578ED" w:rsidRDefault="00A1618E">
            <w:pPr>
              <w:pStyle w:val="P68B1DB1-Normal13"/>
              <w:spacing w:after="0" w:line="240" w:lineRule="auto"/>
              <w:jc w:val="center"/>
              <w:rPr>
                <w:rFonts w:eastAsia="Symbol" w:cs="Times New Roman"/>
                <w:noProof/>
              </w:rPr>
            </w:pPr>
            <w:r>
              <w:rPr>
                <w:noProof/>
              </w:rPr>
              <w:t>2020</w:t>
            </w:r>
          </w:p>
        </w:tc>
        <w:tc>
          <w:tcPr>
            <w:tcW w:w="5529" w:type="dxa"/>
            <w:shd w:val="clear" w:color="auto" w:fill="C6EFCE"/>
            <w:noWrap/>
          </w:tcPr>
          <w:p w14:paraId="6A19AC23" w14:textId="37178A66" w:rsidR="006578ED" w:rsidRDefault="00A1618E">
            <w:pPr>
              <w:pStyle w:val="P68B1DB1-Normal13"/>
              <w:spacing w:after="0" w:line="240" w:lineRule="auto"/>
              <w:rPr>
                <w:rFonts w:eastAsia="Symbol" w:cs="Times New Roman"/>
                <w:noProof/>
              </w:rPr>
            </w:pPr>
            <w:r>
              <w:rPr>
                <w:noProof/>
              </w:rPr>
              <w:t xml:space="preserve">Dekretem królewskim </w:t>
            </w:r>
            <w:r w:rsidRPr="00A1618E">
              <w:rPr>
                <w:noProof/>
                <w:lang w:val="pl-PL"/>
              </w:rPr>
              <w:t>nr 5</w:t>
            </w:r>
            <w:r>
              <w:rPr>
                <w:noProof/>
              </w:rPr>
              <w:t>00/2020, utworzenie Instytutu Funduszu na rzecz Sprawiedliwej Transformacji. Celem Instytutu jest określenie i przyjęcie, w oparciu o solidarność, środków gwarantujących sprawiedliwe traktowanie pracowników i terytoriów dotkniętych przejściem na gospodarkę niskoemisyjną, minimalizację negatywnego wpływu na zatrudnienie i ludność tych terytoriów oraz optymalizację możliwości związanych z procesem transformacji.</w:t>
            </w:r>
          </w:p>
        </w:tc>
      </w:tr>
      <w:tr w:rsidR="006578ED" w14:paraId="114CF053" w14:textId="77777777">
        <w:trPr>
          <w:trHeight w:val="309"/>
        </w:trPr>
        <w:tc>
          <w:tcPr>
            <w:tcW w:w="709" w:type="dxa"/>
            <w:shd w:val="clear" w:color="auto" w:fill="C6EFCE"/>
            <w:noWrap/>
          </w:tcPr>
          <w:p w14:paraId="651B9F2F" w14:textId="77777777" w:rsidR="006578ED" w:rsidRDefault="00A1618E">
            <w:pPr>
              <w:pStyle w:val="P68B1DB1-Normal13"/>
              <w:spacing w:after="0" w:line="240" w:lineRule="auto"/>
              <w:jc w:val="center"/>
              <w:rPr>
                <w:rFonts w:eastAsia="Symbol" w:cs="Times New Roman"/>
                <w:noProof/>
              </w:rPr>
            </w:pPr>
            <w:r>
              <w:rPr>
                <w:noProof/>
              </w:rPr>
              <w:t>138</w:t>
            </w:r>
          </w:p>
        </w:tc>
        <w:tc>
          <w:tcPr>
            <w:tcW w:w="851" w:type="dxa"/>
            <w:shd w:val="clear" w:color="auto" w:fill="C6EFCE"/>
            <w:noWrap/>
          </w:tcPr>
          <w:p w14:paraId="0D72D8D7" w14:textId="77777777" w:rsidR="006578ED" w:rsidRDefault="00A1618E">
            <w:pPr>
              <w:pStyle w:val="P68B1DB1-Normal13"/>
              <w:spacing w:after="0" w:line="240" w:lineRule="auto"/>
              <w:jc w:val="center"/>
              <w:rPr>
                <w:rFonts w:eastAsia="Symbol" w:cs="Times New Roman"/>
                <w:noProof/>
              </w:rPr>
            </w:pPr>
            <w:r>
              <w:rPr>
                <w:noProof/>
              </w:rPr>
              <w:t>C10.R1</w:t>
            </w:r>
          </w:p>
        </w:tc>
        <w:tc>
          <w:tcPr>
            <w:tcW w:w="850" w:type="dxa"/>
            <w:shd w:val="clear" w:color="auto" w:fill="C6EFCE"/>
            <w:noWrap/>
          </w:tcPr>
          <w:p w14:paraId="673FD059" w14:textId="41C8E9FF" w:rsidR="006578ED" w:rsidRDefault="00AF6B91">
            <w:pPr>
              <w:pStyle w:val="P68B1DB1-Normal13"/>
              <w:spacing w:after="0" w:line="240" w:lineRule="auto"/>
              <w:jc w:val="center"/>
              <w:rPr>
                <w:rFonts w:eastAsia="Symbol" w:cs="Times New Roman"/>
                <w:noProof/>
              </w:rPr>
            </w:pPr>
            <w:r>
              <w:rPr>
                <w:noProof/>
              </w:rPr>
              <w:t>Cel</w:t>
            </w:r>
          </w:p>
        </w:tc>
        <w:tc>
          <w:tcPr>
            <w:tcW w:w="3261" w:type="dxa"/>
            <w:shd w:val="clear" w:color="auto" w:fill="C6EFCE"/>
            <w:noWrap/>
          </w:tcPr>
          <w:p w14:paraId="38CB7F22" w14:textId="4833DDD9" w:rsidR="006578ED" w:rsidRDefault="00A1618E">
            <w:pPr>
              <w:pStyle w:val="P68B1DB1-Normal13"/>
              <w:spacing w:after="0" w:line="240" w:lineRule="auto"/>
              <w:rPr>
                <w:rFonts w:eastAsia="Symbol" w:cs="Times New Roman"/>
                <w:noProof/>
              </w:rPr>
            </w:pPr>
            <w:r>
              <w:rPr>
                <w:noProof/>
              </w:rPr>
              <w:t xml:space="preserve">Protokoły sprawiedliwej transformacji i komitet doradczy </w:t>
            </w:r>
          </w:p>
        </w:tc>
        <w:tc>
          <w:tcPr>
            <w:tcW w:w="992" w:type="dxa"/>
            <w:shd w:val="clear" w:color="auto" w:fill="C6EFCE"/>
            <w:noWrap/>
          </w:tcPr>
          <w:p w14:paraId="1E3FF041" w14:textId="77777777" w:rsidR="006578ED" w:rsidRDefault="00A1618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44D3D206" w14:textId="77777777" w:rsidR="006578ED" w:rsidRDefault="00A1618E">
            <w:pPr>
              <w:pStyle w:val="P68B1DB1-Normal13"/>
              <w:spacing w:after="0" w:line="240" w:lineRule="auto"/>
              <w:jc w:val="right"/>
              <w:rPr>
                <w:rFonts w:eastAsia="Symbol" w:cs="Times New Roman"/>
                <w:noProof/>
              </w:rPr>
            </w:pPr>
            <w:r>
              <w:rPr>
                <w:noProof/>
              </w:rPr>
              <w:t>Liczba</w:t>
            </w:r>
          </w:p>
        </w:tc>
        <w:tc>
          <w:tcPr>
            <w:tcW w:w="567" w:type="dxa"/>
            <w:shd w:val="clear" w:color="auto" w:fill="C6EFCE"/>
            <w:noWrap/>
          </w:tcPr>
          <w:p w14:paraId="139BF1F3" w14:textId="77777777" w:rsidR="006578ED" w:rsidRDefault="00A1618E">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394C502F" w14:textId="77777777" w:rsidR="006578ED" w:rsidRDefault="00A1618E">
            <w:pPr>
              <w:pStyle w:val="P68B1DB1-Normal13"/>
              <w:spacing w:after="0" w:line="240" w:lineRule="auto"/>
              <w:jc w:val="right"/>
              <w:rPr>
                <w:rFonts w:eastAsia="Symbol" w:cs="Times New Roman"/>
                <w:noProof/>
              </w:rPr>
            </w:pPr>
            <w:r>
              <w:rPr>
                <w:noProof/>
              </w:rPr>
              <w:t>12</w:t>
            </w:r>
          </w:p>
        </w:tc>
        <w:tc>
          <w:tcPr>
            <w:tcW w:w="425" w:type="dxa"/>
            <w:shd w:val="clear" w:color="auto" w:fill="C6EFCE"/>
            <w:noWrap/>
          </w:tcPr>
          <w:p w14:paraId="5B76DFD6" w14:textId="29C70C62"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761C5FC8" w14:textId="77777777" w:rsidR="006578ED" w:rsidRDefault="00A1618E">
            <w:pPr>
              <w:pStyle w:val="P68B1DB1-Normal13"/>
              <w:spacing w:after="0" w:line="240" w:lineRule="auto"/>
              <w:jc w:val="center"/>
              <w:rPr>
                <w:rFonts w:eastAsia="Symbol" w:cs="Times New Roman"/>
                <w:noProof/>
              </w:rPr>
            </w:pPr>
            <w:r>
              <w:rPr>
                <w:noProof/>
              </w:rPr>
              <w:t>2023</w:t>
            </w:r>
          </w:p>
        </w:tc>
        <w:tc>
          <w:tcPr>
            <w:tcW w:w="5529" w:type="dxa"/>
            <w:shd w:val="clear" w:color="auto" w:fill="C6EFCE"/>
            <w:noWrap/>
          </w:tcPr>
          <w:p w14:paraId="0D390D59" w14:textId="20B1CDA8" w:rsidR="006578ED" w:rsidRDefault="00A1618E">
            <w:pPr>
              <w:pStyle w:val="P68B1DB1-Normal13"/>
              <w:spacing w:after="0" w:line="240" w:lineRule="auto"/>
              <w:rPr>
                <w:rFonts w:cs="Times New Roman"/>
                <w:noProof/>
              </w:rPr>
            </w:pPr>
            <w:r>
              <w:rPr>
                <w:noProof/>
              </w:rPr>
              <w:t xml:space="preserve">Po procesie partycypacyjnym opublikowanie na stronie internetowej poświęconej sprawiedliwej transformacji 12 protokołów sprawiedliwej transformacji, które obejmują zobowiązania dotyczące zatrudnienia, odbudowy środowiska oraz rozwoju gospodarczego i społecznego lokalnej ludności </w:t>
            </w:r>
            <w:r w:rsidRPr="00A1618E">
              <w:rPr>
                <w:noProof/>
                <w:lang w:val="pl-PL"/>
              </w:rPr>
              <w:t>na 1</w:t>
            </w:r>
            <w:r>
              <w:rPr>
                <w:noProof/>
              </w:rPr>
              <w:t>2 dotkniętych obszarach. Każdy z protokołów Funduszu na rzecz Sprawiedliwej Transformacji obejmuje co najmniej obszar objęty zamknięciem elektrowni węglowej.</w:t>
            </w:r>
          </w:p>
          <w:p w14:paraId="196B4BAC" w14:textId="0DD1EAB2" w:rsidR="006578ED" w:rsidRDefault="00A1618E">
            <w:pPr>
              <w:pStyle w:val="P68B1DB1-Normal13"/>
              <w:spacing w:after="0" w:line="240" w:lineRule="auto"/>
              <w:rPr>
                <w:rFonts w:cs="Times New Roman"/>
                <w:noProof/>
              </w:rPr>
            </w:pPr>
            <w:r>
              <w:rPr>
                <w:noProof/>
              </w:rPr>
              <w:t>Utworzenie komitetu doradczego złożonego z przedstawicieli departamentów ministerialnych oraz przedstawicieli władz lokalnych i regionalnych, który będzie doradzał i oceniał wpływ polityki sprawiedliwej transformacji</w:t>
            </w:r>
          </w:p>
        </w:tc>
      </w:tr>
      <w:tr w:rsidR="006578ED" w14:paraId="63438F36" w14:textId="77777777">
        <w:trPr>
          <w:trHeight w:val="309"/>
        </w:trPr>
        <w:tc>
          <w:tcPr>
            <w:tcW w:w="709" w:type="dxa"/>
            <w:shd w:val="clear" w:color="auto" w:fill="C6EFCE"/>
            <w:noWrap/>
          </w:tcPr>
          <w:p w14:paraId="09E31CEC" w14:textId="77777777" w:rsidR="006578ED" w:rsidRDefault="00A1618E">
            <w:pPr>
              <w:pStyle w:val="P68B1DB1-Normal13"/>
              <w:spacing w:after="0" w:line="240" w:lineRule="auto"/>
              <w:jc w:val="center"/>
              <w:rPr>
                <w:rFonts w:eastAsia="Symbol" w:cs="Times New Roman"/>
                <w:noProof/>
              </w:rPr>
            </w:pPr>
            <w:r>
              <w:rPr>
                <w:noProof/>
              </w:rPr>
              <w:t>139</w:t>
            </w:r>
          </w:p>
        </w:tc>
        <w:tc>
          <w:tcPr>
            <w:tcW w:w="851" w:type="dxa"/>
            <w:shd w:val="clear" w:color="auto" w:fill="C6EFCE"/>
            <w:noWrap/>
          </w:tcPr>
          <w:p w14:paraId="1AAD5B4E" w14:textId="77777777" w:rsidR="006578ED" w:rsidRDefault="00A1618E">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059DBB28" w14:textId="4659E629" w:rsidR="006578ED" w:rsidRDefault="00AF6B91">
            <w:pPr>
              <w:pStyle w:val="P68B1DB1-Normal13"/>
              <w:spacing w:after="0" w:line="240" w:lineRule="auto"/>
              <w:jc w:val="center"/>
              <w:rPr>
                <w:rFonts w:eastAsia="Symbol" w:cs="Times New Roman"/>
                <w:noProof/>
              </w:rPr>
            </w:pPr>
            <w:r>
              <w:rPr>
                <w:noProof/>
              </w:rPr>
              <w:t>Kamień milowy</w:t>
            </w:r>
          </w:p>
        </w:tc>
        <w:tc>
          <w:tcPr>
            <w:tcW w:w="3261" w:type="dxa"/>
            <w:shd w:val="clear" w:color="auto" w:fill="C6EFCE"/>
            <w:noWrap/>
          </w:tcPr>
          <w:p w14:paraId="5AA61149" w14:textId="24B45796" w:rsidR="006578ED" w:rsidRDefault="00A1618E">
            <w:pPr>
              <w:pStyle w:val="P68B1DB1-Normal13"/>
              <w:spacing w:after="0" w:line="240" w:lineRule="auto"/>
              <w:rPr>
                <w:rFonts w:eastAsia="Symbol" w:cs="Times New Roman"/>
                <w:noProof/>
              </w:rPr>
            </w:pPr>
            <w:r>
              <w:rPr>
                <w:noProof/>
              </w:rPr>
              <w:t>Program pomocy szkoleniowej „sprawiedliwa transformacja” i przyznawanie pomocy na rozwój gospodarczy obszarów objętych sprawiedliwą transformacją</w:t>
            </w:r>
          </w:p>
        </w:tc>
        <w:tc>
          <w:tcPr>
            <w:tcW w:w="992" w:type="dxa"/>
            <w:shd w:val="clear" w:color="auto" w:fill="C6EFCE"/>
            <w:noWrap/>
          </w:tcPr>
          <w:p w14:paraId="27F4B882" w14:textId="77777777" w:rsidR="006578ED" w:rsidRDefault="00A1618E">
            <w:pPr>
              <w:pStyle w:val="P68B1DB1-Normal13"/>
              <w:spacing w:after="0" w:line="240" w:lineRule="auto"/>
              <w:jc w:val="center"/>
              <w:rPr>
                <w:rFonts w:eastAsia="Symbol" w:cs="Times New Roman"/>
                <w:noProof/>
              </w:rPr>
            </w:pPr>
            <w:r>
              <w:rPr>
                <w:noProof/>
              </w:rPr>
              <w:t>Publikacja w Dz.U.</w:t>
            </w:r>
          </w:p>
        </w:tc>
        <w:tc>
          <w:tcPr>
            <w:tcW w:w="850" w:type="dxa"/>
            <w:shd w:val="clear" w:color="auto" w:fill="C6EFCE"/>
            <w:noWrap/>
          </w:tcPr>
          <w:p w14:paraId="672EDC33"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567" w:type="dxa"/>
            <w:shd w:val="clear" w:color="auto" w:fill="C6EFCE"/>
            <w:noWrap/>
          </w:tcPr>
          <w:p w14:paraId="685F511E"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709" w:type="dxa"/>
            <w:shd w:val="clear" w:color="auto" w:fill="C6EFCE"/>
            <w:noWrap/>
          </w:tcPr>
          <w:p w14:paraId="030C1E12" w14:textId="77777777" w:rsidR="006578ED" w:rsidRDefault="00A1618E">
            <w:pPr>
              <w:pStyle w:val="P68B1DB1-Normal13"/>
              <w:spacing w:after="0" w:line="240" w:lineRule="auto"/>
              <w:jc w:val="right"/>
              <w:rPr>
                <w:rFonts w:eastAsia="Symbol" w:cs="Times New Roman"/>
                <w:noProof/>
              </w:rPr>
            </w:pPr>
            <w:r>
              <w:rPr>
                <w:noProof/>
              </w:rPr>
              <w:t xml:space="preserve"> </w:t>
            </w:r>
          </w:p>
        </w:tc>
        <w:tc>
          <w:tcPr>
            <w:tcW w:w="425" w:type="dxa"/>
            <w:shd w:val="clear" w:color="auto" w:fill="C6EFCE"/>
            <w:noWrap/>
          </w:tcPr>
          <w:p w14:paraId="32FC2616" w14:textId="3DE9C51F"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025EA925" w14:textId="77777777" w:rsidR="006578ED" w:rsidRDefault="00A1618E">
            <w:pPr>
              <w:pStyle w:val="P68B1DB1-Normal13"/>
              <w:spacing w:after="0" w:line="240" w:lineRule="auto"/>
              <w:jc w:val="center"/>
              <w:rPr>
                <w:rFonts w:eastAsia="Symbol" w:cs="Times New Roman"/>
                <w:noProof/>
              </w:rPr>
            </w:pPr>
            <w:r>
              <w:rPr>
                <w:noProof/>
              </w:rPr>
              <w:t>2021</w:t>
            </w:r>
          </w:p>
        </w:tc>
        <w:tc>
          <w:tcPr>
            <w:tcW w:w="5529" w:type="dxa"/>
            <w:shd w:val="clear" w:color="auto" w:fill="C6EFCE"/>
            <w:noWrap/>
          </w:tcPr>
          <w:p w14:paraId="7024E496" w14:textId="79293091" w:rsidR="006578ED" w:rsidRDefault="00A1618E">
            <w:pPr>
              <w:pStyle w:val="P68B1DB1-Normal13"/>
              <w:spacing w:after="0" w:line="240" w:lineRule="auto"/>
              <w:rPr>
                <w:rFonts w:eastAsia="Symbol" w:cs="Times New Roman"/>
                <w:noProof/>
              </w:rPr>
            </w:pPr>
            <w:r>
              <w:rPr>
                <w:noProof/>
              </w:rPr>
              <w:t>Publikacja w Dzienniku Urzędowym: rozporządzenie zatwierdzające ramy regulacyjne dla programu pomocy szkoleniowej „sprawiedliwej transformacji”, określające plan wsparcia w zakresie kwalifikacji zawodowych i integracji na rynku pracy pracowników i osób dotkniętych przejściem na gospodarkę niskoemisyjną; oraz b) rozporządzenie określające podstawy prawne przyznawania pomocy na rozwój gospodarczy obszarów objętych sprawiedliwą transformacją poprzez rozwój infrastruktury środowiskowej, cyfrowej i społecznej w gminach i na terytoriach przechodzących transformację w kierunku gospodarki niskoemisyjnej.</w:t>
            </w:r>
          </w:p>
        </w:tc>
      </w:tr>
      <w:tr w:rsidR="006578ED" w14:paraId="738A00D3" w14:textId="77777777">
        <w:trPr>
          <w:trHeight w:val="309"/>
        </w:trPr>
        <w:tc>
          <w:tcPr>
            <w:tcW w:w="709" w:type="dxa"/>
            <w:shd w:val="clear" w:color="auto" w:fill="C6EFCE"/>
            <w:noWrap/>
          </w:tcPr>
          <w:p w14:paraId="7705F89A" w14:textId="502F7CF1" w:rsidR="006578ED" w:rsidRDefault="00A1618E">
            <w:pPr>
              <w:pStyle w:val="P68B1DB1-Normal13"/>
              <w:spacing w:after="0" w:line="240" w:lineRule="auto"/>
              <w:jc w:val="center"/>
              <w:rPr>
                <w:rFonts w:eastAsia="Symbol" w:cs="Times New Roman"/>
                <w:noProof/>
              </w:rPr>
            </w:pPr>
            <w:r>
              <w:rPr>
                <w:noProof/>
              </w:rPr>
              <w:t>140</w:t>
            </w:r>
          </w:p>
        </w:tc>
        <w:tc>
          <w:tcPr>
            <w:tcW w:w="851" w:type="dxa"/>
            <w:shd w:val="clear" w:color="auto" w:fill="C6EFCE"/>
            <w:noWrap/>
          </w:tcPr>
          <w:p w14:paraId="1BB5EA0F" w14:textId="77777777" w:rsidR="006578ED" w:rsidRDefault="00A1618E">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1D3A1DC5" w14:textId="712A1F3B" w:rsidR="006578ED" w:rsidRDefault="00AF6B91">
            <w:pPr>
              <w:pStyle w:val="P68B1DB1-Normal13"/>
              <w:spacing w:after="0" w:line="240" w:lineRule="auto"/>
              <w:jc w:val="center"/>
              <w:rPr>
                <w:rFonts w:eastAsia="Symbol" w:cs="Times New Roman"/>
                <w:noProof/>
              </w:rPr>
            </w:pPr>
            <w:r>
              <w:rPr>
                <w:noProof/>
              </w:rPr>
              <w:t>Cel</w:t>
            </w:r>
          </w:p>
        </w:tc>
        <w:tc>
          <w:tcPr>
            <w:tcW w:w="3261" w:type="dxa"/>
            <w:shd w:val="clear" w:color="auto" w:fill="C6EFCE"/>
            <w:noWrap/>
          </w:tcPr>
          <w:p w14:paraId="68494D80" w14:textId="5453A559" w:rsidR="006578ED" w:rsidRDefault="00A1618E">
            <w:pPr>
              <w:pStyle w:val="P68B1DB1-Normal13"/>
              <w:spacing w:after="0" w:line="240" w:lineRule="auto"/>
              <w:rPr>
                <w:rFonts w:eastAsia="Symbol" w:cs="Times New Roman"/>
                <w:noProof/>
              </w:rPr>
            </w:pPr>
            <w:r>
              <w:rPr>
                <w:noProof/>
              </w:rPr>
              <w:t>Wsparcie projektów w zakresie infrastruktury środowiskowej, cyfrowej i społecznej.</w:t>
            </w:r>
          </w:p>
        </w:tc>
        <w:tc>
          <w:tcPr>
            <w:tcW w:w="992" w:type="dxa"/>
            <w:shd w:val="clear" w:color="auto" w:fill="C6EFCE"/>
            <w:noWrap/>
          </w:tcPr>
          <w:p w14:paraId="1096122A" w14:textId="77777777" w:rsidR="006578ED" w:rsidRDefault="00A1618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633A5A00" w14:textId="77777777" w:rsidR="006578ED" w:rsidRDefault="00A1618E">
            <w:pPr>
              <w:pStyle w:val="P68B1DB1-Normal13"/>
              <w:spacing w:after="0" w:line="240" w:lineRule="auto"/>
              <w:jc w:val="right"/>
              <w:rPr>
                <w:rFonts w:eastAsia="Symbol" w:cs="Times New Roman"/>
                <w:noProof/>
              </w:rPr>
            </w:pPr>
            <w:r>
              <w:rPr>
                <w:noProof/>
              </w:rPr>
              <w:t>Liczba</w:t>
            </w:r>
          </w:p>
        </w:tc>
        <w:tc>
          <w:tcPr>
            <w:tcW w:w="567" w:type="dxa"/>
            <w:shd w:val="clear" w:color="auto" w:fill="C6EFCE"/>
            <w:noWrap/>
          </w:tcPr>
          <w:p w14:paraId="03E3A27B" w14:textId="77777777" w:rsidR="006578ED" w:rsidRDefault="00A1618E">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60525613" w14:textId="4A86C0D9" w:rsidR="006578ED" w:rsidRDefault="00A1618E">
            <w:pPr>
              <w:pStyle w:val="P68B1DB1-Normal13"/>
              <w:spacing w:after="0" w:line="240" w:lineRule="auto"/>
              <w:jc w:val="right"/>
              <w:rPr>
                <w:rFonts w:eastAsia="Symbol" w:cs="Times New Roman"/>
                <w:noProof/>
              </w:rPr>
            </w:pPr>
            <w:r>
              <w:rPr>
                <w:noProof/>
              </w:rPr>
              <w:t>100</w:t>
            </w:r>
          </w:p>
        </w:tc>
        <w:tc>
          <w:tcPr>
            <w:tcW w:w="425" w:type="dxa"/>
            <w:shd w:val="clear" w:color="auto" w:fill="C6EFCE"/>
            <w:noWrap/>
          </w:tcPr>
          <w:p w14:paraId="3702CC88" w14:textId="37D80065"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51542F09" w14:textId="79C847BA" w:rsidR="006578ED" w:rsidRDefault="00A1618E">
            <w:pPr>
              <w:pStyle w:val="P68B1DB1-Normal13"/>
              <w:spacing w:after="0" w:line="240" w:lineRule="auto"/>
              <w:jc w:val="center"/>
              <w:rPr>
                <w:rFonts w:eastAsia="Symbol" w:cs="Times New Roman"/>
                <w:noProof/>
              </w:rPr>
            </w:pPr>
            <w:r>
              <w:rPr>
                <w:noProof/>
              </w:rPr>
              <w:t>2022</w:t>
            </w:r>
          </w:p>
        </w:tc>
        <w:tc>
          <w:tcPr>
            <w:tcW w:w="5529" w:type="dxa"/>
            <w:shd w:val="clear" w:color="auto" w:fill="C6EFCE"/>
            <w:noWrap/>
          </w:tcPr>
          <w:p w14:paraId="66A409B3" w14:textId="6F93BA84" w:rsidR="006578ED" w:rsidRDefault="00A1618E">
            <w:pPr>
              <w:pStyle w:val="P68B1DB1-Normal13"/>
              <w:spacing w:after="0" w:line="240" w:lineRule="auto"/>
              <w:rPr>
                <w:rFonts w:eastAsia="Symbol" w:cs="Times New Roman"/>
                <w:noProof/>
              </w:rPr>
            </w:pPr>
            <w:r>
              <w:rPr>
                <w:noProof/>
              </w:rPr>
              <w:t xml:space="preserve">Publikacja w Dzienniku Urzędowym decyzji o przyznaniu co najmniej 91 000 000 EUR na co najmniej 100 projektów w zakresie infrastruktury środowiskowej, cyfrowej i społecznej w gminach i na terytoriach przechodzących transformację w kierunku gospodarki niskoemisyjnej. 100 projektów dotyczących infrastruktury środowiskowej, cyfrowej i społecznej musi być zlokalizowanych w gminach i na terytoriach na obszarach sprawiedliwej transformacji. </w:t>
            </w:r>
          </w:p>
        </w:tc>
      </w:tr>
      <w:tr w:rsidR="006578ED" w14:paraId="27329DFB" w14:textId="77777777">
        <w:trPr>
          <w:trHeight w:val="309"/>
        </w:trPr>
        <w:tc>
          <w:tcPr>
            <w:tcW w:w="709" w:type="dxa"/>
            <w:shd w:val="clear" w:color="auto" w:fill="C6EFCE"/>
            <w:noWrap/>
          </w:tcPr>
          <w:p w14:paraId="16263622" w14:textId="2C3ED561" w:rsidR="006578ED" w:rsidRDefault="00A1618E">
            <w:pPr>
              <w:pStyle w:val="P68B1DB1-Normal13"/>
              <w:spacing w:after="0" w:line="240" w:lineRule="auto"/>
              <w:jc w:val="center"/>
              <w:rPr>
                <w:rFonts w:cs="Times New Roman"/>
                <w:noProof/>
              </w:rPr>
            </w:pPr>
            <w:r>
              <w:rPr>
                <w:noProof/>
              </w:rPr>
              <w:t>431</w:t>
            </w:r>
          </w:p>
        </w:tc>
        <w:tc>
          <w:tcPr>
            <w:tcW w:w="851" w:type="dxa"/>
            <w:shd w:val="clear" w:color="auto" w:fill="C6EFCE"/>
            <w:noWrap/>
          </w:tcPr>
          <w:p w14:paraId="52F76B2D" w14:textId="4B3610F0" w:rsidR="006578ED" w:rsidRDefault="00A1618E">
            <w:pPr>
              <w:pStyle w:val="P68B1DB1-Normal13"/>
              <w:spacing w:after="0" w:line="240" w:lineRule="auto"/>
              <w:jc w:val="center"/>
              <w:rPr>
                <w:rFonts w:cs="Times New Roman"/>
                <w:noProof/>
              </w:rPr>
            </w:pPr>
            <w:r>
              <w:rPr>
                <w:noProof/>
              </w:rPr>
              <w:t>C10.I1</w:t>
            </w:r>
          </w:p>
        </w:tc>
        <w:tc>
          <w:tcPr>
            <w:tcW w:w="850" w:type="dxa"/>
            <w:shd w:val="clear" w:color="auto" w:fill="C6EFCE"/>
            <w:noWrap/>
          </w:tcPr>
          <w:p w14:paraId="78D7795B" w14:textId="10EFFDF0" w:rsidR="006578ED" w:rsidRDefault="00AF6B91">
            <w:pPr>
              <w:pStyle w:val="P68B1DB1-Normal13"/>
              <w:spacing w:after="0" w:line="240" w:lineRule="auto"/>
              <w:jc w:val="center"/>
              <w:rPr>
                <w:rFonts w:cs="Times New Roman"/>
                <w:noProof/>
              </w:rPr>
            </w:pPr>
            <w:r>
              <w:rPr>
                <w:noProof/>
              </w:rPr>
              <w:t>Cel</w:t>
            </w:r>
          </w:p>
        </w:tc>
        <w:tc>
          <w:tcPr>
            <w:tcW w:w="3261" w:type="dxa"/>
            <w:shd w:val="clear" w:color="auto" w:fill="C6EFCE"/>
            <w:noWrap/>
          </w:tcPr>
          <w:p w14:paraId="7D579A5B" w14:textId="5F1D4588" w:rsidR="006578ED" w:rsidRDefault="00A1618E">
            <w:pPr>
              <w:pStyle w:val="P68B1DB1-Normal13"/>
              <w:spacing w:after="0" w:line="240" w:lineRule="auto"/>
              <w:rPr>
                <w:rFonts w:cs="Times New Roman"/>
                <w:noProof/>
              </w:rPr>
            </w:pPr>
            <w:r>
              <w:rPr>
                <w:noProof/>
              </w:rPr>
              <w:t>Wsparcie projektów w zakresie infrastruktury środowiskowej, cyfrowej i społecznej</w:t>
            </w:r>
          </w:p>
        </w:tc>
        <w:tc>
          <w:tcPr>
            <w:tcW w:w="992" w:type="dxa"/>
            <w:shd w:val="clear" w:color="auto" w:fill="C6EFCE"/>
            <w:noWrap/>
          </w:tcPr>
          <w:p w14:paraId="24C99078"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63B8055D" w14:textId="4A10BF69" w:rsidR="006578ED" w:rsidRDefault="00A1618E">
            <w:pPr>
              <w:pStyle w:val="P68B1DB1-Normal13"/>
              <w:spacing w:after="0" w:line="240" w:lineRule="auto"/>
              <w:jc w:val="right"/>
              <w:rPr>
                <w:rFonts w:cs="Times New Roman"/>
                <w:noProof/>
              </w:rPr>
            </w:pPr>
            <w:r>
              <w:rPr>
                <w:noProof/>
              </w:rPr>
              <w:t>Liczba</w:t>
            </w:r>
          </w:p>
        </w:tc>
        <w:tc>
          <w:tcPr>
            <w:tcW w:w="567" w:type="dxa"/>
            <w:shd w:val="clear" w:color="auto" w:fill="C6EFCE"/>
            <w:noWrap/>
          </w:tcPr>
          <w:p w14:paraId="25B29C59" w14:textId="31F604E7" w:rsidR="006578ED" w:rsidRDefault="00A1618E">
            <w:pPr>
              <w:pStyle w:val="P68B1DB1-Normal13"/>
              <w:spacing w:after="0" w:line="240" w:lineRule="auto"/>
              <w:jc w:val="right"/>
              <w:rPr>
                <w:rFonts w:cs="Times New Roman"/>
                <w:noProof/>
              </w:rPr>
            </w:pPr>
            <w:r>
              <w:rPr>
                <w:noProof/>
              </w:rPr>
              <w:t>100</w:t>
            </w:r>
          </w:p>
        </w:tc>
        <w:tc>
          <w:tcPr>
            <w:tcW w:w="709" w:type="dxa"/>
            <w:shd w:val="clear" w:color="auto" w:fill="C6EFCE"/>
            <w:noWrap/>
          </w:tcPr>
          <w:p w14:paraId="5024DAD2" w14:textId="34A1F977" w:rsidR="006578ED" w:rsidRDefault="00A1618E">
            <w:pPr>
              <w:pStyle w:val="P68B1DB1-Normal13"/>
              <w:spacing w:after="0" w:line="240" w:lineRule="auto"/>
              <w:jc w:val="right"/>
              <w:rPr>
                <w:rFonts w:cs="Times New Roman"/>
                <w:noProof/>
              </w:rPr>
            </w:pPr>
            <w:r>
              <w:rPr>
                <w:noProof/>
              </w:rPr>
              <w:t>130</w:t>
            </w:r>
          </w:p>
        </w:tc>
        <w:tc>
          <w:tcPr>
            <w:tcW w:w="425" w:type="dxa"/>
            <w:shd w:val="clear" w:color="auto" w:fill="C6EFCE"/>
            <w:noWrap/>
          </w:tcPr>
          <w:p w14:paraId="30EB97FC" w14:textId="68DC26A6"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59327563" w14:textId="4F4EECBF" w:rsidR="006578ED" w:rsidRDefault="00A1618E">
            <w:pPr>
              <w:pStyle w:val="P68B1DB1-Normal13"/>
              <w:spacing w:after="0" w:line="240" w:lineRule="auto"/>
              <w:jc w:val="center"/>
              <w:rPr>
                <w:rFonts w:cs="Times New Roman"/>
                <w:noProof/>
              </w:rPr>
            </w:pPr>
            <w:r>
              <w:rPr>
                <w:noProof/>
              </w:rPr>
              <w:t>2024</w:t>
            </w:r>
          </w:p>
        </w:tc>
        <w:tc>
          <w:tcPr>
            <w:tcW w:w="5529" w:type="dxa"/>
            <w:shd w:val="clear" w:color="auto" w:fill="C6EFCE"/>
            <w:noWrap/>
          </w:tcPr>
          <w:p w14:paraId="7FCE44CE" w14:textId="4BA84C18" w:rsidR="006578ED" w:rsidRDefault="00A1618E">
            <w:pPr>
              <w:pStyle w:val="P68B1DB1-Normal13"/>
              <w:spacing w:after="0" w:line="240" w:lineRule="auto"/>
              <w:rPr>
                <w:rFonts w:cs="Times New Roman"/>
                <w:noProof/>
              </w:rPr>
            </w:pPr>
            <w:r>
              <w:rPr>
                <w:noProof/>
              </w:rPr>
              <w:t>Publikacja w Dzienniku Urzędowym decyzji o przyznaniu co najmniej 11 000 000 EUR na co najmniej 30 projektów w zakresie infrastruktury środowiskowej, cyfrowej i społecznej w gminach i na terytoriach przechodzących transformację w kierunku gospodarki niskoemisyjnej. Projekty w zakresie infrastruktury środowiskowej, cyfrowej i społecznej muszą być zlokalizowane w gminach i terytoriach na obszarach sprawiedliwej transformacji. (Podstawa: 31 grudnia 20</w:t>
            </w:r>
            <w:r w:rsidRPr="00A1618E">
              <w:rPr>
                <w:noProof/>
                <w:lang w:val="pl-PL"/>
              </w:rPr>
              <w:t>22 r.</w:t>
            </w:r>
            <w:r>
              <w:rPr>
                <w:noProof/>
              </w:rPr>
              <w:t>)</w:t>
            </w:r>
          </w:p>
        </w:tc>
      </w:tr>
      <w:tr w:rsidR="006578ED" w14:paraId="160D48AB" w14:textId="77777777">
        <w:trPr>
          <w:trHeight w:val="309"/>
        </w:trPr>
        <w:tc>
          <w:tcPr>
            <w:tcW w:w="709" w:type="dxa"/>
            <w:shd w:val="clear" w:color="auto" w:fill="C6EFCE"/>
            <w:noWrap/>
          </w:tcPr>
          <w:p w14:paraId="6F5909ED" w14:textId="48D8F886" w:rsidR="006578ED" w:rsidRDefault="00A1618E">
            <w:pPr>
              <w:pStyle w:val="P68B1DB1-Normal13"/>
              <w:spacing w:after="0" w:line="240" w:lineRule="auto"/>
              <w:jc w:val="center"/>
              <w:rPr>
                <w:rFonts w:eastAsia="Symbol" w:cs="Times New Roman"/>
                <w:noProof/>
              </w:rPr>
            </w:pPr>
            <w:r>
              <w:rPr>
                <w:noProof/>
              </w:rPr>
              <w:t>141</w:t>
            </w:r>
          </w:p>
        </w:tc>
        <w:tc>
          <w:tcPr>
            <w:tcW w:w="851" w:type="dxa"/>
            <w:shd w:val="clear" w:color="auto" w:fill="C6EFCE"/>
            <w:noWrap/>
          </w:tcPr>
          <w:p w14:paraId="60E11A76" w14:textId="77777777" w:rsidR="006578ED" w:rsidRDefault="00A1618E">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481B80B2" w14:textId="367F35F4" w:rsidR="006578ED" w:rsidRDefault="00AF6B91">
            <w:pPr>
              <w:pStyle w:val="P68B1DB1-Normal13"/>
              <w:spacing w:after="0" w:line="240" w:lineRule="auto"/>
              <w:jc w:val="center"/>
              <w:rPr>
                <w:rFonts w:eastAsia="Symbol" w:cs="Times New Roman"/>
                <w:noProof/>
              </w:rPr>
            </w:pPr>
            <w:r>
              <w:rPr>
                <w:noProof/>
              </w:rPr>
              <w:t>Cel</w:t>
            </w:r>
          </w:p>
        </w:tc>
        <w:tc>
          <w:tcPr>
            <w:tcW w:w="3261" w:type="dxa"/>
            <w:shd w:val="clear" w:color="auto" w:fill="C6EFCE"/>
            <w:noWrap/>
          </w:tcPr>
          <w:p w14:paraId="1F395B26" w14:textId="33F6943F" w:rsidR="006578ED" w:rsidRDefault="00A1618E">
            <w:pPr>
              <w:pStyle w:val="P68B1DB1-Normal13"/>
              <w:spacing w:after="0" w:line="240" w:lineRule="auto"/>
              <w:rPr>
                <w:rFonts w:eastAsia="Symbol" w:cs="Times New Roman"/>
                <w:noProof/>
              </w:rPr>
            </w:pPr>
            <w:r>
              <w:rPr>
                <w:noProof/>
              </w:rPr>
              <w:t xml:space="preserve">Pomoc w poszukiwaniu pracy i przekwalifikowanie osób bezrobotnych </w:t>
            </w:r>
          </w:p>
        </w:tc>
        <w:tc>
          <w:tcPr>
            <w:tcW w:w="992" w:type="dxa"/>
            <w:shd w:val="clear" w:color="auto" w:fill="C6EFCE"/>
            <w:noWrap/>
          </w:tcPr>
          <w:p w14:paraId="48F00459" w14:textId="77777777" w:rsidR="006578ED" w:rsidRDefault="00A1618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196FD2E5" w14:textId="77777777" w:rsidR="006578ED" w:rsidRDefault="00A1618E">
            <w:pPr>
              <w:pStyle w:val="P68B1DB1-Normal13"/>
              <w:spacing w:after="0" w:line="240" w:lineRule="auto"/>
              <w:jc w:val="right"/>
              <w:rPr>
                <w:rFonts w:eastAsia="Symbol" w:cs="Times New Roman"/>
                <w:noProof/>
              </w:rPr>
            </w:pPr>
            <w:r>
              <w:rPr>
                <w:noProof/>
              </w:rPr>
              <w:t>Liczba</w:t>
            </w:r>
          </w:p>
        </w:tc>
        <w:tc>
          <w:tcPr>
            <w:tcW w:w="567" w:type="dxa"/>
            <w:shd w:val="clear" w:color="auto" w:fill="C6EFCE"/>
            <w:noWrap/>
          </w:tcPr>
          <w:p w14:paraId="769908A7" w14:textId="77777777" w:rsidR="006578ED" w:rsidRDefault="00A1618E">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2F9D5B7A" w14:textId="4A9CD569" w:rsidR="006578ED" w:rsidRDefault="00A1618E">
            <w:pPr>
              <w:pStyle w:val="P68B1DB1-Normal13"/>
              <w:spacing w:after="0" w:line="240" w:lineRule="auto"/>
              <w:jc w:val="right"/>
              <w:rPr>
                <w:rFonts w:eastAsia="Symbol" w:cs="Times New Roman"/>
                <w:noProof/>
              </w:rPr>
            </w:pPr>
            <w:r>
              <w:rPr>
                <w:noProof/>
              </w:rPr>
              <w:t xml:space="preserve">840 </w:t>
            </w:r>
          </w:p>
        </w:tc>
        <w:tc>
          <w:tcPr>
            <w:tcW w:w="425" w:type="dxa"/>
            <w:shd w:val="clear" w:color="auto" w:fill="C6EFCE"/>
            <w:noWrap/>
          </w:tcPr>
          <w:p w14:paraId="409A1D4A" w14:textId="4D3B8C36"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32553CA6" w14:textId="7A6AA67C" w:rsidR="006578ED" w:rsidRDefault="00A1618E">
            <w:pPr>
              <w:pStyle w:val="P68B1DB1-Normal13"/>
              <w:spacing w:after="0" w:line="240" w:lineRule="auto"/>
              <w:jc w:val="center"/>
              <w:rPr>
                <w:rFonts w:eastAsia="Symbol" w:cs="Times New Roman"/>
                <w:noProof/>
              </w:rPr>
            </w:pPr>
            <w:r>
              <w:rPr>
                <w:noProof/>
              </w:rPr>
              <w:t>2025</w:t>
            </w:r>
          </w:p>
        </w:tc>
        <w:tc>
          <w:tcPr>
            <w:tcW w:w="5529" w:type="dxa"/>
            <w:shd w:val="clear" w:color="auto" w:fill="C6EFCE"/>
            <w:noWrap/>
          </w:tcPr>
          <w:p w14:paraId="5260A411" w14:textId="71F59995" w:rsidR="006578ED" w:rsidRDefault="00A1618E">
            <w:pPr>
              <w:pStyle w:val="P68B1DB1-Normal13"/>
              <w:spacing w:after="0" w:line="240" w:lineRule="auto"/>
              <w:rPr>
                <w:rFonts w:eastAsia="Symbol" w:cs="Times New Roman"/>
                <w:noProof/>
              </w:rPr>
            </w:pPr>
            <w:r>
              <w:rPr>
                <w:noProof/>
              </w:rPr>
              <w:t>Co najmniej 840 osób, które skorzystały z indywidualnej pomocy w poszukiwaniu pracy lub indywidualnych ścieżek przekwalifikowania osób bezrobotnych na obszarach sprawiedliwej transformacji. Ścieżki przekwalifikowania obejmują co najmniej następujące obszary: instalacja i konserwacja energii ze źródeł odnawialnych (energia wiatrowa i fotowoltaiczna), rekultywacja i zarządzanie środowiskiem lub zintegrowana i energetyczna rekultywacja budynków mieszkalnych.</w:t>
            </w:r>
          </w:p>
        </w:tc>
      </w:tr>
      <w:tr w:rsidR="006578ED" w14:paraId="31D214C2" w14:textId="77777777">
        <w:trPr>
          <w:trHeight w:val="309"/>
        </w:trPr>
        <w:tc>
          <w:tcPr>
            <w:tcW w:w="709" w:type="dxa"/>
            <w:shd w:val="clear" w:color="auto" w:fill="C6EFCE"/>
            <w:noWrap/>
          </w:tcPr>
          <w:p w14:paraId="0AD4F915" w14:textId="77777777" w:rsidR="006578ED" w:rsidRDefault="00A1618E">
            <w:pPr>
              <w:pStyle w:val="P68B1DB1-Normal13"/>
              <w:spacing w:after="0" w:line="240" w:lineRule="auto"/>
              <w:jc w:val="center"/>
              <w:rPr>
                <w:rFonts w:eastAsia="Symbol" w:cs="Times New Roman"/>
                <w:noProof/>
              </w:rPr>
            </w:pPr>
            <w:r>
              <w:rPr>
                <w:noProof/>
              </w:rPr>
              <w:t>142</w:t>
            </w:r>
          </w:p>
        </w:tc>
        <w:tc>
          <w:tcPr>
            <w:tcW w:w="851" w:type="dxa"/>
            <w:shd w:val="clear" w:color="auto" w:fill="C6EFCE"/>
            <w:noWrap/>
          </w:tcPr>
          <w:p w14:paraId="4B81512C" w14:textId="77777777" w:rsidR="006578ED" w:rsidRDefault="00A1618E">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49C56718" w14:textId="0D1E1520" w:rsidR="006578ED" w:rsidRDefault="00AF6B91">
            <w:pPr>
              <w:pStyle w:val="P68B1DB1-Normal13"/>
              <w:spacing w:after="0" w:line="240" w:lineRule="auto"/>
              <w:jc w:val="center"/>
              <w:rPr>
                <w:rFonts w:eastAsia="Symbol" w:cs="Times New Roman"/>
                <w:noProof/>
              </w:rPr>
            </w:pPr>
            <w:r>
              <w:rPr>
                <w:noProof/>
              </w:rPr>
              <w:t>Cel</w:t>
            </w:r>
          </w:p>
        </w:tc>
        <w:tc>
          <w:tcPr>
            <w:tcW w:w="3261" w:type="dxa"/>
            <w:shd w:val="clear" w:color="auto" w:fill="C6EFCE"/>
            <w:noWrap/>
          </w:tcPr>
          <w:p w14:paraId="1EC9E7CC" w14:textId="5D362D4A" w:rsidR="006578ED" w:rsidRDefault="00A1618E">
            <w:pPr>
              <w:pStyle w:val="P68B1DB1-Normal13"/>
              <w:spacing w:after="0" w:line="240" w:lineRule="auto"/>
              <w:rPr>
                <w:rFonts w:eastAsia="Symbol" w:cs="Times New Roman"/>
                <w:noProof/>
              </w:rPr>
            </w:pPr>
            <w:r>
              <w:rPr>
                <w:noProof/>
              </w:rPr>
              <w:t>Projekty inwestycyjne mające na celu dostosowanie zakładów przemysłowych do ekologicznego wodoru i magazynowania energii.</w:t>
            </w:r>
          </w:p>
        </w:tc>
        <w:tc>
          <w:tcPr>
            <w:tcW w:w="992" w:type="dxa"/>
            <w:shd w:val="clear" w:color="auto" w:fill="C6EFCE"/>
            <w:noWrap/>
          </w:tcPr>
          <w:p w14:paraId="60D9EF91" w14:textId="77777777" w:rsidR="006578ED" w:rsidRDefault="00A1618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34AF7EF2" w14:textId="77777777" w:rsidR="006578ED" w:rsidRDefault="00A1618E">
            <w:pPr>
              <w:pStyle w:val="P68B1DB1-Normal13"/>
              <w:spacing w:after="0" w:line="240" w:lineRule="auto"/>
              <w:jc w:val="right"/>
              <w:rPr>
                <w:rFonts w:eastAsia="Symbol" w:cs="Times New Roman"/>
                <w:noProof/>
              </w:rPr>
            </w:pPr>
            <w:r>
              <w:rPr>
                <w:noProof/>
              </w:rPr>
              <w:t>Liczba</w:t>
            </w:r>
          </w:p>
        </w:tc>
        <w:tc>
          <w:tcPr>
            <w:tcW w:w="567" w:type="dxa"/>
            <w:shd w:val="clear" w:color="auto" w:fill="C6EFCE"/>
            <w:noWrap/>
          </w:tcPr>
          <w:p w14:paraId="7E83114B" w14:textId="77777777" w:rsidR="006578ED" w:rsidRDefault="00A1618E">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7842F596" w14:textId="77777777" w:rsidR="006578ED" w:rsidRDefault="00A1618E">
            <w:pPr>
              <w:pStyle w:val="P68B1DB1-Normal13"/>
              <w:spacing w:after="0" w:line="240" w:lineRule="auto"/>
              <w:jc w:val="right"/>
              <w:rPr>
                <w:rFonts w:eastAsia="Symbol" w:cs="Times New Roman"/>
                <w:noProof/>
              </w:rPr>
            </w:pPr>
            <w:r>
              <w:rPr>
                <w:noProof/>
              </w:rPr>
              <w:t>2</w:t>
            </w:r>
          </w:p>
        </w:tc>
        <w:tc>
          <w:tcPr>
            <w:tcW w:w="425" w:type="dxa"/>
            <w:shd w:val="clear" w:color="auto" w:fill="C6EFCE"/>
            <w:noWrap/>
          </w:tcPr>
          <w:p w14:paraId="3BF43DB5" w14:textId="1A04A58B" w:rsidR="006578ED" w:rsidRDefault="00EC188C">
            <w:pPr>
              <w:pStyle w:val="P68B1DB1-Normal13"/>
              <w:spacing w:after="0" w:line="240" w:lineRule="auto"/>
              <w:jc w:val="center"/>
              <w:rPr>
                <w:rFonts w:eastAsia="Symbol" w:cs="Times New Roman"/>
                <w:noProof/>
              </w:rPr>
            </w:pPr>
            <w:r>
              <w:rPr>
                <w:noProof/>
              </w:rPr>
              <w:t>KW. 4</w:t>
            </w:r>
          </w:p>
        </w:tc>
        <w:tc>
          <w:tcPr>
            <w:tcW w:w="567" w:type="dxa"/>
            <w:shd w:val="clear" w:color="auto" w:fill="C6EFCE"/>
            <w:noWrap/>
          </w:tcPr>
          <w:p w14:paraId="1636D221" w14:textId="0FAE7557" w:rsidR="006578ED" w:rsidRDefault="00A1618E">
            <w:pPr>
              <w:pStyle w:val="P68B1DB1-Normal13"/>
              <w:spacing w:after="0" w:line="240" w:lineRule="auto"/>
              <w:jc w:val="center"/>
              <w:rPr>
                <w:rFonts w:eastAsia="Symbol" w:cs="Times New Roman"/>
                <w:noProof/>
              </w:rPr>
            </w:pPr>
            <w:r>
              <w:rPr>
                <w:noProof/>
              </w:rPr>
              <w:t>2025</w:t>
            </w:r>
          </w:p>
        </w:tc>
        <w:tc>
          <w:tcPr>
            <w:tcW w:w="5529" w:type="dxa"/>
            <w:shd w:val="clear" w:color="auto" w:fill="C6EFCE"/>
            <w:noWrap/>
          </w:tcPr>
          <w:p w14:paraId="60DC99EA" w14:textId="25D210C4" w:rsidR="006578ED" w:rsidRDefault="00A1618E">
            <w:pPr>
              <w:pStyle w:val="P68B1DB1-Normal13"/>
              <w:spacing w:after="0" w:line="240" w:lineRule="auto"/>
              <w:rPr>
                <w:rFonts w:eastAsia="Symbol" w:cs="Times New Roman"/>
                <w:noProof/>
              </w:rPr>
            </w:pPr>
            <w:r>
              <w:rPr>
                <w:noProof/>
              </w:rPr>
              <w:t xml:space="preserve">Zakończenie dwóch projektów inwestycyjnych mających na celu dostosowanie zakładów przemysłowych jako przyszłej </w:t>
            </w:r>
            <w:r>
              <w:rPr>
                <w:i/>
                <w:noProof/>
              </w:rPr>
              <w:t>Infraestructura Científica y Técnica Singular</w:t>
            </w:r>
            <w:r>
              <w:rPr>
                <w:noProof/>
              </w:rPr>
              <w:t xml:space="preserve"> (ICTP) w celu zatwierdzenia produkcji i magazynowania zielonego wodoru. Projekty mają na celu dostosowanie instalacji i laboratoriów Ciudad de la Energía (CIUDEN) do dwóch projektów BRI dotyczących produkcji i magazynowania zielonego wodoru.</w:t>
            </w:r>
          </w:p>
        </w:tc>
      </w:tr>
      <w:tr w:rsidR="006578ED" w14:paraId="26CCBD48" w14:textId="77777777">
        <w:trPr>
          <w:trHeight w:val="309"/>
        </w:trPr>
        <w:tc>
          <w:tcPr>
            <w:tcW w:w="709" w:type="dxa"/>
            <w:shd w:val="clear" w:color="auto" w:fill="C6EFCE"/>
            <w:noWrap/>
          </w:tcPr>
          <w:p w14:paraId="642DAC0B" w14:textId="77777777" w:rsidR="006578ED" w:rsidRDefault="00A1618E">
            <w:pPr>
              <w:pStyle w:val="P68B1DB1-Normal13"/>
              <w:spacing w:after="0" w:line="240" w:lineRule="auto"/>
              <w:jc w:val="center"/>
              <w:rPr>
                <w:rFonts w:eastAsia="Symbol" w:cs="Times New Roman"/>
                <w:noProof/>
              </w:rPr>
            </w:pPr>
            <w:r>
              <w:rPr>
                <w:noProof/>
              </w:rPr>
              <w:t>143</w:t>
            </w:r>
          </w:p>
        </w:tc>
        <w:tc>
          <w:tcPr>
            <w:tcW w:w="851" w:type="dxa"/>
            <w:shd w:val="clear" w:color="auto" w:fill="C6EFCE"/>
            <w:noWrap/>
          </w:tcPr>
          <w:p w14:paraId="30B38E23" w14:textId="77777777" w:rsidR="006578ED" w:rsidRDefault="00A1618E">
            <w:pPr>
              <w:pStyle w:val="P68B1DB1-Normal13"/>
              <w:spacing w:after="0" w:line="240" w:lineRule="auto"/>
              <w:jc w:val="center"/>
              <w:rPr>
                <w:rFonts w:eastAsia="Symbol" w:cs="Times New Roman"/>
                <w:noProof/>
              </w:rPr>
            </w:pPr>
            <w:r>
              <w:rPr>
                <w:noProof/>
              </w:rPr>
              <w:t>C10.I1</w:t>
            </w:r>
          </w:p>
        </w:tc>
        <w:tc>
          <w:tcPr>
            <w:tcW w:w="850" w:type="dxa"/>
            <w:shd w:val="clear" w:color="auto" w:fill="C6EFCE"/>
            <w:noWrap/>
          </w:tcPr>
          <w:p w14:paraId="1BBCB446" w14:textId="5A881985" w:rsidR="006578ED" w:rsidRDefault="00AF6B91">
            <w:pPr>
              <w:pStyle w:val="P68B1DB1-Normal13"/>
              <w:spacing w:after="0" w:line="240" w:lineRule="auto"/>
              <w:jc w:val="center"/>
              <w:rPr>
                <w:rFonts w:eastAsia="Symbol" w:cs="Times New Roman"/>
                <w:noProof/>
              </w:rPr>
            </w:pPr>
            <w:r>
              <w:rPr>
                <w:noProof/>
              </w:rPr>
              <w:t>Cel</w:t>
            </w:r>
          </w:p>
        </w:tc>
        <w:tc>
          <w:tcPr>
            <w:tcW w:w="3261" w:type="dxa"/>
            <w:shd w:val="clear" w:color="auto" w:fill="C6EFCE"/>
            <w:noWrap/>
          </w:tcPr>
          <w:p w14:paraId="7A067092" w14:textId="298A0BC9" w:rsidR="006578ED" w:rsidRDefault="00A1618E">
            <w:pPr>
              <w:pStyle w:val="P68B1DB1-Normal13"/>
              <w:spacing w:after="0" w:line="240" w:lineRule="auto"/>
              <w:rPr>
                <w:rFonts w:eastAsia="Symbol" w:cs="Times New Roman"/>
                <w:noProof/>
              </w:rPr>
            </w:pPr>
            <w:r>
              <w:rPr>
                <w:noProof/>
              </w:rPr>
              <w:t>Tereny rekultywowane w zamkniętych kopalniach węgla lub na obszarach przyległych do elektrowni.</w:t>
            </w:r>
          </w:p>
        </w:tc>
        <w:tc>
          <w:tcPr>
            <w:tcW w:w="992" w:type="dxa"/>
            <w:shd w:val="clear" w:color="auto" w:fill="C6EFCE"/>
            <w:noWrap/>
          </w:tcPr>
          <w:p w14:paraId="0812ED9E" w14:textId="77777777" w:rsidR="006578ED" w:rsidRDefault="00A1618E">
            <w:pPr>
              <w:pStyle w:val="P68B1DB1-Normal13"/>
              <w:spacing w:after="0" w:line="240" w:lineRule="auto"/>
              <w:jc w:val="center"/>
              <w:rPr>
                <w:rFonts w:eastAsia="Symbol" w:cs="Times New Roman"/>
                <w:noProof/>
              </w:rPr>
            </w:pPr>
            <w:r>
              <w:rPr>
                <w:noProof/>
              </w:rPr>
              <w:t>—</w:t>
            </w:r>
          </w:p>
        </w:tc>
        <w:tc>
          <w:tcPr>
            <w:tcW w:w="850" w:type="dxa"/>
            <w:shd w:val="clear" w:color="auto" w:fill="C6EFCE"/>
            <w:noWrap/>
          </w:tcPr>
          <w:p w14:paraId="06982734" w14:textId="77777777" w:rsidR="006578ED" w:rsidRDefault="00A1618E">
            <w:pPr>
              <w:pStyle w:val="P68B1DB1-Normal13"/>
              <w:spacing w:after="0" w:line="240" w:lineRule="auto"/>
              <w:jc w:val="right"/>
              <w:rPr>
                <w:rFonts w:eastAsia="Symbol" w:cs="Times New Roman"/>
                <w:noProof/>
              </w:rPr>
            </w:pPr>
            <w:r>
              <w:rPr>
                <w:noProof/>
              </w:rPr>
              <w:t>Liczba (hektary)</w:t>
            </w:r>
          </w:p>
        </w:tc>
        <w:tc>
          <w:tcPr>
            <w:tcW w:w="567" w:type="dxa"/>
            <w:shd w:val="clear" w:color="auto" w:fill="C6EFCE"/>
            <w:noWrap/>
          </w:tcPr>
          <w:p w14:paraId="28EA6124" w14:textId="77777777" w:rsidR="006578ED" w:rsidRDefault="00A1618E">
            <w:pPr>
              <w:pStyle w:val="P68B1DB1-Normal13"/>
              <w:spacing w:after="0" w:line="240" w:lineRule="auto"/>
              <w:jc w:val="right"/>
              <w:rPr>
                <w:rFonts w:eastAsia="Symbol" w:cs="Times New Roman"/>
                <w:noProof/>
              </w:rPr>
            </w:pPr>
            <w:r>
              <w:rPr>
                <w:noProof/>
              </w:rPr>
              <w:t>0</w:t>
            </w:r>
          </w:p>
        </w:tc>
        <w:tc>
          <w:tcPr>
            <w:tcW w:w="709" w:type="dxa"/>
            <w:shd w:val="clear" w:color="auto" w:fill="C6EFCE"/>
            <w:noWrap/>
          </w:tcPr>
          <w:p w14:paraId="1DCF5F40" w14:textId="77777777" w:rsidR="006578ED" w:rsidRDefault="00A1618E">
            <w:pPr>
              <w:pStyle w:val="P68B1DB1-Normal13"/>
              <w:spacing w:after="0" w:line="240" w:lineRule="auto"/>
              <w:jc w:val="right"/>
              <w:rPr>
                <w:rFonts w:eastAsia="Symbol" w:cs="Times New Roman"/>
                <w:noProof/>
              </w:rPr>
            </w:pPr>
            <w:r>
              <w:rPr>
                <w:noProof/>
              </w:rPr>
              <w:t>2 000</w:t>
            </w:r>
          </w:p>
        </w:tc>
        <w:tc>
          <w:tcPr>
            <w:tcW w:w="425" w:type="dxa"/>
            <w:shd w:val="clear" w:color="auto" w:fill="C6EFCE"/>
            <w:noWrap/>
          </w:tcPr>
          <w:p w14:paraId="684BA9D8" w14:textId="68453598" w:rsidR="006578ED" w:rsidRDefault="00EC188C">
            <w:pPr>
              <w:pStyle w:val="P68B1DB1-Normal13"/>
              <w:spacing w:after="0" w:line="240" w:lineRule="auto"/>
              <w:jc w:val="center"/>
              <w:rPr>
                <w:rFonts w:eastAsia="Symbol" w:cs="Times New Roman"/>
                <w:noProof/>
              </w:rPr>
            </w:pPr>
            <w:r>
              <w:rPr>
                <w:noProof/>
              </w:rPr>
              <w:t>KW. 2</w:t>
            </w:r>
          </w:p>
        </w:tc>
        <w:tc>
          <w:tcPr>
            <w:tcW w:w="567" w:type="dxa"/>
            <w:shd w:val="clear" w:color="auto" w:fill="C6EFCE"/>
            <w:noWrap/>
          </w:tcPr>
          <w:p w14:paraId="5B397BA1" w14:textId="77777777" w:rsidR="006578ED" w:rsidRDefault="00A1618E">
            <w:pPr>
              <w:pStyle w:val="P68B1DB1-Normal13"/>
              <w:spacing w:after="0" w:line="240" w:lineRule="auto"/>
              <w:jc w:val="center"/>
              <w:rPr>
                <w:rFonts w:eastAsia="Symbol" w:cs="Times New Roman"/>
                <w:noProof/>
              </w:rPr>
            </w:pPr>
            <w:r>
              <w:rPr>
                <w:noProof/>
              </w:rPr>
              <w:t>2026</w:t>
            </w:r>
          </w:p>
        </w:tc>
        <w:tc>
          <w:tcPr>
            <w:tcW w:w="5529" w:type="dxa"/>
            <w:shd w:val="clear" w:color="auto" w:fill="C6EFCE"/>
            <w:noWrap/>
          </w:tcPr>
          <w:p w14:paraId="5AEEA7F3" w14:textId="0149A78D" w:rsidR="006578ED" w:rsidRDefault="00A1618E">
            <w:pPr>
              <w:pStyle w:val="P68B1DB1-Normal13"/>
              <w:spacing w:after="0" w:line="240" w:lineRule="auto"/>
              <w:rPr>
                <w:rFonts w:eastAsia="Symbol" w:cs="Times New Roman"/>
                <w:noProof/>
              </w:rPr>
            </w:pPr>
            <w:r>
              <w:rPr>
                <w:noProof/>
              </w:rPr>
              <w:t>Co najmniej 2000 hektarów rekultywowanych terenów w zamkniętych kopalniach węgla kamiennego lub przyległych do elektrowni cieplnych lub jądrowych. Powierzchnia rekultywowanych terenów na obszarach skażonych, w szczególności na terenach wydobycia węgla kamiennego lub przylegających do elektrowni cieplnych lub jądrowych, gdzie zdemontowano elektrownie i instalacje górnicze, a gleba jest rekultywowana i podlega procesom ponownego zalesiania lub odnowy roślin, instalacjom wykorzystującym energię odnawialną lub ekoalternatywnym rozwojowi gospodarczemu.</w:t>
            </w:r>
          </w:p>
        </w:tc>
      </w:tr>
    </w:tbl>
    <w:p w14:paraId="386B8F08" w14:textId="32D8376A" w:rsidR="006578ED" w:rsidRDefault="006578ED">
      <w:pPr>
        <w:tabs>
          <w:tab w:val="left" w:pos="2370"/>
        </w:tabs>
        <w:rPr>
          <w:rFonts w:ascii="Times New Roman" w:hAnsi="Times New Roman" w:cs="Times New Roman"/>
          <w:noProof/>
          <w:sz w:val="24"/>
        </w:rPr>
        <w:sectPr w:rsidR="006578ED" w:rsidSect="00EB7CC8">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1417" w:right="1134" w:bottom="1417" w:left="1134" w:header="709" w:footer="709" w:gutter="0"/>
          <w:cols w:space="720"/>
          <w:docGrid w:linePitch="360"/>
        </w:sectPr>
      </w:pPr>
    </w:p>
    <w:p w14:paraId="6A7F6ABC" w14:textId="77777777" w:rsidR="006578ED" w:rsidRDefault="00A1618E">
      <w:pPr>
        <w:pStyle w:val="P68B1DB1-Heading12"/>
        <w:rPr>
          <w:rFonts w:cs="Times New Roman"/>
          <w:noProof/>
        </w:rPr>
      </w:pPr>
      <w:r>
        <w:rPr>
          <w:noProof/>
        </w:rPr>
        <w:t>K. KOMPONENT 11: Modernizacja administracji publicznej</w:t>
      </w:r>
    </w:p>
    <w:p w14:paraId="352E93FA" w14:textId="039802A1" w:rsidR="006578ED" w:rsidRDefault="00A1618E">
      <w:pPr>
        <w:pStyle w:val="P68B1DB1-Normal4"/>
        <w:spacing w:before="120" w:after="120" w:line="240" w:lineRule="auto"/>
        <w:jc w:val="both"/>
        <w:rPr>
          <w:rFonts w:cs="Times New Roman"/>
          <w:noProof/>
        </w:rPr>
      </w:pPr>
      <w:r>
        <w:rPr>
          <w:noProof/>
        </w:rPr>
        <w:t>Ten element hiszpańskiego planu odbudowy i zwiększania odporności dotyczy wyzwań związanych z administracją publiczną, w tym efektywności systemu wymiaru sprawiedliwości, zdolności administracyjnych i współpracy między różnymi szczeblami sprawowania rządów. Jego celem jest modernizacja hiszpańskiej administracji publicznej poprzez reformę procedur administracyjnych, zamówień publicznych, wymiaru sprawiedliwości, zatrudnienia w sektorze publicznym, w tym polityki w zakresie zasobów ludzkich; zwiększenie dostępności i efektywności usług publicznych poprzez ich dalszą cyfryzację; promowanie oszczędności energii, wykorzystania energii ze źródeł odnawialnych w budynkach publicznych i infrastrukturze publicznej, zwiększenie mobilności urzędników publicznych zgodnej z zasadami zrównoważonego rozwoju; oraz wzmocnienie zdolności administracyjnych administracji publicznej w zakresie monitorowania, kontroli i wdrażania polityki publicznej. Kluczowe środki służące osiągnięciu tych celów są następujące:</w:t>
      </w:r>
    </w:p>
    <w:p w14:paraId="56EFA3F4" w14:textId="48D14DD3" w:rsidR="006578ED" w:rsidRDefault="00A1618E">
      <w:pPr>
        <w:pStyle w:val="P68B1DB1-Normal4"/>
        <w:numPr>
          <w:ilvl w:val="0"/>
          <w:numId w:val="106"/>
        </w:numPr>
        <w:spacing w:before="120" w:after="120" w:line="240" w:lineRule="auto"/>
        <w:ind w:left="714" w:hanging="357"/>
        <w:contextualSpacing/>
        <w:jc w:val="both"/>
        <w:rPr>
          <w:rFonts w:cs="Times New Roman"/>
          <w:noProof/>
        </w:rPr>
      </w:pPr>
      <w:r>
        <w:rPr>
          <w:noProof/>
        </w:rPr>
        <w:t>Zreformowanie centralnej, regionalnej i lokalnej administracji publicznej poprzez poprawę współpracy między nimi, wzmocnienie ram zamówień publicznych, ocenę polityki publicznej oraz wspieranie przechodzenia na umowy o pracę na czas nieokreślony;</w:t>
      </w:r>
    </w:p>
    <w:p w14:paraId="4271A214" w14:textId="2665C28E" w:rsidR="006578ED" w:rsidRDefault="00A1618E">
      <w:pPr>
        <w:pStyle w:val="P68B1DB1-Normal4"/>
        <w:numPr>
          <w:ilvl w:val="0"/>
          <w:numId w:val="106"/>
        </w:numPr>
        <w:spacing w:before="120" w:after="120" w:line="240" w:lineRule="auto"/>
        <w:ind w:left="714" w:hanging="357"/>
        <w:contextualSpacing/>
        <w:jc w:val="both"/>
        <w:rPr>
          <w:rFonts w:cs="Times New Roman"/>
          <w:noProof/>
        </w:rPr>
      </w:pPr>
      <w:r>
        <w:rPr>
          <w:noProof/>
        </w:rPr>
        <w:t>Cyfryzacja administracji i procesów wraz z pięcioma projektami priorytetowymi w obszarach strategicznych: wymiar sprawiedliwości, publiczne służby zatrudnienia, dane dotyczące zdrowia publicznego, zarządzanie konsulatami i administracja terytorialna;</w:t>
      </w:r>
    </w:p>
    <w:p w14:paraId="1C63BC53" w14:textId="77777777" w:rsidR="006578ED" w:rsidRDefault="00A1618E">
      <w:pPr>
        <w:pStyle w:val="P68B1DB1-Normal4"/>
        <w:numPr>
          <w:ilvl w:val="0"/>
          <w:numId w:val="106"/>
        </w:numPr>
        <w:spacing w:before="120" w:after="120" w:line="240" w:lineRule="auto"/>
        <w:ind w:left="714" w:hanging="357"/>
        <w:contextualSpacing/>
        <w:jc w:val="both"/>
        <w:rPr>
          <w:rFonts w:cs="Times New Roman"/>
          <w:noProof/>
        </w:rPr>
      </w:pPr>
      <w:r>
        <w:rPr>
          <w:noProof/>
        </w:rPr>
        <w:t>Plan transformacji energetycznej instytucji rządowych na szczeblu centralnym;</w:t>
      </w:r>
    </w:p>
    <w:p w14:paraId="393C7493" w14:textId="77777777" w:rsidR="006578ED" w:rsidRDefault="00A1618E">
      <w:pPr>
        <w:pStyle w:val="P68B1DB1-Normal4"/>
        <w:numPr>
          <w:ilvl w:val="0"/>
          <w:numId w:val="106"/>
        </w:numPr>
        <w:spacing w:before="120" w:after="120" w:line="240" w:lineRule="auto"/>
        <w:ind w:left="714" w:hanging="357"/>
        <w:contextualSpacing/>
        <w:jc w:val="both"/>
        <w:rPr>
          <w:rFonts w:cs="Times New Roman"/>
          <w:noProof/>
        </w:rPr>
      </w:pPr>
      <w:r>
        <w:rPr>
          <w:noProof/>
        </w:rPr>
        <w:t>Wzmocnienie zdolności administracyjnych.</w:t>
      </w:r>
    </w:p>
    <w:p w14:paraId="5F50FC9F" w14:textId="2A43BC02" w:rsidR="006578ED" w:rsidRDefault="00A1618E">
      <w:pPr>
        <w:pStyle w:val="P68B1DB1-Normal4"/>
        <w:spacing w:before="120" w:after="120" w:line="240" w:lineRule="auto"/>
        <w:jc w:val="both"/>
        <w:rPr>
          <w:rFonts w:cs="Times New Roman"/>
          <w:noProof/>
        </w:rPr>
      </w:pPr>
      <w:r>
        <w:rPr>
          <w:noProof/>
        </w:rPr>
        <w:t xml:space="preserve">Ten element hiszpańskiego planu odbudowy i zwiększania odporności odnosi się do zaleceń dla poszczególnych krajów dotyczących wzmocnienia ram zamówień publicznych (zalecenia dla poszczególnych krajów </w:t>
      </w:r>
      <w:r w:rsidRPr="00A1618E">
        <w:rPr>
          <w:noProof/>
          <w:lang w:val="pl-PL"/>
        </w:rPr>
        <w:t>nr 1</w:t>
      </w:r>
      <w:r>
        <w:rPr>
          <w:noProof/>
        </w:rPr>
        <w:t xml:space="preserve"> 2019 i 4 2020), wspierania przejścia na umowy na czas nieokreślony (zalecenie dla poszczególnych krajów </w:t>
      </w:r>
      <w:r w:rsidRPr="00A1618E">
        <w:rPr>
          <w:noProof/>
          <w:lang w:val="pl-PL"/>
        </w:rPr>
        <w:t>nr 2</w:t>
      </w:r>
      <w:r>
        <w:rPr>
          <w:noProof/>
        </w:rPr>
        <w:t xml:space="preserve"> z 20</w:t>
      </w:r>
      <w:r w:rsidRPr="00A1618E">
        <w:rPr>
          <w:noProof/>
          <w:lang w:val="pl-PL"/>
        </w:rPr>
        <w:t>19 r.</w:t>
      </w:r>
      <w:r>
        <w:rPr>
          <w:noProof/>
        </w:rPr>
        <w:t xml:space="preserve">), koncentracji projektów inwestycji publicznych na wstępie oraz skoncentrowania inwestycji na zielonej i cyfrowej transformacji (zalecenia dla poszczególnych krajów </w:t>
      </w:r>
      <w:r w:rsidRPr="00A1618E">
        <w:rPr>
          <w:noProof/>
          <w:lang w:val="pl-PL"/>
        </w:rPr>
        <w:t>nr 3</w:t>
      </w:r>
      <w:r>
        <w:rPr>
          <w:noProof/>
        </w:rPr>
        <w:t xml:space="preserve"> 2019, 3 2020, 1 2022 i 1 2023) oraz poprawy współpracy między administracjami (zalecenia dla poszczególnych krajów </w:t>
      </w:r>
      <w:r w:rsidRPr="00A1618E">
        <w:rPr>
          <w:noProof/>
          <w:lang w:val="pl-PL"/>
        </w:rPr>
        <w:t>nr 4</w:t>
      </w:r>
      <w:r>
        <w:rPr>
          <w:noProof/>
        </w:rPr>
        <w:t xml:space="preserve"> z 20</w:t>
      </w:r>
      <w:r w:rsidRPr="00A1618E">
        <w:rPr>
          <w:noProof/>
          <w:lang w:val="pl-PL"/>
        </w:rPr>
        <w:t>19 r.</w:t>
      </w:r>
      <w:r>
        <w:rPr>
          <w:noProof/>
        </w:rPr>
        <w:t xml:space="preserve"> i 20</w:t>
      </w:r>
      <w:r w:rsidRPr="00A1618E">
        <w:rPr>
          <w:noProof/>
          <w:lang w:val="pl-PL"/>
        </w:rPr>
        <w:t>20 r.</w:t>
      </w:r>
      <w:r>
        <w:rPr>
          <w:noProof/>
        </w:rPr>
        <w:t>).</w:t>
      </w:r>
    </w:p>
    <w:p w14:paraId="40F85C11" w14:textId="6AD2DB96"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12F0DF21" w14:textId="17BA0CA7" w:rsidR="006578ED" w:rsidRDefault="00A1618E">
      <w:pPr>
        <w:pStyle w:val="P68B1DB1-Normal5"/>
        <w:spacing w:before="120" w:after="120" w:line="240" w:lineRule="auto"/>
        <w:jc w:val="both"/>
        <w:rPr>
          <w:rFonts w:cs="Times New Roman"/>
          <w:i/>
          <w:noProof/>
        </w:rPr>
      </w:pPr>
      <w:r>
        <w:rPr>
          <w:noProof/>
        </w:rPr>
        <w:t xml:space="preserve">K.1. </w:t>
      </w:r>
      <w:r>
        <w:rPr>
          <w:noProof/>
        </w:rPr>
        <w:tab/>
        <w:t>Opis reform i inwestycji, które mają być finansowane z bezzwrotnego wsparcia finansowego</w:t>
      </w:r>
    </w:p>
    <w:p w14:paraId="3DACBE7E" w14:textId="6A0881F4" w:rsidR="006578ED" w:rsidRDefault="00A1618E">
      <w:pPr>
        <w:pStyle w:val="P68B1DB1-Normal6"/>
        <w:spacing w:before="120" w:after="120" w:line="240" w:lineRule="auto"/>
        <w:jc w:val="both"/>
        <w:rPr>
          <w:rFonts w:cs="Times New Roman"/>
          <w:noProof/>
        </w:rPr>
      </w:pPr>
      <w:r>
        <w:rPr>
          <w:noProof/>
        </w:rPr>
        <w:t xml:space="preserve">Reforma 1 (C11.R1) – Reforma na rzecz modernizacji i cyfryzacji administracji </w:t>
      </w:r>
    </w:p>
    <w:p w14:paraId="2714C8E2" w14:textId="5C797D90" w:rsidR="006578ED" w:rsidRDefault="00A1618E">
      <w:pPr>
        <w:pStyle w:val="P68B1DB1-Normal4"/>
        <w:spacing w:before="120" w:after="120" w:line="240" w:lineRule="auto"/>
        <w:jc w:val="both"/>
        <w:rPr>
          <w:rFonts w:cs="Times New Roman"/>
          <w:noProof/>
        </w:rPr>
      </w:pPr>
      <w:r>
        <w:rPr>
          <w:noProof/>
        </w:rPr>
        <w:t>Środek ten składa się z wielu kierunków działań mających na celu wyeliminowanie słabych punktów w polityce zatrudnienia administracji publicznej, wzmocnienie współpracy i koordynacji między różnymi szczeblami administracji rządowej oraz poprawę sposobu, w jaki rząd centralny realizuje politykę publiczną. W odniesieniu do polityki zatrudnienia celem jest zmniejszenie odsetka pracowników zatrudnionych na czas określony w administracji publicznej oraz wzmocnienie publicznych zdolności w zakresie zatrudnienia poprzez przejście na model zasobów ludzkich oparty na kompetencjach, w tym do celów rekrutacji. Drugim kierunkiem działań jest dalszy rozwój oceny ex ante polityki oraz zwiększenie przejrzystości i udziału obywateli w kształtowaniu polityki publicznej, w tym nowa ustawa o przejrzystości i uczciwości w działaniach grup interesu.</w:t>
      </w:r>
      <w:r>
        <w:rPr>
          <w:noProof/>
          <w:shd w:val="clear" w:color="auto" w:fill="FFFFFF" w:themeFill="background1"/>
        </w:rPr>
        <w:t xml:space="preserve"> Ponadto reforma</w:t>
      </w:r>
      <w:r>
        <w:rPr>
          <w:noProof/>
        </w:rPr>
        <w:t xml:space="preserve"> wzmocni istniejące instrumenty współpracy między różnymi szczeblami rządów w Hiszpanii. Wzmocni to rolę konferencji sektorowych, istniejących organów współpracy z regionami, poprzez wyjaśnienie, kiedy mogą one osiągnąć porozumienie w sprawie obowiązkowego przestrzegania przepisów. Reforma wzmocni również Konferencję Przewodniczących (gdzie premier i przewodniczący wspólnot autonomicznych spotykają się na najwyższym szczeblu). Reforma dotyczy również instrumentów, za pomocą których możliwa jest współpraca między administracjami publicznymi, ustanawia cyfrowe międzyadministracyjne połączenia i </w:t>
      </w:r>
      <w:r>
        <w:rPr>
          <w:noProof/>
          <w:shd w:val="clear" w:color="auto" w:fill="FFFFFF" w:themeFill="background1"/>
        </w:rPr>
        <w:t xml:space="preserve">interoperacyjność między centralnymi i regionalnymi platformami informatycznymi. </w:t>
      </w:r>
      <w:r>
        <w:rPr>
          <w:noProof/>
        </w:rPr>
        <w:t>Reforma ma również na celu aktualizację ram bezpieczeństwa narodowego.</w:t>
      </w:r>
    </w:p>
    <w:p w14:paraId="636B4929" w14:textId="6A156D1B" w:rsidR="006578ED" w:rsidRDefault="00A1618E">
      <w:pPr>
        <w:pStyle w:val="P68B1DB1-Normal4"/>
        <w:spacing w:before="120" w:after="120" w:line="240" w:lineRule="auto"/>
        <w:jc w:val="both"/>
        <w:rPr>
          <w:rFonts w:cs="Times New Roman"/>
          <w:noProof/>
        </w:rPr>
      </w:pPr>
      <w:r>
        <w:rPr>
          <w:noProof/>
        </w:rPr>
        <w:t>Wdrożenie tego środka zostanie zakończone do dnia 31 grudnia 20</w:t>
      </w:r>
      <w:r w:rsidRPr="00A1618E">
        <w:rPr>
          <w:noProof/>
          <w:lang w:val="pl-PL"/>
        </w:rPr>
        <w:t>24 r.</w:t>
      </w:r>
    </w:p>
    <w:p w14:paraId="25E2998A" w14:textId="1E45EF38" w:rsidR="006578ED" w:rsidRDefault="00A1618E">
      <w:pPr>
        <w:pStyle w:val="P68B1DB1-Normal6"/>
        <w:keepNext/>
        <w:spacing w:before="120" w:after="120" w:line="240" w:lineRule="auto"/>
        <w:jc w:val="both"/>
        <w:rPr>
          <w:rFonts w:cs="Times New Roman"/>
          <w:noProof/>
        </w:rPr>
      </w:pPr>
      <w:r>
        <w:rPr>
          <w:noProof/>
        </w:rPr>
        <w:t>Reforma 2 (C11.R2) – Reforma na rzecz umocnienia praworządności i skuteczności wymiaru sprawiedliwości</w:t>
      </w:r>
    </w:p>
    <w:p w14:paraId="01290F57" w14:textId="350B9F4E" w:rsidR="006578ED" w:rsidRPr="00A1618E" w:rsidRDefault="00A1618E">
      <w:pPr>
        <w:pStyle w:val="P68B1DB1-Normal4"/>
        <w:keepNext/>
        <w:spacing w:before="120" w:after="120" w:line="240" w:lineRule="auto"/>
        <w:jc w:val="both"/>
        <w:rPr>
          <w:rFonts w:cs="Times New Roman"/>
          <w:noProof/>
          <w:lang w:val="pl-PL"/>
        </w:rPr>
      </w:pPr>
      <w:r>
        <w:rPr>
          <w:noProof/>
        </w:rPr>
        <w:t xml:space="preserve">W ustawie </w:t>
      </w:r>
      <w:r w:rsidRPr="00A1618E">
        <w:rPr>
          <w:noProof/>
          <w:lang w:val="pl-PL"/>
        </w:rPr>
        <w:t>nr 3</w:t>
      </w:r>
      <w:r>
        <w:rPr>
          <w:noProof/>
        </w:rPr>
        <w:t>/2020 z dnia 18 września oraz w programie „Sprawiedliwość 2030” określono plan działania na rzecz reformy wymiaru sprawiedliwości w Hiszpanii. W tym kontekście środek ten ma na celu modernizację systemu wymiaru sprawiedliwości do czasu wejścia w życie (z uwzględnieniem „</w:t>
      </w:r>
      <w:r>
        <w:rPr>
          <w:i/>
          <w:noProof/>
        </w:rPr>
        <w:t>vacatio legis</w:t>
      </w:r>
      <w:r>
        <w:rPr>
          <w:noProof/>
        </w:rPr>
        <w:t>” ustanowionego w każdej ustawie)</w:t>
      </w:r>
      <w:r w:rsidRPr="00A1618E">
        <w:rPr>
          <w:noProof/>
          <w:lang w:val="pl-PL"/>
        </w:rPr>
        <w:t xml:space="preserve">, </w:t>
      </w:r>
    </w:p>
    <w:p w14:paraId="1F3E25AB" w14:textId="630BBF8C" w:rsidR="006578ED" w:rsidRDefault="00A1618E">
      <w:pPr>
        <w:pStyle w:val="P68B1DB1-Normal4"/>
        <w:spacing w:before="120" w:after="120" w:line="240" w:lineRule="auto"/>
        <w:jc w:val="both"/>
        <w:rPr>
          <w:rFonts w:cs="Times New Roman"/>
          <w:noProof/>
        </w:rPr>
      </w:pPr>
      <w:r>
        <w:rPr>
          <w:noProof/>
        </w:rPr>
        <w:t>do dnia 31 grudnia 20</w:t>
      </w:r>
      <w:r w:rsidRPr="00A1618E">
        <w:rPr>
          <w:noProof/>
          <w:lang w:val="pl-PL"/>
        </w:rPr>
        <w:t>22 r.</w:t>
      </w:r>
      <w:r>
        <w:rPr>
          <w:noProof/>
        </w:rPr>
        <w:t>:</w:t>
      </w:r>
    </w:p>
    <w:p w14:paraId="2E37D948" w14:textId="260AD96C" w:rsidR="006578ED" w:rsidRDefault="00A1618E">
      <w:pPr>
        <w:pStyle w:val="P68B1DB1-Normal4"/>
        <w:numPr>
          <w:ilvl w:val="0"/>
          <w:numId w:val="109"/>
        </w:numPr>
        <w:spacing w:before="120" w:after="120" w:line="240" w:lineRule="auto"/>
        <w:jc w:val="both"/>
        <w:rPr>
          <w:rFonts w:cs="Times New Roman"/>
          <w:noProof/>
        </w:rPr>
      </w:pPr>
      <w:r>
        <w:rPr>
          <w:noProof/>
        </w:rPr>
        <w:t>Królewski dekret z mocą ustawy w sprawie skuteczności proceduralnej, który skróci czas trwania postępowań we wszystkich jurysdykcjach, zachowując jednocześnie gwarancje proceduralne obywateli;</w:t>
      </w:r>
    </w:p>
    <w:p w14:paraId="2F975B10" w14:textId="02827FE0" w:rsidR="006578ED" w:rsidRDefault="00A1618E">
      <w:pPr>
        <w:pStyle w:val="P68B1DB1-Normal4"/>
        <w:numPr>
          <w:ilvl w:val="0"/>
          <w:numId w:val="109"/>
        </w:numPr>
        <w:spacing w:before="120" w:after="120" w:line="240" w:lineRule="auto"/>
        <w:jc w:val="both"/>
        <w:rPr>
          <w:rFonts w:cs="Times New Roman"/>
          <w:noProof/>
        </w:rPr>
      </w:pPr>
      <w:r>
        <w:rPr>
          <w:noProof/>
        </w:rPr>
        <w:t>Dekret królewski w sprawie efektywności cyfrowej, w którym promuje się architekturę opartą na danych w celu zarządzania informacjami.</w:t>
      </w:r>
    </w:p>
    <w:p w14:paraId="5C8D43F9" w14:textId="6FA982BA" w:rsidR="006578ED" w:rsidRDefault="00A1618E">
      <w:pPr>
        <w:pStyle w:val="P68B1DB1-Normal4"/>
        <w:spacing w:before="120" w:after="120" w:line="240" w:lineRule="auto"/>
        <w:jc w:val="both"/>
        <w:rPr>
          <w:rFonts w:cs="Times New Roman"/>
          <w:noProof/>
        </w:rPr>
      </w:pPr>
      <w:r>
        <w:rPr>
          <w:noProof/>
        </w:rPr>
        <w:t>do dnia 31 grudnia 20</w:t>
      </w:r>
      <w:r w:rsidRPr="00A1618E">
        <w:rPr>
          <w:noProof/>
          <w:lang w:val="pl-PL"/>
        </w:rPr>
        <w:t>24 r.</w:t>
      </w:r>
      <w:r>
        <w:rPr>
          <w:noProof/>
        </w:rPr>
        <w:t>:</w:t>
      </w:r>
    </w:p>
    <w:p w14:paraId="633FA789" w14:textId="2217B579" w:rsidR="006578ED" w:rsidRDefault="00A1618E">
      <w:pPr>
        <w:pStyle w:val="P68B1DB1-Normal4"/>
        <w:numPr>
          <w:ilvl w:val="0"/>
          <w:numId w:val="109"/>
        </w:numPr>
        <w:spacing w:before="120" w:after="120" w:line="240" w:lineRule="auto"/>
        <w:jc w:val="both"/>
        <w:rPr>
          <w:rFonts w:cs="Times New Roman"/>
          <w:noProof/>
        </w:rPr>
      </w:pPr>
      <w:r>
        <w:rPr>
          <w:noProof/>
        </w:rPr>
        <w:t>Ustawa o skuteczności organizacyjnej i proceduralnej wymiaru sprawiedliwości, która zmienia organizację mapy sądownictwa i ustanawia alternatywne sposoby rozstrzygania sporów. Niniejsza ustawa zastępuje dużą liczbę jednoosobowych sądów pierwszej instancji 431 organów kolegialnych (</w:t>
      </w:r>
      <w:r>
        <w:rPr>
          <w:i/>
          <w:noProof/>
        </w:rPr>
        <w:t>Tribunales de Instancia</w:t>
      </w:r>
      <w:r>
        <w:rPr>
          <w:noProof/>
        </w:rPr>
        <w:t>) i wdraża Biuro Sądownictwa.</w:t>
      </w:r>
    </w:p>
    <w:p w14:paraId="1C0B2809" w14:textId="76F1E8F9" w:rsidR="006578ED" w:rsidRDefault="00A1618E">
      <w:pPr>
        <w:pStyle w:val="P68B1DB1-Normal4"/>
        <w:numPr>
          <w:ilvl w:val="0"/>
          <w:numId w:val="109"/>
        </w:numPr>
        <w:spacing w:before="120" w:after="120" w:line="240" w:lineRule="auto"/>
        <w:jc w:val="both"/>
        <w:rPr>
          <w:rFonts w:cs="Times New Roman"/>
          <w:noProof/>
        </w:rPr>
      </w:pPr>
      <w:r>
        <w:rPr>
          <w:noProof/>
        </w:rPr>
        <w:t>Ustawa o prawie do obrony, która rozwija i wzmacnia podstawowe prawo do rzetelnego procesu sądowego, a ostatecznie przyczynia się do umocnienia praworządności.</w:t>
      </w:r>
    </w:p>
    <w:p w14:paraId="730B9F02" w14:textId="58C15797" w:rsidR="006578ED" w:rsidRDefault="00A1618E">
      <w:pPr>
        <w:pStyle w:val="P68B1DB1-Normal4"/>
        <w:spacing w:before="120" w:after="120" w:line="240" w:lineRule="auto"/>
        <w:jc w:val="both"/>
        <w:rPr>
          <w:rFonts w:cs="Times New Roman"/>
          <w:noProof/>
          <w:u w:val="single"/>
        </w:rPr>
      </w:pPr>
      <w:r>
        <w:rPr>
          <w:noProof/>
        </w:rPr>
        <w:t>Wdrożenie środka musi zostać zakończone do dnia 31 grudnia 20</w:t>
      </w:r>
      <w:r w:rsidRPr="00A1618E">
        <w:rPr>
          <w:noProof/>
          <w:lang w:val="pl-PL"/>
        </w:rPr>
        <w:t>24 r.</w:t>
      </w:r>
    </w:p>
    <w:p w14:paraId="1FE00358" w14:textId="77777777" w:rsidR="006578ED" w:rsidRDefault="00A1618E">
      <w:pPr>
        <w:pStyle w:val="P68B1DB1-Normal6"/>
        <w:spacing w:before="120" w:after="120" w:line="240" w:lineRule="auto"/>
        <w:jc w:val="both"/>
        <w:rPr>
          <w:rFonts w:cs="Times New Roman"/>
          <w:noProof/>
        </w:rPr>
      </w:pPr>
      <w:r>
        <w:rPr>
          <w:noProof/>
        </w:rPr>
        <w:t>Reforma 3 (C11.R3) – Reforma mająca na celu modernizację struktury instytucjonalnej zarządzania gospodarczego</w:t>
      </w:r>
    </w:p>
    <w:p w14:paraId="6FED04EF" w14:textId="06C444D1" w:rsidR="006578ED" w:rsidRDefault="00A1618E">
      <w:pPr>
        <w:pStyle w:val="P68B1DB1-Normal4"/>
        <w:shd w:val="clear" w:color="auto" w:fill="FFFFFF" w:themeFill="background1"/>
        <w:spacing w:before="120" w:after="120" w:line="240" w:lineRule="auto"/>
        <w:jc w:val="both"/>
        <w:rPr>
          <w:rFonts w:cs="Times New Roman"/>
          <w:noProof/>
        </w:rPr>
      </w:pPr>
      <w:r>
        <w:rPr>
          <w:noProof/>
        </w:rPr>
        <w:t xml:space="preserve">Środek ten ma na celu zreformowanie aspektów instytucjonalnych ram zarządzania gospodarczego, w tym poprzez przyspieszenie i promowanie cyfryzacji procesów. Informacje te obejmują: reforma sposobu obsługi gwarancji przez </w:t>
      </w:r>
      <w:r>
        <w:rPr>
          <w:i/>
          <w:noProof/>
        </w:rPr>
        <w:t>Caja General de Depósitos</w:t>
      </w:r>
      <w:r>
        <w:rPr>
          <w:noProof/>
        </w:rPr>
        <w:t xml:space="preserve"> (główny fundusz depozytowy), aby uczynić je elektronicznymi; utworzenie Organu ds. Ochrony Klientów Finansowych w celu zagwarantowania praw klientów finansowych; poprawa ram instytucjonalnych w celu restrukturyzacji i uporządkowanej likwidacji instytucji finansowych poprzez ustawę zmieniającą obecne instytucjonalne ramy restrukturyzacji i uporządkowanej likwidacji; oraz d) unowocześnić nadzór nad dziedzinami finansów i audytu poprzez reformę ogólnego planu rachunkowości i rozporządzenia w sprawie audytu.</w:t>
      </w:r>
    </w:p>
    <w:p w14:paraId="72E326FA" w14:textId="3AD9A5C2" w:rsidR="006578ED" w:rsidRDefault="00A1618E">
      <w:pPr>
        <w:pStyle w:val="P68B1DB1-Normal4"/>
        <w:shd w:val="clear" w:color="auto" w:fill="FFFFFF" w:themeFill="background1"/>
        <w:spacing w:before="120" w:after="120" w:line="240" w:lineRule="auto"/>
        <w:jc w:val="both"/>
        <w:rPr>
          <w:rFonts w:cs="Times New Roman"/>
          <w:noProof/>
        </w:rPr>
      </w:pPr>
      <w:r>
        <w:rPr>
          <w:noProof/>
        </w:rPr>
        <w:t>Reforma obejmuje również a) ustawę o usługach dla klientów (w tym o usługach finansowych) ustanawiającą normy jakości i zapewniającą bardziej efektywne usługi na rzecz klientów; oraz b) opublikowanie zielonej księgi w celu promowania zrównoważonych finansów w Hiszpanii.</w:t>
      </w:r>
    </w:p>
    <w:p w14:paraId="0F5B433A" w14:textId="12A1EEA8" w:rsidR="006578ED" w:rsidRDefault="00A1618E">
      <w:pPr>
        <w:pStyle w:val="P68B1DB1-Normal4"/>
        <w:shd w:val="clear" w:color="auto" w:fill="FFFFFF" w:themeFill="background1"/>
        <w:spacing w:before="120" w:after="120" w:line="240" w:lineRule="auto"/>
        <w:jc w:val="both"/>
        <w:rPr>
          <w:rFonts w:cs="Times New Roman"/>
          <w:noProof/>
        </w:rPr>
      </w:pPr>
      <w:r>
        <w:rPr>
          <w:noProof/>
        </w:rPr>
        <w:t>Wdrożenie środka musi zostać zakończone do dnia 31 grudnia 20</w:t>
      </w:r>
      <w:r w:rsidRPr="00A1618E">
        <w:rPr>
          <w:noProof/>
          <w:lang w:val="pl-PL"/>
        </w:rPr>
        <w:t>24 r.</w:t>
      </w:r>
    </w:p>
    <w:p w14:paraId="3B2ECC08" w14:textId="77777777" w:rsidR="006578ED" w:rsidRDefault="00A1618E">
      <w:pPr>
        <w:pStyle w:val="P68B1DB1-Normal6"/>
        <w:spacing w:before="120" w:after="120" w:line="240" w:lineRule="auto"/>
        <w:jc w:val="both"/>
        <w:rPr>
          <w:rFonts w:cs="Times New Roman"/>
          <w:noProof/>
        </w:rPr>
      </w:pPr>
      <w:r>
        <w:rPr>
          <w:noProof/>
        </w:rPr>
        <w:t xml:space="preserve">Reforma 4 (C11.R4) – Krajowa strategia zamówień publicznych </w:t>
      </w:r>
    </w:p>
    <w:p w14:paraId="0D561F15" w14:textId="5F72E359" w:rsidR="006578ED" w:rsidRDefault="00A1618E">
      <w:pPr>
        <w:pStyle w:val="P68B1DB1-Normal4"/>
        <w:spacing w:before="120" w:after="120" w:line="240" w:lineRule="auto"/>
        <w:jc w:val="both"/>
        <w:rPr>
          <w:rFonts w:cs="Times New Roman"/>
          <w:noProof/>
        </w:rPr>
      </w:pPr>
      <w:r>
        <w:rPr>
          <w:noProof/>
        </w:rPr>
        <w:t>Reforma ta zakończy wdrażanie reformy zamówień publicznych przewidzianej w ustawie 9/2017 w sprawie zamówień publicznych (jako główny akt transpozycji dyrektywy Parlamentu Europejskiego i Rady 2014/24/UE z dnia 26 lutego 20</w:t>
      </w:r>
      <w:r w:rsidRPr="00A1618E">
        <w:rPr>
          <w:noProof/>
          <w:lang w:val="pl-PL"/>
        </w:rPr>
        <w:t>14 r.</w:t>
      </w:r>
      <w:r>
        <w:rPr>
          <w:noProof/>
        </w:rPr>
        <w:t xml:space="preserve"> w sprawie zamówień publicznych, uchylającej dyrektywę 2004/18/WE Tekst mający znaczenie dla EOG). Ustanawia się w nim strukturę zarządzania w celu zaspokojenia zapotrzebowania na spójne ramy zamówień publicznych zapewniające przejrzystość, skuteczne mechanizmy kontroli, wzajemne połączenie baz danych dotyczących zamówień publicznych na wszystkich szczeblach administracji rządowej oraz koordynację na wszystkich szczeblach administracji rządowej w celu: zapewnienie pełnej operacyjności Krajowego Urzędu Oceny oraz (ii) przyjęcie krajowej strategii zamówień publicznych. </w:t>
      </w:r>
    </w:p>
    <w:p w14:paraId="3BF329BE" w14:textId="10D4D266" w:rsidR="006578ED" w:rsidRDefault="00A1618E">
      <w:pPr>
        <w:pStyle w:val="P68B1DB1-Normal4"/>
        <w:spacing w:before="120" w:after="120" w:line="240" w:lineRule="auto"/>
        <w:jc w:val="both"/>
        <w:rPr>
          <w:rFonts w:cs="Times New Roman"/>
          <w:noProof/>
        </w:rPr>
      </w:pPr>
      <w:r>
        <w:rPr>
          <w:noProof/>
        </w:rPr>
        <w:t>Hiszpania utworzyła już niezależny Urząd Regulacji i Nadzoru Zamówień Publicznych oraz krajowy urząd oceny. Reforma ta ma również na celu rozwiązanie problemów związanych z ograniczonym udostępnianiem informacji i baz danych dotyczących zamówień publicznych, a także słabości w strukturze zamówień publicznych. W tym celu reforma: poprawa efektywności zamówień publicznych (procesów, wyników, danych i informacji); promowanie profesjonalizacji podmiotów (zgodnie z zaleceniem Komisji z października 20</w:t>
      </w:r>
      <w:r w:rsidRPr="00A1618E">
        <w:rPr>
          <w:noProof/>
          <w:lang w:val="pl-PL"/>
        </w:rPr>
        <w:t>17 r.</w:t>
      </w:r>
      <w:r>
        <w:rPr>
          <w:noProof/>
        </w:rPr>
        <w:t>); poprawa dostępu MŚP; oraz d) wzmocnienie ram prawnych cyfrowych zamówień publicznych.</w:t>
      </w:r>
    </w:p>
    <w:p w14:paraId="7A9531F1" w14:textId="669C0616" w:rsidR="006578ED" w:rsidRDefault="00A1618E">
      <w:pPr>
        <w:pStyle w:val="P68B1DB1-Normal4"/>
        <w:spacing w:before="120" w:after="120" w:line="240" w:lineRule="auto"/>
        <w:jc w:val="both"/>
        <w:rPr>
          <w:rFonts w:cs="Times New Roman"/>
          <w:noProof/>
        </w:rPr>
      </w:pPr>
      <w:r>
        <w:rPr>
          <w:noProof/>
        </w:rPr>
        <w:t>Wdrożenie środka należy zakończyć do dnia 31 grudnia 20</w:t>
      </w:r>
      <w:r w:rsidRPr="00A1618E">
        <w:rPr>
          <w:noProof/>
          <w:lang w:val="pl-PL"/>
        </w:rPr>
        <w:t>22 r.</w:t>
      </w:r>
    </w:p>
    <w:p w14:paraId="48A9D52C" w14:textId="77777777" w:rsidR="006578ED" w:rsidRDefault="00A1618E">
      <w:pPr>
        <w:pStyle w:val="P68B1DB1-Normal6"/>
        <w:keepNext/>
        <w:spacing w:before="120" w:after="120" w:line="240" w:lineRule="auto"/>
        <w:jc w:val="both"/>
        <w:rPr>
          <w:rFonts w:cs="Times New Roman"/>
          <w:noProof/>
        </w:rPr>
      </w:pPr>
      <w:r>
        <w:rPr>
          <w:noProof/>
        </w:rPr>
        <w:t xml:space="preserve">Reforma 5 (C11.R5) – Zdolność administracyjna </w:t>
      </w:r>
    </w:p>
    <w:p w14:paraId="3663E51B" w14:textId="4E15C5FF" w:rsidR="006578ED" w:rsidRDefault="00A1618E">
      <w:pPr>
        <w:pStyle w:val="P68B1DB1-Normal4"/>
        <w:spacing w:before="120" w:after="120" w:line="240" w:lineRule="auto"/>
        <w:jc w:val="both"/>
        <w:rPr>
          <w:rFonts w:cs="Times New Roman"/>
          <w:noProof/>
        </w:rPr>
      </w:pPr>
      <w:r>
        <w:rPr>
          <w:noProof/>
        </w:rPr>
        <w:t xml:space="preserve">Reforma ta zmodernizuje wewnętrzne funkcjonowanie administracji publicznej w celu poprawy realizacji hiszpańskiego planu odbudowy i zwiększania odporności, tak aby wywrzeć długotrwały wpływ na realizację przyszłych reform i inwestycji przez hiszpańską administrację publiczną. Ogólnie rzecz biorąc, wraz z inwestycją 5, zreformuje ona zdolność administracji publicznej do zapewnienia właściwej realizacji planu odbudowy i zwiększania odporności. Oznacza to stworzenie zintegrowanego systemu informacji i zarządzania; opracowuje działania szkoleniowe dla osób zaangażowanych w plan odbudowy i zwiększania odporności; oraz wdrożyć działania komunikacyjne skierowane do potencjalnych uczestników i beneficjentów planu odbudowy i zwiększania odporności, a także do przedsiębiorstw i gospodarstw domowych w ogóle, aby zapoznać się z możliwościami, jakie oferuje plan odbudowy i zwiększania odporności. </w:t>
      </w:r>
    </w:p>
    <w:p w14:paraId="31591AC5" w14:textId="64413A8B" w:rsidR="006578ED" w:rsidRDefault="00A1618E">
      <w:pPr>
        <w:pStyle w:val="P68B1DB1-Normal4"/>
        <w:spacing w:before="120" w:after="120" w:line="240" w:lineRule="auto"/>
        <w:jc w:val="both"/>
        <w:rPr>
          <w:rFonts w:cs="Times New Roman"/>
          <w:noProof/>
        </w:rPr>
      </w:pPr>
      <w:r>
        <w:rPr>
          <w:noProof/>
        </w:rPr>
        <w:t>Zarządzanie działaniami zawartymi w planie odbudowy i zwiększania odporności, sprawozdawczość i monitorowanie tych działań wdraża się za pomocą nowego modelu zarządzania administracyjnego i finansowego, aby zapewnić właściwą realizację działań określonych w planie odbudowy i zwiększania odporności. Ten jednolity model ma być scentralizowany w Sekretariacie Generalnym ds. Funduszy Europejskich i zostanie wykorzystany ministerstwom sprawozdającym, odpowiednim jednostkom ICT oraz, w miarę możliwości, równorzędnym administracjom w regionach (Wspólnoty Autonomiczne). W tym celu rząd centralny przyjął dekret królewski z mocą ustawy 36/2020.</w:t>
      </w:r>
    </w:p>
    <w:p w14:paraId="4264C8DD" w14:textId="1314A5EC" w:rsidR="006578ED" w:rsidRDefault="00A1618E">
      <w:pPr>
        <w:pStyle w:val="P68B1DB1-Normal4"/>
        <w:spacing w:before="120" w:after="120" w:line="240" w:lineRule="auto"/>
        <w:jc w:val="both"/>
        <w:rPr>
          <w:rFonts w:cs="Times New Roman"/>
          <w:noProof/>
        </w:rPr>
      </w:pPr>
      <w:r>
        <w:rPr>
          <w:noProof/>
        </w:rPr>
        <w:t>Wdrożenie środka należy zakończyć do dnia 30 września 20</w:t>
      </w:r>
      <w:r w:rsidRPr="00A1618E">
        <w:rPr>
          <w:noProof/>
          <w:lang w:val="pl-PL"/>
        </w:rPr>
        <w:t>21 r.</w:t>
      </w:r>
    </w:p>
    <w:p w14:paraId="2F7AA333" w14:textId="77777777" w:rsidR="006578ED" w:rsidRDefault="00A1618E">
      <w:pPr>
        <w:pStyle w:val="P68B1DB1-Normal6"/>
        <w:spacing w:before="120" w:after="120" w:line="240" w:lineRule="auto"/>
        <w:jc w:val="both"/>
        <w:rPr>
          <w:rFonts w:cs="Times New Roman"/>
          <w:noProof/>
        </w:rPr>
      </w:pPr>
      <w:r>
        <w:rPr>
          <w:noProof/>
        </w:rPr>
        <w:t>Inwestycja 1 (C11.I1) – Modernizacja ogólnej administracji państwowej</w:t>
      </w:r>
    </w:p>
    <w:p w14:paraId="0ED397FF" w14:textId="1B091DAF" w:rsidR="006578ED" w:rsidRDefault="00A1618E">
      <w:pPr>
        <w:pStyle w:val="P68B1DB1-Normal4"/>
        <w:spacing w:before="120" w:after="120" w:line="240" w:lineRule="auto"/>
        <w:jc w:val="both"/>
        <w:rPr>
          <w:rFonts w:cs="Times New Roman"/>
          <w:noProof/>
        </w:rPr>
      </w:pPr>
      <w:r>
        <w:rPr>
          <w:noProof/>
        </w:rPr>
        <w:t>Działania w ramach inwestycji w C11.I1 i C11.I3 są opracowywane zgodnie z tymi samymi zasadami, przy czym I1 skierowany jest do instytucji rządowych na szczeblu centralnym, a I3 do władz regionalnych i lokalnych. W odniesieniu do wszystkich tych podmiotów podejmuje się następujące działania:</w:t>
      </w:r>
    </w:p>
    <w:p w14:paraId="667ADB84" w14:textId="0CB47707" w:rsidR="006578ED" w:rsidRDefault="00A1618E">
      <w:pPr>
        <w:pStyle w:val="P68B1DB1-Normal4"/>
        <w:numPr>
          <w:ilvl w:val="0"/>
          <w:numId w:val="107"/>
        </w:numPr>
        <w:spacing w:before="120" w:after="120" w:line="240" w:lineRule="auto"/>
        <w:jc w:val="both"/>
        <w:rPr>
          <w:rFonts w:cs="Times New Roman"/>
          <w:noProof/>
        </w:rPr>
      </w:pPr>
      <w:r>
        <w:rPr>
          <w:noProof/>
        </w:rPr>
        <w:t>Administracja ukierunkowana na obywateli, poprawa cyfrowych usług publicznych świadczonych obywatelom i przedsiębiorstwom oraz wdrożenie środków zgodnych z hiszpańską agendą cyfrową 2025;</w:t>
      </w:r>
    </w:p>
    <w:p w14:paraId="1244348B" w14:textId="1160F623" w:rsidR="006578ED" w:rsidRDefault="00A1618E">
      <w:pPr>
        <w:pStyle w:val="P68B1DB1-Normal4"/>
        <w:numPr>
          <w:ilvl w:val="0"/>
          <w:numId w:val="107"/>
        </w:numPr>
        <w:spacing w:before="120" w:after="120" w:line="240" w:lineRule="auto"/>
        <w:jc w:val="both"/>
        <w:rPr>
          <w:rFonts w:cs="Times New Roman"/>
          <w:noProof/>
        </w:rPr>
      </w:pPr>
      <w:r>
        <w:rPr>
          <w:noProof/>
        </w:rPr>
        <w:t>Inteligentne operacje i zarządzanie danymi, poprawa jakości i efektywności zarządzania usługami administracji publicznej (tj. zamówieniami publicznymi), w tym przepływu danych, poprzez wykorzystanie technologii inteligentnej automatyzacji i infrastruktury cyfrowej;</w:t>
      </w:r>
    </w:p>
    <w:p w14:paraId="5DA066F3" w14:textId="14A4360E" w:rsidR="006578ED" w:rsidRDefault="00A1618E">
      <w:pPr>
        <w:pStyle w:val="P68B1DB1-Normal4"/>
        <w:numPr>
          <w:ilvl w:val="0"/>
          <w:numId w:val="107"/>
        </w:numPr>
        <w:spacing w:before="120" w:after="120" w:line="240" w:lineRule="auto"/>
        <w:jc w:val="both"/>
        <w:rPr>
          <w:rFonts w:cs="Times New Roman"/>
          <w:noProof/>
        </w:rPr>
      </w:pPr>
      <w:r>
        <w:rPr>
          <w:noProof/>
        </w:rPr>
        <w:t>Infrastruktura cyfrowa i cyberbezpieczeństwo, mające na celu zapewnienie infrastruktury technologicznej hiszpańskiej administracji publicznej niezbędnej do jej modernizacji</w:t>
      </w:r>
      <w:r>
        <w:rPr>
          <w:b/>
          <w:noProof/>
        </w:rPr>
        <w:t xml:space="preserve">. </w:t>
      </w:r>
      <w:r>
        <w:rPr>
          <w:noProof/>
        </w:rPr>
        <w:t>W</w:t>
      </w:r>
      <w:r>
        <w:rPr>
          <w:b/>
          <w:noProof/>
        </w:rPr>
        <w:t> </w:t>
      </w:r>
      <w:r>
        <w:rPr>
          <w:noProof/>
        </w:rPr>
        <w:t>odniesieniu do cyberbezpieczeństwa w ramach tego środka ustanawia się centrum operacyjne ds. cyberbezpieczeństwa dla całej administracji ogólnej państwa i jej agencji publicznych w celu ochrony przed zagrożeniami dla cyberbezpieczeństwa;</w:t>
      </w:r>
    </w:p>
    <w:p w14:paraId="57D971B4" w14:textId="71DB4601" w:rsidR="006578ED" w:rsidRDefault="00A1618E">
      <w:pPr>
        <w:pStyle w:val="P68B1DB1-Normal4"/>
        <w:spacing w:before="120" w:after="120" w:line="240" w:lineRule="auto"/>
        <w:jc w:val="both"/>
        <w:rPr>
          <w:rFonts w:cs="Times New Roman"/>
          <w:noProof/>
        </w:rPr>
      </w:pPr>
      <w:r>
        <w:rPr>
          <w:noProof/>
        </w:rPr>
        <w:t>Realizacja inwestycji zostanie zakończona do dnia 31 grudnia 20</w:t>
      </w:r>
      <w:r w:rsidRPr="00A1618E">
        <w:rPr>
          <w:noProof/>
          <w:lang w:val="pl-PL"/>
        </w:rPr>
        <w:t>25 r.</w:t>
      </w:r>
      <w:r>
        <w:rPr>
          <w:noProof/>
        </w:rPr>
        <w:t xml:space="preserve"> </w:t>
      </w:r>
    </w:p>
    <w:p w14:paraId="4BEBE207" w14:textId="77777777" w:rsidR="006578ED" w:rsidRDefault="00A1618E">
      <w:pPr>
        <w:pStyle w:val="P68B1DB1-Normal6"/>
        <w:spacing w:before="120" w:after="120" w:line="240" w:lineRule="auto"/>
        <w:jc w:val="both"/>
        <w:rPr>
          <w:rFonts w:cs="Times New Roman"/>
          <w:noProof/>
        </w:rPr>
      </w:pPr>
      <w:r>
        <w:rPr>
          <w:noProof/>
        </w:rPr>
        <w:t>Inwestycje 2 (C11.I2) – Szczególne projekty mające na celu cyfryzację instytucji rządowych na szczeblu centralnym</w:t>
      </w:r>
    </w:p>
    <w:p w14:paraId="334B0601" w14:textId="5946DFD6" w:rsidR="006578ED" w:rsidRDefault="00A1618E">
      <w:pPr>
        <w:pStyle w:val="P68B1DB1-Normal4"/>
        <w:spacing w:after="0" w:line="240" w:lineRule="auto"/>
        <w:jc w:val="both"/>
        <w:rPr>
          <w:rFonts w:cs="Times New Roman"/>
          <w:noProof/>
        </w:rPr>
      </w:pPr>
      <w:r>
        <w:rPr>
          <w:noProof/>
        </w:rPr>
        <w:t>Inwestycja ta doprowadzi do bardziej powszechnego przyjęcia cyfryzacji i rozwoju usług cyfrowych w całej administracji publicznej. Obszary polityki służące wdrożeniu transformacji cyfrowej to:</w:t>
      </w:r>
    </w:p>
    <w:p w14:paraId="60321793" w14:textId="531158EC" w:rsidR="006578ED" w:rsidRDefault="00A1618E">
      <w:pPr>
        <w:pStyle w:val="P68B1DB1-Normal4"/>
        <w:numPr>
          <w:ilvl w:val="0"/>
          <w:numId w:val="108"/>
        </w:numPr>
        <w:spacing w:before="120" w:after="0" w:line="240" w:lineRule="auto"/>
        <w:contextualSpacing/>
        <w:jc w:val="both"/>
        <w:rPr>
          <w:rFonts w:cs="Times New Roman"/>
          <w:noProof/>
        </w:rPr>
      </w:pPr>
      <w:r>
        <w:rPr>
          <w:noProof/>
        </w:rPr>
        <w:t>System opieki zdrowotnej. Inwestycja ma na celu poprawę interoperacyjności między rządem centralnym a wspólnotami autonomicznymi, a także poprzez promowanie analizy danych;</w:t>
      </w:r>
    </w:p>
    <w:p w14:paraId="7CBF399E" w14:textId="4B5A34EE" w:rsidR="006578ED" w:rsidRDefault="00A1618E">
      <w:pPr>
        <w:pStyle w:val="P68B1DB1-Normal4"/>
        <w:numPr>
          <w:ilvl w:val="0"/>
          <w:numId w:val="108"/>
        </w:numPr>
        <w:spacing w:before="120" w:after="0" w:line="240" w:lineRule="auto"/>
        <w:contextualSpacing/>
        <w:jc w:val="both"/>
        <w:rPr>
          <w:rFonts w:cs="Times New Roman"/>
          <w:noProof/>
        </w:rPr>
      </w:pPr>
      <w:r>
        <w:rPr>
          <w:noProof/>
        </w:rPr>
        <w:t>System wymiaru sprawiedliwości. Inwestycja zapewnia obywatelom i podmiotom prawnym narzędzia cyfrowe umożliwiające im lepsze zarządzanie ich relacjami z wymiarem sprawiedliwości;</w:t>
      </w:r>
    </w:p>
    <w:p w14:paraId="4F124CB9" w14:textId="77777777" w:rsidR="006578ED" w:rsidRDefault="00A1618E">
      <w:pPr>
        <w:pStyle w:val="P68B1DB1-Normal4"/>
        <w:numPr>
          <w:ilvl w:val="0"/>
          <w:numId w:val="108"/>
        </w:numPr>
        <w:spacing w:before="120" w:after="0" w:line="240" w:lineRule="auto"/>
        <w:contextualSpacing/>
        <w:jc w:val="both"/>
        <w:rPr>
          <w:rFonts w:cs="Times New Roman"/>
          <w:noProof/>
        </w:rPr>
      </w:pPr>
      <w:r>
        <w:rPr>
          <w:noProof/>
        </w:rPr>
        <w:t>Publiczne służby zatrudnienia. Inwestycja ma na celu aktualizację systemów informatycznych stanowiących podstawę zarządzania aktywną polityką rynku pracy;</w:t>
      </w:r>
    </w:p>
    <w:p w14:paraId="0C162575" w14:textId="062D5DC3" w:rsidR="006578ED" w:rsidRDefault="00A1618E">
      <w:pPr>
        <w:pStyle w:val="P68B1DB1-Normal4"/>
        <w:numPr>
          <w:ilvl w:val="0"/>
          <w:numId w:val="108"/>
        </w:numPr>
        <w:spacing w:before="120" w:after="0" w:line="240" w:lineRule="auto"/>
        <w:contextualSpacing/>
        <w:jc w:val="both"/>
        <w:rPr>
          <w:rFonts w:cs="Times New Roman"/>
          <w:noProof/>
        </w:rPr>
      </w:pPr>
      <w:r>
        <w:rPr>
          <w:noProof/>
        </w:rPr>
        <w:t>Włączenie społeczne, zabezpieczenie społeczne i migracja. Inwestycja wyposaża właściwe ministerstwo w narzędzia cyfrowe ułatwiające wdrażanie odpowiednich polityk na rzecz grup znajdujących się w najbardziej niekorzystnej sytuacji, a także wykorzystanie informacji do opracowania dodatkowych środków naprawczych lub łagodzących;</w:t>
      </w:r>
    </w:p>
    <w:p w14:paraId="48A7C196" w14:textId="77854692" w:rsidR="006578ED" w:rsidRDefault="00A1618E">
      <w:pPr>
        <w:pStyle w:val="P68B1DB1-Normal4"/>
        <w:numPr>
          <w:ilvl w:val="0"/>
          <w:numId w:val="108"/>
        </w:numPr>
        <w:spacing w:before="120" w:after="0" w:line="240" w:lineRule="auto"/>
        <w:contextualSpacing/>
        <w:jc w:val="both"/>
        <w:rPr>
          <w:rFonts w:cs="Times New Roman"/>
          <w:noProof/>
        </w:rPr>
      </w:pPr>
      <w:r>
        <w:rPr>
          <w:noProof/>
        </w:rPr>
        <w:t>Służby konsularne. Inwestycja ma na celu zwiększenie dostępu do usług cyfrowych hiszpańskiej administracji publicznej zarówno dla Hiszpanów zamieszkałych za granicą, jak i dla cudzoziemców mieszkających w Hiszpanii;</w:t>
      </w:r>
    </w:p>
    <w:p w14:paraId="66BA674A" w14:textId="025355DE" w:rsidR="006578ED" w:rsidRDefault="00A1618E">
      <w:pPr>
        <w:pStyle w:val="P68B1DB1-Normal4"/>
        <w:numPr>
          <w:ilvl w:val="0"/>
          <w:numId w:val="108"/>
        </w:numPr>
        <w:spacing w:before="120" w:after="0" w:line="240" w:lineRule="auto"/>
        <w:contextualSpacing/>
        <w:jc w:val="both"/>
        <w:rPr>
          <w:rFonts w:cs="Times New Roman"/>
          <w:noProof/>
        </w:rPr>
      </w:pPr>
      <w:r>
        <w:rPr>
          <w:noProof/>
        </w:rPr>
        <w:t>Inicjatywy pilotażowe w dziedzinie bezpieczeństwa i rolnictwa.</w:t>
      </w:r>
    </w:p>
    <w:p w14:paraId="18196CE2" w14:textId="600CE265" w:rsidR="006578ED" w:rsidRDefault="00A1618E">
      <w:pPr>
        <w:pStyle w:val="P68B1DB1-Normal4"/>
        <w:spacing w:before="120" w:after="120" w:line="240" w:lineRule="auto"/>
        <w:jc w:val="both"/>
        <w:rPr>
          <w:rFonts w:cs="Times New Roman"/>
          <w:noProof/>
          <w:u w:val="single"/>
        </w:rPr>
      </w:pPr>
      <w:r>
        <w:rPr>
          <w:noProof/>
        </w:rPr>
        <w:t>Realizacja inwestycji zostanie zakończona do dnia 31 grudnia 20</w:t>
      </w:r>
      <w:r w:rsidRPr="00A1618E">
        <w:rPr>
          <w:noProof/>
          <w:lang w:val="pl-PL"/>
        </w:rPr>
        <w:t>25 r.</w:t>
      </w:r>
      <w:r>
        <w:rPr>
          <w:noProof/>
        </w:rPr>
        <w:t xml:space="preserve"> </w:t>
      </w:r>
    </w:p>
    <w:p w14:paraId="2272DC44" w14:textId="5715A1AA" w:rsidR="006578ED" w:rsidRDefault="00A1618E">
      <w:pPr>
        <w:pStyle w:val="P68B1DB1-Normal6"/>
        <w:spacing w:before="120" w:after="120" w:line="240" w:lineRule="auto"/>
        <w:jc w:val="both"/>
        <w:rPr>
          <w:rFonts w:cs="Times New Roman"/>
          <w:noProof/>
        </w:rPr>
      </w:pPr>
      <w:r>
        <w:rPr>
          <w:noProof/>
        </w:rPr>
        <w:t>Inwestycja 3 (C11.I3) – Transformacja cyfrowa i modernizacja Ministerstwa Polityki Terytorialnej i</w:t>
      </w:r>
      <w:r>
        <w:rPr>
          <w:noProof/>
          <w:shd w:val="clear" w:color="auto" w:fill="FFFFFF" w:themeFill="background1"/>
        </w:rPr>
        <w:t>Służby</w:t>
      </w:r>
      <w:r>
        <w:rPr>
          <w:noProof/>
        </w:rPr>
        <w:t xml:space="preserve"> Cywilnej, Krajowej Służby Zdrowia oraz administracji wspólnot autonomicznych i władz lokalnych </w:t>
      </w:r>
    </w:p>
    <w:p w14:paraId="2B78DF17" w14:textId="090CC8B5" w:rsidR="006578ED" w:rsidRDefault="00A1618E">
      <w:pPr>
        <w:pStyle w:val="P68B1DB1-Normal4"/>
        <w:spacing w:before="120" w:after="120" w:line="240" w:lineRule="auto"/>
        <w:jc w:val="both"/>
        <w:rPr>
          <w:rFonts w:cs="Times New Roman"/>
          <w:noProof/>
        </w:rPr>
      </w:pPr>
      <w:r>
        <w:rPr>
          <w:noProof/>
        </w:rPr>
        <w:t xml:space="preserve">Działania w ramach tej inwestycji opierają się na tych samych zasadach opisanych w C11.I1, skierowanych do samorządów regionalnych i lokalnych. </w:t>
      </w:r>
    </w:p>
    <w:p w14:paraId="57134CA5" w14:textId="29E42BF7"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1A70473C" w14:textId="32413BFC" w:rsidR="006578ED" w:rsidRDefault="00A1618E">
      <w:pPr>
        <w:pStyle w:val="P68B1DB1-Normal6"/>
        <w:spacing w:before="120" w:after="120" w:line="240" w:lineRule="auto"/>
        <w:jc w:val="both"/>
        <w:rPr>
          <w:rFonts w:cs="Times New Roman"/>
          <w:noProof/>
        </w:rPr>
      </w:pPr>
      <w:r>
        <w:rPr>
          <w:noProof/>
        </w:rPr>
        <w:t>Inwestycja 4 (C11.I4) – Plan transformacji energetycznej w administracji ogólnej państwa</w:t>
      </w:r>
    </w:p>
    <w:p w14:paraId="606994D9" w14:textId="2A4B58C9" w:rsidR="006578ED" w:rsidRDefault="00A1618E">
      <w:pPr>
        <w:pStyle w:val="P68B1DB1-Normal4"/>
        <w:spacing w:before="120" w:after="120" w:line="240" w:lineRule="auto"/>
        <w:jc w:val="both"/>
        <w:rPr>
          <w:rFonts w:cs="Times New Roman"/>
          <w:noProof/>
        </w:rPr>
      </w:pPr>
      <w:r>
        <w:rPr>
          <w:noProof/>
        </w:rPr>
        <w:t>Środek ten wspiera oszczędność energii i efektywność energetyczną w budynkach i infrastrukturze instytucji rządowych na szczeblu centralnym. Środek ten osiąga średnio zmniejszenie zapotrzebowania na energię pierwotną o co najmniej 30 % zweryfikowane na podstawie świadectw charakterystyki energetycznej. Inwestycja przyczynia się do renowacji powierzchni pomieszczeń budynków w celu zwiększenia liczby obiektów o wysokiej jakości energetycznej, a w szczególności budynków o niemal zerowym zużyciu energii. Inwestycja wspiera również wdrażanie systemów fotowoltaicznych lub innych odnawialnych źródeł energii w obiektach centralnej administracji rządowej. Środek ten zachęca również do przekształcenia parku pojazdów publicznych w pojazdy bezemisyjne lub niskoemisyjne</w:t>
      </w:r>
      <w:r>
        <w:rPr>
          <w:noProof/>
        </w:rPr>
        <w:footnoteReference w:id="19"/>
      </w:r>
      <w:r>
        <w:rPr>
          <w:noProof/>
        </w:rPr>
        <w:t xml:space="preserve">. </w:t>
      </w:r>
    </w:p>
    <w:p w14:paraId="4D8030AF" w14:textId="31FCBFFE" w:rsidR="006578ED" w:rsidRDefault="00A1618E">
      <w:pPr>
        <w:pStyle w:val="P68B1DB1-Normal4"/>
        <w:spacing w:before="120" w:after="120" w:line="240" w:lineRule="auto"/>
        <w:jc w:val="both"/>
        <w:rPr>
          <w:rFonts w:cs="Times New Roman"/>
          <w:noProof/>
        </w:rPr>
      </w:pPr>
      <w:r>
        <w:rPr>
          <w:noProof/>
        </w:rPr>
        <w:t xml:space="preserve">Oczekuje się, że środek ten nie spowoduje znaczących szkód dla celów środowiskowych w rozumieniu </w:t>
      </w:r>
      <w:r w:rsidRPr="00A1618E">
        <w:rPr>
          <w:noProof/>
          <w:lang w:val="pl-PL"/>
        </w:rPr>
        <w:t>art. 1</w:t>
      </w:r>
      <w:r>
        <w:rPr>
          <w:noProof/>
        </w:rPr>
        <w:t>7 rozporządzenia (UE) 2020/852, biorąc pod uwagę opis środka i działania łagodzące określone w planie odbudowy i zwiększania odporności zgodnie z wytycznymi technicznymi dotyczącymi zasady „nie czyń poważnych szkód” (2021/C58/01). W szczególności transformacja parku pojazdów publicznych wspiera wyłącznie</w:t>
      </w:r>
      <w:r>
        <w:rPr>
          <w:noProof/>
        </w:rPr>
        <w:footnoteReference w:id="20"/>
      </w:r>
      <w:r>
        <w:rPr>
          <w:noProof/>
        </w:rPr>
        <w:t xml:space="preserve"> pojazdy bezemisyjne lub niskoemisyjne.</w:t>
      </w:r>
    </w:p>
    <w:p w14:paraId="49D879F9" w14:textId="4126505A" w:rsidR="006578ED" w:rsidRDefault="00A1618E">
      <w:pPr>
        <w:pStyle w:val="P68B1DB1-Normal4"/>
        <w:spacing w:before="120" w:after="120" w:line="240" w:lineRule="auto"/>
        <w:jc w:val="both"/>
        <w:rPr>
          <w:rFonts w:cs="Times New Roman"/>
          <w:noProof/>
        </w:rPr>
      </w:pPr>
      <w:r>
        <w:rPr>
          <w:noProof/>
        </w:rPr>
        <w:t>Inwestycja obejmuje zarówno inwestycje w środki trwałe (infrastrukturę i budynki publiczne), jak i w kapitał naturalny (wszystkie działania przyczyniają się do redukcji emisji gazów cieplarnianych).</w:t>
      </w:r>
    </w:p>
    <w:p w14:paraId="10CC1B7A" w14:textId="1DAFB310"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0146DEE2" w14:textId="74C95980" w:rsidR="006578ED" w:rsidRDefault="00A1618E">
      <w:pPr>
        <w:pStyle w:val="P68B1DB1-Normal6"/>
        <w:spacing w:before="120" w:after="120" w:line="240" w:lineRule="auto"/>
        <w:jc w:val="both"/>
        <w:rPr>
          <w:rFonts w:cs="Times New Roman"/>
          <w:noProof/>
        </w:rPr>
      </w:pPr>
      <w:r>
        <w:rPr>
          <w:noProof/>
        </w:rPr>
        <w:t>Inwestycja 5 (C11.I5) – Przekształcenie administracji w celu wdrożenia hiszpańskiego planu odbudowy i zwiększania odporności</w:t>
      </w:r>
    </w:p>
    <w:p w14:paraId="16E12320" w14:textId="201EAF64" w:rsidR="006578ED" w:rsidRDefault="00A1618E">
      <w:pPr>
        <w:pStyle w:val="P68B1DB1-Normal4"/>
        <w:spacing w:before="120" w:after="120" w:line="240" w:lineRule="auto"/>
        <w:jc w:val="both"/>
        <w:rPr>
          <w:rFonts w:cs="Times New Roman"/>
          <w:noProof/>
        </w:rPr>
      </w:pPr>
      <w:r>
        <w:rPr>
          <w:noProof/>
        </w:rPr>
        <w:t>Inwestycja ta jest związana z reformą R5 tego komponentu. Dostosowuje ona funkcjonowanie administracji publicznej do wyzwań związanych z realizacją i monitorowaniem planu odbudowy i zwiększania odporności. Środek ma na celu modernizację systemu informacyjnego i kanałów komunikacji w celu wymiany informacji między różnymi szczeblami administracji rządowej oraz z obywatelami, przedsiębiorstwami i potencjalnymi beneficjentami. Środek obejmuje również ukierunkowane szkolenia dla pracowników administracji publicznej, które według szacunków mają dotrzeć do co najmniej 3150 osób w trakcie realizacji planu odbudowy i zwiększania odporności.</w:t>
      </w:r>
    </w:p>
    <w:p w14:paraId="560D3DBE" w14:textId="4186DB7E" w:rsidR="006578ED" w:rsidRDefault="00A1618E">
      <w:pPr>
        <w:pStyle w:val="P68B1DB1-Normal4"/>
        <w:spacing w:before="120" w:after="120" w:line="240" w:lineRule="auto"/>
        <w:jc w:val="both"/>
        <w:rPr>
          <w:rFonts w:cs="Times New Roman"/>
          <w:b/>
          <w:noProof/>
          <w:u w:val="single"/>
        </w:rPr>
      </w:pPr>
      <w:r>
        <w:rPr>
          <w:noProof/>
        </w:rPr>
        <w:t>Realizacja inwestycji zostanie zakończona do dnia 31 sierpnia 20</w:t>
      </w:r>
      <w:r w:rsidRPr="00A1618E">
        <w:rPr>
          <w:noProof/>
          <w:lang w:val="pl-PL"/>
        </w:rPr>
        <w:t>26 r.</w:t>
      </w:r>
      <w:r>
        <w:rPr>
          <w:noProof/>
        </w:rPr>
        <w:t xml:space="preserve"> </w:t>
      </w:r>
    </w:p>
    <w:p w14:paraId="5506936D" w14:textId="645CDE36" w:rsidR="006578ED" w:rsidRDefault="00A1618E">
      <w:pPr>
        <w:pStyle w:val="P68B1DB1-Normal5"/>
        <w:keepNext/>
        <w:spacing w:before="120" w:after="120" w:line="240" w:lineRule="auto"/>
        <w:jc w:val="both"/>
        <w:rPr>
          <w:rFonts w:cs="Times New Roman"/>
          <w:noProof/>
        </w:rPr>
      </w:pPr>
      <w:r>
        <w:rPr>
          <w:noProof/>
        </w:rPr>
        <w:t xml:space="preserve">K.2. </w:t>
      </w:r>
      <w:r>
        <w:rPr>
          <w:noProof/>
        </w:rPr>
        <w:tab/>
        <w:t>Kamienie milowe, wartości docelowe, wskaźniki i harmonogram monitorowania i realizacji na potrzeby bezzwrotnego wsparcia finansowego</w:t>
      </w:r>
    </w:p>
    <w:p w14:paraId="7852A63E" w14:textId="358707D6" w:rsidR="006578ED" w:rsidRDefault="00A1618E">
      <w:pPr>
        <w:pStyle w:val="P68B1DB1-Normal4"/>
        <w:keepNext/>
        <w:spacing w:before="120" w:after="120" w:line="240" w:lineRule="auto"/>
        <w:rPr>
          <w:rFonts w:cs="Times New Roman"/>
          <w:i/>
          <w:noProof/>
        </w:rPr>
        <w:sectPr w:rsidR="006578ED" w:rsidSect="00B90E2C">
          <w:headerReference w:type="even" r:id="rId222"/>
          <w:headerReference w:type="default" r:id="rId223"/>
          <w:footerReference w:type="even" r:id="rId224"/>
          <w:footerReference w:type="default" r:id="rId225"/>
          <w:headerReference w:type="first" r:id="rId226"/>
          <w:footerReference w:type="first" r:id="rId227"/>
          <w:pgSz w:w="11907" w:h="16839"/>
          <w:pgMar w:top="1134" w:right="1417" w:bottom="1134" w:left="1417" w:header="709" w:footer="709" w:gutter="0"/>
          <w:cols w:space="720"/>
          <w:docGrid w:linePitch="360"/>
        </w:sect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1448"/>
        <w:gridCol w:w="966"/>
        <w:gridCol w:w="1631"/>
        <w:gridCol w:w="1442"/>
        <w:gridCol w:w="1082"/>
        <w:gridCol w:w="708"/>
        <w:gridCol w:w="709"/>
        <w:gridCol w:w="567"/>
        <w:gridCol w:w="822"/>
        <w:gridCol w:w="3998"/>
      </w:tblGrid>
      <w:tr w:rsidR="006578ED" w14:paraId="73E2C7DE" w14:textId="77777777">
        <w:trPr>
          <w:trHeight w:val="978"/>
          <w:tblHeader/>
        </w:trPr>
        <w:tc>
          <w:tcPr>
            <w:tcW w:w="1223" w:type="dxa"/>
            <w:vMerge w:val="restart"/>
            <w:shd w:val="clear" w:color="auto" w:fill="C6D9F1" w:themeFill="text2" w:themeFillTint="33"/>
            <w:vAlign w:val="center"/>
          </w:tcPr>
          <w:p w14:paraId="15C09D13" w14:textId="77777777" w:rsidR="006578ED" w:rsidRDefault="00A1618E">
            <w:pPr>
              <w:pStyle w:val="P68B1DB1-Normal12"/>
              <w:jc w:val="center"/>
              <w:rPr>
                <w:rFonts w:cs="Times New Roman"/>
                <w:noProof/>
              </w:rPr>
            </w:pPr>
            <w:r>
              <w:rPr>
                <w:noProof/>
              </w:rPr>
              <w:t>Liczba</w:t>
            </w:r>
          </w:p>
        </w:tc>
        <w:tc>
          <w:tcPr>
            <w:tcW w:w="1448" w:type="dxa"/>
            <w:vMerge w:val="restart"/>
            <w:shd w:val="clear" w:color="auto" w:fill="C6D9F1" w:themeFill="text2" w:themeFillTint="33"/>
            <w:vAlign w:val="center"/>
          </w:tcPr>
          <w:p w14:paraId="1956A1D2" w14:textId="77777777" w:rsidR="006578ED" w:rsidRDefault="00A1618E">
            <w:pPr>
              <w:pStyle w:val="P68B1DB1-Normal12"/>
              <w:jc w:val="center"/>
              <w:rPr>
                <w:rFonts w:cs="Times New Roman"/>
                <w:noProof/>
              </w:rPr>
            </w:pPr>
            <w:r>
              <w:rPr>
                <w:noProof/>
              </w:rPr>
              <w:t>Środek</w:t>
            </w:r>
          </w:p>
        </w:tc>
        <w:tc>
          <w:tcPr>
            <w:tcW w:w="966" w:type="dxa"/>
            <w:vMerge w:val="restart"/>
            <w:shd w:val="clear" w:color="auto" w:fill="C6D9F1" w:themeFill="text2" w:themeFillTint="33"/>
            <w:vAlign w:val="center"/>
          </w:tcPr>
          <w:p w14:paraId="2B8AA672" w14:textId="39FCEBFC" w:rsidR="006578ED" w:rsidRDefault="00EC188C">
            <w:pPr>
              <w:pStyle w:val="P68B1DB1-Normal12"/>
              <w:jc w:val="center"/>
              <w:rPr>
                <w:rFonts w:cs="Times New Roman"/>
                <w:noProof/>
              </w:rPr>
            </w:pPr>
            <w:r>
              <w:rPr>
                <w:noProof/>
              </w:rPr>
              <w:t>Kamień milowy</w:t>
            </w:r>
            <w:r>
              <w:rPr>
                <w:noProof/>
              </w:rPr>
              <w:br/>
              <w:t xml:space="preserve"> /</w:t>
            </w:r>
            <w:r w:rsidR="00AF6B91">
              <w:rPr>
                <w:noProof/>
              </w:rPr>
              <w:t>Wartość docelowa</w:t>
            </w:r>
          </w:p>
        </w:tc>
        <w:tc>
          <w:tcPr>
            <w:tcW w:w="1631" w:type="dxa"/>
            <w:tcBorders>
              <w:bottom w:val="nil"/>
            </w:tcBorders>
            <w:shd w:val="clear" w:color="auto" w:fill="C6D9F1" w:themeFill="text2" w:themeFillTint="33"/>
            <w:vAlign w:val="center"/>
          </w:tcPr>
          <w:p w14:paraId="01201CE3" w14:textId="77777777" w:rsidR="006578ED" w:rsidRDefault="00A1618E">
            <w:pPr>
              <w:pStyle w:val="P68B1DB1-Normal12"/>
              <w:jc w:val="center"/>
              <w:rPr>
                <w:rFonts w:cs="Times New Roman"/>
                <w:noProof/>
              </w:rPr>
            </w:pPr>
            <w:r>
              <w:rPr>
                <w:noProof/>
              </w:rPr>
              <w:t>Nazwa</w:t>
            </w:r>
          </w:p>
        </w:tc>
        <w:tc>
          <w:tcPr>
            <w:tcW w:w="1442" w:type="dxa"/>
            <w:vMerge w:val="restart"/>
            <w:shd w:val="clear" w:color="auto" w:fill="C6D9F1" w:themeFill="text2" w:themeFillTint="33"/>
            <w:vAlign w:val="center"/>
          </w:tcPr>
          <w:p w14:paraId="4800F027" w14:textId="77777777" w:rsidR="006578ED" w:rsidRDefault="00A1618E">
            <w:pPr>
              <w:pStyle w:val="P68B1DB1-Normal12"/>
              <w:jc w:val="center"/>
              <w:rPr>
                <w:rFonts w:cs="Times New Roman"/>
                <w:noProof/>
              </w:rPr>
            </w:pPr>
            <w:r>
              <w:rPr>
                <w:noProof/>
              </w:rPr>
              <w:t>Wskaźnik jakościowy dla celów pośrednich</w:t>
            </w:r>
          </w:p>
        </w:tc>
        <w:tc>
          <w:tcPr>
            <w:tcW w:w="2499" w:type="dxa"/>
            <w:gridSpan w:val="3"/>
            <w:shd w:val="clear" w:color="auto" w:fill="C6D9F1" w:themeFill="text2" w:themeFillTint="33"/>
            <w:vAlign w:val="center"/>
          </w:tcPr>
          <w:p w14:paraId="6709F124" w14:textId="77777777" w:rsidR="006578ED" w:rsidRDefault="00A1618E">
            <w:pPr>
              <w:pStyle w:val="P68B1DB1-Normal12"/>
              <w:jc w:val="center"/>
              <w:rPr>
                <w:rFonts w:cs="Times New Roman"/>
                <w:noProof/>
              </w:rPr>
            </w:pPr>
            <w:r>
              <w:rPr>
                <w:noProof/>
              </w:rPr>
              <w:t>Wskaźnik ilościowy dla celu</w:t>
            </w:r>
          </w:p>
        </w:tc>
        <w:tc>
          <w:tcPr>
            <w:tcW w:w="1389" w:type="dxa"/>
            <w:gridSpan w:val="2"/>
            <w:shd w:val="clear" w:color="auto" w:fill="C6D9F1" w:themeFill="text2" w:themeFillTint="33"/>
            <w:vAlign w:val="center"/>
          </w:tcPr>
          <w:p w14:paraId="0374E9BE" w14:textId="7AD23C41" w:rsidR="006578ED" w:rsidRDefault="00A1618E">
            <w:pPr>
              <w:pStyle w:val="P68B1DB1-Normal12"/>
              <w:jc w:val="center"/>
              <w:rPr>
                <w:rFonts w:cs="Times New Roman"/>
                <w:noProof/>
              </w:rPr>
            </w:pPr>
            <w:r>
              <w:rPr>
                <w:noProof/>
              </w:rPr>
              <w:t>Czas</w:t>
            </w:r>
          </w:p>
        </w:tc>
        <w:tc>
          <w:tcPr>
            <w:tcW w:w="3998" w:type="dxa"/>
            <w:tcBorders>
              <w:bottom w:val="nil"/>
            </w:tcBorders>
            <w:shd w:val="clear" w:color="auto" w:fill="C6D9F1" w:themeFill="text2" w:themeFillTint="33"/>
            <w:vAlign w:val="center"/>
          </w:tcPr>
          <w:p w14:paraId="3737D492" w14:textId="0A61B203" w:rsidR="006578ED" w:rsidRDefault="00A1618E">
            <w:pPr>
              <w:pStyle w:val="P68B1DB1-Normal12"/>
              <w:jc w:val="center"/>
              <w:rPr>
                <w:rFonts w:cs="Times New Roman"/>
                <w:noProof/>
              </w:rPr>
            </w:pPr>
            <w:r>
              <w:rPr>
                <w:noProof/>
              </w:rPr>
              <w:t>Opis każdego celu pośredniego i celu końcowego</w:t>
            </w:r>
          </w:p>
        </w:tc>
      </w:tr>
      <w:tr w:rsidR="006578ED" w14:paraId="23A90F92" w14:textId="77777777">
        <w:trPr>
          <w:trHeight w:val="411"/>
          <w:tblHeader/>
        </w:trPr>
        <w:tc>
          <w:tcPr>
            <w:tcW w:w="1223" w:type="dxa"/>
            <w:vMerge/>
            <w:shd w:val="clear" w:color="auto" w:fill="C6D9F1" w:themeFill="text2" w:themeFillTint="33"/>
            <w:vAlign w:val="center"/>
          </w:tcPr>
          <w:p w14:paraId="5E1A7FE4" w14:textId="77777777" w:rsidR="006578ED" w:rsidRDefault="006578ED">
            <w:pPr>
              <w:jc w:val="center"/>
              <w:rPr>
                <w:rFonts w:ascii="Times New Roman" w:hAnsi="Times New Roman" w:cs="Times New Roman"/>
                <w:b/>
                <w:noProof/>
                <w:sz w:val="18"/>
              </w:rPr>
            </w:pPr>
          </w:p>
        </w:tc>
        <w:tc>
          <w:tcPr>
            <w:tcW w:w="1448" w:type="dxa"/>
            <w:vMerge/>
            <w:shd w:val="clear" w:color="auto" w:fill="C6D9F1" w:themeFill="text2" w:themeFillTint="33"/>
            <w:vAlign w:val="center"/>
          </w:tcPr>
          <w:p w14:paraId="39A92B90" w14:textId="77777777" w:rsidR="006578ED" w:rsidRDefault="006578ED">
            <w:pPr>
              <w:jc w:val="center"/>
              <w:rPr>
                <w:rFonts w:ascii="Times New Roman" w:hAnsi="Times New Roman" w:cs="Times New Roman"/>
                <w:b/>
                <w:noProof/>
                <w:sz w:val="18"/>
              </w:rPr>
            </w:pPr>
          </w:p>
        </w:tc>
        <w:tc>
          <w:tcPr>
            <w:tcW w:w="966" w:type="dxa"/>
            <w:vMerge/>
            <w:shd w:val="clear" w:color="auto" w:fill="C6D9F1" w:themeFill="text2" w:themeFillTint="33"/>
            <w:vAlign w:val="center"/>
          </w:tcPr>
          <w:p w14:paraId="29F91612" w14:textId="77777777" w:rsidR="006578ED" w:rsidRDefault="006578ED">
            <w:pPr>
              <w:jc w:val="center"/>
              <w:rPr>
                <w:rFonts w:ascii="Times New Roman" w:hAnsi="Times New Roman" w:cs="Times New Roman"/>
                <w:b/>
                <w:noProof/>
                <w:sz w:val="18"/>
              </w:rPr>
            </w:pPr>
          </w:p>
        </w:tc>
        <w:tc>
          <w:tcPr>
            <w:tcW w:w="1631" w:type="dxa"/>
            <w:tcBorders>
              <w:top w:val="nil"/>
            </w:tcBorders>
            <w:shd w:val="clear" w:color="auto" w:fill="C6D9F1" w:themeFill="text2" w:themeFillTint="33"/>
            <w:vAlign w:val="center"/>
          </w:tcPr>
          <w:p w14:paraId="53D07373" w14:textId="77777777" w:rsidR="006578ED" w:rsidRDefault="006578ED">
            <w:pPr>
              <w:rPr>
                <w:rFonts w:ascii="Times New Roman" w:hAnsi="Times New Roman" w:cs="Times New Roman"/>
                <w:b/>
                <w:noProof/>
                <w:sz w:val="18"/>
              </w:rPr>
            </w:pPr>
          </w:p>
        </w:tc>
        <w:tc>
          <w:tcPr>
            <w:tcW w:w="1442" w:type="dxa"/>
            <w:vMerge/>
            <w:shd w:val="clear" w:color="auto" w:fill="C6D9F1" w:themeFill="text2" w:themeFillTint="33"/>
            <w:vAlign w:val="center"/>
          </w:tcPr>
          <w:p w14:paraId="7EE9E47B" w14:textId="77777777" w:rsidR="006578ED" w:rsidRDefault="006578ED">
            <w:pPr>
              <w:jc w:val="center"/>
              <w:rPr>
                <w:rFonts w:ascii="Times New Roman" w:hAnsi="Times New Roman" w:cs="Times New Roman"/>
                <w:b/>
                <w:noProof/>
                <w:sz w:val="18"/>
              </w:rPr>
            </w:pPr>
          </w:p>
        </w:tc>
        <w:tc>
          <w:tcPr>
            <w:tcW w:w="1082" w:type="dxa"/>
            <w:shd w:val="clear" w:color="auto" w:fill="C6D9F1" w:themeFill="text2" w:themeFillTint="33"/>
            <w:vAlign w:val="center"/>
          </w:tcPr>
          <w:p w14:paraId="6DEF3D7D" w14:textId="77777777" w:rsidR="006578ED" w:rsidRDefault="00A1618E">
            <w:pPr>
              <w:pStyle w:val="P68B1DB1-Normal12"/>
              <w:jc w:val="center"/>
              <w:rPr>
                <w:rFonts w:cs="Times New Roman"/>
                <w:noProof/>
              </w:rPr>
            </w:pPr>
            <w:r>
              <w:rPr>
                <w:noProof/>
              </w:rPr>
              <w:t>Jednostka</w:t>
            </w:r>
          </w:p>
        </w:tc>
        <w:tc>
          <w:tcPr>
            <w:tcW w:w="708" w:type="dxa"/>
            <w:shd w:val="clear" w:color="auto" w:fill="C6D9F1" w:themeFill="text2" w:themeFillTint="33"/>
            <w:vAlign w:val="center"/>
          </w:tcPr>
          <w:p w14:paraId="0E16D987" w14:textId="77777777" w:rsidR="006578ED" w:rsidRDefault="00A1618E">
            <w:pPr>
              <w:pStyle w:val="P68B1DB1-Normal12"/>
              <w:jc w:val="center"/>
              <w:rPr>
                <w:rFonts w:cs="Times New Roman"/>
                <w:noProof/>
              </w:rPr>
            </w:pPr>
            <w:r>
              <w:rPr>
                <w:noProof/>
              </w:rPr>
              <w:t>Wartość wyjściowa</w:t>
            </w:r>
          </w:p>
        </w:tc>
        <w:tc>
          <w:tcPr>
            <w:tcW w:w="709" w:type="dxa"/>
            <w:shd w:val="clear" w:color="auto" w:fill="C6D9F1" w:themeFill="text2" w:themeFillTint="33"/>
            <w:vAlign w:val="center"/>
          </w:tcPr>
          <w:p w14:paraId="1DA3BFED" w14:textId="77777777" w:rsidR="006578ED" w:rsidRDefault="00A1618E">
            <w:pPr>
              <w:pStyle w:val="P68B1DB1-Normal12"/>
              <w:jc w:val="center"/>
              <w:rPr>
                <w:rFonts w:cs="Times New Roman"/>
                <w:noProof/>
              </w:rPr>
            </w:pPr>
            <w:r>
              <w:rPr>
                <w:noProof/>
              </w:rPr>
              <w:t>Cel</w:t>
            </w:r>
          </w:p>
        </w:tc>
        <w:tc>
          <w:tcPr>
            <w:tcW w:w="567" w:type="dxa"/>
            <w:shd w:val="clear" w:color="auto" w:fill="C6D9F1" w:themeFill="text2" w:themeFillTint="33"/>
            <w:vAlign w:val="center"/>
          </w:tcPr>
          <w:p w14:paraId="2E069D33" w14:textId="77777777" w:rsidR="006578ED" w:rsidRDefault="00A1618E">
            <w:pPr>
              <w:pStyle w:val="P68B1DB1-Normal12"/>
              <w:jc w:val="center"/>
              <w:rPr>
                <w:rFonts w:cs="Times New Roman"/>
                <w:noProof/>
              </w:rPr>
            </w:pPr>
            <w:r>
              <w:rPr>
                <w:noProof/>
              </w:rPr>
              <w:t>Q</w:t>
            </w:r>
          </w:p>
        </w:tc>
        <w:tc>
          <w:tcPr>
            <w:tcW w:w="822" w:type="dxa"/>
            <w:shd w:val="clear" w:color="auto" w:fill="C6D9F1" w:themeFill="text2" w:themeFillTint="33"/>
            <w:vAlign w:val="center"/>
          </w:tcPr>
          <w:p w14:paraId="4EC9668C" w14:textId="77777777" w:rsidR="006578ED" w:rsidRDefault="00A1618E">
            <w:pPr>
              <w:pStyle w:val="P68B1DB1-Normal12"/>
              <w:jc w:val="center"/>
              <w:rPr>
                <w:rFonts w:cs="Times New Roman"/>
                <w:noProof/>
              </w:rPr>
            </w:pPr>
            <w:r>
              <w:rPr>
                <w:noProof/>
              </w:rPr>
              <w:t>Rok</w:t>
            </w:r>
          </w:p>
        </w:tc>
        <w:tc>
          <w:tcPr>
            <w:tcW w:w="3998" w:type="dxa"/>
            <w:tcBorders>
              <w:top w:val="nil"/>
            </w:tcBorders>
            <w:shd w:val="clear" w:color="auto" w:fill="C6D9F1" w:themeFill="text2" w:themeFillTint="33"/>
            <w:vAlign w:val="center"/>
          </w:tcPr>
          <w:p w14:paraId="1F6FEB78" w14:textId="77777777" w:rsidR="006578ED" w:rsidRDefault="006578ED">
            <w:pPr>
              <w:jc w:val="center"/>
              <w:rPr>
                <w:rFonts w:ascii="Times New Roman" w:hAnsi="Times New Roman" w:cs="Times New Roman"/>
                <w:b/>
                <w:noProof/>
                <w:sz w:val="18"/>
              </w:rPr>
            </w:pPr>
          </w:p>
        </w:tc>
      </w:tr>
      <w:tr w:rsidR="006578ED" w14:paraId="40C2344B" w14:textId="77777777">
        <w:trPr>
          <w:trHeight w:val="309"/>
        </w:trPr>
        <w:tc>
          <w:tcPr>
            <w:tcW w:w="1223" w:type="dxa"/>
            <w:shd w:val="clear" w:color="auto" w:fill="C6EFCE"/>
          </w:tcPr>
          <w:p w14:paraId="27C717A0" w14:textId="77777777" w:rsidR="006578ED" w:rsidRDefault="00A1618E">
            <w:pPr>
              <w:pStyle w:val="P68B1DB1-Normal13"/>
              <w:jc w:val="center"/>
              <w:rPr>
                <w:rFonts w:eastAsia="Times New Roman" w:cs="Times New Roman"/>
                <w:noProof/>
              </w:rPr>
            </w:pPr>
            <w:r>
              <w:rPr>
                <w:noProof/>
              </w:rPr>
              <w:t>144</w:t>
            </w:r>
          </w:p>
        </w:tc>
        <w:tc>
          <w:tcPr>
            <w:tcW w:w="1448" w:type="dxa"/>
            <w:shd w:val="clear" w:color="auto" w:fill="C6EFCE"/>
          </w:tcPr>
          <w:p w14:paraId="1BE228D3" w14:textId="77777777" w:rsidR="006578ED" w:rsidRDefault="00A1618E">
            <w:pPr>
              <w:pStyle w:val="P68B1DB1-Normal13"/>
              <w:jc w:val="center"/>
              <w:rPr>
                <w:rFonts w:eastAsia="Times New Roman" w:cs="Times New Roman"/>
                <w:noProof/>
              </w:rPr>
            </w:pPr>
            <w:r>
              <w:rPr>
                <w:noProof/>
              </w:rPr>
              <w:t>C11.R1</w:t>
            </w:r>
          </w:p>
        </w:tc>
        <w:tc>
          <w:tcPr>
            <w:tcW w:w="966" w:type="dxa"/>
            <w:shd w:val="clear" w:color="auto" w:fill="C6EFCE"/>
          </w:tcPr>
          <w:p w14:paraId="4E44D602" w14:textId="63AF138C" w:rsidR="006578ED" w:rsidRDefault="00AF6B91">
            <w:pPr>
              <w:pStyle w:val="P68B1DB1-Normal13"/>
              <w:jc w:val="center"/>
              <w:rPr>
                <w:rFonts w:eastAsia="Times New Roman" w:cs="Times New Roman"/>
                <w:noProof/>
              </w:rPr>
            </w:pPr>
            <w:r>
              <w:rPr>
                <w:noProof/>
              </w:rPr>
              <w:t>Kamień milowy</w:t>
            </w:r>
          </w:p>
        </w:tc>
        <w:tc>
          <w:tcPr>
            <w:tcW w:w="1631" w:type="dxa"/>
            <w:shd w:val="clear" w:color="auto" w:fill="C6EFCE"/>
          </w:tcPr>
          <w:p w14:paraId="41D2DCC6" w14:textId="03EC57C1" w:rsidR="006578ED" w:rsidRDefault="00A1618E">
            <w:pPr>
              <w:pStyle w:val="P68B1DB1-Normal13"/>
              <w:rPr>
                <w:rFonts w:eastAsia="Times New Roman" w:cs="Times New Roman"/>
                <w:noProof/>
              </w:rPr>
            </w:pPr>
            <w:r>
              <w:rPr>
                <w:noProof/>
              </w:rPr>
              <w:t>Wejście w życie aktu ustawodawczego mającego na celu ograniczenie zatrudnienia na czas określony w administracji publicznej</w:t>
            </w:r>
          </w:p>
        </w:tc>
        <w:tc>
          <w:tcPr>
            <w:tcW w:w="1442" w:type="dxa"/>
            <w:shd w:val="clear" w:color="auto" w:fill="C6EFCE"/>
          </w:tcPr>
          <w:p w14:paraId="516C6DCC" w14:textId="55C68ADC" w:rsidR="006578ED" w:rsidRDefault="00A1618E">
            <w:pPr>
              <w:pStyle w:val="P68B1DB1-Normal13"/>
              <w:jc w:val="center"/>
              <w:rPr>
                <w:rFonts w:eastAsia="Times New Roman" w:cs="Times New Roman"/>
                <w:noProof/>
              </w:rPr>
            </w:pPr>
            <w:r>
              <w:rPr>
                <w:noProof/>
              </w:rPr>
              <w:t>Przepis w akcie ustawodawczym wskazujący na wejście w życie aktu</w:t>
            </w:r>
          </w:p>
        </w:tc>
        <w:tc>
          <w:tcPr>
            <w:tcW w:w="1082" w:type="dxa"/>
            <w:shd w:val="clear" w:color="auto" w:fill="C6EFCE"/>
          </w:tcPr>
          <w:p w14:paraId="47BD0B18" w14:textId="77777777" w:rsidR="006578ED" w:rsidRDefault="00A1618E">
            <w:pPr>
              <w:pStyle w:val="P68B1DB1-Normal13"/>
              <w:jc w:val="right"/>
              <w:rPr>
                <w:rFonts w:eastAsia="Times New Roman" w:cs="Times New Roman"/>
                <w:noProof/>
              </w:rPr>
            </w:pPr>
            <w:r>
              <w:rPr>
                <w:noProof/>
              </w:rPr>
              <w:t xml:space="preserve"> </w:t>
            </w:r>
          </w:p>
        </w:tc>
        <w:tc>
          <w:tcPr>
            <w:tcW w:w="708" w:type="dxa"/>
            <w:shd w:val="clear" w:color="auto" w:fill="C6EFCE"/>
          </w:tcPr>
          <w:p w14:paraId="3A5F6558" w14:textId="77777777" w:rsidR="006578ED" w:rsidRDefault="00A1618E">
            <w:pPr>
              <w:pStyle w:val="P68B1DB1-Normal13"/>
              <w:jc w:val="right"/>
              <w:rPr>
                <w:rFonts w:eastAsia="Times New Roman" w:cs="Times New Roman"/>
                <w:noProof/>
              </w:rPr>
            </w:pPr>
            <w:r>
              <w:rPr>
                <w:noProof/>
              </w:rPr>
              <w:t xml:space="preserve"> </w:t>
            </w:r>
          </w:p>
        </w:tc>
        <w:tc>
          <w:tcPr>
            <w:tcW w:w="709" w:type="dxa"/>
            <w:shd w:val="clear" w:color="auto" w:fill="C6EFCE"/>
          </w:tcPr>
          <w:p w14:paraId="78BFC1B3" w14:textId="77777777" w:rsidR="006578ED" w:rsidRDefault="00A1618E">
            <w:pPr>
              <w:pStyle w:val="P68B1DB1-Normal13"/>
              <w:jc w:val="right"/>
              <w:rPr>
                <w:rFonts w:eastAsia="Times New Roman" w:cs="Times New Roman"/>
                <w:noProof/>
              </w:rPr>
            </w:pPr>
            <w:r>
              <w:rPr>
                <w:noProof/>
              </w:rPr>
              <w:t xml:space="preserve"> </w:t>
            </w:r>
          </w:p>
        </w:tc>
        <w:tc>
          <w:tcPr>
            <w:tcW w:w="567" w:type="dxa"/>
            <w:shd w:val="clear" w:color="auto" w:fill="C6EFCE"/>
          </w:tcPr>
          <w:p w14:paraId="6F76DCF8" w14:textId="42A607E3" w:rsidR="006578ED" w:rsidRDefault="00EC188C">
            <w:pPr>
              <w:pStyle w:val="P68B1DB1-Normal13"/>
              <w:jc w:val="center"/>
              <w:rPr>
                <w:rFonts w:eastAsia="Times New Roman" w:cs="Times New Roman"/>
                <w:noProof/>
              </w:rPr>
            </w:pPr>
            <w:r>
              <w:rPr>
                <w:noProof/>
              </w:rPr>
              <w:t>KW. 2</w:t>
            </w:r>
          </w:p>
        </w:tc>
        <w:tc>
          <w:tcPr>
            <w:tcW w:w="822" w:type="dxa"/>
            <w:shd w:val="clear" w:color="auto" w:fill="C6EFCE"/>
          </w:tcPr>
          <w:p w14:paraId="3E081A7E" w14:textId="77777777" w:rsidR="006578ED" w:rsidRDefault="00A1618E">
            <w:pPr>
              <w:pStyle w:val="P68B1DB1-Normal13"/>
              <w:jc w:val="center"/>
              <w:rPr>
                <w:rFonts w:eastAsia="Times New Roman" w:cs="Times New Roman"/>
                <w:noProof/>
              </w:rPr>
            </w:pPr>
            <w:r>
              <w:rPr>
                <w:noProof/>
              </w:rPr>
              <w:t>2021</w:t>
            </w:r>
          </w:p>
        </w:tc>
        <w:tc>
          <w:tcPr>
            <w:tcW w:w="3998" w:type="dxa"/>
            <w:shd w:val="clear" w:color="auto" w:fill="C6EFCE"/>
          </w:tcPr>
          <w:p w14:paraId="57ED2C1D" w14:textId="5B6401C3" w:rsidR="006578ED" w:rsidRDefault="00A1618E">
            <w:pPr>
              <w:pStyle w:val="P68B1DB1-Normal13"/>
              <w:rPr>
                <w:rFonts w:eastAsia="Times New Roman" w:cs="Times New Roman"/>
                <w:noProof/>
              </w:rPr>
            </w:pPr>
            <w:r>
              <w:rPr>
                <w:noProof/>
              </w:rPr>
              <w:t xml:space="preserve">Wejście w życie aktu ustawodawczego określającego środki mające na celu ograniczenie tymczasowego zatrudnienia w sektorze publicznym oraz skuteczne przepisy mające na celu zapobieganie nadużyciom i karanie za nie, w tym obowiązek publikowania </w:t>
            </w:r>
            <w:r w:rsidRPr="00A1618E">
              <w:rPr>
                <w:noProof/>
                <w:lang w:val="pl-PL"/>
              </w:rPr>
              <w:t>do 3</w:t>
            </w:r>
            <w:r>
              <w:rPr>
                <w:noProof/>
              </w:rPr>
              <w:t>1 grudnia 20</w:t>
            </w:r>
            <w:r w:rsidRPr="00A1618E">
              <w:rPr>
                <w:noProof/>
                <w:lang w:val="pl-PL"/>
              </w:rPr>
              <w:t>22 r.</w:t>
            </w:r>
            <w:r>
              <w:rPr>
                <w:noProof/>
              </w:rPr>
              <w:t xml:space="preserve"> wszystkich zaproszeń do składania wniosków o procedury stabilizacyjne dotyczące pracowników zatrudnionych na czas określony. Niniejszy akt ustawodawczy ma zastosowanie do administracji publicznej na szczeblu państwowym, regionalnym i lokalnym.</w:t>
            </w:r>
          </w:p>
        </w:tc>
      </w:tr>
      <w:tr w:rsidR="006578ED" w14:paraId="4ABE1BBE" w14:textId="77777777">
        <w:trPr>
          <w:trHeight w:val="309"/>
        </w:trPr>
        <w:tc>
          <w:tcPr>
            <w:tcW w:w="1223" w:type="dxa"/>
            <w:shd w:val="clear" w:color="auto" w:fill="C6EFCE"/>
          </w:tcPr>
          <w:p w14:paraId="755D0054" w14:textId="77777777" w:rsidR="006578ED" w:rsidRDefault="00A1618E">
            <w:pPr>
              <w:pStyle w:val="P68B1DB1-Normal13"/>
              <w:jc w:val="center"/>
              <w:rPr>
                <w:rFonts w:cs="Times New Roman"/>
                <w:noProof/>
              </w:rPr>
            </w:pPr>
            <w:r>
              <w:rPr>
                <w:noProof/>
              </w:rPr>
              <w:t>145</w:t>
            </w:r>
          </w:p>
        </w:tc>
        <w:tc>
          <w:tcPr>
            <w:tcW w:w="1448" w:type="dxa"/>
            <w:shd w:val="clear" w:color="auto" w:fill="C6EFCE"/>
          </w:tcPr>
          <w:p w14:paraId="0BE2839D" w14:textId="77777777" w:rsidR="006578ED" w:rsidRDefault="00A1618E">
            <w:pPr>
              <w:pStyle w:val="P68B1DB1-Normal13"/>
              <w:jc w:val="center"/>
              <w:rPr>
                <w:rFonts w:cs="Times New Roman"/>
                <w:noProof/>
              </w:rPr>
            </w:pPr>
            <w:r>
              <w:rPr>
                <w:noProof/>
              </w:rPr>
              <w:t>C11.R1</w:t>
            </w:r>
          </w:p>
        </w:tc>
        <w:tc>
          <w:tcPr>
            <w:tcW w:w="966" w:type="dxa"/>
            <w:shd w:val="clear" w:color="auto" w:fill="C6EFCE"/>
          </w:tcPr>
          <w:p w14:paraId="0BDFE37F" w14:textId="3001A135" w:rsidR="006578ED" w:rsidRDefault="00AF6B91">
            <w:pPr>
              <w:pStyle w:val="P68B1DB1-Normal13"/>
              <w:jc w:val="center"/>
              <w:rPr>
                <w:rFonts w:cs="Times New Roman"/>
                <w:noProof/>
              </w:rPr>
            </w:pPr>
            <w:r>
              <w:rPr>
                <w:noProof/>
              </w:rPr>
              <w:t>Kamień milowy</w:t>
            </w:r>
          </w:p>
        </w:tc>
        <w:tc>
          <w:tcPr>
            <w:tcW w:w="1631" w:type="dxa"/>
            <w:shd w:val="clear" w:color="auto" w:fill="C6EFCE"/>
          </w:tcPr>
          <w:p w14:paraId="2727413A" w14:textId="5AE08F7A" w:rsidR="006578ED" w:rsidRDefault="00A1618E">
            <w:pPr>
              <w:pStyle w:val="P68B1DB1-Normal13"/>
              <w:rPr>
                <w:rFonts w:cs="Times New Roman"/>
                <w:noProof/>
              </w:rPr>
            </w:pPr>
            <w:r>
              <w:rPr>
                <w:noProof/>
              </w:rPr>
              <w:t>Wejście w życie zmiany ustawy 40/2015 i rozporządzeń ministerialnych wzmacniających współpracę międzyterytorialną</w:t>
            </w:r>
          </w:p>
        </w:tc>
        <w:tc>
          <w:tcPr>
            <w:tcW w:w="1442" w:type="dxa"/>
            <w:shd w:val="clear" w:color="auto" w:fill="C6EFCE"/>
          </w:tcPr>
          <w:p w14:paraId="27FE097E" w14:textId="04A4CCEC" w:rsidR="006578ED" w:rsidRDefault="00A1618E">
            <w:pPr>
              <w:pStyle w:val="P68B1DB1-Normal13"/>
              <w:jc w:val="center"/>
              <w:rPr>
                <w:rFonts w:cs="Times New Roman"/>
                <w:noProof/>
              </w:rPr>
            </w:pPr>
            <w:r>
              <w:rPr>
                <w:noProof/>
              </w:rPr>
              <w:t xml:space="preserve">Przepis w akcie prawnym i rozporządzeniach ministerialnych wskazujący na ich wejście w życie </w:t>
            </w:r>
          </w:p>
        </w:tc>
        <w:tc>
          <w:tcPr>
            <w:tcW w:w="1082" w:type="dxa"/>
            <w:shd w:val="clear" w:color="auto" w:fill="C6EFCE"/>
          </w:tcPr>
          <w:p w14:paraId="57BEDBD2"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5003F835"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4355D8D4"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4F6C131C" w14:textId="125732F7" w:rsidR="006578ED" w:rsidRDefault="00EC188C">
            <w:pPr>
              <w:pStyle w:val="P68B1DB1-Normal13"/>
              <w:jc w:val="center"/>
              <w:rPr>
                <w:rFonts w:cs="Times New Roman"/>
                <w:noProof/>
              </w:rPr>
            </w:pPr>
            <w:r>
              <w:rPr>
                <w:noProof/>
              </w:rPr>
              <w:t>KW. 4</w:t>
            </w:r>
          </w:p>
        </w:tc>
        <w:tc>
          <w:tcPr>
            <w:tcW w:w="822" w:type="dxa"/>
            <w:shd w:val="clear" w:color="auto" w:fill="C6EFCE"/>
          </w:tcPr>
          <w:p w14:paraId="0025E7B3" w14:textId="77777777" w:rsidR="006578ED" w:rsidRDefault="00A1618E">
            <w:pPr>
              <w:pStyle w:val="P68B1DB1-Normal13"/>
              <w:jc w:val="center"/>
              <w:rPr>
                <w:rFonts w:cs="Times New Roman"/>
                <w:noProof/>
              </w:rPr>
            </w:pPr>
            <w:r>
              <w:rPr>
                <w:noProof/>
              </w:rPr>
              <w:t>2022</w:t>
            </w:r>
          </w:p>
        </w:tc>
        <w:tc>
          <w:tcPr>
            <w:tcW w:w="3998" w:type="dxa"/>
            <w:shd w:val="clear" w:color="auto" w:fill="C6EFCE"/>
          </w:tcPr>
          <w:p w14:paraId="49367F4A" w14:textId="10C3BDA1" w:rsidR="006578ED" w:rsidRDefault="00A1618E">
            <w:pPr>
              <w:pStyle w:val="P68B1DB1-Normal13"/>
              <w:rPr>
                <w:rFonts w:cs="Times New Roman"/>
                <w:noProof/>
              </w:rPr>
            </w:pPr>
            <w:r>
              <w:rPr>
                <w:noProof/>
              </w:rPr>
              <w:t xml:space="preserve">Wejście w życie zmiany ustawy 40/2015 i rozporządzeń ministerialnych mających na celu wzmocnienie współpracy międzyterytorialnej, które obejmują następujące elementy: umożliwienie tworzenia konferencji wielosektorowych, ii) określenie procedur decyzyjnych na konferencjach sektorowych, w tym w przypadku, gdy zawierają one umowy o obowiązkowym przestrzeganiu przepisów; wzmocnienie Konferencji Przewodniczących poprzez utworzenie stałego sekretariatu; zapewnienie obowiązkowego przygotowania, zatwierdzenia i publikacji wieloletnich celów polityki i wskaźników rezultatu, a także przejrzystych mechanizmów monitorowania i oceny; oraz v) ustanowienie cyfrowych wzajemnych powiązań między administracjami i interoperacyjności między centralnymi i regionalnymi platformami informatycznymi. W odniesieniu do celów i), ii) i iv) rozporządzenia ministerialne są konsultowane ze wspólnotami autonomicznymi w ramach partycypacyjnego, pluralistycznego i przejrzystego procesu. </w:t>
            </w:r>
          </w:p>
        </w:tc>
      </w:tr>
      <w:tr w:rsidR="006578ED" w14:paraId="3ACB5FEF" w14:textId="77777777">
        <w:trPr>
          <w:trHeight w:val="309"/>
        </w:trPr>
        <w:tc>
          <w:tcPr>
            <w:tcW w:w="1223" w:type="dxa"/>
            <w:shd w:val="clear" w:color="auto" w:fill="C6EFCE"/>
          </w:tcPr>
          <w:p w14:paraId="7A3B126D" w14:textId="77777777" w:rsidR="006578ED" w:rsidRDefault="00A1618E">
            <w:pPr>
              <w:pStyle w:val="P68B1DB1-Normal13"/>
              <w:jc w:val="center"/>
              <w:rPr>
                <w:rFonts w:cs="Times New Roman"/>
                <w:noProof/>
              </w:rPr>
            </w:pPr>
            <w:r>
              <w:rPr>
                <w:noProof/>
              </w:rPr>
              <w:t>146</w:t>
            </w:r>
          </w:p>
        </w:tc>
        <w:tc>
          <w:tcPr>
            <w:tcW w:w="1448" w:type="dxa"/>
            <w:shd w:val="clear" w:color="auto" w:fill="C6EFCE"/>
          </w:tcPr>
          <w:p w14:paraId="473EC799" w14:textId="77777777" w:rsidR="006578ED" w:rsidRDefault="00A1618E">
            <w:pPr>
              <w:pStyle w:val="P68B1DB1-Normal13"/>
              <w:jc w:val="center"/>
              <w:rPr>
                <w:rFonts w:cs="Times New Roman"/>
                <w:noProof/>
              </w:rPr>
            </w:pPr>
            <w:r>
              <w:rPr>
                <w:noProof/>
              </w:rPr>
              <w:t>C11.R1</w:t>
            </w:r>
          </w:p>
        </w:tc>
        <w:tc>
          <w:tcPr>
            <w:tcW w:w="966" w:type="dxa"/>
            <w:shd w:val="clear" w:color="auto" w:fill="C6EFCE"/>
          </w:tcPr>
          <w:p w14:paraId="4E7C16EB" w14:textId="09BF8B18" w:rsidR="006578ED" w:rsidRDefault="00AF6B91">
            <w:pPr>
              <w:pStyle w:val="P68B1DB1-Normal13"/>
              <w:jc w:val="center"/>
              <w:rPr>
                <w:rFonts w:cs="Times New Roman"/>
                <w:noProof/>
              </w:rPr>
            </w:pPr>
            <w:r>
              <w:rPr>
                <w:noProof/>
              </w:rPr>
              <w:t>Kamień milowy</w:t>
            </w:r>
          </w:p>
        </w:tc>
        <w:tc>
          <w:tcPr>
            <w:tcW w:w="1631" w:type="dxa"/>
            <w:shd w:val="clear" w:color="auto" w:fill="C6EFCE"/>
          </w:tcPr>
          <w:p w14:paraId="09880326" w14:textId="32B09CD6" w:rsidR="006578ED" w:rsidRDefault="00A1618E">
            <w:pPr>
              <w:pStyle w:val="P68B1DB1-Normal13"/>
              <w:rPr>
                <w:rFonts w:cs="Times New Roman"/>
                <w:noProof/>
              </w:rPr>
            </w:pPr>
            <w:r>
              <w:rPr>
                <w:noProof/>
              </w:rPr>
              <w:t>Wejście w życie ustawy w celu wzmocnienia oceny polityki publicznej</w:t>
            </w:r>
          </w:p>
        </w:tc>
        <w:tc>
          <w:tcPr>
            <w:tcW w:w="1442" w:type="dxa"/>
            <w:shd w:val="clear" w:color="auto" w:fill="C6EFCE"/>
          </w:tcPr>
          <w:p w14:paraId="41ED911C" w14:textId="4F9B8183" w:rsidR="006578ED" w:rsidRDefault="00A1618E">
            <w:pPr>
              <w:pStyle w:val="P68B1DB1-Normal13"/>
              <w:jc w:val="center"/>
              <w:rPr>
                <w:rFonts w:cs="Times New Roman"/>
                <w:noProof/>
              </w:rPr>
            </w:pPr>
            <w:r>
              <w:rPr>
                <w:noProof/>
              </w:rPr>
              <w:t>Przepis ustawy wskazujący na wejście w życie ustawy</w:t>
            </w:r>
          </w:p>
        </w:tc>
        <w:tc>
          <w:tcPr>
            <w:tcW w:w="1082" w:type="dxa"/>
            <w:shd w:val="clear" w:color="auto" w:fill="C6EFCE"/>
          </w:tcPr>
          <w:p w14:paraId="51E4C3E0"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503B4702"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0D200161"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1FE19E10" w14:textId="73A2A96C" w:rsidR="006578ED" w:rsidRDefault="00EC188C">
            <w:pPr>
              <w:pStyle w:val="P68B1DB1-Normal13"/>
              <w:jc w:val="center"/>
              <w:rPr>
                <w:rFonts w:cs="Times New Roman"/>
                <w:noProof/>
              </w:rPr>
            </w:pPr>
            <w:r>
              <w:rPr>
                <w:noProof/>
              </w:rPr>
              <w:t>KW. 4</w:t>
            </w:r>
          </w:p>
        </w:tc>
        <w:tc>
          <w:tcPr>
            <w:tcW w:w="822" w:type="dxa"/>
            <w:shd w:val="clear" w:color="auto" w:fill="C6EFCE"/>
          </w:tcPr>
          <w:p w14:paraId="2D798BA7" w14:textId="77777777" w:rsidR="006578ED" w:rsidRDefault="00A1618E">
            <w:pPr>
              <w:pStyle w:val="P68B1DB1-Normal13"/>
              <w:jc w:val="center"/>
              <w:rPr>
                <w:rFonts w:cs="Times New Roman"/>
                <w:noProof/>
              </w:rPr>
            </w:pPr>
            <w:r>
              <w:rPr>
                <w:noProof/>
              </w:rPr>
              <w:t>2022</w:t>
            </w:r>
          </w:p>
        </w:tc>
        <w:tc>
          <w:tcPr>
            <w:tcW w:w="3998" w:type="dxa"/>
            <w:shd w:val="clear" w:color="auto" w:fill="C6EFCE"/>
          </w:tcPr>
          <w:p w14:paraId="2AEF5638" w14:textId="42D54F90" w:rsidR="006578ED" w:rsidRDefault="00A1618E">
            <w:pPr>
              <w:pStyle w:val="P68B1DB1-Normal13"/>
              <w:rPr>
                <w:rFonts w:cs="Times New Roman"/>
                <w:noProof/>
              </w:rPr>
            </w:pPr>
            <w:r>
              <w:rPr>
                <w:noProof/>
              </w:rPr>
              <w:t>Wejście w życie ustawy o ocenie wraz z zestawem działań mających na celu wzmocnienie polityki publicznej w oparciu o ocenę ex ante. Cele obejmują: wzmocnienie systemu obecnego Krajowego Instytutu Oceny (Instituto de Evaluación de Políticas Públicas) w celu przyznania mu niezależności organizacyjnej i funkcjonalnej; zapewnienie Instytutowi zdolności i środków umożliwiających mu wykonywanie jego funkcji; w tym zasady systematycznej oceny ex ante polityk; oraz iv) utrzymanie mandatu innych organów i agencji, w tym AIReF.</w:t>
            </w:r>
          </w:p>
        </w:tc>
      </w:tr>
      <w:tr w:rsidR="006578ED" w14:paraId="00FAF26C" w14:textId="77777777">
        <w:trPr>
          <w:trHeight w:val="309"/>
        </w:trPr>
        <w:tc>
          <w:tcPr>
            <w:tcW w:w="1223" w:type="dxa"/>
            <w:shd w:val="clear" w:color="auto" w:fill="C6EFCE"/>
          </w:tcPr>
          <w:p w14:paraId="272C3981" w14:textId="77777777" w:rsidR="006578ED" w:rsidRDefault="00A1618E">
            <w:pPr>
              <w:pStyle w:val="P68B1DB1-Normal13"/>
              <w:jc w:val="center"/>
              <w:rPr>
                <w:rFonts w:cs="Times New Roman"/>
                <w:noProof/>
              </w:rPr>
            </w:pPr>
            <w:r>
              <w:rPr>
                <w:noProof/>
              </w:rPr>
              <w:t>147</w:t>
            </w:r>
          </w:p>
        </w:tc>
        <w:tc>
          <w:tcPr>
            <w:tcW w:w="1448" w:type="dxa"/>
            <w:shd w:val="clear" w:color="auto" w:fill="C6EFCE"/>
          </w:tcPr>
          <w:p w14:paraId="66A6CFFE" w14:textId="77777777" w:rsidR="006578ED" w:rsidRDefault="00A1618E">
            <w:pPr>
              <w:pStyle w:val="P68B1DB1-Normal13"/>
              <w:jc w:val="center"/>
              <w:rPr>
                <w:rFonts w:cs="Times New Roman"/>
                <w:noProof/>
              </w:rPr>
            </w:pPr>
            <w:r>
              <w:rPr>
                <w:noProof/>
              </w:rPr>
              <w:t>C11.R1</w:t>
            </w:r>
          </w:p>
        </w:tc>
        <w:tc>
          <w:tcPr>
            <w:tcW w:w="966" w:type="dxa"/>
            <w:shd w:val="clear" w:color="auto" w:fill="C6EFCE"/>
          </w:tcPr>
          <w:p w14:paraId="28864414" w14:textId="24338D58" w:rsidR="006578ED" w:rsidRDefault="00AF6B91">
            <w:pPr>
              <w:pStyle w:val="P68B1DB1-Normal13"/>
              <w:jc w:val="center"/>
              <w:rPr>
                <w:rFonts w:cs="Times New Roman"/>
                <w:noProof/>
              </w:rPr>
            </w:pPr>
            <w:r>
              <w:rPr>
                <w:noProof/>
              </w:rPr>
              <w:t>Kamień milowy</w:t>
            </w:r>
          </w:p>
        </w:tc>
        <w:tc>
          <w:tcPr>
            <w:tcW w:w="1631" w:type="dxa"/>
            <w:shd w:val="clear" w:color="auto" w:fill="C6EFCE"/>
          </w:tcPr>
          <w:p w14:paraId="41EE6FF5" w14:textId="5E95BBD1" w:rsidR="006578ED" w:rsidRDefault="00A1618E">
            <w:pPr>
              <w:pStyle w:val="P68B1DB1-Normal13"/>
              <w:rPr>
                <w:rFonts w:cs="Times New Roman"/>
                <w:noProof/>
              </w:rPr>
            </w:pPr>
            <w:r>
              <w:rPr>
                <w:noProof/>
              </w:rPr>
              <w:t>Wejście w życie reformy ustawy 7/1985 w sprawie lokalnych systemów administracyjnych oraz zmiany dekretu królewskiego 1690/1986 z dnia 11 lipca, w którym zatwierdzono rozporządzenie w sprawie ludności i wyznaczania granic terytorialnych podmiotów lokalnych</w:t>
            </w:r>
          </w:p>
        </w:tc>
        <w:tc>
          <w:tcPr>
            <w:tcW w:w="1442" w:type="dxa"/>
            <w:shd w:val="clear" w:color="auto" w:fill="C6EFCE"/>
          </w:tcPr>
          <w:p w14:paraId="7349E8C9" w14:textId="337CACC4" w:rsidR="006578ED" w:rsidRDefault="00A1618E">
            <w:pPr>
              <w:pStyle w:val="P68B1DB1-Normal13"/>
              <w:jc w:val="center"/>
              <w:rPr>
                <w:rFonts w:cs="Times New Roman"/>
                <w:noProof/>
              </w:rPr>
            </w:pPr>
            <w:r>
              <w:rPr>
                <w:noProof/>
              </w:rPr>
              <w:t xml:space="preserve">Przepis ustawy i dekretu królewskiego wdrażającego reformy wskazujące na ich wejście w życie </w:t>
            </w:r>
          </w:p>
        </w:tc>
        <w:tc>
          <w:tcPr>
            <w:tcW w:w="1082" w:type="dxa"/>
            <w:shd w:val="clear" w:color="auto" w:fill="C6EFCE"/>
          </w:tcPr>
          <w:p w14:paraId="75745E9A"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0C5E3641"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15541C48"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56CDA044" w14:textId="3E228CFE" w:rsidR="006578ED" w:rsidRDefault="00EC188C">
            <w:pPr>
              <w:pStyle w:val="P68B1DB1-Normal13"/>
              <w:jc w:val="center"/>
              <w:rPr>
                <w:rFonts w:cs="Times New Roman"/>
                <w:noProof/>
              </w:rPr>
            </w:pPr>
            <w:r>
              <w:rPr>
                <w:noProof/>
              </w:rPr>
              <w:t>KW. 4</w:t>
            </w:r>
          </w:p>
        </w:tc>
        <w:tc>
          <w:tcPr>
            <w:tcW w:w="822" w:type="dxa"/>
            <w:shd w:val="clear" w:color="auto" w:fill="C6EFCE"/>
          </w:tcPr>
          <w:p w14:paraId="298A2DB1" w14:textId="77777777" w:rsidR="006578ED" w:rsidRDefault="00A1618E">
            <w:pPr>
              <w:pStyle w:val="P68B1DB1-Normal13"/>
              <w:jc w:val="center"/>
              <w:rPr>
                <w:rFonts w:cs="Times New Roman"/>
                <w:noProof/>
              </w:rPr>
            </w:pPr>
            <w:r>
              <w:rPr>
                <w:noProof/>
              </w:rPr>
              <w:t>2022</w:t>
            </w:r>
          </w:p>
        </w:tc>
        <w:tc>
          <w:tcPr>
            <w:tcW w:w="3998" w:type="dxa"/>
            <w:shd w:val="clear" w:color="auto" w:fill="C6EFCE"/>
          </w:tcPr>
          <w:p w14:paraId="3507A2BD" w14:textId="07E2A756" w:rsidR="006578ED" w:rsidRDefault="00A1618E">
            <w:pPr>
              <w:pStyle w:val="P68B1DB1-Normal13"/>
              <w:rPr>
                <w:rFonts w:cs="Times New Roman"/>
                <w:noProof/>
              </w:rPr>
            </w:pPr>
            <w:r>
              <w:rPr>
                <w:noProof/>
              </w:rPr>
              <w:t>Wejście w życie zmiany ustawy 7/1985 regulującej lokalne systemy administracyjne oraz zmiany dekretu królewskiego 1690/1986 z dnia 11 lipca, w którym zatwierdzono rozporządzenie w sprawie ludności i wyznaczania granic terytorialnych podmiotów lokalnych. Zmiana ustawy 7/1985 regulującej lokalne systemy administracyjne przyczynia się do: przyspieszenie i rozszerzenie wdrażania lokalnych usług publicznych, w tym za pomocą środków cyfrowych, takich jak aplikacje, oraz (ii) wspieranie małych miast w świadczeniu usług publicznych. Zmiana dekretu królewskiego 1690/1986 z dnia 11 lipca, w sprawie zatwierdzenia rozporządzenia w sprawie ludności i wyznaczania granic terytorialnych podmiotów lokalnych, ma na celu aktualizację i ulepszenie gminnego spisu mieszkańców zarządzanego przez gminy. Reformom towarzyszy ocena skutków obejmująca aspekty stabilności budżetowej.</w:t>
            </w:r>
          </w:p>
        </w:tc>
      </w:tr>
      <w:tr w:rsidR="006578ED" w14:paraId="29BBF8D8" w14:textId="77777777">
        <w:trPr>
          <w:trHeight w:val="309"/>
        </w:trPr>
        <w:tc>
          <w:tcPr>
            <w:tcW w:w="1223" w:type="dxa"/>
            <w:shd w:val="clear" w:color="auto" w:fill="C6EFCE"/>
          </w:tcPr>
          <w:p w14:paraId="3632D0D5" w14:textId="77777777" w:rsidR="006578ED" w:rsidRDefault="00A1618E">
            <w:pPr>
              <w:pStyle w:val="P68B1DB1-Normal13"/>
              <w:jc w:val="center"/>
              <w:rPr>
                <w:rFonts w:cs="Times New Roman"/>
                <w:noProof/>
              </w:rPr>
            </w:pPr>
            <w:r>
              <w:rPr>
                <w:noProof/>
              </w:rPr>
              <w:t>148</w:t>
            </w:r>
          </w:p>
        </w:tc>
        <w:tc>
          <w:tcPr>
            <w:tcW w:w="1448" w:type="dxa"/>
            <w:shd w:val="clear" w:color="auto" w:fill="C6EFCE"/>
          </w:tcPr>
          <w:p w14:paraId="56824CAD" w14:textId="77777777" w:rsidR="006578ED" w:rsidRDefault="00A1618E">
            <w:pPr>
              <w:pStyle w:val="P68B1DB1-Normal13"/>
              <w:jc w:val="center"/>
              <w:rPr>
                <w:rFonts w:cs="Times New Roman"/>
                <w:noProof/>
              </w:rPr>
            </w:pPr>
            <w:r>
              <w:rPr>
                <w:noProof/>
              </w:rPr>
              <w:t>C11.R1</w:t>
            </w:r>
          </w:p>
        </w:tc>
        <w:tc>
          <w:tcPr>
            <w:tcW w:w="966" w:type="dxa"/>
            <w:shd w:val="clear" w:color="auto" w:fill="C6EFCE"/>
          </w:tcPr>
          <w:p w14:paraId="5FC47139" w14:textId="7ABE6817" w:rsidR="006578ED" w:rsidRDefault="00AF6B91">
            <w:pPr>
              <w:pStyle w:val="P68B1DB1-Normal13"/>
              <w:jc w:val="center"/>
              <w:rPr>
                <w:rFonts w:cs="Times New Roman"/>
                <w:noProof/>
              </w:rPr>
            </w:pPr>
            <w:r>
              <w:rPr>
                <w:noProof/>
              </w:rPr>
              <w:t>Kamień milowy</w:t>
            </w:r>
          </w:p>
        </w:tc>
        <w:tc>
          <w:tcPr>
            <w:tcW w:w="1631" w:type="dxa"/>
            <w:shd w:val="clear" w:color="auto" w:fill="C6EFCE"/>
          </w:tcPr>
          <w:p w14:paraId="0E387286" w14:textId="7997C922" w:rsidR="006578ED" w:rsidRDefault="00A1618E">
            <w:pPr>
              <w:pStyle w:val="P68B1DB1-Normal13"/>
              <w:rPr>
                <w:rFonts w:cs="Times New Roman"/>
                <w:noProof/>
              </w:rPr>
            </w:pPr>
            <w:r>
              <w:rPr>
                <w:noProof/>
              </w:rPr>
              <w:t>Wejście w życie środków regulacyjnych dotyczących służby cywilnej administracji państwowej</w:t>
            </w:r>
          </w:p>
        </w:tc>
        <w:tc>
          <w:tcPr>
            <w:tcW w:w="1442" w:type="dxa"/>
            <w:shd w:val="clear" w:color="auto" w:fill="C6EFCE"/>
          </w:tcPr>
          <w:p w14:paraId="268E37DA" w14:textId="782FFBB7" w:rsidR="006578ED" w:rsidRDefault="00A1618E">
            <w:pPr>
              <w:pStyle w:val="P68B1DB1-Normal13"/>
              <w:jc w:val="center"/>
              <w:rPr>
                <w:rFonts w:cs="Times New Roman"/>
                <w:noProof/>
              </w:rPr>
            </w:pPr>
            <w:r>
              <w:rPr>
                <w:noProof/>
              </w:rPr>
              <w:t xml:space="preserve">Przepis zawarty w dekretach królewskich i zarządzeniach ministerialnych wdrażających elementy reformy wskazujące na ich wejście w życie </w:t>
            </w:r>
          </w:p>
        </w:tc>
        <w:tc>
          <w:tcPr>
            <w:tcW w:w="1082" w:type="dxa"/>
            <w:shd w:val="clear" w:color="auto" w:fill="C6EFCE"/>
          </w:tcPr>
          <w:p w14:paraId="39017060"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0740E5F9"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5FC345CA"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61594965" w14:textId="48DF42AF" w:rsidR="006578ED" w:rsidRDefault="00EC188C">
            <w:pPr>
              <w:pStyle w:val="P68B1DB1-Normal13"/>
              <w:jc w:val="center"/>
              <w:rPr>
                <w:rFonts w:cs="Times New Roman"/>
                <w:noProof/>
              </w:rPr>
            </w:pPr>
            <w:r>
              <w:rPr>
                <w:noProof/>
              </w:rPr>
              <w:t>KW. 4</w:t>
            </w:r>
          </w:p>
        </w:tc>
        <w:tc>
          <w:tcPr>
            <w:tcW w:w="822" w:type="dxa"/>
            <w:shd w:val="clear" w:color="auto" w:fill="C6EFCE"/>
          </w:tcPr>
          <w:p w14:paraId="3961A0ED" w14:textId="77777777" w:rsidR="006578ED" w:rsidRDefault="00A1618E">
            <w:pPr>
              <w:pStyle w:val="P68B1DB1-Normal13"/>
              <w:jc w:val="center"/>
              <w:rPr>
                <w:rFonts w:cs="Times New Roman"/>
                <w:noProof/>
              </w:rPr>
            </w:pPr>
            <w:r>
              <w:rPr>
                <w:noProof/>
              </w:rPr>
              <w:t>2022</w:t>
            </w:r>
          </w:p>
        </w:tc>
        <w:tc>
          <w:tcPr>
            <w:tcW w:w="3998" w:type="dxa"/>
            <w:shd w:val="clear" w:color="auto" w:fill="C6EFCE"/>
          </w:tcPr>
          <w:p w14:paraId="716779E3" w14:textId="05B99E1A" w:rsidR="006578ED" w:rsidRDefault="00A1618E">
            <w:pPr>
              <w:pStyle w:val="P68B1DB1-Normal13"/>
              <w:rPr>
                <w:rFonts w:cs="Times New Roman"/>
                <w:noProof/>
              </w:rPr>
            </w:pPr>
            <w:r>
              <w:rPr>
                <w:noProof/>
              </w:rPr>
              <w:t xml:space="preserve">Wejście w życie środków regulacyjnych dotyczących służby cywilnej administracji państwowej. Środki te wzmacniają zdolność administracji do przyciągania i zatrzymywania talentów niezbędnych do wykonywania jej obecnych zadań, w tym w dziedzinie informacji i telekomunikacji. Środki te obejmują następujące elementy: rewitalizacja instrumentów planowania i organizacji zasobów ludzkich oraz zarządzania nimi; zagwarantowanie skuteczności zasad równości, zasług i zdolności w zakresie dostępu, a także przejrzystości i sprawności procedur selekcji; regulacja oceny i wyników zgodnie z ramami opartymi na kompetencjach, w tym w odniesieniu do nowej rekrutacji; oraz iv) dostęp do stanowisk wyższych urzędników służby cywilnej (mianowicie poddyrektorów </w:t>
            </w:r>
            <w:r>
              <w:rPr>
                <w:i/>
                <w:noProof/>
              </w:rPr>
              <w:t>generalnych i </w:t>
            </w:r>
            <w:r>
              <w:rPr>
                <w:noProof/>
              </w:rPr>
              <w:t>podobnych stanowisk) w oparciu o osiągnięcia i konkurs. Środki regulacyjne mają formę dekretu królewskiego z mocą ustawy w odniesieniu do elementów ii) i iii); oraz rozporządzenia ministerialnego w odniesieniu do elementów i) oraz iv).</w:t>
            </w:r>
          </w:p>
        </w:tc>
      </w:tr>
      <w:tr w:rsidR="006578ED" w14:paraId="370A0D81" w14:textId="77777777">
        <w:trPr>
          <w:trHeight w:val="309"/>
        </w:trPr>
        <w:tc>
          <w:tcPr>
            <w:tcW w:w="1223" w:type="dxa"/>
            <w:shd w:val="clear" w:color="auto" w:fill="C6EFCE"/>
          </w:tcPr>
          <w:p w14:paraId="2B464838" w14:textId="77777777" w:rsidR="006578ED" w:rsidRDefault="00A1618E">
            <w:pPr>
              <w:pStyle w:val="P68B1DB1-Normal13"/>
              <w:jc w:val="center"/>
              <w:rPr>
                <w:rFonts w:cs="Times New Roman"/>
                <w:noProof/>
              </w:rPr>
            </w:pPr>
            <w:r>
              <w:rPr>
                <w:noProof/>
              </w:rPr>
              <w:t>149</w:t>
            </w:r>
          </w:p>
        </w:tc>
        <w:tc>
          <w:tcPr>
            <w:tcW w:w="1448" w:type="dxa"/>
            <w:shd w:val="clear" w:color="auto" w:fill="C6EFCE"/>
          </w:tcPr>
          <w:p w14:paraId="424D4657" w14:textId="77777777" w:rsidR="006578ED" w:rsidRDefault="00A1618E">
            <w:pPr>
              <w:pStyle w:val="P68B1DB1-Normal13"/>
              <w:jc w:val="center"/>
              <w:rPr>
                <w:rFonts w:cs="Times New Roman"/>
                <w:noProof/>
              </w:rPr>
            </w:pPr>
            <w:r>
              <w:rPr>
                <w:noProof/>
              </w:rPr>
              <w:t>C11.R1</w:t>
            </w:r>
          </w:p>
        </w:tc>
        <w:tc>
          <w:tcPr>
            <w:tcW w:w="966" w:type="dxa"/>
            <w:shd w:val="clear" w:color="auto" w:fill="C6EFCE"/>
          </w:tcPr>
          <w:p w14:paraId="299041B6" w14:textId="6A7D7B36" w:rsidR="006578ED" w:rsidRDefault="00AF6B91">
            <w:pPr>
              <w:pStyle w:val="P68B1DB1-Normal13"/>
              <w:jc w:val="center"/>
              <w:rPr>
                <w:rFonts w:cs="Times New Roman"/>
                <w:noProof/>
              </w:rPr>
            </w:pPr>
            <w:r>
              <w:rPr>
                <w:noProof/>
              </w:rPr>
              <w:t>Kamień milowy</w:t>
            </w:r>
          </w:p>
        </w:tc>
        <w:tc>
          <w:tcPr>
            <w:tcW w:w="1631" w:type="dxa"/>
            <w:shd w:val="clear" w:color="auto" w:fill="C6EFCE"/>
          </w:tcPr>
          <w:p w14:paraId="1E35AF3F" w14:textId="77777777" w:rsidR="006578ED" w:rsidRDefault="00A1618E">
            <w:pPr>
              <w:pStyle w:val="P68B1DB1-Normal13"/>
              <w:rPr>
                <w:rFonts w:cs="Times New Roman"/>
                <w:noProof/>
              </w:rPr>
            </w:pPr>
            <w:r>
              <w:rPr>
                <w:noProof/>
              </w:rPr>
              <w:t>Statut nowego organu publicznego oceniającego</w:t>
            </w:r>
          </w:p>
        </w:tc>
        <w:tc>
          <w:tcPr>
            <w:tcW w:w="1442" w:type="dxa"/>
            <w:shd w:val="clear" w:color="auto" w:fill="C6EFCE"/>
          </w:tcPr>
          <w:p w14:paraId="0C90CC59" w14:textId="4852110E" w:rsidR="006578ED" w:rsidRDefault="00A1618E">
            <w:pPr>
              <w:pStyle w:val="P68B1DB1-Normal13"/>
              <w:jc w:val="center"/>
              <w:rPr>
                <w:rFonts w:cs="Times New Roman"/>
                <w:noProof/>
              </w:rPr>
            </w:pPr>
            <w:r>
              <w:rPr>
                <w:noProof/>
              </w:rPr>
              <w:t xml:space="preserve">Przepis dekretu królewskiego wskazujący na wejście w życie dekretu królewskiego </w:t>
            </w:r>
          </w:p>
        </w:tc>
        <w:tc>
          <w:tcPr>
            <w:tcW w:w="1082" w:type="dxa"/>
            <w:shd w:val="clear" w:color="auto" w:fill="C6EFCE"/>
          </w:tcPr>
          <w:p w14:paraId="29FC183F"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473AFF47"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3D603131"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2E4BFBF2" w14:textId="0C5C61BF" w:rsidR="006578ED" w:rsidRDefault="00EC188C">
            <w:pPr>
              <w:pStyle w:val="P68B1DB1-Normal13"/>
              <w:jc w:val="center"/>
              <w:rPr>
                <w:rFonts w:cs="Times New Roman"/>
                <w:noProof/>
              </w:rPr>
            </w:pPr>
            <w:r>
              <w:rPr>
                <w:noProof/>
              </w:rPr>
              <w:t>KW. 3</w:t>
            </w:r>
          </w:p>
        </w:tc>
        <w:tc>
          <w:tcPr>
            <w:tcW w:w="822" w:type="dxa"/>
            <w:shd w:val="clear" w:color="auto" w:fill="C6EFCE"/>
          </w:tcPr>
          <w:p w14:paraId="340D2FE8" w14:textId="77777777" w:rsidR="006578ED" w:rsidRDefault="00A1618E">
            <w:pPr>
              <w:pStyle w:val="P68B1DB1-Normal13"/>
              <w:jc w:val="center"/>
              <w:rPr>
                <w:rFonts w:cs="Times New Roman"/>
                <w:noProof/>
              </w:rPr>
            </w:pPr>
            <w:r>
              <w:rPr>
                <w:noProof/>
              </w:rPr>
              <w:t>2023</w:t>
            </w:r>
          </w:p>
        </w:tc>
        <w:tc>
          <w:tcPr>
            <w:tcW w:w="3998" w:type="dxa"/>
            <w:shd w:val="clear" w:color="auto" w:fill="C6EFCE"/>
          </w:tcPr>
          <w:p w14:paraId="78F3AB93" w14:textId="505FB30C" w:rsidR="006578ED" w:rsidRDefault="00A1618E">
            <w:pPr>
              <w:pStyle w:val="P68B1DB1-Normal13"/>
              <w:rPr>
                <w:rFonts w:cs="Times New Roman"/>
                <w:noProof/>
              </w:rPr>
            </w:pPr>
            <w:r>
              <w:rPr>
                <w:noProof/>
              </w:rPr>
              <w:t>Wejście w życie dekretu królewskiego w sprawie statutu nowego krajowego organu publicznego ds. oceny. Cele niniejszego dekretu królewskiego są następujące: zapewnienie krajowemu organowi publicznemu ds. oceny zdolności i środków umożliwiających mu wykonywanie jego funkcji w zakresie standaryzacji metodologicznej na potrzeby oceny ex ante polityki publicznej; przeprowadzanie ocen polityki publicznej; oraz (iii) uwzględnienie zasady systematycznej oceny ex ante polityki, z wyjątkami przewidzianymi w ustawie.</w:t>
            </w:r>
          </w:p>
        </w:tc>
      </w:tr>
      <w:tr w:rsidR="006578ED" w14:paraId="594099FE" w14:textId="77777777">
        <w:trPr>
          <w:trHeight w:val="309"/>
        </w:trPr>
        <w:tc>
          <w:tcPr>
            <w:tcW w:w="1223" w:type="dxa"/>
            <w:shd w:val="clear" w:color="auto" w:fill="C6EFCE"/>
          </w:tcPr>
          <w:p w14:paraId="3F22E7E6" w14:textId="7B8D20F9" w:rsidR="006578ED" w:rsidRDefault="00A1618E">
            <w:pPr>
              <w:pStyle w:val="P68B1DB1-Normal13"/>
              <w:jc w:val="center"/>
              <w:rPr>
                <w:rFonts w:cs="Times New Roman"/>
                <w:noProof/>
              </w:rPr>
            </w:pPr>
            <w:r>
              <w:rPr>
                <w:noProof/>
              </w:rPr>
              <w:t>150</w:t>
            </w:r>
          </w:p>
        </w:tc>
        <w:tc>
          <w:tcPr>
            <w:tcW w:w="1448" w:type="dxa"/>
            <w:shd w:val="clear" w:color="auto" w:fill="C6EFCE"/>
          </w:tcPr>
          <w:p w14:paraId="39274323" w14:textId="1F729C9E" w:rsidR="006578ED" w:rsidRDefault="00A1618E">
            <w:pPr>
              <w:pStyle w:val="P68B1DB1-Normal13"/>
              <w:jc w:val="center"/>
              <w:rPr>
                <w:rFonts w:cs="Times New Roman"/>
                <w:noProof/>
              </w:rPr>
            </w:pPr>
            <w:r>
              <w:rPr>
                <w:noProof/>
              </w:rPr>
              <w:t>C11.R1</w:t>
            </w:r>
          </w:p>
        </w:tc>
        <w:tc>
          <w:tcPr>
            <w:tcW w:w="966" w:type="dxa"/>
            <w:shd w:val="clear" w:color="auto" w:fill="C6EFCE"/>
          </w:tcPr>
          <w:p w14:paraId="324774BA" w14:textId="230D6870" w:rsidR="006578ED" w:rsidRDefault="00AF6B91">
            <w:pPr>
              <w:pStyle w:val="P68B1DB1-Normal13"/>
              <w:jc w:val="center"/>
              <w:rPr>
                <w:rFonts w:cs="Times New Roman"/>
                <w:noProof/>
              </w:rPr>
            </w:pPr>
            <w:r>
              <w:rPr>
                <w:noProof/>
              </w:rPr>
              <w:t>Cel</w:t>
            </w:r>
          </w:p>
        </w:tc>
        <w:tc>
          <w:tcPr>
            <w:tcW w:w="1631" w:type="dxa"/>
            <w:shd w:val="clear" w:color="auto" w:fill="C6EFCE"/>
          </w:tcPr>
          <w:p w14:paraId="7A55C355" w14:textId="2141243B" w:rsidR="006578ED" w:rsidRDefault="00A1618E">
            <w:pPr>
              <w:pStyle w:val="P68B1DB1-Normal13"/>
              <w:rPr>
                <w:rFonts w:cs="Times New Roman"/>
                <w:noProof/>
              </w:rPr>
            </w:pPr>
            <w:r>
              <w:rPr>
                <w:noProof/>
              </w:rPr>
              <w:t>Stabilizacja zatrudnienia w sektorze publicznym</w:t>
            </w:r>
          </w:p>
        </w:tc>
        <w:tc>
          <w:tcPr>
            <w:tcW w:w="1442" w:type="dxa"/>
            <w:shd w:val="clear" w:color="auto" w:fill="C6EFCE"/>
          </w:tcPr>
          <w:p w14:paraId="473383D2" w14:textId="77777777" w:rsidR="006578ED" w:rsidRDefault="006578ED">
            <w:pPr>
              <w:jc w:val="center"/>
              <w:rPr>
                <w:rFonts w:ascii="Times New Roman" w:hAnsi="Times New Roman" w:cs="Times New Roman"/>
                <w:noProof/>
                <w:sz w:val="18"/>
              </w:rPr>
            </w:pPr>
          </w:p>
        </w:tc>
        <w:tc>
          <w:tcPr>
            <w:tcW w:w="1082" w:type="dxa"/>
            <w:shd w:val="clear" w:color="auto" w:fill="C6EFCE"/>
          </w:tcPr>
          <w:p w14:paraId="1E54F784" w14:textId="7E9293D1" w:rsidR="006578ED" w:rsidRDefault="00A1618E">
            <w:pPr>
              <w:pStyle w:val="P68B1DB1-Normal13"/>
              <w:jc w:val="right"/>
              <w:rPr>
                <w:rFonts w:cs="Times New Roman"/>
                <w:noProof/>
              </w:rPr>
            </w:pPr>
            <w:r>
              <w:rPr>
                <w:noProof/>
              </w:rPr>
              <w:t>Liczba</w:t>
            </w:r>
          </w:p>
        </w:tc>
        <w:tc>
          <w:tcPr>
            <w:tcW w:w="708" w:type="dxa"/>
            <w:shd w:val="clear" w:color="auto" w:fill="C6EFCE"/>
          </w:tcPr>
          <w:p w14:paraId="3CA84FD5" w14:textId="583DB036" w:rsidR="006578ED" w:rsidRDefault="00A1618E">
            <w:pPr>
              <w:pStyle w:val="P68B1DB1-Normal13"/>
              <w:jc w:val="right"/>
              <w:rPr>
                <w:rFonts w:cs="Times New Roman"/>
                <w:noProof/>
              </w:rPr>
            </w:pPr>
            <w:r>
              <w:rPr>
                <w:noProof/>
              </w:rPr>
              <w:t>0</w:t>
            </w:r>
          </w:p>
        </w:tc>
        <w:tc>
          <w:tcPr>
            <w:tcW w:w="709" w:type="dxa"/>
            <w:shd w:val="clear" w:color="auto" w:fill="C6EFCE"/>
          </w:tcPr>
          <w:p w14:paraId="200B5FCB" w14:textId="18582A6B" w:rsidR="006578ED" w:rsidRDefault="00A1618E">
            <w:pPr>
              <w:pStyle w:val="P68B1DB1-Normal13"/>
              <w:jc w:val="right"/>
              <w:rPr>
                <w:rFonts w:cs="Times New Roman"/>
                <w:noProof/>
              </w:rPr>
            </w:pPr>
            <w:r>
              <w:rPr>
                <w:noProof/>
              </w:rPr>
              <w:t>300 000</w:t>
            </w:r>
          </w:p>
        </w:tc>
        <w:tc>
          <w:tcPr>
            <w:tcW w:w="567" w:type="dxa"/>
            <w:shd w:val="clear" w:color="auto" w:fill="C6EFCE"/>
          </w:tcPr>
          <w:p w14:paraId="6F66B82C" w14:textId="62E67E6E" w:rsidR="006578ED" w:rsidRDefault="00EC188C">
            <w:pPr>
              <w:pStyle w:val="P68B1DB1-Normal13"/>
              <w:jc w:val="center"/>
              <w:rPr>
                <w:rFonts w:cs="Times New Roman"/>
                <w:noProof/>
              </w:rPr>
            </w:pPr>
            <w:r>
              <w:rPr>
                <w:noProof/>
              </w:rPr>
              <w:t>KW. 4</w:t>
            </w:r>
          </w:p>
        </w:tc>
        <w:tc>
          <w:tcPr>
            <w:tcW w:w="822" w:type="dxa"/>
            <w:shd w:val="clear" w:color="auto" w:fill="C6EFCE"/>
          </w:tcPr>
          <w:p w14:paraId="52B4707C" w14:textId="090EEAC4" w:rsidR="006578ED" w:rsidRDefault="00A1618E">
            <w:pPr>
              <w:pStyle w:val="P68B1DB1-Normal13"/>
              <w:jc w:val="center"/>
              <w:rPr>
                <w:rFonts w:cs="Times New Roman"/>
                <w:noProof/>
              </w:rPr>
            </w:pPr>
            <w:r>
              <w:rPr>
                <w:noProof/>
              </w:rPr>
              <w:t>2024</w:t>
            </w:r>
          </w:p>
        </w:tc>
        <w:tc>
          <w:tcPr>
            <w:tcW w:w="3998" w:type="dxa"/>
            <w:shd w:val="clear" w:color="auto" w:fill="C6EFCE"/>
          </w:tcPr>
          <w:p w14:paraId="6F4C32AA" w14:textId="6DD7E1CB" w:rsidR="006578ED" w:rsidRDefault="00A1618E">
            <w:pPr>
              <w:pStyle w:val="P68B1DB1-Normal13"/>
              <w:rPr>
                <w:rFonts w:cs="Times New Roman"/>
                <w:noProof/>
              </w:rPr>
            </w:pPr>
            <w:r>
              <w:rPr>
                <w:noProof/>
              </w:rPr>
              <w:t>Zakończenie procedur rekrutacyjnych w celu stabilizacji zatrudnienia (za pośrednictwem umów na czas nieokreślony lub stanowisk dla pracowników statutowych) obejmujących co najmniej 300000 stanowisk (w tym z 20</w:t>
            </w:r>
            <w:r w:rsidRPr="00A1618E">
              <w:rPr>
                <w:noProof/>
                <w:lang w:val="pl-PL"/>
              </w:rPr>
              <w:t>17 r.</w:t>
            </w:r>
            <w:r>
              <w:rPr>
                <w:noProof/>
              </w:rPr>
              <w:t xml:space="preserve"> i 2918 procedur stabilizacyjnych)</w:t>
            </w:r>
          </w:p>
        </w:tc>
      </w:tr>
      <w:tr w:rsidR="006578ED" w14:paraId="000DB73A" w14:textId="77777777">
        <w:trPr>
          <w:trHeight w:val="309"/>
        </w:trPr>
        <w:tc>
          <w:tcPr>
            <w:tcW w:w="1223" w:type="dxa"/>
            <w:shd w:val="clear" w:color="auto" w:fill="C6EFCE"/>
          </w:tcPr>
          <w:p w14:paraId="3B58C1C2" w14:textId="7C903BFA" w:rsidR="006578ED" w:rsidRDefault="00A1618E">
            <w:pPr>
              <w:pStyle w:val="P68B1DB1-Normal13"/>
              <w:jc w:val="center"/>
              <w:rPr>
                <w:rFonts w:cs="Times New Roman"/>
                <w:noProof/>
              </w:rPr>
            </w:pPr>
            <w:r>
              <w:rPr>
                <w:noProof/>
              </w:rPr>
              <w:t>432</w:t>
            </w:r>
          </w:p>
        </w:tc>
        <w:tc>
          <w:tcPr>
            <w:tcW w:w="1448" w:type="dxa"/>
            <w:shd w:val="clear" w:color="auto" w:fill="C6EFCE"/>
          </w:tcPr>
          <w:p w14:paraId="570DFF20" w14:textId="4459DE15" w:rsidR="006578ED" w:rsidRDefault="00A1618E">
            <w:pPr>
              <w:pStyle w:val="P68B1DB1-Normal13"/>
              <w:jc w:val="center"/>
              <w:rPr>
                <w:rFonts w:cs="Times New Roman"/>
                <w:noProof/>
              </w:rPr>
            </w:pPr>
            <w:r>
              <w:rPr>
                <w:noProof/>
              </w:rPr>
              <w:t>C11.R1</w:t>
            </w:r>
          </w:p>
        </w:tc>
        <w:tc>
          <w:tcPr>
            <w:tcW w:w="966" w:type="dxa"/>
            <w:shd w:val="clear" w:color="auto" w:fill="C6EFCE"/>
          </w:tcPr>
          <w:p w14:paraId="4F014BAF" w14:textId="13F3ED3F" w:rsidR="006578ED" w:rsidRDefault="00AF6B91">
            <w:pPr>
              <w:pStyle w:val="P68B1DB1-Normal13"/>
              <w:jc w:val="center"/>
              <w:rPr>
                <w:rFonts w:cs="Times New Roman"/>
                <w:noProof/>
              </w:rPr>
            </w:pPr>
            <w:r>
              <w:rPr>
                <w:noProof/>
              </w:rPr>
              <w:t>Kamień milowy</w:t>
            </w:r>
          </w:p>
        </w:tc>
        <w:tc>
          <w:tcPr>
            <w:tcW w:w="1631" w:type="dxa"/>
            <w:shd w:val="clear" w:color="auto" w:fill="C6EFCE"/>
          </w:tcPr>
          <w:p w14:paraId="7FC16956" w14:textId="5AAD490B" w:rsidR="006578ED" w:rsidRDefault="00A1618E">
            <w:pPr>
              <w:pStyle w:val="P68B1DB1-Normal13"/>
              <w:rPr>
                <w:rFonts w:cs="Times New Roman"/>
                <w:noProof/>
              </w:rPr>
            </w:pPr>
            <w:r>
              <w:rPr>
                <w:noProof/>
              </w:rPr>
              <w:t xml:space="preserve">Ustawa o przejrzystości i uczciwości w działalności grup interesu </w:t>
            </w:r>
          </w:p>
        </w:tc>
        <w:tc>
          <w:tcPr>
            <w:tcW w:w="1442" w:type="dxa"/>
            <w:shd w:val="clear" w:color="auto" w:fill="C6EFCE"/>
          </w:tcPr>
          <w:p w14:paraId="39F3169B" w14:textId="2056BB3E" w:rsidR="006578ED" w:rsidRDefault="00A1618E">
            <w:pPr>
              <w:pStyle w:val="P68B1DB1-Normal13"/>
              <w:jc w:val="center"/>
              <w:rPr>
                <w:rFonts w:cs="Times New Roman"/>
                <w:noProof/>
              </w:rPr>
            </w:pPr>
            <w:r>
              <w:rPr>
                <w:noProof/>
              </w:rPr>
              <w:t xml:space="preserve">Przepis ustawy wskazujący na wejście w życie ustawy oraz audyt informatyczny potwierdzający funkcjonowanie rejestru </w:t>
            </w:r>
          </w:p>
        </w:tc>
        <w:tc>
          <w:tcPr>
            <w:tcW w:w="1082" w:type="dxa"/>
            <w:shd w:val="clear" w:color="auto" w:fill="C6EFCE"/>
          </w:tcPr>
          <w:p w14:paraId="3DB716A5" w14:textId="77777777" w:rsidR="006578ED" w:rsidRDefault="006578ED">
            <w:pPr>
              <w:jc w:val="right"/>
              <w:rPr>
                <w:rFonts w:ascii="Times New Roman" w:hAnsi="Times New Roman" w:cs="Times New Roman"/>
                <w:noProof/>
                <w:sz w:val="18"/>
              </w:rPr>
            </w:pPr>
          </w:p>
        </w:tc>
        <w:tc>
          <w:tcPr>
            <w:tcW w:w="708" w:type="dxa"/>
            <w:shd w:val="clear" w:color="auto" w:fill="C6EFCE"/>
          </w:tcPr>
          <w:p w14:paraId="33EC85B8" w14:textId="77777777" w:rsidR="006578ED" w:rsidRDefault="006578ED">
            <w:pPr>
              <w:jc w:val="right"/>
              <w:rPr>
                <w:rFonts w:ascii="Times New Roman" w:hAnsi="Times New Roman" w:cs="Times New Roman"/>
                <w:noProof/>
                <w:sz w:val="18"/>
              </w:rPr>
            </w:pPr>
          </w:p>
        </w:tc>
        <w:tc>
          <w:tcPr>
            <w:tcW w:w="709" w:type="dxa"/>
            <w:shd w:val="clear" w:color="auto" w:fill="C6EFCE"/>
          </w:tcPr>
          <w:p w14:paraId="13D2AC27" w14:textId="77777777" w:rsidR="006578ED" w:rsidRDefault="006578ED">
            <w:pPr>
              <w:jc w:val="right"/>
              <w:rPr>
                <w:rFonts w:ascii="Times New Roman" w:hAnsi="Times New Roman" w:cs="Times New Roman"/>
                <w:noProof/>
                <w:sz w:val="18"/>
              </w:rPr>
            </w:pPr>
          </w:p>
        </w:tc>
        <w:tc>
          <w:tcPr>
            <w:tcW w:w="567" w:type="dxa"/>
            <w:shd w:val="clear" w:color="auto" w:fill="C6EFCE"/>
          </w:tcPr>
          <w:p w14:paraId="14231283" w14:textId="24C0AA04" w:rsidR="006578ED" w:rsidRDefault="00EC188C">
            <w:pPr>
              <w:pStyle w:val="P68B1DB1-Normal13"/>
              <w:jc w:val="center"/>
              <w:rPr>
                <w:rFonts w:cs="Times New Roman"/>
                <w:noProof/>
              </w:rPr>
            </w:pPr>
            <w:r>
              <w:rPr>
                <w:noProof/>
              </w:rPr>
              <w:t>KW. 4</w:t>
            </w:r>
          </w:p>
        </w:tc>
        <w:tc>
          <w:tcPr>
            <w:tcW w:w="822" w:type="dxa"/>
            <w:shd w:val="clear" w:color="auto" w:fill="C6EFCE"/>
          </w:tcPr>
          <w:p w14:paraId="2089E3DD" w14:textId="13E253B8" w:rsidR="006578ED" w:rsidRDefault="00A1618E">
            <w:pPr>
              <w:pStyle w:val="P68B1DB1-Normal13"/>
              <w:jc w:val="center"/>
              <w:rPr>
                <w:rFonts w:cs="Times New Roman"/>
                <w:noProof/>
              </w:rPr>
            </w:pPr>
            <w:r>
              <w:rPr>
                <w:noProof/>
              </w:rPr>
              <w:t>2024</w:t>
            </w:r>
          </w:p>
        </w:tc>
        <w:tc>
          <w:tcPr>
            <w:tcW w:w="3998" w:type="dxa"/>
            <w:shd w:val="clear" w:color="auto" w:fill="C6EFCE"/>
          </w:tcPr>
          <w:p w14:paraId="64F75892" w14:textId="23E4ACAB" w:rsidR="006578ED" w:rsidRDefault="00A1618E">
            <w:pPr>
              <w:pStyle w:val="P68B1DB1-Normal13"/>
              <w:rPr>
                <w:rFonts w:cs="Times New Roman"/>
                <w:noProof/>
              </w:rPr>
            </w:pPr>
            <w:r>
              <w:rPr>
                <w:noProof/>
              </w:rPr>
              <w:t>Wejście w życie ustawy regulującej stosunki między lobbystami (w tym organizacjami pozarządowymi, ośrodkami analitycznymi, stowarzyszeniami handlowymi, stowarzyszeniami zarobkowymi i nienastawionymi na zysk, związkami zawodowymi, organizacjami przedsiębiorców i prawnikami, jeżeli ich celem jest wywieranie wpływu na politykę, a nie udzielanie pomocy prawnej) a sektorem publicznym. Ustawa ustanawia publiczny i obowiązkowy rejestr grup interesu, który będzie monitorowany przez niezależny organ posiadający zdolności i środki (zasoby ludzkie, finansowe i techniczne) oraz uprawnienia w zakresie nadzoru i nakładania sankcji. Ustawa przewiduje również połączenie nowego rejestru z istniejącymi regionalnymi rejestrami grup interesu. Rejestr jest operacyjny, w tym w odniesieniu do wyżej wymienionych wzajemnych połączeń. W celu sprawdzenia operacyjności przeprowadza się audyt informatyczny.</w:t>
            </w:r>
          </w:p>
        </w:tc>
      </w:tr>
      <w:tr w:rsidR="006578ED" w14:paraId="3113AC41" w14:textId="77777777">
        <w:trPr>
          <w:trHeight w:val="309"/>
        </w:trPr>
        <w:tc>
          <w:tcPr>
            <w:tcW w:w="1223" w:type="dxa"/>
            <w:shd w:val="clear" w:color="auto" w:fill="C6EFCE"/>
          </w:tcPr>
          <w:p w14:paraId="17B4E54F" w14:textId="31F8DBEC" w:rsidR="006578ED" w:rsidRDefault="00A1618E">
            <w:pPr>
              <w:pStyle w:val="P68B1DB1-Normal13"/>
              <w:jc w:val="center"/>
              <w:rPr>
                <w:rFonts w:cs="Times New Roman"/>
                <w:noProof/>
              </w:rPr>
            </w:pPr>
            <w:r>
              <w:rPr>
                <w:noProof/>
              </w:rPr>
              <w:t>433</w:t>
            </w:r>
          </w:p>
        </w:tc>
        <w:tc>
          <w:tcPr>
            <w:tcW w:w="1448" w:type="dxa"/>
            <w:shd w:val="clear" w:color="auto" w:fill="C6EFCE"/>
          </w:tcPr>
          <w:p w14:paraId="11CDBA34" w14:textId="77777777" w:rsidR="006578ED" w:rsidRDefault="00A1618E">
            <w:pPr>
              <w:pStyle w:val="P68B1DB1-Normal13"/>
              <w:jc w:val="center"/>
              <w:rPr>
                <w:rFonts w:cs="Times New Roman"/>
                <w:noProof/>
              </w:rPr>
            </w:pPr>
            <w:r>
              <w:rPr>
                <w:noProof/>
              </w:rPr>
              <w:t>C11.R1</w:t>
            </w:r>
          </w:p>
        </w:tc>
        <w:tc>
          <w:tcPr>
            <w:tcW w:w="966" w:type="dxa"/>
            <w:shd w:val="clear" w:color="auto" w:fill="C6EFCE"/>
          </w:tcPr>
          <w:p w14:paraId="1C6D20B4" w14:textId="506BD9E7" w:rsidR="006578ED" w:rsidRDefault="00AF6B91">
            <w:pPr>
              <w:pStyle w:val="P68B1DB1-Normal13"/>
              <w:jc w:val="center"/>
              <w:rPr>
                <w:rFonts w:cs="Times New Roman"/>
                <w:noProof/>
              </w:rPr>
            </w:pPr>
            <w:r>
              <w:rPr>
                <w:noProof/>
              </w:rPr>
              <w:t>Kamień milowy</w:t>
            </w:r>
          </w:p>
        </w:tc>
        <w:tc>
          <w:tcPr>
            <w:tcW w:w="1631" w:type="dxa"/>
            <w:shd w:val="clear" w:color="auto" w:fill="C6EFCE"/>
          </w:tcPr>
          <w:p w14:paraId="218C5BA1" w14:textId="797FAB63" w:rsidR="006578ED" w:rsidRDefault="00A1618E">
            <w:pPr>
              <w:pStyle w:val="P68B1DB1-Normal13"/>
              <w:rPr>
                <w:rFonts w:cs="Times New Roman"/>
                <w:noProof/>
              </w:rPr>
            </w:pPr>
            <w:r>
              <w:rPr>
                <w:noProof/>
              </w:rPr>
              <w:t>Aktualizacja ram bezpieczeństwa narodowego</w:t>
            </w:r>
          </w:p>
        </w:tc>
        <w:tc>
          <w:tcPr>
            <w:tcW w:w="1442" w:type="dxa"/>
            <w:shd w:val="clear" w:color="auto" w:fill="C6EFCE"/>
          </w:tcPr>
          <w:p w14:paraId="20A3F8D8" w14:textId="330DCF0F" w:rsidR="006578ED" w:rsidRDefault="00A1618E">
            <w:pPr>
              <w:pStyle w:val="P68B1DB1-Normal13"/>
              <w:jc w:val="center"/>
              <w:rPr>
                <w:rFonts w:cs="Times New Roman"/>
                <w:noProof/>
              </w:rPr>
            </w:pPr>
            <w:r>
              <w:rPr>
                <w:noProof/>
              </w:rPr>
              <w:t>Przepis dekretu królewskiego wskazujący na jego wejście w życie</w:t>
            </w:r>
          </w:p>
        </w:tc>
        <w:tc>
          <w:tcPr>
            <w:tcW w:w="1082" w:type="dxa"/>
            <w:shd w:val="clear" w:color="auto" w:fill="C6EFCE"/>
          </w:tcPr>
          <w:p w14:paraId="4D8E49A3" w14:textId="748C2B36" w:rsidR="006578ED" w:rsidRDefault="006578ED">
            <w:pPr>
              <w:jc w:val="right"/>
              <w:rPr>
                <w:rFonts w:ascii="Times New Roman" w:hAnsi="Times New Roman" w:cs="Times New Roman"/>
                <w:noProof/>
                <w:sz w:val="18"/>
              </w:rPr>
            </w:pPr>
          </w:p>
        </w:tc>
        <w:tc>
          <w:tcPr>
            <w:tcW w:w="708" w:type="dxa"/>
            <w:shd w:val="clear" w:color="auto" w:fill="C6EFCE"/>
          </w:tcPr>
          <w:p w14:paraId="66ABE3E1" w14:textId="4062B014" w:rsidR="006578ED" w:rsidRDefault="006578ED">
            <w:pPr>
              <w:jc w:val="right"/>
              <w:rPr>
                <w:rFonts w:ascii="Times New Roman" w:hAnsi="Times New Roman" w:cs="Times New Roman"/>
                <w:noProof/>
                <w:sz w:val="18"/>
              </w:rPr>
            </w:pPr>
          </w:p>
        </w:tc>
        <w:tc>
          <w:tcPr>
            <w:tcW w:w="709" w:type="dxa"/>
            <w:shd w:val="clear" w:color="auto" w:fill="C6EFCE"/>
          </w:tcPr>
          <w:p w14:paraId="6B521DA1" w14:textId="2509B3AD" w:rsidR="006578ED" w:rsidRDefault="006578ED">
            <w:pPr>
              <w:jc w:val="right"/>
              <w:rPr>
                <w:rFonts w:ascii="Times New Roman" w:hAnsi="Times New Roman" w:cs="Times New Roman"/>
                <w:noProof/>
                <w:sz w:val="18"/>
              </w:rPr>
            </w:pPr>
          </w:p>
        </w:tc>
        <w:tc>
          <w:tcPr>
            <w:tcW w:w="567" w:type="dxa"/>
            <w:shd w:val="clear" w:color="auto" w:fill="C6EFCE"/>
          </w:tcPr>
          <w:p w14:paraId="4847A319" w14:textId="597E9654" w:rsidR="006578ED" w:rsidRDefault="00EC188C">
            <w:pPr>
              <w:pStyle w:val="P68B1DB1-Normal13"/>
              <w:jc w:val="center"/>
              <w:rPr>
                <w:rFonts w:cs="Times New Roman"/>
                <w:noProof/>
              </w:rPr>
            </w:pPr>
            <w:r>
              <w:rPr>
                <w:noProof/>
              </w:rPr>
              <w:t>KW. 2</w:t>
            </w:r>
          </w:p>
        </w:tc>
        <w:tc>
          <w:tcPr>
            <w:tcW w:w="822" w:type="dxa"/>
            <w:shd w:val="clear" w:color="auto" w:fill="C6EFCE"/>
          </w:tcPr>
          <w:p w14:paraId="7F48C86D" w14:textId="5E4BD59E" w:rsidR="006578ED" w:rsidRDefault="00A1618E">
            <w:pPr>
              <w:pStyle w:val="P68B1DB1-Normal13"/>
              <w:jc w:val="center"/>
              <w:rPr>
                <w:rFonts w:cs="Times New Roman"/>
                <w:noProof/>
              </w:rPr>
            </w:pPr>
            <w:r>
              <w:rPr>
                <w:noProof/>
              </w:rPr>
              <w:t>2023</w:t>
            </w:r>
          </w:p>
        </w:tc>
        <w:tc>
          <w:tcPr>
            <w:tcW w:w="3998" w:type="dxa"/>
            <w:shd w:val="clear" w:color="auto" w:fill="C6EFCE"/>
          </w:tcPr>
          <w:p w14:paraId="263DEF57" w14:textId="1D417653" w:rsidR="006578ED" w:rsidRDefault="00A1618E">
            <w:pPr>
              <w:pStyle w:val="P68B1DB1-Normal13"/>
              <w:rPr>
                <w:rFonts w:cs="Times New Roman"/>
                <w:noProof/>
              </w:rPr>
            </w:pPr>
            <w:r>
              <w:rPr>
                <w:noProof/>
              </w:rPr>
              <w:t xml:space="preserve">Wejście w życie dekretu królewskiego aktualizującego ramy bezpieczeństwa narodowego. Dekret królewski: dostosowanie wymogów ram bezpieczeństwa narodowego do realiów niektórych grup lub rodzajów systemów, wprowadzając pojęcie „szczególnego profilu zgodności”; dostosowanie krajowych ram bezpieczeństwa do ram regulacyjnych i kontekstu strategicznego w celu zagwarantowania bezpieczeństwa w cyfrowej administracji publicznej, zgodnie z krajową strategią cyberbezpieczeństwa </w:t>
            </w:r>
            <w:r w:rsidRPr="00A1618E">
              <w:rPr>
                <w:noProof/>
                <w:lang w:val="pl-PL"/>
              </w:rPr>
              <w:t>na 2</w:t>
            </w:r>
            <w:r>
              <w:rPr>
                <w:noProof/>
              </w:rPr>
              <w:t>0</w:t>
            </w:r>
            <w:r w:rsidRPr="00A1618E">
              <w:rPr>
                <w:noProof/>
                <w:lang w:val="pl-PL"/>
              </w:rPr>
              <w:t>19 r.</w:t>
            </w:r>
            <w:r>
              <w:rPr>
                <w:noProof/>
              </w:rPr>
              <w:t xml:space="preserve"> i krajowym planem cyberbezpieczeństwa; oraz (iii) ułatwienie lepszego reagowania na tendencje w zakresie cyberbezpieczeństwa, zmniejszenie podatności na zagrożenia i promowanie stałej czujności poprzez przegląd podstawowych zasad, minimalnych wymogów i środków bezpieczeństwa. </w:t>
            </w:r>
          </w:p>
        </w:tc>
      </w:tr>
      <w:tr w:rsidR="006578ED" w14:paraId="41EB67C2" w14:textId="77777777">
        <w:trPr>
          <w:trHeight w:val="309"/>
        </w:trPr>
        <w:tc>
          <w:tcPr>
            <w:tcW w:w="1223" w:type="dxa"/>
            <w:shd w:val="clear" w:color="auto" w:fill="C6EFCE"/>
          </w:tcPr>
          <w:p w14:paraId="5AC416AC" w14:textId="77777777" w:rsidR="006578ED" w:rsidRDefault="00A1618E">
            <w:pPr>
              <w:pStyle w:val="P68B1DB1-Normal13"/>
              <w:jc w:val="center"/>
              <w:rPr>
                <w:rFonts w:cs="Times New Roman"/>
                <w:noProof/>
              </w:rPr>
            </w:pPr>
            <w:r>
              <w:rPr>
                <w:noProof/>
              </w:rPr>
              <w:t>151</w:t>
            </w:r>
          </w:p>
        </w:tc>
        <w:tc>
          <w:tcPr>
            <w:tcW w:w="1448" w:type="dxa"/>
            <w:shd w:val="clear" w:color="auto" w:fill="C6EFCE"/>
          </w:tcPr>
          <w:p w14:paraId="2FA6B541" w14:textId="77777777" w:rsidR="006578ED" w:rsidRDefault="00A1618E">
            <w:pPr>
              <w:pStyle w:val="P68B1DB1-Normal13"/>
              <w:jc w:val="center"/>
              <w:rPr>
                <w:rFonts w:cs="Times New Roman"/>
                <w:noProof/>
              </w:rPr>
            </w:pPr>
            <w:r>
              <w:rPr>
                <w:noProof/>
              </w:rPr>
              <w:t>C11.R2</w:t>
            </w:r>
          </w:p>
        </w:tc>
        <w:tc>
          <w:tcPr>
            <w:tcW w:w="966" w:type="dxa"/>
            <w:shd w:val="clear" w:color="auto" w:fill="C6EFCE"/>
          </w:tcPr>
          <w:p w14:paraId="29844041" w14:textId="3353305F" w:rsidR="006578ED" w:rsidRDefault="00AF6B91">
            <w:pPr>
              <w:pStyle w:val="P68B1DB1-Normal13"/>
              <w:jc w:val="center"/>
              <w:rPr>
                <w:rFonts w:cs="Times New Roman"/>
                <w:noProof/>
              </w:rPr>
            </w:pPr>
            <w:r>
              <w:rPr>
                <w:noProof/>
              </w:rPr>
              <w:t>Kamień milowy</w:t>
            </w:r>
          </w:p>
        </w:tc>
        <w:tc>
          <w:tcPr>
            <w:tcW w:w="1631" w:type="dxa"/>
            <w:shd w:val="clear" w:color="auto" w:fill="C6EFCE"/>
          </w:tcPr>
          <w:p w14:paraId="51A1B595" w14:textId="7DC995EE" w:rsidR="006578ED" w:rsidRDefault="00A1618E">
            <w:pPr>
              <w:pStyle w:val="P68B1DB1-Normal13"/>
              <w:rPr>
                <w:rFonts w:cs="Times New Roman"/>
                <w:noProof/>
              </w:rPr>
            </w:pPr>
            <w:r>
              <w:rPr>
                <w:noProof/>
              </w:rPr>
              <w:t xml:space="preserve">Wejście w życie ustawy </w:t>
            </w:r>
            <w:r w:rsidRPr="00A1618E">
              <w:rPr>
                <w:noProof/>
                <w:lang w:val="pl-PL"/>
              </w:rPr>
              <w:t>nr 3</w:t>
            </w:r>
            <w:r>
              <w:rPr>
                <w:noProof/>
              </w:rPr>
              <w:t>/2020 o środkach proceduralnych i organizacyjnych w dziedzinie wymiaru sprawiedliwości</w:t>
            </w:r>
          </w:p>
        </w:tc>
        <w:tc>
          <w:tcPr>
            <w:tcW w:w="1442" w:type="dxa"/>
            <w:shd w:val="clear" w:color="auto" w:fill="C6EFCE"/>
          </w:tcPr>
          <w:p w14:paraId="43C00945" w14:textId="1DAC93B2" w:rsidR="006578ED" w:rsidRDefault="00A1618E">
            <w:pPr>
              <w:pStyle w:val="P68B1DB1-Normal13"/>
              <w:jc w:val="center"/>
              <w:rPr>
                <w:rFonts w:cs="Times New Roman"/>
                <w:noProof/>
              </w:rPr>
            </w:pPr>
            <w:r>
              <w:rPr>
                <w:noProof/>
              </w:rPr>
              <w:t>Przepis ustawy wskazujący na wejście w życie ustawy</w:t>
            </w:r>
          </w:p>
        </w:tc>
        <w:tc>
          <w:tcPr>
            <w:tcW w:w="1082" w:type="dxa"/>
            <w:shd w:val="clear" w:color="auto" w:fill="C6EFCE"/>
          </w:tcPr>
          <w:p w14:paraId="3930645F"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10877538"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37A89D9E"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5AB379AF" w14:textId="5C7BD1D8" w:rsidR="006578ED" w:rsidRDefault="00EC188C">
            <w:pPr>
              <w:pStyle w:val="P68B1DB1-Normal13"/>
              <w:jc w:val="center"/>
              <w:rPr>
                <w:rFonts w:cs="Times New Roman"/>
                <w:noProof/>
              </w:rPr>
            </w:pPr>
            <w:r>
              <w:rPr>
                <w:noProof/>
              </w:rPr>
              <w:t>KW. 3</w:t>
            </w:r>
          </w:p>
        </w:tc>
        <w:tc>
          <w:tcPr>
            <w:tcW w:w="822" w:type="dxa"/>
            <w:shd w:val="clear" w:color="auto" w:fill="C6EFCE"/>
          </w:tcPr>
          <w:p w14:paraId="32500CC3" w14:textId="77777777" w:rsidR="006578ED" w:rsidRDefault="00A1618E">
            <w:pPr>
              <w:pStyle w:val="P68B1DB1-Normal13"/>
              <w:jc w:val="center"/>
              <w:rPr>
                <w:rFonts w:cs="Times New Roman"/>
                <w:noProof/>
              </w:rPr>
            </w:pPr>
            <w:r>
              <w:rPr>
                <w:noProof/>
              </w:rPr>
              <w:t>2020</w:t>
            </w:r>
          </w:p>
        </w:tc>
        <w:tc>
          <w:tcPr>
            <w:tcW w:w="3998" w:type="dxa"/>
            <w:shd w:val="clear" w:color="auto" w:fill="C6EFCE"/>
          </w:tcPr>
          <w:p w14:paraId="440654AE" w14:textId="0CB9B043" w:rsidR="006578ED" w:rsidRDefault="00A1618E">
            <w:pPr>
              <w:pStyle w:val="P68B1DB1-Normal13"/>
              <w:rPr>
                <w:rFonts w:cs="Times New Roman"/>
                <w:noProof/>
              </w:rPr>
            </w:pPr>
            <w:r>
              <w:rPr>
                <w:noProof/>
              </w:rPr>
              <w:t xml:space="preserve">Wejście w życie ustawy </w:t>
            </w:r>
            <w:r w:rsidRPr="00A1618E">
              <w:rPr>
                <w:noProof/>
                <w:lang w:val="pl-PL"/>
              </w:rPr>
              <w:t>nr 3</w:t>
            </w:r>
            <w:r>
              <w:rPr>
                <w:noProof/>
              </w:rPr>
              <w:t xml:space="preserve">/2020 z dnia 18 września w sprawie środków proceduralnych i organizacyjnych stosowanych w związku z COVID-19 w dziedzinie wymiaru sprawiedliwości. </w:t>
            </w:r>
          </w:p>
        </w:tc>
      </w:tr>
      <w:tr w:rsidR="006578ED" w14:paraId="5B6AD35D" w14:textId="77777777">
        <w:trPr>
          <w:trHeight w:val="309"/>
        </w:trPr>
        <w:tc>
          <w:tcPr>
            <w:tcW w:w="1223" w:type="dxa"/>
            <w:shd w:val="clear" w:color="auto" w:fill="C6EFCE"/>
          </w:tcPr>
          <w:p w14:paraId="7EF8616D" w14:textId="77777777" w:rsidR="006578ED" w:rsidRDefault="00A1618E">
            <w:pPr>
              <w:pStyle w:val="P68B1DB1-Normal13"/>
              <w:jc w:val="center"/>
              <w:rPr>
                <w:rFonts w:cs="Times New Roman"/>
                <w:noProof/>
              </w:rPr>
            </w:pPr>
            <w:r>
              <w:rPr>
                <w:noProof/>
              </w:rPr>
              <w:t>152</w:t>
            </w:r>
          </w:p>
        </w:tc>
        <w:tc>
          <w:tcPr>
            <w:tcW w:w="1448" w:type="dxa"/>
            <w:shd w:val="clear" w:color="auto" w:fill="C6EFCE"/>
          </w:tcPr>
          <w:p w14:paraId="19BE9EA4" w14:textId="77777777" w:rsidR="006578ED" w:rsidRDefault="00A1618E">
            <w:pPr>
              <w:pStyle w:val="P68B1DB1-Normal13"/>
              <w:jc w:val="center"/>
              <w:rPr>
                <w:rFonts w:cs="Times New Roman"/>
                <w:noProof/>
              </w:rPr>
            </w:pPr>
            <w:r>
              <w:rPr>
                <w:noProof/>
              </w:rPr>
              <w:t>C11.R2</w:t>
            </w:r>
          </w:p>
        </w:tc>
        <w:tc>
          <w:tcPr>
            <w:tcW w:w="966" w:type="dxa"/>
            <w:shd w:val="clear" w:color="auto" w:fill="C6EFCE"/>
          </w:tcPr>
          <w:p w14:paraId="40D8BFC9" w14:textId="7F498420" w:rsidR="006578ED" w:rsidRDefault="00AF6B91">
            <w:pPr>
              <w:pStyle w:val="P68B1DB1-Normal13"/>
              <w:jc w:val="center"/>
              <w:rPr>
                <w:rFonts w:cs="Times New Roman"/>
                <w:noProof/>
              </w:rPr>
            </w:pPr>
            <w:r>
              <w:rPr>
                <w:noProof/>
              </w:rPr>
              <w:t>Kamień milowy</w:t>
            </w:r>
          </w:p>
        </w:tc>
        <w:tc>
          <w:tcPr>
            <w:tcW w:w="1631" w:type="dxa"/>
            <w:shd w:val="clear" w:color="auto" w:fill="C6EFCE"/>
          </w:tcPr>
          <w:p w14:paraId="5642636D" w14:textId="2662C3F9" w:rsidR="006578ED" w:rsidRDefault="00A1618E">
            <w:pPr>
              <w:pStyle w:val="P68B1DB1-Normal13"/>
              <w:rPr>
                <w:rFonts w:cs="Times New Roman"/>
                <w:noProof/>
              </w:rPr>
            </w:pPr>
            <w:r>
              <w:rPr>
                <w:noProof/>
              </w:rPr>
              <w:t>Wejście w życie dekretu królewskiego z mocą ustawy zwiększającego skuteczność postępowań sądowych oraz królewskiego dekretu z mocą ustawy w sprawie efektywności cyfrowej</w:t>
            </w:r>
          </w:p>
        </w:tc>
        <w:tc>
          <w:tcPr>
            <w:tcW w:w="1442" w:type="dxa"/>
            <w:shd w:val="clear" w:color="auto" w:fill="C6EFCE"/>
          </w:tcPr>
          <w:p w14:paraId="4BED2B88" w14:textId="152ECC7E" w:rsidR="006578ED" w:rsidRDefault="00A1618E">
            <w:pPr>
              <w:pStyle w:val="P68B1DB1-Normal13"/>
              <w:jc w:val="center"/>
              <w:rPr>
                <w:rFonts w:cs="Times New Roman"/>
                <w:noProof/>
              </w:rPr>
            </w:pPr>
            <w:r>
              <w:rPr>
                <w:noProof/>
              </w:rPr>
              <w:t xml:space="preserve">Przepis(-y) w prawie(-ach) wskazujący(-e) ich wejście w życie </w:t>
            </w:r>
          </w:p>
        </w:tc>
        <w:tc>
          <w:tcPr>
            <w:tcW w:w="1082" w:type="dxa"/>
            <w:shd w:val="clear" w:color="auto" w:fill="C6EFCE"/>
          </w:tcPr>
          <w:p w14:paraId="64ABDF90"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30AC8B61"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666BC993"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5020F53A" w14:textId="25C1C03A" w:rsidR="006578ED" w:rsidRDefault="00EC188C">
            <w:pPr>
              <w:pStyle w:val="P68B1DB1-Normal13"/>
              <w:jc w:val="center"/>
              <w:rPr>
                <w:rFonts w:cs="Times New Roman"/>
                <w:noProof/>
              </w:rPr>
            </w:pPr>
            <w:r>
              <w:rPr>
                <w:noProof/>
              </w:rPr>
              <w:t>KW. 4</w:t>
            </w:r>
          </w:p>
        </w:tc>
        <w:tc>
          <w:tcPr>
            <w:tcW w:w="822" w:type="dxa"/>
            <w:shd w:val="clear" w:color="auto" w:fill="C6EFCE"/>
          </w:tcPr>
          <w:p w14:paraId="1B6C9055" w14:textId="77777777" w:rsidR="006578ED" w:rsidRDefault="00A1618E">
            <w:pPr>
              <w:pStyle w:val="P68B1DB1-Normal13"/>
              <w:jc w:val="center"/>
              <w:rPr>
                <w:rFonts w:cs="Times New Roman"/>
                <w:noProof/>
              </w:rPr>
            </w:pPr>
            <w:r>
              <w:rPr>
                <w:noProof/>
              </w:rPr>
              <w:t>2022</w:t>
            </w:r>
          </w:p>
        </w:tc>
        <w:tc>
          <w:tcPr>
            <w:tcW w:w="3998" w:type="dxa"/>
            <w:shd w:val="clear" w:color="auto" w:fill="C6EFCE"/>
          </w:tcPr>
          <w:p w14:paraId="2EE9D3B0" w14:textId="0C50E132" w:rsidR="006578ED" w:rsidRDefault="00A1618E">
            <w:pPr>
              <w:pStyle w:val="P68B1DB1-Normal13"/>
              <w:rPr>
                <w:rFonts w:cs="Times New Roman"/>
                <w:noProof/>
              </w:rPr>
            </w:pPr>
            <w:r>
              <w:rPr>
                <w:noProof/>
              </w:rPr>
              <w:t>Wejście w życie dekretu królewskiego z mocą ustawy zwiększającego skuteczność postępowań w krajowym systemie wymiaru sprawiedliwości oraz dekretu królewskiego z mocą ustawy w sprawie efektywności cyfrowej, które</w:t>
            </w:r>
            <w:r w:rsidRPr="00A1618E">
              <w:rPr>
                <w:noProof/>
                <w:lang w:val="pl-PL"/>
              </w:rPr>
              <w:t>: b</w:t>
            </w:r>
            <w:r>
              <w:rPr>
                <w:noProof/>
              </w:rPr>
              <w:t>ardziej intensywne wykorzystanie technologii w celu zapewnienia wydajnej i wysokiej jakości usług publicznych; wprowadzenie reform w przepisach proceduralnych w celu przyspieszenia procedur w jurysdykcjach administracyjnych i społecznych; oraz (iii) zmiany procedur odwoławczych („</w:t>
            </w:r>
            <w:r>
              <w:rPr>
                <w:i/>
                <w:noProof/>
              </w:rPr>
              <w:t>procesos de casación”</w:t>
            </w:r>
            <w:r>
              <w:rPr>
                <w:noProof/>
              </w:rPr>
              <w:t xml:space="preserve">) w celu uniknięcia zbędnych opóźnień. </w:t>
            </w:r>
          </w:p>
        </w:tc>
      </w:tr>
      <w:tr w:rsidR="006578ED" w14:paraId="1844C472" w14:textId="77777777">
        <w:trPr>
          <w:trHeight w:val="309"/>
        </w:trPr>
        <w:tc>
          <w:tcPr>
            <w:tcW w:w="1223" w:type="dxa"/>
            <w:shd w:val="clear" w:color="auto" w:fill="C6EFCE"/>
          </w:tcPr>
          <w:p w14:paraId="163845D3" w14:textId="201CF894" w:rsidR="006578ED" w:rsidRDefault="00A1618E">
            <w:pPr>
              <w:pStyle w:val="P68B1DB1-Normal13"/>
              <w:jc w:val="center"/>
              <w:rPr>
                <w:rFonts w:cs="Times New Roman"/>
                <w:noProof/>
              </w:rPr>
            </w:pPr>
            <w:r>
              <w:rPr>
                <w:noProof/>
              </w:rPr>
              <w:t>434</w:t>
            </w:r>
          </w:p>
        </w:tc>
        <w:tc>
          <w:tcPr>
            <w:tcW w:w="1448" w:type="dxa"/>
            <w:shd w:val="clear" w:color="auto" w:fill="C6EFCE"/>
          </w:tcPr>
          <w:p w14:paraId="07DB7A96" w14:textId="12791677" w:rsidR="006578ED" w:rsidRDefault="00A1618E">
            <w:pPr>
              <w:pStyle w:val="P68B1DB1-Normal13"/>
              <w:jc w:val="center"/>
              <w:rPr>
                <w:rFonts w:cs="Times New Roman"/>
                <w:noProof/>
              </w:rPr>
            </w:pPr>
            <w:r>
              <w:rPr>
                <w:noProof/>
              </w:rPr>
              <w:t>C11.R2</w:t>
            </w:r>
          </w:p>
        </w:tc>
        <w:tc>
          <w:tcPr>
            <w:tcW w:w="966" w:type="dxa"/>
            <w:shd w:val="clear" w:color="auto" w:fill="C6EFCE"/>
          </w:tcPr>
          <w:p w14:paraId="09FA722F" w14:textId="44B05F44" w:rsidR="006578ED" w:rsidRDefault="00AF6B91">
            <w:pPr>
              <w:pStyle w:val="P68B1DB1-Normal13"/>
              <w:jc w:val="center"/>
              <w:rPr>
                <w:rFonts w:cs="Times New Roman"/>
                <w:noProof/>
              </w:rPr>
            </w:pPr>
            <w:r>
              <w:rPr>
                <w:noProof/>
              </w:rPr>
              <w:t>Kamień milowy</w:t>
            </w:r>
          </w:p>
        </w:tc>
        <w:tc>
          <w:tcPr>
            <w:tcW w:w="1631" w:type="dxa"/>
            <w:shd w:val="clear" w:color="auto" w:fill="C6EFCE"/>
          </w:tcPr>
          <w:p w14:paraId="67FB368F" w14:textId="667CADBE" w:rsidR="006578ED" w:rsidRDefault="00A1618E">
            <w:pPr>
              <w:pStyle w:val="P68B1DB1-Normal13"/>
              <w:rPr>
                <w:rFonts w:cs="Times New Roman"/>
                <w:noProof/>
              </w:rPr>
            </w:pPr>
            <w:r>
              <w:rPr>
                <w:noProof/>
              </w:rPr>
              <w:t>Wejście w życie ustawy o efektywności organizacyjnej i proceduralnej</w:t>
            </w:r>
          </w:p>
        </w:tc>
        <w:tc>
          <w:tcPr>
            <w:tcW w:w="1442" w:type="dxa"/>
            <w:shd w:val="clear" w:color="auto" w:fill="C6EFCE"/>
          </w:tcPr>
          <w:p w14:paraId="2B6902B6" w14:textId="7E95C98C" w:rsidR="006578ED" w:rsidRDefault="00A1618E">
            <w:pPr>
              <w:pStyle w:val="P68B1DB1-Normal13"/>
              <w:jc w:val="center"/>
              <w:rPr>
                <w:rFonts w:cs="Times New Roman"/>
                <w:noProof/>
              </w:rPr>
            </w:pPr>
            <w:r>
              <w:rPr>
                <w:noProof/>
              </w:rPr>
              <w:t>Przepis w ustawie wskazujący na wejście w życie</w:t>
            </w:r>
          </w:p>
        </w:tc>
        <w:tc>
          <w:tcPr>
            <w:tcW w:w="1082" w:type="dxa"/>
            <w:shd w:val="clear" w:color="auto" w:fill="C6EFCE"/>
          </w:tcPr>
          <w:p w14:paraId="7699D622" w14:textId="77777777" w:rsidR="006578ED" w:rsidRDefault="006578ED">
            <w:pPr>
              <w:jc w:val="right"/>
              <w:rPr>
                <w:rFonts w:ascii="Times New Roman" w:hAnsi="Times New Roman" w:cs="Times New Roman"/>
                <w:noProof/>
                <w:sz w:val="18"/>
              </w:rPr>
            </w:pPr>
          </w:p>
        </w:tc>
        <w:tc>
          <w:tcPr>
            <w:tcW w:w="708" w:type="dxa"/>
            <w:shd w:val="clear" w:color="auto" w:fill="C6EFCE"/>
          </w:tcPr>
          <w:p w14:paraId="06B8C446" w14:textId="77777777" w:rsidR="006578ED" w:rsidRDefault="006578ED">
            <w:pPr>
              <w:jc w:val="right"/>
              <w:rPr>
                <w:rFonts w:ascii="Times New Roman" w:hAnsi="Times New Roman" w:cs="Times New Roman"/>
                <w:noProof/>
                <w:sz w:val="18"/>
              </w:rPr>
            </w:pPr>
          </w:p>
        </w:tc>
        <w:tc>
          <w:tcPr>
            <w:tcW w:w="709" w:type="dxa"/>
            <w:shd w:val="clear" w:color="auto" w:fill="C6EFCE"/>
          </w:tcPr>
          <w:p w14:paraId="794E76E3" w14:textId="77777777" w:rsidR="006578ED" w:rsidRDefault="006578ED">
            <w:pPr>
              <w:jc w:val="right"/>
              <w:rPr>
                <w:rFonts w:ascii="Times New Roman" w:hAnsi="Times New Roman" w:cs="Times New Roman"/>
                <w:noProof/>
                <w:sz w:val="18"/>
              </w:rPr>
            </w:pPr>
          </w:p>
        </w:tc>
        <w:tc>
          <w:tcPr>
            <w:tcW w:w="567" w:type="dxa"/>
            <w:shd w:val="clear" w:color="auto" w:fill="C6EFCE"/>
          </w:tcPr>
          <w:p w14:paraId="5233CAEA" w14:textId="128A1366" w:rsidR="006578ED" w:rsidRDefault="00EC188C">
            <w:pPr>
              <w:pStyle w:val="P68B1DB1-Normal13"/>
              <w:jc w:val="center"/>
              <w:rPr>
                <w:rFonts w:cs="Times New Roman"/>
                <w:noProof/>
              </w:rPr>
            </w:pPr>
            <w:r>
              <w:rPr>
                <w:noProof/>
              </w:rPr>
              <w:t>KW. 4</w:t>
            </w:r>
          </w:p>
        </w:tc>
        <w:tc>
          <w:tcPr>
            <w:tcW w:w="822" w:type="dxa"/>
            <w:shd w:val="clear" w:color="auto" w:fill="C6EFCE"/>
          </w:tcPr>
          <w:p w14:paraId="27FC54F1" w14:textId="405228EA" w:rsidR="006578ED" w:rsidRDefault="00A1618E">
            <w:pPr>
              <w:pStyle w:val="P68B1DB1-Normal13"/>
              <w:jc w:val="center"/>
              <w:rPr>
                <w:rFonts w:cs="Times New Roman"/>
                <w:noProof/>
              </w:rPr>
            </w:pPr>
            <w:r>
              <w:rPr>
                <w:noProof/>
              </w:rPr>
              <w:t>2024</w:t>
            </w:r>
          </w:p>
        </w:tc>
        <w:tc>
          <w:tcPr>
            <w:tcW w:w="3998" w:type="dxa"/>
            <w:shd w:val="clear" w:color="auto" w:fill="C6EFCE"/>
          </w:tcPr>
          <w:p w14:paraId="1653648A" w14:textId="02D9D2CE" w:rsidR="006578ED" w:rsidRDefault="00A1618E">
            <w:pPr>
              <w:pStyle w:val="P68B1DB1-Normal13"/>
              <w:rPr>
                <w:rFonts w:cs="Times New Roman"/>
                <w:noProof/>
              </w:rPr>
            </w:pPr>
            <w:r>
              <w:rPr>
                <w:noProof/>
              </w:rPr>
              <w:t>Wejście w życie ustawy o skuteczności organizacyjnej i proceduralnej w celu zmiany organizacji mapy sądownictwa zgodnie z opisem środka oraz dalszej poprawy skuteczności proceduralnej systemu wymiaru sprawiedliwości poprzez: (i) wprowadzenie reform w przepisach proceduralnych w celu przyspieszenia procedur w jurysdykcjach nieobjętych milową 152 (ii) wprowadzenie alternatywnych metod rozwiązywania sporów; wprowadzenie reform w przepisach proceduralnych, które rozstrzygają spory przed wniesieniem sprawy do sądu; dalsze dążenie do skuteczniejszego zarządzania i szybszego reagowania na potrzeby obywateli i przedsiębiorstw; oraz (v) ogólnie osiągnięcie sprawniejszego, wydajniejszego, przyjaznego dla obywateli, zrównoważonego i przejrzystego administrowania wymiarem sprawiedliwości.</w:t>
            </w:r>
          </w:p>
        </w:tc>
      </w:tr>
      <w:tr w:rsidR="006578ED" w14:paraId="0991F572" w14:textId="77777777">
        <w:trPr>
          <w:trHeight w:val="309"/>
        </w:trPr>
        <w:tc>
          <w:tcPr>
            <w:tcW w:w="1223" w:type="dxa"/>
            <w:shd w:val="clear" w:color="auto" w:fill="C6EFCE"/>
          </w:tcPr>
          <w:p w14:paraId="6AC988E3" w14:textId="19A83181" w:rsidR="006578ED" w:rsidRDefault="00A1618E">
            <w:pPr>
              <w:pStyle w:val="P68B1DB1-Normal13"/>
              <w:jc w:val="center"/>
              <w:rPr>
                <w:rFonts w:cs="Times New Roman"/>
                <w:noProof/>
              </w:rPr>
            </w:pPr>
            <w:r>
              <w:rPr>
                <w:noProof/>
              </w:rPr>
              <w:t>435</w:t>
            </w:r>
          </w:p>
        </w:tc>
        <w:tc>
          <w:tcPr>
            <w:tcW w:w="1448" w:type="dxa"/>
            <w:shd w:val="clear" w:color="auto" w:fill="C6EFCE"/>
          </w:tcPr>
          <w:p w14:paraId="50956061" w14:textId="647FE991" w:rsidR="006578ED" w:rsidRDefault="00A1618E">
            <w:pPr>
              <w:pStyle w:val="P68B1DB1-Normal13"/>
              <w:jc w:val="center"/>
              <w:rPr>
                <w:rFonts w:cs="Times New Roman"/>
                <w:noProof/>
              </w:rPr>
            </w:pPr>
            <w:r>
              <w:rPr>
                <w:noProof/>
              </w:rPr>
              <w:t>C11.R2</w:t>
            </w:r>
          </w:p>
        </w:tc>
        <w:tc>
          <w:tcPr>
            <w:tcW w:w="966" w:type="dxa"/>
            <w:shd w:val="clear" w:color="auto" w:fill="C6EFCE"/>
          </w:tcPr>
          <w:p w14:paraId="0D9F4315" w14:textId="657429D4" w:rsidR="006578ED" w:rsidRDefault="00AF6B91">
            <w:pPr>
              <w:pStyle w:val="P68B1DB1-Normal13"/>
              <w:jc w:val="center"/>
              <w:rPr>
                <w:rFonts w:cs="Times New Roman"/>
                <w:noProof/>
              </w:rPr>
            </w:pPr>
            <w:r>
              <w:rPr>
                <w:noProof/>
              </w:rPr>
              <w:t>Kamień milowy</w:t>
            </w:r>
          </w:p>
        </w:tc>
        <w:tc>
          <w:tcPr>
            <w:tcW w:w="1631" w:type="dxa"/>
            <w:shd w:val="clear" w:color="auto" w:fill="C6EFCE"/>
          </w:tcPr>
          <w:p w14:paraId="31DD27F0" w14:textId="599041ED" w:rsidR="006578ED" w:rsidRDefault="00A1618E">
            <w:pPr>
              <w:pStyle w:val="P68B1DB1-Normal13"/>
              <w:rPr>
                <w:rFonts w:cs="Times New Roman"/>
                <w:noProof/>
              </w:rPr>
            </w:pPr>
            <w:r>
              <w:rPr>
                <w:noProof/>
              </w:rPr>
              <w:t>Wejście w życie ustawy o prawie do obrony</w:t>
            </w:r>
          </w:p>
        </w:tc>
        <w:tc>
          <w:tcPr>
            <w:tcW w:w="1442" w:type="dxa"/>
            <w:shd w:val="clear" w:color="auto" w:fill="C6EFCE"/>
          </w:tcPr>
          <w:p w14:paraId="0C51FB95" w14:textId="65A11A29" w:rsidR="006578ED" w:rsidRDefault="00A1618E">
            <w:pPr>
              <w:pStyle w:val="P68B1DB1-Normal13"/>
              <w:jc w:val="center"/>
              <w:rPr>
                <w:rFonts w:cs="Times New Roman"/>
                <w:noProof/>
              </w:rPr>
            </w:pPr>
            <w:r>
              <w:rPr>
                <w:noProof/>
              </w:rPr>
              <w:t>Przepis w ustawie wskazujący na wejście w życie</w:t>
            </w:r>
          </w:p>
        </w:tc>
        <w:tc>
          <w:tcPr>
            <w:tcW w:w="1082" w:type="dxa"/>
            <w:shd w:val="clear" w:color="auto" w:fill="C6EFCE"/>
          </w:tcPr>
          <w:p w14:paraId="402D2AFE" w14:textId="77777777" w:rsidR="006578ED" w:rsidRDefault="006578ED">
            <w:pPr>
              <w:jc w:val="right"/>
              <w:rPr>
                <w:rFonts w:ascii="Times New Roman" w:hAnsi="Times New Roman" w:cs="Times New Roman"/>
                <w:noProof/>
                <w:sz w:val="18"/>
              </w:rPr>
            </w:pPr>
          </w:p>
        </w:tc>
        <w:tc>
          <w:tcPr>
            <w:tcW w:w="708" w:type="dxa"/>
            <w:shd w:val="clear" w:color="auto" w:fill="C6EFCE"/>
          </w:tcPr>
          <w:p w14:paraId="1FD71E07" w14:textId="77777777" w:rsidR="006578ED" w:rsidRDefault="006578ED">
            <w:pPr>
              <w:jc w:val="right"/>
              <w:rPr>
                <w:rFonts w:ascii="Times New Roman" w:hAnsi="Times New Roman" w:cs="Times New Roman"/>
                <w:noProof/>
                <w:sz w:val="18"/>
              </w:rPr>
            </w:pPr>
          </w:p>
        </w:tc>
        <w:tc>
          <w:tcPr>
            <w:tcW w:w="709" w:type="dxa"/>
            <w:shd w:val="clear" w:color="auto" w:fill="C6EFCE"/>
          </w:tcPr>
          <w:p w14:paraId="1AA7BE86" w14:textId="77777777" w:rsidR="006578ED" w:rsidRDefault="006578ED">
            <w:pPr>
              <w:jc w:val="right"/>
              <w:rPr>
                <w:rFonts w:ascii="Times New Roman" w:hAnsi="Times New Roman" w:cs="Times New Roman"/>
                <w:noProof/>
                <w:sz w:val="18"/>
              </w:rPr>
            </w:pPr>
          </w:p>
        </w:tc>
        <w:tc>
          <w:tcPr>
            <w:tcW w:w="567" w:type="dxa"/>
            <w:shd w:val="clear" w:color="auto" w:fill="C6EFCE"/>
          </w:tcPr>
          <w:p w14:paraId="3044D533" w14:textId="4A00A91A" w:rsidR="006578ED" w:rsidRDefault="00EC188C">
            <w:pPr>
              <w:pStyle w:val="P68B1DB1-Normal13"/>
              <w:jc w:val="center"/>
              <w:rPr>
                <w:rFonts w:cs="Times New Roman"/>
                <w:noProof/>
              </w:rPr>
            </w:pPr>
            <w:r>
              <w:rPr>
                <w:noProof/>
              </w:rPr>
              <w:t>KW. 4</w:t>
            </w:r>
          </w:p>
        </w:tc>
        <w:tc>
          <w:tcPr>
            <w:tcW w:w="822" w:type="dxa"/>
            <w:shd w:val="clear" w:color="auto" w:fill="C6EFCE"/>
          </w:tcPr>
          <w:p w14:paraId="5BB3DA0C" w14:textId="3C5CEB4A" w:rsidR="006578ED" w:rsidRDefault="00A1618E">
            <w:pPr>
              <w:pStyle w:val="P68B1DB1-Normal13"/>
              <w:jc w:val="center"/>
              <w:rPr>
                <w:rFonts w:cs="Times New Roman"/>
                <w:noProof/>
              </w:rPr>
            </w:pPr>
            <w:r>
              <w:rPr>
                <w:noProof/>
              </w:rPr>
              <w:t>2024</w:t>
            </w:r>
          </w:p>
        </w:tc>
        <w:tc>
          <w:tcPr>
            <w:tcW w:w="3998" w:type="dxa"/>
            <w:shd w:val="clear" w:color="auto" w:fill="C6EFCE"/>
          </w:tcPr>
          <w:p w14:paraId="1DC0D401" w14:textId="39D7B6AD" w:rsidR="006578ED" w:rsidRDefault="00A1618E">
            <w:pPr>
              <w:pStyle w:val="P68B1DB1-Normal13"/>
              <w:rPr>
                <w:rFonts w:cs="Times New Roman"/>
                <w:noProof/>
              </w:rPr>
            </w:pPr>
            <w:r>
              <w:rPr>
                <w:noProof/>
              </w:rPr>
              <w:t>Wejście w życie ustawy o prawie do obrony w celu rozwinięcia i wzmocnienia podstawowego prawa do rzetelnego procesu sądowego.</w:t>
            </w:r>
          </w:p>
        </w:tc>
      </w:tr>
      <w:tr w:rsidR="006578ED" w14:paraId="4B2DCC21" w14:textId="77777777">
        <w:trPr>
          <w:trHeight w:val="309"/>
        </w:trPr>
        <w:tc>
          <w:tcPr>
            <w:tcW w:w="1223" w:type="dxa"/>
            <w:shd w:val="clear" w:color="auto" w:fill="C6EFCE"/>
          </w:tcPr>
          <w:p w14:paraId="2C3B7B1E" w14:textId="77777777" w:rsidR="006578ED" w:rsidRDefault="00A1618E">
            <w:pPr>
              <w:pStyle w:val="P68B1DB1-Normal13"/>
              <w:jc w:val="center"/>
              <w:rPr>
                <w:rFonts w:cs="Times New Roman"/>
                <w:noProof/>
              </w:rPr>
            </w:pPr>
            <w:r>
              <w:rPr>
                <w:noProof/>
              </w:rPr>
              <w:t>153</w:t>
            </w:r>
          </w:p>
        </w:tc>
        <w:tc>
          <w:tcPr>
            <w:tcW w:w="1448" w:type="dxa"/>
            <w:shd w:val="clear" w:color="auto" w:fill="C6EFCE"/>
          </w:tcPr>
          <w:p w14:paraId="00EEE9B2" w14:textId="77777777" w:rsidR="006578ED" w:rsidRDefault="00A1618E">
            <w:pPr>
              <w:pStyle w:val="P68B1DB1-Normal13"/>
              <w:jc w:val="center"/>
              <w:rPr>
                <w:rFonts w:cs="Times New Roman"/>
                <w:noProof/>
              </w:rPr>
            </w:pPr>
            <w:r>
              <w:rPr>
                <w:noProof/>
              </w:rPr>
              <w:t>C11.R3</w:t>
            </w:r>
          </w:p>
        </w:tc>
        <w:tc>
          <w:tcPr>
            <w:tcW w:w="966" w:type="dxa"/>
            <w:shd w:val="clear" w:color="auto" w:fill="C6EFCE"/>
          </w:tcPr>
          <w:p w14:paraId="68880331" w14:textId="1CD448C6" w:rsidR="006578ED" w:rsidRDefault="00AF6B91">
            <w:pPr>
              <w:pStyle w:val="P68B1DB1-Normal13"/>
              <w:jc w:val="center"/>
              <w:rPr>
                <w:rFonts w:cs="Times New Roman"/>
                <w:noProof/>
              </w:rPr>
            </w:pPr>
            <w:r>
              <w:rPr>
                <w:noProof/>
              </w:rPr>
              <w:t>Kamień milowy</w:t>
            </w:r>
          </w:p>
        </w:tc>
        <w:tc>
          <w:tcPr>
            <w:tcW w:w="1631" w:type="dxa"/>
            <w:shd w:val="clear" w:color="auto" w:fill="C6EFCE"/>
          </w:tcPr>
          <w:p w14:paraId="44EF4B1D" w14:textId="5F138BD7" w:rsidR="006578ED" w:rsidRDefault="00A1618E">
            <w:pPr>
              <w:pStyle w:val="P68B1DB1-Normal13"/>
              <w:rPr>
                <w:rFonts w:cs="Times New Roman"/>
                <w:noProof/>
              </w:rPr>
            </w:pPr>
            <w:r>
              <w:rPr>
                <w:noProof/>
              </w:rPr>
              <w:t>Wejście w życie dekretu królewskiego 937/2020 w sprawie regulacji Caja General de Depósitos</w:t>
            </w:r>
          </w:p>
        </w:tc>
        <w:tc>
          <w:tcPr>
            <w:tcW w:w="1442" w:type="dxa"/>
            <w:shd w:val="clear" w:color="auto" w:fill="C6EFCE"/>
          </w:tcPr>
          <w:p w14:paraId="2B217473" w14:textId="489E6E87" w:rsidR="006578ED" w:rsidRDefault="00A1618E">
            <w:pPr>
              <w:pStyle w:val="P68B1DB1-Normal13"/>
              <w:jc w:val="center"/>
              <w:rPr>
                <w:rFonts w:cs="Times New Roman"/>
                <w:noProof/>
              </w:rPr>
            </w:pPr>
            <w:r>
              <w:rPr>
                <w:noProof/>
              </w:rPr>
              <w:t>Przepis w dekrecie wskazujący na wejście w życie dekretu</w:t>
            </w:r>
          </w:p>
        </w:tc>
        <w:tc>
          <w:tcPr>
            <w:tcW w:w="1082" w:type="dxa"/>
            <w:shd w:val="clear" w:color="auto" w:fill="C6EFCE"/>
          </w:tcPr>
          <w:p w14:paraId="3D7D1C3F"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03B166C5"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47C04ACA"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3701FC34" w14:textId="187DD0F7" w:rsidR="006578ED" w:rsidRDefault="00EC188C">
            <w:pPr>
              <w:pStyle w:val="P68B1DB1-Normal13"/>
              <w:jc w:val="center"/>
              <w:rPr>
                <w:rFonts w:cs="Times New Roman"/>
                <w:noProof/>
              </w:rPr>
            </w:pPr>
            <w:r>
              <w:rPr>
                <w:noProof/>
              </w:rPr>
              <w:t>KW. 4</w:t>
            </w:r>
          </w:p>
        </w:tc>
        <w:tc>
          <w:tcPr>
            <w:tcW w:w="822" w:type="dxa"/>
            <w:shd w:val="clear" w:color="auto" w:fill="C6EFCE"/>
          </w:tcPr>
          <w:p w14:paraId="6235220B" w14:textId="77777777" w:rsidR="006578ED" w:rsidRDefault="00A1618E">
            <w:pPr>
              <w:pStyle w:val="P68B1DB1-Normal13"/>
              <w:jc w:val="center"/>
              <w:rPr>
                <w:rFonts w:cs="Times New Roman"/>
                <w:noProof/>
              </w:rPr>
            </w:pPr>
            <w:r>
              <w:rPr>
                <w:noProof/>
              </w:rPr>
              <w:t>2020</w:t>
            </w:r>
          </w:p>
        </w:tc>
        <w:tc>
          <w:tcPr>
            <w:tcW w:w="3998" w:type="dxa"/>
            <w:shd w:val="clear" w:color="auto" w:fill="C6EFCE"/>
          </w:tcPr>
          <w:p w14:paraId="2B67E0F4" w14:textId="3D124A03" w:rsidR="006578ED" w:rsidRDefault="00A1618E">
            <w:pPr>
              <w:pStyle w:val="P68B1DB1-Normal13"/>
              <w:rPr>
                <w:rFonts w:cs="Times New Roman"/>
                <w:noProof/>
              </w:rPr>
            </w:pPr>
            <w:r>
              <w:rPr>
                <w:noProof/>
              </w:rPr>
              <w:t xml:space="preserve">Wejście w życie dekretu królewskiego </w:t>
            </w:r>
            <w:r w:rsidRPr="00A1618E">
              <w:rPr>
                <w:noProof/>
                <w:lang w:val="pl-PL"/>
              </w:rPr>
              <w:t>nr 9</w:t>
            </w:r>
            <w:r>
              <w:rPr>
                <w:noProof/>
              </w:rPr>
              <w:t>37/2020 z dnia 27 października w sprawie zatwierdzenia rozporządzenia Caja General de Depósitos w sprawie wdrożenia cyfrowego zarządzania gwarancjami i depozytami złożonymi w Caja, eliminującego dokumentację fizyczną. Dekret królewski aktualizuje procedurę ustanawiania, anulowania i egzekwowania gwarancji i rat pieniężnych zdeponowanych w Caja. Promuje również wdrażanie procedur elektronicznych w Caja poprzez określenie zasad i kanałów przekazywania dokumentów elektronicznych oraz zapewnia niezbędne ramy prawne dla cyfryzacji procedury.</w:t>
            </w:r>
          </w:p>
        </w:tc>
      </w:tr>
      <w:tr w:rsidR="006578ED" w14:paraId="5134B0F4" w14:textId="77777777">
        <w:trPr>
          <w:trHeight w:val="309"/>
        </w:trPr>
        <w:tc>
          <w:tcPr>
            <w:tcW w:w="1223" w:type="dxa"/>
            <w:shd w:val="clear" w:color="auto" w:fill="C6EFCE"/>
          </w:tcPr>
          <w:p w14:paraId="36FCDF83" w14:textId="77777777" w:rsidR="006578ED" w:rsidRDefault="00A1618E">
            <w:pPr>
              <w:pStyle w:val="P68B1DB1-Normal13"/>
              <w:jc w:val="center"/>
              <w:rPr>
                <w:rFonts w:cs="Times New Roman"/>
                <w:noProof/>
              </w:rPr>
            </w:pPr>
            <w:r>
              <w:rPr>
                <w:noProof/>
              </w:rPr>
              <w:t>154</w:t>
            </w:r>
          </w:p>
        </w:tc>
        <w:tc>
          <w:tcPr>
            <w:tcW w:w="1448" w:type="dxa"/>
            <w:shd w:val="clear" w:color="auto" w:fill="C6EFCE"/>
          </w:tcPr>
          <w:p w14:paraId="1E17700C" w14:textId="77777777" w:rsidR="006578ED" w:rsidRDefault="00A1618E">
            <w:pPr>
              <w:pStyle w:val="P68B1DB1-Normal13"/>
              <w:jc w:val="center"/>
              <w:rPr>
                <w:rFonts w:cs="Times New Roman"/>
                <w:noProof/>
              </w:rPr>
            </w:pPr>
            <w:r>
              <w:rPr>
                <w:noProof/>
              </w:rPr>
              <w:t>C11.R3</w:t>
            </w:r>
          </w:p>
        </w:tc>
        <w:tc>
          <w:tcPr>
            <w:tcW w:w="966" w:type="dxa"/>
            <w:shd w:val="clear" w:color="auto" w:fill="C6EFCE"/>
          </w:tcPr>
          <w:p w14:paraId="04322C78" w14:textId="5A3B3240" w:rsidR="006578ED" w:rsidRDefault="00AF6B91">
            <w:pPr>
              <w:pStyle w:val="P68B1DB1-Normal13"/>
              <w:jc w:val="center"/>
              <w:rPr>
                <w:rFonts w:cs="Times New Roman"/>
                <w:noProof/>
              </w:rPr>
            </w:pPr>
            <w:r>
              <w:rPr>
                <w:noProof/>
              </w:rPr>
              <w:t>Kamień milowy</w:t>
            </w:r>
          </w:p>
        </w:tc>
        <w:tc>
          <w:tcPr>
            <w:tcW w:w="1631" w:type="dxa"/>
            <w:shd w:val="clear" w:color="auto" w:fill="C6EFCE"/>
          </w:tcPr>
          <w:p w14:paraId="13E09C3D" w14:textId="68EE44D9" w:rsidR="006578ED" w:rsidRDefault="00A1618E">
            <w:pPr>
              <w:pStyle w:val="P68B1DB1-Normal13"/>
              <w:rPr>
                <w:rFonts w:cs="Times New Roman"/>
                <w:noProof/>
              </w:rPr>
            </w:pPr>
            <w:r>
              <w:rPr>
                <w:noProof/>
              </w:rPr>
              <w:t>Wejście w życie dekretu królewskiego zatwierdzającego rozporządzenie wykonawcze do ustawy 22/2015 z dnia 20 lipca 20</w:t>
            </w:r>
            <w:r w:rsidRPr="00A1618E">
              <w:rPr>
                <w:noProof/>
                <w:lang w:val="pl-PL"/>
              </w:rPr>
              <w:t>15 r.</w:t>
            </w:r>
            <w:r>
              <w:rPr>
                <w:noProof/>
              </w:rPr>
              <w:t xml:space="preserve"> w sprawie kontroli rachunków</w:t>
            </w:r>
          </w:p>
        </w:tc>
        <w:tc>
          <w:tcPr>
            <w:tcW w:w="1442" w:type="dxa"/>
            <w:shd w:val="clear" w:color="auto" w:fill="C6EFCE"/>
          </w:tcPr>
          <w:p w14:paraId="2AD67CD2" w14:textId="2B1C41A0" w:rsidR="006578ED" w:rsidRDefault="00A1618E">
            <w:pPr>
              <w:pStyle w:val="P68B1DB1-Normal13"/>
              <w:jc w:val="center"/>
              <w:rPr>
                <w:rFonts w:cs="Times New Roman"/>
                <w:noProof/>
              </w:rPr>
            </w:pPr>
            <w:r>
              <w:rPr>
                <w:noProof/>
              </w:rPr>
              <w:t>Przepis dekretu królewskiego wskazujący na wejście w życie dekretu królewskiego</w:t>
            </w:r>
          </w:p>
        </w:tc>
        <w:tc>
          <w:tcPr>
            <w:tcW w:w="1082" w:type="dxa"/>
            <w:shd w:val="clear" w:color="auto" w:fill="C6EFCE"/>
          </w:tcPr>
          <w:p w14:paraId="017F41A9"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0A069ACF"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3A6DA355"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1B1FD8B3" w14:textId="2BF11F0E" w:rsidR="006578ED" w:rsidRDefault="00EC188C">
            <w:pPr>
              <w:pStyle w:val="P68B1DB1-Normal13"/>
              <w:jc w:val="center"/>
              <w:rPr>
                <w:rFonts w:cs="Times New Roman"/>
                <w:noProof/>
              </w:rPr>
            </w:pPr>
            <w:r>
              <w:rPr>
                <w:noProof/>
              </w:rPr>
              <w:t>KW. 1</w:t>
            </w:r>
          </w:p>
        </w:tc>
        <w:tc>
          <w:tcPr>
            <w:tcW w:w="822" w:type="dxa"/>
            <w:shd w:val="clear" w:color="auto" w:fill="C6EFCE"/>
          </w:tcPr>
          <w:p w14:paraId="2FC8FA88" w14:textId="77777777" w:rsidR="006578ED" w:rsidRDefault="00A1618E">
            <w:pPr>
              <w:pStyle w:val="P68B1DB1-Normal13"/>
              <w:jc w:val="center"/>
              <w:rPr>
                <w:rFonts w:cs="Times New Roman"/>
                <w:noProof/>
              </w:rPr>
            </w:pPr>
            <w:r>
              <w:rPr>
                <w:noProof/>
              </w:rPr>
              <w:t>2021</w:t>
            </w:r>
          </w:p>
        </w:tc>
        <w:tc>
          <w:tcPr>
            <w:tcW w:w="3998" w:type="dxa"/>
            <w:shd w:val="clear" w:color="auto" w:fill="C6EFCE"/>
          </w:tcPr>
          <w:p w14:paraId="4C401364" w14:textId="5511A5AA" w:rsidR="006578ED" w:rsidRDefault="00A1618E">
            <w:pPr>
              <w:pStyle w:val="P68B1DB1-Normal13"/>
              <w:rPr>
                <w:rFonts w:cs="Times New Roman"/>
                <w:noProof/>
              </w:rPr>
            </w:pPr>
            <w:r>
              <w:rPr>
                <w:noProof/>
              </w:rPr>
              <w:t>Wejście w życie dekretu królewskiego zatwierdzającego rozporządzenie wykonawcze do ustawy 22/2015 z dnia 20 lipca 20</w:t>
            </w:r>
            <w:r w:rsidRPr="00A1618E">
              <w:rPr>
                <w:noProof/>
                <w:lang w:val="pl-PL"/>
              </w:rPr>
              <w:t>15 r.</w:t>
            </w:r>
            <w:r>
              <w:rPr>
                <w:noProof/>
              </w:rPr>
              <w:t xml:space="preserve"> w sprawie badania sprawozdań finansowych. Celem tej reformy jest zapewnienie ram prawnych działalności audytowej z większą pewnością prawną, tak aby osiągnąć odpowiednią jakość czynności audytowych. Audytorom, firmom audytorskim i wszystkim podmiotom, których dotyczy niniejsze rozporządzenie, zapewnia się zatem większą gwarancję i bezpieczeństwo przy interpretacji i stosowaniu przepisów zawartych w ustawie o badaniu sprawozdań finansowych, co jednocześnie skutkuje lepszym przeprowadzaniem audytów oraz wypełnianiem obowiązków wynikających z przepisów.</w:t>
            </w:r>
          </w:p>
        </w:tc>
      </w:tr>
      <w:tr w:rsidR="006578ED" w14:paraId="130E21AF" w14:textId="77777777">
        <w:trPr>
          <w:trHeight w:val="309"/>
        </w:trPr>
        <w:tc>
          <w:tcPr>
            <w:tcW w:w="1223" w:type="dxa"/>
            <w:shd w:val="clear" w:color="auto" w:fill="C6EFCE"/>
          </w:tcPr>
          <w:p w14:paraId="36E3C197" w14:textId="0105E20B" w:rsidR="006578ED" w:rsidRDefault="00A1618E">
            <w:pPr>
              <w:pStyle w:val="P68B1DB1-Normal13"/>
              <w:jc w:val="center"/>
              <w:rPr>
                <w:rFonts w:cs="Times New Roman"/>
                <w:noProof/>
              </w:rPr>
            </w:pPr>
            <w:r>
              <w:rPr>
                <w:noProof/>
              </w:rPr>
              <w:t>437</w:t>
            </w:r>
          </w:p>
        </w:tc>
        <w:tc>
          <w:tcPr>
            <w:tcW w:w="1448" w:type="dxa"/>
            <w:shd w:val="clear" w:color="auto" w:fill="C6EFCE"/>
          </w:tcPr>
          <w:p w14:paraId="5A867F31" w14:textId="59BD8082" w:rsidR="006578ED" w:rsidRDefault="00A1618E">
            <w:pPr>
              <w:pStyle w:val="P68B1DB1-Normal13"/>
              <w:jc w:val="center"/>
              <w:rPr>
                <w:rFonts w:cs="Times New Roman"/>
                <w:noProof/>
              </w:rPr>
            </w:pPr>
            <w:r>
              <w:rPr>
                <w:noProof/>
              </w:rPr>
              <w:t>C11.R3</w:t>
            </w:r>
          </w:p>
        </w:tc>
        <w:tc>
          <w:tcPr>
            <w:tcW w:w="966" w:type="dxa"/>
            <w:shd w:val="clear" w:color="auto" w:fill="C6EFCE"/>
          </w:tcPr>
          <w:p w14:paraId="74CA639F" w14:textId="22C3231F" w:rsidR="006578ED" w:rsidRDefault="00AF6B91">
            <w:pPr>
              <w:pStyle w:val="P68B1DB1-Normal13"/>
              <w:jc w:val="center"/>
              <w:rPr>
                <w:rFonts w:cs="Times New Roman"/>
                <w:noProof/>
              </w:rPr>
            </w:pPr>
            <w:r>
              <w:rPr>
                <w:noProof/>
              </w:rPr>
              <w:t>Kamień milowy</w:t>
            </w:r>
          </w:p>
        </w:tc>
        <w:tc>
          <w:tcPr>
            <w:tcW w:w="1631" w:type="dxa"/>
            <w:shd w:val="clear" w:color="auto" w:fill="C6EFCE"/>
          </w:tcPr>
          <w:p w14:paraId="135CCF63" w14:textId="21F79052" w:rsidR="006578ED" w:rsidRDefault="00A1618E">
            <w:pPr>
              <w:pStyle w:val="P68B1DB1-Normal13"/>
              <w:rPr>
                <w:rFonts w:cs="Times New Roman"/>
                <w:noProof/>
              </w:rPr>
            </w:pPr>
            <w:r>
              <w:rPr>
                <w:noProof/>
              </w:rPr>
              <w:t>Publikacja dwuletniego sprawozdania na temat ryzyka związanego ze zmianą klimatu dla systemu finansowego oraz utworzenie Rady ds. Zrównoważonego Finansowania</w:t>
            </w:r>
          </w:p>
        </w:tc>
        <w:tc>
          <w:tcPr>
            <w:tcW w:w="1442" w:type="dxa"/>
            <w:shd w:val="clear" w:color="auto" w:fill="C6EFCE"/>
          </w:tcPr>
          <w:p w14:paraId="6A8CCFEB" w14:textId="4F27BE03" w:rsidR="006578ED" w:rsidRDefault="00A1618E">
            <w:pPr>
              <w:pStyle w:val="P68B1DB1-Normal13"/>
              <w:jc w:val="center"/>
              <w:rPr>
                <w:rFonts w:cs="Times New Roman"/>
                <w:noProof/>
              </w:rPr>
            </w:pPr>
            <w:r>
              <w:rPr>
                <w:noProof/>
              </w:rPr>
              <w:t>Publikacja sprawozdania i planu działania Rady</w:t>
            </w:r>
          </w:p>
        </w:tc>
        <w:tc>
          <w:tcPr>
            <w:tcW w:w="1082" w:type="dxa"/>
            <w:shd w:val="clear" w:color="auto" w:fill="C6EFCE"/>
          </w:tcPr>
          <w:p w14:paraId="37116B19" w14:textId="77777777" w:rsidR="006578ED" w:rsidRDefault="006578ED">
            <w:pPr>
              <w:jc w:val="right"/>
              <w:rPr>
                <w:rFonts w:ascii="Times New Roman" w:hAnsi="Times New Roman" w:cs="Times New Roman"/>
                <w:noProof/>
                <w:sz w:val="18"/>
              </w:rPr>
            </w:pPr>
          </w:p>
        </w:tc>
        <w:tc>
          <w:tcPr>
            <w:tcW w:w="708" w:type="dxa"/>
            <w:shd w:val="clear" w:color="auto" w:fill="C6EFCE"/>
          </w:tcPr>
          <w:p w14:paraId="32467A2C" w14:textId="77777777" w:rsidR="006578ED" w:rsidRDefault="006578ED">
            <w:pPr>
              <w:jc w:val="right"/>
              <w:rPr>
                <w:rFonts w:ascii="Times New Roman" w:hAnsi="Times New Roman" w:cs="Times New Roman"/>
                <w:noProof/>
                <w:sz w:val="18"/>
              </w:rPr>
            </w:pPr>
          </w:p>
        </w:tc>
        <w:tc>
          <w:tcPr>
            <w:tcW w:w="709" w:type="dxa"/>
            <w:shd w:val="clear" w:color="auto" w:fill="C6EFCE"/>
          </w:tcPr>
          <w:p w14:paraId="54C9A687" w14:textId="77777777" w:rsidR="006578ED" w:rsidRDefault="006578ED">
            <w:pPr>
              <w:jc w:val="right"/>
              <w:rPr>
                <w:rFonts w:ascii="Times New Roman" w:hAnsi="Times New Roman" w:cs="Times New Roman"/>
                <w:noProof/>
                <w:sz w:val="18"/>
              </w:rPr>
            </w:pPr>
          </w:p>
        </w:tc>
        <w:tc>
          <w:tcPr>
            <w:tcW w:w="567" w:type="dxa"/>
            <w:shd w:val="clear" w:color="auto" w:fill="C6EFCE"/>
          </w:tcPr>
          <w:p w14:paraId="570659E4" w14:textId="4AA50EF4" w:rsidR="006578ED" w:rsidRDefault="00EC188C">
            <w:pPr>
              <w:pStyle w:val="P68B1DB1-Normal13"/>
              <w:jc w:val="center"/>
              <w:rPr>
                <w:rFonts w:cs="Times New Roman"/>
                <w:noProof/>
              </w:rPr>
            </w:pPr>
            <w:r>
              <w:rPr>
                <w:noProof/>
              </w:rPr>
              <w:t>KW. 4</w:t>
            </w:r>
          </w:p>
        </w:tc>
        <w:tc>
          <w:tcPr>
            <w:tcW w:w="822" w:type="dxa"/>
            <w:shd w:val="clear" w:color="auto" w:fill="C6EFCE"/>
          </w:tcPr>
          <w:p w14:paraId="29B3594B" w14:textId="75E820C4" w:rsidR="006578ED" w:rsidRDefault="00A1618E">
            <w:pPr>
              <w:pStyle w:val="P68B1DB1-Normal13"/>
              <w:jc w:val="center"/>
              <w:rPr>
                <w:rFonts w:cs="Times New Roman"/>
                <w:noProof/>
              </w:rPr>
            </w:pPr>
            <w:r>
              <w:rPr>
                <w:noProof/>
              </w:rPr>
              <w:t>2023</w:t>
            </w:r>
          </w:p>
        </w:tc>
        <w:tc>
          <w:tcPr>
            <w:tcW w:w="3998" w:type="dxa"/>
            <w:shd w:val="clear" w:color="auto" w:fill="C6EFCE"/>
          </w:tcPr>
          <w:p w14:paraId="60756770" w14:textId="6A8DD9F6" w:rsidR="006578ED" w:rsidRDefault="00A1618E">
            <w:pPr>
              <w:pStyle w:val="P68B1DB1-Normal13"/>
              <w:rPr>
                <w:rFonts w:cs="Times New Roman"/>
                <w:noProof/>
              </w:rPr>
            </w:pPr>
            <w:r>
              <w:rPr>
                <w:noProof/>
              </w:rPr>
              <w:t>Władze publikują zieloną księgę na rzecz promowania zrównoważonego finansowania. Ponadto dopełnia się dwa następujące środki: publikacja na stronie internetowej Rady Stabilności Finansowej (AMCESFI) pierwszego wydania dwuletniego sprawozdania na temat zagrożeń związanych ze zmianą klimatu dla systemu finansowego, zgodnie z </w:t>
            </w:r>
            <w:r w:rsidRPr="00A1618E">
              <w:rPr>
                <w:noProof/>
                <w:lang w:val="pl-PL"/>
              </w:rPr>
              <w:t>art. 3</w:t>
            </w:r>
            <w:r>
              <w:rPr>
                <w:noProof/>
              </w:rPr>
              <w:t xml:space="preserve">3 ustawy </w:t>
            </w:r>
            <w:r w:rsidRPr="00A1618E">
              <w:rPr>
                <w:noProof/>
                <w:lang w:val="pl-PL"/>
              </w:rPr>
              <w:t>nr 7</w:t>
            </w:r>
            <w:r>
              <w:rPr>
                <w:noProof/>
              </w:rPr>
              <w:t>/2021 z dnia 20 maja o zmianie klimatu i transformacji energetycznej; oraz (ii) utworzenie i uruchomienie Rady ds. Zrównoważonego Finansowania (w tym przedstawicieli administracji publicznej, organów nadzoru finansowego i sektora prywatnego) jako forum promującego współpracę publiczno-prywatną w dziedzinie zrównoważonego finansowania. Na swoim pierwszym posiedzeniu Rada zatwierdza plan działania wraz z harmonogramem i docelowymi rezultatami.</w:t>
            </w:r>
          </w:p>
        </w:tc>
      </w:tr>
      <w:tr w:rsidR="006578ED" w14:paraId="57839DEC" w14:textId="77777777">
        <w:trPr>
          <w:trHeight w:val="309"/>
        </w:trPr>
        <w:tc>
          <w:tcPr>
            <w:tcW w:w="1223" w:type="dxa"/>
            <w:shd w:val="clear" w:color="auto" w:fill="C6EFCE"/>
          </w:tcPr>
          <w:p w14:paraId="21434385" w14:textId="65ADA631" w:rsidR="006578ED" w:rsidRDefault="00A1618E">
            <w:pPr>
              <w:pStyle w:val="P68B1DB1-Normal13"/>
              <w:jc w:val="center"/>
              <w:rPr>
                <w:rFonts w:cs="Times New Roman"/>
                <w:noProof/>
              </w:rPr>
            </w:pPr>
            <w:r>
              <w:rPr>
                <w:noProof/>
              </w:rPr>
              <w:t>436</w:t>
            </w:r>
          </w:p>
        </w:tc>
        <w:tc>
          <w:tcPr>
            <w:tcW w:w="1448" w:type="dxa"/>
            <w:shd w:val="clear" w:color="auto" w:fill="C6EFCE"/>
          </w:tcPr>
          <w:p w14:paraId="2C8202D6" w14:textId="51CD83AF" w:rsidR="006578ED" w:rsidRDefault="00A1618E">
            <w:pPr>
              <w:pStyle w:val="P68B1DB1-Normal13"/>
              <w:jc w:val="center"/>
              <w:rPr>
                <w:rFonts w:cs="Times New Roman"/>
                <w:noProof/>
              </w:rPr>
            </w:pPr>
            <w:r>
              <w:rPr>
                <w:noProof/>
              </w:rPr>
              <w:t>C11.R3</w:t>
            </w:r>
          </w:p>
        </w:tc>
        <w:tc>
          <w:tcPr>
            <w:tcW w:w="966" w:type="dxa"/>
            <w:shd w:val="clear" w:color="auto" w:fill="C6EFCE"/>
          </w:tcPr>
          <w:p w14:paraId="12B38417" w14:textId="0108C3FE" w:rsidR="006578ED" w:rsidRDefault="00AF6B91">
            <w:pPr>
              <w:pStyle w:val="P68B1DB1-Normal13"/>
              <w:jc w:val="center"/>
              <w:rPr>
                <w:rFonts w:cs="Times New Roman"/>
                <w:noProof/>
              </w:rPr>
            </w:pPr>
            <w:r>
              <w:rPr>
                <w:noProof/>
              </w:rPr>
              <w:t>Kamień milowy</w:t>
            </w:r>
          </w:p>
        </w:tc>
        <w:tc>
          <w:tcPr>
            <w:tcW w:w="1631" w:type="dxa"/>
            <w:shd w:val="clear" w:color="auto" w:fill="C6EFCE"/>
          </w:tcPr>
          <w:p w14:paraId="0BDF309D" w14:textId="2CC748AE" w:rsidR="006578ED" w:rsidRDefault="00A1618E">
            <w:pPr>
              <w:pStyle w:val="P68B1DB1-Normal13"/>
              <w:rPr>
                <w:rFonts w:cs="Times New Roman"/>
                <w:noProof/>
              </w:rPr>
            </w:pPr>
            <w:r>
              <w:rPr>
                <w:noProof/>
              </w:rPr>
              <w:t>Wejście w życie ustawy o usługach dla klientów oraz ustawy ustanawiającej Urząd Ochrony Klientów Finansowych</w:t>
            </w:r>
          </w:p>
        </w:tc>
        <w:tc>
          <w:tcPr>
            <w:tcW w:w="1442" w:type="dxa"/>
            <w:shd w:val="clear" w:color="auto" w:fill="C6EFCE"/>
          </w:tcPr>
          <w:p w14:paraId="0C58AABD" w14:textId="100555AC" w:rsidR="006578ED" w:rsidRDefault="00A1618E">
            <w:pPr>
              <w:pStyle w:val="P68B1DB1-Normal13"/>
              <w:jc w:val="center"/>
              <w:rPr>
                <w:rFonts w:cs="Times New Roman"/>
                <w:noProof/>
              </w:rPr>
            </w:pPr>
            <w:r>
              <w:rPr>
                <w:noProof/>
              </w:rPr>
              <w:t>Przepis w prawie(-ach) wskazujący na wejście w życie prawa(-ów)</w:t>
            </w:r>
          </w:p>
        </w:tc>
        <w:tc>
          <w:tcPr>
            <w:tcW w:w="1082" w:type="dxa"/>
            <w:shd w:val="clear" w:color="auto" w:fill="C6EFCE"/>
          </w:tcPr>
          <w:p w14:paraId="409AD4E0" w14:textId="77777777" w:rsidR="006578ED" w:rsidRDefault="006578ED">
            <w:pPr>
              <w:jc w:val="right"/>
              <w:rPr>
                <w:rFonts w:ascii="Times New Roman" w:hAnsi="Times New Roman" w:cs="Times New Roman"/>
                <w:noProof/>
                <w:sz w:val="18"/>
              </w:rPr>
            </w:pPr>
          </w:p>
        </w:tc>
        <w:tc>
          <w:tcPr>
            <w:tcW w:w="708" w:type="dxa"/>
            <w:shd w:val="clear" w:color="auto" w:fill="C6EFCE"/>
          </w:tcPr>
          <w:p w14:paraId="0EE56268" w14:textId="77777777" w:rsidR="006578ED" w:rsidRDefault="006578ED">
            <w:pPr>
              <w:jc w:val="right"/>
              <w:rPr>
                <w:rFonts w:ascii="Times New Roman" w:hAnsi="Times New Roman" w:cs="Times New Roman"/>
                <w:noProof/>
                <w:sz w:val="18"/>
              </w:rPr>
            </w:pPr>
          </w:p>
        </w:tc>
        <w:tc>
          <w:tcPr>
            <w:tcW w:w="709" w:type="dxa"/>
            <w:shd w:val="clear" w:color="auto" w:fill="C6EFCE"/>
          </w:tcPr>
          <w:p w14:paraId="10FCD8C5" w14:textId="77777777" w:rsidR="006578ED" w:rsidRDefault="006578ED">
            <w:pPr>
              <w:jc w:val="right"/>
              <w:rPr>
                <w:rFonts w:ascii="Times New Roman" w:hAnsi="Times New Roman" w:cs="Times New Roman"/>
                <w:noProof/>
                <w:sz w:val="18"/>
              </w:rPr>
            </w:pPr>
          </w:p>
        </w:tc>
        <w:tc>
          <w:tcPr>
            <w:tcW w:w="567" w:type="dxa"/>
            <w:shd w:val="clear" w:color="auto" w:fill="C6EFCE"/>
          </w:tcPr>
          <w:p w14:paraId="4F14BEC1" w14:textId="3B2CDB50" w:rsidR="006578ED" w:rsidRDefault="00EC188C">
            <w:pPr>
              <w:pStyle w:val="P68B1DB1-Normal13"/>
              <w:jc w:val="center"/>
              <w:rPr>
                <w:rFonts w:cs="Times New Roman"/>
                <w:noProof/>
              </w:rPr>
            </w:pPr>
            <w:r>
              <w:rPr>
                <w:noProof/>
              </w:rPr>
              <w:t>KW. 4</w:t>
            </w:r>
          </w:p>
        </w:tc>
        <w:tc>
          <w:tcPr>
            <w:tcW w:w="822" w:type="dxa"/>
            <w:shd w:val="clear" w:color="auto" w:fill="C6EFCE"/>
          </w:tcPr>
          <w:p w14:paraId="69E6CD00" w14:textId="2D676C86" w:rsidR="006578ED" w:rsidRDefault="00A1618E">
            <w:pPr>
              <w:pStyle w:val="P68B1DB1-Normal13"/>
              <w:jc w:val="center"/>
              <w:rPr>
                <w:rFonts w:cs="Times New Roman"/>
                <w:noProof/>
              </w:rPr>
            </w:pPr>
            <w:r>
              <w:rPr>
                <w:noProof/>
              </w:rPr>
              <w:t>2024</w:t>
            </w:r>
          </w:p>
        </w:tc>
        <w:tc>
          <w:tcPr>
            <w:tcW w:w="3998" w:type="dxa"/>
            <w:shd w:val="clear" w:color="auto" w:fill="C6EFCE"/>
          </w:tcPr>
          <w:p w14:paraId="56535F80" w14:textId="78166B03" w:rsidR="006578ED" w:rsidRDefault="00A1618E">
            <w:pPr>
              <w:pStyle w:val="P68B1DB1-Normal13"/>
              <w:rPr>
                <w:rFonts w:cs="Times New Roman"/>
                <w:noProof/>
              </w:rPr>
            </w:pPr>
            <w:r>
              <w:rPr>
                <w:noProof/>
              </w:rPr>
              <w:t>Wejście w życie i) ustawy o usługach dla klientów oraz b) ustawy ustanawiającej urząd ochrony klientów finansowych. Nowa ustawa o usługach dla klientów określa działania gwarantujące konsumentom wykonywanie ich praw w odniesieniu do podpisanych umów oraz ustanawia normy jakości oraz wymogi w zakresie kontroli lub audytu w celu weryfikacji realizacji wyżej wymienionych działań.</w:t>
            </w:r>
          </w:p>
        </w:tc>
      </w:tr>
      <w:tr w:rsidR="006578ED" w14:paraId="5A7D8430" w14:textId="77777777">
        <w:trPr>
          <w:trHeight w:val="309"/>
        </w:trPr>
        <w:tc>
          <w:tcPr>
            <w:tcW w:w="1223" w:type="dxa"/>
            <w:shd w:val="clear" w:color="auto" w:fill="C6EFCE"/>
          </w:tcPr>
          <w:p w14:paraId="6D75615F" w14:textId="77777777" w:rsidR="006578ED" w:rsidRDefault="00A1618E">
            <w:pPr>
              <w:pStyle w:val="P68B1DB1-Normal13"/>
              <w:jc w:val="center"/>
              <w:rPr>
                <w:rFonts w:cs="Times New Roman"/>
                <w:noProof/>
              </w:rPr>
            </w:pPr>
            <w:r>
              <w:rPr>
                <w:noProof/>
              </w:rPr>
              <w:t>155</w:t>
            </w:r>
          </w:p>
        </w:tc>
        <w:tc>
          <w:tcPr>
            <w:tcW w:w="1448" w:type="dxa"/>
            <w:shd w:val="clear" w:color="auto" w:fill="C6EFCE"/>
          </w:tcPr>
          <w:p w14:paraId="4B256675" w14:textId="77777777" w:rsidR="006578ED" w:rsidRDefault="00A1618E">
            <w:pPr>
              <w:pStyle w:val="P68B1DB1-Normal13"/>
              <w:jc w:val="center"/>
              <w:rPr>
                <w:rFonts w:cs="Times New Roman"/>
                <w:noProof/>
              </w:rPr>
            </w:pPr>
            <w:r>
              <w:rPr>
                <w:noProof/>
              </w:rPr>
              <w:t>C11.R4</w:t>
            </w:r>
          </w:p>
        </w:tc>
        <w:tc>
          <w:tcPr>
            <w:tcW w:w="966" w:type="dxa"/>
            <w:shd w:val="clear" w:color="auto" w:fill="C6EFCE"/>
          </w:tcPr>
          <w:p w14:paraId="74D87489" w14:textId="4C5B92CA" w:rsidR="006578ED" w:rsidRDefault="00AF6B91">
            <w:pPr>
              <w:pStyle w:val="P68B1DB1-Normal13"/>
              <w:jc w:val="center"/>
              <w:rPr>
                <w:rFonts w:cs="Times New Roman"/>
                <w:noProof/>
              </w:rPr>
            </w:pPr>
            <w:r>
              <w:rPr>
                <w:noProof/>
              </w:rPr>
              <w:t>Kamień milowy</w:t>
            </w:r>
          </w:p>
        </w:tc>
        <w:tc>
          <w:tcPr>
            <w:tcW w:w="1631" w:type="dxa"/>
            <w:shd w:val="clear" w:color="auto" w:fill="C6EFCE"/>
          </w:tcPr>
          <w:p w14:paraId="2EFBAA66" w14:textId="4FAC73DE" w:rsidR="006578ED" w:rsidRDefault="00A1618E">
            <w:pPr>
              <w:pStyle w:val="P68B1DB1-Normal13"/>
              <w:rPr>
                <w:rFonts w:cs="Times New Roman"/>
                <w:noProof/>
              </w:rPr>
            </w:pPr>
            <w:r>
              <w:rPr>
                <w:noProof/>
              </w:rPr>
              <w:t xml:space="preserve">Wejście w życie rozporządzenia ministerialnego ustanawiającego Krajowy Urząd Oceny </w:t>
            </w:r>
          </w:p>
        </w:tc>
        <w:tc>
          <w:tcPr>
            <w:tcW w:w="1442" w:type="dxa"/>
            <w:shd w:val="clear" w:color="auto" w:fill="C6EFCE"/>
          </w:tcPr>
          <w:p w14:paraId="07C4E400" w14:textId="65606D44" w:rsidR="006578ED" w:rsidRDefault="00A1618E">
            <w:pPr>
              <w:pStyle w:val="P68B1DB1-Normal13"/>
              <w:jc w:val="center"/>
              <w:rPr>
                <w:rFonts w:cs="Times New Roman"/>
                <w:noProof/>
              </w:rPr>
            </w:pPr>
            <w:r>
              <w:rPr>
                <w:noProof/>
              </w:rPr>
              <w:t xml:space="preserve">Przepis rozporządzenia ministerialnego wskazujący na wejście w życie zarządzenia </w:t>
            </w:r>
          </w:p>
        </w:tc>
        <w:tc>
          <w:tcPr>
            <w:tcW w:w="1082" w:type="dxa"/>
            <w:shd w:val="clear" w:color="auto" w:fill="C6EFCE"/>
          </w:tcPr>
          <w:p w14:paraId="276B786B"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60F75EFC"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0D03D9A5"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67C1383A" w14:textId="1AB80DEA" w:rsidR="006578ED" w:rsidRDefault="00EC188C">
            <w:pPr>
              <w:pStyle w:val="P68B1DB1-Normal13"/>
              <w:jc w:val="center"/>
              <w:rPr>
                <w:rFonts w:cs="Times New Roman"/>
                <w:noProof/>
              </w:rPr>
            </w:pPr>
            <w:r>
              <w:rPr>
                <w:noProof/>
              </w:rPr>
              <w:t>KW. 4</w:t>
            </w:r>
          </w:p>
        </w:tc>
        <w:tc>
          <w:tcPr>
            <w:tcW w:w="822" w:type="dxa"/>
            <w:shd w:val="clear" w:color="auto" w:fill="C6EFCE"/>
          </w:tcPr>
          <w:p w14:paraId="7A96E621" w14:textId="77777777" w:rsidR="006578ED" w:rsidRDefault="00A1618E">
            <w:pPr>
              <w:pStyle w:val="P68B1DB1-Normal13"/>
              <w:jc w:val="center"/>
              <w:rPr>
                <w:rFonts w:cs="Times New Roman"/>
                <w:noProof/>
              </w:rPr>
            </w:pPr>
            <w:r>
              <w:rPr>
                <w:noProof/>
              </w:rPr>
              <w:t>2021</w:t>
            </w:r>
          </w:p>
        </w:tc>
        <w:tc>
          <w:tcPr>
            <w:tcW w:w="3998" w:type="dxa"/>
            <w:shd w:val="clear" w:color="auto" w:fill="C6EFCE"/>
          </w:tcPr>
          <w:p w14:paraId="0A0770C2" w14:textId="41DB4CEA" w:rsidR="006578ED" w:rsidRDefault="00A1618E">
            <w:pPr>
              <w:pStyle w:val="P68B1DB1-Normal13"/>
              <w:rPr>
                <w:rFonts w:cs="Times New Roman"/>
                <w:noProof/>
              </w:rPr>
            </w:pPr>
            <w:r>
              <w:rPr>
                <w:noProof/>
              </w:rPr>
              <w:t>Wejście w życie rozporządzenia ministerialnego ustanawiającego krajowy urząd oceny (</w:t>
            </w:r>
            <w:r>
              <w:rPr>
                <w:i/>
                <w:noProof/>
              </w:rPr>
              <w:t>Oficina Nacional de Evaluación</w:t>
            </w:r>
            <w:r>
              <w:rPr>
                <w:noProof/>
              </w:rPr>
              <w:t>) w ramach Niezależnego Urzędu Regulacji i Nadzoru Zamówień Publicznych (OIReScon). Zgodnie z </w:t>
            </w:r>
            <w:r w:rsidRPr="00A1618E">
              <w:rPr>
                <w:noProof/>
                <w:lang w:val="pl-PL"/>
              </w:rPr>
              <w:t>art. 3</w:t>
            </w:r>
            <w:r>
              <w:rPr>
                <w:noProof/>
              </w:rPr>
              <w:t>33 ustawy 9/2017 o zamówieniach publicznych Urząd dokonuje oceny stabilności finansowej umów koncesji, jak określono w </w:t>
            </w:r>
            <w:r w:rsidRPr="00A1618E">
              <w:rPr>
                <w:noProof/>
                <w:lang w:val="pl-PL"/>
              </w:rPr>
              <w:t>art. 1</w:t>
            </w:r>
            <w:r>
              <w:rPr>
                <w:noProof/>
              </w:rPr>
              <w:t>4 i 15 ustawy 9/2017 o zamówieniach publicznych. Rozporządzenie ministerialne nadaje Urzędowi uprawnienia i środki umożliwiające mu wykonywanie jego funkcji.</w:t>
            </w:r>
          </w:p>
        </w:tc>
      </w:tr>
      <w:tr w:rsidR="006578ED" w14:paraId="22BF9568" w14:textId="77777777">
        <w:trPr>
          <w:trHeight w:val="309"/>
        </w:trPr>
        <w:tc>
          <w:tcPr>
            <w:tcW w:w="1223" w:type="dxa"/>
            <w:shd w:val="clear" w:color="auto" w:fill="C6EFCE"/>
          </w:tcPr>
          <w:p w14:paraId="1C450ABE" w14:textId="77777777" w:rsidR="006578ED" w:rsidRDefault="00A1618E">
            <w:pPr>
              <w:pStyle w:val="P68B1DB1-Normal13"/>
              <w:jc w:val="center"/>
              <w:rPr>
                <w:rFonts w:cs="Times New Roman"/>
                <w:noProof/>
              </w:rPr>
            </w:pPr>
            <w:r>
              <w:rPr>
                <w:noProof/>
              </w:rPr>
              <w:t>156</w:t>
            </w:r>
          </w:p>
        </w:tc>
        <w:tc>
          <w:tcPr>
            <w:tcW w:w="1448" w:type="dxa"/>
            <w:shd w:val="clear" w:color="auto" w:fill="C6EFCE"/>
          </w:tcPr>
          <w:p w14:paraId="1FB9E4AE" w14:textId="77777777" w:rsidR="006578ED" w:rsidRDefault="00A1618E">
            <w:pPr>
              <w:pStyle w:val="P68B1DB1-Normal13"/>
              <w:jc w:val="center"/>
              <w:rPr>
                <w:rFonts w:cs="Times New Roman"/>
                <w:noProof/>
              </w:rPr>
            </w:pPr>
            <w:r>
              <w:rPr>
                <w:noProof/>
              </w:rPr>
              <w:t>C11.R4</w:t>
            </w:r>
          </w:p>
        </w:tc>
        <w:tc>
          <w:tcPr>
            <w:tcW w:w="966" w:type="dxa"/>
            <w:shd w:val="clear" w:color="auto" w:fill="C6EFCE"/>
          </w:tcPr>
          <w:p w14:paraId="3986AFE4" w14:textId="5FD7E10C" w:rsidR="006578ED" w:rsidRDefault="00AF6B91">
            <w:pPr>
              <w:pStyle w:val="P68B1DB1-Normal13"/>
              <w:jc w:val="center"/>
              <w:rPr>
                <w:rFonts w:cs="Times New Roman"/>
                <w:noProof/>
              </w:rPr>
            </w:pPr>
            <w:r>
              <w:rPr>
                <w:noProof/>
              </w:rPr>
              <w:t>Kamień milowy</w:t>
            </w:r>
          </w:p>
        </w:tc>
        <w:tc>
          <w:tcPr>
            <w:tcW w:w="1631" w:type="dxa"/>
            <w:shd w:val="clear" w:color="auto" w:fill="C6EFCE"/>
          </w:tcPr>
          <w:p w14:paraId="7F169F02" w14:textId="77777777" w:rsidR="006578ED" w:rsidRDefault="00A1618E">
            <w:pPr>
              <w:pStyle w:val="P68B1DB1-Normal13"/>
              <w:rPr>
                <w:rFonts w:cs="Times New Roman"/>
                <w:noProof/>
              </w:rPr>
            </w:pPr>
            <w:r>
              <w:rPr>
                <w:noProof/>
              </w:rPr>
              <w:t>Krajowa strategia zamówień publicznych</w:t>
            </w:r>
          </w:p>
        </w:tc>
        <w:tc>
          <w:tcPr>
            <w:tcW w:w="1442" w:type="dxa"/>
            <w:shd w:val="clear" w:color="auto" w:fill="C6EFCE"/>
          </w:tcPr>
          <w:p w14:paraId="21DF001F" w14:textId="35FB7A7D" w:rsidR="006578ED" w:rsidRDefault="00A1618E">
            <w:pPr>
              <w:pStyle w:val="P68B1DB1-Normal13"/>
              <w:jc w:val="center"/>
              <w:rPr>
                <w:rFonts w:cs="Times New Roman"/>
                <w:noProof/>
              </w:rPr>
            </w:pPr>
            <w:r>
              <w:rPr>
                <w:noProof/>
              </w:rPr>
              <w:t>Przyjęcie przez Niezależne Biuro Regulacji i Nadzoru Zamówień Publicznych Krajowej Strategii Zamówień Publicznych</w:t>
            </w:r>
          </w:p>
        </w:tc>
        <w:tc>
          <w:tcPr>
            <w:tcW w:w="1082" w:type="dxa"/>
            <w:shd w:val="clear" w:color="auto" w:fill="C6EFCE"/>
          </w:tcPr>
          <w:p w14:paraId="03146A6D"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41437DD0"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553E6077"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5507A625" w14:textId="21FA6C3B" w:rsidR="006578ED" w:rsidRDefault="00EC188C">
            <w:pPr>
              <w:pStyle w:val="P68B1DB1-Normal13"/>
              <w:jc w:val="center"/>
              <w:rPr>
                <w:rFonts w:cs="Times New Roman"/>
                <w:noProof/>
              </w:rPr>
            </w:pPr>
            <w:r>
              <w:rPr>
                <w:noProof/>
              </w:rPr>
              <w:t>KW. 4</w:t>
            </w:r>
          </w:p>
        </w:tc>
        <w:tc>
          <w:tcPr>
            <w:tcW w:w="822" w:type="dxa"/>
            <w:shd w:val="clear" w:color="auto" w:fill="C6EFCE"/>
          </w:tcPr>
          <w:p w14:paraId="217DCF61" w14:textId="77777777" w:rsidR="006578ED" w:rsidRDefault="00A1618E">
            <w:pPr>
              <w:pStyle w:val="P68B1DB1-Normal13"/>
              <w:jc w:val="center"/>
              <w:rPr>
                <w:rFonts w:cs="Times New Roman"/>
                <w:noProof/>
              </w:rPr>
            </w:pPr>
            <w:r>
              <w:rPr>
                <w:noProof/>
              </w:rPr>
              <w:t>2022</w:t>
            </w:r>
          </w:p>
        </w:tc>
        <w:tc>
          <w:tcPr>
            <w:tcW w:w="3998" w:type="dxa"/>
            <w:shd w:val="clear" w:color="auto" w:fill="C6EFCE"/>
          </w:tcPr>
          <w:p w14:paraId="72899254" w14:textId="170362AA" w:rsidR="006578ED" w:rsidRDefault="00A1618E">
            <w:pPr>
              <w:pStyle w:val="P68B1DB1-Normal13"/>
              <w:rPr>
                <w:rFonts w:cs="Times New Roman"/>
                <w:noProof/>
              </w:rPr>
            </w:pPr>
            <w:r>
              <w:rPr>
                <w:noProof/>
              </w:rPr>
              <w:t>Zgodnie z wymogami określonymi w </w:t>
            </w:r>
            <w:r w:rsidRPr="00A1618E">
              <w:rPr>
                <w:noProof/>
                <w:lang w:val="pl-PL"/>
              </w:rPr>
              <w:t>art. 3</w:t>
            </w:r>
            <w:r>
              <w:rPr>
                <w:noProof/>
              </w:rPr>
              <w:t xml:space="preserve">34 ustawy 9/2017 krajowa strategia zamówień publicznych ma na celu poprawę efektywności i trwałości zamówień publicznych. Strategia obejmuje następujące elementy: promowanie strategicznych zamówień publicznych; profesjonalizacja; ułatwianie MŚP dostępu do zamówień publicznych; poprawa dostępnych danych; wspieranie efektywności zamówień publicznych; pełna transformacja cyfrowa zamówień publicznych; (VII) zwiększenie pewności prawa; (VIII) poprawa nadzoru i kontroli zamówień publicznych, w tym zapobiegania korupcji, na podstawie mapy zidentyfikowanych zagrożeń. </w:t>
            </w:r>
          </w:p>
        </w:tc>
      </w:tr>
      <w:tr w:rsidR="006578ED" w14:paraId="176C6745" w14:textId="77777777">
        <w:trPr>
          <w:trHeight w:val="309"/>
        </w:trPr>
        <w:tc>
          <w:tcPr>
            <w:tcW w:w="1223" w:type="dxa"/>
            <w:shd w:val="clear" w:color="auto" w:fill="C6EFCE"/>
          </w:tcPr>
          <w:p w14:paraId="2AD3780C" w14:textId="77777777" w:rsidR="006578ED" w:rsidRDefault="00A1618E">
            <w:pPr>
              <w:pStyle w:val="P68B1DB1-Normal13"/>
              <w:jc w:val="center"/>
              <w:rPr>
                <w:rFonts w:cs="Times New Roman"/>
                <w:noProof/>
              </w:rPr>
            </w:pPr>
            <w:r>
              <w:rPr>
                <w:noProof/>
              </w:rPr>
              <w:t>157</w:t>
            </w:r>
          </w:p>
        </w:tc>
        <w:tc>
          <w:tcPr>
            <w:tcW w:w="1448" w:type="dxa"/>
            <w:shd w:val="clear" w:color="auto" w:fill="C6EFCE"/>
          </w:tcPr>
          <w:p w14:paraId="0DB11FDB" w14:textId="77777777" w:rsidR="006578ED" w:rsidRDefault="00A1618E">
            <w:pPr>
              <w:pStyle w:val="P68B1DB1-Normal13"/>
              <w:jc w:val="center"/>
              <w:rPr>
                <w:rFonts w:cs="Times New Roman"/>
                <w:noProof/>
              </w:rPr>
            </w:pPr>
            <w:r>
              <w:rPr>
                <w:noProof/>
              </w:rPr>
              <w:t>C11.R5</w:t>
            </w:r>
          </w:p>
        </w:tc>
        <w:tc>
          <w:tcPr>
            <w:tcW w:w="966" w:type="dxa"/>
            <w:shd w:val="clear" w:color="auto" w:fill="C6EFCE"/>
          </w:tcPr>
          <w:p w14:paraId="5F1FD093" w14:textId="1D6AE468" w:rsidR="006578ED" w:rsidRDefault="00AF6B91">
            <w:pPr>
              <w:pStyle w:val="P68B1DB1-Normal13"/>
              <w:jc w:val="center"/>
              <w:rPr>
                <w:rFonts w:cs="Times New Roman"/>
                <w:noProof/>
              </w:rPr>
            </w:pPr>
            <w:r>
              <w:rPr>
                <w:noProof/>
              </w:rPr>
              <w:t>Kamień milowy</w:t>
            </w:r>
          </w:p>
        </w:tc>
        <w:tc>
          <w:tcPr>
            <w:tcW w:w="1631" w:type="dxa"/>
            <w:shd w:val="clear" w:color="auto" w:fill="C6EFCE"/>
          </w:tcPr>
          <w:p w14:paraId="62918432" w14:textId="1BD09E1E" w:rsidR="006578ED" w:rsidRDefault="00A1618E">
            <w:pPr>
              <w:pStyle w:val="P68B1DB1-Normal13"/>
              <w:rPr>
                <w:rFonts w:cs="Times New Roman"/>
                <w:noProof/>
              </w:rPr>
            </w:pPr>
            <w:r>
              <w:rPr>
                <w:noProof/>
              </w:rPr>
              <w:t>Wejście w życie dekretu królewskiego z mocą ustawy 36/2020 w sprawie wdrożenia planu odbudowy, transformacji i zwiększania odporności</w:t>
            </w:r>
          </w:p>
        </w:tc>
        <w:tc>
          <w:tcPr>
            <w:tcW w:w="1442" w:type="dxa"/>
            <w:shd w:val="clear" w:color="auto" w:fill="C6EFCE"/>
          </w:tcPr>
          <w:p w14:paraId="0389687B" w14:textId="254D6D99" w:rsidR="006578ED" w:rsidRDefault="00A1618E">
            <w:pPr>
              <w:pStyle w:val="P68B1DB1-Normal13"/>
              <w:jc w:val="center"/>
              <w:rPr>
                <w:rFonts w:cs="Times New Roman"/>
                <w:noProof/>
              </w:rPr>
            </w:pPr>
            <w:r>
              <w:rPr>
                <w:noProof/>
              </w:rPr>
              <w:t>Przepis dekretu królewskiego wskazujący na wejście w życie dekretu królewskiego</w:t>
            </w:r>
          </w:p>
        </w:tc>
        <w:tc>
          <w:tcPr>
            <w:tcW w:w="1082" w:type="dxa"/>
            <w:shd w:val="clear" w:color="auto" w:fill="C6EFCE"/>
          </w:tcPr>
          <w:p w14:paraId="4979E2E4"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6402251C"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41568CAC"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305F72BC" w14:textId="485B047F" w:rsidR="006578ED" w:rsidRDefault="00EC188C">
            <w:pPr>
              <w:pStyle w:val="P68B1DB1-Normal13"/>
              <w:jc w:val="center"/>
              <w:rPr>
                <w:rFonts w:cs="Times New Roman"/>
                <w:noProof/>
              </w:rPr>
            </w:pPr>
            <w:r>
              <w:rPr>
                <w:noProof/>
              </w:rPr>
              <w:t>KW. 1</w:t>
            </w:r>
          </w:p>
        </w:tc>
        <w:tc>
          <w:tcPr>
            <w:tcW w:w="822" w:type="dxa"/>
            <w:shd w:val="clear" w:color="auto" w:fill="C6EFCE"/>
          </w:tcPr>
          <w:p w14:paraId="58C15E60" w14:textId="77777777" w:rsidR="006578ED" w:rsidRDefault="00A1618E">
            <w:pPr>
              <w:pStyle w:val="P68B1DB1-Normal13"/>
              <w:jc w:val="center"/>
              <w:rPr>
                <w:rFonts w:cs="Times New Roman"/>
                <w:noProof/>
              </w:rPr>
            </w:pPr>
            <w:r>
              <w:rPr>
                <w:noProof/>
              </w:rPr>
              <w:t>2021</w:t>
            </w:r>
          </w:p>
        </w:tc>
        <w:tc>
          <w:tcPr>
            <w:tcW w:w="3998" w:type="dxa"/>
            <w:shd w:val="clear" w:color="auto" w:fill="C6EFCE"/>
          </w:tcPr>
          <w:p w14:paraId="0D4E7F0A" w14:textId="46C8A31F" w:rsidR="006578ED" w:rsidRDefault="00A1618E">
            <w:pPr>
              <w:pStyle w:val="P68B1DB1-Normal13"/>
              <w:rPr>
                <w:rFonts w:cs="Times New Roman"/>
                <w:noProof/>
              </w:rPr>
            </w:pPr>
            <w:r>
              <w:rPr>
                <w:noProof/>
              </w:rPr>
              <w:t xml:space="preserve">Wejście w życie dekretu królewskiego z mocą ustawy </w:t>
            </w:r>
            <w:r w:rsidRPr="00A1618E">
              <w:rPr>
                <w:noProof/>
                <w:lang w:val="pl-PL"/>
              </w:rPr>
              <w:t>nr 3</w:t>
            </w:r>
            <w:r>
              <w:rPr>
                <w:noProof/>
              </w:rPr>
              <w:t>6/2020 z dnia 30 grudnia zatwierdzającego pilne środki na rzecz modernizacji administracji publicznej i wdrożenia hiszpańskiego planu odbudowy i zwiększania odporności, zapewniającego administracjom publicznym w Hiszpanii środki, w tym instrumenty prawne, na wdrożenie planu odbudowy i zwiększania odporności w odpowiednim czasie i zgodnie z prawem Unii, w tym rozporządzeniem w sprawie RRF. Dekret królewski z mocą ustawy wprowadza reformy regulacyjne, które przyspieszą realizację projektów i umożliwią większą efektywność wydatków publicznych, utrzymując przez cały czas gwarancje i kontrole wymagane przez ramy regulacyjne UE.</w:t>
            </w:r>
          </w:p>
        </w:tc>
      </w:tr>
      <w:tr w:rsidR="006578ED" w14:paraId="1021F9E9" w14:textId="77777777">
        <w:trPr>
          <w:trHeight w:val="309"/>
        </w:trPr>
        <w:tc>
          <w:tcPr>
            <w:tcW w:w="1223" w:type="dxa"/>
            <w:shd w:val="clear" w:color="auto" w:fill="C6EFCE"/>
          </w:tcPr>
          <w:p w14:paraId="34C2843B" w14:textId="77777777" w:rsidR="006578ED" w:rsidRDefault="00A1618E">
            <w:pPr>
              <w:pStyle w:val="P68B1DB1-Normal13"/>
              <w:jc w:val="center"/>
              <w:rPr>
                <w:rFonts w:cs="Times New Roman"/>
                <w:noProof/>
              </w:rPr>
            </w:pPr>
            <w:r>
              <w:rPr>
                <w:noProof/>
              </w:rPr>
              <w:t>158</w:t>
            </w:r>
          </w:p>
        </w:tc>
        <w:tc>
          <w:tcPr>
            <w:tcW w:w="1448" w:type="dxa"/>
            <w:shd w:val="clear" w:color="auto" w:fill="C6EFCE"/>
          </w:tcPr>
          <w:p w14:paraId="25578DD2" w14:textId="77777777" w:rsidR="006578ED" w:rsidRDefault="00A1618E">
            <w:pPr>
              <w:pStyle w:val="P68B1DB1-Normal13"/>
              <w:jc w:val="center"/>
              <w:rPr>
                <w:rFonts w:cs="Times New Roman"/>
                <w:noProof/>
              </w:rPr>
            </w:pPr>
            <w:r>
              <w:rPr>
                <w:noProof/>
              </w:rPr>
              <w:t>C11.R5</w:t>
            </w:r>
          </w:p>
        </w:tc>
        <w:tc>
          <w:tcPr>
            <w:tcW w:w="966" w:type="dxa"/>
            <w:shd w:val="clear" w:color="auto" w:fill="C6EFCE"/>
          </w:tcPr>
          <w:p w14:paraId="2AE88895" w14:textId="4A681120" w:rsidR="006578ED" w:rsidRDefault="00AF6B91">
            <w:pPr>
              <w:pStyle w:val="P68B1DB1-Normal13"/>
              <w:jc w:val="center"/>
              <w:rPr>
                <w:rFonts w:cs="Times New Roman"/>
                <w:noProof/>
              </w:rPr>
            </w:pPr>
            <w:r>
              <w:rPr>
                <w:noProof/>
              </w:rPr>
              <w:t>Kamień milowy</w:t>
            </w:r>
          </w:p>
        </w:tc>
        <w:tc>
          <w:tcPr>
            <w:tcW w:w="1631" w:type="dxa"/>
            <w:shd w:val="clear" w:color="auto" w:fill="C6EFCE"/>
          </w:tcPr>
          <w:p w14:paraId="35CC870F" w14:textId="50DA3D72" w:rsidR="006578ED" w:rsidRDefault="00A1618E">
            <w:pPr>
              <w:pStyle w:val="P68B1DB1-Normal13"/>
              <w:rPr>
                <w:rFonts w:cs="Times New Roman"/>
                <w:noProof/>
              </w:rPr>
            </w:pPr>
            <w:r>
              <w:rPr>
                <w:noProof/>
              </w:rPr>
              <w:t>Utworzenie nowych organów w ramach instytucji rządowych na szczeblu centralnym w celu monitorowania wdrażania, kontroli i audytu planu.</w:t>
            </w:r>
          </w:p>
        </w:tc>
        <w:tc>
          <w:tcPr>
            <w:tcW w:w="1442" w:type="dxa"/>
            <w:shd w:val="clear" w:color="auto" w:fill="C6EFCE"/>
          </w:tcPr>
          <w:p w14:paraId="02661681" w14:textId="77777777" w:rsidR="006578ED" w:rsidRDefault="00A1618E">
            <w:pPr>
              <w:pStyle w:val="P68B1DB1-Normal13"/>
              <w:jc w:val="center"/>
              <w:rPr>
                <w:rFonts w:cs="Times New Roman"/>
                <w:noProof/>
              </w:rPr>
            </w:pPr>
            <w:r>
              <w:rPr>
                <w:noProof/>
              </w:rPr>
              <w:t>Publikacja w Dz.U.</w:t>
            </w:r>
          </w:p>
        </w:tc>
        <w:tc>
          <w:tcPr>
            <w:tcW w:w="1082" w:type="dxa"/>
            <w:shd w:val="clear" w:color="auto" w:fill="C6EFCE"/>
          </w:tcPr>
          <w:p w14:paraId="217A145A" w14:textId="77777777" w:rsidR="006578ED" w:rsidRDefault="00A1618E">
            <w:pPr>
              <w:pStyle w:val="P68B1DB1-Normal13"/>
              <w:jc w:val="right"/>
              <w:rPr>
                <w:rFonts w:cs="Times New Roman"/>
                <w:noProof/>
              </w:rPr>
            </w:pPr>
            <w:r>
              <w:rPr>
                <w:noProof/>
              </w:rPr>
              <w:t> </w:t>
            </w:r>
          </w:p>
        </w:tc>
        <w:tc>
          <w:tcPr>
            <w:tcW w:w="708" w:type="dxa"/>
            <w:shd w:val="clear" w:color="auto" w:fill="C6EFCE"/>
          </w:tcPr>
          <w:p w14:paraId="636B9118" w14:textId="77777777" w:rsidR="006578ED" w:rsidRDefault="00A1618E">
            <w:pPr>
              <w:pStyle w:val="P68B1DB1-Normal13"/>
              <w:jc w:val="right"/>
              <w:rPr>
                <w:rFonts w:cs="Times New Roman"/>
                <w:noProof/>
              </w:rPr>
            </w:pPr>
            <w:r>
              <w:rPr>
                <w:noProof/>
              </w:rPr>
              <w:t> </w:t>
            </w:r>
          </w:p>
        </w:tc>
        <w:tc>
          <w:tcPr>
            <w:tcW w:w="709" w:type="dxa"/>
            <w:shd w:val="clear" w:color="auto" w:fill="C6EFCE"/>
          </w:tcPr>
          <w:p w14:paraId="30AA32BE" w14:textId="77777777" w:rsidR="006578ED" w:rsidRDefault="00A1618E">
            <w:pPr>
              <w:pStyle w:val="P68B1DB1-Normal13"/>
              <w:jc w:val="right"/>
              <w:rPr>
                <w:rFonts w:cs="Times New Roman"/>
                <w:noProof/>
              </w:rPr>
            </w:pPr>
            <w:r>
              <w:rPr>
                <w:noProof/>
              </w:rPr>
              <w:t> </w:t>
            </w:r>
          </w:p>
        </w:tc>
        <w:tc>
          <w:tcPr>
            <w:tcW w:w="567" w:type="dxa"/>
            <w:shd w:val="clear" w:color="auto" w:fill="C6EFCE"/>
          </w:tcPr>
          <w:p w14:paraId="0C696184" w14:textId="2F7A3F47" w:rsidR="006578ED" w:rsidRDefault="00EC188C">
            <w:pPr>
              <w:pStyle w:val="P68B1DB1-Normal13"/>
              <w:jc w:val="center"/>
              <w:rPr>
                <w:rFonts w:cs="Times New Roman"/>
                <w:noProof/>
              </w:rPr>
            </w:pPr>
            <w:r>
              <w:rPr>
                <w:noProof/>
              </w:rPr>
              <w:t>KW. 2</w:t>
            </w:r>
          </w:p>
        </w:tc>
        <w:tc>
          <w:tcPr>
            <w:tcW w:w="822" w:type="dxa"/>
            <w:shd w:val="clear" w:color="auto" w:fill="C6EFCE"/>
          </w:tcPr>
          <w:p w14:paraId="41CECB29" w14:textId="77777777" w:rsidR="006578ED" w:rsidRDefault="00A1618E">
            <w:pPr>
              <w:pStyle w:val="P68B1DB1-Normal13"/>
              <w:jc w:val="center"/>
              <w:rPr>
                <w:rFonts w:cs="Times New Roman"/>
                <w:noProof/>
              </w:rPr>
            </w:pPr>
            <w:r>
              <w:rPr>
                <w:noProof/>
              </w:rPr>
              <w:t>2021</w:t>
            </w:r>
          </w:p>
        </w:tc>
        <w:tc>
          <w:tcPr>
            <w:tcW w:w="3998" w:type="dxa"/>
            <w:shd w:val="clear" w:color="auto" w:fill="C6EFCE"/>
          </w:tcPr>
          <w:p w14:paraId="3554C54D" w14:textId="24121BB9" w:rsidR="006578ED" w:rsidRDefault="00A1618E">
            <w:pPr>
              <w:pStyle w:val="P68B1DB1-Normal13"/>
              <w:rPr>
                <w:rFonts w:cs="Times New Roman"/>
                <w:noProof/>
              </w:rPr>
            </w:pPr>
            <w:r>
              <w:rPr>
                <w:noProof/>
              </w:rPr>
              <w:t xml:space="preserve">Utworzenie Sekretarza Generalnego ds. Funduszy Europejskich (Secretaría General de Fondos Europeos) i nowych działów w Biurze Informatyki Budżetowej (Oficina de Informática Presupuestaria) oraz w Krajowej Izbie Kontroli (Oficina Nacional de Auditoría) głównego inspektora administracji państwowej (Intervención General de la Administración del Estado) w celu wspierania długotrwałej kultury planowania i kontroli, opartej na wynikach, dzięki doświadczeniu w zarządzaniu planem i kontroli oraz zgodnie z przepisami dekretu królewskiego </w:t>
            </w:r>
            <w:r w:rsidRPr="00A1618E">
              <w:rPr>
                <w:noProof/>
                <w:lang w:val="pl-PL"/>
              </w:rPr>
              <w:t>nr 1</w:t>
            </w:r>
            <w:r>
              <w:rPr>
                <w:noProof/>
              </w:rPr>
              <w:t>182/2020.</w:t>
            </w:r>
          </w:p>
        </w:tc>
      </w:tr>
      <w:tr w:rsidR="006578ED" w14:paraId="5F77562F" w14:textId="77777777">
        <w:trPr>
          <w:trHeight w:val="309"/>
        </w:trPr>
        <w:tc>
          <w:tcPr>
            <w:tcW w:w="1223" w:type="dxa"/>
            <w:shd w:val="clear" w:color="auto" w:fill="C6EFCE"/>
          </w:tcPr>
          <w:p w14:paraId="027D1872" w14:textId="77777777" w:rsidR="006578ED" w:rsidRDefault="00A1618E">
            <w:pPr>
              <w:pStyle w:val="P68B1DB1-Normal13"/>
              <w:jc w:val="center"/>
              <w:rPr>
                <w:rFonts w:cs="Times New Roman"/>
                <w:noProof/>
              </w:rPr>
            </w:pPr>
            <w:r>
              <w:rPr>
                <w:noProof/>
              </w:rPr>
              <w:t>159</w:t>
            </w:r>
          </w:p>
        </w:tc>
        <w:tc>
          <w:tcPr>
            <w:tcW w:w="1448" w:type="dxa"/>
            <w:shd w:val="clear" w:color="auto" w:fill="C6EFCE"/>
          </w:tcPr>
          <w:p w14:paraId="141F74C1" w14:textId="77777777" w:rsidR="006578ED" w:rsidRDefault="00A1618E">
            <w:pPr>
              <w:pStyle w:val="P68B1DB1-Normal13"/>
              <w:jc w:val="center"/>
              <w:rPr>
                <w:rFonts w:cs="Times New Roman"/>
                <w:noProof/>
              </w:rPr>
            </w:pPr>
            <w:r>
              <w:rPr>
                <w:noProof/>
              </w:rPr>
              <w:t>C11.R5</w:t>
            </w:r>
          </w:p>
        </w:tc>
        <w:tc>
          <w:tcPr>
            <w:tcW w:w="966" w:type="dxa"/>
            <w:shd w:val="clear" w:color="auto" w:fill="C6EFCE"/>
          </w:tcPr>
          <w:p w14:paraId="15CED175" w14:textId="7F4AA542" w:rsidR="006578ED" w:rsidRDefault="00AF6B91">
            <w:pPr>
              <w:pStyle w:val="P68B1DB1-Normal13"/>
              <w:jc w:val="center"/>
              <w:rPr>
                <w:rFonts w:cs="Times New Roman"/>
                <w:noProof/>
              </w:rPr>
            </w:pPr>
            <w:r>
              <w:rPr>
                <w:noProof/>
              </w:rPr>
              <w:t>Kamień milowy</w:t>
            </w:r>
          </w:p>
        </w:tc>
        <w:tc>
          <w:tcPr>
            <w:tcW w:w="1631" w:type="dxa"/>
            <w:shd w:val="clear" w:color="auto" w:fill="C6EFCE"/>
          </w:tcPr>
          <w:p w14:paraId="3A46289B" w14:textId="7213E9B2" w:rsidR="006578ED" w:rsidRDefault="00A1618E">
            <w:pPr>
              <w:pStyle w:val="P68B1DB1-Normal13"/>
              <w:rPr>
                <w:rFonts w:cs="Times New Roman"/>
                <w:noProof/>
              </w:rPr>
            </w:pPr>
            <w:r>
              <w:rPr>
                <w:noProof/>
              </w:rPr>
              <w:t>Zarządzenie określające procedury i format informacji, które mają być udostępniane na potrzeby monitorowania RRP i księgowania wydatków</w:t>
            </w:r>
          </w:p>
        </w:tc>
        <w:tc>
          <w:tcPr>
            <w:tcW w:w="1442" w:type="dxa"/>
            <w:shd w:val="clear" w:color="auto" w:fill="C6EFCE"/>
          </w:tcPr>
          <w:p w14:paraId="30909781" w14:textId="591F9419" w:rsidR="006578ED" w:rsidRDefault="00A1618E">
            <w:pPr>
              <w:pStyle w:val="P68B1DB1-Normal13"/>
              <w:jc w:val="center"/>
              <w:rPr>
                <w:rFonts w:cs="Times New Roman"/>
                <w:noProof/>
              </w:rPr>
            </w:pPr>
            <w:r>
              <w:rPr>
                <w:noProof/>
              </w:rPr>
              <w:t>Przepis w postanowieniu wskazujący na wejście w życie zarządzenia</w:t>
            </w:r>
          </w:p>
        </w:tc>
        <w:tc>
          <w:tcPr>
            <w:tcW w:w="1082" w:type="dxa"/>
            <w:shd w:val="clear" w:color="auto" w:fill="C6EFCE"/>
          </w:tcPr>
          <w:p w14:paraId="3610F77F" w14:textId="77777777" w:rsidR="006578ED" w:rsidRDefault="00A1618E">
            <w:pPr>
              <w:pStyle w:val="P68B1DB1-Normal13"/>
              <w:jc w:val="right"/>
              <w:rPr>
                <w:rFonts w:cs="Times New Roman"/>
                <w:noProof/>
              </w:rPr>
            </w:pPr>
            <w:r>
              <w:rPr>
                <w:noProof/>
              </w:rPr>
              <w:t> </w:t>
            </w:r>
          </w:p>
        </w:tc>
        <w:tc>
          <w:tcPr>
            <w:tcW w:w="708" w:type="dxa"/>
            <w:shd w:val="clear" w:color="auto" w:fill="C6EFCE"/>
          </w:tcPr>
          <w:p w14:paraId="43F38F7D" w14:textId="77777777" w:rsidR="006578ED" w:rsidRDefault="00A1618E">
            <w:pPr>
              <w:pStyle w:val="P68B1DB1-Normal13"/>
              <w:jc w:val="right"/>
              <w:rPr>
                <w:rFonts w:cs="Times New Roman"/>
                <w:noProof/>
              </w:rPr>
            </w:pPr>
            <w:r>
              <w:rPr>
                <w:noProof/>
              </w:rPr>
              <w:t> </w:t>
            </w:r>
          </w:p>
        </w:tc>
        <w:tc>
          <w:tcPr>
            <w:tcW w:w="709" w:type="dxa"/>
            <w:shd w:val="clear" w:color="auto" w:fill="C6EFCE"/>
          </w:tcPr>
          <w:p w14:paraId="71D48BC5" w14:textId="77777777" w:rsidR="006578ED" w:rsidRDefault="00A1618E">
            <w:pPr>
              <w:pStyle w:val="P68B1DB1-Normal13"/>
              <w:jc w:val="right"/>
              <w:rPr>
                <w:rFonts w:cs="Times New Roman"/>
                <w:noProof/>
              </w:rPr>
            </w:pPr>
            <w:r>
              <w:rPr>
                <w:noProof/>
              </w:rPr>
              <w:t> </w:t>
            </w:r>
          </w:p>
        </w:tc>
        <w:tc>
          <w:tcPr>
            <w:tcW w:w="567" w:type="dxa"/>
            <w:shd w:val="clear" w:color="auto" w:fill="C6EFCE"/>
          </w:tcPr>
          <w:p w14:paraId="0202EAD9" w14:textId="74DCF980" w:rsidR="006578ED" w:rsidRDefault="00EC188C">
            <w:pPr>
              <w:pStyle w:val="P68B1DB1-Normal13"/>
              <w:jc w:val="center"/>
              <w:rPr>
                <w:rFonts w:cs="Times New Roman"/>
                <w:noProof/>
              </w:rPr>
            </w:pPr>
            <w:r>
              <w:rPr>
                <w:noProof/>
              </w:rPr>
              <w:t>KW. 3</w:t>
            </w:r>
          </w:p>
        </w:tc>
        <w:tc>
          <w:tcPr>
            <w:tcW w:w="822" w:type="dxa"/>
            <w:shd w:val="clear" w:color="auto" w:fill="C6EFCE"/>
          </w:tcPr>
          <w:p w14:paraId="44F8380F" w14:textId="77777777" w:rsidR="006578ED" w:rsidRDefault="00A1618E">
            <w:pPr>
              <w:pStyle w:val="P68B1DB1-Normal13"/>
              <w:jc w:val="center"/>
              <w:rPr>
                <w:rFonts w:cs="Times New Roman"/>
                <w:noProof/>
              </w:rPr>
            </w:pPr>
            <w:r>
              <w:rPr>
                <w:noProof/>
              </w:rPr>
              <w:t>2021</w:t>
            </w:r>
          </w:p>
        </w:tc>
        <w:tc>
          <w:tcPr>
            <w:tcW w:w="3998" w:type="dxa"/>
            <w:shd w:val="clear" w:color="auto" w:fill="C6EFCE"/>
          </w:tcPr>
          <w:p w14:paraId="018B7E42" w14:textId="78A46606" w:rsidR="006578ED" w:rsidRDefault="00A1618E">
            <w:pPr>
              <w:pStyle w:val="P68B1DB1-Normal13"/>
              <w:rPr>
                <w:rFonts w:cs="Times New Roman"/>
                <w:noProof/>
              </w:rPr>
            </w:pPr>
            <w:r>
              <w:rPr>
                <w:noProof/>
              </w:rPr>
              <w:t>Wejście w życie zarządzenia określającego procedury i format wymienianych informacji na potrzeby monitorowania RRP i księgowania wydatków</w:t>
            </w:r>
          </w:p>
        </w:tc>
      </w:tr>
      <w:tr w:rsidR="006578ED" w14:paraId="54A913DA" w14:textId="77777777">
        <w:trPr>
          <w:trHeight w:val="309"/>
        </w:trPr>
        <w:tc>
          <w:tcPr>
            <w:tcW w:w="1223" w:type="dxa"/>
            <w:shd w:val="clear" w:color="auto" w:fill="C6EFCE"/>
          </w:tcPr>
          <w:p w14:paraId="0032295D" w14:textId="77777777" w:rsidR="006578ED" w:rsidRDefault="00A1618E">
            <w:pPr>
              <w:pStyle w:val="P68B1DB1-Normal13"/>
              <w:jc w:val="center"/>
              <w:rPr>
                <w:rFonts w:cs="Times New Roman"/>
                <w:noProof/>
              </w:rPr>
            </w:pPr>
            <w:r>
              <w:rPr>
                <w:noProof/>
              </w:rPr>
              <w:t>160</w:t>
            </w:r>
          </w:p>
        </w:tc>
        <w:tc>
          <w:tcPr>
            <w:tcW w:w="1448" w:type="dxa"/>
            <w:shd w:val="clear" w:color="auto" w:fill="C6EFCE"/>
          </w:tcPr>
          <w:p w14:paraId="1F697D06" w14:textId="77777777" w:rsidR="006578ED" w:rsidRDefault="00A1618E">
            <w:pPr>
              <w:pStyle w:val="P68B1DB1-Normal13"/>
              <w:jc w:val="center"/>
              <w:rPr>
                <w:rFonts w:cs="Times New Roman"/>
                <w:noProof/>
              </w:rPr>
            </w:pPr>
            <w:r>
              <w:rPr>
                <w:noProof/>
              </w:rPr>
              <w:t>C11.I1</w:t>
            </w:r>
          </w:p>
        </w:tc>
        <w:tc>
          <w:tcPr>
            <w:tcW w:w="966" w:type="dxa"/>
            <w:shd w:val="clear" w:color="auto" w:fill="C6EFCE"/>
          </w:tcPr>
          <w:p w14:paraId="2CEE176A" w14:textId="02808241" w:rsidR="006578ED" w:rsidRDefault="00AF6B91">
            <w:pPr>
              <w:pStyle w:val="P68B1DB1-Normal13"/>
              <w:jc w:val="center"/>
              <w:rPr>
                <w:rFonts w:cs="Times New Roman"/>
                <w:noProof/>
              </w:rPr>
            </w:pPr>
            <w:r>
              <w:rPr>
                <w:noProof/>
              </w:rPr>
              <w:t>Kamień milowy</w:t>
            </w:r>
          </w:p>
        </w:tc>
        <w:tc>
          <w:tcPr>
            <w:tcW w:w="1631" w:type="dxa"/>
            <w:shd w:val="clear" w:color="auto" w:fill="C6EFCE"/>
          </w:tcPr>
          <w:p w14:paraId="45050344" w14:textId="77777777" w:rsidR="006578ED" w:rsidRDefault="00A1618E">
            <w:pPr>
              <w:pStyle w:val="P68B1DB1-Normal13"/>
              <w:rPr>
                <w:rFonts w:cs="Times New Roman"/>
                <w:noProof/>
              </w:rPr>
            </w:pPr>
            <w:r>
              <w:rPr>
                <w:noProof/>
              </w:rPr>
              <w:t>Wzajemne połączenie krajowych platform zamówień publicznych</w:t>
            </w:r>
          </w:p>
        </w:tc>
        <w:tc>
          <w:tcPr>
            <w:tcW w:w="1442" w:type="dxa"/>
            <w:shd w:val="clear" w:color="auto" w:fill="C6EFCE"/>
          </w:tcPr>
          <w:p w14:paraId="6C5B25A9" w14:textId="48367A57" w:rsidR="006578ED" w:rsidRDefault="00A1618E">
            <w:pPr>
              <w:pStyle w:val="P68B1DB1-Normal13"/>
              <w:jc w:val="center"/>
              <w:rPr>
                <w:rFonts w:cs="Times New Roman"/>
                <w:noProof/>
              </w:rPr>
            </w:pPr>
            <w:r>
              <w:rPr>
                <w:noProof/>
              </w:rPr>
              <w:t xml:space="preserve">Centralna i regionalna administracja publiczna dostarcza podpisane zaświadczenia potwierdzające funkcje platformy </w:t>
            </w:r>
          </w:p>
        </w:tc>
        <w:tc>
          <w:tcPr>
            <w:tcW w:w="1082" w:type="dxa"/>
            <w:shd w:val="clear" w:color="auto" w:fill="C6EFCE"/>
          </w:tcPr>
          <w:p w14:paraId="7FC0BC0D"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1FFB4213" w14:textId="77777777" w:rsidR="006578ED" w:rsidRDefault="00A1618E">
            <w:pPr>
              <w:pStyle w:val="P68B1DB1-Normal13"/>
              <w:jc w:val="right"/>
              <w:rPr>
                <w:rFonts w:cs="Times New Roman"/>
                <w:noProof/>
              </w:rPr>
            </w:pPr>
            <w:r>
              <w:rPr>
                <w:noProof/>
              </w:rPr>
              <w:t> </w:t>
            </w:r>
          </w:p>
        </w:tc>
        <w:tc>
          <w:tcPr>
            <w:tcW w:w="709" w:type="dxa"/>
            <w:shd w:val="clear" w:color="auto" w:fill="C6EFCE"/>
          </w:tcPr>
          <w:p w14:paraId="0522966B" w14:textId="77777777" w:rsidR="006578ED" w:rsidRDefault="00A1618E">
            <w:pPr>
              <w:pStyle w:val="P68B1DB1-Normal13"/>
              <w:jc w:val="right"/>
              <w:rPr>
                <w:rFonts w:cs="Times New Roman"/>
                <w:noProof/>
              </w:rPr>
            </w:pPr>
            <w:r>
              <w:rPr>
                <w:noProof/>
              </w:rPr>
              <w:t> </w:t>
            </w:r>
          </w:p>
        </w:tc>
        <w:tc>
          <w:tcPr>
            <w:tcW w:w="567" w:type="dxa"/>
            <w:shd w:val="clear" w:color="auto" w:fill="C6EFCE"/>
          </w:tcPr>
          <w:p w14:paraId="1AF12D3D" w14:textId="6574AB01" w:rsidR="006578ED" w:rsidRDefault="00EC188C">
            <w:pPr>
              <w:pStyle w:val="P68B1DB1-Normal13"/>
              <w:jc w:val="center"/>
              <w:rPr>
                <w:rFonts w:cs="Times New Roman"/>
                <w:noProof/>
              </w:rPr>
            </w:pPr>
            <w:r>
              <w:rPr>
                <w:noProof/>
              </w:rPr>
              <w:t>KW. 4</w:t>
            </w:r>
          </w:p>
        </w:tc>
        <w:tc>
          <w:tcPr>
            <w:tcW w:w="822" w:type="dxa"/>
            <w:shd w:val="clear" w:color="auto" w:fill="C6EFCE"/>
          </w:tcPr>
          <w:p w14:paraId="316130A3" w14:textId="77777777" w:rsidR="006578ED" w:rsidRDefault="00A1618E">
            <w:pPr>
              <w:pStyle w:val="P68B1DB1-Normal13"/>
              <w:jc w:val="center"/>
              <w:rPr>
                <w:rFonts w:cs="Times New Roman"/>
                <w:noProof/>
              </w:rPr>
            </w:pPr>
            <w:r>
              <w:rPr>
                <w:noProof/>
              </w:rPr>
              <w:t>2023</w:t>
            </w:r>
          </w:p>
        </w:tc>
        <w:tc>
          <w:tcPr>
            <w:tcW w:w="3998" w:type="dxa"/>
            <w:shd w:val="clear" w:color="auto" w:fill="C6EFCE"/>
          </w:tcPr>
          <w:p w14:paraId="7893AEE2" w14:textId="07BFE488" w:rsidR="006578ED" w:rsidRDefault="00A1618E">
            <w:pPr>
              <w:pStyle w:val="P68B1DB1-Normal13"/>
              <w:rPr>
                <w:rFonts w:cs="Times New Roman"/>
                <w:noProof/>
              </w:rPr>
            </w:pPr>
            <w:r>
              <w:rPr>
                <w:noProof/>
              </w:rPr>
              <w:t xml:space="preserve">Dalsze wzajemne połączenia (wymiana danych) między wszystkimi istniejącymi platformami zamówień publicznych (rząd centralny i regionalny): co najmniej 142 otwarte pola danych i 52 dane zagregowane na platformie administracji centralnej. </w:t>
            </w:r>
            <w:r>
              <w:rPr>
                <w:noProof/>
              </w:rPr>
              <w:br/>
              <w:t>Liczba otwartych pól danych na platformie administracji centralnej w styczniu 20</w:t>
            </w:r>
            <w:r w:rsidRPr="00A1618E">
              <w:rPr>
                <w:noProof/>
                <w:lang w:val="pl-PL"/>
              </w:rPr>
              <w:t>21 r.</w:t>
            </w:r>
            <w:r>
              <w:rPr>
                <w:noProof/>
              </w:rPr>
              <w:t>: 119</w:t>
            </w:r>
            <w:r>
              <w:rPr>
                <w:noProof/>
              </w:rPr>
              <w:br/>
              <w:t>Liczba zagregowanych danych na platformie administracji centralnej w styczniu 20</w:t>
            </w:r>
            <w:r w:rsidRPr="00A1618E">
              <w:rPr>
                <w:noProof/>
                <w:lang w:val="pl-PL"/>
              </w:rPr>
              <w:t>21 r.</w:t>
            </w:r>
            <w:r>
              <w:rPr>
                <w:noProof/>
              </w:rPr>
              <w:t>: 43</w:t>
            </w:r>
          </w:p>
        </w:tc>
      </w:tr>
      <w:tr w:rsidR="006578ED" w14:paraId="53019A9A" w14:textId="77777777">
        <w:trPr>
          <w:trHeight w:val="309"/>
        </w:trPr>
        <w:tc>
          <w:tcPr>
            <w:tcW w:w="1223" w:type="dxa"/>
            <w:shd w:val="clear" w:color="auto" w:fill="C6EFCE"/>
          </w:tcPr>
          <w:p w14:paraId="756B86DB" w14:textId="77777777" w:rsidR="006578ED" w:rsidRDefault="00A1618E">
            <w:pPr>
              <w:pStyle w:val="P68B1DB1-Normal13"/>
              <w:jc w:val="center"/>
              <w:rPr>
                <w:rFonts w:cs="Times New Roman"/>
                <w:noProof/>
              </w:rPr>
            </w:pPr>
            <w:r>
              <w:rPr>
                <w:noProof/>
              </w:rPr>
              <w:t>161</w:t>
            </w:r>
          </w:p>
        </w:tc>
        <w:tc>
          <w:tcPr>
            <w:tcW w:w="1448" w:type="dxa"/>
            <w:shd w:val="clear" w:color="auto" w:fill="C6EFCE"/>
          </w:tcPr>
          <w:p w14:paraId="392178A5" w14:textId="77777777" w:rsidR="006578ED" w:rsidRDefault="00A1618E">
            <w:pPr>
              <w:pStyle w:val="P68B1DB1-Normal13"/>
              <w:jc w:val="center"/>
              <w:rPr>
                <w:rFonts w:cs="Times New Roman"/>
                <w:noProof/>
              </w:rPr>
            </w:pPr>
            <w:r>
              <w:rPr>
                <w:noProof/>
              </w:rPr>
              <w:t>C11.I1</w:t>
            </w:r>
          </w:p>
        </w:tc>
        <w:tc>
          <w:tcPr>
            <w:tcW w:w="966" w:type="dxa"/>
            <w:shd w:val="clear" w:color="auto" w:fill="C6EFCE"/>
          </w:tcPr>
          <w:p w14:paraId="541E19CC" w14:textId="627745C6" w:rsidR="006578ED" w:rsidRDefault="00AF6B91">
            <w:pPr>
              <w:pStyle w:val="P68B1DB1-Normal13"/>
              <w:jc w:val="center"/>
              <w:rPr>
                <w:rFonts w:cs="Times New Roman"/>
                <w:noProof/>
              </w:rPr>
            </w:pPr>
            <w:r>
              <w:rPr>
                <w:noProof/>
              </w:rPr>
              <w:t>Cel</w:t>
            </w:r>
          </w:p>
        </w:tc>
        <w:tc>
          <w:tcPr>
            <w:tcW w:w="1631" w:type="dxa"/>
            <w:shd w:val="clear" w:color="auto" w:fill="C6EFCE"/>
          </w:tcPr>
          <w:p w14:paraId="21D0885E" w14:textId="77777777" w:rsidR="006578ED" w:rsidRDefault="00A1618E">
            <w:pPr>
              <w:pStyle w:val="P68B1DB1-Normal13"/>
              <w:rPr>
                <w:rFonts w:cs="Times New Roman"/>
                <w:noProof/>
              </w:rPr>
            </w:pPr>
            <w:r>
              <w:rPr>
                <w:noProof/>
              </w:rPr>
              <w:t>Przyznawanie projektów wspierających transformację cyfrową Centralnej Administracji Publicznej</w:t>
            </w:r>
          </w:p>
        </w:tc>
        <w:tc>
          <w:tcPr>
            <w:tcW w:w="1442" w:type="dxa"/>
            <w:shd w:val="clear" w:color="auto" w:fill="C6EFCE"/>
          </w:tcPr>
          <w:p w14:paraId="580C4F25" w14:textId="77777777" w:rsidR="006578ED" w:rsidRDefault="00A1618E">
            <w:pPr>
              <w:pStyle w:val="P68B1DB1-Normal13"/>
              <w:jc w:val="center"/>
              <w:rPr>
                <w:rFonts w:cs="Times New Roman"/>
                <w:noProof/>
              </w:rPr>
            </w:pPr>
            <w:r>
              <w:rPr>
                <w:noProof/>
              </w:rPr>
              <w:t> </w:t>
            </w:r>
          </w:p>
        </w:tc>
        <w:tc>
          <w:tcPr>
            <w:tcW w:w="1082" w:type="dxa"/>
            <w:shd w:val="clear" w:color="auto" w:fill="C6EFCE"/>
          </w:tcPr>
          <w:p w14:paraId="6B4525D7" w14:textId="77777777" w:rsidR="006578ED" w:rsidRDefault="00A1618E">
            <w:pPr>
              <w:pStyle w:val="P68B1DB1-Normal13"/>
              <w:jc w:val="right"/>
              <w:rPr>
                <w:rFonts w:cs="Times New Roman"/>
                <w:noProof/>
              </w:rPr>
            </w:pPr>
            <w:r>
              <w:rPr>
                <w:noProof/>
              </w:rPr>
              <w:t>Mln EUR</w:t>
            </w:r>
          </w:p>
        </w:tc>
        <w:tc>
          <w:tcPr>
            <w:tcW w:w="708" w:type="dxa"/>
            <w:shd w:val="clear" w:color="auto" w:fill="C6EFCE"/>
          </w:tcPr>
          <w:p w14:paraId="56C99C6B" w14:textId="77777777" w:rsidR="006578ED" w:rsidRDefault="00A1618E">
            <w:pPr>
              <w:pStyle w:val="P68B1DB1-Normal13"/>
              <w:jc w:val="right"/>
              <w:rPr>
                <w:rFonts w:cs="Times New Roman"/>
                <w:noProof/>
              </w:rPr>
            </w:pPr>
            <w:r>
              <w:rPr>
                <w:noProof/>
              </w:rPr>
              <w:t>0</w:t>
            </w:r>
          </w:p>
        </w:tc>
        <w:tc>
          <w:tcPr>
            <w:tcW w:w="709" w:type="dxa"/>
            <w:shd w:val="clear" w:color="auto" w:fill="C6EFCE"/>
          </w:tcPr>
          <w:p w14:paraId="0F82A3B1" w14:textId="77777777" w:rsidR="006578ED" w:rsidRDefault="00A1618E">
            <w:pPr>
              <w:pStyle w:val="P68B1DB1-Normal13"/>
              <w:jc w:val="right"/>
              <w:rPr>
                <w:rFonts w:cs="Times New Roman"/>
                <w:noProof/>
              </w:rPr>
            </w:pPr>
            <w:r>
              <w:rPr>
                <w:noProof/>
              </w:rPr>
              <w:t>960</w:t>
            </w:r>
          </w:p>
        </w:tc>
        <w:tc>
          <w:tcPr>
            <w:tcW w:w="567" w:type="dxa"/>
            <w:shd w:val="clear" w:color="auto" w:fill="C6EFCE"/>
          </w:tcPr>
          <w:p w14:paraId="21CE8994" w14:textId="3D5077EF" w:rsidR="006578ED" w:rsidRDefault="00EC188C">
            <w:pPr>
              <w:pStyle w:val="P68B1DB1-Normal13"/>
              <w:jc w:val="center"/>
              <w:rPr>
                <w:rFonts w:cs="Times New Roman"/>
                <w:noProof/>
              </w:rPr>
            </w:pPr>
            <w:r>
              <w:rPr>
                <w:noProof/>
              </w:rPr>
              <w:t>KW. 4</w:t>
            </w:r>
          </w:p>
        </w:tc>
        <w:tc>
          <w:tcPr>
            <w:tcW w:w="822" w:type="dxa"/>
            <w:shd w:val="clear" w:color="auto" w:fill="C6EFCE"/>
          </w:tcPr>
          <w:p w14:paraId="0B80C929" w14:textId="77777777" w:rsidR="006578ED" w:rsidRDefault="00A1618E">
            <w:pPr>
              <w:pStyle w:val="P68B1DB1-Normal13"/>
              <w:jc w:val="center"/>
              <w:rPr>
                <w:rFonts w:cs="Times New Roman"/>
                <w:noProof/>
              </w:rPr>
            </w:pPr>
            <w:r>
              <w:rPr>
                <w:noProof/>
              </w:rPr>
              <w:t>2023</w:t>
            </w:r>
          </w:p>
        </w:tc>
        <w:tc>
          <w:tcPr>
            <w:tcW w:w="3998" w:type="dxa"/>
            <w:shd w:val="clear" w:color="auto" w:fill="C6EFCE"/>
          </w:tcPr>
          <w:p w14:paraId="66B1EDED" w14:textId="02D29907" w:rsidR="006578ED" w:rsidRDefault="00A1618E">
            <w:pPr>
              <w:pStyle w:val="P68B1DB1-Normal13"/>
              <w:rPr>
                <w:rFonts w:cs="Times New Roman"/>
                <w:noProof/>
              </w:rPr>
            </w:pPr>
            <w:r>
              <w:rPr>
                <w:noProof/>
              </w:rPr>
              <w:t xml:space="preserve">Publikacja w Dz.U. lub na platformie zamówień publicznych przyznania co najmniej 960 000 000 EUR na projekty obejmujące następujące obszary: </w:t>
            </w:r>
            <w:r>
              <w:rPr>
                <w:noProof/>
              </w:rPr>
              <w:br/>
              <w:t>Transformacja cyfrowa pod względem proaktywności, mobilności, doświadczenia użytkowników;</w:t>
            </w:r>
            <w:r>
              <w:rPr>
                <w:noProof/>
              </w:rPr>
              <w:br/>
              <w:t>Transformacja cyfrowa pod względem automatyzacji i administracji publicznej skoncentrowanej na danych;</w:t>
            </w:r>
            <w:r>
              <w:rPr>
                <w:noProof/>
              </w:rPr>
              <w:br/>
              <w:t>Transformacja cyfrowa pod względem fizycznej, logicznej infrastruktury i oprogramowania;</w:t>
            </w:r>
            <w:r>
              <w:rPr>
                <w:noProof/>
              </w:rPr>
              <w:br/>
              <w:t>Transformacja cyfrowa pod względem cyberbezpieczeństwa.</w:t>
            </w:r>
          </w:p>
        </w:tc>
      </w:tr>
      <w:tr w:rsidR="006578ED" w14:paraId="142D29EA" w14:textId="77777777">
        <w:trPr>
          <w:trHeight w:val="309"/>
        </w:trPr>
        <w:tc>
          <w:tcPr>
            <w:tcW w:w="1223" w:type="dxa"/>
            <w:shd w:val="clear" w:color="auto" w:fill="C6EFCE"/>
          </w:tcPr>
          <w:p w14:paraId="7F94E94C" w14:textId="77777777" w:rsidR="006578ED" w:rsidRDefault="00A1618E">
            <w:pPr>
              <w:pStyle w:val="P68B1DB1-Normal13"/>
              <w:jc w:val="center"/>
              <w:rPr>
                <w:rFonts w:cs="Times New Roman"/>
                <w:noProof/>
              </w:rPr>
            </w:pPr>
            <w:r>
              <w:rPr>
                <w:noProof/>
              </w:rPr>
              <w:t>162</w:t>
            </w:r>
          </w:p>
        </w:tc>
        <w:tc>
          <w:tcPr>
            <w:tcW w:w="1448" w:type="dxa"/>
            <w:shd w:val="clear" w:color="auto" w:fill="C6EFCE"/>
          </w:tcPr>
          <w:p w14:paraId="0EC70345" w14:textId="77777777" w:rsidR="006578ED" w:rsidRDefault="00A1618E">
            <w:pPr>
              <w:pStyle w:val="P68B1DB1-Normal13"/>
              <w:jc w:val="center"/>
              <w:rPr>
                <w:rFonts w:cs="Times New Roman"/>
                <w:noProof/>
              </w:rPr>
            </w:pPr>
            <w:r>
              <w:rPr>
                <w:noProof/>
              </w:rPr>
              <w:t>C11.I1</w:t>
            </w:r>
          </w:p>
        </w:tc>
        <w:tc>
          <w:tcPr>
            <w:tcW w:w="966" w:type="dxa"/>
            <w:shd w:val="clear" w:color="auto" w:fill="C6EFCE"/>
          </w:tcPr>
          <w:p w14:paraId="03D52EE2" w14:textId="194E0085" w:rsidR="006578ED" w:rsidRDefault="00AF6B91">
            <w:pPr>
              <w:pStyle w:val="P68B1DB1-Normal13"/>
              <w:jc w:val="center"/>
              <w:rPr>
                <w:rFonts w:cs="Times New Roman"/>
                <w:noProof/>
              </w:rPr>
            </w:pPr>
            <w:r>
              <w:rPr>
                <w:noProof/>
              </w:rPr>
              <w:t>Kamień milowy</w:t>
            </w:r>
          </w:p>
        </w:tc>
        <w:tc>
          <w:tcPr>
            <w:tcW w:w="1631" w:type="dxa"/>
            <w:shd w:val="clear" w:color="auto" w:fill="C6EFCE"/>
          </w:tcPr>
          <w:p w14:paraId="24744C26" w14:textId="77777777" w:rsidR="006578ED" w:rsidRDefault="00A1618E">
            <w:pPr>
              <w:pStyle w:val="P68B1DB1-Normal13"/>
              <w:rPr>
                <w:rFonts w:cs="Times New Roman"/>
                <w:noProof/>
              </w:rPr>
            </w:pPr>
            <w:r>
              <w:rPr>
                <w:noProof/>
              </w:rPr>
              <w:t>Zakończenie projektów wspierających transformację cyfrową Centralnej Administracji Publicznej</w:t>
            </w:r>
          </w:p>
        </w:tc>
        <w:tc>
          <w:tcPr>
            <w:tcW w:w="1442" w:type="dxa"/>
            <w:shd w:val="clear" w:color="auto" w:fill="C6EFCE"/>
          </w:tcPr>
          <w:p w14:paraId="1C9A228D" w14:textId="77777777" w:rsidR="006578ED" w:rsidRDefault="00A1618E">
            <w:pPr>
              <w:pStyle w:val="P68B1DB1-Normal13"/>
              <w:jc w:val="center"/>
              <w:rPr>
                <w:rFonts w:cs="Times New Roman"/>
                <w:noProof/>
              </w:rPr>
            </w:pPr>
            <w:r>
              <w:rPr>
                <w:noProof/>
              </w:rPr>
              <w:t>Certyfikaty podpisane przez właściwy organ poświadczające, że projekty zostały ukończone i są operacyjne</w:t>
            </w:r>
          </w:p>
        </w:tc>
        <w:tc>
          <w:tcPr>
            <w:tcW w:w="1082" w:type="dxa"/>
            <w:shd w:val="clear" w:color="auto" w:fill="C6EFCE"/>
          </w:tcPr>
          <w:p w14:paraId="602C3F68" w14:textId="77777777" w:rsidR="006578ED" w:rsidRDefault="00A1618E">
            <w:pPr>
              <w:pStyle w:val="P68B1DB1-Normal13"/>
              <w:jc w:val="right"/>
              <w:rPr>
                <w:rFonts w:cs="Times New Roman"/>
                <w:noProof/>
              </w:rPr>
            </w:pPr>
            <w:r>
              <w:rPr>
                <w:noProof/>
              </w:rPr>
              <w:t> </w:t>
            </w:r>
          </w:p>
        </w:tc>
        <w:tc>
          <w:tcPr>
            <w:tcW w:w="708" w:type="dxa"/>
            <w:shd w:val="clear" w:color="auto" w:fill="C6EFCE"/>
          </w:tcPr>
          <w:p w14:paraId="1C895DDD" w14:textId="77777777" w:rsidR="006578ED" w:rsidRDefault="00A1618E">
            <w:pPr>
              <w:pStyle w:val="P68B1DB1-Normal13"/>
              <w:jc w:val="right"/>
              <w:rPr>
                <w:rFonts w:cs="Times New Roman"/>
                <w:noProof/>
              </w:rPr>
            </w:pPr>
            <w:r>
              <w:rPr>
                <w:noProof/>
              </w:rPr>
              <w:t> </w:t>
            </w:r>
          </w:p>
        </w:tc>
        <w:tc>
          <w:tcPr>
            <w:tcW w:w="709" w:type="dxa"/>
            <w:shd w:val="clear" w:color="auto" w:fill="C6EFCE"/>
          </w:tcPr>
          <w:p w14:paraId="5CE29C09" w14:textId="77777777" w:rsidR="006578ED" w:rsidRDefault="00A1618E">
            <w:pPr>
              <w:pStyle w:val="P68B1DB1-Normal13"/>
              <w:jc w:val="right"/>
              <w:rPr>
                <w:rFonts w:cs="Times New Roman"/>
                <w:noProof/>
              </w:rPr>
            </w:pPr>
            <w:r>
              <w:rPr>
                <w:noProof/>
              </w:rPr>
              <w:t> </w:t>
            </w:r>
          </w:p>
        </w:tc>
        <w:tc>
          <w:tcPr>
            <w:tcW w:w="567" w:type="dxa"/>
            <w:shd w:val="clear" w:color="auto" w:fill="C6EFCE"/>
          </w:tcPr>
          <w:p w14:paraId="7C88DA4F" w14:textId="0815F395" w:rsidR="006578ED" w:rsidRDefault="00EC188C">
            <w:pPr>
              <w:pStyle w:val="P68B1DB1-Normal13"/>
              <w:jc w:val="center"/>
              <w:rPr>
                <w:rFonts w:cs="Times New Roman"/>
                <w:noProof/>
              </w:rPr>
            </w:pPr>
            <w:r>
              <w:rPr>
                <w:noProof/>
              </w:rPr>
              <w:t>KW. 4</w:t>
            </w:r>
          </w:p>
        </w:tc>
        <w:tc>
          <w:tcPr>
            <w:tcW w:w="822" w:type="dxa"/>
            <w:shd w:val="clear" w:color="auto" w:fill="C6EFCE"/>
          </w:tcPr>
          <w:p w14:paraId="292C0F1F" w14:textId="77777777" w:rsidR="006578ED" w:rsidRDefault="00A1618E">
            <w:pPr>
              <w:pStyle w:val="P68B1DB1-Normal13"/>
              <w:jc w:val="center"/>
              <w:rPr>
                <w:rFonts w:cs="Times New Roman"/>
                <w:noProof/>
              </w:rPr>
            </w:pPr>
            <w:r>
              <w:rPr>
                <w:noProof/>
              </w:rPr>
              <w:t>2025</w:t>
            </w:r>
          </w:p>
        </w:tc>
        <w:tc>
          <w:tcPr>
            <w:tcW w:w="3998" w:type="dxa"/>
            <w:shd w:val="clear" w:color="auto" w:fill="C6EFCE"/>
          </w:tcPr>
          <w:p w14:paraId="1A4CED02" w14:textId="235DCDF4" w:rsidR="006578ED" w:rsidRDefault="00A1618E">
            <w:pPr>
              <w:pStyle w:val="P68B1DB1-Normal13"/>
              <w:rPr>
                <w:rFonts w:cs="Times New Roman"/>
                <w:noProof/>
              </w:rPr>
            </w:pPr>
            <w:r>
              <w:rPr>
                <w:noProof/>
              </w:rPr>
              <w:t>Zakończenie projektów przyznanych zgodnie z celem nr #161</w:t>
            </w:r>
          </w:p>
        </w:tc>
      </w:tr>
      <w:tr w:rsidR="006578ED" w14:paraId="48E255C1" w14:textId="77777777">
        <w:trPr>
          <w:trHeight w:val="309"/>
        </w:trPr>
        <w:tc>
          <w:tcPr>
            <w:tcW w:w="1223" w:type="dxa"/>
            <w:shd w:val="clear" w:color="auto" w:fill="C6EFCE"/>
          </w:tcPr>
          <w:p w14:paraId="23ADB4BA" w14:textId="77777777" w:rsidR="006578ED" w:rsidRDefault="00A1618E">
            <w:pPr>
              <w:pStyle w:val="P68B1DB1-Normal13"/>
              <w:jc w:val="center"/>
              <w:rPr>
                <w:rFonts w:cs="Times New Roman"/>
                <w:noProof/>
              </w:rPr>
            </w:pPr>
            <w:r>
              <w:rPr>
                <w:noProof/>
              </w:rPr>
              <w:t>163</w:t>
            </w:r>
          </w:p>
        </w:tc>
        <w:tc>
          <w:tcPr>
            <w:tcW w:w="1448" w:type="dxa"/>
            <w:shd w:val="clear" w:color="auto" w:fill="C6EFCE"/>
          </w:tcPr>
          <w:p w14:paraId="59FAF852" w14:textId="77777777" w:rsidR="006578ED" w:rsidRDefault="00A1618E">
            <w:pPr>
              <w:pStyle w:val="P68B1DB1-Normal13"/>
              <w:jc w:val="center"/>
              <w:rPr>
                <w:rFonts w:cs="Times New Roman"/>
                <w:noProof/>
              </w:rPr>
            </w:pPr>
            <w:r>
              <w:rPr>
                <w:noProof/>
              </w:rPr>
              <w:t>C11.I2</w:t>
            </w:r>
          </w:p>
        </w:tc>
        <w:tc>
          <w:tcPr>
            <w:tcW w:w="966" w:type="dxa"/>
            <w:shd w:val="clear" w:color="auto" w:fill="C6EFCE"/>
          </w:tcPr>
          <w:p w14:paraId="0C1536D6" w14:textId="429F951E" w:rsidR="006578ED" w:rsidRDefault="00AF6B91">
            <w:pPr>
              <w:pStyle w:val="P68B1DB1-Normal13"/>
              <w:jc w:val="center"/>
              <w:rPr>
                <w:rFonts w:cs="Times New Roman"/>
                <w:noProof/>
              </w:rPr>
            </w:pPr>
            <w:r>
              <w:rPr>
                <w:noProof/>
              </w:rPr>
              <w:t>Kamień milowy</w:t>
            </w:r>
          </w:p>
        </w:tc>
        <w:tc>
          <w:tcPr>
            <w:tcW w:w="1631" w:type="dxa"/>
            <w:shd w:val="clear" w:color="auto" w:fill="C6EFCE"/>
          </w:tcPr>
          <w:p w14:paraId="24E56970" w14:textId="1DE92819" w:rsidR="006578ED" w:rsidRDefault="00A1618E">
            <w:pPr>
              <w:pStyle w:val="P68B1DB1-Normal13"/>
              <w:rPr>
                <w:rFonts w:cs="Times New Roman"/>
                <w:noProof/>
              </w:rPr>
            </w:pPr>
            <w:r>
              <w:rPr>
                <w:noProof/>
              </w:rPr>
              <w:t>Interoperacyjne platformy wymiany danych dotyczących zabezpieczenia społecznego i zdrowia</w:t>
            </w:r>
          </w:p>
        </w:tc>
        <w:tc>
          <w:tcPr>
            <w:tcW w:w="1442" w:type="dxa"/>
            <w:shd w:val="clear" w:color="auto" w:fill="C6EFCE"/>
          </w:tcPr>
          <w:p w14:paraId="100AC249" w14:textId="1BF7DCE8" w:rsidR="006578ED" w:rsidRDefault="00A1618E">
            <w:pPr>
              <w:pStyle w:val="P68B1DB1-Normal13"/>
              <w:jc w:val="center"/>
              <w:rPr>
                <w:rFonts w:cs="Times New Roman"/>
                <w:noProof/>
              </w:rPr>
            </w:pPr>
            <w:r>
              <w:rPr>
                <w:noProof/>
              </w:rPr>
              <w:t>Centralne i regionalne administracje zabezpieczenia społecznego dostarczają podpisane zaświadczenia potwierdzające funkcje platformy</w:t>
            </w:r>
          </w:p>
        </w:tc>
        <w:tc>
          <w:tcPr>
            <w:tcW w:w="1082" w:type="dxa"/>
            <w:shd w:val="clear" w:color="auto" w:fill="C6EFCE"/>
          </w:tcPr>
          <w:p w14:paraId="07CC20C5"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3D11EC86" w14:textId="77777777" w:rsidR="006578ED" w:rsidRDefault="00A1618E">
            <w:pPr>
              <w:pStyle w:val="P68B1DB1-Normal13"/>
              <w:jc w:val="right"/>
              <w:rPr>
                <w:rFonts w:cs="Times New Roman"/>
                <w:noProof/>
              </w:rPr>
            </w:pPr>
            <w:r>
              <w:rPr>
                <w:noProof/>
              </w:rPr>
              <w:t> </w:t>
            </w:r>
          </w:p>
        </w:tc>
        <w:tc>
          <w:tcPr>
            <w:tcW w:w="709" w:type="dxa"/>
            <w:shd w:val="clear" w:color="auto" w:fill="C6EFCE"/>
          </w:tcPr>
          <w:p w14:paraId="73ABAB0A" w14:textId="77777777" w:rsidR="006578ED" w:rsidRDefault="00A1618E">
            <w:pPr>
              <w:pStyle w:val="P68B1DB1-Normal13"/>
              <w:jc w:val="right"/>
              <w:rPr>
                <w:rFonts w:cs="Times New Roman"/>
                <w:noProof/>
              </w:rPr>
            </w:pPr>
            <w:r>
              <w:rPr>
                <w:noProof/>
              </w:rPr>
              <w:t> </w:t>
            </w:r>
          </w:p>
        </w:tc>
        <w:tc>
          <w:tcPr>
            <w:tcW w:w="567" w:type="dxa"/>
            <w:shd w:val="clear" w:color="auto" w:fill="C6EFCE"/>
          </w:tcPr>
          <w:p w14:paraId="1BCDA116" w14:textId="05C973A1" w:rsidR="006578ED" w:rsidRDefault="00EC188C">
            <w:pPr>
              <w:pStyle w:val="P68B1DB1-Normal13"/>
              <w:jc w:val="center"/>
              <w:rPr>
                <w:rFonts w:cs="Times New Roman"/>
                <w:noProof/>
              </w:rPr>
            </w:pPr>
            <w:r>
              <w:rPr>
                <w:noProof/>
              </w:rPr>
              <w:t>KW. 3</w:t>
            </w:r>
          </w:p>
        </w:tc>
        <w:tc>
          <w:tcPr>
            <w:tcW w:w="822" w:type="dxa"/>
            <w:shd w:val="clear" w:color="auto" w:fill="C6EFCE"/>
          </w:tcPr>
          <w:p w14:paraId="3AA9859C" w14:textId="77777777" w:rsidR="006578ED" w:rsidRDefault="00A1618E">
            <w:pPr>
              <w:pStyle w:val="P68B1DB1-Normal13"/>
              <w:jc w:val="center"/>
              <w:rPr>
                <w:rFonts w:cs="Times New Roman"/>
                <w:noProof/>
              </w:rPr>
            </w:pPr>
            <w:r>
              <w:rPr>
                <w:noProof/>
              </w:rPr>
              <w:t>2023</w:t>
            </w:r>
          </w:p>
        </w:tc>
        <w:tc>
          <w:tcPr>
            <w:tcW w:w="3998" w:type="dxa"/>
            <w:shd w:val="clear" w:color="auto" w:fill="C6EFCE"/>
          </w:tcPr>
          <w:p w14:paraId="1477897E" w14:textId="6570E827" w:rsidR="006578ED" w:rsidRDefault="00A1618E">
            <w:pPr>
              <w:pStyle w:val="P68B1DB1-Normal13"/>
              <w:rPr>
                <w:rFonts w:cs="Times New Roman"/>
                <w:noProof/>
              </w:rPr>
            </w:pPr>
            <w:r>
              <w:rPr>
                <w:noProof/>
              </w:rPr>
              <w:t>Centralna administracja i regiony dysponują w pełni interoperacyjnymi platformami umożliwiającymi wymianę danych i informacji dotyczących zabezpieczenia społecznego w następujących dziedzinach: podstawowa opieka zdrowotna, (ii) hospitalizacja, iii) pracownicy służby zdrowia, recepta/wydawanie leków</w:t>
            </w:r>
          </w:p>
        </w:tc>
      </w:tr>
      <w:tr w:rsidR="006578ED" w14:paraId="4B26C5BC" w14:textId="77777777">
        <w:trPr>
          <w:trHeight w:val="309"/>
        </w:trPr>
        <w:tc>
          <w:tcPr>
            <w:tcW w:w="1223" w:type="dxa"/>
            <w:shd w:val="clear" w:color="auto" w:fill="C6EFCE"/>
          </w:tcPr>
          <w:p w14:paraId="2E00A2AF" w14:textId="77777777" w:rsidR="006578ED" w:rsidRDefault="00A1618E">
            <w:pPr>
              <w:pStyle w:val="P68B1DB1-Normal13"/>
              <w:jc w:val="center"/>
              <w:rPr>
                <w:rFonts w:cs="Times New Roman"/>
                <w:noProof/>
              </w:rPr>
            </w:pPr>
            <w:r>
              <w:rPr>
                <w:noProof/>
              </w:rPr>
              <w:t>164</w:t>
            </w:r>
          </w:p>
        </w:tc>
        <w:tc>
          <w:tcPr>
            <w:tcW w:w="1448" w:type="dxa"/>
            <w:shd w:val="clear" w:color="auto" w:fill="C6EFCE"/>
          </w:tcPr>
          <w:p w14:paraId="696DD7AF" w14:textId="77777777" w:rsidR="006578ED" w:rsidRDefault="00A1618E">
            <w:pPr>
              <w:pStyle w:val="P68B1DB1-Normal13"/>
              <w:jc w:val="center"/>
              <w:rPr>
                <w:rFonts w:cs="Times New Roman"/>
                <w:noProof/>
              </w:rPr>
            </w:pPr>
            <w:r>
              <w:rPr>
                <w:noProof/>
              </w:rPr>
              <w:t>C11.I2</w:t>
            </w:r>
          </w:p>
        </w:tc>
        <w:tc>
          <w:tcPr>
            <w:tcW w:w="966" w:type="dxa"/>
            <w:shd w:val="clear" w:color="auto" w:fill="C6EFCE"/>
          </w:tcPr>
          <w:p w14:paraId="35F832AF" w14:textId="3F7FC806" w:rsidR="006578ED" w:rsidRDefault="00AF6B91">
            <w:pPr>
              <w:pStyle w:val="P68B1DB1-Normal13"/>
              <w:jc w:val="center"/>
              <w:rPr>
                <w:rFonts w:cs="Times New Roman"/>
                <w:noProof/>
              </w:rPr>
            </w:pPr>
            <w:r>
              <w:rPr>
                <w:noProof/>
              </w:rPr>
              <w:t>Cel</w:t>
            </w:r>
          </w:p>
        </w:tc>
        <w:tc>
          <w:tcPr>
            <w:tcW w:w="1631" w:type="dxa"/>
            <w:shd w:val="clear" w:color="auto" w:fill="C6EFCE"/>
          </w:tcPr>
          <w:p w14:paraId="0DBD42D0" w14:textId="77777777" w:rsidR="006578ED" w:rsidRDefault="00A1618E">
            <w:pPr>
              <w:pStyle w:val="P68B1DB1-Normal13"/>
              <w:rPr>
                <w:rFonts w:cs="Times New Roman"/>
                <w:noProof/>
              </w:rPr>
            </w:pPr>
            <w:r>
              <w:rPr>
                <w:noProof/>
              </w:rPr>
              <w:t>Postępowanie sądowe prowadzone drogą elektroniczną</w:t>
            </w:r>
          </w:p>
        </w:tc>
        <w:tc>
          <w:tcPr>
            <w:tcW w:w="1442" w:type="dxa"/>
            <w:shd w:val="clear" w:color="auto" w:fill="C6EFCE"/>
          </w:tcPr>
          <w:p w14:paraId="30B8D3DF" w14:textId="77777777" w:rsidR="006578ED" w:rsidRDefault="00A1618E">
            <w:pPr>
              <w:pStyle w:val="P68B1DB1-Normal13"/>
              <w:jc w:val="center"/>
              <w:rPr>
                <w:rFonts w:cs="Times New Roman"/>
                <w:noProof/>
              </w:rPr>
            </w:pPr>
            <w:r>
              <w:rPr>
                <w:noProof/>
              </w:rPr>
              <w:t> </w:t>
            </w:r>
          </w:p>
        </w:tc>
        <w:tc>
          <w:tcPr>
            <w:tcW w:w="1082" w:type="dxa"/>
            <w:shd w:val="clear" w:color="auto" w:fill="C6EFCE"/>
          </w:tcPr>
          <w:p w14:paraId="3DA4CF3B"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76AECD44" w14:textId="77777777" w:rsidR="006578ED" w:rsidRDefault="00A1618E">
            <w:pPr>
              <w:pStyle w:val="P68B1DB1-Normal13"/>
              <w:jc w:val="right"/>
              <w:rPr>
                <w:rFonts w:cs="Times New Roman"/>
                <w:noProof/>
              </w:rPr>
            </w:pPr>
            <w:r>
              <w:rPr>
                <w:noProof/>
              </w:rPr>
              <w:t>0</w:t>
            </w:r>
          </w:p>
        </w:tc>
        <w:tc>
          <w:tcPr>
            <w:tcW w:w="709" w:type="dxa"/>
            <w:shd w:val="clear" w:color="auto" w:fill="C6EFCE"/>
          </w:tcPr>
          <w:p w14:paraId="2B05AACE" w14:textId="77777777" w:rsidR="006578ED" w:rsidRDefault="00A1618E">
            <w:pPr>
              <w:pStyle w:val="P68B1DB1-Normal13"/>
              <w:jc w:val="right"/>
              <w:rPr>
                <w:rFonts w:cs="Times New Roman"/>
                <w:noProof/>
              </w:rPr>
            </w:pPr>
            <w:r>
              <w:rPr>
                <w:noProof/>
              </w:rPr>
              <w:t>70</w:t>
            </w:r>
          </w:p>
        </w:tc>
        <w:tc>
          <w:tcPr>
            <w:tcW w:w="567" w:type="dxa"/>
            <w:shd w:val="clear" w:color="auto" w:fill="C6EFCE"/>
          </w:tcPr>
          <w:p w14:paraId="1376797B" w14:textId="0155A324" w:rsidR="006578ED" w:rsidRDefault="00EC188C">
            <w:pPr>
              <w:pStyle w:val="P68B1DB1-Normal13"/>
              <w:jc w:val="center"/>
              <w:rPr>
                <w:rFonts w:cs="Times New Roman"/>
                <w:noProof/>
              </w:rPr>
            </w:pPr>
            <w:r>
              <w:rPr>
                <w:noProof/>
              </w:rPr>
              <w:t>KW. 4</w:t>
            </w:r>
          </w:p>
        </w:tc>
        <w:tc>
          <w:tcPr>
            <w:tcW w:w="822" w:type="dxa"/>
            <w:shd w:val="clear" w:color="auto" w:fill="C6EFCE"/>
          </w:tcPr>
          <w:p w14:paraId="431F1297" w14:textId="3CA06F1A" w:rsidR="006578ED" w:rsidRDefault="00A1618E">
            <w:pPr>
              <w:pStyle w:val="P68B1DB1-Normal13"/>
              <w:jc w:val="center"/>
              <w:rPr>
                <w:rFonts w:cs="Times New Roman"/>
                <w:noProof/>
              </w:rPr>
            </w:pPr>
            <w:r>
              <w:rPr>
                <w:noProof/>
              </w:rPr>
              <w:t>2022</w:t>
            </w:r>
          </w:p>
        </w:tc>
        <w:tc>
          <w:tcPr>
            <w:tcW w:w="3998" w:type="dxa"/>
            <w:shd w:val="clear" w:color="auto" w:fill="C6EFCE"/>
          </w:tcPr>
          <w:p w14:paraId="1A18F975" w14:textId="6A0D6A1C" w:rsidR="006578ED" w:rsidRDefault="00A1618E">
            <w:pPr>
              <w:pStyle w:val="P68B1DB1-Normal13"/>
              <w:rPr>
                <w:rFonts w:cs="Times New Roman"/>
                <w:noProof/>
              </w:rPr>
            </w:pPr>
            <w:r>
              <w:rPr>
                <w:noProof/>
              </w:rPr>
              <w:t>Co najmniej 70 % z 4056 istniejących organów sądowych posiada niezbędną infrastrukturę umożliwiającą prowadzenie co najmniej 30 % postępowań drogą elektroniczną. Wiąże się to z prowadzeniem telematycznych postępowań sądowych w różnych organach sądowych przy zachowaniu pełnej pewności prawa. Aby osiągnąć ten cel, wszyscy uczestnicy muszą mieć dostęp do sal rozpraw w drodze wideokonferencji. Ponadto umożliwia tworzenie w pełni wirtualnych sal rozpraw, do których wszyscy uczestnicy mogą mieć dostęp za pośrednictwem wideokonferencji. W celu ustanowienia nowych modeli kontaktów niebezpośrednich i przetwarzania danych tworzy się platformę służącą do tworzenia nowych modeli kontaktów niebezpośrednich. Poprawi to zdalny dostęp obywateli do usług świadczonych przez administrację publiczną.</w:t>
            </w:r>
          </w:p>
        </w:tc>
      </w:tr>
      <w:tr w:rsidR="006578ED" w14:paraId="599998E8" w14:textId="77777777">
        <w:trPr>
          <w:trHeight w:val="343"/>
        </w:trPr>
        <w:tc>
          <w:tcPr>
            <w:tcW w:w="1223" w:type="dxa"/>
            <w:tcBorders>
              <w:top w:val="single" w:sz="4" w:space="0" w:color="auto"/>
              <w:left w:val="single" w:sz="4" w:space="0" w:color="auto"/>
              <w:bottom w:val="single" w:sz="4" w:space="0" w:color="auto"/>
              <w:right w:val="single" w:sz="4" w:space="0" w:color="auto"/>
            </w:tcBorders>
            <w:shd w:val="clear" w:color="auto" w:fill="C6EFCE"/>
          </w:tcPr>
          <w:p w14:paraId="297C9B09" w14:textId="77777777" w:rsidR="006578ED" w:rsidRDefault="00A1618E">
            <w:pPr>
              <w:pStyle w:val="P68B1DB1-Normal13"/>
              <w:jc w:val="center"/>
              <w:rPr>
                <w:rFonts w:cs="Times New Roman"/>
                <w:noProof/>
              </w:rPr>
            </w:pPr>
            <w:r>
              <w:rPr>
                <w:noProof/>
              </w:rPr>
              <w:t>165</w:t>
            </w:r>
          </w:p>
        </w:tc>
        <w:tc>
          <w:tcPr>
            <w:tcW w:w="1448" w:type="dxa"/>
            <w:tcBorders>
              <w:top w:val="single" w:sz="4" w:space="0" w:color="auto"/>
              <w:left w:val="single" w:sz="4" w:space="0" w:color="auto"/>
              <w:bottom w:val="single" w:sz="4" w:space="0" w:color="auto"/>
              <w:right w:val="single" w:sz="4" w:space="0" w:color="auto"/>
            </w:tcBorders>
            <w:shd w:val="clear" w:color="auto" w:fill="C6EFCE"/>
          </w:tcPr>
          <w:p w14:paraId="2C5464AA" w14:textId="77777777" w:rsidR="006578ED" w:rsidRDefault="00A1618E">
            <w:pPr>
              <w:pStyle w:val="P68B1DB1-Normal13"/>
              <w:jc w:val="center"/>
              <w:rPr>
                <w:rFonts w:cs="Times New Roman"/>
                <w:noProof/>
              </w:rPr>
            </w:pPr>
            <w:r>
              <w:rPr>
                <w:noProof/>
              </w:rPr>
              <w:t>C11.I2</w:t>
            </w:r>
          </w:p>
        </w:tc>
        <w:tc>
          <w:tcPr>
            <w:tcW w:w="966" w:type="dxa"/>
            <w:tcBorders>
              <w:top w:val="single" w:sz="4" w:space="0" w:color="auto"/>
              <w:left w:val="single" w:sz="4" w:space="0" w:color="auto"/>
              <w:bottom w:val="single" w:sz="4" w:space="0" w:color="auto"/>
              <w:right w:val="single" w:sz="4" w:space="0" w:color="auto"/>
            </w:tcBorders>
            <w:shd w:val="clear" w:color="auto" w:fill="C6EFCE"/>
          </w:tcPr>
          <w:p w14:paraId="3CA690AB" w14:textId="0FA724AD" w:rsidR="006578ED" w:rsidRDefault="00AF6B91">
            <w:pPr>
              <w:pStyle w:val="P68B1DB1-Normal13"/>
              <w:jc w:val="center"/>
              <w:rPr>
                <w:rFonts w:cs="Times New Roman"/>
                <w:noProof/>
              </w:rPr>
            </w:pPr>
            <w:r>
              <w:rPr>
                <w:noProof/>
              </w:rPr>
              <w:t>Cel</w:t>
            </w:r>
          </w:p>
        </w:tc>
        <w:tc>
          <w:tcPr>
            <w:tcW w:w="1631" w:type="dxa"/>
            <w:tcBorders>
              <w:top w:val="single" w:sz="4" w:space="0" w:color="auto"/>
              <w:left w:val="single" w:sz="4" w:space="0" w:color="auto"/>
              <w:bottom w:val="single" w:sz="4" w:space="0" w:color="auto"/>
              <w:right w:val="single" w:sz="4" w:space="0" w:color="auto"/>
            </w:tcBorders>
            <w:shd w:val="clear" w:color="auto" w:fill="C6EFCE"/>
          </w:tcPr>
          <w:p w14:paraId="5D08D1D3" w14:textId="7F5F56A5" w:rsidR="006578ED" w:rsidRDefault="00A1618E">
            <w:pPr>
              <w:pStyle w:val="P68B1DB1-Normal13"/>
              <w:rPr>
                <w:rFonts w:cs="Times New Roman"/>
                <w:noProof/>
              </w:rPr>
            </w:pPr>
            <w:r>
              <w:rPr>
                <w:noProof/>
              </w:rPr>
              <w:t>Przyznawanie dotacji na projekty wspierające projekty Centralnej Administracji Publicznej związane z cyfryzacją</w:t>
            </w:r>
          </w:p>
        </w:tc>
        <w:tc>
          <w:tcPr>
            <w:tcW w:w="1442" w:type="dxa"/>
            <w:tcBorders>
              <w:top w:val="single" w:sz="4" w:space="0" w:color="auto"/>
              <w:left w:val="single" w:sz="4" w:space="0" w:color="auto"/>
              <w:bottom w:val="single" w:sz="4" w:space="0" w:color="auto"/>
              <w:right w:val="single" w:sz="4" w:space="0" w:color="auto"/>
            </w:tcBorders>
            <w:shd w:val="clear" w:color="auto" w:fill="C6EFCE"/>
          </w:tcPr>
          <w:p w14:paraId="36668676" w14:textId="77777777" w:rsidR="006578ED" w:rsidRDefault="00A1618E">
            <w:pPr>
              <w:pStyle w:val="P68B1DB1-Normal13"/>
              <w:jc w:val="center"/>
              <w:rPr>
                <w:rFonts w:cs="Times New Roman"/>
                <w:noProof/>
              </w:rPr>
            </w:pPr>
            <w:r>
              <w:rPr>
                <w:noProof/>
              </w:rPr>
              <w:t> </w:t>
            </w:r>
          </w:p>
        </w:tc>
        <w:tc>
          <w:tcPr>
            <w:tcW w:w="1082" w:type="dxa"/>
            <w:tcBorders>
              <w:top w:val="single" w:sz="4" w:space="0" w:color="auto"/>
              <w:left w:val="single" w:sz="4" w:space="0" w:color="auto"/>
              <w:bottom w:val="single" w:sz="4" w:space="0" w:color="auto"/>
              <w:right w:val="single" w:sz="4" w:space="0" w:color="auto"/>
            </w:tcBorders>
            <w:shd w:val="clear" w:color="auto" w:fill="C6EFCE"/>
          </w:tcPr>
          <w:p w14:paraId="16412B8B" w14:textId="77777777" w:rsidR="006578ED" w:rsidRDefault="00A1618E">
            <w:pPr>
              <w:pStyle w:val="P68B1DB1-Normal13"/>
              <w:jc w:val="right"/>
              <w:rPr>
                <w:rFonts w:cs="Times New Roman"/>
                <w:noProof/>
              </w:rPr>
            </w:pPr>
            <w:r>
              <w:rPr>
                <w:noProof/>
              </w:rPr>
              <w:t>Mln EUR</w:t>
            </w:r>
          </w:p>
        </w:tc>
        <w:tc>
          <w:tcPr>
            <w:tcW w:w="708" w:type="dxa"/>
            <w:tcBorders>
              <w:top w:val="single" w:sz="4" w:space="0" w:color="auto"/>
              <w:left w:val="single" w:sz="4" w:space="0" w:color="auto"/>
              <w:bottom w:val="single" w:sz="4" w:space="0" w:color="auto"/>
              <w:right w:val="single" w:sz="4" w:space="0" w:color="auto"/>
            </w:tcBorders>
            <w:shd w:val="clear" w:color="auto" w:fill="C6EFCE"/>
          </w:tcPr>
          <w:p w14:paraId="5D3042B2" w14:textId="77777777" w:rsidR="006578ED" w:rsidRDefault="00A1618E">
            <w:pPr>
              <w:pStyle w:val="P68B1DB1-Normal13"/>
              <w:jc w:val="right"/>
              <w:rPr>
                <w:rFonts w:cs="Times New Roman"/>
                <w:noProof/>
              </w:rPr>
            </w:pPr>
            <w:r>
              <w:rPr>
                <w:noProof/>
              </w:rPr>
              <w:t>0</w:t>
            </w:r>
          </w:p>
        </w:tc>
        <w:tc>
          <w:tcPr>
            <w:tcW w:w="709" w:type="dxa"/>
            <w:tcBorders>
              <w:top w:val="single" w:sz="4" w:space="0" w:color="auto"/>
              <w:left w:val="single" w:sz="4" w:space="0" w:color="auto"/>
              <w:bottom w:val="single" w:sz="4" w:space="0" w:color="auto"/>
              <w:right w:val="single" w:sz="4" w:space="0" w:color="auto"/>
            </w:tcBorders>
            <w:shd w:val="clear" w:color="auto" w:fill="C6EFCE"/>
          </w:tcPr>
          <w:p w14:paraId="1F7B8048" w14:textId="77777777" w:rsidR="006578ED" w:rsidRDefault="00A1618E">
            <w:pPr>
              <w:pStyle w:val="P68B1DB1-Normal13"/>
              <w:jc w:val="right"/>
              <w:rPr>
                <w:rFonts w:cs="Times New Roman"/>
                <w:noProof/>
              </w:rPr>
            </w:pPr>
            <w:r>
              <w:rPr>
                <w:noProof/>
              </w:rPr>
              <w:t>1 205</w:t>
            </w:r>
          </w:p>
        </w:tc>
        <w:tc>
          <w:tcPr>
            <w:tcW w:w="567" w:type="dxa"/>
            <w:tcBorders>
              <w:top w:val="single" w:sz="4" w:space="0" w:color="auto"/>
              <w:left w:val="single" w:sz="4" w:space="0" w:color="auto"/>
              <w:bottom w:val="single" w:sz="4" w:space="0" w:color="auto"/>
              <w:right w:val="single" w:sz="4" w:space="0" w:color="auto"/>
            </w:tcBorders>
            <w:shd w:val="clear" w:color="auto" w:fill="C6EFCE"/>
          </w:tcPr>
          <w:p w14:paraId="5FF506EC" w14:textId="7FA5911D" w:rsidR="006578ED" w:rsidRDefault="00EC188C">
            <w:pPr>
              <w:pStyle w:val="P68B1DB1-Normal13"/>
              <w:jc w:val="center"/>
              <w:rPr>
                <w:rFonts w:cs="Times New Roman"/>
                <w:noProof/>
              </w:rPr>
            </w:pPr>
            <w:r>
              <w:rPr>
                <w:noProof/>
              </w:rPr>
              <w:t>KW. 4</w:t>
            </w:r>
          </w:p>
        </w:tc>
        <w:tc>
          <w:tcPr>
            <w:tcW w:w="822" w:type="dxa"/>
            <w:tcBorders>
              <w:top w:val="single" w:sz="4" w:space="0" w:color="auto"/>
              <w:left w:val="single" w:sz="4" w:space="0" w:color="auto"/>
              <w:bottom w:val="single" w:sz="4" w:space="0" w:color="auto"/>
              <w:right w:val="single" w:sz="4" w:space="0" w:color="auto"/>
            </w:tcBorders>
            <w:shd w:val="clear" w:color="auto" w:fill="C6EFCE"/>
          </w:tcPr>
          <w:p w14:paraId="5617717C" w14:textId="77777777" w:rsidR="006578ED" w:rsidRDefault="00A1618E">
            <w:pPr>
              <w:pStyle w:val="P68B1DB1-Normal13"/>
              <w:jc w:val="center"/>
              <w:rPr>
                <w:rFonts w:cs="Times New Roman"/>
                <w:noProof/>
              </w:rPr>
            </w:pPr>
            <w:r>
              <w:rPr>
                <w:noProof/>
              </w:rPr>
              <w:t>2023</w:t>
            </w:r>
          </w:p>
        </w:tc>
        <w:tc>
          <w:tcPr>
            <w:tcW w:w="3998" w:type="dxa"/>
            <w:tcBorders>
              <w:top w:val="single" w:sz="4" w:space="0" w:color="auto"/>
              <w:left w:val="single" w:sz="4" w:space="0" w:color="auto"/>
              <w:bottom w:val="single" w:sz="4" w:space="0" w:color="auto"/>
              <w:right w:val="single" w:sz="4" w:space="0" w:color="auto"/>
            </w:tcBorders>
            <w:shd w:val="clear" w:color="auto" w:fill="C6EFCE"/>
          </w:tcPr>
          <w:p w14:paraId="5C699583" w14:textId="07B6BC8C" w:rsidR="006578ED" w:rsidRDefault="00A1618E">
            <w:pPr>
              <w:pStyle w:val="P68B1DB1-Normal13"/>
              <w:rPr>
                <w:rFonts w:cs="Times New Roman"/>
                <w:noProof/>
              </w:rPr>
            </w:pPr>
            <w:r>
              <w:rPr>
                <w:noProof/>
              </w:rPr>
              <w:t>Publikacja w Dz.U. lub na platformie zamówień publicznych przyznania dotacji na projekty obejmujące następujące obszary:</w:t>
            </w:r>
            <w:r>
              <w:rPr>
                <w:noProof/>
              </w:rPr>
              <w:br/>
              <w:t>Transformacja cyfrowa w sektorze zdrowia;</w:t>
            </w:r>
            <w:r>
              <w:rPr>
                <w:noProof/>
              </w:rPr>
              <w:br/>
              <w:t>Transformacja cyfrowa wymiaru sprawiedliwości;</w:t>
            </w:r>
            <w:r>
              <w:rPr>
                <w:noProof/>
              </w:rPr>
              <w:br/>
              <w:t>Transformacja cyfrowa pod względem zatrudnienia;</w:t>
            </w:r>
            <w:r>
              <w:rPr>
                <w:noProof/>
              </w:rPr>
              <w:br/>
              <w:t>Transformacja cyfrowa pod względem włączenia społecznego, zabezpieczenia społecznego i migracji;</w:t>
            </w:r>
            <w:r>
              <w:rPr>
                <w:noProof/>
              </w:rPr>
              <w:br/>
              <w:t>—Plan digitalizacji konsularnej;</w:t>
            </w:r>
            <w:r>
              <w:rPr>
                <w:noProof/>
              </w:rPr>
              <w:br/>
              <w:t>Transformacja cyfrowa w innych obszarach ogólnej administracji państwowej.</w:t>
            </w:r>
          </w:p>
        </w:tc>
      </w:tr>
      <w:tr w:rsidR="006578ED" w14:paraId="30C22732" w14:textId="77777777">
        <w:trPr>
          <w:trHeight w:val="309"/>
        </w:trPr>
        <w:tc>
          <w:tcPr>
            <w:tcW w:w="1223" w:type="dxa"/>
            <w:shd w:val="clear" w:color="auto" w:fill="C6EFCE"/>
          </w:tcPr>
          <w:p w14:paraId="748BDFB5" w14:textId="77777777" w:rsidR="006578ED" w:rsidRDefault="00A1618E">
            <w:pPr>
              <w:pStyle w:val="P68B1DB1-Normal13"/>
              <w:jc w:val="center"/>
              <w:rPr>
                <w:rFonts w:cs="Times New Roman"/>
                <w:noProof/>
              </w:rPr>
            </w:pPr>
            <w:r>
              <w:rPr>
                <w:noProof/>
              </w:rPr>
              <w:t>166</w:t>
            </w:r>
          </w:p>
        </w:tc>
        <w:tc>
          <w:tcPr>
            <w:tcW w:w="1448" w:type="dxa"/>
            <w:shd w:val="clear" w:color="auto" w:fill="C6EFCE"/>
          </w:tcPr>
          <w:p w14:paraId="35122461" w14:textId="77777777" w:rsidR="006578ED" w:rsidRDefault="00A1618E">
            <w:pPr>
              <w:pStyle w:val="P68B1DB1-Normal13"/>
              <w:jc w:val="center"/>
              <w:rPr>
                <w:rFonts w:cs="Times New Roman"/>
                <w:noProof/>
              </w:rPr>
            </w:pPr>
            <w:r>
              <w:rPr>
                <w:noProof/>
              </w:rPr>
              <w:t>C11.I2</w:t>
            </w:r>
          </w:p>
        </w:tc>
        <w:tc>
          <w:tcPr>
            <w:tcW w:w="966" w:type="dxa"/>
            <w:shd w:val="clear" w:color="auto" w:fill="C6EFCE"/>
          </w:tcPr>
          <w:p w14:paraId="140A805F" w14:textId="4C6ED4E1" w:rsidR="006578ED" w:rsidRDefault="00AF6B91">
            <w:pPr>
              <w:pStyle w:val="P68B1DB1-Normal13"/>
              <w:jc w:val="center"/>
              <w:rPr>
                <w:rFonts w:cs="Times New Roman"/>
                <w:noProof/>
              </w:rPr>
            </w:pPr>
            <w:r>
              <w:rPr>
                <w:noProof/>
              </w:rPr>
              <w:t>Kamień milowy</w:t>
            </w:r>
          </w:p>
        </w:tc>
        <w:tc>
          <w:tcPr>
            <w:tcW w:w="1631" w:type="dxa"/>
            <w:shd w:val="clear" w:color="auto" w:fill="C6EFCE"/>
          </w:tcPr>
          <w:p w14:paraId="71EB7BE6" w14:textId="7B4A536B" w:rsidR="006578ED" w:rsidRDefault="00A1618E">
            <w:pPr>
              <w:pStyle w:val="P68B1DB1-Normal13"/>
              <w:rPr>
                <w:rFonts w:cs="Times New Roman"/>
                <w:noProof/>
              </w:rPr>
            </w:pPr>
            <w:r>
              <w:rPr>
                <w:noProof/>
              </w:rPr>
              <w:t>Zakończenie projektów wspierających projekty Centralnej Administracji Publicznej związane z cyfryzacją</w:t>
            </w:r>
          </w:p>
        </w:tc>
        <w:tc>
          <w:tcPr>
            <w:tcW w:w="1442" w:type="dxa"/>
            <w:shd w:val="clear" w:color="auto" w:fill="C6EFCE"/>
          </w:tcPr>
          <w:p w14:paraId="71FD1A04" w14:textId="77777777" w:rsidR="006578ED" w:rsidRDefault="00A1618E">
            <w:pPr>
              <w:pStyle w:val="P68B1DB1-Normal13"/>
              <w:jc w:val="center"/>
              <w:rPr>
                <w:rFonts w:cs="Times New Roman"/>
                <w:noProof/>
              </w:rPr>
            </w:pPr>
            <w:r>
              <w:rPr>
                <w:noProof/>
              </w:rPr>
              <w:t>Certyfikaty podpisane przez właściwy organ poświadczające, że projekty zostały ukończone i są operacyjne</w:t>
            </w:r>
          </w:p>
        </w:tc>
        <w:tc>
          <w:tcPr>
            <w:tcW w:w="1082" w:type="dxa"/>
            <w:shd w:val="clear" w:color="auto" w:fill="C6EFCE"/>
          </w:tcPr>
          <w:p w14:paraId="15DC0836" w14:textId="77777777" w:rsidR="006578ED" w:rsidRDefault="00A1618E">
            <w:pPr>
              <w:pStyle w:val="P68B1DB1-Normal13"/>
              <w:jc w:val="right"/>
              <w:rPr>
                <w:rFonts w:cs="Times New Roman"/>
                <w:noProof/>
              </w:rPr>
            </w:pPr>
            <w:r>
              <w:rPr>
                <w:noProof/>
              </w:rPr>
              <w:t> </w:t>
            </w:r>
          </w:p>
        </w:tc>
        <w:tc>
          <w:tcPr>
            <w:tcW w:w="708" w:type="dxa"/>
            <w:shd w:val="clear" w:color="auto" w:fill="C6EFCE"/>
          </w:tcPr>
          <w:p w14:paraId="3533C3BA" w14:textId="77777777" w:rsidR="006578ED" w:rsidRDefault="00A1618E">
            <w:pPr>
              <w:pStyle w:val="P68B1DB1-Normal13"/>
              <w:jc w:val="right"/>
              <w:rPr>
                <w:rFonts w:cs="Times New Roman"/>
                <w:noProof/>
              </w:rPr>
            </w:pPr>
            <w:r>
              <w:rPr>
                <w:noProof/>
              </w:rPr>
              <w:t> </w:t>
            </w:r>
          </w:p>
        </w:tc>
        <w:tc>
          <w:tcPr>
            <w:tcW w:w="709" w:type="dxa"/>
            <w:shd w:val="clear" w:color="auto" w:fill="C6EFCE"/>
          </w:tcPr>
          <w:p w14:paraId="1DE894AF" w14:textId="77777777" w:rsidR="006578ED" w:rsidRDefault="00A1618E">
            <w:pPr>
              <w:pStyle w:val="P68B1DB1-Normal13"/>
              <w:jc w:val="right"/>
              <w:rPr>
                <w:rFonts w:cs="Times New Roman"/>
                <w:noProof/>
              </w:rPr>
            </w:pPr>
            <w:r>
              <w:rPr>
                <w:noProof/>
              </w:rPr>
              <w:t> </w:t>
            </w:r>
          </w:p>
        </w:tc>
        <w:tc>
          <w:tcPr>
            <w:tcW w:w="567" w:type="dxa"/>
            <w:shd w:val="clear" w:color="auto" w:fill="C6EFCE"/>
          </w:tcPr>
          <w:p w14:paraId="7E9CB671" w14:textId="27023BE0" w:rsidR="006578ED" w:rsidRDefault="00EC188C">
            <w:pPr>
              <w:pStyle w:val="P68B1DB1-Normal13"/>
              <w:jc w:val="center"/>
              <w:rPr>
                <w:rFonts w:cs="Times New Roman"/>
                <w:noProof/>
              </w:rPr>
            </w:pPr>
            <w:r>
              <w:rPr>
                <w:noProof/>
              </w:rPr>
              <w:t>KW. 4</w:t>
            </w:r>
          </w:p>
        </w:tc>
        <w:tc>
          <w:tcPr>
            <w:tcW w:w="822" w:type="dxa"/>
            <w:shd w:val="clear" w:color="auto" w:fill="C6EFCE"/>
          </w:tcPr>
          <w:p w14:paraId="5D100815" w14:textId="77777777" w:rsidR="006578ED" w:rsidRDefault="00A1618E">
            <w:pPr>
              <w:pStyle w:val="P68B1DB1-Normal13"/>
              <w:jc w:val="center"/>
              <w:rPr>
                <w:rFonts w:cs="Times New Roman"/>
                <w:noProof/>
              </w:rPr>
            </w:pPr>
            <w:r>
              <w:rPr>
                <w:noProof/>
              </w:rPr>
              <w:t>2025</w:t>
            </w:r>
          </w:p>
        </w:tc>
        <w:tc>
          <w:tcPr>
            <w:tcW w:w="3998" w:type="dxa"/>
            <w:shd w:val="clear" w:color="auto" w:fill="C6EFCE"/>
          </w:tcPr>
          <w:p w14:paraId="4B12F15C" w14:textId="4683FB57" w:rsidR="006578ED" w:rsidRDefault="00A1618E">
            <w:pPr>
              <w:pStyle w:val="P68B1DB1-Normal13"/>
              <w:rPr>
                <w:rFonts w:cs="Times New Roman"/>
                <w:noProof/>
              </w:rPr>
            </w:pPr>
            <w:r>
              <w:rPr>
                <w:noProof/>
              </w:rPr>
              <w:t>Zakończenie projektów przyznanych zgodnie z celem nr #165</w:t>
            </w:r>
          </w:p>
        </w:tc>
      </w:tr>
      <w:tr w:rsidR="006578ED" w14:paraId="1F8EC9B7" w14:textId="77777777">
        <w:trPr>
          <w:trHeight w:val="309"/>
        </w:trPr>
        <w:tc>
          <w:tcPr>
            <w:tcW w:w="1223" w:type="dxa"/>
            <w:shd w:val="clear" w:color="auto" w:fill="C6EFCE"/>
          </w:tcPr>
          <w:p w14:paraId="23667BAA" w14:textId="77777777" w:rsidR="006578ED" w:rsidRDefault="00A1618E">
            <w:pPr>
              <w:pStyle w:val="P68B1DB1-Normal13"/>
              <w:jc w:val="center"/>
              <w:rPr>
                <w:rFonts w:cs="Times New Roman"/>
                <w:noProof/>
              </w:rPr>
            </w:pPr>
            <w:r>
              <w:rPr>
                <w:noProof/>
              </w:rPr>
              <w:t>167</w:t>
            </w:r>
          </w:p>
        </w:tc>
        <w:tc>
          <w:tcPr>
            <w:tcW w:w="1448" w:type="dxa"/>
            <w:shd w:val="clear" w:color="auto" w:fill="C6EFCE"/>
          </w:tcPr>
          <w:p w14:paraId="2DA2DBB6" w14:textId="77777777" w:rsidR="006578ED" w:rsidRDefault="00A1618E">
            <w:pPr>
              <w:pStyle w:val="P68B1DB1-Normal13"/>
              <w:jc w:val="center"/>
              <w:rPr>
                <w:rFonts w:cs="Times New Roman"/>
                <w:noProof/>
              </w:rPr>
            </w:pPr>
            <w:r>
              <w:rPr>
                <w:noProof/>
              </w:rPr>
              <w:t>C11.I3</w:t>
            </w:r>
          </w:p>
        </w:tc>
        <w:tc>
          <w:tcPr>
            <w:tcW w:w="966" w:type="dxa"/>
            <w:shd w:val="clear" w:color="auto" w:fill="C6EFCE"/>
          </w:tcPr>
          <w:p w14:paraId="5BD39C5F" w14:textId="655E68F9" w:rsidR="006578ED" w:rsidRDefault="00AF6B91">
            <w:pPr>
              <w:pStyle w:val="P68B1DB1-Normal13"/>
              <w:jc w:val="center"/>
              <w:rPr>
                <w:rFonts w:cs="Times New Roman"/>
                <w:noProof/>
              </w:rPr>
            </w:pPr>
            <w:r>
              <w:rPr>
                <w:noProof/>
              </w:rPr>
              <w:t>Kamień milowy</w:t>
            </w:r>
          </w:p>
        </w:tc>
        <w:tc>
          <w:tcPr>
            <w:tcW w:w="1631" w:type="dxa"/>
            <w:shd w:val="clear" w:color="auto" w:fill="C6EFCE"/>
          </w:tcPr>
          <w:p w14:paraId="6022DEBF" w14:textId="1A4B6C51" w:rsidR="006578ED" w:rsidRDefault="00A1618E">
            <w:pPr>
              <w:pStyle w:val="P68B1DB1-Normal13"/>
              <w:rPr>
                <w:rFonts w:cs="Times New Roman"/>
                <w:noProof/>
              </w:rPr>
            </w:pPr>
            <w:r>
              <w:rPr>
                <w:noProof/>
              </w:rPr>
              <w:t>Cyfryzacja podmiotów regionalnych i lokalnych</w:t>
            </w:r>
          </w:p>
        </w:tc>
        <w:tc>
          <w:tcPr>
            <w:tcW w:w="1442" w:type="dxa"/>
            <w:shd w:val="clear" w:color="auto" w:fill="C6EFCE"/>
          </w:tcPr>
          <w:p w14:paraId="34C8375B" w14:textId="270ADCF8" w:rsidR="006578ED" w:rsidRDefault="00A1618E">
            <w:pPr>
              <w:pStyle w:val="P68B1DB1-Normal13"/>
              <w:jc w:val="center"/>
              <w:rPr>
                <w:rFonts w:cs="Times New Roman"/>
                <w:noProof/>
              </w:rPr>
            </w:pPr>
            <w:r>
              <w:rPr>
                <w:noProof/>
              </w:rPr>
              <w:t>Ministerstwo Polityki Terytorialnej i Służby Publicznej przedstawia podpisane zaświadczenie potwierdzające, że cel został osiągnięty</w:t>
            </w:r>
          </w:p>
        </w:tc>
        <w:tc>
          <w:tcPr>
            <w:tcW w:w="1082" w:type="dxa"/>
            <w:shd w:val="clear" w:color="auto" w:fill="C6EFCE"/>
          </w:tcPr>
          <w:p w14:paraId="00005C1A" w14:textId="77777777" w:rsidR="006578ED" w:rsidRDefault="00A1618E">
            <w:pPr>
              <w:pStyle w:val="P68B1DB1-Normal13"/>
              <w:jc w:val="right"/>
              <w:rPr>
                <w:rFonts w:cs="Times New Roman"/>
                <w:noProof/>
              </w:rPr>
            </w:pPr>
            <w:r>
              <w:rPr>
                <w:noProof/>
              </w:rPr>
              <w:t> </w:t>
            </w:r>
          </w:p>
        </w:tc>
        <w:tc>
          <w:tcPr>
            <w:tcW w:w="708" w:type="dxa"/>
            <w:shd w:val="clear" w:color="auto" w:fill="C6EFCE"/>
          </w:tcPr>
          <w:p w14:paraId="28DA1435" w14:textId="77777777" w:rsidR="006578ED" w:rsidRDefault="00A1618E">
            <w:pPr>
              <w:pStyle w:val="P68B1DB1-Normal13"/>
              <w:jc w:val="right"/>
              <w:rPr>
                <w:rFonts w:cs="Times New Roman"/>
                <w:noProof/>
              </w:rPr>
            </w:pPr>
            <w:r>
              <w:rPr>
                <w:noProof/>
              </w:rPr>
              <w:t> </w:t>
            </w:r>
          </w:p>
        </w:tc>
        <w:tc>
          <w:tcPr>
            <w:tcW w:w="709" w:type="dxa"/>
            <w:shd w:val="clear" w:color="auto" w:fill="C6EFCE"/>
          </w:tcPr>
          <w:p w14:paraId="51460906" w14:textId="77777777" w:rsidR="006578ED" w:rsidRDefault="00A1618E">
            <w:pPr>
              <w:pStyle w:val="P68B1DB1-Normal13"/>
              <w:jc w:val="right"/>
              <w:rPr>
                <w:rFonts w:cs="Times New Roman"/>
                <w:noProof/>
              </w:rPr>
            </w:pPr>
            <w:r>
              <w:rPr>
                <w:noProof/>
              </w:rPr>
              <w:t> </w:t>
            </w:r>
          </w:p>
        </w:tc>
        <w:tc>
          <w:tcPr>
            <w:tcW w:w="567" w:type="dxa"/>
            <w:shd w:val="clear" w:color="auto" w:fill="C6EFCE"/>
          </w:tcPr>
          <w:p w14:paraId="06D515A8" w14:textId="277FC00C" w:rsidR="006578ED" w:rsidRDefault="00EC188C">
            <w:pPr>
              <w:pStyle w:val="P68B1DB1-Normal13"/>
              <w:jc w:val="center"/>
              <w:rPr>
                <w:rFonts w:cs="Times New Roman"/>
                <w:noProof/>
              </w:rPr>
            </w:pPr>
            <w:r>
              <w:rPr>
                <w:noProof/>
              </w:rPr>
              <w:t>KW. 4</w:t>
            </w:r>
          </w:p>
        </w:tc>
        <w:tc>
          <w:tcPr>
            <w:tcW w:w="822" w:type="dxa"/>
            <w:shd w:val="clear" w:color="auto" w:fill="C6EFCE"/>
          </w:tcPr>
          <w:p w14:paraId="37AC85C7" w14:textId="77777777" w:rsidR="006578ED" w:rsidRDefault="00A1618E">
            <w:pPr>
              <w:pStyle w:val="P68B1DB1-Normal13"/>
              <w:jc w:val="center"/>
              <w:rPr>
                <w:rFonts w:cs="Times New Roman"/>
                <w:noProof/>
              </w:rPr>
            </w:pPr>
            <w:r>
              <w:rPr>
                <w:noProof/>
              </w:rPr>
              <w:t>2023</w:t>
            </w:r>
          </w:p>
        </w:tc>
        <w:tc>
          <w:tcPr>
            <w:tcW w:w="3998" w:type="dxa"/>
            <w:shd w:val="clear" w:color="auto" w:fill="C6EFCE"/>
          </w:tcPr>
          <w:p w14:paraId="70950286" w14:textId="11C27B98" w:rsidR="006578ED" w:rsidRDefault="00A1618E">
            <w:pPr>
              <w:pStyle w:val="P68B1DB1-Normal13"/>
              <w:rPr>
                <w:rFonts w:cs="Times New Roman"/>
                <w:noProof/>
              </w:rPr>
            </w:pPr>
            <w:r>
              <w:rPr>
                <w:noProof/>
              </w:rPr>
              <w:t xml:space="preserve">Wspólnoty autonomiczne i samorządy lokalne ukończyły projekty w ramach strategicznych kierunków strategii cyfrowej </w:t>
            </w:r>
            <w:r w:rsidRPr="00A1618E">
              <w:rPr>
                <w:noProof/>
                <w:lang w:val="pl-PL"/>
              </w:rPr>
              <w:t>na 2</w:t>
            </w:r>
            <w:r>
              <w:rPr>
                <w:noProof/>
              </w:rPr>
              <w:t>0</w:t>
            </w:r>
            <w:r w:rsidRPr="00A1618E">
              <w:rPr>
                <w:noProof/>
                <w:lang w:val="pl-PL"/>
              </w:rPr>
              <w:t>25 r.</w:t>
            </w:r>
            <w:r>
              <w:rPr>
                <w:noProof/>
              </w:rPr>
              <w:t xml:space="preserve">, planu cyfryzacji administracji publicznej oraz pozostałych działań modernizacyjnych planowanych dla sektora publicznego. W szczególności: a) Każda wspólnota autonomiczna ukończyła co najmniej jeden projekt w ramach jednej z pięciu linii strategicznych (1. Administracja ukierunkowana na obywateli, 2. Inteligentne operacje, 3. Rząd danych, 4. Infrastruktury cyfrowej </w:t>
            </w:r>
            <w:r w:rsidRPr="00A1618E">
              <w:rPr>
                <w:noProof/>
                <w:lang w:val="pl-PL"/>
              </w:rPr>
              <w:t>lub 5</w:t>
            </w:r>
            <w:r>
              <w:rPr>
                <w:noProof/>
              </w:rPr>
              <w:t>. Cyberbezpieczeństwo); 60 % procedur cyfrowych administracji regionalnych (</w:t>
            </w:r>
            <w:r>
              <w:rPr>
                <w:i/>
                <w:noProof/>
              </w:rPr>
              <w:t>Comunidades Autónomas</w:t>
            </w:r>
            <w:r>
              <w:rPr>
                <w:noProof/>
              </w:rPr>
              <w:t xml:space="preserve">) umożliwia korzystanie z nich drogą mobilną (obecnie: 48 %). </w:t>
            </w:r>
          </w:p>
        </w:tc>
      </w:tr>
      <w:tr w:rsidR="006578ED" w14:paraId="29457D88" w14:textId="77777777">
        <w:trPr>
          <w:trHeight w:val="309"/>
        </w:trPr>
        <w:tc>
          <w:tcPr>
            <w:tcW w:w="1223" w:type="dxa"/>
            <w:shd w:val="clear" w:color="auto" w:fill="C6EFCE"/>
          </w:tcPr>
          <w:p w14:paraId="43DD2ED9" w14:textId="77777777" w:rsidR="006578ED" w:rsidRDefault="00A1618E">
            <w:pPr>
              <w:pStyle w:val="P68B1DB1-Normal13"/>
              <w:jc w:val="center"/>
              <w:rPr>
                <w:rFonts w:cs="Times New Roman"/>
                <w:noProof/>
              </w:rPr>
            </w:pPr>
            <w:r>
              <w:rPr>
                <w:noProof/>
              </w:rPr>
              <w:t>168</w:t>
            </w:r>
          </w:p>
        </w:tc>
        <w:tc>
          <w:tcPr>
            <w:tcW w:w="1448" w:type="dxa"/>
            <w:shd w:val="clear" w:color="auto" w:fill="C6EFCE"/>
          </w:tcPr>
          <w:p w14:paraId="175B0B9C" w14:textId="77777777" w:rsidR="006578ED" w:rsidRDefault="00A1618E">
            <w:pPr>
              <w:pStyle w:val="P68B1DB1-Normal13"/>
              <w:jc w:val="center"/>
              <w:rPr>
                <w:rFonts w:cs="Times New Roman"/>
                <w:noProof/>
              </w:rPr>
            </w:pPr>
            <w:r>
              <w:rPr>
                <w:noProof/>
              </w:rPr>
              <w:t>C11.I3</w:t>
            </w:r>
          </w:p>
        </w:tc>
        <w:tc>
          <w:tcPr>
            <w:tcW w:w="966" w:type="dxa"/>
            <w:shd w:val="clear" w:color="auto" w:fill="C6EFCE"/>
          </w:tcPr>
          <w:p w14:paraId="1AD90BCF" w14:textId="79B22039" w:rsidR="006578ED" w:rsidRDefault="00AF6B91">
            <w:pPr>
              <w:pStyle w:val="P68B1DB1-Normal13"/>
              <w:jc w:val="center"/>
              <w:rPr>
                <w:rFonts w:cs="Times New Roman"/>
                <w:noProof/>
              </w:rPr>
            </w:pPr>
            <w:r>
              <w:rPr>
                <w:noProof/>
              </w:rPr>
              <w:t>Cel</w:t>
            </w:r>
          </w:p>
        </w:tc>
        <w:tc>
          <w:tcPr>
            <w:tcW w:w="1631" w:type="dxa"/>
            <w:shd w:val="clear" w:color="auto" w:fill="C6EFCE"/>
          </w:tcPr>
          <w:p w14:paraId="13A6B727" w14:textId="7DD2109A" w:rsidR="006578ED" w:rsidRDefault="00A1618E">
            <w:pPr>
              <w:pStyle w:val="P68B1DB1-Normal13"/>
              <w:rPr>
                <w:rFonts w:cs="Times New Roman"/>
                <w:noProof/>
              </w:rPr>
            </w:pPr>
            <w:r>
              <w:rPr>
                <w:noProof/>
              </w:rPr>
              <w:t>Przyznawanie projektów wspierających transformację cyfrową regionalnych i lokalnych administracji publicznych oraz Ministerstwa Polityki Terytorialnej i Administracji Publicznej</w:t>
            </w:r>
          </w:p>
        </w:tc>
        <w:tc>
          <w:tcPr>
            <w:tcW w:w="1442" w:type="dxa"/>
            <w:shd w:val="clear" w:color="auto" w:fill="C6EFCE"/>
          </w:tcPr>
          <w:p w14:paraId="7DCD1A6C" w14:textId="77777777" w:rsidR="006578ED" w:rsidRDefault="00A1618E">
            <w:pPr>
              <w:pStyle w:val="P68B1DB1-Normal13"/>
              <w:jc w:val="center"/>
              <w:rPr>
                <w:rFonts w:cs="Times New Roman"/>
                <w:noProof/>
              </w:rPr>
            </w:pPr>
            <w:r>
              <w:rPr>
                <w:noProof/>
              </w:rPr>
              <w:t> </w:t>
            </w:r>
          </w:p>
        </w:tc>
        <w:tc>
          <w:tcPr>
            <w:tcW w:w="1082" w:type="dxa"/>
            <w:shd w:val="clear" w:color="auto" w:fill="C6EFCE"/>
          </w:tcPr>
          <w:p w14:paraId="407B9779" w14:textId="77777777" w:rsidR="006578ED" w:rsidRDefault="00A1618E">
            <w:pPr>
              <w:pStyle w:val="P68B1DB1-Normal13"/>
              <w:jc w:val="right"/>
              <w:rPr>
                <w:rFonts w:cs="Times New Roman"/>
                <w:noProof/>
              </w:rPr>
            </w:pPr>
            <w:r>
              <w:rPr>
                <w:noProof/>
              </w:rPr>
              <w:t>Mln EUR</w:t>
            </w:r>
          </w:p>
        </w:tc>
        <w:tc>
          <w:tcPr>
            <w:tcW w:w="708" w:type="dxa"/>
            <w:shd w:val="clear" w:color="auto" w:fill="C6EFCE"/>
          </w:tcPr>
          <w:p w14:paraId="606EC8B5" w14:textId="77777777" w:rsidR="006578ED" w:rsidRDefault="00A1618E">
            <w:pPr>
              <w:pStyle w:val="P68B1DB1-Normal13"/>
              <w:jc w:val="right"/>
              <w:rPr>
                <w:rFonts w:cs="Times New Roman"/>
                <w:noProof/>
              </w:rPr>
            </w:pPr>
            <w:r>
              <w:rPr>
                <w:noProof/>
              </w:rPr>
              <w:t>0</w:t>
            </w:r>
          </w:p>
        </w:tc>
        <w:tc>
          <w:tcPr>
            <w:tcW w:w="709" w:type="dxa"/>
            <w:shd w:val="clear" w:color="auto" w:fill="C6EFCE"/>
          </w:tcPr>
          <w:p w14:paraId="1516BA19" w14:textId="77777777" w:rsidR="006578ED" w:rsidRDefault="00A1618E">
            <w:pPr>
              <w:pStyle w:val="P68B1DB1-Normal13"/>
              <w:jc w:val="right"/>
              <w:rPr>
                <w:rFonts w:cs="Times New Roman"/>
                <w:noProof/>
              </w:rPr>
            </w:pPr>
            <w:r>
              <w:rPr>
                <w:noProof/>
              </w:rPr>
              <w:t>1 000</w:t>
            </w:r>
          </w:p>
        </w:tc>
        <w:tc>
          <w:tcPr>
            <w:tcW w:w="567" w:type="dxa"/>
            <w:shd w:val="clear" w:color="auto" w:fill="C6EFCE"/>
          </w:tcPr>
          <w:p w14:paraId="23EE0B9A" w14:textId="2BAED707" w:rsidR="006578ED" w:rsidRDefault="00EC188C">
            <w:pPr>
              <w:pStyle w:val="P68B1DB1-Normal13"/>
              <w:jc w:val="center"/>
              <w:rPr>
                <w:rFonts w:cs="Times New Roman"/>
                <w:noProof/>
              </w:rPr>
            </w:pPr>
            <w:r>
              <w:rPr>
                <w:noProof/>
              </w:rPr>
              <w:t>KW. 2</w:t>
            </w:r>
          </w:p>
        </w:tc>
        <w:tc>
          <w:tcPr>
            <w:tcW w:w="822" w:type="dxa"/>
            <w:shd w:val="clear" w:color="auto" w:fill="C6EFCE"/>
          </w:tcPr>
          <w:p w14:paraId="7E3FE776" w14:textId="77777777" w:rsidR="006578ED" w:rsidRDefault="00A1618E">
            <w:pPr>
              <w:pStyle w:val="P68B1DB1-Normal13"/>
              <w:jc w:val="center"/>
              <w:rPr>
                <w:rFonts w:cs="Times New Roman"/>
                <w:noProof/>
              </w:rPr>
            </w:pPr>
            <w:r>
              <w:rPr>
                <w:noProof/>
              </w:rPr>
              <w:t>2025</w:t>
            </w:r>
          </w:p>
        </w:tc>
        <w:tc>
          <w:tcPr>
            <w:tcW w:w="3998" w:type="dxa"/>
            <w:shd w:val="clear" w:color="auto" w:fill="C6EFCE"/>
          </w:tcPr>
          <w:p w14:paraId="749F95DF" w14:textId="2208889B" w:rsidR="006578ED" w:rsidRDefault="00A1618E">
            <w:pPr>
              <w:pStyle w:val="P68B1DB1-Normal13"/>
              <w:rPr>
                <w:rFonts w:cs="Times New Roman"/>
                <w:noProof/>
              </w:rPr>
            </w:pPr>
            <w:r>
              <w:rPr>
                <w:noProof/>
              </w:rPr>
              <w:t xml:space="preserve">Publikacja w Dz.U. lub na platformie zamówień publicznych przyznania dotacji na projekty obejmujące następujące obszary: </w:t>
            </w:r>
            <w:r>
              <w:rPr>
                <w:noProof/>
              </w:rPr>
              <w:br/>
              <w:t>Transformacja cyfrowa pod względem proaktywności, mobilności, doświadczenia użytkowników;</w:t>
            </w:r>
            <w:r>
              <w:rPr>
                <w:noProof/>
              </w:rPr>
              <w:br/>
              <w:t>Transformacja cyfrowa pod względem automatyzacji i administracji publicznej skoncentrowanej na danych;</w:t>
            </w:r>
            <w:r>
              <w:rPr>
                <w:noProof/>
              </w:rPr>
              <w:br/>
              <w:t>Transformacja cyfrowa pod względem fizycznej, logicznej infrastruktury i oprogramowania;</w:t>
            </w:r>
            <w:r>
              <w:rPr>
                <w:noProof/>
              </w:rPr>
              <w:br/>
              <w:t>Transformacja cyfrowa pod względem cyberbezpieczeństwa.</w:t>
            </w:r>
          </w:p>
        </w:tc>
      </w:tr>
      <w:tr w:rsidR="006578ED" w14:paraId="70646FC0" w14:textId="77777777">
        <w:trPr>
          <w:trHeight w:val="309"/>
        </w:trPr>
        <w:tc>
          <w:tcPr>
            <w:tcW w:w="1223" w:type="dxa"/>
            <w:shd w:val="clear" w:color="auto" w:fill="C6EFCE"/>
          </w:tcPr>
          <w:p w14:paraId="69ED8513" w14:textId="77777777" w:rsidR="006578ED" w:rsidRDefault="00A1618E">
            <w:pPr>
              <w:pStyle w:val="P68B1DB1-Normal13"/>
              <w:jc w:val="center"/>
              <w:rPr>
                <w:rFonts w:cs="Times New Roman"/>
                <w:noProof/>
              </w:rPr>
            </w:pPr>
            <w:r>
              <w:rPr>
                <w:noProof/>
              </w:rPr>
              <w:t>169</w:t>
            </w:r>
          </w:p>
        </w:tc>
        <w:tc>
          <w:tcPr>
            <w:tcW w:w="1448" w:type="dxa"/>
            <w:shd w:val="clear" w:color="auto" w:fill="C6EFCE"/>
          </w:tcPr>
          <w:p w14:paraId="58170C5B" w14:textId="77777777" w:rsidR="006578ED" w:rsidRDefault="00A1618E">
            <w:pPr>
              <w:pStyle w:val="P68B1DB1-Normal13"/>
              <w:jc w:val="center"/>
              <w:rPr>
                <w:rFonts w:cs="Times New Roman"/>
                <w:noProof/>
              </w:rPr>
            </w:pPr>
            <w:r>
              <w:rPr>
                <w:noProof/>
              </w:rPr>
              <w:t>C11.I3</w:t>
            </w:r>
          </w:p>
        </w:tc>
        <w:tc>
          <w:tcPr>
            <w:tcW w:w="966" w:type="dxa"/>
            <w:shd w:val="clear" w:color="auto" w:fill="C6EFCE"/>
          </w:tcPr>
          <w:p w14:paraId="0741F2D4" w14:textId="50E81A1C" w:rsidR="006578ED" w:rsidRDefault="00AF6B91">
            <w:pPr>
              <w:pStyle w:val="P68B1DB1-Normal13"/>
              <w:jc w:val="center"/>
              <w:rPr>
                <w:rFonts w:cs="Times New Roman"/>
                <w:noProof/>
              </w:rPr>
            </w:pPr>
            <w:r>
              <w:rPr>
                <w:noProof/>
              </w:rPr>
              <w:t>Kamień milowy</w:t>
            </w:r>
          </w:p>
        </w:tc>
        <w:tc>
          <w:tcPr>
            <w:tcW w:w="1631" w:type="dxa"/>
            <w:shd w:val="clear" w:color="auto" w:fill="C6EFCE"/>
          </w:tcPr>
          <w:p w14:paraId="080D547C" w14:textId="3E9B6D3D" w:rsidR="006578ED" w:rsidRDefault="00A1618E">
            <w:pPr>
              <w:pStyle w:val="P68B1DB1-Normal13"/>
              <w:rPr>
                <w:rFonts w:cs="Times New Roman"/>
                <w:noProof/>
              </w:rPr>
            </w:pPr>
            <w:r>
              <w:rPr>
                <w:noProof/>
              </w:rPr>
              <w:t>Zakończenie wszystkich projektów wspierających transformację cyfrową regionalnych i lokalnych administracji publicznych oraz Ministerstwa Polityki Terytorialnej i Administracji Publicznej</w:t>
            </w:r>
          </w:p>
        </w:tc>
        <w:tc>
          <w:tcPr>
            <w:tcW w:w="1442" w:type="dxa"/>
            <w:shd w:val="clear" w:color="auto" w:fill="C6EFCE"/>
          </w:tcPr>
          <w:p w14:paraId="026EC5A2" w14:textId="77777777" w:rsidR="006578ED" w:rsidRDefault="00A1618E">
            <w:pPr>
              <w:pStyle w:val="P68B1DB1-Normal13"/>
              <w:jc w:val="center"/>
              <w:rPr>
                <w:rFonts w:cs="Times New Roman"/>
                <w:noProof/>
              </w:rPr>
            </w:pPr>
            <w:r>
              <w:rPr>
                <w:noProof/>
              </w:rPr>
              <w:t>Certyfikaty podpisane przez właściwy organ poświadczające, że projekty zostały ukończone i są operacyjne</w:t>
            </w:r>
          </w:p>
        </w:tc>
        <w:tc>
          <w:tcPr>
            <w:tcW w:w="1082" w:type="dxa"/>
            <w:shd w:val="clear" w:color="auto" w:fill="C6EFCE"/>
          </w:tcPr>
          <w:p w14:paraId="6EA08E3F" w14:textId="77777777" w:rsidR="006578ED" w:rsidRDefault="00A1618E">
            <w:pPr>
              <w:pStyle w:val="P68B1DB1-Normal13"/>
              <w:jc w:val="right"/>
              <w:rPr>
                <w:rFonts w:cs="Times New Roman"/>
                <w:noProof/>
              </w:rPr>
            </w:pPr>
            <w:r>
              <w:rPr>
                <w:noProof/>
              </w:rPr>
              <w:t> </w:t>
            </w:r>
          </w:p>
        </w:tc>
        <w:tc>
          <w:tcPr>
            <w:tcW w:w="708" w:type="dxa"/>
            <w:shd w:val="clear" w:color="auto" w:fill="C6EFCE"/>
          </w:tcPr>
          <w:p w14:paraId="207E0226" w14:textId="77777777" w:rsidR="006578ED" w:rsidRDefault="00A1618E">
            <w:pPr>
              <w:pStyle w:val="P68B1DB1-Normal13"/>
              <w:jc w:val="right"/>
              <w:rPr>
                <w:rFonts w:cs="Times New Roman"/>
                <w:noProof/>
              </w:rPr>
            </w:pPr>
            <w:r>
              <w:rPr>
                <w:noProof/>
              </w:rPr>
              <w:t> </w:t>
            </w:r>
          </w:p>
        </w:tc>
        <w:tc>
          <w:tcPr>
            <w:tcW w:w="709" w:type="dxa"/>
            <w:shd w:val="clear" w:color="auto" w:fill="C6EFCE"/>
          </w:tcPr>
          <w:p w14:paraId="1D252E91" w14:textId="77777777" w:rsidR="006578ED" w:rsidRDefault="00A1618E">
            <w:pPr>
              <w:pStyle w:val="P68B1DB1-Normal13"/>
              <w:jc w:val="right"/>
              <w:rPr>
                <w:rFonts w:cs="Times New Roman"/>
                <w:noProof/>
              </w:rPr>
            </w:pPr>
            <w:r>
              <w:rPr>
                <w:noProof/>
              </w:rPr>
              <w:t> </w:t>
            </w:r>
          </w:p>
        </w:tc>
        <w:tc>
          <w:tcPr>
            <w:tcW w:w="567" w:type="dxa"/>
            <w:shd w:val="clear" w:color="auto" w:fill="C6EFCE"/>
          </w:tcPr>
          <w:p w14:paraId="36784472" w14:textId="44BED2C8" w:rsidR="006578ED" w:rsidRDefault="00EC188C">
            <w:pPr>
              <w:pStyle w:val="P68B1DB1-Normal13"/>
              <w:jc w:val="center"/>
              <w:rPr>
                <w:rFonts w:cs="Times New Roman"/>
                <w:noProof/>
              </w:rPr>
            </w:pPr>
            <w:r>
              <w:rPr>
                <w:noProof/>
              </w:rPr>
              <w:t>KW. 2</w:t>
            </w:r>
          </w:p>
        </w:tc>
        <w:tc>
          <w:tcPr>
            <w:tcW w:w="822" w:type="dxa"/>
            <w:shd w:val="clear" w:color="auto" w:fill="C6EFCE"/>
          </w:tcPr>
          <w:p w14:paraId="3EE6A61A" w14:textId="77777777" w:rsidR="006578ED" w:rsidRDefault="00A1618E">
            <w:pPr>
              <w:pStyle w:val="P68B1DB1-Normal13"/>
              <w:jc w:val="center"/>
              <w:rPr>
                <w:rFonts w:cs="Times New Roman"/>
                <w:noProof/>
              </w:rPr>
            </w:pPr>
            <w:r>
              <w:rPr>
                <w:noProof/>
              </w:rPr>
              <w:t>2026</w:t>
            </w:r>
          </w:p>
        </w:tc>
        <w:tc>
          <w:tcPr>
            <w:tcW w:w="3998" w:type="dxa"/>
            <w:shd w:val="clear" w:color="auto" w:fill="C6EFCE"/>
          </w:tcPr>
          <w:p w14:paraId="317F015F" w14:textId="177A96AA" w:rsidR="006578ED" w:rsidRDefault="00A1618E">
            <w:pPr>
              <w:pStyle w:val="P68B1DB1-Normal13"/>
              <w:rPr>
                <w:rFonts w:cs="Times New Roman"/>
                <w:noProof/>
              </w:rPr>
            </w:pPr>
            <w:r>
              <w:rPr>
                <w:noProof/>
              </w:rPr>
              <w:t>Zakończenie wszystkich projektów obejmujących następujące obszary (zgodnie z celem nr#168)</w:t>
            </w:r>
            <w:r>
              <w:rPr>
                <w:noProof/>
              </w:rPr>
              <w:br/>
              <w:t xml:space="preserve">Transformacja cyfrowa pod względem proaktywności, mobilności, doświadczenia użytkowników </w:t>
            </w:r>
            <w:r>
              <w:rPr>
                <w:noProof/>
              </w:rPr>
              <w:br/>
              <w:t xml:space="preserve">Transformacja cyfrowa pod względem automatyzacji i administracji publicznej skoncentrowanej na danych </w:t>
            </w:r>
            <w:r>
              <w:rPr>
                <w:noProof/>
              </w:rPr>
              <w:br/>
              <w:t>Transformacja cyfrowa w zakresie infrastruktury fizycznej, logicznej i oprogramowania.</w:t>
            </w:r>
            <w:r>
              <w:rPr>
                <w:noProof/>
              </w:rPr>
              <w:br/>
              <w:t>Transformacja cyfrowa pod względem cyberbezpieczeństwa.</w:t>
            </w:r>
          </w:p>
        </w:tc>
      </w:tr>
      <w:tr w:rsidR="006578ED" w14:paraId="6A151996" w14:textId="77777777">
        <w:trPr>
          <w:trHeight w:val="309"/>
        </w:trPr>
        <w:tc>
          <w:tcPr>
            <w:tcW w:w="1223" w:type="dxa"/>
            <w:shd w:val="clear" w:color="auto" w:fill="C6EFCE"/>
          </w:tcPr>
          <w:p w14:paraId="211C1731" w14:textId="70CDA916" w:rsidR="006578ED" w:rsidRDefault="00A1618E">
            <w:pPr>
              <w:pStyle w:val="P68B1DB1-Normal13"/>
              <w:jc w:val="center"/>
              <w:rPr>
                <w:rFonts w:cs="Times New Roman"/>
                <w:noProof/>
              </w:rPr>
            </w:pPr>
            <w:r>
              <w:rPr>
                <w:noProof/>
              </w:rPr>
              <w:t>438</w:t>
            </w:r>
          </w:p>
        </w:tc>
        <w:tc>
          <w:tcPr>
            <w:tcW w:w="1448" w:type="dxa"/>
            <w:shd w:val="clear" w:color="auto" w:fill="C6EFCE"/>
          </w:tcPr>
          <w:p w14:paraId="4DB2848C" w14:textId="1CDC9673" w:rsidR="006578ED" w:rsidRDefault="00A1618E">
            <w:pPr>
              <w:pStyle w:val="P68B1DB1-Normal13"/>
              <w:jc w:val="center"/>
              <w:rPr>
                <w:rFonts w:cs="Times New Roman"/>
                <w:noProof/>
              </w:rPr>
            </w:pPr>
            <w:r>
              <w:rPr>
                <w:noProof/>
              </w:rPr>
              <w:t>C11.I3</w:t>
            </w:r>
          </w:p>
        </w:tc>
        <w:tc>
          <w:tcPr>
            <w:tcW w:w="966" w:type="dxa"/>
            <w:shd w:val="clear" w:color="auto" w:fill="C6EFCE"/>
          </w:tcPr>
          <w:p w14:paraId="5493CF37" w14:textId="35E0B36B" w:rsidR="006578ED" w:rsidRDefault="00AF6B91">
            <w:pPr>
              <w:pStyle w:val="P68B1DB1-Normal13"/>
              <w:jc w:val="center"/>
              <w:rPr>
                <w:rFonts w:cs="Times New Roman"/>
                <w:noProof/>
              </w:rPr>
            </w:pPr>
            <w:r>
              <w:rPr>
                <w:noProof/>
              </w:rPr>
              <w:t>Cel</w:t>
            </w:r>
          </w:p>
        </w:tc>
        <w:tc>
          <w:tcPr>
            <w:tcW w:w="1631" w:type="dxa"/>
            <w:shd w:val="clear" w:color="auto" w:fill="C6EFCE"/>
          </w:tcPr>
          <w:p w14:paraId="45816173" w14:textId="540FABE8" w:rsidR="006578ED" w:rsidRDefault="00A1618E">
            <w:pPr>
              <w:pStyle w:val="P68B1DB1-Normal13"/>
              <w:rPr>
                <w:rFonts w:cs="Times New Roman"/>
                <w:noProof/>
              </w:rPr>
            </w:pPr>
            <w:r>
              <w:rPr>
                <w:noProof/>
              </w:rPr>
              <w:t>Wdrożenie planu osobistej opieki cyfrowej</w:t>
            </w:r>
          </w:p>
        </w:tc>
        <w:tc>
          <w:tcPr>
            <w:tcW w:w="1442" w:type="dxa"/>
            <w:shd w:val="clear" w:color="auto" w:fill="C6EFCE"/>
          </w:tcPr>
          <w:p w14:paraId="0F8444E8" w14:textId="7842BCF8" w:rsidR="006578ED" w:rsidRDefault="00A1618E">
            <w:pPr>
              <w:pStyle w:val="P68B1DB1-Normal13"/>
              <w:jc w:val="center"/>
              <w:rPr>
                <w:rFonts w:cs="Times New Roman"/>
                <w:noProof/>
              </w:rPr>
            </w:pPr>
            <w:r>
              <w:rPr>
                <w:noProof/>
              </w:rPr>
              <w:t xml:space="preserve"> </w:t>
            </w:r>
          </w:p>
        </w:tc>
        <w:tc>
          <w:tcPr>
            <w:tcW w:w="1082" w:type="dxa"/>
            <w:shd w:val="clear" w:color="auto" w:fill="C6EFCE"/>
          </w:tcPr>
          <w:p w14:paraId="605440BC" w14:textId="33586031" w:rsidR="006578ED" w:rsidRDefault="00A1618E">
            <w:pPr>
              <w:pStyle w:val="P68B1DB1-Normal13"/>
              <w:jc w:val="right"/>
              <w:rPr>
                <w:rFonts w:cs="Times New Roman"/>
                <w:noProof/>
              </w:rPr>
            </w:pPr>
            <w:r>
              <w:rPr>
                <w:noProof/>
              </w:rPr>
              <w:t>Liczba</w:t>
            </w:r>
          </w:p>
        </w:tc>
        <w:tc>
          <w:tcPr>
            <w:tcW w:w="708" w:type="dxa"/>
            <w:shd w:val="clear" w:color="auto" w:fill="C6EFCE"/>
          </w:tcPr>
          <w:p w14:paraId="1B445EF1" w14:textId="606F196E" w:rsidR="006578ED" w:rsidRDefault="00A1618E">
            <w:pPr>
              <w:pStyle w:val="P68B1DB1-Normal13"/>
              <w:jc w:val="right"/>
              <w:rPr>
                <w:rFonts w:cs="Times New Roman"/>
                <w:noProof/>
              </w:rPr>
            </w:pPr>
            <w:r>
              <w:rPr>
                <w:noProof/>
              </w:rPr>
              <w:t>0</w:t>
            </w:r>
          </w:p>
        </w:tc>
        <w:tc>
          <w:tcPr>
            <w:tcW w:w="709" w:type="dxa"/>
            <w:shd w:val="clear" w:color="auto" w:fill="C6EFCE"/>
          </w:tcPr>
          <w:p w14:paraId="28FAF395" w14:textId="212F84CD" w:rsidR="006578ED" w:rsidRDefault="00A1618E">
            <w:pPr>
              <w:pStyle w:val="P68B1DB1-Normal13"/>
              <w:jc w:val="right"/>
              <w:rPr>
                <w:rFonts w:cs="Times New Roman"/>
                <w:noProof/>
              </w:rPr>
            </w:pPr>
            <w:r>
              <w:rPr>
                <w:noProof/>
              </w:rPr>
              <w:t>17</w:t>
            </w:r>
          </w:p>
        </w:tc>
        <w:tc>
          <w:tcPr>
            <w:tcW w:w="567" w:type="dxa"/>
            <w:shd w:val="clear" w:color="auto" w:fill="C6EFCE"/>
          </w:tcPr>
          <w:p w14:paraId="3E5F5F2A" w14:textId="5B6CA031" w:rsidR="006578ED" w:rsidRDefault="00EC188C">
            <w:pPr>
              <w:pStyle w:val="P68B1DB1-Normal13"/>
              <w:jc w:val="center"/>
              <w:rPr>
                <w:rFonts w:cs="Times New Roman"/>
                <w:noProof/>
              </w:rPr>
            </w:pPr>
            <w:r>
              <w:rPr>
                <w:noProof/>
              </w:rPr>
              <w:t>KW. 2</w:t>
            </w:r>
          </w:p>
        </w:tc>
        <w:tc>
          <w:tcPr>
            <w:tcW w:w="822" w:type="dxa"/>
            <w:shd w:val="clear" w:color="auto" w:fill="C6EFCE"/>
          </w:tcPr>
          <w:p w14:paraId="6BD2A566" w14:textId="0F4D48E5" w:rsidR="006578ED" w:rsidRDefault="00A1618E">
            <w:pPr>
              <w:pStyle w:val="P68B1DB1-Normal13"/>
              <w:jc w:val="center"/>
              <w:rPr>
                <w:rFonts w:cs="Times New Roman"/>
                <w:noProof/>
              </w:rPr>
            </w:pPr>
            <w:r>
              <w:rPr>
                <w:noProof/>
              </w:rPr>
              <w:t>2026</w:t>
            </w:r>
          </w:p>
        </w:tc>
        <w:tc>
          <w:tcPr>
            <w:tcW w:w="3998" w:type="dxa"/>
            <w:shd w:val="clear" w:color="auto" w:fill="C6EFCE"/>
          </w:tcPr>
          <w:p w14:paraId="22F22FF7" w14:textId="2986CF04" w:rsidR="006578ED" w:rsidRDefault="00A1618E">
            <w:pPr>
              <w:pStyle w:val="P68B1DB1-Normal13"/>
              <w:rPr>
                <w:rFonts w:cs="Times New Roman"/>
                <w:noProof/>
              </w:rPr>
            </w:pPr>
            <w:r>
              <w:rPr>
                <w:noProof/>
              </w:rPr>
              <w:t>Zakończenie co najmniej 17 projektów pilotażowych w ramach indywidualnego planu opieki cyfrowej, które przyczynią się do osiągnięcia celu hiszpańskiej agendy cyfrowej 2025, aby promować zindywidualizowaną opiekę zaspokajającą potrzeby obywateli. Projekty dotyczą co najmniej jednego z następujących obszarów poprzez cyfryzację:</w:t>
            </w:r>
          </w:p>
          <w:p w14:paraId="4026E81A" w14:textId="149B135D" w:rsidR="006578ED" w:rsidRDefault="00A1618E">
            <w:pPr>
              <w:pStyle w:val="P68B1DB1-Normal13"/>
              <w:rPr>
                <w:rFonts w:cs="Times New Roman"/>
                <w:noProof/>
              </w:rPr>
            </w:pPr>
            <w:r>
              <w:rPr>
                <w:noProof/>
              </w:rPr>
              <w:t>Zbieranie danych: testowanie rozwiązań informatycznych służących wychwytywaniu, przechowywaniu i interpretowaniu danych pacjentów</w:t>
            </w:r>
          </w:p>
          <w:p w14:paraId="2FA31153" w14:textId="5FD9262F" w:rsidR="006578ED" w:rsidRDefault="00A1618E">
            <w:pPr>
              <w:pStyle w:val="P68B1DB1-Normal13"/>
              <w:rPr>
                <w:rFonts w:cs="Times New Roman"/>
                <w:noProof/>
              </w:rPr>
            </w:pPr>
            <w:r>
              <w:rPr>
                <w:noProof/>
              </w:rPr>
              <w:t>Spersonalizowana opieka cyfrowa: testowanie narzędzi lub usług użyteczności publicznej w celu świadczenia spersonalizowanej opieki cyfrowej</w:t>
            </w:r>
          </w:p>
          <w:p w14:paraId="1DDC7BDD" w14:textId="0D06DEC5" w:rsidR="006578ED" w:rsidRDefault="00A1618E">
            <w:pPr>
              <w:pStyle w:val="P68B1DB1-Normal13"/>
              <w:rPr>
                <w:rFonts w:cs="Times New Roman"/>
                <w:noProof/>
              </w:rPr>
            </w:pPr>
            <w:r>
              <w:rPr>
                <w:noProof/>
              </w:rPr>
              <w:t>Generowanie informacji na temat narzędzi lub usług użyteczności publicznej, które w oparciu o uzyskane dane pacjenta pomagają specjalistom w diagnozowaniu lub monitorowaniu pacjentów.</w:t>
            </w:r>
          </w:p>
          <w:p w14:paraId="0B201D6A" w14:textId="42AB78D4" w:rsidR="006578ED" w:rsidRDefault="00A1618E">
            <w:pPr>
              <w:pStyle w:val="P68B1DB1-Normal13"/>
              <w:rPr>
                <w:rFonts w:cs="Times New Roman"/>
                <w:noProof/>
              </w:rPr>
            </w:pPr>
            <w:r>
              <w:rPr>
                <w:noProof/>
              </w:rPr>
              <w:t>Po zakończeniu projektów pilotażowych publikuje się wstępną ocenę skuteczności projektów pilotażowych i ich wpływu na poprawę usług zdrowotnych, w tym szczegółowe zalecenia w przypadku stwierdzenia niedociągnięć lub niedociągnięć.</w:t>
            </w:r>
          </w:p>
        </w:tc>
      </w:tr>
      <w:tr w:rsidR="006578ED" w14:paraId="2EC2DAE2" w14:textId="77777777">
        <w:trPr>
          <w:trHeight w:val="309"/>
        </w:trPr>
        <w:tc>
          <w:tcPr>
            <w:tcW w:w="1223" w:type="dxa"/>
            <w:shd w:val="clear" w:color="auto" w:fill="C6EFCE"/>
          </w:tcPr>
          <w:p w14:paraId="58201B93" w14:textId="77777777" w:rsidR="006578ED" w:rsidRDefault="00A1618E">
            <w:pPr>
              <w:pStyle w:val="P68B1DB1-Normal13"/>
              <w:jc w:val="center"/>
              <w:rPr>
                <w:rFonts w:cs="Times New Roman"/>
                <w:noProof/>
              </w:rPr>
            </w:pPr>
            <w:r>
              <w:rPr>
                <w:noProof/>
              </w:rPr>
              <w:t>170</w:t>
            </w:r>
          </w:p>
        </w:tc>
        <w:tc>
          <w:tcPr>
            <w:tcW w:w="1448" w:type="dxa"/>
            <w:shd w:val="clear" w:color="auto" w:fill="C6EFCE"/>
          </w:tcPr>
          <w:p w14:paraId="62CEB5EF" w14:textId="77777777" w:rsidR="006578ED" w:rsidRDefault="00A1618E">
            <w:pPr>
              <w:pStyle w:val="P68B1DB1-Normal13"/>
              <w:jc w:val="center"/>
              <w:rPr>
                <w:rFonts w:cs="Times New Roman"/>
                <w:noProof/>
              </w:rPr>
            </w:pPr>
            <w:r>
              <w:rPr>
                <w:noProof/>
              </w:rPr>
              <w:t>C11.I4</w:t>
            </w:r>
          </w:p>
        </w:tc>
        <w:tc>
          <w:tcPr>
            <w:tcW w:w="966" w:type="dxa"/>
            <w:shd w:val="clear" w:color="auto" w:fill="C6EFCE"/>
          </w:tcPr>
          <w:p w14:paraId="2F26825E" w14:textId="7E901B57" w:rsidR="006578ED" w:rsidRDefault="00AF6B91">
            <w:pPr>
              <w:pStyle w:val="P68B1DB1-Normal13"/>
              <w:jc w:val="center"/>
              <w:rPr>
                <w:rFonts w:cs="Times New Roman"/>
                <w:noProof/>
              </w:rPr>
            </w:pPr>
            <w:r>
              <w:rPr>
                <w:noProof/>
              </w:rPr>
              <w:t>Cel</w:t>
            </w:r>
          </w:p>
        </w:tc>
        <w:tc>
          <w:tcPr>
            <w:tcW w:w="1631" w:type="dxa"/>
            <w:shd w:val="clear" w:color="auto" w:fill="C6EFCE"/>
          </w:tcPr>
          <w:p w14:paraId="7364233E" w14:textId="0E2BD81C" w:rsidR="006578ED" w:rsidRDefault="00A1618E">
            <w:pPr>
              <w:pStyle w:val="P68B1DB1-Normal13"/>
              <w:rPr>
                <w:rFonts w:cs="Times New Roman"/>
                <w:noProof/>
              </w:rPr>
            </w:pPr>
            <w:r>
              <w:rPr>
                <w:noProof/>
              </w:rPr>
              <w:t>Renowacja pojazdów w administracji publicznej</w:t>
            </w:r>
          </w:p>
        </w:tc>
        <w:tc>
          <w:tcPr>
            <w:tcW w:w="1442" w:type="dxa"/>
            <w:shd w:val="clear" w:color="auto" w:fill="C6EFCE"/>
          </w:tcPr>
          <w:p w14:paraId="63A8EC38" w14:textId="77777777" w:rsidR="006578ED" w:rsidRDefault="00A1618E">
            <w:pPr>
              <w:pStyle w:val="P68B1DB1-Normal13"/>
              <w:jc w:val="center"/>
              <w:rPr>
                <w:rFonts w:cs="Times New Roman"/>
                <w:noProof/>
              </w:rPr>
            </w:pPr>
            <w:r>
              <w:rPr>
                <w:noProof/>
              </w:rPr>
              <w:t> </w:t>
            </w:r>
          </w:p>
        </w:tc>
        <w:tc>
          <w:tcPr>
            <w:tcW w:w="1082" w:type="dxa"/>
            <w:shd w:val="clear" w:color="auto" w:fill="C6EFCE"/>
          </w:tcPr>
          <w:p w14:paraId="627B135B" w14:textId="77777777" w:rsidR="006578ED" w:rsidRDefault="00A1618E">
            <w:pPr>
              <w:pStyle w:val="P68B1DB1-Normal13"/>
              <w:jc w:val="right"/>
              <w:rPr>
                <w:rFonts w:cs="Times New Roman"/>
                <w:noProof/>
              </w:rPr>
            </w:pPr>
            <w:r>
              <w:rPr>
                <w:noProof/>
              </w:rPr>
              <w:t>Liczba</w:t>
            </w:r>
          </w:p>
        </w:tc>
        <w:tc>
          <w:tcPr>
            <w:tcW w:w="708" w:type="dxa"/>
            <w:shd w:val="clear" w:color="auto" w:fill="C6EFCE"/>
          </w:tcPr>
          <w:p w14:paraId="26A2834B" w14:textId="77777777" w:rsidR="006578ED" w:rsidRDefault="00A1618E">
            <w:pPr>
              <w:pStyle w:val="P68B1DB1-Normal13"/>
              <w:jc w:val="right"/>
              <w:rPr>
                <w:rFonts w:cs="Times New Roman"/>
                <w:noProof/>
              </w:rPr>
            </w:pPr>
            <w:r>
              <w:rPr>
                <w:noProof/>
              </w:rPr>
              <w:t>0</w:t>
            </w:r>
          </w:p>
        </w:tc>
        <w:tc>
          <w:tcPr>
            <w:tcW w:w="709" w:type="dxa"/>
            <w:shd w:val="clear" w:color="auto" w:fill="C6EFCE"/>
          </w:tcPr>
          <w:p w14:paraId="4393AA0A" w14:textId="49FE25DB" w:rsidR="006578ED" w:rsidRDefault="00A1618E">
            <w:pPr>
              <w:pStyle w:val="P68B1DB1-Normal13"/>
              <w:jc w:val="right"/>
              <w:rPr>
                <w:rFonts w:cs="Times New Roman"/>
                <w:noProof/>
              </w:rPr>
            </w:pPr>
            <w:r>
              <w:rPr>
                <w:noProof/>
              </w:rPr>
              <w:t>5 500</w:t>
            </w:r>
          </w:p>
        </w:tc>
        <w:tc>
          <w:tcPr>
            <w:tcW w:w="567" w:type="dxa"/>
            <w:shd w:val="clear" w:color="auto" w:fill="C6EFCE"/>
          </w:tcPr>
          <w:p w14:paraId="12EF1AA7" w14:textId="4A9B18B7" w:rsidR="006578ED" w:rsidRDefault="00EC188C">
            <w:pPr>
              <w:pStyle w:val="P68B1DB1-Normal13"/>
              <w:jc w:val="center"/>
              <w:rPr>
                <w:rFonts w:cs="Times New Roman"/>
                <w:noProof/>
              </w:rPr>
            </w:pPr>
            <w:r>
              <w:rPr>
                <w:noProof/>
              </w:rPr>
              <w:t>KW. 4</w:t>
            </w:r>
          </w:p>
        </w:tc>
        <w:tc>
          <w:tcPr>
            <w:tcW w:w="822" w:type="dxa"/>
            <w:shd w:val="clear" w:color="auto" w:fill="C6EFCE"/>
          </w:tcPr>
          <w:p w14:paraId="79DE240C" w14:textId="77777777" w:rsidR="006578ED" w:rsidRDefault="00A1618E">
            <w:pPr>
              <w:pStyle w:val="P68B1DB1-Normal13"/>
              <w:jc w:val="center"/>
              <w:rPr>
                <w:rFonts w:cs="Times New Roman"/>
                <w:noProof/>
              </w:rPr>
            </w:pPr>
            <w:r>
              <w:rPr>
                <w:noProof/>
              </w:rPr>
              <w:t>2024</w:t>
            </w:r>
          </w:p>
        </w:tc>
        <w:tc>
          <w:tcPr>
            <w:tcW w:w="3998" w:type="dxa"/>
            <w:shd w:val="clear" w:color="auto" w:fill="C6EFCE"/>
          </w:tcPr>
          <w:p w14:paraId="5A19E714" w14:textId="4682844B" w:rsidR="006578ED" w:rsidRDefault="00A1618E">
            <w:pPr>
              <w:pStyle w:val="P68B1DB1-Normal13"/>
              <w:rPr>
                <w:rFonts w:cs="Times New Roman"/>
                <w:noProof/>
              </w:rPr>
            </w:pPr>
            <w:r>
              <w:rPr>
                <w:noProof/>
              </w:rPr>
              <w:t xml:space="preserve">Co najmniej 5500 pojazdów bezemisyjnych lub niskoemisyjnych (BEV, REEV, PHEV, FCEV) zastępujących pojazdy oparte na paliwach kopalnych wykorzystywanych w administracji publicznej. </w:t>
            </w:r>
          </w:p>
        </w:tc>
      </w:tr>
      <w:tr w:rsidR="006578ED" w14:paraId="61842A22" w14:textId="77777777">
        <w:trPr>
          <w:trHeight w:val="309"/>
        </w:trPr>
        <w:tc>
          <w:tcPr>
            <w:tcW w:w="1223" w:type="dxa"/>
            <w:shd w:val="clear" w:color="auto" w:fill="C6EFCE"/>
          </w:tcPr>
          <w:p w14:paraId="0453EA2B" w14:textId="77777777" w:rsidR="006578ED" w:rsidRDefault="00A1618E">
            <w:pPr>
              <w:pStyle w:val="P68B1DB1-Normal13"/>
              <w:jc w:val="center"/>
              <w:rPr>
                <w:rFonts w:cs="Times New Roman"/>
                <w:noProof/>
              </w:rPr>
            </w:pPr>
            <w:r>
              <w:rPr>
                <w:noProof/>
              </w:rPr>
              <w:t>171</w:t>
            </w:r>
          </w:p>
        </w:tc>
        <w:tc>
          <w:tcPr>
            <w:tcW w:w="1448" w:type="dxa"/>
            <w:shd w:val="clear" w:color="auto" w:fill="C6EFCE"/>
          </w:tcPr>
          <w:p w14:paraId="224B33D6" w14:textId="77777777" w:rsidR="006578ED" w:rsidRDefault="00A1618E">
            <w:pPr>
              <w:pStyle w:val="P68B1DB1-Normal13"/>
              <w:jc w:val="center"/>
              <w:rPr>
                <w:rFonts w:cs="Times New Roman"/>
                <w:noProof/>
              </w:rPr>
            </w:pPr>
            <w:r>
              <w:rPr>
                <w:noProof/>
              </w:rPr>
              <w:t>C11.I4</w:t>
            </w:r>
          </w:p>
        </w:tc>
        <w:tc>
          <w:tcPr>
            <w:tcW w:w="966" w:type="dxa"/>
            <w:shd w:val="clear" w:color="auto" w:fill="C6EFCE"/>
          </w:tcPr>
          <w:p w14:paraId="3A1065C5" w14:textId="4EC9C910" w:rsidR="006578ED" w:rsidRDefault="00AF6B91">
            <w:pPr>
              <w:pStyle w:val="P68B1DB1-Normal13"/>
              <w:jc w:val="center"/>
              <w:rPr>
                <w:rFonts w:cs="Times New Roman"/>
                <w:noProof/>
              </w:rPr>
            </w:pPr>
            <w:r>
              <w:rPr>
                <w:noProof/>
              </w:rPr>
              <w:t>Cel</w:t>
            </w:r>
          </w:p>
        </w:tc>
        <w:tc>
          <w:tcPr>
            <w:tcW w:w="1631" w:type="dxa"/>
            <w:shd w:val="clear" w:color="auto" w:fill="C6EFCE"/>
          </w:tcPr>
          <w:p w14:paraId="221D05EB" w14:textId="77777777" w:rsidR="006578ED" w:rsidRDefault="00A1618E">
            <w:pPr>
              <w:pStyle w:val="P68B1DB1-Normal13"/>
              <w:rPr>
                <w:rFonts w:cs="Times New Roman"/>
                <w:noProof/>
              </w:rPr>
            </w:pPr>
            <w:r>
              <w:rPr>
                <w:noProof/>
              </w:rPr>
              <w:t>Termomodernizacja budynków publicznych (140 000 m 2</w:t>
            </w:r>
            <w:r>
              <w:rPr>
                <w:noProof/>
                <w:vertAlign w:val="superscript"/>
              </w:rPr>
              <w:t>)</w:t>
            </w:r>
          </w:p>
        </w:tc>
        <w:tc>
          <w:tcPr>
            <w:tcW w:w="1442" w:type="dxa"/>
            <w:shd w:val="clear" w:color="auto" w:fill="C6EFCE"/>
          </w:tcPr>
          <w:p w14:paraId="4E78C98F" w14:textId="77777777" w:rsidR="006578ED" w:rsidRDefault="00A1618E">
            <w:pPr>
              <w:pStyle w:val="P68B1DB1-Normal13"/>
              <w:jc w:val="center"/>
              <w:rPr>
                <w:rFonts w:cs="Times New Roman"/>
                <w:noProof/>
              </w:rPr>
            </w:pPr>
            <w:r>
              <w:rPr>
                <w:noProof/>
              </w:rPr>
              <w:t> </w:t>
            </w:r>
          </w:p>
        </w:tc>
        <w:tc>
          <w:tcPr>
            <w:tcW w:w="1082" w:type="dxa"/>
            <w:shd w:val="clear" w:color="auto" w:fill="C6EFCE"/>
          </w:tcPr>
          <w:p w14:paraId="0AD94DD7" w14:textId="77777777" w:rsidR="006578ED" w:rsidRDefault="00A1618E">
            <w:pPr>
              <w:pStyle w:val="P68B1DB1-Normal13"/>
              <w:jc w:val="right"/>
              <w:rPr>
                <w:rFonts w:cs="Times New Roman"/>
                <w:noProof/>
              </w:rPr>
            </w:pPr>
            <w:r>
              <w:rPr>
                <w:noProof/>
              </w:rPr>
              <w:t>Liczba (m</w:t>
            </w:r>
            <w:r>
              <w:rPr>
                <w:noProof/>
                <w:vertAlign w:val="superscript"/>
              </w:rPr>
              <w:t>2</w:t>
            </w:r>
            <w:r>
              <w:rPr>
                <w:noProof/>
              </w:rPr>
              <w:t>)</w:t>
            </w:r>
          </w:p>
        </w:tc>
        <w:tc>
          <w:tcPr>
            <w:tcW w:w="708" w:type="dxa"/>
            <w:shd w:val="clear" w:color="auto" w:fill="C6EFCE"/>
          </w:tcPr>
          <w:p w14:paraId="4D8BF13E" w14:textId="77777777" w:rsidR="006578ED" w:rsidRDefault="00A1618E">
            <w:pPr>
              <w:pStyle w:val="P68B1DB1-Normal13"/>
              <w:jc w:val="right"/>
              <w:rPr>
                <w:rFonts w:cs="Times New Roman"/>
                <w:noProof/>
              </w:rPr>
            </w:pPr>
            <w:r>
              <w:rPr>
                <w:noProof/>
              </w:rPr>
              <w:t>0</w:t>
            </w:r>
          </w:p>
        </w:tc>
        <w:tc>
          <w:tcPr>
            <w:tcW w:w="709" w:type="dxa"/>
            <w:shd w:val="clear" w:color="auto" w:fill="C6EFCE"/>
          </w:tcPr>
          <w:p w14:paraId="0CB2C3F3" w14:textId="77777777" w:rsidR="006578ED" w:rsidRDefault="00A1618E">
            <w:pPr>
              <w:pStyle w:val="P68B1DB1-Normal13"/>
              <w:jc w:val="right"/>
              <w:rPr>
                <w:rFonts w:cs="Times New Roman"/>
                <w:noProof/>
              </w:rPr>
            </w:pPr>
            <w:r>
              <w:rPr>
                <w:noProof/>
              </w:rPr>
              <w:t>140 000</w:t>
            </w:r>
          </w:p>
        </w:tc>
        <w:tc>
          <w:tcPr>
            <w:tcW w:w="567" w:type="dxa"/>
            <w:shd w:val="clear" w:color="auto" w:fill="C6EFCE"/>
          </w:tcPr>
          <w:p w14:paraId="4113EE62" w14:textId="71AD49AA" w:rsidR="006578ED" w:rsidRDefault="00EC188C">
            <w:pPr>
              <w:pStyle w:val="P68B1DB1-Normal13"/>
              <w:jc w:val="center"/>
              <w:rPr>
                <w:rFonts w:cs="Times New Roman"/>
                <w:noProof/>
              </w:rPr>
            </w:pPr>
            <w:r>
              <w:rPr>
                <w:noProof/>
              </w:rPr>
              <w:t>KW. 4</w:t>
            </w:r>
          </w:p>
        </w:tc>
        <w:tc>
          <w:tcPr>
            <w:tcW w:w="822" w:type="dxa"/>
            <w:shd w:val="clear" w:color="auto" w:fill="C6EFCE"/>
          </w:tcPr>
          <w:p w14:paraId="34AD0CC7" w14:textId="77777777" w:rsidR="006578ED" w:rsidRDefault="00A1618E">
            <w:pPr>
              <w:pStyle w:val="P68B1DB1-Normal13"/>
              <w:jc w:val="center"/>
              <w:rPr>
                <w:rFonts w:cs="Times New Roman"/>
                <w:noProof/>
              </w:rPr>
            </w:pPr>
            <w:r>
              <w:rPr>
                <w:noProof/>
              </w:rPr>
              <w:t>2024</w:t>
            </w:r>
          </w:p>
        </w:tc>
        <w:tc>
          <w:tcPr>
            <w:tcW w:w="3998" w:type="dxa"/>
            <w:shd w:val="clear" w:color="auto" w:fill="C6EFCE"/>
          </w:tcPr>
          <w:p w14:paraId="6DD00CB3" w14:textId="3D731528" w:rsidR="006578ED" w:rsidRDefault="00A1618E">
            <w:pPr>
              <w:pStyle w:val="P68B1DB1-Normal13"/>
              <w:rPr>
                <w:rFonts w:cs="Times New Roman"/>
                <w:noProof/>
              </w:rPr>
            </w:pPr>
            <w:r>
              <w:rPr>
                <w:noProof/>
              </w:rPr>
              <w:t>Co najmniej 140 000 m 2</w:t>
            </w:r>
            <w:r>
              <w:rPr>
                <w:noProof/>
                <w:vertAlign w:val="superscript"/>
              </w:rPr>
              <w:t>termomodernizacji</w:t>
            </w:r>
            <w:r>
              <w:rPr>
                <w:noProof/>
              </w:rPr>
              <w:t xml:space="preserve"> budynków publicznych, co pozwoli na zmniejszenie zapotrzebowania na energię pierwotną o średnio co najmniej 30 %. </w:t>
            </w:r>
          </w:p>
        </w:tc>
      </w:tr>
      <w:tr w:rsidR="006578ED" w14:paraId="0ECAD83F" w14:textId="77777777">
        <w:trPr>
          <w:trHeight w:val="309"/>
        </w:trPr>
        <w:tc>
          <w:tcPr>
            <w:tcW w:w="1223" w:type="dxa"/>
            <w:shd w:val="clear" w:color="auto" w:fill="C6EFCE"/>
          </w:tcPr>
          <w:p w14:paraId="265144FA" w14:textId="77777777" w:rsidR="006578ED" w:rsidRDefault="00A1618E">
            <w:pPr>
              <w:pStyle w:val="P68B1DB1-Normal13"/>
              <w:jc w:val="center"/>
              <w:rPr>
                <w:rFonts w:cs="Times New Roman"/>
                <w:noProof/>
              </w:rPr>
            </w:pPr>
            <w:r>
              <w:rPr>
                <w:noProof/>
              </w:rPr>
              <w:t>172</w:t>
            </w:r>
          </w:p>
        </w:tc>
        <w:tc>
          <w:tcPr>
            <w:tcW w:w="1448" w:type="dxa"/>
            <w:shd w:val="clear" w:color="auto" w:fill="C6EFCE"/>
          </w:tcPr>
          <w:p w14:paraId="16CFF082" w14:textId="77777777" w:rsidR="006578ED" w:rsidRDefault="00A1618E">
            <w:pPr>
              <w:pStyle w:val="P68B1DB1-Normal13"/>
              <w:jc w:val="center"/>
              <w:rPr>
                <w:rFonts w:cs="Times New Roman"/>
                <w:noProof/>
              </w:rPr>
            </w:pPr>
            <w:r>
              <w:rPr>
                <w:noProof/>
              </w:rPr>
              <w:t>C11.I4</w:t>
            </w:r>
          </w:p>
        </w:tc>
        <w:tc>
          <w:tcPr>
            <w:tcW w:w="966" w:type="dxa"/>
            <w:shd w:val="clear" w:color="auto" w:fill="C6EFCE"/>
          </w:tcPr>
          <w:p w14:paraId="424A5BDB" w14:textId="63703FB3" w:rsidR="006578ED" w:rsidRDefault="00AF6B91">
            <w:pPr>
              <w:pStyle w:val="P68B1DB1-Normal13"/>
              <w:jc w:val="center"/>
              <w:rPr>
                <w:rFonts w:cs="Times New Roman"/>
                <w:noProof/>
              </w:rPr>
            </w:pPr>
            <w:r>
              <w:rPr>
                <w:noProof/>
              </w:rPr>
              <w:t>Cel</w:t>
            </w:r>
          </w:p>
        </w:tc>
        <w:tc>
          <w:tcPr>
            <w:tcW w:w="1631" w:type="dxa"/>
            <w:shd w:val="clear" w:color="auto" w:fill="C6EFCE"/>
          </w:tcPr>
          <w:p w14:paraId="39B2B5FA" w14:textId="305CFBFD" w:rsidR="006578ED" w:rsidRDefault="00A1618E">
            <w:pPr>
              <w:pStyle w:val="P68B1DB1-Normal13"/>
              <w:rPr>
                <w:rFonts w:cs="Times New Roman"/>
                <w:noProof/>
              </w:rPr>
            </w:pPr>
            <w:r>
              <w:rPr>
                <w:noProof/>
              </w:rPr>
              <w:t>Renowacje energetyczne w budynkach publicznych (1 050 000 m 2)</w:t>
            </w:r>
          </w:p>
        </w:tc>
        <w:tc>
          <w:tcPr>
            <w:tcW w:w="1442" w:type="dxa"/>
            <w:shd w:val="clear" w:color="auto" w:fill="C6EFCE"/>
          </w:tcPr>
          <w:p w14:paraId="17FC145C" w14:textId="77777777" w:rsidR="006578ED" w:rsidRDefault="00A1618E">
            <w:pPr>
              <w:pStyle w:val="P68B1DB1-Normal13"/>
              <w:jc w:val="center"/>
              <w:rPr>
                <w:rFonts w:cs="Times New Roman"/>
                <w:noProof/>
              </w:rPr>
            </w:pPr>
            <w:r>
              <w:rPr>
                <w:noProof/>
              </w:rPr>
              <w:t> </w:t>
            </w:r>
          </w:p>
        </w:tc>
        <w:tc>
          <w:tcPr>
            <w:tcW w:w="1082" w:type="dxa"/>
            <w:shd w:val="clear" w:color="auto" w:fill="C6EFCE"/>
          </w:tcPr>
          <w:p w14:paraId="3CA5CD69" w14:textId="77777777" w:rsidR="006578ED" w:rsidRDefault="00A1618E">
            <w:pPr>
              <w:pStyle w:val="P68B1DB1-Normal13"/>
              <w:jc w:val="right"/>
              <w:rPr>
                <w:rFonts w:cs="Times New Roman"/>
                <w:noProof/>
              </w:rPr>
            </w:pPr>
            <w:r>
              <w:rPr>
                <w:noProof/>
              </w:rPr>
              <w:t>Liczba (m</w:t>
            </w:r>
            <w:r>
              <w:rPr>
                <w:noProof/>
                <w:vertAlign w:val="superscript"/>
              </w:rPr>
              <w:t>2</w:t>
            </w:r>
            <w:r>
              <w:rPr>
                <w:noProof/>
              </w:rPr>
              <w:t>)</w:t>
            </w:r>
          </w:p>
        </w:tc>
        <w:tc>
          <w:tcPr>
            <w:tcW w:w="708" w:type="dxa"/>
            <w:shd w:val="clear" w:color="auto" w:fill="C6EFCE"/>
          </w:tcPr>
          <w:p w14:paraId="3FC613A1" w14:textId="77777777" w:rsidR="006578ED" w:rsidRDefault="00A1618E">
            <w:pPr>
              <w:pStyle w:val="P68B1DB1-Normal13"/>
              <w:jc w:val="right"/>
              <w:rPr>
                <w:rFonts w:cs="Times New Roman"/>
                <w:noProof/>
              </w:rPr>
            </w:pPr>
            <w:r>
              <w:rPr>
                <w:noProof/>
              </w:rPr>
              <w:t>140 000</w:t>
            </w:r>
          </w:p>
        </w:tc>
        <w:tc>
          <w:tcPr>
            <w:tcW w:w="709" w:type="dxa"/>
            <w:shd w:val="clear" w:color="auto" w:fill="C6EFCE"/>
          </w:tcPr>
          <w:p w14:paraId="2CEBE334" w14:textId="09D1C051" w:rsidR="006578ED" w:rsidRDefault="00A1618E">
            <w:pPr>
              <w:pStyle w:val="P68B1DB1-Normal13"/>
              <w:jc w:val="right"/>
              <w:rPr>
                <w:rFonts w:cs="Times New Roman"/>
                <w:noProof/>
              </w:rPr>
            </w:pPr>
            <w:r>
              <w:rPr>
                <w:noProof/>
              </w:rPr>
              <w:t>1 050 000</w:t>
            </w:r>
          </w:p>
        </w:tc>
        <w:tc>
          <w:tcPr>
            <w:tcW w:w="567" w:type="dxa"/>
            <w:shd w:val="clear" w:color="auto" w:fill="C6EFCE"/>
          </w:tcPr>
          <w:p w14:paraId="707801F4" w14:textId="509CE896" w:rsidR="006578ED" w:rsidRDefault="00EC188C">
            <w:pPr>
              <w:pStyle w:val="P68B1DB1-Normal13"/>
              <w:jc w:val="center"/>
              <w:rPr>
                <w:rFonts w:cs="Times New Roman"/>
                <w:noProof/>
              </w:rPr>
            </w:pPr>
            <w:r>
              <w:rPr>
                <w:noProof/>
              </w:rPr>
              <w:t>KW. 2</w:t>
            </w:r>
          </w:p>
        </w:tc>
        <w:tc>
          <w:tcPr>
            <w:tcW w:w="822" w:type="dxa"/>
            <w:shd w:val="clear" w:color="auto" w:fill="C6EFCE"/>
          </w:tcPr>
          <w:p w14:paraId="46EFD318" w14:textId="77777777" w:rsidR="006578ED" w:rsidRDefault="00A1618E">
            <w:pPr>
              <w:pStyle w:val="P68B1DB1-Normal13"/>
              <w:jc w:val="center"/>
              <w:rPr>
                <w:rFonts w:cs="Times New Roman"/>
                <w:noProof/>
              </w:rPr>
            </w:pPr>
            <w:r>
              <w:rPr>
                <w:noProof/>
              </w:rPr>
              <w:t>2026</w:t>
            </w:r>
          </w:p>
        </w:tc>
        <w:tc>
          <w:tcPr>
            <w:tcW w:w="3998" w:type="dxa"/>
            <w:shd w:val="clear" w:color="auto" w:fill="C6EFCE"/>
          </w:tcPr>
          <w:p w14:paraId="79821775" w14:textId="3054793B" w:rsidR="006578ED" w:rsidRDefault="00A1618E">
            <w:pPr>
              <w:pStyle w:val="P68B1DB1-Normal13"/>
              <w:rPr>
                <w:rFonts w:cs="Times New Roman"/>
                <w:noProof/>
              </w:rPr>
            </w:pPr>
            <w:r>
              <w:rPr>
                <w:noProof/>
              </w:rPr>
              <w:t>Co najmniej 1 050 000 m 2</w:t>
            </w:r>
            <w:r>
              <w:rPr>
                <w:noProof/>
                <w:vertAlign w:val="superscript"/>
              </w:rPr>
              <w:t>termomodernizacji</w:t>
            </w:r>
            <w:r>
              <w:rPr>
                <w:noProof/>
              </w:rPr>
              <w:t xml:space="preserve"> ukończonych w budynkach publicznych, osiągających średnio co najmniej 30 % redukcję zapotrzebowania na energię pierwotną. (podstawa: 31 grudnia 20</w:t>
            </w:r>
            <w:r w:rsidRPr="00A1618E">
              <w:rPr>
                <w:noProof/>
                <w:lang w:val="pl-PL"/>
              </w:rPr>
              <w:t>24 r.</w:t>
            </w:r>
            <w:r>
              <w:rPr>
                <w:noProof/>
              </w:rPr>
              <w:t>)</w:t>
            </w:r>
          </w:p>
        </w:tc>
      </w:tr>
      <w:tr w:rsidR="006578ED" w14:paraId="1A19CA85" w14:textId="77777777">
        <w:trPr>
          <w:trHeight w:val="309"/>
        </w:trPr>
        <w:tc>
          <w:tcPr>
            <w:tcW w:w="1223" w:type="dxa"/>
            <w:shd w:val="clear" w:color="auto" w:fill="C6EFCE"/>
          </w:tcPr>
          <w:p w14:paraId="266C876D" w14:textId="1CED3F3D" w:rsidR="006578ED" w:rsidRDefault="00A1618E">
            <w:pPr>
              <w:pStyle w:val="P68B1DB1-Normal13"/>
              <w:jc w:val="center"/>
              <w:rPr>
                <w:rFonts w:cs="Times New Roman"/>
                <w:noProof/>
              </w:rPr>
            </w:pPr>
            <w:r>
              <w:rPr>
                <w:noProof/>
              </w:rPr>
              <w:t>439</w:t>
            </w:r>
          </w:p>
        </w:tc>
        <w:tc>
          <w:tcPr>
            <w:tcW w:w="1448" w:type="dxa"/>
            <w:shd w:val="clear" w:color="auto" w:fill="C6EFCE"/>
          </w:tcPr>
          <w:p w14:paraId="2C941AE5" w14:textId="549FD562" w:rsidR="006578ED" w:rsidRDefault="00A1618E">
            <w:pPr>
              <w:pStyle w:val="P68B1DB1-Normal13"/>
              <w:jc w:val="center"/>
              <w:rPr>
                <w:rFonts w:cs="Times New Roman"/>
                <w:noProof/>
              </w:rPr>
            </w:pPr>
            <w:r>
              <w:rPr>
                <w:noProof/>
              </w:rPr>
              <w:t>C11.I4</w:t>
            </w:r>
          </w:p>
        </w:tc>
        <w:tc>
          <w:tcPr>
            <w:tcW w:w="966" w:type="dxa"/>
            <w:shd w:val="clear" w:color="auto" w:fill="C6EFCE"/>
          </w:tcPr>
          <w:p w14:paraId="48D882CE" w14:textId="1AEDCB3F" w:rsidR="006578ED" w:rsidRDefault="00AF6B91">
            <w:pPr>
              <w:pStyle w:val="P68B1DB1-Normal13"/>
              <w:jc w:val="center"/>
              <w:rPr>
                <w:rFonts w:cs="Times New Roman"/>
                <w:noProof/>
              </w:rPr>
            </w:pPr>
            <w:r>
              <w:rPr>
                <w:noProof/>
              </w:rPr>
              <w:t>Cel</w:t>
            </w:r>
          </w:p>
        </w:tc>
        <w:tc>
          <w:tcPr>
            <w:tcW w:w="1631" w:type="dxa"/>
            <w:shd w:val="clear" w:color="auto" w:fill="C6EFCE"/>
          </w:tcPr>
          <w:p w14:paraId="351EFAD8" w14:textId="19DA7AC8" w:rsidR="006578ED" w:rsidRDefault="00A1618E">
            <w:pPr>
              <w:pStyle w:val="P68B1DB1-Normal13"/>
              <w:rPr>
                <w:rFonts w:cs="Times New Roman"/>
                <w:noProof/>
              </w:rPr>
            </w:pPr>
            <w:r>
              <w:rPr>
                <w:noProof/>
              </w:rPr>
              <w:t>Wdrażanie systemów fotowoltaicznych lub innych odnawialnych źródeł energii w obiektach administracji centralnej</w:t>
            </w:r>
          </w:p>
        </w:tc>
        <w:tc>
          <w:tcPr>
            <w:tcW w:w="1442" w:type="dxa"/>
            <w:shd w:val="clear" w:color="auto" w:fill="C6EFCE"/>
          </w:tcPr>
          <w:p w14:paraId="0089FA6D" w14:textId="77777777" w:rsidR="006578ED" w:rsidRDefault="006578ED">
            <w:pPr>
              <w:jc w:val="center"/>
              <w:rPr>
                <w:rFonts w:ascii="Times New Roman" w:hAnsi="Times New Roman" w:cs="Times New Roman"/>
                <w:noProof/>
                <w:sz w:val="18"/>
              </w:rPr>
            </w:pPr>
          </w:p>
        </w:tc>
        <w:tc>
          <w:tcPr>
            <w:tcW w:w="1082" w:type="dxa"/>
            <w:shd w:val="clear" w:color="auto" w:fill="C6EFCE"/>
          </w:tcPr>
          <w:p w14:paraId="4858E5CA" w14:textId="58E0112C" w:rsidR="006578ED" w:rsidRDefault="00A1618E">
            <w:pPr>
              <w:pStyle w:val="P68B1DB1-Normal13"/>
              <w:jc w:val="right"/>
              <w:rPr>
                <w:rFonts w:cs="Times New Roman"/>
                <w:noProof/>
              </w:rPr>
            </w:pPr>
            <w:r>
              <w:rPr>
                <w:noProof/>
              </w:rPr>
              <w:t xml:space="preserve"> Mln EUR</w:t>
            </w:r>
          </w:p>
        </w:tc>
        <w:tc>
          <w:tcPr>
            <w:tcW w:w="708" w:type="dxa"/>
            <w:shd w:val="clear" w:color="auto" w:fill="C6EFCE"/>
          </w:tcPr>
          <w:p w14:paraId="15744716" w14:textId="26FF9995" w:rsidR="006578ED" w:rsidRDefault="00A1618E">
            <w:pPr>
              <w:pStyle w:val="P68B1DB1-Normal13"/>
              <w:jc w:val="right"/>
              <w:rPr>
                <w:rFonts w:cs="Times New Roman"/>
                <w:noProof/>
              </w:rPr>
            </w:pPr>
            <w:r>
              <w:rPr>
                <w:noProof/>
              </w:rPr>
              <w:t>0</w:t>
            </w:r>
          </w:p>
        </w:tc>
        <w:tc>
          <w:tcPr>
            <w:tcW w:w="709" w:type="dxa"/>
            <w:shd w:val="clear" w:color="auto" w:fill="C6EFCE"/>
          </w:tcPr>
          <w:p w14:paraId="28D7C79F" w14:textId="36B39F61" w:rsidR="006578ED" w:rsidRDefault="00A1618E">
            <w:pPr>
              <w:pStyle w:val="P68B1DB1-Normal13"/>
              <w:jc w:val="right"/>
              <w:rPr>
                <w:rFonts w:cs="Times New Roman"/>
                <w:noProof/>
              </w:rPr>
            </w:pPr>
            <w:r>
              <w:rPr>
                <w:noProof/>
              </w:rPr>
              <w:t>80</w:t>
            </w:r>
          </w:p>
        </w:tc>
        <w:tc>
          <w:tcPr>
            <w:tcW w:w="567" w:type="dxa"/>
            <w:shd w:val="clear" w:color="auto" w:fill="C6EFCE"/>
          </w:tcPr>
          <w:p w14:paraId="7911F42D" w14:textId="6F711F98" w:rsidR="006578ED" w:rsidRDefault="00EC188C">
            <w:pPr>
              <w:pStyle w:val="P68B1DB1-Normal13"/>
              <w:jc w:val="center"/>
              <w:rPr>
                <w:rFonts w:cs="Times New Roman"/>
                <w:noProof/>
              </w:rPr>
            </w:pPr>
            <w:r>
              <w:rPr>
                <w:noProof/>
              </w:rPr>
              <w:t>KW. 2</w:t>
            </w:r>
          </w:p>
        </w:tc>
        <w:tc>
          <w:tcPr>
            <w:tcW w:w="822" w:type="dxa"/>
            <w:shd w:val="clear" w:color="auto" w:fill="C6EFCE"/>
          </w:tcPr>
          <w:p w14:paraId="40D1653F" w14:textId="324B3F87" w:rsidR="006578ED" w:rsidRDefault="00A1618E">
            <w:pPr>
              <w:pStyle w:val="P68B1DB1-Normal13"/>
              <w:jc w:val="center"/>
              <w:rPr>
                <w:rFonts w:cs="Times New Roman"/>
                <w:noProof/>
              </w:rPr>
            </w:pPr>
            <w:r>
              <w:rPr>
                <w:noProof/>
              </w:rPr>
              <w:t>2026</w:t>
            </w:r>
          </w:p>
        </w:tc>
        <w:tc>
          <w:tcPr>
            <w:tcW w:w="3998" w:type="dxa"/>
            <w:shd w:val="clear" w:color="auto" w:fill="C6EFCE"/>
          </w:tcPr>
          <w:p w14:paraId="3C260850" w14:textId="57996F8C" w:rsidR="006578ED" w:rsidRDefault="00A1618E">
            <w:pPr>
              <w:pStyle w:val="P68B1DB1-Normal13"/>
              <w:rPr>
                <w:rFonts w:cs="Times New Roman"/>
                <w:noProof/>
              </w:rPr>
            </w:pPr>
            <w:r>
              <w:rPr>
                <w:noProof/>
              </w:rPr>
              <w:t>Zakończenie projektów dotyczących wdrożenia systemów fotowoltaicznych lub innych odnawialnych źródeł energii w obiektach administracji centralnej o wartości co najmniej 80 000 000 EUR.</w:t>
            </w:r>
          </w:p>
        </w:tc>
      </w:tr>
      <w:tr w:rsidR="006578ED" w14:paraId="51420AED" w14:textId="77777777">
        <w:trPr>
          <w:trHeight w:val="309"/>
        </w:trPr>
        <w:tc>
          <w:tcPr>
            <w:tcW w:w="1223" w:type="dxa"/>
            <w:shd w:val="clear" w:color="auto" w:fill="C6EFCE"/>
          </w:tcPr>
          <w:p w14:paraId="16D69C5E" w14:textId="77777777" w:rsidR="006578ED" w:rsidRDefault="00A1618E">
            <w:pPr>
              <w:pStyle w:val="P68B1DB1-Normal13"/>
              <w:jc w:val="center"/>
              <w:rPr>
                <w:rFonts w:cs="Times New Roman"/>
                <w:noProof/>
              </w:rPr>
            </w:pPr>
            <w:r>
              <w:rPr>
                <w:noProof/>
              </w:rPr>
              <w:t>173</w:t>
            </w:r>
          </w:p>
        </w:tc>
        <w:tc>
          <w:tcPr>
            <w:tcW w:w="1448" w:type="dxa"/>
            <w:shd w:val="clear" w:color="auto" w:fill="C6EFCE"/>
          </w:tcPr>
          <w:p w14:paraId="42396D75" w14:textId="77777777" w:rsidR="006578ED" w:rsidRDefault="00A1618E">
            <w:pPr>
              <w:pStyle w:val="P68B1DB1-Normal13"/>
              <w:jc w:val="center"/>
              <w:rPr>
                <w:rFonts w:cs="Times New Roman"/>
                <w:noProof/>
              </w:rPr>
            </w:pPr>
            <w:r>
              <w:rPr>
                <w:noProof/>
              </w:rPr>
              <w:t>C11.I5</w:t>
            </w:r>
          </w:p>
        </w:tc>
        <w:tc>
          <w:tcPr>
            <w:tcW w:w="966" w:type="dxa"/>
            <w:shd w:val="clear" w:color="auto" w:fill="C6EFCE"/>
          </w:tcPr>
          <w:p w14:paraId="3028FAE5" w14:textId="3DB49EF0" w:rsidR="006578ED" w:rsidRDefault="00AF6B91">
            <w:pPr>
              <w:pStyle w:val="P68B1DB1-Normal13"/>
              <w:jc w:val="center"/>
              <w:rPr>
                <w:rFonts w:cs="Times New Roman"/>
                <w:noProof/>
              </w:rPr>
            </w:pPr>
            <w:r>
              <w:rPr>
                <w:noProof/>
              </w:rPr>
              <w:t>Kamień milowy</w:t>
            </w:r>
          </w:p>
        </w:tc>
        <w:tc>
          <w:tcPr>
            <w:tcW w:w="1631" w:type="dxa"/>
            <w:shd w:val="clear" w:color="auto" w:fill="C6EFCE"/>
          </w:tcPr>
          <w:p w14:paraId="2F2DF16B" w14:textId="4244BCB0" w:rsidR="006578ED" w:rsidRDefault="00A1618E">
            <w:pPr>
              <w:pStyle w:val="P68B1DB1-Normal13"/>
              <w:rPr>
                <w:rFonts w:cs="Times New Roman"/>
                <w:noProof/>
              </w:rPr>
            </w:pPr>
            <w:r>
              <w:rPr>
                <w:noProof/>
              </w:rPr>
              <w:t>Zintegrowany system informacyjny Instrumentu na rzecz Odbudowy i Zwiększania Odporności</w:t>
            </w:r>
          </w:p>
        </w:tc>
        <w:tc>
          <w:tcPr>
            <w:tcW w:w="1442" w:type="dxa"/>
            <w:shd w:val="clear" w:color="auto" w:fill="C6EFCE"/>
          </w:tcPr>
          <w:p w14:paraId="109361A0" w14:textId="581C09B0" w:rsidR="006578ED" w:rsidRDefault="00A1618E">
            <w:pPr>
              <w:pStyle w:val="P68B1DB1-Normal13"/>
              <w:jc w:val="center"/>
              <w:rPr>
                <w:rFonts w:cs="Times New Roman"/>
                <w:noProof/>
              </w:rPr>
            </w:pPr>
            <w:r>
              <w:rPr>
                <w:noProof/>
              </w:rPr>
              <w:t>Sprawozdanie z audytu</w:t>
            </w:r>
          </w:p>
        </w:tc>
        <w:tc>
          <w:tcPr>
            <w:tcW w:w="1082" w:type="dxa"/>
            <w:shd w:val="clear" w:color="auto" w:fill="C6EFCE"/>
          </w:tcPr>
          <w:p w14:paraId="0115031B" w14:textId="77777777" w:rsidR="006578ED" w:rsidRDefault="00A1618E">
            <w:pPr>
              <w:pStyle w:val="P68B1DB1-Normal13"/>
              <w:jc w:val="right"/>
              <w:rPr>
                <w:rFonts w:cs="Times New Roman"/>
                <w:noProof/>
              </w:rPr>
            </w:pPr>
            <w:r>
              <w:rPr>
                <w:noProof/>
              </w:rPr>
              <w:t xml:space="preserve"> </w:t>
            </w:r>
          </w:p>
        </w:tc>
        <w:tc>
          <w:tcPr>
            <w:tcW w:w="708" w:type="dxa"/>
            <w:shd w:val="clear" w:color="auto" w:fill="C6EFCE"/>
          </w:tcPr>
          <w:p w14:paraId="1E24DD54" w14:textId="77777777" w:rsidR="006578ED" w:rsidRDefault="00A1618E">
            <w:pPr>
              <w:pStyle w:val="P68B1DB1-Normal13"/>
              <w:jc w:val="right"/>
              <w:rPr>
                <w:rFonts w:cs="Times New Roman"/>
                <w:noProof/>
              </w:rPr>
            </w:pPr>
            <w:r>
              <w:rPr>
                <w:noProof/>
              </w:rPr>
              <w:t xml:space="preserve"> </w:t>
            </w:r>
          </w:p>
        </w:tc>
        <w:tc>
          <w:tcPr>
            <w:tcW w:w="709" w:type="dxa"/>
            <w:shd w:val="clear" w:color="auto" w:fill="C6EFCE"/>
          </w:tcPr>
          <w:p w14:paraId="074BB40A" w14:textId="77777777" w:rsidR="006578ED" w:rsidRDefault="00A1618E">
            <w:pPr>
              <w:pStyle w:val="P68B1DB1-Normal13"/>
              <w:jc w:val="right"/>
              <w:rPr>
                <w:rFonts w:cs="Times New Roman"/>
                <w:noProof/>
              </w:rPr>
            </w:pPr>
            <w:r>
              <w:rPr>
                <w:noProof/>
              </w:rPr>
              <w:t xml:space="preserve"> </w:t>
            </w:r>
          </w:p>
        </w:tc>
        <w:tc>
          <w:tcPr>
            <w:tcW w:w="567" w:type="dxa"/>
            <w:shd w:val="clear" w:color="auto" w:fill="C6EFCE"/>
          </w:tcPr>
          <w:p w14:paraId="7E469E69" w14:textId="66A07980" w:rsidR="006578ED" w:rsidRDefault="00EC188C">
            <w:pPr>
              <w:pStyle w:val="P68B1DB1-Normal13"/>
              <w:jc w:val="center"/>
              <w:rPr>
                <w:rFonts w:cs="Times New Roman"/>
                <w:noProof/>
              </w:rPr>
            </w:pPr>
            <w:r>
              <w:rPr>
                <w:noProof/>
              </w:rPr>
              <w:t>KW. 3</w:t>
            </w:r>
          </w:p>
        </w:tc>
        <w:tc>
          <w:tcPr>
            <w:tcW w:w="822" w:type="dxa"/>
            <w:shd w:val="clear" w:color="auto" w:fill="C6EFCE"/>
          </w:tcPr>
          <w:p w14:paraId="7638223B" w14:textId="77777777" w:rsidR="006578ED" w:rsidRDefault="00A1618E">
            <w:pPr>
              <w:pStyle w:val="P68B1DB1-Normal13"/>
              <w:jc w:val="center"/>
              <w:rPr>
                <w:rFonts w:cs="Times New Roman"/>
                <w:noProof/>
              </w:rPr>
            </w:pPr>
            <w:r>
              <w:rPr>
                <w:noProof/>
              </w:rPr>
              <w:t>2021</w:t>
            </w:r>
          </w:p>
        </w:tc>
        <w:tc>
          <w:tcPr>
            <w:tcW w:w="3998" w:type="dxa"/>
            <w:shd w:val="clear" w:color="auto" w:fill="C6EFCE"/>
          </w:tcPr>
          <w:p w14:paraId="6286323C" w14:textId="3280BCB9" w:rsidR="006578ED" w:rsidRDefault="00A1618E">
            <w:pPr>
              <w:pStyle w:val="P68B1DB1-Normal13"/>
              <w:rPr>
                <w:rFonts w:cs="Times New Roman"/>
                <w:noProof/>
              </w:rPr>
            </w:pPr>
            <w:r>
              <w:rPr>
                <w:noProof/>
              </w:rPr>
              <w:t>Wdrożenie systemu, który umożliwia a) załadowanie planu odbudowy i zwiększania odporności oraz informacji na temat realizacji i monitorowania osiągnięcia kamieni milowych i wartości docelowych; w celu przygotowania deklaracji zarządczych i podsumowania audytu, a także wniosków o płatność; oraz c) gromadzenie i przechowywanie danych dotyczących beneficjentów, wykonawców, podwykonawców i beneficjentów rzeczywistych zgodnie z </w:t>
            </w:r>
            <w:r w:rsidRPr="00A1618E">
              <w:rPr>
                <w:noProof/>
                <w:lang w:val="pl-PL"/>
              </w:rPr>
              <w:t>art. 2</w:t>
            </w:r>
            <w:r>
              <w:rPr>
                <w:noProof/>
              </w:rPr>
              <w:t>2 rozporządzenia w sprawie Instrumentu na rzecz Odbudowy i Zwiększania Odporności. Sporządza się specjalne sprawozdanie z audytu stosowanego systemu. W przypadku gdy w sprawozdaniu stwierdzono jakiekolwiek niedociągnięcia, w sprawozdaniu z audytu zaleca się działania naprawcze.</w:t>
            </w:r>
          </w:p>
        </w:tc>
      </w:tr>
      <w:tr w:rsidR="006578ED" w14:paraId="3D6B6EB3" w14:textId="77777777">
        <w:trPr>
          <w:trHeight w:val="309"/>
        </w:trPr>
        <w:tc>
          <w:tcPr>
            <w:tcW w:w="1223" w:type="dxa"/>
            <w:shd w:val="clear" w:color="auto" w:fill="C6EFCE"/>
          </w:tcPr>
          <w:p w14:paraId="6DAA0BD9" w14:textId="77777777" w:rsidR="006578ED" w:rsidRDefault="00A1618E">
            <w:pPr>
              <w:pStyle w:val="P68B1DB1-Normal13"/>
              <w:jc w:val="center"/>
              <w:rPr>
                <w:rFonts w:cs="Times New Roman"/>
                <w:noProof/>
              </w:rPr>
            </w:pPr>
            <w:r>
              <w:rPr>
                <w:noProof/>
              </w:rPr>
              <w:t>174</w:t>
            </w:r>
          </w:p>
        </w:tc>
        <w:tc>
          <w:tcPr>
            <w:tcW w:w="1448" w:type="dxa"/>
            <w:shd w:val="clear" w:color="auto" w:fill="C6EFCE"/>
          </w:tcPr>
          <w:p w14:paraId="2F95774C" w14:textId="77777777" w:rsidR="006578ED" w:rsidRDefault="00A1618E">
            <w:pPr>
              <w:pStyle w:val="P68B1DB1-Normal13"/>
              <w:jc w:val="center"/>
              <w:rPr>
                <w:rFonts w:cs="Times New Roman"/>
                <w:noProof/>
              </w:rPr>
            </w:pPr>
            <w:r>
              <w:rPr>
                <w:noProof/>
              </w:rPr>
              <w:t>C11.I5</w:t>
            </w:r>
          </w:p>
        </w:tc>
        <w:tc>
          <w:tcPr>
            <w:tcW w:w="966" w:type="dxa"/>
            <w:shd w:val="clear" w:color="auto" w:fill="C6EFCE"/>
          </w:tcPr>
          <w:p w14:paraId="140E7501" w14:textId="4478D727" w:rsidR="006578ED" w:rsidRDefault="00AF6B91">
            <w:pPr>
              <w:pStyle w:val="P68B1DB1-Normal13"/>
              <w:jc w:val="center"/>
              <w:rPr>
                <w:rFonts w:cs="Times New Roman"/>
                <w:noProof/>
              </w:rPr>
            </w:pPr>
            <w:r>
              <w:rPr>
                <w:noProof/>
              </w:rPr>
              <w:t>Cel</w:t>
            </w:r>
          </w:p>
        </w:tc>
        <w:tc>
          <w:tcPr>
            <w:tcW w:w="1631" w:type="dxa"/>
            <w:shd w:val="clear" w:color="auto" w:fill="C6EFCE"/>
          </w:tcPr>
          <w:p w14:paraId="09AB6B67" w14:textId="239A80ED" w:rsidR="006578ED" w:rsidRDefault="00A1618E">
            <w:pPr>
              <w:pStyle w:val="P68B1DB1-Normal13"/>
              <w:rPr>
                <w:rFonts w:cs="Times New Roman"/>
                <w:noProof/>
              </w:rPr>
            </w:pPr>
            <w:r>
              <w:rPr>
                <w:noProof/>
              </w:rPr>
              <w:t>Nowe narzędzia i działania komunikacyjne</w:t>
            </w:r>
          </w:p>
        </w:tc>
        <w:tc>
          <w:tcPr>
            <w:tcW w:w="1442" w:type="dxa"/>
            <w:shd w:val="clear" w:color="auto" w:fill="C6EFCE"/>
          </w:tcPr>
          <w:p w14:paraId="1043FF33" w14:textId="77777777" w:rsidR="006578ED" w:rsidRDefault="00A1618E">
            <w:pPr>
              <w:pStyle w:val="P68B1DB1-Normal13"/>
              <w:jc w:val="center"/>
              <w:rPr>
                <w:rFonts w:cs="Times New Roman"/>
                <w:noProof/>
              </w:rPr>
            </w:pPr>
            <w:r>
              <w:rPr>
                <w:noProof/>
              </w:rPr>
              <w:t> </w:t>
            </w:r>
          </w:p>
        </w:tc>
        <w:tc>
          <w:tcPr>
            <w:tcW w:w="1082" w:type="dxa"/>
            <w:shd w:val="clear" w:color="auto" w:fill="C6EFCE"/>
          </w:tcPr>
          <w:p w14:paraId="1BA20486" w14:textId="77777777" w:rsidR="006578ED" w:rsidRDefault="00A1618E">
            <w:pPr>
              <w:pStyle w:val="P68B1DB1-Normal13"/>
              <w:jc w:val="right"/>
              <w:rPr>
                <w:rFonts w:cs="Times New Roman"/>
                <w:noProof/>
              </w:rPr>
            </w:pPr>
            <w:r>
              <w:rPr>
                <w:noProof/>
              </w:rPr>
              <w:t>Liczba</w:t>
            </w:r>
          </w:p>
        </w:tc>
        <w:tc>
          <w:tcPr>
            <w:tcW w:w="708" w:type="dxa"/>
            <w:shd w:val="clear" w:color="auto" w:fill="C6EFCE"/>
          </w:tcPr>
          <w:p w14:paraId="3194369D" w14:textId="77777777" w:rsidR="006578ED" w:rsidRDefault="00A1618E">
            <w:pPr>
              <w:pStyle w:val="P68B1DB1-Normal13"/>
              <w:jc w:val="right"/>
              <w:rPr>
                <w:rFonts w:cs="Times New Roman"/>
                <w:noProof/>
              </w:rPr>
            </w:pPr>
            <w:r>
              <w:rPr>
                <w:noProof/>
              </w:rPr>
              <w:t>0</w:t>
            </w:r>
          </w:p>
        </w:tc>
        <w:tc>
          <w:tcPr>
            <w:tcW w:w="709" w:type="dxa"/>
            <w:shd w:val="clear" w:color="auto" w:fill="C6EFCE"/>
          </w:tcPr>
          <w:p w14:paraId="1DFFE5C7" w14:textId="77777777" w:rsidR="006578ED" w:rsidRDefault="00A1618E">
            <w:pPr>
              <w:pStyle w:val="P68B1DB1-Normal13"/>
              <w:jc w:val="right"/>
              <w:rPr>
                <w:rFonts w:cs="Times New Roman"/>
                <w:noProof/>
              </w:rPr>
            </w:pPr>
            <w:r>
              <w:rPr>
                <w:noProof/>
              </w:rPr>
              <w:t>4</w:t>
            </w:r>
          </w:p>
        </w:tc>
        <w:tc>
          <w:tcPr>
            <w:tcW w:w="567" w:type="dxa"/>
            <w:shd w:val="clear" w:color="auto" w:fill="C6EFCE"/>
          </w:tcPr>
          <w:p w14:paraId="7D1EB45E" w14:textId="0E90BE21" w:rsidR="006578ED" w:rsidRDefault="00EC188C">
            <w:pPr>
              <w:pStyle w:val="P68B1DB1-Normal13"/>
              <w:jc w:val="center"/>
              <w:rPr>
                <w:rFonts w:cs="Times New Roman"/>
                <w:noProof/>
              </w:rPr>
            </w:pPr>
            <w:r>
              <w:rPr>
                <w:noProof/>
              </w:rPr>
              <w:t>KW. 4</w:t>
            </w:r>
          </w:p>
        </w:tc>
        <w:tc>
          <w:tcPr>
            <w:tcW w:w="822" w:type="dxa"/>
            <w:shd w:val="clear" w:color="auto" w:fill="C6EFCE"/>
          </w:tcPr>
          <w:p w14:paraId="1DFA7961" w14:textId="77777777" w:rsidR="006578ED" w:rsidRDefault="00A1618E">
            <w:pPr>
              <w:pStyle w:val="P68B1DB1-Normal13"/>
              <w:jc w:val="center"/>
              <w:rPr>
                <w:rFonts w:cs="Times New Roman"/>
                <w:noProof/>
              </w:rPr>
            </w:pPr>
            <w:r>
              <w:rPr>
                <w:noProof/>
              </w:rPr>
              <w:t>2022</w:t>
            </w:r>
          </w:p>
        </w:tc>
        <w:tc>
          <w:tcPr>
            <w:tcW w:w="3998" w:type="dxa"/>
            <w:shd w:val="clear" w:color="auto" w:fill="C6EFCE"/>
          </w:tcPr>
          <w:p w14:paraId="2D0F4233" w14:textId="0041E1A0" w:rsidR="006578ED" w:rsidRDefault="00A1618E">
            <w:pPr>
              <w:pStyle w:val="P68B1DB1-Normal13"/>
              <w:rPr>
                <w:rFonts w:cs="Times New Roman"/>
                <w:noProof/>
              </w:rPr>
            </w:pPr>
            <w:r>
              <w:rPr>
                <w:noProof/>
              </w:rPr>
              <w:t>Co najmniej 2 osoby zarządzające społecznością zatrudnione w celu zwiększenia obecności w mediach społecznościowych, zwiększając liczbę potencjalnych uczestników i beneficjentów planu, aby dowiedzieć się o możliwościach oferowanych przez plan; dwie strony internetowe działają, aby zmaksymalizować absorpcję zasobów.</w:t>
            </w:r>
          </w:p>
        </w:tc>
      </w:tr>
      <w:tr w:rsidR="006578ED" w14:paraId="2692D9E7" w14:textId="77777777">
        <w:trPr>
          <w:trHeight w:val="309"/>
        </w:trPr>
        <w:tc>
          <w:tcPr>
            <w:tcW w:w="1223" w:type="dxa"/>
            <w:shd w:val="clear" w:color="auto" w:fill="C6EFCE"/>
          </w:tcPr>
          <w:p w14:paraId="5D82B080" w14:textId="77777777" w:rsidR="006578ED" w:rsidRDefault="00A1618E">
            <w:pPr>
              <w:pStyle w:val="P68B1DB1-Normal13"/>
              <w:jc w:val="center"/>
              <w:rPr>
                <w:rFonts w:cs="Times New Roman"/>
                <w:noProof/>
              </w:rPr>
            </w:pPr>
            <w:r>
              <w:rPr>
                <w:noProof/>
              </w:rPr>
              <w:t>175</w:t>
            </w:r>
          </w:p>
        </w:tc>
        <w:tc>
          <w:tcPr>
            <w:tcW w:w="1448" w:type="dxa"/>
            <w:shd w:val="clear" w:color="auto" w:fill="C6EFCE"/>
          </w:tcPr>
          <w:p w14:paraId="79BA18C8" w14:textId="77777777" w:rsidR="006578ED" w:rsidRDefault="00A1618E">
            <w:pPr>
              <w:pStyle w:val="P68B1DB1-Normal13"/>
              <w:jc w:val="center"/>
              <w:rPr>
                <w:rFonts w:cs="Times New Roman"/>
                <w:noProof/>
              </w:rPr>
            </w:pPr>
            <w:r>
              <w:rPr>
                <w:noProof/>
              </w:rPr>
              <w:t>C11.I5</w:t>
            </w:r>
          </w:p>
        </w:tc>
        <w:tc>
          <w:tcPr>
            <w:tcW w:w="966" w:type="dxa"/>
            <w:shd w:val="clear" w:color="auto" w:fill="C6EFCE"/>
          </w:tcPr>
          <w:p w14:paraId="73559B47" w14:textId="352B2790" w:rsidR="006578ED" w:rsidRDefault="00AF6B91">
            <w:pPr>
              <w:pStyle w:val="P68B1DB1-Normal13"/>
              <w:jc w:val="center"/>
              <w:rPr>
                <w:rFonts w:cs="Times New Roman"/>
                <w:noProof/>
              </w:rPr>
            </w:pPr>
            <w:r>
              <w:rPr>
                <w:noProof/>
              </w:rPr>
              <w:t>Cel</w:t>
            </w:r>
          </w:p>
        </w:tc>
        <w:tc>
          <w:tcPr>
            <w:tcW w:w="1631" w:type="dxa"/>
            <w:shd w:val="clear" w:color="auto" w:fill="C6EFCE"/>
          </w:tcPr>
          <w:p w14:paraId="3632DEEA" w14:textId="77777777" w:rsidR="006578ED" w:rsidRDefault="00A1618E">
            <w:pPr>
              <w:pStyle w:val="P68B1DB1-Normal13"/>
              <w:rPr>
                <w:rFonts w:cs="Times New Roman"/>
                <w:noProof/>
              </w:rPr>
            </w:pPr>
            <w:r>
              <w:rPr>
                <w:noProof/>
              </w:rPr>
              <w:t xml:space="preserve">Przeszkolony personel administracji publicznej </w:t>
            </w:r>
          </w:p>
        </w:tc>
        <w:tc>
          <w:tcPr>
            <w:tcW w:w="1442" w:type="dxa"/>
            <w:shd w:val="clear" w:color="auto" w:fill="C6EFCE"/>
          </w:tcPr>
          <w:p w14:paraId="589E950B" w14:textId="77777777" w:rsidR="006578ED" w:rsidRDefault="00A1618E">
            <w:pPr>
              <w:pStyle w:val="P68B1DB1-Normal13"/>
              <w:jc w:val="center"/>
              <w:rPr>
                <w:rFonts w:cs="Times New Roman"/>
                <w:noProof/>
              </w:rPr>
            </w:pPr>
            <w:r>
              <w:rPr>
                <w:noProof/>
              </w:rPr>
              <w:t> </w:t>
            </w:r>
          </w:p>
        </w:tc>
        <w:tc>
          <w:tcPr>
            <w:tcW w:w="1082" w:type="dxa"/>
            <w:shd w:val="clear" w:color="auto" w:fill="C6EFCE"/>
          </w:tcPr>
          <w:p w14:paraId="56C89F43" w14:textId="77777777" w:rsidR="006578ED" w:rsidRDefault="00A1618E">
            <w:pPr>
              <w:pStyle w:val="P68B1DB1-Normal13"/>
              <w:jc w:val="right"/>
              <w:rPr>
                <w:rFonts w:cs="Times New Roman"/>
                <w:noProof/>
              </w:rPr>
            </w:pPr>
            <w:r>
              <w:rPr>
                <w:noProof/>
              </w:rPr>
              <w:t>Liczba</w:t>
            </w:r>
          </w:p>
        </w:tc>
        <w:tc>
          <w:tcPr>
            <w:tcW w:w="708" w:type="dxa"/>
            <w:shd w:val="clear" w:color="auto" w:fill="C6EFCE"/>
          </w:tcPr>
          <w:p w14:paraId="6992A621" w14:textId="77777777" w:rsidR="006578ED" w:rsidRDefault="00A1618E">
            <w:pPr>
              <w:pStyle w:val="P68B1DB1-Normal13"/>
              <w:jc w:val="right"/>
              <w:rPr>
                <w:rFonts w:cs="Times New Roman"/>
                <w:noProof/>
              </w:rPr>
            </w:pPr>
            <w:r>
              <w:rPr>
                <w:noProof/>
              </w:rPr>
              <w:t>0</w:t>
            </w:r>
          </w:p>
        </w:tc>
        <w:tc>
          <w:tcPr>
            <w:tcW w:w="709" w:type="dxa"/>
            <w:shd w:val="clear" w:color="auto" w:fill="C6EFCE"/>
          </w:tcPr>
          <w:p w14:paraId="39FC2332" w14:textId="77777777" w:rsidR="006578ED" w:rsidRDefault="00A1618E">
            <w:pPr>
              <w:pStyle w:val="P68B1DB1-Normal13"/>
              <w:jc w:val="right"/>
              <w:rPr>
                <w:rFonts w:cs="Times New Roman"/>
                <w:noProof/>
              </w:rPr>
            </w:pPr>
            <w:r>
              <w:rPr>
                <w:noProof/>
              </w:rPr>
              <w:t>3 150</w:t>
            </w:r>
          </w:p>
        </w:tc>
        <w:tc>
          <w:tcPr>
            <w:tcW w:w="567" w:type="dxa"/>
            <w:shd w:val="clear" w:color="auto" w:fill="C6EFCE"/>
          </w:tcPr>
          <w:p w14:paraId="18DEFB86" w14:textId="1EA8921E" w:rsidR="006578ED" w:rsidRDefault="00EC188C">
            <w:pPr>
              <w:pStyle w:val="P68B1DB1-Normal13"/>
              <w:jc w:val="center"/>
              <w:rPr>
                <w:rFonts w:cs="Times New Roman"/>
                <w:noProof/>
              </w:rPr>
            </w:pPr>
            <w:r>
              <w:rPr>
                <w:noProof/>
              </w:rPr>
              <w:t>KW. 3</w:t>
            </w:r>
          </w:p>
        </w:tc>
        <w:tc>
          <w:tcPr>
            <w:tcW w:w="822" w:type="dxa"/>
            <w:shd w:val="clear" w:color="auto" w:fill="C6EFCE"/>
          </w:tcPr>
          <w:p w14:paraId="3D640CA9" w14:textId="77777777" w:rsidR="006578ED" w:rsidRDefault="00A1618E">
            <w:pPr>
              <w:pStyle w:val="P68B1DB1-Normal13"/>
              <w:jc w:val="center"/>
              <w:rPr>
                <w:rFonts w:cs="Times New Roman"/>
                <w:noProof/>
              </w:rPr>
            </w:pPr>
            <w:r>
              <w:rPr>
                <w:noProof/>
              </w:rPr>
              <w:t>2026</w:t>
            </w:r>
          </w:p>
        </w:tc>
        <w:tc>
          <w:tcPr>
            <w:tcW w:w="3998" w:type="dxa"/>
            <w:shd w:val="clear" w:color="auto" w:fill="C6EFCE"/>
          </w:tcPr>
          <w:p w14:paraId="42468616" w14:textId="7585C70C" w:rsidR="006578ED" w:rsidRDefault="00A1618E">
            <w:pPr>
              <w:pStyle w:val="P68B1DB1-Normal13"/>
              <w:rPr>
                <w:rFonts w:cs="Times New Roman"/>
                <w:noProof/>
              </w:rPr>
            </w:pPr>
            <w:r>
              <w:rPr>
                <w:noProof/>
              </w:rPr>
              <w:t xml:space="preserve">Przeszkolono co najmniej 3150 pracowników administracji publicznej w obszarach dotyczących wdrażania, kontroli i audytu planu odbudowy i zwiększania odporności (RRP). </w:t>
            </w:r>
          </w:p>
        </w:tc>
      </w:tr>
    </w:tbl>
    <w:p w14:paraId="000C812F"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417" w:right="1134" w:bottom="1417" w:left="1134" w:header="709" w:footer="709" w:gutter="0"/>
          <w:cols w:space="720"/>
          <w:docGrid w:linePitch="360"/>
        </w:sectPr>
      </w:pPr>
    </w:p>
    <w:p w14:paraId="7AC49A7F" w14:textId="411A6E84" w:rsidR="006578ED" w:rsidRDefault="00A1618E">
      <w:pPr>
        <w:spacing w:before="120" w:after="120" w:line="240" w:lineRule="auto"/>
        <w:jc w:val="both"/>
        <w:rPr>
          <w:rStyle w:val="eop"/>
          <w:rFonts w:ascii="Times New Roman" w:hAnsi="Times New Roman" w:cs="Times New Roman"/>
          <w:noProof/>
          <w:sz w:val="24"/>
          <w:shd w:val="clear" w:color="auto" w:fill="FFFFFF"/>
        </w:rPr>
      </w:pPr>
      <w:r>
        <w:rPr>
          <w:rStyle w:val="normaltextrun"/>
          <w:rFonts w:ascii="Times New Roman" w:hAnsi="Times New Roman"/>
          <w:b/>
          <w:noProof/>
          <w:sz w:val="24"/>
          <w:u w:val="single"/>
        </w:rPr>
        <w:t>K</w:t>
      </w:r>
      <w:r>
        <w:rPr>
          <w:rStyle w:val="normaltextrun"/>
          <w:rFonts w:ascii="Times New Roman" w:hAnsi="Times New Roman"/>
          <w:b/>
          <w:noProof/>
          <w:sz w:val="24"/>
          <w:u w:val="single"/>
          <w:shd w:val="clear" w:color="auto" w:fill="FFFFFF"/>
        </w:rPr>
        <w:t>.3. Opis reform i inwestycji na potrzeby wsparcia w formie pożyczki</w:t>
      </w:r>
    </w:p>
    <w:p w14:paraId="28630AE6" w14:textId="5A7C118C" w:rsidR="006578ED" w:rsidRDefault="00A1618E">
      <w:pPr>
        <w:pStyle w:val="P68B1DB1-Normal6"/>
        <w:spacing w:before="120" w:after="120" w:line="240" w:lineRule="auto"/>
        <w:jc w:val="both"/>
        <w:rPr>
          <w:rFonts w:cs="Times New Roman"/>
          <w:noProof/>
        </w:rPr>
      </w:pPr>
      <w:r>
        <w:rPr>
          <w:noProof/>
        </w:rPr>
        <w:t>Inwestycje 6 (C11.I6) – Instrumenty cyberbezpieczeństwa oraz odporności i bezpieczeństwa</w:t>
      </w:r>
    </w:p>
    <w:p w14:paraId="7AA5F2B7" w14:textId="3577F742" w:rsidR="006578ED" w:rsidRDefault="00A1618E">
      <w:pPr>
        <w:pStyle w:val="P68B1DB1-Normal4"/>
        <w:spacing w:before="120" w:after="120" w:line="240" w:lineRule="auto"/>
        <w:jc w:val="both"/>
        <w:rPr>
          <w:rFonts w:eastAsia="Times New Roman" w:cs="Times New Roman"/>
          <w:noProof/>
        </w:rPr>
      </w:pPr>
      <w:r>
        <w:rPr>
          <w:noProof/>
        </w:rPr>
        <w:t>Środek ten obejmuje dwie główne inwestycje: program cyberbezpieczeństwa mający na celu wzmocnienie zdolności administracji publicznej w zakresie cyberbezpieczeństwa w dziedzinie zapobiegania zagrożeniom cybernetycznym, ich ochrony, wykrywania i reagowania na nie; oraz (ii) „Funduszu na rzecz Odporności i Bezpieczeństwa” w celu promowania inwestycji produkcyjnych i zwiększenia zdolności produkcyjnych na terytorium Hiszpanii w sektorach bezpieczeństwa, obrony, aeronautyki i przestrzeni kosmicznej.</w:t>
      </w:r>
    </w:p>
    <w:p w14:paraId="4B5D5C87" w14:textId="77777777" w:rsidR="006578ED" w:rsidRDefault="00A1618E">
      <w:pPr>
        <w:pStyle w:val="P68B1DB1-Normal18"/>
        <w:rPr>
          <w:rFonts w:cs="Times New Roman"/>
          <w:noProof/>
        </w:rPr>
      </w:pPr>
      <w:r>
        <w:rPr>
          <w:noProof/>
        </w:rPr>
        <w:t>Program cyberbezpieczeństwa</w:t>
      </w:r>
    </w:p>
    <w:p w14:paraId="57B37F3C" w14:textId="04FB269A" w:rsidR="006578ED" w:rsidRDefault="00A1618E">
      <w:pPr>
        <w:pStyle w:val="P68B1DB1-Normal4"/>
        <w:spacing w:before="120" w:after="120" w:line="240" w:lineRule="auto"/>
        <w:jc w:val="both"/>
        <w:rPr>
          <w:rFonts w:eastAsia="Times New Roman" w:cs="Times New Roman"/>
          <w:noProof/>
        </w:rPr>
      </w:pPr>
      <w:r>
        <w:rPr>
          <w:noProof/>
        </w:rPr>
        <w:t>Ten element środka polega na realizacji projektów w ramach programu cyberbezpieczeństwa, które przyczyniają się do: budowanie zdolności reagowania na zagrożenia cybernetyczne; zapewnienie bezpieczeństwa i odporności aktywów strategicznych; zwiększenie zdolności w zakresie prowadzenia dochodzeń i ścigania cyberprzestępczości; zwiększenie cyberbezpieczeństwa obywateli i przedsiębiorstw; pobudzenie sektora cyberbezpieczeństwa; oraz vi) rozwijanie kultury cyberbezpieczeństwa.</w:t>
      </w:r>
    </w:p>
    <w:p w14:paraId="5532C259" w14:textId="01013383" w:rsidR="006578ED" w:rsidRDefault="00A1618E">
      <w:pPr>
        <w:pStyle w:val="P68B1DB1-Normal4"/>
        <w:spacing w:before="120" w:after="120" w:line="240" w:lineRule="auto"/>
        <w:jc w:val="both"/>
        <w:rPr>
          <w:rFonts w:eastAsia="Times New Roman" w:cs="Times New Roman"/>
          <w:noProof/>
        </w:rPr>
      </w:pPr>
      <w:r>
        <w:rPr>
          <w:noProof/>
        </w:rPr>
        <w:t>Realizacja programu w zakresie cyberbezpieczeństwa zostanie zakończona do dnia 30 czerwca 20</w:t>
      </w:r>
      <w:r w:rsidRPr="00A1618E">
        <w:rPr>
          <w:noProof/>
          <w:lang w:val="pl-PL"/>
        </w:rPr>
        <w:t>26 r.</w:t>
      </w:r>
    </w:p>
    <w:p w14:paraId="1C24F29F" w14:textId="69420884" w:rsidR="006578ED" w:rsidRDefault="00A1618E">
      <w:pPr>
        <w:pStyle w:val="P68B1DB1-Normal18"/>
        <w:rPr>
          <w:rFonts w:eastAsia="Times New Roman" w:cs="Times New Roman"/>
          <w:noProof/>
        </w:rPr>
      </w:pPr>
      <w:r>
        <w:rPr>
          <w:noProof/>
        </w:rPr>
        <w:t>Fundusz Bezpieczeństwa i Zwiększania Odporności</w:t>
      </w:r>
    </w:p>
    <w:p w14:paraId="507C7EB9" w14:textId="54CC3689" w:rsidR="006578ED" w:rsidRDefault="00A1618E">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Ten element środka obejmuje inwestycje publiczne w Instrument, Fundusz Bezpieczeństwa i Zwiększania Odporności w celu </w:t>
      </w:r>
      <w:bookmarkStart w:id="17" w:name="_Hlk145601028"/>
      <w:r>
        <w:rPr>
          <w:rStyle w:val="normaltextrun"/>
          <w:rFonts w:ascii="Times New Roman" w:hAnsi="Times New Roman"/>
          <w:noProof/>
          <w:sz w:val="24"/>
          <w:shd w:val="clear" w:color="auto" w:fill="FFFFFF"/>
        </w:rPr>
        <w:t xml:space="preserve">zachęcenia do inwestycji prywatnych i poprawy dostępu do finansowania w hiszpańskim sektorze </w:t>
      </w:r>
      <w:bookmarkEnd w:id="17"/>
      <w:r>
        <w:rPr>
          <w:rStyle w:val="normaltextrun"/>
          <w:rFonts w:ascii="Times New Roman" w:hAnsi="Times New Roman"/>
          <w:noProof/>
          <w:sz w:val="24"/>
          <w:shd w:val="clear" w:color="auto" w:fill="FFFFFF"/>
        </w:rPr>
        <w:t>bezpieczeństwa</w:t>
      </w:r>
      <w:r>
        <w:rPr>
          <w:rFonts w:ascii="Times New Roman" w:hAnsi="Times New Roman"/>
          <w:noProof/>
          <w:sz w:val="24"/>
        </w:rPr>
        <w:t>, obronności, aeronautyki i przestrzeni kosmicznej oraz w </w:t>
      </w:r>
      <w:r>
        <w:rPr>
          <w:rStyle w:val="normaltextrun"/>
          <w:rFonts w:ascii="Times New Roman" w:hAnsi="Times New Roman"/>
          <w:noProof/>
          <w:sz w:val="24"/>
          <w:shd w:val="clear" w:color="auto" w:fill="FFFFFF"/>
        </w:rPr>
        <w:t>celu rozwoju rynków kapitałowych w tych obszarach. Instrument działa poprzez udzielanie pożyczek, inwestycji kapitałowych i quasi-kapitałowych, bezpośrednio lub przez pośredników dla sektora prywatnego, a także dla podmiotów sektora publicznego prowadzących podobną działalność</w:t>
      </w:r>
      <w:r w:rsidRPr="00A1618E">
        <w:rPr>
          <w:rStyle w:val="normaltextrun"/>
          <w:rFonts w:ascii="Times New Roman" w:hAnsi="Times New Roman"/>
          <w:noProof/>
          <w:sz w:val="24"/>
          <w:shd w:val="clear" w:color="auto" w:fill="FFFFFF"/>
          <w:lang w:val="pl-PL"/>
        </w:rPr>
        <w:t>. N</w:t>
      </w:r>
      <w:r>
        <w:rPr>
          <w:rStyle w:val="normaltextrun"/>
          <w:rFonts w:ascii="Times New Roman" w:hAnsi="Times New Roman"/>
          <w:noProof/>
          <w:sz w:val="24"/>
          <w:shd w:val="clear" w:color="auto" w:fill="FFFFFF"/>
        </w:rPr>
        <w:t>a podstawie inwestycji w ramach RRF instrument ma początkowo zapewnić finansowanie w wysokości co najmniej 1 000 000 000 EUR.</w:t>
      </w:r>
    </w:p>
    <w:p w14:paraId="53166B8D" w14:textId="4ED87A3F" w:rsidR="006578ED" w:rsidRDefault="00A1618E">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Instrumentem zarządza </w:t>
      </w:r>
      <w:r>
        <w:rPr>
          <w:rFonts w:ascii="Times New Roman" w:hAnsi="Times New Roman"/>
          <w:noProof/>
          <w:sz w:val="24"/>
        </w:rPr>
        <w:t xml:space="preserve">Sociedad Estatal de Participaciones Industriales Desarrollo Empresarial (SEPIDES) </w:t>
      </w:r>
      <w:r>
        <w:rPr>
          <w:rStyle w:val="normaltextrun"/>
          <w:rFonts w:ascii="Times New Roman" w:hAnsi="Times New Roman"/>
          <w:noProof/>
          <w:sz w:val="24"/>
          <w:shd w:val="clear" w:color="auto" w:fill="FFFFFF"/>
        </w:rPr>
        <w:t xml:space="preserve">jako partner wykonawczy. Instrument obejmuje następujące dwie linie produktowe: </w:t>
      </w:r>
    </w:p>
    <w:p w14:paraId="1E28F317" w14:textId="3F173817" w:rsidR="006578ED" w:rsidRDefault="00A1618E">
      <w:pPr>
        <w:pStyle w:val="P68B1DB1-ListParagraph7"/>
        <w:numPr>
          <w:ilvl w:val="0"/>
          <w:numId w:val="447"/>
        </w:numPr>
        <w:spacing w:before="120" w:after="120" w:line="240" w:lineRule="auto"/>
        <w:jc w:val="both"/>
        <w:rPr>
          <w:rStyle w:val="normaltextrun"/>
          <w:rFonts w:eastAsia="Times New Roman" w:cs="Times New Roman"/>
          <w:noProof/>
        </w:rPr>
      </w:pPr>
      <w:r>
        <w:rPr>
          <w:noProof/>
        </w:rPr>
        <w:t>Linia bezpośrednia: Instrument bezpośrednio inwestuje w przedsiębiorstwa, które zobowiązały się do realizacji nowych projektów w docelowych sektorach, w tym nowych projektów w ramach bieżących programów rozwoju</w:t>
      </w:r>
      <w:r w:rsidRPr="00A1618E">
        <w:rPr>
          <w:noProof/>
          <w:lang w:val="pl-PL"/>
        </w:rPr>
        <w:t>. I</w:t>
      </w:r>
      <w:r>
        <w:rPr>
          <w:noProof/>
        </w:rPr>
        <w:t>nstrument musi być w stanie inwestować z wykorzystaniem instrumentów pożyczkowych, kapitałowych i quasi-kapitałowych. Inwestycje kapitałowe Funduszu nie powodują, że udział kapitału publicznego w beneficjencie końcowym przekracza 49 % całkowitego kapitału własnego.</w:t>
      </w:r>
    </w:p>
    <w:p w14:paraId="24F7DD89" w14:textId="5BB4AE63" w:rsidR="006578ED" w:rsidRDefault="00A1618E">
      <w:pPr>
        <w:pStyle w:val="ListParagraph"/>
        <w:numPr>
          <w:ilvl w:val="0"/>
          <w:numId w:val="614"/>
        </w:numPr>
        <w:rPr>
          <w:rFonts w:ascii="Times New Roman" w:hAnsi="Times New Roman" w:cs="Times New Roman"/>
          <w:noProof/>
          <w:sz w:val="24"/>
        </w:rPr>
      </w:pPr>
      <w:r>
        <w:rPr>
          <w:rFonts w:ascii="Times New Roman" w:hAnsi="Times New Roman"/>
          <w:noProof/>
          <w:sz w:val="24"/>
        </w:rPr>
        <w:t>Linia pośrednia: Instrument inwestuje w istniejące fundusze, które inwestują w sektory objęte Instrumentem. Maksymalny udział instrumentu nie przekracza 49 % funduszu lub innego instrumentu inwestycyjnego.</w:t>
      </w:r>
      <w:r>
        <w:rPr>
          <w:noProof/>
        </w:rPr>
        <w:t xml:space="preserve"> </w:t>
      </w:r>
      <w:r>
        <w:rPr>
          <w:rFonts w:ascii="Times New Roman" w:hAnsi="Times New Roman"/>
          <w:noProof/>
          <w:sz w:val="24"/>
        </w:rPr>
        <w:t>Inwestycje kapitałowe funduszy nie powodują, że udział kapitału publicznego w funduszu lub instrumencie inwestycyjnym przekracza 49 % całkowitego kapitału własnego.</w:t>
      </w:r>
    </w:p>
    <w:p w14:paraId="0EB3BAEC" w14:textId="2CC35569" w:rsidR="006578ED" w:rsidRPr="00A1618E" w:rsidRDefault="00A1618E">
      <w:pPr>
        <w:pStyle w:val="P68B1DB1-Normal4"/>
        <w:spacing w:before="120" w:after="120" w:line="240" w:lineRule="auto"/>
        <w:jc w:val="both"/>
        <w:rPr>
          <w:rFonts w:eastAsia="Times New Roman" w:cs="Times New Roman"/>
          <w:noProof/>
          <w:lang w:val="pl-PL"/>
        </w:rPr>
      </w:pPr>
      <w:r>
        <w:rPr>
          <w:noProof/>
        </w:rPr>
        <w:t>W celu realizacji inwestycji w instrument Hiszpania zatwierdza rozporządzenie i wszelkie powiązane dokumenty dotyczące utworzenia Instrumentu i zarządzania nim, które zawierają następującą treść</w:t>
      </w:r>
      <w:r w:rsidRPr="00A1618E">
        <w:rPr>
          <w:noProof/>
          <w:lang w:val="pl-PL"/>
        </w:rPr>
        <w:t xml:space="preserve">: </w:t>
      </w:r>
    </w:p>
    <w:p w14:paraId="6E600765" w14:textId="679D1E9A" w:rsidR="006578ED" w:rsidRDefault="00A1618E">
      <w:pPr>
        <w:pStyle w:val="P68B1DB1-ListParagraph7"/>
        <w:numPr>
          <w:ilvl w:val="0"/>
          <w:numId w:val="734"/>
        </w:numPr>
        <w:spacing w:line="240" w:lineRule="auto"/>
        <w:contextualSpacing w:val="0"/>
        <w:jc w:val="both"/>
        <w:rPr>
          <w:rFonts w:eastAsia="Times New Roman" w:cs="Times New Roman"/>
          <w:noProof/>
        </w:rPr>
      </w:pPr>
      <w:r>
        <w:rPr>
          <w:noProof/>
        </w:rPr>
        <w:t>Opis procesu decyzyjnego w ramach Instrumentu</w:t>
      </w:r>
      <w:r w:rsidRPr="00A1618E">
        <w:rPr>
          <w:noProof/>
          <w:lang w:val="pl-PL"/>
        </w:rPr>
        <w:t>: D</w:t>
      </w:r>
      <w:r>
        <w:rPr>
          <w:noProof/>
        </w:rPr>
        <w:t>ecyzję o początkowej inwestycji instrumentu podejmuje komitet inwestycyjny lub inny odpowiedni równoważny organ zarządzający i zatwierdzana większością głosów członków niezależnych od rządu hiszpańskiego. Ostateczna decyzja inwestycyjna Instrumentu ogranicza się do zatwierdzenia (bez zmian) lub korzystania z prawa weta w odniesieniu do decyzji inwestycyjnej zaproponowanej przez komitet inwestycyjny lub odpowiedni równoważny organ zarządzający. W przypadku inwestycji przez pośredników ostateczną decyzję inwestycyjną podejmują pośrednicy. Prawo weta w odniesieniu do decyzji inwestycyjnej zaproponowanej przez pośrednika może być wykonywane ze względów bezpieczeństwa narodowego.</w:t>
      </w:r>
    </w:p>
    <w:p w14:paraId="49221D99" w14:textId="16873181" w:rsidR="006578ED" w:rsidRDefault="00A1618E">
      <w:pPr>
        <w:pStyle w:val="P68B1DB1-ListParagraph7"/>
        <w:numPr>
          <w:ilvl w:val="0"/>
          <w:numId w:val="734"/>
        </w:numPr>
        <w:spacing w:line="240" w:lineRule="auto"/>
        <w:jc w:val="both"/>
        <w:rPr>
          <w:rFonts w:eastAsia="Times New Roman" w:cs="Times New Roman"/>
          <w:noProof/>
        </w:rPr>
      </w:pPr>
      <w:r>
        <w:rPr>
          <w:noProof/>
        </w:rPr>
        <w:t>Kluczowe wymogi powiązanej polityki inwestycyjnej, które obejmują:</w:t>
      </w:r>
    </w:p>
    <w:p w14:paraId="205E8354" w14:textId="3A59F8FD" w:rsidR="006578ED" w:rsidRDefault="00A1618E">
      <w:pPr>
        <w:pStyle w:val="ListParagraph"/>
        <w:numPr>
          <w:ilvl w:val="1"/>
          <w:numId w:val="734"/>
        </w:numPr>
        <w:spacing w:line="240" w:lineRule="auto"/>
        <w:jc w:val="both"/>
        <w:rPr>
          <w:rFonts w:ascii="Times New Roman" w:eastAsia="Times New Roman" w:hAnsi="Times New Roman" w:cs="Times New Roman"/>
          <w:noProof/>
          <w:sz w:val="24"/>
        </w:rPr>
      </w:pPr>
      <w:r>
        <w:rPr>
          <w:rFonts w:ascii="Times New Roman" w:hAnsi="Times New Roman"/>
          <w:noProof/>
          <w:sz w:val="24"/>
        </w:rPr>
        <w:t>Opis produktów finansowych i kwalifikujących się beneficjentów końcowych zgodnie z opisem środka</w:t>
      </w:r>
      <w:r w:rsidRPr="00A1618E">
        <w:rPr>
          <w:rFonts w:ascii="Times New Roman" w:hAnsi="Times New Roman"/>
          <w:noProof/>
          <w:sz w:val="24"/>
          <w:lang w:val="pl-PL"/>
        </w:rPr>
        <w:t>. N</w:t>
      </w:r>
      <w:r>
        <w:rPr>
          <w:rFonts w:ascii="Times New Roman" w:hAnsi="Times New Roman"/>
          <w:noProof/>
          <w:sz w:val="24"/>
        </w:rPr>
        <w:t>a inwestycje strategiczne, tj. inwestycje w technologie i produkty obronne określone w rocznym programie prac Europejskiego Funduszu Obronnego; inwestycje kosmiczne w zegary atomowe, strategiczne rakiety nośne; oraz produkty kosmiczne</w:t>
      </w:r>
      <w:r w:rsidRPr="00A1618E">
        <w:rPr>
          <w:rFonts w:ascii="Times New Roman" w:hAnsi="Times New Roman"/>
          <w:noProof/>
          <w:sz w:val="24"/>
          <w:lang w:val="pl-PL"/>
        </w:rPr>
        <w:t>; o</w:t>
      </w:r>
      <w:r>
        <w:rPr>
          <w:rFonts w:ascii="Times New Roman" w:hAnsi="Times New Roman"/>
          <w:noProof/>
          <w:sz w:val="24"/>
        </w:rPr>
        <w:t>raz inwestycje koncentrujące się wyłącznie na opracowywaniu i wdrażaniu narzędzi i rozwiązań w zakresie cyberbezpieczeństwa, w tym w przypadku gdy są one częścią wdrażania lub modernizacji sieci cyfrowych i infrastruktury danych; beneficjenci końcowi nie mogą być kontrolowani przez państwo trzecie ani podmioty z państw trzecich i ich kierownictwo wykonawcze w Unii, z wyjątkiem inwestycji o wartości poniżej 10 000 000 EUR. Jeżeli beneficjent końcowy uczestniczy w inwestycji strategicznej w dziedzinie łączności 5G, środki i plany ograniczania ryzyka zgodnie z zestawem narzędzi cyberbezpieczeństwa 5G</w:t>
      </w:r>
      <w:r>
        <w:rPr>
          <w:rStyle w:val="FootnoteReference"/>
          <w:rFonts w:ascii="Times New Roman" w:eastAsia="Times New Roman" w:hAnsi="Times New Roman" w:cs="Times New Roman"/>
          <w:noProof/>
          <w:sz w:val="24"/>
        </w:rPr>
        <w:footnoteReference w:id="21"/>
      </w:r>
      <w:r>
        <w:rPr>
          <w:rFonts w:ascii="Times New Roman" w:hAnsi="Times New Roman"/>
          <w:noProof/>
          <w:sz w:val="24"/>
        </w:rPr>
        <w:t xml:space="preserve"> mają również zastosowanie do jego dostawców. Do takich dostawców należą w szczególności sprzedawcy i producenci urządzeń telekomunikacyjnych i inni dostawcy będący stronami trzecimi, tacy jak dostawcy infrastruktury chmurowej, dostawcy usług zarządzania, integratorzy systemów, wykonawcy oferujący usługi z zakresu bezpieczeństwa i obsługi technicznej oraz producenci urządzeń łączności. W przypadku gdy beneficjent końcowy uczestniczy w inwestycji strategicznej w dziedzinie obronności, ograniczenie to ma również zastosowanie do jego dostawców i podwykonawców. Ograniczenia dotyczące braku kontroli ze strony państwa trzeciego lub podmiotu z państwa trzeciego określone w trzech powyższych akapitach nie mają zastosowania do konkretnej operacji z zakresu finansowania i inwestycji, w przypadku gdy beneficjent końcowy może wykazać, że jest podmiotem prawnym, dla którego państwo członkowskie, w którym ma siedzibę, zatwierdziło gwarancję zgodnie z zasadami dotyczącymi kwalifikujących się podmiotów określonymi w odpowiednich przepisach rozporządzenia w sprawie Europejskiego Funduszu Obronnego („EFO”)</w:t>
      </w:r>
      <w:r>
        <w:rPr>
          <w:rStyle w:val="FootnoteReference"/>
          <w:rFonts w:ascii="Times New Roman" w:eastAsia="Times New Roman" w:hAnsi="Times New Roman" w:cs="Times New Roman"/>
          <w:noProof/>
          <w:sz w:val="24"/>
        </w:rPr>
        <w:footnoteReference w:id="22"/>
      </w:r>
      <w:r>
        <w:rPr>
          <w:rFonts w:ascii="Times New Roman" w:hAnsi="Times New Roman"/>
          <w:noProof/>
          <w:sz w:val="24"/>
        </w:rPr>
        <w:t xml:space="preserve"> lub zwolnieniem Komisji przyznanym zgodnie z zasadami dotyczącymi kwalifikujących się podmiotów określonymi w odpowiednich przepisach rozporządzenia w sprawie przestrzeni kosmicznej</w:t>
      </w:r>
      <w:r>
        <w:rPr>
          <w:rStyle w:val="FootnoteReference"/>
          <w:rFonts w:ascii="Times New Roman" w:eastAsia="Times New Roman" w:hAnsi="Times New Roman" w:cs="Times New Roman"/>
          <w:noProof/>
          <w:sz w:val="24"/>
        </w:rPr>
        <w:footnoteReference w:id="23"/>
      </w:r>
      <w:r>
        <w:rPr>
          <w:rFonts w:ascii="Times New Roman" w:hAnsi="Times New Roman"/>
          <w:noProof/>
          <w:sz w:val="24"/>
        </w:rPr>
        <w:t xml:space="preserve">. Partner wykonawczy musi powiadomić rząd o wszelkich odstępstwach przyznanych w odniesieniu do ograniczeń. </w:t>
      </w:r>
    </w:p>
    <w:p w14:paraId="2EFD2C81" w14:textId="51BC5F71" w:rsidR="006578ED" w:rsidRDefault="00A1618E">
      <w:pPr>
        <w:pStyle w:val="P68B1DB1-ListParagraph7"/>
        <w:numPr>
          <w:ilvl w:val="1"/>
          <w:numId w:val="734"/>
        </w:numPr>
        <w:spacing w:line="240" w:lineRule="auto"/>
        <w:jc w:val="both"/>
        <w:rPr>
          <w:rFonts w:eastAsia="Times New Roman" w:cs="Times New Roman"/>
          <w:noProof/>
        </w:rPr>
      </w:pPr>
      <w:r>
        <w:rPr>
          <w:noProof/>
        </w:rPr>
        <w:t>Wymóg, aby wszystkie wspierane inwestycje były ekonomicznie opłacalne.</w:t>
      </w:r>
    </w:p>
    <w:p w14:paraId="563AF7F0" w14:textId="3DE3B65D" w:rsidR="006578ED" w:rsidRPr="00A1618E" w:rsidRDefault="00A1618E">
      <w:pPr>
        <w:pStyle w:val="P68B1DB1-ListParagraph7"/>
        <w:numPr>
          <w:ilvl w:val="1"/>
          <w:numId w:val="734"/>
        </w:numPr>
        <w:spacing w:line="240" w:lineRule="auto"/>
        <w:jc w:val="both"/>
        <w:rPr>
          <w:rFonts w:eastAsia="Times New Roman" w:cs="Times New Roman"/>
          <w:noProof/>
          <w:lang w:val="pl-PL"/>
        </w:rPr>
      </w:pPr>
      <w:r>
        <w:rPr>
          <w:noProof/>
        </w:rPr>
        <w:t>Zakaz refinansowania wszelkich niespłaconych pożyczek</w:t>
      </w:r>
      <w:r w:rsidRPr="00A1618E">
        <w:rPr>
          <w:noProof/>
          <w:lang w:val="pl-PL"/>
        </w:rPr>
        <w:t xml:space="preserve">. </w:t>
      </w:r>
    </w:p>
    <w:p w14:paraId="0A322070" w14:textId="07B0E678" w:rsidR="006578ED" w:rsidRDefault="00A1618E">
      <w:pPr>
        <w:pStyle w:val="P68B1DB1-ListParagraph7"/>
        <w:numPr>
          <w:ilvl w:val="1"/>
          <w:numId w:val="734"/>
        </w:numPr>
        <w:spacing w:line="240" w:lineRule="auto"/>
        <w:jc w:val="both"/>
        <w:rPr>
          <w:rFonts w:eastAsia="Times New Roman" w:cs="Times New Roman"/>
          <w:noProof/>
        </w:rPr>
      </w:pPr>
      <w:r>
        <w:rPr>
          <w:noProof/>
        </w:rPr>
        <w:t xml:space="preserve">Wymóg zgodności z zasadą „nie czyń poważnych szkód” (DNSH) określoną w wytycznych technicznych dotyczących zasady „nie czyń poważnych szkód” (2021/C58/01), w szczególności: </w:t>
      </w:r>
      <w:bookmarkStart w:id="18" w:name="_Hlk145599269"/>
    </w:p>
    <w:p w14:paraId="257C51EC" w14:textId="61FDD8C4" w:rsidR="006578ED" w:rsidRDefault="00A1618E">
      <w:pPr>
        <w:pStyle w:val="ListParagraph"/>
        <w:numPr>
          <w:ilvl w:val="2"/>
          <w:numId w:val="734"/>
        </w:numPr>
        <w:jc w:val="both"/>
        <w:rPr>
          <w:rFonts w:ascii="Times New Roman" w:eastAsia="Times New Roman" w:hAnsi="Times New Roman" w:cs="Times New Roman"/>
          <w:noProof/>
          <w:sz w:val="24"/>
        </w:rPr>
      </w:pPr>
      <w:r>
        <w:rPr>
          <w:rFonts w:ascii="Times New Roman" w:hAnsi="Times New Roman"/>
          <w:noProof/>
          <w:sz w:val="24"/>
        </w:rPr>
        <w:t>W przypadku pożyczek, obligacji projektowych lub równoważnych instrumentów: polityka inwestycyjna wyłącza z kwalifikowalności następujący wykaz działań i aktywów: działalności i aktywów związanych z paliwami kopalnymi, w tym wykorzystania niższego szczebla,</w:t>
      </w:r>
      <w:r>
        <w:rPr>
          <w:rStyle w:val="FootnoteReference"/>
          <w:rFonts w:ascii="Times New Roman" w:eastAsia="Times New Roman" w:hAnsi="Times New Roman" w:cs="Times New Roman"/>
          <w:noProof/>
          <w:sz w:val="24"/>
        </w:rPr>
        <w:footnoteReference w:id="24"/>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eastAsia="Times New Roman" w:hAnsi="Times New Roman" w:cs="Times New Roman"/>
          <w:noProof/>
          <w:sz w:val="24"/>
        </w:rPr>
        <w:footnoteReference w:id="25"/>
      </w:r>
      <w:r>
        <w:rPr>
          <w:rFonts w:ascii="Times New Roman" w:hAnsi="Times New Roman"/>
          <w:noProof/>
          <w:sz w:val="24"/>
        </w:rPr>
        <w:t xml:space="preserve">, </w:t>
      </w:r>
      <w:bookmarkStart w:id="19" w:name="_Hlk145696282"/>
      <w:r>
        <w:rPr>
          <w:rFonts w:ascii="Times New Roman" w:hAnsi="Times New Roman"/>
          <w:noProof/>
          <w:sz w:val="24"/>
        </w:rPr>
        <w:t>(iii) działalności i aktywów związanych ze składowiskami odpadów, spalarniami</w:t>
      </w:r>
      <w:r>
        <w:rPr>
          <w:rStyle w:val="FootnoteReference"/>
          <w:rFonts w:ascii="Times New Roman" w:eastAsia="Times New Roman" w:hAnsi="Times New Roman" w:cs="Times New Roman"/>
          <w:noProof/>
          <w:sz w:val="24"/>
        </w:rPr>
        <w:footnoteReference w:id="26"/>
      </w:r>
      <w:r>
        <w:rPr>
          <w:rFonts w:ascii="Times New Roman" w:hAnsi="Times New Roman"/>
          <w:noProof/>
          <w:sz w:val="24"/>
        </w:rPr>
        <w:t xml:space="preserve"> i zakładami mechaniczno-biologicznego </w:t>
      </w:r>
      <w:r>
        <w:rPr>
          <w:rFonts w:ascii="Times New Roman" w:hAnsi="Times New Roman"/>
          <w:noProof/>
        </w:rPr>
        <w:t>przetwarzania odpadów</w:t>
      </w:r>
      <w:r>
        <w:rPr>
          <w:rStyle w:val="FootnoteReference"/>
          <w:rFonts w:ascii="Times New Roman" w:hAnsi="Times New Roman" w:cs="Times New Roman"/>
          <w:noProof/>
        </w:rPr>
        <w:footnoteReference w:id="27"/>
      </w:r>
      <w:r>
        <w:rPr>
          <w:rFonts w:ascii="Times New Roman" w:hAnsi="Times New Roman"/>
          <w:noProof/>
        </w:rPr>
        <w:t xml:space="preserve">. </w:t>
      </w:r>
      <w:bookmarkEnd w:id="19"/>
    </w:p>
    <w:p w14:paraId="62379C76" w14:textId="006C9AA1" w:rsidR="006578ED" w:rsidRDefault="00A1618E">
      <w:pPr>
        <w:pStyle w:val="ListParagraph"/>
        <w:numPr>
          <w:ilvl w:val="2"/>
          <w:numId w:val="734"/>
        </w:numPr>
        <w:jc w:val="both"/>
        <w:rPr>
          <w:rFonts w:ascii="Times New Roman" w:eastAsia="Times New Roman" w:hAnsi="Times New Roman" w:cs="Times New Roman"/>
          <w:noProof/>
          <w:sz w:val="24"/>
        </w:rPr>
      </w:pPr>
      <w:bookmarkStart w:id="20" w:name="_Hlk145612965"/>
      <w:r>
        <w:rPr>
          <w:rFonts w:ascii="Times New Roman" w:hAnsi="Times New Roman"/>
          <w:noProof/>
          <w:sz w:val="24"/>
        </w:rPr>
        <w:t>W przypadku instrumentów kapitałowych, quasi-kapitałowych, korporacyjnych lub równoważnych instrumentów: polityka inwestycyjna zobowiązuje przedsiębiorstwa do przyjęcia planów zielonej transformacji zgodnie z definicją określoną w </w:t>
      </w:r>
      <w:r w:rsidRPr="00A1618E">
        <w:rPr>
          <w:rFonts w:ascii="Times New Roman" w:hAnsi="Times New Roman"/>
          <w:noProof/>
          <w:sz w:val="24"/>
          <w:lang w:val="pl-PL"/>
        </w:rPr>
        <w:t>art. 1</w:t>
      </w:r>
      <w:r>
        <w:rPr>
          <w:rFonts w:ascii="Times New Roman" w:hAnsi="Times New Roman"/>
          <w:noProof/>
          <w:sz w:val="24"/>
        </w:rPr>
        <w:t xml:space="preserve">9a </w:t>
      </w:r>
      <w:r w:rsidRPr="00A1618E">
        <w:rPr>
          <w:rFonts w:ascii="Times New Roman" w:hAnsi="Times New Roman"/>
          <w:noProof/>
          <w:sz w:val="24"/>
          <w:lang w:val="pl-PL"/>
        </w:rPr>
        <w:t>ust. 2</w:t>
      </w:r>
      <w:r>
        <w:rPr>
          <w:rFonts w:ascii="Times New Roman" w:hAnsi="Times New Roman"/>
          <w:noProof/>
          <w:sz w:val="24"/>
        </w:rPr>
        <w:t xml:space="preserve"> </w:t>
      </w:r>
      <w:r w:rsidRPr="00A1618E">
        <w:rPr>
          <w:rFonts w:ascii="Times New Roman" w:hAnsi="Times New Roman"/>
          <w:noProof/>
          <w:sz w:val="24"/>
          <w:lang w:val="pl-PL"/>
        </w:rPr>
        <w:t>lit. a)</w:t>
      </w:r>
      <w:r>
        <w:rPr>
          <w:rFonts w:ascii="Times New Roman" w:hAnsi="Times New Roman"/>
          <w:noProof/>
          <w:sz w:val="24"/>
        </w:rPr>
        <w:t xml:space="preserve"> ppkt (iii) dyrektywy 2013/34/UE,</w:t>
      </w:r>
      <w:r>
        <w:rPr>
          <w:rStyle w:val="FootnoteReference"/>
          <w:rFonts w:ascii="Times New Roman" w:eastAsia="Times New Roman" w:hAnsi="Times New Roman" w:cs="Times New Roman"/>
          <w:noProof/>
          <w:sz w:val="24"/>
        </w:rPr>
        <w:footnoteReference w:id="28"/>
      </w:r>
      <w:r>
        <w:rPr>
          <w:rFonts w:ascii="Times New Roman" w:hAnsi="Times New Roman"/>
          <w:noProof/>
          <w:sz w:val="24"/>
        </w:rPr>
        <w:t xml:space="preserve"> jeżeli ponad 50 % ich bezpośrednich przychodów w poprzednim roku obrotowym pochodzi z następującego wykazu działalności i aktywów: działalności i aktywów związanych z paliwami kopalnymi, w tym wykorzystania niższego szczebla,</w:t>
      </w:r>
      <w:r>
        <w:rPr>
          <w:rStyle w:val="FootnoteReference"/>
          <w:rFonts w:ascii="Times New Roman" w:eastAsia="Times New Roman" w:hAnsi="Times New Roman" w:cs="Times New Roman"/>
          <w:noProof/>
          <w:sz w:val="24"/>
        </w:rPr>
        <w:footnoteReference w:id="29"/>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eastAsia="Times New Roman" w:hAnsi="Times New Roman" w:cs="Times New Roman"/>
          <w:noProof/>
          <w:sz w:val="24"/>
        </w:rPr>
        <w:footnoteReference w:id="30"/>
      </w:r>
      <w:r>
        <w:rPr>
          <w:rFonts w:ascii="Times New Roman" w:hAnsi="Times New Roman"/>
          <w:noProof/>
          <w:sz w:val="24"/>
        </w:rPr>
        <w:t>, (iii) działalności i aktywów związanych ze składowiskami odpadów, spalarniami</w:t>
      </w:r>
      <w:r>
        <w:rPr>
          <w:rStyle w:val="FootnoteReference"/>
          <w:rFonts w:ascii="Times New Roman" w:eastAsia="Times New Roman" w:hAnsi="Times New Roman" w:cs="Times New Roman"/>
          <w:noProof/>
          <w:sz w:val="24"/>
        </w:rPr>
        <w:footnoteReference w:id="31"/>
      </w:r>
      <w:r>
        <w:rPr>
          <w:rFonts w:ascii="Times New Roman" w:hAnsi="Times New Roman"/>
          <w:noProof/>
          <w:sz w:val="24"/>
        </w:rPr>
        <w:t xml:space="preserve"> i zakładami mechaniczno-biologicznego przetwarzania odpadów</w:t>
      </w:r>
      <w:r>
        <w:rPr>
          <w:rStyle w:val="FootnoteReference"/>
          <w:rFonts w:ascii="Times New Roman" w:eastAsia="Times New Roman" w:hAnsi="Times New Roman" w:cs="Times New Roman"/>
          <w:noProof/>
          <w:sz w:val="24"/>
        </w:rPr>
        <w:footnoteReference w:id="32"/>
      </w:r>
      <w:r>
        <w:rPr>
          <w:rFonts w:ascii="Times New Roman" w:hAnsi="Times New Roman"/>
          <w:noProof/>
          <w:sz w:val="24"/>
        </w:rPr>
        <w:t xml:space="preserve">. </w:t>
      </w:r>
    </w:p>
    <w:bookmarkEnd w:id="20"/>
    <w:p w14:paraId="77963A6E" w14:textId="6FCFB7C3" w:rsidR="006578ED" w:rsidRDefault="00A1618E">
      <w:pPr>
        <w:pStyle w:val="P68B1DB1-ListParagraph7"/>
        <w:numPr>
          <w:ilvl w:val="2"/>
          <w:numId w:val="734"/>
        </w:numPr>
        <w:rPr>
          <w:rFonts w:eastAsia="Times New Roman" w:cs="Times New Roman"/>
          <w:noProof/>
        </w:rPr>
      </w:pPr>
      <w:r>
        <w:rPr>
          <w:noProof/>
        </w:rPr>
        <w:t>Ponadto polityka inwestycyjna wymaga zgodności z odpowiednimi unijnymi i krajowymi przepisami w zakresie ochrony środowiska beneficjentów końcowych Instrumentu.</w:t>
      </w:r>
    </w:p>
    <w:p w14:paraId="5AFDB985" w14:textId="6689B530" w:rsidR="006578ED" w:rsidRDefault="00A1618E">
      <w:pPr>
        <w:pStyle w:val="P68B1DB1-ListParagraph7"/>
        <w:numPr>
          <w:ilvl w:val="1"/>
          <w:numId w:val="734"/>
        </w:numPr>
        <w:rPr>
          <w:rFonts w:eastAsia="Times New Roman" w:cs="Times New Roman"/>
          <w:noProof/>
        </w:rPr>
      </w:pPr>
      <w:r>
        <w:rPr>
          <w:noProof/>
        </w:rPr>
        <w:t>Wymóg, zgodnie z którym beneficjenci końcowi Instrumentu nie mogą otrzymywać wsparcia z innych instrumentów unijnych w celu pokrycia tych samych kosztów.</w:t>
      </w:r>
    </w:p>
    <w:p w14:paraId="412A05D5" w14:textId="72B2518F" w:rsidR="006578ED" w:rsidRDefault="00A1618E">
      <w:pPr>
        <w:pStyle w:val="P68B1DB1-ListParagraph7"/>
        <w:numPr>
          <w:ilvl w:val="0"/>
          <w:numId w:val="734"/>
        </w:numPr>
        <w:rPr>
          <w:rFonts w:eastAsia="Times New Roman" w:cs="Times New Roman"/>
          <w:noProof/>
        </w:rPr>
      </w:pPr>
      <w:r>
        <w:rPr>
          <w:noProof/>
        </w:rPr>
        <w:t xml:space="preserve">Kwotę </w:t>
      </w:r>
      <w:bookmarkStart w:id="21" w:name="_Hlk145660035"/>
      <w:r>
        <w:rPr>
          <w:noProof/>
        </w:rPr>
        <w:t xml:space="preserve">objętą rozporządzeniem i wszelkimi powiązanymi dokumentami ustanawiającym </w:t>
      </w:r>
      <w:bookmarkEnd w:id="21"/>
      <w:r>
        <w:rPr>
          <w:noProof/>
        </w:rPr>
        <w:t>Instrument, strukturę opłat dla partnera wykonawczego oraz wymóg reinwestowania wszelkich środków powracających zgodnie z polityką inwestycyjną Instrumentu, chyba że są one wykorzystywane do obsługi spłat pożyczek w ramach Instrumentu na rzecz Odbudowy i Zwiększania Odporności.</w:t>
      </w:r>
    </w:p>
    <w:p w14:paraId="042E9FE3" w14:textId="18B75393" w:rsidR="006578ED" w:rsidRDefault="00A1618E">
      <w:pPr>
        <w:pStyle w:val="P68B1DB1-ListParagraph7"/>
        <w:numPr>
          <w:ilvl w:val="0"/>
          <w:numId w:val="734"/>
        </w:numPr>
        <w:rPr>
          <w:rFonts w:eastAsia="Times New Roman" w:cs="Times New Roman"/>
          <w:noProof/>
        </w:rPr>
      </w:pPr>
      <w:r>
        <w:rPr>
          <w:noProof/>
        </w:rPr>
        <w:t>Wymogi w zakresie monitorowania, audytu i kontroli, w tym:</w:t>
      </w:r>
    </w:p>
    <w:p w14:paraId="0BB88356" w14:textId="2BC8F4B7" w:rsidR="006578ED" w:rsidRDefault="00A1618E">
      <w:pPr>
        <w:pStyle w:val="P68B1DB1-ListParagraph7"/>
        <w:numPr>
          <w:ilvl w:val="1"/>
          <w:numId w:val="734"/>
        </w:numPr>
        <w:rPr>
          <w:rFonts w:eastAsia="Times New Roman" w:cs="Times New Roman"/>
          <w:noProof/>
        </w:rPr>
      </w:pPr>
      <w:r>
        <w:rPr>
          <w:noProof/>
        </w:rPr>
        <w:t>Opis stosowanego przez partnera wykonawczego systemu monitorowania służącego do sprawozdawczości na temat uruchomionych inwestycji.</w:t>
      </w:r>
    </w:p>
    <w:p w14:paraId="409332BD" w14:textId="2A68D737" w:rsidR="006578ED" w:rsidRDefault="00A1618E">
      <w:pPr>
        <w:pStyle w:val="P68B1DB1-ListParagraph7"/>
        <w:numPr>
          <w:ilvl w:val="1"/>
          <w:numId w:val="734"/>
        </w:numPr>
        <w:rPr>
          <w:rFonts w:eastAsia="Times New Roman" w:cs="Times New Roman"/>
          <w:noProof/>
        </w:rPr>
      </w:pPr>
      <w:r>
        <w:rPr>
          <w:noProof/>
        </w:rPr>
        <w:t xml:space="preserve">Opis procedur partnera wykonawczego, które zapewnią zapobieganie nadużyciom finansowym, korupcji i konfliktom interesów oraz ich wykrywanie i korygowanie. </w:t>
      </w:r>
    </w:p>
    <w:p w14:paraId="6A0E54D9" w14:textId="0E6DCFCF" w:rsidR="006578ED" w:rsidRDefault="00A1618E">
      <w:pPr>
        <w:pStyle w:val="P68B1DB1-ListParagraph7"/>
        <w:numPr>
          <w:ilvl w:val="1"/>
          <w:numId w:val="734"/>
        </w:numPr>
        <w:rPr>
          <w:rFonts w:eastAsia="Times New Roman" w:cs="Times New Roman"/>
          <w:noProof/>
        </w:rPr>
      </w:pPr>
      <w:r>
        <w:rPr>
          <w:noProof/>
        </w:rPr>
        <w:t>Obowiązek weryfikacji kwalifikowalności każdej operacji zgodnie z wymogami określonymi w umowie wykonawczej przed zobowiązaniem się do finansowania danej operacji.</w:t>
      </w:r>
    </w:p>
    <w:p w14:paraId="42DA0104" w14:textId="28B1D5FB" w:rsidR="006578ED" w:rsidRDefault="00A1618E">
      <w:pPr>
        <w:pStyle w:val="P68B1DB1-ListParagraph7"/>
        <w:numPr>
          <w:ilvl w:val="1"/>
          <w:numId w:val="734"/>
        </w:numPr>
        <w:rPr>
          <w:rFonts w:eastAsia="Times New Roman" w:cs="Times New Roman"/>
          <w:noProof/>
        </w:rPr>
      </w:pPr>
      <w:r>
        <w:rPr>
          <w:noProof/>
        </w:rPr>
        <w:t xml:space="preserve">Obowiązek przeprowadzania opartych na analizie ryzyka audytów ex post zgodnie z planem audytu SEPIDES. Audyty te mają na celu sprawdzenie (i) skuteczności systemów kontroli, w tym wykrywania nadużyć finansowych, korupcji i konfliktu interesów; zgodność z zasadą „nie czyń poważnych szkód”, zasadami pomocy państwa, wymogami dotyczącymi celów klimatycznych i cyfrowych; oraz (iii) wymóg weryfikacji przez pośrednika, czy beneficjent końcowy przedstawia odpowiedzialne oświadczenie w celu sprawdzenia, czy te same koszty są pokrywane z innego instrumentu unijnego, jest przestrzegany. W ramach audytów sprawdza się również legalność transakcji oraz przestrzeganie warunków rozporządzenia i powiązanych dokumentów ustanawiających Instrument i umowy o finansowaniu. </w:t>
      </w:r>
    </w:p>
    <w:p w14:paraId="76700374" w14:textId="17B7B980" w:rsidR="006578ED" w:rsidRPr="00A1618E" w:rsidRDefault="00A1618E">
      <w:pPr>
        <w:pStyle w:val="P68B1DB1-ListParagraph7"/>
        <w:numPr>
          <w:ilvl w:val="0"/>
          <w:numId w:val="734"/>
        </w:numPr>
        <w:rPr>
          <w:rFonts w:eastAsia="Times New Roman" w:cs="Times New Roman"/>
          <w:noProof/>
          <w:lang w:val="pl-PL"/>
        </w:rPr>
      </w:pPr>
      <w:r>
        <w:rPr>
          <w:noProof/>
        </w:rPr>
        <w:t>Wymogi dotyczące wyboru pośredników finansowych: SEPIDES wybierają pośredników finansowych w sposób otwarty, przejrzysty i niedyskryminacyjny. Kontrole dotyczące braku konfliktu interesów w odniesieniu do pośredników finansowych przeprowadza się i przeprowadza ex ante za pośrednictwem systemu informatycznego, takiego jak Minerva, w odniesieniu do wszystkich zaangażowanych podmiotów finansowych</w:t>
      </w:r>
      <w:r w:rsidRPr="00A1618E">
        <w:rPr>
          <w:noProof/>
          <w:lang w:val="pl-PL"/>
        </w:rPr>
        <w:t xml:space="preserve">. </w:t>
      </w:r>
    </w:p>
    <w:p w14:paraId="64409DA5" w14:textId="4DD03F77" w:rsidR="006578ED" w:rsidRPr="00A1618E" w:rsidRDefault="00A1618E">
      <w:pPr>
        <w:pStyle w:val="P68B1DB1-ListParagraph7"/>
        <w:numPr>
          <w:ilvl w:val="0"/>
          <w:numId w:val="734"/>
        </w:numPr>
        <w:rPr>
          <w:rFonts w:eastAsia="Times New Roman" w:cs="Times New Roman"/>
          <w:noProof/>
          <w:lang w:val="pl-PL"/>
        </w:rPr>
      </w:pPr>
      <w:r>
        <w:rPr>
          <w:noProof/>
        </w:rPr>
        <w:t xml:space="preserve">Wymóg podpisania umów o finansowaniu: SEPIDES </w:t>
      </w:r>
      <w:bookmarkStart w:id="22" w:name="_Hlk145660075"/>
      <w:r>
        <w:rPr>
          <w:noProof/>
        </w:rPr>
        <w:t>podpisują umowy o finansowaniu z pośrednikami finansowymi zgodnie z kluczowymi wymogami, które należy przedstawić w ramach powiązanych dokumentów ustanawiających Instrument.</w:t>
      </w:r>
      <w:bookmarkEnd w:id="22"/>
      <w:r>
        <w:rPr>
          <w:noProof/>
        </w:rPr>
        <w:t xml:space="preserve"> Kluczowe wymogi umowy o finansowaniu obejmują wszystkie wymogi, na podstawie których działa Instrument, w tym</w:t>
      </w:r>
      <w:r w:rsidRPr="00A1618E">
        <w:rPr>
          <w:noProof/>
          <w:lang w:val="pl-PL"/>
        </w:rPr>
        <w:t xml:space="preserve">: </w:t>
      </w:r>
    </w:p>
    <w:p w14:paraId="1989935B" w14:textId="6F94637E" w:rsidR="006578ED" w:rsidRDefault="00A1618E">
      <w:pPr>
        <w:pStyle w:val="P68B1DB1-ListParagraph7"/>
        <w:numPr>
          <w:ilvl w:val="1"/>
          <w:numId w:val="734"/>
        </w:numPr>
        <w:rPr>
          <w:rFonts w:eastAsia="Times New Roman" w:cs="Times New Roman"/>
          <w:noProof/>
        </w:rPr>
      </w:pPr>
      <w:r>
        <w:rPr>
          <w:noProof/>
        </w:rPr>
        <w:t xml:space="preserve">Spoczywający na pośredniku finansowym obowiązek podejmowania decyzji </w:t>
      </w:r>
      <w:r>
        <w:rPr>
          <w:i/>
          <w:noProof/>
        </w:rPr>
        <w:t>odpowiednio</w:t>
      </w:r>
      <w:r>
        <w:rPr>
          <w:noProof/>
        </w:rPr>
        <w:t xml:space="preserve"> zgodnie z określonymi powyżej wymogami w zakresie podejmowania decyzji i polityki inwestycyjnej, w tym dotyczącymi przestrzegania zasady „nie czyń poważnych szkód”. </w:t>
      </w:r>
    </w:p>
    <w:p w14:paraId="6539DE4B" w14:textId="2B6ED081" w:rsidR="006578ED" w:rsidRPr="00A1618E" w:rsidRDefault="00A1618E">
      <w:pPr>
        <w:pStyle w:val="P68B1DB1-ListParagraph7"/>
        <w:numPr>
          <w:ilvl w:val="1"/>
          <w:numId w:val="734"/>
        </w:numPr>
        <w:rPr>
          <w:rFonts w:eastAsia="Times New Roman" w:cs="Times New Roman"/>
          <w:noProof/>
          <w:lang w:val="pl-PL"/>
        </w:rPr>
      </w:pPr>
      <w:r>
        <w:rPr>
          <w:noProof/>
        </w:rPr>
        <w:t xml:space="preserve">Opis ram monitorowania oraz audytu i kontroli, które pośrednik finansowy wprowadza, które </w:t>
      </w:r>
      <w:r>
        <w:rPr>
          <w:i/>
          <w:noProof/>
        </w:rPr>
        <w:t>odpowiednio</w:t>
      </w:r>
      <w:r>
        <w:rPr>
          <w:noProof/>
        </w:rPr>
        <w:t xml:space="preserve"> podlegają wszystkim wymogom w zakresie monitorowania, audytu i kontroli określonym powyżej</w:t>
      </w:r>
      <w:r w:rsidRPr="00A1618E">
        <w:rPr>
          <w:noProof/>
          <w:lang w:val="pl-PL"/>
        </w:rPr>
        <w:t xml:space="preserve">. </w:t>
      </w:r>
    </w:p>
    <w:p w14:paraId="41DA3C74" w14:textId="4FA98A83" w:rsidR="006578ED" w:rsidRDefault="00A1618E">
      <w:pPr>
        <w:pStyle w:val="P68B1DB1-ListParagraph7"/>
        <w:ind w:left="0"/>
        <w:rPr>
          <w:rFonts w:eastAsia="Times New Roman" w:cs="Times New Roman"/>
          <w:noProof/>
        </w:rPr>
      </w:pPr>
      <w:r>
        <w:rPr>
          <w:noProof/>
        </w:rPr>
        <w:t>Wdrożenie środka należy zakończyć do dnia 31 sierpnia 20</w:t>
      </w:r>
      <w:r w:rsidRPr="00A1618E">
        <w:rPr>
          <w:noProof/>
          <w:lang w:val="pl-PL"/>
        </w:rPr>
        <w:t>26 r.</w:t>
      </w:r>
    </w:p>
    <w:bookmarkEnd w:id="18"/>
    <w:p w14:paraId="524E8F38" w14:textId="613BCD87" w:rsidR="006578ED" w:rsidRDefault="00A1618E">
      <w:pPr>
        <w:pStyle w:val="P68B1DB1-Normal5"/>
        <w:spacing w:line="240" w:lineRule="auto"/>
        <w:ind w:left="720"/>
        <w:rPr>
          <w:rFonts w:cs="Times New Roman"/>
          <w:noProof/>
        </w:rPr>
      </w:pPr>
      <w:r>
        <w:rPr>
          <w:noProof/>
        </w:rPr>
        <w:t xml:space="preserve">K.4. </w:t>
      </w:r>
      <w:r>
        <w:rPr>
          <w:noProof/>
        </w:rPr>
        <w:tab/>
        <w:t>Cele pośrednie, wartości docelowe, wskaźniki oraz harmonogram monitorowania i wdrażania wsparcia w formie pożyczek</w:t>
      </w:r>
    </w:p>
    <w:p w14:paraId="2AD937C7" w14:textId="30F67C8D" w:rsidR="006578ED" w:rsidRDefault="00A1618E">
      <w:pPr>
        <w:pStyle w:val="P68B1DB1-Normal18"/>
        <w:spacing w:line="240" w:lineRule="auto"/>
        <w:rPr>
          <w:rFonts w:cs="Times New Roman"/>
          <w:noProof/>
        </w:rPr>
      </w:pPr>
      <w:r>
        <w:rPr>
          <w:noProof/>
        </w:rPr>
        <w:t>Zob. tabela poniżej. Datą odniesienia dla wszystkich wskaźników jest dzień 1 lutego 20</w:t>
      </w:r>
      <w:r w:rsidRPr="00A1618E">
        <w:rPr>
          <w:noProof/>
          <w:lang w:val="pl-PL"/>
        </w:rPr>
        <w:t>20 r.</w:t>
      </w:r>
      <w:r>
        <w:rPr>
          <w:noProof/>
        </w:rPr>
        <w:t xml:space="preserve">, chyba że w opisie działania wskazano inaczej. Kwoty w tabeli odnoszącej się do L17 nie obejmują VAT. </w:t>
      </w:r>
    </w:p>
    <w:p w14:paraId="6A3D9E5D" w14:textId="77777777" w:rsidR="006578ED" w:rsidRDefault="006578ED">
      <w:pPr>
        <w:spacing w:before="120" w:after="120" w:line="240" w:lineRule="auto"/>
        <w:jc w:val="both"/>
        <w:rPr>
          <w:rStyle w:val="eop"/>
          <w:rFonts w:ascii="Times New Roman" w:hAnsi="Times New Roman" w:cs="Times New Roman"/>
          <w:noProof/>
          <w:shd w:val="clear" w:color="auto" w:fill="FFFFFF"/>
        </w:rPr>
        <w:sectPr w:rsidR="006578ED" w:rsidSect="00EB7CC8">
          <w:headerReference w:type="even" r:id="rId234"/>
          <w:headerReference w:type="default" r:id="rId235"/>
          <w:footerReference w:type="even" r:id="rId236"/>
          <w:footerReference w:type="default" r:id="rId237"/>
          <w:headerReference w:type="first" r:id="rId238"/>
          <w:footerReference w:type="first" r:id="rId239"/>
          <w:pgSz w:w="11907" w:h="16839"/>
          <w:pgMar w:top="1134" w:right="1417" w:bottom="1134" w:left="1417" w:header="709" w:footer="709" w:gutter="0"/>
          <w:cols w:space="720"/>
          <w:docGrid w:linePitch="360"/>
        </w:sectPr>
      </w:pPr>
    </w:p>
    <w:tbl>
      <w:tblPr>
        <w:tblW w:w="1527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7"/>
        <w:gridCol w:w="837"/>
        <w:gridCol w:w="836"/>
        <w:gridCol w:w="2685"/>
        <w:gridCol w:w="1358"/>
        <w:gridCol w:w="698"/>
        <w:gridCol w:w="698"/>
        <w:gridCol w:w="913"/>
        <w:gridCol w:w="419"/>
        <w:gridCol w:w="827"/>
        <w:gridCol w:w="5165"/>
      </w:tblGrid>
      <w:tr w:rsidR="006578ED" w14:paraId="2616F5E1" w14:textId="77777777">
        <w:trPr>
          <w:trHeight w:val="309"/>
          <w:tblHeader/>
        </w:trPr>
        <w:tc>
          <w:tcPr>
            <w:tcW w:w="837" w:type="dxa"/>
            <w:vMerge w:val="restart"/>
            <w:shd w:val="clear" w:color="auto" w:fill="C6D9F1" w:themeFill="text2" w:themeFillTint="33"/>
            <w:noWrap/>
            <w:vAlign w:val="center"/>
          </w:tcPr>
          <w:p w14:paraId="3AD07B5D" w14:textId="77777777" w:rsidR="006578ED" w:rsidRDefault="00A1618E">
            <w:pPr>
              <w:pStyle w:val="P68B1DB1-Normal12"/>
              <w:spacing w:after="0" w:line="240" w:lineRule="auto"/>
              <w:jc w:val="center"/>
              <w:rPr>
                <w:rFonts w:cs="Times New Roman"/>
                <w:noProof/>
              </w:rPr>
            </w:pPr>
            <w:r>
              <w:rPr>
                <w:noProof/>
              </w:rPr>
              <w:t>Liczba</w:t>
            </w:r>
          </w:p>
        </w:tc>
        <w:tc>
          <w:tcPr>
            <w:tcW w:w="837" w:type="dxa"/>
            <w:vMerge w:val="restart"/>
            <w:shd w:val="clear" w:color="auto" w:fill="C6D9F1" w:themeFill="text2" w:themeFillTint="33"/>
            <w:noWrap/>
            <w:vAlign w:val="center"/>
          </w:tcPr>
          <w:p w14:paraId="6B19678A" w14:textId="77777777" w:rsidR="006578ED" w:rsidRDefault="00A1618E">
            <w:pPr>
              <w:pStyle w:val="P68B1DB1-Normal12"/>
              <w:spacing w:after="0" w:line="240" w:lineRule="auto"/>
              <w:jc w:val="center"/>
              <w:rPr>
                <w:rFonts w:cs="Times New Roman"/>
                <w:noProof/>
              </w:rPr>
            </w:pPr>
            <w:r>
              <w:rPr>
                <w:noProof/>
              </w:rPr>
              <w:t>Środek</w:t>
            </w:r>
          </w:p>
        </w:tc>
        <w:tc>
          <w:tcPr>
            <w:tcW w:w="836" w:type="dxa"/>
            <w:vMerge w:val="restart"/>
            <w:shd w:val="clear" w:color="auto" w:fill="C6D9F1" w:themeFill="text2" w:themeFillTint="33"/>
            <w:noWrap/>
            <w:vAlign w:val="center"/>
          </w:tcPr>
          <w:p w14:paraId="48A60148" w14:textId="1453857D" w:rsidR="006578ED" w:rsidRDefault="00EC188C">
            <w:pPr>
              <w:pStyle w:val="P68B1DB1-Normal13"/>
              <w:spacing w:after="0" w:line="240" w:lineRule="auto"/>
              <w:jc w:val="center"/>
              <w:rPr>
                <w:rFonts w:cs="Times New Roman"/>
                <w:b/>
                <w:noProof/>
              </w:rPr>
            </w:pPr>
            <w:r>
              <w:rPr>
                <w:b/>
                <w:noProof/>
              </w:rPr>
              <w:t>Kamień milowy</w:t>
            </w:r>
            <w:r>
              <w:rPr>
                <w:noProof/>
              </w:rPr>
              <w:br/>
            </w:r>
            <w:r>
              <w:rPr>
                <w:b/>
                <w:noProof/>
              </w:rPr>
              <w:t xml:space="preserve"> /</w:t>
            </w:r>
            <w:r w:rsidR="00AF6B91">
              <w:rPr>
                <w:b/>
                <w:noProof/>
              </w:rPr>
              <w:t>Wartość docelowa</w:t>
            </w:r>
          </w:p>
        </w:tc>
        <w:tc>
          <w:tcPr>
            <w:tcW w:w="2685" w:type="dxa"/>
            <w:vMerge w:val="restart"/>
            <w:shd w:val="clear" w:color="auto" w:fill="C6D9F1" w:themeFill="text2" w:themeFillTint="33"/>
            <w:noWrap/>
            <w:vAlign w:val="center"/>
          </w:tcPr>
          <w:p w14:paraId="238C1394" w14:textId="77777777" w:rsidR="006578ED" w:rsidRDefault="00A1618E">
            <w:pPr>
              <w:pStyle w:val="P68B1DB1-Normal12"/>
              <w:spacing w:after="0" w:line="240" w:lineRule="auto"/>
              <w:jc w:val="center"/>
              <w:rPr>
                <w:rFonts w:cs="Times New Roman"/>
                <w:noProof/>
              </w:rPr>
            </w:pPr>
            <w:r>
              <w:rPr>
                <w:noProof/>
              </w:rPr>
              <w:t>Nazwa</w:t>
            </w:r>
          </w:p>
        </w:tc>
        <w:tc>
          <w:tcPr>
            <w:tcW w:w="1358" w:type="dxa"/>
            <w:vMerge w:val="restart"/>
            <w:shd w:val="clear" w:color="auto" w:fill="C6D9F1" w:themeFill="text2" w:themeFillTint="33"/>
            <w:noWrap/>
            <w:vAlign w:val="center"/>
          </w:tcPr>
          <w:p w14:paraId="4FD7E83C"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309" w:type="dxa"/>
            <w:gridSpan w:val="3"/>
            <w:shd w:val="clear" w:color="auto" w:fill="C6D9F1" w:themeFill="text2" w:themeFillTint="33"/>
            <w:noWrap/>
            <w:vAlign w:val="center"/>
          </w:tcPr>
          <w:p w14:paraId="28F52CFA"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246" w:type="dxa"/>
            <w:gridSpan w:val="2"/>
            <w:shd w:val="clear" w:color="auto" w:fill="C6D9F1" w:themeFill="text2" w:themeFillTint="33"/>
            <w:noWrap/>
            <w:vAlign w:val="center"/>
          </w:tcPr>
          <w:p w14:paraId="60CB2ADD" w14:textId="77777777" w:rsidR="006578ED" w:rsidRDefault="00A1618E">
            <w:pPr>
              <w:pStyle w:val="P68B1DB1-Normal12"/>
              <w:spacing w:after="0" w:line="240" w:lineRule="auto"/>
              <w:jc w:val="center"/>
              <w:rPr>
                <w:rFonts w:cs="Times New Roman"/>
                <w:noProof/>
              </w:rPr>
            </w:pPr>
            <w:r>
              <w:rPr>
                <w:noProof/>
              </w:rPr>
              <w:t>Czas</w:t>
            </w:r>
          </w:p>
        </w:tc>
        <w:tc>
          <w:tcPr>
            <w:tcW w:w="5165" w:type="dxa"/>
            <w:vMerge w:val="restart"/>
            <w:shd w:val="clear" w:color="auto" w:fill="C6D9F1" w:themeFill="text2" w:themeFillTint="33"/>
            <w:noWrap/>
            <w:vAlign w:val="center"/>
          </w:tcPr>
          <w:p w14:paraId="6D385B64" w14:textId="31539915"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6E7F24D4" w14:textId="77777777">
        <w:trPr>
          <w:trHeight w:val="309"/>
          <w:tblHeader/>
        </w:trPr>
        <w:tc>
          <w:tcPr>
            <w:tcW w:w="837" w:type="dxa"/>
            <w:vMerge/>
            <w:shd w:val="clear" w:color="auto" w:fill="C6D9F1" w:themeFill="text2" w:themeFillTint="33"/>
            <w:noWrap/>
          </w:tcPr>
          <w:p w14:paraId="59E3779A" w14:textId="77777777" w:rsidR="006578ED" w:rsidRDefault="006578ED">
            <w:pPr>
              <w:spacing w:after="0" w:line="240" w:lineRule="auto"/>
              <w:jc w:val="center"/>
              <w:rPr>
                <w:rFonts w:ascii="Times New Roman" w:hAnsi="Times New Roman" w:cs="Times New Roman"/>
                <w:b/>
                <w:noProof/>
                <w:sz w:val="18"/>
              </w:rPr>
            </w:pPr>
          </w:p>
        </w:tc>
        <w:tc>
          <w:tcPr>
            <w:tcW w:w="837" w:type="dxa"/>
            <w:vMerge/>
            <w:shd w:val="clear" w:color="auto" w:fill="C6D9F1" w:themeFill="text2" w:themeFillTint="33"/>
            <w:noWrap/>
          </w:tcPr>
          <w:p w14:paraId="06703800" w14:textId="77777777" w:rsidR="006578ED" w:rsidRDefault="006578ED">
            <w:pPr>
              <w:spacing w:after="0" w:line="240" w:lineRule="auto"/>
              <w:jc w:val="center"/>
              <w:rPr>
                <w:rFonts w:ascii="Times New Roman" w:hAnsi="Times New Roman" w:cs="Times New Roman"/>
                <w:b/>
                <w:noProof/>
                <w:sz w:val="18"/>
              </w:rPr>
            </w:pPr>
          </w:p>
        </w:tc>
        <w:tc>
          <w:tcPr>
            <w:tcW w:w="836" w:type="dxa"/>
            <w:vMerge/>
            <w:shd w:val="clear" w:color="auto" w:fill="C6D9F1" w:themeFill="text2" w:themeFillTint="33"/>
            <w:noWrap/>
          </w:tcPr>
          <w:p w14:paraId="1A20FE71" w14:textId="77777777" w:rsidR="006578ED" w:rsidRDefault="006578ED">
            <w:pPr>
              <w:spacing w:after="0" w:line="240" w:lineRule="auto"/>
              <w:jc w:val="center"/>
              <w:rPr>
                <w:rFonts w:ascii="Times New Roman" w:hAnsi="Times New Roman" w:cs="Times New Roman"/>
                <w:b/>
                <w:noProof/>
                <w:sz w:val="18"/>
              </w:rPr>
            </w:pPr>
          </w:p>
        </w:tc>
        <w:tc>
          <w:tcPr>
            <w:tcW w:w="2685" w:type="dxa"/>
            <w:vMerge/>
            <w:shd w:val="clear" w:color="auto" w:fill="C6D9F1" w:themeFill="text2" w:themeFillTint="33"/>
            <w:noWrap/>
          </w:tcPr>
          <w:p w14:paraId="7ECDEF7E" w14:textId="77777777" w:rsidR="006578ED" w:rsidRDefault="006578ED">
            <w:pPr>
              <w:spacing w:after="0" w:line="240" w:lineRule="auto"/>
              <w:rPr>
                <w:rFonts w:ascii="Times New Roman" w:hAnsi="Times New Roman" w:cs="Times New Roman"/>
                <w:b/>
                <w:noProof/>
                <w:sz w:val="18"/>
              </w:rPr>
            </w:pPr>
          </w:p>
        </w:tc>
        <w:tc>
          <w:tcPr>
            <w:tcW w:w="1358" w:type="dxa"/>
            <w:vMerge/>
            <w:shd w:val="clear" w:color="auto" w:fill="C6D9F1" w:themeFill="text2" w:themeFillTint="33"/>
            <w:noWrap/>
          </w:tcPr>
          <w:p w14:paraId="3D69A8B0" w14:textId="77777777" w:rsidR="006578ED" w:rsidRDefault="006578ED">
            <w:pPr>
              <w:spacing w:after="0" w:line="240" w:lineRule="auto"/>
              <w:jc w:val="center"/>
              <w:rPr>
                <w:rFonts w:ascii="Times New Roman" w:hAnsi="Times New Roman" w:cs="Times New Roman"/>
                <w:b/>
                <w:noProof/>
                <w:sz w:val="18"/>
              </w:rPr>
            </w:pPr>
          </w:p>
        </w:tc>
        <w:tc>
          <w:tcPr>
            <w:tcW w:w="698" w:type="dxa"/>
            <w:shd w:val="clear" w:color="auto" w:fill="C6D9F1" w:themeFill="text2" w:themeFillTint="33"/>
            <w:noWrap/>
            <w:vAlign w:val="center"/>
          </w:tcPr>
          <w:p w14:paraId="197941C7" w14:textId="77777777" w:rsidR="006578ED" w:rsidRDefault="00A1618E">
            <w:pPr>
              <w:pStyle w:val="P68B1DB1-Normal12"/>
              <w:spacing w:after="0" w:line="240" w:lineRule="auto"/>
              <w:jc w:val="center"/>
              <w:rPr>
                <w:rFonts w:cs="Times New Roman"/>
                <w:noProof/>
              </w:rPr>
            </w:pPr>
            <w:r>
              <w:rPr>
                <w:noProof/>
              </w:rPr>
              <w:t>Jednostka</w:t>
            </w:r>
          </w:p>
        </w:tc>
        <w:tc>
          <w:tcPr>
            <w:tcW w:w="698" w:type="dxa"/>
            <w:shd w:val="clear" w:color="auto" w:fill="C6D9F1" w:themeFill="text2" w:themeFillTint="33"/>
            <w:noWrap/>
            <w:vAlign w:val="center"/>
          </w:tcPr>
          <w:p w14:paraId="5BDD40F7" w14:textId="77777777" w:rsidR="006578ED" w:rsidRDefault="00A1618E">
            <w:pPr>
              <w:pStyle w:val="P68B1DB1-Normal12"/>
              <w:spacing w:after="0" w:line="240" w:lineRule="auto"/>
              <w:jc w:val="center"/>
              <w:rPr>
                <w:rFonts w:cs="Times New Roman"/>
                <w:noProof/>
              </w:rPr>
            </w:pPr>
            <w:r>
              <w:rPr>
                <w:noProof/>
              </w:rPr>
              <w:t>Wartość wyjściowa</w:t>
            </w:r>
          </w:p>
        </w:tc>
        <w:tc>
          <w:tcPr>
            <w:tcW w:w="913" w:type="dxa"/>
            <w:shd w:val="clear" w:color="auto" w:fill="C6D9F1" w:themeFill="text2" w:themeFillTint="33"/>
            <w:noWrap/>
            <w:vAlign w:val="center"/>
          </w:tcPr>
          <w:p w14:paraId="52121D1F" w14:textId="77777777" w:rsidR="006578ED" w:rsidRDefault="00A1618E">
            <w:pPr>
              <w:pStyle w:val="P68B1DB1-Normal12"/>
              <w:spacing w:after="0" w:line="240" w:lineRule="auto"/>
              <w:jc w:val="center"/>
              <w:rPr>
                <w:rFonts w:cs="Times New Roman"/>
                <w:noProof/>
              </w:rPr>
            </w:pPr>
            <w:r>
              <w:rPr>
                <w:noProof/>
              </w:rPr>
              <w:t>Cel</w:t>
            </w:r>
          </w:p>
        </w:tc>
        <w:tc>
          <w:tcPr>
            <w:tcW w:w="419" w:type="dxa"/>
            <w:shd w:val="clear" w:color="auto" w:fill="C6D9F1" w:themeFill="text2" w:themeFillTint="33"/>
            <w:noWrap/>
            <w:vAlign w:val="center"/>
          </w:tcPr>
          <w:p w14:paraId="1BF3FC7D" w14:textId="77777777" w:rsidR="006578ED" w:rsidRDefault="00A1618E">
            <w:pPr>
              <w:pStyle w:val="P68B1DB1-Normal12"/>
              <w:spacing w:after="0" w:line="240" w:lineRule="auto"/>
              <w:jc w:val="center"/>
              <w:rPr>
                <w:rFonts w:cs="Times New Roman"/>
                <w:noProof/>
              </w:rPr>
            </w:pPr>
            <w:r>
              <w:rPr>
                <w:noProof/>
              </w:rPr>
              <w:t>Q</w:t>
            </w:r>
          </w:p>
        </w:tc>
        <w:tc>
          <w:tcPr>
            <w:tcW w:w="827" w:type="dxa"/>
            <w:shd w:val="clear" w:color="auto" w:fill="C6D9F1" w:themeFill="text2" w:themeFillTint="33"/>
            <w:noWrap/>
            <w:vAlign w:val="center"/>
          </w:tcPr>
          <w:p w14:paraId="7A2A1329" w14:textId="77777777" w:rsidR="006578ED" w:rsidRDefault="00A1618E">
            <w:pPr>
              <w:pStyle w:val="P68B1DB1-Normal12"/>
              <w:spacing w:after="0" w:line="240" w:lineRule="auto"/>
              <w:jc w:val="center"/>
              <w:rPr>
                <w:rFonts w:cs="Times New Roman"/>
                <w:noProof/>
              </w:rPr>
            </w:pPr>
            <w:r>
              <w:rPr>
                <w:noProof/>
              </w:rPr>
              <w:t>Rok</w:t>
            </w:r>
          </w:p>
        </w:tc>
        <w:tc>
          <w:tcPr>
            <w:tcW w:w="5165" w:type="dxa"/>
            <w:vMerge/>
            <w:shd w:val="clear" w:color="auto" w:fill="C6D9F1" w:themeFill="text2" w:themeFillTint="33"/>
            <w:noWrap/>
          </w:tcPr>
          <w:p w14:paraId="3B2DFE3C" w14:textId="77777777" w:rsidR="006578ED" w:rsidRDefault="006578ED">
            <w:pPr>
              <w:spacing w:after="0" w:line="240" w:lineRule="auto"/>
              <w:rPr>
                <w:rFonts w:ascii="Times New Roman" w:hAnsi="Times New Roman" w:cs="Times New Roman"/>
                <w:b/>
                <w:noProof/>
                <w:sz w:val="18"/>
              </w:rPr>
            </w:pPr>
          </w:p>
        </w:tc>
      </w:tr>
      <w:tr w:rsidR="006578ED" w14:paraId="563278B1" w14:textId="77777777">
        <w:trPr>
          <w:trHeight w:val="309"/>
        </w:trPr>
        <w:tc>
          <w:tcPr>
            <w:tcW w:w="837" w:type="dxa"/>
            <w:shd w:val="clear" w:color="auto" w:fill="C6EFCE"/>
            <w:noWrap/>
          </w:tcPr>
          <w:p w14:paraId="1EB4BB79" w14:textId="69640D2E" w:rsidR="006578ED" w:rsidRDefault="00A1618E">
            <w:pPr>
              <w:pStyle w:val="P68B1DB1-Normal13"/>
              <w:spacing w:after="0" w:line="240" w:lineRule="auto"/>
              <w:jc w:val="center"/>
              <w:rPr>
                <w:rFonts w:eastAsia="Times New Roman" w:cs="Times New Roman"/>
                <w:noProof/>
              </w:rPr>
            </w:pPr>
            <w:r>
              <w:rPr>
                <w:noProof/>
              </w:rPr>
              <w:t>L89</w:t>
            </w:r>
          </w:p>
        </w:tc>
        <w:tc>
          <w:tcPr>
            <w:tcW w:w="837" w:type="dxa"/>
            <w:shd w:val="clear" w:color="auto" w:fill="C6EFCE"/>
            <w:noWrap/>
          </w:tcPr>
          <w:p w14:paraId="1688DE83" w14:textId="3E5A978B" w:rsidR="006578ED" w:rsidRDefault="00A1618E">
            <w:pPr>
              <w:pStyle w:val="P68B1DB1-Normal13"/>
              <w:spacing w:after="0" w:line="240" w:lineRule="auto"/>
              <w:jc w:val="center"/>
              <w:rPr>
                <w:rFonts w:eastAsia="Times New Roman" w:cs="Times New Roman"/>
                <w:noProof/>
              </w:rPr>
            </w:pPr>
            <w:r>
              <w:rPr>
                <w:noProof/>
              </w:rPr>
              <w:t>C11.I6</w:t>
            </w:r>
          </w:p>
        </w:tc>
        <w:tc>
          <w:tcPr>
            <w:tcW w:w="836" w:type="dxa"/>
            <w:shd w:val="clear" w:color="auto" w:fill="C6EFCE"/>
            <w:noWrap/>
          </w:tcPr>
          <w:p w14:paraId="1BCCFAFE" w14:textId="2F30937C" w:rsidR="006578ED" w:rsidRDefault="00AF6B91">
            <w:pPr>
              <w:pStyle w:val="P68B1DB1-Normal13"/>
              <w:spacing w:after="0" w:line="240" w:lineRule="auto"/>
              <w:jc w:val="center"/>
              <w:rPr>
                <w:rFonts w:eastAsia="Times New Roman" w:cs="Times New Roman"/>
                <w:noProof/>
              </w:rPr>
            </w:pPr>
            <w:r>
              <w:rPr>
                <w:noProof/>
              </w:rPr>
              <w:t>Cel</w:t>
            </w:r>
          </w:p>
        </w:tc>
        <w:tc>
          <w:tcPr>
            <w:tcW w:w="2685" w:type="dxa"/>
            <w:shd w:val="clear" w:color="auto" w:fill="C6EFCE"/>
            <w:noWrap/>
          </w:tcPr>
          <w:p w14:paraId="21C5ACFB" w14:textId="42B53C32" w:rsidR="006578ED" w:rsidRDefault="00A1618E">
            <w:pPr>
              <w:pStyle w:val="P68B1DB1-Normal13"/>
              <w:spacing w:after="0" w:line="240" w:lineRule="auto"/>
              <w:rPr>
                <w:rFonts w:eastAsia="Times New Roman" w:cs="Times New Roman"/>
                <w:noProof/>
              </w:rPr>
            </w:pPr>
            <w:r>
              <w:rPr>
                <w:noProof/>
              </w:rPr>
              <w:t>Przyznawanie projektów mających na celu wzmocnienie zdolności administracji publicznej w zakresie cyberbezpieczeństwa w dziedzinie zapobiegania zagrożeniom cybernetycznym, ich ochrony, wykrywania i reagowania na nie (program cyberbezpieczeństwa)</w:t>
            </w:r>
          </w:p>
        </w:tc>
        <w:tc>
          <w:tcPr>
            <w:tcW w:w="1358" w:type="dxa"/>
            <w:shd w:val="clear" w:color="auto" w:fill="C6EFCE"/>
            <w:noWrap/>
          </w:tcPr>
          <w:p w14:paraId="3789D055" w14:textId="35F762BD" w:rsidR="006578ED" w:rsidRDefault="00A1618E">
            <w:pPr>
              <w:pStyle w:val="P68B1DB1-Normal13"/>
              <w:spacing w:after="0" w:line="240" w:lineRule="auto"/>
              <w:jc w:val="center"/>
              <w:rPr>
                <w:rFonts w:eastAsia="Times New Roman" w:cs="Times New Roman"/>
                <w:noProof/>
              </w:rPr>
            </w:pPr>
            <w:r>
              <w:rPr>
                <w:noProof/>
              </w:rPr>
              <w:t>Publikacja w dzienniku urzędowym lub na platformie zamówień publicznych</w:t>
            </w:r>
          </w:p>
        </w:tc>
        <w:tc>
          <w:tcPr>
            <w:tcW w:w="698" w:type="dxa"/>
            <w:shd w:val="clear" w:color="auto" w:fill="C6EFCE"/>
            <w:noWrap/>
          </w:tcPr>
          <w:p w14:paraId="3D0A1ABB" w14:textId="77256AEB" w:rsidR="006578ED" w:rsidRDefault="00A1618E">
            <w:pPr>
              <w:pStyle w:val="P68B1DB1-Normal13"/>
              <w:spacing w:after="0" w:line="240" w:lineRule="auto"/>
              <w:jc w:val="right"/>
              <w:rPr>
                <w:rFonts w:eastAsia="Times New Roman" w:cs="Times New Roman"/>
                <w:noProof/>
              </w:rPr>
            </w:pPr>
            <w:r>
              <w:rPr>
                <w:noProof/>
              </w:rPr>
              <w:t>Mln EUR</w:t>
            </w:r>
          </w:p>
        </w:tc>
        <w:tc>
          <w:tcPr>
            <w:tcW w:w="698" w:type="dxa"/>
            <w:shd w:val="clear" w:color="auto" w:fill="C6EFCE"/>
            <w:noWrap/>
          </w:tcPr>
          <w:p w14:paraId="47B04735" w14:textId="7183A9B0" w:rsidR="006578ED" w:rsidRDefault="00A1618E">
            <w:pPr>
              <w:pStyle w:val="P68B1DB1-Normal13"/>
              <w:spacing w:after="0" w:line="240" w:lineRule="auto"/>
              <w:jc w:val="right"/>
              <w:rPr>
                <w:rFonts w:eastAsia="Times New Roman" w:cs="Times New Roman"/>
                <w:noProof/>
              </w:rPr>
            </w:pPr>
            <w:r>
              <w:rPr>
                <w:noProof/>
              </w:rPr>
              <w:t>0</w:t>
            </w:r>
          </w:p>
        </w:tc>
        <w:tc>
          <w:tcPr>
            <w:tcW w:w="913" w:type="dxa"/>
            <w:shd w:val="clear" w:color="auto" w:fill="C6EFCE"/>
            <w:noWrap/>
          </w:tcPr>
          <w:p w14:paraId="50A89CD6" w14:textId="71D776DD" w:rsidR="006578ED" w:rsidRDefault="00A1618E">
            <w:pPr>
              <w:pStyle w:val="P68B1DB1-Normal13"/>
              <w:spacing w:after="0" w:line="240" w:lineRule="auto"/>
              <w:jc w:val="right"/>
              <w:rPr>
                <w:rFonts w:eastAsia="Times New Roman" w:cs="Times New Roman"/>
                <w:noProof/>
              </w:rPr>
            </w:pPr>
            <w:r>
              <w:rPr>
                <w:noProof/>
              </w:rPr>
              <w:t>1 041</w:t>
            </w:r>
          </w:p>
        </w:tc>
        <w:tc>
          <w:tcPr>
            <w:tcW w:w="419" w:type="dxa"/>
            <w:shd w:val="clear" w:color="auto" w:fill="C6EFCE"/>
            <w:noWrap/>
          </w:tcPr>
          <w:p w14:paraId="6F959CC0" w14:textId="75187BF2" w:rsidR="006578ED" w:rsidRDefault="00EC188C">
            <w:pPr>
              <w:pStyle w:val="P68B1DB1-Normal13"/>
              <w:spacing w:after="0" w:line="240" w:lineRule="auto"/>
              <w:jc w:val="center"/>
              <w:rPr>
                <w:rFonts w:eastAsia="Times New Roman" w:cs="Times New Roman"/>
                <w:noProof/>
              </w:rPr>
            </w:pPr>
            <w:r>
              <w:rPr>
                <w:noProof/>
              </w:rPr>
              <w:t>KW. 2</w:t>
            </w:r>
          </w:p>
        </w:tc>
        <w:tc>
          <w:tcPr>
            <w:tcW w:w="827" w:type="dxa"/>
            <w:shd w:val="clear" w:color="auto" w:fill="C6EFCE"/>
            <w:noWrap/>
          </w:tcPr>
          <w:p w14:paraId="59AB57E0" w14:textId="01FA9240" w:rsidR="006578ED" w:rsidRDefault="00A1618E">
            <w:pPr>
              <w:pStyle w:val="P68B1DB1-Normal13"/>
              <w:spacing w:after="0" w:line="240" w:lineRule="auto"/>
              <w:jc w:val="center"/>
              <w:rPr>
                <w:rFonts w:eastAsia="Times New Roman" w:cs="Times New Roman"/>
                <w:noProof/>
              </w:rPr>
            </w:pPr>
            <w:r>
              <w:rPr>
                <w:noProof/>
              </w:rPr>
              <w:t>2025</w:t>
            </w:r>
          </w:p>
        </w:tc>
        <w:tc>
          <w:tcPr>
            <w:tcW w:w="5165" w:type="dxa"/>
            <w:shd w:val="clear" w:color="auto" w:fill="C6EFCE"/>
            <w:noWrap/>
          </w:tcPr>
          <w:p w14:paraId="31E9175F" w14:textId="17CCA5D9" w:rsidR="006578ED" w:rsidRDefault="00A1618E">
            <w:pPr>
              <w:pStyle w:val="P68B1DB1-Normal13"/>
              <w:spacing w:after="0" w:line="240" w:lineRule="auto"/>
              <w:rPr>
                <w:rFonts w:eastAsia="Times New Roman" w:cs="Times New Roman"/>
                <w:noProof/>
              </w:rPr>
            </w:pPr>
            <w:r>
              <w:rPr>
                <w:noProof/>
              </w:rPr>
              <w:t>Publikacja w Dzienniku Urzędowym lub platformie zamówień publicznych przyznania co najmniej 1 041 525 000 EUR na projekty mające na celu zwiększenie zdolności administracji publicznej w zakresie cyberbezpieczeństwa w dziedzinie zapobiegania zagrożeniom cybernetycznym, ich ochrony, wykrywania i reagowania na nie. Projekty te przyczyniają się do realizacji co najmniej jednego z następujących celów: budowanie zdolności reagowania na zagrożenia cybernetyczne; zapewnienie bezpieczeństwa i odporności aktywów strategicznych; zwiększenie zdolności w zakresie prowadzenia dochodzeń i ścigania cyberprzestępczości; zwiększenie cyberbezpieczeństwa obywateli i przedsiębiorstw; pobudzenie sektora cyberbezpieczeństwa; oraz vi) rozwijanie kultury cyberbezpieczeństwa.</w:t>
            </w:r>
          </w:p>
        </w:tc>
      </w:tr>
      <w:tr w:rsidR="006578ED" w14:paraId="748067CB" w14:textId="77777777">
        <w:trPr>
          <w:trHeight w:val="309"/>
        </w:trPr>
        <w:tc>
          <w:tcPr>
            <w:tcW w:w="837" w:type="dxa"/>
            <w:shd w:val="clear" w:color="auto" w:fill="C6EFCE"/>
            <w:noWrap/>
          </w:tcPr>
          <w:p w14:paraId="30DF82E4" w14:textId="143F7966" w:rsidR="006578ED" w:rsidRDefault="00A1618E">
            <w:pPr>
              <w:pStyle w:val="P68B1DB1-Normal13"/>
              <w:spacing w:after="0" w:line="240" w:lineRule="auto"/>
              <w:jc w:val="center"/>
              <w:rPr>
                <w:rFonts w:eastAsia="Times New Roman" w:cs="Times New Roman"/>
                <w:noProof/>
              </w:rPr>
            </w:pPr>
            <w:r>
              <w:rPr>
                <w:noProof/>
              </w:rPr>
              <w:t>L17</w:t>
            </w:r>
          </w:p>
        </w:tc>
        <w:tc>
          <w:tcPr>
            <w:tcW w:w="837" w:type="dxa"/>
            <w:shd w:val="clear" w:color="auto" w:fill="C6EFCE"/>
            <w:noWrap/>
          </w:tcPr>
          <w:p w14:paraId="09AD2858" w14:textId="6220FCC5" w:rsidR="006578ED" w:rsidRDefault="00A1618E">
            <w:pPr>
              <w:pStyle w:val="P68B1DB1-Normal13"/>
              <w:spacing w:after="0" w:line="240" w:lineRule="auto"/>
              <w:jc w:val="center"/>
              <w:rPr>
                <w:rFonts w:eastAsia="Times New Roman" w:cs="Times New Roman"/>
                <w:noProof/>
              </w:rPr>
            </w:pPr>
            <w:r>
              <w:rPr>
                <w:noProof/>
              </w:rPr>
              <w:t>C11.I6</w:t>
            </w:r>
          </w:p>
        </w:tc>
        <w:tc>
          <w:tcPr>
            <w:tcW w:w="836" w:type="dxa"/>
            <w:shd w:val="clear" w:color="auto" w:fill="C6EFCE"/>
            <w:noWrap/>
          </w:tcPr>
          <w:p w14:paraId="52F15E55" w14:textId="2D5268AB" w:rsidR="006578ED" w:rsidRDefault="00AF6B91">
            <w:pPr>
              <w:pStyle w:val="P68B1DB1-Normal13"/>
              <w:spacing w:after="0" w:line="240" w:lineRule="auto"/>
              <w:jc w:val="center"/>
              <w:rPr>
                <w:rFonts w:eastAsia="Times New Roman" w:cs="Times New Roman"/>
                <w:noProof/>
              </w:rPr>
            </w:pPr>
            <w:r>
              <w:rPr>
                <w:noProof/>
              </w:rPr>
              <w:t>Cel</w:t>
            </w:r>
          </w:p>
        </w:tc>
        <w:tc>
          <w:tcPr>
            <w:tcW w:w="2685" w:type="dxa"/>
            <w:shd w:val="clear" w:color="auto" w:fill="C6EFCE"/>
            <w:noWrap/>
          </w:tcPr>
          <w:p w14:paraId="10BCBCB9" w14:textId="109FBAC1" w:rsidR="006578ED" w:rsidRDefault="00A1618E">
            <w:pPr>
              <w:pStyle w:val="P68B1DB1-Normal13"/>
              <w:spacing w:after="0" w:line="240" w:lineRule="auto"/>
              <w:rPr>
                <w:rFonts w:eastAsia="Times New Roman" w:cs="Times New Roman"/>
                <w:noProof/>
              </w:rPr>
            </w:pPr>
            <w:r>
              <w:rPr>
                <w:noProof/>
              </w:rPr>
              <w:t>Zakończenie projektów mających na celu wzmocnienie zdolności administracji publicznej w zakresie cyberbezpieczeństwa w dziedzinie zapobiegania zagrożeniom cybernetycznym, ich ochrony, wykrywania i reagowania na nie (program cyberbezpieczeństwa)</w:t>
            </w:r>
          </w:p>
        </w:tc>
        <w:tc>
          <w:tcPr>
            <w:tcW w:w="1358" w:type="dxa"/>
            <w:shd w:val="clear" w:color="auto" w:fill="C6EFCE"/>
            <w:noWrap/>
          </w:tcPr>
          <w:p w14:paraId="33A0B084" w14:textId="77777777" w:rsidR="006578ED" w:rsidRDefault="006578ED">
            <w:pPr>
              <w:spacing w:after="0" w:line="240" w:lineRule="auto"/>
              <w:jc w:val="center"/>
              <w:rPr>
                <w:rFonts w:ascii="Times New Roman" w:eastAsia="Times New Roman" w:hAnsi="Times New Roman" w:cs="Times New Roman"/>
                <w:noProof/>
                <w:sz w:val="18"/>
              </w:rPr>
            </w:pPr>
          </w:p>
        </w:tc>
        <w:tc>
          <w:tcPr>
            <w:tcW w:w="698" w:type="dxa"/>
            <w:shd w:val="clear" w:color="auto" w:fill="C6EFCE"/>
            <w:noWrap/>
          </w:tcPr>
          <w:p w14:paraId="36A09158" w14:textId="5F5331AB" w:rsidR="006578ED" w:rsidRDefault="00A1618E">
            <w:pPr>
              <w:pStyle w:val="P68B1DB1-Normal13"/>
              <w:spacing w:after="0" w:line="240" w:lineRule="auto"/>
              <w:jc w:val="right"/>
              <w:rPr>
                <w:rFonts w:eastAsia="Times New Roman" w:cs="Times New Roman"/>
                <w:noProof/>
              </w:rPr>
            </w:pPr>
            <w:r>
              <w:rPr>
                <w:noProof/>
              </w:rPr>
              <w:t>Mln EUR</w:t>
            </w:r>
          </w:p>
        </w:tc>
        <w:tc>
          <w:tcPr>
            <w:tcW w:w="698" w:type="dxa"/>
            <w:shd w:val="clear" w:color="auto" w:fill="C6EFCE"/>
            <w:noWrap/>
          </w:tcPr>
          <w:p w14:paraId="48F4AB32" w14:textId="15A56815" w:rsidR="006578ED" w:rsidRDefault="00A1618E">
            <w:pPr>
              <w:pStyle w:val="P68B1DB1-Normal13"/>
              <w:spacing w:after="0" w:line="240" w:lineRule="auto"/>
              <w:jc w:val="right"/>
              <w:rPr>
                <w:rFonts w:eastAsia="Times New Roman" w:cs="Times New Roman"/>
                <w:noProof/>
              </w:rPr>
            </w:pPr>
            <w:r>
              <w:rPr>
                <w:noProof/>
              </w:rPr>
              <w:t>0</w:t>
            </w:r>
          </w:p>
        </w:tc>
        <w:tc>
          <w:tcPr>
            <w:tcW w:w="913" w:type="dxa"/>
            <w:shd w:val="clear" w:color="auto" w:fill="C6EFCE"/>
            <w:noWrap/>
          </w:tcPr>
          <w:p w14:paraId="6D5868EA" w14:textId="3E874266" w:rsidR="006578ED" w:rsidRDefault="00A1618E">
            <w:pPr>
              <w:pStyle w:val="P68B1DB1-Normal13"/>
              <w:spacing w:after="0" w:line="240" w:lineRule="auto"/>
              <w:jc w:val="right"/>
              <w:rPr>
                <w:rFonts w:eastAsia="Times New Roman" w:cs="Times New Roman"/>
                <w:noProof/>
              </w:rPr>
            </w:pPr>
            <w:r>
              <w:rPr>
                <w:noProof/>
              </w:rPr>
              <w:t>1 041</w:t>
            </w:r>
          </w:p>
        </w:tc>
        <w:tc>
          <w:tcPr>
            <w:tcW w:w="419" w:type="dxa"/>
            <w:shd w:val="clear" w:color="auto" w:fill="C6EFCE"/>
            <w:noWrap/>
          </w:tcPr>
          <w:p w14:paraId="73BDCB58" w14:textId="11B812DC" w:rsidR="006578ED" w:rsidRDefault="00EC188C">
            <w:pPr>
              <w:pStyle w:val="P68B1DB1-Normal13"/>
              <w:spacing w:after="0" w:line="240" w:lineRule="auto"/>
              <w:jc w:val="center"/>
              <w:rPr>
                <w:rFonts w:eastAsia="Times New Roman" w:cs="Times New Roman"/>
                <w:noProof/>
              </w:rPr>
            </w:pPr>
            <w:r>
              <w:rPr>
                <w:noProof/>
              </w:rPr>
              <w:t>KW. 2</w:t>
            </w:r>
          </w:p>
        </w:tc>
        <w:tc>
          <w:tcPr>
            <w:tcW w:w="827" w:type="dxa"/>
            <w:shd w:val="clear" w:color="auto" w:fill="C6EFCE"/>
            <w:noWrap/>
          </w:tcPr>
          <w:p w14:paraId="532EF65D" w14:textId="185C4808" w:rsidR="006578ED" w:rsidRDefault="00A1618E">
            <w:pPr>
              <w:pStyle w:val="P68B1DB1-Normal13"/>
              <w:spacing w:after="0" w:line="240" w:lineRule="auto"/>
              <w:jc w:val="center"/>
              <w:rPr>
                <w:rFonts w:eastAsia="Times New Roman" w:cs="Times New Roman"/>
                <w:noProof/>
              </w:rPr>
            </w:pPr>
            <w:r>
              <w:rPr>
                <w:noProof/>
              </w:rPr>
              <w:t>2026</w:t>
            </w:r>
          </w:p>
        </w:tc>
        <w:tc>
          <w:tcPr>
            <w:tcW w:w="5165" w:type="dxa"/>
            <w:shd w:val="clear" w:color="auto" w:fill="C6EFCE"/>
            <w:noWrap/>
          </w:tcPr>
          <w:p w14:paraId="274410C8" w14:textId="29F6A435" w:rsidR="006578ED" w:rsidRDefault="00A1618E">
            <w:pPr>
              <w:pStyle w:val="P68B1DB1-Normal13"/>
              <w:spacing w:after="0" w:line="240" w:lineRule="auto"/>
              <w:rPr>
                <w:rFonts w:eastAsia="Times New Roman" w:cs="Times New Roman"/>
                <w:noProof/>
              </w:rPr>
            </w:pPr>
            <w:r>
              <w:rPr>
                <w:noProof/>
              </w:rPr>
              <w:t>Zakończenie projektów mających na celu zwiększenie zdolności administracji publicznej w zakresie cyberbezpieczeństwa w dziedzinie zapobiegania zagrożeniom cybernetycznym, ich ochrony, wykrywania i reagowania na nie o co najmniej 1 041 525 000 EUR. Projekty te przyczyniają się do realizacji co najmniej jednego z następujących celów: budowanie zdolności reagowania na zagrożenia cybernetyczne; zapewnienie bezpieczeństwa i odporności aktywów strategicznych; zwiększenie zdolności w zakresie prowadzenia dochodzeń i ścigania cyberprzestępczości; zwiększenie cyberbezpieczeństwa obywateli i przedsiębiorstw; pobudzenie sektora cyberbezpieczeństwa; oraz vi) rozwijanie kultury cyberbezpieczeństwa.</w:t>
            </w:r>
          </w:p>
          <w:p w14:paraId="4BAE3051" w14:textId="77777777" w:rsidR="006578ED" w:rsidRDefault="006578ED">
            <w:pPr>
              <w:spacing w:after="0" w:line="240" w:lineRule="auto"/>
              <w:rPr>
                <w:rFonts w:ascii="Times New Roman" w:eastAsia="Times New Roman" w:hAnsi="Times New Roman" w:cs="Times New Roman"/>
                <w:noProof/>
                <w:sz w:val="18"/>
              </w:rPr>
            </w:pPr>
          </w:p>
        </w:tc>
      </w:tr>
      <w:tr w:rsidR="006578ED" w14:paraId="300EF90E" w14:textId="77777777">
        <w:trPr>
          <w:trHeight w:val="309"/>
        </w:trPr>
        <w:tc>
          <w:tcPr>
            <w:tcW w:w="837" w:type="dxa"/>
            <w:shd w:val="clear" w:color="auto" w:fill="C6EFCE"/>
            <w:noWrap/>
          </w:tcPr>
          <w:p w14:paraId="694D0EB1" w14:textId="1628BA02" w:rsidR="006578ED" w:rsidRDefault="00A1618E">
            <w:pPr>
              <w:pStyle w:val="P68B1DB1-Normal13"/>
              <w:spacing w:after="0" w:line="240" w:lineRule="auto"/>
              <w:jc w:val="center"/>
              <w:rPr>
                <w:rFonts w:eastAsia="Times New Roman" w:cs="Times New Roman"/>
                <w:noProof/>
              </w:rPr>
            </w:pPr>
            <w:r>
              <w:rPr>
                <w:noProof/>
              </w:rPr>
              <w:t>L18</w:t>
            </w:r>
          </w:p>
        </w:tc>
        <w:tc>
          <w:tcPr>
            <w:tcW w:w="837" w:type="dxa"/>
            <w:shd w:val="clear" w:color="auto" w:fill="C6EFCE"/>
            <w:noWrap/>
          </w:tcPr>
          <w:p w14:paraId="4C3987D3" w14:textId="77777777" w:rsidR="006578ED" w:rsidRDefault="00A1618E">
            <w:pPr>
              <w:pStyle w:val="P68B1DB1-Normal13"/>
              <w:spacing w:after="0" w:line="240" w:lineRule="auto"/>
              <w:jc w:val="center"/>
              <w:rPr>
                <w:rFonts w:eastAsia="Times New Roman" w:cs="Times New Roman"/>
                <w:noProof/>
              </w:rPr>
            </w:pPr>
            <w:r>
              <w:rPr>
                <w:noProof/>
              </w:rPr>
              <w:t>C11.I6</w:t>
            </w:r>
          </w:p>
        </w:tc>
        <w:tc>
          <w:tcPr>
            <w:tcW w:w="836" w:type="dxa"/>
            <w:shd w:val="clear" w:color="auto" w:fill="C6EFCE"/>
            <w:noWrap/>
          </w:tcPr>
          <w:p w14:paraId="561C763A" w14:textId="66B29675" w:rsidR="006578ED" w:rsidRDefault="00AF6B91">
            <w:pPr>
              <w:pStyle w:val="P68B1DB1-Normal13"/>
              <w:spacing w:after="0" w:line="240" w:lineRule="auto"/>
              <w:jc w:val="center"/>
              <w:rPr>
                <w:rFonts w:eastAsia="Times New Roman" w:cs="Times New Roman"/>
                <w:noProof/>
              </w:rPr>
            </w:pPr>
            <w:r>
              <w:rPr>
                <w:noProof/>
              </w:rPr>
              <w:t>Kamień milowy</w:t>
            </w:r>
          </w:p>
        </w:tc>
        <w:tc>
          <w:tcPr>
            <w:tcW w:w="2685" w:type="dxa"/>
            <w:shd w:val="clear" w:color="auto" w:fill="C6EFCE"/>
            <w:noWrap/>
          </w:tcPr>
          <w:p w14:paraId="1CF08157" w14:textId="75F4C2C8" w:rsidR="006578ED" w:rsidRDefault="00A1618E">
            <w:pPr>
              <w:pStyle w:val="P68B1DB1-Normal13"/>
              <w:spacing w:after="0" w:line="240" w:lineRule="auto"/>
              <w:rPr>
                <w:rFonts w:eastAsia="Times New Roman" w:cs="Times New Roman"/>
                <w:noProof/>
              </w:rPr>
            </w:pPr>
            <w:r>
              <w:rPr>
                <w:noProof/>
              </w:rPr>
              <w:t>Rozporządzenie ustanawiające Fundusz Bezpieczeństwa i Zwiększania Odporności </w:t>
            </w:r>
          </w:p>
        </w:tc>
        <w:tc>
          <w:tcPr>
            <w:tcW w:w="1358" w:type="dxa"/>
            <w:shd w:val="clear" w:color="auto" w:fill="C6EFCE"/>
            <w:noWrap/>
          </w:tcPr>
          <w:p w14:paraId="2250FE67" w14:textId="4D3E4DE5" w:rsidR="006578ED" w:rsidRDefault="00A1618E">
            <w:pPr>
              <w:pStyle w:val="P68B1DB1-Normal13"/>
              <w:spacing w:after="0" w:line="240" w:lineRule="auto"/>
              <w:jc w:val="center"/>
              <w:rPr>
                <w:rFonts w:eastAsia="Times New Roman" w:cs="Times New Roman"/>
                <w:noProof/>
              </w:rPr>
            </w:pPr>
            <w:r>
              <w:rPr>
                <w:noProof/>
              </w:rPr>
              <w:t>Wejście rozporządzenia w życie</w:t>
            </w:r>
          </w:p>
          <w:p w14:paraId="519E9A28" w14:textId="7D0E2291" w:rsidR="006578ED" w:rsidRDefault="006578ED">
            <w:pPr>
              <w:spacing w:after="0" w:line="240" w:lineRule="auto"/>
              <w:jc w:val="center"/>
              <w:rPr>
                <w:rFonts w:ascii="Times New Roman" w:eastAsia="Times New Roman" w:hAnsi="Times New Roman" w:cs="Times New Roman"/>
                <w:noProof/>
                <w:sz w:val="18"/>
              </w:rPr>
            </w:pPr>
          </w:p>
        </w:tc>
        <w:tc>
          <w:tcPr>
            <w:tcW w:w="698" w:type="dxa"/>
            <w:shd w:val="clear" w:color="auto" w:fill="C6EFCE"/>
            <w:noWrap/>
          </w:tcPr>
          <w:p w14:paraId="4C8CC92C" w14:textId="496AD061" w:rsidR="006578ED" w:rsidRDefault="006578ED">
            <w:pPr>
              <w:pStyle w:val="P68B1DB1-Normal13"/>
              <w:spacing w:after="0" w:line="240" w:lineRule="auto"/>
              <w:jc w:val="right"/>
              <w:rPr>
                <w:rFonts w:eastAsia="Times New Roman" w:cs="Times New Roman"/>
                <w:noProof/>
              </w:rPr>
            </w:pPr>
          </w:p>
        </w:tc>
        <w:tc>
          <w:tcPr>
            <w:tcW w:w="698" w:type="dxa"/>
            <w:shd w:val="clear" w:color="auto" w:fill="C6EFCE"/>
            <w:noWrap/>
          </w:tcPr>
          <w:p w14:paraId="500E7241" w14:textId="21C8FD0C" w:rsidR="006578ED" w:rsidRDefault="006578ED">
            <w:pPr>
              <w:pStyle w:val="P68B1DB1-Normal13"/>
              <w:spacing w:after="0" w:line="240" w:lineRule="auto"/>
              <w:jc w:val="right"/>
              <w:rPr>
                <w:rFonts w:eastAsia="Times New Roman" w:cs="Times New Roman"/>
                <w:noProof/>
              </w:rPr>
            </w:pPr>
          </w:p>
        </w:tc>
        <w:tc>
          <w:tcPr>
            <w:tcW w:w="913" w:type="dxa"/>
            <w:shd w:val="clear" w:color="auto" w:fill="C6EFCE"/>
            <w:noWrap/>
          </w:tcPr>
          <w:p w14:paraId="5541F636" w14:textId="36A066BD" w:rsidR="006578ED" w:rsidRDefault="006578ED">
            <w:pPr>
              <w:pStyle w:val="P68B1DB1-Normal13"/>
              <w:spacing w:after="0" w:line="240" w:lineRule="auto"/>
              <w:jc w:val="right"/>
              <w:rPr>
                <w:rFonts w:eastAsia="Times New Roman" w:cs="Times New Roman"/>
                <w:noProof/>
              </w:rPr>
            </w:pPr>
          </w:p>
        </w:tc>
        <w:tc>
          <w:tcPr>
            <w:tcW w:w="419" w:type="dxa"/>
            <w:shd w:val="clear" w:color="auto" w:fill="C6EFCE"/>
            <w:noWrap/>
          </w:tcPr>
          <w:p w14:paraId="5E8F6436" w14:textId="02A85068" w:rsidR="006578ED" w:rsidRDefault="00EC188C">
            <w:pPr>
              <w:pStyle w:val="P68B1DB1-Normal13"/>
              <w:spacing w:after="0" w:line="240" w:lineRule="auto"/>
              <w:jc w:val="center"/>
              <w:rPr>
                <w:rFonts w:eastAsia="Times New Roman" w:cs="Times New Roman"/>
                <w:noProof/>
              </w:rPr>
            </w:pPr>
            <w:r>
              <w:rPr>
                <w:noProof/>
              </w:rPr>
              <w:t>KW. 2 </w:t>
            </w:r>
          </w:p>
        </w:tc>
        <w:tc>
          <w:tcPr>
            <w:tcW w:w="827" w:type="dxa"/>
            <w:shd w:val="clear" w:color="auto" w:fill="C6EFCE"/>
            <w:noWrap/>
          </w:tcPr>
          <w:p w14:paraId="3E04495A" w14:textId="73DCC945" w:rsidR="006578ED" w:rsidRDefault="00A1618E">
            <w:pPr>
              <w:pStyle w:val="P68B1DB1-Normal13"/>
              <w:spacing w:after="0" w:line="240" w:lineRule="auto"/>
              <w:jc w:val="center"/>
              <w:rPr>
                <w:rFonts w:eastAsia="Times New Roman" w:cs="Times New Roman"/>
                <w:noProof/>
              </w:rPr>
            </w:pPr>
            <w:r>
              <w:rPr>
                <w:noProof/>
              </w:rPr>
              <w:t>2024</w:t>
            </w:r>
          </w:p>
        </w:tc>
        <w:tc>
          <w:tcPr>
            <w:tcW w:w="5165" w:type="dxa"/>
            <w:shd w:val="clear" w:color="auto" w:fill="C6EFCE"/>
            <w:noWrap/>
          </w:tcPr>
          <w:p w14:paraId="457EE473" w14:textId="79EFDB56" w:rsidR="006578ED" w:rsidRDefault="00A1618E">
            <w:pPr>
              <w:pStyle w:val="P68B1DB1-Normal13"/>
              <w:spacing w:after="0" w:line="240" w:lineRule="auto"/>
              <w:rPr>
                <w:rFonts w:eastAsia="Times New Roman" w:cs="Times New Roman"/>
                <w:noProof/>
              </w:rPr>
            </w:pPr>
            <w:r>
              <w:rPr>
                <w:noProof/>
              </w:rPr>
              <w:t>Wejście w życie rozporządzenia i wszelkich związanych z nim dokumentów ustanawiających Instrument.</w:t>
            </w:r>
          </w:p>
        </w:tc>
      </w:tr>
      <w:tr w:rsidR="006578ED" w14:paraId="5298DA75" w14:textId="77777777">
        <w:trPr>
          <w:trHeight w:val="309"/>
        </w:trPr>
        <w:tc>
          <w:tcPr>
            <w:tcW w:w="837" w:type="dxa"/>
            <w:shd w:val="clear" w:color="auto" w:fill="C6EFCE"/>
            <w:noWrap/>
          </w:tcPr>
          <w:p w14:paraId="4975496E" w14:textId="7B7A06DD" w:rsidR="006578ED" w:rsidRDefault="00A1618E">
            <w:pPr>
              <w:pStyle w:val="P68B1DB1-Normal13"/>
              <w:spacing w:after="0" w:line="240" w:lineRule="auto"/>
              <w:jc w:val="center"/>
              <w:rPr>
                <w:rFonts w:cs="Times New Roman"/>
                <w:noProof/>
              </w:rPr>
            </w:pPr>
            <w:r>
              <w:rPr>
                <w:noProof/>
              </w:rPr>
              <w:t>L19</w:t>
            </w:r>
          </w:p>
        </w:tc>
        <w:tc>
          <w:tcPr>
            <w:tcW w:w="837" w:type="dxa"/>
            <w:shd w:val="clear" w:color="auto" w:fill="C6EFCE"/>
            <w:noWrap/>
          </w:tcPr>
          <w:p w14:paraId="338ED568" w14:textId="77777777" w:rsidR="006578ED" w:rsidRDefault="00A1618E">
            <w:pPr>
              <w:pStyle w:val="P68B1DB1-Normal13"/>
              <w:spacing w:after="0" w:line="240" w:lineRule="auto"/>
              <w:jc w:val="center"/>
              <w:rPr>
                <w:rFonts w:cs="Times New Roman"/>
                <w:noProof/>
              </w:rPr>
            </w:pPr>
            <w:r>
              <w:rPr>
                <w:noProof/>
              </w:rPr>
              <w:t>C11.I6</w:t>
            </w:r>
          </w:p>
        </w:tc>
        <w:tc>
          <w:tcPr>
            <w:tcW w:w="836" w:type="dxa"/>
            <w:shd w:val="clear" w:color="auto" w:fill="C6EFCE"/>
            <w:noWrap/>
          </w:tcPr>
          <w:p w14:paraId="099DC576" w14:textId="701141CD" w:rsidR="006578ED" w:rsidRDefault="00AF6B91">
            <w:pPr>
              <w:pStyle w:val="P68B1DB1-Normal13"/>
              <w:spacing w:after="0" w:line="240" w:lineRule="auto"/>
              <w:jc w:val="center"/>
              <w:rPr>
                <w:rFonts w:cs="Times New Roman"/>
                <w:noProof/>
              </w:rPr>
            </w:pPr>
            <w:r>
              <w:rPr>
                <w:noProof/>
              </w:rPr>
              <w:t>Cel</w:t>
            </w:r>
          </w:p>
        </w:tc>
        <w:tc>
          <w:tcPr>
            <w:tcW w:w="2685" w:type="dxa"/>
            <w:shd w:val="clear" w:color="auto" w:fill="C6EFCE"/>
            <w:noWrap/>
          </w:tcPr>
          <w:p w14:paraId="04ACE8B5" w14:textId="52E929C0" w:rsidR="006578ED" w:rsidRDefault="00A1618E">
            <w:pPr>
              <w:pStyle w:val="P68B1DB1-Normal13"/>
              <w:spacing w:after="0" w:line="240" w:lineRule="auto"/>
              <w:rPr>
                <w:rFonts w:eastAsia="Times New Roman" w:cs="Times New Roman"/>
                <w:noProof/>
              </w:rPr>
            </w:pPr>
            <w:r>
              <w:rPr>
                <w:noProof/>
              </w:rPr>
              <w:t>Fundusz Bezpieczeństwa i Zwiększania Odporności: Prawne umowy o finansowaniu podpisane z beneficjentami końcowymi (w tym z funduszami kapitałowymi) (I)</w:t>
            </w:r>
          </w:p>
        </w:tc>
        <w:tc>
          <w:tcPr>
            <w:tcW w:w="1358" w:type="dxa"/>
            <w:shd w:val="clear" w:color="auto" w:fill="C6EFCE"/>
            <w:noWrap/>
          </w:tcPr>
          <w:p w14:paraId="78681B00" w14:textId="13ECC24E" w:rsidR="006578ED" w:rsidRDefault="006578ED">
            <w:pPr>
              <w:spacing w:after="0" w:line="240" w:lineRule="auto"/>
              <w:jc w:val="center"/>
              <w:rPr>
                <w:rFonts w:ascii="Times New Roman" w:hAnsi="Times New Roman" w:cs="Times New Roman"/>
                <w:noProof/>
                <w:sz w:val="18"/>
              </w:rPr>
            </w:pPr>
          </w:p>
        </w:tc>
        <w:tc>
          <w:tcPr>
            <w:tcW w:w="698" w:type="dxa"/>
            <w:shd w:val="clear" w:color="auto" w:fill="C6EFCE"/>
            <w:noWrap/>
          </w:tcPr>
          <w:p w14:paraId="4CE0D87E" w14:textId="49602E9D" w:rsidR="006578ED" w:rsidRDefault="006578ED">
            <w:pPr>
              <w:spacing w:after="0" w:line="240" w:lineRule="auto"/>
              <w:jc w:val="right"/>
              <w:rPr>
                <w:rFonts w:ascii="Times New Roman" w:hAnsi="Times New Roman" w:cs="Times New Roman"/>
                <w:noProof/>
                <w:sz w:val="18"/>
              </w:rPr>
            </w:pPr>
          </w:p>
        </w:tc>
        <w:tc>
          <w:tcPr>
            <w:tcW w:w="698" w:type="dxa"/>
            <w:shd w:val="clear" w:color="auto" w:fill="C6EFCE"/>
            <w:noWrap/>
          </w:tcPr>
          <w:p w14:paraId="68DE3F99" w14:textId="58EED0E9" w:rsidR="006578ED" w:rsidRDefault="006578ED">
            <w:pPr>
              <w:spacing w:after="0" w:line="240" w:lineRule="auto"/>
              <w:jc w:val="right"/>
              <w:rPr>
                <w:rFonts w:ascii="Times New Roman" w:hAnsi="Times New Roman" w:cs="Times New Roman"/>
                <w:noProof/>
                <w:sz w:val="18"/>
              </w:rPr>
            </w:pPr>
          </w:p>
        </w:tc>
        <w:tc>
          <w:tcPr>
            <w:tcW w:w="913" w:type="dxa"/>
            <w:shd w:val="clear" w:color="auto" w:fill="C6EFCE"/>
            <w:noWrap/>
          </w:tcPr>
          <w:p w14:paraId="313ACB04" w14:textId="1DE92BFA" w:rsidR="006578ED" w:rsidRDefault="00A1618E">
            <w:pPr>
              <w:pStyle w:val="P68B1DB1-Normal13"/>
              <w:spacing w:after="0" w:line="240" w:lineRule="auto"/>
              <w:jc w:val="right"/>
              <w:rPr>
                <w:rFonts w:cs="Times New Roman"/>
                <w:noProof/>
              </w:rPr>
            </w:pPr>
            <w:r>
              <w:rPr>
                <w:noProof/>
              </w:rPr>
              <w:t>35 %</w:t>
            </w:r>
          </w:p>
        </w:tc>
        <w:tc>
          <w:tcPr>
            <w:tcW w:w="419" w:type="dxa"/>
            <w:shd w:val="clear" w:color="auto" w:fill="C6EFCE"/>
            <w:noWrap/>
          </w:tcPr>
          <w:p w14:paraId="378B2AA6" w14:textId="306CEA86" w:rsidR="006578ED" w:rsidRDefault="00EC188C">
            <w:pPr>
              <w:pStyle w:val="P68B1DB1-Normal13"/>
              <w:spacing w:after="0" w:line="240" w:lineRule="auto"/>
              <w:jc w:val="center"/>
              <w:rPr>
                <w:rFonts w:cs="Times New Roman"/>
                <w:noProof/>
              </w:rPr>
            </w:pPr>
            <w:r>
              <w:rPr>
                <w:noProof/>
              </w:rPr>
              <w:t>KW. 2</w:t>
            </w:r>
          </w:p>
        </w:tc>
        <w:tc>
          <w:tcPr>
            <w:tcW w:w="827" w:type="dxa"/>
            <w:shd w:val="clear" w:color="auto" w:fill="C6EFCE"/>
            <w:noWrap/>
          </w:tcPr>
          <w:p w14:paraId="70F0061B" w14:textId="77777777" w:rsidR="006578ED" w:rsidRDefault="00A1618E">
            <w:pPr>
              <w:pStyle w:val="P68B1DB1-Normal13"/>
              <w:spacing w:after="0" w:line="240" w:lineRule="auto"/>
              <w:jc w:val="center"/>
              <w:rPr>
                <w:rFonts w:cs="Times New Roman"/>
                <w:noProof/>
              </w:rPr>
            </w:pPr>
            <w:r>
              <w:rPr>
                <w:noProof/>
              </w:rPr>
              <w:t>2025</w:t>
            </w:r>
          </w:p>
        </w:tc>
        <w:tc>
          <w:tcPr>
            <w:tcW w:w="5165" w:type="dxa"/>
            <w:shd w:val="clear" w:color="auto" w:fill="C6EFCE"/>
            <w:noWrap/>
          </w:tcPr>
          <w:p w14:paraId="432737EA" w14:textId="575800EA" w:rsidR="006578ED" w:rsidRDefault="00A1618E">
            <w:pPr>
              <w:pStyle w:val="P68B1DB1-Normal13"/>
              <w:spacing w:after="0" w:line="240" w:lineRule="auto"/>
              <w:rPr>
                <w:rFonts w:cs="Times New Roman"/>
                <w:noProof/>
              </w:rPr>
            </w:pPr>
            <w:r>
              <w:rPr>
                <w:noProof/>
              </w:rPr>
              <w:t>Instrument i wszyscy pośrednicy wybrani przez SEPIDES zawierają prawne umowy o finansowaniu z beneficjentami końcowymi (w tym funduszami kapitałowymi) na kwotę niezbędną do wykorzystania co najmniej 35 % inwestycji RRF w instrument (z uwzględnieniem opłat za zarządzanie). Co najmniej 10 % finansowania odpowiada umowom finansowym podpisanym z funduszami kapitałowymi, a co najmniej 40 % – umowami w sprawie finansowania podpisanymi z beneficjentami końcowymi w odniesieniu do wszystkich innych produktów inwestycyjnych (w tym bezpośrednich inwestycji kapitałowych dokonywanych przez partnera wykonawczego).</w:t>
            </w:r>
          </w:p>
        </w:tc>
      </w:tr>
      <w:tr w:rsidR="006578ED" w14:paraId="03767160" w14:textId="77777777">
        <w:trPr>
          <w:trHeight w:val="309"/>
        </w:trPr>
        <w:tc>
          <w:tcPr>
            <w:tcW w:w="837" w:type="dxa"/>
            <w:shd w:val="clear" w:color="auto" w:fill="C6EFCE"/>
            <w:noWrap/>
          </w:tcPr>
          <w:p w14:paraId="4D019B29" w14:textId="6F85AC87" w:rsidR="006578ED" w:rsidRDefault="00A1618E">
            <w:pPr>
              <w:pStyle w:val="P68B1DB1-Normal13"/>
              <w:spacing w:after="0" w:line="240" w:lineRule="auto"/>
              <w:jc w:val="center"/>
              <w:rPr>
                <w:rFonts w:eastAsia="Times New Roman" w:cs="Times New Roman"/>
                <w:noProof/>
              </w:rPr>
            </w:pPr>
            <w:r>
              <w:rPr>
                <w:noProof/>
              </w:rPr>
              <w:t>L20</w:t>
            </w:r>
          </w:p>
        </w:tc>
        <w:tc>
          <w:tcPr>
            <w:tcW w:w="837" w:type="dxa"/>
            <w:shd w:val="clear" w:color="auto" w:fill="C6EFCE"/>
            <w:noWrap/>
          </w:tcPr>
          <w:p w14:paraId="51AA59DF" w14:textId="77777777" w:rsidR="006578ED" w:rsidRDefault="00A1618E">
            <w:pPr>
              <w:pStyle w:val="P68B1DB1-Normal13"/>
              <w:spacing w:after="0" w:line="240" w:lineRule="auto"/>
              <w:jc w:val="center"/>
              <w:rPr>
                <w:rFonts w:cs="Times New Roman"/>
                <w:noProof/>
              </w:rPr>
            </w:pPr>
            <w:r>
              <w:rPr>
                <w:noProof/>
              </w:rPr>
              <w:t>C11.I6</w:t>
            </w:r>
          </w:p>
        </w:tc>
        <w:tc>
          <w:tcPr>
            <w:tcW w:w="836" w:type="dxa"/>
            <w:shd w:val="clear" w:color="auto" w:fill="C6EFCE"/>
            <w:noWrap/>
          </w:tcPr>
          <w:p w14:paraId="0F46A205" w14:textId="50A967AB" w:rsidR="006578ED" w:rsidRDefault="00AF6B91">
            <w:pPr>
              <w:pStyle w:val="P68B1DB1-Normal13"/>
              <w:spacing w:after="0" w:line="240" w:lineRule="auto"/>
              <w:jc w:val="center"/>
              <w:rPr>
                <w:rFonts w:cs="Times New Roman"/>
                <w:noProof/>
              </w:rPr>
            </w:pPr>
            <w:r>
              <w:rPr>
                <w:noProof/>
              </w:rPr>
              <w:t>Cel</w:t>
            </w:r>
          </w:p>
        </w:tc>
        <w:tc>
          <w:tcPr>
            <w:tcW w:w="2685" w:type="dxa"/>
            <w:shd w:val="clear" w:color="auto" w:fill="C6EFCE"/>
            <w:noWrap/>
          </w:tcPr>
          <w:p w14:paraId="23C263C6" w14:textId="4F6E19B5" w:rsidR="006578ED" w:rsidRDefault="00A1618E">
            <w:pPr>
              <w:pStyle w:val="P68B1DB1-Normal13"/>
              <w:spacing w:after="0" w:line="240" w:lineRule="auto"/>
              <w:rPr>
                <w:rFonts w:eastAsia="Times New Roman" w:cs="Times New Roman"/>
                <w:noProof/>
              </w:rPr>
            </w:pPr>
            <w:r>
              <w:rPr>
                <w:noProof/>
              </w:rPr>
              <w:t>Fundusz Bezpieczeństwa i Zwiększania Odporności: Prawne umowy o finansowaniu podpisane z beneficjentami końcowymi (w tym z funduszami kapitałowymi) (II)</w:t>
            </w:r>
          </w:p>
        </w:tc>
        <w:tc>
          <w:tcPr>
            <w:tcW w:w="1358" w:type="dxa"/>
            <w:shd w:val="clear" w:color="auto" w:fill="C6EFCE"/>
            <w:noWrap/>
          </w:tcPr>
          <w:p w14:paraId="737A611E" w14:textId="0662E0A0" w:rsidR="006578ED" w:rsidRDefault="006578ED">
            <w:pPr>
              <w:spacing w:after="0" w:line="240" w:lineRule="auto"/>
              <w:jc w:val="center"/>
              <w:rPr>
                <w:rFonts w:ascii="Times New Roman" w:hAnsi="Times New Roman" w:cs="Times New Roman"/>
                <w:noProof/>
                <w:sz w:val="18"/>
              </w:rPr>
            </w:pPr>
          </w:p>
        </w:tc>
        <w:tc>
          <w:tcPr>
            <w:tcW w:w="698" w:type="dxa"/>
            <w:shd w:val="clear" w:color="auto" w:fill="C6EFCE"/>
            <w:noWrap/>
          </w:tcPr>
          <w:p w14:paraId="38ECB2F6" w14:textId="6BDE6811" w:rsidR="006578ED" w:rsidRDefault="006578ED">
            <w:pPr>
              <w:spacing w:after="0" w:line="240" w:lineRule="auto"/>
              <w:jc w:val="right"/>
              <w:rPr>
                <w:rFonts w:ascii="Times New Roman" w:hAnsi="Times New Roman" w:cs="Times New Roman"/>
                <w:noProof/>
                <w:sz w:val="18"/>
              </w:rPr>
            </w:pPr>
          </w:p>
        </w:tc>
        <w:tc>
          <w:tcPr>
            <w:tcW w:w="698" w:type="dxa"/>
            <w:shd w:val="clear" w:color="auto" w:fill="C6EFCE"/>
            <w:noWrap/>
          </w:tcPr>
          <w:p w14:paraId="6B9A52F8" w14:textId="1F37611B" w:rsidR="006578ED" w:rsidRDefault="006578ED">
            <w:pPr>
              <w:spacing w:after="0" w:line="240" w:lineRule="auto"/>
              <w:jc w:val="right"/>
              <w:rPr>
                <w:rFonts w:ascii="Times New Roman" w:eastAsia="Times New Roman" w:hAnsi="Times New Roman" w:cs="Times New Roman"/>
                <w:noProof/>
                <w:sz w:val="18"/>
              </w:rPr>
            </w:pPr>
          </w:p>
        </w:tc>
        <w:tc>
          <w:tcPr>
            <w:tcW w:w="913" w:type="dxa"/>
            <w:shd w:val="clear" w:color="auto" w:fill="C6EFCE"/>
            <w:noWrap/>
          </w:tcPr>
          <w:p w14:paraId="03176944" w14:textId="13FDD322" w:rsidR="006578ED" w:rsidRDefault="00A1618E">
            <w:pPr>
              <w:pStyle w:val="P68B1DB1-Normal13"/>
              <w:spacing w:after="0" w:line="240" w:lineRule="auto"/>
              <w:jc w:val="right"/>
              <w:rPr>
                <w:rFonts w:eastAsia="Times New Roman" w:cs="Times New Roman"/>
                <w:noProof/>
              </w:rPr>
            </w:pPr>
            <w:r>
              <w:rPr>
                <w:noProof/>
              </w:rPr>
              <w:t>100 %</w:t>
            </w:r>
          </w:p>
        </w:tc>
        <w:tc>
          <w:tcPr>
            <w:tcW w:w="419" w:type="dxa"/>
            <w:shd w:val="clear" w:color="auto" w:fill="C6EFCE"/>
            <w:noWrap/>
          </w:tcPr>
          <w:p w14:paraId="342E031C" w14:textId="5AB45263" w:rsidR="006578ED" w:rsidRDefault="00EC188C">
            <w:pPr>
              <w:pStyle w:val="P68B1DB1-Normal13"/>
              <w:spacing w:after="0" w:line="240" w:lineRule="auto"/>
              <w:jc w:val="center"/>
              <w:rPr>
                <w:rFonts w:eastAsia="Times New Roman" w:cs="Times New Roman"/>
                <w:noProof/>
              </w:rPr>
            </w:pPr>
            <w:r>
              <w:rPr>
                <w:noProof/>
              </w:rPr>
              <w:t>KW. 3</w:t>
            </w:r>
          </w:p>
        </w:tc>
        <w:tc>
          <w:tcPr>
            <w:tcW w:w="827" w:type="dxa"/>
            <w:shd w:val="clear" w:color="auto" w:fill="C6EFCE"/>
            <w:noWrap/>
          </w:tcPr>
          <w:p w14:paraId="643A25DC" w14:textId="77777777" w:rsidR="006578ED" w:rsidRDefault="00A1618E">
            <w:pPr>
              <w:pStyle w:val="P68B1DB1-Normal13"/>
              <w:spacing w:after="0" w:line="240" w:lineRule="auto"/>
              <w:jc w:val="center"/>
              <w:rPr>
                <w:rFonts w:eastAsia="Times New Roman" w:cs="Times New Roman"/>
                <w:noProof/>
              </w:rPr>
            </w:pPr>
            <w:r>
              <w:rPr>
                <w:noProof/>
              </w:rPr>
              <w:t>2026</w:t>
            </w:r>
          </w:p>
        </w:tc>
        <w:tc>
          <w:tcPr>
            <w:tcW w:w="5165" w:type="dxa"/>
            <w:shd w:val="clear" w:color="auto" w:fill="C6EFCE"/>
            <w:noWrap/>
          </w:tcPr>
          <w:p w14:paraId="25CB4DDA" w14:textId="0D0870A6" w:rsidR="006578ED" w:rsidRDefault="00A1618E">
            <w:pPr>
              <w:pStyle w:val="P68B1DB1-Normal13"/>
              <w:spacing w:after="0" w:line="240" w:lineRule="auto"/>
              <w:rPr>
                <w:rFonts w:eastAsia="Times New Roman" w:cs="Times New Roman"/>
                <w:noProof/>
              </w:rPr>
            </w:pPr>
            <w:r>
              <w:rPr>
                <w:noProof/>
              </w:rPr>
              <w:t>Instrument i wszyscy pośrednicy wybrani przez SEPIDES zawierają prawne umowy o finansowaniu z beneficjentami końcowymi (w tym funduszami kapitałowymi) na kwotę niezbędną do wykorzystania 100 % inwestycji RRF w instrument (z uwzględnieniem opłat za zarządzanie). Co najmniej 10 % finansowania odpowiada umowom finansowym podpisanym z funduszami kapitałowymi, a co najmniej 40 % – umowami w sprawie finansowania podpisanymi z beneficjentami końcowymi w odniesieniu do wszystkich innych produktów inwestycyjnych (w tym bezpośrednich inwestycji kapitałowych dokonywanych przez partnera wykonawczego).</w:t>
            </w:r>
          </w:p>
        </w:tc>
      </w:tr>
      <w:tr w:rsidR="006578ED" w14:paraId="43BFD388" w14:textId="77777777">
        <w:trPr>
          <w:trHeight w:val="309"/>
        </w:trPr>
        <w:tc>
          <w:tcPr>
            <w:tcW w:w="837" w:type="dxa"/>
            <w:shd w:val="clear" w:color="auto" w:fill="C6EFCE"/>
            <w:noWrap/>
          </w:tcPr>
          <w:p w14:paraId="71E826CB" w14:textId="6FDBF7F5" w:rsidR="006578ED" w:rsidRDefault="00A1618E">
            <w:pPr>
              <w:pStyle w:val="P68B1DB1-Normal13"/>
              <w:spacing w:after="0" w:line="240" w:lineRule="auto"/>
              <w:jc w:val="center"/>
              <w:rPr>
                <w:rFonts w:eastAsia="Times New Roman" w:cs="Times New Roman"/>
                <w:noProof/>
              </w:rPr>
            </w:pPr>
            <w:r>
              <w:rPr>
                <w:noProof/>
              </w:rPr>
              <w:t>L21</w:t>
            </w:r>
          </w:p>
        </w:tc>
        <w:tc>
          <w:tcPr>
            <w:tcW w:w="837" w:type="dxa"/>
            <w:shd w:val="clear" w:color="auto" w:fill="C6EFCE"/>
            <w:noWrap/>
          </w:tcPr>
          <w:p w14:paraId="72253F6A" w14:textId="77777777" w:rsidR="006578ED" w:rsidRDefault="00A1618E">
            <w:pPr>
              <w:pStyle w:val="P68B1DB1-Normal13"/>
              <w:spacing w:after="0" w:line="240" w:lineRule="auto"/>
              <w:jc w:val="center"/>
              <w:rPr>
                <w:rFonts w:cs="Times New Roman"/>
                <w:noProof/>
              </w:rPr>
            </w:pPr>
            <w:r>
              <w:rPr>
                <w:noProof/>
              </w:rPr>
              <w:t>C11.I6</w:t>
            </w:r>
          </w:p>
        </w:tc>
        <w:tc>
          <w:tcPr>
            <w:tcW w:w="836" w:type="dxa"/>
            <w:shd w:val="clear" w:color="auto" w:fill="C6EFCE"/>
            <w:noWrap/>
          </w:tcPr>
          <w:p w14:paraId="19FEC783" w14:textId="620363D2" w:rsidR="006578ED" w:rsidRDefault="00AF6B91">
            <w:pPr>
              <w:pStyle w:val="P68B1DB1-Normal13"/>
              <w:spacing w:after="0" w:line="240" w:lineRule="auto"/>
              <w:jc w:val="center"/>
              <w:rPr>
                <w:rFonts w:cs="Times New Roman"/>
                <w:noProof/>
              </w:rPr>
            </w:pPr>
            <w:r>
              <w:rPr>
                <w:noProof/>
              </w:rPr>
              <w:t>Kamień milowy</w:t>
            </w:r>
          </w:p>
        </w:tc>
        <w:tc>
          <w:tcPr>
            <w:tcW w:w="2685" w:type="dxa"/>
            <w:shd w:val="clear" w:color="auto" w:fill="C6EFCE"/>
            <w:noWrap/>
          </w:tcPr>
          <w:p w14:paraId="5E38A5C2" w14:textId="0CAC2695" w:rsidR="006578ED" w:rsidRDefault="00A1618E">
            <w:pPr>
              <w:pStyle w:val="P68B1DB1-Normal13"/>
              <w:spacing w:after="0" w:line="240" w:lineRule="auto"/>
              <w:rPr>
                <w:rFonts w:eastAsia="Times New Roman" w:cs="Times New Roman"/>
                <w:noProof/>
              </w:rPr>
            </w:pPr>
            <w:r>
              <w:rPr>
                <w:noProof/>
              </w:rPr>
              <w:t>Fundusz Bezpieczeństwa i Zwiększania Odporności: Ministerstwo zakończyło inwestycję</w:t>
            </w:r>
          </w:p>
        </w:tc>
        <w:tc>
          <w:tcPr>
            <w:tcW w:w="1358" w:type="dxa"/>
            <w:shd w:val="clear" w:color="auto" w:fill="C6EFCE"/>
            <w:noWrap/>
          </w:tcPr>
          <w:p w14:paraId="3E3BF405" w14:textId="737AC62E" w:rsidR="006578ED" w:rsidRDefault="00A1618E">
            <w:pPr>
              <w:pStyle w:val="P68B1DB1-Normal13"/>
              <w:spacing w:after="0" w:line="240" w:lineRule="auto"/>
              <w:jc w:val="center"/>
              <w:rPr>
                <w:rFonts w:cs="Times New Roman"/>
                <w:noProof/>
              </w:rPr>
            </w:pPr>
            <w:r>
              <w:rPr>
                <w:noProof/>
              </w:rPr>
              <w:t>Świadectwo transferu</w:t>
            </w:r>
          </w:p>
        </w:tc>
        <w:tc>
          <w:tcPr>
            <w:tcW w:w="698" w:type="dxa"/>
            <w:shd w:val="clear" w:color="auto" w:fill="C6EFCE"/>
            <w:noWrap/>
          </w:tcPr>
          <w:p w14:paraId="1D0D36EA" w14:textId="58AF3D04" w:rsidR="006578ED" w:rsidRDefault="006578ED">
            <w:pPr>
              <w:spacing w:after="0" w:line="240" w:lineRule="auto"/>
              <w:jc w:val="right"/>
              <w:rPr>
                <w:rFonts w:ascii="Times New Roman" w:hAnsi="Times New Roman" w:cs="Times New Roman"/>
                <w:noProof/>
                <w:sz w:val="18"/>
              </w:rPr>
            </w:pPr>
          </w:p>
        </w:tc>
        <w:tc>
          <w:tcPr>
            <w:tcW w:w="698" w:type="dxa"/>
            <w:shd w:val="clear" w:color="auto" w:fill="C6EFCE"/>
            <w:noWrap/>
          </w:tcPr>
          <w:p w14:paraId="1F007358" w14:textId="411739BF" w:rsidR="006578ED" w:rsidRDefault="006578ED">
            <w:pPr>
              <w:spacing w:after="0" w:line="240" w:lineRule="auto"/>
              <w:jc w:val="right"/>
              <w:rPr>
                <w:rFonts w:ascii="Times New Roman" w:eastAsia="Times New Roman" w:hAnsi="Times New Roman" w:cs="Times New Roman"/>
                <w:noProof/>
                <w:sz w:val="18"/>
              </w:rPr>
            </w:pPr>
          </w:p>
        </w:tc>
        <w:tc>
          <w:tcPr>
            <w:tcW w:w="913" w:type="dxa"/>
            <w:shd w:val="clear" w:color="auto" w:fill="C6EFCE"/>
            <w:noWrap/>
          </w:tcPr>
          <w:p w14:paraId="6F55C39E" w14:textId="1D41CAA6" w:rsidR="006578ED" w:rsidRDefault="006578ED">
            <w:pPr>
              <w:spacing w:after="0" w:line="240" w:lineRule="auto"/>
              <w:jc w:val="right"/>
              <w:rPr>
                <w:rFonts w:ascii="Times New Roman" w:eastAsia="Times New Roman" w:hAnsi="Times New Roman" w:cs="Times New Roman"/>
                <w:noProof/>
                <w:sz w:val="18"/>
              </w:rPr>
            </w:pPr>
          </w:p>
        </w:tc>
        <w:tc>
          <w:tcPr>
            <w:tcW w:w="419" w:type="dxa"/>
            <w:shd w:val="clear" w:color="auto" w:fill="C6EFCE"/>
            <w:noWrap/>
          </w:tcPr>
          <w:p w14:paraId="483E7DA2" w14:textId="198E8044" w:rsidR="006578ED" w:rsidRDefault="00EC188C">
            <w:pPr>
              <w:pStyle w:val="P68B1DB1-Normal13"/>
              <w:spacing w:after="0" w:line="240" w:lineRule="auto"/>
              <w:jc w:val="center"/>
              <w:rPr>
                <w:rFonts w:eastAsia="Times New Roman" w:cs="Times New Roman"/>
                <w:noProof/>
              </w:rPr>
            </w:pPr>
            <w:r>
              <w:rPr>
                <w:noProof/>
              </w:rPr>
              <w:t>KW. 3</w:t>
            </w:r>
          </w:p>
        </w:tc>
        <w:tc>
          <w:tcPr>
            <w:tcW w:w="827" w:type="dxa"/>
            <w:shd w:val="clear" w:color="auto" w:fill="C6EFCE"/>
            <w:noWrap/>
          </w:tcPr>
          <w:p w14:paraId="206685CC" w14:textId="77777777" w:rsidR="006578ED" w:rsidRDefault="00A1618E">
            <w:pPr>
              <w:pStyle w:val="P68B1DB1-Normal13"/>
              <w:spacing w:after="0" w:line="240" w:lineRule="auto"/>
              <w:jc w:val="center"/>
              <w:rPr>
                <w:rFonts w:eastAsia="Times New Roman" w:cs="Times New Roman"/>
                <w:noProof/>
              </w:rPr>
            </w:pPr>
            <w:r>
              <w:rPr>
                <w:noProof/>
              </w:rPr>
              <w:t>2026</w:t>
            </w:r>
          </w:p>
        </w:tc>
        <w:tc>
          <w:tcPr>
            <w:tcW w:w="5165" w:type="dxa"/>
            <w:shd w:val="clear" w:color="auto" w:fill="C6EFCE"/>
            <w:noWrap/>
          </w:tcPr>
          <w:p w14:paraId="1827A3B3" w14:textId="7A7DC374" w:rsidR="006578ED" w:rsidRDefault="00A1618E">
            <w:pPr>
              <w:pStyle w:val="P68B1DB1-Normal13"/>
              <w:spacing w:after="0" w:line="240" w:lineRule="auto"/>
              <w:rPr>
                <w:rFonts w:eastAsia="Times New Roman" w:cs="Times New Roman"/>
                <w:noProof/>
              </w:rPr>
            </w:pPr>
            <w:r>
              <w:rPr>
                <w:noProof/>
              </w:rPr>
              <w:t>Hiszpania przesunie 1 000 000 000 EUR do Instrumentu.</w:t>
            </w:r>
          </w:p>
        </w:tc>
      </w:tr>
    </w:tbl>
    <w:p w14:paraId="23653004" w14:textId="77777777" w:rsidR="006578ED" w:rsidRDefault="006578ED">
      <w:pPr>
        <w:pStyle w:val="Heading1"/>
        <w:jc w:val="left"/>
        <w:rPr>
          <w:rFonts w:ascii="Times New Roman" w:hAnsi="Times New Roman" w:cs="Times New Roman"/>
          <w:noProof/>
          <w:sz w:val="24"/>
        </w:rPr>
        <w:sectPr w:rsidR="006578ED" w:rsidSect="00EB7CC8">
          <w:headerReference w:type="even" r:id="rId240"/>
          <w:headerReference w:type="default" r:id="rId241"/>
          <w:footerReference w:type="even" r:id="rId242"/>
          <w:footerReference w:type="default" r:id="rId243"/>
          <w:headerReference w:type="first" r:id="rId244"/>
          <w:footerReference w:type="first" r:id="rId245"/>
          <w:pgSz w:w="16839" w:h="11907" w:orient="landscape"/>
          <w:pgMar w:top="1417" w:right="1134" w:bottom="1417" w:left="1134" w:header="709" w:footer="709" w:gutter="0"/>
          <w:cols w:space="720"/>
          <w:docGrid w:linePitch="360"/>
        </w:sectPr>
      </w:pPr>
    </w:p>
    <w:p w14:paraId="3A744280" w14:textId="77777777" w:rsidR="006578ED" w:rsidRDefault="00A1618E">
      <w:pPr>
        <w:pStyle w:val="P68B1DB1-Heading12"/>
        <w:rPr>
          <w:rFonts w:cs="Times New Roman"/>
          <w:noProof/>
        </w:rPr>
      </w:pPr>
      <w:r>
        <w:rPr>
          <w:noProof/>
        </w:rPr>
        <w:t>L. KOMPONENT 12: Polityka przemysłowa</w:t>
      </w:r>
    </w:p>
    <w:p w14:paraId="1927F800" w14:textId="3BAA8602" w:rsidR="006578ED" w:rsidRDefault="00A1618E">
      <w:pPr>
        <w:pStyle w:val="P68B1DB1-Normal4"/>
        <w:spacing w:before="120" w:after="120" w:line="240" w:lineRule="auto"/>
        <w:jc w:val="both"/>
        <w:rPr>
          <w:rFonts w:cs="Times New Roman"/>
          <w:noProof/>
        </w:rPr>
      </w:pPr>
      <w:r>
        <w:rPr>
          <w:noProof/>
        </w:rPr>
        <w:t>Celem komponentu 12 hiszpańskiego planu odbudowy i zwiększania odporności jest zwiększenie modernizacji i wydajności hiszpańskiego ekosystemu usług przemysłowych poprzez szybsze wdrożenie transformacji cyfrowej i ekologicznej.</w:t>
      </w:r>
    </w:p>
    <w:p w14:paraId="2D61E720" w14:textId="762824C9" w:rsidR="006578ED" w:rsidRDefault="00A1618E">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Ten element hiszpańskiego planu odbudowy i zwiększania odporności przyczynia się do realizacji zalecenia dla poszczególnych krajów </w:t>
      </w:r>
      <w:r w:rsidRPr="00A1618E">
        <w:rPr>
          <w:rFonts w:ascii="Times New Roman" w:hAnsi="Times New Roman"/>
          <w:noProof/>
          <w:sz w:val="24"/>
          <w:lang w:val="pl-PL"/>
        </w:rPr>
        <w:t>nr 3</w:t>
      </w:r>
      <w:r>
        <w:rPr>
          <w:rFonts w:ascii="Times New Roman" w:hAnsi="Times New Roman"/>
          <w:noProof/>
          <w:sz w:val="24"/>
        </w:rPr>
        <w:t xml:space="preserve"> z 20</w:t>
      </w:r>
      <w:r w:rsidRPr="00A1618E">
        <w:rPr>
          <w:rFonts w:ascii="Times New Roman" w:hAnsi="Times New Roman"/>
          <w:noProof/>
          <w:sz w:val="24"/>
          <w:lang w:val="pl-PL"/>
        </w:rPr>
        <w:t>19 r.</w:t>
      </w:r>
      <w:r>
        <w:rPr>
          <w:rFonts w:ascii="Times New Roman" w:hAnsi="Times New Roman"/>
          <w:noProof/>
          <w:sz w:val="24"/>
        </w:rPr>
        <w:t xml:space="preserve"> w sprawie promowania inwestycji w innowacje i efektywność energetyczną. Jest on również zgodny z zaleceniem dla poszczególnych krajów </w:t>
      </w:r>
      <w:r w:rsidRPr="00A1618E">
        <w:rPr>
          <w:rFonts w:ascii="Times New Roman" w:hAnsi="Times New Roman"/>
          <w:noProof/>
          <w:sz w:val="24"/>
          <w:lang w:val="pl-PL"/>
        </w:rPr>
        <w:t>nr 3</w:t>
      </w:r>
      <w:r>
        <w:rPr>
          <w:rFonts w:ascii="Times New Roman" w:hAnsi="Times New Roman"/>
          <w:noProof/>
          <w:sz w:val="24"/>
        </w:rPr>
        <w:t xml:space="preserve"> z 20</w:t>
      </w:r>
      <w:r w:rsidRPr="00A1618E">
        <w:rPr>
          <w:rFonts w:ascii="Times New Roman" w:hAnsi="Times New Roman"/>
          <w:noProof/>
          <w:sz w:val="24"/>
          <w:lang w:val="pl-PL"/>
        </w:rPr>
        <w:t>20 r.</w:t>
      </w:r>
      <w:r>
        <w:rPr>
          <w:rFonts w:ascii="Times New Roman" w:hAnsi="Times New Roman"/>
          <w:noProof/>
          <w:sz w:val="24"/>
        </w:rPr>
        <w:t xml:space="preserve"> (poprzez promowanie inwestycji publicznych i prywatnych oraz wspieranie transformacji ekologicznej). Komponent ten pomoże również w realizacji zalecenia dla poszczególnych krajów </w:t>
      </w:r>
      <w:r w:rsidRPr="00A1618E">
        <w:rPr>
          <w:rFonts w:ascii="Times New Roman" w:hAnsi="Times New Roman"/>
          <w:noProof/>
          <w:sz w:val="24"/>
          <w:lang w:val="pl-PL"/>
        </w:rPr>
        <w:t>nr 2</w:t>
      </w:r>
      <w:r>
        <w:rPr>
          <w:rFonts w:ascii="Times New Roman" w:hAnsi="Times New Roman"/>
          <w:noProof/>
          <w:sz w:val="24"/>
        </w:rPr>
        <w:t xml:space="preserve"> z 20</w:t>
      </w:r>
      <w:r w:rsidRPr="00A1618E">
        <w:rPr>
          <w:rFonts w:ascii="Times New Roman" w:hAnsi="Times New Roman"/>
          <w:noProof/>
          <w:sz w:val="24"/>
          <w:lang w:val="pl-PL"/>
        </w:rPr>
        <w:t>19 r.</w:t>
      </w:r>
      <w:r>
        <w:rPr>
          <w:rFonts w:ascii="Times New Roman" w:hAnsi="Times New Roman"/>
          <w:noProof/>
          <w:sz w:val="24"/>
        </w:rPr>
        <w:t xml:space="preserve"> w sprawie wspierania współpracy między przedsiębiorstwami a edukacją na rzecz zapewniania umiejętności istotnych dla rynku pracy oraz zalecenia krajowego </w:t>
      </w:r>
      <w:r w:rsidRPr="00A1618E">
        <w:rPr>
          <w:rFonts w:ascii="Times New Roman" w:hAnsi="Times New Roman"/>
          <w:noProof/>
          <w:sz w:val="24"/>
          <w:lang w:val="pl-PL"/>
        </w:rPr>
        <w:t>nr 1</w:t>
      </w:r>
      <w:r>
        <w:rPr>
          <w:rFonts w:ascii="Times New Roman" w:hAnsi="Times New Roman"/>
          <w:noProof/>
          <w:sz w:val="24"/>
        </w:rPr>
        <w:t xml:space="preserve"> 2020 w sprawie wzmocnienia odporności systemu opieki zdrowotnej. Komponent ten przyczynia się również do realizacji zalecenia dla poszczególnych krajów </w:t>
      </w:r>
      <w:r w:rsidRPr="00A1618E">
        <w:rPr>
          <w:rFonts w:ascii="Times New Roman" w:hAnsi="Times New Roman"/>
          <w:noProof/>
          <w:sz w:val="24"/>
          <w:lang w:val="pl-PL"/>
        </w:rPr>
        <w:t>nr 3</w:t>
      </w:r>
      <w:r>
        <w:rPr>
          <w:rFonts w:ascii="Times New Roman" w:hAnsi="Times New Roman"/>
          <w:noProof/>
          <w:sz w:val="24"/>
        </w:rPr>
        <w:t xml:space="preserve"> z 20</w:t>
      </w:r>
      <w:r w:rsidRPr="00A1618E">
        <w:rPr>
          <w:rFonts w:ascii="Times New Roman" w:hAnsi="Times New Roman"/>
          <w:noProof/>
          <w:sz w:val="24"/>
          <w:lang w:val="pl-PL"/>
        </w:rPr>
        <w:t>22 r.</w:t>
      </w:r>
      <w:r>
        <w:rPr>
          <w:rFonts w:ascii="Times New Roman" w:hAnsi="Times New Roman"/>
          <w:noProof/>
          <w:sz w:val="24"/>
        </w:rPr>
        <w:t xml:space="preserve"> w sprawie zwiększenia współczynników recyklingu, aby osiągnąć cele UE i promować gospodarkę o obiegu zamkniętym poprzez poprawę koordynacji między wszystkimi szczeblami administracji rządowej i podejmowanie dalszych inwestycji w celu wypełnienia obowiązków w zakresie selektywnej zbiórki odpadów i recyklingu.</w:t>
      </w:r>
      <w:r>
        <w:rPr>
          <w:noProof/>
        </w:rPr>
        <w:t xml:space="preserve"> </w:t>
      </w:r>
      <w:r>
        <w:rPr>
          <w:rFonts w:ascii="Times New Roman" w:hAnsi="Times New Roman"/>
          <w:noProof/>
          <w:sz w:val="24"/>
        </w:rPr>
        <w:t xml:space="preserve">Komponent ten przyczynia się również do realizacji zalecenia dla poszczególnych krajów </w:t>
      </w:r>
      <w:r w:rsidRPr="00A1618E">
        <w:rPr>
          <w:rFonts w:ascii="Times New Roman" w:hAnsi="Times New Roman"/>
          <w:noProof/>
          <w:sz w:val="24"/>
          <w:lang w:val="pl-PL"/>
        </w:rPr>
        <w:t>nr 3</w:t>
      </w:r>
      <w:r>
        <w:rPr>
          <w:rFonts w:ascii="Times New Roman" w:hAnsi="Times New Roman"/>
          <w:noProof/>
          <w:sz w:val="24"/>
        </w:rPr>
        <w:t xml:space="preserve"> </w:t>
      </w:r>
      <w:r w:rsidRPr="00A1618E">
        <w:rPr>
          <w:rFonts w:ascii="Times New Roman" w:hAnsi="Times New Roman"/>
          <w:noProof/>
          <w:sz w:val="24"/>
          <w:lang w:val="pl-PL"/>
        </w:rPr>
        <w:t>na 2</w:t>
      </w:r>
      <w:r>
        <w:rPr>
          <w:rFonts w:ascii="Times New Roman" w:hAnsi="Times New Roman"/>
          <w:noProof/>
          <w:sz w:val="24"/>
        </w:rPr>
        <w:t>0</w:t>
      </w:r>
      <w:r w:rsidRPr="00A1618E">
        <w:rPr>
          <w:rFonts w:ascii="Times New Roman" w:hAnsi="Times New Roman"/>
          <w:noProof/>
          <w:sz w:val="24"/>
          <w:lang w:val="pl-PL"/>
        </w:rPr>
        <w:t>23 r.</w:t>
      </w:r>
      <w:r>
        <w:rPr>
          <w:rFonts w:ascii="Times New Roman" w:hAnsi="Times New Roman"/>
          <w:noProof/>
          <w:sz w:val="24"/>
        </w:rPr>
        <w:t xml:space="preserve"> dotyczącego zmniejszenia zależności od paliw kopalnych, przyspieszenia wdrażania energii ze źródeł odnawialnych i upowszechnienia elektromobilności.</w:t>
      </w:r>
    </w:p>
    <w:p w14:paraId="1FEC8946" w14:textId="53E0EE30" w:rsidR="006578ED" w:rsidRDefault="00A1618E">
      <w:pPr>
        <w:pStyle w:val="P68B1DB1-Normal4"/>
        <w:spacing w:before="120" w:after="120" w:line="240" w:lineRule="auto"/>
        <w:jc w:val="both"/>
        <w:rPr>
          <w:rFonts w:cs="Times New Roman"/>
          <w:noProof/>
        </w:rPr>
      </w:pPr>
      <w:r>
        <w:rPr>
          <w:noProof/>
        </w:rPr>
        <w:t>Jednym z celów środków objętych komponentem jest ułatwienie udziału hiszpańskich przedsiębiorstw w planowanym ważnym projekcie stanowiącym przedmiot wspólnego europejskiego zainteresowania (IPCEI).</w:t>
      </w:r>
    </w:p>
    <w:p w14:paraId="505B0351" w14:textId="0BA4EF48"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4E9B1FCE" w14:textId="30803BC9" w:rsidR="006578ED" w:rsidRDefault="00A1618E">
      <w:pPr>
        <w:pStyle w:val="P68B1DB1-Normal5"/>
        <w:spacing w:before="120" w:after="120" w:line="240" w:lineRule="auto"/>
        <w:ind w:left="720"/>
        <w:jc w:val="both"/>
        <w:rPr>
          <w:rFonts w:cs="Times New Roman"/>
          <w:i/>
          <w:noProof/>
        </w:rPr>
      </w:pPr>
      <w:r>
        <w:rPr>
          <w:noProof/>
        </w:rPr>
        <w:t xml:space="preserve">L.1. </w:t>
      </w:r>
      <w:r>
        <w:rPr>
          <w:noProof/>
        </w:rPr>
        <w:tab/>
        <w:t>Opis reform i inwestycji, które mają być finansowane z bezzwrotnego wsparcia finansowego</w:t>
      </w:r>
    </w:p>
    <w:p w14:paraId="301FF276" w14:textId="77777777" w:rsidR="006578ED" w:rsidRDefault="00A1618E">
      <w:pPr>
        <w:pStyle w:val="P68B1DB1-Normal6"/>
        <w:spacing w:before="120" w:after="120" w:line="240" w:lineRule="auto"/>
        <w:jc w:val="both"/>
        <w:rPr>
          <w:rFonts w:cs="Times New Roman"/>
          <w:noProof/>
        </w:rPr>
      </w:pPr>
      <w:r>
        <w:rPr>
          <w:noProof/>
        </w:rPr>
        <w:t>Reforma 1 (C12.R1) – hiszpańska strategia na rzecz pobudzenia przemysłu 2030</w:t>
      </w:r>
    </w:p>
    <w:p w14:paraId="54A55D6D" w14:textId="17E832DB" w:rsidR="006578ED" w:rsidRDefault="00A1618E">
      <w:pPr>
        <w:spacing w:before="120" w:after="120" w:line="240" w:lineRule="auto"/>
        <w:jc w:val="both"/>
        <w:rPr>
          <w:rFonts w:ascii="Times New Roman" w:hAnsi="Times New Roman" w:cs="Times New Roman"/>
          <w:noProof/>
          <w:sz w:val="24"/>
        </w:rPr>
      </w:pPr>
      <w:r>
        <w:rPr>
          <w:rFonts w:ascii="Times New Roman" w:hAnsi="Times New Roman"/>
          <w:noProof/>
          <w:sz w:val="24"/>
        </w:rPr>
        <w:t xml:space="preserve">Celem hiszpańskiej strategii na rzecz pobudzenia przemysłu </w:t>
      </w:r>
      <w:r w:rsidRPr="00A1618E">
        <w:rPr>
          <w:rFonts w:ascii="Times New Roman" w:hAnsi="Times New Roman"/>
          <w:noProof/>
          <w:sz w:val="24"/>
          <w:lang w:val="pl-PL"/>
        </w:rPr>
        <w:t>do 2</w:t>
      </w:r>
      <w:r>
        <w:rPr>
          <w:rFonts w:ascii="Times New Roman" w:hAnsi="Times New Roman"/>
          <w:noProof/>
          <w:sz w:val="24"/>
        </w:rPr>
        <w:t>0</w:t>
      </w:r>
      <w:r w:rsidRPr="00A1618E">
        <w:rPr>
          <w:rFonts w:ascii="Times New Roman" w:hAnsi="Times New Roman"/>
          <w:noProof/>
          <w:sz w:val="24"/>
          <w:lang w:val="pl-PL"/>
        </w:rPr>
        <w:t>30 r.</w:t>
      </w:r>
      <w:r>
        <w:rPr>
          <w:rFonts w:ascii="Times New Roman" w:hAnsi="Times New Roman"/>
          <w:noProof/>
          <w:sz w:val="24"/>
        </w:rPr>
        <w:t xml:space="preserve"> jest dostosowanie ram regulacyjnych, aby pomóc przemysłowi sprostać wyzwaniom związanym z serwicyzacją, cyfryzacją, zrównoważeniem środowiskowym i gospodarką o obiegu zamkniętym. Strategia obejmuje w szczególności reformę prawa przemysłowego z 19</w:t>
      </w:r>
      <w:r w:rsidRPr="00A1618E">
        <w:rPr>
          <w:rFonts w:ascii="Times New Roman" w:hAnsi="Times New Roman"/>
          <w:noProof/>
          <w:sz w:val="24"/>
          <w:lang w:val="pl-PL"/>
        </w:rPr>
        <w:t>92 r.</w:t>
      </w:r>
      <w:r>
        <w:rPr>
          <w:rFonts w:ascii="Times New Roman" w:hAnsi="Times New Roman"/>
          <w:noProof/>
          <w:sz w:val="24"/>
        </w:rPr>
        <w:t xml:space="preserve"> Celem środka jest poprawa mechanizmów koordynacji między różnymi szczeblami administracji rządowej w zakresie polityki przemysłowej oraz poprawa jakości i bezpieczeństwa przemysłowego dzięki wzmocnionemu systemowi nadzoru rynku, zgodnie z rozporządzeniem Parlamentu Europejskiego i Rady (UE) 2019/1020 z dnia 20 czerwca 20</w:t>
      </w:r>
      <w:r w:rsidRPr="00A1618E">
        <w:rPr>
          <w:rFonts w:ascii="Times New Roman" w:hAnsi="Times New Roman"/>
          <w:noProof/>
          <w:sz w:val="24"/>
          <w:lang w:val="pl-PL"/>
        </w:rPr>
        <w:t>19 r.</w:t>
      </w:r>
      <w:r>
        <w:rPr>
          <w:rFonts w:ascii="Times New Roman" w:hAnsi="Times New Roman"/>
          <w:noProof/>
          <w:sz w:val="24"/>
        </w:rPr>
        <w:t xml:space="preserve"> w sprawie nadzoru rynku i zgodności produktów oraz zmieniającym dyrektywę 2004/42/WE oraz rozporządzenia (WE) </w:t>
      </w:r>
      <w:r w:rsidRPr="00A1618E">
        <w:rPr>
          <w:rFonts w:ascii="Times New Roman" w:hAnsi="Times New Roman"/>
          <w:noProof/>
          <w:sz w:val="24"/>
          <w:lang w:val="pl-PL"/>
        </w:rPr>
        <w:t>nr 7</w:t>
      </w:r>
      <w:r>
        <w:rPr>
          <w:rFonts w:ascii="Times New Roman" w:hAnsi="Times New Roman"/>
          <w:noProof/>
          <w:sz w:val="24"/>
        </w:rPr>
        <w:t xml:space="preserve">65/2008 i (UE) </w:t>
      </w:r>
      <w:r w:rsidRPr="00A1618E">
        <w:rPr>
          <w:rFonts w:ascii="Times New Roman" w:hAnsi="Times New Roman"/>
          <w:noProof/>
          <w:sz w:val="24"/>
          <w:lang w:val="pl-PL"/>
        </w:rPr>
        <w:t>nr 3</w:t>
      </w:r>
      <w:r>
        <w:rPr>
          <w:rFonts w:ascii="Times New Roman" w:hAnsi="Times New Roman"/>
          <w:noProof/>
          <w:sz w:val="24"/>
        </w:rPr>
        <w:t>05/2011[</w:t>
      </w:r>
      <w:r>
        <w:rPr>
          <w:rStyle w:val="FootnoteReference"/>
          <w:rFonts w:ascii="Times New Roman" w:hAnsi="Times New Roman" w:cs="Times New Roman"/>
          <w:noProof/>
          <w:sz w:val="24"/>
        </w:rPr>
        <w:footnoteReference w:id="33"/>
      </w:r>
      <w:r>
        <w:rPr>
          <w:rFonts w:ascii="Times New Roman" w:hAnsi="Times New Roman"/>
          <w:noProof/>
          <w:sz w:val="24"/>
        </w:rPr>
        <w:t>]. Ponadto należy dokonać przeglądu definicji naruszeń w polityce przemysłowej i zaktualizować poziom sankcji, które mogą być stosowane.</w:t>
      </w:r>
    </w:p>
    <w:p w14:paraId="66FE0027" w14:textId="1EB31707"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p>
    <w:p w14:paraId="3958C50A" w14:textId="41F660D5" w:rsidR="006578ED" w:rsidRDefault="00A1618E">
      <w:pPr>
        <w:pStyle w:val="P68B1DB1-Normal6"/>
        <w:spacing w:before="120" w:after="120" w:line="240" w:lineRule="auto"/>
        <w:jc w:val="both"/>
        <w:rPr>
          <w:rFonts w:cs="Times New Roman"/>
          <w:noProof/>
        </w:rPr>
      </w:pPr>
      <w:r>
        <w:rPr>
          <w:noProof/>
        </w:rPr>
        <w:t>Reforma 2 (C12.R2) – Polityka dotycząca odpadów i pobudzanie gospodarki o obiegu zamkniętym</w:t>
      </w:r>
    </w:p>
    <w:p w14:paraId="1D8BE78D" w14:textId="4368C029" w:rsidR="006578ED" w:rsidRDefault="00A1618E">
      <w:pPr>
        <w:pStyle w:val="P68B1DB1-Normal4"/>
        <w:spacing w:before="120" w:after="120" w:line="240" w:lineRule="auto"/>
        <w:jc w:val="both"/>
        <w:rPr>
          <w:rFonts w:cs="Times New Roman"/>
          <w:noProof/>
        </w:rPr>
      </w:pPr>
      <w:r>
        <w:rPr>
          <w:noProof/>
        </w:rPr>
        <w:t>Celem środka jest promowanie modeli produkcji i konsumpcji, które pozwalają na jak najdłuższe przechowywanie produktów, materiałów i zasobów naturalnych w gospodarce. Celem jest ograniczenie do minimum wytwarzania odpadów oraz zapewnienie pełnej eksploatacji odpadów, której nie można uniknąć. Reforma ta obejmuje zatwierdzenie hiszpańskiej strategii na rzecz gospodarki o obiegu zamkniętym w czerwcu 20</w:t>
      </w:r>
      <w:r w:rsidRPr="00A1618E">
        <w:rPr>
          <w:noProof/>
          <w:lang w:val="pl-PL"/>
        </w:rPr>
        <w:t>20 r.</w:t>
      </w:r>
      <w:r>
        <w:rPr>
          <w:noProof/>
        </w:rPr>
        <w:t>, zgodnie z planami działania UE dotyczącymi gospodarki o obiegu zamkniętym.</w:t>
      </w:r>
    </w:p>
    <w:p w14:paraId="1B3EDAAD" w14:textId="3F2F6E3A" w:rsidR="006578ED" w:rsidRDefault="00A1618E">
      <w:pPr>
        <w:pStyle w:val="P68B1DB1-Normal4"/>
        <w:spacing w:before="120" w:after="120" w:line="240" w:lineRule="auto"/>
        <w:jc w:val="both"/>
        <w:rPr>
          <w:rFonts w:cs="Times New Roman"/>
          <w:noProof/>
        </w:rPr>
      </w:pPr>
      <w:r>
        <w:rPr>
          <w:noProof/>
        </w:rPr>
        <w:t>Środek ten obejmuje również pakiet aktów dotyczących gospodarki o obiegu zamkniętym w celu uregulowania przemieszczania i usuwania odpadów oraz gospodarowania oponami wycofanymi z eksploatacji, a także środki dotyczące pojazdów wycofanych z eksploatacji. W tym celu zatwierdzono dekrety królewskie 553/2020, 2 czerwca 20</w:t>
      </w:r>
      <w:r w:rsidRPr="00A1618E">
        <w:rPr>
          <w:noProof/>
          <w:lang w:val="pl-PL"/>
        </w:rPr>
        <w:t>20 r.</w:t>
      </w:r>
      <w:r>
        <w:rPr>
          <w:noProof/>
        </w:rPr>
        <w:t>, 646/2020, 7 lipca 20</w:t>
      </w:r>
      <w:r w:rsidRPr="00A1618E">
        <w:rPr>
          <w:noProof/>
          <w:lang w:val="pl-PL"/>
        </w:rPr>
        <w:t>20 r.</w:t>
      </w:r>
      <w:r>
        <w:rPr>
          <w:noProof/>
        </w:rPr>
        <w:t xml:space="preserve"> i 731/2020, 4 sierpnia 20</w:t>
      </w:r>
      <w:r w:rsidRPr="00A1618E">
        <w:rPr>
          <w:noProof/>
          <w:lang w:val="pl-PL"/>
        </w:rPr>
        <w:t>20 r.</w:t>
      </w:r>
      <w:r>
        <w:rPr>
          <w:noProof/>
        </w:rPr>
        <w:t xml:space="preserve"> oraz dekrety królewskie 27/2021, 19 stycznia i 265/2021 z dnia 13 kwietnia. Ponadto reforma obejmuje zatwierdzenie środków regulacyjnych dotyczących opakowań i odpadów opakowaniowych przez Radę Ministrów w 20</w:t>
      </w:r>
      <w:r w:rsidRPr="00A1618E">
        <w:rPr>
          <w:noProof/>
          <w:lang w:val="pl-PL"/>
        </w:rPr>
        <w:t>22 r.</w:t>
      </w:r>
    </w:p>
    <w:p w14:paraId="5557D924" w14:textId="258EF4AF" w:rsidR="006578ED" w:rsidRDefault="00A1618E">
      <w:pPr>
        <w:pStyle w:val="P68B1DB1-Normal4"/>
        <w:spacing w:before="120" w:after="120" w:line="240" w:lineRule="auto"/>
        <w:jc w:val="both"/>
        <w:rPr>
          <w:rFonts w:cs="Times New Roman"/>
          <w:noProof/>
        </w:rPr>
      </w:pPr>
      <w:r>
        <w:rPr>
          <w:noProof/>
        </w:rPr>
        <w:t>Ponadto środek ten obejmuje wejście w życie nowej ustawy o odpadach i zanieczyszczonych glebach do dnia 31 grudnia 20</w:t>
      </w:r>
      <w:r w:rsidRPr="00A1618E">
        <w:rPr>
          <w:noProof/>
          <w:lang w:val="pl-PL"/>
        </w:rPr>
        <w:t>22 r.</w:t>
      </w:r>
      <w:r>
        <w:rPr>
          <w:noProof/>
        </w:rPr>
        <w:t xml:space="preserve"> Ustawa zawiera: </w:t>
      </w:r>
    </w:p>
    <w:p w14:paraId="2632200F" w14:textId="68705C1B" w:rsidR="006578ED" w:rsidRDefault="00A1618E">
      <w:pPr>
        <w:pStyle w:val="P68B1DB1-Normal4"/>
        <w:numPr>
          <w:ilvl w:val="0"/>
          <w:numId w:val="110"/>
        </w:numPr>
        <w:spacing w:before="120" w:after="120" w:line="240" w:lineRule="auto"/>
        <w:jc w:val="both"/>
        <w:rPr>
          <w:rFonts w:cs="Times New Roman"/>
          <w:noProof/>
        </w:rPr>
      </w:pPr>
      <w:r>
        <w:rPr>
          <w:noProof/>
        </w:rPr>
        <w:t xml:space="preserve">Wdrożenie dyrektywy ramowej w sprawie odpadów oraz dyrektywy w sprawie tworzyw sztucznych jednorazowego użytku, a także dostosowanie hiszpańskich przepisów w świetle doświadczeń ostatnich dziesięciu lat; </w:t>
      </w:r>
    </w:p>
    <w:p w14:paraId="6C049B17" w14:textId="11D4465E" w:rsidR="006578ED" w:rsidRDefault="00A1618E">
      <w:pPr>
        <w:pStyle w:val="P68B1DB1-Normal4"/>
        <w:numPr>
          <w:ilvl w:val="0"/>
          <w:numId w:val="110"/>
        </w:numPr>
        <w:spacing w:before="120" w:after="120" w:line="240" w:lineRule="auto"/>
        <w:jc w:val="both"/>
        <w:rPr>
          <w:rFonts w:cs="Times New Roman"/>
          <w:noProof/>
        </w:rPr>
      </w:pPr>
      <w:r>
        <w:rPr>
          <w:noProof/>
        </w:rPr>
        <w:t>Wprowadzenie celów UE dotyczących odpadów oraz obowiązków w zakresie selektywnej zbiórki wynikających z przepisów UE, przewidujących ich wdrożenie w odniesieniu do bioodpadów w gminach liczących ponad 5000 mieszkańców. Ponadto środek wprowadza obowiązki selektywnej zbiórki, które wykraczają poza wymogi ustanowione w prawie Unii;</w:t>
      </w:r>
    </w:p>
    <w:p w14:paraId="07BEB1AD" w14:textId="04D64EB8" w:rsidR="006578ED" w:rsidRDefault="00A1618E">
      <w:pPr>
        <w:pStyle w:val="P68B1DB1-Normal4"/>
        <w:numPr>
          <w:ilvl w:val="0"/>
          <w:numId w:val="110"/>
        </w:numPr>
        <w:spacing w:before="120" w:after="120" w:line="240" w:lineRule="auto"/>
        <w:jc w:val="both"/>
        <w:rPr>
          <w:rFonts w:cs="Times New Roman"/>
          <w:noProof/>
        </w:rPr>
      </w:pPr>
      <w:r>
        <w:rPr>
          <w:noProof/>
        </w:rPr>
        <w:t>Przegląd rozporządzenia w sprawie rozszerzonej odpowiedzialności producenta, ustanowienie nowych ram regulacyjnych (wymaganych przepisami UE i dodatkowymi); oraz</w:t>
      </w:r>
    </w:p>
    <w:p w14:paraId="39B2F81D" w14:textId="5C2EF5E0" w:rsidR="006578ED" w:rsidRDefault="00A1618E">
      <w:pPr>
        <w:pStyle w:val="P68B1DB1-Normal4"/>
        <w:numPr>
          <w:ilvl w:val="0"/>
          <w:numId w:val="110"/>
        </w:numPr>
        <w:spacing w:before="120" w:after="120" w:line="240" w:lineRule="auto"/>
        <w:jc w:val="both"/>
        <w:rPr>
          <w:rFonts w:cs="Times New Roman"/>
          <w:noProof/>
        </w:rPr>
      </w:pPr>
      <w:r>
        <w:rPr>
          <w:noProof/>
        </w:rPr>
        <w:t>Wprowadzenie opodatkowania przez państwo odpadów (w tym składowania, spalania i współspalania oraz pojemników jednorazowego użytku z tworzyw sztucznych).</w:t>
      </w:r>
    </w:p>
    <w:p w14:paraId="21E54834" w14:textId="3AE620C2" w:rsidR="006578ED" w:rsidRDefault="00A1618E">
      <w:pPr>
        <w:pStyle w:val="P68B1DB1-Normal4"/>
        <w:spacing w:line="240" w:lineRule="auto"/>
        <w:jc w:val="both"/>
        <w:rPr>
          <w:rFonts w:eastAsia="Times New Roman" w:cs="Times New Roman"/>
          <w:noProof/>
        </w:rPr>
      </w:pPr>
      <w:r>
        <w:rPr>
          <w:noProof/>
        </w:rPr>
        <w:t xml:space="preserve">Ponadto reforma ta będzie wspierać koordynację między różnymi szczeblami organizacji i kompetencji w zakresie gospodarowania odpadami w celu poprawy wdrażania przepisów, a ostatecznie dokonania postępów w ograniczaniu wytwarzania odpadów oraz w usprawnianiu gospodarowania odpadami, których wytwarzania nie można uniknąć, z myślą o osiągnięciu celów przygotowania do ponownego użycia i recyklingu. </w:t>
      </w:r>
    </w:p>
    <w:p w14:paraId="740FBA4B" w14:textId="77777777" w:rsidR="006578ED" w:rsidRDefault="00A1618E">
      <w:pPr>
        <w:pStyle w:val="P68B1DB1-Normal4"/>
        <w:spacing w:line="240" w:lineRule="auto"/>
        <w:jc w:val="both"/>
        <w:rPr>
          <w:rFonts w:eastAsia="Times New Roman" w:cs="Times New Roman"/>
          <w:noProof/>
        </w:rPr>
      </w:pPr>
      <w:r>
        <w:rPr>
          <w:noProof/>
        </w:rPr>
        <w:t>W tym celu reforma ta obejmuje:</w:t>
      </w:r>
    </w:p>
    <w:p w14:paraId="1A6AD36C" w14:textId="52A28C0F" w:rsidR="006578ED" w:rsidRDefault="00A1618E">
      <w:pPr>
        <w:pStyle w:val="P68B1DB1-ListParagraph24"/>
        <w:numPr>
          <w:ilvl w:val="0"/>
          <w:numId w:val="332"/>
        </w:numPr>
        <w:spacing w:line="240" w:lineRule="auto"/>
        <w:jc w:val="both"/>
        <w:rPr>
          <w:rFonts w:eastAsia="Times New Roman" w:cs="Times New Roman"/>
          <w:noProof/>
          <w:sz w:val="24"/>
        </w:rPr>
      </w:pPr>
      <w:r>
        <w:rPr>
          <w:noProof/>
          <w:sz w:val="24"/>
        </w:rPr>
        <w:t>Utworzenie grupy roboczej w ramach Komitetu Koordynacyjnego ds. Odpadów w celu monitorowania wdrażania przepisów dotyczących odpadów oraz przyjęcie konkretnych środków</w:t>
      </w:r>
      <w:r>
        <w:rPr>
          <w:noProof/>
        </w:rPr>
        <w:t xml:space="preserve"> </w:t>
      </w:r>
      <w:r>
        <w:rPr>
          <w:noProof/>
          <w:sz w:val="24"/>
        </w:rPr>
        <w:t xml:space="preserve">ułatwiających przestrzeganie zharmonizowanych krajowych przepisów dotyczących gospodarowania odpadami. Uzgodnione środki zostaną opublikowane na stronie internetowej Ministerstwa. </w:t>
      </w:r>
    </w:p>
    <w:p w14:paraId="0F3D9999" w14:textId="4E56A7B3" w:rsidR="006578ED" w:rsidRDefault="00A1618E">
      <w:pPr>
        <w:pStyle w:val="P68B1DB1-ListParagraph7"/>
        <w:numPr>
          <w:ilvl w:val="0"/>
          <w:numId w:val="332"/>
        </w:numPr>
        <w:spacing w:line="240" w:lineRule="auto"/>
        <w:jc w:val="both"/>
        <w:rPr>
          <w:rFonts w:eastAsia="Times New Roman" w:cs="Times New Roman"/>
          <w:noProof/>
        </w:rPr>
      </w:pPr>
      <w:r>
        <w:rPr>
          <w:noProof/>
        </w:rPr>
        <w:t>Przyjęcie drugiego pakietu aktów prawnych dotyczących gospodarki o obiegu zamkniętym, wdrażającego następujące aspekty:</w:t>
      </w:r>
    </w:p>
    <w:p w14:paraId="493A415F" w14:textId="54705963" w:rsidR="006578ED" w:rsidRDefault="00A1618E">
      <w:pPr>
        <w:pStyle w:val="P68B1DB1-ListParagraph7"/>
        <w:numPr>
          <w:ilvl w:val="1"/>
          <w:numId w:val="332"/>
        </w:numPr>
        <w:spacing w:line="240" w:lineRule="auto"/>
        <w:jc w:val="both"/>
        <w:rPr>
          <w:rFonts w:eastAsia="Times New Roman" w:cs="Times New Roman"/>
          <w:noProof/>
        </w:rPr>
      </w:pPr>
      <w:r>
        <w:rPr>
          <w:noProof/>
        </w:rPr>
        <w:t xml:space="preserve">Rozporządzenie w sprawie gwarancji finansowych wymaganych od niektórych producentów i podmiotów gospodarujących odpadami, tak aby obliczanie tych gwarancji odbywało się zgodnie z tymi samymi kryteriami we wszystkich regionach </w:t>
      </w:r>
    </w:p>
    <w:p w14:paraId="5AEABB97" w14:textId="59F29431" w:rsidR="006578ED" w:rsidRDefault="00A1618E">
      <w:pPr>
        <w:pStyle w:val="P68B1DB1-ListParagraph7"/>
        <w:numPr>
          <w:ilvl w:val="1"/>
          <w:numId w:val="332"/>
        </w:numPr>
        <w:spacing w:line="240" w:lineRule="auto"/>
        <w:jc w:val="both"/>
        <w:rPr>
          <w:rFonts w:eastAsia="Times New Roman" w:cs="Times New Roman"/>
          <w:noProof/>
        </w:rPr>
      </w:pPr>
      <w:r>
        <w:rPr>
          <w:noProof/>
        </w:rPr>
        <w:t>Rozporządzenie w sprawie wyrobów tytoniowych z filtrami i filtrów wprowadzanych do obrotu do stosowania w połączeniu z wyrobami tytoniowymi. W </w:t>
      </w:r>
      <w:bookmarkStart w:id="23" w:name="_Hlk141089476"/>
      <w:r>
        <w:rPr>
          <w:noProof/>
        </w:rPr>
        <w:t>szczególności rozporządzenie:</w:t>
      </w:r>
    </w:p>
    <w:p w14:paraId="7A2B8723" w14:textId="63C8439F" w:rsidR="006578ED" w:rsidRDefault="00A1618E">
      <w:pPr>
        <w:pStyle w:val="P68B1DB1-ListParagraph7"/>
        <w:numPr>
          <w:ilvl w:val="2"/>
          <w:numId w:val="332"/>
        </w:numPr>
        <w:spacing w:line="240" w:lineRule="auto"/>
        <w:jc w:val="both"/>
        <w:rPr>
          <w:rFonts w:eastAsia="Times New Roman" w:cs="Times New Roman"/>
          <w:noProof/>
        </w:rPr>
      </w:pPr>
      <w:r>
        <w:rPr>
          <w:noProof/>
        </w:rPr>
        <w:t xml:space="preserve">Ustanowienie obowiązku przygotowania programów zapobiegawczych dla producentów, którzy wprowadzają na rynek krajowy pewną ilość produktu; </w:t>
      </w:r>
    </w:p>
    <w:p w14:paraId="72EC5082" w14:textId="31A7F9DB" w:rsidR="006578ED" w:rsidRDefault="00A1618E">
      <w:pPr>
        <w:pStyle w:val="P68B1DB1-ListParagraph7"/>
        <w:numPr>
          <w:ilvl w:val="2"/>
          <w:numId w:val="332"/>
        </w:numPr>
        <w:spacing w:line="240" w:lineRule="auto"/>
        <w:jc w:val="both"/>
        <w:rPr>
          <w:rFonts w:eastAsia="Times New Roman" w:cs="Times New Roman"/>
          <w:noProof/>
        </w:rPr>
      </w:pPr>
      <w:r>
        <w:rPr>
          <w:noProof/>
        </w:rPr>
        <w:t xml:space="preserve">Ustanowić obowiązek zaprojektowania pojemników stanowiących część publicznych systemów zbierania oraz specjalnej infrastruktury umożliwiającej selektywną zbiórkę odpadów wyrobów tytoniowych z filtrami i filtrami; </w:t>
      </w:r>
    </w:p>
    <w:p w14:paraId="6ED982BC" w14:textId="225C6348" w:rsidR="006578ED" w:rsidRDefault="00A1618E">
      <w:pPr>
        <w:pStyle w:val="P68B1DB1-ListParagraph7"/>
        <w:numPr>
          <w:ilvl w:val="2"/>
          <w:numId w:val="332"/>
        </w:numPr>
        <w:spacing w:line="240" w:lineRule="auto"/>
        <w:jc w:val="both"/>
        <w:rPr>
          <w:rFonts w:eastAsia="Times New Roman" w:cs="Times New Roman"/>
          <w:noProof/>
        </w:rPr>
      </w:pPr>
      <w:r>
        <w:rPr>
          <w:noProof/>
        </w:rPr>
        <w:t>Obejmować możliwość ustanowienia celów w zakresie zapobiegania i selektywnej zbiórki zgodnie z uzyskanymi wynikami;</w:t>
      </w:r>
    </w:p>
    <w:p w14:paraId="29795BB6" w14:textId="48A993E6" w:rsidR="006578ED" w:rsidRDefault="00A1618E">
      <w:pPr>
        <w:pStyle w:val="P68B1DB1-ListParagraph7"/>
        <w:numPr>
          <w:ilvl w:val="2"/>
          <w:numId w:val="332"/>
        </w:numPr>
        <w:spacing w:line="240" w:lineRule="auto"/>
        <w:jc w:val="both"/>
        <w:rPr>
          <w:rFonts w:eastAsia="Times New Roman" w:cs="Times New Roman"/>
          <w:noProof/>
        </w:rPr>
      </w:pPr>
      <w:r>
        <w:rPr>
          <w:noProof/>
        </w:rPr>
        <w:t>Utworzenie rejestru producentów wyrobów tytoniowych z filtrami i filtrami;</w:t>
      </w:r>
      <w:bookmarkEnd w:id="23"/>
    </w:p>
    <w:p w14:paraId="2FC020DF" w14:textId="0B26887F" w:rsidR="006578ED" w:rsidRDefault="00A1618E">
      <w:pPr>
        <w:pStyle w:val="P68B1DB1-ListParagraph7"/>
        <w:numPr>
          <w:ilvl w:val="1"/>
          <w:numId w:val="332"/>
        </w:numPr>
        <w:spacing w:line="240" w:lineRule="auto"/>
        <w:jc w:val="both"/>
        <w:rPr>
          <w:rFonts w:eastAsia="Times New Roman" w:cs="Times New Roman"/>
          <w:noProof/>
        </w:rPr>
      </w:pPr>
      <w:r>
        <w:rPr>
          <w:noProof/>
        </w:rPr>
        <w:t>Rozporządzenie w sprawie przemysłowych olejów odpadowych w celu dostosowania ram regulacyjnych do przepisów nowej ustawy o odpadach, która zawiera przepis dotyczący przemysłowych olejów odpadowych;</w:t>
      </w:r>
    </w:p>
    <w:p w14:paraId="78B9D6FC" w14:textId="3570A24F" w:rsidR="006578ED" w:rsidRDefault="00A1618E">
      <w:pPr>
        <w:pStyle w:val="P68B1DB1-ListParagraph7"/>
        <w:numPr>
          <w:ilvl w:val="1"/>
          <w:numId w:val="332"/>
        </w:numPr>
        <w:spacing w:line="240" w:lineRule="auto"/>
        <w:jc w:val="both"/>
        <w:rPr>
          <w:rFonts w:eastAsia="Times New Roman" w:cs="Times New Roman"/>
          <w:noProof/>
        </w:rPr>
      </w:pPr>
      <w:r>
        <w:rPr>
          <w:noProof/>
        </w:rPr>
        <w:t>Rozporządzenie w sprawie opon wycofanych z eksploatacji, wykraczające poza częściową i terminową rewizję obecnej normy przeprowadzoną w 20</w:t>
      </w:r>
      <w:r w:rsidRPr="00A1618E">
        <w:rPr>
          <w:noProof/>
          <w:lang w:val="pl-PL"/>
        </w:rPr>
        <w:t>20 r.</w:t>
      </w:r>
      <w:r>
        <w:rPr>
          <w:noProof/>
        </w:rPr>
        <w:t>; oraz</w:t>
      </w:r>
    </w:p>
    <w:p w14:paraId="0C7988CC" w14:textId="1B6DDCBB" w:rsidR="006578ED" w:rsidRDefault="00A1618E">
      <w:pPr>
        <w:pStyle w:val="P68B1DB1-ListParagraph7"/>
        <w:numPr>
          <w:ilvl w:val="1"/>
          <w:numId w:val="332"/>
        </w:numPr>
        <w:spacing w:line="240" w:lineRule="auto"/>
        <w:jc w:val="both"/>
        <w:rPr>
          <w:rFonts w:eastAsia="Times New Roman" w:cs="Times New Roman"/>
          <w:noProof/>
        </w:rPr>
      </w:pPr>
      <w:r>
        <w:rPr>
          <w:noProof/>
        </w:rPr>
        <w:t>Rozporządzenie ministerialne w sprawie minimalnych wymogów dotyczących przetwarzania odpadów komunalnych przed składowaniem.</w:t>
      </w:r>
    </w:p>
    <w:p w14:paraId="2D81A857" w14:textId="5B7561B7" w:rsidR="006578ED" w:rsidRDefault="00A1618E">
      <w:pPr>
        <w:pStyle w:val="P68B1DB1-Normal4"/>
        <w:spacing w:before="120" w:after="120" w:line="240" w:lineRule="auto"/>
        <w:jc w:val="both"/>
        <w:rPr>
          <w:rFonts w:eastAsia="Times New Roman" w:cs="Times New Roman"/>
          <w:noProof/>
        </w:rPr>
      </w:pPr>
      <w:r>
        <w:rPr>
          <w:noProof/>
        </w:rPr>
        <w:t xml:space="preserve">Przepisy te zapewniają skoordynowane zarządzanie we wszystkich regionach, a także wdrożenie systemu rozszerzonej odpowiedzialności producenta. </w:t>
      </w:r>
    </w:p>
    <w:p w14:paraId="6223EE37" w14:textId="03F2773D" w:rsidR="006578ED" w:rsidRDefault="00A1618E">
      <w:pPr>
        <w:pStyle w:val="P68B1DB1-Normal4"/>
        <w:spacing w:before="120" w:after="120" w:line="240" w:lineRule="auto"/>
        <w:jc w:val="both"/>
        <w:rPr>
          <w:rFonts w:eastAsia="Times New Roman" w:cs="Times New Roman"/>
          <w:noProof/>
          <w:shd w:val="clear" w:color="auto" w:fill="E6E6E6"/>
        </w:rPr>
      </w:pPr>
      <w:r>
        <w:rPr>
          <w:noProof/>
        </w:rPr>
        <w:t>Ponadto reforma obejmuje przyjęcie drugiego planu działania dotyczącego gospodarki o obiegu zamkniętym, który ma zostać wdrożony w latach 2024–2026 w ramach hiszpańskiej strategii dotyczącej gospodarki o obiegu zamkniętym. Drugi plan działania dotyczy kwestii zidentyfikowanych podczas realizacji pierwszego planu, a także sektorów, w których istnieje potrzeba skoncentrowania inicjatyw na szczeblu krajowym.</w:t>
      </w:r>
    </w:p>
    <w:p w14:paraId="1776A14E" w14:textId="5BBAB940" w:rsidR="006578ED" w:rsidRDefault="00A1618E">
      <w:pPr>
        <w:pStyle w:val="P68B1DB1-Normal4"/>
        <w:spacing w:before="120" w:after="120" w:line="240" w:lineRule="auto"/>
        <w:jc w:val="both"/>
        <w:rPr>
          <w:rFonts w:cs="Times New Roman"/>
          <w:noProof/>
        </w:rPr>
      </w:pPr>
      <w:r>
        <w:rPr>
          <w:noProof/>
        </w:rPr>
        <w:t>Wdrażanie środka zostanie zakończone do dnia 31 grudnia 20</w:t>
      </w:r>
      <w:r w:rsidRPr="00A1618E">
        <w:rPr>
          <w:noProof/>
          <w:lang w:val="pl-PL"/>
        </w:rPr>
        <w:t>25 r.</w:t>
      </w:r>
    </w:p>
    <w:p w14:paraId="3D16E156" w14:textId="258C0A2C" w:rsidR="006578ED" w:rsidRDefault="00A1618E">
      <w:pPr>
        <w:pStyle w:val="P68B1DB1-Normal6"/>
        <w:spacing w:before="120" w:after="120" w:line="240" w:lineRule="auto"/>
        <w:jc w:val="both"/>
        <w:rPr>
          <w:rFonts w:cs="Times New Roman"/>
          <w:noProof/>
        </w:rPr>
      </w:pPr>
      <w:r>
        <w:rPr>
          <w:noProof/>
        </w:rPr>
        <w:t xml:space="preserve">Inwestycje (C12.I1) – Sektorowe przestrzenie danych w celu cyfryzacji strategicznych sektorów produkcji </w:t>
      </w:r>
    </w:p>
    <w:p w14:paraId="31CF7C55" w14:textId="44769761" w:rsidR="006578ED" w:rsidRDefault="00A1618E">
      <w:pPr>
        <w:pStyle w:val="P68B1DB1-Normal4"/>
        <w:spacing w:before="120" w:after="120" w:line="240" w:lineRule="auto"/>
        <w:jc w:val="both"/>
        <w:rPr>
          <w:rFonts w:cs="Times New Roman"/>
          <w:noProof/>
        </w:rPr>
      </w:pPr>
      <w:r>
        <w:rPr>
          <w:noProof/>
        </w:rPr>
        <w:t xml:space="preserve">Celem tego środka jest stworzenie bezpiecznych i dużych przestrzeni danych w strategicznych sektorach przemysłu, takich jak sektor rolno-spożywczy, mobilność zgodna z zasadami zrównoważonego rozwoju, zdrowie i sektor handlowy. Innowacje, efektywność i korzyści skali należy wspierać poprzez rozwój wspólnych komponentów (elementów podstawowych) oraz poprzez udostępnianie wspólnej infrastruktury i danych (platformy chmurowe, sieci obliczeń superkomputerowych i magazynowania, analiza dużych zbiorów danych i sztuczna inteligencja). </w:t>
      </w:r>
    </w:p>
    <w:p w14:paraId="7FE1856B" w14:textId="7C0B5DAD" w:rsidR="006578ED" w:rsidRDefault="00A1618E">
      <w:pPr>
        <w:spacing w:before="120" w:after="120" w:line="240" w:lineRule="auto"/>
        <w:jc w:val="both"/>
        <w:rPr>
          <w:rFonts w:ascii="Times New Roman" w:hAnsi="Times New Roman" w:cs="Times New Roman"/>
          <w:noProof/>
          <w:sz w:val="24"/>
        </w:rPr>
      </w:pPr>
      <w:r>
        <w:rPr>
          <w:rFonts w:ascii="Times New Roman" w:hAnsi="Times New Roman"/>
          <w:noProof/>
          <w:sz w:val="24"/>
        </w:rPr>
        <w:t>Struktury zarządzania zostają wzmocnione w celu określenia współpracy publiczno-prywatnej w zakresie rozwoju przestrzeni danych. Ponadto należy określić mechanizmy zapewniające interoperacyjność oraz opracować odpowiednie zasady i mechanizmy w celu promowania wymiany danych między przedsiębiorstwami. Inwestycje są realizowane zgodnie z komunikatem Komisji Europejskiej „Europejska strategia w zakresie danych”</w:t>
      </w:r>
      <w:r>
        <w:rPr>
          <w:rStyle w:val="FootnoteReference"/>
          <w:rFonts w:ascii="Times New Roman" w:hAnsi="Times New Roman" w:cs="Times New Roman"/>
          <w:noProof/>
          <w:sz w:val="24"/>
        </w:rPr>
        <w:footnoteReference w:id="34"/>
      </w:r>
      <w:r>
        <w:rPr>
          <w:rFonts w:ascii="Times New Roman" w:hAnsi="Times New Roman"/>
          <w:noProof/>
          <w:sz w:val="24"/>
        </w:rPr>
        <w:t xml:space="preserve"> i działaniami przewidzianymi w tym komunikacie, w szczególności z przyszłym aktem w sprawie danych i rozporządzeniem w sprawie zarządzania unią energetyczną</w:t>
      </w:r>
      <w:r>
        <w:rPr>
          <w:rStyle w:val="FootnoteReference"/>
          <w:rFonts w:ascii="Times New Roman" w:hAnsi="Times New Roman" w:cs="Times New Roman"/>
          <w:noProof/>
          <w:sz w:val="24"/>
        </w:rPr>
        <w:footnoteReference w:id="35"/>
      </w:r>
      <w:r>
        <w:rPr>
          <w:rFonts w:ascii="Times New Roman" w:hAnsi="Times New Roman"/>
          <w:noProof/>
          <w:sz w:val="24"/>
        </w:rPr>
        <w:t>, a także z unijną federacją chmury obliczeniowej. Synergia zapewnia komplementarność z programem „Cyfrowa Europa”</w:t>
      </w:r>
      <w:r>
        <w:rPr>
          <w:rStyle w:val="FootnoteReference"/>
          <w:rFonts w:ascii="Times New Roman" w:hAnsi="Times New Roman" w:cs="Times New Roman"/>
          <w:noProof/>
          <w:sz w:val="24"/>
        </w:rPr>
        <w:footnoteReference w:id="36"/>
      </w:r>
      <w:r>
        <w:rPr>
          <w:rFonts w:ascii="Times New Roman" w:hAnsi="Times New Roman"/>
          <w:noProof/>
          <w:sz w:val="24"/>
        </w:rPr>
        <w:t>. Inwestycja jest również dostosowana do głównych odniesień i norm, takich jak te promowane przez Stowarzyszenie Międzynarodowych Przestrzeni Danych (IDS).</w:t>
      </w:r>
    </w:p>
    <w:p w14:paraId="09C85116" w14:textId="69975C93" w:rsidR="006578ED" w:rsidRDefault="00A1618E">
      <w:pPr>
        <w:pStyle w:val="P68B1DB1-Normal4"/>
        <w:spacing w:before="120" w:after="120" w:line="240" w:lineRule="auto"/>
        <w:jc w:val="both"/>
        <w:rPr>
          <w:rFonts w:cs="Times New Roman"/>
          <w:noProof/>
        </w:rPr>
      </w:pPr>
      <w:r>
        <w:rPr>
          <w:noProof/>
        </w:rPr>
        <w:t>Do dnia 31 grudnia 20</w:t>
      </w:r>
      <w:r w:rsidRPr="00A1618E">
        <w:rPr>
          <w:noProof/>
          <w:lang w:val="pl-PL"/>
        </w:rPr>
        <w:t>23 r.</w:t>
      </w:r>
      <w:r>
        <w:rPr>
          <w:noProof/>
        </w:rPr>
        <w:t xml:space="preserve"> należy wspierać co najmniej cztery sektorowe i interoperacyjne przestrzenie danych o wysokiej wartości w sektorze rolno-spożywczym, sektorze zrównoważonej mobilności, sektorze zdrowia i sektorze handlu.</w:t>
      </w:r>
    </w:p>
    <w:p w14:paraId="64DB6C2B" w14:textId="6E03BB01" w:rsidR="006578ED" w:rsidRDefault="00A1618E">
      <w:pPr>
        <w:pStyle w:val="P68B1DB1-Normal4"/>
        <w:spacing w:before="120" w:after="120" w:line="240" w:lineRule="auto"/>
        <w:jc w:val="both"/>
        <w:rPr>
          <w:rFonts w:cs="Times New Roman"/>
          <w:noProof/>
        </w:rPr>
      </w:pPr>
      <w:r>
        <w:rPr>
          <w:noProof/>
        </w:rPr>
        <w:t>Realizacja inwestycji zostanie zakończona do dnia 30 czerwca 20</w:t>
      </w:r>
      <w:r w:rsidRPr="00A1618E">
        <w:rPr>
          <w:noProof/>
          <w:lang w:val="pl-PL"/>
        </w:rPr>
        <w:t>26 r.</w:t>
      </w:r>
      <w:r>
        <w:rPr>
          <w:noProof/>
        </w:rPr>
        <w:t xml:space="preserve"> </w:t>
      </w:r>
    </w:p>
    <w:p w14:paraId="50D189C8" w14:textId="087AC11D" w:rsidR="006578ED" w:rsidRDefault="00A1618E">
      <w:pPr>
        <w:pStyle w:val="P68B1DB1-Normal6"/>
        <w:keepNext/>
        <w:spacing w:before="120" w:after="120" w:line="240" w:lineRule="auto"/>
        <w:jc w:val="both"/>
        <w:rPr>
          <w:rFonts w:cs="Times New Roman"/>
          <w:noProof/>
        </w:rPr>
      </w:pPr>
      <w:r>
        <w:rPr>
          <w:noProof/>
        </w:rPr>
        <w:t xml:space="preserve">Inwestycje 2 (C12.I2) – Program na rzecz zwiększenia konkurencyjności i zrównoważonego rozwoju przemysłu </w:t>
      </w:r>
    </w:p>
    <w:p w14:paraId="119FA788" w14:textId="2CB2EED2" w:rsidR="006578ED" w:rsidRDefault="00A1618E">
      <w:pPr>
        <w:pStyle w:val="P68B1DB1-Normal4"/>
        <w:keepNext/>
        <w:spacing w:before="120" w:after="120" w:line="240" w:lineRule="auto"/>
        <w:jc w:val="both"/>
        <w:rPr>
          <w:rFonts w:cs="Times New Roman"/>
          <w:noProof/>
        </w:rPr>
      </w:pPr>
      <w:r>
        <w:rPr>
          <w:noProof/>
        </w:rPr>
        <w:t xml:space="preserve">Celem tego środka jest wspieranie transformacji strategicznych sektorów, które mają kluczowe znaczenie dla transformacji przemysłowej Hiszpanii, takich jak sektor motoryzacyjny i pojazdy elektryczne, sektor rolno-spożywczy, sektor zdrowia, lotnictwo i marynarka morska, sektory przemysłowe związane z energią odnawialną oraz zdolności do projektowania i produkcji procesorów i technologii półprzewodnikowych. W ramach tego działania wspierane są co najmniej trzy duże projekty strategiczne (tzw. „PERTE”), obejmujące cały łańcuch wartości w danym sektorze, w tym wsparcie dla MŚP. </w:t>
      </w:r>
    </w:p>
    <w:p w14:paraId="34EAD922" w14:textId="09C1AC97" w:rsidR="006578ED" w:rsidRDefault="00A1618E">
      <w:pPr>
        <w:pStyle w:val="P68B1DB1-Normal4"/>
        <w:spacing w:before="120" w:after="120" w:line="240" w:lineRule="auto"/>
        <w:jc w:val="both"/>
        <w:rPr>
          <w:rFonts w:cs="Times New Roman"/>
          <w:noProof/>
        </w:rPr>
      </w:pPr>
      <w:r>
        <w:rPr>
          <w:noProof/>
        </w:rPr>
        <w:t>W ramach tego środka finansowane będą również projekty o mniejszej skali, takie jak symulacja przemysłowa, materiały zaawansowane, rzeczywistość wirtualna oraz robotyka oparta na współpracy i poznawcza. Środek ten dodatkowo wspiera zrównoważoną infrastrukturę przemysłową, taką jak parki przemysłowe lub obszary logistyczne. W ramach tego elementu środka z hiszpańskiego planu odbudowy i zwiększania odporności finansuje się co najmniej 78 innowacyjnych projektów obejmujących znaczącą transformację przemysłową pod względem efektywności energetycznej, zrównoważonego rozwoju i transformacji cyfrowej.</w:t>
      </w:r>
    </w:p>
    <w:p w14:paraId="3098C731" w14:textId="0D1475E1" w:rsidR="006578ED" w:rsidRDefault="00A1618E">
      <w:pPr>
        <w:pStyle w:val="P68B1DB1-Normal4"/>
        <w:spacing w:before="120" w:after="120" w:line="240" w:lineRule="auto"/>
        <w:jc w:val="both"/>
        <w:rPr>
          <w:rFonts w:cs="Times New Roman"/>
          <w:noProof/>
        </w:rPr>
      </w:pPr>
      <w:r>
        <w:rPr>
          <w:noProof/>
        </w:rPr>
        <w:t>Po zatwierdzeniu PERTE przez Radę Ministrów właściwe ministerstwo ogłasza konkurencyjne zaproszenie do składania wniosków w celu otrzymania konkretnych wniosków, które zostaną opracowane w ramach zatwierdzonej PERTE. Wdrożenie środków wsparcia, które mogą stanowić pomoc państwa zgodnie z </w:t>
      </w:r>
      <w:r w:rsidRPr="00A1618E">
        <w:rPr>
          <w:noProof/>
          <w:lang w:val="pl-PL"/>
        </w:rPr>
        <w:t>art. 1</w:t>
      </w:r>
      <w:r>
        <w:rPr>
          <w:noProof/>
        </w:rPr>
        <w:t xml:space="preserve">07 TFUE i które mogą wymagać uprzedniego zgłoszenia Komisji, nie może mieć miejsca, zanim Hiszpania nie uzyska od Komisji zatwierdzenia pomocy państwa. </w:t>
      </w:r>
    </w:p>
    <w:p w14:paraId="701E7478" w14:textId="34835522" w:rsidR="006578ED" w:rsidRDefault="00A1618E">
      <w:pPr>
        <w:pStyle w:val="Text1"/>
        <w:ind w:left="0"/>
        <w:rPr>
          <w:rFonts w:ascii="Times New Roman" w:hAnsi="Times New Roman" w:cs="Times New Roman"/>
          <w:noProof/>
        </w:rPr>
      </w:pPr>
      <w:r>
        <w:rPr>
          <w:rFonts w:ascii="Times New Roman" w:hAnsi="Times New Roman"/>
          <w:noProof/>
        </w:rPr>
        <w:t>Decyzja Rady Ministrów zatwierdzająca PERTE zawiera szczegółowe kryteria wyboru w celu zapewnienia zgodności z wytycznymi technicznymi dotyczącymi zasady „nie czyń poważnych szkód” (2021/C58/01). 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37"/>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38"/>
      </w:r>
      <w:r>
        <w:rPr>
          <w:rFonts w:ascii="Times New Roman" w:hAnsi="Times New Roman"/>
          <w:noProof/>
        </w:rPr>
        <w:t>; rekompensata pośrednich kosztów systemu handlu uprawnieniami do emisji; działalność związana ze składowiskami odpadów, spalarniami</w:t>
      </w:r>
      <w:r>
        <w:rPr>
          <w:rStyle w:val="FootnoteReference"/>
          <w:rFonts w:ascii="Times New Roman" w:hAnsi="Times New Roman" w:cs="Times New Roman"/>
          <w:noProof/>
        </w:rPr>
        <w:footnoteReference w:id="39"/>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40"/>
      </w:r>
      <w:r>
        <w:rPr>
          <w:rFonts w:ascii="Times New Roman" w:hAnsi="Times New Roman"/>
          <w:noProof/>
        </w:rPr>
        <w:t xml:space="preserve">; oraz (v) działalności, w ramach której długotrwałe unieszkodliwianie odpadów może powodować szkody dla środowiska. Zakres uprawnień wymaga ponadto, aby można było wybierać wyłącznie działania zgodne z odpowiednimi przepisami unijnymi i krajowymi w zakresie ochrony środowiska. </w:t>
      </w:r>
    </w:p>
    <w:p w14:paraId="5B671F58" w14:textId="0847746C" w:rsidR="006578ED" w:rsidRDefault="00A1618E">
      <w:pPr>
        <w:pStyle w:val="P68B1DB1-Text119"/>
        <w:ind w:left="0"/>
        <w:rPr>
          <w:rFonts w:cs="Times New Roman"/>
          <w:noProof/>
          <w:highlight w:val="green"/>
        </w:rPr>
      </w:pPr>
      <w:r>
        <w:rPr>
          <w:noProof/>
        </w:rPr>
        <w:t>Następujące działania w zakresie badań, rozwoju i innowacji w ramach tej inwestycji uznaje się za zgodne z wytycznymi technicznymi dotyczącymi zasady „nie czyń poważnych szkód” (2021/C58/01): Działania w zakresie badań, rozwoju i innowacji w ramach tej inwestycji ukierunkowane na znaczne zwiększenie zrównoważenia środowiskowego przedsiębiorstw (takie jak dekarbonizacja, redukcja zanieczyszczeń i gospodarka o obiegu zamkniętym), jeżeli działania w zakresie badań, rozwoju i innowacji w ramach tej inwestycji koncentrują się przede wszystkim na opracowaniu lub dostosowaniu alternatywnych rozwiązań o możliwie najmniejszym wpływie na środowisko w tym sektorze.</w:t>
      </w:r>
    </w:p>
    <w:p w14:paraId="1E2A67A2" w14:textId="01FA47F4" w:rsidR="006578ED" w:rsidRDefault="00A1618E">
      <w:pPr>
        <w:spacing w:before="120" w:after="120" w:line="240" w:lineRule="auto"/>
        <w:jc w:val="both"/>
        <w:rPr>
          <w:rFonts w:ascii="Times New Roman" w:hAnsi="Times New Roman" w:cs="Times New Roman"/>
          <w:noProof/>
          <w:sz w:val="24"/>
        </w:rPr>
      </w:pPr>
      <w:r>
        <w:rPr>
          <w:rFonts w:ascii="Times New Roman" w:hAnsi="Times New Roman"/>
          <w:noProof/>
          <w:sz w:val="24"/>
        </w:rPr>
        <w:t>Kryteria wyboru zapewniają, aby co najmniej 455 000 000 EUR przyczyniało się do realizacji celów związanych ze zmianą klimatu przy zastosowaniu współczynnika klimatycznego wynoszącego 100 % i co najmniej 1 500 000 000 EUR ze współczynnikiem klimatycznym wynoszącym 40 %, zgodnie z załącznikiem VI do rozporządzenia Parlamentu Europejskiego i Rady (UE) 2021/241 z dnia 12 lutego 20</w:t>
      </w:r>
      <w:r w:rsidRPr="00A1618E">
        <w:rPr>
          <w:rFonts w:ascii="Times New Roman" w:hAnsi="Times New Roman"/>
          <w:noProof/>
          <w:sz w:val="24"/>
          <w:lang w:val="pl-PL"/>
        </w:rPr>
        <w:t>21 r.</w:t>
      </w:r>
      <w:r>
        <w:rPr>
          <w:rFonts w:ascii="Times New Roman" w:hAnsi="Times New Roman"/>
          <w:noProof/>
          <w:sz w:val="24"/>
        </w:rPr>
        <w:t xml:space="preserve"> ustanawiającego Instrument na rzecz Odbudowy i Zwiększania Odporności [].</w:t>
      </w:r>
      <w:r>
        <w:rPr>
          <w:rStyle w:val="FootnoteReference"/>
          <w:rFonts w:ascii="Times New Roman" w:hAnsi="Times New Roman" w:cs="Times New Roman"/>
          <w:noProof/>
          <w:sz w:val="24"/>
        </w:rPr>
        <w:footnoteReference w:id="41"/>
      </w:r>
      <w:r>
        <w:rPr>
          <w:rFonts w:ascii="Times New Roman" w:hAnsi="Times New Roman"/>
          <w:noProof/>
          <w:sz w:val="24"/>
        </w:rPr>
        <w:t xml:space="preserve"> Alternatywnie, jeżeli jest to należycie uzasadnione wyjaśnieniem powodów, dla których podejście alternatywne może być niewykonalne, kryteria wyboru zapewniają, aby co najmniej 2 531 500 000 EUR przyczyniało</w:t>
      </w:r>
      <w:r>
        <w:rPr>
          <w:rFonts w:ascii="Times New Roman" w:hAnsi="Times New Roman"/>
          <w:noProof/>
          <w:sz w:val="24"/>
          <w:shd w:val="clear" w:color="auto" w:fill="E6E6E6"/>
        </w:rPr>
        <w:t xml:space="preserve"> </w:t>
      </w:r>
      <w:r>
        <w:rPr>
          <w:rFonts w:ascii="Times New Roman" w:hAnsi="Times New Roman"/>
          <w:noProof/>
          <w:sz w:val="24"/>
        </w:rPr>
        <w:t>się do realizacji celów związanych ze zmianą klimatu przy średnim współczynniku klimatycznym wynoszącym co najmniej 40 %, zgodnie z załącznikiem VI do rozporządzenia (UE) 2021/241.</w:t>
      </w:r>
    </w:p>
    <w:p w14:paraId="5BD68492" w14:textId="0EB74576"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r>
        <w:rPr>
          <w:noProof/>
        </w:rPr>
        <w:t xml:space="preserve"> </w:t>
      </w:r>
    </w:p>
    <w:p w14:paraId="4FA8C342" w14:textId="4072F09D" w:rsidR="006578ED" w:rsidRDefault="00A1618E">
      <w:pPr>
        <w:pStyle w:val="P68B1DB1-Normal6"/>
        <w:keepNext/>
        <w:spacing w:before="120" w:after="120" w:line="240" w:lineRule="auto"/>
        <w:jc w:val="both"/>
        <w:rPr>
          <w:rFonts w:cs="Times New Roman"/>
          <w:noProof/>
        </w:rPr>
      </w:pPr>
      <w:r>
        <w:rPr>
          <w:noProof/>
        </w:rPr>
        <w:t>Inwestycja 3 (C12.I3) – Plan wspierania wdrażania przepisów dotyczących odpadów i promowania gospodarki o obiegu zamkniętym</w:t>
      </w:r>
    </w:p>
    <w:p w14:paraId="18579C3C" w14:textId="5EB21CFD" w:rsidR="006578ED" w:rsidRPr="00A1618E" w:rsidRDefault="00A1618E">
      <w:pPr>
        <w:pStyle w:val="P68B1DB1-Normal4"/>
        <w:keepNext/>
        <w:spacing w:before="120" w:after="120" w:line="240" w:lineRule="auto"/>
        <w:jc w:val="both"/>
        <w:rPr>
          <w:rFonts w:cs="Times New Roman"/>
          <w:noProof/>
          <w:lang w:val="pl-PL"/>
        </w:rPr>
      </w:pPr>
      <w:r>
        <w:rPr>
          <w:noProof/>
        </w:rPr>
        <w:t>Celem tego środka jest wspieranie gospodarki o obiegu zamkniętym w Hiszpanii poprzez finansowanie projektów mających na celu wdrożenie krajowych ram regulacyjnych dotyczących odpadów oraz osiągnięcie celów UE w dziedzinie odpadów, a także innowacyjnych projektów gospodarki o obiegu zamkniętym w sektorze prywatnym w celu ułatwienia przejścia na gospodarkę o obiegu zamkniętym</w:t>
      </w:r>
      <w:r w:rsidRPr="00A1618E">
        <w:rPr>
          <w:noProof/>
          <w:lang w:val="pl-PL"/>
        </w:rPr>
        <w:t xml:space="preserve">. </w:t>
      </w:r>
    </w:p>
    <w:p w14:paraId="74117ACB" w14:textId="7C2A3BFC" w:rsidR="006578ED" w:rsidRDefault="00A1618E">
      <w:pPr>
        <w:pStyle w:val="P68B1DB1-Normal4"/>
        <w:spacing w:before="120" w:after="120" w:line="240" w:lineRule="auto"/>
        <w:jc w:val="both"/>
        <w:rPr>
          <w:rFonts w:cs="Times New Roman"/>
          <w:noProof/>
        </w:rPr>
      </w:pPr>
      <w:r>
        <w:rPr>
          <w:noProof/>
        </w:rPr>
        <w:t>Środek ten wspiera modernizację istniejących systemów selektywnej zbiórki odpadów oraz inwestycje w punkty zbiórki w celu poprawy recyklingu, budowy nowych zakładów przetwarzania odpadów oraz zwiększenia zasobooszczędności w istniejących zakładach mechaniczno-biologicznego przetwarzania odpadów, bez wydłużania ich okresu użytkowania lub wydajności (do weryfikacji na poziomie zakładu). Cel środka obejmuje również rozwiązania cyfrowe w tej dziedzinie oraz promowanie gospodarki o obiegu zamkniętym na poziomie przedsiębiorstw. Proponowanym celem jest ukończenie co najmniej 30 z planowanych projektów. Środek ten musi osiągnąć co najmniej 30 % selektywnie zebranych odpadów komunalnych jako udział w całkowitej ilości odpadów komunalnych wytworzonych w 20</w:t>
      </w:r>
      <w:r w:rsidRPr="00A1618E">
        <w:rPr>
          <w:noProof/>
          <w:lang w:val="pl-PL"/>
        </w:rPr>
        <w:t>24 r.</w:t>
      </w:r>
      <w:r>
        <w:rPr>
          <w:noProof/>
        </w:rPr>
        <w:t xml:space="preserve"> (dane z 20</w:t>
      </w:r>
      <w:r w:rsidRPr="00A1618E">
        <w:rPr>
          <w:noProof/>
          <w:lang w:val="pl-PL"/>
        </w:rPr>
        <w:t>24 r.</w:t>
      </w:r>
      <w:r>
        <w:rPr>
          <w:noProof/>
        </w:rPr>
        <w:t xml:space="preserve"> mają być dostępne w 20</w:t>
      </w:r>
      <w:r w:rsidRPr="00A1618E">
        <w:rPr>
          <w:noProof/>
          <w:lang w:val="pl-PL"/>
        </w:rPr>
        <w:t>26 r.</w:t>
      </w:r>
      <w:r>
        <w:rPr>
          <w:noProof/>
        </w:rPr>
        <w:t xml:space="preserve">), zgodnie z dyrektywą 2008/98/WE. </w:t>
      </w:r>
    </w:p>
    <w:p w14:paraId="5DA0A525" w14:textId="2A5FB7B5" w:rsidR="006578ED" w:rsidRDefault="00A1618E">
      <w:pPr>
        <w:pStyle w:val="P68B1DB1-Normal4"/>
        <w:spacing w:before="120" w:after="120" w:line="240" w:lineRule="auto"/>
        <w:jc w:val="both"/>
        <w:rPr>
          <w:rFonts w:cs="Times New Roman"/>
          <w:noProof/>
        </w:rPr>
      </w:pPr>
      <w:r>
        <w:rPr>
          <w:noProof/>
        </w:rPr>
        <w:t>Środek ten obejmuje również podział środków finansowych na rzecz wspólnot autonomicznych na projekty wdrażające przepisy dotyczące odpadów, które mają zostać uzgodnione i zatwierdzone na konferencji sektorowej lub w formie dotacji bezpośrednich zgodnie z ustawą ogólną w sprawie subsydiów 38/2003, do końca 20</w:t>
      </w:r>
      <w:r w:rsidRPr="00A1618E">
        <w:rPr>
          <w:noProof/>
          <w:lang w:val="pl-PL"/>
        </w:rPr>
        <w:t>24 r.</w:t>
      </w:r>
    </w:p>
    <w:p w14:paraId="76EC6FC1" w14:textId="0A0DE64A"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42"/>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43"/>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44"/>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45"/>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67882DDB" w14:textId="23AACBD5"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r>
        <w:rPr>
          <w:noProof/>
        </w:rPr>
        <w:t xml:space="preserve"> </w:t>
      </w:r>
    </w:p>
    <w:p w14:paraId="6E541661" w14:textId="34B2B521" w:rsidR="006578ED" w:rsidRDefault="00A1618E">
      <w:pPr>
        <w:pStyle w:val="P68B1DB1-Normal6"/>
        <w:spacing w:before="120" w:after="120" w:line="240" w:lineRule="auto"/>
        <w:jc w:val="both"/>
        <w:rPr>
          <w:rFonts w:cs="Times New Roman"/>
          <w:noProof/>
        </w:rPr>
      </w:pPr>
      <w:r>
        <w:rPr>
          <w:noProof/>
        </w:rPr>
        <w:t>Inwestycje 4 (C12.I4) – Wzmocnienie przemysłu łańcucha wartości półprzewodników</w:t>
      </w:r>
    </w:p>
    <w:p w14:paraId="2AEB6FB1" w14:textId="759328E1" w:rsidR="006578ED" w:rsidRDefault="00A1618E">
      <w:pPr>
        <w:pStyle w:val="P68B1DB1-Normal4"/>
        <w:spacing w:before="120" w:after="120" w:line="240" w:lineRule="auto"/>
        <w:jc w:val="both"/>
        <w:rPr>
          <w:rFonts w:eastAsia="Times New Roman" w:cs="Times New Roman"/>
          <w:noProof/>
        </w:rPr>
      </w:pPr>
      <w:r>
        <w:rPr>
          <w:noProof/>
        </w:rPr>
        <w:t xml:space="preserve">Celem inwestycji jest zapewnienie wsparcia w formie dotacji na projekty związane z przemysłem łańcucha wartości półprzewodników w celu wzmocnienia krajowego ekosystemu mikroelektroniki i rozszerzenia wpływu udziału hiszpańskich przedsiębiorstw w projekcie IPCEI dotyczącym mikroelektroniki i technologii komunikacyjnych (IPCEI ME-TC). Wsparcie to ma na celu zwiększenie zdolności w zakresie projektowania i produkcji przemysłu półprzewodników w Hiszpanii. </w:t>
      </w:r>
    </w:p>
    <w:p w14:paraId="252894DF" w14:textId="22BBE09C" w:rsidR="006578ED" w:rsidRDefault="00A1618E">
      <w:pPr>
        <w:pStyle w:val="P68B1DB1-Normal4"/>
        <w:spacing w:before="120" w:after="120" w:line="240" w:lineRule="auto"/>
        <w:jc w:val="both"/>
        <w:rPr>
          <w:rFonts w:eastAsia="Times New Roman" w:cs="Times New Roman"/>
          <w:noProof/>
        </w:rPr>
      </w:pPr>
      <w:r>
        <w:rPr>
          <w:noProof/>
        </w:rPr>
        <w:t>Wdrożenie tego środka odbywa się za pomocą dwóch rodzajów instrumentów:</w:t>
      </w:r>
    </w:p>
    <w:p w14:paraId="20E3F200" w14:textId="7076D25C" w:rsidR="006578ED" w:rsidRDefault="00A1618E">
      <w:pPr>
        <w:pStyle w:val="P68B1DB1-ListParagraph7"/>
        <w:numPr>
          <w:ilvl w:val="0"/>
          <w:numId w:val="306"/>
        </w:numPr>
        <w:spacing w:after="0" w:line="240" w:lineRule="auto"/>
        <w:jc w:val="both"/>
        <w:rPr>
          <w:rFonts w:eastAsia="Times New Roman" w:cs="Times New Roman"/>
          <w:noProof/>
        </w:rPr>
      </w:pPr>
      <w:r>
        <w:rPr>
          <w:noProof/>
        </w:rPr>
        <w:t>Pierwszy z nich ma na celu uzupełnienie finansowania niezbędnego do wsparcia udziału hiszpańskich przedsiębiorstw w projekcie IPCEI-MCE zatwierdzonym przez Komisję Europejską.</w:t>
      </w:r>
    </w:p>
    <w:p w14:paraId="7E2A4962" w14:textId="08FDA090" w:rsidR="006578ED" w:rsidRDefault="00A1618E">
      <w:pPr>
        <w:pStyle w:val="P68B1DB1-ListParagraph7"/>
        <w:numPr>
          <w:ilvl w:val="0"/>
          <w:numId w:val="306"/>
        </w:numPr>
        <w:spacing w:after="0" w:line="240" w:lineRule="auto"/>
        <w:jc w:val="both"/>
        <w:rPr>
          <w:rFonts w:eastAsia="Times New Roman" w:cs="Times New Roman"/>
          <w:noProof/>
        </w:rPr>
      </w:pPr>
      <w:r>
        <w:rPr>
          <w:noProof/>
        </w:rPr>
        <w:t>Drugie, krajowe zaproszenie, koncentruje się na zapewnieniu finansowania innych projektów opracowywanych przez przedsiębiorstwa w łańcuchu wartości w sektorze półprzewodników.</w:t>
      </w:r>
    </w:p>
    <w:p w14:paraId="374E2A04" w14:textId="2A36908E" w:rsidR="006578ED" w:rsidRDefault="00A1618E">
      <w:pPr>
        <w:pStyle w:val="P68B1DB1-Normal4"/>
        <w:spacing w:before="120" w:after="120" w:line="240" w:lineRule="auto"/>
        <w:jc w:val="both"/>
        <w:rPr>
          <w:rFonts w:cs="Times New Roman"/>
          <w:noProof/>
        </w:rPr>
      </w:pPr>
      <w:r>
        <w:rPr>
          <w:noProof/>
        </w:rPr>
        <w:t>Inwestycja zostanie zakończona do dnia 31 sierpnia 20</w:t>
      </w:r>
      <w:r w:rsidRPr="00A1618E">
        <w:rPr>
          <w:noProof/>
          <w:lang w:val="pl-PL"/>
        </w:rPr>
        <w:t>26 r.</w:t>
      </w:r>
    </w:p>
    <w:p w14:paraId="6351683B" w14:textId="1817A313" w:rsidR="006578ED" w:rsidRDefault="00A1618E">
      <w:pPr>
        <w:pStyle w:val="P68B1DB1-Normal6"/>
        <w:spacing w:before="120" w:after="120" w:line="240" w:lineRule="auto"/>
        <w:jc w:val="both"/>
        <w:rPr>
          <w:rFonts w:cs="Times New Roman"/>
          <w:noProof/>
        </w:rPr>
      </w:pPr>
      <w:r>
        <w:rPr>
          <w:noProof/>
        </w:rPr>
        <w:t>Inwestycje 5 (C12.I5) – Program dotacji na wsparcie gospodarki o obiegu zamkniętym</w:t>
      </w:r>
    </w:p>
    <w:p w14:paraId="45188051" w14:textId="458C8CC3" w:rsidR="006578ED" w:rsidRDefault="00A1618E">
      <w:pPr>
        <w:spacing w:before="120" w:after="120" w:line="240" w:lineRule="auto"/>
        <w:jc w:val="both"/>
        <w:textAlignment w:val="baseline"/>
        <w:rPr>
          <w:rFonts w:ascii="Times New Roman" w:hAnsi="Times New Roman" w:cs="Times New Roman"/>
          <w:noProof/>
        </w:rPr>
      </w:pPr>
      <w:bookmarkStart w:id="24" w:name="_Hlk145498671"/>
      <w:r>
        <w:rPr>
          <w:rStyle w:val="normaltextrun"/>
          <w:rFonts w:ascii="Times New Roman" w:hAnsi="Times New Roman"/>
          <w:noProof/>
          <w:sz w:val="24"/>
        </w:rPr>
        <w:t xml:space="preserve">Środek ten obejmuje inwestycje publiczne w system dotacji w celu zachęcenia do inwestycji prywatnych i wspierania promowania gospodarki o obiegu zamkniętym na poziomie przedsiębiorstw w trzech kluczowych sektorach hiszpańskiej gospodarki: tekstylia i moda, tworzywa sztuczne i sprzęt wykorzystujący energię odnawialną. Program działa poprzez zapewnienie zachęt finansowych poprzez przyznawanie dotacji lub inwestycji kapitałowych, w tym kapitału wysokiego ryzyka i funduszy kapitałowych, sektorowi prywatnemu. Na podstawie inwestycji w ramach RRF program ma początkowo zapewnić finansowanie w wysokości co najmniej 300 mln EUR. </w:t>
      </w:r>
    </w:p>
    <w:p w14:paraId="1118D082" w14:textId="5EEDF38B" w:rsidR="006578ED" w:rsidRDefault="00A1618E">
      <w:pPr>
        <w:pStyle w:val="paragraph"/>
        <w:spacing w:before="0" w:beforeAutospacing="0" w:after="0" w:afterAutospacing="0"/>
        <w:jc w:val="both"/>
        <w:textAlignment w:val="baseline"/>
        <w:rPr>
          <w:rFonts w:ascii="Times New Roman" w:hAnsi="Times New Roman" w:cs="Times New Roman"/>
          <w:noProof/>
        </w:rPr>
      </w:pPr>
      <w:r>
        <w:rPr>
          <w:noProof/>
        </w:rPr>
        <w:t></w:t>
      </w:r>
      <w:r>
        <w:rPr>
          <w:noProof/>
        </w:rPr>
        <w:t></w:t>
      </w:r>
      <w:r>
        <w:rPr>
          <w:noProof/>
        </w:rPr>
        <w:t></w:t>
      </w:r>
      <w:r>
        <w:rPr>
          <w:noProof/>
        </w:rPr>
        <w:t></w:t>
      </w:r>
      <w:r>
        <w:rPr>
          <w:noProof/>
        </w:rPr>
        <w:t></w:t>
      </w:r>
      <w:r>
        <w:rPr>
          <w:noProof/>
        </w:rPr>
        <w:t></w:t>
      </w:r>
      <w:r>
        <w:rPr>
          <w:noProof/>
        </w:rPr>
        <w:t></w:t>
      </w:r>
      <w:r>
        <w:rPr>
          <w:noProof/>
        </w:rPr>
        <w:t></w:t>
      </w:r>
      <w:r>
        <w:rPr>
          <w:noProof/>
        </w:rPr>
        <w:t></w:t>
      </w:r>
      <w:r>
        <w:rPr>
          <w:rStyle w:val="normaltextrun"/>
          <w:rFonts w:ascii="Times New Roman" w:hAnsi="Times New Roman"/>
          <w:noProof/>
        </w:rPr>
        <w:t>zarządza Instituto de Diversificación y Ahorro de la Energía (IDAE) i Fundacion Biodiversidad jako partnerzy wykonawczy. W celu realizacji inwestycji w program rząd przyjmuje jeden lub kilka instrumentów prawnych</w:t>
      </w:r>
      <w:r>
        <w:rPr>
          <w:noProof/>
        </w:rPr>
        <w:t></w:t>
      </w:r>
      <w:r>
        <w:rPr>
          <w:rStyle w:val="normaltextrun"/>
          <w:rFonts w:ascii="Times New Roman" w:hAnsi="Times New Roman"/>
          <w:noProof/>
        </w:rPr>
        <w:t>(w przypadku inwestycji kapitałowych instrument ten byłby polityką inwestycyjną zatwierdzaną przez IDAE), ustanawiając program obejmujący następujące elementy:</w:t>
      </w:r>
    </w:p>
    <w:p w14:paraId="5707E25A" w14:textId="77777777" w:rsidR="006578ED" w:rsidRDefault="006578ED">
      <w:pPr>
        <w:pStyle w:val="paragraph"/>
        <w:spacing w:before="0" w:beforeAutospacing="0" w:after="0" w:afterAutospacing="0"/>
        <w:jc w:val="both"/>
        <w:textAlignment w:val="baseline"/>
        <w:rPr>
          <w:rStyle w:val="normaltextrun"/>
          <w:rFonts w:ascii="Times New Roman" w:eastAsiaTheme="majorEastAsia" w:hAnsi="Times New Roman" w:cs="Times New Roman"/>
          <w:noProof/>
        </w:rPr>
      </w:pPr>
    </w:p>
    <w:p w14:paraId="1739F3C2" w14:textId="5A307813" w:rsidR="006578ED" w:rsidRDefault="00A1618E">
      <w:pPr>
        <w:pStyle w:val="P68B1DB1-paragraph25"/>
        <w:numPr>
          <w:ilvl w:val="0"/>
          <w:numId w:val="726"/>
        </w:numPr>
        <w:spacing w:before="0" w:beforeAutospacing="0" w:after="0" w:afterAutospacing="0"/>
        <w:jc w:val="both"/>
        <w:textAlignment w:val="baseline"/>
        <w:rPr>
          <w:rFonts w:cs="Times New Roman"/>
          <w:noProof/>
        </w:rPr>
      </w:pPr>
      <w:r>
        <w:rPr>
          <w:noProof/>
        </w:rPr>
        <w:t>Opis procesu decyzyjnego w ramach programu. Ocena wniosków i wybór beneficjentów, którzy mają zostać uwzględnieni w ostatecznych decyzjach o przyznaniu dotacji lub decyzjach inwestycyjnych w ramach programu, są podejmowane przez organ oceniający i zatwierdzane większością głosów członków niezależnych od rządu hiszpańskiego, co oznacza, że muszą oni być pracownikami zatrudnionymi przez partnerów wykonawczych lub innymi niezależnymi ekspertami. Ostateczna decyzja inwestycyjna programu ogranicza się do zatwierdzenia (bez zmian) lub korzystania z prawa weta w odniesieniu do decyzji inwestycyjnej zaproponowanej przez komitet inwestycyjny lub odpowiedni równoważny organ zarządzający. W przypadku udziału któregokolwiek z wnioskodawców przez IDAE, a budżet przeznaczony na to zaproszenie jest niewystarczający do pokrycia wszystkich otrzymanych wniosków, proces oceny zostanie poddany audytowi zewnętrznemu, jak przewidziano w „Plan de Mitigación de potenciales Confictos de Interés en Sociedades Participadas” (Plan de Mitigación de potenciales Confictos de Interés en Sociedades Participadas).</w:t>
      </w:r>
    </w:p>
    <w:p w14:paraId="71B3B126" w14:textId="4AE06E6F" w:rsidR="006578ED" w:rsidRDefault="00A1618E">
      <w:pPr>
        <w:pStyle w:val="P68B1DB1-paragraph25"/>
        <w:numPr>
          <w:ilvl w:val="0"/>
          <w:numId w:val="726"/>
        </w:numPr>
        <w:spacing w:before="0" w:beforeAutospacing="0" w:after="0" w:afterAutospacing="0"/>
        <w:jc w:val="both"/>
        <w:textAlignment w:val="baseline"/>
        <w:rPr>
          <w:rFonts w:cs="Times New Roman"/>
          <w:noProof/>
        </w:rPr>
      </w:pPr>
      <w:r>
        <w:rPr>
          <w:noProof/>
        </w:rPr>
        <w:t xml:space="preserve">Wykaz działań kwalifikujących się do wsparcia, które są następujące: </w:t>
      </w:r>
    </w:p>
    <w:p w14:paraId="66B23614" w14:textId="759FF44F" w:rsidR="006578ED" w:rsidRDefault="00A1618E">
      <w:pPr>
        <w:pStyle w:val="paragraph"/>
        <w:numPr>
          <w:ilvl w:val="1"/>
          <w:numId w:val="726"/>
        </w:numPr>
        <w:spacing w:before="0" w:beforeAutospacing="0" w:after="0" w:afterAutospacing="0"/>
        <w:jc w:val="both"/>
        <w:textAlignment w:val="baseline"/>
        <w:rPr>
          <w:rStyle w:val="normaltextrun"/>
          <w:rFonts w:ascii="Times New Roman" w:eastAsiaTheme="minorHAnsi" w:hAnsi="Times New Roman" w:cs="Times New Roman"/>
          <w:noProof/>
          <w:sz w:val="22"/>
        </w:rPr>
      </w:pPr>
      <w:r>
        <w:rPr>
          <w:rStyle w:val="normaltextrun"/>
          <w:rFonts w:ascii="Times New Roman" w:hAnsi="Times New Roman"/>
          <w:noProof/>
        </w:rPr>
        <w:t>Tekstylia, moda i tworzywa sztuczne (co najmniej 200 000 000 EUR zarządzane przez Fundación Biodiversidad): inwestycje w infrastrukturę, technologie oraz badania, rozwój i innowacje w celu ułatwienia ograniczenia, ponownego użycia i recyklingu lub rewaloryzacji materiałów.</w:t>
      </w:r>
    </w:p>
    <w:p w14:paraId="5DD17CA6" w14:textId="208FD7A9" w:rsidR="006578ED" w:rsidRDefault="00A1618E">
      <w:pPr>
        <w:pStyle w:val="paragraph"/>
        <w:numPr>
          <w:ilvl w:val="1"/>
          <w:numId w:val="726"/>
        </w:numPr>
        <w:spacing w:before="0" w:beforeAutospacing="0" w:after="0" w:afterAutospacing="0"/>
        <w:jc w:val="both"/>
        <w:textAlignment w:val="baseline"/>
        <w:rPr>
          <w:rStyle w:val="normaltextrun"/>
          <w:rFonts w:ascii="Times New Roman" w:hAnsi="Times New Roman" w:cs="Times New Roman"/>
          <w:noProof/>
        </w:rPr>
      </w:pPr>
      <w:r>
        <w:rPr>
          <w:rStyle w:val="normaltextrun"/>
          <w:rFonts w:ascii="Times New Roman" w:hAnsi="Times New Roman"/>
          <w:noProof/>
        </w:rPr>
        <w:t>Urządzenia wykorzystujące energię odnawialną (co najmniej 100 000 000 EUR zarządzane przez IDAE): inwestycje w ekoprojekt, infrastrukturę, technologie, badania, rozwój i innowacje oraz rozwój instalacji i systemów ułatwiających ograniczanie, ponowne użycie i recykling lub rewaloryzację materiałów.</w:t>
      </w:r>
    </w:p>
    <w:p w14:paraId="2B1296E5" w14:textId="0829EB55" w:rsidR="006578ED" w:rsidRDefault="00A1618E">
      <w:pPr>
        <w:pStyle w:val="paragraph"/>
        <w:numPr>
          <w:ilvl w:val="0"/>
          <w:numId w:val="726"/>
        </w:numPr>
        <w:spacing w:before="0" w:beforeAutospacing="0" w:after="0" w:afterAutospacing="0"/>
        <w:jc w:val="both"/>
        <w:textAlignment w:val="baseline"/>
        <w:rPr>
          <w:rFonts w:ascii="Times New Roman" w:eastAsiaTheme="majorEastAsia" w:hAnsi="Times New Roman" w:cs="Times New Roman"/>
          <w:noProof/>
        </w:rPr>
      </w:pPr>
      <w:bookmarkStart w:id="25" w:name="_Hlk145500540"/>
      <w:r>
        <w:rPr>
          <w:rStyle w:val="normaltextrun"/>
          <w:rFonts w:ascii="Times New Roman" w:hAnsi="Times New Roman"/>
          <w:noProof/>
        </w:rPr>
        <w:t>Wymóg przestrzegania zasady „nie czyń poważnych szkód” (DNSH) w ramach Instrumentu na rzecz Odbudowy i Zwiększania Odporności, jak określono w wytycznych technicznych dotyczących zasady „nie czyń poważnych szkód” (2021/C58/01). W szczególności instrument(-y) prawny(-e) wyklucza(-ją) następujący wykaz działań: działalności związanej z paliwami kopalnymi, w tym wykorzystania niższego szczebla</w:t>
      </w:r>
      <w:r>
        <w:rPr>
          <w:rStyle w:val="FootnoteReference"/>
          <w:rFonts w:ascii="Times New Roman" w:eastAsiaTheme="minorHAnsi" w:hAnsi="Times New Roman" w:cs="Times New Roman"/>
          <w:noProof/>
        </w:rPr>
        <w:footnoteReference w:id="46"/>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eastAsiaTheme="minorHAnsi" w:hAnsi="Times New Roman" w:cs="Times New Roman"/>
          <w:noProof/>
        </w:rPr>
        <w:footnoteReference w:id="47"/>
      </w:r>
      <w:r>
        <w:rPr>
          <w:rFonts w:ascii="Times New Roman" w:hAnsi="Times New Roman"/>
          <w:noProof/>
        </w:rPr>
        <w:t>; oraz (iii) działalności związanej ze składowiskami odpadów, spalarniami</w:t>
      </w:r>
      <w:r>
        <w:rPr>
          <w:rStyle w:val="FootnoteReference"/>
          <w:rFonts w:ascii="Times New Roman" w:eastAsiaTheme="minorHAnsi" w:hAnsi="Times New Roman" w:cs="Times New Roman"/>
          <w:noProof/>
        </w:rPr>
        <w:footnoteReference w:id="48"/>
      </w:r>
      <w:r>
        <w:rPr>
          <w:rFonts w:ascii="Times New Roman" w:hAnsi="Times New Roman"/>
          <w:noProof/>
        </w:rPr>
        <w:t xml:space="preserve"> i zakładami mechaniczno-biologicznego przetwarzania odpadów</w:t>
      </w:r>
      <w:r>
        <w:rPr>
          <w:rStyle w:val="FootnoteReference"/>
          <w:rFonts w:ascii="Times New Roman" w:eastAsiaTheme="minorHAnsi" w:hAnsi="Times New Roman" w:cs="Times New Roman"/>
          <w:noProof/>
        </w:rPr>
        <w:footnoteReference w:id="49"/>
      </w:r>
      <w:r>
        <w:rPr>
          <w:rFonts w:ascii="Times New Roman" w:hAnsi="Times New Roman"/>
          <w:noProof/>
        </w:rPr>
        <w:t>. W przypadku ogólnego wsparcia dla przedsiębiorstw (w tym kapitału własnego i kapitału wysokiego ryzyka) instrument prawny (instrumenty prawne) wykluczają przedsiębiorstwa, które</w:t>
      </w:r>
      <w:r>
        <w:rPr>
          <w:rFonts w:ascii="Times New Roman" w:hAnsi="Times New Roman"/>
          <w:noProof/>
        </w:rPr>
        <w:footnoteReference w:id="50"/>
      </w:r>
      <w:r>
        <w:rPr>
          <w:rFonts w:ascii="Times New Roman" w:hAnsi="Times New Roman"/>
          <w:noProof/>
        </w:rPr>
        <w:t xml:space="preserve"> w znacznym stopniu koncentrują się na następujących sektorach: produkcja energii z paliw kopalnych i działalność pokrewna</w:t>
      </w:r>
      <w:r>
        <w:rPr>
          <w:rFonts w:ascii="Times New Roman" w:hAnsi="Times New Roman"/>
          <w:noProof/>
        </w:rPr>
        <w:footnoteReference w:id="51"/>
      </w:r>
      <w:r>
        <w:rPr>
          <w:rFonts w:ascii="Times New Roman" w:hAnsi="Times New Roman"/>
          <w:noProof/>
        </w:rPr>
        <w:t>; energochłonne i/lub wysokoemisyjne gałęzie przemysłu</w:t>
      </w:r>
      <w:r>
        <w:rPr>
          <w:rFonts w:ascii="Times New Roman" w:hAnsi="Times New Roman"/>
          <w:noProof/>
        </w:rPr>
        <w:footnoteReference w:id="52"/>
      </w:r>
      <w:r>
        <w:rPr>
          <w:rFonts w:ascii="Times New Roman" w:hAnsi="Times New Roman"/>
          <w:noProof/>
        </w:rPr>
        <w:t>; produkcja, wynajem lub sprzedaż pojazdów zanieczyszczających środowisko</w:t>
      </w:r>
      <w:r>
        <w:rPr>
          <w:rFonts w:ascii="Times New Roman" w:hAnsi="Times New Roman"/>
          <w:noProof/>
        </w:rPr>
        <w:footnoteReference w:id="53"/>
      </w:r>
      <w:r>
        <w:rPr>
          <w:rFonts w:ascii="Times New Roman" w:hAnsi="Times New Roman"/>
          <w:noProof/>
        </w:rPr>
        <w:t>; zbieranie odpadów, przetwarzanie i unieszkodliwianie odpadów</w:t>
      </w:r>
      <w:r>
        <w:rPr>
          <w:rFonts w:ascii="Times New Roman" w:hAnsi="Times New Roman"/>
          <w:noProof/>
        </w:rPr>
        <w:footnoteReference w:id="54"/>
      </w:r>
      <w:r>
        <w:rPr>
          <w:rFonts w:ascii="Times New Roman" w:hAnsi="Times New Roman"/>
          <w:noProof/>
        </w:rPr>
        <w:t>, (v) przetwarzanie paliwa jądrowego, produkcja energii jądrowej. Ponadto instrument(-y) prawny(-e) wymaga(-ją) zgodności z odpowiednimi unijnymi i krajowymi przepisami w zakresie ochrony środowiska beneficjentów końcowych programów dotacji.</w:t>
      </w:r>
    </w:p>
    <w:p w14:paraId="60464F34" w14:textId="0BD9782C" w:rsidR="006578ED" w:rsidRDefault="00A1618E">
      <w:pPr>
        <w:pStyle w:val="P68B1DB1-paragraph25"/>
        <w:numPr>
          <w:ilvl w:val="0"/>
          <w:numId w:val="726"/>
        </w:numPr>
        <w:spacing w:before="0" w:beforeAutospacing="0" w:after="0" w:afterAutospacing="0"/>
        <w:jc w:val="both"/>
        <w:textAlignment w:val="baseline"/>
        <w:rPr>
          <w:rStyle w:val="normaltextrun"/>
          <w:rFonts w:eastAsiaTheme="majorEastAsia" w:cs="Times New Roman"/>
          <w:noProof/>
          <w:sz w:val="22"/>
        </w:rPr>
      </w:pPr>
      <w:bookmarkStart w:id="26" w:name="_Hlk145500550"/>
      <w:bookmarkEnd w:id="25"/>
      <w:r>
        <w:rPr>
          <w:noProof/>
        </w:rPr>
        <w:t>Wymóg, aby beneficjenci końcowi programów subsydiowania nie otrzymywali wsparcia z innych instrumentów unijnych w celu pokrycia tych samych kosztów</w:t>
      </w:r>
      <w:bookmarkEnd w:id="26"/>
      <w:r>
        <w:rPr>
          <w:noProof/>
        </w:rPr>
        <w:t>.</w:t>
      </w:r>
    </w:p>
    <w:p w14:paraId="7CC63F0B" w14:textId="10316634" w:rsidR="006578ED" w:rsidRDefault="00A1618E">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Kwoty objętej programem oraz wymogu reinwestowania wszelkich niewykorzystanych wpływów z programu subsydiów w działania wymienione powyżej, w tym </w:t>
      </w:r>
      <w:r w:rsidRPr="00A1618E">
        <w:rPr>
          <w:rStyle w:val="normaltextrun"/>
          <w:rFonts w:ascii="Times New Roman" w:hAnsi="Times New Roman"/>
          <w:noProof/>
          <w:sz w:val="24"/>
          <w:lang w:val="pl-PL"/>
        </w:rPr>
        <w:t>po 2</w:t>
      </w:r>
      <w:r>
        <w:rPr>
          <w:rStyle w:val="normaltextrun"/>
          <w:rFonts w:ascii="Times New Roman" w:hAnsi="Times New Roman"/>
          <w:noProof/>
          <w:sz w:val="24"/>
        </w:rPr>
        <w:t>0</w:t>
      </w:r>
      <w:r w:rsidRPr="00A1618E">
        <w:rPr>
          <w:rStyle w:val="normaltextrun"/>
          <w:rFonts w:ascii="Times New Roman" w:hAnsi="Times New Roman"/>
          <w:noProof/>
          <w:sz w:val="24"/>
          <w:lang w:val="pl-PL"/>
        </w:rPr>
        <w:t>26 r.</w:t>
      </w:r>
    </w:p>
    <w:p w14:paraId="6CFD6B63" w14:textId="6EDFCF10" w:rsidR="006578ED" w:rsidRDefault="00A1618E">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Wymogi dotyczące sprawozdawczości w odniesieniu do inwestycji w dziedzinie klimatu w odniesieniu do programów dotacji</w:t>
      </w:r>
      <w:r>
        <w:rPr>
          <w:rStyle w:val="FootnoteReference"/>
          <w:rFonts w:ascii="Times New Roman" w:eastAsiaTheme="majorEastAsia" w:hAnsi="Times New Roman" w:cs="Times New Roman"/>
          <w:noProof/>
          <w:sz w:val="24"/>
        </w:rPr>
        <w:footnoteReference w:id="55"/>
      </w:r>
      <w:r>
        <w:rPr>
          <w:rStyle w:val="normaltextrun"/>
          <w:rFonts w:ascii="Times New Roman" w:hAnsi="Times New Roman"/>
          <w:noProof/>
          <w:sz w:val="24"/>
        </w:rPr>
        <w:t>.</w:t>
      </w:r>
    </w:p>
    <w:p w14:paraId="228CA13B" w14:textId="1D633488" w:rsidR="006578ED" w:rsidRPr="00A1618E" w:rsidRDefault="00A1618E">
      <w:pPr>
        <w:pStyle w:val="ListParagraph"/>
        <w:numPr>
          <w:ilvl w:val="0"/>
          <w:numId w:val="726"/>
        </w:numPr>
        <w:jc w:val="both"/>
        <w:rPr>
          <w:rStyle w:val="normaltextrun"/>
          <w:rFonts w:ascii="Times New Roman" w:eastAsiaTheme="majorEastAsia" w:hAnsi="Times New Roman" w:cs="Times New Roman"/>
          <w:noProof/>
          <w:sz w:val="24"/>
          <w:lang w:val="pl-PL"/>
        </w:rPr>
      </w:pPr>
      <w:r>
        <w:rPr>
          <w:rStyle w:val="normaltextrun"/>
          <w:rFonts w:ascii="Times New Roman" w:hAnsi="Times New Roman"/>
          <w:noProof/>
          <w:sz w:val="24"/>
        </w:rPr>
        <w:t>W przypadku inwestycji kapitałowych, w tym kapitału wysokiego ryzyka, kluczowe wymogi polityki inwestycyjnej w odniesieniu do ewentualnego przyznawania funduszy obejmują</w:t>
      </w:r>
      <w:r w:rsidRPr="00A1618E">
        <w:rPr>
          <w:rStyle w:val="normaltextrun"/>
          <w:rFonts w:ascii="Times New Roman" w:hAnsi="Times New Roman"/>
          <w:noProof/>
          <w:sz w:val="24"/>
          <w:lang w:val="pl-PL"/>
        </w:rPr>
        <w:t xml:space="preserve">: </w:t>
      </w:r>
    </w:p>
    <w:p w14:paraId="0812194C" w14:textId="5B9D5232" w:rsidR="006578ED" w:rsidRDefault="00A1618E">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Opis linii produktów finansowych i kwalifikujących się beneficjentów końcowych </w:t>
      </w:r>
    </w:p>
    <w:p w14:paraId="39612950" w14:textId="45775E6B" w:rsidR="006578ED" w:rsidRPr="00A1618E" w:rsidRDefault="00A1618E">
      <w:pPr>
        <w:pStyle w:val="ListParagraph"/>
        <w:numPr>
          <w:ilvl w:val="1"/>
          <w:numId w:val="726"/>
        </w:numPr>
        <w:jc w:val="both"/>
        <w:rPr>
          <w:rStyle w:val="normaltextrun"/>
          <w:rFonts w:ascii="Times New Roman" w:eastAsiaTheme="majorEastAsia" w:hAnsi="Times New Roman" w:cs="Times New Roman"/>
          <w:noProof/>
          <w:sz w:val="24"/>
          <w:lang w:val="pl-PL"/>
        </w:rPr>
      </w:pPr>
      <w:r>
        <w:rPr>
          <w:rStyle w:val="normaltextrun"/>
          <w:rFonts w:ascii="Times New Roman" w:hAnsi="Times New Roman"/>
          <w:noProof/>
          <w:sz w:val="24"/>
        </w:rPr>
        <w:t>Wymóg, aby wszystkie wspierane inwestycje były ekonomicznie opłacalne</w:t>
      </w:r>
      <w:r w:rsidRPr="00A1618E">
        <w:rPr>
          <w:rStyle w:val="normaltextrun"/>
          <w:rFonts w:ascii="Times New Roman" w:hAnsi="Times New Roman"/>
          <w:noProof/>
          <w:sz w:val="24"/>
          <w:lang w:val="pl-PL"/>
        </w:rPr>
        <w:t xml:space="preserve">. </w:t>
      </w:r>
    </w:p>
    <w:p w14:paraId="3735BC1C" w14:textId="3109A7BC" w:rsidR="006578ED" w:rsidRDefault="00A1618E">
      <w:pPr>
        <w:pStyle w:val="ListParagraph"/>
        <w:numPr>
          <w:ilvl w:val="0"/>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 xml:space="preserve">W przypadku inwestycji kapitałowych, w tym kapitału wysokiego ryzyka, następujące wymogi w zakresie monitorowania, audytu i kontroli, w tym: </w:t>
      </w:r>
    </w:p>
    <w:p w14:paraId="5813F73D" w14:textId="40116196" w:rsidR="006578ED" w:rsidRDefault="00A1618E">
      <w:pPr>
        <w:pStyle w:val="P68B1DB1-Normal4"/>
        <w:numPr>
          <w:ilvl w:val="1"/>
          <w:numId w:val="726"/>
        </w:numPr>
        <w:spacing w:after="0" w:line="240" w:lineRule="auto"/>
        <w:jc w:val="both"/>
        <w:rPr>
          <w:rFonts w:cs="Times New Roman"/>
          <w:noProof/>
        </w:rPr>
      </w:pPr>
      <w:r>
        <w:rPr>
          <w:noProof/>
        </w:rPr>
        <w:t>Opis systemu monitorowania IDAE w celu sprawozdawczości na temat uruchomionych inwestycji.</w:t>
      </w:r>
    </w:p>
    <w:p w14:paraId="530565DC" w14:textId="606E5D8F" w:rsidR="006578ED" w:rsidRDefault="00A1618E">
      <w:pPr>
        <w:pStyle w:val="P68B1DB1-paragraph25"/>
        <w:numPr>
          <w:ilvl w:val="1"/>
          <w:numId w:val="726"/>
        </w:numPr>
        <w:spacing w:before="0" w:beforeAutospacing="0" w:after="0" w:afterAutospacing="0"/>
        <w:jc w:val="both"/>
        <w:textAlignment w:val="baseline"/>
        <w:rPr>
          <w:rFonts w:eastAsiaTheme="majorEastAsia" w:cs="Times New Roman"/>
          <w:noProof/>
        </w:rPr>
      </w:pPr>
      <w:r>
        <w:rPr>
          <w:noProof/>
        </w:rPr>
        <w:t>Opis procedur IDAE, które zapewnią zapobieganie nadużyciom finansowym, korupcji i konfliktom interesów oraz ich wykrywanie i korygowanie.</w:t>
      </w:r>
    </w:p>
    <w:p w14:paraId="6576DF5B" w14:textId="77BF7662" w:rsidR="006578ED" w:rsidRDefault="00A1618E">
      <w:pPr>
        <w:pStyle w:val="ListParagraph"/>
        <w:numPr>
          <w:ilvl w:val="1"/>
          <w:numId w:val="726"/>
        </w:numPr>
        <w:rPr>
          <w:rStyle w:val="normaltextrun"/>
          <w:rFonts w:ascii="Times New Roman" w:eastAsiaTheme="majorEastAsia" w:hAnsi="Times New Roman" w:cs="Times New Roman"/>
          <w:noProof/>
          <w:sz w:val="24"/>
        </w:rPr>
      </w:pPr>
      <w:r>
        <w:rPr>
          <w:rStyle w:val="normaltextrun"/>
          <w:rFonts w:ascii="Times New Roman" w:hAnsi="Times New Roman"/>
          <w:noProof/>
          <w:sz w:val="24"/>
        </w:rPr>
        <w:t>Obowiązek weryfikacji kwalifikowalności każdej operacji zgodnie z wymogami określonymi w umowie wykonawczej przed zobowiązaniem się do finansowania danej operacji.</w:t>
      </w:r>
    </w:p>
    <w:p w14:paraId="68FA448A" w14:textId="53279F85" w:rsidR="006578ED" w:rsidRDefault="00A1618E">
      <w:pPr>
        <w:pStyle w:val="ListParagraph"/>
        <w:numPr>
          <w:ilvl w:val="1"/>
          <w:numId w:val="726"/>
        </w:numPr>
        <w:jc w:val="both"/>
        <w:rPr>
          <w:rStyle w:val="normaltextrun"/>
          <w:rFonts w:ascii="Times New Roman" w:eastAsiaTheme="majorEastAsia" w:hAnsi="Times New Roman" w:cs="Times New Roman"/>
          <w:noProof/>
          <w:sz w:val="24"/>
        </w:rPr>
      </w:pPr>
      <w:r>
        <w:rPr>
          <w:rStyle w:val="normaltextrun"/>
          <w:rFonts w:ascii="Times New Roman" w:hAnsi="Times New Roman"/>
          <w:noProof/>
          <w:sz w:val="24"/>
        </w:rPr>
        <w:t>Obowiązek przeprowadzania opartych na analizie ryzyka audytów ex post zgodnie z planem audytu IDAE. Audyty te mają na celu sprawdzenie (i) skuteczności systemów kontroli, w tym wykrywania nadużyć finansowych, korupcji i konfliktu interesów; zgodność z zasadą „nie czyń poważnych szkód”, zasadami pomocy państwa, wymogami dotyczącymi celów klimatycznych; oraz (iii) wymóg, zgodnie z którym IDEA sprawdza, czy beneficjent końcowy przedstawia odpowiedzialne oświadczenie w celu sprawdzenia, czy te same koszty są pokrywane z innego instrumentu unijnego, jest przestrzegany. W ramach audytów sprawdza się również legalność transakcji oraz przestrzeganie warunków obowiązujących instrumentów prawnych lub polityki inwestycyjnej ustanawiających system.</w:t>
      </w:r>
    </w:p>
    <w:p w14:paraId="2DF7F196" w14:textId="35EB02EA" w:rsidR="006578ED" w:rsidRDefault="00A1618E">
      <w:pPr>
        <w:pStyle w:val="P68B1DB1-paragraph25"/>
        <w:spacing w:before="120" w:beforeAutospacing="0" w:after="120" w:afterAutospacing="0"/>
        <w:jc w:val="both"/>
        <w:textAlignment w:val="baseline"/>
        <w:rPr>
          <w:rFonts w:cs="Times New Roman"/>
          <w:noProof/>
        </w:rPr>
      </w:pPr>
      <w:bookmarkStart w:id="27" w:name="_Hlk145498759"/>
      <w:bookmarkEnd w:id="24"/>
      <w:r>
        <w:rPr>
          <w:noProof/>
        </w:rPr>
        <w:t>Realizacja inwestycji zostanie zakończona do dnia 31 sierpnia 20</w:t>
      </w:r>
      <w:r w:rsidRPr="00A1618E">
        <w:rPr>
          <w:noProof/>
          <w:lang w:val="pl-PL"/>
        </w:rPr>
        <w:t>26 r.</w:t>
      </w:r>
      <w:r>
        <w:rPr>
          <w:noProof/>
        </w:rPr>
        <w:t xml:space="preserve"> </w:t>
      </w:r>
      <w:bookmarkEnd w:id="27"/>
    </w:p>
    <w:p w14:paraId="2B161184" w14:textId="2A87D8A3" w:rsidR="006578ED" w:rsidRDefault="00A1618E">
      <w:pPr>
        <w:pStyle w:val="P68B1DB1-paragraph26"/>
        <w:spacing w:before="120" w:after="120"/>
        <w:jc w:val="both"/>
        <w:textAlignment w:val="baseline"/>
        <w:rPr>
          <w:rFonts w:cs="Times New Roman"/>
          <w:noProof/>
        </w:rPr>
      </w:pPr>
      <w:r>
        <w:rPr>
          <w:noProof/>
        </w:rPr>
        <w:t>Inwestycja 6 (C12.I6) – Program dotacji na wsparcie strategicznych projektów w łańcuchu wartości samochodów elektrycznych (dotacji)</w:t>
      </w:r>
    </w:p>
    <w:p w14:paraId="08AAB58C" w14:textId="0C15871D" w:rsidR="006578ED" w:rsidRDefault="00A1618E">
      <w:pPr>
        <w:pStyle w:val="P68B1DB1-paragraph25"/>
        <w:spacing w:before="120" w:after="120"/>
        <w:jc w:val="both"/>
        <w:textAlignment w:val="baseline"/>
        <w:rPr>
          <w:rFonts w:cs="Times New Roman"/>
          <w:noProof/>
        </w:rPr>
      </w:pPr>
      <w:r>
        <w:rPr>
          <w:noProof/>
        </w:rPr>
        <w:t>Środek ten obejmuje inwestycje publiczne w system dotacji w celu zachęcenia do prywatnych inwestycji w łańcuch wartości samochodów elektrycznych poprzez dotacje. Program wspiera transformację sektorów strategicznych, takich jak samochody i pojazdy elektryczne, poprzez przyznawanie dotacji sektorowi prywatnemu w kontekście projektów strategicznych lub PERTE zatwierdzonych przez Radę Ministrów. Na podstawie inwestycji w ramach RRF program dotacji ma początkowo na celu zapewnienie finansowania w wysokości co najmniej 250 000 000 EUR.</w:t>
      </w:r>
    </w:p>
    <w:p w14:paraId="18037602" w14:textId="7FAA9846" w:rsidR="006578ED" w:rsidRDefault="00A1618E">
      <w:pPr>
        <w:pStyle w:val="P68B1DB1-paragraph25"/>
        <w:spacing w:before="120" w:after="120"/>
        <w:jc w:val="both"/>
        <w:textAlignment w:val="baseline"/>
        <w:rPr>
          <w:rFonts w:cs="Times New Roman"/>
          <w:noProof/>
        </w:rPr>
      </w:pPr>
      <w:r>
        <w:rPr>
          <w:noProof/>
        </w:rPr>
        <w:t>Systemem zarządza ENISA jako partner wykonawczy. W celu realizacji tej inwestycji ENISA w odpowiedni akt prawny przekształca ENISA w przedsiębiorstwo publiczne (jest to kamień milowy w ramach inwestycji 6 w ramach komponentu 31 planu odbudowy i zwiększania odporności Hiszpanii).</w:t>
      </w:r>
    </w:p>
    <w:p w14:paraId="57D2DC67" w14:textId="67C33746" w:rsidR="006578ED" w:rsidRPr="00A1618E" w:rsidRDefault="00A1618E">
      <w:pPr>
        <w:pStyle w:val="P68B1DB1-paragraph25"/>
        <w:spacing w:before="120" w:after="120"/>
        <w:jc w:val="both"/>
        <w:textAlignment w:val="baseline"/>
        <w:rPr>
          <w:rFonts w:cs="Times New Roman"/>
          <w:noProof/>
          <w:lang w:val="pl-PL"/>
        </w:rPr>
      </w:pPr>
      <w:r>
        <w:rPr>
          <w:noProof/>
        </w:rPr>
        <w:t>W celu realizacji inwestycji w program rząd przyjmuje jeden lub kilka instrumentów prawnych ustanawiających program, które obejmują następujące elementy</w:t>
      </w:r>
      <w:r w:rsidRPr="00A1618E">
        <w:rPr>
          <w:noProof/>
          <w:lang w:val="pl-PL"/>
        </w:rPr>
        <w:t xml:space="preserve">: </w:t>
      </w:r>
    </w:p>
    <w:p w14:paraId="71E4313C" w14:textId="5A489E3F" w:rsidR="006578ED" w:rsidRDefault="00A1618E">
      <w:pPr>
        <w:pStyle w:val="P68B1DB1-paragraph25"/>
        <w:numPr>
          <w:ilvl w:val="0"/>
          <w:numId w:val="763"/>
        </w:numPr>
        <w:spacing w:before="120" w:after="120"/>
        <w:jc w:val="both"/>
        <w:textAlignment w:val="baseline"/>
        <w:rPr>
          <w:rFonts w:cs="Times New Roman"/>
          <w:noProof/>
        </w:rPr>
      </w:pPr>
      <w:r>
        <w:rPr>
          <w:noProof/>
        </w:rPr>
        <w:t>Opis procesu decyzyjnego w odniesieniu do systemu: Ocena wniosków i wybór beneficjentów, którzy mają zostać uwzględnieni w ostatecznych decyzjach o przyznaniu dotacji lub decyzjach inwestycyjnych w ramach programu, są podejmowane przez komisję oceniającą lub inny równoważny organ zarządzający i zatwierdzane większością głosów członków niezależnych od rządu hiszpańskiego, co oznacza, że muszą oni być pracownikami zatrudnionymi przez ENISA lub innymi niezależnymi ekspertami. Ostateczna decyzja inwestycyjna programu ogranicza się do zatwierdzenia (bez zmian) lub korzystania z prawa weta w odniesieniu do decyzji inwestycyjnej zaproponowanej przez komisję oceniającą lub odpowiedni równoważny organ zarządzający.</w:t>
      </w:r>
    </w:p>
    <w:p w14:paraId="70E00AA1" w14:textId="681AD1DC" w:rsidR="006578ED" w:rsidRDefault="00A1618E">
      <w:pPr>
        <w:pStyle w:val="P68B1DB1-paragraph25"/>
        <w:numPr>
          <w:ilvl w:val="0"/>
          <w:numId w:val="763"/>
        </w:numPr>
        <w:spacing w:before="120" w:after="120"/>
        <w:jc w:val="both"/>
        <w:textAlignment w:val="baseline"/>
        <w:rPr>
          <w:rFonts w:cs="Times New Roman"/>
          <w:noProof/>
        </w:rPr>
      </w:pPr>
      <w:r>
        <w:rPr>
          <w:noProof/>
        </w:rPr>
        <w:t>Wykaz działań na rzecz ekologicznej i cyfrowej transformacji sektora kwalifikujących się do wsparcia, który wynosi co najmniej 250 000 000 EUR. Środek ten wspiera innowacyjne projekty wiążące się ze znaczną transformacją przemysłową pod względem efektywności energetycznej, zrównoważonego rozwoju i transformacji cyfrowej sektora.</w:t>
      </w:r>
    </w:p>
    <w:p w14:paraId="68E02A32" w14:textId="42922F09" w:rsidR="006578ED" w:rsidRDefault="00A1618E">
      <w:pPr>
        <w:pStyle w:val="paragraph"/>
        <w:numPr>
          <w:ilvl w:val="0"/>
          <w:numId w:val="763"/>
        </w:numPr>
        <w:spacing w:before="120" w:after="120"/>
        <w:jc w:val="both"/>
        <w:textAlignment w:val="baseline"/>
        <w:rPr>
          <w:rFonts w:ascii="Times New Roman" w:hAnsi="Times New Roman" w:cs="Times New Roman"/>
          <w:noProof/>
        </w:rPr>
      </w:pPr>
      <w:r>
        <w:rPr>
          <w:rFonts w:ascii="Times New Roman" w:hAnsi="Times New Roman"/>
          <w:noProof/>
        </w:rPr>
        <w:t>Wymóg przestrzegania zasady „nie czyń poważnych szkód” (DNSH) w ramach Instrumentu na rzecz Odbudowy i Zwiększania Odporności, jak określono w wytycznych technicznych dotyczących zasady „nie czyń poważnych szkód” (2021/C58/01). W szczególności instrument(-y) prawny(-e) wyklucza(-ją) następujący wykaz działań: działalności związanej z paliwami kopalnymi, w tym wykorzystania niższego szczebla</w:t>
      </w:r>
      <w:r>
        <w:rPr>
          <w:rStyle w:val="FootnoteReference"/>
          <w:rFonts w:ascii="Times New Roman" w:eastAsiaTheme="minorHAnsi" w:hAnsi="Times New Roman" w:cs="Times New Roman"/>
          <w:noProof/>
        </w:rPr>
        <w:footnoteReference w:id="56"/>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eastAsiaTheme="minorHAnsi" w:hAnsi="Times New Roman" w:cs="Times New Roman"/>
          <w:noProof/>
        </w:rPr>
        <w:footnoteReference w:id="57"/>
      </w:r>
      <w:r>
        <w:rPr>
          <w:rFonts w:ascii="Times New Roman" w:hAnsi="Times New Roman"/>
          <w:noProof/>
        </w:rPr>
        <w:t>; oraz (iii) działalności związanej ze składowiskami odpadów, spalarniami</w:t>
      </w:r>
      <w:r>
        <w:rPr>
          <w:rStyle w:val="FootnoteReference"/>
          <w:rFonts w:ascii="Times New Roman" w:eastAsiaTheme="minorHAnsi" w:hAnsi="Times New Roman" w:cs="Times New Roman"/>
          <w:noProof/>
        </w:rPr>
        <w:footnoteReference w:id="58"/>
      </w:r>
      <w:r>
        <w:rPr>
          <w:rFonts w:ascii="Times New Roman" w:hAnsi="Times New Roman"/>
          <w:noProof/>
        </w:rPr>
        <w:t xml:space="preserve"> i zakładami mechaniczno-biologicznego przetwarzania odpadów</w:t>
      </w:r>
      <w:r>
        <w:rPr>
          <w:rStyle w:val="FootnoteReference"/>
          <w:rFonts w:ascii="Times New Roman" w:eastAsiaTheme="minorHAnsi" w:hAnsi="Times New Roman" w:cs="Times New Roman"/>
          <w:noProof/>
        </w:rPr>
        <w:footnoteReference w:id="59"/>
      </w:r>
      <w:r w:rsidRPr="00A1618E">
        <w:rPr>
          <w:rFonts w:ascii="Times New Roman" w:hAnsi="Times New Roman"/>
          <w:noProof/>
          <w:lang w:val="pl-PL"/>
        </w:rPr>
        <w:t>. P</w:t>
      </w:r>
      <w:r>
        <w:rPr>
          <w:rFonts w:ascii="Times New Roman" w:hAnsi="Times New Roman"/>
          <w:noProof/>
        </w:rPr>
        <w:t xml:space="preserve">onadto instrument(-y) prawny(-e) wymaga(-ją) zgodności z odpowiednimi unijnymi i krajowymi przepisami w zakresie ochrony środowiska beneficjentów końcowych programów dotacji. Następujące działania w zakresie badań, rozwoju i innowacji w ramach tej inwestycji uznaje się za zgodne z wytycznymi technicznymi dotyczącymi zasady „nie czyń poważnych szkód” (2021/C58/01): Działania w zakresie badań, rozwoju i innowacji w ramach tej inwestycji ukierunkowane na znaczne zwiększenie zrównoważenia środowiskowego przedsiębiorstw (takie jak dekarbonizacja, redukcja zanieczyszczeń i gospodarka o obiegu zamkniętym), jeżeli działania w zakresie badań, rozwoju i innowacji w ramach tej inwestycji koncentrują się przede wszystkim na opracowaniu lub dostosowaniu alternatywnych rozwiązań o możliwie najmniejszym wpływie na środowisko w tym sektorze. </w:t>
      </w:r>
    </w:p>
    <w:p w14:paraId="59D67AB0" w14:textId="7716C6BA" w:rsidR="006578ED" w:rsidRDefault="00A1618E">
      <w:pPr>
        <w:pStyle w:val="paragraph"/>
        <w:numPr>
          <w:ilvl w:val="0"/>
          <w:numId w:val="763"/>
        </w:numPr>
        <w:spacing w:before="120" w:after="120"/>
        <w:jc w:val="both"/>
        <w:textAlignment w:val="baseline"/>
        <w:rPr>
          <w:rFonts w:ascii="Times New Roman" w:hAnsi="Times New Roman" w:cs="Times New Roman"/>
          <w:noProof/>
        </w:rPr>
      </w:pPr>
      <w:r>
        <w:rPr>
          <w:rFonts w:ascii="Times New Roman" w:hAnsi="Times New Roman"/>
          <w:noProof/>
        </w:rPr>
        <w:t>Wymogi dotyczące inwestycji klimatycznych realizowanych przez ENISA: co najmniej 100 000 000 EUR z inwestycji RRF w program przyczynia się do realizacji celów związanych ze zmianą klimatu zgodnie z załącznikiem VI do rozporządzenia w sprawie RRF.</w:t>
      </w:r>
      <w:r>
        <w:rPr>
          <w:rStyle w:val="FootnoteReference"/>
          <w:rFonts w:ascii="Times New Roman" w:hAnsi="Times New Roman" w:cs="Times New Roman"/>
          <w:noProof/>
        </w:rPr>
        <w:footnoteReference w:id="60"/>
      </w:r>
      <w:r>
        <w:rPr>
          <w:rFonts w:ascii="Times New Roman" w:hAnsi="Times New Roman"/>
          <w:noProof/>
        </w:rPr>
        <w:t xml:space="preserve"> </w:t>
      </w:r>
    </w:p>
    <w:p w14:paraId="4F5E45AA" w14:textId="5DA98F8D" w:rsidR="006578ED" w:rsidRDefault="00A1618E">
      <w:pPr>
        <w:pStyle w:val="P68B1DB1-paragraph25"/>
        <w:numPr>
          <w:ilvl w:val="0"/>
          <w:numId w:val="763"/>
        </w:numPr>
        <w:spacing w:before="120" w:after="120"/>
        <w:jc w:val="both"/>
        <w:textAlignment w:val="baseline"/>
        <w:rPr>
          <w:rFonts w:cs="Times New Roman"/>
          <w:noProof/>
        </w:rPr>
      </w:pPr>
      <w:r>
        <w:rPr>
          <w:noProof/>
        </w:rPr>
        <w:t>Wymóg, aby beneficjenci końcowi programu subsydiów nie otrzymywali wsparcia z innych instrumentów unijnych w celu pokrycia tych samych kosztów.</w:t>
      </w:r>
    </w:p>
    <w:p w14:paraId="61C4B048" w14:textId="3920A942" w:rsidR="006578ED" w:rsidRDefault="00A1618E">
      <w:pPr>
        <w:pStyle w:val="P68B1DB1-paragraph25"/>
        <w:numPr>
          <w:ilvl w:val="0"/>
          <w:numId w:val="763"/>
        </w:numPr>
        <w:spacing w:before="120" w:after="120"/>
        <w:jc w:val="both"/>
        <w:textAlignment w:val="baseline"/>
        <w:rPr>
          <w:rFonts w:cs="Times New Roman"/>
          <w:noProof/>
        </w:rPr>
      </w:pPr>
      <w:r>
        <w:rPr>
          <w:noProof/>
        </w:rPr>
        <w:t xml:space="preserve">Kwoty objętej programem oraz wymogu reinwestowania wszelkich niewykorzystanych wpływów z programu subsydiów w działania wymienione powyżej, w tym </w:t>
      </w:r>
      <w:r w:rsidRPr="00A1618E">
        <w:rPr>
          <w:noProof/>
          <w:lang w:val="pl-PL"/>
        </w:rPr>
        <w:t>po 2</w:t>
      </w:r>
      <w:r>
        <w:rPr>
          <w:noProof/>
        </w:rPr>
        <w:t>0</w:t>
      </w:r>
      <w:r w:rsidRPr="00A1618E">
        <w:rPr>
          <w:noProof/>
          <w:lang w:val="pl-PL"/>
        </w:rPr>
        <w:t>26 r.</w:t>
      </w:r>
    </w:p>
    <w:p w14:paraId="30FD7CD7" w14:textId="5CA239B5" w:rsidR="006578ED" w:rsidRDefault="00A1618E">
      <w:pPr>
        <w:pStyle w:val="P68B1DB1-paragraph25"/>
        <w:spacing w:before="120" w:beforeAutospacing="0" w:after="120" w:afterAutospacing="0"/>
        <w:jc w:val="both"/>
        <w:textAlignment w:val="baseline"/>
        <w:rPr>
          <w:rFonts w:cs="Times New Roman"/>
          <w:noProof/>
        </w:rPr>
      </w:pPr>
      <w:r>
        <w:rPr>
          <w:noProof/>
        </w:rPr>
        <w:t>Realizacja inwestycji zostanie zakończona do dnia 31 sierpnia 20</w:t>
      </w:r>
      <w:r w:rsidRPr="00A1618E">
        <w:rPr>
          <w:noProof/>
          <w:lang w:val="pl-PL"/>
        </w:rPr>
        <w:t>26 r.</w:t>
      </w:r>
    </w:p>
    <w:p w14:paraId="6F9695D0" w14:textId="77777777" w:rsidR="006578ED" w:rsidRDefault="006578ED">
      <w:pPr>
        <w:spacing w:before="120" w:after="120" w:line="240" w:lineRule="auto"/>
        <w:jc w:val="both"/>
        <w:rPr>
          <w:rFonts w:ascii="Times New Roman" w:hAnsi="Times New Roman" w:cs="Times New Roman"/>
          <w:noProof/>
          <w:sz w:val="24"/>
        </w:rPr>
      </w:pPr>
    </w:p>
    <w:p w14:paraId="7EFE469E" w14:textId="17749CA2" w:rsidR="006578ED" w:rsidRDefault="00A1618E">
      <w:pPr>
        <w:pStyle w:val="P68B1DB1-Normal5"/>
        <w:spacing w:before="120" w:after="120" w:line="240" w:lineRule="auto"/>
        <w:ind w:left="709"/>
        <w:jc w:val="both"/>
        <w:rPr>
          <w:rFonts w:cs="Times New Roman"/>
          <w:noProof/>
        </w:rPr>
      </w:pPr>
      <w:r>
        <w:rPr>
          <w:noProof/>
        </w:rPr>
        <w:t xml:space="preserve">L.2. </w:t>
      </w:r>
      <w:r>
        <w:rPr>
          <w:noProof/>
        </w:rPr>
        <w:tab/>
        <w:t>Kamienie milowe, wartości docelowe, wskaźniki i harmonogram monitorowania i realizacji na potrzeby bezzwrotnego wsparcia finansowego</w:t>
      </w:r>
    </w:p>
    <w:p w14:paraId="7BE8178D" w14:textId="72CC3315" w:rsidR="006578ED" w:rsidRDefault="00A1618E">
      <w:pPr>
        <w:pStyle w:val="P68B1DB1-Normal4"/>
        <w:spacing w:before="120" w:after="120" w:line="240" w:lineRule="auto"/>
        <w:jc w:val="both"/>
        <w:rPr>
          <w:rFonts w:cs="Times New Roman"/>
          <w:noProof/>
          <w:u w:val="single"/>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11DC7BAE" w14:textId="77777777" w:rsidR="006578ED" w:rsidRDefault="006578ED">
      <w:pPr>
        <w:spacing w:before="120" w:after="120" w:line="240" w:lineRule="auto"/>
        <w:ind w:left="709"/>
        <w:jc w:val="both"/>
        <w:rPr>
          <w:rFonts w:ascii="Times New Roman" w:hAnsi="Times New Roman" w:cs="Times New Roman"/>
          <w:noProof/>
          <w:sz w:val="24"/>
        </w:rPr>
      </w:pPr>
    </w:p>
    <w:p w14:paraId="67D31997" w14:textId="77777777" w:rsidR="006578ED" w:rsidRDefault="006578ED">
      <w:pPr>
        <w:spacing w:after="0" w:line="240" w:lineRule="auto"/>
        <w:jc w:val="both"/>
        <w:rPr>
          <w:rFonts w:ascii="Times New Roman" w:hAnsi="Times New Roman" w:cs="Times New Roman"/>
          <w:noProof/>
          <w:sz w:val="24"/>
        </w:rPr>
        <w:sectPr w:rsidR="006578ED" w:rsidSect="00EB7CC8">
          <w:headerReference w:type="even" r:id="rId246"/>
          <w:headerReference w:type="default" r:id="rId247"/>
          <w:footerReference w:type="even" r:id="rId248"/>
          <w:footerReference w:type="default" r:id="rId249"/>
          <w:headerReference w:type="first" r:id="rId250"/>
          <w:footerReference w:type="first" r:id="rId251"/>
          <w:pgSz w:w="11907" w:h="16839"/>
          <w:pgMar w:top="1134" w:right="1417" w:bottom="1134" w:left="1417" w:header="709" w:footer="709" w:gutter="0"/>
          <w:cols w:space="720"/>
          <w:docGrid w:linePitch="360"/>
        </w:sectPr>
      </w:pP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9"/>
        <w:gridCol w:w="826"/>
        <w:gridCol w:w="824"/>
        <w:gridCol w:w="1281"/>
        <w:gridCol w:w="1053"/>
        <w:gridCol w:w="828"/>
        <w:gridCol w:w="638"/>
        <w:gridCol w:w="551"/>
        <w:gridCol w:w="413"/>
        <w:gridCol w:w="551"/>
        <w:gridCol w:w="7344"/>
      </w:tblGrid>
      <w:tr w:rsidR="006578ED" w14:paraId="393CB269" w14:textId="77777777">
        <w:trPr>
          <w:trHeight w:val="309"/>
          <w:tblHeader/>
        </w:trPr>
        <w:tc>
          <w:tcPr>
            <w:tcW w:w="85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43936C38" w14:textId="77777777" w:rsidR="006578ED" w:rsidRDefault="00A1618E">
            <w:pPr>
              <w:pStyle w:val="P68B1DB1-Normal12"/>
              <w:spacing w:after="0" w:line="240" w:lineRule="auto"/>
              <w:jc w:val="both"/>
              <w:rPr>
                <w:rFonts w:cs="Times New Roman"/>
                <w:noProof/>
              </w:rPr>
            </w:pPr>
            <w:r>
              <w:rPr>
                <w:noProof/>
              </w:rPr>
              <w:t>Liczba</w:t>
            </w:r>
          </w:p>
        </w:tc>
        <w:tc>
          <w:tcPr>
            <w:tcW w:w="826"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9AB8041" w14:textId="77777777" w:rsidR="006578ED" w:rsidRDefault="00A1618E">
            <w:pPr>
              <w:pStyle w:val="P68B1DB1-Normal12"/>
              <w:spacing w:after="0" w:line="240" w:lineRule="auto"/>
              <w:jc w:val="center"/>
              <w:rPr>
                <w:rFonts w:cs="Times New Roman"/>
                <w:noProof/>
              </w:rPr>
            </w:pPr>
            <w:r>
              <w:rPr>
                <w:noProof/>
              </w:rPr>
              <w:t>Środek</w:t>
            </w:r>
          </w:p>
        </w:tc>
        <w:tc>
          <w:tcPr>
            <w:tcW w:w="824"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3640446" w14:textId="789E458D"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1281"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F04AFEB" w14:textId="77777777" w:rsidR="006578ED" w:rsidRDefault="00A1618E">
            <w:pPr>
              <w:pStyle w:val="P68B1DB1-Normal12"/>
              <w:spacing w:after="0" w:line="240" w:lineRule="auto"/>
              <w:jc w:val="center"/>
              <w:rPr>
                <w:rFonts w:cs="Times New Roman"/>
                <w:noProof/>
              </w:rPr>
            </w:pPr>
            <w:r>
              <w:rPr>
                <w:noProof/>
              </w:rPr>
              <w:t>Nazwa</w:t>
            </w:r>
          </w:p>
        </w:tc>
        <w:tc>
          <w:tcPr>
            <w:tcW w:w="1053"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71DDB6F1"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01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01D08"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6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226A1E3" w14:textId="77777777" w:rsidR="006578ED" w:rsidRDefault="00A1618E">
            <w:pPr>
              <w:pStyle w:val="P68B1DB1-Normal12"/>
              <w:spacing w:after="0" w:line="240" w:lineRule="auto"/>
              <w:jc w:val="center"/>
              <w:rPr>
                <w:rFonts w:cs="Times New Roman"/>
                <w:noProof/>
              </w:rPr>
            </w:pPr>
            <w:r>
              <w:rPr>
                <w:noProof/>
              </w:rPr>
              <w:t>Czas</w:t>
            </w:r>
          </w:p>
        </w:tc>
        <w:tc>
          <w:tcPr>
            <w:tcW w:w="7344"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3F1D3D1C" w14:textId="77777777" w:rsidR="006578ED" w:rsidRDefault="006578ED">
            <w:pPr>
              <w:spacing w:after="0" w:line="240" w:lineRule="auto"/>
              <w:jc w:val="center"/>
              <w:rPr>
                <w:rFonts w:ascii="Times New Roman" w:hAnsi="Times New Roman" w:cs="Times New Roman"/>
                <w:noProof/>
                <w:sz w:val="18"/>
              </w:rPr>
            </w:pPr>
          </w:p>
          <w:p w14:paraId="5FBE2520" w14:textId="13567EA5" w:rsidR="006578ED" w:rsidRDefault="00A1618E">
            <w:pPr>
              <w:pStyle w:val="P68B1DB1-Normal12"/>
              <w:spacing w:after="0" w:line="240" w:lineRule="auto"/>
              <w:jc w:val="center"/>
              <w:rPr>
                <w:rFonts w:cs="Times New Roman"/>
                <w:noProof/>
              </w:rPr>
            </w:pPr>
            <w:r>
              <w:rPr>
                <w:noProof/>
              </w:rPr>
              <w:t>Opis każdego celu pośredniego i celu końcowego</w:t>
            </w:r>
          </w:p>
          <w:p w14:paraId="1CA3212E" w14:textId="77777777" w:rsidR="006578ED" w:rsidRDefault="00A1618E">
            <w:pPr>
              <w:pStyle w:val="P68B1DB1-Normal13"/>
              <w:tabs>
                <w:tab w:val="left" w:pos="737"/>
              </w:tabs>
              <w:spacing w:after="0" w:line="240" w:lineRule="auto"/>
              <w:rPr>
                <w:rFonts w:cs="Times New Roman"/>
                <w:noProof/>
              </w:rPr>
            </w:pPr>
            <w:r>
              <w:rPr>
                <w:noProof/>
              </w:rPr>
              <w:tab/>
            </w:r>
          </w:p>
        </w:tc>
      </w:tr>
      <w:tr w:rsidR="006578ED" w14:paraId="78B59B52" w14:textId="77777777">
        <w:trPr>
          <w:trHeight w:val="309"/>
          <w:tblHeader/>
        </w:trPr>
        <w:tc>
          <w:tcPr>
            <w:tcW w:w="859" w:type="dxa"/>
            <w:vMerge/>
            <w:noWrap/>
          </w:tcPr>
          <w:p w14:paraId="689531AC" w14:textId="77777777" w:rsidR="006578ED" w:rsidRDefault="006578ED">
            <w:pPr>
              <w:spacing w:after="0" w:line="240" w:lineRule="auto"/>
              <w:jc w:val="center"/>
              <w:rPr>
                <w:rFonts w:ascii="Times New Roman" w:hAnsi="Times New Roman" w:cs="Times New Roman"/>
                <w:noProof/>
                <w:sz w:val="18"/>
              </w:rPr>
            </w:pPr>
          </w:p>
        </w:tc>
        <w:tc>
          <w:tcPr>
            <w:tcW w:w="826" w:type="dxa"/>
            <w:vMerge/>
            <w:noWrap/>
          </w:tcPr>
          <w:p w14:paraId="3E9F70EC" w14:textId="77777777" w:rsidR="006578ED" w:rsidRDefault="006578ED">
            <w:pPr>
              <w:spacing w:after="0" w:line="240" w:lineRule="auto"/>
              <w:jc w:val="center"/>
              <w:rPr>
                <w:rFonts w:ascii="Times New Roman" w:hAnsi="Times New Roman" w:cs="Times New Roman"/>
                <w:noProof/>
                <w:sz w:val="18"/>
              </w:rPr>
            </w:pPr>
          </w:p>
        </w:tc>
        <w:tc>
          <w:tcPr>
            <w:tcW w:w="824" w:type="dxa"/>
            <w:vMerge/>
            <w:noWrap/>
          </w:tcPr>
          <w:p w14:paraId="05BBD49F" w14:textId="77777777" w:rsidR="006578ED" w:rsidRDefault="006578ED">
            <w:pPr>
              <w:spacing w:after="0" w:line="240" w:lineRule="auto"/>
              <w:jc w:val="center"/>
              <w:rPr>
                <w:rFonts w:ascii="Times New Roman" w:hAnsi="Times New Roman" w:cs="Times New Roman"/>
                <w:noProof/>
                <w:sz w:val="18"/>
              </w:rPr>
            </w:pPr>
          </w:p>
        </w:tc>
        <w:tc>
          <w:tcPr>
            <w:tcW w:w="1281" w:type="dxa"/>
            <w:vMerge/>
            <w:noWrap/>
          </w:tcPr>
          <w:p w14:paraId="11D884CC" w14:textId="77777777" w:rsidR="006578ED" w:rsidRDefault="006578ED">
            <w:pPr>
              <w:spacing w:after="0" w:line="240" w:lineRule="auto"/>
              <w:jc w:val="center"/>
              <w:rPr>
                <w:rFonts w:ascii="Times New Roman" w:hAnsi="Times New Roman" w:cs="Times New Roman"/>
                <w:noProof/>
                <w:sz w:val="18"/>
              </w:rPr>
            </w:pPr>
          </w:p>
        </w:tc>
        <w:tc>
          <w:tcPr>
            <w:tcW w:w="1053" w:type="dxa"/>
            <w:vMerge/>
            <w:noWrap/>
            <w:vAlign w:val="center"/>
          </w:tcPr>
          <w:p w14:paraId="3A6B3FF4" w14:textId="77777777" w:rsidR="006578ED" w:rsidRDefault="006578ED">
            <w:pPr>
              <w:spacing w:after="0" w:line="240" w:lineRule="auto"/>
              <w:jc w:val="center"/>
              <w:rPr>
                <w:rFonts w:ascii="Times New Roman" w:hAnsi="Times New Roman" w:cs="Times New Roman"/>
                <w:noProof/>
                <w:sz w:val="18"/>
              </w:rPr>
            </w:pPr>
          </w:p>
        </w:tc>
        <w:tc>
          <w:tcPr>
            <w:tcW w:w="82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F81562C" w14:textId="77777777" w:rsidR="006578ED" w:rsidRDefault="00A1618E">
            <w:pPr>
              <w:pStyle w:val="P68B1DB1-Normal12"/>
              <w:spacing w:after="0" w:line="240" w:lineRule="auto"/>
              <w:jc w:val="center"/>
              <w:rPr>
                <w:rFonts w:cs="Times New Roman"/>
                <w:noProof/>
              </w:rPr>
            </w:pPr>
            <w:r>
              <w:rPr>
                <w:noProof/>
              </w:rPr>
              <w:t>Jednostka</w:t>
            </w:r>
          </w:p>
        </w:tc>
        <w:tc>
          <w:tcPr>
            <w:tcW w:w="63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FD3AA5A" w14:textId="77777777" w:rsidR="006578ED" w:rsidRDefault="00A1618E">
            <w:pPr>
              <w:pStyle w:val="P68B1DB1-Normal12"/>
              <w:spacing w:after="0" w:line="240" w:lineRule="auto"/>
              <w:jc w:val="center"/>
              <w:rPr>
                <w:rFonts w:cs="Times New Roman"/>
                <w:noProof/>
              </w:rPr>
            </w:pPr>
            <w:r>
              <w:rPr>
                <w:noProof/>
              </w:rPr>
              <w:t>Wartość wyjściowa</w:t>
            </w:r>
          </w:p>
        </w:tc>
        <w:tc>
          <w:tcPr>
            <w:tcW w:w="5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3B2CC4" w14:textId="77777777" w:rsidR="006578ED" w:rsidRDefault="00A1618E">
            <w:pPr>
              <w:pStyle w:val="P68B1DB1-Normal12"/>
              <w:spacing w:after="0" w:line="240" w:lineRule="auto"/>
              <w:jc w:val="center"/>
              <w:rPr>
                <w:rFonts w:cs="Times New Roman"/>
                <w:noProof/>
              </w:rPr>
            </w:pPr>
            <w:r>
              <w:rPr>
                <w:noProof/>
              </w:rPr>
              <w:t>Cel</w:t>
            </w:r>
          </w:p>
        </w:tc>
        <w:tc>
          <w:tcPr>
            <w:tcW w:w="41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7312E86" w14:textId="77777777" w:rsidR="006578ED" w:rsidRDefault="00A1618E">
            <w:pPr>
              <w:pStyle w:val="P68B1DB1-Normal12"/>
              <w:spacing w:after="0" w:line="240" w:lineRule="auto"/>
              <w:jc w:val="center"/>
              <w:rPr>
                <w:rFonts w:cs="Times New Roman"/>
                <w:noProof/>
              </w:rPr>
            </w:pPr>
            <w:r>
              <w:rPr>
                <w:noProof/>
              </w:rPr>
              <w:t>Q</w:t>
            </w:r>
          </w:p>
        </w:tc>
        <w:tc>
          <w:tcPr>
            <w:tcW w:w="55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4D2A3EB" w14:textId="77777777" w:rsidR="006578ED" w:rsidRDefault="00A1618E">
            <w:pPr>
              <w:pStyle w:val="P68B1DB1-Normal12"/>
              <w:spacing w:after="0" w:line="240" w:lineRule="auto"/>
              <w:jc w:val="center"/>
              <w:rPr>
                <w:rFonts w:cs="Times New Roman"/>
                <w:noProof/>
              </w:rPr>
            </w:pPr>
            <w:r>
              <w:rPr>
                <w:noProof/>
              </w:rPr>
              <w:t>Rok</w:t>
            </w:r>
          </w:p>
        </w:tc>
        <w:tc>
          <w:tcPr>
            <w:tcW w:w="7344" w:type="dxa"/>
            <w:vMerge/>
            <w:noWrap/>
          </w:tcPr>
          <w:p w14:paraId="4FE75506" w14:textId="77777777" w:rsidR="006578ED" w:rsidRDefault="006578ED">
            <w:pPr>
              <w:tabs>
                <w:tab w:val="left" w:pos="737"/>
              </w:tabs>
              <w:spacing w:after="0" w:line="240" w:lineRule="auto"/>
              <w:rPr>
                <w:rFonts w:ascii="Times New Roman" w:hAnsi="Times New Roman" w:cs="Times New Roman"/>
                <w:noProof/>
                <w:sz w:val="18"/>
              </w:rPr>
            </w:pPr>
          </w:p>
        </w:tc>
      </w:tr>
      <w:tr w:rsidR="006578ED" w14:paraId="31788039"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A149851" w14:textId="77777777" w:rsidR="006578ED" w:rsidRDefault="00A1618E">
            <w:pPr>
              <w:pStyle w:val="P68B1DB1-Normal13"/>
              <w:spacing w:after="0" w:line="240" w:lineRule="auto"/>
              <w:jc w:val="center"/>
              <w:rPr>
                <w:rFonts w:cs="Times New Roman"/>
                <w:noProof/>
              </w:rPr>
            </w:pPr>
            <w:r>
              <w:rPr>
                <w:noProof/>
              </w:rPr>
              <w:t>176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3243B43" w14:textId="77777777" w:rsidR="006578ED" w:rsidRDefault="00A1618E">
            <w:pPr>
              <w:pStyle w:val="P68B1DB1-Normal13"/>
              <w:spacing w:after="0" w:line="240" w:lineRule="auto"/>
              <w:jc w:val="center"/>
              <w:rPr>
                <w:rFonts w:cs="Times New Roman"/>
                <w:noProof/>
              </w:rPr>
            </w:pPr>
            <w:r>
              <w:rPr>
                <w:noProof/>
              </w:rPr>
              <w:t>C12.R1</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0023908" w14:textId="49EC9DDE" w:rsidR="006578ED" w:rsidRDefault="00AF6B91">
            <w:pPr>
              <w:pStyle w:val="P68B1DB1-Normal13"/>
              <w:spacing w:after="0" w:line="240" w:lineRule="auto"/>
              <w:jc w:val="center"/>
              <w:rPr>
                <w:rFonts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052AA85" w14:textId="33DFA3E9" w:rsidR="006578ED" w:rsidRDefault="00A1618E">
            <w:pPr>
              <w:pStyle w:val="P68B1DB1-Normal13"/>
              <w:spacing w:after="0" w:line="240" w:lineRule="auto"/>
              <w:rPr>
                <w:rFonts w:cs="Times New Roman"/>
                <w:noProof/>
              </w:rPr>
            </w:pPr>
            <w:r>
              <w:rPr>
                <w:noProof/>
              </w:rPr>
              <w:t>Wejście w życie ustawy o przemyśle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E647626" w14:textId="67D3F5A3" w:rsidR="006578ED" w:rsidRDefault="00A1618E">
            <w:pPr>
              <w:pStyle w:val="P68B1DB1-Normal13"/>
              <w:spacing w:after="0" w:line="240" w:lineRule="auto"/>
              <w:jc w:val="center"/>
              <w:rPr>
                <w:rFonts w:cs="Times New Roman"/>
                <w:noProof/>
              </w:rPr>
            </w:pPr>
            <w:r>
              <w:rPr>
                <w:noProof/>
              </w:rPr>
              <w:t>Przepis ustawy wskazujący na wejście w życie ustawy</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1574BC" w14:textId="77777777" w:rsidR="006578ED" w:rsidRDefault="00A1618E">
            <w:pPr>
              <w:pStyle w:val="P68B1DB1-Normal13"/>
              <w:spacing w:after="0" w:line="240" w:lineRule="auto"/>
              <w:jc w:val="right"/>
              <w:rPr>
                <w:rFonts w:cs="Times New Roman"/>
                <w:noProof/>
              </w:rPr>
            </w:pPr>
            <w:r>
              <w:rPr>
                <w:noProof/>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52C1D79" w14:textId="77777777" w:rsidR="006578ED" w:rsidRDefault="00A1618E">
            <w:pPr>
              <w:pStyle w:val="P68B1DB1-Normal13"/>
              <w:spacing w:after="0" w:line="240" w:lineRule="auto"/>
              <w:jc w:val="right"/>
              <w:rPr>
                <w:rFonts w:cs="Times New Roman"/>
                <w:noProof/>
              </w:rPr>
            </w:pPr>
            <w:r>
              <w:rPr>
                <w:noProof/>
              </w:rPr>
              <w:t>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873883E" w14:textId="77777777" w:rsidR="006578ED" w:rsidRDefault="00A1618E">
            <w:pPr>
              <w:pStyle w:val="P68B1DB1-Normal13"/>
              <w:spacing w:after="0" w:line="240" w:lineRule="auto"/>
              <w:jc w:val="right"/>
              <w:rPr>
                <w:rFonts w:cs="Times New Roman"/>
                <w:noProof/>
              </w:rPr>
            </w:pPr>
            <w:r>
              <w:rPr>
                <w:noProof/>
              </w:rPr>
              <w:t>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33E91D5" w14:textId="1DE9C706" w:rsidR="006578ED" w:rsidRDefault="00EC188C">
            <w:pPr>
              <w:pStyle w:val="P68B1DB1-Normal13"/>
              <w:spacing w:after="0" w:line="240" w:lineRule="auto"/>
              <w:jc w:val="center"/>
              <w:rPr>
                <w:rFonts w:cs="Times New Roman"/>
                <w:noProof/>
              </w:rPr>
            </w:pPr>
            <w:r>
              <w:rPr>
                <w:noProof/>
              </w:rPr>
              <w:t>KW. 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26D7405" w14:textId="2047E901" w:rsidR="006578ED" w:rsidRDefault="00A1618E">
            <w:pPr>
              <w:pStyle w:val="P68B1DB1-Normal13"/>
              <w:spacing w:after="0" w:line="240" w:lineRule="auto"/>
              <w:jc w:val="center"/>
              <w:rPr>
                <w:rFonts w:cs="Times New Roman"/>
                <w:noProof/>
              </w:rPr>
            </w:pPr>
            <w:r>
              <w:rPr>
                <w:noProof/>
              </w:rPr>
              <w:t>2023</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C089CEA" w14:textId="0ADDE8E5" w:rsidR="006578ED" w:rsidRDefault="00A1618E">
            <w:pPr>
              <w:pStyle w:val="P68B1DB1-Normal13"/>
              <w:spacing w:after="0" w:line="240" w:lineRule="auto"/>
              <w:rPr>
                <w:rFonts w:cs="Times New Roman"/>
                <w:noProof/>
              </w:rPr>
            </w:pPr>
            <w:r>
              <w:rPr>
                <w:noProof/>
              </w:rPr>
              <w:t>Celem ustawy jest poprawa mechanizmów koordynacji między różnymi szczeblami administracji rządowej w zakresie polityki przemysłowej oraz poprawa jakości i bezpieczeństwa przemysłowego dzięki wzmocnionemu systemowi nadzoru rynku, zgodnie z rozporządzeniem Parlamentu Europejskiego i Rady (UE) 2019/1020 z dnia 20 czerwca 20</w:t>
            </w:r>
            <w:r w:rsidRPr="00A1618E">
              <w:rPr>
                <w:noProof/>
                <w:lang w:val="pl-PL"/>
              </w:rPr>
              <w:t>19 r.</w:t>
            </w:r>
            <w:r>
              <w:rPr>
                <w:noProof/>
              </w:rPr>
              <w:t xml:space="preserve"> w sprawie nadzoru rynku i zgodności produktów oraz zmieniającym dyrektywę 2004/42/WE oraz rozporządzenia (WE) </w:t>
            </w:r>
            <w:r w:rsidRPr="00A1618E">
              <w:rPr>
                <w:noProof/>
                <w:lang w:val="pl-PL"/>
              </w:rPr>
              <w:t>nr 7</w:t>
            </w:r>
            <w:r>
              <w:rPr>
                <w:noProof/>
              </w:rPr>
              <w:t xml:space="preserve">65/2008 i (UE) </w:t>
            </w:r>
            <w:r w:rsidRPr="00A1618E">
              <w:rPr>
                <w:noProof/>
                <w:lang w:val="pl-PL"/>
              </w:rPr>
              <w:t>nr 3</w:t>
            </w:r>
            <w:r>
              <w:rPr>
                <w:noProof/>
              </w:rPr>
              <w:t>05/2011. Ponadto należy zmienić definicję naruszeń w tej dziedzinie i zaktualizować poziom kar, które mogą być stosowane.</w:t>
            </w:r>
          </w:p>
        </w:tc>
      </w:tr>
      <w:tr w:rsidR="006578ED" w14:paraId="30E8B3C3"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6DBD28F" w14:textId="77777777" w:rsidR="006578ED" w:rsidRDefault="00A1618E">
            <w:pPr>
              <w:pStyle w:val="P68B1DB1-Normal13"/>
              <w:spacing w:after="0" w:line="240" w:lineRule="auto"/>
              <w:jc w:val="center"/>
              <w:rPr>
                <w:rFonts w:eastAsia="Times New Roman" w:cs="Times New Roman"/>
                <w:noProof/>
              </w:rPr>
            </w:pPr>
            <w:r>
              <w:rPr>
                <w:noProof/>
              </w:rPr>
              <w:t>177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A29BF91" w14:textId="77777777" w:rsidR="006578ED" w:rsidRDefault="00A1618E">
            <w:pPr>
              <w:pStyle w:val="P68B1DB1-Normal13"/>
              <w:spacing w:after="0" w:line="240" w:lineRule="auto"/>
              <w:jc w:val="center"/>
              <w:rPr>
                <w:rFonts w:eastAsia="Times New Roman"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EA7152F" w14:textId="3229EAE4" w:rsidR="006578ED" w:rsidRDefault="00AF6B91">
            <w:pPr>
              <w:pStyle w:val="P68B1DB1-Normal13"/>
              <w:spacing w:after="0" w:line="240" w:lineRule="auto"/>
              <w:jc w:val="center"/>
              <w:rPr>
                <w:rFonts w:eastAsia="Times New Roman"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AE4A169" w14:textId="6E0F029F" w:rsidR="006578ED" w:rsidRDefault="00A1618E">
            <w:pPr>
              <w:pStyle w:val="P68B1DB1-Normal13"/>
              <w:spacing w:after="0" w:line="240" w:lineRule="auto"/>
              <w:rPr>
                <w:rFonts w:eastAsia="Times New Roman" w:cs="Times New Roman"/>
                <w:noProof/>
              </w:rPr>
            </w:pPr>
            <w:r>
              <w:rPr>
                <w:noProof/>
              </w:rPr>
              <w:t>Hiszpańska strategia na rzecz gospodarki o obiegu zamkniętym (EEEC)</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0112438" w14:textId="77777777" w:rsidR="006578ED" w:rsidRDefault="00A1618E">
            <w:pPr>
              <w:pStyle w:val="P68B1DB1-Normal13"/>
              <w:spacing w:after="0" w:line="240" w:lineRule="auto"/>
              <w:jc w:val="center"/>
              <w:rPr>
                <w:rFonts w:eastAsia="Times New Roman" w:cs="Times New Roman"/>
                <w:noProof/>
              </w:rPr>
            </w:pPr>
            <w:r>
              <w:rPr>
                <w:noProof/>
              </w:rPr>
              <w:t>Zatwierdzenie przez Radę Ministrów</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CA74179"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787A395"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99B893B"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EEC912C" w14:textId="026445C6" w:rsidR="006578ED" w:rsidRDefault="00EC188C">
            <w:pPr>
              <w:pStyle w:val="P68B1DB1-Normal13"/>
              <w:spacing w:after="0" w:line="240" w:lineRule="auto"/>
              <w:jc w:val="center"/>
              <w:rPr>
                <w:rFonts w:eastAsia="Times New Roman" w:cs="Times New Roman"/>
                <w:noProof/>
              </w:rPr>
            </w:pPr>
            <w:r>
              <w:rPr>
                <w:noProof/>
              </w:rPr>
              <w:t>KW. 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8A1EAD" w14:textId="77777777" w:rsidR="006578ED" w:rsidRDefault="00A1618E">
            <w:pPr>
              <w:pStyle w:val="P68B1DB1-Normal13"/>
              <w:spacing w:after="0" w:line="240" w:lineRule="auto"/>
              <w:jc w:val="center"/>
              <w:rPr>
                <w:rFonts w:eastAsia="Times New Roman" w:cs="Times New Roman"/>
                <w:noProof/>
              </w:rPr>
            </w:pPr>
            <w:r>
              <w:rPr>
                <w:noProof/>
              </w:rPr>
              <w:t>2020</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1C79696" w14:textId="5872BFC9" w:rsidR="006578ED" w:rsidRDefault="00A1618E">
            <w:pPr>
              <w:pStyle w:val="P68B1DB1-Normal13"/>
              <w:spacing w:after="0" w:line="240" w:lineRule="auto"/>
              <w:rPr>
                <w:rFonts w:eastAsia="Times New Roman" w:cs="Times New Roman"/>
                <w:noProof/>
              </w:rPr>
            </w:pPr>
            <w:r>
              <w:rPr>
                <w:noProof/>
              </w:rPr>
              <w:t>Zatwierdzenie hiszpańskiej strategii dotyczącej gospodarki o obiegu zamkniętym (EEEC). Stanowi on podstawę promowania nowego modelu produkcji i konsumpcji, w którym wartość produktów, materiałów i zasobów jest utrzymywana jak najdłużej, w którym ogranicza się do minimum wytwarzanie odpadów, a odpady, których nie można uniknąć, są w pełni wykorzystywane.</w:t>
            </w:r>
          </w:p>
        </w:tc>
      </w:tr>
      <w:tr w:rsidR="006578ED" w14:paraId="7EF1EA2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A450D50" w14:textId="77777777" w:rsidR="006578ED" w:rsidRDefault="00A1618E">
            <w:pPr>
              <w:pStyle w:val="P68B1DB1-Normal13"/>
              <w:spacing w:after="0" w:line="240" w:lineRule="auto"/>
              <w:jc w:val="center"/>
              <w:rPr>
                <w:rFonts w:eastAsia="Times New Roman" w:cs="Times New Roman"/>
                <w:noProof/>
              </w:rPr>
            </w:pPr>
            <w:r>
              <w:rPr>
                <w:noProof/>
              </w:rPr>
              <w:t>178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61CAF38" w14:textId="77777777" w:rsidR="006578ED" w:rsidRDefault="00A1618E">
            <w:pPr>
              <w:pStyle w:val="P68B1DB1-Normal13"/>
              <w:spacing w:after="0" w:line="240" w:lineRule="auto"/>
              <w:jc w:val="center"/>
              <w:rPr>
                <w:rFonts w:eastAsia="Times New Roman"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57AEC88" w14:textId="60AB9DB9" w:rsidR="006578ED" w:rsidRDefault="00AF6B91">
            <w:pPr>
              <w:pStyle w:val="P68B1DB1-Normal13"/>
              <w:spacing w:after="0" w:line="240" w:lineRule="auto"/>
              <w:jc w:val="center"/>
              <w:rPr>
                <w:rFonts w:eastAsia="Times New Roman"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7D0FA8B" w14:textId="4A46CC98" w:rsidR="006578ED" w:rsidRDefault="00A1618E">
            <w:pPr>
              <w:pStyle w:val="P68B1DB1-Normal13"/>
              <w:spacing w:after="0" w:line="240" w:lineRule="auto"/>
              <w:rPr>
                <w:rFonts w:eastAsia="Times New Roman" w:cs="Times New Roman"/>
                <w:noProof/>
              </w:rPr>
            </w:pPr>
            <w:r>
              <w:rPr>
                <w:noProof/>
              </w:rPr>
              <w:t>Wejście w życie aktów stanowiących część pakietu politycznego dotyczącego gospodarki o obiegu zamkniętym</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72877DE" w14:textId="109DD6DB" w:rsidR="006578ED" w:rsidRDefault="00A1618E">
            <w:pPr>
              <w:pStyle w:val="P68B1DB1-Normal13"/>
              <w:spacing w:after="0" w:line="240" w:lineRule="auto"/>
              <w:jc w:val="center"/>
              <w:rPr>
                <w:rFonts w:eastAsia="Times New Roman" w:cs="Times New Roman"/>
                <w:noProof/>
              </w:rPr>
            </w:pPr>
            <w:r>
              <w:rPr>
                <w:noProof/>
              </w:rPr>
              <w:t>Przepisy dekretów królewskich wskazujące na wejście w życie ustaw</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768B6386"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5C7610C0"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86D865E"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CC89E36" w14:textId="27B0472A" w:rsidR="006578ED" w:rsidRDefault="00EC188C">
            <w:pPr>
              <w:pStyle w:val="P68B1DB1-Normal13"/>
              <w:spacing w:after="0" w:line="240" w:lineRule="auto"/>
              <w:jc w:val="center"/>
              <w:rPr>
                <w:rFonts w:eastAsia="Times New Roman" w:cs="Times New Roman"/>
                <w:noProof/>
              </w:rPr>
            </w:pPr>
            <w:r>
              <w:rPr>
                <w:noProof/>
              </w:rPr>
              <w:t>KW. 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76A6432" w14:textId="77777777" w:rsidR="006578ED" w:rsidRDefault="00A1618E">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67929F30" w14:textId="5AF19255" w:rsidR="006578ED" w:rsidRDefault="00A1618E">
            <w:pPr>
              <w:pStyle w:val="P68B1DB1-Normal13"/>
              <w:spacing w:after="0" w:line="240" w:lineRule="auto"/>
              <w:rPr>
                <w:rFonts w:eastAsia="Times New Roman" w:cs="Times New Roman"/>
                <w:noProof/>
              </w:rPr>
            </w:pPr>
            <w:r>
              <w:rPr>
                <w:noProof/>
              </w:rPr>
              <w:t>Pakiet dotyczący polityki gospodarki o obiegu zamkniętym obejmuje:</w:t>
            </w:r>
            <w:r>
              <w:rPr>
                <w:noProof/>
              </w:rPr>
              <w:br/>
              <w:t xml:space="preserve">Dekret królewski </w:t>
            </w:r>
            <w:r w:rsidRPr="00A1618E">
              <w:rPr>
                <w:noProof/>
                <w:lang w:val="pl-PL"/>
              </w:rPr>
              <w:t>nr 7</w:t>
            </w:r>
            <w:r>
              <w:rPr>
                <w:noProof/>
              </w:rPr>
              <w:t>31/2020 z dnia 4 sierpnia zmieniający dekret królewski 1619/2005 z dnia 30 grudnia 20</w:t>
            </w:r>
            <w:r w:rsidRPr="00A1618E">
              <w:rPr>
                <w:noProof/>
                <w:lang w:val="pl-PL"/>
              </w:rPr>
              <w:t>05 r.</w:t>
            </w:r>
            <w:r>
              <w:rPr>
                <w:noProof/>
              </w:rPr>
              <w:t xml:space="preserve"> w sprawie zarządzania oponami wycofanymi z eksploatacji.</w:t>
            </w:r>
            <w:r>
              <w:rPr>
                <w:noProof/>
              </w:rPr>
              <w:br/>
              <w:t xml:space="preserve">Dekret królewski </w:t>
            </w:r>
            <w:r w:rsidRPr="00A1618E">
              <w:rPr>
                <w:noProof/>
                <w:lang w:val="pl-PL"/>
              </w:rPr>
              <w:t>nr 6</w:t>
            </w:r>
            <w:r>
              <w:rPr>
                <w:noProof/>
              </w:rPr>
              <w:t>46/2020 z dnia 7 lipca regulujący unieszkodliwianie odpadów na składowiskach.</w:t>
            </w:r>
            <w:r>
              <w:rPr>
                <w:noProof/>
              </w:rPr>
              <w:br/>
              <w:t>Dekret królewski 553/2020 z dnia 2 czerwca 20</w:t>
            </w:r>
            <w:r w:rsidRPr="00A1618E">
              <w:rPr>
                <w:noProof/>
                <w:lang w:val="pl-PL"/>
              </w:rPr>
              <w:t>20 r.</w:t>
            </w:r>
            <w:r>
              <w:rPr>
                <w:noProof/>
              </w:rPr>
              <w:t xml:space="preserve"> regulujący przemieszczanie odpadów na terytorium państwa.</w:t>
            </w:r>
            <w:r>
              <w:rPr>
                <w:noProof/>
              </w:rPr>
              <w:br/>
              <w:t>Dekrety królewskie 27/2021 z dnia 19 stycznia i 265/2021 z dnia 13 kwietnia.</w:t>
            </w:r>
            <w:r>
              <w:rPr>
                <w:noProof/>
              </w:rPr>
              <w:br/>
              <w:t>Zbliżające się zatwierdzenie środków regulacyjnych dotyczących opakowań i odpadów opakowaniowych przez Radę Ministrów w 20</w:t>
            </w:r>
            <w:r w:rsidRPr="00A1618E">
              <w:rPr>
                <w:noProof/>
                <w:lang w:val="pl-PL"/>
              </w:rPr>
              <w:t>22 r.</w:t>
            </w:r>
          </w:p>
        </w:tc>
      </w:tr>
      <w:tr w:rsidR="006578ED" w14:paraId="11D87B12"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1B09B5C" w14:textId="77777777" w:rsidR="006578ED" w:rsidRDefault="00A1618E">
            <w:pPr>
              <w:pStyle w:val="P68B1DB1-Normal13"/>
              <w:spacing w:after="0" w:line="240" w:lineRule="auto"/>
              <w:jc w:val="center"/>
              <w:rPr>
                <w:rFonts w:eastAsia="Times New Roman" w:cs="Times New Roman"/>
                <w:noProof/>
              </w:rPr>
            </w:pPr>
            <w:r>
              <w:rPr>
                <w:noProof/>
              </w:rPr>
              <w:t>179</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0F44CD1A" w14:textId="77777777" w:rsidR="006578ED" w:rsidRDefault="00A1618E">
            <w:pPr>
              <w:pStyle w:val="P68B1DB1-Normal13"/>
              <w:spacing w:after="0" w:line="240" w:lineRule="auto"/>
              <w:jc w:val="center"/>
              <w:rPr>
                <w:rFonts w:eastAsia="Times New Roman"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D7D0628" w14:textId="3CD1F82F" w:rsidR="006578ED" w:rsidRDefault="00AF6B91">
            <w:pPr>
              <w:pStyle w:val="P68B1DB1-Normal13"/>
              <w:spacing w:after="0" w:line="240" w:lineRule="auto"/>
              <w:jc w:val="center"/>
              <w:rPr>
                <w:rFonts w:eastAsia="Times New Roman"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206210B6" w14:textId="291A35E5" w:rsidR="006578ED" w:rsidRDefault="00A1618E">
            <w:pPr>
              <w:pStyle w:val="P68B1DB1-Normal13"/>
              <w:spacing w:after="0" w:line="240" w:lineRule="auto"/>
              <w:rPr>
                <w:rFonts w:eastAsia="Times New Roman" w:cs="Times New Roman"/>
                <w:noProof/>
              </w:rPr>
            </w:pPr>
            <w:r>
              <w:rPr>
                <w:noProof/>
              </w:rPr>
              <w:t xml:space="preserve">Wejście w życie ustawy o odpadach i zanieczyszczonych glebach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D27EA56" w14:textId="4F58897A" w:rsidR="006578ED" w:rsidRDefault="00A1618E">
            <w:pPr>
              <w:pStyle w:val="P68B1DB1-Normal13"/>
              <w:spacing w:after="0" w:line="240" w:lineRule="auto"/>
              <w:jc w:val="center"/>
              <w:rPr>
                <w:rFonts w:eastAsia="Times New Roman" w:cs="Times New Roman"/>
                <w:noProof/>
              </w:rPr>
            </w:pPr>
            <w:r>
              <w:rPr>
                <w:noProof/>
              </w:rPr>
              <w:t xml:space="preserve"> Przepis ustawy wskazujący na wejście w życie ustawy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55C560" w14:textId="77777777" w:rsidR="006578ED" w:rsidRDefault="00A1618E">
            <w:pPr>
              <w:pStyle w:val="P68B1DB1-Normal13"/>
              <w:spacing w:after="0" w:line="240" w:lineRule="auto"/>
              <w:jc w:val="right"/>
              <w:rPr>
                <w:rFonts w:eastAsia="Times New Roman" w:cs="Times New Roman"/>
                <w:noProof/>
              </w:rPr>
            </w:pPr>
            <w:r>
              <w:rPr>
                <w:noProof/>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0881CF84" w14:textId="77777777" w:rsidR="006578ED" w:rsidRDefault="00A1618E">
            <w:pPr>
              <w:pStyle w:val="P68B1DB1-Normal13"/>
              <w:spacing w:after="0" w:line="240" w:lineRule="auto"/>
              <w:jc w:val="right"/>
              <w:rPr>
                <w:rFonts w:eastAsia="Times New Roman" w:cs="Times New Roman"/>
                <w:noProof/>
              </w:rPr>
            </w:pPr>
            <w:r>
              <w:rPr>
                <w:noProof/>
              </w:rPr>
              <w:t>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702B40C" w14:textId="77777777" w:rsidR="006578ED" w:rsidRDefault="00A1618E">
            <w:pPr>
              <w:pStyle w:val="P68B1DB1-Normal13"/>
              <w:spacing w:after="0" w:line="240" w:lineRule="auto"/>
              <w:jc w:val="right"/>
              <w:rPr>
                <w:rFonts w:eastAsia="Times New Roman" w:cs="Times New Roman"/>
                <w:noProof/>
              </w:rPr>
            </w:pPr>
            <w:r>
              <w:rPr>
                <w:noProof/>
              </w:rPr>
              <w:t>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DC219EF" w14:textId="09E39F7B" w:rsidR="006578ED" w:rsidRDefault="00EC188C">
            <w:pPr>
              <w:pStyle w:val="P68B1DB1-Normal13"/>
              <w:spacing w:after="0" w:line="240" w:lineRule="auto"/>
              <w:jc w:val="center"/>
              <w:rPr>
                <w:rFonts w:eastAsia="Times New Roman" w:cs="Times New Roman"/>
                <w:noProof/>
              </w:rPr>
            </w:pPr>
            <w:r>
              <w:rPr>
                <w:noProof/>
              </w:rPr>
              <w:t>KW. 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A69BD1D" w14:textId="77777777" w:rsidR="006578ED" w:rsidRDefault="00A1618E">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588F2D4" w14:textId="1753BEFA" w:rsidR="006578ED" w:rsidRDefault="00A1618E">
            <w:pPr>
              <w:pStyle w:val="P68B1DB1-Normal13"/>
              <w:spacing w:after="0" w:line="240" w:lineRule="auto"/>
              <w:rPr>
                <w:rFonts w:cs="Times New Roman"/>
                <w:noProof/>
              </w:rPr>
            </w:pPr>
            <w:r>
              <w:rPr>
                <w:noProof/>
              </w:rPr>
              <w:t xml:space="preserve">Ustawa zawiera: </w:t>
            </w:r>
            <w:r>
              <w:rPr>
                <w:noProof/>
              </w:rPr>
              <w:br/>
              <w:t xml:space="preserve">wdrożenie dyrektywy ramowej w sprawie odpadów oraz dyrektywy w sprawie tworzyw sztucznych jednorazowego użytku, a także aktualizację hiszpańskich przepisów w świetle doświadczeń ostatnich dziesięciu lat; </w:t>
            </w:r>
            <w:r>
              <w:rPr>
                <w:noProof/>
              </w:rPr>
              <w:br/>
              <w:t>wprowadzenie celów UE dotyczących odpadów oraz obowiązków w zakresie selektywnej zbiórki wynikających z przepisów UE, przewidujących ich wdrożenie w odniesieniu do bioodpadów w gminach liczących ponad 5000 mieszkańców</w:t>
            </w:r>
            <w:r w:rsidRPr="00A1618E">
              <w:rPr>
                <w:noProof/>
                <w:lang w:val="pl-PL"/>
              </w:rPr>
              <w:t>. P</w:t>
            </w:r>
            <w:r>
              <w:rPr>
                <w:noProof/>
              </w:rPr>
              <w:t>onadto środek wprowadza obowiązki selektywnej zbiórki, które wykraczają poza wymogi ustanowione w prawie Unii;</w:t>
            </w:r>
            <w:r>
              <w:rPr>
                <w:noProof/>
              </w:rPr>
              <w:br/>
              <w:t>(III) przegląd regulacji dotyczących rozszerzonej odpowiedzialności producenta poprzez ustanowienie nowych przepisów wykraczających poza to, co jest wymagane przez prawo Unii;</w:t>
            </w:r>
            <w:r>
              <w:rPr>
                <w:noProof/>
              </w:rPr>
              <w:br/>
              <w:t>wprowadzenie opodatkowania przez państwo odpadów (w tym składowania, spalania i współspalania oraz pojemników jednorazowego użytku z tworzyw sztucznych).</w:t>
            </w:r>
          </w:p>
        </w:tc>
      </w:tr>
      <w:tr w:rsidR="006578ED" w14:paraId="36D9C0F6"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8F62307" w14:textId="77777777" w:rsidR="006578ED" w:rsidRDefault="00A1618E">
            <w:pPr>
              <w:pStyle w:val="P68B1DB1-Normal13"/>
              <w:spacing w:after="0" w:line="240" w:lineRule="auto"/>
              <w:jc w:val="center"/>
              <w:rPr>
                <w:rFonts w:eastAsia="Times New Roman" w:cs="Times New Roman"/>
                <w:noProof/>
              </w:rPr>
            </w:pPr>
            <w:r>
              <w:rPr>
                <w:noProof/>
              </w:rPr>
              <w:t>180</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5AA93F1" w14:textId="77777777" w:rsidR="006578ED" w:rsidRDefault="00A1618E">
            <w:pPr>
              <w:pStyle w:val="P68B1DB1-Normal13"/>
              <w:spacing w:after="0" w:line="240" w:lineRule="auto"/>
              <w:jc w:val="center"/>
              <w:rPr>
                <w:rFonts w:eastAsia="Times New Roman" w:cs="Times New Roman"/>
                <w:noProof/>
              </w:rPr>
            </w:pPr>
            <w:r>
              <w:rPr>
                <w:noProof/>
              </w:rPr>
              <w:t>C12.I1</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BFA5A92" w14:textId="6AFA474D" w:rsidR="006578ED" w:rsidRDefault="00AF6B91">
            <w:pPr>
              <w:pStyle w:val="P68B1DB1-Normal13"/>
              <w:spacing w:after="0" w:line="240" w:lineRule="auto"/>
              <w:jc w:val="center"/>
              <w:rPr>
                <w:rFonts w:eastAsia="Times New Roman" w:cs="Times New Roman"/>
                <w:noProof/>
              </w:rPr>
            </w:pPr>
            <w:r>
              <w:rPr>
                <w:noProof/>
              </w:rPr>
              <w:t>Cel</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E715A99" w14:textId="65199351" w:rsidR="006578ED" w:rsidRDefault="00A1618E">
            <w:pPr>
              <w:pStyle w:val="P68B1DB1-Normal13"/>
              <w:spacing w:after="0" w:line="240" w:lineRule="auto"/>
              <w:rPr>
                <w:rFonts w:eastAsia="Times New Roman" w:cs="Times New Roman"/>
                <w:noProof/>
              </w:rPr>
            </w:pPr>
            <w:r>
              <w:rPr>
                <w:noProof/>
              </w:rPr>
              <w:t>Sektorowe i interoperacyjne przestrzenie danych o wysokiej wartości</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DAD64F6" w14:textId="77777777" w:rsidR="006578ED" w:rsidRDefault="00A1618E">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0073937" w14:textId="77777777" w:rsidR="006578ED" w:rsidRDefault="00A1618E">
            <w:pPr>
              <w:pStyle w:val="P68B1DB1-Normal13"/>
              <w:spacing w:after="0" w:line="240" w:lineRule="auto"/>
              <w:jc w:val="right"/>
              <w:rPr>
                <w:rFonts w:eastAsia="Times New Roman" w:cs="Times New Roman"/>
                <w:noProof/>
              </w:rPr>
            </w:pPr>
            <w:r>
              <w:rPr>
                <w:noProof/>
              </w:rPr>
              <w:t>Liczba</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02AB299" w14:textId="77777777" w:rsidR="006578ED" w:rsidRDefault="00A1618E">
            <w:pPr>
              <w:pStyle w:val="P68B1DB1-Normal13"/>
              <w:spacing w:after="0" w:line="240" w:lineRule="auto"/>
              <w:jc w:val="right"/>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1125339" w14:textId="77777777" w:rsidR="006578ED" w:rsidRDefault="00A1618E">
            <w:pPr>
              <w:pStyle w:val="P68B1DB1-Normal13"/>
              <w:spacing w:after="0" w:line="240" w:lineRule="auto"/>
              <w:jc w:val="right"/>
              <w:rPr>
                <w:rFonts w:eastAsia="Times New Roman" w:cs="Times New Roman"/>
                <w:noProof/>
              </w:rPr>
            </w:pPr>
            <w:r>
              <w:rPr>
                <w:noProof/>
              </w:rPr>
              <w:t>4</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70FAFA9" w14:textId="060A81C0" w:rsidR="006578ED" w:rsidRDefault="00EC188C">
            <w:pPr>
              <w:pStyle w:val="P68B1DB1-Normal13"/>
              <w:spacing w:after="0" w:line="240" w:lineRule="auto"/>
              <w:jc w:val="center"/>
              <w:rPr>
                <w:rFonts w:eastAsia="Times New Roman" w:cs="Times New Roman"/>
                <w:noProof/>
              </w:rPr>
            </w:pPr>
            <w:r>
              <w:rPr>
                <w:noProof/>
              </w:rPr>
              <w:t>KW. 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FD2CD45" w14:textId="77777777" w:rsidR="006578ED" w:rsidRDefault="00A1618E">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519B8F8" w14:textId="4055115A" w:rsidR="006578ED" w:rsidRDefault="00A1618E">
            <w:pPr>
              <w:pStyle w:val="P68B1DB1-Normal13"/>
              <w:spacing w:after="0" w:line="240" w:lineRule="auto"/>
              <w:rPr>
                <w:rFonts w:eastAsia="Times New Roman" w:cs="Times New Roman"/>
                <w:noProof/>
              </w:rPr>
            </w:pPr>
            <w:r>
              <w:rPr>
                <w:noProof/>
              </w:rPr>
              <w:t xml:space="preserve">Duże sektorowe i interoperacyjne przestrzenie danych o wysokiej wartości utworzone w sektorach strategicznych. Co najmniej cztery w sektorze rolno-spożywczym, sektorze mobilności zgodnej z zasadami zrównoważonego rozwoju, sektorze zdrowia i sektorze handlu, zgodnie z wytycznymi technicznymi dotyczącymi zasady „nie czyń poważnych szkód” (2021/C58/01) poprzez wykorzystanie wykazu wyłączeń oraz wymóg zgodności z odpowiednimi unijnymi i krajowymi przepisami w zakresie ochrony środowiska. Kwota wykonania budżetu uruchomiona w tym celu wynosi co najmniej 400 000 000 EUR. </w:t>
            </w:r>
          </w:p>
        </w:tc>
      </w:tr>
      <w:tr w:rsidR="006578ED" w14:paraId="49B378B6"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5ACC600D" w14:textId="77777777" w:rsidR="006578ED" w:rsidRDefault="00A1618E">
            <w:pPr>
              <w:pStyle w:val="P68B1DB1-Normal13"/>
              <w:spacing w:after="0" w:line="240" w:lineRule="auto"/>
              <w:jc w:val="center"/>
              <w:rPr>
                <w:rFonts w:eastAsia="Times New Roman" w:cs="Times New Roman"/>
                <w:noProof/>
              </w:rPr>
            </w:pPr>
            <w:r>
              <w:rPr>
                <w:noProof/>
              </w:rPr>
              <w:t>181</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D8DC5E3" w14:textId="77777777" w:rsidR="006578ED" w:rsidRDefault="00A1618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2ED7645" w14:textId="3326E3D1" w:rsidR="006578ED" w:rsidRDefault="00AF6B91">
            <w:pPr>
              <w:pStyle w:val="P68B1DB1-Normal13"/>
              <w:spacing w:after="0" w:line="240" w:lineRule="auto"/>
              <w:jc w:val="center"/>
              <w:rPr>
                <w:rFonts w:eastAsia="Times New Roman"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ADF28FC" w14:textId="78125789" w:rsidR="006578ED" w:rsidRDefault="00A1618E">
            <w:pPr>
              <w:pStyle w:val="P68B1DB1-Normal13"/>
              <w:spacing w:after="0" w:line="240" w:lineRule="auto"/>
              <w:rPr>
                <w:rFonts w:eastAsia="Times New Roman" w:cs="Times New Roman"/>
                <w:noProof/>
              </w:rPr>
            </w:pPr>
            <w:r>
              <w:rPr>
                <w:noProof/>
              </w:rPr>
              <w:t>Plan wzmocnienia łańcucha wartości przemysłu motoryzacyjnego na rzecz zrównoważonej i opartej na sieci mobilności</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E33FF05" w14:textId="77777777" w:rsidR="006578ED" w:rsidRDefault="00A1618E">
            <w:pPr>
              <w:pStyle w:val="P68B1DB1-Normal13"/>
              <w:spacing w:after="0" w:line="240" w:lineRule="auto"/>
              <w:jc w:val="center"/>
              <w:rPr>
                <w:rFonts w:eastAsia="Times New Roman" w:cs="Times New Roman"/>
                <w:noProof/>
              </w:rPr>
            </w:pPr>
            <w:r>
              <w:rPr>
                <w:noProof/>
              </w:rPr>
              <w:t>Zatwierdzenie przez Radę Ministrów</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BCB5ADA"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36936BC"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665A675"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4AFC060" w14:textId="607EB665" w:rsidR="006578ED" w:rsidRDefault="00EC188C">
            <w:pPr>
              <w:pStyle w:val="P68B1DB1-Normal13"/>
              <w:spacing w:after="0" w:line="240" w:lineRule="auto"/>
              <w:jc w:val="center"/>
              <w:rPr>
                <w:rFonts w:eastAsia="Times New Roman" w:cs="Times New Roman"/>
                <w:noProof/>
              </w:rPr>
            </w:pPr>
            <w:r>
              <w:rPr>
                <w:noProof/>
              </w:rPr>
              <w:t>KW. 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57415F7" w14:textId="77777777" w:rsidR="006578ED" w:rsidRDefault="00A1618E">
            <w:pPr>
              <w:pStyle w:val="P68B1DB1-Normal13"/>
              <w:spacing w:after="0" w:line="240" w:lineRule="auto"/>
              <w:jc w:val="center"/>
              <w:rPr>
                <w:rFonts w:eastAsia="Times New Roman" w:cs="Times New Roman"/>
                <w:noProof/>
              </w:rPr>
            </w:pPr>
            <w:r>
              <w:rPr>
                <w:noProof/>
              </w:rPr>
              <w:t>2020</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17B7E93" w14:textId="3C4CBCF7" w:rsidR="006578ED" w:rsidRDefault="00A1618E">
            <w:pPr>
              <w:pStyle w:val="P68B1DB1-Normal13"/>
              <w:spacing w:after="0" w:line="240" w:lineRule="auto"/>
              <w:rPr>
                <w:rFonts w:eastAsia="Times New Roman" w:cs="Times New Roman"/>
                <w:noProof/>
              </w:rPr>
            </w:pPr>
            <w:r>
              <w:rPr>
                <w:noProof/>
              </w:rPr>
              <w:t xml:space="preserve">Zatwierdzenie przez Radę Ministrów planu wzmocnienia łańcucha wartości przemysłu motoryzacyjnego na rzecz zrównoważonej i opartej na sieci mobilności. </w:t>
            </w:r>
          </w:p>
        </w:tc>
      </w:tr>
      <w:tr w:rsidR="006578ED" w14:paraId="17F7E0DC"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52AB783" w14:textId="77777777" w:rsidR="006578ED" w:rsidRDefault="00A1618E">
            <w:pPr>
              <w:pStyle w:val="P68B1DB1-Normal13"/>
              <w:spacing w:after="0" w:line="240" w:lineRule="auto"/>
              <w:jc w:val="center"/>
              <w:rPr>
                <w:rFonts w:eastAsia="Times New Roman" w:cs="Times New Roman"/>
                <w:noProof/>
              </w:rPr>
            </w:pPr>
            <w:r>
              <w:rPr>
                <w:noProof/>
              </w:rPr>
              <w:t>182</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2CEC473" w14:textId="77777777" w:rsidR="006578ED" w:rsidRDefault="00A1618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615361E4" w14:textId="44834D34" w:rsidR="006578ED" w:rsidRDefault="00AF6B91">
            <w:pPr>
              <w:pStyle w:val="P68B1DB1-Normal13"/>
              <w:spacing w:after="0" w:line="240" w:lineRule="auto"/>
              <w:jc w:val="center"/>
              <w:rPr>
                <w:rFonts w:eastAsia="Times New Roman"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6DF5A2B" w14:textId="44BFFAC8" w:rsidR="006578ED" w:rsidRDefault="00A1618E">
            <w:pPr>
              <w:pStyle w:val="P68B1DB1-Normal13"/>
              <w:spacing w:after="0" w:line="240" w:lineRule="auto"/>
              <w:rPr>
                <w:rFonts w:eastAsia="Times New Roman" w:cs="Times New Roman"/>
                <w:noProof/>
              </w:rPr>
            </w:pPr>
            <w:r>
              <w:rPr>
                <w:noProof/>
              </w:rPr>
              <w:t>PERTE w obszarze pojazdów elektrycznych</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930481" w14:textId="77777777" w:rsidR="006578ED" w:rsidRDefault="00A1618E">
            <w:pPr>
              <w:pStyle w:val="P68B1DB1-Normal13"/>
              <w:spacing w:after="0" w:line="240" w:lineRule="auto"/>
              <w:jc w:val="center"/>
              <w:rPr>
                <w:rFonts w:eastAsia="Times New Roman" w:cs="Times New Roman"/>
                <w:noProof/>
              </w:rPr>
            </w:pPr>
            <w:r>
              <w:rPr>
                <w:noProof/>
              </w:rPr>
              <w:t>Zatwierdzenie przez Radę Ministrów</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10209D6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E428E3E" w14:textId="77777777" w:rsidR="006578ED" w:rsidRDefault="006578ED">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A57D1F6" w14:textId="77777777" w:rsidR="006578ED" w:rsidRDefault="006578ED">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61ECAB8" w14:textId="37D34AF5" w:rsidR="006578ED" w:rsidRDefault="00EC188C">
            <w:pPr>
              <w:pStyle w:val="P68B1DB1-Normal13"/>
              <w:spacing w:after="0" w:line="240" w:lineRule="auto"/>
              <w:jc w:val="center"/>
              <w:rPr>
                <w:rFonts w:eastAsia="Times New Roman" w:cs="Times New Roman"/>
                <w:noProof/>
              </w:rPr>
            </w:pPr>
            <w:r>
              <w:rPr>
                <w:noProof/>
              </w:rPr>
              <w:t>KW. 3</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53D474" w14:textId="77777777" w:rsidR="006578ED" w:rsidRDefault="00A1618E">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90A3749" w14:textId="4B2192AD" w:rsidR="006578ED" w:rsidRDefault="00A1618E">
            <w:pPr>
              <w:pStyle w:val="P68B1DB1-Normal13"/>
              <w:spacing w:after="0" w:line="240" w:lineRule="auto"/>
              <w:rPr>
                <w:rFonts w:eastAsia="Times New Roman" w:cs="Times New Roman"/>
                <w:noProof/>
              </w:rPr>
            </w:pPr>
            <w:r>
              <w:rPr>
                <w:noProof/>
              </w:rPr>
              <w:t>Zatwierdzenie przez Radę Ministrów strategicznego projektu naprawy gospodarczej i transformacji gospodarczej (PERTE) w strategicznym obszarze pojazdów elektrycznych oraz przyznanie pomocy w wysokości co najmniej 400 000 000 EUR. Decyzja zatwierdzająca PERTE zawiera szczegółowe kryteria wyboru w celu zapewnienia zgodności z wytycznymi technicznymi dotyczącymi zasady „nie czyń poważnych szkód” (2021/C58/01) poprzez wykorzystanie wykazu wykluczenia oraz wymóg zgodności z odpowiednimi unijnymi i krajowymi przepisami w zakresie ochrony środowiska. Kryteria wyboru odzwierciedlają dodatkowo wymogi dotyczące mających zastosowanie obszarów interwencji w odniesieniu do celów związanych ze zmianą klimatu, zgodnie z załącznikiem VI do rozporządzenia Parlamentu Europejskiego i Rady (UE) 2021/241 z dnia 12 lutego 20</w:t>
            </w:r>
            <w:r w:rsidRPr="00A1618E">
              <w:rPr>
                <w:noProof/>
                <w:lang w:val="pl-PL"/>
              </w:rPr>
              <w:t>21 r.</w:t>
            </w:r>
            <w:r>
              <w:rPr>
                <w:noProof/>
              </w:rPr>
              <w:t xml:space="preserve"> ustanawiającego Instrument na rzecz Odbudowy i Zwiększania Odporności.</w:t>
            </w:r>
          </w:p>
        </w:tc>
      </w:tr>
      <w:tr w:rsidR="006578ED" w14:paraId="1FF85CB4"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B7A1CC9" w14:textId="1D4B45E1" w:rsidR="006578ED" w:rsidRDefault="00A1618E">
            <w:pPr>
              <w:pStyle w:val="P68B1DB1-Normal13"/>
              <w:spacing w:after="0" w:line="240" w:lineRule="auto"/>
              <w:jc w:val="center"/>
              <w:rPr>
                <w:rFonts w:eastAsia="Times New Roman" w:cs="Times New Roman"/>
                <w:noProof/>
              </w:rPr>
            </w:pPr>
            <w:r>
              <w:rPr>
                <w:noProof/>
              </w:rPr>
              <w:t>183</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EFBB9" w14:textId="77777777" w:rsidR="006578ED" w:rsidRDefault="00A1618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1FBC497" w14:textId="2F7DE5C8" w:rsidR="006578ED" w:rsidRDefault="00AF6B91">
            <w:pPr>
              <w:pStyle w:val="P68B1DB1-Normal13"/>
              <w:spacing w:after="0" w:line="240" w:lineRule="auto"/>
              <w:jc w:val="center"/>
              <w:rPr>
                <w:rFonts w:eastAsia="Times New Roman"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2B1D3A2" w14:textId="0901E4EE" w:rsidR="006578ED" w:rsidRDefault="00A1618E">
            <w:pPr>
              <w:pStyle w:val="P68B1DB1-Normal13"/>
              <w:spacing w:after="0" w:line="240" w:lineRule="auto"/>
              <w:rPr>
                <w:rFonts w:eastAsia="Times New Roman" w:cs="Times New Roman"/>
                <w:noProof/>
              </w:rPr>
            </w:pPr>
            <w:r>
              <w:rPr>
                <w:noProof/>
              </w:rPr>
              <w:t xml:space="preserve">PERTE w strategicznych obszarach określonych w planie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B10D494" w14:textId="77777777" w:rsidR="006578ED" w:rsidRDefault="00A1618E">
            <w:pPr>
              <w:pStyle w:val="P68B1DB1-Normal13"/>
              <w:spacing w:after="0" w:line="240" w:lineRule="auto"/>
              <w:jc w:val="center"/>
              <w:rPr>
                <w:rFonts w:eastAsia="Times New Roman" w:cs="Times New Roman"/>
                <w:noProof/>
              </w:rPr>
            </w:pPr>
            <w:r>
              <w:rPr>
                <w:noProof/>
              </w:rPr>
              <w:t>Zatwierdzenie przez Radę Ministrów</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FB80CBB"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2CD290A" w14:textId="77777777" w:rsidR="006578ED" w:rsidRDefault="006578ED">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3AC4CEF" w14:textId="77777777" w:rsidR="006578ED" w:rsidRDefault="006578ED">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141040AC" w14:textId="5BFF4937" w:rsidR="006578ED" w:rsidRDefault="00EC188C">
            <w:pPr>
              <w:pStyle w:val="P68B1DB1-Normal13"/>
              <w:spacing w:after="0" w:line="240" w:lineRule="auto"/>
              <w:jc w:val="center"/>
              <w:rPr>
                <w:rFonts w:eastAsia="Times New Roman" w:cs="Times New Roman"/>
                <w:noProof/>
              </w:rPr>
            </w:pPr>
            <w:r>
              <w:rPr>
                <w:noProof/>
              </w:rPr>
              <w:t>KW. 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E8DC3C6" w14:textId="77777777" w:rsidR="006578ED" w:rsidRDefault="00A1618E">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F9C7319" w14:textId="0AA05AA8" w:rsidR="006578ED" w:rsidRDefault="00A1618E">
            <w:pPr>
              <w:pStyle w:val="P68B1DB1-Normal13"/>
              <w:spacing w:after="0" w:line="240" w:lineRule="auto"/>
              <w:rPr>
                <w:rFonts w:eastAsia="Times New Roman" w:cs="Times New Roman"/>
                <w:noProof/>
              </w:rPr>
            </w:pPr>
            <w:r>
              <w:rPr>
                <w:noProof/>
              </w:rPr>
              <w:t>Zatwierdzenie przez Radę Ministrów co najmniej dwóch PERTE i całkowity przydział co najmniej 800 000 000 EUR budżetu na pomoc w innych strategicznych obszarach, takich jak sektor rolno-spożywczy, sektor zdrowia, sektor lotniczy i morski oraz sektory przemysłowe związane z energią odnawialną, a także w zakresie zdolności projektowania i produkcji procesorów i technologii półprzewodnikowych. Decyzja zatwierdzająca PERTE zawiera szczegółowe kryteria wyboru w celu zapewnienia zgodności z wytycznymi technicznymi dotyczącymi zasady „nie czyń poważnych szkód” (2021/C58/01) poprzez wykorzystanie wykazu wykluczenia oraz wymóg zgodności z odpowiednimi unijnymi i krajowymi przepisami w zakresie ochrony środowiska. Kryteria wyboru odzwierciedlają dodatkowo wymogi dotyczące mających zastosowanie obszarów interwencji w odniesieniu do celów związanych ze zmianą klimatu, zgodnie z załącznikiem VI do rozporządzenia Parlamentu Europejskiego i Rady (UE) 2021/241 z dnia 12 lutego 20</w:t>
            </w:r>
            <w:r w:rsidRPr="00A1618E">
              <w:rPr>
                <w:noProof/>
                <w:lang w:val="pl-PL"/>
              </w:rPr>
              <w:t>21 r.</w:t>
            </w:r>
            <w:r>
              <w:rPr>
                <w:noProof/>
              </w:rPr>
              <w:t xml:space="preserve"> ustanawiającego Instrument na rzecz Odbudowy i Zwiększania Odporności. </w:t>
            </w:r>
          </w:p>
        </w:tc>
      </w:tr>
      <w:tr w:rsidR="006578ED" w14:paraId="466C1B6D"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60917F8" w14:textId="77777777" w:rsidR="006578ED" w:rsidRDefault="00A1618E">
            <w:pPr>
              <w:pStyle w:val="P68B1DB1-Normal13"/>
              <w:spacing w:after="0" w:line="240" w:lineRule="auto"/>
              <w:jc w:val="center"/>
              <w:rPr>
                <w:rFonts w:eastAsia="Times New Roman" w:cs="Times New Roman"/>
                <w:noProof/>
              </w:rPr>
            </w:pPr>
            <w:r>
              <w:rPr>
                <w:noProof/>
              </w:rPr>
              <w:t>184</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5E94FDF" w14:textId="77777777" w:rsidR="006578ED" w:rsidRDefault="00A1618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2AA027E" w14:textId="4809FBAD" w:rsidR="006578ED" w:rsidRDefault="00AF6B91">
            <w:pPr>
              <w:pStyle w:val="P68B1DB1-Normal13"/>
              <w:spacing w:after="0" w:line="240" w:lineRule="auto"/>
              <w:jc w:val="center"/>
              <w:rPr>
                <w:rFonts w:eastAsia="Times New Roman" w:cs="Times New Roman"/>
                <w:noProof/>
              </w:rPr>
            </w:pPr>
            <w:r>
              <w:rPr>
                <w:noProof/>
              </w:rPr>
              <w:t>Cel</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F2E6595" w14:textId="3DAE0B1B" w:rsidR="006578ED" w:rsidRDefault="00A1618E">
            <w:pPr>
              <w:pStyle w:val="P68B1DB1-Normal13"/>
              <w:spacing w:after="0" w:line="240" w:lineRule="auto"/>
              <w:rPr>
                <w:rFonts w:eastAsia="Times New Roman" w:cs="Times New Roman"/>
                <w:noProof/>
              </w:rPr>
            </w:pPr>
            <w:r>
              <w:rPr>
                <w:noProof/>
              </w:rPr>
              <w:t xml:space="preserve">Innowacyjne projekty na rzecz transformacji przemysłu pod względem efektywności energetycznej, zrównoważonego rozwoju i cyfryzacji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FBB562" w14:textId="77777777" w:rsidR="006578ED" w:rsidRDefault="00A1618E">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06A498B" w14:textId="77777777" w:rsidR="006578ED" w:rsidRDefault="00A1618E">
            <w:pPr>
              <w:pStyle w:val="P68B1DB1-Normal13"/>
              <w:spacing w:after="0" w:line="240" w:lineRule="auto"/>
              <w:jc w:val="right"/>
              <w:rPr>
                <w:rFonts w:eastAsia="Times New Roman" w:cs="Times New Roman"/>
                <w:noProof/>
              </w:rPr>
            </w:pPr>
            <w:r>
              <w:rPr>
                <w:noProof/>
              </w:rPr>
              <w:t>Liczba</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8942446" w14:textId="77777777" w:rsidR="006578ED" w:rsidRDefault="00A1618E">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64075E8" w14:textId="77777777" w:rsidR="006578ED" w:rsidRDefault="00A1618E">
            <w:pPr>
              <w:pStyle w:val="P68B1DB1-Normal13"/>
              <w:spacing w:after="0" w:line="240" w:lineRule="auto"/>
              <w:jc w:val="center"/>
              <w:rPr>
                <w:rFonts w:eastAsia="Times New Roman" w:cs="Times New Roman"/>
                <w:noProof/>
              </w:rPr>
            </w:pPr>
            <w:r>
              <w:rPr>
                <w:noProof/>
              </w:rPr>
              <w:t>78</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21F83560" w14:textId="3F193003" w:rsidR="006578ED" w:rsidRDefault="00EC188C">
            <w:pPr>
              <w:pStyle w:val="P68B1DB1-Normal13"/>
              <w:spacing w:after="0" w:line="240" w:lineRule="auto"/>
              <w:jc w:val="center"/>
              <w:rPr>
                <w:rFonts w:eastAsia="Times New Roman" w:cs="Times New Roman"/>
                <w:noProof/>
              </w:rPr>
            </w:pPr>
            <w:r>
              <w:rPr>
                <w:noProof/>
              </w:rPr>
              <w:t>KW. 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A247386" w14:textId="10E74AB4" w:rsidR="006578ED" w:rsidRDefault="00A1618E">
            <w:pPr>
              <w:pStyle w:val="P68B1DB1-Normal13"/>
              <w:spacing w:after="0" w:line="240" w:lineRule="auto"/>
              <w:jc w:val="center"/>
              <w:rPr>
                <w:rFonts w:eastAsia="Times New Roman" w:cs="Times New Roman"/>
                <w:noProof/>
              </w:rPr>
            </w:pPr>
            <w:r>
              <w:rPr>
                <w:noProof/>
              </w:rPr>
              <w:t>2022</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370B8BD" w14:textId="7BE735CC" w:rsidR="006578ED" w:rsidRDefault="00A1618E">
            <w:pPr>
              <w:pStyle w:val="P68B1DB1-Normal13"/>
              <w:spacing w:after="0" w:line="240" w:lineRule="auto"/>
              <w:rPr>
                <w:rFonts w:eastAsia="Times New Roman" w:cs="Times New Roman"/>
                <w:noProof/>
              </w:rPr>
            </w:pPr>
            <w:r>
              <w:rPr>
                <w:noProof/>
              </w:rPr>
              <w:t>Przyznanie przez Ministra Przemysłu co najmniej 1 200 000 000 EUR na co najmniej 78 innowacyjnych projektów, w tym projektów związanych z zatwierdzonymi PERTE (co najmniej 3), które wiążą się ze znaczną transformacją przemysłu pod względem efektywności energetycznej, zrównoważonego rozwoju i transformacji cyfrowej. Wybór projektów w następstwie zaproszenia opublikowanego w Dz.U. i w oparciu o kryteria wyboru dotyczące zgodności z wytycznymi technicznymi dotyczącymi zasady „nie czyń poważnych szkód” (2021/C58/01) poprzez wykorzystanie wykazu wykluczenia i wymóg zgodności z odpowiednimi unijnymi i krajowymi przepisami w zakresie ochrony środowiska. Kryteria wyboru odzwierciedlają dodatkowo wymogi dotyczące mających zastosowanie obszarów interwencji w odniesieniu do celów związanych ze zmianą klimatu, zgodnie z załącznikiem VI do rozporządzenia Parlamentu Europejskiego i Rady (UE) 2021/241 z dnia 12 lutego 20</w:t>
            </w:r>
            <w:r w:rsidRPr="00A1618E">
              <w:rPr>
                <w:noProof/>
                <w:lang w:val="pl-PL"/>
              </w:rPr>
              <w:t>21 r.</w:t>
            </w:r>
            <w:r>
              <w:rPr>
                <w:noProof/>
              </w:rPr>
              <w:t xml:space="preserve"> ustanawiającego Instrument na rzecz Odbudowy i Zwiększania Odporności. </w:t>
            </w:r>
          </w:p>
        </w:tc>
      </w:tr>
      <w:tr w:rsidR="006578ED" w14:paraId="52430A1A"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C650CAC" w14:textId="77777777" w:rsidR="006578ED" w:rsidRDefault="00A1618E">
            <w:pPr>
              <w:pStyle w:val="P68B1DB1-Normal13"/>
              <w:spacing w:after="0" w:line="240" w:lineRule="auto"/>
              <w:jc w:val="center"/>
              <w:rPr>
                <w:rFonts w:eastAsia="Times New Roman" w:cs="Times New Roman"/>
                <w:noProof/>
              </w:rPr>
            </w:pPr>
            <w:r>
              <w:rPr>
                <w:noProof/>
              </w:rPr>
              <w:t>185</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0BA407CA" w14:textId="01C286EF" w:rsidR="006578ED" w:rsidRDefault="00A1618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2ECB9A0A" w14:textId="5F469795" w:rsidR="006578ED" w:rsidRDefault="00AF6B91">
            <w:pPr>
              <w:pStyle w:val="P68B1DB1-Normal13"/>
              <w:spacing w:after="0" w:line="240" w:lineRule="auto"/>
              <w:jc w:val="center"/>
              <w:rPr>
                <w:rFonts w:eastAsia="Times New Roman" w:cs="Times New Roman"/>
                <w:noProof/>
              </w:rPr>
            </w:pPr>
            <w:r>
              <w:rPr>
                <w:noProof/>
              </w:rPr>
              <w:t>Cel</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3E13A50" w14:textId="66E37E3B" w:rsidR="006578ED" w:rsidRDefault="00A1618E">
            <w:pPr>
              <w:pStyle w:val="P68B1DB1-Normal13"/>
              <w:spacing w:after="0" w:line="240" w:lineRule="auto"/>
              <w:rPr>
                <w:rFonts w:eastAsia="Times New Roman" w:cs="Times New Roman"/>
                <w:noProof/>
              </w:rPr>
            </w:pPr>
            <w:r>
              <w:rPr>
                <w:noProof/>
              </w:rPr>
              <w:t xml:space="preserve">Wykonanie budżetu PERTE i innowacyjnych projektów na rzecz transformacji przemysłu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286F040" w14:textId="77777777" w:rsidR="006578ED" w:rsidRDefault="00A1618E">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DBB6AEB" w14:textId="7D2345F5" w:rsidR="006578ED" w:rsidRDefault="00A1618E">
            <w:pPr>
              <w:pStyle w:val="P68B1DB1-Normal13"/>
              <w:spacing w:after="0" w:line="240" w:lineRule="auto"/>
              <w:jc w:val="right"/>
              <w:rPr>
                <w:rFonts w:eastAsia="Times New Roman" w:cs="Times New Roman"/>
                <w:noProof/>
              </w:rPr>
            </w:pPr>
            <w:r>
              <w:rPr>
                <w:noProof/>
              </w:rPr>
              <w:t xml:space="preserve">EUR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A017E88" w14:textId="77777777" w:rsidR="006578ED" w:rsidRDefault="00A1618E">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6600AFC" w14:textId="1EBF41D0" w:rsidR="006578ED" w:rsidRDefault="00A1618E">
            <w:pPr>
              <w:pStyle w:val="P68B1DB1-Normal13"/>
              <w:spacing w:after="0" w:line="240" w:lineRule="auto"/>
              <w:jc w:val="center"/>
              <w:rPr>
                <w:rFonts w:eastAsia="Times New Roman" w:cs="Times New Roman"/>
                <w:noProof/>
              </w:rPr>
            </w:pPr>
            <w:r>
              <w:rPr>
                <w:noProof/>
              </w:rPr>
              <w:t>2 531 500 000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D924EBF" w14:textId="5BC8C507" w:rsidR="006578ED" w:rsidRDefault="00EC188C">
            <w:pPr>
              <w:pStyle w:val="P68B1DB1-Normal13"/>
              <w:spacing w:after="0" w:line="240" w:lineRule="auto"/>
              <w:jc w:val="center"/>
              <w:rPr>
                <w:rFonts w:eastAsia="Times New Roman" w:cs="Times New Roman"/>
                <w:noProof/>
              </w:rPr>
            </w:pPr>
            <w:r>
              <w:rPr>
                <w:noProof/>
              </w:rPr>
              <w:t>KW. 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0E3D020" w14:textId="77777777" w:rsidR="006578ED" w:rsidRDefault="00A1618E">
            <w:pPr>
              <w:pStyle w:val="P68B1DB1-Normal13"/>
              <w:spacing w:after="0" w:line="240" w:lineRule="auto"/>
              <w:jc w:val="center"/>
              <w:rPr>
                <w:rFonts w:eastAsia="Times New Roman"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2EB43431" w14:textId="620FB8D9" w:rsidR="006578ED" w:rsidRDefault="00A1618E">
            <w:pPr>
              <w:pStyle w:val="P68B1DB1-Normal13"/>
              <w:spacing w:after="0" w:line="240" w:lineRule="auto"/>
              <w:rPr>
                <w:rFonts w:eastAsia="Times New Roman" w:cs="Times New Roman"/>
                <w:noProof/>
              </w:rPr>
            </w:pPr>
            <w:r>
              <w:rPr>
                <w:noProof/>
              </w:rPr>
              <w:t xml:space="preserve">Wykonanie budżetu w wysokości co najmniej 2 531 500 000 EUR uruchomionego w ramach co najmniej 210 innowacyjnych projektów, w tym projektów związanych z zatwierdzonymi projektami PERTE (co najmniej 3), które wiążą się z rzeczywistą transformacją przemysłu pod względem efektywności energetycznej, zrównoważonego rozwoju i transformacji cyfrowej, zgodnie z wytycznymi technicznymi dotyczącymi zasady „nie czyń poważnych szkód” (2021/C58/01) poprzez wykorzystanie wykazu wykluczenia i wymóg zgodności z odpowiednimi unijnymi i krajowymi przepisami w zakresie ochrony środowiska. Kryteria wyboru zapewniają, aby co najmniej 455 000 000 EUR przyczyniało się do realizacji celów związanych ze zmianą klimatu przy zastosowaniu współczynnika klimatycznego wynoszącego 100 % i co najmniej 1 500 </w:t>
            </w:r>
            <w:r>
              <w:rPr>
                <w:noProof/>
                <w:shd w:val="clear" w:color="auto" w:fill="E6E6E6"/>
              </w:rPr>
              <w:t xml:space="preserve">0 </w:t>
            </w:r>
            <w:r>
              <w:rPr>
                <w:noProof/>
              </w:rPr>
              <w:t>00 000 EUR ze współczynnikiem klimatycznym wynoszącym</w:t>
            </w:r>
            <w:r>
              <w:rPr>
                <w:noProof/>
                <w:shd w:val="clear" w:color="auto" w:fill="E6E6E6"/>
              </w:rPr>
              <w:t>40 %</w:t>
            </w:r>
            <w:r>
              <w:rPr>
                <w:noProof/>
              </w:rPr>
              <w:t>, zgodnie z załącznikiem VI do rozporządzenia Parlamentu Europejskiego i Rady (UE) 2021/241 z dnia 12 lutego 20</w:t>
            </w:r>
            <w:r w:rsidRPr="00A1618E">
              <w:rPr>
                <w:noProof/>
                <w:lang w:val="pl-PL"/>
              </w:rPr>
              <w:t>21 r.</w:t>
            </w:r>
            <w:r>
              <w:rPr>
                <w:noProof/>
              </w:rPr>
              <w:t xml:space="preserve"> ustanawiającego Instrument na rzecz Odbudowy i Zwiększania Odporności. Alternatywnie, jeżeli jest to należycie uzasadnione wyjaśnieniem powodów, dla których alternatywne podejście może być niewykonalne, kryteria wyboru zapewniają, aby co najmniej 2 531 500 000 EUR przyczyniało się do realizacji celów związanych ze zmianą klimatu przy zastosowaniu współczynnika klimatycznego wynoszącego średnio co najmniej 40 %, zgodnie z załącznikiem VI do rozporządzenia Parlamentu Europejskiego i Rady (UE) 2021/241 z dnia 12 lutego 20</w:t>
            </w:r>
            <w:r w:rsidRPr="00A1618E">
              <w:rPr>
                <w:noProof/>
                <w:lang w:val="pl-PL"/>
              </w:rPr>
              <w:t>21 r.</w:t>
            </w:r>
            <w:r>
              <w:rPr>
                <w:noProof/>
              </w:rPr>
              <w:t xml:space="preserve"> ustanawiającego Instrument na rzecz Odbudowy i Zwiększania Odporności. Ze środków RRF uruchamia się co najmniej 3800000000 </w:t>
            </w:r>
            <w:r>
              <w:rPr>
                <w:noProof/>
                <w:shd w:val="clear" w:color="auto" w:fill="E6E6E6"/>
              </w:rPr>
              <w:t>EUR inwestycji prywatnych</w:t>
            </w:r>
            <w:r>
              <w:rPr>
                <w:noProof/>
              </w:rPr>
              <w:t>, również zgodnie z wytycznymi technicznymi dotyczącymi zasady „nie czyń poważnych szkód” (2021/C58/01), poprzez wykorzystanie wykazu wykluczenia i wymóg zgodności z odpowiednimi unijnymi i krajowymi przepisami w zakresie ochrony środowiska. Uznaje się, że cel ten nie został osiągnięty, jeżeli którykolwiek ze środków, na które przeznaczono środki budżetowe, miał stanowić pomoc państwa zgodnie z </w:t>
            </w:r>
            <w:r w:rsidRPr="00A1618E">
              <w:rPr>
                <w:noProof/>
                <w:lang w:val="pl-PL"/>
              </w:rPr>
              <w:t>art. 1</w:t>
            </w:r>
            <w:r>
              <w:rPr>
                <w:noProof/>
              </w:rPr>
              <w:t>07 TFUE, zgodnie z wymogiem zgłoszenia Komisji i nie uzyskał zgody Komisji do dnia 31 grudnia 20</w:t>
            </w:r>
            <w:r w:rsidRPr="00A1618E">
              <w:rPr>
                <w:noProof/>
                <w:lang w:val="pl-PL"/>
              </w:rPr>
              <w:t>24 r.</w:t>
            </w:r>
          </w:p>
        </w:tc>
      </w:tr>
      <w:tr w:rsidR="006578ED" w14:paraId="07D1830A"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0E75A2A" w14:textId="77777777" w:rsidR="006578ED" w:rsidRDefault="00A1618E">
            <w:pPr>
              <w:pStyle w:val="P68B1DB1-Normal13"/>
              <w:spacing w:after="0" w:line="240" w:lineRule="auto"/>
              <w:jc w:val="center"/>
              <w:rPr>
                <w:rFonts w:eastAsia="Times New Roman" w:cs="Times New Roman"/>
                <w:noProof/>
              </w:rPr>
            </w:pPr>
            <w:r>
              <w:rPr>
                <w:noProof/>
              </w:rPr>
              <w:t>186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767AEB79" w14:textId="77777777" w:rsidR="006578ED" w:rsidRDefault="00A1618E">
            <w:pPr>
              <w:pStyle w:val="P68B1DB1-Normal13"/>
              <w:spacing w:after="0" w:line="240" w:lineRule="auto"/>
              <w:jc w:val="center"/>
              <w:rPr>
                <w:rFonts w:eastAsia="Times New Roman" w:cs="Times New Roman"/>
                <w:noProof/>
              </w:rPr>
            </w:pPr>
            <w:r>
              <w:rPr>
                <w:noProof/>
              </w:rPr>
              <w:t>C12.I2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64A888A6" w14:textId="736E60EB" w:rsidR="006578ED" w:rsidRDefault="00AF6B91">
            <w:pPr>
              <w:pStyle w:val="P68B1DB1-Normal13"/>
              <w:spacing w:after="0" w:line="240" w:lineRule="auto"/>
              <w:jc w:val="center"/>
              <w:rPr>
                <w:rFonts w:eastAsia="Times New Roman" w:cs="Times New Roman"/>
                <w:noProof/>
              </w:rPr>
            </w:pPr>
            <w:r>
              <w:rPr>
                <w:noProof/>
              </w:rPr>
              <w:t>Cel</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308F46B6" w14:textId="5438032F" w:rsidR="006578ED" w:rsidRDefault="00A1618E">
            <w:pPr>
              <w:pStyle w:val="P68B1DB1-Normal13"/>
              <w:spacing w:after="0" w:line="240" w:lineRule="auto"/>
              <w:rPr>
                <w:rFonts w:eastAsia="Times New Roman" w:cs="Times New Roman"/>
                <w:noProof/>
              </w:rPr>
            </w:pPr>
            <w:r>
              <w:rPr>
                <w:noProof/>
              </w:rPr>
              <w:t>Zakończenie programów PERTE i innowacyjnych projektów na rzecz transformacji przemysłu</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3987802" w14:textId="77777777" w:rsidR="006578ED" w:rsidRDefault="00A1618E">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B408792" w14:textId="77777777" w:rsidR="006578ED" w:rsidRDefault="00A1618E">
            <w:pPr>
              <w:pStyle w:val="P68B1DB1-Normal13"/>
              <w:spacing w:after="0" w:line="240" w:lineRule="auto"/>
              <w:jc w:val="right"/>
              <w:rPr>
                <w:rFonts w:eastAsia="Times New Roman" w:cs="Times New Roman"/>
                <w:noProof/>
              </w:rPr>
            </w:pPr>
            <w:r>
              <w:rPr>
                <w:noProof/>
              </w:rPr>
              <w:t xml:space="preserve">Liczba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59DB146" w14:textId="77777777" w:rsidR="006578ED" w:rsidRDefault="00A1618E">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DA69DF9" w14:textId="77777777" w:rsidR="006578ED" w:rsidRDefault="00A1618E">
            <w:pPr>
              <w:pStyle w:val="P68B1DB1-Normal13"/>
              <w:spacing w:after="0" w:line="240" w:lineRule="auto"/>
              <w:jc w:val="center"/>
              <w:rPr>
                <w:rFonts w:eastAsia="Times New Roman" w:cs="Times New Roman"/>
                <w:noProof/>
              </w:rPr>
            </w:pPr>
            <w:r>
              <w:rPr>
                <w:noProof/>
              </w:rPr>
              <w:t>3</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C07479B" w14:textId="46BB611D" w:rsidR="006578ED" w:rsidRDefault="00EC188C">
            <w:pPr>
              <w:pStyle w:val="P68B1DB1-Normal13"/>
              <w:spacing w:after="0" w:line="240" w:lineRule="auto"/>
              <w:jc w:val="center"/>
              <w:rPr>
                <w:rFonts w:eastAsia="Times New Roman" w:cs="Times New Roman"/>
                <w:noProof/>
              </w:rPr>
            </w:pPr>
            <w:r>
              <w:rPr>
                <w:noProof/>
              </w:rPr>
              <w:t>KW. 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E52B93D" w14:textId="77777777" w:rsidR="006578ED" w:rsidRDefault="00A1618E">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169907EB" w14:textId="25289B6B" w:rsidR="006578ED" w:rsidRDefault="00A1618E">
            <w:pPr>
              <w:pStyle w:val="P68B1DB1-Normal13"/>
              <w:spacing w:after="0" w:line="240" w:lineRule="auto"/>
              <w:rPr>
                <w:rFonts w:eastAsia="Times New Roman" w:cs="Times New Roman"/>
                <w:noProof/>
              </w:rPr>
            </w:pPr>
            <w:r>
              <w:rPr>
                <w:noProof/>
              </w:rPr>
              <w:t>Ukończenie co najmniej 210 innowacyjnych projektów, w tym projektów związanych z zatwierdzonymi projektami PERTE (co najmniej trzech), które wiążą się z rzeczywistą transformacją przemysłu pod względem efektywności energetycznej, zrównoważonego rozwoju i transformacji cyfrowej, zgodnie z wytycznymi technicznymi dotyczącymi zasady „nie czyń poważnych szkód” (2021/C58/01) poprzez wykorzystanie wykazu wykluczenia i wymóg zgodności z odpowiednimi unijnymi i krajowymi przepisami w zakresie ochrony środowiska.</w:t>
            </w:r>
          </w:p>
        </w:tc>
      </w:tr>
      <w:tr w:rsidR="006578ED" w14:paraId="5ACA68BD"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B9CC0BF" w14:textId="77777777" w:rsidR="006578ED" w:rsidRDefault="00A1618E">
            <w:pPr>
              <w:pStyle w:val="P68B1DB1-Normal13"/>
              <w:spacing w:after="0" w:line="240" w:lineRule="auto"/>
              <w:jc w:val="center"/>
              <w:rPr>
                <w:rFonts w:eastAsia="Times New Roman" w:cs="Times New Roman"/>
                <w:noProof/>
              </w:rPr>
            </w:pPr>
            <w:r>
              <w:rPr>
                <w:noProof/>
              </w:rPr>
              <w:t>187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79B1603" w14:textId="77777777" w:rsidR="006578ED" w:rsidRDefault="00A1618E">
            <w:pPr>
              <w:pStyle w:val="P68B1DB1-Normal13"/>
              <w:spacing w:after="0" w:line="240" w:lineRule="auto"/>
              <w:jc w:val="center"/>
              <w:rPr>
                <w:rFonts w:eastAsia="Times New Roman"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33A83487" w14:textId="542187B5" w:rsidR="006578ED" w:rsidRDefault="00AF6B91">
            <w:pPr>
              <w:pStyle w:val="P68B1DB1-Normal13"/>
              <w:spacing w:after="0" w:line="240" w:lineRule="auto"/>
              <w:jc w:val="center"/>
              <w:rPr>
                <w:rFonts w:eastAsia="Times New Roman" w:cs="Times New Roman"/>
                <w:noProof/>
              </w:rPr>
            </w:pPr>
            <w:r>
              <w:rPr>
                <w:noProof/>
              </w:rPr>
              <w:t>Cel</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56F3E4CD" w14:textId="3E506B2E" w:rsidR="006578ED" w:rsidRDefault="00A1618E">
            <w:pPr>
              <w:pStyle w:val="P68B1DB1-Normal13"/>
              <w:spacing w:after="0" w:line="240" w:lineRule="auto"/>
              <w:rPr>
                <w:rFonts w:eastAsia="Times New Roman" w:cs="Times New Roman"/>
                <w:noProof/>
              </w:rPr>
            </w:pPr>
            <w:r>
              <w:rPr>
                <w:noProof/>
              </w:rPr>
              <w:t>Zakończenie projektów mających na celu wspieranie wdrażania przepisów dotyczących odpadów i promowanie gospodarki o obiegu zamkniętym w przedsiębiorstwie</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59D6A6E" w14:textId="77777777" w:rsidR="006578ED" w:rsidRDefault="00A1618E">
            <w:pPr>
              <w:pStyle w:val="P68B1DB1-Normal13"/>
              <w:spacing w:after="0" w:line="240" w:lineRule="auto"/>
              <w:jc w:val="center"/>
              <w:rPr>
                <w:rFonts w:eastAsia="Times New Roman"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308F59F" w14:textId="77777777" w:rsidR="006578ED" w:rsidRDefault="00A1618E">
            <w:pPr>
              <w:pStyle w:val="P68B1DB1-Normal13"/>
              <w:spacing w:after="0" w:line="240" w:lineRule="auto"/>
              <w:jc w:val="right"/>
              <w:rPr>
                <w:rFonts w:eastAsia="Times New Roman" w:cs="Times New Roman"/>
                <w:noProof/>
              </w:rPr>
            </w:pPr>
            <w:r>
              <w:rPr>
                <w:noProof/>
              </w:rPr>
              <w:t>Liczba</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9C3B1AC" w14:textId="77777777" w:rsidR="006578ED" w:rsidRDefault="00A1618E">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383F651" w14:textId="77777777" w:rsidR="006578ED" w:rsidRDefault="00A1618E">
            <w:pPr>
              <w:pStyle w:val="P68B1DB1-Normal13"/>
              <w:spacing w:after="0" w:line="240" w:lineRule="auto"/>
              <w:jc w:val="center"/>
              <w:rPr>
                <w:rFonts w:eastAsia="Times New Roman" w:cs="Times New Roman"/>
                <w:noProof/>
              </w:rPr>
            </w:pPr>
            <w:r>
              <w:rPr>
                <w:noProof/>
              </w:rPr>
              <w:t>30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88D4B4E" w14:textId="3EFAEB18" w:rsidR="006578ED" w:rsidRDefault="00EC188C">
            <w:pPr>
              <w:pStyle w:val="P68B1DB1-Normal13"/>
              <w:spacing w:after="0" w:line="240" w:lineRule="auto"/>
              <w:jc w:val="center"/>
              <w:rPr>
                <w:rFonts w:eastAsia="Times New Roman" w:cs="Times New Roman"/>
                <w:noProof/>
              </w:rPr>
            </w:pPr>
            <w:r>
              <w:rPr>
                <w:noProof/>
              </w:rPr>
              <w:t>KW. 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F8ECCEB" w14:textId="77777777" w:rsidR="006578ED" w:rsidRDefault="00A1618E">
            <w:pPr>
              <w:pStyle w:val="P68B1DB1-Normal13"/>
              <w:spacing w:after="0" w:line="240" w:lineRule="auto"/>
              <w:jc w:val="center"/>
              <w:rPr>
                <w:rFonts w:eastAsia="Times New Roman" w:cs="Times New Roman"/>
                <w:noProof/>
              </w:rPr>
            </w:pPr>
            <w:r>
              <w:rPr>
                <w:noProof/>
              </w:rPr>
              <w:t>2023</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4584E8D" w14:textId="0058D976" w:rsidR="006578ED" w:rsidRDefault="00A1618E">
            <w:pPr>
              <w:pStyle w:val="P68B1DB1-Normal13"/>
              <w:spacing w:after="0" w:line="240" w:lineRule="auto"/>
              <w:rPr>
                <w:rFonts w:eastAsia="Times New Roman" w:cs="Times New Roman"/>
                <w:noProof/>
              </w:rPr>
            </w:pPr>
            <w:r>
              <w:rPr>
                <w:noProof/>
              </w:rPr>
              <w:t xml:space="preserve">Ukończenie co najmniej 30 projektów zatwierdzonych przez MITERD w celu wsparcia wdrażania przepisów dotyczących odpadów i promowania gospodarki o obiegu zamkniętym w przedsiębiorstwie zgodnie z wytycznymi technicznymi dotyczącymi zasady „nie czyń poważnych szkód” (2021/C58/01) poprzez wykorzystanie wykazu wyłączeń oraz wymóg zgodności z odpowiednimi unijnymi i krajowymi przepisami w zakresie ochrony środowiska. Działania w ramach tej inwestycji związane z zakładami mechaniczno-biologicznego przetwarzania odpadów odbywają się wyłącznie w istniejących zakładach mechaniczno-biologicznego przetwarzania odpadów, jeżeli działania w ramach tej inwestycji mają na celu zwiększenie zasobooszczędności lub dostosowanie do recyklingu odpadów segregowanych na kompost bioodpady i beztlenowy fermentację bioodpadów, pod warunkiem że takie działania w ramach tej inwestycji nie skutkują zwiększeniem zdolności zakładów w zakresie przetwarzania odpadów ani przedłużeniem okresu eksploatacji zakładów, zweryfikowanym na poziomie zakładu. </w:t>
            </w:r>
          </w:p>
        </w:tc>
      </w:tr>
      <w:tr w:rsidR="006578ED" w14:paraId="41CA6781"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220FB9F" w14:textId="77777777" w:rsidR="006578ED" w:rsidRDefault="00A1618E">
            <w:pPr>
              <w:pStyle w:val="P68B1DB1-Normal13"/>
              <w:spacing w:after="0" w:line="240" w:lineRule="auto"/>
              <w:jc w:val="center"/>
              <w:rPr>
                <w:rFonts w:cs="Times New Roman"/>
                <w:noProof/>
              </w:rPr>
            </w:pPr>
            <w:r>
              <w:rPr>
                <w:noProof/>
              </w:rPr>
              <w:t>188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661B7E2" w14:textId="77777777" w:rsidR="006578ED" w:rsidRDefault="00A1618E">
            <w:pPr>
              <w:pStyle w:val="P68B1DB1-Normal13"/>
              <w:spacing w:after="0" w:line="240" w:lineRule="auto"/>
              <w:jc w:val="center"/>
              <w:rPr>
                <w:rFonts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DD850FC" w14:textId="5EBF724B" w:rsidR="006578ED" w:rsidRDefault="00AF6B91">
            <w:pPr>
              <w:pStyle w:val="P68B1DB1-Normal13"/>
              <w:spacing w:after="0" w:line="240" w:lineRule="auto"/>
              <w:jc w:val="center"/>
              <w:rPr>
                <w:rFonts w:cs="Times New Roman"/>
                <w:noProof/>
              </w:rPr>
            </w:pPr>
            <w:r>
              <w:rPr>
                <w:noProof/>
              </w:rPr>
              <w:t>Cel</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EA7C55C" w14:textId="77777777" w:rsidR="006578ED" w:rsidRDefault="00A1618E">
            <w:pPr>
              <w:pStyle w:val="P68B1DB1-Normal13"/>
              <w:spacing w:after="0" w:line="240" w:lineRule="auto"/>
              <w:rPr>
                <w:rFonts w:cs="Times New Roman"/>
                <w:noProof/>
              </w:rPr>
            </w:pPr>
            <w:r>
              <w:rPr>
                <w:noProof/>
              </w:rPr>
              <w:t>Zwiększenie ilości selektywnie zbieranych odpadów komunalnych</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54B5742" w14:textId="77777777" w:rsidR="006578ED" w:rsidRDefault="00A1618E">
            <w:pPr>
              <w:pStyle w:val="P68B1DB1-Normal13"/>
              <w:spacing w:after="0" w:line="240" w:lineRule="auto"/>
              <w:jc w:val="center"/>
              <w:rPr>
                <w:rFonts w:cs="Times New Roman"/>
                <w:noProof/>
              </w:rPr>
            </w:pPr>
            <w:r>
              <w:rPr>
                <w:noProof/>
              </w:rPr>
              <w:t>—</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365F23C4" w14:textId="77777777" w:rsidR="006578ED" w:rsidRDefault="00A1618E">
            <w:pPr>
              <w:pStyle w:val="P68B1DB1-Normal13"/>
              <w:spacing w:after="0" w:line="240" w:lineRule="auto"/>
              <w:jc w:val="center"/>
              <w:rPr>
                <w:rFonts w:cs="Times New Roman"/>
                <w:noProof/>
              </w:rPr>
            </w:pPr>
            <w:r>
              <w:rPr>
                <w:noProof/>
              </w:rPr>
              <w:t>% selektywnie zebranych odpadów komunalnych</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7AEBF728" w14:textId="77777777" w:rsidR="006578ED" w:rsidRDefault="00A1618E">
            <w:pPr>
              <w:pStyle w:val="P68B1DB1-Normal13"/>
              <w:spacing w:after="0" w:line="240" w:lineRule="auto"/>
              <w:jc w:val="center"/>
              <w:rPr>
                <w:rFonts w:cs="Times New Roman"/>
                <w:noProof/>
              </w:rPr>
            </w:pPr>
            <w:r>
              <w:rPr>
                <w:noProof/>
              </w:rPr>
              <w:t>21</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975BB62" w14:textId="77777777" w:rsidR="006578ED" w:rsidRDefault="00A1618E">
            <w:pPr>
              <w:pStyle w:val="P68B1DB1-Normal13"/>
              <w:spacing w:after="0" w:line="240" w:lineRule="auto"/>
              <w:jc w:val="center"/>
              <w:rPr>
                <w:rFonts w:cs="Times New Roman"/>
                <w:noProof/>
              </w:rPr>
            </w:pPr>
            <w:r>
              <w:rPr>
                <w:noProof/>
              </w:rPr>
              <w:t>30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4A27033" w14:textId="6A945515" w:rsidR="006578ED" w:rsidRDefault="00EC188C">
            <w:pPr>
              <w:pStyle w:val="P68B1DB1-Normal13"/>
              <w:spacing w:after="0" w:line="240" w:lineRule="auto"/>
              <w:jc w:val="center"/>
              <w:rPr>
                <w:rFonts w:cs="Times New Roman"/>
                <w:noProof/>
              </w:rPr>
            </w:pPr>
            <w:r>
              <w:rPr>
                <w:noProof/>
              </w:rPr>
              <w:t>KW. 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B726F3" w14:textId="77777777" w:rsidR="006578ED" w:rsidRDefault="00A1618E">
            <w:pPr>
              <w:pStyle w:val="P68B1DB1-Normal13"/>
              <w:spacing w:after="0" w:line="240" w:lineRule="auto"/>
              <w:jc w:val="center"/>
              <w:rPr>
                <w:rFonts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B5E0A9F" w14:textId="6BDC2142" w:rsidR="006578ED" w:rsidRDefault="00A1618E">
            <w:pPr>
              <w:pStyle w:val="P68B1DB1-Normal13"/>
              <w:spacing w:after="0" w:line="240" w:lineRule="auto"/>
              <w:rPr>
                <w:rFonts w:cs="Times New Roman"/>
                <w:noProof/>
              </w:rPr>
            </w:pPr>
            <w:r>
              <w:rPr>
                <w:noProof/>
              </w:rPr>
              <w:t>Osiągnięcie co najmniej 30 % selektywnie zbieranych odpadów komunalnych jako udziału w całkowitej ilości odpadów komunalnych wytworzonych w 20</w:t>
            </w:r>
            <w:r w:rsidRPr="00A1618E">
              <w:rPr>
                <w:noProof/>
                <w:lang w:val="pl-PL"/>
              </w:rPr>
              <w:t>24 r.</w:t>
            </w:r>
            <w:r>
              <w:rPr>
                <w:noProof/>
              </w:rPr>
              <w:t xml:space="preserve"> (dane z 20</w:t>
            </w:r>
            <w:r w:rsidRPr="00A1618E">
              <w:rPr>
                <w:noProof/>
                <w:lang w:val="pl-PL"/>
              </w:rPr>
              <w:t>24 r.</w:t>
            </w:r>
            <w:r>
              <w:rPr>
                <w:noProof/>
              </w:rPr>
              <w:t xml:space="preserve"> mają być dostępne w 20</w:t>
            </w:r>
            <w:r w:rsidRPr="00A1618E">
              <w:rPr>
                <w:noProof/>
                <w:lang w:val="pl-PL"/>
              </w:rPr>
              <w:t>26 r.</w:t>
            </w:r>
            <w:r>
              <w:rPr>
                <w:noProof/>
              </w:rPr>
              <w:t>), zgodnie z dyrektywą 2008/98/WE. Selektywna zbiórka oznacza zbiórkę, w której strumień odpadów jest przechowywany oddzielnie ze względu na rodzaj i charakter, tak aby ułatwić konkretne przetwarzanie. Dane są gromadzone zgodnie z podziałem materiałowym zgodnie z załącznikiem V do decyzji wykonawczej Komisji 019/1004/WE. (Podstawa: 31 grudnia 20</w:t>
            </w:r>
            <w:r w:rsidRPr="00A1618E">
              <w:rPr>
                <w:noProof/>
                <w:lang w:val="pl-PL"/>
              </w:rPr>
              <w:t>18 r.</w:t>
            </w:r>
            <w:r>
              <w:rPr>
                <w:noProof/>
              </w:rPr>
              <w:t>)</w:t>
            </w:r>
          </w:p>
        </w:tc>
      </w:tr>
      <w:tr w:rsidR="006578ED" w14:paraId="25B7240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0CF18F5E" w14:textId="1599D404" w:rsidR="006578ED" w:rsidRDefault="00A1618E">
            <w:pPr>
              <w:pStyle w:val="P68B1DB1-Normal13"/>
              <w:spacing w:after="0" w:line="240" w:lineRule="auto"/>
              <w:jc w:val="center"/>
              <w:rPr>
                <w:rFonts w:cs="Times New Roman"/>
                <w:noProof/>
              </w:rPr>
            </w:pPr>
            <w:r>
              <w:rPr>
                <w:noProof/>
              </w:rPr>
              <w:t>440</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2A15B1E9" w14:textId="77777777" w:rsidR="006578ED" w:rsidRDefault="00A1618E">
            <w:pPr>
              <w:pStyle w:val="P68B1DB1-Normal13"/>
              <w:spacing w:after="0" w:line="240" w:lineRule="auto"/>
              <w:jc w:val="center"/>
              <w:rPr>
                <w:rFonts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D570A4B" w14:textId="67AD9FE2" w:rsidR="006578ED" w:rsidRDefault="00AF6B91">
            <w:pPr>
              <w:pStyle w:val="P68B1DB1-Normal13"/>
              <w:spacing w:after="0" w:line="240" w:lineRule="auto"/>
              <w:jc w:val="center"/>
              <w:rPr>
                <w:rFonts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2F32A023" w14:textId="384998FB" w:rsidR="006578ED" w:rsidRDefault="00A1618E">
            <w:pPr>
              <w:pStyle w:val="P68B1DB1-Normal13"/>
              <w:spacing w:after="0" w:line="240" w:lineRule="auto"/>
              <w:rPr>
                <w:rFonts w:cs="Times New Roman"/>
                <w:noProof/>
              </w:rPr>
            </w:pPr>
            <w:r>
              <w:rPr>
                <w:noProof/>
              </w:rPr>
              <w:t>Grupa robocza Komisji Koordynacyjnej ds. Odpadów odpowiedzialna za monitorowanie przestrzegania przepisów dotyczących odpadów</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4361DBB" w14:textId="4F5C2FF6" w:rsidR="006578ED" w:rsidRDefault="00A1618E">
            <w:pPr>
              <w:pStyle w:val="P68B1DB1-Normal13"/>
              <w:spacing w:after="0" w:line="240" w:lineRule="auto"/>
              <w:jc w:val="center"/>
              <w:rPr>
                <w:rFonts w:cs="Times New Roman"/>
                <w:noProof/>
              </w:rPr>
            </w:pPr>
            <w:r>
              <w:rPr>
                <w:noProof/>
              </w:rPr>
              <w:t>Zatwierdzenie przez Komitet Koordynacyjny ds. Odpadów</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B1F5F8E" w14:textId="77777777" w:rsidR="006578ED" w:rsidRDefault="00A1618E">
            <w:pPr>
              <w:pStyle w:val="P68B1DB1-Normal13"/>
              <w:spacing w:after="0" w:line="240" w:lineRule="auto"/>
              <w:jc w:val="center"/>
              <w:rPr>
                <w:rFonts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DA1B583" w14:textId="77777777" w:rsidR="006578ED" w:rsidRDefault="00A1618E">
            <w:pPr>
              <w:pStyle w:val="P68B1DB1-Normal13"/>
              <w:spacing w:after="0" w:line="240" w:lineRule="auto"/>
              <w:jc w:val="center"/>
              <w:rPr>
                <w:rFonts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FBD1DDC" w14:textId="77777777" w:rsidR="006578ED" w:rsidRDefault="00A1618E">
            <w:pPr>
              <w:pStyle w:val="P68B1DB1-Normal13"/>
              <w:spacing w:after="0" w:line="240" w:lineRule="auto"/>
              <w:jc w:val="center"/>
              <w:rPr>
                <w:rFonts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52F4E67" w14:textId="6E84104B" w:rsidR="006578ED" w:rsidRDefault="00EC188C">
            <w:pPr>
              <w:pStyle w:val="P68B1DB1-Normal13"/>
              <w:spacing w:after="0" w:line="240" w:lineRule="auto"/>
              <w:jc w:val="center"/>
              <w:rPr>
                <w:rFonts w:cs="Times New Roman"/>
                <w:noProof/>
              </w:rPr>
            </w:pPr>
            <w:r>
              <w:rPr>
                <w:noProof/>
              </w:rPr>
              <w:t>KW. 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2DF71DB" w14:textId="77777777" w:rsidR="006578ED" w:rsidRDefault="00A1618E">
            <w:pPr>
              <w:pStyle w:val="P68B1DB1-Normal13"/>
              <w:spacing w:after="0" w:line="240" w:lineRule="auto"/>
              <w:jc w:val="center"/>
              <w:rPr>
                <w:rFonts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11F8705" w14:textId="0921B8FF" w:rsidR="006578ED" w:rsidRDefault="00A1618E">
            <w:pPr>
              <w:pStyle w:val="P68B1DB1-Normal13"/>
              <w:rPr>
                <w:rFonts w:eastAsia="Times New Roman" w:cs="Times New Roman"/>
                <w:noProof/>
              </w:rPr>
            </w:pPr>
            <w:r>
              <w:rPr>
                <w:noProof/>
              </w:rPr>
              <w:t>Komitet Koordynacyjny ds. Odpadów zatwierdza utworzenie specjalnej grupy roboczej w celu monitorowania zgodności z przepisami dotyczącymi odpadów oraz harmonizację kryteriów takiej zgodności, a także przyjęcie środków ułatwiających tę zgodność.</w:t>
            </w:r>
          </w:p>
          <w:p w14:paraId="418BA7F4" w14:textId="77777777" w:rsidR="006578ED" w:rsidRDefault="006578ED">
            <w:pPr>
              <w:spacing w:after="0" w:line="240" w:lineRule="auto"/>
              <w:rPr>
                <w:rFonts w:ascii="Times New Roman" w:hAnsi="Times New Roman" w:cs="Times New Roman"/>
                <w:noProof/>
                <w:sz w:val="18"/>
              </w:rPr>
            </w:pPr>
          </w:p>
        </w:tc>
      </w:tr>
      <w:tr w:rsidR="006578ED" w14:paraId="07072F30"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DED8843" w14:textId="4A07E80A" w:rsidR="006578ED" w:rsidRDefault="00A1618E">
            <w:pPr>
              <w:pStyle w:val="P68B1DB1-Normal13"/>
              <w:spacing w:after="0" w:line="240" w:lineRule="auto"/>
              <w:jc w:val="center"/>
              <w:rPr>
                <w:rFonts w:cs="Times New Roman"/>
                <w:noProof/>
              </w:rPr>
            </w:pPr>
            <w:r>
              <w:rPr>
                <w:noProof/>
              </w:rPr>
              <w:t>441</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C91783D" w14:textId="77777777" w:rsidR="006578ED" w:rsidRDefault="00A1618E">
            <w:pPr>
              <w:pStyle w:val="P68B1DB1-Normal13"/>
              <w:spacing w:after="0" w:line="240" w:lineRule="auto"/>
              <w:jc w:val="center"/>
              <w:rPr>
                <w:rFonts w:cs="Times New Roman"/>
                <w:noProof/>
              </w:rPr>
            </w:pPr>
            <w:r>
              <w:rPr>
                <w:noProof/>
              </w:rPr>
              <w:t>C12.R2</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3BE866B" w14:textId="218C7B47" w:rsidR="006578ED" w:rsidRDefault="00AF6B91">
            <w:pPr>
              <w:pStyle w:val="P68B1DB1-Normal13"/>
              <w:spacing w:after="0" w:line="240" w:lineRule="auto"/>
              <w:jc w:val="center"/>
              <w:rPr>
                <w:rFonts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0F376A93" w14:textId="00EFFCC4" w:rsidR="006578ED" w:rsidRDefault="00A1618E">
            <w:pPr>
              <w:pStyle w:val="P68B1DB1-Normal13"/>
              <w:spacing w:after="0" w:line="240" w:lineRule="auto"/>
              <w:rPr>
                <w:rFonts w:cs="Times New Roman"/>
                <w:noProof/>
              </w:rPr>
            </w:pPr>
            <w:r>
              <w:rPr>
                <w:noProof/>
              </w:rPr>
              <w:t>Wejście w życie aktów stanowiących część drugiego pakietu dotyczącego gospodarki o obiegu zamkniętym</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C00499D" w14:textId="549E0010" w:rsidR="006578ED" w:rsidRDefault="00A1618E">
            <w:pPr>
              <w:pStyle w:val="P68B1DB1-Normal13"/>
              <w:spacing w:after="0" w:line="240" w:lineRule="auto"/>
              <w:jc w:val="center"/>
              <w:rPr>
                <w:rFonts w:cs="Times New Roman"/>
                <w:noProof/>
              </w:rPr>
            </w:pPr>
            <w:r>
              <w:rPr>
                <w:noProof/>
              </w:rPr>
              <w:t>Przepisy dekretów królewskich ustanawiających wejście w życie aktów prawnych</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1214FF6E" w14:textId="77777777" w:rsidR="006578ED" w:rsidRDefault="00A1618E">
            <w:pPr>
              <w:pStyle w:val="P68B1DB1-Normal13"/>
              <w:spacing w:after="0" w:line="240" w:lineRule="auto"/>
              <w:jc w:val="center"/>
              <w:rPr>
                <w:rFonts w:cs="Times New Roman"/>
                <w:noProof/>
              </w:rPr>
            </w:pPr>
            <w:r>
              <w:rPr>
                <w:noProof/>
              </w:rPr>
              <w:t xml:space="preserve">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A97C7F2" w14:textId="77777777" w:rsidR="006578ED" w:rsidRDefault="00A1618E">
            <w:pPr>
              <w:pStyle w:val="P68B1DB1-Normal13"/>
              <w:spacing w:after="0" w:line="240" w:lineRule="auto"/>
              <w:jc w:val="center"/>
              <w:rPr>
                <w:rFonts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BDE7677" w14:textId="77777777" w:rsidR="006578ED" w:rsidRDefault="00A1618E">
            <w:pPr>
              <w:pStyle w:val="P68B1DB1-Normal13"/>
              <w:spacing w:after="0" w:line="240" w:lineRule="auto"/>
              <w:jc w:val="center"/>
              <w:rPr>
                <w:rFonts w:cs="Times New Roman"/>
                <w:noProof/>
              </w:rPr>
            </w:pPr>
            <w:r>
              <w:rPr>
                <w:noProof/>
              </w:rPr>
              <w:t xml:space="preserve">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0738E1E" w14:textId="410D8B70" w:rsidR="006578ED" w:rsidRDefault="00EC188C">
            <w:pPr>
              <w:pStyle w:val="P68B1DB1-Normal13"/>
              <w:spacing w:after="0" w:line="240" w:lineRule="auto"/>
              <w:jc w:val="center"/>
              <w:rPr>
                <w:rFonts w:cs="Times New Roman"/>
                <w:noProof/>
              </w:rPr>
            </w:pPr>
            <w:r>
              <w:rPr>
                <w:noProof/>
              </w:rPr>
              <w:t>KW. 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C1FFB66" w14:textId="77777777" w:rsidR="006578ED" w:rsidRDefault="00A1618E">
            <w:pPr>
              <w:pStyle w:val="P68B1DB1-Normal13"/>
              <w:spacing w:after="0" w:line="240" w:lineRule="auto"/>
              <w:jc w:val="center"/>
              <w:rPr>
                <w:rFonts w:cs="Times New Roman"/>
                <w:noProof/>
              </w:rPr>
            </w:pPr>
            <w:r>
              <w:rPr>
                <w:noProof/>
              </w:rPr>
              <w:t>2025</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01FC647B" w14:textId="052D60E3" w:rsidR="006578ED" w:rsidRDefault="00A1618E">
            <w:pPr>
              <w:pStyle w:val="P68B1DB1-Normal13"/>
              <w:spacing w:after="0"/>
              <w:rPr>
                <w:rFonts w:eastAsia="Times New Roman" w:cs="Times New Roman"/>
                <w:noProof/>
              </w:rPr>
            </w:pPr>
            <w:r>
              <w:rPr>
                <w:noProof/>
              </w:rPr>
              <w:t xml:space="preserve">Drugi pakiet regulacyjny dotyczący gospodarki o obiegu zamkniętym obejmuje: </w:t>
            </w:r>
          </w:p>
          <w:p w14:paraId="4AA76FCA" w14:textId="161D3934" w:rsidR="006578ED" w:rsidRDefault="00A1618E">
            <w:pPr>
              <w:pStyle w:val="P68B1DB1-ListParagraph14"/>
              <w:numPr>
                <w:ilvl w:val="0"/>
                <w:numId w:val="318"/>
              </w:numPr>
              <w:spacing w:after="0"/>
              <w:rPr>
                <w:rFonts w:eastAsia="Times New Roman" w:cs="Times New Roman"/>
                <w:noProof/>
              </w:rPr>
            </w:pPr>
            <w:r>
              <w:rPr>
                <w:noProof/>
              </w:rPr>
              <w:t>Dekret królewski w sprawie gwarancji finansowych dla wytwórców odpadów i podmiotów gospodarujących odpadami</w:t>
            </w:r>
          </w:p>
          <w:p w14:paraId="14787F90" w14:textId="01A59134" w:rsidR="006578ED" w:rsidRDefault="00A1618E">
            <w:pPr>
              <w:pStyle w:val="P68B1DB1-ListParagraph14"/>
              <w:numPr>
                <w:ilvl w:val="0"/>
                <w:numId w:val="318"/>
              </w:numPr>
              <w:spacing w:after="0"/>
              <w:rPr>
                <w:rFonts w:eastAsia="Times New Roman" w:cs="Times New Roman"/>
                <w:noProof/>
              </w:rPr>
            </w:pPr>
            <w:r>
              <w:rPr>
                <w:noProof/>
              </w:rPr>
              <w:t>Dekret królewski w sprawie gospodarowania odpadami z wyrobów tytoniowych z filtrami i filtrami wprowadzanymi do obrotu w połączeniu z wyrobami tytoniowymi</w:t>
            </w:r>
          </w:p>
          <w:p w14:paraId="6DC2865C" w14:textId="06935DA8" w:rsidR="006578ED" w:rsidRDefault="00A1618E">
            <w:pPr>
              <w:pStyle w:val="P68B1DB1-ListParagraph14"/>
              <w:numPr>
                <w:ilvl w:val="0"/>
                <w:numId w:val="318"/>
              </w:numPr>
              <w:rPr>
                <w:rFonts w:eastAsia="Times New Roman" w:cs="Times New Roman"/>
                <w:noProof/>
              </w:rPr>
            </w:pPr>
            <w:r>
              <w:rPr>
                <w:noProof/>
              </w:rPr>
              <w:t>Dekret królewski w sprawie gospodarowania przemysłowymi olejami odpadowymi</w:t>
            </w:r>
          </w:p>
          <w:p w14:paraId="5AA96976" w14:textId="234E044A" w:rsidR="006578ED" w:rsidRDefault="00A1618E">
            <w:pPr>
              <w:pStyle w:val="P68B1DB1-ListParagraph14"/>
              <w:numPr>
                <w:ilvl w:val="0"/>
                <w:numId w:val="318"/>
              </w:numPr>
              <w:rPr>
                <w:rFonts w:eastAsia="Times New Roman" w:cs="Times New Roman"/>
                <w:noProof/>
              </w:rPr>
            </w:pPr>
            <w:r>
              <w:rPr>
                <w:noProof/>
              </w:rPr>
              <w:t xml:space="preserve">Dekret królewski w sprawie zarządzania oponami wycofanymi z eksploatacji. </w:t>
            </w:r>
          </w:p>
          <w:p w14:paraId="303FBF64" w14:textId="77777777" w:rsidR="006578ED" w:rsidRDefault="00A1618E">
            <w:pPr>
              <w:pStyle w:val="P68B1DB1-ListParagraph14"/>
              <w:numPr>
                <w:ilvl w:val="0"/>
                <w:numId w:val="318"/>
              </w:numPr>
              <w:rPr>
                <w:rFonts w:eastAsia="Times New Roman" w:cs="Times New Roman"/>
                <w:noProof/>
              </w:rPr>
            </w:pPr>
            <w:r>
              <w:rPr>
                <w:noProof/>
              </w:rPr>
              <w:t>Rozporządzenie ministerialne ustanawiające minimalne wymogi dotyczące przetwarzania przed składowaniem odpadów komunalnych</w:t>
            </w:r>
          </w:p>
          <w:p w14:paraId="189E2BE8" w14:textId="2ADE6D43" w:rsidR="006578ED" w:rsidRDefault="00A1618E">
            <w:pPr>
              <w:pStyle w:val="P68B1DB1-ListParagraph14"/>
              <w:numPr>
                <w:ilvl w:val="0"/>
                <w:numId w:val="318"/>
              </w:numPr>
              <w:rPr>
                <w:rFonts w:cs="Times New Roman"/>
                <w:noProof/>
              </w:rPr>
            </w:pPr>
            <w:r>
              <w:rPr>
                <w:noProof/>
              </w:rPr>
              <w:t>Przyjęcie drugiego planu działania dotyczącego gospodarki o obiegu zamkniętym</w:t>
            </w:r>
          </w:p>
        </w:tc>
      </w:tr>
      <w:tr w:rsidR="006578ED" w14:paraId="5164B366"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39A9F7FD" w14:textId="6480BBFD" w:rsidR="006578ED" w:rsidRDefault="00A1618E">
            <w:pPr>
              <w:pStyle w:val="P68B1DB1-Normal13"/>
              <w:spacing w:after="0" w:line="240" w:lineRule="auto"/>
              <w:jc w:val="center"/>
              <w:rPr>
                <w:rFonts w:eastAsia="Times New Roman" w:cs="Times New Roman"/>
                <w:noProof/>
              </w:rPr>
            </w:pPr>
            <w:r>
              <w:rPr>
                <w:noProof/>
              </w:rPr>
              <w:t>442</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489B7D8D" w14:textId="77777777" w:rsidR="006578ED" w:rsidRDefault="00A1618E">
            <w:pPr>
              <w:pStyle w:val="P68B1DB1-Normal13"/>
              <w:spacing w:after="0" w:line="240" w:lineRule="auto"/>
              <w:jc w:val="center"/>
              <w:rPr>
                <w:rFonts w:eastAsia="Times New Roman"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02C5F7F" w14:textId="09E17223" w:rsidR="006578ED" w:rsidRDefault="00AF6B91">
            <w:pPr>
              <w:pStyle w:val="P68B1DB1-Normal13"/>
              <w:spacing w:after="0" w:line="240" w:lineRule="auto"/>
              <w:jc w:val="center"/>
              <w:rPr>
                <w:rFonts w:eastAsia="Times New Roman" w:cs="Times New Roman"/>
                <w:noProof/>
              </w:rPr>
            </w:pPr>
            <w:r>
              <w:rPr>
                <w:noProof/>
              </w:rPr>
              <w:t>Cel</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11583360" w14:textId="2AE07DCA" w:rsidR="006578ED" w:rsidRDefault="00A1618E">
            <w:pPr>
              <w:pStyle w:val="P68B1DB1-Normal13"/>
              <w:spacing w:after="0" w:line="240" w:lineRule="auto"/>
              <w:rPr>
                <w:rFonts w:eastAsia="Times New Roman" w:cs="Times New Roman"/>
                <w:noProof/>
              </w:rPr>
            </w:pPr>
            <w:r>
              <w:rPr>
                <w:noProof/>
              </w:rPr>
              <w:t>Dystrybucja dotacji na realizację projektów związanych z wdrażaniem odpadów.</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7FB7B21A" w14:textId="77777777" w:rsidR="006578ED" w:rsidRDefault="006578ED">
            <w:pPr>
              <w:spacing w:after="0" w:line="240" w:lineRule="auto"/>
              <w:jc w:val="center"/>
              <w:rPr>
                <w:rFonts w:ascii="Times New Roman" w:eastAsia="Times New Roman" w:hAnsi="Times New Roman" w:cs="Times New Roman"/>
                <w:noProof/>
                <w:sz w:val="18"/>
              </w:rPr>
            </w:pP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2754665" w14:textId="0803C52A" w:rsidR="006578ED" w:rsidRDefault="00A1618E">
            <w:pPr>
              <w:pStyle w:val="P68B1DB1-Normal13"/>
              <w:spacing w:after="0" w:line="240" w:lineRule="auto"/>
              <w:jc w:val="center"/>
              <w:rPr>
                <w:rFonts w:eastAsia="Times New Roman" w:cs="Times New Roman"/>
                <w:noProof/>
              </w:rPr>
            </w:pPr>
            <w:r>
              <w:rPr>
                <w:noProof/>
              </w:rPr>
              <w:t>W mln EUR</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81A6E47" w14:textId="77777777" w:rsidR="006578ED" w:rsidRDefault="00A1618E">
            <w:pPr>
              <w:pStyle w:val="P68B1DB1-Normal13"/>
              <w:spacing w:after="0" w:line="240" w:lineRule="auto"/>
              <w:jc w:val="center"/>
              <w:rPr>
                <w:rFonts w:eastAsia="Times New Roman"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9056E9D" w14:textId="77777777" w:rsidR="006578ED" w:rsidRDefault="00A1618E">
            <w:pPr>
              <w:pStyle w:val="P68B1DB1-Normal13"/>
              <w:spacing w:after="0" w:line="240" w:lineRule="auto"/>
              <w:jc w:val="center"/>
              <w:rPr>
                <w:rFonts w:eastAsia="Times New Roman" w:cs="Times New Roman"/>
                <w:noProof/>
              </w:rPr>
            </w:pPr>
            <w:r>
              <w:rPr>
                <w:noProof/>
              </w:rPr>
              <w:t>300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0714831" w14:textId="24A4D909" w:rsidR="006578ED" w:rsidRDefault="00EC188C">
            <w:pPr>
              <w:pStyle w:val="P68B1DB1-Normal13"/>
              <w:spacing w:after="0" w:line="240" w:lineRule="auto"/>
              <w:jc w:val="center"/>
              <w:rPr>
                <w:rFonts w:eastAsia="Times New Roman" w:cs="Times New Roman"/>
                <w:noProof/>
              </w:rPr>
            </w:pPr>
            <w:r>
              <w:rPr>
                <w:noProof/>
              </w:rPr>
              <w:t>KW. 4</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EB3A66" w14:textId="77777777" w:rsidR="006578ED" w:rsidRDefault="00A1618E">
            <w:pPr>
              <w:pStyle w:val="P68B1DB1-Normal13"/>
              <w:spacing w:after="0" w:line="240" w:lineRule="auto"/>
              <w:jc w:val="center"/>
              <w:rPr>
                <w:rFonts w:eastAsia="Times New Roman"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87591BB" w14:textId="2C035F12" w:rsidR="006578ED" w:rsidRDefault="00A1618E">
            <w:pPr>
              <w:pStyle w:val="P68B1DB1-Normal13"/>
              <w:spacing w:after="0" w:line="240" w:lineRule="auto"/>
              <w:rPr>
                <w:rFonts w:eastAsia="Times New Roman" w:cs="Times New Roman"/>
                <w:noProof/>
              </w:rPr>
            </w:pPr>
            <w:r>
              <w:rPr>
                <w:noProof/>
              </w:rPr>
              <w:t>Zatwierdzenie porozumienia Konferencji Sektorowej ds. Środowiska zatwierdzającej kryteria przydziału i podziału terytorialnego dotacji lub zatwierdzenie dotacji bezpośrednich zgodnie z ustawą ogólną w sprawie subsydiów 28/2003, dotyczącą planu wsparcia wdrażania przepisów dotyczących odpadów z 20</w:t>
            </w:r>
            <w:r w:rsidRPr="00A1618E">
              <w:rPr>
                <w:noProof/>
                <w:lang w:val="pl-PL"/>
              </w:rPr>
              <w:t>24 r.</w:t>
            </w:r>
            <w:r>
              <w:rPr>
                <w:noProof/>
              </w:rPr>
              <w:t xml:space="preserve"> w odniesieniu do finansowania projektów mających na celu wdrożenie krajowych ram regulacyjnych dotyczących odpadów i osiągnięcie celów UE</w:t>
            </w:r>
            <w:r w:rsidRPr="00A1618E">
              <w:rPr>
                <w:noProof/>
                <w:lang w:val="pl-PL"/>
              </w:rPr>
              <w:t>. P</w:t>
            </w:r>
            <w:r>
              <w:rPr>
                <w:noProof/>
              </w:rPr>
              <w:t>rojekty obejmują działania mające na celu wdrożenie i ulepszenie systemów selektywnej zbiórki odpadów, inwestycje w punkty zbiórki w celu poprawy recyklingu oraz budowę nowej oczyszczalni selektywnie zbieranych odpadów.</w:t>
            </w:r>
          </w:p>
        </w:tc>
      </w:tr>
      <w:tr w:rsidR="006578ED" w14:paraId="7C60E430"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F43270C" w14:textId="7273D458" w:rsidR="006578ED" w:rsidRDefault="00A1618E">
            <w:pPr>
              <w:pStyle w:val="P68B1DB1-Normal13"/>
              <w:spacing w:after="0" w:line="240" w:lineRule="auto"/>
              <w:jc w:val="center"/>
              <w:rPr>
                <w:rFonts w:eastAsia="Times New Roman" w:cs="Times New Roman"/>
                <w:noProof/>
              </w:rPr>
            </w:pPr>
            <w:r>
              <w:rPr>
                <w:noProof/>
              </w:rPr>
              <w:t>443</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6E3DCCC6" w14:textId="77777777" w:rsidR="006578ED" w:rsidRDefault="00A1618E">
            <w:pPr>
              <w:pStyle w:val="P68B1DB1-Normal13"/>
              <w:spacing w:after="0" w:line="240" w:lineRule="auto"/>
              <w:jc w:val="center"/>
              <w:rPr>
                <w:rFonts w:eastAsia="Times New Roman" w:cs="Times New Roman"/>
                <w:noProof/>
              </w:rPr>
            </w:pPr>
            <w:r>
              <w:rPr>
                <w:noProof/>
              </w:rPr>
              <w:t>C12.I3</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3E5CAD4" w14:textId="02CF839F" w:rsidR="006578ED" w:rsidRDefault="00AF6B91">
            <w:pPr>
              <w:pStyle w:val="P68B1DB1-Normal13"/>
              <w:spacing w:after="0" w:line="240" w:lineRule="auto"/>
              <w:jc w:val="center"/>
              <w:rPr>
                <w:rFonts w:eastAsia="Times New Roman" w:cs="Times New Roman"/>
                <w:noProof/>
              </w:rPr>
            </w:pPr>
            <w:r>
              <w:rPr>
                <w:noProof/>
              </w:rPr>
              <w:t>Cel</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31A30D72" w14:textId="2403A9BA" w:rsidR="006578ED" w:rsidRDefault="00A1618E">
            <w:pPr>
              <w:pStyle w:val="P68B1DB1-Normal13"/>
              <w:spacing w:after="0" w:line="240" w:lineRule="auto"/>
              <w:rPr>
                <w:rFonts w:eastAsia="Times New Roman" w:cs="Times New Roman"/>
                <w:noProof/>
              </w:rPr>
            </w:pPr>
            <w:r>
              <w:rPr>
                <w:noProof/>
              </w:rPr>
              <w:t>Zakończenie projektów w zakresie gospodarowania odpadami</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7478D81" w14:textId="77777777" w:rsidR="006578ED" w:rsidRDefault="006578ED">
            <w:pPr>
              <w:spacing w:after="0" w:line="240" w:lineRule="auto"/>
              <w:jc w:val="center"/>
              <w:rPr>
                <w:rFonts w:ascii="Times New Roman" w:eastAsia="Times New Roman" w:hAnsi="Times New Roman" w:cs="Times New Roman"/>
                <w:noProof/>
                <w:sz w:val="18"/>
              </w:rPr>
            </w:pP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F0C6574" w14:textId="77777777" w:rsidR="006578ED" w:rsidRDefault="00A1618E">
            <w:pPr>
              <w:pStyle w:val="P68B1DB1-Normal13"/>
              <w:spacing w:after="0" w:line="240" w:lineRule="auto"/>
              <w:jc w:val="center"/>
              <w:rPr>
                <w:rFonts w:eastAsia="Times New Roman" w:cs="Times New Roman"/>
                <w:noProof/>
              </w:rPr>
            </w:pPr>
            <w:r>
              <w:rPr>
                <w:noProof/>
              </w:rPr>
              <w:t xml:space="preserve">W mln EUR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99CF9F1" w14:textId="77777777" w:rsidR="006578ED" w:rsidRDefault="006578ED">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62D747C" w14:textId="77777777" w:rsidR="006578ED" w:rsidRDefault="00A1618E">
            <w:pPr>
              <w:pStyle w:val="P68B1DB1-Normal13"/>
              <w:spacing w:after="0" w:line="240" w:lineRule="auto"/>
              <w:jc w:val="center"/>
              <w:rPr>
                <w:rFonts w:eastAsia="Times New Roman" w:cs="Times New Roman"/>
                <w:noProof/>
              </w:rPr>
            </w:pPr>
            <w:r>
              <w:rPr>
                <w:noProof/>
              </w:rPr>
              <w:t>270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38DA7C09" w14:textId="666FC564" w:rsidR="006578ED" w:rsidRDefault="00EC188C">
            <w:pPr>
              <w:pStyle w:val="P68B1DB1-Normal13"/>
              <w:spacing w:after="0" w:line="240" w:lineRule="auto"/>
              <w:jc w:val="center"/>
              <w:rPr>
                <w:rFonts w:eastAsia="Times New Roman" w:cs="Times New Roman"/>
                <w:noProof/>
              </w:rPr>
            </w:pPr>
            <w:r>
              <w:rPr>
                <w:noProof/>
              </w:rPr>
              <w:t>KW. 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0D52795" w14:textId="77777777" w:rsidR="006578ED" w:rsidRDefault="00A1618E">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C5C4F73" w14:textId="28C16B3B" w:rsidR="006578ED" w:rsidRDefault="00A1618E">
            <w:pPr>
              <w:pStyle w:val="P68B1DB1-Normal13"/>
              <w:spacing w:after="0" w:line="240" w:lineRule="auto"/>
              <w:rPr>
                <w:rFonts w:eastAsia="Times New Roman" w:cs="Times New Roman"/>
                <w:noProof/>
              </w:rPr>
            </w:pPr>
            <w:r>
              <w:rPr>
                <w:noProof/>
              </w:rPr>
              <w:t>Zakończenie projektów o wartości co najmniej 270 000 000 EUR przyznanych na wdrożenie i ulepszenie systemów selektywnej zbiórki odpadów, inwestycje w punkty zbiórki w celu poprawy recyklingu oraz budowę nowych zakładów przetwarzania selektywnie zbieranych odpadów.</w:t>
            </w:r>
          </w:p>
        </w:tc>
      </w:tr>
      <w:tr w:rsidR="006578ED" w14:paraId="758C3169"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C1EF78E" w14:textId="4C0041F2" w:rsidR="006578ED" w:rsidRDefault="00A1618E">
            <w:pPr>
              <w:pStyle w:val="P68B1DB1-Normal13"/>
              <w:spacing w:after="0" w:line="240" w:lineRule="auto"/>
              <w:jc w:val="center"/>
              <w:rPr>
                <w:rFonts w:eastAsia="Times New Roman" w:cs="Times New Roman"/>
                <w:noProof/>
              </w:rPr>
            </w:pPr>
            <w:r>
              <w:rPr>
                <w:noProof/>
              </w:rPr>
              <w:t>444</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B0BCEA4" w14:textId="77777777" w:rsidR="006578ED" w:rsidRDefault="00A1618E">
            <w:pPr>
              <w:pStyle w:val="P68B1DB1-Normal13"/>
              <w:spacing w:after="0" w:line="240" w:lineRule="auto"/>
              <w:jc w:val="center"/>
              <w:rPr>
                <w:rFonts w:eastAsia="Times New Roman" w:cs="Times New Roman"/>
                <w:noProof/>
              </w:rPr>
            </w:pPr>
            <w:r>
              <w:rPr>
                <w:noProof/>
              </w:rPr>
              <w:t>C12.I4</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4F032B11" w14:textId="3CDC53A3" w:rsidR="006578ED" w:rsidRDefault="00AF6B91">
            <w:pPr>
              <w:pStyle w:val="P68B1DB1-Normal13"/>
              <w:spacing w:after="0" w:line="240" w:lineRule="auto"/>
              <w:jc w:val="center"/>
              <w:rPr>
                <w:rFonts w:eastAsia="Times New Roman"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797FB93" w14:textId="77777777" w:rsidR="006578ED" w:rsidRDefault="00A1618E">
            <w:pPr>
              <w:pStyle w:val="P68B1DB1-Normal13"/>
              <w:spacing w:after="0" w:line="240" w:lineRule="auto"/>
              <w:rPr>
                <w:rFonts w:eastAsia="Times New Roman" w:cs="Times New Roman"/>
                <w:noProof/>
              </w:rPr>
            </w:pPr>
            <w:r>
              <w:rPr>
                <w:noProof/>
              </w:rPr>
              <w:t xml:space="preserve">CZIP PERTE. Wzmocnienie łańcucha wartości półprzewodników.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2C9B0C6C" w14:textId="4D3FB21A" w:rsidR="006578ED" w:rsidRDefault="00A1618E">
            <w:pPr>
              <w:pStyle w:val="P68B1DB1-Normal13"/>
              <w:spacing w:after="0" w:line="240" w:lineRule="auto"/>
              <w:jc w:val="center"/>
              <w:rPr>
                <w:rFonts w:eastAsia="Times New Roman" w:cs="Times New Roman"/>
                <w:noProof/>
              </w:rPr>
            </w:pPr>
            <w:r>
              <w:rPr>
                <w:noProof/>
              </w:rPr>
              <w:t xml:space="preserve">Publikacja w Dzienniku Urzędowym lub na oficjalnej stronie internetowej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33852CA" w14:textId="77777777" w:rsidR="006578ED" w:rsidRDefault="00A1618E">
            <w:pPr>
              <w:pStyle w:val="P68B1DB1-Normal13"/>
              <w:spacing w:after="0" w:line="240" w:lineRule="auto"/>
              <w:jc w:val="center"/>
              <w:rPr>
                <w:rFonts w:eastAsia="Times New Roman" w:cs="Times New Roman"/>
                <w:noProof/>
              </w:rPr>
            </w:pPr>
            <w:r>
              <w:rPr>
                <w:noProof/>
              </w:rPr>
              <w:t xml:space="preserve">W mln EUR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2CCFB21"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CCB0277" w14:textId="77777777" w:rsidR="006578ED" w:rsidRDefault="00A1618E">
            <w:pPr>
              <w:pStyle w:val="P68B1DB1-Normal13"/>
              <w:spacing w:after="0" w:line="240" w:lineRule="auto"/>
              <w:jc w:val="center"/>
              <w:rPr>
                <w:rFonts w:eastAsia="Times New Roman" w:cs="Times New Roman"/>
                <w:noProof/>
              </w:rPr>
            </w:pPr>
            <w:r>
              <w:rPr>
                <w:noProof/>
              </w:rPr>
              <w:t xml:space="preserve">200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132A9B80" w14:textId="07B2D9EB" w:rsidR="006578ED" w:rsidRDefault="00EC188C">
            <w:pPr>
              <w:pStyle w:val="P68B1DB1-Normal13"/>
              <w:spacing w:after="0" w:line="240" w:lineRule="auto"/>
              <w:jc w:val="center"/>
              <w:rPr>
                <w:rFonts w:eastAsia="Times New Roman" w:cs="Times New Roman"/>
                <w:noProof/>
              </w:rPr>
            </w:pPr>
            <w:r>
              <w:rPr>
                <w:noProof/>
              </w:rPr>
              <w:t>KW. 1</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49C322C" w14:textId="77777777" w:rsidR="006578ED" w:rsidRDefault="00A1618E">
            <w:pPr>
              <w:pStyle w:val="P68B1DB1-Normal13"/>
              <w:spacing w:after="0" w:line="240" w:lineRule="auto"/>
              <w:jc w:val="center"/>
              <w:rPr>
                <w:rFonts w:eastAsia="Times New Roman" w:cs="Times New Roman"/>
                <w:noProof/>
              </w:rPr>
            </w:pPr>
            <w:r>
              <w:rPr>
                <w:noProof/>
              </w:rPr>
              <w:t>2025</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73DB66C" w14:textId="442D0CB9" w:rsidR="006578ED" w:rsidRDefault="00A1618E">
            <w:pPr>
              <w:pStyle w:val="P68B1DB1-Normal13"/>
              <w:spacing w:after="0" w:line="240" w:lineRule="auto"/>
              <w:rPr>
                <w:rFonts w:eastAsia="Times New Roman" w:cs="Times New Roman"/>
                <w:noProof/>
              </w:rPr>
            </w:pPr>
            <w:r>
              <w:rPr>
                <w:noProof/>
              </w:rPr>
              <w:t xml:space="preserve">Zobowiązanie prawne w wysokości 200 000 000 EUR na rzecz beneficjentów końcowych uczestniczących w projekcie IPCEI – Mikroelektronika i łączność oraz na rzecz beneficjentów końcowych otrzymujących wsparcie na rzecz hiszpańskiego ekosystemu półprzewodników na potrzeby etapu badań, rozwoju i innowacji oraz pierwszego etapu wdrażania przemysłowego, z wyłączeniem produkcji masowej i działalności handlowej. </w:t>
            </w:r>
          </w:p>
        </w:tc>
      </w:tr>
      <w:tr w:rsidR="006578ED" w14:paraId="63434339"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E5083BB" w14:textId="403B4173" w:rsidR="006578ED" w:rsidRDefault="00A1618E">
            <w:pPr>
              <w:pStyle w:val="P68B1DB1-Normal13"/>
              <w:spacing w:after="0" w:line="240" w:lineRule="auto"/>
              <w:jc w:val="center"/>
              <w:rPr>
                <w:rFonts w:eastAsia="Times New Roman" w:cs="Times New Roman"/>
                <w:noProof/>
              </w:rPr>
            </w:pPr>
            <w:r>
              <w:rPr>
                <w:noProof/>
              </w:rPr>
              <w:t>445</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11DA56B5" w14:textId="77777777" w:rsidR="006578ED" w:rsidRDefault="00A1618E">
            <w:pPr>
              <w:pStyle w:val="P68B1DB1-Normal13"/>
              <w:spacing w:after="0" w:line="240" w:lineRule="auto"/>
              <w:jc w:val="center"/>
              <w:rPr>
                <w:rFonts w:eastAsia="Times New Roman" w:cs="Times New Roman"/>
                <w:noProof/>
              </w:rPr>
            </w:pPr>
            <w:r>
              <w:rPr>
                <w:noProof/>
              </w:rPr>
              <w:t>C12.I4</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03D12F5" w14:textId="48D2E008" w:rsidR="006578ED" w:rsidRDefault="00AF6B91">
            <w:pPr>
              <w:pStyle w:val="P68B1DB1-Normal13"/>
              <w:spacing w:after="0" w:line="240" w:lineRule="auto"/>
              <w:jc w:val="center"/>
              <w:rPr>
                <w:rFonts w:eastAsia="Times New Roman" w:cs="Times New Roman"/>
                <w:noProof/>
              </w:rPr>
            </w:pPr>
            <w:r>
              <w:rPr>
                <w:noProof/>
              </w:rPr>
              <w:t>Cel</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420CF322" w14:textId="1FA07114" w:rsidR="006578ED" w:rsidRDefault="00A1618E">
            <w:pPr>
              <w:pStyle w:val="P68B1DB1-Normal13"/>
              <w:spacing w:after="0" w:line="240" w:lineRule="auto"/>
              <w:rPr>
                <w:rFonts w:eastAsia="Times New Roman" w:cs="Times New Roman"/>
                <w:noProof/>
              </w:rPr>
            </w:pPr>
            <w:r>
              <w:rPr>
                <w:noProof/>
              </w:rPr>
              <w:t xml:space="preserve">CZIP PERTE. Wzmocnienie łańcucha wartości półprzewodników (II).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5D826B0"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5050ECCD" w14:textId="77777777" w:rsidR="006578ED" w:rsidRDefault="00A1618E">
            <w:pPr>
              <w:pStyle w:val="P68B1DB1-Normal13"/>
              <w:spacing w:after="0" w:line="240" w:lineRule="auto"/>
              <w:jc w:val="center"/>
              <w:rPr>
                <w:rFonts w:eastAsia="Times New Roman" w:cs="Times New Roman"/>
                <w:noProof/>
              </w:rPr>
            </w:pPr>
            <w:r>
              <w:rPr>
                <w:noProof/>
              </w:rPr>
              <w:t>W mln EUR</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4B995D86" w14:textId="0A07AF81" w:rsidR="006578ED" w:rsidRDefault="006578ED">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5A5AA7B" w14:textId="77777777" w:rsidR="006578ED" w:rsidRDefault="00A1618E">
            <w:pPr>
              <w:pStyle w:val="P68B1DB1-Normal13"/>
              <w:spacing w:after="0" w:line="240" w:lineRule="auto"/>
              <w:jc w:val="center"/>
              <w:rPr>
                <w:rFonts w:eastAsia="Times New Roman" w:cs="Times New Roman"/>
                <w:noProof/>
              </w:rPr>
            </w:pPr>
            <w:r>
              <w:rPr>
                <w:noProof/>
              </w:rPr>
              <w:t>180</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F8A117E" w14:textId="17B8B990" w:rsidR="006578ED" w:rsidRDefault="00EC188C">
            <w:pPr>
              <w:pStyle w:val="P68B1DB1-Normal13"/>
              <w:spacing w:after="0" w:line="240" w:lineRule="auto"/>
              <w:jc w:val="center"/>
              <w:rPr>
                <w:rFonts w:eastAsia="Times New Roman" w:cs="Times New Roman"/>
                <w:noProof/>
              </w:rPr>
            </w:pPr>
            <w:r>
              <w:rPr>
                <w:noProof/>
              </w:rPr>
              <w:t>KW. 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7ECDDC52" w14:textId="77777777" w:rsidR="006578ED" w:rsidRDefault="00A1618E">
            <w:pPr>
              <w:pStyle w:val="P68B1DB1-Normal13"/>
              <w:spacing w:after="0" w:line="240" w:lineRule="auto"/>
              <w:jc w:val="center"/>
              <w:rPr>
                <w:rFonts w:eastAsia="Times New Roman"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3A8A35EB" w14:textId="6B8BAC11" w:rsidR="006578ED" w:rsidRDefault="00A1618E">
            <w:pPr>
              <w:pStyle w:val="P68B1DB1-Normal13"/>
              <w:spacing w:after="0" w:line="240" w:lineRule="auto"/>
              <w:rPr>
                <w:rFonts w:eastAsia="Times New Roman" w:cs="Times New Roman"/>
                <w:noProof/>
              </w:rPr>
            </w:pPr>
            <w:r>
              <w:rPr>
                <w:noProof/>
              </w:rPr>
              <w:t>Co najmniej 180 000 000 EUR wypłacono beneficjentom końcowym uczestniczącym w projekcie IPCEI – Mikroelektronika i łączność oraz beneficjentom końcowym otrzymującym wsparcie na rzecz hiszpańskiego ekosystemu półprzewodników na potrzeby etapu badań, rozwoju i innowacji oraz pierwszego etapu wdrażania przemysłowego, z wyłączeniem produkcji masowej i działalności handlowej.</w:t>
            </w:r>
          </w:p>
        </w:tc>
      </w:tr>
      <w:tr w:rsidR="006578ED" w14:paraId="724F503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1F711D7D" w14:textId="667B4A08" w:rsidR="006578ED" w:rsidRDefault="00A1618E">
            <w:pPr>
              <w:pStyle w:val="P68B1DB1-Normal13"/>
              <w:spacing w:after="0" w:line="240" w:lineRule="auto"/>
              <w:jc w:val="center"/>
              <w:rPr>
                <w:rFonts w:eastAsia="Times New Roman" w:cs="Times New Roman"/>
                <w:noProof/>
              </w:rPr>
            </w:pPr>
            <w:r>
              <w:rPr>
                <w:noProof/>
              </w:rPr>
              <w:t>448</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185066C" w14:textId="22D3FDA8" w:rsidR="006578ED" w:rsidRDefault="00A1618E">
            <w:pPr>
              <w:pStyle w:val="P68B1DB1-Normal13"/>
              <w:spacing w:after="0" w:line="240" w:lineRule="auto"/>
              <w:jc w:val="center"/>
              <w:rPr>
                <w:rFonts w:eastAsia="Times New Roman" w:cs="Times New Roman"/>
                <w:noProof/>
              </w:rPr>
            </w:pPr>
            <w:r>
              <w:rPr>
                <w:noProof/>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7754380B" w14:textId="5C03C7D0" w:rsidR="006578ED" w:rsidRDefault="00AF6B91">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Kamień milowy </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4F703E4" w14:textId="77A13021" w:rsidR="006578ED" w:rsidRDefault="00A1618E">
            <w:pPr>
              <w:pStyle w:val="P68B1DB1-Normal13"/>
              <w:spacing w:after="0" w:line="240" w:lineRule="auto"/>
              <w:rPr>
                <w:rFonts w:eastAsia="Times New Roman" w:cs="Times New Roman"/>
                <w:noProof/>
              </w:rPr>
            </w:pPr>
            <w:r>
              <w:rPr>
                <w:noProof/>
              </w:rPr>
              <w:t>Program dotacji wspierający gospodarkę o obiegu zamkniętym: Ministerstwo zakończyło inwestycję </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435D3272" w14:textId="629575AE" w:rsidR="006578ED" w:rsidRDefault="00A1618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Poświadczenie wypłaty dla partnera wykonawczego </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965198D" w14:textId="77777777" w:rsidR="006578ED" w:rsidRDefault="006578ED">
            <w:pPr>
              <w:spacing w:after="0" w:line="240" w:lineRule="auto"/>
              <w:jc w:val="center"/>
              <w:rPr>
                <w:rFonts w:ascii="Times New Roman" w:eastAsia="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69223C4" w14:textId="77777777" w:rsidR="006578ED" w:rsidRDefault="006578ED">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F73057A" w14:textId="77777777" w:rsidR="006578ED" w:rsidRDefault="006578ED">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4AA5C2AE" w14:textId="1767C4CC" w:rsidR="006578ED" w:rsidRDefault="00EC188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KW. 2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542A713D" w14:textId="73C6D30D" w:rsidR="006578ED" w:rsidRDefault="00A1618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2024 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B471DCE" w14:textId="670FD75E" w:rsidR="006578ED" w:rsidRDefault="00A1618E">
            <w:pPr>
              <w:spacing w:after="0" w:line="240" w:lineRule="auto"/>
              <w:rPr>
                <w:rFonts w:ascii="Times New Roman" w:eastAsia="Times New Roman" w:hAnsi="Times New Roman" w:cs="Times New Roman"/>
                <w:noProof/>
                <w:sz w:val="18"/>
              </w:rPr>
            </w:pPr>
            <w:r>
              <w:rPr>
                <w:rStyle w:val="normaltextrun"/>
                <w:rFonts w:ascii="Times New Roman" w:hAnsi="Times New Roman"/>
                <w:noProof/>
                <w:sz w:val="18"/>
              </w:rPr>
              <w:t>Hiszpania przekazuje 100 000 000 EUR na rzecz IDAE i 200 000 000 EUR na rzecz Fundación Biodiversidad na rzecz programu.</w:t>
            </w:r>
          </w:p>
        </w:tc>
      </w:tr>
      <w:tr w:rsidR="006578ED" w14:paraId="6192F824"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2676CD28" w14:textId="423B2F14" w:rsidR="006578ED" w:rsidRDefault="00A1618E">
            <w:pPr>
              <w:pStyle w:val="P68B1DB1-Normal13"/>
              <w:spacing w:after="0" w:line="240" w:lineRule="auto"/>
              <w:jc w:val="center"/>
              <w:rPr>
                <w:rFonts w:eastAsia="Times New Roman" w:cs="Times New Roman"/>
                <w:noProof/>
              </w:rPr>
            </w:pPr>
            <w:r>
              <w:rPr>
                <w:noProof/>
              </w:rPr>
              <w:t>446</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93D24" w14:textId="77777777" w:rsidR="006578ED" w:rsidRDefault="00A1618E">
            <w:pPr>
              <w:pStyle w:val="P68B1DB1-Normal13"/>
              <w:spacing w:after="0" w:line="240" w:lineRule="auto"/>
              <w:jc w:val="center"/>
              <w:rPr>
                <w:rFonts w:eastAsia="Times New Roman" w:cs="Times New Roman"/>
                <w:noProof/>
              </w:rPr>
            </w:pPr>
            <w:r>
              <w:rPr>
                <w:noProof/>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59B5E1B" w14:textId="0732B4A4" w:rsidR="006578ED" w:rsidRDefault="00AF6B91">
            <w:pPr>
              <w:pStyle w:val="P68B1DB1-Normal13"/>
              <w:spacing w:after="0" w:line="240" w:lineRule="auto"/>
              <w:jc w:val="center"/>
              <w:rPr>
                <w:rFonts w:eastAsia="Times New Roman"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0475E4FD" w14:textId="0253A279" w:rsidR="006578ED" w:rsidRDefault="00A1618E">
            <w:pPr>
              <w:pStyle w:val="P68B1DB1-Normal13"/>
              <w:spacing w:after="0" w:line="240" w:lineRule="auto"/>
              <w:rPr>
                <w:rFonts w:eastAsia="Times New Roman" w:cs="Times New Roman"/>
                <w:noProof/>
              </w:rPr>
            </w:pPr>
            <w:r>
              <w:rPr>
                <w:noProof/>
              </w:rPr>
              <w:t>Program dotacji wspierający gospodarkę o obiegu zamkniętym: Ustanowienie programu subsydiowania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9DE73B6" w14:textId="35B6A8DA" w:rsidR="006578ED" w:rsidRDefault="00A1618E">
            <w:pPr>
              <w:pStyle w:val="P68B1DB1-Normal13"/>
              <w:spacing w:after="0" w:line="240" w:lineRule="auto"/>
              <w:jc w:val="center"/>
              <w:rPr>
                <w:rFonts w:eastAsia="Times New Roman" w:cs="Times New Roman"/>
                <w:noProof/>
              </w:rPr>
            </w:pPr>
            <w:r>
              <w:rPr>
                <w:noProof/>
              </w:rPr>
              <w:t>Wejście w życie odpowiedniego(-ych) instrumentu(-ów) prawnego(-ych)</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2609D0A1" w14:textId="77777777" w:rsidR="006578ED" w:rsidRDefault="006578ED">
            <w:pPr>
              <w:spacing w:after="0" w:line="240" w:lineRule="auto"/>
              <w:jc w:val="center"/>
              <w:rPr>
                <w:rFonts w:ascii="Times New Roman" w:eastAsia="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61957D37" w14:textId="77777777" w:rsidR="006578ED" w:rsidRDefault="006578ED">
            <w:pPr>
              <w:spacing w:after="0" w:line="240" w:lineRule="auto"/>
              <w:jc w:val="center"/>
              <w:rPr>
                <w:rFonts w:ascii="Times New Roman" w:eastAsia="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3EF180D2" w14:textId="77777777" w:rsidR="006578ED" w:rsidRDefault="006578ED">
            <w:pPr>
              <w:spacing w:after="0" w:line="240" w:lineRule="auto"/>
              <w:jc w:val="center"/>
              <w:rPr>
                <w:rFonts w:ascii="Times New Roman" w:eastAsia="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1E7C9F6" w14:textId="1D6BCAFF" w:rsidR="006578ED" w:rsidRDefault="00EC188C">
            <w:pPr>
              <w:pStyle w:val="P68B1DB1-Normal13"/>
              <w:spacing w:after="0" w:line="240" w:lineRule="auto"/>
              <w:jc w:val="center"/>
              <w:rPr>
                <w:rFonts w:eastAsia="Times New Roman" w:cs="Times New Roman"/>
                <w:noProof/>
              </w:rPr>
            </w:pPr>
            <w:r>
              <w:rPr>
                <w:noProof/>
              </w:rPr>
              <w:t>KW. 4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43BBBC2" w14:textId="77777777" w:rsidR="006578ED" w:rsidRDefault="00A1618E">
            <w:pPr>
              <w:pStyle w:val="P68B1DB1-Normal13"/>
              <w:spacing w:after="0" w:line="240" w:lineRule="auto"/>
              <w:jc w:val="center"/>
              <w:rPr>
                <w:rFonts w:eastAsia="Times New Roman" w:cs="Times New Roman"/>
                <w:noProof/>
              </w:rPr>
            </w:pPr>
            <w:r>
              <w:rPr>
                <w:noProof/>
              </w:rPr>
              <w:t>2024 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429ECFB4" w14:textId="2C5FB1A2" w:rsidR="006578ED" w:rsidRDefault="00A1618E">
            <w:pPr>
              <w:pStyle w:val="P68B1DB1-Normal13"/>
              <w:spacing w:after="0" w:line="240" w:lineRule="auto"/>
              <w:rPr>
                <w:rFonts w:eastAsia="Times New Roman" w:cs="Times New Roman"/>
                <w:noProof/>
              </w:rPr>
            </w:pPr>
            <w:r>
              <w:rPr>
                <w:noProof/>
              </w:rPr>
              <w:t>Wejście w życie instrumentu(-ów) prawnego(-ych) ustanawiającego(-ych) program zgodnie z wymogami określonymi w opisie środka.</w:t>
            </w:r>
          </w:p>
        </w:tc>
      </w:tr>
      <w:tr w:rsidR="006578ED" w14:paraId="193E4360"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5E466F6B" w14:textId="39519970" w:rsidR="006578ED" w:rsidRDefault="00A1618E">
            <w:pPr>
              <w:pStyle w:val="P68B1DB1-Normal13"/>
              <w:spacing w:after="0" w:line="240" w:lineRule="auto"/>
              <w:jc w:val="center"/>
              <w:rPr>
                <w:rFonts w:eastAsia="Times New Roman" w:cs="Times New Roman"/>
                <w:noProof/>
              </w:rPr>
            </w:pPr>
            <w:r>
              <w:rPr>
                <w:noProof/>
              </w:rPr>
              <w:t>447</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4F2D3CC1" w14:textId="77777777" w:rsidR="006578ED" w:rsidRDefault="00A1618E">
            <w:pPr>
              <w:pStyle w:val="P68B1DB1-Normal13"/>
              <w:spacing w:after="0" w:line="240" w:lineRule="auto"/>
              <w:jc w:val="center"/>
              <w:rPr>
                <w:rFonts w:eastAsia="Times New Roman" w:cs="Times New Roman"/>
                <w:noProof/>
              </w:rPr>
            </w:pPr>
            <w:r>
              <w:rPr>
                <w:noProof/>
              </w:rPr>
              <w:t>C12.I5</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15808CA3" w14:textId="11982B36" w:rsidR="006578ED" w:rsidRDefault="00AF6B91">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Cel </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F9FF87E" w14:textId="2BF2FE9F" w:rsidR="006578ED" w:rsidRDefault="00A1618E">
            <w:pPr>
              <w:pStyle w:val="P68B1DB1-Normal13"/>
              <w:spacing w:after="0" w:line="240" w:lineRule="auto"/>
              <w:rPr>
                <w:rFonts w:eastAsia="Times New Roman" w:cs="Times New Roman"/>
                <w:noProof/>
              </w:rPr>
            </w:pPr>
            <w:r>
              <w:rPr>
                <w:noProof/>
              </w:rPr>
              <w:t>Program dotacji wspierający gospodarkę o obiegu zamkniętym: Umowy prawne podpisane z beneficjentami końcowymi lub opublikowane uchwały o ostatecznym przyznaniu dotacji</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370CEB37" w14:textId="3448669D" w:rsidR="006578ED" w:rsidRDefault="00A1618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Wejście w życie opublikowanych prawnie umów o finansowaniu lub ostatecznych uchwał o przyznaniu finansowania</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05A87720" w14:textId="77777777" w:rsidR="006578ED" w:rsidRDefault="00A1618E">
            <w:pPr>
              <w:spacing w:after="0" w:line="240" w:lineRule="auto"/>
              <w:jc w:val="center"/>
              <w:rPr>
                <w:rFonts w:ascii="Times New Roman" w:eastAsia="Times New Roman" w:hAnsi="Times New Roman" w:cs="Times New Roman"/>
                <w:noProof/>
                <w:sz w:val="18"/>
              </w:rPr>
            </w:pPr>
            <w:r>
              <w:rPr>
                <w:rStyle w:val="eop"/>
                <w:rFonts w:ascii="Times New Roman" w:hAnsi="Times New Roman"/>
                <w:noProof/>
                <w:sz w:val="18"/>
              </w:rPr>
              <w:t> </w:t>
            </w: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AEEA772" w14:textId="77777777" w:rsidR="006578ED" w:rsidRDefault="00A1618E">
            <w:pPr>
              <w:spacing w:after="0" w:line="240" w:lineRule="auto"/>
              <w:jc w:val="center"/>
              <w:rPr>
                <w:rFonts w:ascii="Times New Roman" w:eastAsia="Times New Roman" w:hAnsi="Times New Roman" w:cs="Times New Roman"/>
                <w:noProof/>
                <w:sz w:val="18"/>
              </w:rPr>
            </w:pPr>
            <w:r>
              <w:rPr>
                <w:rStyle w:val="eop"/>
                <w:rFonts w:ascii="Times New Roman" w:hAnsi="Times New Roman"/>
                <w:noProof/>
                <w:sz w:val="18"/>
              </w:rPr>
              <w:t>0 %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09A8952" w14:textId="77777777" w:rsidR="006578ED" w:rsidRDefault="00A1618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100 %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6392DE83" w14:textId="6FF0131F" w:rsidR="006578ED" w:rsidRDefault="00EC188C">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KW. 3 </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46F2B9F" w14:textId="77777777" w:rsidR="006578ED" w:rsidRDefault="00A1618E">
            <w:pPr>
              <w:spacing w:after="0" w:line="240" w:lineRule="auto"/>
              <w:jc w:val="center"/>
              <w:rPr>
                <w:rFonts w:ascii="Times New Roman" w:eastAsia="Times New Roman" w:hAnsi="Times New Roman" w:cs="Times New Roman"/>
                <w:noProof/>
                <w:sz w:val="18"/>
              </w:rPr>
            </w:pPr>
            <w:r>
              <w:rPr>
                <w:rStyle w:val="normaltextrun"/>
                <w:rFonts w:ascii="Times New Roman" w:hAnsi="Times New Roman"/>
                <w:noProof/>
                <w:sz w:val="18"/>
              </w:rPr>
              <w:t>2025 </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07E9390C" w14:textId="2E523723" w:rsidR="006578ED" w:rsidRDefault="00A1618E">
            <w:pPr>
              <w:spacing w:after="0" w:line="240" w:lineRule="auto"/>
              <w:rPr>
                <w:rFonts w:ascii="Times New Roman" w:eastAsia="Times New Roman" w:hAnsi="Times New Roman" w:cs="Times New Roman"/>
                <w:noProof/>
                <w:sz w:val="18"/>
              </w:rPr>
            </w:pPr>
            <w:r>
              <w:rPr>
                <w:rStyle w:val="normaltextrun"/>
                <w:rFonts w:ascii="Times New Roman" w:hAnsi="Times New Roman"/>
                <w:noProof/>
                <w:sz w:val="18"/>
              </w:rPr>
              <w:t>IDAE i Fundación Biodiversidad publikują ostateczne uchwały o przyznaniu finansowania lub zawierają z beneficjentami końcowymi prawne umowy w sprawie finansowania na kwotę niezbędną do wykorzystania 100 % inwestycji w ramach RRF (w tym kosztów pośrednich) w ramach programu.</w:t>
            </w:r>
          </w:p>
        </w:tc>
      </w:tr>
      <w:tr w:rsidR="006578ED" w14:paraId="35C50EBE"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971327F" w14:textId="42D5F40F" w:rsidR="006578ED" w:rsidRDefault="00A1618E">
            <w:pPr>
              <w:pStyle w:val="P68B1DB1-Normal13"/>
              <w:spacing w:after="0" w:line="240" w:lineRule="auto"/>
              <w:jc w:val="center"/>
              <w:rPr>
                <w:rFonts w:eastAsia="Times New Roman" w:cs="Times New Roman"/>
                <w:noProof/>
              </w:rPr>
            </w:pPr>
            <w:r>
              <w:rPr>
                <w:noProof/>
              </w:rPr>
              <w:t>448a</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6AB2A2C" w14:textId="42733C92" w:rsidR="006578ED" w:rsidRDefault="00A1618E">
            <w:pPr>
              <w:pStyle w:val="P68B1DB1-Normal13"/>
              <w:spacing w:after="0" w:line="240" w:lineRule="auto"/>
              <w:jc w:val="center"/>
              <w:rPr>
                <w:rFonts w:cs="Times New Roman"/>
                <w:noProof/>
              </w:rPr>
            </w:pPr>
            <w:r>
              <w:rPr>
                <w:noProof/>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F7DB35F" w14:textId="63E23238" w:rsidR="006578ED" w:rsidRDefault="00AF6B91">
            <w:pPr>
              <w:pStyle w:val="P68B1DB1-Normal13"/>
              <w:spacing w:after="0" w:line="240" w:lineRule="auto"/>
              <w:jc w:val="center"/>
              <w:rPr>
                <w:rFonts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74573819" w14:textId="233F4B20" w:rsidR="006578ED" w:rsidRDefault="00A1618E">
            <w:pPr>
              <w:pStyle w:val="P68B1DB1-Normal13"/>
              <w:spacing w:after="0" w:line="240" w:lineRule="auto"/>
              <w:rPr>
                <w:rFonts w:cs="Times New Roman"/>
                <w:noProof/>
              </w:rPr>
            </w:pPr>
            <w:r>
              <w:rPr>
                <w:noProof/>
              </w:rPr>
              <w:t>Program dotacji dla sektora pojazdów elektrycznych (dotacje): Ministerstwo zakończyło inwestycję</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51100932" w14:textId="657D4378" w:rsidR="006578ED" w:rsidRDefault="00A1618E">
            <w:pPr>
              <w:pStyle w:val="P68B1DB1-Normal13"/>
              <w:spacing w:after="0" w:line="240" w:lineRule="auto"/>
              <w:jc w:val="center"/>
              <w:rPr>
                <w:rFonts w:cs="Times New Roman"/>
                <w:noProof/>
              </w:rPr>
            </w:pPr>
            <w:r>
              <w:rPr>
                <w:noProof/>
              </w:rPr>
              <w:t>Zaświadczenie o wypłacie dla ENISA</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6F3DB594" w14:textId="77777777" w:rsidR="006578ED" w:rsidRDefault="006578ED">
            <w:pPr>
              <w:spacing w:after="0" w:line="240" w:lineRule="auto"/>
              <w:jc w:val="center"/>
              <w:rPr>
                <w:rStyle w:val="eop"/>
                <w:rFonts w:ascii="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2D6BD69E" w14:textId="77777777" w:rsidR="006578ED" w:rsidRDefault="006578ED">
            <w:pPr>
              <w:spacing w:after="0" w:line="240" w:lineRule="auto"/>
              <w:jc w:val="center"/>
              <w:rPr>
                <w:rStyle w:val="eop"/>
                <w:rFonts w:ascii="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1D153BF3" w14:textId="77777777" w:rsidR="006578ED" w:rsidRDefault="006578ED">
            <w:pPr>
              <w:spacing w:after="0" w:line="240" w:lineRule="auto"/>
              <w:jc w:val="center"/>
              <w:rPr>
                <w:rStyle w:val="eop"/>
                <w:rFonts w:ascii="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2A996DE" w14:textId="59F0CC91" w:rsidR="006578ED" w:rsidRDefault="00EC188C">
            <w:pPr>
              <w:pStyle w:val="P68B1DB1-Normal13"/>
              <w:spacing w:after="0" w:line="240" w:lineRule="auto"/>
              <w:jc w:val="center"/>
              <w:rPr>
                <w:rFonts w:cs="Times New Roman"/>
                <w:noProof/>
              </w:rPr>
            </w:pPr>
            <w:r>
              <w:rPr>
                <w:noProof/>
              </w:rPr>
              <w:t>KW. 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F0DA853" w14:textId="07EDDF73" w:rsidR="006578ED" w:rsidRDefault="00A1618E">
            <w:pPr>
              <w:pStyle w:val="P68B1DB1-Normal13"/>
              <w:spacing w:after="0" w:line="240" w:lineRule="auto"/>
              <w:jc w:val="center"/>
              <w:rPr>
                <w:rFonts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59FF64A6" w14:textId="17CEBB80" w:rsidR="006578ED" w:rsidRDefault="00A1618E">
            <w:pPr>
              <w:pStyle w:val="P68B1DB1-Normal13"/>
              <w:spacing w:after="0" w:line="240" w:lineRule="auto"/>
              <w:rPr>
                <w:rFonts w:cs="Times New Roman"/>
                <w:noProof/>
              </w:rPr>
            </w:pPr>
            <w:r>
              <w:rPr>
                <w:noProof/>
              </w:rPr>
              <w:t>Hiszpania przekazuje ENISA 250 000 000 EUR na rzecz programu.</w:t>
            </w:r>
          </w:p>
        </w:tc>
      </w:tr>
      <w:tr w:rsidR="006578ED" w14:paraId="0CF7788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65AA4BA2" w14:textId="22E462F7" w:rsidR="006578ED" w:rsidRDefault="00A1618E">
            <w:pPr>
              <w:pStyle w:val="P68B1DB1-Normal13"/>
              <w:spacing w:after="0" w:line="240" w:lineRule="auto"/>
              <w:jc w:val="center"/>
              <w:rPr>
                <w:rFonts w:eastAsia="Times New Roman" w:cs="Times New Roman"/>
                <w:noProof/>
              </w:rPr>
            </w:pPr>
            <w:r>
              <w:rPr>
                <w:noProof/>
              </w:rPr>
              <w:t>448b</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512484DB" w14:textId="7EF1C065" w:rsidR="006578ED" w:rsidRDefault="00A1618E">
            <w:pPr>
              <w:pStyle w:val="P68B1DB1-Normal13"/>
              <w:spacing w:after="0" w:line="240" w:lineRule="auto"/>
              <w:jc w:val="center"/>
              <w:rPr>
                <w:rFonts w:eastAsia="Times New Roman" w:cs="Times New Roman"/>
                <w:noProof/>
              </w:rPr>
            </w:pPr>
            <w:r>
              <w:rPr>
                <w:noProof/>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01099AD5" w14:textId="550687C7" w:rsidR="006578ED" w:rsidRDefault="00AF6B91">
            <w:pPr>
              <w:pStyle w:val="P68B1DB1-Normal13"/>
              <w:spacing w:after="0" w:line="240" w:lineRule="auto"/>
              <w:jc w:val="center"/>
              <w:rPr>
                <w:rStyle w:val="normaltextrun"/>
                <w:rFonts w:cs="Times New Roman"/>
                <w:noProof/>
              </w:rPr>
            </w:pPr>
            <w:r>
              <w:rPr>
                <w:noProof/>
              </w:rPr>
              <w:t>Kamień milowy</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885859D" w14:textId="43B2C672" w:rsidR="006578ED" w:rsidRDefault="00A1618E">
            <w:pPr>
              <w:pStyle w:val="P68B1DB1-Normal13"/>
              <w:spacing w:after="0" w:line="240" w:lineRule="auto"/>
              <w:rPr>
                <w:rStyle w:val="normaltextrun"/>
                <w:rFonts w:cs="Times New Roman"/>
                <w:noProof/>
              </w:rPr>
            </w:pPr>
            <w:r>
              <w:rPr>
                <w:noProof/>
              </w:rPr>
              <w:t>Program dotacji dla sektora pojazdów elektrycznych (dotacje); Ustanowienie programu subsydiowania</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6563C6A1" w14:textId="437C83F3" w:rsidR="006578ED" w:rsidRDefault="00A1618E">
            <w:pPr>
              <w:pStyle w:val="P68B1DB1-Normal13"/>
              <w:spacing w:after="0" w:line="240" w:lineRule="auto"/>
              <w:jc w:val="center"/>
              <w:rPr>
                <w:rStyle w:val="normaltextrun"/>
                <w:rFonts w:cs="Times New Roman"/>
                <w:noProof/>
              </w:rPr>
            </w:pPr>
            <w:r>
              <w:rPr>
                <w:noProof/>
              </w:rPr>
              <w:t>Wejście w życie odpowiedniego(-ych) instrumentu(-ów) prawnego(-ych)</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3FC7F7B0" w14:textId="77777777" w:rsidR="006578ED" w:rsidRDefault="006578ED">
            <w:pPr>
              <w:spacing w:after="0" w:line="240" w:lineRule="auto"/>
              <w:jc w:val="center"/>
              <w:rPr>
                <w:rStyle w:val="eop"/>
                <w:rFonts w:ascii="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7575F5AC" w14:textId="77777777" w:rsidR="006578ED" w:rsidRDefault="006578ED">
            <w:pPr>
              <w:spacing w:after="0" w:line="240" w:lineRule="auto"/>
              <w:jc w:val="center"/>
              <w:rPr>
                <w:rStyle w:val="eop"/>
                <w:rFonts w:ascii="Times New Roman" w:hAnsi="Times New Roman" w:cs="Times New Roman"/>
                <w:noProof/>
                <w:sz w:val="18"/>
              </w:rPr>
            </w:pP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495EC66A" w14:textId="77777777" w:rsidR="006578ED" w:rsidRDefault="006578ED">
            <w:pPr>
              <w:spacing w:after="0" w:line="240" w:lineRule="auto"/>
              <w:jc w:val="center"/>
              <w:rPr>
                <w:rStyle w:val="eop"/>
                <w:rFonts w:ascii="Times New Roman" w:hAnsi="Times New Roman" w:cs="Times New Roman"/>
                <w:noProof/>
                <w:sz w:val="18"/>
              </w:rPr>
            </w:pP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53EE9EF5" w14:textId="3060349E" w:rsidR="006578ED" w:rsidRDefault="00EC188C">
            <w:pPr>
              <w:pStyle w:val="P68B1DB1-Normal13"/>
              <w:spacing w:after="0" w:line="240" w:lineRule="auto"/>
              <w:jc w:val="center"/>
              <w:rPr>
                <w:rStyle w:val="normaltextrun"/>
                <w:rFonts w:cs="Times New Roman"/>
                <w:noProof/>
              </w:rPr>
            </w:pPr>
            <w:r>
              <w:rPr>
                <w:noProof/>
              </w:rPr>
              <w:t>KW. 3</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0454FDAA" w14:textId="4EEE9967" w:rsidR="006578ED" w:rsidRDefault="00A1618E">
            <w:pPr>
              <w:pStyle w:val="P68B1DB1-Normal13"/>
              <w:spacing w:after="0" w:line="240" w:lineRule="auto"/>
              <w:jc w:val="center"/>
              <w:rPr>
                <w:rStyle w:val="normaltextrun"/>
                <w:rFonts w:cs="Times New Roman"/>
                <w:noProof/>
              </w:rPr>
            </w:pPr>
            <w:r>
              <w:rPr>
                <w:noProof/>
              </w:rPr>
              <w:t>2024</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4B94225F" w14:textId="132C96F5" w:rsidR="006578ED" w:rsidRDefault="00A1618E">
            <w:pPr>
              <w:pStyle w:val="P68B1DB1-Normal13"/>
              <w:spacing w:after="0" w:line="240" w:lineRule="auto"/>
              <w:rPr>
                <w:rStyle w:val="normaltextrun"/>
                <w:rFonts w:cs="Times New Roman"/>
                <w:noProof/>
              </w:rPr>
            </w:pPr>
            <w:r>
              <w:rPr>
                <w:noProof/>
              </w:rPr>
              <w:t>Wejście w życie instrumentu(-ów) prawnego(-ych) ustanawiającego(-ych) program subsydiowania zgodnie z wymogami określonymi w opisie środka.</w:t>
            </w:r>
          </w:p>
        </w:tc>
      </w:tr>
      <w:tr w:rsidR="006578ED" w14:paraId="023D9E75" w14:textId="77777777">
        <w:trPr>
          <w:trHeight w:val="309"/>
        </w:trPr>
        <w:tc>
          <w:tcPr>
            <w:tcW w:w="859" w:type="dxa"/>
            <w:tcBorders>
              <w:top w:val="single" w:sz="4" w:space="0" w:color="auto"/>
              <w:left w:val="single" w:sz="4" w:space="0" w:color="auto"/>
              <w:bottom w:val="single" w:sz="4" w:space="0" w:color="auto"/>
              <w:right w:val="single" w:sz="4" w:space="0" w:color="auto"/>
            </w:tcBorders>
            <w:shd w:val="clear" w:color="auto" w:fill="C6EFCE"/>
            <w:noWrap/>
          </w:tcPr>
          <w:p w14:paraId="77A2BA75" w14:textId="2A830409" w:rsidR="006578ED" w:rsidRDefault="00A1618E">
            <w:pPr>
              <w:pStyle w:val="P68B1DB1-Normal13"/>
              <w:spacing w:after="0" w:line="240" w:lineRule="auto"/>
              <w:jc w:val="center"/>
              <w:rPr>
                <w:rFonts w:eastAsia="Times New Roman" w:cs="Times New Roman"/>
                <w:noProof/>
              </w:rPr>
            </w:pPr>
            <w:r>
              <w:rPr>
                <w:noProof/>
              </w:rPr>
              <w:t>448c</w:t>
            </w:r>
          </w:p>
        </w:tc>
        <w:tc>
          <w:tcPr>
            <w:tcW w:w="826" w:type="dxa"/>
            <w:tcBorders>
              <w:top w:val="single" w:sz="4" w:space="0" w:color="auto"/>
              <w:left w:val="single" w:sz="4" w:space="0" w:color="auto"/>
              <w:bottom w:val="single" w:sz="4" w:space="0" w:color="auto"/>
              <w:right w:val="single" w:sz="4" w:space="0" w:color="auto"/>
            </w:tcBorders>
            <w:shd w:val="clear" w:color="auto" w:fill="C6EFCE"/>
            <w:noWrap/>
          </w:tcPr>
          <w:p w14:paraId="38D8026E" w14:textId="623BE091" w:rsidR="006578ED" w:rsidRDefault="00A1618E">
            <w:pPr>
              <w:pStyle w:val="P68B1DB1-Normal13"/>
              <w:spacing w:after="0" w:line="240" w:lineRule="auto"/>
              <w:jc w:val="center"/>
              <w:rPr>
                <w:rFonts w:eastAsia="Times New Roman" w:cs="Times New Roman"/>
                <w:noProof/>
              </w:rPr>
            </w:pPr>
            <w:r>
              <w:rPr>
                <w:noProof/>
              </w:rPr>
              <w:t>C12.I6</w:t>
            </w:r>
          </w:p>
        </w:tc>
        <w:tc>
          <w:tcPr>
            <w:tcW w:w="824" w:type="dxa"/>
            <w:tcBorders>
              <w:top w:val="single" w:sz="4" w:space="0" w:color="auto"/>
              <w:left w:val="single" w:sz="4" w:space="0" w:color="auto"/>
              <w:bottom w:val="single" w:sz="4" w:space="0" w:color="auto"/>
              <w:right w:val="single" w:sz="4" w:space="0" w:color="auto"/>
            </w:tcBorders>
            <w:shd w:val="clear" w:color="auto" w:fill="C6EFCE"/>
            <w:noWrap/>
          </w:tcPr>
          <w:p w14:paraId="51E20D67" w14:textId="2EB7622F" w:rsidR="006578ED" w:rsidRDefault="00AF6B91">
            <w:pPr>
              <w:pStyle w:val="P68B1DB1-Normal13"/>
              <w:spacing w:after="0" w:line="240" w:lineRule="auto"/>
              <w:jc w:val="center"/>
              <w:rPr>
                <w:rStyle w:val="normaltextrun"/>
                <w:rFonts w:cs="Times New Roman"/>
                <w:noProof/>
              </w:rPr>
            </w:pPr>
            <w:r>
              <w:rPr>
                <w:noProof/>
              </w:rPr>
              <w:t>Cel</w:t>
            </w:r>
          </w:p>
        </w:tc>
        <w:tc>
          <w:tcPr>
            <w:tcW w:w="1281" w:type="dxa"/>
            <w:tcBorders>
              <w:top w:val="single" w:sz="4" w:space="0" w:color="auto"/>
              <w:left w:val="single" w:sz="4" w:space="0" w:color="auto"/>
              <w:bottom w:val="single" w:sz="4" w:space="0" w:color="auto"/>
              <w:right w:val="single" w:sz="4" w:space="0" w:color="auto"/>
            </w:tcBorders>
            <w:shd w:val="clear" w:color="auto" w:fill="C6EFCE"/>
            <w:noWrap/>
          </w:tcPr>
          <w:p w14:paraId="68290148" w14:textId="5E63496F" w:rsidR="006578ED" w:rsidRDefault="00A1618E">
            <w:pPr>
              <w:pStyle w:val="P68B1DB1-Normal13"/>
              <w:spacing w:after="0" w:line="240" w:lineRule="auto"/>
              <w:rPr>
                <w:rStyle w:val="normaltextrun"/>
                <w:rFonts w:cs="Times New Roman"/>
                <w:noProof/>
              </w:rPr>
            </w:pPr>
            <w:r>
              <w:rPr>
                <w:noProof/>
              </w:rPr>
              <w:t>Program dotacji dla sektora pojazdów elektrycznych (dotacje): Umowy prawne podpisane z beneficjentami końcowymi lub opublikowane uchwały o ostatecznym przyznaniu dotacji</w:t>
            </w:r>
          </w:p>
        </w:tc>
        <w:tc>
          <w:tcPr>
            <w:tcW w:w="1053" w:type="dxa"/>
            <w:tcBorders>
              <w:top w:val="single" w:sz="4" w:space="0" w:color="auto"/>
              <w:left w:val="single" w:sz="4" w:space="0" w:color="auto"/>
              <w:bottom w:val="single" w:sz="4" w:space="0" w:color="auto"/>
              <w:right w:val="single" w:sz="4" w:space="0" w:color="auto"/>
            </w:tcBorders>
            <w:shd w:val="clear" w:color="auto" w:fill="C6EFCE"/>
            <w:noWrap/>
          </w:tcPr>
          <w:p w14:paraId="08231155" w14:textId="7034815A" w:rsidR="006578ED" w:rsidRDefault="00A1618E">
            <w:pPr>
              <w:spacing w:after="0" w:line="240" w:lineRule="auto"/>
              <w:jc w:val="center"/>
              <w:rPr>
                <w:rStyle w:val="normaltextrun"/>
                <w:rFonts w:ascii="Times New Roman" w:hAnsi="Times New Roman" w:cs="Times New Roman"/>
                <w:noProof/>
                <w:sz w:val="18"/>
              </w:rPr>
            </w:pPr>
            <w:r>
              <w:rPr>
                <w:rStyle w:val="normaltextrun"/>
                <w:rFonts w:ascii="Times New Roman" w:hAnsi="Times New Roman"/>
                <w:noProof/>
                <w:sz w:val="18"/>
              </w:rPr>
              <w:t>Wejście w życie opublikowanych prawnie umów o finansowaniu lub ostatecznych uchwał o przyznaniu finansowania</w:t>
            </w:r>
          </w:p>
        </w:tc>
        <w:tc>
          <w:tcPr>
            <w:tcW w:w="828" w:type="dxa"/>
            <w:tcBorders>
              <w:top w:val="single" w:sz="4" w:space="0" w:color="auto"/>
              <w:left w:val="single" w:sz="4" w:space="0" w:color="auto"/>
              <w:bottom w:val="single" w:sz="4" w:space="0" w:color="auto"/>
              <w:right w:val="single" w:sz="4" w:space="0" w:color="auto"/>
            </w:tcBorders>
            <w:shd w:val="clear" w:color="auto" w:fill="C6EFCE"/>
            <w:noWrap/>
          </w:tcPr>
          <w:p w14:paraId="445CAC1E" w14:textId="43AFC18F" w:rsidR="006578ED" w:rsidRDefault="006578ED">
            <w:pPr>
              <w:spacing w:after="0" w:line="240" w:lineRule="auto"/>
              <w:jc w:val="center"/>
              <w:rPr>
                <w:rStyle w:val="eop"/>
                <w:rFonts w:ascii="Times New Roman" w:hAnsi="Times New Roman" w:cs="Times New Roman"/>
                <w:noProof/>
                <w:sz w:val="18"/>
              </w:rPr>
            </w:pPr>
          </w:p>
        </w:tc>
        <w:tc>
          <w:tcPr>
            <w:tcW w:w="638" w:type="dxa"/>
            <w:tcBorders>
              <w:top w:val="single" w:sz="4" w:space="0" w:color="auto"/>
              <w:left w:val="single" w:sz="4" w:space="0" w:color="auto"/>
              <w:bottom w:val="single" w:sz="4" w:space="0" w:color="auto"/>
              <w:right w:val="single" w:sz="4" w:space="0" w:color="auto"/>
            </w:tcBorders>
            <w:shd w:val="clear" w:color="auto" w:fill="C6EFCE"/>
            <w:noWrap/>
          </w:tcPr>
          <w:p w14:paraId="3243C441" w14:textId="04508D53" w:rsidR="006578ED" w:rsidRDefault="00A1618E">
            <w:pPr>
              <w:pStyle w:val="P68B1DB1-Normal13"/>
              <w:spacing w:after="0" w:line="240" w:lineRule="auto"/>
              <w:jc w:val="center"/>
              <w:rPr>
                <w:rStyle w:val="eop"/>
                <w:rFonts w:cs="Times New Roman"/>
                <w:noProof/>
              </w:rPr>
            </w:pPr>
            <w:r>
              <w:rPr>
                <w:noProof/>
              </w:rPr>
              <w:t>0</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6CCCC4C8" w14:textId="6A85DB45" w:rsidR="006578ED" w:rsidRDefault="00A1618E">
            <w:pPr>
              <w:pStyle w:val="P68B1DB1-Normal13"/>
              <w:spacing w:after="0" w:line="240" w:lineRule="auto"/>
              <w:jc w:val="center"/>
              <w:rPr>
                <w:rStyle w:val="eop"/>
                <w:rFonts w:cs="Times New Roman"/>
                <w:noProof/>
              </w:rPr>
            </w:pPr>
            <w:r>
              <w:rPr>
                <w:noProof/>
              </w:rPr>
              <w:t>100 %</w:t>
            </w:r>
          </w:p>
        </w:tc>
        <w:tc>
          <w:tcPr>
            <w:tcW w:w="413" w:type="dxa"/>
            <w:tcBorders>
              <w:top w:val="single" w:sz="4" w:space="0" w:color="auto"/>
              <w:left w:val="single" w:sz="4" w:space="0" w:color="auto"/>
              <w:bottom w:val="single" w:sz="4" w:space="0" w:color="auto"/>
              <w:right w:val="single" w:sz="4" w:space="0" w:color="auto"/>
            </w:tcBorders>
            <w:shd w:val="clear" w:color="auto" w:fill="C6EFCE"/>
            <w:noWrap/>
          </w:tcPr>
          <w:p w14:paraId="06A61E54" w14:textId="32012CF2" w:rsidR="006578ED" w:rsidRDefault="00EC188C">
            <w:pPr>
              <w:pStyle w:val="P68B1DB1-Normal13"/>
              <w:spacing w:after="0" w:line="240" w:lineRule="auto"/>
              <w:jc w:val="center"/>
              <w:rPr>
                <w:rStyle w:val="normaltextrun"/>
                <w:rFonts w:cs="Times New Roman"/>
                <w:noProof/>
              </w:rPr>
            </w:pPr>
            <w:r>
              <w:rPr>
                <w:noProof/>
              </w:rPr>
              <w:t>KW. 2</w:t>
            </w:r>
          </w:p>
        </w:tc>
        <w:tc>
          <w:tcPr>
            <w:tcW w:w="551" w:type="dxa"/>
            <w:tcBorders>
              <w:top w:val="single" w:sz="4" w:space="0" w:color="auto"/>
              <w:left w:val="single" w:sz="4" w:space="0" w:color="auto"/>
              <w:bottom w:val="single" w:sz="4" w:space="0" w:color="auto"/>
              <w:right w:val="single" w:sz="4" w:space="0" w:color="auto"/>
            </w:tcBorders>
            <w:shd w:val="clear" w:color="auto" w:fill="C6EFCE"/>
            <w:noWrap/>
          </w:tcPr>
          <w:p w14:paraId="2DE61EC2" w14:textId="0CBB52CB" w:rsidR="006578ED" w:rsidRDefault="00A1618E">
            <w:pPr>
              <w:pStyle w:val="P68B1DB1-Normal13"/>
              <w:spacing w:after="0" w:line="240" w:lineRule="auto"/>
              <w:jc w:val="center"/>
              <w:rPr>
                <w:rStyle w:val="normaltextrun"/>
                <w:rFonts w:cs="Times New Roman"/>
                <w:noProof/>
              </w:rPr>
            </w:pPr>
            <w:r>
              <w:rPr>
                <w:noProof/>
              </w:rPr>
              <w:t>2026</w:t>
            </w:r>
          </w:p>
        </w:tc>
        <w:tc>
          <w:tcPr>
            <w:tcW w:w="7344" w:type="dxa"/>
            <w:tcBorders>
              <w:top w:val="single" w:sz="4" w:space="0" w:color="auto"/>
              <w:left w:val="single" w:sz="4" w:space="0" w:color="auto"/>
              <w:bottom w:val="single" w:sz="4" w:space="0" w:color="auto"/>
              <w:right w:val="single" w:sz="4" w:space="0" w:color="auto"/>
            </w:tcBorders>
            <w:shd w:val="clear" w:color="auto" w:fill="C6EFCE"/>
            <w:noWrap/>
          </w:tcPr>
          <w:p w14:paraId="7036D2B0" w14:textId="691ED9BD" w:rsidR="006578ED" w:rsidRDefault="00A1618E">
            <w:pPr>
              <w:pStyle w:val="P68B1DB1-Normal13"/>
              <w:spacing w:after="0" w:line="240" w:lineRule="auto"/>
              <w:rPr>
                <w:rStyle w:val="normaltextrun"/>
                <w:rFonts w:cs="Times New Roman"/>
                <w:noProof/>
              </w:rPr>
            </w:pPr>
            <w:r>
              <w:rPr>
                <w:noProof/>
              </w:rPr>
              <w:t xml:space="preserve">ENISA publikuje rezolucje w sprawie ostatecznego przyznania finansowania lub zawiera z beneficjentami końcowymi umowy o finansowaniu na kwotę niezbędną do wykorzystania w systemie 100 % inwestycji w ramach RRF (w tym kosztów pośrednich). ENISA zapewnia, aby co najmniej 40 % tego finansowania przyczyniało się do realizacji celów klimatycznych przy użyciu metodyki określonej w załączniku VI do rozporządzenia w sprawie RRF. </w:t>
            </w:r>
          </w:p>
        </w:tc>
      </w:tr>
    </w:tbl>
    <w:p w14:paraId="1606A7E5" w14:textId="36D91D00" w:rsidR="006578ED" w:rsidRDefault="00A1618E">
      <w:pPr>
        <w:rPr>
          <w:rFonts w:ascii="Times New Roman" w:hAnsi="Times New Roman" w:cs="Times New Roman"/>
          <w:noProof/>
          <w:sz w:val="24"/>
        </w:rPr>
        <w:sectPr w:rsidR="006578ED" w:rsidSect="00EB7CC8">
          <w:headerReference w:type="even" r:id="rId252"/>
          <w:headerReference w:type="default" r:id="rId253"/>
          <w:footerReference w:type="even" r:id="rId254"/>
          <w:footerReference w:type="default" r:id="rId255"/>
          <w:headerReference w:type="first" r:id="rId256"/>
          <w:footerReference w:type="first" r:id="rId257"/>
          <w:pgSz w:w="16839" w:h="11907" w:orient="landscape"/>
          <w:pgMar w:top="1417" w:right="1134" w:bottom="1417" w:left="1134" w:header="709" w:footer="709" w:gutter="0"/>
          <w:cols w:space="720"/>
          <w:docGrid w:linePitch="360"/>
        </w:sectPr>
      </w:pPr>
      <w:r>
        <w:rPr>
          <w:noProof/>
        </w:rPr>
        <w:br w:type="page"/>
      </w:r>
    </w:p>
    <w:p w14:paraId="1863B4FD" w14:textId="77777777" w:rsidR="006578ED" w:rsidRDefault="006578ED">
      <w:pPr>
        <w:rPr>
          <w:rFonts w:ascii="Times New Roman" w:hAnsi="Times New Roman" w:cs="Times New Roman"/>
          <w:noProof/>
          <w:sz w:val="24"/>
        </w:rPr>
      </w:pPr>
    </w:p>
    <w:p w14:paraId="44231B9C" w14:textId="3212C951" w:rsidR="006578ED" w:rsidRPr="00A1618E" w:rsidRDefault="00A1618E">
      <w:pPr>
        <w:pStyle w:val="P68B1DB1-Normal5"/>
        <w:ind w:firstLine="720"/>
        <w:rPr>
          <w:rFonts w:cs="Times New Roman"/>
          <w:noProof/>
          <w:lang w:val="pl-PL"/>
        </w:rPr>
      </w:pPr>
      <w:r>
        <w:rPr>
          <w:noProof/>
        </w:rPr>
        <w:t xml:space="preserve">I.3. </w:t>
      </w:r>
      <w:r>
        <w:rPr>
          <w:noProof/>
        </w:rPr>
        <w:tab/>
        <w:t>Opis reform i inwestycji na potrzeby wsparcia w formie pożyczk</w:t>
      </w:r>
      <w:r w:rsidRPr="00A1618E">
        <w:rPr>
          <w:noProof/>
          <w:lang w:val="pl-PL"/>
        </w:rPr>
        <w:t xml:space="preserve">i </w:t>
      </w:r>
    </w:p>
    <w:p w14:paraId="11E71760" w14:textId="320FC5AA" w:rsidR="006578ED" w:rsidRPr="00A1618E" w:rsidRDefault="00A1618E">
      <w:pPr>
        <w:spacing w:before="120" w:after="120" w:line="240" w:lineRule="auto"/>
        <w:jc w:val="both"/>
        <w:rPr>
          <w:rStyle w:val="normaltextrun"/>
          <w:rFonts w:ascii="Times New Roman" w:hAnsi="Times New Roman" w:cs="Times New Roman"/>
          <w:noProof/>
          <w:sz w:val="24"/>
          <w:u w:val="single"/>
          <w:lang w:val="pl-PL"/>
        </w:rPr>
      </w:pPr>
      <w:r>
        <w:rPr>
          <w:rStyle w:val="normaltextrun"/>
          <w:rFonts w:ascii="Times New Roman" w:hAnsi="Times New Roman"/>
          <w:noProof/>
          <w:sz w:val="24"/>
          <w:u w:val="single"/>
        </w:rPr>
        <w:t>Inwestycja 6 (C12.I7) – Program wsparcia dla strategicznych projektów w łańcuchu wartości samochodów elektrycznych i rolno-spożywczych (pożyczki</w:t>
      </w:r>
      <w:r w:rsidRPr="00A1618E">
        <w:rPr>
          <w:rStyle w:val="normaltextrun"/>
          <w:rFonts w:ascii="Times New Roman" w:hAnsi="Times New Roman"/>
          <w:noProof/>
          <w:sz w:val="24"/>
          <w:u w:val="single"/>
          <w:lang w:val="pl-PL"/>
        </w:rPr>
        <w:t xml:space="preserve">) </w:t>
      </w:r>
    </w:p>
    <w:p w14:paraId="2D7B7ECE" w14:textId="5CAEED7A" w:rsidR="006578ED" w:rsidRDefault="00A1618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Środek ten obejmuje inwestycje publiczne w system wsparcia zachęcający do prywatnych inwestycji w łańcuch wartości samochodów elektrycznych i rolno-spożywczych poprzez pożyczki. Program wspiera transformację sektorów strategicznych, takich jak pojazdy samochodowe i elektryczne oraz sektor rolno-spożywczy poprzez udzielanie pożyczek sektorowi prywatnemu w kontekście projektów strategicznych lub PERTE zatwierdzonych przez Radę Ministrów. Na podstawie inwestycji w ramach RRF program ma początkowo zapewnić finansowanie w wysokości co najmniej 1 200 000 000 EUR.</w:t>
      </w:r>
    </w:p>
    <w:p w14:paraId="75BC80EB" w14:textId="415415B4" w:rsidR="006578ED" w:rsidRDefault="00A1618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Systemem zarządza ENISA jako partner wykonawczy. W celu realizacji tej inwestycji ENISA w odpowiedni akt prawny przekształca ENISA w przedsiębiorstwo publiczne (jest to kamień milowy w ramach inwestycji 6 w ramach komponentu 31 planu odbudowy i zwiększania odporności Hiszpanii).</w:t>
      </w:r>
    </w:p>
    <w:p w14:paraId="5BAAC0A3" w14:textId="3C7411E7" w:rsidR="006578ED" w:rsidRPr="00A1618E" w:rsidRDefault="00A1618E">
      <w:pPr>
        <w:spacing w:before="120" w:after="120" w:line="240" w:lineRule="auto"/>
        <w:jc w:val="both"/>
        <w:rPr>
          <w:rStyle w:val="normaltextrun"/>
          <w:rFonts w:ascii="Times New Roman" w:eastAsia="Times New Roman" w:hAnsi="Times New Roman" w:cs="Times New Roman"/>
          <w:noProof/>
          <w:sz w:val="24"/>
          <w:lang w:val="pl-PL"/>
        </w:rPr>
      </w:pPr>
      <w:r>
        <w:rPr>
          <w:rStyle w:val="normaltextrun"/>
          <w:rFonts w:ascii="Times New Roman" w:hAnsi="Times New Roman"/>
          <w:noProof/>
          <w:sz w:val="24"/>
        </w:rPr>
        <w:t>W celu realizacji inwestycji w program rząd przyjmuje jeden lub kilka instrumentów prawnych ustanawiających program pożyczkowy, który obejmuje następujące elementy</w:t>
      </w:r>
      <w:r w:rsidRPr="00A1618E">
        <w:rPr>
          <w:rStyle w:val="normaltextrun"/>
          <w:rFonts w:ascii="Times New Roman" w:hAnsi="Times New Roman"/>
          <w:noProof/>
          <w:sz w:val="24"/>
          <w:lang w:val="pl-PL"/>
        </w:rPr>
        <w:t xml:space="preserve">: </w:t>
      </w:r>
    </w:p>
    <w:p w14:paraId="40AD246D" w14:textId="4D83180B" w:rsidR="006578ED" w:rsidRDefault="00A1618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Opis procesu decyzyjnego w odniesieniu do systemu: Ocena wniosków i wybór beneficjentów, którzy mają zostać uwzględnieni w ostatecznych decyzjach o przyznaniu dotacji lub decyzjach inwestycyjnych w ramach programu, są podejmowane przez komitet inwestycyjny lub inny odpowiedni równoważny organ zarządzający i zatwierdzane większością głosów członków niezależnych od rządu hiszpańskiego, co oznacza, że muszą oni być pracownikami zatrudnionymi przez ENISA lub innymi niezależnymi ekspertami. Ostateczna decyzja inwestycyjna programu ogranicza się do zatwierdzenia (bez zmian) lub korzystania z prawa weta w odniesieniu do decyzji inwestycyjnej zaproponowanej przez komitet inwestycyjny lub odpowiedni równoważny organ zarządzający.</w:t>
      </w:r>
    </w:p>
    <w:p w14:paraId="4D5B4310" w14:textId="198B1BF9" w:rsidR="006578ED" w:rsidRDefault="00A1618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Wykaz działań na rzecz ekologicznej i cyfrowej transformacji sektora kwalifikujących się do wsparcia, który wynosi co najmniej 1 200 000 000 EUR. Środek ten wspiera innowacyjne projekty wiążące się ze znaczną transformacją przemysłową pod względem efektywności energetycznej, zrównoważonego rozwoju i transformacji cyfrowej sektora.</w:t>
      </w:r>
    </w:p>
    <w:p w14:paraId="4C761E5C" w14:textId="1BE8620F" w:rsidR="006578ED" w:rsidRDefault="00A1618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Wymóg przestrzegania zasady „nie czyń poważnych szkód” (DNSH) w ramach Instrumentu na rzecz Odbudowy i Zwiększania Odporności, jak określono w wytycznych technicznych dotyczących zasady „nie czyń poważnych szkód” (2021/C58/01): działalności i aktywów związanych z paliwami kopalnymi, w tym wykorzystania niższego szczebla,</w:t>
      </w:r>
      <w:r>
        <w:rPr>
          <w:rStyle w:val="FootnoteReference"/>
          <w:rFonts w:ascii="Times New Roman" w:hAnsi="Times New Roman" w:cs="Times New Roman"/>
          <w:noProof/>
          <w:sz w:val="24"/>
        </w:rPr>
        <w:footnoteReference w:id="61"/>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hAnsi="Times New Roman" w:cs="Times New Roman"/>
          <w:noProof/>
          <w:sz w:val="24"/>
        </w:rPr>
        <w:footnoteReference w:id="62"/>
      </w:r>
      <w:r>
        <w:rPr>
          <w:rFonts w:ascii="Times New Roman" w:hAnsi="Times New Roman"/>
          <w:noProof/>
          <w:sz w:val="24"/>
        </w:rPr>
        <w:t>, (iii) działalności i aktywów związanych ze składowiskami odpadów, spalarniami</w:t>
      </w:r>
      <w:r>
        <w:rPr>
          <w:rStyle w:val="FootnoteReference"/>
          <w:rFonts w:ascii="Times New Roman" w:hAnsi="Times New Roman" w:cs="Times New Roman"/>
          <w:noProof/>
          <w:sz w:val="24"/>
        </w:rPr>
        <w:footnoteReference w:id="63"/>
      </w:r>
      <w:r>
        <w:rPr>
          <w:rFonts w:ascii="Times New Roman" w:hAnsi="Times New Roman"/>
          <w:noProof/>
          <w:sz w:val="24"/>
        </w:rPr>
        <w:t xml:space="preserve"> i zakładami mechaniczno-biologicznego przetwarzania odpadów</w:t>
      </w:r>
      <w:r>
        <w:rPr>
          <w:rStyle w:val="FootnoteReference"/>
          <w:rFonts w:ascii="Times New Roman" w:hAnsi="Times New Roman" w:cs="Times New Roman"/>
          <w:noProof/>
          <w:sz w:val="24"/>
        </w:rPr>
        <w:footnoteReference w:id="64"/>
      </w:r>
      <w:r>
        <w:rPr>
          <w:rFonts w:ascii="Times New Roman" w:hAnsi="Times New Roman"/>
          <w:noProof/>
          <w:sz w:val="24"/>
        </w:rPr>
        <w:t xml:space="preserve">. Ponadto instrument(-y) prawny(-e) wymaga(-ją) zgodności z odpowiednimi unijnymi i krajowymi przepisami w zakresie ochrony środowiska beneficjentów końcowych programów pożyczkowych. Następujące działania w zakresie badań, rozwoju i innowacji w ramach tej inwestycji uznaje się za zgodne z wytycznymi technicznymi dotyczącymi zasady „nie czyń poważnych szkód” (2021/C58/01): Działania w zakresie badań, rozwoju i innowacji w ramach tej inwestycji ukierunkowane na znaczne zwiększenie zrównoważenia środowiskowego przedsiębiorstw (takie jak dekarbonizacja, redukcja zanieczyszczeń i gospodarka o obiegu zamkniętym), jeżeli działania w zakresie badań, rozwoju i innowacji w ramach tej inwestycji koncentrują się przede wszystkim na opracowaniu lub dostosowaniu alternatywnych rozwiązań o możliwie najmniejszym wpływie na środowisko w tym sektorze. </w:t>
      </w:r>
    </w:p>
    <w:p w14:paraId="6A777BC6" w14:textId="36CA88A1" w:rsidR="006578ED" w:rsidRDefault="00A1618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Wymogi dotyczące inwestycji klimatycznych realizowanych przez ENISA: co najmniej 480 000 000 EUR z inwestycji RRF w program przyczynia się do realizacji celów związanych ze zmianą klimatu zgodnie z załącznikiem VI do rozporządzenia w sprawie RRF.</w:t>
      </w:r>
      <w:r>
        <w:rPr>
          <w:rStyle w:val="FootnoteReference"/>
          <w:rFonts w:ascii="Times New Roman" w:hAnsi="Times New Roman" w:cs="Times New Roman"/>
          <w:noProof/>
          <w:sz w:val="24"/>
        </w:rPr>
        <w:footnoteReference w:id="65"/>
      </w:r>
    </w:p>
    <w:p w14:paraId="04D4384B" w14:textId="09D1607B" w:rsidR="006578ED" w:rsidRDefault="00A1618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Wymóg, aby beneficjenci końcowi systemu pożyczkowego nie otrzymywali wsparcia z innych instrumentów unijnych w celu pokrycia tych samych kosztów.</w:t>
      </w:r>
    </w:p>
    <w:p w14:paraId="5C805529" w14:textId="591FE6F2" w:rsidR="006578ED" w:rsidRDefault="00A1618E">
      <w:pPr>
        <w:pStyle w:val="ListParagraph"/>
        <w:numPr>
          <w:ilvl w:val="0"/>
          <w:numId w:val="770"/>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Kwoty objętej programem oraz wymogu reinwestowania wszelkich niewykorzystanych wpływów z programu pożyczkowego w działania wymienione powyżej, w tym </w:t>
      </w:r>
      <w:r w:rsidRPr="00A1618E">
        <w:rPr>
          <w:rStyle w:val="normaltextrun"/>
          <w:rFonts w:ascii="Times New Roman" w:hAnsi="Times New Roman"/>
          <w:noProof/>
          <w:sz w:val="24"/>
          <w:lang w:val="pl-PL"/>
        </w:rPr>
        <w:t>po 2</w:t>
      </w:r>
      <w:r>
        <w:rPr>
          <w:rStyle w:val="normaltextrun"/>
          <w:rFonts w:ascii="Times New Roman" w:hAnsi="Times New Roman"/>
          <w:noProof/>
          <w:sz w:val="24"/>
        </w:rPr>
        <w:t>0</w:t>
      </w:r>
      <w:r w:rsidRPr="00A1618E">
        <w:rPr>
          <w:rStyle w:val="normaltextrun"/>
          <w:rFonts w:ascii="Times New Roman" w:hAnsi="Times New Roman"/>
          <w:noProof/>
          <w:sz w:val="24"/>
          <w:lang w:val="pl-PL"/>
        </w:rPr>
        <w:t>26 r.</w:t>
      </w:r>
    </w:p>
    <w:p w14:paraId="58DF67AB" w14:textId="35DD3D29" w:rsidR="006578ED" w:rsidRDefault="00A1618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Realizacja inwestycji zostanie zakończona do dnia 31 sierpnia 20</w:t>
      </w:r>
      <w:r w:rsidRPr="00A1618E">
        <w:rPr>
          <w:rStyle w:val="normaltextrun"/>
          <w:rFonts w:ascii="Times New Roman" w:hAnsi="Times New Roman"/>
          <w:noProof/>
          <w:sz w:val="24"/>
          <w:lang w:val="pl-PL"/>
        </w:rPr>
        <w:t>26 r.</w:t>
      </w:r>
    </w:p>
    <w:p w14:paraId="6117EFB0" w14:textId="6B150354" w:rsidR="006578ED" w:rsidRDefault="00A1618E">
      <w:pPr>
        <w:pStyle w:val="P68B1DB1-Normal15"/>
        <w:spacing w:before="120" w:after="120" w:line="240" w:lineRule="auto"/>
        <w:ind w:left="720"/>
        <w:jc w:val="both"/>
        <w:rPr>
          <w:rFonts w:cs="Times New Roman"/>
          <w:b/>
          <w:noProof/>
          <w:sz w:val="24"/>
        </w:rPr>
      </w:pPr>
      <w:r>
        <w:rPr>
          <w:b/>
          <w:noProof/>
          <w:sz w:val="24"/>
        </w:rPr>
        <w:t xml:space="preserve">L.4. </w:t>
      </w:r>
      <w:r>
        <w:rPr>
          <w:noProof/>
        </w:rPr>
        <w:tab/>
      </w:r>
      <w:r>
        <w:rPr>
          <w:b/>
          <w:noProof/>
          <w:sz w:val="24"/>
        </w:rPr>
        <w:t>Cele pośrednie, wartości docelowe, wskaźniki oraz harmonogram monitorowania i wdrażania wsparcia w formie pożyczki</w:t>
      </w:r>
    </w:p>
    <w:p w14:paraId="6E53268D" w14:textId="2E60ECD6" w:rsidR="006578ED" w:rsidRDefault="00A1618E">
      <w:pPr>
        <w:pStyle w:val="P68B1DB1-Normal8"/>
        <w:rPr>
          <w:rFonts w:cs="Times New Roman"/>
          <w:noProof/>
        </w:rPr>
      </w:pPr>
      <w:r>
        <w:rPr>
          <w:i/>
          <w:noProof/>
          <w:sz w:val="24"/>
        </w:rPr>
        <w:t>Zob. tabela poniżej.</w:t>
      </w:r>
      <w:r>
        <w:rPr>
          <w:noProof/>
          <w:sz w:val="24"/>
        </w:rPr>
        <w:t xml:space="preserve"> </w:t>
      </w:r>
      <w:r>
        <w:rPr>
          <w:i/>
          <w:noProof/>
          <w:sz w:val="24"/>
        </w:rPr>
        <w:t>Datą odniesienia dla wszystkich wskaźników jest dzień 1 lutego 20</w:t>
      </w:r>
      <w:r w:rsidRPr="00A1618E">
        <w:rPr>
          <w:i/>
          <w:noProof/>
          <w:sz w:val="24"/>
          <w:lang w:val="pl-PL"/>
        </w:rPr>
        <w:t>20 r.</w:t>
      </w:r>
      <w:r>
        <w:rPr>
          <w:i/>
          <w:noProof/>
          <w:sz w:val="24"/>
        </w:rPr>
        <w:t>, chyba że w opisie działania wskazano inaczej. Kwoty w tabeli nie obejmują VAT.</w:t>
      </w:r>
      <w:r>
        <w:rPr>
          <w:noProof/>
        </w:rPr>
        <w:br w:type="page"/>
      </w:r>
    </w:p>
    <w:p w14:paraId="06FAD37B" w14:textId="77777777" w:rsidR="006578ED" w:rsidRDefault="006578ED">
      <w:pPr>
        <w:spacing w:before="120" w:after="120" w:line="240" w:lineRule="auto"/>
        <w:jc w:val="both"/>
        <w:rPr>
          <w:rFonts w:ascii="Times New Roman" w:hAnsi="Times New Roman" w:cs="Times New Roman"/>
          <w:b/>
          <w:noProof/>
          <w:sz w:val="24"/>
          <w:u w:val="single"/>
        </w:rPr>
        <w:sectPr w:rsidR="006578ED" w:rsidSect="00EB7CC8">
          <w:headerReference w:type="even" r:id="rId258"/>
          <w:headerReference w:type="default" r:id="rId259"/>
          <w:footerReference w:type="even" r:id="rId260"/>
          <w:footerReference w:type="default" r:id="rId261"/>
          <w:headerReference w:type="first" r:id="rId262"/>
          <w:footerReference w:type="first" r:id="rId263"/>
          <w:pgSz w:w="11907" w:h="16839"/>
          <w:pgMar w:top="1134" w:right="1417" w:bottom="1134" w:left="1418" w:header="709" w:footer="709" w:gutter="0"/>
          <w:cols w:space="720"/>
          <w:docGrid w:linePitch="360"/>
        </w:sectPr>
      </w:pPr>
    </w:p>
    <w:p w14:paraId="5F8FCAA8" w14:textId="77777777" w:rsidR="006578ED" w:rsidRDefault="006578ED">
      <w:pPr>
        <w:spacing w:before="120" w:after="120" w:line="240" w:lineRule="auto"/>
        <w:jc w:val="both"/>
        <w:rPr>
          <w:rFonts w:ascii="Times New Roman" w:hAnsi="Times New Roman" w:cs="Times New Roman"/>
          <w:i/>
          <w:noProof/>
          <w:sz w:val="24"/>
        </w:r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5"/>
        <w:gridCol w:w="850"/>
        <w:gridCol w:w="849"/>
        <w:gridCol w:w="1275"/>
        <w:gridCol w:w="1133"/>
        <w:gridCol w:w="709"/>
        <w:gridCol w:w="567"/>
        <w:gridCol w:w="572"/>
        <w:gridCol w:w="425"/>
        <w:gridCol w:w="567"/>
        <w:gridCol w:w="7649"/>
      </w:tblGrid>
      <w:tr w:rsidR="006578ED" w14:paraId="59E9ABC6" w14:textId="77777777">
        <w:trPr>
          <w:trHeight w:val="309"/>
          <w:tblHeader/>
        </w:trPr>
        <w:tc>
          <w:tcPr>
            <w:tcW w:w="85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A5E78FB" w14:textId="77777777" w:rsidR="006578ED" w:rsidRDefault="00A1618E">
            <w:pPr>
              <w:pStyle w:val="P68B1DB1-Normal12"/>
              <w:spacing w:after="0" w:line="240" w:lineRule="auto"/>
              <w:jc w:val="both"/>
              <w:rPr>
                <w:rFonts w:cs="Times New Roman"/>
                <w:noProof/>
              </w:rPr>
            </w:pPr>
            <w:r>
              <w:rPr>
                <w:noProof/>
              </w:rPr>
              <w:t>Liczba</w:t>
            </w:r>
          </w:p>
        </w:tc>
        <w:tc>
          <w:tcPr>
            <w:tcW w:w="850"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55408E2" w14:textId="77777777" w:rsidR="006578ED" w:rsidRDefault="00A1618E">
            <w:pPr>
              <w:pStyle w:val="P68B1DB1-Normal12"/>
              <w:spacing w:after="0" w:line="240" w:lineRule="auto"/>
              <w:jc w:val="center"/>
              <w:rPr>
                <w:rFonts w:cs="Times New Roman"/>
                <w:noProof/>
              </w:rPr>
            </w:pPr>
            <w:r>
              <w:rPr>
                <w:noProof/>
              </w:rPr>
              <w:t>Środek</w:t>
            </w:r>
          </w:p>
        </w:tc>
        <w:tc>
          <w:tcPr>
            <w:tcW w:w="84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03E57576" w14:textId="0B993FA6"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1275"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14D7DB8E" w14:textId="77777777" w:rsidR="006578ED" w:rsidRDefault="00A1618E">
            <w:pPr>
              <w:pStyle w:val="P68B1DB1-Normal12"/>
              <w:spacing w:after="0" w:line="240" w:lineRule="auto"/>
              <w:jc w:val="center"/>
              <w:rPr>
                <w:rFonts w:cs="Times New Roman"/>
                <w:noProof/>
              </w:rPr>
            </w:pPr>
            <w:r>
              <w:rPr>
                <w:noProof/>
              </w:rPr>
              <w:t>Nazwa</w:t>
            </w: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0E8617" w14:textId="77777777" w:rsidR="006578ED" w:rsidRDefault="006578ED">
            <w:pPr>
              <w:spacing w:after="0" w:line="240" w:lineRule="auto"/>
              <w:jc w:val="center"/>
              <w:rPr>
                <w:rFonts w:ascii="Times New Roman" w:hAnsi="Times New Roman" w:cs="Times New Roman"/>
                <w:noProof/>
                <w:sz w:val="18"/>
              </w:rPr>
            </w:pPr>
          </w:p>
        </w:tc>
        <w:tc>
          <w:tcPr>
            <w:tcW w:w="184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3B0057"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288D73C" w14:textId="77777777" w:rsidR="006578ED" w:rsidRDefault="00A1618E">
            <w:pPr>
              <w:pStyle w:val="P68B1DB1-Normal12"/>
              <w:spacing w:after="0" w:line="240" w:lineRule="auto"/>
              <w:jc w:val="center"/>
              <w:rPr>
                <w:rFonts w:cs="Times New Roman"/>
                <w:noProof/>
              </w:rPr>
            </w:pPr>
            <w:r>
              <w:rPr>
                <w:noProof/>
              </w:rPr>
              <w:t>Czas</w:t>
            </w:r>
          </w:p>
        </w:tc>
        <w:tc>
          <w:tcPr>
            <w:tcW w:w="7649" w:type="dxa"/>
            <w:vMerge w:val="restart"/>
            <w:tcBorders>
              <w:top w:val="single" w:sz="4" w:space="0" w:color="auto"/>
              <w:left w:val="single" w:sz="4" w:space="0" w:color="auto"/>
              <w:right w:val="single" w:sz="4" w:space="0" w:color="auto"/>
            </w:tcBorders>
            <w:shd w:val="clear" w:color="auto" w:fill="C6D9F1" w:themeFill="text2" w:themeFillTint="33"/>
            <w:noWrap/>
            <w:vAlign w:val="center"/>
          </w:tcPr>
          <w:p w14:paraId="26B5D32B" w14:textId="77777777" w:rsidR="006578ED" w:rsidRDefault="006578ED">
            <w:pPr>
              <w:spacing w:after="0" w:line="240" w:lineRule="auto"/>
              <w:jc w:val="center"/>
              <w:rPr>
                <w:rFonts w:ascii="Times New Roman" w:hAnsi="Times New Roman" w:cs="Times New Roman"/>
                <w:noProof/>
                <w:sz w:val="18"/>
              </w:rPr>
            </w:pPr>
          </w:p>
          <w:p w14:paraId="2872DF35" w14:textId="703F783D"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11B8C6DE" w14:textId="77777777">
        <w:trPr>
          <w:trHeight w:val="309"/>
          <w:tblHeader/>
        </w:trPr>
        <w:tc>
          <w:tcPr>
            <w:tcW w:w="855" w:type="dxa"/>
            <w:vMerge/>
            <w:noWrap/>
          </w:tcPr>
          <w:p w14:paraId="746FBB9E" w14:textId="77777777" w:rsidR="006578ED" w:rsidRDefault="006578ED">
            <w:pPr>
              <w:spacing w:after="0" w:line="240" w:lineRule="auto"/>
              <w:jc w:val="center"/>
              <w:rPr>
                <w:rFonts w:ascii="Times New Roman" w:hAnsi="Times New Roman" w:cs="Times New Roman"/>
                <w:noProof/>
                <w:sz w:val="18"/>
              </w:rPr>
            </w:pPr>
          </w:p>
        </w:tc>
        <w:tc>
          <w:tcPr>
            <w:tcW w:w="850" w:type="dxa"/>
            <w:vMerge/>
            <w:noWrap/>
          </w:tcPr>
          <w:p w14:paraId="7D7DA3CA" w14:textId="77777777" w:rsidR="006578ED" w:rsidRDefault="006578ED">
            <w:pPr>
              <w:spacing w:after="0" w:line="240" w:lineRule="auto"/>
              <w:jc w:val="center"/>
              <w:rPr>
                <w:rFonts w:ascii="Times New Roman" w:hAnsi="Times New Roman" w:cs="Times New Roman"/>
                <w:noProof/>
                <w:sz w:val="18"/>
              </w:rPr>
            </w:pPr>
          </w:p>
        </w:tc>
        <w:tc>
          <w:tcPr>
            <w:tcW w:w="849" w:type="dxa"/>
            <w:vMerge/>
            <w:noWrap/>
          </w:tcPr>
          <w:p w14:paraId="58018547" w14:textId="77777777" w:rsidR="006578ED" w:rsidRDefault="006578ED">
            <w:pPr>
              <w:spacing w:after="0" w:line="240" w:lineRule="auto"/>
              <w:jc w:val="center"/>
              <w:rPr>
                <w:rFonts w:ascii="Times New Roman" w:hAnsi="Times New Roman" w:cs="Times New Roman"/>
                <w:noProof/>
                <w:sz w:val="18"/>
              </w:rPr>
            </w:pPr>
          </w:p>
        </w:tc>
        <w:tc>
          <w:tcPr>
            <w:tcW w:w="1275" w:type="dxa"/>
            <w:vMerge/>
            <w:noWrap/>
          </w:tcPr>
          <w:p w14:paraId="4D62C93D" w14:textId="77777777" w:rsidR="006578ED" w:rsidRDefault="006578ED">
            <w:pPr>
              <w:spacing w:after="0" w:line="240" w:lineRule="auto"/>
              <w:jc w:val="center"/>
              <w:rPr>
                <w:rFonts w:ascii="Times New Roman" w:hAnsi="Times New Roman" w:cs="Times New Roman"/>
                <w:noProof/>
                <w:sz w:val="18"/>
              </w:rPr>
            </w:pPr>
          </w:p>
        </w:tc>
        <w:tc>
          <w:tcPr>
            <w:tcW w:w="113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1CEF7D5"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069BF1" w14:textId="77777777" w:rsidR="006578ED" w:rsidRDefault="00A1618E">
            <w:pPr>
              <w:pStyle w:val="P68B1DB1-Normal12"/>
              <w:spacing w:after="0" w:line="240" w:lineRule="auto"/>
              <w:jc w:val="center"/>
              <w:rPr>
                <w:rFonts w:cs="Times New Roman"/>
                <w:noProof/>
              </w:rPr>
            </w:pPr>
            <w:r>
              <w:rPr>
                <w:noProof/>
              </w:rPr>
              <w:t>Jednostka</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499462B" w14:textId="77777777" w:rsidR="006578ED" w:rsidRDefault="00A1618E">
            <w:pPr>
              <w:pStyle w:val="P68B1DB1-Normal12"/>
              <w:spacing w:after="0" w:line="240" w:lineRule="auto"/>
              <w:jc w:val="center"/>
              <w:rPr>
                <w:rFonts w:cs="Times New Roman"/>
                <w:noProof/>
              </w:rPr>
            </w:pPr>
            <w:r>
              <w:rPr>
                <w:noProof/>
              </w:rPr>
              <w:t>Wartość wyjściowa</w:t>
            </w:r>
          </w:p>
        </w:tc>
        <w:tc>
          <w:tcPr>
            <w:tcW w:w="57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7259C64" w14:textId="77777777" w:rsidR="006578ED" w:rsidRDefault="00A1618E">
            <w:pPr>
              <w:pStyle w:val="P68B1DB1-Normal12"/>
              <w:spacing w:after="0" w:line="240" w:lineRule="auto"/>
              <w:jc w:val="center"/>
              <w:rPr>
                <w:rFonts w:cs="Times New Roman"/>
                <w:noProof/>
              </w:rPr>
            </w:pPr>
            <w:r>
              <w:rPr>
                <w:noProof/>
              </w:rPr>
              <w:t>Cel</w:t>
            </w: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ED67B8" w14:textId="77777777" w:rsidR="006578ED" w:rsidRDefault="00A1618E">
            <w:pPr>
              <w:pStyle w:val="P68B1DB1-Normal12"/>
              <w:spacing w:after="0" w:line="240" w:lineRule="auto"/>
              <w:jc w:val="center"/>
              <w:rPr>
                <w:rFonts w:cs="Times New Roman"/>
                <w:noProof/>
              </w:rPr>
            </w:pPr>
            <w:r>
              <w:rPr>
                <w:noProof/>
              </w:rPr>
              <w:t>Q</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6B0CAF2" w14:textId="77777777" w:rsidR="006578ED" w:rsidRDefault="00A1618E">
            <w:pPr>
              <w:pStyle w:val="P68B1DB1-Normal12"/>
              <w:spacing w:after="0" w:line="240" w:lineRule="auto"/>
              <w:jc w:val="center"/>
              <w:rPr>
                <w:rFonts w:cs="Times New Roman"/>
                <w:noProof/>
              </w:rPr>
            </w:pPr>
            <w:r>
              <w:rPr>
                <w:noProof/>
              </w:rPr>
              <w:t>Rok</w:t>
            </w:r>
          </w:p>
        </w:tc>
        <w:tc>
          <w:tcPr>
            <w:tcW w:w="7649" w:type="dxa"/>
            <w:vMerge/>
            <w:noWrap/>
          </w:tcPr>
          <w:p w14:paraId="57667C3B" w14:textId="77777777" w:rsidR="006578ED" w:rsidRDefault="006578ED">
            <w:pPr>
              <w:spacing w:after="0" w:line="240" w:lineRule="auto"/>
              <w:jc w:val="center"/>
              <w:rPr>
                <w:rFonts w:ascii="Times New Roman" w:hAnsi="Times New Roman" w:cs="Times New Roman"/>
                <w:noProof/>
                <w:sz w:val="18"/>
              </w:rPr>
            </w:pPr>
          </w:p>
        </w:tc>
      </w:tr>
      <w:tr w:rsidR="006578ED" w14:paraId="7244BAFA"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499C7A10" w14:textId="4ABABD5B" w:rsidR="006578ED" w:rsidRDefault="00A1618E">
            <w:pPr>
              <w:pStyle w:val="P68B1DB1-Normal13"/>
              <w:spacing w:line="240" w:lineRule="auto"/>
              <w:jc w:val="center"/>
              <w:rPr>
                <w:rFonts w:cs="Times New Roman"/>
                <w:noProof/>
              </w:rPr>
            </w:pPr>
            <w:r>
              <w:rPr>
                <w:noProof/>
              </w:rPr>
              <w:t>L22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303A5BC" w14:textId="60AABD70" w:rsidR="006578ED" w:rsidRDefault="00A1618E">
            <w:pPr>
              <w:pStyle w:val="P68B1DB1-Normal13"/>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0DF9E2AF" w14:textId="11ECAF42" w:rsidR="006578ED" w:rsidRDefault="00AF6B91">
            <w:pPr>
              <w:pStyle w:val="P68B1DB1-Normal13"/>
              <w:spacing w:line="240" w:lineRule="auto"/>
              <w:jc w:val="center"/>
              <w:rPr>
                <w:rFonts w:cs="Times New Roman"/>
                <w:noProof/>
              </w:rPr>
            </w:pPr>
            <w:r>
              <w:rPr>
                <w:noProof/>
              </w:rPr>
              <w:t>Kamień milowy</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67A0EB1" w14:textId="31E8F695" w:rsidR="006578ED" w:rsidRDefault="00A1618E">
            <w:pPr>
              <w:pStyle w:val="P68B1DB1-Normal13"/>
              <w:spacing w:line="240" w:lineRule="auto"/>
              <w:rPr>
                <w:rFonts w:cs="Times New Roman"/>
                <w:noProof/>
              </w:rPr>
            </w:pPr>
            <w:r>
              <w:rPr>
                <w:noProof/>
              </w:rPr>
              <w:t>System wsparcia dla strategicznych projektów w łańcuchu wartości samochodów elektrycznych i rolno-spożywczych (pożyczki): Ministerstwo zakończyło inwestycję</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53928234" w14:textId="74775249" w:rsidR="006578ED" w:rsidRDefault="00A1618E">
            <w:pPr>
              <w:pStyle w:val="P68B1DB1-Normal13"/>
              <w:spacing w:line="240" w:lineRule="auto"/>
              <w:jc w:val="center"/>
              <w:rPr>
                <w:rFonts w:cs="Times New Roman"/>
                <w:noProof/>
              </w:rPr>
            </w:pPr>
            <w:r>
              <w:rPr>
                <w:noProof/>
              </w:rPr>
              <w:t>Zaświadczenie o wypłacie dla ENISA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699DFEE" w14:textId="77777777" w:rsidR="006578ED" w:rsidRDefault="006578ED">
            <w:pPr>
              <w:spacing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8307B89" w14:textId="77777777" w:rsidR="006578ED" w:rsidRDefault="006578ED">
            <w:pPr>
              <w:spacing w:line="240" w:lineRule="auto"/>
              <w:jc w:val="right"/>
              <w:rPr>
                <w:rFonts w:ascii="Times New Roman" w:hAnsi="Times New Roman" w:cs="Times New Roman"/>
                <w:noProof/>
                <w:sz w:val="18"/>
              </w:rPr>
            </w:pP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07001AF4" w14:textId="77777777" w:rsidR="006578ED" w:rsidRDefault="006578ED">
            <w:pPr>
              <w:spacing w:line="240" w:lineRule="auto"/>
              <w:jc w:val="right"/>
              <w:rPr>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2A16B080" w14:textId="377AF808" w:rsidR="006578ED" w:rsidRDefault="00EC188C">
            <w:pPr>
              <w:pStyle w:val="P68B1DB1-Normal13"/>
              <w:spacing w:line="240" w:lineRule="auto"/>
              <w:jc w:val="center"/>
              <w:rPr>
                <w:rFonts w:cs="Times New Roman"/>
                <w:noProof/>
              </w:rPr>
            </w:pPr>
            <w:r>
              <w:rPr>
                <w:noProof/>
              </w:rPr>
              <w:t>KW. 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37DD845" w14:textId="6F7D2881" w:rsidR="006578ED" w:rsidRDefault="00A1618E">
            <w:pPr>
              <w:pStyle w:val="P68B1DB1-Normal13"/>
              <w:spacing w:line="240" w:lineRule="auto"/>
              <w:jc w:val="center"/>
              <w:rPr>
                <w:rFonts w:cs="Times New Roman"/>
                <w:noProof/>
              </w:rPr>
            </w:pPr>
            <w:r>
              <w:rPr>
                <w:noProof/>
              </w:rPr>
              <w:t>2024</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4DDEAAA1" w14:textId="688F06D1" w:rsidR="006578ED" w:rsidRDefault="00A1618E">
            <w:pPr>
              <w:pStyle w:val="P68B1DB1-Normal13"/>
              <w:spacing w:line="240" w:lineRule="auto"/>
              <w:rPr>
                <w:rFonts w:cs="Times New Roman"/>
                <w:noProof/>
              </w:rPr>
            </w:pPr>
            <w:r>
              <w:rPr>
                <w:noProof/>
              </w:rPr>
              <w:t>Hiszpania przekazuje ENISA 1 200 000 000 EUR na rzecz programu.</w:t>
            </w:r>
          </w:p>
        </w:tc>
      </w:tr>
      <w:tr w:rsidR="006578ED" w14:paraId="623D914A"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78B1E78B" w14:textId="6D48B3B7" w:rsidR="006578ED" w:rsidRDefault="00A1618E">
            <w:pPr>
              <w:pStyle w:val="P68B1DB1-Normal13"/>
              <w:spacing w:line="240" w:lineRule="auto"/>
              <w:jc w:val="center"/>
              <w:rPr>
                <w:rFonts w:cs="Times New Roman"/>
                <w:noProof/>
              </w:rPr>
            </w:pPr>
            <w:r>
              <w:rPr>
                <w:noProof/>
              </w:rPr>
              <w:t>L23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C0CC8D7" w14:textId="1745E8A6" w:rsidR="006578ED" w:rsidRDefault="00A1618E">
            <w:pPr>
              <w:pStyle w:val="P68B1DB1-Normal13"/>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7181B7FE" w14:textId="2F29E5C7" w:rsidR="006578ED" w:rsidRDefault="00AF6B91">
            <w:pPr>
              <w:pStyle w:val="P68B1DB1-Normal13"/>
              <w:spacing w:line="240" w:lineRule="auto"/>
              <w:jc w:val="center"/>
              <w:rPr>
                <w:rFonts w:cs="Times New Roman"/>
                <w:noProof/>
              </w:rPr>
            </w:pPr>
            <w:r>
              <w:rPr>
                <w:noProof/>
              </w:rPr>
              <w:t>Kamień milowy</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87C8DF3" w14:textId="134CBAAC" w:rsidR="006578ED" w:rsidRDefault="00A1618E">
            <w:pPr>
              <w:pStyle w:val="P68B1DB1-Normal13"/>
              <w:spacing w:line="240" w:lineRule="auto"/>
              <w:rPr>
                <w:rFonts w:cs="Times New Roman"/>
                <w:noProof/>
              </w:rPr>
            </w:pPr>
            <w:r>
              <w:rPr>
                <w:noProof/>
              </w:rPr>
              <w:t>System wsparcia dla strategicznych projektów w łańcuchu wartości samochodów elektrycznych i rolno-spożywczych (pożyczki): Ustanowienie systemu</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7D5E74B9" w14:textId="67DACC81" w:rsidR="006578ED" w:rsidRDefault="00A1618E">
            <w:pPr>
              <w:pStyle w:val="P68B1DB1-Normal13"/>
              <w:spacing w:line="240" w:lineRule="auto"/>
              <w:jc w:val="center"/>
              <w:rPr>
                <w:rFonts w:cs="Times New Roman"/>
                <w:noProof/>
              </w:rPr>
            </w:pPr>
            <w:r>
              <w:rPr>
                <w:noProof/>
              </w:rPr>
              <w:t>Wejście w życie odpowiedniego(-ych) instrumentu(-ów) prawnego(-ych)</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BB0C80E" w14:textId="77777777" w:rsidR="006578ED" w:rsidRDefault="006578ED">
            <w:pPr>
              <w:spacing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F79BD3" w14:textId="77777777" w:rsidR="006578ED" w:rsidRDefault="006578ED">
            <w:pPr>
              <w:spacing w:line="240" w:lineRule="auto"/>
              <w:jc w:val="right"/>
              <w:rPr>
                <w:rFonts w:ascii="Times New Roman" w:hAnsi="Times New Roman" w:cs="Times New Roman"/>
                <w:noProof/>
                <w:sz w:val="18"/>
              </w:rPr>
            </w:pP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3121C638" w14:textId="77777777" w:rsidR="006578ED" w:rsidRDefault="006578ED">
            <w:pPr>
              <w:spacing w:line="240" w:lineRule="auto"/>
              <w:jc w:val="right"/>
              <w:rPr>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77BE20A4" w14:textId="654909B6" w:rsidR="006578ED" w:rsidRDefault="00EC188C">
            <w:pPr>
              <w:pStyle w:val="P68B1DB1-Normal13"/>
              <w:spacing w:line="240" w:lineRule="auto"/>
              <w:jc w:val="center"/>
              <w:rPr>
                <w:rFonts w:cs="Times New Roman"/>
                <w:noProof/>
              </w:rPr>
            </w:pPr>
            <w:r>
              <w:rPr>
                <w:noProof/>
              </w:rPr>
              <w:t>KW. 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3F72CA9" w14:textId="77777777" w:rsidR="006578ED" w:rsidRDefault="00A1618E">
            <w:pPr>
              <w:pStyle w:val="P68B1DB1-Normal13"/>
              <w:spacing w:line="240" w:lineRule="auto"/>
              <w:jc w:val="center"/>
              <w:rPr>
                <w:rFonts w:cs="Times New Roman"/>
                <w:noProof/>
              </w:rPr>
            </w:pPr>
            <w:r>
              <w:rPr>
                <w:noProof/>
              </w:rPr>
              <w:t>2024</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4C793D9D" w14:textId="43A369C3" w:rsidR="006578ED" w:rsidRDefault="00A1618E">
            <w:pPr>
              <w:pStyle w:val="P68B1DB1-Normal13"/>
              <w:spacing w:line="240" w:lineRule="auto"/>
              <w:rPr>
                <w:rFonts w:cs="Times New Roman"/>
                <w:noProof/>
              </w:rPr>
            </w:pPr>
            <w:r>
              <w:rPr>
                <w:noProof/>
              </w:rPr>
              <w:t>Wejście w życie instrumentu(-ów) prawnego(-ych) ustanawiającego(-ych) program pożyczkowy zgodnie z wymogami określonymi w opisie</w:t>
            </w:r>
          </w:p>
        </w:tc>
      </w:tr>
      <w:tr w:rsidR="006578ED" w14:paraId="50F64876" w14:textId="77777777">
        <w:trPr>
          <w:trHeight w:val="309"/>
        </w:trPr>
        <w:tc>
          <w:tcPr>
            <w:tcW w:w="855" w:type="dxa"/>
            <w:tcBorders>
              <w:top w:val="single" w:sz="4" w:space="0" w:color="auto"/>
              <w:left w:val="single" w:sz="4" w:space="0" w:color="auto"/>
              <w:bottom w:val="single" w:sz="4" w:space="0" w:color="auto"/>
              <w:right w:val="single" w:sz="4" w:space="0" w:color="auto"/>
            </w:tcBorders>
            <w:shd w:val="clear" w:color="auto" w:fill="C6EFCE"/>
            <w:noWrap/>
          </w:tcPr>
          <w:p w14:paraId="6EFBBB3E" w14:textId="16E9D7B5" w:rsidR="006578ED" w:rsidRDefault="00A1618E">
            <w:pPr>
              <w:pStyle w:val="P68B1DB1-Normal13"/>
              <w:spacing w:line="240" w:lineRule="auto"/>
              <w:jc w:val="center"/>
              <w:rPr>
                <w:rFonts w:cs="Times New Roman"/>
                <w:noProof/>
              </w:rPr>
            </w:pPr>
            <w:r>
              <w:rPr>
                <w:noProof/>
              </w:rPr>
              <w:t>L24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A4B20ED" w14:textId="64988B68" w:rsidR="006578ED" w:rsidRDefault="00A1618E">
            <w:pPr>
              <w:pStyle w:val="P68B1DB1-Normal13"/>
              <w:spacing w:line="240" w:lineRule="auto"/>
              <w:jc w:val="center"/>
              <w:rPr>
                <w:rFonts w:cs="Times New Roman"/>
                <w:noProof/>
              </w:rPr>
            </w:pPr>
            <w:r>
              <w:rPr>
                <w:noProof/>
              </w:rPr>
              <w:t>C12.I7</w:t>
            </w:r>
          </w:p>
        </w:tc>
        <w:tc>
          <w:tcPr>
            <w:tcW w:w="849" w:type="dxa"/>
            <w:tcBorders>
              <w:top w:val="single" w:sz="4" w:space="0" w:color="auto"/>
              <w:left w:val="single" w:sz="4" w:space="0" w:color="auto"/>
              <w:bottom w:val="single" w:sz="4" w:space="0" w:color="auto"/>
              <w:right w:val="single" w:sz="4" w:space="0" w:color="auto"/>
            </w:tcBorders>
            <w:shd w:val="clear" w:color="auto" w:fill="C6EFCE"/>
            <w:noWrap/>
          </w:tcPr>
          <w:p w14:paraId="3F3AF10D" w14:textId="0753C29D" w:rsidR="006578ED" w:rsidRDefault="00AF6B91">
            <w:pPr>
              <w:pStyle w:val="P68B1DB1-Normal13"/>
              <w:spacing w:line="240" w:lineRule="auto"/>
              <w:jc w:val="center"/>
              <w:rPr>
                <w:rFonts w:cs="Times New Roman"/>
                <w:noProof/>
              </w:rPr>
            </w:pPr>
            <w:r>
              <w:rPr>
                <w:noProof/>
              </w:rPr>
              <w:t>Cel</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33E481A" w14:textId="63D753E2" w:rsidR="006578ED" w:rsidRDefault="00A1618E">
            <w:pPr>
              <w:spacing w:line="240" w:lineRule="auto"/>
              <w:rPr>
                <w:rFonts w:ascii="Times New Roman" w:hAnsi="Times New Roman" w:cs="Times New Roman"/>
                <w:noProof/>
                <w:sz w:val="18"/>
              </w:rPr>
            </w:pPr>
            <w:r>
              <w:rPr>
                <w:rStyle w:val="normaltextrun"/>
                <w:rFonts w:ascii="Times New Roman" w:hAnsi="Times New Roman"/>
                <w:noProof/>
                <w:sz w:val="18"/>
              </w:rPr>
              <w:t>System wsparcia dla strategicznych projektów w łańcuchu wartości samochodów elektrycznych i rolno-spożywczych (pożyczki): Umowy prawne podpisane z beneficjentami końcowymi lub opublikowane uchwały o ostatecznym przyznaniu dotacji</w:t>
            </w:r>
          </w:p>
        </w:tc>
        <w:tc>
          <w:tcPr>
            <w:tcW w:w="1133" w:type="dxa"/>
            <w:tcBorders>
              <w:top w:val="single" w:sz="4" w:space="0" w:color="auto"/>
              <w:left w:val="single" w:sz="4" w:space="0" w:color="auto"/>
              <w:bottom w:val="single" w:sz="4" w:space="0" w:color="auto"/>
              <w:right w:val="single" w:sz="4" w:space="0" w:color="auto"/>
            </w:tcBorders>
            <w:shd w:val="clear" w:color="auto" w:fill="C6EFCE"/>
            <w:noWrap/>
          </w:tcPr>
          <w:p w14:paraId="1760F91F" w14:textId="036A08ED" w:rsidR="006578ED" w:rsidRDefault="00A1618E">
            <w:pPr>
              <w:spacing w:line="240" w:lineRule="auto"/>
              <w:jc w:val="center"/>
              <w:rPr>
                <w:rFonts w:ascii="Times New Roman" w:hAnsi="Times New Roman" w:cs="Times New Roman"/>
                <w:noProof/>
                <w:sz w:val="18"/>
              </w:rPr>
            </w:pPr>
            <w:r>
              <w:rPr>
                <w:rStyle w:val="normaltextrun"/>
                <w:rFonts w:ascii="Times New Roman" w:hAnsi="Times New Roman"/>
                <w:noProof/>
                <w:sz w:val="18"/>
              </w:rPr>
              <w:t>Wejście w życie opublikowanych prawnie umów o finansowaniu lub ostatecznych uchwał o przyznaniu finansowania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E41CE69" w14:textId="0920F352" w:rsidR="006578ED" w:rsidRDefault="006578ED">
            <w:pPr>
              <w:spacing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D987C2B" w14:textId="77777777" w:rsidR="006578ED" w:rsidRDefault="00A1618E">
            <w:pPr>
              <w:pStyle w:val="P68B1DB1-Normal13"/>
              <w:spacing w:line="240" w:lineRule="auto"/>
              <w:jc w:val="right"/>
              <w:rPr>
                <w:rFonts w:cs="Times New Roman"/>
                <w:noProof/>
              </w:rPr>
            </w:pPr>
            <w:r>
              <w:rPr>
                <w:noProof/>
              </w:rPr>
              <w:t>0</w:t>
            </w:r>
          </w:p>
        </w:tc>
        <w:tc>
          <w:tcPr>
            <w:tcW w:w="572" w:type="dxa"/>
            <w:tcBorders>
              <w:top w:val="single" w:sz="4" w:space="0" w:color="auto"/>
              <w:left w:val="single" w:sz="4" w:space="0" w:color="auto"/>
              <w:bottom w:val="single" w:sz="4" w:space="0" w:color="auto"/>
              <w:right w:val="single" w:sz="4" w:space="0" w:color="auto"/>
            </w:tcBorders>
            <w:shd w:val="clear" w:color="auto" w:fill="C6EFCE"/>
            <w:noWrap/>
          </w:tcPr>
          <w:p w14:paraId="1DE0585D" w14:textId="47A557C4" w:rsidR="006578ED" w:rsidRDefault="00A1618E">
            <w:pPr>
              <w:pStyle w:val="P68B1DB1-Normal13"/>
              <w:spacing w:line="240" w:lineRule="auto"/>
              <w:jc w:val="right"/>
              <w:rPr>
                <w:rFonts w:cs="Times New Roman"/>
                <w:noProof/>
              </w:rPr>
            </w:pPr>
            <w:r>
              <w:rPr>
                <w:noProof/>
              </w:rPr>
              <w:t>100 %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2AA99FD" w14:textId="1B46E409" w:rsidR="006578ED" w:rsidRDefault="00EC188C">
            <w:pPr>
              <w:pStyle w:val="P68B1DB1-Normal13"/>
              <w:spacing w:line="240" w:lineRule="auto"/>
              <w:jc w:val="center"/>
              <w:rPr>
                <w:rFonts w:cs="Times New Roman"/>
                <w:noProof/>
              </w:rPr>
            </w:pPr>
            <w:r>
              <w:rPr>
                <w:noProof/>
              </w:rPr>
              <w:t>KW. 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5E24D36" w14:textId="77777777" w:rsidR="006578ED" w:rsidRDefault="00A1618E">
            <w:pPr>
              <w:pStyle w:val="P68B1DB1-Normal13"/>
              <w:spacing w:line="240" w:lineRule="auto"/>
              <w:jc w:val="center"/>
              <w:rPr>
                <w:rFonts w:cs="Times New Roman"/>
                <w:noProof/>
              </w:rPr>
            </w:pPr>
            <w:r>
              <w:rPr>
                <w:noProof/>
              </w:rPr>
              <w:t>2026</w:t>
            </w:r>
          </w:p>
        </w:tc>
        <w:tc>
          <w:tcPr>
            <w:tcW w:w="7649" w:type="dxa"/>
            <w:tcBorders>
              <w:top w:val="single" w:sz="4" w:space="0" w:color="auto"/>
              <w:left w:val="single" w:sz="4" w:space="0" w:color="auto"/>
              <w:bottom w:val="single" w:sz="4" w:space="0" w:color="auto"/>
              <w:right w:val="single" w:sz="4" w:space="0" w:color="auto"/>
            </w:tcBorders>
            <w:shd w:val="clear" w:color="auto" w:fill="C6EFCE"/>
            <w:noWrap/>
          </w:tcPr>
          <w:p w14:paraId="75B8E356" w14:textId="5F9420D1" w:rsidR="006578ED" w:rsidRDefault="00A1618E">
            <w:pPr>
              <w:pStyle w:val="P68B1DB1-Normal13"/>
              <w:spacing w:line="240" w:lineRule="auto"/>
              <w:rPr>
                <w:rFonts w:cs="Times New Roman"/>
                <w:noProof/>
              </w:rPr>
            </w:pPr>
            <w:r>
              <w:rPr>
                <w:noProof/>
              </w:rPr>
              <w:t xml:space="preserve">ENISA publikuje rezolucje w sprawie ostatecznego przyznania finansowania lub zawiera z beneficjentami końcowymi umowy o finansowaniu na kwotę niezbędną do wykorzystania w systemie 100 % inwestycji w ramach RRF (w tym kosztów pośrednich). ENISA zapewnia, aby co najmniej 40 % tego finansowania przyczyniało się do realizacji celów klimatycznych przy użyciu metodyki określonej w załączniku VI do rozporządzenia w sprawie RRF. </w:t>
            </w:r>
          </w:p>
        </w:tc>
      </w:tr>
    </w:tbl>
    <w:p w14:paraId="61B83AA7" w14:textId="77777777" w:rsidR="006578ED" w:rsidRDefault="006578ED">
      <w:pPr>
        <w:rPr>
          <w:rFonts w:ascii="Times New Roman" w:hAnsi="Times New Roman" w:cs="Times New Roman"/>
          <w:noProof/>
        </w:rPr>
      </w:pPr>
    </w:p>
    <w:p w14:paraId="73AF0456" w14:textId="77777777" w:rsidR="006578ED" w:rsidRDefault="006578ED">
      <w:pPr>
        <w:spacing w:before="120" w:after="120" w:line="240" w:lineRule="auto"/>
        <w:jc w:val="both"/>
        <w:rPr>
          <w:rFonts w:ascii="Times New Roman" w:hAnsi="Times New Roman" w:cs="Times New Roman"/>
          <w:noProof/>
          <w:sz w:val="24"/>
          <w:u w:val="single"/>
        </w:rPr>
      </w:pPr>
    </w:p>
    <w:p w14:paraId="1C46581F" w14:textId="77777777" w:rsidR="006578ED" w:rsidRDefault="006578ED">
      <w:pPr>
        <w:spacing w:before="120" w:after="120" w:line="240" w:lineRule="auto"/>
        <w:jc w:val="both"/>
        <w:rPr>
          <w:rFonts w:ascii="Times New Roman" w:hAnsi="Times New Roman" w:cs="Times New Roman"/>
          <w:noProof/>
          <w:sz w:val="24"/>
        </w:rPr>
      </w:pPr>
    </w:p>
    <w:p w14:paraId="51AF60EC" w14:textId="77777777" w:rsidR="006578ED" w:rsidRDefault="006578ED">
      <w:pPr>
        <w:spacing w:before="120" w:after="120" w:line="240" w:lineRule="auto"/>
        <w:ind w:left="709"/>
        <w:jc w:val="both"/>
        <w:rPr>
          <w:rFonts w:ascii="Times New Roman" w:hAnsi="Times New Roman" w:cs="Times New Roman"/>
          <w:noProof/>
          <w:sz w:val="24"/>
        </w:rPr>
      </w:pPr>
    </w:p>
    <w:p w14:paraId="50261866"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264"/>
          <w:headerReference w:type="default" r:id="rId265"/>
          <w:footerReference w:type="even" r:id="rId266"/>
          <w:footerReference w:type="default" r:id="rId267"/>
          <w:headerReference w:type="first" r:id="rId268"/>
          <w:footerReference w:type="first" r:id="rId269"/>
          <w:pgSz w:w="16839" w:h="11907" w:orient="landscape"/>
          <w:pgMar w:top="1417" w:right="1134" w:bottom="1417" w:left="1134" w:header="709" w:footer="709" w:gutter="0"/>
          <w:cols w:space="720"/>
          <w:docGrid w:linePitch="360"/>
        </w:sectPr>
      </w:pPr>
    </w:p>
    <w:p w14:paraId="6082D2A6" w14:textId="6DF59856" w:rsidR="006578ED" w:rsidRPr="00A1618E" w:rsidRDefault="00AF6B91">
      <w:pPr>
        <w:pStyle w:val="P68B1DB1-Heading12"/>
        <w:rPr>
          <w:rFonts w:cs="Times New Roman"/>
          <w:noProof/>
          <w:lang w:val="pl-PL"/>
        </w:rPr>
      </w:pPr>
      <w:r>
        <w:rPr>
          <w:noProof/>
        </w:rPr>
        <w:t xml:space="preserve">Kamień milowy. </w:t>
      </w:r>
      <w:r w:rsidR="00EC188C">
        <w:rPr>
          <w:noProof/>
        </w:rPr>
        <w:t>KOMPONENT</w:t>
      </w:r>
      <w:r>
        <w:rPr>
          <w:noProof/>
        </w:rPr>
        <w:t xml:space="preserve"> 13: Wspieranie MŚ</w:t>
      </w:r>
      <w:r w:rsidRPr="00A1618E">
        <w:rPr>
          <w:noProof/>
          <w:lang w:val="pl-PL"/>
        </w:rPr>
        <w:t>P</w:t>
      </w:r>
      <w:r w:rsidR="00A1618E" w:rsidRPr="00A1618E">
        <w:rPr>
          <w:noProof/>
          <w:lang w:val="pl-PL"/>
        </w:rPr>
        <w:t xml:space="preserve"> </w:t>
      </w:r>
    </w:p>
    <w:p w14:paraId="15D82318" w14:textId="587B132B" w:rsidR="006578ED" w:rsidRDefault="00A1618E">
      <w:pPr>
        <w:pStyle w:val="P68B1DB1-Text119"/>
        <w:ind w:left="0"/>
        <w:rPr>
          <w:rFonts w:cs="Times New Roman"/>
          <w:noProof/>
        </w:rPr>
      </w:pPr>
      <w:r>
        <w:rPr>
          <w:noProof/>
        </w:rPr>
        <w:t xml:space="preserve">Małe i średnie przedsiębiorstwa (MŚP) odgrywają kluczową rolę w gospodarce UE i Hiszpanii, w szczególności tam, gdzie MŚP wnoszą większy wkład w PKB krajowym, a średnia wielkość przedsiębiorstw jest mniejsza w porównaniu ze średnią UE. </w:t>
      </w:r>
    </w:p>
    <w:p w14:paraId="1FC6FBB4" w14:textId="361DA05F" w:rsidR="006578ED" w:rsidRDefault="00A1618E">
      <w:pPr>
        <w:pStyle w:val="Text1"/>
        <w:ind w:left="0"/>
        <w:rPr>
          <w:rFonts w:ascii="Times New Roman" w:hAnsi="Times New Roman" w:cs="Times New Roman"/>
          <w:noProof/>
        </w:rPr>
      </w:pPr>
      <w:r>
        <w:rPr>
          <w:rFonts w:ascii="Times New Roman" w:hAnsi="Times New Roman"/>
          <w:noProof/>
        </w:rPr>
        <w:t xml:space="preserve">Ten element </w:t>
      </w:r>
      <w:r>
        <w:rPr>
          <w:rStyle w:val="IntenseEmphasis"/>
          <w:rFonts w:ascii="Times New Roman" w:hAnsi="Times New Roman"/>
          <w:i w:val="0"/>
          <w:noProof/>
          <w:color w:val="auto"/>
        </w:rPr>
        <w:t>hiszpańskiego planu odbudowy i zwiększania odporności</w:t>
      </w:r>
      <w:r>
        <w:rPr>
          <w:rFonts w:ascii="Times New Roman" w:hAnsi="Times New Roman"/>
          <w:noProof/>
        </w:rPr>
        <w:t>stanowi</w:t>
      </w:r>
      <w:r>
        <w:rPr>
          <w:rStyle w:val="IntenseEmphasis"/>
          <w:rFonts w:ascii="Times New Roman" w:hAnsi="Times New Roman"/>
          <w:noProof/>
          <w:color w:val="auto"/>
        </w:rPr>
        <w:t xml:space="preserve"> </w:t>
      </w:r>
      <w:r>
        <w:rPr>
          <w:rFonts w:ascii="Times New Roman" w:hAnsi="Times New Roman"/>
          <w:noProof/>
        </w:rPr>
        <w:t>odpowiedź na wyzwania stojące przed małymi i średnimi przedsiębiorstwami (MŚP) (w tym osobami samozatrudnionymi) w celu zwiększenia konkurencyjności hiszpańskiej gospodarki oraz wspierania wzrostu gospodarczego i zatrudnienia. Do wyzwań tych należą: utrudniony dostęp do finansowania przedsiębiorczości, rozwoju przedsiębiorstw i innowacji; brak umiejętności cyfrowych i niestosowanie technologii cyfrowych, które utrudniają wydajność i konkurencyjność MŚP; niewielki rozmiar przedsiębiorstw, co utrudnia wykorzystanie korzyści skali i umiędzynarodowienie; oraz dużą podatność na wstrząsy zewnętrzne i niskie korzyści skali hamujące inwestycje i innowacje.</w:t>
      </w:r>
    </w:p>
    <w:p w14:paraId="2FB2F3C5" w14:textId="1FCCF158" w:rsidR="006578ED" w:rsidRDefault="00A1618E">
      <w:pPr>
        <w:pStyle w:val="P68B1DB1-Text119"/>
        <w:ind w:left="0"/>
        <w:rPr>
          <w:rFonts w:cs="Times New Roman"/>
          <w:noProof/>
        </w:rPr>
      </w:pPr>
      <w:r>
        <w:rPr>
          <w:noProof/>
        </w:rPr>
        <w:t>Celem tego komponentu jest wprowadzenie reform i inwestycji mających na celu ułatwienie tworzenia przedsiębiorstw, wzrostu i restrukturyzacji przedsiębiorstw, poprawę klimatu biznesowego (w szczególności poprzez wzmocnienie funkcjonowania hiszpańskiego rynku wewnętrznego), a także dalsze pobudzanie ważnych procesów zwiększania wydajności poprzez cyfryzację, innowacje i umiędzynarodowienie. Komponent ten jest w znacznym stopniu skoncentrowany na cyfryzacji przy zastosowaniu podejścia horyzontalnego w celu zapewnienia podstawowego pakietu cyfryzacji dla znacznego odsetka MŚP oraz podejścia wertykalnego mającego na celu pobudzenie cyfryzacji procesów i innowacji technologicznych w niektórych MŚP.</w:t>
      </w:r>
    </w:p>
    <w:p w14:paraId="7F3E9C10" w14:textId="29EC558D" w:rsidR="006578ED" w:rsidRDefault="00A1618E">
      <w:pPr>
        <w:pStyle w:val="P68B1DB1-Text119"/>
        <w:ind w:left="0"/>
        <w:rPr>
          <w:rFonts w:cs="Times New Roman"/>
          <w:noProof/>
        </w:rPr>
      </w:pPr>
      <w:r>
        <w:rPr>
          <w:noProof/>
        </w:rPr>
        <w:t xml:space="preserve">Komponent ten częściowo odnosi się do zaleceń dla poszczególnych krajów w sprawie postępów we wdrażaniu ustawy o jedności rynku (zalecenie dla poszczególnych krajów </w:t>
      </w:r>
      <w:r w:rsidRPr="00A1618E">
        <w:rPr>
          <w:noProof/>
          <w:lang w:val="pl-PL"/>
        </w:rPr>
        <w:t>nr 4</w:t>
      </w:r>
      <w:r>
        <w:rPr>
          <w:noProof/>
        </w:rPr>
        <w:t xml:space="preserve"> z 20</w:t>
      </w:r>
      <w:r w:rsidRPr="00A1618E">
        <w:rPr>
          <w:noProof/>
          <w:lang w:val="pl-PL"/>
        </w:rPr>
        <w:t>19 r.</w:t>
      </w:r>
      <w:r>
        <w:rPr>
          <w:noProof/>
        </w:rPr>
        <w:t xml:space="preserve">) oraz w sprawie zapewnienia skutecznego wdrożenia środków mających na celu zapewnienie płynności MŚP i osobom samozatrudnionym, w szczególności poprzez unikanie opóźnień w płatnościach (zalecenie dla poszczególnych krajów </w:t>
      </w:r>
      <w:r w:rsidRPr="00A1618E">
        <w:rPr>
          <w:noProof/>
          <w:lang w:val="pl-PL"/>
        </w:rPr>
        <w:t>nr 3</w:t>
      </w:r>
      <w:r>
        <w:rPr>
          <w:noProof/>
        </w:rPr>
        <w:t xml:space="preserve"> z 20</w:t>
      </w:r>
      <w:r w:rsidRPr="00A1618E">
        <w:rPr>
          <w:noProof/>
          <w:lang w:val="pl-PL"/>
        </w:rPr>
        <w:t>20 r.</w:t>
      </w:r>
      <w:r>
        <w:rPr>
          <w:noProof/>
        </w:rPr>
        <w:t xml:space="preserve">). Uwzględniono w nim również zalecenia dla poszczególnych krajów dotyczące skoncentrowania inwestycji na transformacji cyfrowej (zalecenie dla poszczególnych krajów </w:t>
      </w:r>
      <w:r w:rsidRPr="00A1618E">
        <w:rPr>
          <w:noProof/>
          <w:lang w:val="pl-PL"/>
        </w:rPr>
        <w:t>nr 3</w:t>
      </w:r>
      <w:r>
        <w:rPr>
          <w:noProof/>
        </w:rPr>
        <w:t xml:space="preserve"> z 20</w:t>
      </w:r>
      <w:r w:rsidRPr="00A1618E">
        <w:rPr>
          <w:noProof/>
          <w:lang w:val="pl-PL"/>
        </w:rPr>
        <w:t>20 r.</w:t>
      </w:r>
      <w:r>
        <w:rPr>
          <w:noProof/>
        </w:rPr>
        <w:t xml:space="preserve">) oraz na poprawie dostępu do cyfrowego uczenia się (zalecenie dla poszczególnych krajów </w:t>
      </w:r>
      <w:r w:rsidRPr="00A1618E">
        <w:rPr>
          <w:noProof/>
          <w:lang w:val="pl-PL"/>
        </w:rPr>
        <w:t>nr 2</w:t>
      </w:r>
      <w:r>
        <w:rPr>
          <w:noProof/>
        </w:rPr>
        <w:t xml:space="preserve"> z 20</w:t>
      </w:r>
      <w:r w:rsidRPr="00A1618E">
        <w:rPr>
          <w:noProof/>
          <w:lang w:val="pl-PL"/>
        </w:rPr>
        <w:t>20 r.</w:t>
      </w:r>
      <w:r>
        <w:rPr>
          <w:noProof/>
        </w:rPr>
        <w:t xml:space="preserve">). Wspiera on również inwestycje w transformację ekologiczną (zalecenia dla poszczególnych krajów </w:t>
      </w:r>
      <w:r w:rsidRPr="00A1618E">
        <w:rPr>
          <w:noProof/>
          <w:lang w:val="pl-PL"/>
        </w:rPr>
        <w:t>nr 1</w:t>
      </w:r>
      <w:r>
        <w:rPr>
          <w:noProof/>
        </w:rPr>
        <w:t xml:space="preserve"> 2023 i 1 2022). </w:t>
      </w:r>
    </w:p>
    <w:p w14:paraId="1FF6074D" w14:textId="7FBA0EA4" w:rsidR="006578ED" w:rsidRDefault="00A1618E">
      <w:pPr>
        <w:pStyle w:val="P68B1DB1-Text119"/>
        <w:ind w:left="0"/>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 xml:space="preserve">7 rozporządzenia (UE) 2020/852, biorąc pod uwagę opis środków i działań łagodzących określonych w planie odbudowy i zwiększania odporności zgodnie z wytycznymi technicznymi dotyczącymi zasady „nie czyń poważnych szkód” (2021/C58/01). </w:t>
      </w:r>
    </w:p>
    <w:p w14:paraId="3C82E79E" w14:textId="3ECEEB2E" w:rsidR="006578ED" w:rsidRDefault="00AF6B91">
      <w:pPr>
        <w:pStyle w:val="P68B1DB1-Normal5"/>
        <w:ind w:left="720"/>
        <w:rPr>
          <w:rFonts w:cs="Times New Roman"/>
          <w:noProof/>
        </w:rPr>
      </w:pPr>
      <w:r>
        <w:rPr>
          <w:noProof/>
        </w:rPr>
        <w:t xml:space="preserve">Kamień milowy.1. </w:t>
      </w:r>
      <w:r>
        <w:rPr>
          <w:noProof/>
        </w:rPr>
        <w:tab/>
        <w:t>Opis reform</w:t>
      </w:r>
      <w:r w:rsidR="00A1618E">
        <w:rPr>
          <w:noProof/>
        </w:rPr>
        <w:t xml:space="preserve"> i inw</w:t>
      </w:r>
      <w:r>
        <w:rPr>
          <w:noProof/>
        </w:rPr>
        <w:t>estycji, które mają być finansowane</w:t>
      </w:r>
      <w:r w:rsidR="00A1618E">
        <w:rPr>
          <w:noProof/>
        </w:rPr>
        <w:t xml:space="preserve"> z bez</w:t>
      </w:r>
      <w:r>
        <w:rPr>
          <w:noProof/>
        </w:rPr>
        <w:t>zwrotnego wsparcia finansowego</w:t>
      </w:r>
    </w:p>
    <w:p w14:paraId="04FC7FA7" w14:textId="7078E2EF" w:rsidR="006578ED" w:rsidRDefault="00A1618E">
      <w:pPr>
        <w:pStyle w:val="P68B1DB1-Text120"/>
        <w:ind w:left="0"/>
        <w:rPr>
          <w:rFonts w:cs="Times New Roman"/>
          <w:noProof/>
        </w:rPr>
      </w:pPr>
      <w:r>
        <w:rPr>
          <w:noProof/>
        </w:rPr>
        <w:t>Reforma 1 (C13.R1) – Poprawa regulacji przedsiębiorstw i klimatu</w:t>
      </w:r>
    </w:p>
    <w:p w14:paraId="65B9E8AE" w14:textId="5A368DE8" w:rsidR="006578ED" w:rsidRDefault="00A1618E">
      <w:pPr>
        <w:pStyle w:val="P68B1DB1-Text119"/>
        <w:ind w:left="0"/>
        <w:rPr>
          <w:rFonts w:cs="Times New Roman"/>
          <w:noProof/>
        </w:rPr>
      </w:pPr>
      <w:r>
        <w:rPr>
          <w:noProof/>
        </w:rPr>
        <w:t xml:space="preserve">Celem reformy jest poprawa ram prowadzenia działalności gospodarczej poprzez zapewnienie lepszych uregulowań prawnych i otoczenia biznesowego, które ułatwią tworzenie i rozwój przedsiębiorstw, a w razie potrzeby ich restrukturyzację, poprzez przyjęcie szeregu środków. </w:t>
      </w:r>
    </w:p>
    <w:p w14:paraId="28205233" w14:textId="5B09D706" w:rsidR="006578ED" w:rsidRDefault="00A1618E">
      <w:pPr>
        <w:pStyle w:val="P68B1DB1-Text119"/>
        <w:ind w:left="0"/>
        <w:rPr>
          <w:rFonts w:cs="Times New Roman"/>
          <w:noProof/>
        </w:rPr>
      </w:pPr>
      <w:r>
        <w:rPr>
          <w:noProof/>
        </w:rPr>
        <w:t>Reforma obejmuje:</w:t>
      </w:r>
    </w:p>
    <w:p w14:paraId="7AFE3315" w14:textId="637665C9" w:rsidR="006578ED" w:rsidRDefault="00A1618E">
      <w:pPr>
        <w:pStyle w:val="P68B1DB1-Text119"/>
        <w:numPr>
          <w:ilvl w:val="0"/>
          <w:numId w:val="111"/>
        </w:numPr>
        <w:rPr>
          <w:rFonts w:cs="Times New Roman"/>
          <w:noProof/>
        </w:rPr>
      </w:pPr>
      <w:r>
        <w:rPr>
          <w:noProof/>
        </w:rPr>
        <w:t>Przyjęcie ustawy o tworzeniu przedsiębiorstw i wzroście gospodarczym. Celem tych przepisów jest:</w:t>
      </w:r>
    </w:p>
    <w:p w14:paraId="04FAB48E" w14:textId="124647B6" w:rsidR="006578ED" w:rsidRDefault="00A1618E">
      <w:pPr>
        <w:pStyle w:val="P68B1DB1-Text119"/>
        <w:numPr>
          <w:ilvl w:val="1"/>
          <w:numId w:val="111"/>
        </w:numPr>
        <w:rPr>
          <w:rFonts w:cs="Times New Roman"/>
          <w:noProof/>
        </w:rPr>
      </w:pPr>
      <w:r>
        <w:rPr>
          <w:noProof/>
        </w:rPr>
        <w:t xml:space="preserve">Uproszczenie procedur zakładania przedsiębiorstwa. Cel ten osiąga się poprzez zmniejszenie minimalnego wymogu kapitałowego na potrzeby założenia firmy oraz wzmocnienie platform finansowania społecznościowego i innych publicznych instrumentów finansowania; </w:t>
      </w:r>
    </w:p>
    <w:p w14:paraId="20ED4BE2" w14:textId="14E3D9D1" w:rsidR="006578ED" w:rsidRDefault="00A1618E">
      <w:pPr>
        <w:pStyle w:val="P68B1DB1-Text119"/>
        <w:numPr>
          <w:ilvl w:val="1"/>
          <w:numId w:val="111"/>
        </w:numPr>
        <w:rPr>
          <w:rFonts w:cs="Times New Roman"/>
          <w:noProof/>
        </w:rPr>
      </w:pPr>
      <w:r>
        <w:rPr>
          <w:noProof/>
        </w:rPr>
        <w:t>Środki prawne mające na celu wspieranie kultury wczesnych płatności. Ustawa ta poprawi skuteczność wdrażania dyrektywy 2011/7 w sprawie zwalczania opóźnień w płatnościach w transakcjach handlowych. Oczekuje się, że ustawa skróci średnie terminy płatności w transakcjach handlowych. Pomogłoby to sprostać wyzwaniom związanym z płynnością, z jakimi borykają się MŚP będące wierzycielami, które nie są opłacane w odpowiednim czasie, co miałoby pozytywny wpływ na ich działalność i wzrost gospodarczy. Przykłady środków, które należy wdrożyć w celu wspierania kultury wczesnych płatności, obejmują wytyczne dotyczące jawności i przejrzystości terminów płatności, najlepsze praktyki biznesowe i mechanizmy lepszego egzekwowania, takie jak system pozasądowego rozstrzygania sporów;</w:t>
      </w:r>
    </w:p>
    <w:p w14:paraId="4A84DB97" w14:textId="6BD390D8" w:rsidR="006578ED" w:rsidRDefault="00A1618E">
      <w:pPr>
        <w:pStyle w:val="P68B1DB1-Text119"/>
        <w:numPr>
          <w:ilvl w:val="1"/>
          <w:numId w:val="111"/>
        </w:numPr>
        <w:rPr>
          <w:rFonts w:cs="Times New Roman"/>
          <w:noProof/>
        </w:rPr>
      </w:pPr>
      <w:r>
        <w:rPr>
          <w:noProof/>
        </w:rPr>
        <w:t>Zmiana niektórych przepisów ustawy o jedności rynku w celu zapewnienia większej jasności w obszarach, w których niejasności doprowadziły do problemów z wdrażaniem. Celem ustawy o jedności rynku jest usunięcie zbędnych, nieproporcjonalnych lub dyskryminujących barier w dostępie do działalności gospodarczej i jej prowadzeniu oraz w swobodzie przedsiębiorczości na całym terytorium. Celem tej reformy jest również zwiększenie skuteczności i przejrzystości mechanizmów przewidzianych w ustawie o jednolitym rynku w celu ochrony podmiotów gospodarczych, których działalność jest dotknięta barierami nałożonymi przez administrację publiczną. Ponadto reforma wzmacnia współpracę w celu promowania lepszego stanowienia prawa w całym kraju;</w:t>
      </w:r>
    </w:p>
    <w:p w14:paraId="65E91C6D" w14:textId="6C315BB3" w:rsidR="006578ED" w:rsidRDefault="00A1618E">
      <w:pPr>
        <w:pStyle w:val="P68B1DB1-Text119"/>
        <w:numPr>
          <w:ilvl w:val="0"/>
          <w:numId w:val="111"/>
        </w:numPr>
        <w:rPr>
          <w:rFonts w:cs="Times New Roman"/>
          <w:noProof/>
        </w:rPr>
      </w:pPr>
      <w:r>
        <w:rPr>
          <w:noProof/>
        </w:rPr>
        <w:t>Ustanawia się nową konferencję sektorową ds. usprawnień regulacyjnych i klimatu biznesowego. Jego celem jest ułatwienie prawidłowego stosowania zasad dobrej regulacji przez wszystkie administracje publiczne oraz zapewnienie optymalnej koordynacji różnych administracji, w tym w zakresie środków towarzyszących odbudowie. Konferencja sektorowa jest również kontynuacją prac prowadzonych w ramach innych konferencji sektorowych, które umożliwiają lepszą koordynację, monitorowanie i promowanie lepszego stanowienia prawa, zarówno w wymiarze horyzontalnym, jak i sektorowym;</w:t>
      </w:r>
    </w:p>
    <w:p w14:paraId="3AF46301" w14:textId="6B464619" w:rsidR="006578ED" w:rsidRDefault="00A1618E">
      <w:pPr>
        <w:pStyle w:val="P68B1DB1-Text119"/>
        <w:numPr>
          <w:ilvl w:val="0"/>
          <w:numId w:val="111"/>
        </w:numPr>
        <w:rPr>
          <w:rFonts w:cs="Times New Roman"/>
          <w:noProof/>
        </w:rPr>
      </w:pPr>
      <w:r>
        <w:rPr>
          <w:noProof/>
        </w:rPr>
        <w:t>Reforma prawa upadłościowego w celu transpozycji dyrektywy (UE) 2019/1023 w sprawie ram restrukturyzacji zapobiegawczej, umorzenia długów i zakazów prowadzenia działalności oraz w sprawie środków zwiększających skuteczność postępowań upadłościowych, a także zmieniającej dyrektywę (UE) 2017/1132 (dyrektywa w sprawie restrukturyzacji i upadłości). Reforma obejmuje ustanowienie skuteczniejszej procedury drugiej szansy dla osób fizycznych, umożliwiającej umorzenie długów bez uprzedniej likwidacji majątku upadłego. Ponadto plany restrukturyzacji wymagane na mocy dyrektywy (UE) 2019/1023 w sprawie postępowania upadłościowego wprowadza się jako nowy instrument przedupadłościowy, który poprawi skuteczność obecnie obowiązujących instrumentów przedupadłościowych w celu zapobiegania upadłości, a następnie upadłości. Wprowadza się również specjalną procedurę dla mikroprzedsiębiorstw, w pełni przetwarzanych za pomocą środków elektronicznych, w celu skrócenia czasu trwania i kosztów procesu.</w:t>
      </w:r>
    </w:p>
    <w:p w14:paraId="4C86FC4C" w14:textId="343D2AB9" w:rsidR="006578ED" w:rsidRDefault="00A1618E">
      <w:pPr>
        <w:pStyle w:val="P68B1DB1-Text119"/>
        <w:numPr>
          <w:ilvl w:val="0"/>
          <w:numId w:val="111"/>
        </w:numPr>
        <w:rPr>
          <w:rFonts w:cs="Times New Roman"/>
          <w:noProof/>
        </w:rPr>
      </w:pPr>
      <w:r>
        <w:rPr>
          <w:noProof/>
        </w:rPr>
        <w:t>Reforma ta polega również na przyjęciu ustawy zmieniającej trzy akty prawne, w szczególności ustawę 34/2006, dotyczące praktyki zawodowej prawników i </w:t>
      </w:r>
      <w:r>
        <w:rPr>
          <w:i/>
          <w:noProof/>
        </w:rPr>
        <w:t>pełnomocników sądowych</w:t>
      </w:r>
      <w:r>
        <w:rPr>
          <w:noProof/>
        </w:rPr>
        <w:t>. Nowy system zapewnia jednolity dostęp do zawodów adwokatów i </w:t>
      </w:r>
      <w:r>
        <w:rPr>
          <w:i/>
          <w:noProof/>
        </w:rPr>
        <w:t>pełnomocników sądowych</w:t>
      </w:r>
      <w:r>
        <w:rPr>
          <w:noProof/>
        </w:rPr>
        <w:t xml:space="preserve">, ponieważ te same kwalifikacje umożliwiają wykonywanie obu zawodów. Wielodyscyplinarne stowarzyszenia zawodowe mogą wspólnie oferować usługi obrony prawnej i reprezentacji w sądzie. W systemie taryfowym mającym zastosowanie do usług </w:t>
      </w:r>
      <w:r>
        <w:rPr>
          <w:i/>
          <w:noProof/>
        </w:rPr>
        <w:t>pełnomocników</w:t>
      </w:r>
      <w:r>
        <w:rPr>
          <w:noProof/>
        </w:rPr>
        <w:t xml:space="preserve"> wprowadza się również zmiany: ustala się maksymalne opłaty, ale nie minimalne, aby zapewnić usługobiorcom dostęp do usług oferowanych po konkurencyjnych cenach. Dzięki tej reformie Hiszpania zapewni dostosowanie prawodawstwa w tej dziedzinie do </w:t>
      </w:r>
      <w:r w:rsidRPr="00A1618E">
        <w:rPr>
          <w:noProof/>
          <w:lang w:val="pl-PL"/>
        </w:rPr>
        <w:t>art. 1</w:t>
      </w:r>
      <w:r>
        <w:rPr>
          <w:noProof/>
        </w:rPr>
        <w:t xml:space="preserve">5, 16 i 25 dyrektywy 2006/123/C Parlamentu Europejskiego i Rady dotyczącej usług na rynku wewnętrznym oraz do </w:t>
      </w:r>
      <w:r w:rsidRPr="00A1618E">
        <w:rPr>
          <w:noProof/>
          <w:lang w:val="pl-PL"/>
        </w:rPr>
        <w:t>art. 4</w:t>
      </w:r>
      <w:r>
        <w:rPr>
          <w:noProof/>
        </w:rPr>
        <w:t>9 i 56 Traktatu o funkcjonowaniu Unii Europejskiej. Jeśli chodzi o tę reformę, we wrześniu 20</w:t>
      </w:r>
      <w:r w:rsidRPr="00A1618E">
        <w:rPr>
          <w:noProof/>
          <w:lang w:val="pl-PL"/>
        </w:rPr>
        <w:t>20 r.</w:t>
      </w:r>
      <w:r>
        <w:rPr>
          <w:noProof/>
        </w:rPr>
        <w:t xml:space="preserve"> Rada Ministrów zatwierdziła projekty wniosków ustawodawczych, o których mowa powyżej.</w:t>
      </w:r>
    </w:p>
    <w:p w14:paraId="7189CEC4" w14:textId="03845241" w:rsidR="006578ED" w:rsidRDefault="00A1618E">
      <w:pPr>
        <w:pStyle w:val="P68B1DB1-Text119"/>
        <w:numPr>
          <w:ilvl w:val="0"/>
          <w:numId w:val="111"/>
        </w:numPr>
        <w:rPr>
          <w:rFonts w:cs="Times New Roman"/>
          <w:noProof/>
        </w:rPr>
      </w:pPr>
      <w:r>
        <w:rPr>
          <w:noProof/>
        </w:rPr>
        <w:t>Zmiana prawa konkurencji (ustawa 15/2007 o ochronie konkurencji) i jej przepisów (dekret królewski 261/2008 z dnia 22 lutego 20</w:t>
      </w:r>
      <w:r w:rsidRPr="00A1618E">
        <w:rPr>
          <w:noProof/>
          <w:lang w:val="pl-PL"/>
        </w:rPr>
        <w:t>07 r.</w:t>
      </w:r>
      <w:r>
        <w:rPr>
          <w:noProof/>
        </w:rPr>
        <w:t xml:space="preserve"> zatwierdzający rozporządzenie w sprawie ochrony konkurencji), usprawnienie procedur i wzmocnienie krajowych ram regulacyjnych dotyczących ochrony konkurencji zgodnie z najlepszymi praktykami międzynarodowymi w celu zapewnienia skutecznej konkurencji. Poprawka przewiduje wprowadzenie procedury ugodowej w sprawach antymonopolowych na mocy </w:t>
      </w:r>
      <w:r w:rsidRPr="00A1618E">
        <w:rPr>
          <w:noProof/>
          <w:lang w:val="pl-PL"/>
        </w:rPr>
        <w:t>art. 1</w:t>
      </w:r>
      <w:r>
        <w:rPr>
          <w:noProof/>
        </w:rPr>
        <w:t xml:space="preserve"> (zmowy), </w:t>
      </w:r>
      <w:r w:rsidRPr="00A1618E">
        <w:rPr>
          <w:noProof/>
          <w:lang w:val="pl-PL"/>
        </w:rPr>
        <w:t>art. 2</w:t>
      </w:r>
      <w:r>
        <w:rPr>
          <w:noProof/>
        </w:rPr>
        <w:t xml:space="preserve"> (nadużycie pozycji dominującej) i </w:t>
      </w:r>
      <w:r w:rsidRPr="00A1618E">
        <w:rPr>
          <w:noProof/>
          <w:lang w:val="pl-PL"/>
        </w:rPr>
        <w:t>art. 3</w:t>
      </w:r>
      <w:r>
        <w:rPr>
          <w:noProof/>
        </w:rPr>
        <w:t xml:space="preserve"> (zakłócenie wolnej konkurencji przez nieuczciwe działania) prawa konkurencji. Zmiana ta ma również na celu wprowadzenie uzupełniających przepisów prawnych do rozporządzenia (UE) 2022/1925 (akt o rynkach cyfrowych) w celu przyznania właściwemu organowi Hiszpanii uprawnień do prowadzenia dochodzeń w ramach krajowych, skrócenia terminu restrukturyzacji i uporządkowanej likwidacji postępowań oraz zmniejszenia obciążeń administracyjnych dla przedsiębiorstw, a także wzmocnienia systemu sankcji, w tym poprzez zachęcanie do dopuszczania do naruszeń i zwiększenie sankcji dla osób fizycznych (tj. zarządzających).</w:t>
      </w:r>
    </w:p>
    <w:p w14:paraId="5611FD7A" w14:textId="63C4F87F" w:rsidR="006578ED" w:rsidRDefault="00A1618E">
      <w:pPr>
        <w:pStyle w:val="P68B1DB1-Text119"/>
        <w:ind w:left="0"/>
        <w:rPr>
          <w:rFonts w:cs="Times New Roman"/>
          <w:noProof/>
        </w:rPr>
      </w:pPr>
      <w:r>
        <w:rPr>
          <w:noProof/>
        </w:rPr>
        <w:t>Wdrażanie środka zostanie zakończone do dnia 31 grudnia 20</w:t>
      </w:r>
      <w:r w:rsidRPr="00A1618E">
        <w:rPr>
          <w:noProof/>
          <w:lang w:val="pl-PL"/>
        </w:rPr>
        <w:t>25 r.</w:t>
      </w:r>
    </w:p>
    <w:p w14:paraId="0B36211E" w14:textId="77777777" w:rsidR="006578ED" w:rsidRDefault="00A1618E">
      <w:pPr>
        <w:pStyle w:val="P68B1DB1-Text120"/>
        <w:keepNext/>
        <w:ind w:left="0"/>
        <w:rPr>
          <w:rFonts w:cs="Times New Roman"/>
          <w:noProof/>
        </w:rPr>
      </w:pPr>
      <w:r>
        <w:rPr>
          <w:noProof/>
        </w:rPr>
        <w:t>Reforma 2 (C13.R2) – Strategia Hiszpanii – Przedsiębiorczości</w:t>
      </w:r>
    </w:p>
    <w:p w14:paraId="36A12FAD" w14:textId="2B963ACC" w:rsidR="006578ED" w:rsidRDefault="00A1618E">
      <w:pPr>
        <w:pStyle w:val="P68B1DB1-Text119"/>
        <w:keepNext/>
        <w:ind w:left="0"/>
        <w:rPr>
          <w:rFonts w:cs="Times New Roman"/>
          <w:noProof/>
        </w:rPr>
      </w:pPr>
      <w:r>
        <w:rPr>
          <w:noProof/>
        </w:rPr>
        <w:t>Celem środka jest promowanie hiszpańskiej strategii przedsiębiorczości. Reforma polega na przyjęciu ustawy o przedsiębiorstwach typu start-up, stworzeniu korzystnych ram dla tworzenia i rozwoju wysoce innowacyjnych przedsiębiorstw typu start-up, na utworzeniu publiczno-prywatnego funduszu NEXT-TECH w celu zwiększenia skali działalności przedsiębiorstw typu start-up w zakresie technologii przełomowych oraz na przeglądzie systemu migracyjnego pracowników w celu przyciągnięcia talentów i rozwiązania problemu niedoboru wykwalifikowanej siły roboczej.</w:t>
      </w:r>
    </w:p>
    <w:p w14:paraId="60AEC707" w14:textId="64E72F79" w:rsidR="006578ED" w:rsidRDefault="00A1618E">
      <w:pPr>
        <w:pStyle w:val="P68B1DB1-Text119"/>
        <w:ind w:left="0"/>
        <w:rPr>
          <w:rFonts w:cs="Times New Roman"/>
          <w:noProof/>
        </w:rPr>
      </w:pPr>
      <w:r>
        <w:rPr>
          <w:noProof/>
        </w:rPr>
        <w:t>Przyjęcie ustawy o start-upach do końca 20</w:t>
      </w:r>
      <w:r w:rsidRPr="00A1618E">
        <w:rPr>
          <w:noProof/>
          <w:lang w:val="pl-PL"/>
        </w:rPr>
        <w:t>22 r.</w:t>
      </w:r>
      <w:r>
        <w:rPr>
          <w:noProof/>
        </w:rPr>
        <w:t>: zapewnienie prawnej definicji przedsiębiorstw typu start-up; określenie zachęt podatkowych w celu wspierania ich tworzenia i przyciągania talentów; określenie środków ułatwiających przyciąganie zagranicznych inwestorów i przedsiębiorców; oraz przyjąć mechanizmy ułatwiające wdrażanie prawa i jego związek ze środkami dotyczącymi ekosystemu przedsiębiorców cyfrowych.</w:t>
      </w:r>
    </w:p>
    <w:p w14:paraId="49F3CA66" w14:textId="3DDAE59B" w:rsidR="006578ED" w:rsidRDefault="00A1618E">
      <w:pPr>
        <w:pStyle w:val="P68B1DB1-Text119"/>
        <w:ind w:left="0"/>
        <w:rPr>
          <w:rFonts w:cs="Times New Roman"/>
          <w:noProof/>
        </w:rPr>
      </w:pPr>
      <w:r>
        <w:rPr>
          <w:noProof/>
        </w:rPr>
        <w:t>Reforma obejmuje również zmianę przepisów ustawy organicznej 4/2000 z dnia 11 stycznia o prawach i wolnościach cudzoziemców w Hiszpanii oraz ich integracji społecznej oraz ustawy 14/2013 z dnia 27 września o wspieraniu przedsiębiorców i ich umiędzynarodowienia.</w:t>
      </w:r>
    </w:p>
    <w:p w14:paraId="2C1646D0" w14:textId="50D769E2" w:rsidR="006578ED" w:rsidRDefault="00A1618E">
      <w:pPr>
        <w:pStyle w:val="P68B1DB1-Text119"/>
        <w:ind w:left="0"/>
        <w:rPr>
          <w:rFonts w:cs="Times New Roman"/>
          <w:noProof/>
        </w:rPr>
      </w:pPr>
      <w:r>
        <w:rPr>
          <w:noProof/>
        </w:rPr>
        <w:t>Zmiana rozporządzenia ustawy organicznej 4/2000 z dnia 11 stycznia o prawach i wolnościach cudzoziemców w Hiszpanii oraz ich integracji społecznej uprości procedury administracyjne związane z migracją, w tym poprzez zmniejszenie liczby zezwoleń i przedłużenie ich ważności, przyspieszenie procedur, ułatwienie dostępu do rynku pracy obywatelom państw trzecich oraz poprawę systemu zatrudniania u źródła. W szczególności zmiany mają na celu wprowadzenie bardziej elastycznego dostępu studentów do rynku pracy, wieloletniego systemu migracji wahadłowej dla pracowników sezonowych, nowych zasad oceny krajowej sytuacji zatrudnienia oraz utworzenia nowej jednostki administracyjnej (UTEX) w celu usprawnienia przetwarzania dokumentacji cudzoziemców.</w:t>
      </w:r>
    </w:p>
    <w:p w14:paraId="4A7EF98C" w14:textId="370FE7D7" w:rsidR="006578ED" w:rsidRDefault="00A1618E">
      <w:pPr>
        <w:pStyle w:val="P68B1DB1-Text119"/>
        <w:ind w:left="0"/>
        <w:rPr>
          <w:rFonts w:cs="Times New Roman"/>
          <w:noProof/>
        </w:rPr>
      </w:pPr>
      <w:r>
        <w:rPr>
          <w:noProof/>
        </w:rPr>
        <w:t>Zmiana ustawy 14/2013 z dnia 27 września o wspieraniu przedsiębiorców i ich umiędzynarodowieniu ułatwia rekrutację cudzoziemców posiadających bardzo konkretne umiejętności i kompetencje dzięki prostszej i bardziej elastycznej procedurze niż procedura określona w rozporządzeniu ustawy organicznej 4/2000. Zmiana ustawy 14/2013 wprowadza nowy system migracji dla nomadów cyfrowych, nowe kryteria innowacji w zakresie zezwoleń na pobyt i pracę dla przedsiębiorców, rozszerzenie zakresu krajowego systemu migracji dla wysoko wykwalifikowanych specjalistów na MŚP i posiadaczy świadectw kształcenia i szkolenia zawodowego, dłuższe okresy ważności oraz uproszczenie procedur wydawania zezwoleń na pobyt i pracę w odniesieniu do procedur przewidzianych w ustawie 14/2013 przed zmianą.</w:t>
      </w:r>
    </w:p>
    <w:p w14:paraId="3D4CCDDD" w14:textId="24BEE72F" w:rsidR="006578ED" w:rsidRDefault="00A1618E">
      <w:pPr>
        <w:pStyle w:val="P68B1DB1-Text119"/>
        <w:ind w:left="0"/>
        <w:rPr>
          <w:rFonts w:cs="Times New Roman"/>
          <w:noProof/>
        </w:rPr>
      </w:pPr>
      <w:r>
        <w:rPr>
          <w:noProof/>
        </w:rPr>
        <w:t>Wdrożenie środka zostanie zakończone do dnia 31 grudnia 20</w:t>
      </w:r>
      <w:r w:rsidRPr="00A1618E">
        <w:rPr>
          <w:noProof/>
          <w:lang w:val="pl-PL"/>
        </w:rPr>
        <w:t>23 r.</w:t>
      </w:r>
    </w:p>
    <w:p w14:paraId="46827732" w14:textId="3415A41A" w:rsidR="006578ED" w:rsidRDefault="00A1618E">
      <w:pPr>
        <w:pStyle w:val="P68B1DB1-Normal6"/>
        <w:spacing w:before="120" w:after="120"/>
        <w:jc w:val="both"/>
        <w:rPr>
          <w:rFonts w:eastAsiaTheme="minorEastAsia" w:cs="Times New Roman"/>
          <w:noProof/>
        </w:rPr>
      </w:pPr>
      <w:r>
        <w:rPr>
          <w:noProof/>
        </w:rPr>
        <w:t>Reforma 3 (C13.R3) – Zmiana ustawy o rynkach papierów wartościowych i usługach inwestycyjnych</w:t>
      </w:r>
    </w:p>
    <w:p w14:paraId="6CA34C5A" w14:textId="7909DC83" w:rsidR="006578ED" w:rsidRPr="00A1618E" w:rsidRDefault="00A1618E">
      <w:pPr>
        <w:pStyle w:val="P68B1DB1-Normal4"/>
        <w:spacing w:before="120" w:after="120"/>
        <w:jc w:val="both"/>
        <w:rPr>
          <w:rFonts w:eastAsiaTheme="minorEastAsia" w:cs="Times New Roman"/>
          <w:noProof/>
          <w:lang w:val="pl-PL"/>
        </w:rPr>
      </w:pPr>
      <w:r>
        <w:rPr>
          <w:noProof/>
        </w:rPr>
        <w:t xml:space="preserve">Celem tej reformy jest poprawa regulacji rynków papierów wartościowych, tak aby poprawić dostęp do finansowania, w szczególności dla MŚP, dzięki zatwierdzeniu ustawy 6/2023 regulującej rynek papierów wartościowych i usługi inwestycyjne w Hiszpanii. </w:t>
      </w:r>
    </w:p>
    <w:p w14:paraId="4FB51AEC" w14:textId="211A6B85" w:rsidR="006578ED" w:rsidRDefault="00A1618E">
      <w:pPr>
        <w:pStyle w:val="P68B1DB1-Normal4"/>
        <w:spacing w:before="120" w:after="120"/>
        <w:jc w:val="both"/>
        <w:rPr>
          <w:rFonts w:cs="Times New Roman"/>
          <w:noProof/>
        </w:rPr>
      </w:pPr>
      <w:r w:rsidRPr="00A1618E">
        <w:rPr>
          <w:noProof/>
          <w:lang w:val="pl-PL"/>
        </w:rPr>
        <w:t>U</w:t>
      </w:r>
      <w:r>
        <w:rPr>
          <w:noProof/>
        </w:rPr>
        <w:t>stawa 6/2023:</w:t>
      </w:r>
    </w:p>
    <w:p w14:paraId="71D69DE2" w14:textId="7CCBC388" w:rsidR="006578ED" w:rsidRDefault="00A1618E">
      <w:pPr>
        <w:pStyle w:val="P68B1DB1-ListParagraph7"/>
        <w:numPr>
          <w:ilvl w:val="0"/>
          <w:numId w:val="621"/>
        </w:numPr>
        <w:spacing w:after="0"/>
        <w:jc w:val="both"/>
        <w:rPr>
          <w:rFonts w:cs="Times New Roman"/>
          <w:noProof/>
        </w:rPr>
      </w:pPr>
      <w:r>
        <w:rPr>
          <w:noProof/>
        </w:rPr>
        <w:t>uproszczenie procesu dopuszczania do obrotu papierów wartościowych o stałym dochodzie;</w:t>
      </w:r>
    </w:p>
    <w:p w14:paraId="5173D240" w14:textId="77777777" w:rsidR="006578ED" w:rsidRDefault="00A1618E">
      <w:pPr>
        <w:pStyle w:val="P68B1DB1-ListParagraph7"/>
        <w:numPr>
          <w:ilvl w:val="0"/>
          <w:numId w:val="621"/>
        </w:numPr>
        <w:spacing w:after="0"/>
        <w:jc w:val="both"/>
        <w:rPr>
          <w:rFonts w:eastAsiaTheme="minorEastAsia" w:cs="Times New Roman"/>
          <w:noProof/>
        </w:rPr>
      </w:pPr>
      <w:r>
        <w:rPr>
          <w:noProof/>
        </w:rPr>
        <w:t>rozszerzenie dostępu do BME Growth (rynek giełdowy BME dla MŚP);</w:t>
      </w:r>
    </w:p>
    <w:p w14:paraId="6355B17F" w14:textId="77777777" w:rsidR="006578ED" w:rsidRDefault="00A1618E">
      <w:pPr>
        <w:pStyle w:val="P68B1DB1-ListParagraph7"/>
        <w:numPr>
          <w:ilvl w:val="0"/>
          <w:numId w:val="621"/>
        </w:numPr>
        <w:spacing w:after="0"/>
        <w:jc w:val="both"/>
        <w:rPr>
          <w:rFonts w:eastAsiaTheme="minorEastAsia" w:cs="Times New Roman"/>
          <w:noProof/>
        </w:rPr>
      </w:pPr>
      <w:r>
        <w:rPr>
          <w:noProof/>
        </w:rPr>
        <w:t xml:space="preserve">rozszerzenie obowiązkowych ofert przejęcia poza papiery wartościowe będące przedmiotem obrotu na rynkach regulowanych na papiery wartościowe będące przedmiotem obrotu na MTF (w tym ich segmenty rynków rozwoju w UE); oraz </w:t>
      </w:r>
    </w:p>
    <w:p w14:paraId="69874394" w14:textId="0F8713CD" w:rsidR="006578ED" w:rsidRDefault="00A1618E">
      <w:pPr>
        <w:pStyle w:val="P68B1DB1-ListParagraph7"/>
        <w:numPr>
          <w:ilvl w:val="0"/>
          <w:numId w:val="621"/>
        </w:numPr>
        <w:spacing w:after="0"/>
        <w:jc w:val="both"/>
        <w:rPr>
          <w:rFonts w:eastAsiaTheme="minorEastAsia" w:cs="Times New Roman"/>
          <w:noProof/>
        </w:rPr>
      </w:pPr>
      <w:r>
        <w:rPr>
          <w:noProof/>
        </w:rPr>
        <w:t>ograniczenie barier utrudniających wejście na rynki finansowe poprzez zniesienie systemu informacyjnego (interfejsu post-handlowego) służącego do monitorowania rozliczania, rozrachunku i rejestracji papierów wartościowych w okresie przejściowym przewidzianym w prawie.</w:t>
      </w:r>
    </w:p>
    <w:p w14:paraId="05387AEE" w14:textId="0451E7FE" w:rsidR="006578ED" w:rsidRDefault="00A1618E">
      <w:pPr>
        <w:pStyle w:val="P68B1DB1-Normal4"/>
        <w:spacing w:before="120" w:after="120"/>
        <w:jc w:val="both"/>
        <w:rPr>
          <w:rFonts w:cs="Times New Roman"/>
          <w:noProof/>
        </w:rPr>
      </w:pPr>
      <w:r>
        <w:rPr>
          <w:noProof/>
        </w:rPr>
        <w:t>Wdrożenie środka musi zostać zakończone do dnia 30 czerwca 20</w:t>
      </w:r>
      <w:r w:rsidRPr="00A1618E">
        <w:rPr>
          <w:noProof/>
          <w:lang w:val="pl-PL"/>
        </w:rPr>
        <w:t>24 r.</w:t>
      </w:r>
    </w:p>
    <w:p w14:paraId="7D8C9E3E" w14:textId="77777777" w:rsidR="006578ED" w:rsidRDefault="006578ED">
      <w:pPr>
        <w:pStyle w:val="Text1"/>
        <w:ind w:left="0"/>
        <w:rPr>
          <w:rFonts w:ascii="Times New Roman" w:hAnsi="Times New Roman" w:cs="Times New Roman"/>
          <w:noProof/>
        </w:rPr>
      </w:pPr>
    </w:p>
    <w:p w14:paraId="169F9947" w14:textId="77777777" w:rsidR="006578ED" w:rsidRDefault="00A1618E">
      <w:pPr>
        <w:pStyle w:val="P68B1DB1-Normal6"/>
        <w:spacing w:before="120" w:after="120"/>
        <w:jc w:val="both"/>
        <w:rPr>
          <w:rFonts w:eastAsiaTheme="minorEastAsia" w:cs="Times New Roman"/>
          <w:noProof/>
        </w:rPr>
      </w:pPr>
      <w:r>
        <w:rPr>
          <w:noProof/>
        </w:rPr>
        <w:t xml:space="preserve">Inwestycje 1 (C13.I1) – Przedsiębiorczość </w:t>
      </w:r>
    </w:p>
    <w:p w14:paraId="03C7E9E0" w14:textId="6A16B476" w:rsidR="006578ED" w:rsidRDefault="00A1618E">
      <w:pPr>
        <w:pStyle w:val="P68B1DB1-Text119"/>
        <w:ind w:left="0"/>
        <w:rPr>
          <w:rFonts w:cs="Times New Roman"/>
          <w:noProof/>
        </w:rPr>
      </w:pPr>
      <w:r>
        <w:rPr>
          <w:noProof/>
        </w:rPr>
        <w:t>Celem inwestycji jest pobudzenie ekosystemu przedsiębiorczości, aby uczynić go bardziej odpornym i konkurencyjnym oraz sprostać wyzwaniom związanym z transformacją ekologiczną i cyfrową.</w:t>
      </w:r>
    </w:p>
    <w:p w14:paraId="2763E8E1" w14:textId="77777777" w:rsidR="006578ED" w:rsidRDefault="00A1618E">
      <w:pPr>
        <w:pStyle w:val="P68B1DB1-Text119"/>
        <w:ind w:left="0"/>
        <w:rPr>
          <w:rFonts w:cs="Times New Roman"/>
          <w:noProof/>
        </w:rPr>
      </w:pPr>
      <w:r>
        <w:rPr>
          <w:noProof/>
        </w:rPr>
        <w:t>Inwestycja obejmuje cztery główne działania:</w:t>
      </w:r>
    </w:p>
    <w:p w14:paraId="3EE9C38C" w14:textId="0E0A7A90" w:rsidR="006578ED" w:rsidRDefault="00A1618E">
      <w:pPr>
        <w:pStyle w:val="Text1"/>
        <w:ind w:left="0"/>
        <w:rPr>
          <w:rFonts w:ascii="Times New Roman" w:hAnsi="Times New Roman" w:cs="Times New Roman"/>
          <w:noProof/>
        </w:rPr>
      </w:pPr>
      <w:r>
        <w:rPr>
          <w:rFonts w:ascii="Times New Roman" w:hAnsi="Times New Roman"/>
          <w:noProof/>
        </w:rPr>
        <w:t>1) wzmacnianie umiejętności w zakresie przedsiębiorczości, w tym podnoszenia i zmiany kwalifikacji, oraz wspieranie przedsiębiorców zgodnie z priorytetami UE w zakresie transformacji ekologicznej i cyfrowej. W ramach tego działania co najmniej 6900 przedsiębiorców ukończy program mający na celu wzmocnienie ekosystemu przedsiębiorczości. W szczególności 6100 przedsiębiorców otrzymuje wsparcie w ramach programu na rzecz umiejętności w zakresie przedsiębiorczości (z czego 1200 to kobiety) i 800 kobiet-przedsiębiorców w ramach programu na rzecz przyciągania talentów kobiet.</w:t>
      </w:r>
      <w:r>
        <w:rPr>
          <w:rFonts w:ascii="Times New Roman" w:hAnsi="Times New Roman"/>
          <w:noProof/>
          <w:shd w:val="clear" w:color="auto" w:fill="E6E6E6"/>
        </w:rPr>
        <w:t xml:space="preserve"> </w:t>
      </w:r>
    </w:p>
    <w:p w14:paraId="28FFBA76" w14:textId="0F4F796F" w:rsidR="006578ED" w:rsidRDefault="00A1618E">
      <w:pPr>
        <w:pStyle w:val="P68B1DB1-Text119"/>
        <w:ind w:left="0"/>
        <w:rPr>
          <w:rFonts w:cs="Times New Roman"/>
          <w:noProof/>
        </w:rPr>
      </w:pPr>
      <w:r>
        <w:rPr>
          <w:noProof/>
        </w:rPr>
        <w:t xml:space="preserve">Zapewnienie narzędzi wspierających tworzenie przedsiębiorstw i zarządzanie nimi oraz wzmocnienie MŚP, w tym wsparcie dla co najmniej 12000 aktywnych użytkowników platformy wirtualnego ONE-National Entrepreneurship Office („ONE”), w ramach strategicznych ram polityki MŚP </w:t>
      </w:r>
      <w:r w:rsidRPr="00A1618E">
        <w:rPr>
          <w:noProof/>
          <w:lang w:val="pl-PL"/>
        </w:rPr>
        <w:t>do 2</w:t>
      </w:r>
      <w:r>
        <w:rPr>
          <w:noProof/>
        </w:rPr>
        <w:t>0</w:t>
      </w:r>
      <w:r w:rsidRPr="00A1618E">
        <w:rPr>
          <w:noProof/>
          <w:lang w:val="pl-PL"/>
        </w:rPr>
        <w:t>30 r.</w:t>
      </w:r>
      <w:r>
        <w:rPr>
          <w:noProof/>
        </w:rPr>
        <w:t>, hiszpańskiej strategii na rzecz przedsiębiorczości i hiszpańskiej agendy cyfrowej 2025;</w:t>
      </w:r>
    </w:p>
    <w:p w14:paraId="75A10A38" w14:textId="60DF47A2" w:rsidR="006578ED" w:rsidRDefault="00A1618E">
      <w:pPr>
        <w:pStyle w:val="P68B1DB1-Text119"/>
        <w:ind w:left="0"/>
        <w:rPr>
          <w:rFonts w:cs="Times New Roman"/>
          <w:noProof/>
        </w:rPr>
      </w:pPr>
      <w:r>
        <w:rPr>
          <w:noProof/>
        </w:rPr>
        <w:t>Kampanie upowszechniające i komunikacyjne na rzecz tworzenia, rozwijania lub przyciągania do Hiszpanii międzynarodowych imprez skupiających się na innowacyjnych przedsiębiorstwach oraz programu mającego na celu przyciągnięcie utalentowanych kobiet. Obejmuje to co najmniej 20 wydarzeń dotyczących przedsiębiorczości opracowanych w ramach programu „Flag”; oraz co najmniej 260 działań komunikacyjnych (200 wystąpień medialnych i 60 wydarzeń) w ramach programu „Brand Spain Entrepreneurship Nation”; oraz</w:t>
      </w:r>
    </w:p>
    <w:p w14:paraId="3E11FFE1" w14:textId="77777777" w:rsidR="006578ED" w:rsidRDefault="00A1618E">
      <w:pPr>
        <w:pStyle w:val="P68B1DB1-Normal4"/>
        <w:spacing w:line="240" w:lineRule="auto"/>
        <w:jc w:val="both"/>
        <w:rPr>
          <w:rFonts w:cs="Times New Roman"/>
          <w:noProof/>
        </w:rPr>
      </w:pPr>
      <w:r>
        <w:rPr>
          <w:noProof/>
        </w:rPr>
        <w:t xml:space="preserve">4) Finansowanie linii wsparcia dla przedsiębiorczości i MŚP za pośrednictwem programu wspierania przedsiębiorczości kobiet. Obejmuje to wsparcie dla co najmniej 200 kobiet-przedsiębiorców poprzez pożyczki partycypacyjne udzielane przez </w:t>
      </w:r>
      <w:r>
        <w:rPr>
          <w:i/>
          <w:noProof/>
        </w:rPr>
        <w:t>Empresa Nacional de Innovación,</w:t>
      </w:r>
      <w:r>
        <w:rPr>
          <w:noProof/>
        </w:rPr>
        <w:t xml:space="preserve"> S.A. </w:t>
      </w:r>
    </w:p>
    <w:p w14:paraId="53922631" w14:textId="06A0B6E0" w:rsidR="006578ED" w:rsidRDefault="00A1618E">
      <w:pPr>
        <w:pStyle w:val="P68B1DB1-Text119"/>
        <w:ind w:left="0"/>
        <w:rPr>
          <w:rFonts w:cs="Times New Roman"/>
          <w:noProof/>
        </w:rPr>
      </w:pPr>
      <w:r>
        <w:rPr>
          <w:noProof/>
        </w:rPr>
        <w:t xml:space="preserve">W przypadku instrumentów finansowych, w celu zapewnienia zgodności środka z wytycznymi technicznymi dotyczącymi zasady „nie czyń poważnych szkód” (2021/C58/01), umowa prawna między władzami hiszpańskimi a podmiotem, któremu powierzono zadanie, lub pośrednikiem finansowym odpowiedzialnym za instrument finansowy oraz późniejsza polityka inwestycyjna instrumentu finansowego: </w:t>
      </w:r>
    </w:p>
    <w:p w14:paraId="28CFFC45" w14:textId="1D9C1715" w:rsidR="006578ED" w:rsidRDefault="00A1618E">
      <w:pPr>
        <w:pStyle w:val="P68B1DB1-Text119"/>
        <w:numPr>
          <w:ilvl w:val="0"/>
          <w:numId w:val="197"/>
        </w:numPr>
        <w:rPr>
          <w:rFonts w:cs="Times New Roman"/>
          <w:noProof/>
        </w:rPr>
      </w:pPr>
      <w:r>
        <w:rPr>
          <w:noProof/>
        </w:rPr>
        <w:t>wymóg stosowania wytycznych technicznych Komisji dotyczących kontroli zrównoważonego charakteru projektów w odniesieniu do Funduszu InvestEU</w:t>
      </w:r>
    </w:p>
    <w:p w14:paraId="4E0DAE12" w14:textId="37EF71FF" w:rsidR="006578ED" w:rsidRDefault="00A1618E">
      <w:pPr>
        <w:pStyle w:val="P68B1DB1-Text119"/>
        <w:numPr>
          <w:ilvl w:val="0"/>
          <w:numId w:val="197"/>
        </w:numPr>
        <w:rPr>
          <w:rFonts w:cs="Times New Roman"/>
          <w:noProof/>
        </w:rPr>
      </w:pPr>
      <w:r>
        <w:rPr>
          <w:noProof/>
        </w:rPr>
        <w:t>wyłączyć z kwalifikowalności następujący wykaz działań i aktywów: działalności i aktywów związanych z paliwami kopalnymi, w tym wykorzystania niższego szczebla</w:t>
      </w:r>
      <w:r>
        <w:rPr>
          <w:noProof/>
        </w:rPr>
        <w:footnoteReference w:id="66"/>
      </w:r>
      <w:r>
        <w:rPr>
          <w:noProof/>
        </w:rPr>
        <w:t>; działania i aktywa w ramach unijnego systemu handlu uprawnieniami do emisji (ETS) zapewniające prognozowane emisje gazów cieplarnianych, które nie są niższe od odpowiednich wskaźników referencyjnych</w:t>
      </w:r>
      <w:r>
        <w:rPr>
          <w:noProof/>
        </w:rPr>
        <w:footnoteReference w:id="67"/>
      </w:r>
      <w:r>
        <w:rPr>
          <w:noProof/>
        </w:rPr>
        <w:t>; działalność i aktywa związane ze składowiskami odpadów, spalarniami</w:t>
      </w:r>
      <w:r>
        <w:rPr>
          <w:noProof/>
        </w:rPr>
        <w:footnoteReference w:id="68"/>
      </w:r>
      <w:r>
        <w:rPr>
          <w:noProof/>
        </w:rPr>
        <w:t xml:space="preserve"> i zakładami mechaniczno-biologicznego przetwarzania odpadów</w:t>
      </w:r>
      <w:r>
        <w:rPr>
          <w:noProof/>
        </w:rPr>
        <w:footnoteReference w:id="69"/>
      </w:r>
      <w:r>
        <w:rPr>
          <w:noProof/>
        </w:rPr>
        <w:t>; oraz (iv) działalności i aktywów, w przypadku których długoterminowe unieszkodliwianie odpadów może wyrządzić szkodę środowisku naturalnemu; oraz</w:t>
      </w:r>
    </w:p>
    <w:p w14:paraId="7DDBBB8E" w14:textId="66ECF5A5" w:rsidR="006578ED" w:rsidRDefault="00A1618E">
      <w:pPr>
        <w:pStyle w:val="P68B1DB1-Text119"/>
        <w:numPr>
          <w:ilvl w:val="0"/>
          <w:numId w:val="197"/>
        </w:numPr>
        <w:rPr>
          <w:rFonts w:cs="Times New Roman"/>
          <w:noProof/>
        </w:rPr>
      </w:pPr>
      <w:r>
        <w:rPr>
          <w:noProof/>
        </w:rPr>
        <w:t>wymagać od podmiotu/pośrednika finansowego weryfikacji zgodności projektów z odpowiednimi unijnymi i krajowymi przepisami w zakresie ochrony środowiska w odniesieniu do wszystkich transakcji, w tym transakcji zwolnionych z kontroli zrównoważonego charakteru projektów.</w:t>
      </w:r>
    </w:p>
    <w:p w14:paraId="71B740AD" w14:textId="76EE79A4" w:rsidR="006578ED" w:rsidRDefault="00A1618E">
      <w:pPr>
        <w:pStyle w:val="Text1"/>
        <w:ind w:left="0"/>
        <w:rPr>
          <w:rFonts w:ascii="Times New Roman" w:hAnsi="Times New Roman" w:cs="Times New Roman"/>
          <w:noProof/>
          <w:highlight w:val="green"/>
        </w:rPr>
      </w:pPr>
      <w:r>
        <w:rPr>
          <w:rFonts w:ascii="Times New Roman" w:hAnsi="Times New Roman"/>
          <w:noProof/>
        </w:rPr>
        <w:t>W przypadku ofert, aby zapewnić zgodność środka z wytycznymi technicznymi dotyczącymi zasady „nie czyń poważnych szkód” (2021/C58/01), kryteria kwalifikowalności zawarte w zakresie wymagań i obowiązków dla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70"/>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71"/>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72"/>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73"/>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1E392410" w14:textId="145BAE84" w:rsidR="006578ED" w:rsidRDefault="00A1618E">
      <w:pPr>
        <w:pStyle w:val="P68B1DB1-Normal4"/>
        <w:spacing w:line="240" w:lineRule="auto"/>
        <w:jc w:val="both"/>
        <w:rPr>
          <w:rFonts w:cs="Times New Roman"/>
          <w:noProof/>
        </w:rPr>
      </w:pPr>
      <w:r>
        <w:rPr>
          <w:noProof/>
        </w:rPr>
        <w:t>Realizacja inwestycji zostanie zakończona do dnia 31 grudnia 20</w:t>
      </w:r>
      <w:r w:rsidRPr="00A1618E">
        <w:rPr>
          <w:noProof/>
          <w:lang w:val="pl-PL"/>
        </w:rPr>
        <w:t>25 r.</w:t>
      </w:r>
      <w:r>
        <w:rPr>
          <w:noProof/>
        </w:rPr>
        <w:t xml:space="preserve"> </w:t>
      </w:r>
    </w:p>
    <w:p w14:paraId="11292CFE" w14:textId="77777777" w:rsidR="006578ED" w:rsidRDefault="00A1618E">
      <w:pPr>
        <w:pStyle w:val="P68B1DB1-Text120"/>
        <w:ind w:left="0"/>
        <w:rPr>
          <w:rFonts w:cs="Times New Roman"/>
          <w:noProof/>
        </w:rPr>
      </w:pPr>
      <w:r>
        <w:rPr>
          <w:noProof/>
        </w:rPr>
        <w:t xml:space="preserve">Inwestycje 2 (C13.I2) – Wzrost </w:t>
      </w:r>
    </w:p>
    <w:p w14:paraId="73AFC212" w14:textId="77777777" w:rsidR="006578ED" w:rsidRDefault="00A1618E">
      <w:pPr>
        <w:pStyle w:val="P68B1DB1-Text119"/>
        <w:ind w:left="0"/>
        <w:rPr>
          <w:rFonts w:cs="Times New Roman"/>
          <w:noProof/>
        </w:rPr>
      </w:pPr>
      <w:r>
        <w:rPr>
          <w:noProof/>
        </w:rPr>
        <w:t xml:space="preserve">Celem środka jest wspieranie wzrostu MŚP. </w:t>
      </w:r>
    </w:p>
    <w:p w14:paraId="38B5166A" w14:textId="77777777" w:rsidR="006578ED" w:rsidRDefault="00A1618E">
      <w:pPr>
        <w:pStyle w:val="P68B1DB1-Text119"/>
        <w:ind w:left="0"/>
        <w:rPr>
          <w:rFonts w:cs="Times New Roman"/>
          <w:noProof/>
        </w:rPr>
      </w:pPr>
      <w:r>
        <w:rPr>
          <w:noProof/>
        </w:rPr>
        <w:t>Inwestycja obejmuje działania dotyczące:</w:t>
      </w:r>
    </w:p>
    <w:p w14:paraId="1629AD50" w14:textId="256F9524" w:rsidR="006578ED" w:rsidRDefault="00A1618E">
      <w:pPr>
        <w:pStyle w:val="P68B1DB1-Text119"/>
        <w:ind w:left="0"/>
        <w:rPr>
          <w:rFonts w:cs="Times New Roman"/>
          <w:noProof/>
        </w:rPr>
      </w:pPr>
      <w:r>
        <w:rPr>
          <w:noProof/>
        </w:rPr>
        <w:t>Wsparcie dla (11000) indywidualnych MŚP w ramach programu „Umiejętności na rzecz wzrostu MŚP”. Celem tego programu jest zapewnienie przedsiębiorstwom umiejętności niezbędnych do wzrostu i zwiększenia konkurencyjności, zmianę ich modeli biznesowych i przyczynienie się do dwojakiej transformacji.</w:t>
      </w:r>
    </w:p>
    <w:p w14:paraId="57EA9081" w14:textId="4C0AF22D" w:rsidR="006578ED" w:rsidRDefault="00A1618E">
      <w:pPr>
        <w:pStyle w:val="P68B1DB1-Text119"/>
        <w:ind w:left="0"/>
        <w:rPr>
          <w:rFonts w:cs="Times New Roman"/>
          <w:noProof/>
        </w:rPr>
      </w:pPr>
      <w:r>
        <w:rPr>
          <w:noProof/>
        </w:rPr>
        <w:t>Długoterminowe wsparcie finansowe dla projektów przemysłowych (1500) opracowanych przez MŚP na działania w ramach tej inwestycji w nowe zakłady przemysłowe lub rozbudowę istniejących, z uwzględnieniem możliwości przyczynienia się do łagodzenia zmiany klimatu.</w:t>
      </w:r>
    </w:p>
    <w:p w14:paraId="5CB698C7" w14:textId="7C2640D4" w:rsidR="006578ED" w:rsidRDefault="00A1618E">
      <w:pPr>
        <w:pStyle w:val="P68B1DB1-Text119"/>
        <w:ind w:left="0"/>
        <w:rPr>
          <w:rFonts w:cs="Times New Roman"/>
          <w:noProof/>
        </w:rPr>
      </w:pPr>
      <w:r>
        <w:rPr>
          <w:noProof/>
        </w:rPr>
        <w:t xml:space="preserve">Poprawa dostępu MŚP do finansowania poprzez zapewnienie wsparcia w formie gwarancji finansowych, handlowych i technicznych poprzez wzmocnienie przedsiębiorstwa </w:t>
      </w:r>
      <w:r>
        <w:rPr>
          <w:i/>
          <w:noProof/>
        </w:rPr>
        <w:t>Compañia Española de Reafianzamiento SME S.A. (</w:t>
      </w:r>
      <w:r>
        <w:rPr>
          <w:noProof/>
        </w:rPr>
        <w:t>CERSA), zgodnie z kryteriami kwalifikowalności określonymi w rozporządzeniu w sprawie Instrumentu na rzecz Odbudowy i Zwiększania Odporności określonymi w wytycznych dla państw członkowskich z dnia 21 stycznia 20</w:t>
      </w:r>
      <w:r w:rsidRPr="00A1618E">
        <w:rPr>
          <w:noProof/>
          <w:lang w:val="pl-PL"/>
        </w:rPr>
        <w:t>21 r.</w:t>
      </w:r>
      <w:r>
        <w:rPr>
          <w:noProof/>
        </w:rPr>
        <w:t xml:space="preserve"> W</w:t>
      </w:r>
      <w:r>
        <w:rPr>
          <w:noProof/>
          <w:lang w:val="pl-PL"/>
        </w:rPr>
        <w:t> </w:t>
      </w:r>
      <w:r>
        <w:rPr>
          <w:noProof/>
        </w:rPr>
        <w:t xml:space="preserve">ramach tej linii działania CERSA zapewnia długoterminowe wsparcie poprzez pokrycie regwarancji dla regionalnych towarzystw wzajemnej gwarancji, wspierając ponoszone przez nie ryzyko. CERSA wspiera konkurencyjność i odporność MŚP również poprzez trzy nowe specjalne linie umożliwiające dostęp do długoterminowych operacji finansowania i kapitału obrotowego na działania w ramach tej inwestycji w obszarze: cyfryzację, stabilności; wzrost gospodarczy i ożywienie gospodarcze (wzmocnienie odporności, głównie w przypadku MŚP dotkniętych pandemią COVID-19, które są gotowe do podjęcia znaczących planów transformacji i wzrostu). </w:t>
      </w:r>
    </w:p>
    <w:p w14:paraId="640FE40E" w14:textId="2CD7CDC7" w:rsidR="006578ED" w:rsidRDefault="00A1618E">
      <w:pPr>
        <w:pStyle w:val="P68B1DB1-Text119"/>
        <w:ind w:left="0"/>
        <w:rPr>
          <w:rFonts w:cs="Times New Roman"/>
          <w:noProof/>
        </w:rPr>
      </w:pPr>
      <w:r>
        <w:rPr>
          <w:noProof/>
        </w:rPr>
        <w:t xml:space="preserve">Ponadto w celu wdrożenia instrumentu gwarancji finansowej należy zawrzeć umowę między ministerstwem odpowiedzialnym za inwestycje a partnerem wykonawczym lub podmiotem, któremu powierzono realizację. Umowa przekłada na zobowiązania informacje zawarte w planie odbudowy i zwiększania odporności. Ponadto wszelkie środki powracające (tj. odsetki od pożyczki, zwrot z kapitału własnego lub spłacone kwoty głównej pomniejszone o koszty powiązane) związane z instrumentem finansowym musiałyby zostać ponownie zainwestowane na te same cele polityki, w tym </w:t>
      </w:r>
      <w:r w:rsidRPr="00A1618E">
        <w:rPr>
          <w:noProof/>
          <w:lang w:val="pl-PL"/>
        </w:rPr>
        <w:t>po 2</w:t>
      </w:r>
      <w:r>
        <w:rPr>
          <w:noProof/>
        </w:rPr>
        <w:t>0</w:t>
      </w:r>
      <w:r w:rsidRPr="00A1618E">
        <w:rPr>
          <w:noProof/>
          <w:lang w:val="pl-PL"/>
        </w:rPr>
        <w:t>26 r.</w:t>
      </w:r>
      <w:r>
        <w:rPr>
          <w:noProof/>
        </w:rPr>
        <w:t xml:space="preserve"> Aby zapewnić zgodność środka z wytycznymi technicznymi dotyczącymi zasady „nie czyń poważnych szkód” (2021/C58/01), umowa prawna między władzami hiszpańskimi a podmiotem, któremu powierzono zadanie, lub pośrednikiem finansowym odpowiedzialnym za instrument finansowy oraz późniejszą politykę inwestycyjną instrumentu finansowego: </w:t>
      </w:r>
    </w:p>
    <w:p w14:paraId="50ACDE27" w14:textId="5D8F6750" w:rsidR="006578ED" w:rsidRDefault="00A1618E">
      <w:pPr>
        <w:pStyle w:val="P68B1DB1-Text119"/>
        <w:numPr>
          <w:ilvl w:val="0"/>
          <w:numId w:val="199"/>
        </w:numPr>
        <w:rPr>
          <w:rFonts w:cs="Times New Roman"/>
          <w:noProof/>
        </w:rPr>
      </w:pPr>
      <w:r>
        <w:rPr>
          <w:noProof/>
        </w:rPr>
        <w:t>wymóg stosowania wytycznych technicznych Komisji dotyczących kontroli zrównoważonego charakteru projektów w odniesieniu do Funduszu InvestEU;</w:t>
      </w:r>
    </w:p>
    <w:p w14:paraId="12D35BAE" w14:textId="64D51276" w:rsidR="006578ED" w:rsidRDefault="00A1618E">
      <w:pPr>
        <w:pStyle w:val="P68B1DB1-Text119"/>
        <w:numPr>
          <w:ilvl w:val="0"/>
          <w:numId w:val="199"/>
        </w:numPr>
        <w:rPr>
          <w:rFonts w:cs="Times New Roman"/>
          <w:noProof/>
        </w:rPr>
      </w:pPr>
      <w:r>
        <w:rPr>
          <w:noProof/>
        </w:rPr>
        <w:t>wyłączyć z kwalifikowalności następujący wykaz działań i aktywów: działalności i aktywów związanych z paliwami kopalnymi, w tym wykorzystania niższego szczebla</w:t>
      </w:r>
      <w:r>
        <w:rPr>
          <w:noProof/>
        </w:rPr>
        <w:footnoteReference w:id="74"/>
      </w:r>
      <w:r>
        <w:rPr>
          <w:noProof/>
        </w:rPr>
        <w:t>; działania i aktywa w ramach unijnego systemu handlu uprawnieniami do emisji (ETS) zapewniające prognozowane emisje gazów cieplarnianych, które nie są niższe od odpowiednich wskaźników referencyjnych</w:t>
      </w:r>
      <w:r>
        <w:rPr>
          <w:noProof/>
        </w:rPr>
        <w:footnoteReference w:id="75"/>
      </w:r>
      <w:r>
        <w:rPr>
          <w:noProof/>
        </w:rPr>
        <w:t>; działalność i aktywa związane ze składowiskami odpadów, spalarniami</w:t>
      </w:r>
      <w:r>
        <w:rPr>
          <w:noProof/>
        </w:rPr>
        <w:footnoteReference w:id="76"/>
      </w:r>
      <w:r>
        <w:rPr>
          <w:noProof/>
        </w:rPr>
        <w:t xml:space="preserve"> i zakładami mechaniczno-biologicznego przetwarzania odpadów</w:t>
      </w:r>
      <w:r>
        <w:rPr>
          <w:noProof/>
        </w:rPr>
        <w:footnoteReference w:id="77"/>
      </w:r>
      <w:r>
        <w:rPr>
          <w:noProof/>
        </w:rPr>
        <w:t>; oraz (iv) działalności i aktywów, w przypadku których długoterminowe unieszkodliwianie odpadów może wyrządzić szkodę środowisku naturalnemu; oraz</w:t>
      </w:r>
    </w:p>
    <w:p w14:paraId="5170F010" w14:textId="74206140" w:rsidR="006578ED" w:rsidRDefault="00A1618E">
      <w:pPr>
        <w:pStyle w:val="P68B1DB1-Text119"/>
        <w:numPr>
          <w:ilvl w:val="0"/>
          <w:numId w:val="199"/>
        </w:numPr>
        <w:rPr>
          <w:rFonts w:cs="Times New Roman"/>
          <w:noProof/>
        </w:rPr>
      </w:pPr>
      <w:r>
        <w:rPr>
          <w:noProof/>
        </w:rPr>
        <w:t>wymagać od podmiotu/pośrednika finansowego weryfikacji zgodności projektów z odpowiednimi unijnymi i krajowymi przepisami w zakresie ochrony środowiska w odniesieniu do wszystkich transakcji, w tym transakcji zwolnionych z kontroli zrównoważonego charakteru projektów.</w:t>
      </w:r>
    </w:p>
    <w:p w14:paraId="74B66515" w14:textId="4E169069" w:rsidR="006578ED" w:rsidRDefault="00A1618E">
      <w:pPr>
        <w:pStyle w:val="Text1"/>
        <w:ind w:left="0"/>
        <w:rPr>
          <w:rFonts w:ascii="Times New Roman" w:hAnsi="Times New Roman" w:cs="Times New Roman"/>
          <w:noProof/>
          <w:highlight w:val="green"/>
        </w:rPr>
      </w:pPr>
      <w:r>
        <w:rPr>
          <w:rFonts w:ascii="Times New Roman" w:hAnsi="Times New Roman"/>
          <w:noProof/>
        </w:rPr>
        <w:t>W przypadku ofert, aby zapewnić zgodność środka z wytycznymi technicznymi dotyczącymi zasady „nie czyń poważnych szkód” (2021/C58/01), kryteria kwalifikowalności zawarte w zakresie wymagań i obowiązków dla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78"/>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79"/>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80"/>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81"/>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1450DD94" w14:textId="67FB3E0D" w:rsidR="006578ED" w:rsidRDefault="00A1618E">
      <w:pPr>
        <w:pStyle w:val="P68B1DB1-Normal4"/>
        <w:spacing w:line="240" w:lineRule="auto"/>
        <w:jc w:val="both"/>
        <w:rPr>
          <w:rFonts w:cs="Times New Roman"/>
          <w:noProof/>
        </w:rPr>
      </w:pPr>
      <w:r>
        <w:rPr>
          <w:noProof/>
        </w:rPr>
        <w:t>Realizacja inwestycji zakończy się do dnia 31 grudnia 20</w:t>
      </w:r>
      <w:r w:rsidRPr="00A1618E">
        <w:rPr>
          <w:noProof/>
          <w:lang w:val="pl-PL"/>
        </w:rPr>
        <w:t>24 r.</w:t>
      </w:r>
    </w:p>
    <w:p w14:paraId="7D512F7C" w14:textId="75562BA6" w:rsidR="006578ED" w:rsidRDefault="00A1618E">
      <w:pPr>
        <w:pStyle w:val="P68B1DB1-Text120"/>
        <w:ind w:left="0"/>
        <w:rPr>
          <w:rFonts w:cs="Times New Roman"/>
          <w:noProof/>
        </w:rPr>
      </w:pPr>
      <w:r>
        <w:rPr>
          <w:noProof/>
        </w:rPr>
        <w:t xml:space="preserve">Inwestycje 3 (C13.I3) Cyfryzacja i innowacje </w:t>
      </w:r>
    </w:p>
    <w:p w14:paraId="2E979525" w14:textId="1E1BC823" w:rsidR="006578ED" w:rsidRDefault="00A1618E">
      <w:pPr>
        <w:pStyle w:val="P68B1DB1-Text119"/>
        <w:ind w:left="0"/>
        <w:rPr>
          <w:rFonts w:cs="Times New Roman"/>
          <w:noProof/>
        </w:rPr>
      </w:pPr>
      <w:r>
        <w:rPr>
          <w:noProof/>
        </w:rPr>
        <w:t>Celem tej inwestycji jest wyposażenie MŚP w umiejętności i narzędzia przyczyniające się do transformacji cyfrowej i sprostania wynikającym z niej wyzwaniom. Jest on zgodny z hiszpańską agendą cyfrową 2025 i uzupełniany działaniami w ramach komponentu 15 dotyczącego łączności i komponentu 19 dotyczącego umiejętności cyfrowych.</w:t>
      </w:r>
    </w:p>
    <w:p w14:paraId="084171E7" w14:textId="77777777" w:rsidR="006578ED" w:rsidRDefault="00A1618E">
      <w:pPr>
        <w:pStyle w:val="P68B1DB1-Text119"/>
        <w:ind w:left="0"/>
        <w:rPr>
          <w:rFonts w:cs="Times New Roman"/>
          <w:noProof/>
        </w:rPr>
      </w:pPr>
      <w:r>
        <w:rPr>
          <w:noProof/>
        </w:rPr>
        <w:t>Inwestycja koncentruje się na następujących różnych działaniach:</w:t>
      </w:r>
    </w:p>
    <w:p w14:paraId="51BB6D01" w14:textId="794CA0E1" w:rsidR="006578ED" w:rsidRDefault="00A1618E">
      <w:pPr>
        <w:pStyle w:val="P68B1DB1-Text119"/>
        <w:ind w:left="0"/>
        <w:rPr>
          <w:rFonts w:cs="Times New Roman"/>
          <w:noProof/>
        </w:rPr>
      </w:pPr>
      <w:r>
        <w:rPr>
          <w:noProof/>
          <w:u w:val="single"/>
        </w:rPr>
        <w:t>Zestaw narzędzi cyfrowych:</w:t>
      </w:r>
      <w:r>
        <w:rPr>
          <w:noProof/>
        </w:rPr>
        <w:t xml:space="preserve"> Jest to główne działanie w ramach tego środka, które ma pobudzić cyfryzację małych i średnich przedsiębiorstw (od dziesięciu do mniej niż 250 pracowników), mikroprzedsiębiorstw (od jednego do dziewięciu pracowników) i osób samozatrudnionych we wszystkich sektorach działalności gospodarczej, zwiększając ich poziom dojrzałości cyfrowej. Program opiera się na udzielaniu dotacji wspierających integrację technologii cyfrowych w celu skutecznego wprowadzenia handlu elektronicznego, cyfryzacji stosunków z administracją publiczną i klientami, opracowania wewnętrznych procesów cyfrowych oraz wprowadzenia e-fakturowania i marketingu cyfrowego; promowanie rozwiązań szczególnie ukierunkowanych na usługi. Program częściowo subsydiuje koszty przyjęcia pakietów podstawowych rozwiązań cyfrowych, takich jak m.in. obecność w internecie, sprzedaż elektroniczna, biuro w chmurze, praca cyfrowa, podstawowe procesy cyfryzacji, zarządzanie klientami, marketing cyfrowy, cyberbezpieczeństwo. Każdemu pakietowi cyfryzacji DTK przydziela się stałą kwotę dotacji, która jest określana w każdym zaproszeniu do składania wniosków w zależności od wielkości przedsiębiorstwa i sektora działalności.</w:t>
      </w:r>
    </w:p>
    <w:p w14:paraId="1E51A126" w14:textId="728C1408" w:rsidR="006578ED" w:rsidRDefault="00A1618E">
      <w:pPr>
        <w:pStyle w:val="P68B1DB1-Text119"/>
        <w:ind w:left="0"/>
        <w:rPr>
          <w:rFonts w:cs="Times New Roman"/>
          <w:noProof/>
        </w:rPr>
      </w:pPr>
      <w:r>
        <w:rPr>
          <w:noProof/>
          <w:u w:val="single"/>
        </w:rPr>
        <w:t>Program „Podmioty zmian”</w:t>
      </w:r>
      <w:r>
        <w:rPr>
          <w:noProof/>
        </w:rPr>
        <w:t>: jest to program, który ma wspierać co najmniej 15000 małych i średnich przedsiębiorstw (ten-249 pracowników) w ich procesach transformacji cyfrowej.</w:t>
      </w:r>
    </w:p>
    <w:p w14:paraId="3C9FE3DB" w14:textId="705B692B" w:rsidR="006578ED" w:rsidRDefault="00A1618E">
      <w:pPr>
        <w:pStyle w:val="P68B1DB1-Text119"/>
        <w:ind w:left="0"/>
        <w:rPr>
          <w:rFonts w:cs="Times New Roman"/>
          <w:noProof/>
        </w:rPr>
      </w:pPr>
      <w:r>
        <w:rPr>
          <w:noProof/>
          <w:u w:val="single"/>
        </w:rPr>
        <w:t>Program „Akceleratory dla MŚP 2.0”</w:t>
      </w:r>
      <w:r>
        <w:rPr>
          <w:noProof/>
        </w:rPr>
        <w:t>: jest to działanie w ramach tej inwestycji, które ma na celu rozbudowę infrastruktury wspierającej cyfryzację MŚP za pomocą usług doradczych i szkoleniowych.</w:t>
      </w:r>
    </w:p>
    <w:p w14:paraId="5CF5131C" w14:textId="4496FB57" w:rsidR="006578ED" w:rsidRDefault="00A1618E">
      <w:pPr>
        <w:pStyle w:val="P68B1DB1-Text119"/>
        <w:ind w:left="0"/>
        <w:rPr>
          <w:rFonts w:cs="Times New Roman"/>
          <w:noProof/>
        </w:rPr>
      </w:pPr>
      <w:r>
        <w:rPr>
          <w:noProof/>
        </w:rPr>
        <w:t>5)</w:t>
      </w:r>
      <w:r>
        <w:rPr>
          <w:noProof/>
          <w:u w:val="single"/>
        </w:rPr>
        <w:t>program „Wsparcie klastrów innowacyjnych przedsiębiorstw”</w:t>
      </w:r>
      <w:r>
        <w:rPr>
          <w:noProof/>
        </w:rPr>
        <w:t>: środek ten wspiera projekty mające na celu cyfryzację łańcucha wartości różnych sektorów przemysłu w celu ich modernizacji i włączenia MŚP do łańcucha wartości.</w:t>
      </w:r>
    </w:p>
    <w:p w14:paraId="40EB0F1C" w14:textId="2B3D7853" w:rsidR="006578ED" w:rsidRDefault="00A1618E">
      <w:pPr>
        <w:pStyle w:val="P68B1DB1-Text119"/>
        <w:ind w:left="0"/>
        <w:rPr>
          <w:rFonts w:cs="Times New Roman"/>
          <w:noProof/>
        </w:rPr>
      </w:pPr>
      <w:r>
        <w:rPr>
          <w:noProof/>
        </w:rPr>
        <w:t>6)</w:t>
      </w:r>
      <w:r>
        <w:rPr>
          <w:noProof/>
          <w:u w:val="single"/>
        </w:rPr>
        <w:t>program „Centrum innowacji cyfrowych” (DIH):</w:t>
      </w:r>
      <w:r>
        <w:rPr>
          <w:noProof/>
        </w:rPr>
        <w:t xml:space="preserve"> jest to program wspierający rozwój centrów innowacji cyfrowych w Hiszpanii. DIH to struktury, które pomagają przedsiębiorstwom reagować na wyzwania cyfrowe i stać się bardziej konkurencyjne dzięki usprawnieniu procesów biznesowych i produkcyjnych dzięki intensywnemu wykorzystaniu technologii cyfrowych. W ramach tego poddziałania 25 należy wspierać centra innowacji cyfrowych.</w:t>
      </w:r>
    </w:p>
    <w:p w14:paraId="14AF7B44" w14:textId="615A9DE1"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82"/>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83"/>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84"/>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85"/>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2B18AE3B" w14:textId="071BB5BC" w:rsidR="006578ED" w:rsidRDefault="00A1618E">
      <w:pPr>
        <w:pStyle w:val="P68B1DB1-Normal4"/>
        <w:spacing w:line="240" w:lineRule="auto"/>
        <w:jc w:val="both"/>
        <w:rPr>
          <w:rFonts w:cs="Times New Roman"/>
          <w:noProof/>
        </w:rPr>
      </w:pPr>
      <w:r>
        <w:rPr>
          <w:noProof/>
        </w:rPr>
        <w:t>Realizacja inwestycji zakończy się do dnia 30 czerwca 20</w:t>
      </w:r>
      <w:r w:rsidRPr="00A1618E">
        <w:rPr>
          <w:noProof/>
          <w:lang w:val="pl-PL"/>
        </w:rPr>
        <w:t>26 r.</w:t>
      </w:r>
    </w:p>
    <w:p w14:paraId="6CE0CEB2" w14:textId="77777777" w:rsidR="006578ED" w:rsidRDefault="00A1618E">
      <w:pPr>
        <w:pStyle w:val="P68B1DB1-Text120"/>
        <w:ind w:left="0"/>
        <w:rPr>
          <w:rFonts w:cs="Times New Roman"/>
          <w:noProof/>
        </w:rPr>
      </w:pPr>
      <w:r>
        <w:rPr>
          <w:noProof/>
        </w:rPr>
        <w:t xml:space="preserve">Inwestycje 4 (C13.I4) Wsparcie handlu </w:t>
      </w:r>
    </w:p>
    <w:p w14:paraId="07666486" w14:textId="47671CD3" w:rsidR="006578ED" w:rsidRDefault="00A1618E">
      <w:pPr>
        <w:pStyle w:val="P68B1DB1-Text119"/>
        <w:ind w:left="0"/>
        <w:rPr>
          <w:rFonts w:cs="Times New Roman"/>
          <w:noProof/>
        </w:rPr>
      </w:pPr>
      <w:r>
        <w:rPr>
          <w:noProof/>
        </w:rPr>
        <w:t xml:space="preserve">Celem środka jest pomoc małym przedsiębiorstwom w dostosowaniu się do cyfryzacji sektora handlu i do zmienionych zachowań konsumentów. </w:t>
      </w:r>
    </w:p>
    <w:p w14:paraId="7E2B24D8" w14:textId="77777777" w:rsidR="006578ED" w:rsidRDefault="00A1618E">
      <w:pPr>
        <w:pStyle w:val="P68B1DB1-Text119"/>
        <w:ind w:left="0"/>
        <w:rPr>
          <w:rFonts w:cs="Times New Roman"/>
          <w:noProof/>
        </w:rPr>
      </w:pPr>
      <w:r>
        <w:rPr>
          <w:noProof/>
        </w:rPr>
        <w:t>Inwestycja obejmuje dwa główne kierunki działania.</w:t>
      </w:r>
    </w:p>
    <w:p w14:paraId="58316D33" w14:textId="3AF651B2" w:rsidR="006578ED" w:rsidRDefault="00A1618E">
      <w:pPr>
        <w:pStyle w:val="P68B1DB1-Text119"/>
        <w:numPr>
          <w:ilvl w:val="0"/>
          <w:numId w:val="179"/>
        </w:numPr>
        <w:rPr>
          <w:rFonts w:cs="Times New Roman"/>
          <w:noProof/>
        </w:rPr>
      </w:pPr>
      <w:r>
        <w:rPr>
          <w:noProof/>
        </w:rPr>
        <w:t>W ramach „Funduszu Technologicznego” (200 projektów) projekty w małym sektorze handlu mające na celu wykorzystanie nowych technologii umożliwiających handel lokalny reagowanie na nowe nawyki konsumpcyjne. Projekty kwalifikowalne w ramach tego funduszu obejmują:</w:t>
      </w:r>
    </w:p>
    <w:p w14:paraId="7B372BBE" w14:textId="2CDB3609" w:rsidR="006578ED" w:rsidRDefault="00A1618E">
      <w:pPr>
        <w:pStyle w:val="P68B1DB1-Text119"/>
        <w:numPr>
          <w:ilvl w:val="1"/>
          <w:numId w:val="179"/>
        </w:numPr>
        <w:rPr>
          <w:rFonts w:cs="Times New Roman"/>
          <w:noProof/>
        </w:rPr>
      </w:pPr>
      <w:r>
        <w:rPr>
          <w:noProof/>
        </w:rPr>
        <w:t>Projekty w zakresie nowych technologii mające na celu poprawę strategii handlowej i komunikacyjnej online, modeli biznesowych lub doświadczeń zakupowych;</w:t>
      </w:r>
    </w:p>
    <w:p w14:paraId="0E961FA6" w14:textId="5CFD2E5B" w:rsidR="006578ED" w:rsidRDefault="00A1618E">
      <w:pPr>
        <w:pStyle w:val="P68B1DB1-Text119"/>
        <w:numPr>
          <w:ilvl w:val="1"/>
          <w:numId w:val="179"/>
        </w:numPr>
        <w:rPr>
          <w:rFonts w:cs="Times New Roman"/>
          <w:noProof/>
        </w:rPr>
      </w:pPr>
      <w:r>
        <w:rPr>
          <w:noProof/>
        </w:rPr>
        <w:t>Projekty w zakresie nowych technologii w celu dostosowania fizycznych zakupów do nowych potrzeb i nawyków konsumentów oraz nowych modeli zarządzania;</w:t>
      </w:r>
    </w:p>
    <w:p w14:paraId="3048CE17" w14:textId="6BA94EC3" w:rsidR="006578ED" w:rsidRDefault="00A1618E">
      <w:pPr>
        <w:pStyle w:val="P68B1DB1-Text119"/>
        <w:numPr>
          <w:ilvl w:val="1"/>
          <w:numId w:val="179"/>
        </w:numPr>
        <w:rPr>
          <w:rFonts w:cs="Times New Roman"/>
          <w:noProof/>
        </w:rPr>
      </w:pPr>
      <w:r>
        <w:rPr>
          <w:noProof/>
        </w:rPr>
        <w:t>Projekty w zakresie rozwiązań technologicznych mające na celu poprawę wydajności i trwałości logistyki ostatniej mili;</w:t>
      </w:r>
    </w:p>
    <w:p w14:paraId="74171754" w14:textId="0865DD4D" w:rsidR="006578ED" w:rsidRDefault="00A1618E">
      <w:pPr>
        <w:pStyle w:val="P68B1DB1-Text119"/>
        <w:numPr>
          <w:ilvl w:val="1"/>
          <w:numId w:val="179"/>
        </w:numPr>
        <w:rPr>
          <w:rFonts w:cs="Times New Roman"/>
          <w:noProof/>
        </w:rPr>
      </w:pPr>
      <w:r>
        <w:rPr>
          <w:noProof/>
        </w:rPr>
        <w:t xml:space="preserve">Projekty w zakresie wdrażania rozwiązań technologicznych mających na celu poprawę efektywności energetycznej i zasobooszczędności. </w:t>
      </w:r>
    </w:p>
    <w:p w14:paraId="34E6DC97" w14:textId="77777777" w:rsidR="006578ED" w:rsidRDefault="00A1618E">
      <w:pPr>
        <w:pStyle w:val="P68B1DB1-Text119"/>
        <w:ind w:left="0"/>
        <w:rPr>
          <w:rFonts w:cs="Times New Roman"/>
          <w:noProof/>
        </w:rPr>
      </w:pPr>
      <w:r>
        <w:rPr>
          <w:noProof/>
        </w:rPr>
        <w:t>Inwestycja zostanie zakończona utworzeniem platformy cyfrowej (</w:t>
      </w:r>
      <w:r>
        <w:rPr>
          <w:i/>
          <w:noProof/>
        </w:rPr>
        <w:t>Plataforma Comercio Conectado)</w:t>
      </w:r>
      <w:r>
        <w:rPr>
          <w:noProof/>
        </w:rPr>
        <w:t xml:space="preserve">w celu wspierania cyfryzacji sektora. </w:t>
      </w:r>
    </w:p>
    <w:p w14:paraId="17A95610" w14:textId="457C0260" w:rsidR="006578ED" w:rsidRDefault="00A1618E">
      <w:pPr>
        <w:pStyle w:val="P68B1DB1-Text119"/>
        <w:numPr>
          <w:ilvl w:val="0"/>
          <w:numId w:val="179"/>
        </w:numPr>
        <w:rPr>
          <w:rFonts w:cs="Times New Roman"/>
          <w:noProof/>
        </w:rPr>
      </w:pPr>
      <w:r>
        <w:rPr>
          <w:noProof/>
        </w:rPr>
        <w:t xml:space="preserve">Projekty przedłożone przez władze lokalne, mające na celu poprawę modernizacji rynków gminnych, obszarów handlowych, rynków sprzedaży niezwiązanej ze stagnacją oraz krótkich kanałów marketingowych w ramach programu „Zrównoważone rynki” (130 projektów). Projekty kwalifikowalne w ramach tego programu obejmują: </w:t>
      </w:r>
    </w:p>
    <w:p w14:paraId="5657690C" w14:textId="77777777" w:rsidR="006578ED" w:rsidRDefault="00A1618E">
      <w:pPr>
        <w:pStyle w:val="P68B1DB1-Text119"/>
        <w:numPr>
          <w:ilvl w:val="1"/>
          <w:numId w:val="179"/>
        </w:numPr>
        <w:rPr>
          <w:rFonts w:cs="Times New Roman"/>
          <w:noProof/>
        </w:rPr>
      </w:pPr>
      <w:r>
        <w:rPr>
          <w:noProof/>
        </w:rPr>
        <w:t>Projekty dotyczące przyjęcia narzędzi analizy klienta opartych na dużych zbiorach danych lub innych technologiach;</w:t>
      </w:r>
    </w:p>
    <w:p w14:paraId="7265C4E7" w14:textId="50DA7390" w:rsidR="006578ED" w:rsidRDefault="00A1618E">
      <w:pPr>
        <w:pStyle w:val="P68B1DB1-Text119"/>
        <w:numPr>
          <w:ilvl w:val="1"/>
          <w:numId w:val="179"/>
        </w:numPr>
        <w:rPr>
          <w:rFonts w:cs="Times New Roman"/>
          <w:noProof/>
        </w:rPr>
      </w:pPr>
      <w:r>
        <w:rPr>
          <w:noProof/>
        </w:rPr>
        <w:t>Projekty w zakresie transformacji cyfrowej rynków, które poprawiają rynek wielokanałowy i doświadczenia zakupowe;</w:t>
      </w:r>
    </w:p>
    <w:p w14:paraId="453FC010" w14:textId="1DFB4DFF" w:rsidR="006578ED" w:rsidRDefault="00A1618E">
      <w:pPr>
        <w:pStyle w:val="P68B1DB1-Text119"/>
        <w:numPr>
          <w:ilvl w:val="1"/>
          <w:numId w:val="179"/>
        </w:numPr>
        <w:rPr>
          <w:rFonts w:cs="Times New Roman"/>
          <w:noProof/>
        </w:rPr>
      </w:pPr>
      <w:r>
        <w:rPr>
          <w:noProof/>
        </w:rPr>
        <w:t>Projekty mające na celu transformację cyfrową handlu ulicznego i krótkich kanałów marketingowych;</w:t>
      </w:r>
    </w:p>
    <w:p w14:paraId="39B80040" w14:textId="7870F0F8" w:rsidR="006578ED" w:rsidRDefault="00A1618E">
      <w:pPr>
        <w:pStyle w:val="P68B1DB1-Text119"/>
        <w:numPr>
          <w:ilvl w:val="1"/>
          <w:numId w:val="179"/>
        </w:numPr>
        <w:rPr>
          <w:rFonts w:cs="Times New Roman"/>
          <w:noProof/>
        </w:rPr>
      </w:pPr>
      <w:r>
        <w:rPr>
          <w:noProof/>
        </w:rPr>
        <w:t>Projekty związane z pracami i remontami obiektów w celu poprawy ich dostępności, wyposażenia i adekwatności obszarów zajmowanych przez rynki gminne, obszary handlowe i targi niesezonowe oraz obszary przyległe do nich;</w:t>
      </w:r>
    </w:p>
    <w:p w14:paraId="62EE7A4E" w14:textId="26E7C5B4" w:rsidR="006578ED" w:rsidRDefault="00A1618E">
      <w:pPr>
        <w:pStyle w:val="P68B1DB1-Text119"/>
        <w:numPr>
          <w:ilvl w:val="1"/>
          <w:numId w:val="179"/>
        </w:numPr>
        <w:rPr>
          <w:rFonts w:cs="Times New Roman"/>
          <w:noProof/>
        </w:rPr>
      </w:pPr>
      <w:r>
        <w:rPr>
          <w:noProof/>
        </w:rPr>
        <w:t>Projekty mające na celu zmniejszenie zużycia środków produkcji w handlu i zastąpienie ich alternatywnymi rozwiązaniami przyjaznymi dla środowiska;</w:t>
      </w:r>
    </w:p>
    <w:p w14:paraId="71D6E11E" w14:textId="77777777" w:rsidR="006578ED" w:rsidRDefault="00A1618E">
      <w:pPr>
        <w:pStyle w:val="P68B1DB1-Text119"/>
        <w:numPr>
          <w:ilvl w:val="1"/>
          <w:numId w:val="179"/>
        </w:numPr>
        <w:rPr>
          <w:rFonts w:cs="Times New Roman"/>
          <w:noProof/>
        </w:rPr>
      </w:pPr>
      <w:r>
        <w:rPr>
          <w:noProof/>
        </w:rPr>
        <w:t>Instalowanie inteligentnych punktów dostawy;</w:t>
      </w:r>
    </w:p>
    <w:p w14:paraId="5B87337C" w14:textId="77777777" w:rsidR="006578ED" w:rsidRDefault="00A1618E">
      <w:pPr>
        <w:pStyle w:val="P68B1DB1-Text119"/>
        <w:numPr>
          <w:ilvl w:val="1"/>
          <w:numId w:val="179"/>
        </w:numPr>
        <w:rPr>
          <w:rFonts w:cs="Times New Roman"/>
          <w:noProof/>
        </w:rPr>
      </w:pPr>
      <w:r>
        <w:rPr>
          <w:noProof/>
        </w:rPr>
        <w:t>Projekty mające na celu poprawę efektywności energetycznej;</w:t>
      </w:r>
    </w:p>
    <w:p w14:paraId="6CCEF1FD" w14:textId="77777777" w:rsidR="006578ED" w:rsidRDefault="00A1618E">
      <w:pPr>
        <w:pStyle w:val="P68B1DB1-Text119"/>
        <w:numPr>
          <w:ilvl w:val="1"/>
          <w:numId w:val="179"/>
        </w:numPr>
        <w:rPr>
          <w:rFonts w:cs="Times New Roman"/>
          <w:noProof/>
        </w:rPr>
      </w:pPr>
      <w:r>
        <w:rPr>
          <w:noProof/>
        </w:rPr>
        <w:t>Działania promujące recykling lub ponowne wykorzystanie odpadów;</w:t>
      </w:r>
    </w:p>
    <w:p w14:paraId="5A265DDC" w14:textId="1DC76BF8" w:rsidR="006578ED" w:rsidRDefault="00A1618E">
      <w:pPr>
        <w:pStyle w:val="P68B1DB1-Text119"/>
        <w:numPr>
          <w:ilvl w:val="1"/>
          <w:numId w:val="179"/>
        </w:numPr>
        <w:rPr>
          <w:rFonts w:cs="Times New Roman"/>
          <w:noProof/>
        </w:rPr>
      </w:pPr>
      <w:r>
        <w:rPr>
          <w:noProof/>
        </w:rPr>
        <w:t>Podnoszenie świadomości i szkolenie w zakresie umiejętności technologicznych.</w:t>
      </w:r>
    </w:p>
    <w:p w14:paraId="0CEBB0F1" w14:textId="06CCDABE"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86"/>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87"/>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88"/>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89"/>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48EFD63B" w14:textId="1F8AF194" w:rsidR="006578ED" w:rsidRDefault="00A1618E">
      <w:pPr>
        <w:pStyle w:val="P68B1DB1-Normal4"/>
        <w:spacing w:line="240" w:lineRule="auto"/>
        <w:jc w:val="both"/>
        <w:rPr>
          <w:rFonts w:cs="Times New Roman"/>
          <w:noProof/>
        </w:rPr>
      </w:pPr>
      <w:r>
        <w:rPr>
          <w:noProof/>
        </w:rPr>
        <w:t>Realizacja inwestycji zakończy się do dnia 31 grudnia 20</w:t>
      </w:r>
      <w:r w:rsidRPr="00A1618E">
        <w:rPr>
          <w:noProof/>
          <w:lang w:val="pl-PL"/>
        </w:rPr>
        <w:t>24 r.</w:t>
      </w:r>
    </w:p>
    <w:p w14:paraId="33FA769E" w14:textId="77777777" w:rsidR="006578ED" w:rsidRDefault="00A1618E">
      <w:pPr>
        <w:pStyle w:val="P68B1DB1-Text120"/>
        <w:ind w:left="0"/>
        <w:rPr>
          <w:rFonts w:cs="Times New Roman"/>
          <w:noProof/>
        </w:rPr>
      </w:pPr>
      <w:r>
        <w:rPr>
          <w:noProof/>
        </w:rPr>
        <w:t xml:space="preserve">Inwestycje 5 (C13.I5) Umiędzynarodowienie </w:t>
      </w:r>
    </w:p>
    <w:p w14:paraId="2AA5556E" w14:textId="6908EEA7" w:rsidR="006578ED" w:rsidRDefault="00A1618E">
      <w:pPr>
        <w:pStyle w:val="P68B1DB1-Text119"/>
        <w:ind w:left="0"/>
        <w:rPr>
          <w:rFonts w:cs="Times New Roman"/>
          <w:noProof/>
        </w:rPr>
      </w:pPr>
      <w:r>
        <w:rPr>
          <w:noProof/>
        </w:rPr>
        <w:t>Celem środka jest wzmocnienie zdolności i instrumentów hiszpańskiego systemu wsparcia eksportu, umiędzynarodowienia i inwestycji zagranicznych.</w:t>
      </w:r>
    </w:p>
    <w:p w14:paraId="23CB221F" w14:textId="22C875C1" w:rsidR="006578ED" w:rsidRDefault="00A1618E">
      <w:pPr>
        <w:pStyle w:val="P68B1DB1-Text119"/>
        <w:ind w:left="0"/>
        <w:rPr>
          <w:rFonts w:cs="Times New Roman"/>
          <w:noProof/>
        </w:rPr>
      </w:pPr>
      <w:r>
        <w:rPr>
          <w:noProof/>
        </w:rPr>
        <w:t>Inwestycja składa się z 11 następujących działań:</w:t>
      </w:r>
    </w:p>
    <w:p w14:paraId="42E8CBD7" w14:textId="2D4BDF6E" w:rsidR="006578ED" w:rsidRDefault="00A1618E">
      <w:pPr>
        <w:pStyle w:val="P68B1DB1-Text119"/>
        <w:numPr>
          <w:ilvl w:val="0"/>
          <w:numId w:val="180"/>
        </w:numPr>
        <w:rPr>
          <w:rFonts w:cs="Times New Roman"/>
          <w:noProof/>
        </w:rPr>
      </w:pPr>
      <w:r>
        <w:rPr>
          <w:noProof/>
        </w:rPr>
        <w:t>Linia finansowania na studia wykonalności, wykonalności, wstępnej wykonalności oraz modernizacji sektorowej i instytucjonalnej;</w:t>
      </w:r>
    </w:p>
    <w:p w14:paraId="77E0C301" w14:textId="51B82D15" w:rsidR="006578ED" w:rsidRDefault="00A1618E">
      <w:pPr>
        <w:pStyle w:val="P68B1DB1-Text119"/>
        <w:numPr>
          <w:ilvl w:val="0"/>
          <w:numId w:val="180"/>
        </w:numPr>
        <w:rPr>
          <w:rFonts w:cs="Times New Roman"/>
          <w:noProof/>
        </w:rPr>
      </w:pPr>
      <w:r>
        <w:rPr>
          <w:noProof/>
        </w:rPr>
        <w:t>Program INNOVA Invest mający na celu wspieranie inwestycji zagranicznych w badania i rozwój;</w:t>
      </w:r>
    </w:p>
    <w:p w14:paraId="04A5FDA5" w14:textId="060F8145" w:rsidR="006578ED" w:rsidRDefault="00A1618E">
      <w:pPr>
        <w:pStyle w:val="P68B1DB1-Text119"/>
        <w:numPr>
          <w:ilvl w:val="0"/>
          <w:numId w:val="180"/>
        </w:numPr>
        <w:rPr>
          <w:rFonts w:cs="Times New Roman"/>
          <w:noProof/>
        </w:rPr>
      </w:pPr>
      <w:r>
        <w:rPr>
          <w:noProof/>
        </w:rPr>
        <w:t>Program VIVES mający na celu zapewnienie wsparcia finansowego na rzecz zatrudniania stażystów w przedsiębiorstwach zaangażowanych w działalność eksportową;</w:t>
      </w:r>
    </w:p>
    <w:p w14:paraId="6F005537" w14:textId="77777777" w:rsidR="006578ED" w:rsidRDefault="00A1618E">
      <w:pPr>
        <w:pStyle w:val="P68B1DB1-Text119"/>
        <w:numPr>
          <w:ilvl w:val="0"/>
          <w:numId w:val="180"/>
        </w:numPr>
        <w:rPr>
          <w:rFonts w:cs="Times New Roman"/>
          <w:noProof/>
        </w:rPr>
      </w:pPr>
      <w:r>
        <w:rPr>
          <w:noProof/>
        </w:rPr>
        <w:t>Międzynarodowy program szkoleń mentorskich;</w:t>
      </w:r>
    </w:p>
    <w:p w14:paraId="7AD21A9C" w14:textId="7A760EEF" w:rsidR="006578ED" w:rsidRDefault="00A1618E">
      <w:pPr>
        <w:pStyle w:val="P68B1DB1-Text119"/>
        <w:numPr>
          <w:ilvl w:val="0"/>
          <w:numId w:val="180"/>
        </w:numPr>
        <w:rPr>
          <w:rFonts w:cs="Times New Roman"/>
          <w:noProof/>
        </w:rPr>
      </w:pPr>
      <w:r>
        <w:rPr>
          <w:noProof/>
        </w:rPr>
        <w:t>Program na rzecz wzmocnienia systemów komunikacji, usług telematycznych i cyfryzacji stowarzyszeń eksportowych, federacji eksportowych, hiszpańskich izb handlowych i ich federacji;</w:t>
      </w:r>
    </w:p>
    <w:p w14:paraId="6953C7C8" w14:textId="5A88CA9E" w:rsidR="006578ED" w:rsidRDefault="00A1618E">
      <w:pPr>
        <w:pStyle w:val="P68B1DB1-Text119"/>
        <w:numPr>
          <w:ilvl w:val="0"/>
          <w:numId w:val="180"/>
        </w:numPr>
        <w:rPr>
          <w:rFonts w:cs="Times New Roman"/>
          <w:noProof/>
        </w:rPr>
      </w:pPr>
      <w:r>
        <w:rPr>
          <w:noProof/>
        </w:rPr>
        <w:t>Program rozszerzenia bazy eksportowej, program mający na celu zapewnienie zindywidualizowanego coachingu w celu umiędzynarodowienia przedsiębiorstw, a w szczególności MŚP;</w:t>
      </w:r>
    </w:p>
    <w:p w14:paraId="4E244043" w14:textId="618064EB" w:rsidR="006578ED" w:rsidRDefault="00A1618E">
      <w:pPr>
        <w:pStyle w:val="P68B1DB1-Text119"/>
        <w:numPr>
          <w:ilvl w:val="0"/>
          <w:numId w:val="180"/>
        </w:numPr>
        <w:rPr>
          <w:rFonts w:cs="Times New Roman"/>
          <w:noProof/>
        </w:rPr>
      </w:pPr>
      <w:r>
        <w:rPr>
          <w:noProof/>
        </w:rPr>
        <w:t>Program na rzecz wzmocnienia hiszpańskiego ekosystemu przedsiębiorstw o wysokim poziomie wzrostu;</w:t>
      </w:r>
    </w:p>
    <w:p w14:paraId="5FC226CD" w14:textId="184CFFF9" w:rsidR="006578ED" w:rsidRDefault="00A1618E">
      <w:pPr>
        <w:pStyle w:val="P68B1DB1-Text119"/>
        <w:numPr>
          <w:ilvl w:val="0"/>
          <w:numId w:val="180"/>
        </w:numPr>
        <w:rPr>
          <w:rFonts w:cs="Times New Roman"/>
          <w:noProof/>
        </w:rPr>
      </w:pPr>
      <w:r>
        <w:rPr>
          <w:noProof/>
        </w:rPr>
        <w:t>Pomoc na otwarcie i konsolidację rynków poprzez subsydia na wydatki związane z inspekcjami i audytami organów państw trzecich oraz wydatki prawne i doradcze związane z ochroną handlu;</w:t>
      </w:r>
    </w:p>
    <w:p w14:paraId="365765DB" w14:textId="356A0DF1" w:rsidR="006578ED" w:rsidRDefault="00A1618E">
      <w:pPr>
        <w:pStyle w:val="P68B1DB1-ListParagraph7"/>
        <w:numPr>
          <w:ilvl w:val="0"/>
          <w:numId w:val="180"/>
        </w:numPr>
        <w:rPr>
          <w:rFonts w:cs="Times New Roman"/>
          <w:noProof/>
        </w:rPr>
      </w:pPr>
      <w:r>
        <w:rPr>
          <w:noProof/>
        </w:rPr>
        <w:t>Program zachęt finansowych COFIDES (instytucja finansowa będąca własnością państwa, która zapewnia średnio- i długoterminowe finansowanie w celu wspierania projektów inwestycyjnych przedsiębiorstw w zakresie umiędzynarodowienia) w celu promowania inwestycji o oddziaływaniu. Jego głównym celem jest wymierny, społeczny lub środowiskowy wpływ na środowisko wraz ze zwrotem finansowym;</w:t>
      </w:r>
    </w:p>
    <w:p w14:paraId="51EB652A" w14:textId="70D3097D" w:rsidR="006578ED" w:rsidRDefault="00A1618E">
      <w:pPr>
        <w:pStyle w:val="P68B1DB1-Text119"/>
        <w:numPr>
          <w:ilvl w:val="0"/>
          <w:numId w:val="180"/>
        </w:numPr>
        <w:rPr>
          <w:rFonts w:cs="Times New Roman"/>
          <w:noProof/>
        </w:rPr>
      </w:pPr>
      <w:r>
        <w:rPr>
          <w:noProof/>
        </w:rPr>
        <w:t>Zwiększenie cyfryzacji usług rządowych w celu wspierania umiędzynarodowienia;</w:t>
      </w:r>
    </w:p>
    <w:p w14:paraId="4E94D798" w14:textId="77777777" w:rsidR="006578ED" w:rsidRDefault="00A1618E">
      <w:pPr>
        <w:pStyle w:val="P68B1DB1-Text119"/>
        <w:numPr>
          <w:ilvl w:val="0"/>
          <w:numId w:val="180"/>
        </w:numPr>
        <w:rPr>
          <w:rFonts w:cs="Times New Roman"/>
          <w:noProof/>
        </w:rPr>
      </w:pPr>
      <w:r>
        <w:rPr>
          <w:noProof/>
        </w:rPr>
        <w:t>Digitalizacja ICEX (krajowego przedsiębiorstwa publicznego promującego umiędzynarodowienie hiszpańskich przedsiębiorstw).</w:t>
      </w:r>
    </w:p>
    <w:p w14:paraId="3F1FCC2B" w14:textId="5D15D52A"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90"/>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91"/>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92"/>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93"/>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41E86151" w14:textId="5CD74797" w:rsidR="006578ED" w:rsidRDefault="00A1618E">
      <w:pPr>
        <w:pStyle w:val="P68B1DB1-Text119"/>
        <w:ind w:left="0"/>
        <w:rPr>
          <w:rFonts w:cs="Times New Roman"/>
          <w:noProof/>
        </w:rPr>
      </w:pPr>
      <w:r>
        <w:rPr>
          <w:noProof/>
        </w:rPr>
        <w:t xml:space="preserve">W przypadku instrumentów finansowych, w celu zapewnienia zgodności środka z wytycznymi technicznymi dotyczącymi zasady „nie czyń poważnych szkód” (2021/C58/01), umowa prawna między władzami hiszpańskimi a podmiotem, któremu powierzono zadanie, lub pośrednikiem finansowym odpowiedzialnym za instrument finansowy oraz późniejszą politykę inwestycyjną instrumentu finansowego: </w:t>
      </w:r>
    </w:p>
    <w:p w14:paraId="0AEA3626" w14:textId="2B621788" w:rsidR="006578ED" w:rsidRDefault="00A1618E">
      <w:pPr>
        <w:pStyle w:val="P68B1DB1-Text119"/>
        <w:numPr>
          <w:ilvl w:val="0"/>
          <w:numId w:val="221"/>
        </w:numPr>
        <w:rPr>
          <w:rFonts w:cs="Times New Roman"/>
          <w:noProof/>
        </w:rPr>
      </w:pPr>
      <w:r>
        <w:rPr>
          <w:noProof/>
        </w:rPr>
        <w:t>wymóg stosowania wytycznych technicznych Komisji dotyczących kontroli zrównoważonego charakteru projektów w odniesieniu do Funduszu InvestEU; oraz</w:t>
      </w:r>
    </w:p>
    <w:p w14:paraId="562BFB7D" w14:textId="26CF6D78" w:rsidR="006578ED" w:rsidRDefault="00A1618E">
      <w:pPr>
        <w:pStyle w:val="P68B1DB1-Text119"/>
        <w:numPr>
          <w:ilvl w:val="0"/>
          <w:numId w:val="221"/>
        </w:numPr>
        <w:rPr>
          <w:rFonts w:cs="Times New Roman"/>
          <w:noProof/>
        </w:rPr>
      </w:pPr>
      <w:r>
        <w:rPr>
          <w:noProof/>
        </w:rPr>
        <w:t>wyłączyć z kwalifikowalności następujący wykaz działań i aktywów: działalności i aktywów związanych z paliwami kopalnymi, w tym wykorzystania niższego szczebla</w:t>
      </w:r>
      <w:r>
        <w:rPr>
          <w:noProof/>
        </w:rPr>
        <w:footnoteReference w:id="94"/>
      </w:r>
      <w:r>
        <w:rPr>
          <w:noProof/>
        </w:rPr>
        <w:t>; działania i aktywa w ramach unijnego systemu handlu uprawnieniami do emisji (ETS) zapewniające prognozowane emisje gazów cieplarnianych, które nie są niższe od odpowiednich wskaźników referencyjnych</w:t>
      </w:r>
      <w:r>
        <w:rPr>
          <w:noProof/>
        </w:rPr>
        <w:footnoteReference w:id="95"/>
      </w:r>
      <w:r>
        <w:rPr>
          <w:noProof/>
        </w:rPr>
        <w:t>; działalność i aktywa związane ze składowiskami odpadów, spalarniami</w:t>
      </w:r>
      <w:r>
        <w:rPr>
          <w:noProof/>
        </w:rPr>
        <w:footnoteReference w:id="96"/>
      </w:r>
      <w:r>
        <w:rPr>
          <w:noProof/>
        </w:rPr>
        <w:t xml:space="preserve"> i zakładami mechaniczno-biologicznego przetwarzania odpadów</w:t>
      </w:r>
      <w:r>
        <w:rPr>
          <w:noProof/>
        </w:rPr>
        <w:footnoteReference w:id="97"/>
      </w:r>
      <w:r>
        <w:rPr>
          <w:noProof/>
        </w:rPr>
        <w:t>; oraz (iv) działalności i aktywów, w przypadku których długoterminowe unieszkodliwianie odpadów może wyrządzić szkodę środowisku naturalnemu; oraz</w:t>
      </w:r>
    </w:p>
    <w:p w14:paraId="705BC046" w14:textId="658F433A" w:rsidR="006578ED" w:rsidRDefault="00A1618E">
      <w:pPr>
        <w:pStyle w:val="P68B1DB1-Text119"/>
        <w:numPr>
          <w:ilvl w:val="0"/>
          <w:numId w:val="221"/>
        </w:numPr>
        <w:rPr>
          <w:rFonts w:cs="Times New Roman"/>
          <w:noProof/>
        </w:rPr>
      </w:pPr>
      <w:r>
        <w:rPr>
          <w:noProof/>
        </w:rPr>
        <w:t>wymagać od podmiotu/pośrednika finansowego weryfikacji zgodności projektów z odpowiednimi unijnymi i krajowymi przepisami w zakresie ochrony środowiska w odniesieniu do wszystkich transakcji, w tym transakcji zwolnionych z kontroli zrównoważonego charakteru projektów.</w:t>
      </w:r>
    </w:p>
    <w:p w14:paraId="0AEC43C8" w14:textId="4B293253" w:rsidR="006578ED" w:rsidRDefault="00A1618E">
      <w:pPr>
        <w:pStyle w:val="P68B1DB1-Normal4"/>
        <w:spacing w:line="240" w:lineRule="auto"/>
        <w:jc w:val="both"/>
        <w:rPr>
          <w:rFonts w:cs="Times New Roman"/>
          <w:noProof/>
        </w:rPr>
      </w:pPr>
      <w:r>
        <w:rPr>
          <w:noProof/>
        </w:rPr>
        <w:t>Realizacja inwestycji zakończy się do dnia 31 grudnia 20</w:t>
      </w:r>
      <w:r w:rsidRPr="00A1618E">
        <w:rPr>
          <w:noProof/>
          <w:lang w:val="pl-PL"/>
        </w:rPr>
        <w:t>24 r.</w:t>
      </w:r>
    </w:p>
    <w:p w14:paraId="24F0F6FF" w14:textId="74CCF317" w:rsidR="006578ED" w:rsidRDefault="00AF6B91">
      <w:pPr>
        <w:pStyle w:val="P68B1DB1-Heading227"/>
        <w:numPr>
          <w:ilvl w:val="0"/>
          <w:numId w:val="0"/>
        </w:numPr>
        <w:ind w:left="850"/>
        <w:rPr>
          <w:rFonts w:cs="Times New Roman"/>
          <w:noProof/>
        </w:rPr>
      </w:pPr>
      <w:r>
        <w:rPr>
          <w:noProof/>
        </w:rPr>
        <w:t xml:space="preserve">Kamień milowy.2. </w:t>
      </w:r>
      <w:r>
        <w:rPr>
          <w:noProof/>
        </w:rPr>
        <w:tab/>
        <w:t>Kamienie milowe, wartości docelowe, wskaźniki</w:t>
      </w:r>
      <w:r w:rsidR="00A1618E">
        <w:rPr>
          <w:noProof/>
        </w:rPr>
        <w:t xml:space="preserve"> i har</w:t>
      </w:r>
      <w:r>
        <w:rPr>
          <w:noProof/>
        </w:rPr>
        <w:t>monogram monitorowania</w:t>
      </w:r>
      <w:r w:rsidR="00A1618E">
        <w:rPr>
          <w:noProof/>
        </w:rPr>
        <w:t xml:space="preserve"> i rea</w:t>
      </w:r>
      <w:r>
        <w:rPr>
          <w:noProof/>
        </w:rPr>
        <w:t>lizacji na potrzeby bezzwrotnego wsparcia finansowego</w:t>
      </w:r>
    </w:p>
    <w:p w14:paraId="4B4055F9" w14:textId="1A5BCAEE" w:rsidR="006578ED" w:rsidRDefault="00A1618E">
      <w:pPr>
        <w:pStyle w:val="P68B1DB1-Normal4"/>
        <w:spacing w:before="120" w:after="120" w:line="240" w:lineRule="auto"/>
        <w:jc w:val="both"/>
        <w:rPr>
          <w:rFonts w:cs="Times New Roman"/>
          <w:b/>
          <w:noProof/>
          <w:u w:val="single"/>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7E2F1A47" w14:textId="77777777" w:rsidR="006578ED" w:rsidRDefault="006578ED">
      <w:pPr>
        <w:spacing w:before="120" w:after="120" w:line="240" w:lineRule="auto"/>
        <w:ind w:left="709"/>
        <w:jc w:val="both"/>
        <w:rPr>
          <w:rFonts w:ascii="Times New Roman" w:hAnsi="Times New Roman" w:cs="Times New Roman"/>
          <w:noProof/>
          <w:sz w:val="24"/>
        </w:rPr>
      </w:pPr>
    </w:p>
    <w:p w14:paraId="70101A6A"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270"/>
          <w:headerReference w:type="default" r:id="rId271"/>
          <w:footerReference w:type="even" r:id="rId272"/>
          <w:footerReference w:type="default" r:id="rId273"/>
          <w:headerReference w:type="first" r:id="rId274"/>
          <w:footerReference w:type="first" r:id="rId275"/>
          <w:pgSz w:w="11907" w:h="16839"/>
          <w:pgMar w:top="1134" w:right="1417" w:bottom="1134" w:left="1417" w:header="709" w:footer="709" w:gutter="0"/>
          <w:cols w:space="720"/>
          <w:docGrid w:linePitch="360"/>
        </w:sect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985"/>
        <w:gridCol w:w="1134"/>
        <w:gridCol w:w="709"/>
        <w:gridCol w:w="708"/>
        <w:gridCol w:w="709"/>
        <w:gridCol w:w="567"/>
        <w:gridCol w:w="567"/>
        <w:gridCol w:w="6662"/>
      </w:tblGrid>
      <w:tr w:rsidR="006578ED" w14:paraId="60CFCA36" w14:textId="77777777">
        <w:trPr>
          <w:trHeight w:val="309"/>
          <w:tblHeader/>
        </w:trPr>
        <w:tc>
          <w:tcPr>
            <w:tcW w:w="709" w:type="dxa"/>
            <w:tcBorders>
              <w:bottom w:val="nil"/>
            </w:tcBorders>
            <w:shd w:val="clear" w:color="auto" w:fill="C6D9F1" w:themeFill="text2" w:themeFillTint="33"/>
            <w:noWrap/>
            <w:vAlign w:val="center"/>
          </w:tcPr>
          <w:p w14:paraId="34D241D4"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01343C75"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4C001132" w14:textId="495680E6"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1985" w:type="dxa"/>
            <w:tcBorders>
              <w:bottom w:val="nil"/>
            </w:tcBorders>
            <w:shd w:val="clear" w:color="auto" w:fill="C6D9F1" w:themeFill="text2" w:themeFillTint="33"/>
            <w:noWrap/>
            <w:vAlign w:val="center"/>
          </w:tcPr>
          <w:p w14:paraId="39A089F3" w14:textId="77777777" w:rsidR="006578ED" w:rsidRDefault="00A1618E">
            <w:pPr>
              <w:pStyle w:val="P68B1DB1-Normal12"/>
              <w:spacing w:after="0" w:line="240" w:lineRule="auto"/>
              <w:jc w:val="center"/>
              <w:rPr>
                <w:rFonts w:cs="Times New Roman"/>
                <w:noProof/>
              </w:rPr>
            </w:pPr>
            <w:r>
              <w:rPr>
                <w:noProof/>
              </w:rPr>
              <w:t>Nazwa</w:t>
            </w:r>
          </w:p>
        </w:tc>
        <w:tc>
          <w:tcPr>
            <w:tcW w:w="1134" w:type="dxa"/>
            <w:tcBorders>
              <w:bottom w:val="nil"/>
            </w:tcBorders>
            <w:shd w:val="clear" w:color="auto" w:fill="C6D9F1" w:themeFill="text2" w:themeFillTint="33"/>
            <w:noWrap/>
            <w:vAlign w:val="center"/>
          </w:tcPr>
          <w:p w14:paraId="5ED90BF6"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126" w:type="dxa"/>
            <w:gridSpan w:val="3"/>
            <w:shd w:val="clear" w:color="auto" w:fill="C6D9F1" w:themeFill="text2" w:themeFillTint="33"/>
            <w:noWrap/>
            <w:vAlign w:val="center"/>
          </w:tcPr>
          <w:p w14:paraId="47ACD0A8"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134" w:type="dxa"/>
            <w:gridSpan w:val="2"/>
            <w:shd w:val="clear" w:color="auto" w:fill="C6D9F1" w:themeFill="text2" w:themeFillTint="33"/>
            <w:noWrap/>
            <w:vAlign w:val="center"/>
          </w:tcPr>
          <w:p w14:paraId="4BCD9346" w14:textId="77777777" w:rsidR="006578ED" w:rsidRDefault="00A1618E">
            <w:pPr>
              <w:pStyle w:val="P68B1DB1-Normal12"/>
              <w:spacing w:after="0" w:line="240" w:lineRule="auto"/>
              <w:jc w:val="center"/>
              <w:rPr>
                <w:rFonts w:cs="Times New Roman"/>
                <w:noProof/>
              </w:rPr>
            </w:pPr>
            <w:r>
              <w:rPr>
                <w:noProof/>
              </w:rPr>
              <w:t>Czas</w:t>
            </w:r>
          </w:p>
        </w:tc>
        <w:tc>
          <w:tcPr>
            <w:tcW w:w="6662" w:type="dxa"/>
            <w:tcBorders>
              <w:bottom w:val="nil"/>
            </w:tcBorders>
            <w:shd w:val="clear" w:color="auto" w:fill="C6D9F1" w:themeFill="text2" w:themeFillTint="33"/>
            <w:noWrap/>
            <w:vAlign w:val="center"/>
          </w:tcPr>
          <w:p w14:paraId="2897C0E5" w14:textId="1D3A93CF"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35C15B1F" w14:textId="77777777">
        <w:trPr>
          <w:trHeight w:val="309"/>
          <w:tblHeader/>
        </w:trPr>
        <w:tc>
          <w:tcPr>
            <w:tcW w:w="709" w:type="dxa"/>
            <w:tcBorders>
              <w:top w:val="nil"/>
            </w:tcBorders>
            <w:shd w:val="clear" w:color="auto" w:fill="C6D9F1" w:themeFill="text2" w:themeFillTint="33"/>
            <w:noWrap/>
          </w:tcPr>
          <w:p w14:paraId="1E8D5C3A"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3017D20C"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CE1D9F2" w14:textId="77777777" w:rsidR="006578ED" w:rsidRDefault="006578ED">
            <w:pPr>
              <w:spacing w:after="0" w:line="240" w:lineRule="auto"/>
              <w:jc w:val="center"/>
              <w:rPr>
                <w:rFonts w:ascii="Times New Roman" w:hAnsi="Times New Roman" w:cs="Times New Roman"/>
                <w:b/>
                <w:noProof/>
                <w:sz w:val="18"/>
              </w:rPr>
            </w:pPr>
          </w:p>
        </w:tc>
        <w:tc>
          <w:tcPr>
            <w:tcW w:w="1985" w:type="dxa"/>
            <w:tcBorders>
              <w:top w:val="nil"/>
            </w:tcBorders>
            <w:shd w:val="clear" w:color="auto" w:fill="C6D9F1" w:themeFill="text2" w:themeFillTint="33"/>
            <w:noWrap/>
          </w:tcPr>
          <w:p w14:paraId="1F72EC9C" w14:textId="77777777" w:rsidR="006578ED" w:rsidRDefault="006578ED">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16EBF265" w14:textId="77777777" w:rsidR="006578ED" w:rsidRDefault="006578ED">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tcPr>
          <w:p w14:paraId="74BEB85F" w14:textId="77777777" w:rsidR="006578ED" w:rsidRDefault="00A1618E">
            <w:pPr>
              <w:pStyle w:val="P68B1DB1-Normal12"/>
              <w:spacing w:after="0" w:line="240" w:lineRule="auto"/>
              <w:jc w:val="center"/>
              <w:rPr>
                <w:rFonts w:cs="Times New Roman"/>
                <w:noProof/>
              </w:rPr>
            </w:pPr>
            <w:r>
              <w:rPr>
                <w:noProof/>
              </w:rPr>
              <w:t>Jednostka</w:t>
            </w:r>
          </w:p>
        </w:tc>
        <w:tc>
          <w:tcPr>
            <w:tcW w:w="708" w:type="dxa"/>
            <w:shd w:val="clear" w:color="auto" w:fill="C6D9F1" w:themeFill="text2" w:themeFillTint="33"/>
            <w:noWrap/>
          </w:tcPr>
          <w:p w14:paraId="53B410BE" w14:textId="77777777" w:rsidR="006578ED" w:rsidRDefault="00A1618E">
            <w:pPr>
              <w:pStyle w:val="P68B1DB1-Normal12"/>
              <w:spacing w:after="0" w:line="240" w:lineRule="auto"/>
              <w:jc w:val="center"/>
              <w:rPr>
                <w:rFonts w:cs="Times New Roman"/>
                <w:noProof/>
              </w:rPr>
            </w:pPr>
            <w:r>
              <w:rPr>
                <w:noProof/>
              </w:rPr>
              <w:t>Wartość wyjściowa</w:t>
            </w:r>
          </w:p>
        </w:tc>
        <w:tc>
          <w:tcPr>
            <w:tcW w:w="709" w:type="dxa"/>
            <w:shd w:val="clear" w:color="auto" w:fill="C6D9F1" w:themeFill="text2" w:themeFillTint="33"/>
            <w:noWrap/>
          </w:tcPr>
          <w:p w14:paraId="3DF32928" w14:textId="77777777" w:rsidR="006578ED" w:rsidRDefault="00A1618E">
            <w:pPr>
              <w:pStyle w:val="P68B1DB1-Normal12"/>
              <w:spacing w:after="0" w:line="240" w:lineRule="auto"/>
              <w:jc w:val="center"/>
              <w:rPr>
                <w:rFonts w:cs="Times New Roman"/>
                <w:noProof/>
              </w:rPr>
            </w:pPr>
            <w:r>
              <w:rPr>
                <w:noProof/>
              </w:rPr>
              <w:t>Cel</w:t>
            </w:r>
          </w:p>
        </w:tc>
        <w:tc>
          <w:tcPr>
            <w:tcW w:w="567" w:type="dxa"/>
            <w:shd w:val="clear" w:color="auto" w:fill="C6D9F1" w:themeFill="text2" w:themeFillTint="33"/>
            <w:noWrap/>
          </w:tcPr>
          <w:p w14:paraId="347EBF18"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7D75D435" w14:textId="77777777" w:rsidR="006578ED" w:rsidRDefault="00A1618E">
            <w:pPr>
              <w:pStyle w:val="P68B1DB1-Normal12"/>
              <w:spacing w:after="0" w:line="240" w:lineRule="auto"/>
              <w:jc w:val="center"/>
              <w:rPr>
                <w:rFonts w:cs="Times New Roman"/>
                <w:noProof/>
              </w:rPr>
            </w:pPr>
            <w:r>
              <w:rPr>
                <w:noProof/>
              </w:rPr>
              <w:t>Rok</w:t>
            </w:r>
          </w:p>
        </w:tc>
        <w:tc>
          <w:tcPr>
            <w:tcW w:w="6662" w:type="dxa"/>
            <w:tcBorders>
              <w:top w:val="nil"/>
            </w:tcBorders>
            <w:shd w:val="clear" w:color="auto" w:fill="C6D9F1" w:themeFill="text2" w:themeFillTint="33"/>
            <w:noWrap/>
          </w:tcPr>
          <w:p w14:paraId="2C5AE2F3" w14:textId="77777777" w:rsidR="006578ED" w:rsidRDefault="006578ED">
            <w:pPr>
              <w:spacing w:after="0" w:line="240" w:lineRule="auto"/>
              <w:rPr>
                <w:rFonts w:ascii="Times New Roman" w:hAnsi="Times New Roman" w:cs="Times New Roman"/>
                <w:b/>
                <w:noProof/>
                <w:sz w:val="18"/>
              </w:rPr>
            </w:pPr>
          </w:p>
        </w:tc>
      </w:tr>
      <w:tr w:rsidR="006578ED" w14:paraId="5ECF8F23" w14:textId="77777777">
        <w:trPr>
          <w:trHeight w:val="309"/>
        </w:trPr>
        <w:tc>
          <w:tcPr>
            <w:tcW w:w="709" w:type="dxa"/>
            <w:shd w:val="clear" w:color="auto" w:fill="C6EFCE"/>
            <w:noWrap/>
          </w:tcPr>
          <w:p w14:paraId="55D17BBE" w14:textId="77777777" w:rsidR="006578ED" w:rsidRDefault="00A1618E">
            <w:pPr>
              <w:pStyle w:val="P68B1DB1-Normal13"/>
              <w:spacing w:after="0" w:line="240" w:lineRule="auto"/>
              <w:jc w:val="center"/>
              <w:rPr>
                <w:rFonts w:eastAsia="Times New Roman" w:cs="Times New Roman"/>
                <w:noProof/>
              </w:rPr>
            </w:pPr>
            <w:r>
              <w:rPr>
                <w:noProof/>
              </w:rPr>
              <w:t>189</w:t>
            </w:r>
          </w:p>
        </w:tc>
        <w:tc>
          <w:tcPr>
            <w:tcW w:w="851" w:type="dxa"/>
            <w:shd w:val="clear" w:color="auto" w:fill="C6EFCE"/>
            <w:noWrap/>
          </w:tcPr>
          <w:p w14:paraId="60850CCD" w14:textId="77777777" w:rsidR="006578ED" w:rsidRDefault="00A1618E">
            <w:pPr>
              <w:pStyle w:val="P68B1DB1-Normal13"/>
              <w:spacing w:after="0" w:line="240" w:lineRule="auto"/>
              <w:jc w:val="center"/>
              <w:rPr>
                <w:rFonts w:eastAsia="Times New Roman" w:cs="Times New Roman"/>
                <w:noProof/>
              </w:rPr>
            </w:pPr>
            <w:r>
              <w:rPr>
                <w:noProof/>
              </w:rPr>
              <w:t>C13.R1</w:t>
            </w:r>
          </w:p>
        </w:tc>
        <w:tc>
          <w:tcPr>
            <w:tcW w:w="850" w:type="dxa"/>
            <w:shd w:val="clear" w:color="auto" w:fill="C6EFCE"/>
            <w:noWrap/>
          </w:tcPr>
          <w:p w14:paraId="6B48FA13" w14:textId="0A0D1689" w:rsidR="006578ED" w:rsidRDefault="00AF6B91">
            <w:pPr>
              <w:pStyle w:val="P68B1DB1-Normal13"/>
              <w:spacing w:after="0" w:line="240" w:lineRule="auto"/>
              <w:jc w:val="center"/>
              <w:rPr>
                <w:rFonts w:eastAsia="Times New Roman" w:cs="Times New Roman"/>
                <w:noProof/>
              </w:rPr>
            </w:pPr>
            <w:r>
              <w:rPr>
                <w:noProof/>
              </w:rPr>
              <w:t>Kamień milowy</w:t>
            </w:r>
          </w:p>
        </w:tc>
        <w:tc>
          <w:tcPr>
            <w:tcW w:w="1985" w:type="dxa"/>
            <w:shd w:val="clear" w:color="auto" w:fill="C6EFCE"/>
            <w:noWrap/>
          </w:tcPr>
          <w:p w14:paraId="69AE906E" w14:textId="50BBE71D" w:rsidR="006578ED" w:rsidRDefault="00A1618E">
            <w:pPr>
              <w:pStyle w:val="P68B1DB1-Normal13"/>
              <w:spacing w:after="0" w:line="240" w:lineRule="auto"/>
              <w:rPr>
                <w:rFonts w:eastAsia="Times New Roman" w:cs="Times New Roman"/>
                <w:noProof/>
              </w:rPr>
            </w:pPr>
            <w:r>
              <w:rPr>
                <w:noProof/>
              </w:rPr>
              <w:t xml:space="preserve">Wejście w życie ustawy o zmianie ustawy 34/2006 o dostępie do zawodów adwokatów i radców prawnych </w:t>
            </w:r>
          </w:p>
        </w:tc>
        <w:tc>
          <w:tcPr>
            <w:tcW w:w="1134" w:type="dxa"/>
            <w:shd w:val="clear" w:color="auto" w:fill="C6EFCE"/>
            <w:noWrap/>
          </w:tcPr>
          <w:p w14:paraId="68E7AA98" w14:textId="3C2A742A" w:rsidR="006578ED" w:rsidRDefault="00A1618E">
            <w:pPr>
              <w:pStyle w:val="P68B1DB1-Normal13"/>
              <w:spacing w:after="0" w:line="240" w:lineRule="auto"/>
              <w:jc w:val="center"/>
              <w:rPr>
                <w:rFonts w:cs="Times New Roman"/>
                <w:noProof/>
              </w:rPr>
            </w:pPr>
            <w:r>
              <w:rPr>
                <w:noProof/>
              </w:rPr>
              <w:t xml:space="preserve">Przepis ustawy wskazujący na wejście w życie ustawy </w:t>
            </w:r>
          </w:p>
        </w:tc>
        <w:tc>
          <w:tcPr>
            <w:tcW w:w="709" w:type="dxa"/>
            <w:shd w:val="clear" w:color="auto" w:fill="C6EFCE"/>
            <w:noWrap/>
          </w:tcPr>
          <w:p w14:paraId="1A8872DF" w14:textId="77777777" w:rsidR="006578ED" w:rsidRDefault="00A1618E">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7FAB8CD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346AD9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97DFDAC" w14:textId="61ACD532"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7179B9E0" w14:textId="77777777" w:rsidR="006578ED" w:rsidRDefault="00A1618E">
            <w:pPr>
              <w:pStyle w:val="P68B1DB1-Normal13"/>
              <w:spacing w:after="0" w:line="240" w:lineRule="auto"/>
              <w:jc w:val="center"/>
              <w:rPr>
                <w:rFonts w:eastAsia="Times New Roman" w:cs="Times New Roman"/>
                <w:noProof/>
              </w:rPr>
            </w:pPr>
            <w:r>
              <w:rPr>
                <w:noProof/>
              </w:rPr>
              <w:t>2021</w:t>
            </w:r>
          </w:p>
        </w:tc>
        <w:tc>
          <w:tcPr>
            <w:tcW w:w="6662" w:type="dxa"/>
            <w:shd w:val="clear" w:color="auto" w:fill="C6EFCE"/>
            <w:noWrap/>
          </w:tcPr>
          <w:p w14:paraId="65DCB318" w14:textId="4472F61B" w:rsidR="006578ED" w:rsidRDefault="00A1618E">
            <w:pPr>
              <w:pStyle w:val="P68B1DB1-Normal13"/>
              <w:spacing w:after="0"/>
              <w:rPr>
                <w:rFonts w:eastAsia="Times New Roman" w:cs="Times New Roman"/>
                <w:noProof/>
              </w:rPr>
            </w:pPr>
            <w:r>
              <w:rPr>
                <w:noProof/>
              </w:rPr>
              <w:t>Wejście w życie ustawy o zmianie ustawy 34/2006 o dostępie do zawodów adwokatów i </w:t>
            </w:r>
            <w:r>
              <w:rPr>
                <w:i/>
                <w:noProof/>
              </w:rPr>
              <w:t>radców</w:t>
            </w:r>
            <w:r>
              <w:rPr>
                <w:noProof/>
              </w:rPr>
              <w:t xml:space="preserve"> prawnych:</w:t>
            </w:r>
            <w:r>
              <w:rPr>
                <w:noProof/>
              </w:rPr>
              <w:br/>
              <w:t>— Reforma obecnego systemu opłat minimalnych w system opłat maksymalnych i nowy obowiązek przedstawiania klientowi szacunkowego kosztu w ramach doradztwa.</w:t>
            </w:r>
            <w:r>
              <w:rPr>
                <w:noProof/>
              </w:rPr>
              <w:br/>
              <w:t>Zezwalać na wielodyscyplinarne wykonywanie zawodu prawnika i </w:t>
            </w:r>
            <w:r>
              <w:rPr>
                <w:i/>
                <w:noProof/>
              </w:rPr>
              <w:t>pełnomocnika procesowego w </w:t>
            </w:r>
            <w:r>
              <w:rPr>
                <w:noProof/>
              </w:rPr>
              <w:t xml:space="preserve">ramach tego samego podmiotu prawnego </w:t>
            </w:r>
            <w:r>
              <w:rPr>
                <w:noProof/>
              </w:rPr>
              <w:br/>
              <w:t xml:space="preserve">Jeden dostęp do zawodów adwokatów i pełnomocników </w:t>
            </w:r>
            <w:r>
              <w:rPr>
                <w:i/>
                <w:noProof/>
              </w:rPr>
              <w:t>sądowych</w:t>
            </w:r>
            <w:r>
              <w:rPr>
                <w:noProof/>
              </w:rPr>
              <w:t>.</w:t>
            </w:r>
          </w:p>
        </w:tc>
      </w:tr>
      <w:tr w:rsidR="006578ED" w14:paraId="765E1C0D" w14:textId="77777777">
        <w:trPr>
          <w:trHeight w:val="309"/>
        </w:trPr>
        <w:tc>
          <w:tcPr>
            <w:tcW w:w="709" w:type="dxa"/>
            <w:shd w:val="clear" w:color="auto" w:fill="C6EFCE"/>
            <w:noWrap/>
          </w:tcPr>
          <w:p w14:paraId="5BB30F60" w14:textId="77777777" w:rsidR="006578ED" w:rsidRDefault="00A1618E">
            <w:pPr>
              <w:pStyle w:val="P68B1DB1-Normal13"/>
              <w:spacing w:after="0" w:line="240" w:lineRule="auto"/>
              <w:jc w:val="center"/>
              <w:rPr>
                <w:rFonts w:eastAsia="Times New Roman" w:cs="Times New Roman"/>
                <w:noProof/>
              </w:rPr>
            </w:pPr>
            <w:r>
              <w:rPr>
                <w:noProof/>
              </w:rPr>
              <w:t>190</w:t>
            </w:r>
          </w:p>
        </w:tc>
        <w:tc>
          <w:tcPr>
            <w:tcW w:w="851" w:type="dxa"/>
            <w:shd w:val="clear" w:color="auto" w:fill="C6EFCE"/>
            <w:noWrap/>
          </w:tcPr>
          <w:p w14:paraId="7F61B1A9" w14:textId="77777777" w:rsidR="006578ED" w:rsidRDefault="00A1618E">
            <w:pPr>
              <w:pStyle w:val="P68B1DB1-Normal13"/>
              <w:spacing w:after="0" w:line="240" w:lineRule="auto"/>
              <w:jc w:val="center"/>
              <w:rPr>
                <w:rFonts w:eastAsia="Times New Roman" w:cs="Times New Roman"/>
                <w:noProof/>
              </w:rPr>
            </w:pPr>
            <w:r>
              <w:rPr>
                <w:noProof/>
              </w:rPr>
              <w:t>C13.R1</w:t>
            </w:r>
          </w:p>
        </w:tc>
        <w:tc>
          <w:tcPr>
            <w:tcW w:w="850" w:type="dxa"/>
            <w:shd w:val="clear" w:color="auto" w:fill="C6EFCE"/>
            <w:noWrap/>
          </w:tcPr>
          <w:p w14:paraId="61E98DCA" w14:textId="5E26C3C5" w:rsidR="006578ED" w:rsidRDefault="00AF6B91">
            <w:pPr>
              <w:pStyle w:val="P68B1DB1-Normal13"/>
              <w:spacing w:after="0" w:line="240" w:lineRule="auto"/>
              <w:jc w:val="center"/>
              <w:rPr>
                <w:rFonts w:eastAsia="Times New Roman" w:cs="Times New Roman"/>
                <w:noProof/>
              </w:rPr>
            </w:pPr>
            <w:r>
              <w:rPr>
                <w:noProof/>
              </w:rPr>
              <w:t>Kamień milowy</w:t>
            </w:r>
          </w:p>
        </w:tc>
        <w:tc>
          <w:tcPr>
            <w:tcW w:w="1985" w:type="dxa"/>
            <w:shd w:val="clear" w:color="auto" w:fill="C6EFCE"/>
            <w:noWrap/>
          </w:tcPr>
          <w:p w14:paraId="57F15FB7" w14:textId="3DCED72D" w:rsidR="006578ED" w:rsidRDefault="00A1618E">
            <w:pPr>
              <w:pStyle w:val="P68B1DB1-Normal13"/>
              <w:spacing w:after="0" w:line="240" w:lineRule="auto"/>
              <w:rPr>
                <w:rFonts w:eastAsia="Times New Roman" w:cs="Times New Roman"/>
                <w:noProof/>
              </w:rPr>
            </w:pPr>
            <w:r>
              <w:rPr>
                <w:noProof/>
              </w:rPr>
              <w:t>Wejście w życie ustawy o reformie prawa upadłościowego</w:t>
            </w:r>
          </w:p>
        </w:tc>
        <w:tc>
          <w:tcPr>
            <w:tcW w:w="1134" w:type="dxa"/>
            <w:shd w:val="clear" w:color="auto" w:fill="C6EFCE"/>
            <w:noWrap/>
          </w:tcPr>
          <w:p w14:paraId="61F1C772" w14:textId="4E90AE5A" w:rsidR="006578ED" w:rsidRDefault="00A1618E">
            <w:pPr>
              <w:pStyle w:val="P68B1DB1-Normal13"/>
              <w:spacing w:after="0" w:line="240" w:lineRule="auto"/>
              <w:jc w:val="center"/>
              <w:rPr>
                <w:rFonts w:eastAsia="Times New Roman" w:cs="Times New Roman"/>
                <w:noProof/>
              </w:rPr>
            </w:pPr>
            <w:r>
              <w:rPr>
                <w:noProof/>
              </w:rPr>
              <w:t xml:space="preserve">Przepis ustawy wskazujący na wejście w życie ustawy </w:t>
            </w:r>
          </w:p>
        </w:tc>
        <w:tc>
          <w:tcPr>
            <w:tcW w:w="709" w:type="dxa"/>
            <w:shd w:val="clear" w:color="auto" w:fill="C6EFCE"/>
            <w:noWrap/>
          </w:tcPr>
          <w:p w14:paraId="137D43B2" w14:textId="77777777" w:rsidR="006578ED" w:rsidRDefault="00A1618E">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479AD0FD"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950652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C44A06B" w14:textId="2DE7D0D8" w:rsidR="006578ED" w:rsidRDefault="00EC188C">
            <w:pPr>
              <w:pStyle w:val="P68B1DB1-Normal13"/>
              <w:spacing w:after="0" w:line="240" w:lineRule="auto"/>
              <w:jc w:val="center"/>
              <w:rPr>
                <w:rFonts w:eastAsia="Times New Roman" w:cs="Times New Roman"/>
                <w:noProof/>
              </w:rPr>
            </w:pPr>
            <w:r>
              <w:rPr>
                <w:noProof/>
              </w:rPr>
              <w:t>KW. 2</w:t>
            </w:r>
          </w:p>
        </w:tc>
        <w:tc>
          <w:tcPr>
            <w:tcW w:w="567" w:type="dxa"/>
            <w:shd w:val="clear" w:color="auto" w:fill="C6EFCE"/>
            <w:noWrap/>
          </w:tcPr>
          <w:p w14:paraId="2FCB0542" w14:textId="77777777" w:rsidR="006578ED" w:rsidRDefault="00A1618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1A958D65" w14:textId="638BE479" w:rsidR="006578ED" w:rsidRDefault="00A1618E">
            <w:pPr>
              <w:pStyle w:val="P68B1DB1-Normal13"/>
              <w:spacing w:after="0" w:line="240" w:lineRule="auto"/>
              <w:rPr>
                <w:rFonts w:eastAsia="Times New Roman" w:cs="Times New Roman"/>
                <w:noProof/>
              </w:rPr>
            </w:pPr>
            <w:r>
              <w:rPr>
                <w:noProof/>
              </w:rPr>
              <w:t xml:space="preserve">Wejście w życie reformy „prawa upadłościowego”. </w:t>
            </w:r>
            <w:r>
              <w:rPr>
                <w:noProof/>
              </w:rPr>
              <w:br/>
              <w:t>Reforma prawa upadłościowego wykraczająca poza wymogi dyrektywy:</w:t>
            </w:r>
            <w:r>
              <w:rPr>
                <w:noProof/>
              </w:rPr>
              <w:br/>
              <w:t xml:space="preserve">ustanowienie skuteczniejszej procedury drugiej szansy dla osób fizycznych, umożliwiającej umorzenie długów bez uprzedniej likwidacji majątku upadłego, </w:t>
            </w:r>
            <w:r>
              <w:rPr>
                <w:noProof/>
              </w:rPr>
              <w:br/>
              <w:t>ustanowienie specjalnej procedury dla mikroprzedsiębiorstw, która skróci czas trwania i koszty i będzie w pełni przetwarzana drogą elektroniczną.</w:t>
            </w:r>
          </w:p>
        </w:tc>
      </w:tr>
      <w:tr w:rsidR="006578ED" w14:paraId="0E7B4115" w14:textId="77777777">
        <w:trPr>
          <w:trHeight w:val="309"/>
        </w:trPr>
        <w:tc>
          <w:tcPr>
            <w:tcW w:w="709" w:type="dxa"/>
            <w:shd w:val="clear" w:color="auto" w:fill="C6EFCE"/>
            <w:noWrap/>
          </w:tcPr>
          <w:p w14:paraId="1367200D" w14:textId="77777777" w:rsidR="006578ED" w:rsidRDefault="00A1618E">
            <w:pPr>
              <w:pStyle w:val="P68B1DB1-Normal13"/>
              <w:spacing w:after="0" w:line="240" w:lineRule="auto"/>
              <w:jc w:val="center"/>
              <w:rPr>
                <w:rFonts w:eastAsia="Times New Roman" w:cs="Times New Roman"/>
                <w:noProof/>
              </w:rPr>
            </w:pPr>
            <w:r>
              <w:rPr>
                <w:noProof/>
              </w:rPr>
              <w:t>191</w:t>
            </w:r>
          </w:p>
        </w:tc>
        <w:tc>
          <w:tcPr>
            <w:tcW w:w="851" w:type="dxa"/>
            <w:shd w:val="clear" w:color="auto" w:fill="C6EFCE"/>
            <w:noWrap/>
          </w:tcPr>
          <w:p w14:paraId="764559FA" w14:textId="77777777" w:rsidR="006578ED" w:rsidRDefault="00A1618E">
            <w:pPr>
              <w:pStyle w:val="P68B1DB1-Normal13"/>
              <w:spacing w:after="0" w:line="240" w:lineRule="auto"/>
              <w:jc w:val="center"/>
              <w:rPr>
                <w:rFonts w:eastAsia="Times New Roman" w:cs="Times New Roman"/>
                <w:noProof/>
              </w:rPr>
            </w:pPr>
            <w:r>
              <w:rPr>
                <w:noProof/>
              </w:rPr>
              <w:t>C13.R1</w:t>
            </w:r>
          </w:p>
        </w:tc>
        <w:tc>
          <w:tcPr>
            <w:tcW w:w="850" w:type="dxa"/>
            <w:shd w:val="clear" w:color="auto" w:fill="C6EFCE"/>
            <w:noWrap/>
          </w:tcPr>
          <w:p w14:paraId="5D99C20E" w14:textId="4E2E80DA" w:rsidR="006578ED" w:rsidRDefault="00AF6B91">
            <w:pPr>
              <w:pStyle w:val="P68B1DB1-Normal13"/>
              <w:spacing w:after="0" w:line="240" w:lineRule="auto"/>
              <w:jc w:val="center"/>
              <w:rPr>
                <w:rFonts w:eastAsia="Times New Roman" w:cs="Times New Roman"/>
                <w:noProof/>
              </w:rPr>
            </w:pPr>
            <w:r>
              <w:rPr>
                <w:noProof/>
              </w:rPr>
              <w:t>Kamień milowy</w:t>
            </w:r>
          </w:p>
        </w:tc>
        <w:tc>
          <w:tcPr>
            <w:tcW w:w="1985" w:type="dxa"/>
            <w:shd w:val="clear" w:color="auto" w:fill="C6EFCE"/>
            <w:noWrap/>
          </w:tcPr>
          <w:p w14:paraId="6EB68533" w14:textId="53E49487" w:rsidR="006578ED" w:rsidRDefault="00A1618E">
            <w:pPr>
              <w:pStyle w:val="P68B1DB1-Normal13"/>
              <w:spacing w:after="0" w:line="240" w:lineRule="auto"/>
              <w:rPr>
                <w:rFonts w:eastAsia="Times New Roman" w:cs="Times New Roman"/>
                <w:noProof/>
              </w:rPr>
            </w:pPr>
            <w:r>
              <w:rPr>
                <w:noProof/>
              </w:rPr>
              <w:t>Wejście w życie ustawy o tworzeniu przedsiębiorstw i wzroście gospodarczym</w:t>
            </w:r>
          </w:p>
        </w:tc>
        <w:tc>
          <w:tcPr>
            <w:tcW w:w="1134" w:type="dxa"/>
            <w:shd w:val="clear" w:color="auto" w:fill="C6EFCE"/>
            <w:noWrap/>
          </w:tcPr>
          <w:p w14:paraId="6B20E7DE" w14:textId="256293AA" w:rsidR="006578ED" w:rsidRDefault="00A1618E">
            <w:pPr>
              <w:pStyle w:val="P68B1DB1-Normal13"/>
              <w:spacing w:after="0" w:line="240" w:lineRule="auto"/>
              <w:jc w:val="center"/>
              <w:rPr>
                <w:rFonts w:eastAsia="Times New Roman" w:cs="Times New Roman"/>
                <w:noProof/>
              </w:rPr>
            </w:pPr>
            <w:r>
              <w:rPr>
                <w:noProof/>
              </w:rPr>
              <w:t xml:space="preserve">Przepis ustawy wskazujący na wejście w życie ustawy </w:t>
            </w:r>
          </w:p>
        </w:tc>
        <w:tc>
          <w:tcPr>
            <w:tcW w:w="709" w:type="dxa"/>
            <w:shd w:val="clear" w:color="auto" w:fill="C6EFCE"/>
            <w:noWrap/>
          </w:tcPr>
          <w:p w14:paraId="686C10AE" w14:textId="77777777" w:rsidR="006578ED" w:rsidRDefault="00A1618E">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14C8C5BF"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556DE6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09E9066" w14:textId="0DEFECD3"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7E166C72" w14:textId="77777777" w:rsidR="006578ED" w:rsidRDefault="00A1618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3D4B57FC" w14:textId="2FD6B549" w:rsidR="006578ED" w:rsidRDefault="00A1618E">
            <w:pPr>
              <w:pStyle w:val="P68B1DB1-Normal13"/>
              <w:spacing w:after="0" w:line="240" w:lineRule="auto"/>
              <w:rPr>
                <w:rFonts w:eastAsia="Times New Roman" w:cs="Times New Roman"/>
                <w:noProof/>
              </w:rPr>
            </w:pPr>
            <w:r>
              <w:rPr>
                <w:noProof/>
              </w:rPr>
              <w:t xml:space="preserve">Wejście w życie nowej ustawy o tworzeniu przedsiębiorstw i wzroście gospodarczym w celu uproszczenia procedur zakładania przedsiębiorstw oraz promowania zróżnicowanych źródeł finansowania rozwoju przedsiębiorstw. Ustawa o tworzeniu przedsiębiorstw i wzroście gospodarczym obejmuje również środki mające na celu wspieranie kultury wczesnych płatności, w szczególności w celu zapewnienia płynności MŚP i osobom samozatrudnionym poprzez unikanie opóźnień w płatnościach. Środki, które należy wdrożyć w celu wspierania kultury wczesnych płatności, obejmują wytyczne dotyczące jawności i przejrzystości terminów płatności, najlepsze praktyki biznesowe i mechanizmy lepszego egzekwowania, takie jak system pozasądowego rozstrzygania sporów. Ustawa o tworzeniu przedsiębiorstw i wzroście gospodarczym obejmuje również zmiany do „ustawy o jedności rynku” w celu ułatwienia jej wdrożenia oraz wzmocnienia mechanizmów dostępnych dla podmiotów rynkowych dotkniętych barierami rynkowymi. W celu ułatwienia prawidłowego stosowania zasad dobrej regulacji przez wszystkie administracje publiczne oraz zapewnienia optymalnej koordynacji między różnymi administracjami, ustanawia się nową konferencję sektorową ds. usprawnień regulacyjnych i klimatu biznesowego. </w:t>
            </w:r>
          </w:p>
        </w:tc>
      </w:tr>
      <w:tr w:rsidR="006578ED" w14:paraId="248732C2" w14:textId="77777777">
        <w:trPr>
          <w:trHeight w:val="309"/>
        </w:trPr>
        <w:tc>
          <w:tcPr>
            <w:tcW w:w="709" w:type="dxa"/>
            <w:shd w:val="clear" w:color="auto" w:fill="C6EFCE"/>
            <w:noWrap/>
          </w:tcPr>
          <w:p w14:paraId="297C70A3" w14:textId="4BCC95D8" w:rsidR="006578ED" w:rsidRDefault="00A1618E">
            <w:pPr>
              <w:pStyle w:val="P68B1DB1-Normal13"/>
              <w:spacing w:after="0" w:line="240" w:lineRule="auto"/>
              <w:jc w:val="center"/>
              <w:rPr>
                <w:rFonts w:cs="Times New Roman"/>
                <w:noProof/>
              </w:rPr>
            </w:pPr>
            <w:r>
              <w:rPr>
                <w:noProof/>
              </w:rPr>
              <w:t>449</w:t>
            </w:r>
          </w:p>
        </w:tc>
        <w:tc>
          <w:tcPr>
            <w:tcW w:w="851" w:type="dxa"/>
            <w:shd w:val="clear" w:color="auto" w:fill="C6EFCE"/>
            <w:noWrap/>
          </w:tcPr>
          <w:p w14:paraId="25F9E4EC" w14:textId="77777777" w:rsidR="006578ED" w:rsidRDefault="00A1618E">
            <w:pPr>
              <w:pStyle w:val="P68B1DB1-Normal13"/>
              <w:spacing w:after="0" w:line="240" w:lineRule="auto"/>
              <w:jc w:val="center"/>
              <w:rPr>
                <w:rFonts w:cs="Times New Roman"/>
                <w:noProof/>
              </w:rPr>
            </w:pPr>
            <w:r>
              <w:rPr>
                <w:noProof/>
              </w:rPr>
              <w:t>C13.R1</w:t>
            </w:r>
          </w:p>
        </w:tc>
        <w:tc>
          <w:tcPr>
            <w:tcW w:w="850" w:type="dxa"/>
            <w:shd w:val="clear" w:color="auto" w:fill="C6EFCE"/>
            <w:noWrap/>
          </w:tcPr>
          <w:p w14:paraId="7ED0050D" w14:textId="76B93503" w:rsidR="006578ED" w:rsidRDefault="00AF6B91">
            <w:pPr>
              <w:pStyle w:val="P68B1DB1-Normal13"/>
              <w:spacing w:after="0" w:line="240" w:lineRule="auto"/>
              <w:jc w:val="center"/>
              <w:rPr>
                <w:rFonts w:cs="Times New Roman"/>
                <w:noProof/>
              </w:rPr>
            </w:pPr>
            <w:r>
              <w:rPr>
                <w:noProof/>
              </w:rPr>
              <w:t>Kamień milowy </w:t>
            </w:r>
          </w:p>
        </w:tc>
        <w:tc>
          <w:tcPr>
            <w:tcW w:w="1985" w:type="dxa"/>
            <w:shd w:val="clear" w:color="auto" w:fill="C6EFCE"/>
            <w:noWrap/>
          </w:tcPr>
          <w:p w14:paraId="0D5EC354" w14:textId="626014F9" w:rsidR="006578ED" w:rsidRDefault="00A1618E">
            <w:pPr>
              <w:pStyle w:val="P68B1DB1-Normal13"/>
              <w:spacing w:after="0" w:line="240" w:lineRule="auto"/>
              <w:rPr>
                <w:rFonts w:cs="Times New Roman"/>
                <w:noProof/>
              </w:rPr>
            </w:pPr>
            <w:r>
              <w:rPr>
                <w:noProof/>
              </w:rPr>
              <w:t>Wejście w życie zmian do ustawy o ochronie konkurencji i jej rozporządzeń</w:t>
            </w:r>
          </w:p>
        </w:tc>
        <w:tc>
          <w:tcPr>
            <w:tcW w:w="1134" w:type="dxa"/>
            <w:shd w:val="clear" w:color="auto" w:fill="C6EFCE"/>
            <w:noWrap/>
          </w:tcPr>
          <w:p w14:paraId="07782DE2" w14:textId="0FEC2100" w:rsidR="006578ED" w:rsidRDefault="00A1618E">
            <w:pPr>
              <w:pStyle w:val="P68B1DB1-Normal13"/>
              <w:spacing w:after="0" w:line="240" w:lineRule="auto"/>
              <w:jc w:val="center"/>
              <w:rPr>
                <w:rFonts w:cs="Times New Roman"/>
                <w:noProof/>
              </w:rPr>
            </w:pPr>
            <w:r>
              <w:rPr>
                <w:noProof/>
              </w:rPr>
              <w:t>Przepis wskazujący na wejście w życie zmian w ustawie i przepisach wykonawczych</w:t>
            </w:r>
          </w:p>
        </w:tc>
        <w:tc>
          <w:tcPr>
            <w:tcW w:w="709" w:type="dxa"/>
            <w:shd w:val="clear" w:color="auto" w:fill="C6EFCE"/>
            <w:noWrap/>
          </w:tcPr>
          <w:p w14:paraId="2884EBB4" w14:textId="77777777" w:rsidR="006578ED" w:rsidRDefault="00A1618E">
            <w:pPr>
              <w:pStyle w:val="P68B1DB1-Normal13"/>
              <w:spacing w:after="0" w:line="240" w:lineRule="auto"/>
              <w:jc w:val="center"/>
              <w:rPr>
                <w:rFonts w:cs="Times New Roman"/>
                <w:noProof/>
              </w:rPr>
            </w:pPr>
            <w:r>
              <w:rPr>
                <w:noProof/>
              </w:rPr>
              <w:t> </w:t>
            </w:r>
          </w:p>
        </w:tc>
        <w:tc>
          <w:tcPr>
            <w:tcW w:w="708" w:type="dxa"/>
            <w:shd w:val="clear" w:color="auto" w:fill="C6EFCE"/>
            <w:noWrap/>
          </w:tcPr>
          <w:p w14:paraId="0E531F80" w14:textId="77777777" w:rsidR="006578ED" w:rsidRDefault="00A1618E">
            <w:pPr>
              <w:pStyle w:val="P68B1DB1-Normal13"/>
              <w:spacing w:after="0" w:line="240" w:lineRule="auto"/>
              <w:jc w:val="right"/>
              <w:rPr>
                <w:rFonts w:cs="Times New Roman"/>
                <w:noProof/>
              </w:rPr>
            </w:pPr>
            <w:r>
              <w:rPr>
                <w:noProof/>
              </w:rPr>
              <w:t> </w:t>
            </w:r>
          </w:p>
        </w:tc>
        <w:tc>
          <w:tcPr>
            <w:tcW w:w="709" w:type="dxa"/>
            <w:shd w:val="clear" w:color="auto" w:fill="C6EFCE"/>
            <w:noWrap/>
          </w:tcPr>
          <w:p w14:paraId="25EC3370" w14:textId="77777777" w:rsidR="006578ED" w:rsidRDefault="00A1618E">
            <w:pPr>
              <w:pStyle w:val="P68B1DB1-Normal13"/>
              <w:spacing w:after="0" w:line="240" w:lineRule="auto"/>
              <w:jc w:val="right"/>
              <w:rPr>
                <w:rFonts w:cs="Times New Roman"/>
                <w:noProof/>
              </w:rPr>
            </w:pPr>
            <w:r>
              <w:rPr>
                <w:noProof/>
              </w:rPr>
              <w:t> </w:t>
            </w:r>
          </w:p>
        </w:tc>
        <w:tc>
          <w:tcPr>
            <w:tcW w:w="567" w:type="dxa"/>
            <w:shd w:val="clear" w:color="auto" w:fill="C6EFCE"/>
            <w:noWrap/>
          </w:tcPr>
          <w:p w14:paraId="717E2388" w14:textId="3885F089"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0F25FC10" w14:textId="77777777" w:rsidR="006578ED" w:rsidRDefault="00A1618E">
            <w:pPr>
              <w:pStyle w:val="P68B1DB1-Normal13"/>
              <w:spacing w:after="0" w:line="240" w:lineRule="auto"/>
              <w:jc w:val="center"/>
              <w:rPr>
                <w:rFonts w:cs="Times New Roman"/>
                <w:noProof/>
              </w:rPr>
            </w:pPr>
            <w:r>
              <w:rPr>
                <w:noProof/>
              </w:rPr>
              <w:t>2025</w:t>
            </w:r>
          </w:p>
        </w:tc>
        <w:tc>
          <w:tcPr>
            <w:tcW w:w="6662" w:type="dxa"/>
            <w:shd w:val="clear" w:color="auto" w:fill="C6EFCE"/>
            <w:noWrap/>
          </w:tcPr>
          <w:p w14:paraId="3F43BBC4" w14:textId="09418379" w:rsidR="006578ED" w:rsidRDefault="00A1618E">
            <w:pPr>
              <w:pStyle w:val="P68B1DB1-Normal13"/>
              <w:spacing w:after="0" w:line="240" w:lineRule="auto"/>
              <w:rPr>
                <w:rFonts w:eastAsia="Times New Roman" w:cs="Times New Roman"/>
                <w:noProof/>
              </w:rPr>
            </w:pPr>
            <w:r>
              <w:rPr>
                <w:noProof/>
              </w:rPr>
              <w:t>Wejście w życie zmian do ustawy o ochronie konkurencji i jej rozporządzeń.</w:t>
            </w:r>
          </w:p>
        </w:tc>
      </w:tr>
      <w:tr w:rsidR="006578ED" w14:paraId="7DB6EB05" w14:textId="77777777">
        <w:trPr>
          <w:trHeight w:val="309"/>
        </w:trPr>
        <w:tc>
          <w:tcPr>
            <w:tcW w:w="709" w:type="dxa"/>
            <w:shd w:val="clear" w:color="auto" w:fill="C6EFCE"/>
            <w:noWrap/>
          </w:tcPr>
          <w:p w14:paraId="2D973C8D" w14:textId="73945A9B" w:rsidR="006578ED" w:rsidRDefault="00A1618E">
            <w:pPr>
              <w:pStyle w:val="P68B1DB1-Normal13"/>
              <w:spacing w:after="0" w:line="240" w:lineRule="auto"/>
              <w:jc w:val="center"/>
              <w:rPr>
                <w:rFonts w:cs="Times New Roman"/>
                <w:noProof/>
              </w:rPr>
            </w:pPr>
            <w:r>
              <w:rPr>
                <w:noProof/>
              </w:rPr>
              <w:t>450</w:t>
            </w:r>
          </w:p>
        </w:tc>
        <w:tc>
          <w:tcPr>
            <w:tcW w:w="851" w:type="dxa"/>
            <w:shd w:val="clear" w:color="auto" w:fill="C6EFCE"/>
            <w:noWrap/>
          </w:tcPr>
          <w:p w14:paraId="1DFAC27E" w14:textId="1D64EE03" w:rsidR="006578ED" w:rsidRDefault="00A1618E">
            <w:pPr>
              <w:pStyle w:val="P68B1DB1-Normal13"/>
              <w:spacing w:after="0" w:line="240" w:lineRule="auto"/>
              <w:jc w:val="center"/>
              <w:rPr>
                <w:rFonts w:cs="Times New Roman"/>
                <w:noProof/>
              </w:rPr>
            </w:pPr>
            <w:r>
              <w:rPr>
                <w:noProof/>
              </w:rPr>
              <w:t>C13.R2</w:t>
            </w:r>
          </w:p>
        </w:tc>
        <w:tc>
          <w:tcPr>
            <w:tcW w:w="850" w:type="dxa"/>
            <w:shd w:val="clear" w:color="auto" w:fill="C6EFCE"/>
            <w:noWrap/>
          </w:tcPr>
          <w:p w14:paraId="38042A60" w14:textId="6A9BA9F5"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12DA6D1C" w14:textId="6FD01C1A" w:rsidR="006578ED" w:rsidRDefault="00A1618E">
            <w:pPr>
              <w:pStyle w:val="P68B1DB1-Normal13"/>
              <w:spacing w:after="0" w:line="240" w:lineRule="auto"/>
              <w:rPr>
                <w:rFonts w:cs="Times New Roman"/>
                <w:noProof/>
              </w:rPr>
            </w:pPr>
            <w:r>
              <w:rPr>
                <w:noProof/>
              </w:rPr>
              <w:t>Wejście w życie dekretu królewskiego 629/2022 z dnia 26 lipca zmieniającego rozporządzenie ustawy organicznej 4/2000 w sprawie praw i wolności cudzoziemców w Hiszpanii oraz ich integracji społecznej</w:t>
            </w:r>
          </w:p>
        </w:tc>
        <w:tc>
          <w:tcPr>
            <w:tcW w:w="1134" w:type="dxa"/>
            <w:shd w:val="clear" w:color="auto" w:fill="C6EFCE"/>
            <w:noWrap/>
          </w:tcPr>
          <w:p w14:paraId="6098828B" w14:textId="138FBFE2" w:rsidR="006578ED" w:rsidRDefault="00A1618E">
            <w:pPr>
              <w:pStyle w:val="P68B1DB1-Normal13"/>
              <w:spacing w:after="0" w:line="240" w:lineRule="auto"/>
              <w:jc w:val="center"/>
              <w:rPr>
                <w:rFonts w:cs="Times New Roman"/>
                <w:noProof/>
              </w:rPr>
            </w:pPr>
            <w:r>
              <w:rPr>
                <w:noProof/>
              </w:rPr>
              <w:t>Przepis dekretu królewskiego wskazujący na wejście w życie odpowiednich przepisów</w:t>
            </w:r>
          </w:p>
        </w:tc>
        <w:tc>
          <w:tcPr>
            <w:tcW w:w="709" w:type="dxa"/>
            <w:shd w:val="clear" w:color="auto" w:fill="C6EFCE"/>
            <w:noWrap/>
          </w:tcPr>
          <w:p w14:paraId="55D4F140" w14:textId="77777777" w:rsidR="006578ED" w:rsidRDefault="006578ED">
            <w:pPr>
              <w:spacing w:after="0" w:line="240" w:lineRule="auto"/>
              <w:jc w:val="center"/>
              <w:rPr>
                <w:rFonts w:ascii="Times New Roman" w:hAnsi="Times New Roman" w:cs="Times New Roman"/>
                <w:noProof/>
                <w:sz w:val="18"/>
              </w:rPr>
            </w:pPr>
          </w:p>
        </w:tc>
        <w:tc>
          <w:tcPr>
            <w:tcW w:w="708" w:type="dxa"/>
            <w:shd w:val="clear" w:color="auto" w:fill="C6EFCE"/>
            <w:noWrap/>
          </w:tcPr>
          <w:p w14:paraId="65380D86"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326BAF63" w14:textId="77777777" w:rsidR="006578ED" w:rsidRDefault="006578ED">
            <w:pPr>
              <w:spacing w:after="0" w:line="240" w:lineRule="auto"/>
              <w:jc w:val="right"/>
              <w:rPr>
                <w:rFonts w:ascii="Times New Roman" w:hAnsi="Times New Roman" w:cs="Times New Roman"/>
                <w:noProof/>
                <w:sz w:val="18"/>
              </w:rPr>
            </w:pPr>
          </w:p>
        </w:tc>
        <w:tc>
          <w:tcPr>
            <w:tcW w:w="567" w:type="dxa"/>
            <w:shd w:val="clear" w:color="auto" w:fill="C6EFCE"/>
            <w:noWrap/>
          </w:tcPr>
          <w:p w14:paraId="68343D68" w14:textId="3D06EABA"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noWrap/>
          </w:tcPr>
          <w:p w14:paraId="3724B3D2" w14:textId="2ABC8EAD" w:rsidR="006578ED" w:rsidRDefault="00A1618E">
            <w:pPr>
              <w:pStyle w:val="P68B1DB1-Normal13"/>
              <w:spacing w:after="0" w:line="240" w:lineRule="auto"/>
              <w:jc w:val="center"/>
              <w:rPr>
                <w:rFonts w:cs="Times New Roman"/>
                <w:noProof/>
              </w:rPr>
            </w:pPr>
            <w:r>
              <w:rPr>
                <w:noProof/>
              </w:rPr>
              <w:t>2022</w:t>
            </w:r>
          </w:p>
        </w:tc>
        <w:tc>
          <w:tcPr>
            <w:tcW w:w="6662" w:type="dxa"/>
            <w:shd w:val="clear" w:color="auto" w:fill="C6EFCE"/>
            <w:noWrap/>
          </w:tcPr>
          <w:p w14:paraId="16134E7E" w14:textId="62FBF3CD" w:rsidR="006578ED" w:rsidRDefault="00A1618E">
            <w:pPr>
              <w:pStyle w:val="P68B1DB1-Normal13"/>
              <w:spacing w:after="0" w:line="240" w:lineRule="auto"/>
              <w:rPr>
                <w:rFonts w:cs="Times New Roman"/>
                <w:noProof/>
              </w:rPr>
            </w:pPr>
            <w:r>
              <w:rPr>
                <w:noProof/>
              </w:rPr>
              <w:t>Wejście w życie odpowiednich przepisów dekretu królewskiego 629/2022 z dnia 26 lipca zmieniającego rozporządzenie ustawy organicznej 4/2000 w sprawie praw i wolności cudzoziemców w Hiszpanii oraz ich integracji społecznej zgodnie z opisem środka.</w:t>
            </w:r>
          </w:p>
        </w:tc>
      </w:tr>
      <w:tr w:rsidR="006578ED" w14:paraId="7668D217" w14:textId="77777777">
        <w:trPr>
          <w:trHeight w:val="309"/>
        </w:trPr>
        <w:tc>
          <w:tcPr>
            <w:tcW w:w="709" w:type="dxa"/>
            <w:shd w:val="clear" w:color="auto" w:fill="C6EFCE"/>
            <w:noWrap/>
          </w:tcPr>
          <w:p w14:paraId="71B30D2C" w14:textId="77777777" w:rsidR="006578ED" w:rsidRDefault="00A1618E">
            <w:pPr>
              <w:pStyle w:val="P68B1DB1-Normal13"/>
              <w:spacing w:after="0" w:line="240" w:lineRule="auto"/>
              <w:jc w:val="center"/>
              <w:rPr>
                <w:rFonts w:eastAsia="Times New Roman" w:cs="Times New Roman"/>
                <w:noProof/>
              </w:rPr>
            </w:pPr>
            <w:r>
              <w:rPr>
                <w:noProof/>
              </w:rPr>
              <w:t>192</w:t>
            </w:r>
          </w:p>
        </w:tc>
        <w:tc>
          <w:tcPr>
            <w:tcW w:w="851" w:type="dxa"/>
            <w:shd w:val="clear" w:color="auto" w:fill="C6EFCE"/>
            <w:noWrap/>
          </w:tcPr>
          <w:p w14:paraId="7D0D42DF" w14:textId="77777777" w:rsidR="006578ED" w:rsidRDefault="00A1618E">
            <w:pPr>
              <w:pStyle w:val="P68B1DB1-Normal13"/>
              <w:spacing w:after="0" w:line="240" w:lineRule="auto"/>
              <w:jc w:val="center"/>
              <w:rPr>
                <w:rFonts w:eastAsia="Times New Roman" w:cs="Times New Roman"/>
                <w:noProof/>
              </w:rPr>
            </w:pPr>
            <w:r>
              <w:rPr>
                <w:noProof/>
              </w:rPr>
              <w:t>C13.R2</w:t>
            </w:r>
          </w:p>
        </w:tc>
        <w:tc>
          <w:tcPr>
            <w:tcW w:w="850" w:type="dxa"/>
            <w:shd w:val="clear" w:color="auto" w:fill="C6EFCE"/>
            <w:noWrap/>
          </w:tcPr>
          <w:p w14:paraId="00CB68D1" w14:textId="10A4B8F6" w:rsidR="006578ED" w:rsidRDefault="00AF6B91">
            <w:pPr>
              <w:pStyle w:val="P68B1DB1-Normal13"/>
              <w:spacing w:after="0" w:line="240" w:lineRule="auto"/>
              <w:jc w:val="center"/>
              <w:rPr>
                <w:rFonts w:eastAsia="Times New Roman" w:cs="Times New Roman"/>
                <w:noProof/>
              </w:rPr>
            </w:pPr>
            <w:r>
              <w:rPr>
                <w:noProof/>
              </w:rPr>
              <w:t>Kamień milowy</w:t>
            </w:r>
          </w:p>
        </w:tc>
        <w:tc>
          <w:tcPr>
            <w:tcW w:w="1985" w:type="dxa"/>
            <w:shd w:val="clear" w:color="auto" w:fill="C6EFCE"/>
            <w:noWrap/>
          </w:tcPr>
          <w:p w14:paraId="1680BA86" w14:textId="26F6D7DB" w:rsidR="006578ED" w:rsidRDefault="00A1618E">
            <w:pPr>
              <w:pStyle w:val="P68B1DB1-Normal13"/>
              <w:spacing w:after="0" w:line="240" w:lineRule="auto"/>
              <w:rPr>
                <w:rFonts w:eastAsia="Times New Roman" w:cs="Times New Roman"/>
                <w:noProof/>
              </w:rPr>
            </w:pPr>
            <w:r>
              <w:rPr>
                <w:noProof/>
              </w:rPr>
              <w:t>Wejście w życie ustawy o zakładaniu start-upów</w:t>
            </w:r>
          </w:p>
        </w:tc>
        <w:tc>
          <w:tcPr>
            <w:tcW w:w="1134" w:type="dxa"/>
            <w:shd w:val="clear" w:color="auto" w:fill="C6EFCE"/>
            <w:noWrap/>
          </w:tcPr>
          <w:p w14:paraId="63805AAE" w14:textId="3E92D78B" w:rsidR="006578ED" w:rsidRDefault="00A1618E">
            <w:pPr>
              <w:pStyle w:val="P68B1DB1-Normal13"/>
              <w:spacing w:after="0" w:line="240" w:lineRule="auto"/>
              <w:jc w:val="center"/>
              <w:rPr>
                <w:rFonts w:eastAsia="Times New Roman" w:cs="Times New Roman"/>
                <w:noProof/>
              </w:rPr>
            </w:pPr>
            <w:r>
              <w:rPr>
                <w:noProof/>
              </w:rPr>
              <w:t xml:space="preserve">Przepis ustawy wskazujący na wejście w życie ustawy </w:t>
            </w:r>
          </w:p>
        </w:tc>
        <w:tc>
          <w:tcPr>
            <w:tcW w:w="709" w:type="dxa"/>
            <w:shd w:val="clear" w:color="auto" w:fill="C6EFCE"/>
            <w:noWrap/>
          </w:tcPr>
          <w:p w14:paraId="4E23ACCC" w14:textId="77777777" w:rsidR="006578ED" w:rsidRDefault="00A1618E">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49A8FFB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3665DF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92F3102" w14:textId="1C5761CE"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6277EBC5" w14:textId="77777777" w:rsidR="006578ED" w:rsidRDefault="00A1618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2D9CE0CD" w14:textId="1065B961" w:rsidR="006578ED" w:rsidRDefault="00A1618E">
            <w:pPr>
              <w:pStyle w:val="P68B1DB1-Normal13"/>
              <w:spacing w:after="0" w:line="240" w:lineRule="auto"/>
              <w:rPr>
                <w:rFonts w:eastAsia="Times New Roman" w:cs="Times New Roman"/>
                <w:noProof/>
              </w:rPr>
            </w:pPr>
            <w:r>
              <w:rPr>
                <w:noProof/>
              </w:rPr>
              <w:t>Wejście w życie ustawy o przedsiębiorstwach typu start-up, która tworzy korzystne ramy dla tworzenia i rozwoju wysoce innowacyjnych przedsiębiorstw typu start-up. Ustawa o przedsiębiorstwach typu start-up wprowadza reformy w zakresie składek podatkowych w formie zachęt mających na celu wspieranie i ułatwianie rozwoju przedsiębiorstw typu start-up, a także przyciąganie zagranicznych przedsiębiorców i inwestorów, zgodnie z celami konsolidacji fiskalnej. Ustawa o przedsiębiorstwach typu start-up przyjmuje również mechanizmy ułatwiające jej wdrożenie i związek ze środkami dotyczącymi ekosystemu przedsiębiorców cyfrowych.</w:t>
            </w:r>
          </w:p>
        </w:tc>
      </w:tr>
      <w:tr w:rsidR="006578ED" w14:paraId="1E6EB94D" w14:textId="77777777">
        <w:trPr>
          <w:trHeight w:val="309"/>
        </w:trPr>
        <w:tc>
          <w:tcPr>
            <w:tcW w:w="709" w:type="dxa"/>
            <w:shd w:val="clear" w:color="auto" w:fill="C6EFCE"/>
            <w:noWrap/>
          </w:tcPr>
          <w:p w14:paraId="318F0EB5" w14:textId="613F4F07" w:rsidR="006578ED" w:rsidRDefault="00A1618E">
            <w:pPr>
              <w:pStyle w:val="P68B1DB1-Normal13"/>
              <w:spacing w:after="0" w:line="240" w:lineRule="auto"/>
              <w:jc w:val="center"/>
              <w:rPr>
                <w:rFonts w:cs="Times New Roman"/>
                <w:noProof/>
              </w:rPr>
            </w:pPr>
            <w:r>
              <w:rPr>
                <w:noProof/>
              </w:rPr>
              <w:t>451</w:t>
            </w:r>
          </w:p>
        </w:tc>
        <w:tc>
          <w:tcPr>
            <w:tcW w:w="851" w:type="dxa"/>
            <w:shd w:val="clear" w:color="auto" w:fill="C6EFCE"/>
            <w:noWrap/>
          </w:tcPr>
          <w:p w14:paraId="5833FDD5" w14:textId="77777777" w:rsidR="006578ED" w:rsidRDefault="00A1618E">
            <w:pPr>
              <w:pStyle w:val="P68B1DB1-Normal13"/>
              <w:spacing w:after="0" w:line="240" w:lineRule="auto"/>
              <w:jc w:val="center"/>
              <w:rPr>
                <w:rFonts w:cs="Times New Roman"/>
                <w:noProof/>
              </w:rPr>
            </w:pPr>
            <w:r>
              <w:rPr>
                <w:noProof/>
              </w:rPr>
              <w:t>C13.R2</w:t>
            </w:r>
          </w:p>
        </w:tc>
        <w:tc>
          <w:tcPr>
            <w:tcW w:w="850" w:type="dxa"/>
            <w:shd w:val="clear" w:color="auto" w:fill="C6EFCE"/>
            <w:noWrap/>
          </w:tcPr>
          <w:p w14:paraId="5D9DCA8A" w14:textId="4C2B3E9B"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096FFB22" w14:textId="06A349A8" w:rsidR="006578ED" w:rsidRDefault="00A1618E">
            <w:pPr>
              <w:pStyle w:val="P68B1DB1-Normal13"/>
              <w:spacing w:after="0" w:line="240" w:lineRule="auto"/>
              <w:rPr>
                <w:rFonts w:cs="Times New Roman"/>
                <w:noProof/>
              </w:rPr>
            </w:pPr>
            <w:r>
              <w:rPr>
                <w:noProof/>
              </w:rPr>
              <w:t>Wejście w życie zmiany ustawy 14/2013 z dnia 27 września o wspieraniu przedsiębiorców i jego umiędzynarodowieniu</w:t>
            </w:r>
          </w:p>
        </w:tc>
        <w:tc>
          <w:tcPr>
            <w:tcW w:w="1134" w:type="dxa"/>
            <w:shd w:val="clear" w:color="auto" w:fill="C6EFCE"/>
            <w:noWrap/>
          </w:tcPr>
          <w:p w14:paraId="28020984" w14:textId="104B069F" w:rsidR="006578ED" w:rsidRDefault="00A1618E">
            <w:pPr>
              <w:pStyle w:val="P68B1DB1-Normal13"/>
              <w:spacing w:after="0" w:line="240" w:lineRule="auto"/>
              <w:jc w:val="center"/>
              <w:rPr>
                <w:rFonts w:cs="Times New Roman"/>
                <w:noProof/>
              </w:rPr>
            </w:pPr>
            <w:r>
              <w:rPr>
                <w:noProof/>
              </w:rPr>
              <w:t>Przepis w zmianie ustawy wskazujący na wejście w życie odpowiednich przepisów</w:t>
            </w:r>
          </w:p>
        </w:tc>
        <w:tc>
          <w:tcPr>
            <w:tcW w:w="709" w:type="dxa"/>
            <w:shd w:val="clear" w:color="auto" w:fill="C6EFCE"/>
            <w:noWrap/>
          </w:tcPr>
          <w:p w14:paraId="7133CF56" w14:textId="77777777" w:rsidR="006578ED" w:rsidRDefault="006578ED">
            <w:pPr>
              <w:spacing w:after="0" w:line="240" w:lineRule="auto"/>
              <w:jc w:val="center"/>
              <w:rPr>
                <w:rFonts w:ascii="Times New Roman" w:hAnsi="Times New Roman" w:cs="Times New Roman"/>
                <w:noProof/>
                <w:sz w:val="18"/>
              </w:rPr>
            </w:pPr>
          </w:p>
        </w:tc>
        <w:tc>
          <w:tcPr>
            <w:tcW w:w="708" w:type="dxa"/>
            <w:shd w:val="clear" w:color="auto" w:fill="C6EFCE"/>
            <w:noWrap/>
          </w:tcPr>
          <w:p w14:paraId="6BA613E5"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5D56298E" w14:textId="77777777" w:rsidR="006578ED" w:rsidRDefault="006578ED">
            <w:pPr>
              <w:spacing w:after="0" w:line="240" w:lineRule="auto"/>
              <w:jc w:val="right"/>
              <w:rPr>
                <w:rFonts w:ascii="Times New Roman" w:hAnsi="Times New Roman" w:cs="Times New Roman"/>
                <w:noProof/>
                <w:sz w:val="18"/>
              </w:rPr>
            </w:pPr>
          </w:p>
        </w:tc>
        <w:tc>
          <w:tcPr>
            <w:tcW w:w="567" w:type="dxa"/>
            <w:shd w:val="clear" w:color="auto" w:fill="C6EFCE"/>
            <w:noWrap/>
          </w:tcPr>
          <w:p w14:paraId="4D85260B" w14:textId="17E752AA"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08115EB3" w14:textId="77777777" w:rsidR="006578ED" w:rsidRDefault="00A1618E">
            <w:pPr>
              <w:pStyle w:val="P68B1DB1-Normal13"/>
              <w:spacing w:after="0" w:line="240" w:lineRule="auto"/>
              <w:jc w:val="center"/>
              <w:rPr>
                <w:rFonts w:cs="Times New Roman"/>
                <w:noProof/>
              </w:rPr>
            </w:pPr>
            <w:r>
              <w:rPr>
                <w:noProof/>
              </w:rPr>
              <w:t>2023</w:t>
            </w:r>
          </w:p>
        </w:tc>
        <w:tc>
          <w:tcPr>
            <w:tcW w:w="6662" w:type="dxa"/>
            <w:shd w:val="clear" w:color="auto" w:fill="C6EFCE"/>
            <w:noWrap/>
          </w:tcPr>
          <w:p w14:paraId="1D6A9F51" w14:textId="6ABFA908" w:rsidR="006578ED" w:rsidRDefault="00A1618E">
            <w:pPr>
              <w:pStyle w:val="P68B1DB1-Normal13"/>
              <w:spacing w:after="0" w:line="240" w:lineRule="auto"/>
              <w:rPr>
                <w:rFonts w:cs="Times New Roman"/>
                <w:noProof/>
              </w:rPr>
            </w:pPr>
            <w:r>
              <w:rPr>
                <w:noProof/>
              </w:rPr>
              <w:t>Wejście w życie odpowiednich przepisów nowelizacji ustawy 14/2013 z dnia 27 września o wspieraniu przedsiębiorców i jego umiędzynarodowieniu zgodnie z opisem środka.</w:t>
            </w:r>
          </w:p>
        </w:tc>
      </w:tr>
      <w:tr w:rsidR="006578ED" w14:paraId="407FE735" w14:textId="77777777">
        <w:trPr>
          <w:trHeight w:val="309"/>
        </w:trPr>
        <w:tc>
          <w:tcPr>
            <w:tcW w:w="709" w:type="dxa"/>
            <w:shd w:val="clear" w:color="auto" w:fill="C6EFCE"/>
            <w:noWrap/>
          </w:tcPr>
          <w:p w14:paraId="18C76E68" w14:textId="6ABC1D27" w:rsidR="006578ED" w:rsidRDefault="00A1618E">
            <w:pPr>
              <w:pStyle w:val="P68B1DB1-Normal13"/>
              <w:spacing w:line="240" w:lineRule="auto"/>
              <w:jc w:val="center"/>
              <w:rPr>
                <w:rFonts w:cs="Times New Roman"/>
                <w:noProof/>
              </w:rPr>
            </w:pPr>
            <w:r>
              <w:rPr>
                <w:noProof/>
              </w:rPr>
              <w:t>452</w:t>
            </w:r>
          </w:p>
        </w:tc>
        <w:tc>
          <w:tcPr>
            <w:tcW w:w="851" w:type="dxa"/>
            <w:shd w:val="clear" w:color="auto" w:fill="C6EFCE"/>
            <w:noWrap/>
          </w:tcPr>
          <w:p w14:paraId="35E33E6F" w14:textId="77777777" w:rsidR="006578ED" w:rsidRDefault="00A1618E">
            <w:pPr>
              <w:pStyle w:val="P68B1DB1-Normal13"/>
              <w:spacing w:line="240" w:lineRule="auto"/>
              <w:jc w:val="center"/>
              <w:rPr>
                <w:rFonts w:cs="Times New Roman"/>
                <w:noProof/>
              </w:rPr>
            </w:pPr>
            <w:r>
              <w:rPr>
                <w:noProof/>
              </w:rPr>
              <w:t>C13.R3</w:t>
            </w:r>
          </w:p>
        </w:tc>
        <w:tc>
          <w:tcPr>
            <w:tcW w:w="850" w:type="dxa"/>
            <w:shd w:val="clear" w:color="auto" w:fill="C6EFCE"/>
            <w:noWrap/>
          </w:tcPr>
          <w:p w14:paraId="69DEFA12" w14:textId="50F05DAE" w:rsidR="006578ED" w:rsidRDefault="00AF6B91">
            <w:pPr>
              <w:pStyle w:val="P68B1DB1-Normal13"/>
              <w:spacing w:after="0" w:line="240" w:lineRule="auto"/>
              <w:jc w:val="center"/>
              <w:rPr>
                <w:rFonts w:cs="Times New Roman"/>
                <w:noProof/>
              </w:rPr>
            </w:pPr>
            <w:r>
              <w:rPr>
                <w:noProof/>
              </w:rPr>
              <w:t>Kamień milowy</w:t>
            </w:r>
          </w:p>
        </w:tc>
        <w:tc>
          <w:tcPr>
            <w:tcW w:w="1985" w:type="dxa"/>
            <w:shd w:val="clear" w:color="auto" w:fill="C6EFCE"/>
            <w:noWrap/>
          </w:tcPr>
          <w:p w14:paraId="2A2C64E6" w14:textId="0ECF4544" w:rsidR="006578ED" w:rsidRDefault="00A1618E">
            <w:pPr>
              <w:pStyle w:val="P68B1DB1-Normal13"/>
              <w:spacing w:after="0" w:line="240" w:lineRule="auto"/>
              <w:rPr>
                <w:rFonts w:cs="Times New Roman"/>
                <w:noProof/>
              </w:rPr>
            </w:pPr>
            <w:r>
              <w:rPr>
                <w:noProof/>
              </w:rPr>
              <w:t>Środki mające na celu poprawę dostępu MŚP do finansowania poprzez zmiany w ustawie 6/2023 z 17 marca 20</w:t>
            </w:r>
            <w:r w:rsidRPr="00A1618E">
              <w:rPr>
                <w:noProof/>
                <w:lang w:val="pl-PL"/>
              </w:rPr>
              <w:t>23 r.</w:t>
            </w:r>
          </w:p>
        </w:tc>
        <w:tc>
          <w:tcPr>
            <w:tcW w:w="1134" w:type="dxa"/>
            <w:shd w:val="clear" w:color="auto" w:fill="C6EFCE"/>
            <w:noWrap/>
          </w:tcPr>
          <w:p w14:paraId="042795AA" w14:textId="3CB7CFB6" w:rsidR="006578ED" w:rsidRDefault="00A1618E">
            <w:pPr>
              <w:pStyle w:val="P68B1DB1-Normal13"/>
              <w:spacing w:after="0" w:line="240" w:lineRule="auto"/>
              <w:jc w:val="center"/>
              <w:rPr>
                <w:rFonts w:cs="Times New Roman"/>
                <w:noProof/>
              </w:rPr>
            </w:pPr>
            <w:r>
              <w:rPr>
                <w:noProof/>
              </w:rPr>
              <w:t>Przepis ustawy wskazujący na wejście w życie ustawy</w:t>
            </w:r>
          </w:p>
        </w:tc>
        <w:tc>
          <w:tcPr>
            <w:tcW w:w="709" w:type="dxa"/>
            <w:shd w:val="clear" w:color="auto" w:fill="C6EFCE"/>
            <w:noWrap/>
          </w:tcPr>
          <w:p w14:paraId="7DA54085" w14:textId="77777777" w:rsidR="006578ED" w:rsidRDefault="006578ED">
            <w:pPr>
              <w:spacing w:line="240" w:lineRule="auto"/>
              <w:jc w:val="center"/>
              <w:rPr>
                <w:rFonts w:ascii="Times New Roman" w:hAnsi="Times New Roman" w:cs="Times New Roman"/>
                <w:noProof/>
                <w:sz w:val="18"/>
              </w:rPr>
            </w:pPr>
          </w:p>
        </w:tc>
        <w:tc>
          <w:tcPr>
            <w:tcW w:w="708" w:type="dxa"/>
            <w:shd w:val="clear" w:color="auto" w:fill="C6EFCE"/>
            <w:noWrap/>
          </w:tcPr>
          <w:p w14:paraId="47A91D23" w14:textId="77777777" w:rsidR="006578ED" w:rsidRDefault="006578ED">
            <w:pPr>
              <w:spacing w:line="240" w:lineRule="auto"/>
              <w:jc w:val="right"/>
              <w:rPr>
                <w:rFonts w:ascii="Times New Roman" w:hAnsi="Times New Roman" w:cs="Times New Roman"/>
                <w:noProof/>
                <w:sz w:val="18"/>
              </w:rPr>
            </w:pPr>
          </w:p>
        </w:tc>
        <w:tc>
          <w:tcPr>
            <w:tcW w:w="709" w:type="dxa"/>
            <w:shd w:val="clear" w:color="auto" w:fill="C6EFCE"/>
            <w:noWrap/>
          </w:tcPr>
          <w:p w14:paraId="3DCF9411" w14:textId="77777777" w:rsidR="006578ED" w:rsidRDefault="006578ED">
            <w:pPr>
              <w:spacing w:line="240" w:lineRule="auto"/>
              <w:jc w:val="right"/>
              <w:rPr>
                <w:rFonts w:ascii="Times New Roman" w:hAnsi="Times New Roman" w:cs="Times New Roman"/>
                <w:noProof/>
                <w:sz w:val="18"/>
              </w:rPr>
            </w:pPr>
          </w:p>
        </w:tc>
        <w:tc>
          <w:tcPr>
            <w:tcW w:w="567" w:type="dxa"/>
            <w:shd w:val="clear" w:color="auto" w:fill="C6EFCE"/>
            <w:noWrap/>
          </w:tcPr>
          <w:p w14:paraId="5F702D89" w14:textId="5C24D1F8" w:rsidR="006578ED" w:rsidRDefault="00EC188C">
            <w:pPr>
              <w:pStyle w:val="P68B1DB1-Normal13"/>
              <w:spacing w:line="240" w:lineRule="auto"/>
              <w:jc w:val="center"/>
              <w:rPr>
                <w:rFonts w:cs="Times New Roman"/>
                <w:noProof/>
              </w:rPr>
            </w:pPr>
            <w:r>
              <w:rPr>
                <w:noProof/>
              </w:rPr>
              <w:t>KW. 2</w:t>
            </w:r>
          </w:p>
        </w:tc>
        <w:tc>
          <w:tcPr>
            <w:tcW w:w="567" w:type="dxa"/>
            <w:shd w:val="clear" w:color="auto" w:fill="C6EFCE"/>
            <w:noWrap/>
          </w:tcPr>
          <w:p w14:paraId="6D8FC70B" w14:textId="77777777" w:rsidR="006578ED" w:rsidRDefault="00A1618E">
            <w:pPr>
              <w:pStyle w:val="P68B1DB1-Normal13"/>
              <w:spacing w:line="240" w:lineRule="auto"/>
              <w:jc w:val="center"/>
              <w:rPr>
                <w:rFonts w:cs="Times New Roman"/>
                <w:noProof/>
              </w:rPr>
            </w:pPr>
            <w:r>
              <w:rPr>
                <w:noProof/>
              </w:rPr>
              <w:t>2024</w:t>
            </w:r>
          </w:p>
        </w:tc>
        <w:tc>
          <w:tcPr>
            <w:tcW w:w="6662" w:type="dxa"/>
            <w:shd w:val="clear" w:color="auto" w:fill="C6EFCE"/>
            <w:noWrap/>
          </w:tcPr>
          <w:p w14:paraId="3FD3EEE0" w14:textId="12A8D37B" w:rsidR="006578ED" w:rsidRDefault="00A1618E">
            <w:pPr>
              <w:pStyle w:val="P68B1DB1-Normal13"/>
              <w:spacing w:line="240" w:lineRule="auto"/>
              <w:rPr>
                <w:rFonts w:cs="Times New Roman"/>
                <w:noProof/>
              </w:rPr>
            </w:pPr>
            <w:r>
              <w:rPr>
                <w:noProof/>
              </w:rPr>
              <w:t>Wejście w życie ustawy o rynkach papierów wartościowych i usługach inwestycyjnych. Upraszcza on proces dopuszczania do obrotu papierów wartościowych o stałym dochodzie, rozszerza dostęp do BME Growth, rozszerza obowiązkową ofertę przejęcia poza papiery wartościowe będące przedmiotem obrotu na rynkach regulowanych na papiery wartościowe będące przedmiotem obrotu na MTF oraz zmniejsza bariery wejścia na rynki finansowe poprzez zniesienie systemu informacyjnego (zwanego interfejsem pohandlowym) służącego monitorowaniu rozliczania, rozrachunku i rejestracji papierów wartościowych.</w:t>
            </w:r>
          </w:p>
        </w:tc>
      </w:tr>
      <w:tr w:rsidR="006578ED" w14:paraId="17D6ADC8" w14:textId="77777777">
        <w:trPr>
          <w:trHeight w:val="309"/>
        </w:trPr>
        <w:tc>
          <w:tcPr>
            <w:tcW w:w="709" w:type="dxa"/>
            <w:shd w:val="clear" w:color="auto" w:fill="C6EFCE"/>
            <w:noWrap/>
          </w:tcPr>
          <w:p w14:paraId="05D5C24F" w14:textId="77777777" w:rsidR="006578ED" w:rsidRDefault="00A1618E">
            <w:pPr>
              <w:pStyle w:val="P68B1DB1-Normal13"/>
              <w:spacing w:after="0" w:line="240" w:lineRule="auto"/>
              <w:jc w:val="center"/>
              <w:rPr>
                <w:rFonts w:eastAsia="Times New Roman" w:cs="Times New Roman"/>
                <w:noProof/>
              </w:rPr>
            </w:pPr>
            <w:r>
              <w:rPr>
                <w:noProof/>
              </w:rPr>
              <w:t>193</w:t>
            </w:r>
          </w:p>
        </w:tc>
        <w:tc>
          <w:tcPr>
            <w:tcW w:w="851" w:type="dxa"/>
            <w:shd w:val="clear" w:color="auto" w:fill="C6EFCE"/>
            <w:noWrap/>
          </w:tcPr>
          <w:p w14:paraId="748C134F" w14:textId="77777777" w:rsidR="006578ED" w:rsidRDefault="00A1618E">
            <w:pPr>
              <w:pStyle w:val="P68B1DB1-Normal13"/>
              <w:spacing w:after="0" w:line="240" w:lineRule="auto"/>
              <w:jc w:val="center"/>
              <w:rPr>
                <w:rFonts w:eastAsia="Times New Roman" w:cs="Times New Roman"/>
                <w:noProof/>
              </w:rPr>
            </w:pPr>
            <w:r>
              <w:rPr>
                <w:noProof/>
              </w:rPr>
              <w:t>C13.I1</w:t>
            </w:r>
          </w:p>
        </w:tc>
        <w:tc>
          <w:tcPr>
            <w:tcW w:w="850" w:type="dxa"/>
            <w:shd w:val="clear" w:color="auto" w:fill="C6EFCE"/>
            <w:noWrap/>
          </w:tcPr>
          <w:p w14:paraId="3CCDA9E5" w14:textId="0F6B6EBC"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38FB9B1F" w14:textId="77777777" w:rsidR="006578ED" w:rsidRDefault="00A1618E">
            <w:pPr>
              <w:pStyle w:val="P68B1DB1-Normal13"/>
              <w:spacing w:after="0" w:line="240" w:lineRule="auto"/>
              <w:rPr>
                <w:rFonts w:eastAsia="Times New Roman" w:cs="Times New Roman"/>
                <w:noProof/>
              </w:rPr>
            </w:pPr>
            <w:r>
              <w:rPr>
                <w:noProof/>
              </w:rPr>
              <w:t>Przedsiębiorcy lub MŚP korzystający ze środków mających na celu pobudzenie ekosystemu przedsiębiorczości</w:t>
            </w:r>
          </w:p>
        </w:tc>
        <w:tc>
          <w:tcPr>
            <w:tcW w:w="1134" w:type="dxa"/>
            <w:shd w:val="clear" w:color="auto" w:fill="C6EFCE"/>
            <w:noWrap/>
          </w:tcPr>
          <w:p w14:paraId="277AC171"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2B5BC2FA"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7A53A9C3"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76A49FD6" w14:textId="77777777" w:rsidR="006578ED" w:rsidRDefault="00A1618E">
            <w:pPr>
              <w:pStyle w:val="P68B1DB1-Normal13"/>
              <w:spacing w:after="0" w:line="240" w:lineRule="auto"/>
              <w:jc w:val="right"/>
              <w:rPr>
                <w:rFonts w:eastAsia="Times New Roman" w:cs="Times New Roman"/>
                <w:noProof/>
              </w:rPr>
            </w:pPr>
            <w:r>
              <w:rPr>
                <w:noProof/>
              </w:rPr>
              <w:t>6 900</w:t>
            </w:r>
          </w:p>
        </w:tc>
        <w:tc>
          <w:tcPr>
            <w:tcW w:w="567" w:type="dxa"/>
            <w:shd w:val="clear" w:color="auto" w:fill="C6EFCE"/>
            <w:noWrap/>
          </w:tcPr>
          <w:p w14:paraId="2494DAA4" w14:textId="6044C403"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7D948FD4" w14:textId="5D588B4A" w:rsidR="006578ED" w:rsidRDefault="00A1618E">
            <w:pPr>
              <w:pStyle w:val="P68B1DB1-Normal13"/>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475EB871" w14:textId="0FBA98BD" w:rsidR="006578ED" w:rsidRDefault="00A1618E">
            <w:pPr>
              <w:pStyle w:val="P68B1DB1-Normal13"/>
              <w:spacing w:after="0" w:line="240" w:lineRule="auto"/>
              <w:rPr>
                <w:rFonts w:eastAsia="Times New Roman" w:cs="Times New Roman"/>
                <w:noProof/>
              </w:rPr>
            </w:pPr>
            <w:r>
              <w:rPr>
                <w:noProof/>
              </w:rPr>
              <w:t xml:space="preserve">Co najmniej 6900 przedsiębiorców lub MŚP ukończyło program mający na celu pobudzenie ekosystemu przedsiębiorczości w ramach strategicznych ram polityki MŚP </w:t>
            </w:r>
            <w:r w:rsidRPr="00A1618E">
              <w:rPr>
                <w:noProof/>
                <w:lang w:val="pl-PL"/>
              </w:rPr>
              <w:t>do 2</w:t>
            </w:r>
            <w:r>
              <w:rPr>
                <w:noProof/>
              </w:rPr>
              <w:t>0</w:t>
            </w:r>
            <w:r w:rsidRPr="00A1618E">
              <w:rPr>
                <w:noProof/>
                <w:lang w:val="pl-PL"/>
              </w:rPr>
              <w:t>30 r.</w:t>
            </w:r>
            <w:r>
              <w:rPr>
                <w:noProof/>
              </w:rPr>
              <w:t>, hiszpańskiej strategii na rzecz przedsiębiorczości i hiszpańskiej agendy cyfrowej 2025, w tym co najmniej 2000 kobiet-przedsiębiorców/MŚP kierowanych lub uczestniczących w nich kobiet. W szczególności 6100 przedsiębiorców otrzymuje wsparcie w ramach programu na rzecz umiejętności przedsiębiorczości (z czego 1200 to kobiety) i 800 kobiet-przedsiębiorców w ramach programu pozyskiwania talentów kobiet oraz zgodnie z wytycznymi technicznymi „nie czyń poważnych szkód” (2021/C58/01) poprzez wykorzystanie wykazu wykluczenia oraz wymóg zgodności z odpowiednimi unijnymi i krajowymi przepisami w zakresie ochrony środowiska.</w:t>
            </w:r>
          </w:p>
        </w:tc>
      </w:tr>
      <w:tr w:rsidR="006578ED" w14:paraId="3CA897A7" w14:textId="77777777">
        <w:trPr>
          <w:trHeight w:val="309"/>
        </w:trPr>
        <w:tc>
          <w:tcPr>
            <w:tcW w:w="709" w:type="dxa"/>
            <w:shd w:val="clear" w:color="auto" w:fill="C6EFCE"/>
            <w:noWrap/>
          </w:tcPr>
          <w:p w14:paraId="21D58642" w14:textId="77777777" w:rsidR="006578ED" w:rsidRDefault="00A1618E">
            <w:pPr>
              <w:pStyle w:val="P68B1DB1-Normal13"/>
              <w:spacing w:after="0" w:line="240" w:lineRule="auto"/>
              <w:jc w:val="center"/>
              <w:rPr>
                <w:rFonts w:eastAsia="Times New Roman" w:cs="Times New Roman"/>
                <w:noProof/>
              </w:rPr>
            </w:pPr>
            <w:r>
              <w:rPr>
                <w:noProof/>
              </w:rPr>
              <w:t>194</w:t>
            </w:r>
          </w:p>
        </w:tc>
        <w:tc>
          <w:tcPr>
            <w:tcW w:w="851" w:type="dxa"/>
            <w:shd w:val="clear" w:color="auto" w:fill="C6EFCE"/>
            <w:noWrap/>
          </w:tcPr>
          <w:p w14:paraId="178C5916" w14:textId="77777777" w:rsidR="006578ED" w:rsidRDefault="00A1618E">
            <w:pPr>
              <w:pStyle w:val="P68B1DB1-Normal13"/>
              <w:spacing w:after="0" w:line="240" w:lineRule="auto"/>
              <w:jc w:val="center"/>
              <w:rPr>
                <w:rFonts w:eastAsia="Times New Roman" w:cs="Times New Roman"/>
                <w:noProof/>
              </w:rPr>
            </w:pPr>
            <w:r>
              <w:rPr>
                <w:noProof/>
              </w:rPr>
              <w:t>C13.I1</w:t>
            </w:r>
          </w:p>
        </w:tc>
        <w:tc>
          <w:tcPr>
            <w:tcW w:w="850" w:type="dxa"/>
            <w:shd w:val="clear" w:color="auto" w:fill="C6EFCE"/>
            <w:noWrap/>
          </w:tcPr>
          <w:p w14:paraId="7E4262ED" w14:textId="4DFD29C8"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53DA184E" w14:textId="77777777" w:rsidR="006578ED" w:rsidRDefault="00A1618E">
            <w:pPr>
              <w:pStyle w:val="P68B1DB1-Normal13"/>
              <w:spacing w:after="0" w:line="240" w:lineRule="auto"/>
              <w:rPr>
                <w:rFonts w:eastAsia="Times New Roman" w:cs="Times New Roman"/>
                <w:noProof/>
              </w:rPr>
            </w:pPr>
            <w:r>
              <w:rPr>
                <w:noProof/>
              </w:rPr>
              <w:t>Użytkownicy korzystający ze środków mających na celu pobudzenie ekosystemu przedsiębiorczości</w:t>
            </w:r>
          </w:p>
        </w:tc>
        <w:tc>
          <w:tcPr>
            <w:tcW w:w="1134" w:type="dxa"/>
            <w:shd w:val="clear" w:color="auto" w:fill="C6EFCE"/>
            <w:noWrap/>
          </w:tcPr>
          <w:p w14:paraId="70E34C10"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5AE9F8F2"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5D0054EC"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70C6C8FC" w14:textId="77777777" w:rsidR="006578ED" w:rsidRDefault="00A1618E">
            <w:pPr>
              <w:pStyle w:val="P68B1DB1-Normal13"/>
              <w:spacing w:after="0" w:line="240" w:lineRule="auto"/>
              <w:jc w:val="right"/>
              <w:rPr>
                <w:rFonts w:eastAsia="Times New Roman" w:cs="Times New Roman"/>
                <w:noProof/>
              </w:rPr>
            </w:pPr>
            <w:r>
              <w:rPr>
                <w:noProof/>
              </w:rPr>
              <w:t>12 000</w:t>
            </w:r>
          </w:p>
        </w:tc>
        <w:tc>
          <w:tcPr>
            <w:tcW w:w="567" w:type="dxa"/>
            <w:shd w:val="clear" w:color="auto" w:fill="C6EFCE"/>
            <w:noWrap/>
          </w:tcPr>
          <w:p w14:paraId="151950EE" w14:textId="7EBFBEF9"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074264CD"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1921B1A4" w14:textId="55A8B5A3" w:rsidR="006578ED" w:rsidRDefault="00A1618E">
            <w:pPr>
              <w:pStyle w:val="P68B1DB1-Normal8"/>
              <w:spacing w:after="0" w:line="240" w:lineRule="auto"/>
              <w:rPr>
                <w:rFonts w:eastAsia="Times New Roman" w:cs="Times New Roman"/>
                <w:noProof/>
                <w:sz w:val="18"/>
              </w:rPr>
            </w:pPr>
            <w:r>
              <w:rPr>
                <w:noProof/>
                <w:sz w:val="18"/>
              </w:rPr>
              <w:t xml:space="preserve">Co najmniej 12000 użytkowników korzystających ze środków mających na celu pobudzenie ekosystemu przedsiębiorczości w ramach strategicznych ram polityki MŚP </w:t>
            </w:r>
            <w:r w:rsidRPr="00A1618E">
              <w:rPr>
                <w:noProof/>
                <w:sz w:val="18"/>
                <w:lang w:val="pl-PL"/>
              </w:rPr>
              <w:t>do 2</w:t>
            </w:r>
            <w:r>
              <w:rPr>
                <w:noProof/>
                <w:sz w:val="18"/>
              </w:rPr>
              <w:t>0</w:t>
            </w:r>
            <w:r w:rsidRPr="00A1618E">
              <w:rPr>
                <w:noProof/>
                <w:sz w:val="18"/>
                <w:lang w:val="pl-PL"/>
              </w:rPr>
              <w:t>30 r.</w:t>
            </w:r>
            <w:r>
              <w:rPr>
                <w:noProof/>
                <w:sz w:val="18"/>
              </w:rPr>
              <w:t>, hiszpańskiej strategii na rzecz przedsiębiorczości i hiszpańskiej agendy cyfrowej 2025; oraz zgodnie z wytycznymi technicznymi dotyczącymi zasady „nie czyń poważnych szkód” (2021/C58/01) poprzez</w:t>
            </w:r>
            <w:r>
              <w:rPr>
                <w:noProof/>
              </w:rPr>
              <w:t xml:space="preserve"> </w:t>
            </w:r>
            <w:r>
              <w:rPr>
                <w:noProof/>
                <w:sz w:val="18"/>
              </w:rPr>
              <w:t>wykorzystanie wykazu wyłączeń oraz z wymogiem zgodności z odpowiednimi unijnymi i krajowymi przepisami w zakresie ochrony środowiska.</w:t>
            </w:r>
          </w:p>
        </w:tc>
      </w:tr>
      <w:tr w:rsidR="006578ED" w14:paraId="00F9D5E0" w14:textId="77777777">
        <w:trPr>
          <w:trHeight w:val="309"/>
        </w:trPr>
        <w:tc>
          <w:tcPr>
            <w:tcW w:w="709" w:type="dxa"/>
            <w:shd w:val="clear" w:color="auto" w:fill="C6EFCE"/>
            <w:noWrap/>
          </w:tcPr>
          <w:p w14:paraId="2ACEA88D" w14:textId="77777777" w:rsidR="006578ED" w:rsidRDefault="00A1618E">
            <w:pPr>
              <w:pStyle w:val="P68B1DB1-Normal13"/>
              <w:spacing w:after="0" w:line="240" w:lineRule="auto"/>
              <w:jc w:val="center"/>
              <w:rPr>
                <w:rFonts w:eastAsia="Times New Roman" w:cs="Times New Roman"/>
                <w:noProof/>
              </w:rPr>
            </w:pPr>
            <w:r>
              <w:rPr>
                <w:noProof/>
              </w:rPr>
              <w:t>195</w:t>
            </w:r>
          </w:p>
        </w:tc>
        <w:tc>
          <w:tcPr>
            <w:tcW w:w="851" w:type="dxa"/>
            <w:shd w:val="clear" w:color="auto" w:fill="C6EFCE"/>
            <w:noWrap/>
          </w:tcPr>
          <w:p w14:paraId="5524FC9E" w14:textId="77777777" w:rsidR="006578ED" w:rsidRDefault="00A1618E">
            <w:pPr>
              <w:pStyle w:val="P68B1DB1-Normal13"/>
              <w:spacing w:after="0" w:line="240" w:lineRule="auto"/>
              <w:jc w:val="center"/>
              <w:rPr>
                <w:rFonts w:eastAsia="Times New Roman" w:cs="Times New Roman"/>
                <w:noProof/>
              </w:rPr>
            </w:pPr>
            <w:r>
              <w:rPr>
                <w:noProof/>
              </w:rPr>
              <w:t>C13.I1</w:t>
            </w:r>
          </w:p>
        </w:tc>
        <w:tc>
          <w:tcPr>
            <w:tcW w:w="850" w:type="dxa"/>
            <w:shd w:val="clear" w:color="auto" w:fill="C6EFCE"/>
            <w:noWrap/>
          </w:tcPr>
          <w:p w14:paraId="06FC199C" w14:textId="0293042A"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106F31D8" w14:textId="53875FA7" w:rsidR="006578ED" w:rsidRDefault="00A1618E">
            <w:pPr>
              <w:pStyle w:val="P68B1DB1-Normal13"/>
              <w:spacing w:after="0" w:line="240" w:lineRule="auto"/>
              <w:rPr>
                <w:rFonts w:eastAsia="Times New Roman" w:cs="Times New Roman"/>
                <w:noProof/>
              </w:rPr>
            </w:pPr>
            <w:r>
              <w:rPr>
                <w:noProof/>
              </w:rPr>
              <w:t>Rozpowszechnianie, komunikacja i finansowanie innych działań</w:t>
            </w:r>
          </w:p>
        </w:tc>
        <w:tc>
          <w:tcPr>
            <w:tcW w:w="1134" w:type="dxa"/>
            <w:shd w:val="clear" w:color="auto" w:fill="C6EFCE"/>
            <w:noWrap/>
          </w:tcPr>
          <w:p w14:paraId="14D7D97A"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7BEE507"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316510DD"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0D44C787" w14:textId="77777777" w:rsidR="006578ED" w:rsidRDefault="00A1618E">
            <w:pPr>
              <w:pStyle w:val="P68B1DB1-Normal13"/>
              <w:spacing w:after="0" w:line="240" w:lineRule="auto"/>
              <w:jc w:val="right"/>
              <w:rPr>
                <w:rFonts w:eastAsia="Times New Roman" w:cs="Times New Roman"/>
                <w:noProof/>
              </w:rPr>
            </w:pPr>
            <w:r>
              <w:rPr>
                <w:noProof/>
              </w:rPr>
              <w:t>480</w:t>
            </w:r>
          </w:p>
        </w:tc>
        <w:tc>
          <w:tcPr>
            <w:tcW w:w="567" w:type="dxa"/>
            <w:shd w:val="clear" w:color="auto" w:fill="C6EFCE"/>
            <w:noWrap/>
          </w:tcPr>
          <w:p w14:paraId="22A74655" w14:textId="4C24CBDD"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0641FEE1" w14:textId="4A074EF8" w:rsidR="006578ED" w:rsidRDefault="00A1618E">
            <w:pPr>
              <w:pStyle w:val="P68B1DB1-Normal13"/>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2CDBA29B" w14:textId="75F3CC4E" w:rsidR="006578ED" w:rsidRDefault="00A1618E">
            <w:pPr>
              <w:pStyle w:val="P68B1DB1-Normal13"/>
              <w:spacing w:after="0" w:line="240" w:lineRule="auto"/>
              <w:rPr>
                <w:rFonts w:eastAsia="Times New Roman" w:cs="Times New Roman"/>
                <w:noProof/>
              </w:rPr>
            </w:pPr>
            <w:r>
              <w:rPr>
                <w:noProof/>
              </w:rPr>
              <w:t>Ukończono co najmniej 480 działań mających na celu rozpowszechnianie i kampanie informacyjne na rzecz tworzenia, rozwijania lub przyciągania do Hiszpanii międzynarodowych wydarzeń koncentrujących się na innowacyjnych przedsiębiorstwach oraz programów przyciągających utalentowane kobiety. Obejmuje to co najmniej 20 wydarzeń dotyczących przedsiębiorczości opracowanych w ramach programu „Flag”; oraz co najmniej 260 działań komunikacyjnych (200 wystąpień medialnych i 60 wydarzeń) pod hasłem „Brand Spain Entrepreneurship Nation”.</w:t>
            </w:r>
            <w:r>
              <w:rPr>
                <w:noProof/>
              </w:rPr>
              <w:br/>
              <w:t>Finansowanie linii wsparcia dla przedsiębiorczości i MŚP za pośrednictwem programu na rzecz wspierania przedsiębiorczości kobiet. Obejmuje to wsparcie dla co najmniej 200 kobiet-przedsiębiorców poprzez pożyczki partycypacyjne udzielone przez Empresa Nacional de Innovación, S.A., zgodnie z wytycznymi technicznymi dotyczącymi zasady „nie czyń poważnych szkód” (2021/C58/01) w odniesieniu do transakcji objętych wsparciem w ramach tego środka poprzez stosowanie kontroli zrównoważonego charakteru projektów, stosowanie wykazu wykluczenia oraz wymóg zgodności z odpowiednimi unijnymi i krajowymi przepisami w zakresie ochrony środowiska.</w:t>
            </w:r>
          </w:p>
        </w:tc>
      </w:tr>
      <w:tr w:rsidR="006578ED" w14:paraId="7C8C54B0" w14:textId="77777777">
        <w:trPr>
          <w:trHeight w:val="309"/>
        </w:trPr>
        <w:tc>
          <w:tcPr>
            <w:tcW w:w="709" w:type="dxa"/>
            <w:shd w:val="clear" w:color="auto" w:fill="C6EFCE"/>
            <w:noWrap/>
          </w:tcPr>
          <w:p w14:paraId="0B8EA362" w14:textId="77777777" w:rsidR="006578ED" w:rsidRDefault="00A1618E">
            <w:pPr>
              <w:pStyle w:val="P68B1DB1-Normal13"/>
              <w:spacing w:after="0" w:line="240" w:lineRule="auto"/>
              <w:jc w:val="center"/>
              <w:rPr>
                <w:rFonts w:eastAsia="Times New Roman" w:cs="Times New Roman"/>
                <w:noProof/>
              </w:rPr>
            </w:pPr>
            <w:r>
              <w:rPr>
                <w:noProof/>
              </w:rPr>
              <w:t>196</w:t>
            </w:r>
          </w:p>
        </w:tc>
        <w:tc>
          <w:tcPr>
            <w:tcW w:w="851" w:type="dxa"/>
            <w:shd w:val="clear" w:color="auto" w:fill="C6EFCE"/>
            <w:noWrap/>
          </w:tcPr>
          <w:p w14:paraId="7A1E9222" w14:textId="77777777" w:rsidR="006578ED" w:rsidRDefault="00A1618E">
            <w:pPr>
              <w:pStyle w:val="P68B1DB1-Normal13"/>
              <w:spacing w:after="0" w:line="240" w:lineRule="auto"/>
              <w:jc w:val="center"/>
              <w:rPr>
                <w:rFonts w:eastAsia="Times New Roman" w:cs="Times New Roman"/>
                <w:noProof/>
              </w:rPr>
            </w:pPr>
            <w:r>
              <w:rPr>
                <w:noProof/>
              </w:rPr>
              <w:t>C13.I2</w:t>
            </w:r>
          </w:p>
        </w:tc>
        <w:tc>
          <w:tcPr>
            <w:tcW w:w="850" w:type="dxa"/>
            <w:shd w:val="clear" w:color="auto" w:fill="C6EFCE"/>
            <w:noWrap/>
          </w:tcPr>
          <w:p w14:paraId="01D91C27" w14:textId="073C97A1"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0119AE5B" w14:textId="77777777" w:rsidR="006578ED" w:rsidRDefault="00A1618E">
            <w:pPr>
              <w:pStyle w:val="P68B1DB1-Normal13"/>
              <w:spacing w:after="0" w:line="240" w:lineRule="auto"/>
              <w:rPr>
                <w:rFonts w:eastAsia="Times New Roman" w:cs="Times New Roman"/>
                <w:noProof/>
              </w:rPr>
            </w:pPr>
            <w:r>
              <w:rPr>
                <w:noProof/>
              </w:rPr>
              <w:t>Gwarancja CERSA</w:t>
            </w:r>
          </w:p>
        </w:tc>
        <w:tc>
          <w:tcPr>
            <w:tcW w:w="1134" w:type="dxa"/>
            <w:shd w:val="clear" w:color="auto" w:fill="C6EFCE"/>
            <w:noWrap/>
          </w:tcPr>
          <w:p w14:paraId="514296A7"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029A5AFC" w14:textId="77777777" w:rsidR="006578ED" w:rsidRDefault="00A1618E">
            <w:pPr>
              <w:pStyle w:val="P68B1DB1-Normal13"/>
              <w:spacing w:after="0" w:line="240" w:lineRule="auto"/>
              <w:jc w:val="center"/>
              <w:rPr>
                <w:rFonts w:eastAsia="Times New Roman" w:cs="Times New Roman"/>
                <w:noProof/>
              </w:rPr>
            </w:pPr>
            <w:r>
              <w:rPr>
                <w:noProof/>
              </w:rPr>
              <w:t xml:space="preserve">W mln EUR </w:t>
            </w:r>
          </w:p>
        </w:tc>
        <w:tc>
          <w:tcPr>
            <w:tcW w:w="708" w:type="dxa"/>
            <w:shd w:val="clear" w:color="auto" w:fill="C6EFCE"/>
            <w:noWrap/>
          </w:tcPr>
          <w:p w14:paraId="76A11F81"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1E428D48" w14:textId="77777777" w:rsidR="006578ED" w:rsidRDefault="00A1618E">
            <w:pPr>
              <w:pStyle w:val="P68B1DB1-Normal13"/>
              <w:spacing w:after="0" w:line="240" w:lineRule="auto"/>
              <w:jc w:val="right"/>
              <w:rPr>
                <w:rFonts w:eastAsia="Times New Roman" w:cs="Times New Roman"/>
                <w:noProof/>
              </w:rPr>
            </w:pPr>
            <w:r>
              <w:rPr>
                <w:noProof/>
              </w:rPr>
              <w:t>1 000</w:t>
            </w:r>
          </w:p>
        </w:tc>
        <w:tc>
          <w:tcPr>
            <w:tcW w:w="567" w:type="dxa"/>
            <w:shd w:val="clear" w:color="auto" w:fill="C6EFCE"/>
            <w:noWrap/>
          </w:tcPr>
          <w:p w14:paraId="7A32BF78" w14:textId="3462C34A"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07E86744"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79CE5B2A" w14:textId="079F948B" w:rsidR="006578ED" w:rsidRDefault="00A1618E">
            <w:pPr>
              <w:pStyle w:val="P68B1DB1-Normal13"/>
              <w:spacing w:after="0" w:line="240" w:lineRule="auto"/>
              <w:rPr>
                <w:rFonts w:eastAsia="Times New Roman" w:cs="Times New Roman"/>
                <w:noProof/>
              </w:rPr>
            </w:pPr>
            <w:r>
              <w:rPr>
                <w:noProof/>
              </w:rPr>
              <w:t xml:space="preserve">Gwarancja CERSA: Co najmniej 1 000 000 000 EUR gwarancji udzielonych przez CERSA umożliwiających MŚP uzyskanie gwarancji na inwestycje długoterminowe i kapitał obrotowy. Kryteria wyboru muszą zapewniać zgodność z wytycznymi technicznymi dotyczącymi zasady „nie czyń poważnych szkód” (2021/C58/01) transakcji objętych wsparciem w ramach tego środka poprzez stosowanie kontroli zrównoważonego charakteru projektów, stosowanie wykazu wykluczenia oraz wymóg zgodności z odpowiednimi unijnymi i krajowymi przepisami w zakresie ochrony środowiska. </w:t>
            </w:r>
          </w:p>
        </w:tc>
      </w:tr>
      <w:tr w:rsidR="006578ED" w14:paraId="321DC7FB" w14:textId="77777777">
        <w:trPr>
          <w:trHeight w:val="309"/>
        </w:trPr>
        <w:tc>
          <w:tcPr>
            <w:tcW w:w="709" w:type="dxa"/>
            <w:shd w:val="clear" w:color="auto" w:fill="C6EFCE"/>
            <w:noWrap/>
          </w:tcPr>
          <w:p w14:paraId="2E99DCA6" w14:textId="77777777" w:rsidR="006578ED" w:rsidRDefault="00A1618E">
            <w:pPr>
              <w:pStyle w:val="P68B1DB1-Normal13"/>
              <w:spacing w:after="0" w:line="240" w:lineRule="auto"/>
              <w:jc w:val="center"/>
              <w:rPr>
                <w:rFonts w:eastAsia="Times New Roman" w:cs="Times New Roman"/>
                <w:noProof/>
              </w:rPr>
            </w:pPr>
            <w:r>
              <w:rPr>
                <w:noProof/>
              </w:rPr>
              <w:t>197</w:t>
            </w:r>
          </w:p>
        </w:tc>
        <w:tc>
          <w:tcPr>
            <w:tcW w:w="851" w:type="dxa"/>
            <w:shd w:val="clear" w:color="auto" w:fill="C6EFCE"/>
            <w:noWrap/>
          </w:tcPr>
          <w:p w14:paraId="5FB297C2" w14:textId="77777777" w:rsidR="006578ED" w:rsidRDefault="00A1618E">
            <w:pPr>
              <w:pStyle w:val="P68B1DB1-Normal13"/>
              <w:spacing w:after="0" w:line="240" w:lineRule="auto"/>
              <w:jc w:val="center"/>
              <w:rPr>
                <w:rFonts w:eastAsia="Times New Roman" w:cs="Times New Roman"/>
                <w:noProof/>
              </w:rPr>
            </w:pPr>
            <w:r>
              <w:rPr>
                <w:noProof/>
              </w:rPr>
              <w:t>C13.I2</w:t>
            </w:r>
          </w:p>
        </w:tc>
        <w:tc>
          <w:tcPr>
            <w:tcW w:w="850" w:type="dxa"/>
            <w:shd w:val="clear" w:color="auto" w:fill="C6EFCE"/>
            <w:noWrap/>
          </w:tcPr>
          <w:p w14:paraId="6174C3F1" w14:textId="35A3AD34"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578DE5EB" w14:textId="49F73561" w:rsidR="006578ED" w:rsidRDefault="00A1618E">
            <w:pPr>
              <w:pStyle w:val="P68B1DB1-Normal13"/>
              <w:spacing w:after="0" w:line="240" w:lineRule="auto"/>
              <w:rPr>
                <w:rFonts w:eastAsia="Times New Roman" w:cs="Times New Roman"/>
                <w:noProof/>
              </w:rPr>
            </w:pPr>
            <w:r>
              <w:rPr>
                <w:noProof/>
              </w:rPr>
              <w:t>MŚP wspierane w ramach programu „Umiejętności na rzecz wzrostu MŚP”</w:t>
            </w:r>
          </w:p>
        </w:tc>
        <w:tc>
          <w:tcPr>
            <w:tcW w:w="1134" w:type="dxa"/>
            <w:shd w:val="clear" w:color="auto" w:fill="C6EFCE"/>
            <w:noWrap/>
          </w:tcPr>
          <w:p w14:paraId="79BA3B63"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8854F0E"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2D36C34C"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28EF1427" w14:textId="77777777" w:rsidR="006578ED" w:rsidRDefault="00A1618E">
            <w:pPr>
              <w:pStyle w:val="P68B1DB1-Normal13"/>
              <w:spacing w:after="0" w:line="240" w:lineRule="auto"/>
              <w:jc w:val="right"/>
              <w:rPr>
                <w:rFonts w:eastAsia="Times New Roman" w:cs="Times New Roman"/>
                <w:noProof/>
              </w:rPr>
            </w:pPr>
            <w:r>
              <w:rPr>
                <w:noProof/>
              </w:rPr>
              <w:t>11 000</w:t>
            </w:r>
          </w:p>
        </w:tc>
        <w:tc>
          <w:tcPr>
            <w:tcW w:w="567" w:type="dxa"/>
            <w:shd w:val="clear" w:color="auto" w:fill="C6EFCE"/>
            <w:noWrap/>
          </w:tcPr>
          <w:p w14:paraId="76E4D1F7" w14:textId="09AC2DFE"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4357DA9B" w14:textId="156D549E" w:rsidR="006578ED" w:rsidRDefault="00A1618E">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1C6A391D" w14:textId="3433AD05" w:rsidR="006578ED" w:rsidRDefault="00A1618E">
            <w:pPr>
              <w:pStyle w:val="P68B1DB1-Normal13"/>
              <w:spacing w:after="0" w:line="240" w:lineRule="auto"/>
              <w:rPr>
                <w:rFonts w:eastAsia="Times New Roman" w:cs="Times New Roman"/>
                <w:noProof/>
              </w:rPr>
            </w:pPr>
            <w:r>
              <w:rPr>
                <w:noProof/>
              </w:rPr>
              <w:t>Co najmniej 11000 MŚP ukończyło program „Umiejętności na rzecz wzrostu MŚP”. Kryteria wyboru zapewniają zgodność z wytycznymi technicznymi dotyczącymi zasady „nie czyń poważnych szkód” (2021/C58/01) poprzez wykorzystanie wykazu wykluczenia oraz wymóg zgodności z odpowiednimi unijnymi i krajowymi przepisami w zakresie ochrony środowiska.</w:t>
            </w:r>
          </w:p>
        </w:tc>
      </w:tr>
      <w:tr w:rsidR="006578ED" w14:paraId="410A7318" w14:textId="77777777">
        <w:trPr>
          <w:trHeight w:val="309"/>
        </w:trPr>
        <w:tc>
          <w:tcPr>
            <w:tcW w:w="709" w:type="dxa"/>
            <w:shd w:val="clear" w:color="auto" w:fill="C6EFCE"/>
            <w:noWrap/>
          </w:tcPr>
          <w:p w14:paraId="3B8DB5BC" w14:textId="77777777" w:rsidR="006578ED" w:rsidRDefault="00A1618E">
            <w:pPr>
              <w:pStyle w:val="P68B1DB1-Normal13"/>
              <w:spacing w:after="0" w:line="240" w:lineRule="auto"/>
              <w:jc w:val="center"/>
              <w:rPr>
                <w:rFonts w:eastAsia="Times New Roman" w:cs="Times New Roman"/>
                <w:noProof/>
              </w:rPr>
            </w:pPr>
            <w:r>
              <w:rPr>
                <w:noProof/>
              </w:rPr>
              <w:t>198</w:t>
            </w:r>
          </w:p>
        </w:tc>
        <w:tc>
          <w:tcPr>
            <w:tcW w:w="851" w:type="dxa"/>
            <w:shd w:val="clear" w:color="auto" w:fill="C6EFCE"/>
            <w:noWrap/>
          </w:tcPr>
          <w:p w14:paraId="4681C710" w14:textId="77777777" w:rsidR="006578ED" w:rsidRDefault="00A1618E">
            <w:pPr>
              <w:pStyle w:val="P68B1DB1-Normal13"/>
              <w:spacing w:after="0" w:line="240" w:lineRule="auto"/>
              <w:jc w:val="center"/>
              <w:rPr>
                <w:rFonts w:eastAsia="Times New Roman" w:cs="Times New Roman"/>
                <w:noProof/>
              </w:rPr>
            </w:pPr>
            <w:r>
              <w:rPr>
                <w:noProof/>
              </w:rPr>
              <w:t>C13.I2</w:t>
            </w:r>
          </w:p>
        </w:tc>
        <w:tc>
          <w:tcPr>
            <w:tcW w:w="850" w:type="dxa"/>
            <w:shd w:val="clear" w:color="auto" w:fill="C6EFCE"/>
            <w:noWrap/>
          </w:tcPr>
          <w:p w14:paraId="7BBE7B83" w14:textId="1E4A0215"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55955476" w14:textId="431929B2" w:rsidR="006578ED" w:rsidRDefault="00A1618E">
            <w:pPr>
              <w:pStyle w:val="P68B1DB1-Normal13"/>
              <w:spacing w:after="0" w:line="240" w:lineRule="auto"/>
              <w:rPr>
                <w:rFonts w:eastAsia="Times New Roman" w:cs="Times New Roman"/>
                <w:noProof/>
              </w:rPr>
            </w:pPr>
            <w:r>
              <w:rPr>
                <w:noProof/>
              </w:rPr>
              <w:t>Przedsiębiorcy i MŚP wspierani w ramach programu wspierania przedsiębiorczości przemysłowej</w:t>
            </w:r>
          </w:p>
        </w:tc>
        <w:tc>
          <w:tcPr>
            <w:tcW w:w="1134" w:type="dxa"/>
            <w:shd w:val="clear" w:color="auto" w:fill="C6EFCE"/>
            <w:noWrap/>
          </w:tcPr>
          <w:p w14:paraId="5CD62714"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1EA61FE8"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6622C180"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E662A82" w14:textId="77777777" w:rsidR="006578ED" w:rsidRDefault="00A1618E">
            <w:pPr>
              <w:pStyle w:val="P68B1DB1-Normal13"/>
              <w:spacing w:after="0" w:line="240" w:lineRule="auto"/>
              <w:jc w:val="right"/>
              <w:rPr>
                <w:rFonts w:eastAsia="Times New Roman" w:cs="Times New Roman"/>
                <w:noProof/>
              </w:rPr>
            </w:pPr>
            <w:r>
              <w:rPr>
                <w:noProof/>
              </w:rPr>
              <w:t>1 500</w:t>
            </w:r>
          </w:p>
        </w:tc>
        <w:tc>
          <w:tcPr>
            <w:tcW w:w="567" w:type="dxa"/>
            <w:shd w:val="clear" w:color="auto" w:fill="C6EFCE"/>
            <w:noWrap/>
          </w:tcPr>
          <w:p w14:paraId="1079A35B" w14:textId="5075C695"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257CA3A4"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399E8C4A" w14:textId="79A6E0C0" w:rsidR="006578ED" w:rsidRDefault="00A1618E">
            <w:pPr>
              <w:pStyle w:val="P68B1DB1-Normal13"/>
              <w:spacing w:after="0" w:line="240" w:lineRule="auto"/>
              <w:rPr>
                <w:rFonts w:cs="Times New Roman"/>
                <w:noProof/>
              </w:rPr>
            </w:pPr>
            <w:r>
              <w:rPr>
                <w:noProof/>
              </w:rPr>
              <w:t>Przedsiębiorcy i MŚP otrzymują długoterminowe finansowanie projektów inwestycji przemysłowych w ramach programu wspierania przedsiębiorczości przemysłowej. Zapewnia się finansowanie tworzenia przedsiębiorstw przemysłowych lub rozbudowy istniejących obiektów.</w:t>
            </w:r>
            <w:r>
              <w:rPr>
                <w:noProof/>
              </w:rPr>
              <w:br/>
              <w:t>Co najmniej 1500 operacji, które otrzymały finansowanie od dnia 1 stycznia 20</w:t>
            </w:r>
            <w:r w:rsidRPr="00A1618E">
              <w:rPr>
                <w:noProof/>
                <w:lang w:val="pl-PL"/>
              </w:rPr>
              <w:t>21 r.</w:t>
            </w:r>
            <w:r>
              <w:rPr>
                <w:noProof/>
              </w:rPr>
              <w:t xml:space="preserve"> do dnia 31 grudnia 20</w:t>
            </w:r>
            <w:r w:rsidRPr="00A1618E">
              <w:rPr>
                <w:noProof/>
                <w:lang w:val="pl-PL"/>
              </w:rPr>
              <w:t>23 r.</w:t>
            </w:r>
            <w:r>
              <w:rPr>
                <w:noProof/>
              </w:rPr>
              <w:t xml:space="preserve"> Kryteria wyboru zapewniają zgodność z wytycznymi technicznymi dotyczącymi zasady „nie czyń poważnych szkód” (2021/C58/01) poprzez wykorzystanie wykazu wykluczenia oraz wymóg zgodności z odpowiednimi unijnymi i krajowymi przepisami w zakresie ochrony środowiska.</w:t>
            </w:r>
          </w:p>
          <w:p w14:paraId="1278D830" w14:textId="264B5737" w:rsidR="006578ED" w:rsidRDefault="00A1618E">
            <w:pPr>
              <w:pStyle w:val="P68B1DB1-Normal13"/>
              <w:spacing w:after="0" w:line="240" w:lineRule="auto"/>
              <w:rPr>
                <w:rFonts w:eastAsia="Times New Roman" w:cs="Times New Roman"/>
                <w:noProof/>
              </w:rPr>
            </w:pPr>
            <w:r>
              <w:rPr>
                <w:noProof/>
              </w:rPr>
              <w:t>(Podstawa: 1 stycznia 20</w:t>
            </w:r>
            <w:r w:rsidRPr="00A1618E">
              <w:rPr>
                <w:noProof/>
                <w:lang w:val="pl-PL"/>
              </w:rPr>
              <w:t>21 r.</w:t>
            </w:r>
            <w:r>
              <w:rPr>
                <w:noProof/>
              </w:rPr>
              <w:t>)</w:t>
            </w:r>
          </w:p>
        </w:tc>
      </w:tr>
      <w:tr w:rsidR="006578ED" w14:paraId="10D7EEA5" w14:textId="77777777">
        <w:trPr>
          <w:trHeight w:val="309"/>
        </w:trPr>
        <w:tc>
          <w:tcPr>
            <w:tcW w:w="709" w:type="dxa"/>
            <w:shd w:val="clear" w:color="auto" w:fill="C6EFCE"/>
            <w:noWrap/>
          </w:tcPr>
          <w:p w14:paraId="48EE2866" w14:textId="77777777" w:rsidR="006578ED" w:rsidRDefault="00A1618E">
            <w:pPr>
              <w:pStyle w:val="P68B1DB1-Normal13"/>
              <w:spacing w:after="0" w:line="240" w:lineRule="auto"/>
              <w:jc w:val="center"/>
              <w:rPr>
                <w:rFonts w:eastAsia="Times New Roman" w:cs="Times New Roman"/>
                <w:noProof/>
              </w:rPr>
            </w:pPr>
            <w:r>
              <w:rPr>
                <w:noProof/>
              </w:rPr>
              <w:t>199</w:t>
            </w:r>
          </w:p>
        </w:tc>
        <w:tc>
          <w:tcPr>
            <w:tcW w:w="851" w:type="dxa"/>
            <w:shd w:val="clear" w:color="auto" w:fill="C6EFCE"/>
            <w:noWrap/>
          </w:tcPr>
          <w:p w14:paraId="7390B23C"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11129831" w14:textId="250A93A7" w:rsidR="006578ED" w:rsidRDefault="00AF6B91">
            <w:pPr>
              <w:pStyle w:val="P68B1DB1-Normal13"/>
              <w:spacing w:after="0" w:line="240" w:lineRule="auto"/>
              <w:jc w:val="center"/>
              <w:rPr>
                <w:rFonts w:eastAsia="Times New Roman" w:cs="Times New Roman"/>
                <w:noProof/>
              </w:rPr>
            </w:pPr>
            <w:r>
              <w:rPr>
                <w:noProof/>
              </w:rPr>
              <w:t>Kamień milowy</w:t>
            </w:r>
          </w:p>
        </w:tc>
        <w:tc>
          <w:tcPr>
            <w:tcW w:w="1985" w:type="dxa"/>
            <w:shd w:val="clear" w:color="auto" w:fill="C6EFCE"/>
            <w:noWrap/>
          </w:tcPr>
          <w:p w14:paraId="116554F6" w14:textId="77777777" w:rsidR="006578ED" w:rsidRDefault="00A1618E">
            <w:pPr>
              <w:pStyle w:val="P68B1DB1-Normal13"/>
              <w:spacing w:after="0" w:line="240" w:lineRule="auto"/>
              <w:rPr>
                <w:rFonts w:eastAsia="Times New Roman" w:cs="Times New Roman"/>
                <w:noProof/>
              </w:rPr>
            </w:pPr>
            <w:r>
              <w:rPr>
                <w:noProof/>
              </w:rPr>
              <w:t>Plan cyfryzacji MŚP na lata 2021–2025</w:t>
            </w:r>
          </w:p>
        </w:tc>
        <w:tc>
          <w:tcPr>
            <w:tcW w:w="1134" w:type="dxa"/>
            <w:shd w:val="clear" w:color="auto" w:fill="C6EFCE"/>
            <w:noWrap/>
          </w:tcPr>
          <w:p w14:paraId="77792DF1" w14:textId="77777777" w:rsidR="006578ED" w:rsidRDefault="00A1618E">
            <w:pPr>
              <w:pStyle w:val="P68B1DB1-Normal13"/>
              <w:spacing w:after="0" w:line="240" w:lineRule="auto"/>
              <w:jc w:val="center"/>
              <w:rPr>
                <w:rFonts w:eastAsia="Times New Roman" w:cs="Times New Roman"/>
                <w:noProof/>
              </w:rPr>
            </w:pPr>
            <w:r>
              <w:rPr>
                <w:noProof/>
              </w:rPr>
              <w:t>Publikacja</w:t>
            </w:r>
          </w:p>
        </w:tc>
        <w:tc>
          <w:tcPr>
            <w:tcW w:w="709" w:type="dxa"/>
            <w:shd w:val="clear" w:color="auto" w:fill="C6EFCE"/>
            <w:noWrap/>
          </w:tcPr>
          <w:p w14:paraId="7EE468D0" w14:textId="77777777" w:rsidR="006578ED" w:rsidRDefault="00A1618E">
            <w:pPr>
              <w:pStyle w:val="P68B1DB1-Normal13"/>
              <w:spacing w:after="0" w:line="240" w:lineRule="auto"/>
              <w:jc w:val="center"/>
              <w:rPr>
                <w:rFonts w:eastAsia="Times New Roman" w:cs="Times New Roman"/>
                <w:noProof/>
              </w:rPr>
            </w:pPr>
            <w:r>
              <w:rPr>
                <w:noProof/>
              </w:rPr>
              <w:t> </w:t>
            </w:r>
          </w:p>
        </w:tc>
        <w:tc>
          <w:tcPr>
            <w:tcW w:w="708" w:type="dxa"/>
            <w:shd w:val="clear" w:color="auto" w:fill="C6EFCE"/>
            <w:noWrap/>
          </w:tcPr>
          <w:p w14:paraId="1B95F3EB"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2BB37B0"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4354596B" w14:textId="097EA892" w:rsidR="006578ED" w:rsidRDefault="00EC188C">
            <w:pPr>
              <w:pStyle w:val="P68B1DB1-Normal13"/>
              <w:spacing w:after="0" w:line="240" w:lineRule="auto"/>
              <w:jc w:val="center"/>
              <w:rPr>
                <w:rFonts w:eastAsia="Times New Roman" w:cs="Times New Roman"/>
                <w:noProof/>
              </w:rPr>
            </w:pPr>
            <w:r>
              <w:rPr>
                <w:noProof/>
              </w:rPr>
              <w:t>KW. 1</w:t>
            </w:r>
          </w:p>
        </w:tc>
        <w:tc>
          <w:tcPr>
            <w:tcW w:w="567" w:type="dxa"/>
            <w:shd w:val="clear" w:color="auto" w:fill="C6EFCE"/>
            <w:noWrap/>
          </w:tcPr>
          <w:p w14:paraId="15F728BA" w14:textId="77777777" w:rsidR="006578ED" w:rsidRDefault="00A1618E">
            <w:pPr>
              <w:pStyle w:val="P68B1DB1-Normal13"/>
              <w:spacing w:after="0" w:line="240" w:lineRule="auto"/>
              <w:jc w:val="center"/>
              <w:rPr>
                <w:rFonts w:eastAsia="Times New Roman" w:cs="Times New Roman"/>
                <w:noProof/>
              </w:rPr>
            </w:pPr>
            <w:r>
              <w:rPr>
                <w:noProof/>
              </w:rPr>
              <w:t>2021</w:t>
            </w:r>
          </w:p>
        </w:tc>
        <w:tc>
          <w:tcPr>
            <w:tcW w:w="6662" w:type="dxa"/>
            <w:shd w:val="clear" w:color="auto" w:fill="C6EFCE"/>
            <w:noWrap/>
          </w:tcPr>
          <w:p w14:paraId="45E22CA7" w14:textId="62FB765C" w:rsidR="006578ED" w:rsidRDefault="00A1618E">
            <w:pPr>
              <w:pStyle w:val="P68B1DB1-Normal13"/>
              <w:spacing w:after="0" w:line="240" w:lineRule="auto"/>
              <w:rPr>
                <w:rFonts w:eastAsia="Times New Roman" w:cs="Times New Roman"/>
                <w:noProof/>
              </w:rPr>
            </w:pPr>
            <w:r>
              <w:rPr>
                <w:noProof/>
              </w:rPr>
              <w:t>Zatwierdzenie przez Radę Ministrów planu cyfryzacji MŚP na lata 2021–2025, w którym przewidziano zestaw instrumentów służących włączeniu do mikroprzedsiębiorstw i autonomicznych już dostępnych narzędzi cyfrowych, pobudzaniu cyfryzacji małych przedsiębiorstw i promowaniu innowacji technologicznych</w:t>
            </w:r>
          </w:p>
        </w:tc>
      </w:tr>
      <w:tr w:rsidR="006578ED" w14:paraId="3D1C9641" w14:textId="77777777">
        <w:trPr>
          <w:trHeight w:val="309"/>
        </w:trPr>
        <w:tc>
          <w:tcPr>
            <w:tcW w:w="709" w:type="dxa"/>
            <w:shd w:val="clear" w:color="auto" w:fill="C6EFCE"/>
            <w:noWrap/>
          </w:tcPr>
          <w:p w14:paraId="46EAD99A" w14:textId="77777777" w:rsidR="006578ED" w:rsidRDefault="00A1618E">
            <w:pPr>
              <w:pStyle w:val="P68B1DB1-Normal13"/>
              <w:spacing w:after="0" w:line="240" w:lineRule="auto"/>
              <w:jc w:val="center"/>
              <w:rPr>
                <w:rFonts w:eastAsia="Times New Roman" w:cs="Times New Roman"/>
                <w:noProof/>
              </w:rPr>
            </w:pPr>
            <w:r>
              <w:rPr>
                <w:noProof/>
              </w:rPr>
              <w:t>200</w:t>
            </w:r>
          </w:p>
        </w:tc>
        <w:tc>
          <w:tcPr>
            <w:tcW w:w="851" w:type="dxa"/>
            <w:shd w:val="clear" w:color="auto" w:fill="C6EFCE"/>
            <w:noWrap/>
          </w:tcPr>
          <w:p w14:paraId="3AAAC27C"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43F3EB35" w14:textId="451E734D"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7F933A20" w14:textId="77777777" w:rsidR="006578ED" w:rsidRDefault="00A1618E">
            <w:pPr>
              <w:pStyle w:val="P68B1DB1-Normal13"/>
              <w:spacing w:after="0" w:line="240" w:lineRule="auto"/>
              <w:rPr>
                <w:rFonts w:eastAsia="Times New Roman" w:cs="Times New Roman"/>
                <w:noProof/>
              </w:rPr>
            </w:pPr>
            <w:r>
              <w:rPr>
                <w:noProof/>
              </w:rPr>
              <w:t>Budżet przeznaczony na program narzędzi cyfrowych</w:t>
            </w:r>
          </w:p>
        </w:tc>
        <w:tc>
          <w:tcPr>
            <w:tcW w:w="1134" w:type="dxa"/>
            <w:shd w:val="clear" w:color="auto" w:fill="C6EFCE"/>
            <w:noWrap/>
          </w:tcPr>
          <w:p w14:paraId="4E29D0B7"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538D652"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6082D976"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16DD5D42" w14:textId="77777777" w:rsidR="006578ED" w:rsidRDefault="00A1618E">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454F7B34" w14:textId="6810DAE4"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153645A5" w14:textId="77777777" w:rsidR="006578ED" w:rsidRDefault="00A1618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5E1A96EB" w14:textId="1031D833" w:rsidR="006578ED" w:rsidRDefault="00A1618E">
            <w:pPr>
              <w:pStyle w:val="P68B1DB1-Normal13"/>
              <w:spacing w:after="0" w:line="240" w:lineRule="auto"/>
              <w:rPr>
                <w:rFonts w:eastAsia="Times New Roman" w:cs="Times New Roman"/>
                <w:noProof/>
              </w:rPr>
            </w:pPr>
            <w:r>
              <w:rPr>
                <w:noProof/>
              </w:rPr>
              <w:t>Co najmniej 30 % budżetu w wysokości 3 067 000 000 EUR przeznaczono na działania mające na celu cyfryzację MŚP za pośrednictwem programu narzędzi cyfrowych, zgodnie z wytycznymi technicznymi zasady „nie czyń poważnych szkód” (2021/C58/01) poprzez wykorzystanie wykazu wykluczenia oraz wymóg zgodności z odpowiednimi unijnymi i krajowymi przepisami w zakresie ochrony środowiska.</w:t>
            </w:r>
          </w:p>
        </w:tc>
      </w:tr>
      <w:tr w:rsidR="006578ED" w14:paraId="004A4664" w14:textId="77777777">
        <w:trPr>
          <w:trHeight w:val="309"/>
        </w:trPr>
        <w:tc>
          <w:tcPr>
            <w:tcW w:w="709" w:type="dxa"/>
            <w:shd w:val="clear" w:color="auto" w:fill="C6EFCE"/>
            <w:noWrap/>
          </w:tcPr>
          <w:p w14:paraId="0CBD1023" w14:textId="77777777" w:rsidR="006578ED" w:rsidRDefault="00A1618E">
            <w:pPr>
              <w:pStyle w:val="P68B1DB1-Normal13"/>
              <w:spacing w:after="0" w:line="240" w:lineRule="auto"/>
              <w:jc w:val="center"/>
              <w:rPr>
                <w:rFonts w:eastAsia="Times New Roman" w:cs="Times New Roman"/>
                <w:noProof/>
              </w:rPr>
            </w:pPr>
            <w:r>
              <w:rPr>
                <w:noProof/>
              </w:rPr>
              <w:t>201</w:t>
            </w:r>
          </w:p>
        </w:tc>
        <w:tc>
          <w:tcPr>
            <w:tcW w:w="851" w:type="dxa"/>
            <w:shd w:val="clear" w:color="auto" w:fill="C6EFCE"/>
            <w:noWrap/>
          </w:tcPr>
          <w:p w14:paraId="4C20BDFF"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1F25AAB8" w14:textId="0824E3F3"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03130879" w14:textId="77777777" w:rsidR="006578ED" w:rsidRDefault="00A1618E">
            <w:pPr>
              <w:pStyle w:val="P68B1DB1-Normal13"/>
              <w:spacing w:after="0" w:line="240" w:lineRule="auto"/>
              <w:rPr>
                <w:rFonts w:eastAsia="Times New Roman" w:cs="Times New Roman"/>
                <w:noProof/>
              </w:rPr>
            </w:pPr>
            <w:r>
              <w:rPr>
                <w:noProof/>
              </w:rPr>
              <w:t>Budżet przeznaczony na rzecz agentów programu zmian</w:t>
            </w:r>
          </w:p>
        </w:tc>
        <w:tc>
          <w:tcPr>
            <w:tcW w:w="1134" w:type="dxa"/>
            <w:shd w:val="clear" w:color="auto" w:fill="C6EFCE"/>
            <w:noWrap/>
          </w:tcPr>
          <w:p w14:paraId="0C38C335"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8A5730A"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7E3B2C99"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3F2AE2BE" w14:textId="77777777" w:rsidR="006578ED" w:rsidRDefault="00A1618E">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6B4961EC" w14:textId="426A6B02"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793E7ED6" w14:textId="77777777" w:rsidR="006578ED" w:rsidRDefault="00A1618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6D94CB5B" w14:textId="505400FD" w:rsidR="006578ED" w:rsidRDefault="00A1618E">
            <w:pPr>
              <w:pStyle w:val="P68B1DB1-Normal13"/>
              <w:spacing w:after="0" w:line="240" w:lineRule="auto"/>
              <w:rPr>
                <w:rFonts w:eastAsia="Times New Roman" w:cs="Times New Roman"/>
                <w:noProof/>
              </w:rPr>
            </w:pPr>
            <w:r>
              <w:rPr>
                <w:noProof/>
              </w:rPr>
              <w:t>Co najmniej 30 % budżetu, na które przeznaczono 300 000 000 EUR, przeznaczone na MŚP w ramach „Programu na rzecz pośredników zmian”. Zaproszenia do składania wniosków wraz z zakresem zadań obejmują kryteria kwalifikowalności, które zapewniają zgodność wybranych projektów z wytycznymi technicznymi dotyczącymi zasady „nie czyń poważnych szkód” (2021/C58/01) poprzez wykorzystanie listy wykluczenia oraz wymóg zgodności z odpowiednimi unijnymi i krajowymi przepisami w zakresie ochrony środowiska.</w:t>
            </w:r>
          </w:p>
        </w:tc>
      </w:tr>
      <w:tr w:rsidR="006578ED" w14:paraId="0845524F" w14:textId="77777777">
        <w:trPr>
          <w:trHeight w:val="309"/>
        </w:trPr>
        <w:tc>
          <w:tcPr>
            <w:tcW w:w="709" w:type="dxa"/>
            <w:shd w:val="clear" w:color="auto" w:fill="C6EFCE"/>
            <w:noWrap/>
          </w:tcPr>
          <w:p w14:paraId="3C7B2632" w14:textId="77777777" w:rsidR="006578ED" w:rsidRDefault="00A1618E">
            <w:pPr>
              <w:pStyle w:val="P68B1DB1-Normal13"/>
              <w:spacing w:after="0" w:line="240" w:lineRule="auto"/>
              <w:jc w:val="center"/>
              <w:rPr>
                <w:rFonts w:eastAsia="Times New Roman" w:cs="Times New Roman"/>
                <w:noProof/>
              </w:rPr>
            </w:pPr>
            <w:r>
              <w:rPr>
                <w:noProof/>
              </w:rPr>
              <w:t>202</w:t>
            </w:r>
          </w:p>
        </w:tc>
        <w:tc>
          <w:tcPr>
            <w:tcW w:w="851" w:type="dxa"/>
            <w:shd w:val="clear" w:color="auto" w:fill="C6EFCE"/>
            <w:noWrap/>
          </w:tcPr>
          <w:p w14:paraId="5B752B06"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39006BC2" w14:textId="1DE649D4"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6032BE80" w14:textId="77777777" w:rsidR="006578ED" w:rsidRDefault="00A1618E">
            <w:pPr>
              <w:pStyle w:val="P68B1DB1-Normal13"/>
              <w:spacing w:after="0" w:line="240" w:lineRule="auto"/>
              <w:rPr>
                <w:rFonts w:eastAsia="Times New Roman" w:cs="Times New Roman"/>
                <w:noProof/>
              </w:rPr>
            </w:pPr>
            <w:r>
              <w:rPr>
                <w:noProof/>
              </w:rPr>
              <w:t>Budżet przeznaczony na program wsparcia innowacyjnych klastrów biznesowych</w:t>
            </w:r>
          </w:p>
        </w:tc>
        <w:tc>
          <w:tcPr>
            <w:tcW w:w="1134" w:type="dxa"/>
            <w:shd w:val="clear" w:color="auto" w:fill="C6EFCE"/>
            <w:noWrap/>
          </w:tcPr>
          <w:p w14:paraId="15C32A37"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B37412A"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11CBE983"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6CA06CD" w14:textId="77777777" w:rsidR="006578ED" w:rsidRDefault="00A1618E">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1F73D9DD" w14:textId="6E2E7C71"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3A79C2A3" w14:textId="77777777" w:rsidR="006578ED" w:rsidRDefault="00A1618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6C2CA866" w14:textId="0B2E3DEC" w:rsidR="006578ED" w:rsidRDefault="00A1618E">
            <w:pPr>
              <w:pStyle w:val="P68B1DB1-Normal13"/>
              <w:spacing w:after="0" w:line="240" w:lineRule="auto"/>
              <w:rPr>
                <w:rFonts w:eastAsia="Times New Roman" w:cs="Times New Roman"/>
                <w:noProof/>
              </w:rPr>
            </w:pPr>
            <w:r>
              <w:rPr>
                <w:noProof/>
              </w:rPr>
              <w:t>Co najmniej 30 % budżetu, na które przeznaczono 115 000 000 EUR, przeznaczone na MŚP w ramach „Programu wsparcia klastrów innowacyjnych przedsiębiorstw”. Zaproszenia do składania wniosków wraz z zakresem zadań obejmują kryteria kwalifikowalności, które zapewniają zgodność wybranych projektów z wytycznymi technicznymi dotyczącymi zasady „nie czyń poważnych szkód” (2021/C58/01) poprzez wykorzystanie listy wykluczenia oraz wymóg zgodności z odpowiednimi unijnymi i krajowymi przepisami w zakresie ochrony środowiska.</w:t>
            </w:r>
          </w:p>
        </w:tc>
      </w:tr>
      <w:tr w:rsidR="006578ED" w14:paraId="645E62E2" w14:textId="77777777">
        <w:trPr>
          <w:trHeight w:val="309"/>
        </w:trPr>
        <w:tc>
          <w:tcPr>
            <w:tcW w:w="709" w:type="dxa"/>
            <w:shd w:val="clear" w:color="auto" w:fill="C6EFCE"/>
            <w:noWrap/>
          </w:tcPr>
          <w:p w14:paraId="667360E9" w14:textId="77777777" w:rsidR="006578ED" w:rsidRDefault="00A1618E">
            <w:pPr>
              <w:pStyle w:val="P68B1DB1-Normal13"/>
              <w:spacing w:after="0" w:line="240" w:lineRule="auto"/>
              <w:jc w:val="center"/>
              <w:rPr>
                <w:rFonts w:eastAsia="Times New Roman" w:cs="Times New Roman"/>
                <w:noProof/>
              </w:rPr>
            </w:pPr>
            <w:r>
              <w:rPr>
                <w:noProof/>
              </w:rPr>
              <w:t>203</w:t>
            </w:r>
          </w:p>
        </w:tc>
        <w:tc>
          <w:tcPr>
            <w:tcW w:w="851" w:type="dxa"/>
            <w:shd w:val="clear" w:color="auto" w:fill="C6EFCE"/>
            <w:noWrap/>
          </w:tcPr>
          <w:p w14:paraId="7359BE08"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54DC2E9E" w14:textId="25955F32"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1DF54B07" w14:textId="77777777" w:rsidR="006578ED" w:rsidRDefault="00A1618E">
            <w:pPr>
              <w:pStyle w:val="P68B1DB1-Normal13"/>
              <w:spacing w:after="0" w:line="240" w:lineRule="auto"/>
              <w:rPr>
                <w:rFonts w:eastAsia="Times New Roman" w:cs="Times New Roman"/>
                <w:noProof/>
              </w:rPr>
            </w:pPr>
            <w:r>
              <w:rPr>
                <w:noProof/>
              </w:rPr>
              <w:t>Budżet przeznaczony na program centrów innowacji cyfrowych</w:t>
            </w:r>
          </w:p>
        </w:tc>
        <w:tc>
          <w:tcPr>
            <w:tcW w:w="1134" w:type="dxa"/>
            <w:shd w:val="clear" w:color="auto" w:fill="C6EFCE"/>
            <w:noWrap/>
          </w:tcPr>
          <w:p w14:paraId="664C0709"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0DB6C6A7"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37EFBB1A"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02E9A466" w14:textId="77777777" w:rsidR="006578ED" w:rsidRDefault="00A1618E">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58548943" w14:textId="3A17D0DA"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3E22AFA0" w14:textId="77777777" w:rsidR="006578ED" w:rsidRDefault="00A1618E">
            <w:pPr>
              <w:pStyle w:val="P68B1DB1-Normal13"/>
              <w:spacing w:after="0" w:line="240" w:lineRule="auto"/>
              <w:jc w:val="center"/>
              <w:rPr>
                <w:rFonts w:eastAsia="Times New Roman" w:cs="Times New Roman"/>
                <w:noProof/>
              </w:rPr>
            </w:pPr>
            <w:r>
              <w:rPr>
                <w:noProof/>
              </w:rPr>
              <w:t>2022</w:t>
            </w:r>
          </w:p>
        </w:tc>
        <w:tc>
          <w:tcPr>
            <w:tcW w:w="6662" w:type="dxa"/>
            <w:shd w:val="clear" w:color="auto" w:fill="C6EFCE"/>
            <w:noWrap/>
          </w:tcPr>
          <w:p w14:paraId="53B86743" w14:textId="1D2DABAA" w:rsidR="006578ED" w:rsidRDefault="00A1618E">
            <w:pPr>
              <w:pStyle w:val="P68B1DB1-Normal13"/>
              <w:spacing w:after="0" w:line="240" w:lineRule="auto"/>
              <w:rPr>
                <w:rFonts w:eastAsia="Times New Roman" w:cs="Times New Roman"/>
                <w:noProof/>
              </w:rPr>
            </w:pPr>
            <w:r>
              <w:rPr>
                <w:noProof/>
              </w:rPr>
              <w:t>Co najmniej 30 % budżetu, na które przeznaczono 37 590 000 EUR, przeznaczone na MŚP w ramach programu dotyczącego centrów innowacji cyfrowych. Zaproszenia do składania wniosków wraz z zakresem zadań obejmują kryteria kwalifikowalności, które zapewniają zgodność wybranych projektów z wytycznymi technicznymi dotyczącymi zasady „nie czyń poważnych szkód” (2021/C58/01) poprzez wykorzystanie listy wykluczenia oraz wymóg zgodności z odpowiednimi unijnymi i krajowymi przepisami w zakresie ochrony środowiska.</w:t>
            </w:r>
          </w:p>
        </w:tc>
      </w:tr>
      <w:tr w:rsidR="006578ED" w14:paraId="302AD6EC" w14:textId="77777777">
        <w:trPr>
          <w:trHeight w:val="309"/>
        </w:trPr>
        <w:tc>
          <w:tcPr>
            <w:tcW w:w="709" w:type="dxa"/>
            <w:shd w:val="clear" w:color="auto" w:fill="C6EFCE"/>
            <w:noWrap/>
          </w:tcPr>
          <w:p w14:paraId="14046760" w14:textId="77777777" w:rsidR="006578ED" w:rsidRDefault="00A1618E">
            <w:pPr>
              <w:pStyle w:val="P68B1DB1-Normal13"/>
              <w:spacing w:after="0" w:line="240" w:lineRule="auto"/>
              <w:jc w:val="center"/>
              <w:rPr>
                <w:rFonts w:eastAsia="Times New Roman" w:cs="Times New Roman"/>
                <w:noProof/>
              </w:rPr>
            </w:pPr>
            <w:r>
              <w:rPr>
                <w:noProof/>
              </w:rPr>
              <w:t>204</w:t>
            </w:r>
          </w:p>
        </w:tc>
        <w:tc>
          <w:tcPr>
            <w:tcW w:w="851" w:type="dxa"/>
            <w:shd w:val="clear" w:color="auto" w:fill="C6EFCE"/>
            <w:noWrap/>
          </w:tcPr>
          <w:p w14:paraId="07FE773D"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48311CD3" w14:textId="3206021B"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1F2BB74D" w14:textId="253482F9" w:rsidR="006578ED" w:rsidRDefault="00A1618E">
            <w:pPr>
              <w:pStyle w:val="P68B1DB1-Normal13"/>
              <w:spacing w:after="0" w:line="240" w:lineRule="auto"/>
              <w:rPr>
                <w:rFonts w:eastAsia="Times New Roman" w:cs="Times New Roman"/>
                <w:noProof/>
              </w:rPr>
            </w:pPr>
            <w:r>
              <w:rPr>
                <w:noProof/>
              </w:rPr>
              <w:t>MŚP wspierane w ramach programu narzędzi cyfrowych</w:t>
            </w:r>
          </w:p>
        </w:tc>
        <w:tc>
          <w:tcPr>
            <w:tcW w:w="1134" w:type="dxa"/>
            <w:shd w:val="clear" w:color="auto" w:fill="C6EFCE"/>
            <w:noWrap/>
          </w:tcPr>
          <w:p w14:paraId="6B23C6FB"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56958C5C"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423684F5"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097752F" w14:textId="3CB92CE9" w:rsidR="006578ED" w:rsidRDefault="00A1618E">
            <w:pPr>
              <w:pStyle w:val="P68B1DB1-Normal13"/>
              <w:spacing w:after="0" w:line="240" w:lineRule="auto"/>
              <w:jc w:val="right"/>
              <w:rPr>
                <w:rFonts w:eastAsia="Times New Roman" w:cs="Times New Roman"/>
                <w:noProof/>
              </w:rPr>
            </w:pPr>
            <w:r>
              <w:rPr>
                <w:noProof/>
                <w:shd w:val="clear" w:color="auto" w:fill="E6E6E6"/>
              </w:rPr>
              <w:t>5</w:t>
            </w:r>
            <w:r>
              <w:rPr>
                <w:noProof/>
              </w:rPr>
              <w:t>00 000</w:t>
            </w:r>
          </w:p>
        </w:tc>
        <w:tc>
          <w:tcPr>
            <w:tcW w:w="567" w:type="dxa"/>
            <w:shd w:val="clear" w:color="auto" w:fill="C6EFCE"/>
            <w:noWrap/>
          </w:tcPr>
          <w:p w14:paraId="0D775F2C" w14:textId="1D896C97"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378ADF52" w14:textId="26FCB59F" w:rsidR="006578ED" w:rsidRDefault="00A1618E">
            <w:pPr>
              <w:pStyle w:val="P68B1DB1-Normal13"/>
              <w:spacing w:after="0" w:line="240" w:lineRule="auto"/>
              <w:jc w:val="center"/>
              <w:rPr>
                <w:rFonts w:eastAsia="Times New Roman" w:cs="Times New Roman"/>
                <w:noProof/>
              </w:rPr>
            </w:pPr>
            <w:r>
              <w:rPr>
                <w:noProof/>
              </w:rPr>
              <w:t>202</w:t>
            </w:r>
            <w:r>
              <w:rPr>
                <w:noProof/>
                <w:shd w:val="clear" w:color="auto" w:fill="E6E6E6"/>
              </w:rPr>
              <w:t>4</w:t>
            </w:r>
          </w:p>
        </w:tc>
        <w:tc>
          <w:tcPr>
            <w:tcW w:w="6662" w:type="dxa"/>
            <w:shd w:val="clear" w:color="auto" w:fill="C6EFCE"/>
            <w:noWrap/>
          </w:tcPr>
          <w:p w14:paraId="65A61970" w14:textId="7F6EE6B8" w:rsidR="006578ED" w:rsidRDefault="00A1618E">
            <w:pPr>
              <w:pStyle w:val="P68B1DB1-Normal13"/>
              <w:spacing w:after="0" w:line="240" w:lineRule="auto"/>
              <w:rPr>
                <w:rFonts w:eastAsia="Times New Roman" w:cs="Times New Roman"/>
                <w:noProof/>
              </w:rPr>
            </w:pPr>
            <w:r>
              <w:rPr>
                <w:noProof/>
              </w:rPr>
              <w:t>Co najmniej 500000 MŚP lub osób samozatrudnionych, które otrzymały wsparcie w ramach „Programu narzędzi cyfrowych, zgodnie z wytycznymi technicznymi dotyczącymi zasady „nie czyń poważnych szkód” (2021/C58/01) poprzez wykorzystanie wykazu wykluczenia oraz wymóg zgodności z odpowiednimi unijnymi i krajowymi przepisami w zakresie ochrony środowiska.</w:t>
            </w:r>
          </w:p>
        </w:tc>
      </w:tr>
      <w:tr w:rsidR="006578ED" w14:paraId="6E883AD5" w14:textId="77777777">
        <w:trPr>
          <w:trHeight w:val="309"/>
        </w:trPr>
        <w:tc>
          <w:tcPr>
            <w:tcW w:w="709" w:type="dxa"/>
            <w:shd w:val="clear" w:color="auto" w:fill="C6EFCE"/>
            <w:noWrap/>
          </w:tcPr>
          <w:p w14:paraId="7683F186" w14:textId="77777777" w:rsidR="006578ED" w:rsidRDefault="00A1618E">
            <w:pPr>
              <w:pStyle w:val="P68B1DB1-Normal13"/>
              <w:spacing w:after="0" w:line="240" w:lineRule="auto"/>
              <w:jc w:val="center"/>
              <w:rPr>
                <w:rFonts w:eastAsia="Times New Roman" w:cs="Times New Roman"/>
                <w:noProof/>
              </w:rPr>
            </w:pPr>
            <w:r>
              <w:rPr>
                <w:noProof/>
              </w:rPr>
              <w:t>205</w:t>
            </w:r>
          </w:p>
        </w:tc>
        <w:tc>
          <w:tcPr>
            <w:tcW w:w="851" w:type="dxa"/>
            <w:shd w:val="clear" w:color="auto" w:fill="C6EFCE"/>
            <w:noWrap/>
          </w:tcPr>
          <w:p w14:paraId="3ED5A10F"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24908E33" w14:textId="2DFECBFD"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58ABF485" w14:textId="77777777" w:rsidR="006578ED" w:rsidRDefault="00A1618E">
            <w:pPr>
              <w:pStyle w:val="P68B1DB1-Normal13"/>
              <w:spacing w:after="0" w:line="240" w:lineRule="auto"/>
              <w:rPr>
                <w:rFonts w:eastAsia="Times New Roman" w:cs="Times New Roman"/>
                <w:noProof/>
              </w:rPr>
            </w:pPr>
            <w:r>
              <w:rPr>
                <w:noProof/>
              </w:rPr>
              <w:t>Wykonanie budżetu przez agentów programu zmian</w:t>
            </w:r>
          </w:p>
        </w:tc>
        <w:tc>
          <w:tcPr>
            <w:tcW w:w="1134" w:type="dxa"/>
            <w:shd w:val="clear" w:color="auto" w:fill="C6EFCE"/>
            <w:noWrap/>
          </w:tcPr>
          <w:p w14:paraId="57D082C8"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5362525"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393BEB43" w14:textId="77777777" w:rsidR="006578ED" w:rsidRDefault="00A1618E">
            <w:pPr>
              <w:pStyle w:val="P68B1DB1-Normal13"/>
              <w:spacing w:after="0" w:line="240" w:lineRule="auto"/>
              <w:jc w:val="right"/>
              <w:rPr>
                <w:rFonts w:eastAsia="Times New Roman" w:cs="Times New Roman"/>
                <w:noProof/>
              </w:rPr>
            </w:pPr>
            <w:r>
              <w:rPr>
                <w:noProof/>
              </w:rPr>
              <w:t>30</w:t>
            </w:r>
          </w:p>
        </w:tc>
        <w:tc>
          <w:tcPr>
            <w:tcW w:w="709" w:type="dxa"/>
            <w:shd w:val="clear" w:color="auto" w:fill="C6EFCE"/>
            <w:noWrap/>
          </w:tcPr>
          <w:p w14:paraId="4ABD35B1" w14:textId="77777777" w:rsidR="006578ED" w:rsidRDefault="00A1618E">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57C1A4A9" w14:textId="720E1BC2"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3AD6CDAC"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5D9D1700" w14:textId="3D255BC3" w:rsidR="006578ED" w:rsidRDefault="00A1618E">
            <w:pPr>
              <w:pStyle w:val="P68B1DB1-Normal13"/>
              <w:spacing w:after="0" w:line="240" w:lineRule="auto"/>
              <w:rPr>
                <w:rFonts w:eastAsia="Times New Roman" w:cs="Times New Roman"/>
                <w:noProof/>
              </w:rPr>
            </w:pPr>
            <w:r>
              <w:rPr>
                <w:noProof/>
              </w:rPr>
              <w:t>100 % budżetu, na które zaciągnięto zobowiązania w wysokości 300 000 000 EUR, przeznaczone na MŚP w ramach „Programu na rzecz pośredników zmian”. Jest to program mający na celu wsparcie co najmniej 15000 małych i średnich przedsiębiorstw (10–249 pracowników) w ich procesach transformacji cyfrowej. Kryteria wyboru zapewniają zgodność z wytycznymi technicznymi dotyczącymi zasady „nie czyń poważnych szkód” (2021/C58/01) poprzez wykorzystanie wykazu wykluczenia oraz wymóg zgodności z odpowiednimi unijnymi i krajowymi przepisami w zakresie ochrony środowiska. (podstawa: 31 grudnia 20</w:t>
            </w:r>
            <w:r w:rsidRPr="00A1618E">
              <w:rPr>
                <w:noProof/>
                <w:lang w:val="pl-PL"/>
              </w:rPr>
              <w:t>22 r.</w:t>
            </w:r>
            <w:r>
              <w:rPr>
                <w:noProof/>
              </w:rPr>
              <w:t>).</w:t>
            </w:r>
          </w:p>
        </w:tc>
      </w:tr>
      <w:tr w:rsidR="006578ED" w14:paraId="30FF7304" w14:textId="77777777">
        <w:trPr>
          <w:trHeight w:val="309"/>
        </w:trPr>
        <w:tc>
          <w:tcPr>
            <w:tcW w:w="709" w:type="dxa"/>
            <w:shd w:val="clear" w:color="auto" w:fill="C6EFCE"/>
            <w:noWrap/>
          </w:tcPr>
          <w:p w14:paraId="7B45E36E" w14:textId="77777777" w:rsidR="006578ED" w:rsidRDefault="00A1618E">
            <w:pPr>
              <w:pStyle w:val="P68B1DB1-Normal13"/>
              <w:spacing w:after="0" w:line="240" w:lineRule="auto"/>
              <w:jc w:val="center"/>
              <w:rPr>
                <w:rFonts w:eastAsia="Times New Roman" w:cs="Times New Roman"/>
                <w:noProof/>
              </w:rPr>
            </w:pPr>
            <w:r>
              <w:rPr>
                <w:noProof/>
              </w:rPr>
              <w:t>206</w:t>
            </w:r>
          </w:p>
        </w:tc>
        <w:tc>
          <w:tcPr>
            <w:tcW w:w="851" w:type="dxa"/>
            <w:shd w:val="clear" w:color="auto" w:fill="C6EFCE"/>
            <w:noWrap/>
          </w:tcPr>
          <w:p w14:paraId="4332DC16"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11320BD7" w14:textId="0C34EEB8"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47FCF466" w14:textId="77777777" w:rsidR="006578ED" w:rsidRDefault="00A1618E">
            <w:pPr>
              <w:pStyle w:val="P68B1DB1-Normal13"/>
              <w:spacing w:after="0" w:line="240" w:lineRule="auto"/>
              <w:rPr>
                <w:rFonts w:eastAsia="Times New Roman" w:cs="Times New Roman"/>
                <w:noProof/>
              </w:rPr>
            </w:pPr>
            <w:r>
              <w:rPr>
                <w:noProof/>
              </w:rPr>
              <w:t xml:space="preserve">Wykonanie budżetu programu wsparcia innowacyjnych klastrów biznesowych </w:t>
            </w:r>
          </w:p>
        </w:tc>
        <w:tc>
          <w:tcPr>
            <w:tcW w:w="1134" w:type="dxa"/>
            <w:shd w:val="clear" w:color="auto" w:fill="C6EFCE"/>
            <w:noWrap/>
          </w:tcPr>
          <w:p w14:paraId="4E38B6DC"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0CBEC89"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8" w:type="dxa"/>
            <w:shd w:val="clear" w:color="auto" w:fill="C6EFCE"/>
            <w:noWrap/>
          </w:tcPr>
          <w:p w14:paraId="5A3E4312" w14:textId="77777777" w:rsidR="006578ED" w:rsidRDefault="00A1618E">
            <w:pPr>
              <w:pStyle w:val="P68B1DB1-Normal13"/>
              <w:spacing w:after="0" w:line="240" w:lineRule="auto"/>
              <w:jc w:val="right"/>
              <w:rPr>
                <w:rFonts w:eastAsia="Times New Roman" w:cs="Times New Roman"/>
                <w:noProof/>
              </w:rPr>
            </w:pPr>
            <w:r>
              <w:rPr>
                <w:noProof/>
              </w:rPr>
              <w:t>30</w:t>
            </w:r>
          </w:p>
        </w:tc>
        <w:tc>
          <w:tcPr>
            <w:tcW w:w="709" w:type="dxa"/>
            <w:shd w:val="clear" w:color="auto" w:fill="C6EFCE"/>
            <w:noWrap/>
          </w:tcPr>
          <w:p w14:paraId="219FFAC2" w14:textId="77777777" w:rsidR="006578ED" w:rsidRDefault="00A1618E">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1163A990" w14:textId="54A4BBF4"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376CBEEC"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61E533C2" w14:textId="4A7961F7" w:rsidR="006578ED" w:rsidRDefault="00A1618E">
            <w:pPr>
              <w:pStyle w:val="P68B1DB1-Normal13"/>
              <w:spacing w:after="0" w:line="240" w:lineRule="auto"/>
              <w:rPr>
                <w:rFonts w:eastAsia="Times New Roman" w:cs="Times New Roman"/>
                <w:noProof/>
              </w:rPr>
            </w:pPr>
            <w:r>
              <w:rPr>
                <w:noProof/>
              </w:rPr>
              <w:t>100 % budżetu, na które przeznaczono 115 000 000 EUR, przeznaczone na MŚP w ramach „Programu wsparcia klastrów innowacyjnych przedsiębiorstw”. Celem tego działania jest wspieranie projektów mających na celu cyfryzację łańcucha wartości różnych sektorów przemysłu w celu ich modernizacji i włączenia MŚP do łańcucha wartości. Zaproszenia do składania wniosków wraz z zakresem zadań obejmują kryteria kwalifikowalności, które zapewniają zgodność wybranych projektów z wytycznymi technicznymi dotyczącymi zasady „nie czyń poważnych szkód” (2021/C58/01) poprzez wykorzystanie listy wykluczenia oraz wymóg zgodności z odpowiednimi unijnymi i krajowymi przepisami w zakresie ochrony środowiska. (podstawa: 31 grudnia 20</w:t>
            </w:r>
            <w:r w:rsidRPr="00A1618E">
              <w:rPr>
                <w:noProof/>
                <w:lang w:val="pl-PL"/>
              </w:rPr>
              <w:t>22 r.</w:t>
            </w:r>
            <w:r>
              <w:rPr>
                <w:noProof/>
              </w:rPr>
              <w:t>).</w:t>
            </w:r>
          </w:p>
        </w:tc>
      </w:tr>
      <w:tr w:rsidR="006578ED" w14:paraId="5F723A55" w14:textId="77777777">
        <w:trPr>
          <w:trHeight w:val="309"/>
        </w:trPr>
        <w:tc>
          <w:tcPr>
            <w:tcW w:w="709" w:type="dxa"/>
            <w:shd w:val="clear" w:color="auto" w:fill="C6EFCE"/>
            <w:noWrap/>
          </w:tcPr>
          <w:p w14:paraId="52EC3C9D" w14:textId="77777777" w:rsidR="006578ED" w:rsidRDefault="00A1618E">
            <w:pPr>
              <w:pStyle w:val="P68B1DB1-Normal13"/>
              <w:spacing w:after="0" w:line="240" w:lineRule="auto"/>
              <w:jc w:val="center"/>
              <w:rPr>
                <w:rFonts w:eastAsia="Times New Roman" w:cs="Times New Roman"/>
                <w:noProof/>
              </w:rPr>
            </w:pPr>
            <w:r>
              <w:rPr>
                <w:noProof/>
              </w:rPr>
              <w:t>207</w:t>
            </w:r>
          </w:p>
        </w:tc>
        <w:tc>
          <w:tcPr>
            <w:tcW w:w="851" w:type="dxa"/>
            <w:shd w:val="clear" w:color="auto" w:fill="C6EFCE"/>
            <w:noWrap/>
          </w:tcPr>
          <w:p w14:paraId="4BDE3CE9"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27D3835F" w14:textId="0D40C20C"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7863AD59" w14:textId="77777777" w:rsidR="006578ED" w:rsidRDefault="00A1618E">
            <w:pPr>
              <w:pStyle w:val="P68B1DB1-Normal13"/>
              <w:spacing w:after="0" w:line="240" w:lineRule="auto"/>
              <w:rPr>
                <w:rFonts w:eastAsia="Times New Roman" w:cs="Times New Roman"/>
                <w:noProof/>
              </w:rPr>
            </w:pPr>
            <w:r>
              <w:rPr>
                <w:noProof/>
              </w:rPr>
              <w:t>Wykonanie budżetu programu hubów innowacji cyfrowych</w:t>
            </w:r>
          </w:p>
        </w:tc>
        <w:tc>
          <w:tcPr>
            <w:tcW w:w="1134" w:type="dxa"/>
            <w:shd w:val="clear" w:color="auto" w:fill="C6EFCE"/>
            <w:noWrap/>
          </w:tcPr>
          <w:p w14:paraId="22FE275F"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0B391AB1" w14:textId="77777777" w:rsidR="006578ED" w:rsidRDefault="00A1618E">
            <w:pPr>
              <w:pStyle w:val="P68B1DB1-Normal13"/>
              <w:spacing w:after="0" w:line="240" w:lineRule="auto"/>
              <w:jc w:val="center"/>
              <w:rPr>
                <w:rFonts w:eastAsia="Times New Roman" w:cs="Times New Roman"/>
                <w:noProof/>
              </w:rPr>
            </w:pPr>
            <w:r>
              <w:rPr>
                <w:noProof/>
              </w:rPr>
              <w:t>%</w:t>
            </w:r>
          </w:p>
        </w:tc>
        <w:tc>
          <w:tcPr>
            <w:tcW w:w="708" w:type="dxa"/>
            <w:shd w:val="clear" w:color="auto" w:fill="C6EFCE"/>
            <w:noWrap/>
          </w:tcPr>
          <w:p w14:paraId="28C1AE1A" w14:textId="77777777" w:rsidR="006578ED" w:rsidRDefault="00A1618E">
            <w:pPr>
              <w:pStyle w:val="P68B1DB1-Normal13"/>
              <w:spacing w:after="0" w:line="240" w:lineRule="auto"/>
              <w:jc w:val="right"/>
              <w:rPr>
                <w:rFonts w:eastAsia="Times New Roman" w:cs="Times New Roman"/>
                <w:noProof/>
              </w:rPr>
            </w:pPr>
            <w:r>
              <w:rPr>
                <w:noProof/>
              </w:rPr>
              <w:t>30</w:t>
            </w:r>
          </w:p>
        </w:tc>
        <w:tc>
          <w:tcPr>
            <w:tcW w:w="709" w:type="dxa"/>
            <w:shd w:val="clear" w:color="auto" w:fill="C6EFCE"/>
            <w:noWrap/>
          </w:tcPr>
          <w:p w14:paraId="2940DEF5" w14:textId="77777777" w:rsidR="006578ED" w:rsidRDefault="00A1618E">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38B629BB" w14:textId="6BF2214F"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3F6BC4C6"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2468B19B" w14:textId="6CD852D3" w:rsidR="006578ED" w:rsidRDefault="00A1618E">
            <w:pPr>
              <w:pStyle w:val="P68B1DB1-Normal13"/>
              <w:spacing w:after="0" w:line="240" w:lineRule="auto"/>
              <w:rPr>
                <w:rFonts w:eastAsia="Times New Roman" w:cs="Times New Roman"/>
                <w:noProof/>
              </w:rPr>
            </w:pPr>
            <w:r>
              <w:rPr>
                <w:noProof/>
              </w:rPr>
              <w:t>100 % budżetu, na które przeznaczono 37 590 000 EUR, przeznaczone na MŚP w ramach programu dotyczącego centrów innowacji cyfrowych. Jest to program, który ma pomóc przedsiębiorstwom w zwiększeniu konkurencyjności dzięki usprawnieniu procesów biznesowych i produkcyjnych dzięki intensywnemu wykorzystaniu technologii cyfrowych. W ramach tego poddziałania 25 hubów innowacji cyfrowych udziela się wsparcia. Zaproszenia do składania wniosków wraz z zakresem zadań obejmują kryteria kwalifikowalności, które zapewniają zgodność wybranych projektów z wytycznymi technicznymi dotyczącymi zasady „nie czyń poważnych szkód” (2021/C58/01) poprzez wykorzystanie listy wykluczenia oraz wymóg zgodności z odpowiednimi unijnymi i krajowymi przepisami w zakresie ochrony środowiska. (podstawa: 31 grudnia 20</w:t>
            </w:r>
            <w:r w:rsidRPr="00A1618E">
              <w:rPr>
                <w:noProof/>
                <w:lang w:val="pl-PL"/>
              </w:rPr>
              <w:t>22 r.</w:t>
            </w:r>
            <w:r>
              <w:rPr>
                <w:noProof/>
              </w:rPr>
              <w:t>).</w:t>
            </w:r>
          </w:p>
        </w:tc>
      </w:tr>
      <w:tr w:rsidR="006578ED" w14:paraId="365AC1AB" w14:textId="77777777">
        <w:trPr>
          <w:trHeight w:val="309"/>
        </w:trPr>
        <w:tc>
          <w:tcPr>
            <w:tcW w:w="709" w:type="dxa"/>
            <w:shd w:val="clear" w:color="auto" w:fill="C6EFCE"/>
            <w:noWrap/>
          </w:tcPr>
          <w:p w14:paraId="3C34C378" w14:textId="77777777" w:rsidR="006578ED" w:rsidRDefault="00A1618E">
            <w:pPr>
              <w:pStyle w:val="P68B1DB1-Normal13"/>
              <w:spacing w:after="0" w:line="240" w:lineRule="auto"/>
              <w:jc w:val="center"/>
              <w:rPr>
                <w:rFonts w:eastAsia="Times New Roman" w:cs="Times New Roman"/>
                <w:noProof/>
              </w:rPr>
            </w:pPr>
            <w:r>
              <w:rPr>
                <w:noProof/>
              </w:rPr>
              <w:t>208</w:t>
            </w:r>
          </w:p>
        </w:tc>
        <w:tc>
          <w:tcPr>
            <w:tcW w:w="851" w:type="dxa"/>
            <w:shd w:val="clear" w:color="auto" w:fill="C6EFCE"/>
            <w:noWrap/>
          </w:tcPr>
          <w:p w14:paraId="4F3B9E58"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3D36884F" w14:textId="2FF7DD8D"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70181F94" w14:textId="77777777" w:rsidR="006578ED" w:rsidRDefault="00A1618E">
            <w:pPr>
              <w:pStyle w:val="P68B1DB1-Normal13"/>
              <w:spacing w:after="0" w:line="240" w:lineRule="auto"/>
              <w:rPr>
                <w:rFonts w:eastAsia="Times New Roman" w:cs="Times New Roman"/>
                <w:noProof/>
              </w:rPr>
            </w:pPr>
            <w:r>
              <w:rPr>
                <w:noProof/>
              </w:rPr>
              <w:t>Zakończenie programu narzędzi cyfrowych</w:t>
            </w:r>
          </w:p>
        </w:tc>
        <w:tc>
          <w:tcPr>
            <w:tcW w:w="1134" w:type="dxa"/>
            <w:shd w:val="clear" w:color="auto" w:fill="C6EFCE"/>
            <w:noWrap/>
          </w:tcPr>
          <w:p w14:paraId="68806BA5"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21AE94F3"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4194F95B" w14:textId="52855B6D" w:rsidR="006578ED" w:rsidRDefault="00A1618E">
            <w:pPr>
              <w:pStyle w:val="P68B1DB1-Normal13"/>
              <w:rPr>
                <w:rFonts w:cs="Times New Roman"/>
                <w:noProof/>
              </w:rPr>
            </w:pPr>
            <w:r>
              <w:rPr>
                <w:noProof/>
              </w:rPr>
              <w:t>500 000</w:t>
            </w:r>
          </w:p>
        </w:tc>
        <w:tc>
          <w:tcPr>
            <w:tcW w:w="709" w:type="dxa"/>
            <w:shd w:val="clear" w:color="auto" w:fill="C6EFCE"/>
            <w:noWrap/>
          </w:tcPr>
          <w:p w14:paraId="0B2EF20D" w14:textId="6111525E" w:rsidR="006578ED" w:rsidRDefault="00A1618E">
            <w:pPr>
              <w:pStyle w:val="P68B1DB1-Normal13"/>
              <w:rPr>
                <w:rFonts w:cs="Times New Roman"/>
                <w:noProof/>
              </w:rPr>
            </w:pPr>
            <w:r>
              <w:rPr>
                <w:noProof/>
              </w:rPr>
              <w:t>676 000</w:t>
            </w:r>
          </w:p>
        </w:tc>
        <w:tc>
          <w:tcPr>
            <w:tcW w:w="567" w:type="dxa"/>
            <w:shd w:val="clear" w:color="auto" w:fill="C6EFCE"/>
            <w:noWrap/>
          </w:tcPr>
          <w:p w14:paraId="230895F8" w14:textId="41A3A26E"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1B6E1C3E" w14:textId="7091BDF5" w:rsidR="006578ED" w:rsidRDefault="00A1618E">
            <w:pPr>
              <w:pStyle w:val="P68B1DB1-Normal13"/>
              <w:spacing w:after="0" w:line="240" w:lineRule="auto"/>
              <w:jc w:val="center"/>
              <w:rPr>
                <w:rFonts w:eastAsia="Times New Roman" w:cs="Times New Roman"/>
                <w:noProof/>
              </w:rPr>
            </w:pPr>
            <w:r>
              <w:rPr>
                <w:noProof/>
              </w:rPr>
              <w:t>202</w:t>
            </w:r>
            <w:r>
              <w:rPr>
                <w:noProof/>
                <w:shd w:val="clear" w:color="auto" w:fill="E6E6E6"/>
              </w:rPr>
              <w:t>5</w:t>
            </w:r>
          </w:p>
        </w:tc>
        <w:tc>
          <w:tcPr>
            <w:tcW w:w="6662" w:type="dxa"/>
            <w:shd w:val="clear" w:color="auto" w:fill="C6EFCE"/>
            <w:noWrap/>
          </w:tcPr>
          <w:p w14:paraId="6A3E457F" w14:textId="1036682A" w:rsidR="006578ED" w:rsidRDefault="00A1618E">
            <w:pPr>
              <w:pStyle w:val="P68B1DB1-Normal13"/>
              <w:spacing w:after="120" w:line="240" w:lineRule="auto"/>
              <w:rPr>
                <w:rFonts w:cs="Times New Roman"/>
                <w:noProof/>
              </w:rPr>
            </w:pPr>
            <w:r>
              <w:rPr>
                <w:noProof/>
              </w:rPr>
              <w:t>Co najmniej 676000 MŚP lub osób samozatrudnionych, które otrzymały wsparcie w ramach „Programu narzędzi cyfrowych, zgodnie z wytycznymi technicznymi dotyczącymi zasady „nie czyń poważnych szkód” (2021/C58/01) poprzez wykorzystanie wykazu wykluczenia oraz wymóg zgodności z odpowiednimi unijnymi i krajowymi przepisami w zakresie ochrony środowiska. Program opiera się na udzielaniu dotacji wspierających integrację technologii cyfrowych w celu skutecznego wprowadzenia handlu elektronicznego, cyfryzacji stosunków z administracją i klientami, opracowania wewnętrznych procesów cyfrowych oraz wprowadzenia e-fakturowania i marketingu cyfrowego; promowanie rozwiązań szczególnie ukierunkowanych na usługi. Program częściowo subsydiuje koszty przyjęcia pakietów podstawowych rozwiązań cyfrowych, takich jak obecność w internecie, sprzedaż elektroniczna, biuro w chmurze, praca cyfrowa, podstawowe procesy cyfryzacji, zarządzanie klientami, marketing cyfrowy i cyberbezpieczeństwo. (podstawa: 31 grudnia 20</w:t>
            </w:r>
            <w:r w:rsidRPr="00A1618E">
              <w:rPr>
                <w:noProof/>
                <w:lang w:val="pl-PL"/>
              </w:rPr>
              <w:t>23 r.</w:t>
            </w:r>
            <w:r>
              <w:rPr>
                <w:noProof/>
              </w:rPr>
              <w:t>).</w:t>
            </w:r>
          </w:p>
          <w:p w14:paraId="71FD0435" w14:textId="77777777" w:rsidR="006578ED" w:rsidRDefault="00A1618E">
            <w:pPr>
              <w:pStyle w:val="P68B1DB1-Normal13"/>
              <w:spacing w:after="120" w:line="240" w:lineRule="auto"/>
              <w:rPr>
                <w:rFonts w:cs="Times New Roman"/>
                <w:noProof/>
              </w:rPr>
            </w:pPr>
            <w:r>
              <w:rPr>
                <w:noProof/>
              </w:rPr>
              <w:t>Z ostatecznego celu, jakim jest co najmniej 676000 MŚP lub osób samozatrudnionych:</w:t>
            </w:r>
          </w:p>
          <w:p w14:paraId="129754C0" w14:textId="0EE5B3B5" w:rsidR="006578ED" w:rsidRDefault="00A1618E">
            <w:pPr>
              <w:pStyle w:val="P68B1DB1-ListParagraph14"/>
              <w:numPr>
                <w:ilvl w:val="0"/>
                <w:numId w:val="630"/>
              </w:numPr>
              <w:spacing w:after="120" w:line="240" w:lineRule="auto"/>
              <w:rPr>
                <w:rFonts w:cs="Times New Roman"/>
                <w:noProof/>
              </w:rPr>
            </w:pPr>
            <w:r>
              <w:rPr>
                <w:noProof/>
              </w:rPr>
              <w:t xml:space="preserve">Co najmniej 629000 MŚP zatrudniających mniej niż 50 pracowników lub prowadzących działalność na własny rachunek otrzymuje wsparcie w postaci bonu o wartości co najmniej 2 000 EUR </w:t>
            </w:r>
            <w:r w:rsidRPr="00A1618E">
              <w:rPr>
                <w:noProof/>
                <w:lang w:val="pl-PL"/>
              </w:rPr>
              <w:t>do 1</w:t>
            </w:r>
            <w:r>
              <w:rPr>
                <w:noProof/>
              </w:rPr>
              <w:t>2 000 EUR.</w:t>
            </w:r>
          </w:p>
          <w:p w14:paraId="208F591F" w14:textId="260535BB" w:rsidR="006578ED" w:rsidRDefault="00A1618E">
            <w:pPr>
              <w:pStyle w:val="P68B1DB1-ListParagraph14"/>
              <w:numPr>
                <w:ilvl w:val="0"/>
                <w:numId w:val="630"/>
              </w:numPr>
              <w:spacing w:after="120" w:line="240" w:lineRule="auto"/>
              <w:rPr>
                <w:rFonts w:cs="Times New Roman"/>
                <w:noProof/>
              </w:rPr>
            </w:pPr>
            <w:r>
              <w:rPr>
                <w:noProof/>
              </w:rPr>
              <w:t>Co najmniej 12100 MŚP zatrudniających co najmniej 50 i mniej niż 250 pracowników otrzymuje wsparcie w postaci bonu o wartości co najmniej 25000 – 29 000 EUR.</w:t>
            </w:r>
          </w:p>
        </w:tc>
      </w:tr>
      <w:tr w:rsidR="006578ED" w14:paraId="7BE0ECEC" w14:textId="77777777">
        <w:trPr>
          <w:trHeight w:val="309"/>
        </w:trPr>
        <w:tc>
          <w:tcPr>
            <w:tcW w:w="709" w:type="dxa"/>
            <w:shd w:val="clear" w:color="auto" w:fill="C6EFCE"/>
            <w:noWrap/>
          </w:tcPr>
          <w:p w14:paraId="52C49AEE" w14:textId="77777777" w:rsidR="006578ED" w:rsidRDefault="00A1618E">
            <w:pPr>
              <w:pStyle w:val="P68B1DB1-Normal13"/>
              <w:spacing w:after="0" w:line="240" w:lineRule="auto"/>
              <w:jc w:val="center"/>
              <w:rPr>
                <w:rFonts w:eastAsia="Times New Roman" w:cs="Times New Roman"/>
                <w:noProof/>
              </w:rPr>
            </w:pPr>
            <w:r>
              <w:rPr>
                <w:noProof/>
              </w:rPr>
              <w:t>209</w:t>
            </w:r>
          </w:p>
        </w:tc>
        <w:tc>
          <w:tcPr>
            <w:tcW w:w="851" w:type="dxa"/>
            <w:shd w:val="clear" w:color="auto" w:fill="C6EFCE"/>
            <w:noWrap/>
          </w:tcPr>
          <w:p w14:paraId="5B78862F" w14:textId="77777777" w:rsidR="006578ED" w:rsidRDefault="00A1618E">
            <w:pPr>
              <w:pStyle w:val="P68B1DB1-Normal13"/>
              <w:spacing w:after="0" w:line="240" w:lineRule="auto"/>
              <w:jc w:val="center"/>
              <w:rPr>
                <w:rFonts w:eastAsia="Times New Roman" w:cs="Times New Roman"/>
                <w:noProof/>
              </w:rPr>
            </w:pPr>
            <w:r>
              <w:rPr>
                <w:noProof/>
              </w:rPr>
              <w:t>C13.I3</w:t>
            </w:r>
          </w:p>
        </w:tc>
        <w:tc>
          <w:tcPr>
            <w:tcW w:w="850" w:type="dxa"/>
            <w:shd w:val="clear" w:color="auto" w:fill="C6EFCE"/>
            <w:noWrap/>
          </w:tcPr>
          <w:p w14:paraId="39C09E3A" w14:textId="0E4C9B14"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2D82F927" w14:textId="77777777" w:rsidR="006578ED" w:rsidRDefault="00A1618E">
            <w:pPr>
              <w:pStyle w:val="P68B1DB1-Normal13"/>
              <w:spacing w:after="0" w:line="240" w:lineRule="auto"/>
              <w:rPr>
                <w:rFonts w:eastAsia="Times New Roman" w:cs="Times New Roman"/>
                <w:noProof/>
              </w:rPr>
            </w:pPr>
            <w:r>
              <w:rPr>
                <w:noProof/>
              </w:rPr>
              <w:t>MŚP, które zakończyły działania mające na celu zwiększenie wykorzystania technologii cyfrowych (z wyłączeniem zestawu narzędzi cyfrowych)</w:t>
            </w:r>
          </w:p>
        </w:tc>
        <w:tc>
          <w:tcPr>
            <w:tcW w:w="1134" w:type="dxa"/>
            <w:shd w:val="clear" w:color="auto" w:fill="C6EFCE"/>
            <w:noWrap/>
          </w:tcPr>
          <w:p w14:paraId="149D1E18"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A9838C9"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6CC76E74"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39E54683" w14:textId="77777777" w:rsidR="006578ED" w:rsidRDefault="00A1618E">
            <w:pPr>
              <w:pStyle w:val="P68B1DB1-Normal13"/>
              <w:spacing w:after="0" w:line="240" w:lineRule="auto"/>
              <w:jc w:val="right"/>
              <w:rPr>
                <w:rFonts w:eastAsia="Times New Roman" w:cs="Times New Roman"/>
                <w:noProof/>
              </w:rPr>
            </w:pPr>
            <w:r>
              <w:rPr>
                <w:noProof/>
              </w:rPr>
              <w:t>171 000</w:t>
            </w:r>
          </w:p>
        </w:tc>
        <w:tc>
          <w:tcPr>
            <w:tcW w:w="567" w:type="dxa"/>
            <w:shd w:val="clear" w:color="auto" w:fill="C6EFCE"/>
            <w:noWrap/>
          </w:tcPr>
          <w:p w14:paraId="2BCED87F" w14:textId="07D8A261"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39544FDC" w14:textId="77777777" w:rsidR="006578ED" w:rsidRDefault="00A1618E">
            <w:pPr>
              <w:pStyle w:val="P68B1DB1-Normal13"/>
              <w:spacing w:after="0" w:line="240" w:lineRule="auto"/>
              <w:jc w:val="center"/>
              <w:rPr>
                <w:rFonts w:eastAsia="Times New Roman" w:cs="Times New Roman"/>
                <w:noProof/>
              </w:rPr>
            </w:pPr>
            <w:r>
              <w:rPr>
                <w:noProof/>
              </w:rPr>
              <w:t>2025</w:t>
            </w:r>
          </w:p>
        </w:tc>
        <w:tc>
          <w:tcPr>
            <w:tcW w:w="6662" w:type="dxa"/>
            <w:shd w:val="clear" w:color="auto" w:fill="C6EFCE"/>
            <w:noWrap/>
          </w:tcPr>
          <w:p w14:paraId="72888EF3" w14:textId="765525AE" w:rsidR="006578ED" w:rsidRDefault="00A1618E">
            <w:pPr>
              <w:pStyle w:val="P68B1DB1-Text128"/>
              <w:spacing w:before="0"/>
              <w:ind w:left="0"/>
              <w:jc w:val="left"/>
              <w:rPr>
                <w:rFonts w:cs="Times New Roman"/>
                <w:noProof/>
              </w:rPr>
            </w:pPr>
            <w:r>
              <w:rPr>
                <w:noProof/>
              </w:rPr>
              <w:t xml:space="preserve">Co najmniej 171000 MŚP, które zakończyły działania mające na celu zwiększenie wykorzystania technologii cyfrowych i otrzymały wsparcie w ramach następujących programów: „Podmioty programu na rzecz zmian”, „Akceleratory MŚP 2.0”; „Program wsparcia klastrów innowacyjnych przedsiębiorstw” i „Program na rzecz centrów innowacji cyfrowych”. Zaproszenia do składania wniosków wraz z zakresem zadań obejmują kryteria kwalifikowalności, które zapewniają zgodność wybranych projektów z wytycznymi technicznymi dotyczącymi zasady „nie czyń poważnych szkód” (2021/C58/01) poprzez wykorzystanie listy wykluczenia oraz wymóg zgodności z odpowiednimi unijnymi i krajowymi przepisami w zakresie ochrony środowiska. </w:t>
            </w:r>
            <w:r>
              <w:rPr>
                <w:noProof/>
              </w:rPr>
              <w:br/>
              <w:t>Program „Podmioty zmian”: jest to program, który ma wspierać co najmniej 15000 małych i średnich przedsiębiorstw (ten-249 pracowników) w ich procesach transformacji cyfrowej.</w:t>
            </w:r>
            <w:r>
              <w:rPr>
                <w:noProof/>
              </w:rPr>
              <w:br/>
              <w:t>2) program „Akceleratory dla MŚP 2.0”: jest to działanie w ramach inwestycji, które ma na celu rozbudowę infrastruktury wspierającej cyfryzację MŚP za pomocą usług doradczych i szkoleniowych.</w:t>
            </w:r>
            <w:r>
              <w:rPr>
                <w:noProof/>
              </w:rPr>
              <w:br/>
              <w:t>Program „Wsparcie klastrów innowacyjnych”: wspiera to projekty mające na celu cyfryzację łańcucha wartości różnych sektorów przemysłu w celu ich modernizacji i włączenia MŚP do łańcucha wartości.</w:t>
            </w:r>
            <w:r>
              <w:rPr>
                <w:noProof/>
              </w:rPr>
              <w:br/>
              <w:t>Program „Centrum innowacji cyfrowych”: jest to program, który ma pomóc przedsiębiorstwom w zwiększeniu konkurencyjności dzięki usprawnieniu procesów biznesowych i produkcyjnych dzięki intensywnemu wykorzystaniu technologii cyfrowych.</w:t>
            </w:r>
          </w:p>
        </w:tc>
      </w:tr>
      <w:tr w:rsidR="006578ED" w14:paraId="7B45DF80" w14:textId="77777777">
        <w:trPr>
          <w:trHeight w:val="309"/>
        </w:trPr>
        <w:tc>
          <w:tcPr>
            <w:tcW w:w="709" w:type="dxa"/>
            <w:shd w:val="clear" w:color="auto" w:fill="C6EFCE"/>
            <w:noWrap/>
          </w:tcPr>
          <w:p w14:paraId="7EEE0241" w14:textId="77777777" w:rsidR="006578ED" w:rsidRDefault="00A1618E">
            <w:pPr>
              <w:pStyle w:val="P68B1DB1-Normal13"/>
              <w:spacing w:after="0" w:line="240" w:lineRule="auto"/>
              <w:jc w:val="center"/>
              <w:rPr>
                <w:rFonts w:eastAsia="Times New Roman" w:cs="Times New Roman"/>
                <w:noProof/>
              </w:rPr>
            </w:pPr>
            <w:r>
              <w:rPr>
                <w:noProof/>
              </w:rPr>
              <w:t>210</w:t>
            </w:r>
          </w:p>
        </w:tc>
        <w:tc>
          <w:tcPr>
            <w:tcW w:w="851" w:type="dxa"/>
            <w:shd w:val="clear" w:color="auto" w:fill="C6EFCE"/>
            <w:noWrap/>
          </w:tcPr>
          <w:p w14:paraId="0BD986CE" w14:textId="77777777" w:rsidR="006578ED" w:rsidRDefault="00A1618E">
            <w:pPr>
              <w:pStyle w:val="P68B1DB1-Normal13"/>
              <w:spacing w:after="0" w:line="240" w:lineRule="auto"/>
              <w:jc w:val="center"/>
              <w:rPr>
                <w:rFonts w:eastAsia="Times New Roman" w:cs="Times New Roman"/>
                <w:noProof/>
              </w:rPr>
            </w:pPr>
            <w:r>
              <w:rPr>
                <w:noProof/>
              </w:rPr>
              <w:t>C13.I4</w:t>
            </w:r>
          </w:p>
        </w:tc>
        <w:tc>
          <w:tcPr>
            <w:tcW w:w="850" w:type="dxa"/>
            <w:shd w:val="clear" w:color="auto" w:fill="C6EFCE"/>
            <w:noWrap/>
          </w:tcPr>
          <w:p w14:paraId="331544CF" w14:textId="7B680CB4"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51FD86F9" w14:textId="6376DAE7" w:rsidR="006578ED" w:rsidRDefault="00A1618E">
            <w:pPr>
              <w:pStyle w:val="P68B1DB1-Normal13"/>
              <w:spacing w:after="0" w:line="240" w:lineRule="auto"/>
              <w:rPr>
                <w:rFonts w:eastAsia="Times New Roman" w:cs="Times New Roman"/>
                <w:noProof/>
              </w:rPr>
            </w:pPr>
            <w:r>
              <w:rPr>
                <w:noProof/>
              </w:rPr>
              <w:t>MŚP i stowarzyszenia przedsiębiorców, które otrzymały wsparcie z Funduszu Technologicznego</w:t>
            </w:r>
          </w:p>
        </w:tc>
        <w:tc>
          <w:tcPr>
            <w:tcW w:w="1134" w:type="dxa"/>
            <w:shd w:val="clear" w:color="auto" w:fill="C6EFCE"/>
            <w:noWrap/>
          </w:tcPr>
          <w:p w14:paraId="062FED21"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7A8C953"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21407A27"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19AED87" w14:textId="77777777" w:rsidR="006578ED" w:rsidRDefault="00A1618E">
            <w:pPr>
              <w:pStyle w:val="P68B1DB1-Normal13"/>
              <w:spacing w:after="0" w:line="240" w:lineRule="auto"/>
              <w:jc w:val="right"/>
              <w:rPr>
                <w:rFonts w:eastAsia="Times New Roman" w:cs="Times New Roman"/>
                <w:noProof/>
              </w:rPr>
            </w:pPr>
            <w:r>
              <w:rPr>
                <w:noProof/>
              </w:rPr>
              <w:t>200</w:t>
            </w:r>
          </w:p>
        </w:tc>
        <w:tc>
          <w:tcPr>
            <w:tcW w:w="567" w:type="dxa"/>
            <w:shd w:val="clear" w:color="auto" w:fill="C6EFCE"/>
            <w:noWrap/>
          </w:tcPr>
          <w:p w14:paraId="6F973932" w14:textId="74392C93"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177A153F"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662" w:type="dxa"/>
            <w:shd w:val="clear" w:color="auto" w:fill="C6EFCE"/>
            <w:noWrap/>
          </w:tcPr>
          <w:p w14:paraId="418DE2E2" w14:textId="7C1A7DA7" w:rsidR="006578ED" w:rsidRDefault="00A1618E">
            <w:pPr>
              <w:pStyle w:val="P68B1DB1-Normal13"/>
              <w:spacing w:after="0" w:line="240" w:lineRule="auto"/>
              <w:rPr>
                <w:rFonts w:cs="Times New Roman"/>
                <w:noProof/>
              </w:rPr>
            </w:pPr>
            <w:r>
              <w:rPr>
                <w:noProof/>
              </w:rPr>
              <w:t xml:space="preserve">Co najmniej 200 MŚP lub stowarzyszeń przedsiębiorców w sektorze komercyjnym, które otrzymały dotacje z Funduszu Technologicznego, zgodnie z wytycznymi technicznymi dotyczącymi zasady „nie czyń poważnych szkód” (2021/C58/01) poprzez wykorzystanie wykazu wykluczenia oraz wymóg zgodności z odpowiednimi przepisami unijnymi i krajowymi w zakresie ochrony środowiska. </w:t>
            </w:r>
            <w:r>
              <w:rPr>
                <w:noProof/>
              </w:rPr>
              <w:br/>
              <w:t>W ramach „Funduszu Technologicznego” (200 projektów) projekty w małym sektorze handlu mające na celu wykorzystanie nowych technologii umożliwiających handel lokalny reagowanie na nowe nawyki konsumpcyjne. Projekty kwalifikowalne w ramach tego funduszu obejmują:</w:t>
            </w:r>
            <w:r>
              <w:rPr>
                <w:noProof/>
              </w:rPr>
              <w:br/>
              <w:t xml:space="preserve">a. Projekty w zakresie nowych technologii mające na celu poprawę strategii handlowej i komunikacyjnej online, modeli biznesowych lub doświadczeń zakupowych. </w:t>
            </w:r>
            <w:r>
              <w:rPr>
                <w:noProof/>
              </w:rPr>
              <w:br/>
              <w:t xml:space="preserve">b. Projekty w zakresie nowych technologii w celu dostosowania fizycznych zakupów do nowych potrzeb i nawyków konsumentów oraz nowych modeli zarządzania. </w:t>
            </w:r>
            <w:r>
              <w:rPr>
                <w:noProof/>
              </w:rPr>
              <w:br/>
              <w:t xml:space="preserve">C. Projekty w zakresie rozwiązań technologicznych mające na celu poprawę wydajności i trwałości logistyki ostatniej mili. </w:t>
            </w:r>
            <w:r>
              <w:rPr>
                <w:noProof/>
              </w:rPr>
              <w:br/>
              <w:t xml:space="preserve">D. Projekty dotyczące wdrażania rozwiązań technologicznych mających na celu poprawę efektywności energetycznej i zasobooszczędności. </w:t>
            </w:r>
            <w:r>
              <w:rPr>
                <w:noProof/>
              </w:rPr>
              <w:br/>
              <w:t>Inwestycja zostanie zakończona utworzeniem platformy cyfrowej (</w:t>
            </w:r>
            <w:r>
              <w:rPr>
                <w:i/>
                <w:noProof/>
              </w:rPr>
              <w:t>Plataforma Comercio Conectado)</w:t>
            </w:r>
            <w:r>
              <w:rPr>
                <w:noProof/>
              </w:rPr>
              <w:t xml:space="preserve">w celu wspierania cyfryzacji sektora. </w:t>
            </w:r>
          </w:p>
        </w:tc>
      </w:tr>
      <w:tr w:rsidR="006578ED" w14:paraId="008B24B2" w14:textId="77777777">
        <w:trPr>
          <w:trHeight w:val="309"/>
        </w:trPr>
        <w:tc>
          <w:tcPr>
            <w:tcW w:w="709" w:type="dxa"/>
            <w:shd w:val="clear" w:color="auto" w:fill="C6EFCE"/>
            <w:noWrap/>
          </w:tcPr>
          <w:p w14:paraId="429C24D1" w14:textId="77777777" w:rsidR="006578ED" w:rsidRDefault="00A1618E">
            <w:pPr>
              <w:pStyle w:val="P68B1DB1-Normal13"/>
              <w:spacing w:after="0" w:line="240" w:lineRule="auto"/>
              <w:jc w:val="center"/>
              <w:rPr>
                <w:rFonts w:eastAsia="Times New Roman" w:cs="Times New Roman"/>
                <w:noProof/>
              </w:rPr>
            </w:pPr>
            <w:r>
              <w:rPr>
                <w:noProof/>
              </w:rPr>
              <w:t>211</w:t>
            </w:r>
          </w:p>
        </w:tc>
        <w:tc>
          <w:tcPr>
            <w:tcW w:w="851" w:type="dxa"/>
            <w:shd w:val="clear" w:color="auto" w:fill="C6EFCE"/>
            <w:noWrap/>
          </w:tcPr>
          <w:p w14:paraId="7B3D2E61" w14:textId="77777777" w:rsidR="006578ED" w:rsidRDefault="00A1618E">
            <w:pPr>
              <w:pStyle w:val="P68B1DB1-Normal13"/>
              <w:spacing w:after="0" w:line="240" w:lineRule="auto"/>
              <w:jc w:val="center"/>
              <w:rPr>
                <w:rFonts w:eastAsia="Times New Roman" w:cs="Times New Roman"/>
                <w:noProof/>
              </w:rPr>
            </w:pPr>
            <w:r>
              <w:rPr>
                <w:noProof/>
              </w:rPr>
              <w:t>C13.I4</w:t>
            </w:r>
          </w:p>
        </w:tc>
        <w:tc>
          <w:tcPr>
            <w:tcW w:w="850" w:type="dxa"/>
            <w:shd w:val="clear" w:color="auto" w:fill="C6EFCE"/>
            <w:noWrap/>
          </w:tcPr>
          <w:p w14:paraId="752931E0" w14:textId="2BEAF807"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486B5B48" w14:textId="77777777" w:rsidR="006578ED" w:rsidRDefault="00A1618E">
            <w:pPr>
              <w:pStyle w:val="P68B1DB1-Normal13"/>
              <w:spacing w:after="0" w:line="240" w:lineRule="auto"/>
              <w:rPr>
                <w:rFonts w:eastAsia="Times New Roman" w:cs="Times New Roman"/>
                <w:noProof/>
              </w:rPr>
            </w:pPr>
            <w:r>
              <w:rPr>
                <w:noProof/>
              </w:rPr>
              <w:t>Działania modernizacyjne na rynkach gminnych lub obszarach handlowych</w:t>
            </w:r>
          </w:p>
        </w:tc>
        <w:tc>
          <w:tcPr>
            <w:tcW w:w="1134" w:type="dxa"/>
            <w:shd w:val="clear" w:color="auto" w:fill="C6EFCE"/>
            <w:noWrap/>
          </w:tcPr>
          <w:p w14:paraId="5999AB34"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7749BFC1"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634E5575"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F315D91" w14:textId="77777777" w:rsidR="006578ED" w:rsidRDefault="00A1618E">
            <w:pPr>
              <w:pStyle w:val="P68B1DB1-Normal13"/>
              <w:spacing w:after="0" w:line="240" w:lineRule="auto"/>
              <w:jc w:val="right"/>
              <w:rPr>
                <w:rFonts w:eastAsia="Times New Roman" w:cs="Times New Roman"/>
                <w:noProof/>
              </w:rPr>
            </w:pPr>
            <w:r>
              <w:rPr>
                <w:noProof/>
              </w:rPr>
              <w:t>30</w:t>
            </w:r>
          </w:p>
        </w:tc>
        <w:tc>
          <w:tcPr>
            <w:tcW w:w="567" w:type="dxa"/>
            <w:shd w:val="clear" w:color="auto" w:fill="C6EFCE"/>
            <w:noWrap/>
          </w:tcPr>
          <w:p w14:paraId="33DF6B61" w14:textId="7227DB92"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1D272AB4" w14:textId="77777777" w:rsidR="006578ED" w:rsidRDefault="00A1618E">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029DF34B" w14:textId="7443F631" w:rsidR="006578ED" w:rsidRDefault="00A1618E">
            <w:pPr>
              <w:pStyle w:val="P68B1DB1-Normal13"/>
              <w:spacing w:after="0" w:line="240" w:lineRule="auto"/>
              <w:rPr>
                <w:rFonts w:cs="Times New Roman"/>
                <w:noProof/>
              </w:rPr>
            </w:pPr>
            <w:r>
              <w:rPr>
                <w:noProof/>
              </w:rPr>
              <w:t>Co najmniej 30 działań modernizacyjnych na rynkach gminnych lub obszarach komercyjnych, zgodnie z wytycznymi technicznymi dotyczącymi zasady „nie czyń poważnych szkód” (2021/C58/01) poprzez wykorzystanie wykazu wyłączeń oraz wymóg zgodności z odpowiednimi unijnymi i krajowymi przepisami w zakresie ochrony środowiska.</w:t>
            </w:r>
            <w:r>
              <w:rPr>
                <w:noProof/>
              </w:rPr>
              <w:br/>
              <w:t xml:space="preserve">Projekty przedłożone przez władze lokalne, mające na celu poprawę modernizacji rynków gminnych, obszarów handlowych, rynków sprzedaży niesedentalnej i krótkich kanałów marketingowych w ramach programu „Zrównoważone rynki” (30 projektów). Projekty kwalifikowalne w ramach tego programu obejmują: </w:t>
            </w:r>
            <w:r>
              <w:rPr>
                <w:noProof/>
              </w:rPr>
              <w:br/>
              <w:t>a. Projekty dotyczące przyjęcia narzędzi do wglądu klientów opartych na dużych zbiorach danych lub innych technologiach.</w:t>
            </w:r>
            <w:r>
              <w:rPr>
                <w:noProof/>
              </w:rPr>
              <w:br/>
              <w:t xml:space="preserve"> b. Projekty transformacji cyfrowej rynków, które poprawiają rynek wielokanałowy i doświadczenia zakupowe.</w:t>
            </w:r>
            <w:r>
              <w:rPr>
                <w:noProof/>
              </w:rPr>
              <w:br/>
              <w:t xml:space="preserve"> C. Projekty mające na celu transformację cyfrową handlu ulicznego i krótkich kanałów marketingowych.</w:t>
            </w:r>
            <w:r>
              <w:rPr>
                <w:noProof/>
              </w:rPr>
              <w:br/>
              <w:t xml:space="preserve"> D. Projekty związane z pracami i remontami obiektów, ich dostępności, wyposażenia i adekwatności obszarów zajmowanych przez rynki komunalne, komercyjne i niesedencyjne oraz obszary przyległe do nich.</w:t>
            </w:r>
            <w:r>
              <w:rPr>
                <w:noProof/>
              </w:rPr>
              <w:br/>
              <w:t xml:space="preserve"> e. Projekty mające na celu zmniejszenie zużycia środków produkcji w handlu i zastąpienie ich alternatywnymi rozwiązaniami przyjaznymi dla środowiska.</w:t>
            </w:r>
            <w:r>
              <w:rPr>
                <w:noProof/>
              </w:rPr>
              <w:br/>
              <w:t xml:space="preserve"> F. Instalacja inteligentnych punktów dostawy.</w:t>
            </w:r>
            <w:r>
              <w:rPr>
                <w:noProof/>
              </w:rPr>
              <w:br/>
              <w:t xml:space="preserve"> g. projekty mające na celu poprawę efektywności energetycznej rynków gminnych, obszarów handlowych, rynków sprzedaży niesezonowej.</w:t>
            </w:r>
            <w:r>
              <w:rPr>
                <w:noProof/>
              </w:rPr>
              <w:br/>
              <w:t xml:space="preserve"> H. Działania promujące recykling lub ponowne wykorzystanie odpadów.</w:t>
            </w:r>
            <w:r>
              <w:rPr>
                <w:noProof/>
              </w:rPr>
              <w:br/>
              <w:t xml:space="preserve"> I. Podnoszenie świadomości i szkolenie w zakresie umiejętności technologicznych na rynkach gminnych, obszarach handlowych, rynkach sprzedaży niesezonowej.</w:t>
            </w:r>
          </w:p>
        </w:tc>
      </w:tr>
      <w:tr w:rsidR="006578ED" w14:paraId="039FAF56" w14:textId="77777777">
        <w:trPr>
          <w:trHeight w:val="309"/>
        </w:trPr>
        <w:tc>
          <w:tcPr>
            <w:tcW w:w="709" w:type="dxa"/>
            <w:shd w:val="clear" w:color="auto" w:fill="C6EFCE"/>
            <w:noWrap/>
          </w:tcPr>
          <w:p w14:paraId="750B66BA" w14:textId="77777777" w:rsidR="006578ED" w:rsidRDefault="00A1618E">
            <w:pPr>
              <w:pStyle w:val="P68B1DB1-Normal13"/>
              <w:spacing w:after="0" w:line="240" w:lineRule="auto"/>
              <w:jc w:val="center"/>
              <w:rPr>
                <w:rFonts w:eastAsia="Times New Roman" w:cs="Times New Roman"/>
                <w:noProof/>
              </w:rPr>
            </w:pPr>
            <w:r>
              <w:rPr>
                <w:noProof/>
              </w:rPr>
              <w:t>212</w:t>
            </w:r>
          </w:p>
        </w:tc>
        <w:tc>
          <w:tcPr>
            <w:tcW w:w="851" w:type="dxa"/>
            <w:shd w:val="clear" w:color="auto" w:fill="C6EFCE"/>
            <w:noWrap/>
          </w:tcPr>
          <w:p w14:paraId="5170E8E5" w14:textId="77777777" w:rsidR="006578ED" w:rsidRDefault="00A1618E">
            <w:pPr>
              <w:pStyle w:val="P68B1DB1-Normal13"/>
              <w:spacing w:after="0" w:line="240" w:lineRule="auto"/>
              <w:jc w:val="center"/>
              <w:rPr>
                <w:rFonts w:eastAsia="Times New Roman" w:cs="Times New Roman"/>
                <w:noProof/>
              </w:rPr>
            </w:pPr>
            <w:r>
              <w:rPr>
                <w:noProof/>
              </w:rPr>
              <w:t>C13.I4</w:t>
            </w:r>
          </w:p>
        </w:tc>
        <w:tc>
          <w:tcPr>
            <w:tcW w:w="850" w:type="dxa"/>
            <w:shd w:val="clear" w:color="auto" w:fill="C6EFCE"/>
            <w:noWrap/>
          </w:tcPr>
          <w:p w14:paraId="73A3859C" w14:textId="52480A9F"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6349AB81" w14:textId="56CA86DF" w:rsidR="006578ED" w:rsidRDefault="00A1618E">
            <w:pPr>
              <w:pStyle w:val="P68B1DB1-Normal13"/>
              <w:spacing w:after="0" w:line="240" w:lineRule="auto"/>
              <w:rPr>
                <w:rFonts w:eastAsia="Times New Roman" w:cs="Times New Roman"/>
                <w:noProof/>
              </w:rPr>
            </w:pPr>
            <w:r>
              <w:rPr>
                <w:noProof/>
              </w:rPr>
              <w:t>Modernizacja infrastruktury rynkowej w małych gminach</w:t>
            </w:r>
          </w:p>
        </w:tc>
        <w:tc>
          <w:tcPr>
            <w:tcW w:w="1134" w:type="dxa"/>
            <w:shd w:val="clear" w:color="auto" w:fill="C6EFCE"/>
            <w:noWrap/>
          </w:tcPr>
          <w:p w14:paraId="1C455B31"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2BC82CC9"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396AE786"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540C49D" w14:textId="77777777" w:rsidR="006578ED" w:rsidRDefault="00A1618E">
            <w:pPr>
              <w:pStyle w:val="P68B1DB1-Normal13"/>
              <w:spacing w:after="0" w:line="240" w:lineRule="auto"/>
              <w:jc w:val="right"/>
              <w:rPr>
                <w:rFonts w:eastAsia="Times New Roman" w:cs="Times New Roman"/>
                <w:noProof/>
              </w:rPr>
            </w:pPr>
            <w:r>
              <w:rPr>
                <w:noProof/>
              </w:rPr>
              <w:t>100</w:t>
            </w:r>
          </w:p>
        </w:tc>
        <w:tc>
          <w:tcPr>
            <w:tcW w:w="567" w:type="dxa"/>
            <w:shd w:val="clear" w:color="auto" w:fill="C6EFCE"/>
            <w:noWrap/>
          </w:tcPr>
          <w:p w14:paraId="30C39912" w14:textId="1525033D"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5AD41FCE" w14:textId="77777777" w:rsidR="006578ED" w:rsidRDefault="00A1618E">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16D4FAA1" w14:textId="28908BBC" w:rsidR="006578ED" w:rsidRDefault="00A1618E">
            <w:pPr>
              <w:pStyle w:val="P68B1DB1-Normal13"/>
              <w:spacing w:after="0" w:line="240" w:lineRule="auto"/>
              <w:rPr>
                <w:rFonts w:eastAsia="Times New Roman" w:cs="Times New Roman"/>
                <w:noProof/>
              </w:rPr>
            </w:pPr>
            <w:r>
              <w:rPr>
                <w:noProof/>
              </w:rPr>
              <w:t>Co najmniej 100 zakończonych działań w zakresie modernizacji infrastruktury rynkowej w małych gminach zatwierdzonych i rozpoczętych zgodnie z wytycznymi technicznymi dotyczącymi zasady „nie czyń poważnych szkód” (2021/C58/01) poprzez wykorzystanie wykazu wyłączeń oraz wymóg zgodności z odpowiednimi unijnymi i krajowymi przepisami w zakresie ochrony środowiska.</w:t>
            </w:r>
            <w:r>
              <w:rPr>
                <w:noProof/>
              </w:rPr>
              <w:br/>
              <w:t xml:space="preserve">Projekty kwalifikowalne w ramach tego programu obejmują: </w:t>
            </w:r>
            <w:r>
              <w:rPr>
                <w:noProof/>
              </w:rPr>
              <w:br/>
              <w:t xml:space="preserve"> a. Projekty dotyczące przyjęcia narzędzi do wglądu klientów opartych na dużych zbiorach danych lub innych technologiach.</w:t>
            </w:r>
            <w:r>
              <w:rPr>
                <w:noProof/>
              </w:rPr>
              <w:br/>
              <w:t xml:space="preserve"> b. Projekty transformacji cyfrowej rynków, które poprawiają rynek wielokanałowy i doświadczenia zakupowe.</w:t>
            </w:r>
            <w:r>
              <w:rPr>
                <w:noProof/>
              </w:rPr>
              <w:br/>
              <w:t xml:space="preserve"> C. Projekty mające na celu transformację cyfrową handlu ulicznego i krótkich kanałów marketingowych.</w:t>
            </w:r>
            <w:r>
              <w:rPr>
                <w:noProof/>
              </w:rPr>
              <w:br/>
              <w:t xml:space="preserve"> D. Projekty związane z pracami i remontami obiektów, ich dostępności, wyposażenia i adekwatności obszarów zajmowanych przez rynki komunalne, komercyjne i niesedencyjne oraz obszary przyległe do nich.</w:t>
            </w:r>
            <w:r>
              <w:rPr>
                <w:noProof/>
              </w:rPr>
              <w:br/>
              <w:t xml:space="preserve"> e. Projekty mające na celu zmniejszenie zużycia środków produkcji w handlu i zastąpienie ich alternatywnymi rozwiązaniami przyjaznymi dla środowiska.</w:t>
            </w:r>
            <w:r>
              <w:rPr>
                <w:noProof/>
              </w:rPr>
              <w:br/>
              <w:t xml:space="preserve"> F. Instalacja inteligentnych punktów dostawy.</w:t>
            </w:r>
            <w:r>
              <w:rPr>
                <w:noProof/>
              </w:rPr>
              <w:br/>
              <w:t xml:space="preserve"> g. projekty mające na celu poprawę efektywności energetycznej rynków gminnych, obszarów handlowych, rynków sprzedaży niesezonowej.</w:t>
            </w:r>
            <w:r>
              <w:rPr>
                <w:noProof/>
              </w:rPr>
              <w:br/>
              <w:t xml:space="preserve"> H. Działania promujące recykling lub ponowne wykorzystanie odpadów.</w:t>
            </w:r>
            <w:r>
              <w:rPr>
                <w:noProof/>
              </w:rPr>
              <w:br/>
              <w:t xml:space="preserve"> I. Podnoszenie świadomości i szkolenie w zakresie umiejętności technologicznych na rynkach gminnych, obszarach handlowych, rynkach sprzedaży niesezonowej.</w:t>
            </w:r>
          </w:p>
        </w:tc>
      </w:tr>
      <w:tr w:rsidR="006578ED" w14:paraId="61292C9B" w14:textId="77777777">
        <w:trPr>
          <w:trHeight w:val="309"/>
        </w:trPr>
        <w:tc>
          <w:tcPr>
            <w:tcW w:w="709" w:type="dxa"/>
            <w:shd w:val="clear" w:color="auto" w:fill="C6EFCE"/>
            <w:noWrap/>
          </w:tcPr>
          <w:p w14:paraId="2016163D" w14:textId="77777777" w:rsidR="006578ED" w:rsidRDefault="00A1618E">
            <w:pPr>
              <w:pStyle w:val="P68B1DB1-Normal13"/>
              <w:spacing w:after="0" w:line="240" w:lineRule="auto"/>
              <w:jc w:val="center"/>
              <w:rPr>
                <w:rFonts w:eastAsia="Times New Roman" w:cs="Times New Roman"/>
                <w:noProof/>
              </w:rPr>
            </w:pPr>
            <w:r>
              <w:rPr>
                <w:noProof/>
              </w:rPr>
              <w:t>213</w:t>
            </w:r>
          </w:p>
        </w:tc>
        <w:tc>
          <w:tcPr>
            <w:tcW w:w="851" w:type="dxa"/>
            <w:shd w:val="clear" w:color="auto" w:fill="C6EFCE"/>
            <w:noWrap/>
          </w:tcPr>
          <w:p w14:paraId="0A5FEB25" w14:textId="77777777" w:rsidR="006578ED" w:rsidRDefault="00A1618E">
            <w:pPr>
              <w:pStyle w:val="P68B1DB1-Normal13"/>
              <w:spacing w:after="0" w:line="240" w:lineRule="auto"/>
              <w:jc w:val="center"/>
              <w:rPr>
                <w:rFonts w:eastAsia="Times New Roman" w:cs="Times New Roman"/>
                <w:noProof/>
              </w:rPr>
            </w:pPr>
            <w:r>
              <w:rPr>
                <w:noProof/>
              </w:rPr>
              <w:t>C13.I5</w:t>
            </w:r>
          </w:p>
        </w:tc>
        <w:tc>
          <w:tcPr>
            <w:tcW w:w="850" w:type="dxa"/>
            <w:shd w:val="clear" w:color="auto" w:fill="C6EFCE"/>
            <w:noWrap/>
          </w:tcPr>
          <w:p w14:paraId="1CCC9AC6" w14:textId="1E674F55" w:rsidR="006578ED" w:rsidRDefault="00AF6B91">
            <w:pPr>
              <w:pStyle w:val="P68B1DB1-Normal13"/>
              <w:spacing w:after="0" w:line="240" w:lineRule="auto"/>
              <w:jc w:val="center"/>
              <w:rPr>
                <w:rFonts w:eastAsia="Times New Roman" w:cs="Times New Roman"/>
                <w:noProof/>
              </w:rPr>
            </w:pPr>
            <w:r>
              <w:rPr>
                <w:noProof/>
              </w:rPr>
              <w:t>Cel</w:t>
            </w:r>
          </w:p>
        </w:tc>
        <w:tc>
          <w:tcPr>
            <w:tcW w:w="1985" w:type="dxa"/>
            <w:shd w:val="clear" w:color="auto" w:fill="C6EFCE"/>
            <w:noWrap/>
          </w:tcPr>
          <w:p w14:paraId="705A5779" w14:textId="549C53BD" w:rsidR="006578ED" w:rsidRDefault="00A1618E">
            <w:pPr>
              <w:pStyle w:val="P68B1DB1-Normal13"/>
              <w:spacing w:after="0" w:line="240" w:lineRule="auto"/>
              <w:rPr>
                <w:rFonts w:eastAsia="Times New Roman" w:cs="Times New Roman"/>
                <w:noProof/>
              </w:rPr>
            </w:pPr>
            <w:r>
              <w:rPr>
                <w:noProof/>
              </w:rPr>
              <w:t>Przedsiębiorstwa uczestniczące w projektach wspierających ich umiędzynarodowienie</w:t>
            </w:r>
          </w:p>
        </w:tc>
        <w:tc>
          <w:tcPr>
            <w:tcW w:w="1134" w:type="dxa"/>
            <w:shd w:val="clear" w:color="auto" w:fill="C6EFCE"/>
            <w:noWrap/>
          </w:tcPr>
          <w:p w14:paraId="54DAA9FA"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3B7C0BF"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8" w:type="dxa"/>
            <w:shd w:val="clear" w:color="auto" w:fill="C6EFCE"/>
            <w:noWrap/>
          </w:tcPr>
          <w:p w14:paraId="1B6A52EE"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58FC2B62" w14:textId="77777777" w:rsidR="006578ED" w:rsidRDefault="00A1618E">
            <w:pPr>
              <w:pStyle w:val="P68B1DB1-Normal13"/>
              <w:spacing w:after="0" w:line="240" w:lineRule="auto"/>
              <w:jc w:val="right"/>
              <w:rPr>
                <w:rFonts w:eastAsia="Times New Roman" w:cs="Times New Roman"/>
                <w:noProof/>
              </w:rPr>
            </w:pPr>
            <w:r>
              <w:rPr>
                <w:noProof/>
              </w:rPr>
              <w:t>3 000</w:t>
            </w:r>
          </w:p>
        </w:tc>
        <w:tc>
          <w:tcPr>
            <w:tcW w:w="567" w:type="dxa"/>
            <w:shd w:val="clear" w:color="auto" w:fill="C6EFCE"/>
            <w:noWrap/>
          </w:tcPr>
          <w:p w14:paraId="5D192DE9" w14:textId="5C611C92"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2A031F49" w14:textId="77777777" w:rsidR="006578ED" w:rsidRDefault="00A1618E">
            <w:pPr>
              <w:pStyle w:val="P68B1DB1-Normal13"/>
              <w:spacing w:after="0" w:line="240" w:lineRule="auto"/>
              <w:jc w:val="center"/>
              <w:rPr>
                <w:rFonts w:eastAsia="Times New Roman" w:cs="Times New Roman"/>
                <w:noProof/>
              </w:rPr>
            </w:pPr>
            <w:r>
              <w:rPr>
                <w:noProof/>
              </w:rPr>
              <w:t>2024</w:t>
            </w:r>
          </w:p>
        </w:tc>
        <w:tc>
          <w:tcPr>
            <w:tcW w:w="6662" w:type="dxa"/>
            <w:shd w:val="clear" w:color="auto" w:fill="C6EFCE"/>
            <w:noWrap/>
          </w:tcPr>
          <w:p w14:paraId="54D3EC9D" w14:textId="5B66724C" w:rsidR="006578ED" w:rsidRDefault="00A1618E">
            <w:pPr>
              <w:pStyle w:val="P68B1DB1-Normal13"/>
              <w:spacing w:after="0" w:line="240" w:lineRule="auto"/>
              <w:rPr>
                <w:rFonts w:eastAsia="Times New Roman" w:cs="Times New Roman"/>
                <w:noProof/>
              </w:rPr>
            </w:pPr>
            <w:r>
              <w:rPr>
                <w:noProof/>
              </w:rPr>
              <w:t xml:space="preserve">Co najmniej 3000 przedsiębiorstw, z czego co najmniej 2500 MŚP, uczestniczyło i ukończyło projekty wspierające ich umiędzynarodowienie w ramach planów działania na rzecz umiędzynarodowienia na lata 2021–2022 i 2023–2024. Horyzontalne działania wspierające cyfryzację stowarzyszeń eksportowych, izb handlowych i usług administracyjnych przynoszą korzyści wszystkim eksporterom i promują umiędzynarodowienie nowych przedsiębiorstw, zgodnie z wytycznymi technicznymi dotyczącymi zasady „nie czyń poważnych szkód” (2021/C58/01) poprzez stosowanie wykazu wyłączeń i wymóg zgodności z odpowiednimi unijnymi i krajowymi przepisami w zakresie ochrony środowiska. </w:t>
            </w:r>
            <w:r>
              <w:rPr>
                <w:noProof/>
              </w:rPr>
              <w:br/>
              <w:t>Działania w ramach inwestycji wybiera się z następującej listy projektów/obszarów:</w:t>
            </w:r>
            <w:r>
              <w:rPr>
                <w:noProof/>
              </w:rPr>
              <w:br/>
              <w:t>1. Linia finansowania na studia wykonalności, wykonalności, wstępnej wykonalności oraz modernizacji sektorowej i instytucjonalnej.</w:t>
            </w:r>
            <w:r>
              <w:rPr>
                <w:noProof/>
              </w:rPr>
              <w:br/>
              <w:t xml:space="preserve">2. Program INNOVA Invest mający na celu wspieranie inwestycji zagranicznych w badania i rozwój. </w:t>
            </w:r>
            <w:r>
              <w:rPr>
                <w:noProof/>
              </w:rPr>
              <w:br/>
              <w:t>3. Program VIVES ma na celu zapewnienie wsparcia finansowego na zatrudnianie stażystów w przedsiębiorstwach zaangażowanych w działalność eksportową.</w:t>
            </w:r>
            <w:r>
              <w:rPr>
                <w:noProof/>
              </w:rPr>
              <w:br/>
              <w:t>4. Program mentoringu i szkolenia umiędzynarodowienia.</w:t>
            </w:r>
            <w:r>
              <w:rPr>
                <w:noProof/>
              </w:rPr>
              <w:br/>
              <w:t>5. Program na rzecz wzmocnienia systemów komunikacji, usług telematycznych i cyfryzacji federacji eksportowych stowarzyszeń eksportowych, hiszpańskich izb handlowych i ich federacji.</w:t>
            </w:r>
            <w:r>
              <w:rPr>
                <w:noProof/>
              </w:rPr>
              <w:br/>
              <w:t>6. Program rozszerzenia bazy eksportowej, program mający na celu zapewnienie zindywidualizowanego coachingu w celu umiędzynarodowienia przedsiębiorstw, a w szczególności MŚP.</w:t>
            </w:r>
            <w:r>
              <w:rPr>
                <w:noProof/>
              </w:rPr>
              <w:br/>
              <w:t>7. Program na rzecz wzmocnienia hiszpańskiego ekosystemu przedsiębiorstw o wysokim poziomie wzrostu.</w:t>
            </w:r>
            <w:r>
              <w:rPr>
                <w:noProof/>
              </w:rPr>
              <w:br/>
              <w:t>8. Pomoc na otwarcie i konsolidację rynków poprzez subsydia na wydatki związane z inspekcjami i audytami organów państw trzecich oraz wydatki prawne i doradcze związane z ochroną handlu.</w:t>
            </w:r>
            <w:r>
              <w:rPr>
                <w:noProof/>
              </w:rPr>
              <w:br/>
              <w:t xml:space="preserve">9. Program zachęt finansowych COFIDES (instytucja finansowa będąca własnością państwa, która zapewnia średnio- i długoterminowe finansowanie w celu wspierania projektów inwestycyjnych przedsiębiorstw w zakresie umiędzynarodowienia) w celu promowania inwestycji o oddziaływaniu. </w:t>
            </w:r>
            <w:r>
              <w:rPr>
                <w:noProof/>
              </w:rPr>
              <w:br/>
              <w:t>10. Zwiększenie cyfryzacji usług rządowych w celu wspierania umiędzynarodowienia.</w:t>
            </w:r>
            <w:r>
              <w:rPr>
                <w:noProof/>
              </w:rPr>
              <w:br/>
              <w:t>11. Digitalizacja ICEX (krajowego przedsiębiorstwa publicznego promującego umiędzynarodowienie hiszpańskich przedsiębiorstw) oraz tworzenie wirtualnych kampusów.</w:t>
            </w:r>
            <w:r>
              <w:rPr>
                <w:noProof/>
              </w:rPr>
              <w:br/>
              <w:t xml:space="preserve">Kryteria wyboru muszą zapewniać zgodność z wytycznymi technicznymi dotyczącymi zasady „nie czyń poważnych szkód” (2021/C58/01) transakcji objętych wsparciem w ramach tego środka poprzez stosowanie kontroli zrównoważonego charakteru projektów, stosowanie wykazu wykluczenia oraz wymóg zgodności z odpowiednimi unijnymi i krajowymi przepisami w zakresie ochrony środowiska. </w:t>
            </w:r>
          </w:p>
        </w:tc>
      </w:tr>
    </w:tbl>
    <w:p w14:paraId="03A133E4" w14:textId="77777777" w:rsidR="006578ED" w:rsidRDefault="006578ED">
      <w:pPr>
        <w:spacing w:before="120" w:after="120" w:line="240" w:lineRule="auto"/>
        <w:ind w:left="709"/>
        <w:jc w:val="both"/>
        <w:rPr>
          <w:rFonts w:ascii="Times New Roman" w:hAnsi="Times New Roman" w:cs="Times New Roman"/>
          <w:noProof/>
          <w:sz w:val="24"/>
        </w:rPr>
      </w:pPr>
    </w:p>
    <w:p w14:paraId="5BC3968E" w14:textId="77777777" w:rsidR="006578ED" w:rsidRDefault="00A1618E">
      <w:pPr>
        <w:spacing w:before="120" w:after="120" w:line="240" w:lineRule="auto"/>
        <w:ind w:left="709"/>
        <w:jc w:val="both"/>
        <w:rPr>
          <w:rFonts w:ascii="Times New Roman" w:hAnsi="Times New Roman" w:cs="Times New Roman"/>
          <w:noProof/>
          <w:sz w:val="24"/>
        </w:rPr>
        <w:sectPr w:rsidR="006578ED" w:rsidSect="00EB7CC8">
          <w:headerReference w:type="even" r:id="rId276"/>
          <w:headerReference w:type="default" r:id="rId277"/>
          <w:footerReference w:type="even" r:id="rId278"/>
          <w:footerReference w:type="default" r:id="rId279"/>
          <w:headerReference w:type="first" r:id="rId280"/>
          <w:footerReference w:type="first" r:id="rId281"/>
          <w:pgSz w:w="16839" w:h="11907" w:orient="landscape"/>
          <w:pgMar w:top="1417" w:right="1134" w:bottom="1417" w:left="1134" w:header="709" w:footer="709" w:gutter="0"/>
          <w:cols w:space="720"/>
          <w:docGrid w:linePitch="360"/>
        </w:sectPr>
      </w:pPr>
      <w:r>
        <w:rPr>
          <w:noProof/>
        </w:rPr>
        <w:br w:type="page"/>
      </w:r>
    </w:p>
    <w:p w14:paraId="7973AD0F" w14:textId="183B9092" w:rsidR="006578ED" w:rsidRDefault="00AF6B91">
      <w:pPr>
        <w:pStyle w:val="P68B1DB1-Normal5"/>
        <w:ind w:firstLine="720"/>
        <w:rPr>
          <w:rFonts w:cs="Times New Roman"/>
          <w:noProof/>
        </w:rPr>
      </w:pPr>
      <w:r>
        <w:rPr>
          <w:noProof/>
        </w:rPr>
        <w:t>Kamień milowy.3. Opis reform</w:t>
      </w:r>
      <w:r w:rsidR="00A1618E">
        <w:rPr>
          <w:noProof/>
        </w:rPr>
        <w:t xml:space="preserve"> i inw</w:t>
      </w:r>
      <w:r>
        <w:rPr>
          <w:noProof/>
        </w:rPr>
        <w:t>estycji na potrzeby wsparcia</w:t>
      </w:r>
      <w:r w:rsidR="00A1618E">
        <w:rPr>
          <w:noProof/>
        </w:rPr>
        <w:t xml:space="preserve"> w for</w:t>
      </w:r>
      <w:r>
        <w:rPr>
          <w:noProof/>
        </w:rPr>
        <w:t>mie pożyczki</w:t>
      </w:r>
    </w:p>
    <w:p w14:paraId="07B27A8F" w14:textId="7995F652" w:rsidR="006578ED" w:rsidRDefault="00A1618E">
      <w:pPr>
        <w:pStyle w:val="P68B1DB1-Normal6"/>
        <w:rPr>
          <w:rFonts w:cs="Times New Roman"/>
          <w:noProof/>
        </w:rPr>
      </w:pPr>
      <w:r>
        <w:rPr>
          <w:noProof/>
        </w:rPr>
        <w:t>Inwestycje 6 (</w:t>
      </w:r>
      <w:bookmarkStart w:id="28" w:name="_Hlk141289238"/>
      <w:r>
        <w:rPr>
          <w:noProof/>
        </w:rPr>
        <w:t>C13.I6</w:t>
      </w:r>
      <w:bookmarkEnd w:id="28"/>
      <w:r>
        <w:rPr>
          <w:noProof/>
        </w:rPr>
        <w:t>) – zielona linia ICO oraz linia przedsiębiorstw i przedsiębiorców</w:t>
      </w:r>
    </w:p>
    <w:p w14:paraId="651485A1" w14:textId="4CF77E50" w:rsidR="006578ED" w:rsidRDefault="00A1618E">
      <w:pPr>
        <w:pStyle w:val="P68B1DB1-Normal4"/>
        <w:spacing w:line="240" w:lineRule="auto"/>
        <w:jc w:val="both"/>
        <w:rPr>
          <w:rFonts w:cs="Times New Roman"/>
          <w:noProof/>
        </w:rPr>
      </w:pPr>
      <w:r>
        <w:rPr>
          <w:noProof/>
        </w:rPr>
        <w:t>Środek ten obejmuje inwestycję w dwie linie finansowe: zielona linia Komisarza ds. Informacji oraz Linia Przedsiębiorstw i Przedsiębiorców ICO.</w:t>
      </w:r>
    </w:p>
    <w:p w14:paraId="5F576ED7" w14:textId="7E236BB9" w:rsidR="006578ED" w:rsidRDefault="00A1618E">
      <w:pPr>
        <w:pStyle w:val="P68B1DB1-Normal18"/>
        <w:rPr>
          <w:rFonts w:cs="Times New Roman"/>
          <w:noProof/>
        </w:rPr>
      </w:pPr>
      <w:r>
        <w:rPr>
          <w:noProof/>
        </w:rPr>
        <w:t>Zielona linia ICO</w:t>
      </w:r>
    </w:p>
    <w:p w14:paraId="4825AEBB" w14:textId="3A5D1D9A" w:rsidR="006578ED" w:rsidRDefault="00A1618E">
      <w:pPr>
        <w:pStyle w:val="P68B1DB1-Normal4"/>
        <w:spacing w:line="240" w:lineRule="auto"/>
        <w:jc w:val="both"/>
        <w:rPr>
          <w:rFonts w:cs="Times New Roman"/>
          <w:noProof/>
        </w:rPr>
      </w:pPr>
      <w:bookmarkStart w:id="29" w:name="_Hlk145872780"/>
      <w:r>
        <w:rPr>
          <w:noProof/>
        </w:rPr>
        <w:t>Ten element tego środka obejmuje inwestycje publiczne w instrument, zieloną linię ICO, w celu zachęcenia do inwestycji prywatnych i poprawy dostępu do finansowania w ekologicznych sektorach Hiszpanii oraz w celu rozwoju rynków kapitałowych w tym obszarze, w szczególności w siedmiu różnych dziedzinach: zrównoważony transport, w tym kolejowy; efektywność energetyczną; energii odnawialnej, w tym magazynowania energii i sieci elektroenergetycznej; obniżenie emisyjności przemysłu i niskoemisyjne przemysłowe łańcuchy wartości związane z transformacją energetyczną; gospodarka wodna; gospodarka o obiegu zamkniętym; przystosowanie się do zmiany klimatu</w:t>
      </w:r>
      <w:bookmarkStart w:id="30" w:name="_Hlk145872817"/>
      <w:r>
        <w:rPr>
          <w:noProof/>
        </w:rPr>
        <w:t xml:space="preserve">. </w:t>
      </w:r>
      <w:bookmarkEnd w:id="29"/>
      <w:bookmarkEnd w:id="30"/>
      <w:r>
        <w:rPr>
          <w:noProof/>
        </w:rPr>
        <w:t>Instrument działa poprzez zapewnianie bezpośredniego finansowania, zakupu obligacji korporacyjnych oraz inwestycji kapitałowych i quasi-kapitałowych, bezpośrednio lub przez pośredników na rzecz sektora prywatnego i gospodarstw domowych, a także podmiotów sektora publicznego prowadzących podobną działalność. Na podstawie inwestycji w ramach RRF instrument ma początkowo zapewnić finansowanie w wysokości co najmniej 22 000 000 000 EUR.</w:t>
      </w:r>
    </w:p>
    <w:p w14:paraId="6F778440" w14:textId="7C19E0A1" w:rsidR="006578ED" w:rsidRDefault="00A1618E">
      <w:pPr>
        <w:pStyle w:val="P68B1DB1-Normal4"/>
        <w:spacing w:line="240" w:lineRule="auto"/>
        <w:jc w:val="both"/>
        <w:rPr>
          <w:rFonts w:cs="Times New Roman"/>
          <w:noProof/>
        </w:rPr>
      </w:pPr>
      <w:r>
        <w:rPr>
          <w:noProof/>
        </w:rPr>
        <w:t>Instrumentem zarządzają Instituto de Crédito Oficial (ICO) i Axis (zarządzający venture/prywatnym kapitałem IO) jako partnerzy wykonawczy. Instrument obejmuje następujące linie produktów:</w:t>
      </w:r>
    </w:p>
    <w:p w14:paraId="335641C8" w14:textId="55AB5E52" w:rsidR="006578ED" w:rsidRDefault="00A1618E">
      <w:pPr>
        <w:pStyle w:val="P68B1DB1-ListParagraph7"/>
        <w:numPr>
          <w:ilvl w:val="0"/>
          <w:numId w:val="754"/>
        </w:numPr>
        <w:spacing w:line="240" w:lineRule="auto"/>
        <w:jc w:val="both"/>
        <w:rPr>
          <w:rFonts w:cs="Times New Roman"/>
          <w:noProof/>
        </w:rPr>
      </w:pPr>
      <w:r>
        <w:rPr>
          <w:noProof/>
        </w:rPr>
        <w:t xml:space="preserve">Linia mediacji: linia mediacyjna składa się z pożyczek udzielanych przez ICO bankom komercyjnym, które z kolei udzielają pożyczek beneficjentom końcowym na finansowanie projektów ekologicznych. Beneficjentami końcowymi są przedsiębiorstwa prywatne (takie jak MŚP, małe spółki o średniej kapitalizacji, duże przedsiębiorstwa lub przedsiębiorcy) oraz gospodarstwa domowe. </w:t>
      </w:r>
    </w:p>
    <w:p w14:paraId="50365F2E" w14:textId="211FF22F" w:rsidR="006578ED" w:rsidRDefault="00A1618E">
      <w:pPr>
        <w:pStyle w:val="P68B1DB1-ListParagraph7"/>
        <w:numPr>
          <w:ilvl w:val="0"/>
          <w:numId w:val="754"/>
        </w:numPr>
        <w:spacing w:line="240" w:lineRule="auto"/>
        <w:jc w:val="both"/>
        <w:rPr>
          <w:rFonts w:cs="Times New Roman"/>
          <w:noProof/>
        </w:rPr>
      </w:pPr>
      <w:r>
        <w:rPr>
          <w:noProof/>
        </w:rPr>
        <w:t xml:space="preserve">Finansowanie bezpośrednie ICO: linia ta zapewnia bezpośrednie pożyczki przedsiębiorstwom prywatnym (takim jak spółki o średniej kapitalizacji) i przedsiębiorstwom publicznym w celu finansowania projektów ekologicznych. Pożyczki są udzielane bezpośrednio przez ICO i każdy projekt współfinansowany przez prywatnego inwestora będącego osobą trzecią. Fundusze przekazane przez ICO stanowią maksymalnie 70 % całkowitej kwoty wsparcia na rzecz inwestycji. Inwestorzy prywatni pokrywają co najmniej 30 % całkowitej kwoty wsparcia inwestycyjnego. </w:t>
      </w:r>
    </w:p>
    <w:p w14:paraId="50EE436C" w14:textId="47BC774B" w:rsidR="006578ED" w:rsidRDefault="00A1618E">
      <w:pPr>
        <w:pStyle w:val="P68B1DB1-ListParagraph7"/>
        <w:numPr>
          <w:ilvl w:val="0"/>
          <w:numId w:val="754"/>
        </w:numPr>
        <w:spacing w:line="240" w:lineRule="auto"/>
        <w:jc w:val="both"/>
        <w:rPr>
          <w:rFonts w:cs="Times New Roman"/>
          <w:noProof/>
        </w:rPr>
      </w:pPr>
      <w:r>
        <w:rPr>
          <w:noProof/>
        </w:rPr>
        <w:t xml:space="preserve">Zakup obligacji korporacyjnych: w ramach tej linii ICO nabywa uprzywilejowane średnio- i długoterminowe papiery wartościowe o stałym dochodzie emitowane przez przedsiębiorstwa hiszpańskie na zorganizowanych rynkach wtórnych (takich jak alternatywny rynek o stałym dochodzie (MARF) lub Stowarzyszenie Pośredników Aktywów Finansowych (AIAF)). Papiery wartościowe są powiązane z konkretnym ekologicznym projektem inwestycyjnym spółki emitującej papier wartościowy. </w:t>
      </w:r>
    </w:p>
    <w:p w14:paraId="00BD4451" w14:textId="3370A16B" w:rsidR="006578ED" w:rsidRDefault="00A1618E">
      <w:pPr>
        <w:pStyle w:val="P68B1DB1-ListParagraph7"/>
        <w:numPr>
          <w:ilvl w:val="0"/>
          <w:numId w:val="754"/>
        </w:numPr>
        <w:spacing w:line="240" w:lineRule="auto"/>
        <w:jc w:val="both"/>
        <w:rPr>
          <w:rFonts w:cs="Times New Roman"/>
          <w:noProof/>
        </w:rPr>
      </w:pPr>
      <w:r>
        <w:rPr>
          <w:noProof/>
        </w:rPr>
        <w:t>Inwestycje kapitałowe i quasi-kapitałowe: pozycja ta obejmuje zapewnienie bezpośrednich inwestycji kapitałowych za pośrednictwem osi (zarządzający kapitałem/prywatnym IO) lub transfer środków do funduszy kapitałowych lub innych instrumentów inwestycyjnych zarządzanych przez prywatnych pośredników finansowych, którzy prowadzą operacje inwestycji kapitałowych w przedsiębiorstwach realizujących projekty ekologiczne. Maksymalny udział linii nie przekracza 49 % funduszy instrumentów inwestycyjnych. Inwestycje kapitałowe realizowane przez linię nie spowodują, że udział kapitału publicznego w beneficjencie końcowym przekroczy 49 % całkowitego kapitału własnego.</w:t>
      </w:r>
    </w:p>
    <w:p w14:paraId="10EE6958" w14:textId="4A23B00D" w:rsidR="006578ED" w:rsidRDefault="00A1618E">
      <w:pPr>
        <w:pStyle w:val="P68B1DB1-Normal4"/>
        <w:spacing w:line="240" w:lineRule="auto"/>
        <w:jc w:val="both"/>
        <w:rPr>
          <w:rFonts w:cs="Times New Roman"/>
          <w:noProof/>
        </w:rPr>
      </w:pPr>
      <w:r>
        <w:rPr>
          <w:noProof/>
        </w:rPr>
        <w:t>W celu realizacji inwestycji w instrument Hiszpania i ICO podpiszą umowę wykonawczą, która zawiera następującą treść:</w:t>
      </w:r>
    </w:p>
    <w:p w14:paraId="1D74E591" w14:textId="61A32F96" w:rsidR="006578ED" w:rsidRDefault="00A1618E">
      <w:pPr>
        <w:pStyle w:val="P68B1DB1-LegalNumPar29"/>
        <w:numPr>
          <w:ilvl w:val="0"/>
          <w:numId w:val="740"/>
        </w:numPr>
        <w:jc w:val="both"/>
        <w:rPr>
          <w:rFonts w:eastAsia="Times New Roman" w:cs="Times New Roman"/>
          <w:noProof/>
        </w:rPr>
      </w:pPr>
      <w:r>
        <w:rPr>
          <w:noProof/>
        </w:rPr>
        <w:t xml:space="preserve">Opis procesu decyzyjnego w ramach Instrumentu: Ostateczną decyzję inwestycyjną instrumentu podejmuje komitet inwestycyjny lub inny odpowiedni równoważny organ zarządzający i zatwierdza większością głosów członków niezależnych od rządu hiszpańskiego. W przypadku inwestycji przez pośredników ostateczną decyzję inwestycyjną podejmują pośrednicy. </w:t>
      </w:r>
    </w:p>
    <w:p w14:paraId="2897BDA6" w14:textId="77777777" w:rsidR="006578ED" w:rsidRDefault="00A1618E">
      <w:pPr>
        <w:pStyle w:val="P68B1DB1-LegalNumPar29"/>
        <w:numPr>
          <w:ilvl w:val="0"/>
          <w:numId w:val="740"/>
        </w:numPr>
        <w:jc w:val="both"/>
        <w:rPr>
          <w:rFonts w:cs="Times New Roman"/>
          <w:noProof/>
        </w:rPr>
      </w:pPr>
      <w:r>
        <w:rPr>
          <w:noProof/>
        </w:rPr>
        <w:t>Kluczowe wymogi powiązanej polityki inwestycyjnej,</w:t>
      </w:r>
      <w:r>
        <w:rPr>
          <w:b/>
          <w:noProof/>
        </w:rPr>
        <w:t xml:space="preserve"> </w:t>
      </w:r>
      <w:r>
        <w:rPr>
          <w:noProof/>
        </w:rPr>
        <w:t>które obejmują:</w:t>
      </w:r>
    </w:p>
    <w:p w14:paraId="60535834" w14:textId="539E20AC" w:rsidR="006578ED" w:rsidRDefault="00A1618E">
      <w:pPr>
        <w:pStyle w:val="P68B1DB1-LegalNumPar230"/>
        <w:numPr>
          <w:ilvl w:val="1"/>
          <w:numId w:val="741"/>
        </w:numPr>
        <w:jc w:val="both"/>
        <w:rPr>
          <w:rFonts w:cs="Times New Roman"/>
          <w:noProof/>
        </w:rPr>
      </w:pPr>
      <w:r>
        <w:rPr>
          <w:noProof/>
        </w:rPr>
        <w:t xml:space="preserve">Opis produktów finansowych i kwalifikujących się beneficjentów końcowych zgodnie z opisem środka. </w:t>
      </w:r>
    </w:p>
    <w:p w14:paraId="786BA6FE" w14:textId="77777777" w:rsidR="006578ED" w:rsidRDefault="00A1618E">
      <w:pPr>
        <w:pStyle w:val="P68B1DB1-LegalNumPar230"/>
        <w:numPr>
          <w:ilvl w:val="1"/>
          <w:numId w:val="741"/>
        </w:numPr>
        <w:jc w:val="both"/>
        <w:rPr>
          <w:rFonts w:cs="Times New Roman"/>
          <w:noProof/>
        </w:rPr>
      </w:pPr>
      <w:r>
        <w:rPr>
          <w:noProof/>
        </w:rPr>
        <w:t>Wymóg, aby wszystkie wspierane inwestycje były ekonomicznie opłacalne</w:t>
      </w:r>
      <w:r>
        <w:rPr>
          <w:b/>
          <w:noProof/>
        </w:rPr>
        <w:t>.</w:t>
      </w:r>
    </w:p>
    <w:p w14:paraId="54F251E3" w14:textId="77777777" w:rsidR="006578ED" w:rsidRDefault="00A1618E">
      <w:pPr>
        <w:pStyle w:val="P68B1DB1-LegalNumPar230"/>
        <w:numPr>
          <w:ilvl w:val="1"/>
          <w:numId w:val="741"/>
        </w:numPr>
        <w:jc w:val="both"/>
        <w:rPr>
          <w:rFonts w:cs="Times New Roman"/>
          <w:noProof/>
        </w:rPr>
      </w:pPr>
      <w:r>
        <w:rPr>
          <w:noProof/>
        </w:rPr>
        <w:t>Zakaz refinansowania wszelkich niespłaconych pożyczek.</w:t>
      </w:r>
    </w:p>
    <w:p w14:paraId="09A6066A" w14:textId="5C5216A5" w:rsidR="006578ED" w:rsidRDefault="00A1618E">
      <w:pPr>
        <w:pStyle w:val="P68B1DB1-LegalNumPar230"/>
        <w:numPr>
          <w:ilvl w:val="1"/>
          <w:numId w:val="741"/>
        </w:numPr>
        <w:jc w:val="both"/>
        <w:rPr>
          <w:rFonts w:cs="Times New Roman"/>
          <w:noProof/>
        </w:rPr>
      </w:pPr>
      <w:r>
        <w:rPr>
          <w:noProof/>
        </w:rPr>
        <w:t xml:space="preserve">Wymóg zgodności z zasadą „nie czyń poważnych szkód” (DNSH) określoną w wytycznych technicznych dotyczących zasady „nie czyń poważnych szkód” (2021/C58/01), w szczególności: </w:t>
      </w:r>
    </w:p>
    <w:p w14:paraId="4150B5D3" w14:textId="18B82D6F" w:rsidR="006578ED" w:rsidRDefault="00A1618E">
      <w:pPr>
        <w:pStyle w:val="ListParagraph"/>
        <w:numPr>
          <w:ilvl w:val="0"/>
          <w:numId w:val="742"/>
        </w:numPr>
        <w:spacing w:line="240" w:lineRule="auto"/>
        <w:jc w:val="both"/>
        <w:rPr>
          <w:rFonts w:ascii="Times New Roman" w:hAnsi="Times New Roman" w:cs="Times New Roman"/>
          <w:noProof/>
          <w:sz w:val="24"/>
        </w:rPr>
      </w:pPr>
      <w:r>
        <w:rPr>
          <w:rFonts w:ascii="Times New Roman" w:hAnsi="Times New Roman"/>
          <w:noProof/>
          <w:sz w:val="24"/>
        </w:rPr>
        <w:t>W przypadku pożyczek, obligacji projektowych lub równoważnych instrumentów: polityka inwestycyjna wyłącza z kwalifikowalności następujący wykaz działań i aktywów: działalności i aktywów związanych z paliwami kopalnymi, w tym wykorzystania niższego szczebla,</w:t>
      </w:r>
      <w:r>
        <w:rPr>
          <w:rStyle w:val="FootnoteReference"/>
          <w:rFonts w:ascii="Times New Roman" w:hAnsi="Times New Roman" w:cs="Times New Roman"/>
          <w:noProof/>
          <w:sz w:val="24"/>
        </w:rPr>
        <w:footnoteReference w:id="98"/>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hAnsi="Times New Roman" w:cs="Times New Roman"/>
          <w:noProof/>
          <w:sz w:val="24"/>
        </w:rPr>
        <w:footnoteReference w:id="99"/>
      </w:r>
      <w:r>
        <w:rPr>
          <w:rFonts w:ascii="Times New Roman" w:hAnsi="Times New Roman"/>
          <w:noProof/>
          <w:sz w:val="24"/>
        </w:rPr>
        <w:t>, (iii) działalności i aktywów związanych ze składowiskami odpadów, spalarniami</w:t>
      </w:r>
      <w:r>
        <w:rPr>
          <w:rStyle w:val="FootnoteReference"/>
          <w:rFonts w:ascii="Times New Roman" w:hAnsi="Times New Roman" w:cs="Times New Roman"/>
          <w:noProof/>
          <w:sz w:val="24"/>
        </w:rPr>
        <w:footnoteReference w:id="100"/>
      </w:r>
      <w:r>
        <w:rPr>
          <w:rFonts w:ascii="Times New Roman" w:hAnsi="Times New Roman"/>
          <w:noProof/>
          <w:sz w:val="24"/>
        </w:rPr>
        <w:t xml:space="preserve"> i zakładami mechaniczno-biologicznego przetwarzania odpadów</w:t>
      </w:r>
      <w:r>
        <w:rPr>
          <w:rStyle w:val="FootnoteReference"/>
          <w:rFonts w:ascii="Times New Roman" w:hAnsi="Times New Roman" w:cs="Times New Roman"/>
          <w:noProof/>
          <w:sz w:val="24"/>
        </w:rPr>
        <w:footnoteReference w:id="101"/>
      </w:r>
      <w:r>
        <w:rPr>
          <w:rFonts w:ascii="Times New Roman" w:hAnsi="Times New Roman"/>
          <w:noProof/>
          <w:sz w:val="24"/>
        </w:rPr>
        <w:t>.</w:t>
      </w:r>
    </w:p>
    <w:p w14:paraId="33782BF6" w14:textId="7820B2A8" w:rsidR="006578ED" w:rsidRPr="00A1618E" w:rsidRDefault="00A1618E">
      <w:pPr>
        <w:pStyle w:val="ListParagraph"/>
        <w:numPr>
          <w:ilvl w:val="0"/>
          <w:numId w:val="742"/>
        </w:numPr>
        <w:jc w:val="both"/>
        <w:rPr>
          <w:rFonts w:ascii="Times New Roman" w:hAnsi="Times New Roman" w:cs="Times New Roman"/>
          <w:noProof/>
          <w:sz w:val="24"/>
          <w:lang w:val="pl-PL"/>
        </w:rPr>
      </w:pPr>
      <w:r>
        <w:rPr>
          <w:rFonts w:ascii="Times New Roman" w:hAnsi="Times New Roman"/>
          <w:noProof/>
          <w:sz w:val="24"/>
        </w:rPr>
        <w:t>W przypadku instrumentów kapitałowych, quasi-kapitałowych, korporacyjnych lub równoważnych instrumentów: polityka inwestycyjna zobowiązuje przedsiębiorstwa do przyjęcia planów zielonej transformacji zgodnie z definicją określoną w </w:t>
      </w:r>
      <w:r w:rsidRPr="00A1618E">
        <w:rPr>
          <w:rFonts w:ascii="Times New Roman" w:hAnsi="Times New Roman"/>
          <w:noProof/>
          <w:sz w:val="24"/>
          <w:lang w:val="pl-PL"/>
        </w:rPr>
        <w:t>art. 1</w:t>
      </w:r>
      <w:r>
        <w:rPr>
          <w:rFonts w:ascii="Times New Roman" w:hAnsi="Times New Roman"/>
          <w:noProof/>
          <w:sz w:val="24"/>
        </w:rPr>
        <w:t xml:space="preserve">9a </w:t>
      </w:r>
      <w:r w:rsidRPr="00A1618E">
        <w:rPr>
          <w:rFonts w:ascii="Times New Roman" w:hAnsi="Times New Roman"/>
          <w:noProof/>
          <w:sz w:val="24"/>
          <w:lang w:val="pl-PL"/>
        </w:rPr>
        <w:t>ust. 2</w:t>
      </w:r>
      <w:r>
        <w:rPr>
          <w:rFonts w:ascii="Times New Roman" w:hAnsi="Times New Roman"/>
          <w:noProof/>
          <w:sz w:val="24"/>
        </w:rPr>
        <w:t xml:space="preserve"> </w:t>
      </w:r>
      <w:r w:rsidRPr="00A1618E">
        <w:rPr>
          <w:rFonts w:ascii="Times New Roman" w:hAnsi="Times New Roman"/>
          <w:noProof/>
          <w:sz w:val="24"/>
          <w:lang w:val="pl-PL"/>
        </w:rPr>
        <w:t>lit. a)</w:t>
      </w:r>
      <w:r>
        <w:rPr>
          <w:rFonts w:ascii="Times New Roman" w:hAnsi="Times New Roman"/>
          <w:noProof/>
          <w:sz w:val="24"/>
        </w:rPr>
        <w:t xml:space="preserve"> ppkt (iii) dyrektywy 2013/34/UE,</w:t>
      </w:r>
      <w:r>
        <w:rPr>
          <w:rStyle w:val="FootnoteReference"/>
          <w:rFonts w:ascii="Times New Roman" w:hAnsi="Times New Roman" w:cs="Times New Roman"/>
          <w:noProof/>
          <w:sz w:val="24"/>
        </w:rPr>
        <w:footnoteReference w:id="102"/>
      </w:r>
      <w:r>
        <w:rPr>
          <w:rFonts w:ascii="Times New Roman" w:hAnsi="Times New Roman"/>
          <w:noProof/>
          <w:sz w:val="24"/>
        </w:rPr>
        <w:t xml:space="preserve"> jeżeli ponad 50 % ich bezpośrednich przychodów w poprzednim roku obrotowym pochodzi z następującego wykazu działalności i aktywów: działalności i aktywów związanych z paliwami kopalnymi, w tym wykorzystania niższego szczebla,</w:t>
      </w:r>
      <w:r>
        <w:rPr>
          <w:rStyle w:val="FootnoteReference"/>
          <w:rFonts w:ascii="Times New Roman" w:hAnsi="Times New Roman" w:cs="Times New Roman"/>
          <w:noProof/>
          <w:sz w:val="24"/>
        </w:rPr>
        <w:footnoteReference w:id="103"/>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hAnsi="Times New Roman" w:cs="Times New Roman"/>
          <w:noProof/>
          <w:sz w:val="24"/>
        </w:rPr>
        <w:footnoteReference w:id="104"/>
      </w:r>
      <w:r>
        <w:rPr>
          <w:rFonts w:ascii="Times New Roman" w:hAnsi="Times New Roman"/>
          <w:noProof/>
          <w:sz w:val="24"/>
        </w:rPr>
        <w:t>, (iii) działalności i aktywów związanych ze składowiskami odpadów, spalarniami</w:t>
      </w:r>
      <w:r>
        <w:rPr>
          <w:rStyle w:val="FootnoteReference"/>
          <w:rFonts w:ascii="Times New Roman" w:hAnsi="Times New Roman" w:cs="Times New Roman"/>
          <w:noProof/>
          <w:sz w:val="24"/>
        </w:rPr>
        <w:footnoteReference w:id="105"/>
      </w:r>
      <w:r>
        <w:rPr>
          <w:rFonts w:ascii="Times New Roman" w:hAnsi="Times New Roman"/>
          <w:noProof/>
          <w:sz w:val="24"/>
        </w:rPr>
        <w:t xml:space="preserve"> i zakładami mechaniczno-biologicznego przetwarzania odpadów</w:t>
      </w:r>
      <w:r>
        <w:rPr>
          <w:rStyle w:val="FootnoteReference"/>
          <w:rFonts w:ascii="Times New Roman" w:hAnsi="Times New Roman" w:cs="Times New Roman"/>
          <w:noProof/>
          <w:sz w:val="24"/>
        </w:rPr>
        <w:footnoteReference w:id="106"/>
      </w:r>
      <w:r w:rsidRPr="00A1618E">
        <w:rPr>
          <w:rFonts w:ascii="Times New Roman" w:hAnsi="Times New Roman"/>
          <w:noProof/>
          <w:sz w:val="24"/>
          <w:lang w:val="pl-PL"/>
        </w:rPr>
        <w:t xml:space="preserve">. </w:t>
      </w:r>
    </w:p>
    <w:p w14:paraId="243B4054" w14:textId="16B2715B" w:rsidR="006578ED" w:rsidRDefault="00A1618E">
      <w:pPr>
        <w:pStyle w:val="P68B1DB1-ListParagraph7"/>
        <w:numPr>
          <w:ilvl w:val="0"/>
          <w:numId w:val="742"/>
        </w:numPr>
        <w:jc w:val="both"/>
        <w:rPr>
          <w:rFonts w:cs="Times New Roman"/>
          <w:noProof/>
        </w:rPr>
      </w:pPr>
      <w:r>
        <w:rPr>
          <w:noProof/>
        </w:rPr>
        <w:t>Ponadto polityka inwestycyjna wymaga zgodności z odpowiednimi unijnymi i krajowymi przepisami w zakresie ochrony środowiska beneficjentów końcowych Instrumentu.</w:t>
      </w:r>
    </w:p>
    <w:p w14:paraId="101FA6B1" w14:textId="5314E9E8" w:rsidR="006578ED" w:rsidRDefault="00A1618E">
      <w:pPr>
        <w:pStyle w:val="P68B1DB1-ListParagraph7"/>
        <w:numPr>
          <w:ilvl w:val="1"/>
          <w:numId w:val="741"/>
        </w:numPr>
        <w:spacing w:line="240" w:lineRule="auto"/>
        <w:jc w:val="both"/>
        <w:rPr>
          <w:rFonts w:cs="Times New Roman"/>
          <w:noProof/>
        </w:rPr>
      </w:pPr>
      <w:r>
        <w:rPr>
          <w:noProof/>
        </w:rPr>
        <w:t>Wymóg, zgodnie z którym beneficjenci końcowi Instrumentu nie mogą otrzymywać wsparcia z innych instrumentów unijnych w celu pokrycia tych samych kosztów.</w:t>
      </w:r>
    </w:p>
    <w:p w14:paraId="294A956A" w14:textId="2916F25C" w:rsidR="006578ED" w:rsidRDefault="00A1618E">
      <w:pPr>
        <w:pStyle w:val="P68B1DB1-LegalNumPar29"/>
        <w:numPr>
          <w:ilvl w:val="0"/>
          <w:numId w:val="740"/>
        </w:numPr>
        <w:jc w:val="both"/>
        <w:rPr>
          <w:rFonts w:cs="Times New Roman"/>
          <w:noProof/>
        </w:rPr>
      </w:pPr>
      <w:r>
        <w:rPr>
          <w:noProof/>
        </w:rPr>
        <w:t>Kwotę objętą umową wykonawczą, strukturę opłat dla partnera wykonawczego oraz wymóg ponownego inwestowania wszelkich środków powracających zgodnie z polityką inwestycyjną Instrumentu, chyba że są one wykorzystywane do obsługi spłat pożyczek w ramach Instrumentu na rzecz Odbudowy i Zwiększania Odporności.</w:t>
      </w:r>
    </w:p>
    <w:p w14:paraId="2D52D76E" w14:textId="3C5AF388" w:rsidR="006578ED" w:rsidRDefault="00A1618E">
      <w:pPr>
        <w:pStyle w:val="P68B1DB1-ListParagraph7"/>
        <w:numPr>
          <w:ilvl w:val="0"/>
          <w:numId w:val="740"/>
        </w:numPr>
        <w:spacing w:line="240" w:lineRule="auto"/>
        <w:jc w:val="both"/>
        <w:rPr>
          <w:rFonts w:cs="Times New Roman"/>
          <w:noProof/>
        </w:rPr>
      </w:pPr>
      <w:r>
        <w:rPr>
          <w:noProof/>
        </w:rPr>
        <w:t>Wymogi w zakresie monitorowania, audytu i kontroli, w tym:</w:t>
      </w:r>
    </w:p>
    <w:p w14:paraId="5E1F5B38" w14:textId="7191556F" w:rsidR="006578ED" w:rsidRDefault="00A1618E">
      <w:pPr>
        <w:pStyle w:val="P68B1DB1-ListParagraph7"/>
        <w:numPr>
          <w:ilvl w:val="1"/>
          <w:numId w:val="743"/>
        </w:numPr>
        <w:spacing w:line="240" w:lineRule="auto"/>
        <w:jc w:val="both"/>
        <w:rPr>
          <w:rFonts w:cs="Times New Roman"/>
          <w:noProof/>
        </w:rPr>
      </w:pPr>
      <w:r>
        <w:rPr>
          <w:noProof/>
        </w:rPr>
        <w:t>Opis stosowanego przez partnera wykonawczego systemu monitorowania służącego do sprawozdawczości na temat uruchomionych inwestycji.</w:t>
      </w:r>
    </w:p>
    <w:p w14:paraId="73FB5F63" w14:textId="3E9AEEEC" w:rsidR="006578ED" w:rsidRDefault="00A1618E">
      <w:pPr>
        <w:pStyle w:val="P68B1DB1-ListParagraph7"/>
        <w:numPr>
          <w:ilvl w:val="1"/>
          <w:numId w:val="743"/>
        </w:numPr>
        <w:spacing w:line="240" w:lineRule="auto"/>
        <w:jc w:val="both"/>
        <w:rPr>
          <w:rFonts w:cs="Times New Roman"/>
          <w:noProof/>
        </w:rPr>
      </w:pPr>
      <w:r>
        <w:rPr>
          <w:noProof/>
        </w:rPr>
        <w:t>Opis procedur partnera wykonawczego, które zapewnią zapobieganie nadużyciom finansowym, korupcji i konfliktom interesów oraz ich wykrywanie i korygowanie.</w:t>
      </w:r>
    </w:p>
    <w:p w14:paraId="0D875653" w14:textId="2C03D526" w:rsidR="006578ED" w:rsidRDefault="00A1618E">
      <w:pPr>
        <w:pStyle w:val="P68B1DB1-ListParagraph7"/>
        <w:numPr>
          <w:ilvl w:val="1"/>
          <w:numId w:val="743"/>
        </w:numPr>
        <w:spacing w:line="240" w:lineRule="auto"/>
        <w:jc w:val="both"/>
        <w:rPr>
          <w:rFonts w:cs="Times New Roman"/>
          <w:noProof/>
        </w:rPr>
      </w:pPr>
      <w:r>
        <w:rPr>
          <w:noProof/>
        </w:rPr>
        <w:t>Obowiązek weryfikacji kwalifikowalności każdej operacji zgodnie z wymogami określonymi w umowie wykonawczej, w tym poprzez wykorzystanie wykazu deklaracji pozytywnych lub oświadczenia własnego w odniesieniu do operacji o wartości poniżej 10 000 000 EUR, przed zobowiązaniem się do sfinansowania operacji.</w:t>
      </w:r>
    </w:p>
    <w:p w14:paraId="1C075D49" w14:textId="72E0687E" w:rsidR="006578ED" w:rsidRDefault="00A1618E">
      <w:pPr>
        <w:pStyle w:val="P68B1DB1-ListParagraph7"/>
        <w:numPr>
          <w:ilvl w:val="1"/>
          <w:numId w:val="743"/>
        </w:numPr>
        <w:spacing w:line="240" w:lineRule="auto"/>
        <w:jc w:val="both"/>
        <w:rPr>
          <w:rFonts w:cs="Times New Roman"/>
          <w:noProof/>
        </w:rPr>
      </w:pPr>
      <w:r>
        <w:rPr>
          <w:noProof/>
        </w:rPr>
        <w:t>Obowiązek przeprowadzania opartych na analizie ryzyka audytów ex post zgodnie z planem audytu ICO. Audyty te mają na celu sprawdzenie (i) skuteczności systemów kontroli, w tym wykrywania nadużyć finansowych, korupcji i konfliktu interesów; zgodność z zasadą „nie czyń poważnych szkód”, zasadami pomocy państwa, wymogami dotyczącymi celów klimatycznych; oraz (iii) wymóg weryfikacji przez pośrednika, czy beneficjent końcowy przedstawia odpowiedzialne oświadczenie w celu sprawdzenia, czy te same koszty są pokrywane z innego instrumentu unijnego, jest przestrzegany. W ramach audytów sprawdza się również legalność transakcji oraz przestrzeganie warunków mających zastosowanie umów wykonawczych i umów o finansowaniu, w tym poprzez wykorzystanie wykazu deklaracji pozytywnych lub oświadczeń własnych w odniesieniu do operacji o wartości poniżej 10 000 000 EUR, przed zobowiązaniem się do finansowania danej operacji.</w:t>
      </w:r>
    </w:p>
    <w:p w14:paraId="619276A9" w14:textId="24E4D720" w:rsidR="006578ED" w:rsidRDefault="00A1618E">
      <w:pPr>
        <w:pStyle w:val="ListParagraph"/>
        <w:numPr>
          <w:ilvl w:val="0"/>
          <w:numId w:val="740"/>
        </w:numPr>
        <w:spacing w:line="240" w:lineRule="auto"/>
        <w:jc w:val="both"/>
        <w:rPr>
          <w:rFonts w:ascii="Times New Roman" w:hAnsi="Times New Roman" w:cs="Times New Roman"/>
          <w:noProof/>
          <w:sz w:val="24"/>
        </w:rPr>
      </w:pPr>
      <w:r>
        <w:rPr>
          <w:rFonts w:ascii="Times New Roman" w:hAnsi="Times New Roman"/>
          <w:noProof/>
          <w:sz w:val="24"/>
        </w:rPr>
        <w:t>Wymogi dotyczące inwestycji w dziedzinie klimatu realizowanych przez partnera wykonawczego: co najmniej 17 800 000 000 EUR z inwestycji RRF w Instrument przyczynia się do realizacji celów klimatycznych zgodnie z załącznikiem VI do rozporządzenia w sprawie RRF.</w:t>
      </w:r>
      <w:r>
        <w:rPr>
          <w:rStyle w:val="FootnoteReference"/>
          <w:rFonts w:ascii="Times New Roman" w:hAnsi="Times New Roman" w:cs="Times New Roman"/>
          <w:noProof/>
          <w:sz w:val="24"/>
        </w:rPr>
        <w:footnoteReference w:id="107"/>
      </w:r>
    </w:p>
    <w:p w14:paraId="4ADF13A0" w14:textId="2CD0C148" w:rsidR="006578ED" w:rsidRDefault="00A1618E">
      <w:pPr>
        <w:pStyle w:val="P68B1DB1-ListParagraph7"/>
        <w:numPr>
          <w:ilvl w:val="0"/>
          <w:numId w:val="740"/>
        </w:numPr>
        <w:rPr>
          <w:rFonts w:cs="Times New Roman"/>
          <w:noProof/>
        </w:rPr>
      </w:pPr>
      <w:r>
        <w:rPr>
          <w:noProof/>
        </w:rPr>
        <w:t xml:space="preserve">Wymogi dotyczące wyboru pośredników finansowych: ICO wybiera pośredników finansowych w sposób otwarty, przejrzysty i niedyskryminacyjny. Kontrole dotyczące braku konfliktu interesów w odniesieniu do pośredników finansowych przeprowadza się i przeprowadza ex ante za pośrednictwem systemu informatycznego, takiego jak Minerva, w odniesieniu do wszystkich zaangażowanych podmiotów finansowych. </w:t>
      </w:r>
    </w:p>
    <w:p w14:paraId="6B00BFFB" w14:textId="6F629324" w:rsidR="006578ED" w:rsidRDefault="00A1618E">
      <w:pPr>
        <w:pStyle w:val="P68B1DB1-ListParagraph7"/>
        <w:numPr>
          <w:ilvl w:val="0"/>
          <w:numId w:val="740"/>
        </w:numPr>
        <w:spacing w:line="240" w:lineRule="auto"/>
        <w:jc w:val="both"/>
        <w:rPr>
          <w:rFonts w:cs="Times New Roman"/>
          <w:noProof/>
        </w:rPr>
      </w:pPr>
      <w:r>
        <w:rPr>
          <w:noProof/>
        </w:rPr>
        <w:t xml:space="preserve">Wymóg podpisania umów o finansowaniu: ICO podpisuje umowy o finansowaniu z pośrednikami finansowymi zgodnie z kluczowymi wymogami, które należy przedstawić jako załącznik do umowy wykonawczej. Kluczowe wymogi umowy o finansowaniu obejmują wszystkie wymogi, na podstawie których działa Instrument, w tym: </w:t>
      </w:r>
    </w:p>
    <w:p w14:paraId="16D1FEBE" w14:textId="6AC41039" w:rsidR="006578ED" w:rsidRDefault="00A1618E">
      <w:pPr>
        <w:pStyle w:val="P68B1DB1-Normal4"/>
        <w:numPr>
          <w:ilvl w:val="0"/>
          <w:numId w:val="744"/>
        </w:numPr>
        <w:spacing w:after="160" w:line="240" w:lineRule="auto"/>
        <w:jc w:val="both"/>
        <w:rPr>
          <w:rFonts w:cs="Times New Roman"/>
          <w:noProof/>
        </w:rPr>
      </w:pPr>
      <w:r>
        <w:rPr>
          <w:noProof/>
        </w:rPr>
        <w:t xml:space="preserve">Spoczywający na pośredniku finansowym obowiązek podejmowania decyzji </w:t>
      </w:r>
      <w:r>
        <w:rPr>
          <w:i/>
          <w:noProof/>
        </w:rPr>
        <w:t>odpowiednio</w:t>
      </w:r>
      <w:r>
        <w:rPr>
          <w:noProof/>
        </w:rPr>
        <w:t xml:space="preserve"> zgodnie z określonymi powyżej wymogami w zakresie podejmowania decyzji i polityki inwestycyjnej, w tym dotyczącymi przestrzegania zasady „nie czyń poważnych szkód”.</w:t>
      </w:r>
    </w:p>
    <w:p w14:paraId="3CEEEB74" w14:textId="577626AC" w:rsidR="006578ED" w:rsidRDefault="00A1618E">
      <w:pPr>
        <w:pStyle w:val="P68B1DB1-Normal4"/>
        <w:numPr>
          <w:ilvl w:val="0"/>
          <w:numId w:val="744"/>
        </w:numPr>
        <w:spacing w:after="160" w:line="240" w:lineRule="auto"/>
        <w:jc w:val="both"/>
        <w:rPr>
          <w:rFonts w:cs="Times New Roman"/>
          <w:noProof/>
        </w:rPr>
      </w:pPr>
      <w:r>
        <w:rPr>
          <w:noProof/>
        </w:rPr>
        <w:t xml:space="preserve">Opis ram monitorowania oraz audytu i kontroli, które pośrednik finansowy wprowadza, które </w:t>
      </w:r>
      <w:r>
        <w:rPr>
          <w:i/>
          <w:noProof/>
        </w:rPr>
        <w:t>odpowiednio</w:t>
      </w:r>
      <w:r>
        <w:rPr>
          <w:noProof/>
        </w:rPr>
        <w:t xml:space="preserve"> podlegają wszystkim wymogom w zakresie monitorowania, audytu i kontroli określonym powyżej. </w:t>
      </w:r>
    </w:p>
    <w:p w14:paraId="28406941" w14:textId="7857B1B7" w:rsidR="006578ED" w:rsidRDefault="00A1618E">
      <w:pPr>
        <w:pStyle w:val="P68B1DB1-Normal4"/>
        <w:spacing w:line="240" w:lineRule="auto"/>
        <w:rPr>
          <w:rFonts w:eastAsia="Times New Roman" w:cs="Times New Roman"/>
          <w:noProof/>
        </w:rPr>
      </w:pPr>
      <w:r>
        <w:rPr>
          <w:noProof/>
        </w:rPr>
        <w:t>Wdrożenie środka należy zakończyć do dnia 31 sierpnia 20</w:t>
      </w:r>
      <w:r w:rsidRPr="00A1618E">
        <w:rPr>
          <w:noProof/>
          <w:lang w:val="pl-PL"/>
        </w:rPr>
        <w:t>26 r.</w:t>
      </w:r>
    </w:p>
    <w:p w14:paraId="4A12B21D" w14:textId="7C864473" w:rsidR="006578ED" w:rsidRDefault="00A1618E">
      <w:pPr>
        <w:pStyle w:val="P68B1DB1-Normal18"/>
        <w:rPr>
          <w:rFonts w:cs="Times New Roman"/>
          <w:noProof/>
        </w:rPr>
      </w:pPr>
      <w:r>
        <w:rPr>
          <w:noProof/>
        </w:rPr>
        <w:t>ICO Enterprises and Entrepreneurs Line</w:t>
      </w:r>
    </w:p>
    <w:p w14:paraId="301F8344" w14:textId="7BEEF8BD" w:rsidR="006578ED" w:rsidRDefault="00A1618E">
      <w:pPr>
        <w:pStyle w:val="P68B1DB1-LegalNumPar230"/>
        <w:numPr>
          <w:ilvl w:val="1"/>
          <w:numId w:val="0"/>
        </w:numPr>
        <w:spacing w:line="240" w:lineRule="auto"/>
        <w:jc w:val="both"/>
        <w:rPr>
          <w:rFonts w:cs="Times New Roman"/>
          <w:noProof/>
        </w:rPr>
      </w:pPr>
      <w:bookmarkStart w:id="31" w:name="_Hlk145873324"/>
      <w:r>
        <w:rPr>
          <w:noProof/>
        </w:rPr>
        <w:t xml:space="preserve">Ten element środka obejmuje inwestycję publiczną w instrument, przedsiębiorstwa i przedsiębiorców – linię ICO w celu zachęcenia do inwestycji prywatnych i poprawy dostępu do finansowania w sektorach związanych z działalnością gospodarczą przedsiębiorstwa oraz w celu rozwoju rynków kapitałowych w tych obszarach, projektów związanych z cyfryzacją publicznych i prywatnych uniwersytetów w ramach PERTE New Economy of the Language (NEL) oraz projektów przedsiębiorstw w sektorze </w:t>
      </w:r>
      <w:bookmarkEnd w:id="31"/>
      <w:r>
        <w:rPr>
          <w:noProof/>
        </w:rPr>
        <w:t xml:space="preserve">turystyki związanych ze zrównoważonym rozwojem, cyfryzacją, programami podnoszenia kwalifikacji w zakresie zasobów ludzkich i sprzętu oraz wzmacnianiem jego konkurencyjności i odporności. [Linia ta będzie również służyć zaspokojeniu potrzeb w zakresie kapitału obrotowego, co umożliwi przedsiębiorstwom realizację wyżej wymienionych celów]. Instrument działa poprzez zapewnianie bezpośredniego finansowania, zakupu obligacji korporacyjnych oraz inwestycji kapitałowych i quasi-kapitałowych, bezpośrednio lub przez pośredników dla sektora prywatnego, a także dla podmiotów sektora publicznego prowadzących podobną działalność. W oparciu o inwestycje w ramach RRF instrument ma początkowo zapewnić finansowanie w wysokości co najmniej 815 000 000 EUR. </w:t>
      </w:r>
    </w:p>
    <w:p w14:paraId="43FB884B" w14:textId="0F871054" w:rsidR="006578ED" w:rsidRDefault="00A1618E">
      <w:pPr>
        <w:pStyle w:val="P68B1DB1-Normal4"/>
        <w:spacing w:line="240" w:lineRule="auto"/>
        <w:jc w:val="both"/>
        <w:rPr>
          <w:rFonts w:cs="Times New Roman"/>
          <w:noProof/>
        </w:rPr>
      </w:pPr>
      <w:r>
        <w:rPr>
          <w:noProof/>
        </w:rPr>
        <w:t>Instrumentem zarządzają Instituto de Crédito Oficial (ICO) i Axis (zarządzający venture/prywatnym kapitałem IO) jako partnerzy wykonawczy. Instrument obejmuje następujące linie produktów:</w:t>
      </w:r>
    </w:p>
    <w:p w14:paraId="683E4DE2" w14:textId="7DA27820" w:rsidR="006578ED" w:rsidRDefault="00A1618E">
      <w:pPr>
        <w:pStyle w:val="P68B1DB1-ListParagraph7"/>
        <w:numPr>
          <w:ilvl w:val="0"/>
          <w:numId w:val="352"/>
        </w:numPr>
        <w:jc w:val="both"/>
        <w:rPr>
          <w:rFonts w:eastAsia="Times New Roman" w:cs="Times New Roman"/>
          <w:noProof/>
        </w:rPr>
      </w:pPr>
      <w:r>
        <w:rPr>
          <w:noProof/>
        </w:rPr>
        <w:t xml:space="preserve">Linia mediacji: linia mediacyjna składa się z pożyczek udzielanych przez ICO bankom komercyjnym, które z kolei udzielają pożyczek beneficjentom końcowym na finansowanie projektów związanych z ich działalnością gospodarczą; cyfryzacja i sztuczna inteligencja dla uniwersytetów; oraz programy na rzecz zrównoważonego rozwoju, cyfryzacji, przekwalifikowania i podnoszenia kwalifikacji w zakresie zasobów ludzkich i sprzętu oraz projekty mające na celu wzmocnienie konkurencyjności i odporności sektora turystyki. Beneficjentami końcowymi są przedsiębiorstwa prywatne (takie jak osoby samozatrudnione, MŚP, małe spółki o średniej kapitalizacji, duże korporacje lub przedsiębiorcy) oraz podmioty publiczne prowadzące podobną działalność. </w:t>
      </w:r>
    </w:p>
    <w:p w14:paraId="393EBC7B" w14:textId="34FB6250" w:rsidR="006578ED" w:rsidRDefault="00A1618E">
      <w:pPr>
        <w:pStyle w:val="P68B1DB1-ListParagraph7"/>
        <w:numPr>
          <w:ilvl w:val="0"/>
          <w:numId w:val="352"/>
        </w:numPr>
        <w:jc w:val="both"/>
        <w:rPr>
          <w:rFonts w:eastAsia="Times New Roman" w:cs="Times New Roman"/>
          <w:noProof/>
        </w:rPr>
      </w:pPr>
      <w:r>
        <w:rPr>
          <w:noProof/>
        </w:rPr>
        <w:t xml:space="preserve">Finansowanie bezpośrednie ICO: linia ta zapewnia bezpośrednie pożyczki przedsiębiorstwom prywatnym (takim jak spółki o średniej kapitalizacji i duże korporacje) i przedsiębiorstwom publicznym w celu finansowania projektów związanych z ich działalnością gospodarczą. Pożyczki są udzielane bezpośrednio przez ICO i każdy projekt współfinansowany przez prywatnego inwestora będącego osobą trzecią. Fundusze przekazane przez ICO stanowią maksymalnie 70 % całkowitej kwoty wsparcia na rzecz inwestycji. Inwestorzy prywatni pokrywają co najmniej 30 % całkowitej kwoty wsparcia inwestycyjnego. </w:t>
      </w:r>
    </w:p>
    <w:p w14:paraId="36D18B4F" w14:textId="3C8E8C6D" w:rsidR="006578ED" w:rsidRDefault="00A1618E">
      <w:pPr>
        <w:pStyle w:val="P68B1DB1-ListParagraph7"/>
        <w:numPr>
          <w:ilvl w:val="0"/>
          <w:numId w:val="352"/>
        </w:numPr>
        <w:jc w:val="both"/>
        <w:rPr>
          <w:rFonts w:eastAsia="Times New Roman" w:cs="Times New Roman"/>
          <w:noProof/>
        </w:rPr>
      </w:pPr>
      <w:r>
        <w:rPr>
          <w:noProof/>
        </w:rPr>
        <w:t xml:space="preserve">Zakup obligacji korporacyjnych: w ramach tej linii ICO nabywa uprzywilejowane średnio- i długoterminowe papiery wartościowe o stałym dochodzie emitowane przez przedsiębiorstwa hiszpańskie na zorganizowanych rynkach wtórnych (takich jak alternatywny rynek o stałym dochodzie (MARF) lub Stowarzyszenie Pośredników Aktywów Finansowych (AIAF)). Papiery wartościowe są powiązane z konkretnym projektem inwestycyjnym spółki emitującej papier wartościowy. </w:t>
      </w:r>
    </w:p>
    <w:p w14:paraId="1FDA1A43" w14:textId="2F1C9D74" w:rsidR="006578ED" w:rsidRDefault="00A1618E">
      <w:pPr>
        <w:pStyle w:val="P68B1DB1-ListParagraph7"/>
        <w:numPr>
          <w:ilvl w:val="0"/>
          <w:numId w:val="352"/>
        </w:numPr>
        <w:jc w:val="both"/>
        <w:rPr>
          <w:rFonts w:eastAsia="Times New Roman" w:cs="Times New Roman"/>
          <w:noProof/>
        </w:rPr>
      </w:pPr>
      <w:r>
        <w:rPr>
          <w:noProof/>
        </w:rPr>
        <w:t>Inwestycje kapitałowe i quasi-kapitałowe: pozycja ta obejmuje zapewnienie bezpośrednich inwestycji kapitałowych za pośrednictwem osi (zarządzający kapitałem/prywatnym IO) lub transfer środków do funduszy kapitałowych lub innych instrumentów inwestycyjnych zarządzanych przez prywatnych pośredników finansowych, którzy prowadzą operacje inwestycji kapitałowych w przedsiębiorstwach (przedsiębiorstwa typu start-up, MŚP, spółki o średniej kapitalizacji i duże jednostki). Maksymalny udział linii nie przekracza 49 % funduszy instrumentów inwestycyjnych. Inwestycje kapitałowe realizowane przez linię nie spowodują, że udział kapitału publicznego w beneficjencie końcowym przekroczy 49 % całkowitego kapitału własnego.</w:t>
      </w:r>
    </w:p>
    <w:p w14:paraId="55E4C3C3" w14:textId="35C0893F" w:rsidR="006578ED" w:rsidRDefault="00A1618E">
      <w:pPr>
        <w:pStyle w:val="P68B1DB1-Normal4"/>
        <w:spacing w:line="240" w:lineRule="auto"/>
        <w:jc w:val="both"/>
        <w:rPr>
          <w:rFonts w:cs="Times New Roman"/>
          <w:noProof/>
        </w:rPr>
      </w:pPr>
      <w:r>
        <w:rPr>
          <w:noProof/>
        </w:rPr>
        <w:t>W celu realizacji inwestycji w instrument Hiszpania i ICO podpiszą umowę wykonawczą, która zawiera następującą treść:</w:t>
      </w:r>
    </w:p>
    <w:p w14:paraId="53A5EF28" w14:textId="18330FED" w:rsidR="006578ED" w:rsidRDefault="00A1618E">
      <w:pPr>
        <w:pStyle w:val="P68B1DB1-LegalNumPar29"/>
        <w:numPr>
          <w:ilvl w:val="0"/>
          <w:numId w:val="773"/>
        </w:numPr>
        <w:jc w:val="both"/>
        <w:rPr>
          <w:rFonts w:eastAsia="Times New Roman" w:cs="Times New Roman"/>
          <w:noProof/>
        </w:rPr>
      </w:pPr>
      <w:bookmarkStart w:id="32" w:name="_Hlk145601400"/>
      <w:r>
        <w:rPr>
          <w:noProof/>
        </w:rPr>
        <w:t>Opis procesu decyzyjnego w ramach Instrumentu: Ostateczną decyzję inwestycyjną instrumentu podejmuje komitet inwestycyjny lub inny odpowiedni równoważny organ zarządzający i zatwierdza większością głosów członków niezależnych od rządu. W przypadku inwestycji przez pośredników ostateczną decyzję inwestycyjną podejmują pośrednicy.</w:t>
      </w:r>
    </w:p>
    <w:bookmarkEnd w:id="32"/>
    <w:p w14:paraId="1FD4C11A" w14:textId="77777777" w:rsidR="006578ED" w:rsidRDefault="00A1618E">
      <w:pPr>
        <w:pStyle w:val="P68B1DB1-LegalNumPar29"/>
        <w:numPr>
          <w:ilvl w:val="0"/>
          <w:numId w:val="773"/>
        </w:numPr>
        <w:jc w:val="both"/>
        <w:rPr>
          <w:rFonts w:cs="Times New Roman"/>
          <w:noProof/>
        </w:rPr>
      </w:pPr>
      <w:r>
        <w:rPr>
          <w:noProof/>
        </w:rPr>
        <w:t>Kluczowe wymogi powiązanej polityki inwestycyjnej,</w:t>
      </w:r>
      <w:r>
        <w:rPr>
          <w:b/>
          <w:noProof/>
        </w:rPr>
        <w:t xml:space="preserve"> </w:t>
      </w:r>
      <w:r>
        <w:rPr>
          <w:noProof/>
        </w:rPr>
        <w:t>które obejmują:</w:t>
      </w:r>
    </w:p>
    <w:p w14:paraId="4000C7AE" w14:textId="745837DB" w:rsidR="006578ED" w:rsidRDefault="00A1618E">
      <w:pPr>
        <w:pStyle w:val="P68B1DB1-LegalNumPar230"/>
        <w:numPr>
          <w:ilvl w:val="0"/>
          <w:numId w:val="774"/>
        </w:numPr>
        <w:jc w:val="both"/>
        <w:rPr>
          <w:rFonts w:cs="Times New Roman"/>
          <w:noProof/>
        </w:rPr>
      </w:pPr>
      <w:r>
        <w:rPr>
          <w:noProof/>
        </w:rPr>
        <w:t xml:space="preserve">Opis produktów finansowych i kwalifikujących się beneficjentów końcowych zgodnie z opisem środka. </w:t>
      </w:r>
    </w:p>
    <w:p w14:paraId="651DD390" w14:textId="77777777" w:rsidR="006578ED" w:rsidRDefault="00A1618E">
      <w:pPr>
        <w:pStyle w:val="P68B1DB1-LegalNumPar230"/>
        <w:numPr>
          <w:ilvl w:val="0"/>
          <w:numId w:val="774"/>
        </w:numPr>
        <w:jc w:val="both"/>
        <w:rPr>
          <w:rFonts w:cs="Times New Roman"/>
          <w:noProof/>
        </w:rPr>
      </w:pPr>
      <w:r>
        <w:rPr>
          <w:noProof/>
        </w:rPr>
        <w:t>Wymóg, aby wszystkie wspierane inwestycje były ekonomicznie opłacalne</w:t>
      </w:r>
      <w:r>
        <w:rPr>
          <w:b/>
          <w:noProof/>
        </w:rPr>
        <w:t>.</w:t>
      </w:r>
    </w:p>
    <w:p w14:paraId="0AF6A743" w14:textId="77777777" w:rsidR="006578ED" w:rsidRDefault="00A1618E">
      <w:pPr>
        <w:pStyle w:val="P68B1DB1-LegalNumPar230"/>
        <w:numPr>
          <w:ilvl w:val="0"/>
          <w:numId w:val="774"/>
        </w:numPr>
        <w:jc w:val="both"/>
        <w:rPr>
          <w:rFonts w:cs="Times New Roman"/>
          <w:noProof/>
        </w:rPr>
      </w:pPr>
      <w:r>
        <w:rPr>
          <w:noProof/>
        </w:rPr>
        <w:t>Zakaz refinansowania wszelkich niespłaconych pożyczek.</w:t>
      </w:r>
    </w:p>
    <w:p w14:paraId="444A2BA1" w14:textId="43C5AA9C" w:rsidR="006578ED" w:rsidRDefault="00A1618E">
      <w:pPr>
        <w:pStyle w:val="P68B1DB1-LegalNumPar230"/>
        <w:numPr>
          <w:ilvl w:val="0"/>
          <w:numId w:val="774"/>
        </w:numPr>
        <w:jc w:val="both"/>
        <w:rPr>
          <w:rFonts w:cs="Times New Roman"/>
          <w:noProof/>
        </w:rPr>
      </w:pPr>
      <w:r>
        <w:rPr>
          <w:noProof/>
        </w:rPr>
        <w:t xml:space="preserve">Wymóg zgodności z zasadą „nie czyń poważnych szkód” (DNSH) określoną w wytycznych technicznych dotyczących zasady „nie czyń poważnych szkód” (2021/C58/01), w szczególności: </w:t>
      </w:r>
    </w:p>
    <w:p w14:paraId="6C78A40A" w14:textId="7B1065D8" w:rsidR="006578ED" w:rsidRDefault="00A1618E">
      <w:pPr>
        <w:pStyle w:val="ListParagraph"/>
        <w:numPr>
          <w:ilvl w:val="0"/>
          <w:numId w:val="775"/>
        </w:numPr>
        <w:spacing w:line="240" w:lineRule="auto"/>
        <w:jc w:val="both"/>
        <w:rPr>
          <w:rFonts w:ascii="Times New Roman" w:hAnsi="Times New Roman" w:cs="Times New Roman"/>
          <w:noProof/>
          <w:sz w:val="24"/>
        </w:rPr>
      </w:pPr>
      <w:r>
        <w:rPr>
          <w:rFonts w:ascii="Times New Roman" w:hAnsi="Times New Roman"/>
          <w:noProof/>
          <w:sz w:val="24"/>
        </w:rPr>
        <w:t>W przypadku pożyczek, obligacji projektowych lub równoważnych instrumentów: polityka inwestycyjna wyłącza z kwalifikowalności następujący wykaz działań i aktywów: działalności i aktywów związanych z paliwami kopalnymi, w tym wykorzystania niższego szczebla,</w:t>
      </w:r>
      <w:r>
        <w:rPr>
          <w:rStyle w:val="FootnoteReference"/>
          <w:rFonts w:ascii="Times New Roman" w:hAnsi="Times New Roman" w:cs="Times New Roman"/>
          <w:noProof/>
          <w:sz w:val="24"/>
        </w:rPr>
        <w:footnoteReference w:id="108"/>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hAnsi="Times New Roman" w:cs="Times New Roman"/>
          <w:noProof/>
          <w:sz w:val="24"/>
        </w:rPr>
        <w:footnoteReference w:id="109"/>
      </w:r>
      <w:r>
        <w:rPr>
          <w:rFonts w:ascii="Times New Roman" w:hAnsi="Times New Roman"/>
          <w:noProof/>
          <w:sz w:val="24"/>
        </w:rPr>
        <w:t>, (iii) działalności i aktywów związanych ze składowiskami odpadów, spalarniami</w:t>
      </w:r>
      <w:r>
        <w:rPr>
          <w:rStyle w:val="FootnoteReference"/>
          <w:rFonts w:ascii="Times New Roman" w:hAnsi="Times New Roman" w:cs="Times New Roman"/>
          <w:noProof/>
          <w:sz w:val="24"/>
        </w:rPr>
        <w:footnoteReference w:id="110"/>
      </w:r>
      <w:r>
        <w:rPr>
          <w:rFonts w:ascii="Times New Roman" w:hAnsi="Times New Roman"/>
          <w:noProof/>
          <w:sz w:val="24"/>
        </w:rPr>
        <w:t xml:space="preserve"> i zakładami mechaniczno-biologicznego przetwarzania odpadów</w:t>
      </w:r>
      <w:r>
        <w:rPr>
          <w:rStyle w:val="FootnoteReference"/>
          <w:rFonts w:ascii="Times New Roman" w:hAnsi="Times New Roman" w:cs="Times New Roman"/>
          <w:noProof/>
          <w:sz w:val="24"/>
        </w:rPr>
        <w:footnoteReference w:id="111"/>
      </w:r>
      <w:r>
        <w:rPr>
          <w:rFonts w:ascii="Times New Roman" w:hAnsi="Times New Roman"/>
          <w:noProof/>
          <w:sz w:val="24"/>
        </w:rPr>
        <w:t xml:space="preserve">. </w:t>
      </w:r>
    </w:p>
    <w:p w14:paraId="210FD2C8" w14:textId="21F6B1F3" w:rsidR="006578ED" w:rsidRPr="00A1618E" w:rsidRDefault="00A1618E">
      <w:pPr>
        <w:pStyle w:val="ListParagraph"/>
        <w:numPr>
          <w:ilvl w:val="0"/>
          <w:numId w:val="775"/>
        </w:numPr>
        <w:jc w:val="both"/>
        <w:rPr>
          <w:rFonts w:ascii="Times New Roman" w:hAnsi="Times New Roman" w:cs="Times New Roman"/>
          <w:noProof/>
          <w:sz w:val="24"/>
          <w:lang w:val="pl-PL"/>
        </w:rPr>
      </w:pPr>
      <w:r>
        <w:rPr>
          <w:rFonts w:ascii="Times New Roman" w:hAnsi="Times New Roman"/>
          <w:noProof/>
          <w:sz w:val="24"/>
        </w:rPr>
        <w:t>W przypadku instrumentów kapitałowych, quasi-kapitałowych, korporacyjnych lub równoważnych instrumentów: polityka inwestycyjna zobowiązuje przedsiębiorstwa do przyjęcia planów zielonej transformacji zgodnie z definicją określoną w </w:t>
      </w:r>
      <w:r w:rsidRPr="00A1618E">
        <w:rPr>
          <w:rFonts w:ascii="Times New Roman" w:hAnsi="Times New Roman"/>
          <w:noProof/>
          <w:sz w:val="24"/>
          <w:lang w:val="pl-PL"/>
        </w:rPr>
        <w:t>art. 1</w:t>
      </w:r>
      <w:r>
        <w:rPr>
          <w:rFonts w:ascii="Times New Roman" w:hAnsi="Times New Roman"/>
          <w:noProof/>
          <w:sz w:val="24"/>
        </w:rPr>
        <w:t xml:space="preserve">9a </w:t>
      </w:r>
      <w:r w:rsidRPr="00A1618E">
        <w:rPr>
          <w:rFonts w:ascii="Times New Roman" w:hAnsi="Times New Roman"/>
          <w:noProof/>
          <w:sz w:val="24"/>
          <w:lang w:val="pl-PL"/>
        </w:rPr>
        <w:t>ust. 2</w:t>
      </w:r>
      <w:r>
        <w:rPr>
          <w:rFonts w:ascii="Times New Roman" w:hAnsi="Times New Roman"/>
          <w:noProof/>
          <w:sz w:val="24"/>
        </w:rPr>
        <w:t xml:space="preserve"> </w:t>
      </w:r>
      <w:r w:rsidRPr="00A1618E">
        <w:rPr>
          <w:rFonts w:ascii="Times New Roman" w:hAnsi="Times New Roman"/>
          <w:noProof/>
          <w:sz w:val="24"/>
          <w:lang w:val="pl-PL"/>
        </w:rPr>
        <w:t>lit. a)</w:t>
      </w:r>
      <w:r>
        <w:rPr>
          <w:rFonts w:ascii="Times New Roman" w:hAnsi="Times New Roman"/>
          <w:noProof/>
          <w:sz w:val="24"/>
        </w:rPr>
        <w:t xml:space="preserve"> ppkt (iii) dyrektywy 2013/34/UE,</w:t>
      </w:r>
      <w:r>
        <w:rPr>
          <w:rStyle w:val="FootnoteReference"/>
          <w:rFonts w:ascii="Times New Roman" w:hAnsi="Times New Roman" w:cs="Times New Roman"/>
          <w:noProof/>
          <w:sz w:val="24"/>
        </w:rPr>
        <w:footnoteReference w:id="112"/>
      </w:r>
      <w:r>
        <w:rPr>
          <w:rFonts w:ascii="Times New Roman" w:hAnsi="Times New Roman"/>
          <w:noProof/>
          <w:sz w:val="24"/>
        </w:rPr>
        <w:t xml:space="preserve"> jeżeli ponad 50 % ich bezpośrednich przychodów w poprzednim roku obrotowym pochodzi z następującego wykazu działalności i aktywów: działalności i aktywów związanych z paliwami kopalnymi, w tym wykorzystania niższego szczebla,</w:t>
      </w:r>
      <w:r>
        <w:rPr>
          <w:rStyle w:val="FootnoteReference"/>
          <w:rFonts w:ascii="Times New Roman" w:hAnsi="Times New Roman" w:cs="Times New Roman"/>
          <w:noProof/>
          <w:sz w:val="24"/>
        </w:rPr>
        <w:footnoteReference w:id="113"/>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hAnsi="Times New Roman" w:cs="Times New Roman"/>
          <w:noProof/>
          <w:sz w:val="24"/>
        </w:rPr>
        <w:footnoteReference w:id="114"/>
      </w:r>
      <w:r>
        <w:rPr>
          <w:rFonts w:ascii="Times New Roman" w:hAnsi="Times New Roman"/>
          <w:noProof/>
          <w:sz w:val="24"/>
        </w:rPr>
        <w:t>, (iii) działalności i aktywów związanych ze składowiskami odpadów, spalarniami</w:t>
      </w:r>
      <w:r>
        <w:rPr>
          <w:rStyle w:val="FootnoteReference"/>
          <w:rFonts w:ascii="Times New Roman" w:hAnsi="Times New Roman" w:cs="Times New Roman"/>
          <w:noProof/>
          <w:sz w:val="24"/>
        </w:rPr>
        <w:footnoteReference w:id="115"/>
      </w:r>
      <w:r>
        <w:rPr>
          <w:rFonts w:ascii="Times New Roman" w:hAnsi="Times New Roman"/>
          <w:noProof/>
          <w:sz w:val="24"/>
        </w:rPr>
        <w:t xml:space="preserve"> i zakładami mechaniczno-biologicznego przetwarzania odpadów</w:t>
      </w:r>
      <w:r>
        <w:rPr>
          <w:rStyle w:val="FootnoteReference"/>
          <w:rFonts w:ascii="Times New Roman" w:hAnsi="Times New Roman" w:cs="Times New Roman"/>
          <w:noProof/>
          <w:sz w:val="24"/>
        </w:rPr>
        <w:footnoteReference w:id="116"/>
      </w:r>
      <w:r w:rsidRPr="00A1618E">
        <w:rPr>
          <w:rFonts w:ascii="Times New Roman" w:hAnsi="Times New Roman"/>
          <w:noProof/>
          <w:sz w:val="24"/>
          <w:lang w:val="pl-PL"/>
        </w:rPr>
        <w:t xml:space="preserve">. </w:t>
      </w:r>
    </w:p>
    <w:p w14:paraId="173B651D" w14:textId="5442B5F0" w:rsidR="006578ED" w:rsidRDefault="00A1618E">
      <w:pPr>
        <w:pStyle w:val="P68B1DB1-ListParagraph7"/>
        <w:numPr>
          <w:ilvl w:val="0"/>
          <w:numId w:val="775"/>
        </w:numPr>
        <w:jc w:val="both"/>
        <w:rPr>
          <w:rFonts w:cs="Times New Roman"/>
          <w:noProof/>
        </w:rPr>
      </w:pPr>
      <w:r>
        <w:rPr>
          <w:noProof/>
        </w:rPr>
        <w:t>Ponadto polityka inwestycyjna wymaga zgodności z odpowiednimi unijnymi i krajowymi przepisami w zakresie ochrony środowiska beneficjentów końcowych Instrumentu.</w:t>
      </w:r>
    </w:p>
    <w:p w14:paraId="2A73A449" w14:textId="46104F14" w:rsidR="006578ED" w:rsidRDefault="00A1618E">
      <w:pPr>
        <w:pStyle w:val="P68B1DB1-ListParagraph7"/>
        <w:numPr>
          <w:ilvl w:val="0"/>
          <w:numId w:val="774"/>
        </w:numPr>
        <w:spacing w:line="240" w:lineRule="auto"/>
        <w:jc w:val="both"/>
        <w:rPr>
          <w:rFonts w:cs="Times New Roman"/>
          <w:noProof/>
        </w:rPr>
      </w:pPr>
      <w:r>
        <w:rPr>
          <w:noProof/>
        </w:rPr>
        <w:t>Wymóg, zgodnie z którym beneficjenci końcowi Instrumentu nie mogą otrzymywać wsparcia z innych instrumentów unijnych w celu pokrycia tych samych kosztów.</w:t>
      </w:r>
    </w:p>
    <w:p w14:paraId="73052689" w14:textId="1C9217F7" w:rsidR="006578ED" w:rsidRDefault="00A1618E">
      <w:pPr>
        <w:pStyle w:val="P68B1DB1-LegalNumPar29"/>
        <w:numPr>
          <w:ilvl w:val="0"/>
          <w:numId w:val="773"/>
        </w:numPr>
        <w:jc w:val="both"/>
        <w:rPr>
          <w:rFonts w:cs="Times New Roman"/>
          <w:noProof/>
        </w:rPr>
      </w:pPr>
      <w:r>
        <w:rPr>
          <w:noProof/>
        </w:rPr>
        <w:t>Kwotę objętą umową wykonawczą, strukturę opłat dla partnera wykonawczego oraz wymóg ponownego inwestowania wszelkich środków powracających zgodnie z polityką inwestycyjną Instrumentu, chyba że są one wykorzystywane do obsługi spłat pożyczek w ramach Instrumentu na rzecz Odbudowy i Zwiększania Odporności.</w:t>
      </w:r>
    </w:p>
    <w:p w14:paraId="1C13B238" w14:textId="448FFEF9" w:rsidR="006578ED" w:rsidRDefault="00A1618E">
      <w:pPr>
        <w:pStyle w:val="P68B1DB1-ListParagraph7"/>
        <w:numPr>
          <w:ilvl w:val="0"/>
          <w:numId w:val="773"/>
        </w:numPr>
        <w:spacing w:line="240" w:lineRule="auto"/>
        <w:jc w:val="both"/>
        <w:rPr>
          <w:rFonts w:cs="Times New Roman"/>
          <w:noProof/>
        </w:rPr>
      </w:pPr>
      <w:r>
        <w:rPr>
          <w:noProof/>
        </w:rPr>
        <w:t>Wymogi w zakresie monitorowania, audytu i kontroli, w tym:</w:t>
      </w:r>
    </w:p>
    <w:p w14:paraId="3AA8D0CE" w14:textId="0CB66D85" w:rsidR="006578ED" w:rsidRDefault="00A1618E">
      <w:pPr>
        <w:pStyle w:val="P68B1DB1-ListParagraph7"/>
        <w:numPr>
          <w:ilvl w:val="0"/>
          <w:numId w:val="776"/>
        </w:numPr>
        <w:spacing w:line="240" w:lineRule="auto"/>
        <w:jc w:val="both"/>
        <w:rPr>
          <w:rFonts w:cs="Times New Roman"/>
          <w:noProof/>
        </w:rPr>
      </w:pPr>
      <w:r>
        <w:rPr>
          <w:noProof/>
        </w:rPr>
        <w:t>Opis stosowanego przez partnera wykonawczego systemu monitorowania służącego do sprawozdawczości na temat uruchomionych inwestycji.</w:t>
      </w:r>
    </w:p>
    <w:p w14:paraId="795F4D18" w14:textId="597B078D" w:rsidR="006578ED" w:rsidRDefault="00A1618E">
      <w:pPr>
        <w:pStyle w:val="P68B1DB1-ListParagraph7"/>
        <w:numPr>
          <w:ilvl w:val="0"/>
          <w:numId w:val="776"/>
        </w:numPr>
        <w:spacing w:line="240" w:lineRule="auto"/>
        <w:jc w:val="both"/>
        <w:rPr>
          <w:rFonts w:cs="Times New Roman"/>
          <w:noProof/>
        </w:rPr>
      </w:pPr>
      <w:r>
        <w:rPr>
          <w:noProof/>
        </w:rPr>
        <w:t xml:space="preserve">Opis procedur partnera wykonawczego, które zapewnią zapobieganie nadużyciom finansowym, korupcji i konfliktom interesów oraz ich wykrywanie i korygowanie. </w:t>
      </w:r>
    </w:p>
    <w:p w14:paraId="581D7EE3" w14:textId="0F70F55C" w:rsidR="006578ED" w:rsidRDefault="00A1618E">
      <w:pPr>
        <w:pStyle w:val="P68B1DB1-ListParagraph7"/>
        <w:numPr>
          <w:ilvl w:val="0"/>
          <w:numId w:val="776"/>
        </w:numPr>
        <w:spacing w:line="240" w:lineRule="auto"/>
        <w:jc w:val="both"/>
        <w:rPr>
          <w:rFonts w:cs="Times New Roman"/>
          <w:noProof/>
        </w:rPr>
      </w:pPr>
      <w:bookmarkStart w:id="33" w:name="_Hlk145681811"/>
      <w:r>
        <w:rPr>
          <w:noProof/>
        </w:rPr>
        <w:t>Obowiązek weryfikacji kwalifikowalności każdej operacji zgodnie z wymogami określonymi w umowie wykonawczej, w tym poprzez wykorzystanie oświadczenia własnego w odniesieniu do operacji o wartości poniżej 10 000 000 EUR, przed zobowiązaniem się do sfinansowania operacji.</w:t>
      </w:r>
    </w:p>
    <w:bookmarkEnd w:id="33"/>
    <w:p w14:paraId="7E99BD54" w14:textId="4FE1253F" w:rsidR="006578ED" w:rsidRDefault="00A1618E">
      <w:pPr>
        <w:pStyle w:val="ListParagraph"/>
        <w:numPr>
          <w:ilvl w:val="0"/>
          <w:numId w:val="776"/>
        </w:numPr>
        <w:spacing w:line="240" w:lineRule="auto"/>
        <w:jc w:val="both"/>
        <w:rPr>
          <w:rFonts w:ascii="Times New Roman" w:hAnsi="Times New Roman" w:cs="Times New Roman"/>
          <w:noProof/>
          <w:sz w:val="24"/>
        </w:rPr>
      </w:pPr>
      <w:r>
        <w:rPr>
          <w:rFonts w:ascii="Times New Roman" w:hAnsi="Times New Roman"/>
          <w:noProof/>
          <w:sz w:val="24"/>
        </w:rPr>
        <w:t>Obowiązek przeprowadzania opartych na analizie ryzyka audytów ex post zgodnie z planem audytu ICO. Audyty te mają na celu sprawdzenie (i) skuteczności systemów kontroli, w tym wykrywania nadużyć finansowych, korupcji i konfliktu interesów; zgodność z zasadą „nie czyń poważnych szkód”, zasadami pomocy państwa, wymogami dotyczącymi celów cyfrowych; oraz (iii) wymóg weryfikacji przez pośrednika, czy beneficjent końcowy przedstawia odpowiedzialne oświadczenie w celu sprawdzenia, czy te same koszty są pokrywane z innego instrumentu unijnego, jest przestrzegany</w:t>
      </w:r>
      <w:r w:rsidRPr="00A1618E">
        <w:rPr>
          <w:rFonts w:ascii="Times New Roman" w:hAnsi="Times New Roman"/>
          <w:noProof/>
          <w:sz w:val="24"/>
          <w:lang w:val="pl-PL"/>
        </w:rPr>
        <w:t>. W</w:t>
      </w:r>
      <w:r>
        <w:rPr>
          <w:rFonts w:ascii="Times New Roman" w:hAnsi="Times New Roman"/>
          <w:noProof/>
          <w:sz w:val="24"/>
          <w:lang w:val="pl-PL"/>
        </w:rPr>
        <w:t> </w:t>
      </w:r>
      <w:r>
        <w:rPr>
          <w:rFonts w:ascii="Times New Roman" w:hAnsi="Times New Roman"/>
          <w:noProof/>
          <w:sz w:val="24"/>
        </w:rPr>
        <w:t>ramach audytów sprawdza się również legalność transakcji oraz przestrzeganie warunków mających zastosowanie umów wykonawczych i umów o finansowaniu, w </w:t>
      </w:r>
      <w:r>
        <w:rPr>
          <w:noProof/>
        </w:rPr>
        <w:t xml:space="preserve">tym poprzez wykorzystanie oświadczeń własnych w odniesieniu do operacji o wartości poniżej 10 000 000 EUR, przed zobowiązaniem się do finansowania danej operacji. </w:t>
      </w:r>
    </w:p>
    <w:p w14:paraId="46EDF36E" w14:textId="0E302FF1" w:rsidR="006578ED" w:rsidRDefault="00A1618E">
      <w:pPr>
        <w:pStyle w:val="ListParagraph"/>
        <w:numPr>
          <w:ilvl w:val="0"/>
          <w:numId w:val="773"/>
        </w:numPr>
        <w:spacing w:line="240" w:lineRule="auto"/>
        <w:jc w:val="both"/>
        <w:rPr>
          <w:rFonts w:ascii="Times New Roman" w:hAnsi="Times New Roman" w:cs="Times New Roman"/>
          <w:noProof/>
          <w:sz w:val="24"/>
        </w:rPr>
      </w:pPr>
      <w:r>
        <w:rPr>
          <w:rFonts w:ascii="Times New Roman" w:hAnsi="Times New Roman"/>
          <w:noProof/>
          <w:sz w:val="24"/>
        </w:rPr>
        <w:t>Wymogi dotyczące inwestycji cyfrowych realizowanych przez partnera wykonawczego: co najmniej 150 000 000 EUR z inwestycji w Instrument w ramach RRF przyczynia się do realizacji celów cyfrowych zgodnie z załącznikiem VII do rozporządzenia w sprawie RRF.</w:t>
      </w:r>
      <w:r>
        <w:rPr>
          <w:rStyle w:val="FootnoteReference"/>
          <w:rFonts w:ascii="Times New Roman" w:hAnsi="Times New Roman" w:cs="Times New Roman"/>
          <w:noProof/>
          <w:sz w:val="24"/>
        </w:rPr>
        <w:footnoteReference w:id="117"/>
      </w:r>
    </w:p>
    <w:p w14:paraId="73ED57F1" w14:textId="276865AA" w:rsidR="006578ED" w:rsidRDefault="00A1618E">
      <w:pPr>
        <w:pStyle w:val="P68B1DB1-ListParagraph7"/>
        <w:numPr>
          <w:ilvl w:val="0"/>
          <w:numId w:val="773"/>
        </w:numPr>
        <w:jc w:val="both"/>
        <w:rPr>
          <w:rFonts w:cs="Times New Roman"/>
          <w:noProof/>
        </w:rPr>
      </w:pPr>
      <w:r>
        <w:rPr>
          <w:noProof/>
        </w:rPr>
        <w:t xml:space="preserve">Wymogi dotyczące wyboru pośredników finansowych: ICO wybiera pośredników finansowych w sposób otwarty, przejrzysty i niedyskryminacyjny. Kontrole dotyczące braku konfliktu interesów w odniesieniu do pośredników finansowych przeprowadza się i przeprowadza ex ante za pośrednictwem systemu informatycznego, takiego jak Minerva, w odniesieniu do wszystkich zaangażowanych podmiotów finansowych. </w:t>
      </w:r>
    </w:p>
    <w:p w14:paraId="28D7ED99" w14:textId="77FA086D" w:rsidR="006578ED" w:rsidRDefault="00A1618E">
      <w:pPr>
        <w:pStyle w:val="P68B1DB1-ListParagraph7"/>
        <w:numPr>
          <w:ilvl w:val="0"/>
          <w:numId w:val="773"/>
        </w:numPr>
        <w:spacing w:line="240" w:lineRule="auto"/>
        <w:jc w:val="both"/>
        <w:rPr>
          <w:rFonts w:cs="Times New Roman"/>
          <w:noProof/>
        </w:rPr>
      </w:pPr>
      <w:r>
        <w:rPr>
          <w:noProof/>
        </w:rPr>
        <w:t xml:space="preserve">Wymóg podpisania umów o finansowaniu: ICO podpisuje umowy o finansowaniu z pośrednikami finansowymi zgodnie z kluczowymi wymogami, które należy przedstawić jako załącznik do umowy wykonawczej. Kluczowe wymogi umowy o finansowaniu obejmują wszystkie wymogi, na podstawie których działa Instrument, w tym: </w:t>
      </w:r>
    </w:p>
    <w:p w14:paraId="7EC2D567" w14:textId="0A0121CC" w:rsidR="006578ED" w:rsidRDefault="00A1618E">
      <w:pPr>
        <w:pStyle w:val="P68B1DB1-Normal4"/>
        <w:numPr>
          <w:ilvl w:val="0"/>
          <w:numId w:val="744"/>
        </w:numPr>
        <w:spacing w:after="160" w:line="240" w:lineRule="auto"/>
        <w:jc w:val="both"/>
        <w:rPr>
          <w:rFonts w:cs="Times New Roman"/>
          <w:noProof/>
        </w:rPr>
      </w:pPr>
      <w:r>
        <w:rPr>
          <w:noProof/>
        </w:rPr>
        <w:t xml:space="preserve">Spoczywający na pośredniku finansowym obowiązek podejmowania decyzji </w:t>
      </w:r>
      <w:r>
        <w:rPr>
          <w:i/>
          <w:noProof/>
        </w:rPr>
        <w:t>odpowiednio</w:t>
      </w:r>
      <w:r>
        <w:rPr>
          <w:noProof/>
        </w:rPr>
        <w:t xml:space="preserve"> zgodnie z określonymi powyżej wymogami w zakresie podejmowania decyzji i polityki inwestycyjnej, w tym dotyczącymi przestrzegania zasady „nie czyń poważnych szkód”.</w:t>
      </w:r>
    </w:p>
    <w:p w14:paraId="1381D3EC" w14:textId="0D959833" w:rsidR="006578ED" w:rsidRDefault="00A1618E">
      <w:pPr>
        <w:pStyle w:val="P68B1DB1-Normal4"/>
        <w:numPr>
          <w:ilvl w:val="0"/>
          <w:numId w:val="744"/>
        </w:numPr>
        <w:spacing w:after="160" w:line="240" w:lineRule="auto"/>
        <w:jc w:val="both"/>
        <w:rPr>
          <w:rFonts w:cs="Times New Roman"/>
          <w:noProof/>
        </w:rPr>
      </w:pPr>
      <w:r>
        <w:rPr>
          <w:noProof/>
        </w:rPr>
        <w:t xml:space="preserve">Opis ram monitorowania oraz audytu i kontroli, które pośrednik finansowy wprowadza, które </w:t>
      </w:r>
      <w:r>
        <w:rPr>
          <w:i/>
          <w:noProof/>
        </w:rPr>
        <w:t>odpowiednio</w:t>
      </w:r>
      <w:r>
        <w:rPr>
          <w:noProof/>
        </w:rPr>
        <w:t xml:space="preserve"> podlegają wszystkim wymogom w zakresie monitorowania, audytu i kontroli określonym powyżej. </w:t>
      </w:r>
    </w:p>
    <w:p w14:paraId="3EFDD5CC" w14:textId="1E46F53E" w:rsidR="006578ED" w:rsidRDefault="00A1618E">
      <w:pPr>
        <w:pStyle w:val="P68B1DB1-Normal4"/>
        <w:spacing w:before="120" w:after="120" w:line="240" w:lineRule="auto"/>
        <w:jc w:val="both"/>
        <w:rPr>
          <w:rFonts w:eastAsia="Times New Roman" w:cs="Times New Roman"/>
          <w:noProof/>
        </w:rPr>
      </w:pPr>
      <w:r>
        <w:rPr>
          <w:noProof/>
        </w:rPr>
        <w:t>Wdrożenie środka należy zakończyć do dnia 31 sierpnia 20</w:t>
      </w:r>
      <w:r w:rsidRPr="00A1618E">
        <w:rPr>
          <w:noProof/>
          <w:lang w:val="pl-PL"/>
        </w:rPr>
        <w:t>26 r.</w:t>
      </w:r>
    </w:p>
    <w:p w14:paraId="2AFFB725" w14:textId="77777777" w:rsidR="006578ED" w:rsidRDefault="00A1618E">
      <w:pPr>
        <w:pStyle w:val="P68B1DB1-Normal6"/>
        <w:rPr>
          <w:rFonts w:cs="Times New Roman"/>
          <w:noProof/>
        </w:rPr>
      </w:pPr>
      <w:r>
        <w:rPr>
          <w:noProof/>
        </w:rPr>
        <w:t>Inwestycja 7 (C13.I7) – ICO Next Tech Fund</w:t>
      </w:r>
    </w:p>
    <w:p w14:paraId="358C72D6" w14:textId="3C248D6F" w:rsidR="006578ED" w:rsidRDefault="00A1618E">
      <w:pPr>
        <w:pStyle w:val="P68B1DB1-LegalNumPar230"/>
        <w:numPr>
          <w:ilvl w:val="1"/>
          <w:numId w:val="0"/>
        </w:numPr>
        <w:spacing w:line="240" w:lineRule="auto"/>
        <w:jc w:val="both"/>
        <w:rPr>
          <w:rFonts w:cs="Times New Roman"/>
          <w:noProof/>
        </w:rPr>
      </w:pPr>
      <w:bookmarkStart w:id="34" w:name="_Hlk140650645"/>
      <w:r>
        <w:rPr>
          <w:noProof/>
        </w:rPr>
        <w:t>Środek ten obejmuje inwestycje publiczne</w:t>
      </w:r>
      <w:bookmarkEnd w:id="34"/>
      <w:r>
        <w:rPr>
          <w:noProof/>
        </w:rPr>
        <w:t xml:space="preserve"> w instrument, ICO Next Tech Fund, w celu zachęcenia do inwestycji prywatnych i poprawy dostępu do finansowania w strategicznych sektorach Hiszpanii związanych z transformacją cyfrową oraz w celu rozwoju rynków kapitałowych w tym obszarze. Instrument działa poprzez zapewnianie zachęt finansowych poprzez współinwestowanie z innymi funduszami, bezpośrednio lub przez pośredników sektora prywatnego, a także podmiotów sektora publicznego prowadzących podobną działalność. Na podstawie inwestycji w ramach RRF instrument ma początkowo zapewnić finansowanie w wysokości co najmniej 4 000 000 000 EUR. </w:t>
      </w:r>
    </w:p>
    <w:p w14:paraId="69A5E882" w14:textId="754DE619" w:rsidR="006578ED" w:rsidRDefault="00A1618E">
      <w:pPr>
        <w:pStyle w:val="P68B1DB1-LegalNumPar230"/>
        <w:numPr>
          <w:ilvl w:val="1"/>
          <w:numId w:val="0"/>
        </w:numPr>
        <w:spacing w:line="240" w:lineRule="auto"/>
        <w:jc w:val="both"/>
        <w:rPr>
          <w:rFonts w:cs="Times New Roman"/>
          <w:noProof/>
        </w:rPr>
      </w:pPr>
      <w:r>
        <w:rPr>
          <w:noProof/>
        </w:rPr>
        <w:t>Instrument jest zarządzany przez oś (zarządzający ryzykiem/prywatnym kapitałem IO) jako partnerów wykonawczych. Instrument obejmuje następujące linie produktów:</w:t>
      </w:r>
    </w:p>
    <w:p w14:paraId="15D3E958" w14:textId="7A2DE8FD" w:rsidR="006578ED" w:rsidRDefault="00A1618E">
      <w:pPr>
        <w:pStyle w:val="P68B1DB1-ListParagraph7"/>
        <w:numPr>
          <w:ilvl w:val="0"/>
          <w:numId w:val="352"/>
        </w:numPr>
        <w:jc w:val="both"/>
        <w:rPr>
          <w:rFonts w:eastAsia="Times New Roman" w:cs="Times New Roman"/>
          <w:noProof/>
        </w:rPr>
      </w:pPr>
      <w:r>
        <w:rPr>
          <w:noProof/>
        </w:rPr>
        <w:t>Linia bezpośrednia: linia ta obejmuje zapewnienie bezpośrednich inwestycji kapitałowych lub quasi-kapitałowych za pośrednictwem AXIS, zarządzającego kapitałem/prywatnym ICO, przedsiębiorstwom zarejestrowanym w Hiszpanii, niezależnie od ich wielkości i własności kapitału, które zobowiązują się do realizacji nowych projektów technologicznych. Inwestycje kapitałowe Funduszu nie powodują, że udział kapitału publicznego w beneficjencie końcowym przekracza 49 % całkowitego kapitału własnego.</w:t>
      </w:r>
    </w:p>
    <w:p w14:paraId="7DAB95B4" w14:textId="28076586" w:rsidR="006578ED" w:rsidRDefault="00A1618E">
      <w:pPr>
        <w:pStyle w:val="P68B1DB1-ListParagraph7"/>
        <w:numPr>
          <w:ilvl w:val="0"/>
          <w:numId w:val="352"/>
        </w:numPr>
        <w:jc w:val="both"/>
        <w:rPr>
          <w:rFonts w:eastAsia="Times New Roman" w:cs="Times New Roman"/>
          <w:noProof/>
        </w:rPr>
      </w:pPr>
      <w:r>
        <w:rPr>
          <w:noProof/>
        </w:rPr>
        <w:t>Linia pośrednia: pozycja ta obejmuje transfer środków do istniejących instrumentów inwestycyjnych zarządzanych przez prywatnych pośredników finansowych, w tym funduszy venture capital, które prowadzą operacje inwestycji kapitałowych w obszarach technologicznych, których dotyczy Fundusz. Maksymalny udział Funduszu nie przekracza 49 % funduszu instrumentu inwestycyjnego.</w:t>
      </w:r>
    </w:p>
    <w:p w14:paraId="3A9B1832" w14:textId="154BD01F" w:rsidR="006578ED" w:rsidRPr="00A1618E" w:rsidRDefault="00A1618E">
      <w:pPr>
        <w:pStyle w:val="P68B1DB1-ListParagraph7"/>
        <w:numPr>
          <w:ilvl w:val="0"/>
          <w:numId w:val="352"/>
        </w:numPr>
        <w:jc w:val="both"/>
        <w:rPr>
          <w:rFonts w:cs="Times New Roman"/>
          <w:noProof/>
          <w:lang w:val="pl-PL"/>
        </w:rPr>
      </w:pPr>
      <w:r>
        <w:rPr>
          <w:noProof/>
        </w:rPr>
        <w:t xml:space="preserve">Inicjatywa Mistrzostw Europy w dziedzinie technologii (ETCI): linia ta obejmuje transfer środków w wysokości </w:t>
      </w:r>
      <w:r w:rsidRPr="00A1618E">
        <w:rPr>
          <w:noProof/>
          <w:lang w:val="pl-PL"/>
        </w:rPr>
        <w:t>do 1</w:t>
      </w:r>
      <w:r>
        <w:rPr>
          <w:noProof/>
        </w:rPr>
        <w:t xml:space="preserve"> mld EUR przez Hiszpanię do ETCI, funduszu funduszy zarządzanego przez Europejski Fundusz Inwestycyjny (EFI), który przekazuje kapitał na późnym etapie wzrostu do obiecujących europejskich innowatorów</w:t>
      </w:r>
      <w:r w:rsidRPr="00A1618E">
        <w:rPr>
          <w:noProof/>
          <w:lang w:val="pl-PL"/>
        </w:rPr>
        <w:t xml:space="preserve">. </w:t>
      </w:r>
    </w:p>
    <w:p w14:paraId="2B91A638" w14:textId="62D4A09B" w:rsidR="006578ED" w:rsidRDefault="00A1618E">
      <w:pPr>
        <w:pStyle w:val="P68B1DB1-Normal4"/>
        <w:spacing w:line="240" w:lineRule="auto"/>
        <w:jc w:val="both"/>
        <w:rPr>
          <w:rFonts w:cs="Times New Roman"/>
          <w:noProof/>
        </w:rPr>
      </w:pPr>
      <w:r>
        <w:rPr>
          <w:noProof/>
        </w:rPr>
        <w:t>W celu realizacji inwestycji w instrument Hiszpania i oś podpisują umowę wykonawczą, która zawiera następującą treść:</w:t>
      </w:r>
    </w:p>
    <w:p w14:paraId="16740221" w14:textId="7055A954" w:rsidR="006578ED" w:rsidRDefault="00A1618E">
      <w:pPr>
        <w:pStyle w:val="P68B1DB1-ListParagraph7"/>
        <w:numPr>
          <w:ilvl w:val="0"/>
          <w:numId w:val="766"/>
        </w:numPr>
        <w:jc w:val="both"/>
        <w:rPr>
          <w:rFonts w:cs="Times New Roman"/>
          <w:noProof/>
        </w:rPr>
      </w:pPr>
      <w:r>
        <w:rPr>
          <w:noProof/>
        </w:rPr>
        <w:t>Opis procesu decyzyjnego w ramach Instrumentu: Ostateczną decyzję inwestycyjną instrumentu podejmuje komitet inwestycyjny lub inny odpowiedni równoważny organ zarządzający i zatwierdza większością głosów członków niezależnych od rządu hiszpańskiego. W przypadku inwestycji przez pośredników ostateczną decyzję inwestycyjną podejmują pośrednicy.</w:t>
      </w:r>
    </w:p>
    <w:p w14:paraId="0E765F69" w14:textId="77777777" w:rsidR="006578ED" w:rsidRDefault="00A1618E">
      <w:pPr>
        <w:pStyle w:val="P68B1DB1-LegalNumPar29"/>
        <w:numPr>
          <w:ilvl w:val="0"/>
          <w:numId w:val="766"/>
        </w:numPr>
        <w:jc w:val="both"/>
        <w:rPr>
          <w:rFonts w:cs="Times New Roman"/>
          <w:noProof/>
        </w:rPr>
      </w:pPr>
      <w:r>
        <w:rPr>
          <w:noProof/>
        </w:rPr>
        <w:t>Kluczowe wymogi powiązanej polityki inwestycyjnej,</w:t>
      </w:r>
      <w:r>
        <w:rPr>
          <w:b/>
          <w:noProof/>
        </w:rPr>
        <w:t xml:space="preserve"> </w:t>
      </w:r>
      <w:r>
        <w:rPr>
          <w:noProof/>
        </w:rPr>
        <w:t>które obejmują:</w:t>
      </w:r>
    </w:p>
    <w:p w14:paraId="54A323D4" w14:textId="7763B06F" w:rsidR="006578ED" w:rsidRDefault="00A1618E">
      <w:pPr>
        <w:pStyle w:val="P68B1DB1-LegalNumPar29"/>
        <w:numPr>
          <w:ilvl w:val="1"/>
          <w:numId w:val="780"/>
        </w:numPr>
        <w:jc w:val="both"/>
        <w:rPr>
          <w:rFonts w:cs="Times New Roman"/>
          <w:noProof/>
        </w:rPr>
      </w:pPr>
      <w:r>
        <w:rPr>
          <w:noProof/>
        </w:rPr>
        <w:t xml:space="preserve">Opis produktów finansowych i kwalifikujących się beneficjentów końcowych zgodnie z opisem środka. </w:t>
      </w:r>
    </w:p>
    <w:p w14:paraId="11A25243" w14:textId="77777777" w:rsidR="006578ED" w:rsidRDefault="00A1618E">
      <w:pPr>
        <w:pStyle w:val="P68B1DB1-LegalNumPar29"/>
        <w:numPr>
          <w:ilvl w:val="1"/>
          <w:numId w:val="780"/>
        </w:numPr>
        <w:jc w:val="both"/>
        <w:rPr>
          <w:rFonts w:cs="Times New Roman"/>
          <w:noProof/>
        </w:rPr>
      </w:pPr>
      <w:r>
        <w:rPr>
          <w:noProof/>
        </w:rPr>
        <w:t>Wymóg, aby wszystkie wspierane inwestycje były ekonomicznie opłacalne.</w:t>
      </w:r>
    </w:p>
    <w:p w14:paraId="1B3A8A71" w14:textId="77777777" w:rsidR="006578ED" w:rsidRDefault="00A1618E">
      <w:pPr>
        <w:pStyle w:val="P68B1DB1-LegalNumPar29"/>
        <w:numPr>
          <w:ilvl w:val="1"/>
          <w:numId w:val="780"/>
        </w:numPr>
        <w:jc w:val="both"/>
        <w:rPr>
          <w:rFonts w:cs="Times New Roman"/>
          <w:noProof/>
        </w:rPr>
      </w:pPr>
      <w:r>
        <w:rPr>
          <w:noProof/>
        </w:rPr>
        <w:t>Zakaz refinansowania wszelkich niespłaconych pożyczek.</w:t>
      </w:r>
    </w:p>
    <w:p w14:paraId="5B86B0AC" w14:textId="6594679F" w:rsidR="006578ED" w:rsidRDefault="00A1618E">
      <w:pPr>
        <w:pStyle w:val="P68B1DB1-LegalNumPar29"/>
        <w:numPr>
          <w:ilvl w:val="1"/>
          <w:numId w:val="780"/>
        </w:numPr>
        <w:jc w:val="both"/>
        <w:rPr>
          <w:rFonts w:eastAsia="Times New Roman" w:cs="Times New Roman"/>
          <w:noProof/>
        </w:rPr>
      </w:pPr>
      <w:r>
        <w:rPr>
          <w:noProof/>
        </w:rPr>
        <w:t xml:space="preserve">Wymóg zgodności z zasadą „nie czyń poważnych szkód” (DNSH) określoną w wytycznych technicznych dotyczących zasady „nie czyń poważnych szkód” (2021/C58/01), w szczególności: </w:t>
      </w:r>
    </w:p>
    <w:p w14:paraId="5934AFCB" w14:textId="31158318" w:rsidR="006578ED" w:rsidRPr="00A1618E" w:rsidRDefault="00A1618E">
      <w:pPr>
        <w:pStyle w:val="LegalNumPar3"/>
        <w:numPr>
          <w:ilvl w:val="2"/>
          <w:numId w:val="766"/>
        </w:numPr>
        <w:spacing w:line="240" w:lineRule="auto"/>
        <w:jc w:val="both"/>
        <w:rPr>
          <w:rStyle w:val="normaltextrun"/>
          <w:rFonts w:ascii="Times New Roman" w:eastAsiaTheme="minorEastAsia" w:hAnsi="Times New Roman" w:cs="Times New Roman"/>
          <w:noProof/>
          <w:sz w:val="24"/>
          <w:lang w:val="pl-PL"/>
        </w:rPr>
      </w:pPr>
      <w:bookmarkStart w:id="35" w:name="_Hlk145663647"/>
      <w:r>
        <w:rPr>
          <w:rStyle w:val="normaltextrun"/>
          <w:rFonts w:ascii="Times New Roman" w:hAnsi="Times New Roman"/>
          <w:noProof/>
          <w:sz w:val="24"/>
        </w:rPr>
        <w:t>W przypadku instrumentów kapitałowych, quasi-kapitałowych, korporacyjnych lub równoważnych instrumentów: polityka inwestycyjna zobowiązuje przedsiębiorstwa do przyjęcia planów zielonej transformacji zgodnie z definicją określoną w </w:t>
      </w:r>
      <w:r w:rsidRPr="00A1618E">
        <w:rPr>
          <w:rStyle w:val="normaltextrun"/>
          <w:rFonts w:ascii="Times New Roman" w:hAnsi="Times New Roman"/>
          <w:noProof/>
          <w:sz w:val="24"/>
          <w:lang w:val="pl-PL"/>
        </w:rPr>
        <w:t>art. 1</w:t>
      </w:r>
      <w:r>
        <w:rPr>
          <w:rStyle w:val="normaltextrun"/>
          <w:rFonts w:ascii="Times New Roman" w:hAnsi="Times New Roman"/>
          <w:noProof/>
          <w:sz w:val="24"/>
        </w:rPr>
        <w:t xml:space="preserve">9a </w:t>
      </w:r>
      <w:r w:rsidRPr="00A1618E">
        <w:rPr>
          <w:rStyle w:val="normaltextrun"/>
          <w:rFonts w:ascii="Times New Roman" w:hAnsi="Times New Roman"/>
          <w:noProof/>
          <w:sz w:val="24"/>
          <w:lang w:val="pl-PL"/>
        </w:rPr>
        <w:t>ust. 2</w:t>
      </w:r>
      <w:r>
        <w:rPr>
          <w:rStyle w:val="normaltextrun"/>
          <w:rFonts w:ascii="Times New Roman" w:hAnsi="Times New Roman"/>
          <w:noProof/>
          <w:sz w:val="24"/>
        </w:rPr>
        <w:t xml:space="preserve"> </w:t>
      </w:r>
      <w:r w:rsidRPr="00A1618E">
        <w:rPr>
          <w:rStyle w:val="normaltextrun"/>
          <w:rFonts w:ascii="Times New Roman" w:hAnsi="Times New Roman"/>
          <w:noProof/>
          <w:sz w:val="24"/>
          <w:lang w:val="pl-PL"/>
        </w:rPr>
        <w:t>lit. a)</w:t>
      </w:r>
      <w:r>
        <w:rPr>
          <w:rStyle w:val="normaltextrun"/>
          <w:rFonts w:ascii="Times New Roman" w:hAnsi="Times New Roman"/>
          <w:noProof/>
          <w:sz w:val="24"/>
        </w:rPr>
        <w:t xml:space="preserve"> ppkt (iii) dyrektywy 2013/34/UE,</w:t>
      </w:r>
      <w:r>
        <w:rPr>
          <w:rStyle w:val="FootnoteReference"/>
          <w:rFonts w:ascii="Times New Roman" w:eastAsiaTheme="minorEastAsia" w:hAnsi="Times New Roman" w:cs="Times New Roman"/>
          <w:noProof/>
          <w:sz w:val="24"/>
        </w:rPr>
        <w:footnoteReference w:id="118"/>
      </w:r>
      <w:r>
        <w:rPr>
          <w:rFonts w:ascii="Times New Roman" w:hAnsi="Times New Roman"/>
          <w:noProof/>
          <w:sz w:val="24"/>
        </w:rPr>
        <w:t xml:space="preserve"> jeżeli ponad 50 % ich bezpośrednich przychodów w poprzednim roku obrotowym pochodzi z następującego wykazu działalności i aktywów: działalności i aktywów związanych z paliwami kopalnymi, w tym wykorzystania niższego szczebla,</w:t>
      </w:r>
      <w:r>
        <w:rPr>
          <w:rStyle w:val="FootnoteReference"/>
          <w:rFonts w:ascii="Times New Roman" w:eastAsiaTheme="minorEastAsia" w:hAnsi="Times New Roman" w:cs="Times New Roman"/>
          <w:noProof/>
          <w:sz w:val="24"/>
        </w:rPr>
        <w:footnoteReference w:id="119"/>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eastAsiaTheme="minorEastAsia" w:hAnsi="Times New Roman" w:cs="Times New Roman"/>
          <w:noProof/>
          <w:sz w:val="24"/>
        </w:rPr>
        <w:footnoteReference w:id="120"/>
      </w:r>
      <w:r>
        <w:rPr>
          <w:rStyle w:val="normaltextrun"/>
          <w:rFonts w:ascii="Times New Roman" w:hAnsi="Times New Roman"/>
          <w:noProof/>
          <w:sz w:val="24"/>
        </w:rPr>
        <w:t>, (iii) działalności i aktywów związanych ze składowiskami odpadów, spalarniami</w:t>
      </w:r>
      <w:r>
        <w:rPr>
          <w:rStyle w:val="FootnoteReference"/>
          <w:rFonts w:ascii="Times New Roman" w:eastAsiaTheme="minorEastAsia" w:hAnsi="Times New Roman" w:cs="Times New Roman"/>
          <w:noProof/>
          <w:sz w:val="24"/>
        </w:rPr>
        <w:footnoteReference w:id="121"/>
      </w:r>
      <w:r>
        <w:rPr>
          <w:rStyle w:val="normaltextrun"/>
          <w:rFonts w:ascii="Times New Roman" w:hAnsi="Times New Roman"/>
          <w:noProof/>
          <w:sz w:val="24"/>
        </w:rPr>
        <w:t xml:space="preserve"> i zakładami mechaniczno-biologicznego przetwarzania odpadów</w:t>
      </w:r>
      <w:r>
        <w:rPr>
          <w:rStyle w:val="FootnoteReference"/>
          <w:rFonts w:ascii="Times New Roman" w:eastAsiaTheme="minorEastAsia" w:hAnsi="Times New Roman" w:cs="Times New Roman"/>
          <w:noProof/>
          <w:sz w:val="24"/>
        </w:rPr>
        <w:footnoteReference w:id="122"/>
      </w:r>
      <w:r w:rsidRPr="00A1618E">
        <w:rPr>
          <w:rStyle w:val="normaltextrun"/>
          <w:rFonts w:ascii="Times New Roman" w:hAnsi="Times New Roman"/>
          <w:noProof/>
          <w:sz w:val="24"/>
          <w:lang w:val="pl-PL"/>
        </w:rPr>
        <w:t>.</w:t>
      </w:r>
      <w:r w:rsidRPr="00A1618E">
        <w:rPr>
          <w:rStyle w:val="FootnoteReference"/>
          <w:rFonts w:ascii="Times New Roman" w:hAnsi="Times New Roman"/>
          <w:noProof/>
          <w:sz w:val="24"/>
          <w:lang w:val="pl-PL"/>
        </w:rPr>
        <w:t xml:space="preserve"> </w:t>
      </w:r>
    </w:p>
    <w:bookmarkEnd w:id="35"/>
    <w:p w14:paraId="5BF6741F" w14:textId="73ECE142" w:rsidR="006578ED" w:rsidRDefault="00A1618E">
      <w:pPr>
        <w:pStyle w:val="P68B1DB1-LegalNumPar317"/>
        <w:numPr>
          <w:ilvl w:val="2"/>
          <w:numId w:val="766"/>
        </w:numPr>
        <w:spacing w:line="240" w:lineRule="auto"/>
        <w:rPr>
          <w:rFonts w:cs="Times New Roman"/>
          <w:noProof/>
        </w:rPr>
      </w:pPr>
      <w:r>
        <w:rPr>
          <w:noProof/>
        </w:rPr>
        <w:t>Ponadto polityka inwestycyjna wymaga zgodności</w:t>
      </w:r>
      <w:r>
        <w:rPr>
          <w:b/>
          <w:noProof/>
        </w:rPr>
        <w:t xml:space="preserve"> </w:t>
      </w:r>
      <w:r>
        <w:rPr>
          <w:noProof/>
        </w:rPr>
        <w:t>z</w:t>
      </w:r>
      <w:r>
        <w:rPr>
          <w:b/>
          <w:noProof/>
        </w:rPr>
        <w:t> </w:t>
      </w:r>
      <w:r>
        <w:rPr>
          <w:noProof/>
        </w:rPr>
        <w:t>odpowiednimi unijnymi i krajowymi przepisami w zakresie ochrony środowiska beneficjentów końcowych Instrumentu.</w:t>
      </w:r>
    </w:p>
    <w:p w14:paraId="54798F0F" w14:textId="0CA36392" w:rsidR="006578ED" w:rsidRDefault="00A1618E">
      <w:pPr>
        <w:pStyle w:val="P68B1DB1-LegalNumPar29"/>
        <w:numPr>
          <w:ilvl w:val="1"/>
          <w:numId w:val="780"/>
        </w:numPr>
        <w:spacing w:line="240" w:lineRule="auto"/>
        <w:jc w:val="both"/>
        <w:rPr>
          <w:rFonts w:cs="Times New Roman"/>
          <w:noProof/>
        </w:rPr>
      </w:pPr>
      <w:r>
        <w:rPr>
          <w:noProof/>
        </w:rPr>
        <w:t>Wymóg, zgodnie z którym beneficjenci końcowi Instrumentu nie mogą otrzymywać wsparcia z innych instrumentów unijnych w celu pokrycia tych samych kosztów.</w:t>
      </w:r>
    </w:p>
    <w:p w14:paraId="184D6B7B" w14:textId="33E45CA1" w:rsidR="006578ED" w:rsidRDefault="00A1618E">
      <w:pPr>
        <w:pStyle w:val="P68B1DB1-LegalNumPar29"/>
        <w:numPr>
          <w:ilvl w:val="0"/>
          <w:numId w:val="766"/>
        </w:numPr>
        <w:spacing w:line="240" w:lineRule="auto"/>
        <w:jc w:val="both"/>
        <w:rPr>
          <w:rFonts w:cs="Times New Roman"/>
          <w:noProof/>
        </w:rPr>
      </w:pPr>
      <w:r>
        <w:rPr>
          <w:noProof/>
        </w:rPr>
        <w:t>Kwotę objętą umową wykonawczą, strukturę opłat dla partnera wykonawczego oraz wymóg ponownego inwestowania wszelkich środków powracających zgodnie z polityką inwestycyjną Instrumentu, chyba że są one wykorzystywane do obsługi spłat pożyczek w ramach Instrumentu na rzecz Odbudowy i Zwiększania Odporności.</w:t>
      </w:r>
    </w:p>
    <w:p w14:paraId="50AE8E30" w14:textId="4B6440C7" w:rsidR="006578ED" w:rsidRDefault="00A1618E">
      <w:pPr>
        <w:pStyle w:val="P68B1DB1-ListParagraph7"/>
        <w:numPr>
          <w:ilvl w:val="0"/>
          <w:numId w:val="766"/>
        </w:numPr>
        <w:spacing w:line="240" w:lineRule="auto"/>
        <w:jc w:val="both"/>
        <w:rPr>
          <w:rFonts w:cs="Times New Roman"/>
          <w:noProof/>
        </w:rPr>
      </w:pPr>
      <w:r>
        <w:rPr>
          <w:noProof/>
        </w:rPr>
        <w:t xml:space="preserve">Wymogi w zakresie monitorowania, audytu i kontroli, w tym: </w:t>
      </w:r>
    </w:p>
    <w:p w14:paraId="0DE7F897" w14:textId="290BEAA4" w:rsidR="006578ED" w:rsidRDefault="00A1618E">
      <w:pPr>
        <w:pStyle w:val="P68B1DB1-ListParagraph7"/>
        <w:numPr>
          <w:ilvl w:val="1"/>
          <w:numId w:val="781"/>
        </w:numPr>
        <w:spacing w:line="240" w:lineRule="auto"/>
        <w:jc w:val="both"/>
        <w:rPr>
          <w:rFonts w:cs="Times New Roman"/>
          <w:noProof/>
        </w:rPr>
      </w:pPr>
      <w:r>
        <w:rPr>
          <w:noProof/>
        </w:rPr>
        <w:t>Opis stosowanego przez partnera wykonawczego systemu monitorowania służącego do sprawozdawczości na temat uruchomionych inwestycji.</w:t>
      </w:r>
    </w:p>
    <w:p w14:paraId="70CB4626" w14:textId="625C516B" w:rsidR="006578ED" w:rsidRDefault="00A1618E">
      <w:pPr>
        <w:pStyle w:val="P68B1DB1-Normal4"/>
        <w:numPr>
          <w:ilvl w:val="1"/>
          <w:numId w:val="781"/>
        </w:numPr>
        <w:spacing w:after="160" w:line="240" w:lineRule="auto"/>
        <w:jc w:val="both"/>
        <w:rPr>
          <w:rFonts w:cs="Times New Roman"/>
          <w:noProof/>
        </w:rPr>
      </w:pPr>
      <w:r>
        <w:rPr>
          <w:noProof/>
        </w:rPr>
        <w:t xml:space="preserve">Opis procedur partnera wykonawczego, które zapewnią zapobieganie nadużyciom finansowym, korupcji i konfliktom interesów oraz ich wykrywanie i korygowanie. </w:t>
      </w:r>
    </w:p>
    <w:p w14:paraId="414F081B" w14:textId="18402518" w:rsidR="006578ED" w:rsidRDefault="00A1618E">
      <w:pPr>
        <w:pStyle w:val="P68B1DB1-Normal4"/>
        <w:numPr>
          <w:ilvl w:val="1"/>
          <w:numId w:val="781"/>
        </w:numPr>
        <w:spacing w:after="160" w:line="240" w:lineRule="auto"/>
        <w:jc w:val="both"/>
        <w:rPr>
          <w:rFonts w:cs="Times New Roman"/>
          <w:noProof/>
        </w:rPr>
      </w:pPr>
      <w:r>
        <w:rPr>
          <w:noProof/>
        </w:rPr>
        <w:t>Obowiązek weryfikacji kwalifikowalności każdej operacji zgodnie z wymogami określonymi w umowie wykonawczej, w tym poprzez wykorzystanie oświadczenia własnego w odniesieniu do operacji o wartości poniżej 10 000 000 EUR, przed zobowiązaniem się do finansowania operacji, przed zobowiązaniem się do sfinansowania operacji.</w:t>
      </w:r>
    </w:p>
    <w:p w14:paraId="19D89E60" w14:textId="3EE4ED00" w:rsidR="006578ED" w:rsidRDefault="00A1618E">
      <w:pPr>
        <w:pStyle w:val="P68B1DB1-Normal4"/>
        <w:numPr>
          <w:ilvl w:val="1"/>
          <w:numId w:val="781"/>
        </w:numPr>
        <w:spacing w:line="240" w:lineRule="auto"/>
        <w:jc w:val="both"/>
        <w:rPr>
          <w:rFonts w:cs="Times New Roman"/>
          <w:noProof/>
        </w:rPr>
      </w:pPr>
      <w:r>
        <w:rPr>
          <w:noProof/>
        </w:rPr>
        <w:t>Obowiązek przeprowadzania opartych na analizie ryzyka audytów ex post zgodnie z planem audytu ICO. Audyty te mają na celu sprawdzenie (i) skuteczności systemów kontroli, w tym wykrywania nadużyć finansowych, korupcji i konfliktu interesów; zgodność z zasadą „nie czyń poważnych szkód”, zasadami pomocy państwa, wymogami dotyczącymi celów klimatycznych; oraz (iii) wymóg weryfikacji przez pośrednika, czy beneficjent końcowy przedstawia odpowiedzialne oświadczenie w celu sprawdzenia, czy te same koszty są pokrywane z innego instrumentu unijnego, jest przestrzegany. W ramach audytów sprawdza się również legalność transakcji oraz przestrzeganie warunków mających zastosowanie umów wykonawczych i umów o finansowaniu, w tym poprzez wykorzystanie oświadczeń własnych w odniesieniu do operacji o wartości poniżej 10 000 000 EUR, przed zobowiązaniem się do finansowania danej operacji.</w:t>
      </w:r>
    </w:p>
    <w:p w14:paraId="27C1B162" w14:textId="29E55F15" w:rsidR="006578ED" w:rsidRDefault="00A1618E">
      <w:pPr>
        <w:numPr>
          <w:ilvl w:val="0"/>
          <w:numId w:val="766"/>
        </w:numPr>
        <w:spacing w:after="160" w:line="240" w:lineRule="auto"/>
        <w:jc w:val="both"/>
        <w:rPr>
          <w:rFonts w:ascii="Times New Roman" w:hAnsi="Times New Roman" w:cs="Times New Roman"/>
          <w:noProof/>
          <w:sz w:val="24"/>
        </w:rPr>
      </w:pPr>
      <w:r>
        <w:rPr>
          <w:rFonts w:ascii="Times New Roman" w:hAnsi="Times New Roman"/>
          <w:noProof/>
          <w:sz w:val="24"/>
        </w:rPr>
        <w:t>Wymogi dotyczące inwestycji cyfrowych realizowanych przez partnera wykonawczego: co najmniej 4 000 000 000 EUR z inwestycji w Instrument w ramach RRF przyczynia się do realizacji celów związanych ze zmianą cyfrową zgodnie z załącznikiem VII do rozporządzenia w sprawie RRF.</w:t>
      </w:r>
      <w:r>
        <w:rPr>
          <w:rStyle w:val="FootnoteReference"/>
          <w:rFonts w:ascii="Times New Roman" w:hAnsi="Times New Roman" w:cs="Times New Roman"/>
          <w:noProof/>
          <w:sz w:val="24"/>
        </w:rPr>
        <w:footnoteReference w:id="123"/>
      </w:r>
      <w:r>
        <w:rPr>
          <w:rFonts w:ascii="Times New Roman" w:hAnsi="Times New Roman"/>
          <w:noProof/>
          <w:sz w:val="24"/>
        </w:rPr>
        <w:t xml:space="preserve"> </w:t>
      </w:r>
    </w:p>
    <w:p w14:paraId="347335BE" w14:textId="520B093E" w:rsidR="006578ED" w:rsidRDefault="00A1618E">
      <w:pPr>
        <w:pStyle w:val="P68B1DB1-ListParagraph7"/>
        <w:numPr>
          <w:ilvl w:val="0"/>
          <w:numId w:val="766"/>
        </w:numPr>
        <w:jc w:val="both"/>
        <w:rPr>
          <w:rFonts w:cs="Times New Roman"/>
          <w:noProof/>
        </w:rPr>
      </w:pPr>
      <w:r>
        <w:rPr>
          <w:noProof/>
        </w:rPr>
        <w:t xml:space="preserve">Wymogi dotyczące wyboru pośredników finansowych: ICO wybiera pośredników finansowych w sposób otwarty, przejrzysty i niedyskryminacyjny. Kontrole dotyczące braku konfliktu interesów w odniesieniu do pośredników finansowych przeprowadza się i przeprowadza ex ante za pośrednictwem systemu informatycznego, takiego jak Minerva, w odniesieniu do wszystkich zaangażowanych podmiotów finansowych. </w:t>
      </w:r>
    </w:p>
    <w:p w14:paraId="6AC5F13F" w14:textId="3457D62C" w:rsidR="006578ED" w:rsidRDefault="00A1618E">
      <w:pPr>
        <w:pStyle w:val="P68B1DB1-Normal4"/>
        <w:numPr>
          <w:ilvl w:val="0"/>
          <w:numId w:val="766"/>
        </w:numPr>
        <w:spacing w:after="160" w:line="240" w:lineRule="auto"/>
        <w:jc w:val="both"/>
        <w:rPr>
          <w:rFonts w:cs="Times New Roman"/>
          <w:noProof/>
        </w:rPr>
      </w:pPr>
      <w:r>
        <w:rPr>
          <w:noProof/>
        </w:rPr>
        <w:t xml:space="preserve">Wymóg podpisania umów o finansowaniu: Oś podpisuje umowy o finansowaniu z pośrednikami finansowymi zgodnie z kluczowymi wymogami, które należy przedstawić jako załącznik do umowy wykonawczej. Kluczowe wymogi umowy o finansowaniu obejmują wszystkie wymogi, na podstawie których działa Instrument, w tym: </w:t>
      </w:r>
    </w:p>
    <w:p w14:paraId="46C4FBEB" w14:textId="78F6FE83" w:rsidR="006578ED" w:rsidRDefault="00A1618E">
      <w:pPr>
        <w:pStyle w:val="P68B1DB1-Normal4"/>
        <w:numPr>
          <w:ilvl w:val="1"/>
          <w:numId w:val="766"/>
        </w:numPr>
        <w:spacing w:after="160" w:line="240" w:lineRule="auto"/>
        <w:jc w:val="both"/>
        <w:rPr>
          <w:rFonts w:cs="Times New Roman"/>
          <w:noProof/>
        </w:rPr>
      </w:pPr>
      <w:r>
        <w:rPr>
          <w:noProof/>
        </w:rPr>
        <w:t>Spoczywający na pośredniku finansowym obowiązek podejmowania decyzji odpowiednio zgodnie z określonymi powyżej wymogami w zakresie podejmowania decyzji i polityki inwestycyjnej, w tym dotyczącymi przestrzegania zasady „nie czyń poważnych szkód”.</w:t>
      </w:r>
    </w:p>
    <w:p w14:paraId="5E4BC8D8" w14:textId="3787EA62" w:rsidR="006578ED" w:rsidRDefault="00A1618E">
      <w:pPr>
        <w:pStyle w:val="P68B1DB1-Normal4"/>
        <w:numPr>
          <w:ilvl w:val="1"/>
          <w:numId w:val="766"/>
        </w:numPr>
        <w:spacing w:after="160" w:line="240" w:lineRule="auto"/>
        <w:jc w:val="both"/>
        <w:rPr>
          <w:rFonts w:eastAsia="Times New Roman" w:cs="Times New Roman"/>
          <w:noProof/>
        </w:rPr>
      </w:pPr>
      <w:r>
        <w:rPr>
          <w:noProof/>
        </w:rPr>
        <w:t xml:space="preserve">Opis ram monitorowania oraz audytu i kontroli, które pośrednik finansowy wprowadza, które odpowiednio podlegają wszystkim wymogom w zakresie monitorowania, audytu i kontroli określonym powyżej. </w:t>
      </w:r>
    </w:p>
    <w:p w14:paraId="1C64E7F4" w14:textId="1AC3AE72" w:rsidR="006578ED" w:rsidRDefault="00A1618E">
      <w:pPr>
        <w:pStyle w:val="P68B1DB1-Normal4"/>
        <w:jc w:val="both"/>
        <w:rPr>
          <w:rFonts w:eastAsia="Times New Roman" w:cs="Times New Roman"/>
          <w:noProof/>
        </w:rPr>
      </w:pPr>
      <w:r>
        <w:rPr>
          <w:noProof/>
        </w:rPr>
        <w:t>Wdrożenie środka należy zakończyć do dnia 31 sierpnia 20</w:t>
      </w:r>
      <w:r w:rsidRPr="00A1618E">
        <w:rPr>
          <w:noProof/>
          <w:lang w:val="pl-PL"/>
        </w:rPr>
        <w:t>26 r.</w:t>
      </w:r>
    </w:p>
    <w:p w14:paraId="66233B2E" w14:textId="0466CC2F" w:rsidR="006578ED" w:rsidRDefault="00A1618E">
      <w:pPr>
        <w:pStyle w:val="P68B1DB1-Normal6"/>
        <w:tabs>
          <w:tab w:val="left" w:pos="7280"/>
        </w:tabs>
        <w:rPr>
          <w:rFonts w:cs="Times New Roman"/>
          <w:noProof/>
        </w:rPr>
      </w:pPr>
      <w:r>
        <w:rPr>
          <w:noProof/>
        </w:rPr>
        <w:t xml:space="preserve">Inwestycje 8 </w:t>
      </w:r>
      <w:bookmarkStart w:id="36" w:name="_Hlk141289356"/>
      <w:r>
        <w:rPr>
          <w:noProof/>
        </w:rPr>
        <w:t>(C13.I8) – Fundusz współinwestycyjny (FOCO)</w:t>
      </w:r>
      <w:bookmarkEnd w:id="36"/>
    </w:p>
    <w:p w14:paraId="70A22EBF" w14:textId="2EE0B567" w:rsidR="006578ED" w:rsidRDefault="00A1618E">
      <w:pPr>
        <w:spacing w:line="240" w:lineRule="auto"/>
        <w:jc w:val="both"/>
        <w:rPr>
          <w:rStyle w:val="normaltextrun"/>
          <w:rFonts w:ascii="Times New Roman" w:eastAsia="Times New Roman" w:hAnsi="Times New Roman" w:cs="Times New Roman"/>
          <w:noProof/>
          <w:sz w:val="24"/>
          <w:shd w:val="clear" w:color="auto" w:fill="FFFFFF"/>
        </w:rPr>
      </w:pPr>
      <w:bookmarkStart w:id="37" w:name="_Hlk140753831"/>
      <w:r>
        <w:rPr>
          <w:rStyle w:val="normaltextrun"/>
          <w:rFonts w:ascii="Times New Roman" w:hAnsi="Times New Roman"/>
          <w:noProof/>
          <w:sz w:val="24"/>
          <w:shd w:val="clear" w:color="auto" w:fill="FFFFFF"/>
        </w:rPr>
        <w:t>Środek ten obejmuje inwestycje publiczne w instrument – fundusz współinwestycyjny – w celu zachęcania do inwestycji prywatnych i poprawy dostępu do finansowania w strategicznych sektorach Hiszpanii, w szczególności związanych z transformacją ekologiczną i cyfrową oraz PERTE, a także w celu rozwoju rynków kapitałowych w tych obszarach. Instrument ten działa poprzez udzielanie pożyczek, inwestycji kapitałowych i quasi-kapitałowych poprzez współinwestycje z zagranicznymi i wielostronnymi inwestorami instytucjonalnymi będącymi osobami trzecimi, bezpośrednio lub poprzez pośredników dla sektora prywatnego. Na podstawie inwestycji w ramach RRF instrument ma początkowo zapewnić finansowanie w wysokości co najmniej 2 000 000 000 EUR.</w:t>
      </w:r>
    </w:p>
    <w:p w14:paraId="18E849D4" w14:textId="339B9B0A" w:rsidR="006578ED" w:rsidRDefault="00A1618E">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Instrumentem zarządza Compañía Española de Financiación del Desarrollo (COFIDES) jako partner wykonawczy. Instrument obejmuje następujące linie produktowe: </w:t>
      </w:r>
    </w:p>
    <w:bookmarkEnd w:id="37"/>
    <w:p w14:paraId="2F08DC91" w14:textId="113C3C7D" w:rsidR="006578ED" w:rsidRDefault="00A1618E">
      <w:pPr>
        <w:pStyle w:val="P68B1DB1-ListParagraph7"/>
        <w:numPr>
          <w:ilvl w:val="0"/>
          <w:numId w:val="614"/>
        </w:numPr>
        <w:jc w:val="both"/>
        <w:rPr>
          <w:rFonts w:cs="Times New Roman"/>
          <w:noProof/>
        </w:rPr>
      </w:pPr>
      <w:r>
        <w:rPr>
          <w:noProof/>
        </w:rPr>
        <w:t>Linia bezpośrednia: W ramach instrumentu dokonuje się bezpośrednich inwestycji z zagranicznymi inwestorami instytucjonalnymi będącymi osobami trzecimi w przedsiębiorstwa, które zobowiązały się do realizacji nowych projektów w strategicznych sektorach gospodarki Hiszpanii, w tym projektów związanych z transformacją ekologiczną i cyfrową oraz PERTE. Instrument musi być w stanie inwestować z wykorzystaniem instrumentów pożyczkowych, kapitałowych i quasi-kapitałowych. Inwestycje kapitałowe Funduszu nie powodują, że udział kapitału publicznego w beneficjencie końcowym przekracza 49 % całkowitego kapitału własnego.</w:t>
      </w:r>
    </w:p>
    <w:p w14:paraId="18F00A58" w14:textId="1C1C53A8" w:rsidR="006578ED" w:rsidRDefault="00A1618E">
      <w:pPr>
        <w:pStyle w:val="P68B1DB1-ListParagraph7"/>
        <w:numPr>
          <w:ilvl w:val="0"/>
          <w:numId w:val="614"/>
        </w:numPr>
        <w:jc w:val="both"/>
        <w:rPr>
          <w:rFonts w:cs="Times New Roman"/>
          <w:noProof/>
        </w:rPr>
      </w:pPr>
      <w:r>
        <w:rPr>
          <w:noProof/>
        </w:rPr>
        <w:t xml:space="preserve">Linia pośrednia: Instrument inwestuje w istniejące fundusze, które inwestują w sektory objęte Instrumentem, i musi być w stanie stworzyć dostosowane do potrzeb instrumenty finansowania ukierunkowane na te same sektory. Maksymalny udział instrumentu nie przekracza 49 % żadnego funduszu lub innego instrumentu inwestycyjnego i nie może powodować, że udział kapitału publicznego w funduszu lub instrumencie inwestycyjnym przekracza 49 % całkowitego kapitału własnego. </w:t>
      </w:r>
    </w:p>
    <w:p w14:paraId="4BC9837F" w14:textId="4B7D5922" w:rsidR="006578ED" w:rsidRDefault="00A1618E">
      <w:pPr>
        <w:spacing w:line="240" w:lineRule="auto"/>
        <w:jc w:val="both"/>
        <w:rPr>
          <w:rStyle w:val="normaltextrun"/>
          <w:rFonts w:ascii="Times New Roman" w:eastAsia="Times New Roman" w:hAnsi="Times New Roman" w:cs="Times New Roman"/>
          <w:noProof/>
          <w:sz w:val="24"/>
          <w:shd w:val="clear" w:color="auto" w:fill="FFFFFF"/>
        </w:rPr>
      </w:pPr>
      <w:bookmarkStart w:id="38" w:name="_Hlk140753801"/>
      <w:r>
        <w:rPr>
          <w:rStyle w:val="normaltextrun"/>
          <w:rFonts w:ascii="Times New Roman" w:hAnsi="Times New Roman"/>
          <w:noProof/>
          <w:sz w:val="24"/>
          <w:shd w:val="clear" w:color="auto" w:fill="FFFFFF"/>
        </w:rPr>
        <w:t>Współinwestycje dokonywane przez inwestorów będących osobami trzecimi są co najmniej równoważne wkładowi instrumentu i inwestują na zasadzie równorzędności. Współinwestorzy będący osobami trzecimi mogą obejmować między innymi:</w:t>
      </w:r>
    </w:p>
    <w:p w14:paraId="357ABC3A" w14:textId="7EFFEA0B" w:rsidR="006578ED" w:rsidRDefault="00A1618E">
      <w:pPr>
        <w:pStyle w:val="P68B1DB1-ListParagraph7"/>
        <w:numPr>
          <w:ilvl w:val="0"/>
          <w:numId w:val="614"/>
        </w:numPr>
        <w:jc w:val="both"/>
        <w:rPr>
          <w:rFonts w:cs="Times New Roman"/>
          <w:noProof/>
        </w:rPr>
      </w:pPr>
      <w:r>
        <w:rPr>
          <w:noProof/>
        </w:rPr>
        <w:t xml:space="preserve">Zagraniczne instytucje publiczne, takie jak publiczne fundusze emerytalne, fundusze państwowe i państwowe niższego szczebla, instytucje wielostronne inwestujące w prywatne rynki kapitałowe (takie jak Europejski Fundusz Inwestycyjny). </w:t>
      </w:r>
    </w:p>
    <w:p w14:paraId="7F753F2C" w14:textId="295DC384" w:rsidR="006578ED" w:rsidRDefault="00A1618E">
      <w:pPr>
        <w:pStyle w:val="P68B1DB1-ListParagraph7"/>
        <w:numPr>
          <w:ilvl w:val="0"/>
          <w:numId w:val="614"/>
        </w:numPr>
        <w:jc w:val="both"/>
        <w:rPr>
          <w:rFonts w:cs="Times New Roman"/>
          <w:noProof/>
        </w:rPr>
      </w:pPr>
      <w:r>
        <w:rPr>
          <w:noProof/>
        </w:rPr>
        <w:t xml:space="preserve">Zagraniczni prywatni długoterminowi inwestorzy instytucjonalni, tacy jak fundusze inwestycyjne, fundusze emerytalne lub zakłady ubezpieczeń. </w:t>
      </w:r>
    </w:p>
    <w:p w14:paraId="7B0C2C5C" w14:textId="53515263" w:rsidR="006578ED" w:rsidRDefault="00A1618E">
      <w:pPr>
        <w:pStyle w:val="P68B1DB1-ListParagraph7"/>
        <w:numPr>
          <w:ilvl w:val="0"/>
          <w:numId w:val="614"/>
        </w:numPr>
        <w:jc w:val="both"/>
        <w:rPr>
          <w:rFonts w:cs="Times New Roman"/>
          <w:noProof/>
        </w:rPr>
      </w:pPr>
      <w:r>
        <w:rPr>
          <w:noProof/>
        </w:rPr>
        <w:t>Krajowe prywatne instrumenty inwestycyjne i podmioty, pod warunkiem że mobilizują one zasoby finansowe od zagranicznych inwestorów prywatnych.</w:t>
      </w:r>
    </w:p>
    <w:p w14:paraId="1D0EBDC2" w14:textId="01185FB6" w:rsidR="006578ED" w:rsidRDefault="00A1618E">
      <w:pPr>
        <w:pStyle w:val="P68B1DB1-ListParagraph7"/>
        <w:numPr>
          <w:ilvl w:val="0"/>
          <w:numId w:val="614"/>
        </w:numPr>
        <w:jc w:val="both"/>
        <w:rPr>
          <w:rFonts w:cs="Times New Roman"/>
          <w:noProof/>
        </w:rPr>
      </w:pPr>
      <w:r>
        <w:rPr>
          <w:noProof/>
        </w:rPr>
        <w:t>Zagraniczne spółki kapitałowe uczestniczące w danych przedsiębiorstw w Hiszpanii w celu realizacji projektów inwestycyjnych i działalności produkcyjnej, które mogłyby być wspierane przez fundusz.</w:t>
      </w:r>
    </w:p>
    <w:p w14:paraId="59928A86" w14:textId="5B2EB2BC" w:rsidR="006578ED" w:rsidRDefault="00A1618E">
      <w:pPr>
        <w:pStyle w:val="P68B1DB1-Normal4"/>
        <w:spacing w:line="240" w:lineRule="auto"/>
        <w:jc w:val="both"/>
        <w:rPr>
          <w:rFonts w:eastAsia="Times New Roman" w:cs="Times New Roman"/>
          <w:noProof/>
        </w:rPr>
      </w:pPr>
      <w:bookmarkStart w:id="39" w:name="_Hlk145620018"/>
      <w:r>
        <w:rPr>
          <w:noProof/>
        </w:rPr>
        <w:t xml:space="preserve">W celu realizacji inwestycji w instrument Hiszpania zatwierdza rozporządzenie i wszelkie powiązane dokumenty dotyczące utworzenia Instrumentu i zarządzania nim, które zawierają następującą treść: </w:t>
      </w:r>
    </w:p>
    <w:bookmarkEnd w:id="39"/>
    <w:p w14:paraId="51770341" w14:textId="3598D6AA" w:rsidR="006578ED" w:rsidRDefault="00A1618E">
      <w:pPr>
        <w:pStyle w:val="P68B1DB1-ListParagraph7"/>
        <w:numPr>
          <w:ilvl w:val="0"/>
          <w:numId w:val="745"/>
        </w:numPr>
        <w:spacing w:line="240" w:lineRule="auto"/>
        <w:contextualSpacing w:val="0"/>
        <w:jc w:val="both"/>
        <w:rPr>
          <w:rFonts w:eastAsia="Times New Roman" w:cs="Times New Roman"/>
          <w:noProof/>
        </w:rPr>
      </w:pPr>
      <w:r>
        <w:rPr>
          <w:noProof/>
        </w:rPr>
        <w:t>Opis procesu decyzyjnego w ramach Instrumentu</w:t>
      </w:r>
      <w:r w:rsidRPr="00A1618E">
        <w:rPr>
          <w:noProof/>
          <w:lang w:val="pl-PL"/>
        </w:rPr>
        <w:t>: D</w:t>
      </w:r>
      <w:r>
        <w:rPr>
          <w:noProof/>
        </w:rPr>
        <w:t>ecyzję o początkowej inwestycji instrumentu podejmuje komitet inwestycyjny lub inny odpowiedni równoważny organ zarządzający i zatwierdzana większością głosów członków niezależnych od rządu hiszpańskiego. Ostateczna decyzja inwestycyjna Instrumentu ogranicza się do zatwierdzenia (bez zmian) lub korzystania z prawa weta w odniesieniu do decyzji inwestycyjnej zaproponowanej przez komitet inwestycyjny lub odpowiedni równoważny organ zarządzający. W przypadku inwestycji przez pośredników ostateczną decyzję inwestycyjną podejmują pośrednicy.</w:t>
      </w:r>
    </w:p>
    <w:p w14:paraId="5DC4A5C2" w14:textId="77777777" w:rsidR="006578ED" w:rsidRDefault="00A1618E">
      <w:pPr>
        <w:pStyle w:val="P68B1DB1-ListParagraph7"/>
        <w:numPr>
          <w:ilvl w:val="0"/>
          <w:numId w:val="745"/>
        </w:numPr>
        <w:spacing w:line="240" w:lineRule="auto"/>
        <w:jc w:val="both"/>
        <w:rPr>
          <w:rFonts w:eastAsia="Times New Roman" w:cs="Times New Roman"/>
          <w:noProof/>
        </w:rPr>
      </w:pPr>
      <w:r>
        <w:rPr>
          <w:noProof/>
        </w:rPr>
        <w:t>Kluczowe wymogi powiązanej polityki inwestycyjnej, które obejmują:</w:t>
      </w:r>
    </w:p>
    <w:p w14:paraId="5C17F8D0" w14:textId="46749779" w:rsidR="006578ED" w:rsidRDefault="00A1618E">
      <w:pPr>
        <w:pStyle w:val="ListParagraph"/>
        <w:numPr>
          <w:ilvl w:val="1"/>
          <w:numId w:val="745"/>
        </w:numPr>
        <w:spacing w:line="240" w:lineRule="auto"/>
        <w:jc w:val="both"/>
        <w:rPr>
          <w:rFonts w:ascii="Times New Roman" w:eastAsia="Times New Roman" w:hAnsi="Times New Roman" w:cs="Times New Roman"/>
          <w:noProof/>
          <w:sz w:val="24"/>
        </w:rPr>
      </w:pPr>
      <w:r>
        <w:rPr>
          <w:rFonts w:ascii="Times New Roman" w:hAnsi="Times New Roman"/>
          <w:noProof/>
          <w:sz w:val="24"/>
        </w:rPr>
        <w:t>Opis produktów finansowych i kwalifikujących się beneficjentów końcowych zgodnie z opisem środka. Na inwestycje strategiczne, tj. inwestycje w technologie i produkty obronne określone w rocznym programie prac Europejskiego Funduszu Obronnego; inwestycje kosmiczne w zegary atomowe, strategiczne rakiety nośne; oraz produkty kosmiczne</w:t>
      </w:r>
      <w:r w:rsidRPr="00A1618E">
        <w:rPr>
          <w:rFonts w:ascii="Times New Roman" w:hAnsi="Times New Roman"/>
          <w:noProof/>
          <w:sz w:val="24"/>
          <w:lang w:val="pl-PL"/>
        </w:rPr>
        <w:t>; o</w:t>
      </w:r>
      <w:r>
        <w:rPr>
          <w:rFonts w:ascii="Times New Roman" w:hAnsi="Times New Roman"/>
          <w:noProof/>
          <w:sz w:val="24"/>
        </w:rPr>
        <w:t>raz inwestycje koncentrujące się wyłącznie na opracowywaniu i wdrażaniu narzędzi i rozwiązań w zakresie cyberbezpieczeństwa, w tym w przypadku gdy są one częścią wdrażania lub modernizacji sieci cyfrowych i infrastruktury danych; beneficjenci końcowi nie mogą być kontrolowani przez państwo trzecie ani podmioty z państw trzecich i ich kierownictwo wykonawcze w Unii, z wyjątkiem inwestycji o wartości poniżej 10 000 000 EUR. Jeżeli beneficjent końcowy uczestniczy w inwestycji strategicznej w dziedzinie łączności 5G, środki i plany ograniczania ryzyka zgodnie z zestawem narzędzi cyberbezpieczeństwa 5G</w:t>
      </w:r>
      <w:r>
        <w:rPr>
          <w:rStyle w:val="FootnoteReference"/>
          <w:rFonts w:ascii="Times New Roman" w:eastAsia="Times New Roman" w:hAnsi="Times New Roman" w:cs="Times New Roman"/>
          <w:noProof/>
          <w:sz w:val="24"/>
        </w:rPr>
        <w:footnoteReference w:id="124"/>
      </w:r>
      <w:r>
        <w:rPr>
          <w:rFonts w:ascii="Times New Roman" w:hAnsi="Times New Roman"/>
          <w:noProof/>
          <w:sz w:val="24"/>
        </w:rPr>
        <w:t xml:space="preserve"> mają również zastosowanie do jego dostawców. Do takich dostawców należą w szczególności sprzedawcy i producenci urządzeń telekomunikacyjnych i inni dostawcy będący stronami trzecimi, tacy jak dostawcy infrastruktury chmurowej, dostawcy usług zarządzania, integratorzy systemów, wykonawcy oferujący usługi z zakresu bezpieczeństwa i obsługi technicznej oraz producenci urządzeń łączności. W przypadku gdy beneficjent końcowy uczestniczy w inwestycji strategicznej w dziedzinie obronności, ograniczenie to ma również zastosowanie do jego dostawców i podwykonawców. Ograniczenia dotyczące braku kontroli ze strony państwa trzeciego lub podmiotu z państwa trzeciego określone w trzech powyższych akapitach nie mają zastosowania do konkretnej operacji z zakresu finansowania i inwestycji, w przypadku gdy beneficjent końcowy może wykazać, że jest podmiotem prawnym, dla którego państwo członkowskie, w którym ma siedzibę, zatwierdziło gwarancję zgodnie z zasadami dotyczącymi kwalifikujących się podmiotów określonymi w odpowiednich przepisach rozporządzenia w sprawie Europejskiego Funduszu Obronnego („EFO”)</w:t>
      </w:r>
      <w:r>
        <w:rPr>
          <w:rStyle w:val="FootnoteReference"/>
          <w:rFonts w:ascii="Times New Roman" w:eastAsia="Times New Roman" w:hAnsi="Times New Roman" w:cs="Times New Roman"/>
          <w:noProof/>
          <w:sz w:val="24"/>
        </w:rPr>
        <w:footnoteReference w:id="125"/>
      </w:r>
      <w:r>
        <w:rPr>
          <w:rFonts w:ascii="Times New Roman" w:hAnsi="Times New Roman"/>
          <w:noProof/>
          <w:sz w:val="24"/>
        </w:rPr>
        <w:t xml:space="preserve"> lub zwolnieniem Komisji przyznanym zgodnie z zasadami dotyczącymi kwalifikujących się podmiotów określonymi w odpowiednich przepisach rozporządzenia w sprawie przestrzeni kosmicznej</w:t>
      </w:r>
      <w:r>
        <w:rPr>
          <w:rStyle w:val="FootnoteReference"/>
          <w:rFonts w:ascii="Times New Roman" w:eastAsia="Times New Roman" w:hAnsi="Times New Roman" w:cs="Times New Roman"/>
          <w:noProof/>
          <w:sz w:val="24"/>
        </w:rPr>
        <w:footnoteReference w:id="126"/>
      </w:r>
      <w:r>
        <w:rPr>
          <w:rFonts w:ascii="Times New Roman" w:hAnsi="Times New Roman"/>
          <w:noProof/>
          <w:sz w:val="24"/>
        </w:rPr>
        <w:t xml:space="preserve">. Partner wykonawczy musi powiadomić rząd o wszelkich odstępstwach przyznanych w odniesieniu do ograniczeń. </w:t>
      </w:r>
    </w:p>
    <w:p w14:paraId="1EB12EA3" w14:textId="77777777" w:rsidR="006578ED" w:rsidRDefault="00A1618E">
      <w:pPr>
        <w:pStyle w:val="P68B1DB1-ListParagraph7"/>
        <w:numPr>
          <w:ilvl w:val="1"/>
          <w:numId w:val="745"/>
        </w:numPr>
        <w:spacing w:line="240" w:lineRule="auto"/>
        <w:jc w:val="both"/>
        <w:rPr>
          <w:rFonts w:eastAsia="Times New Roman" w:cs="Times New Roman"/>
          <w:noProof/>
        </w:rPr>
      </w:pPr>
      <w:r>
        <w:rPr>
          <w:noProof/>
        </w:rPr>
        <w:t>Wymóg, aby wszystkie wspierane inwestycje były ekonomicznie opłacalne.</w:t>
      </w:r>
    </w:p>
    <w:p w14:paraId="0E56EC59" w14:textId="2CE28B46" w:rsidR="006578ED" w:rsidRPr="00A1618E" w:rsidRDefault="00A1618E">
      <w:pPr>
        <w:pStyle w:val="P68B1DB1-ListParagraph7"/>
        <w:numPr>
          <w:ilvl w:val="1"/>
          <w:numId w:val="745"/>
        </w:numPr>
        <w:spacing w:line="240" w:lineRule="auto"/>
        <w:jc w:val="both"/>
        <w:rPr>
          <w:rFonts w:eastAsia="Times New Roman" w:cs="Times New Roman"/>
          <w:noProof/>
          <w:lang w:val="pl-PL"/>
        </w:rPr>
      </w:pPr>
      <w:r>
        <w:rPr>
          <w:noProof/>
        </w:rPr>
        <w:t>Zakaz refinansowania wszelkich niespłaconych pożyczek</w:t>
      </w:r>
      <w:r w:rsidRPr="00A1618E">
        <w:rPr>
          <w:noProof/>
          <w:lang w:val="pl-PL"/>
        </w:rPr>
        <w:t xml:space="preserve">. </w:t>
      </w:r>
    </w:p>
    <w:p w14:paraId="37B5D099" w14:textId="5CBFC83E" w:rsidR="006578ED" w:rsidRDefault="00A1618E">
      <w:pPr>
        <w:pStyle w:val="P68B1DB1-ListParagraph7"/>
        <w:numPr>
          <w:ilvl w:val="1"/>
          <w:numId w:val="745"/>
        </w:numPr>
        <w:spacing w:line="240" w:lineRule="auto"/>
        <w:jc w:val="both"/>
        <w:rPr>
          <w:rFonts w:eastAsia="Times New Roman" w:cs="Times New Roman"/>
          <w:noProof/>
        </w:rPr>
      </w:pPr>
      <w:r>
        <w:rPr>
          <w:noProof/>
        </w:rPr>
        <w:t xml:space="preserve">Wymóg zgodności z zasadą „nie czyń poważnych szkód” (DNSH) określoną w wytycznych technicznych dotyczących zasady „nie czyń poważnych szkód” (2021/C58/01), w szczególności: </w:t>
      </w:r>
    </w:p>
    <w:p w14:paraId="6CF4F264" w14:textId="2EED38B5" w:rsidR="006578ED" w:rsidRDefault="00A1618E">
      <w:pPr>
        <w:pStyle w:val="ListParagraph"/>
        <w:numPr>
          <w:ilvl w:val="2"/>
          <w:numId w:val="745"/>
        </w:numPr>
        <w:jc w:val="both"/>
        <w:rPr>
          <w:rFonts w:ascii="Times New Roman" w:eastAsia="Times New Roman" w:hAnsi="Times New Roman" w:cs="Times New Roman"/>
          <w:noProof/>
          <w:sz w:val="24"/>
        </w:rPr>
      </w:pPr>
      <w:r>
        <w:rPr>
          <w:rFonts w:ascii="Times New Roman" w:hAnsi="Times New Roman"/>
          <w:noProof/>
          <w:sz w:val="24"/>
        </w:rPr>
        <w:t>W przypadku pożyczek, obligacji projektowych lub równoważnych instrumentów: polityka inwestycyjna wyłącza z kwalifikowalności następujący wykaz działań i aktywów: działalności i aktywów związanych z paliwami kopalnymi, w tym wykorzystania niższego szczebla,</w:t>
      </w:r>
      <w:r>
        <w:rPr>
          <w:rStyle w:val="FootnoteReference"/>
          <w:rFonts w:ascii="Times New Roman" w:eastAsia="Times New Roman" w:hAnsi="Times New Roman" w:cs="Times New Roman"/>
          <w:noProof/>
          <w:sz w:val="24"/>
        </w:rPr>
        <w:footnoteReference w:id="127"/>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eastAsia="Times New Roman" w:hAnsi="Times New Roman" w:cs="Times New Roman"/>
          <w:noProof/>
          <w:sz w:val="24"/>
        </w:rPr>
        <w:footnoteReference w:id="128"/>
      </w:r>
      <w:r>
        <w:rPr>
          <w:rFonts w:ascii="Times New Roman" w:hAnsi="Times New Roman"/>
          <w:noProof/>
          <w:sz w:val="24"/>
        </w:rPr>
        <w:t>, (iii) działalności i aktywów związanych ze składowiskami odpadów, spalarniami</w:t>
      </w:r>
      <w:r>
        <w:rPr>
          <w:rStyle w:val="FootnoteReference"/>
          <w:rFonts w:ascii="Times New Roman" w:hAnsi="Times New Roman" w:cs="Times New Roman"/>
          <w:noProof/>
          <w:sz w:val="24"/>
        </w:rPr>
        <w:footnoteReference w:id="129"/>
      </w:r>
      <w:r>
        <w:rPr>
          <w:rFonts w:ascii="Times New Roman" w:hAnsi="Times New Roman"/>
          <w:noProof/>
          <w:sz w:val="24"/>
        </w:rPr>
        <w:t xml:space="preserve"> i zakładami mechaniczno-biologicznego przetwarzania odpadów</w:t>
      </w:r>
      <w:r>
        <w:rPr>
          <w:rStyle w:val="FootnoteReference"/>
          <w:rFonts w:ascii="Times New Roman" w:hAnsi="Times New Roman" w:cs="Times New Roman"/>
          <w:noProof/>
          <w:sz w:val="24"/>
        </w:rPr>
        <w:footnoteReference w:id="130"/>
      </w:r>
      <w:r w:rsidRPr="00A1618E">
        <w:rPr>
          <w:rFonts w:ascii="Times New Roman" w:hAnsi="Times New Roman"/>
          <w:noProof/>
          <w:sz w:val="24"/>
          <w:lang w:val="pl-PL"/>
        </w:rPr>
        <w:t>. W</w:t>
      </w:r>
      <w:r>
        <w:rPr>
          <w:rFonts w:ascii="Times New Roman" w:hAnsi="Times New Roman"/>
          <w:noProof/>
          <w:sz w:val="24"/>
          <w:lang w:val="pl-PL"/>
        </w:rPr>
        <w:t> </w:t>
      </w:r>
      <w:r>
        <w:rPr>
          <w:rFonts w:ascii="Times New Roman" w:hAnsi="Times New Roman"/>
          <w:noProof/>
          <w:sz w:val="24"/>
        </w:rPr>
        <w:t>przypadku instrumentów kapitałowych, quasi-kapitałowych, korporacyjnych lub równoważnych instrumentów</w:t>
      </w:r>
      <w:r w:rsidRPr="00A1618E">
        <w:rPr>
          <w:rFonts w:ascii="Times New Roman" w:hAnsi="Times New Roman"/>
          <w:noProof/>
          <w:sz w:val="24"/>
          <w:lang w:val="pl-PL"/>
        </w:rPr>
        <w:t>: p</w:t>
      </w:r>
      <w:r>
        <w:rPr>
          <w:rFonts w:ascii="Times New Roman" w:hAnsi="Times New Roman"/>
          <w:noProof/>
          <w:sz w:val="24"/>
        </w:rPr>
        <w:t>olityka inwestycyjna wyklucza przedsiębiorstwa, które w znacznym stopniu koncentrują</w:t>
      </w:r>
      <w:r>
        <w:rPr>
          <w:rStyle w:val="FootnoteReference"/>
          <w:rFonts w:ascii="Times New Roman" w:eastAsia="Times New Roman" w:hAnsi="Times New Roman" w:cs="Times New Roman"/>
          <w:noProof/>
          <w:sz w:val="24"/>
        </w:rPr>
        <w:footnoteReference w:id="131"/>
      </w:r>
      <w:r>
        <w:rPr>
          <w:rFonts w:ascii="Times New Roman" w:hAnsi="Times New Roman"/>
          <w:noProof/>
          <w:sz w:val="24"/>
        </w:rPr>
        <w:t xml:space="preserve"> się na następujących sektorach: produkcja energii z paliw kopalnych i działalność pokrewna</w:t>
      </w:r>
      <w:r>
        <w:rPr>
          <w:rStyle w:val="FootnoteReference"/>
          <w:rFonts w:ascii="Times New Roman" w:eastAsia="Times New Roman" w:hAnsi="Times New Roman" w:cs="Times New Roman"/>
          <w:noProof/>
          <w:sz w:val="24"/>
        </w:rPr>
        <w:footnoteReference w:id="132"/>
      </w:r>
      <w:r>
        <w:rPr>
          <w:rFonts w:ascii="Times New Roman" w:hAnsi="Times New Roman"/>
          <w:noProof/>
          <w:sz w:val="24"/>
        </w:rPr>
        <w:t>; energochłonne i/lub wysokoemisyjne gałęzie przemysłu</w:t>
      </w:r>
      <w:r>
        <w:rPr>
          <w:rStyle w:val="FootnoteReference"/>
          <w:rFonts w:ascii="Times New Roman" w:eastAsia="Times New Roman" w:hAnsi="Times New Roman" w:cs="Times New Roman"/>
          <w:noProof/>
          <w:sz w:val="24"/>
        </w:rPr>
        <w:footnoteReference w:id="133"/>
      </w:r>
      <w:r>
        <w:rPr>
          <w:rFonts w:ascii="Times New Roman" w:hAnsi="Times New Roman"/>
          <w:noProof/>
          <w:sz w:val="24"/>
        </w:rPr>
        <w:t>; produkcja, wynajem lub sprzedaż pojazdów zanieczyszczających środowisko</w:t>
      </w:r>
      <w:r>
        <w:rPr>
          <w:rStyle w:val="FootnoteReference"/>
          <w:rFonts w:ascii="Times New Roman" w:eastAsia="Times New Roman" w:hAnsi="Times New Roman" w:cs="Times New Roman"/>
          <w:noProof/>
          <w:sz w:val="24"/>
        </w:rPr>
        <w:footnoteReference w:id="134"/>
      </w:r>
      <w:r>
        <w:rPr>
          <w:rFonts w:ascii="Times New Roman" w:hAnsi="Times New Roman"/>
          <w:noProof/>
          <w:sz w:val="24"/>
        </w:rPr>
        <w:t>; zbieranie odpadów, przetwarzanie i unieszkodliwianie odpadów</w:t>
      </w:r>
      <w:r>
        <w:rPr>
          <w:rStyle w:val="FootnoteReference"/>
          <w:rFonts w:ascii="Times New Roman" w:eastAsia="Times New Roman" w:hAnsi="Times New Roman" w:cs="Times New Roman"/>
          <w:noProof/>
          <w:sz w:val="24"/>
        </w:rPr>
        <w:footnoteReference w:id="135"/>
      </w:r>
      <w:r>
        <w:rPr>
          <w:rFonts w:ascii="Times New Roman" w:hAnsi="Times New Roman"/>
          <w:noProof/>
          <w:sz w:val="24"/>
        </w:rPr>
        <w:t>, (v) przetwarzanie paliwa jądrowego, produkcja energii jądrowej.</w:t>
      </w:r>
    </w:p>
    <w:p w14:paraId="07CDEDD8" w14:textId="44AF9E91" w:rsidR="006578ED" w:rsidRDefault="00A1618E">
      <w:pPr>
        <w:pStyle w:val="P68B1DB1-ListParagraph7"/>
        <w:numPr>
          <w:ilvl w:val="2"/>
          <w:numId w:val="745"/>
        </w:numPr>
        <w:jc w:val="both"/>
        <w:rPr>
          <w:rFonts w:eastAsia="Times New Roman" w:cs="Times New Roman"/>
          <w:noProof/>
        </w:rPr>
      </w:pPr>
      <w:r>
        <w:rPr>
          <w:noProof/>
        </w:rPr>
        <w:t>Ponadto polityka inwestycyjna wymaga zgodności z odpowiednimi unijnymi i krajowymi przepisami w zakresie ochrony środowiska beneficjentów końcowych Instrumentu.</w:t>
      </w:r>
    </w:p>
    <w:p w14:paraId="022A3AD5" w14:textId="3107B815" w:rsidR="006578ED" w:rsidRDefault="00A1618E">
      <w:pPr>
        <w:pStyle w:val="P68B1DB1-ListParagraph7"/>
        <w:numPr>
          <w:ilvl w:val="1"/>
          <w:numId w:val="745"/>
        </w:numPr>
        <w:jc w:val="both"/>
        <w:rPr>
          <w:rFonts w:eastAsia="Times New Roman" w:cs="Times New Roman"/>
          <w:noProof/>
        </w:rPr>
      </w:pPr>
      <w:r>
        <w:rPr>
          <w:noProof/>
        </w:rPr>
        <w:t>Wymóg, zgodnie z którym beneficjenci końcowi Instrumentu nie mogą otrzymywać wsparcia z innych instrumentów unijnych w celu pokrycia tych samych kosztów.</w:t>
      </w:r>
    </w:p>
    <w:p w14:paraId="291FBC2C" w14:textId="0FCD15B8" w:rsidR="006578ED" w:rsidRDefault="00A1618E">
      <w:pPr>
        <w:pStyle w:val="P68B1DB1-ListParagraph7"/>
        <w:numPr>
          <w:ilvl w:val="0"/>
          <w:numId w:val="745"/>
        </w:numPr>
        <w:jc w:val="both"/>
        <w:rPr>
          <w:rFonts w:eastAsia="Times New Roman" w:cs="Times New Roman"/>
          <w:noProof/>
        </w:rPr>
      </w:pPr>
      <w:r>
        <w:rPr>
          <w:noProof/>
        </w:rPr>
        <w:t>Kwotę objętą rozporządzeniami i wszelkimi powiązanymi dokumentami ustanawiającymi Instrument, strukturę opłat dla partnera wykonawczego oraz wymóg reinwestowania wszelkich środków powracających zgodnie z polityką inwestycyjną Instrumentu, chyba że są one wykorzystywane do obsługi spłat pożyczek w ramach Instrumentu na rzecz Odbudowy i Zwiększania Odporności.</w:t>
      </w:r>
    </w:p>
    <w:p w14:paraId="41829FB4" w14:textId="512C7E98" w:rsidR="006578ED" w:rsidRDefault="00A1618E">
      <w:pPr>
        <w:pStyle w:val="P68B1DB1-ListParagraph7"/>
        <w:numPr>
          <w:ilvl w:val="0"/>
          <w:numId w:val="745"/>
        </w:numPr>
        <w:jc w:val="both"/>
        <w:rPr>
          <w:rFonts w:eastAsia="Times New Roman" w:cs="Times New Roman"/>
          <w:noProof/>
        </w:rPr>
      </w:pPr>
      <w:r>
        <w:rPr>
          <w:noProof/>
        </w:rPr>
        <w:t>Wymogi w zakresie monitorowania, audytu i kontroli, w tym:</w:t>
      </w:r>
    </w:p>
    <w:p w14:paraId="4B35A451" w14:textId="77777777" w:rsidR="006578ED" w:rsidRDefault="00A1618E">
      <w:pPr>
        <w:pStyle w:val="P68B1DB1-ListParagraph7"/>
        <w:numPr>
          <w:ilvl w:val="1"/>
          <w:numId w:val="745"/>
        </w:numPr>
        <w:jc w:val="both"/>
        <w:rPr>
          <w:rFonts w:eastAsia="Times New Roman" w:cs="Times New Roman"/>
          <w:noProof/>
        </w:rPr>
      </w:pPr>
      <w:r>
        <w:rPr>
          <w:noProof/>
        </w:rPr>
        <w:t>Opis stosowanego przez partnera wykonawczego systemu monitorowania służącego do sprawozdawczości na temat uruchomionych inwestycji.</w:t>
      </w:r>
    </w:p>
    <w:p w14:paraId="63ED8ECA" w14:textId="58FD7593" w:rsidR="006578ED" w:rsidRDefault="00A1618E">
      <w:pPr>
        <w:pStyle w:val="P68B1DB1-ListParagraph7"/>
        <w:numPr>
          <w:ilvl w:val="1"/>
          <w:numId w:val="745"/>
        </w:numPr>
        <w:jc w:val="both"/>
        <w:rPr>
          <w:rFonts w:eastAsia="Times New Roman" w:cs="Times New Roman"/>
          <w:noProof/>
        </w:rPr>
      </w:pPr>
      <w:r>
        <w:rPr>
          <w:noProof/>
        </w:rPr>
        <w:t xml:space="preserve">Opis procedur partnera wykonawczego, które zapewnią zapobieganie nadużyciom finansowym, korupcji i konfliktom interesów oraz ich wykrywanie i korygowanie. </w:t>
      </w:r>
    </w:p>
    <w:p w14:paraId="2B8BD3A5" w14:textId="0B8C7539" w:rsidR="006578ED" w:rsidRDefault="00A1618E">
      <w:pPr>
        <w:pStyle w:val="P68B1DB1-ListParagraph7"/>
        <w:numPr>
          <w:ilvl w:val="1"/>
          <w:numId w:val="745"/>
        </w:numPr>
        <w:jc w:val="both"/>
        <w:rPr>
          <w:rFonts w:eastAsia="Times New Roman" w:cs="Times New Roman"/>
          <w:noProof/>
        </w:rPr>
      </w:pPr>
      <w:r>
        <w:rPr>
          <w:noProof/>
        </w:rPr>
        <w:t>Obowiązek weryfikacji kwalifikowalności każdej operacji zgodnie z wymogami określonymi w rozporządzeniach ustanawiających Instrument przed zobowiązaniem się do finansowania danej operacji.</w:t>
      </w:r>
    </w:p>
    <w:p w14:paraId="2E4328E0" w14:textId="20797A0D" w:rsidR="006578ED" w:rsidRDefault="00A1618E">
      <w:pPr>
        <w:pStyle w:val="P68B1DB1-ListParagraph7"/>
        <w:numPr>
          <w:ilvl w:val="1"/>
          <w:numId w:val="745"/>
        </w:numPr>
        <w:jc w:val="both"/>
        <w:rPr>
          <w:rFonts w:eastAsia="Times New Roman" w:cs="Times New Roman"/>
          <w:noProof/>
        </w:rPr>
      </w:pPr>
      <w:r>
        <w:rPr>
          <w:noProof/>
        </w:rPr>
        <w:t xml:space="preserve">Obowiązek przeprowadzania opartych na analizie ryzyka audytów ex post zgodnie z planem audytu COFIDES. Audyty te mają na celu sprawdzenie (i) skuteczności systemów kontroli, w tym wykrywania nadużyć finansowych, korupcji i konfliktu interesów; zgodność z zasadą „nie czyń poważnych szkód”, zasadami pomocy państwa, wymogami dotyczącymi celów klimatycznych i cyfrowych; oraz (iii) wymóg weryfikacji przez pośrednika, czy beneficjent końcowy przedstawia odpowiedzialne oświadczenie w celu sprawdzenia, czy te same koszty są pokrywane z innego instrumentu unijnego, jest przestrzegany. W ramach audytów sprawdza się również legalność transakcji oraz przestrzeganie warunków określonych w mającym zastosowanie rozporządzeniu i powiązanych dokumentach ustanawiających Instrument i umowy o finansowaniu. </w:t>
      </w:r>
    </w:p>
    <w:p w14:paraId="6183DB3C" w14:textId="3825348F" w:rsidR="006578ED" w:rsidRPr="00A1618E" w:rsidRDefault="00A1618E">
      <w:pPr>
        <w:pStyle w:val="P68B1DB1-ListParagraph7"/>
        <w:numPr>
          <w:ilvl w:val="0"/>
          <w:numId w:val="745"/>
        </w:numPr>
        <w:jc w:val="both"/>
        <w:rPr>
          <w:rFonts w:eastAsia="Times New Roman" w:cs="Times New Roman"/>
          <w:noProof/>
          <w:lang w:val="pl-PL"/>
        </w:rPr>
      </w:pPr>
      <w:r>
        <w:rPr>
          <w:noProof/>
        </w:rPr>
        <w:t>Wymogi dotyczące wyboru pośredników finansowych: COFIDES wybierają pośredników finansowych w sposób otwarty, przejrzysty i niedyskryminacyjny. Kontrole dotyczące braku konfliktu interesów w odniesieniu do pośredników finansowych przeprowadza się i przeprowadza ex ante za pośrednictwem systemu informatycznego, takiego jak Minerva, w odniesieniu do wszystkich zaangażowanych podmiotów finansowych</w:t>
      </w:r>
      <w:r w:rsidRPr="00A1618E">
        <w:rPr>
          <w:noProof/>
          <w:lang w:val="pl-PL"/>
        </w:rPr>
        <w:t xml:space="preserve">. </w:t>
      </w:r>
    </w:p>
    <w:p w14:paraId="1A7E800A" w14:textId="67B16DA5" w:rsidR="006578ED" w:rsidRPr="00A1618E" w:rsidRDefault="00A1618E">
      <w:pPr>
        <w:pStyle w:val="P68B1DB1-ListParagraph7"/>
        <w:numPr>
          <w:ilvl w:val="0"/>
          <w:numId w:val="745"/>
        </w:numPr>
        <w:jc w:val="both"/>
        <w:rPr>
          <w:rFonts w:eastAsia="Times New Roman" w:cs="Times New Roman"/>
          <w:noProof/>
          <w:lang w:val="pl-PL"/>
        </w:rPr>
      </w:pPr>
      <w:r>
        <w:rPr>
          <w:noProof/>
        </w:rPr>
        <w:t>Wymóg podpisania umów o finansowaniu: COFIDES podpisują umowy o finansowaniu z pośrednikami finansowymi zgodnie z kluczowymi wymogami, które należy przedstawić w ramach powiązanych dokumentów ustanawiających Instrument. Kluczowe wymogi umowy o finansowaniu obejmują wszystkie wymogi, na podstawie których działa Instrument, w tym</w:t>
      </w:r>
      <w:r w:rsidRPr="00A1618E">
        <w:rPr>
          <w:noProof/>
          <w:lang w:val="pl-PL"/>
        </w:rPr>
        <w:t xml:space="preserve">: </w:t>
      </w:r>
    </w:p>
    <w:p w14:paraId="7FAEF67A" w14:textId="638FA88A" w:rsidR="006578ED" w:rsidRDefault="00A1618E">
      <w:pPr>
        <w:pStyle w:val="P68B1DB1-ListParagraph7"/>
        <w:numPr>
          <w:ilvl w:val="1"/>
          <w:numId w:val="745"/>
        </w:numPr>
        <w:jc w:val="both"/>
        <w:rPr>
          <w:rFonts w:cs="Times New Roman"/>
          <w:noProof/>
        </w:rPr>
      </w:pPr>
      <w:r>
        <w:rPr>
          <w:noProof/>
        </w:rPr>
        <w:t xml:space="preserve">Spoczywający </w:t>
      </w:r>
      <w:bookmarkStart w:id="40" w:name="_Hlk139304194"/>
      <w:r>
        <w:rPr>
          <w:noProof/>
        </w:rPr>
        <w:t xml:space="preserve">na pośredniku finansowym obowiązek podejmowania decyzji </w:t>
      </w:r>
      <w:r>
        <w:rPr>
          <w:i/>
          <w:noProof/>
        </w:rPr>
        <w:t>odpowiednio</w:t>
      </w:r>
      <w:r>
        <w:rPr>
          <w:noProof/>
        </w:rPr>
        <w:t xml:space="preserve"> zgodnie z określonymi powyżej wymogami w zakresie podejmowania decyzji i polityki inwestycyjnej, w tym dotyczącymi przestrzegania zasady „nie czyń poważnych szkód”. </w:t>
      </w:r>
    </w:p>
    <w:p w14:paraId="7632968F" w14:textId="70CD89D0" w:rsidR="006578ED" w:rsidRPr="00A1618E" w:rsidRDefault="00A1618E">
      <w:pPr>
        <w:pStyle w:val="P68B1DB1-ListParagraph7"/>
        <w:numPr>
          <w:ilvl w:val="1"/>
          <w:numId w:val="745"/>
        </w:numPr>
        <w:jc w:val="both"/>
        <w:rPr>
          <w:rFonts w:cs="Times New Roman"/>
          <w:noProof/>
          <w:lang w:val="pl-PL"/>
        </w:rPr>
      </w:pPr>
      <w:r>
        <w:rPr>
          <w:noProof/>
        </w:rPr>
        <w:t xml:space="preserve">Opis ram monitorowania oraz audytu i kontroli, które pośrednik finansowy wprowadza, które </w:t>
      </w:r>
      <w:r>
        <w:rPr>
          <w:i/>
          <w:noProof/>
        </w:rPr>
        <w:t>odpowiednio</w:t>
      </w:r>
      <w:r>
        <w:rPr>
          <w:noProof/>
        </w:rPr>
        <w:t xml:space="preserve"> podlegają wszystkim wymogom w zakresie monitorowania, audytu i kontroli określonym powyżej</w:t>
      </w:r>
      <w:r w:rsidRPr="00A1618E">
        <w:rPr>
          <w:noProof/>
          <w:lang w:val="pl-PL"/>
        </w:rPr>
        <w:t xml:space="preserve">. </w:t>
      </w:r>
    </w:p>
    <w:bookmarkEnd w:id="38"/>
    <w:p w14:paraId="0DC6F00D" w14:textId="312E5B72" w:rsidR="006578ED" w:rsidRDefault="00A1618E">
      <w:pPr>
        <w:pStyle w:val="P68B1DB1-Normal4"/>
        <w:spacing w:line="240" w:lineRule="auto"/>
        <w:jc w:val="both"/>
        <w:rPr>
          <w:rFonts w:eastAsia="Times New Roman" w:cs="Times New Roman"/>
          <w:noProof/>
        </w:rPr>
      </w:pPr>
      <w:r>
        <w:rPr>
          <w:noProof/>
        </w:rPr>
        <w:t>Wdrożenie środka należy zakończyć do dnia 31 sierpnia 20</w:t>
      </w:r>
      <w:r w:rsidRPr="00A1618E">
        <w:rPr>
          <w:noProof/>
          <w:lang w:val="pl-PL"/>
        </w:rPr>
        <w:t>26 r.</w:t>
      </w:r>
    </w:p>
    <w:bookmarkEnd w:id="40"/>
    <w:p w14:paraId="23F3DF31" w14:textId="790E6F5B" w:rsidR="006578ED" w:rsidRDefault="00A1618E">
      <w:pPr>
        <w:pStyle w:val="P68B1DB1-Normal6"/>
        <w:spacing w:line="240" w:lineRule="auto"/>
        <w:jc w:val="both"/>
        <w:rPr>
          <w:rFonts w:cs="Times New Roman"/>
          <w:noProof/>
        </w:rPr>
      </w:pPr>
      <w:r>
        <w:rPr>
          <w:noProof/>
        </w:rPr>
        <w:t>Inwestycje 9 (C13.I9) – Fundusz Wsparcia Wypłacalności Przedsiębiorstw Strategicznych (FASEE)</w:t>
      </w:r>
    </w:p>
    <w:p w14:paraId="5DC624AE" w14:textId="37F1F3A0" w:rsidR="006578ED" w:rsidRDefault="00A1618E">
      <w:pPr>
        <w:pStyle w:val="P68B1DB1-Normal4"/>
        <w:spacing w:line="240" w:lineRule="auto"/>
        <w:jc w:val="both"/>
        <w:rPr>
          <w:rFonts w:cs="Times New Roman"/>
          <w:noProof/>
        </w:rPr>
      </w:pPr>
      <w:r>
        <w:rPr>
          <w:noProof/>
        </w:rPr>
        <w:t>Inwestycja ta obejmuje fundusz wsparcia wypłacalności przedsiębiorstw strategicznych w celu zapewnienia tymczasowego wsparcia wypłacalności rentownym i strategicznym przedsiębiorstwom w strategicznych gospodarczo sektorach dotkniętych pandemią COVID-19. Inwestycja ta obejmuje wyłącznie te operacje, które są zgodne z zasadą „nie czyń poważnych szkód”, zasadami pomocy państwa, brakiem konfliktu interesów i podwójnym finansowaniem. Niezależny audytor przeprowadza audyt ex post w celu sprawdzenia spełnienia tych wymogów, a także gromadzenia danych określonych w </w:t>
      </w:r>
      <w:r w:rsidRPr="00A1618E">
        <w:rPr>
          <w:noProof/>
          <w:lang w:val="pl-PL"/>
        </w:rPr>
        <w:t>art. 2</w:t>
      </w:r>
      <w:r>
        <w:rPr>
          <w:noProof/>
        </w:rPr>
        <w:t xml:space="preserve">2 rozporządzenia w sprawie RRF. </w:t>
      </w:r>
    </w:p>
    <w:p w14:paraId="3D70B6E5" w14:textId="5D00DC1A" w:rsidR="006578ED" w:rsidRDefault="00A1618E">
      <w:pPr>
        <w:pStyle w:val="P68B1DB1-Normal4"/>
        <w:spacing w:line="240" w:lineRule="auto"/>
        <w:jc w:val="both"/>
        <w:rPr>
          <w:rFonts w:eastAsia="Times New Roman" w:cs="Times New Roman"/>
          <w:noProof/>
        </w:rPr>
      </w:pPr>
      <w:r>
        <w:rPr>
          <w:noProof/>
        </w:rPr>
        <w:t>Wszelkie środki powracające związane z operacjami Funduszu są reinwestowane w podobny sposób, dopóki nie zostaną wykorzystane do obsługi spłat pożyczek w ramach Instrumentu na rzecz Odbudowy i Zwiększania Odporności.</w:t>
      </w:r>
    </w:p>
    <w:p w14:paraId="3FD64375" w14:textId="3D26D961" w:rsidR="006578ED" w:rsidRDefault="00A1618E">
      <w:pPr>
        <w:pStyle w:val="P68B1DB1-Normal4"/>
        <w:spacing w:line="240" w:lineRule="auto"/>
        <w:jc w:val="both"/>
        <w:rPr>
          <w:rFonts w:eastAsia="Times New Roman" w:cs="Times New Roman"/>
          <w:noProof/>
        </w:rPr>
      </w:pPr>
      <w:r>
        <w:rPr>
          <w:noProof/>
        </w:rPr>
        <w:t>Wdrożenie środka musi zostać zakończone do dnia 30 czerwca 20</w:t>
      </w:r>
      <w:r w:rsidRPr="00A1618E">
        <w:rPr>
          <w:noProof/>
          <w:lang w:val="pl-PL"/>
        </w:rPr>
        <w:t>24 r.</w:t>
      </w:r>
    </w:p>
    <w:p w14:paraId="0516DAEF" w14:textId="531E4DBD" w:rsidR="006578ED" w:rsidRDefault="00A1618E">
      <w:pPr>
        <w:pStyle w:val="P68B1DB1-Normal6"/>
        <w:spacing w:line="240" w:lineRule="auto"/>
        <w:jc w:val="both"/>
        <w:rPr>
          <w:rFonts w:cs="Times New Roman"/>
          <w:noProof/>
        </w:rPr>
      </w:pPr>
      <w:r>
        <w:rPr>
          <w:noProof/>
        </w:rPr>
        <w:t>Inwestycje 10 (C13.I10) – Fundusz dokapitalizowania przedsiębiorstw w związku z COVID-19 (FONREC)</w:t>
      </w:r>
    </w:p>
    <w:p w14:paraId="58D9A79D" w14:textId="60ACFE0D" w:rsidR="006578ED" w:rsidRDefault="00A1618E">
      <w:pPr>
        <w:pStyle w:val="P68B1DB1-Normal4"/>
        <w:spacing w:line="240" w:lineRule="auto"/>
        <w:jc w:val="both"/>
        <w:rPr>
          <w:rFonts w:eastAsia="Times New Roman" w:cs="Times New Roman"/>
          <w:noProof/>
        </w:rPr>
      </w:pPr>
      <w:r>
        <w:rPr>
          <w:noProof/>
        </w:rPr>
        <w:t xml:space="preserve">Inwestycja ta obejmuje fundusz dokapitalizowania przedsiębiorstw w związku z COVID-19 w celu zapewnienia tymczasowego wsparcia wypłacalności rentownym średnim przedsiębiorstwom (obrotach w wysokości </w:t>
      </w:r>
      <w:r w:rsidRPr="00A1618E">
        <w:rPr>
          <w:noProof/>
          <w:lang w:val="pl-PL"/>
        </w:rPr>
        <w:t>od 1</w:t>
      </w:r>
      <w:r>
        <w:rPr>
          <w:noProof/>
        </w:rPr>
        <w:t xml:space="preserve">0 mln EUR </w:t>
      </w:r>
      <w:r w:rsidRPr="00A1618E">
        <w:rPr>
          <w:noProof/>
          <w:lang w:val="pl-PL"/>
        </w:rPr>
        <w:t>do 4</w:t>
      </w:r>
      <w:r>
        <w:rPr>
          <w:noProof/>
        </w:rPr>
        <w:t>00 mln EUR), które ucierpiały w wyniku pandemii COVID-19. Inwestycja ta obejmuje wyłącznie te operacje, które są zgodne z zasadą „nie czyń poważnych szkód”, zasadami pomocy państwa, brakiem konfliktu interesów i podwójnym finansowaniem. Niezależny audytor przeprowadza audyt ex post w celu sprawdzenia spełnienia tych wymogów, a także gromadzenia danych określonych w </w:t>
      </w:r>
      <w:r w:rsidRPr="00A1618E">
        <w:rPr>
          <w:noProof/>
          <w:lang w:val="pl-PL"/>
        </w:rPr>
        <w:t>art. 2</w:t>
      </w:r>
      <w:r>
        <w:rPr>
          <w:noProof/>
        </w:rPr>
        <w:t xml:space="preserve">2 rozporządzenia w sprawie RRF. </w:t>
      </w:r>
    </w:p>
    <w:p w14:paraId="028BA1F7" w14:textId="55C99FB0" w:rsidR="006578ED" w:rsidRDefault="00A1618E">
      <w:pPr>
        <w:pStyle w:val="P68B1DB1-Normal4"/>
        <w:spacing w:line="240" w:lineRule="auto"/>
        <w:jc w:val="both"/>
        <w:rPr>
          <w:rFonts w:eastAsia="Times New Roman" w:cs="Times New Roman"/>
          <w:noProof/>
        </w:rPr>
      </w:pPr>
      <w:r>
        <w:rPr>
          <w:noProof/>
        </w:rPr>
        <w:t>Wszelkie środki powracające związane z operacjami Funduszu są reinwestowane w podobny sposób, dopóki nie zostaną wykorzystane do obsługi spłat pożyczek w ramach Instrumentu na rzecz Odbudowy i Zwiększania Odporności.</w:t>
      </w:r>
    </w:p>
    <w:p w14:paraId="00630E32" w14:textId="0A0A0CF8" w:rsidR="006578ED" w:rsidRDefault="00A1618E">
      <w:pPr>
        <w:pStyle w:val="P68B1DB1-Normal4"/>
        <w:spacing w:line="240" w:lineRule="auto"/>
        <w:jc w:val="both"/>
        <w:rPr>
          <w:rFonts w:eastAsia="Times New Roman" w:cs="Times New Roman"/>
          <w:noProof/>
        </w:rPr>
      </w:pPr>
      <w:r>
        <w:rPr>
          <w:noProof/>
        </w:rPr>
        <w:t>Wdrożenie środka należy zakończyć do dnia 30 czerwca 20</w:t>
      </w:r>
      <w:r w:rsidRPr="00A1618E">
        <w:rPr>
          <w:noProof/>
          <w:lang w:val="pl-PL"/>
        </w:rPr>
        <w:t>25 r.</w:t>
      </w:r>
    </w:p>
    <w:p w14:paraId="6AE575C2" w14:textId="77777777" w:rsidR="006578ED" w:rsidRDefault="00A1618E">
      <w:pPr>
        <w:pStyle w:val="P68B1DB1-Normal6"/>
        <w:spacing w:line="240" w:lineRule="auto"/>
        <w:jc w:val="both"/>
        <w:rPr>
          <w:rFonts w:cs="Times New Roman"/>
          <w:noProof/>
        </w:rPr>
      </w:pPr>
      <w:r>
        <w:rPr>
          <w:noProof/>
        </w:rPr>
        <w:t>Inwestycje 11 (C13.I11) – Instrument gwarancyjny SGR-CERSA</w:t>
      </w:r>
    </w:p>
    <w:p w14:paraId="7FE38B5C" w14:textId="26C978F5" w:rsidR="006578ED" w:rsidRDefault="00A1618E">
      <w:pPr>
        <w:pStyle w:val="P68B1DB1-Normal4"/>
        <w:spacing w:line="240" w:lineRule="auto"/>
        <w:jc w:val="both"/>
        <w:rPr>
          <w:rFonts w:cs="Times New Roman"/>
          <w:noProof/>
        </w:rPr>
      </w:pPr>
      <w:r>
        <w:rPr>
          <w:noProof/>
        </w:rPr>
        <w:t>Inwestycja ta ma na celu uzupełnienie środka C13.I2. Ułatwia ona MŚP i spółkom o średniej kapitalizacji dostęp do finansowania poprzez udzielanie wsparcia w formie gwarancji finansowych, handlowych i technicznych poprzez wzmocnienie Compañia Española de Reafianzamiento SME S.A. (CERSA). W ramach tej linii działania CERSA zapewnia długoterminowe wsparcie poprzez pokrycie regwarancji dla regionalnych towarzystw wzajemnej gwarancji (SGR), wspierając ponoszone przez nie ryzyko. CERSA promuje konkurencyjność i odporność MŚP i spółek o średniej kapitalizacji, również poprzez trzy nowe specjalne linie umożliwiające dostęp do długoterminowych operacji w zakresie finansowania i kapitału obrotowego na działania w ramach tej inwestycji w obszarze: cyfryzację, stabilności; wzrost gospodarczy i ożywienie gospodarcze (wzmocnienie odporności, głównie w przypadku MŚP dotkniętych pandemią COVID-19, które są gotowe do podjęcia znaczących planów transformacji i wzrostu). Gwarancje zapewniane w ramach CERSA i SGR będą promowane przez centra innowacji cyfrowych oraz w ramach innych inicjatyw w celu informowania przedsiębiorstw o dostępnym wsparciu cyfryzacji.</w:t>
      </w:r>
    </w:p>
    <w:p w14:paraId="214C2E76" w14:textId="0A916367" w:rsidR="006578ED" w:rsidRDefault="00A1618E">
      <w:pPr>
        <w:pStyle w:val="P68B1DB1-Normal4"/>
        <w:spacing w:line="240" w:lineRule="auto"/>
        <w:jc w:val="both"/>
        <w:rPr>
          <w:rFonts w:cs="Times New Roman"/>
          <w:noProof/>
        </w:rPr>
      </w:pPr>
      <w:r>
        <w:rPr>
          <w:noProof/>
        </w:rPr>
        <w:t>Na podstawie inwestycji w ramach RRF w wysokości 630 000 000 EUR CERSA zamierza początkowo zapewnić finansowanie w wysokości co najmniej 2 100 000 000 EUR.</w:t>
      </w:r>
    </w:p>
    <w:p w14:paraId="58BE6325" w14:textId="23CD67B7" w:rsidR="006578ED" w:rsidRDefault="00A1618E">
      <w:pPr>
        <w:pStyle w:val="P68B1DB1-Normal4"/>
        <w:spacing w:line="240" w:lineRule="auto"/>
        <w:jc w:val="both"/>
        <w:rPr>
          <w:rFonts w:eastAsia="Times New Roman" w:cs="Times New Roman"/>
          <w:noProof/>
        </w:rPr>
      </w:pPr>
      <w:r>
        <w:rPr>
          <w:noProof/>
        </w:rPr>
        <w:t>Wdrożenie środka należy zakończyć do dnia 31 sierpnia 20</w:t>
      </w:r>
      <w:r w:rsidRPr="00A1618E">
        <w:rPr>
          <w:noProof/>
          <w:lang w:val="pl-PL"/>
        </w:rPr>
        <w:t>26 r.</w:t>
      </w:r>
    </w:p>
    <w:p w14:paraId="57663A3D" w14:textId="23D2CADE" w:rsidR="006578ED" w:rsidRDefault="00A1618E">
      <w:pPr>
        <w:pStyle w:val="P68B1DB1-Normal6"/>
        <w:spacing w:line="240" w:lineRule="auto"/>
        <w:rPr>
          <w:rFonts w:cs="Times New Roman"/>
          <w:noProof/>
        </w:rPr>
      </w:pPr>
      <w:r>
        <w:rPr>
          <w:noProof/>
        </w:rPr>
        <w:t>Inwestycje 12 (C13.I12</w:t>
      </w:r>
      <w:bookmarkStart w:id="41" w:name="_Hlk141289377"/>
      <w:r>
        <w:rPr>
          <w:noProof/>
        </w:rPr>
        <w:t>) – Fundusz na rzecz przedsiębiorczości i MŚP ENISA</w:t>
      </w:r>
      <w:bookmarkEnd w:id="41"/>
    </w:p>
    <w:p w14:paraId="1ACF6A29" w14:textId="4BE5EF45" w:rsidR="006578ED" w:rsidRDefault="00A1618E">
      <w:pPr>
        <w:pStyle w:val="P68B1DB1-Normal4"/>
        <w:jc w:val="both"/>
        <w:rPr>
          <w:rFonts w:cs="Times New Roman"/>
          <w:noProof/>
        </w:rPr>
      </w:pPr>
      <w:r>
        <w:rPr>
          <w:noProof/>
        </w:rPr>
        <w:t>Środek ten obejmuje inwestycje publiczne w instrument, fundusz na rzecz przedsiębiorczości i MŚP ENISA, w celu zachęcenia do inwestycji prywatnych i poprawy dostępu do finansowania dla małych i średnich przedsiębiorstw (MŚP) w celu inwestowania w rentowne i innowacyjne projekty i projekty związane z technologią językową, w ramach PERTE New Economy of the Language (NEL). Instrument działa poprzez udzielanie pożyczek partycypacyjnych bezpośrednio sektorowi prywatnemu, a także podmiotom sektora publicznego prowadzącym podobną działalność. Na podstawie inwestycji w ramach RRF instrument ma początkowo zapewnić finansowanie w wysokości co najmniej 303 000 000 EUR.</w:t>
      </w:r>
    </w:p>
    <w:p w14:paraId="439990B7" w14:textId="77777777" w:rsidR="006578ED" w:rsidRDefault="00A1618E">
      <w:pPr>
        <w:pStyle w:val="P68B1DB1-LegalNumPar230"/>
        <w:numPr>
          <w:ilvl w:val="1"/>
          <w:numId w:val="0"/>
        </w:numPr>
        <w:spacing w:line="240" w:lineRule="auto"/>
        <w:jc w:val="both"/>
        <w:rPr>
          <w:rFonts w:cs="Times New Roman"/>
          <w:noProof/>
        </w:rPr>
      </w:pPr>
      <w:r>
        <w:rPr>
          <w:noProof/>
        </w:rPr>
        <w:t xml:space="preserve">Instrumentem zarządza państwowe przedsiębiorstwo innowacyjne (Empresa Nacional de Innovación, SA – ENISA) jako partner wykonawczy. </w:t>
      </w:r>
    </w:p>
    <w:p w14:paraId="75519CE9" w14:textId="5495A1DF" w:rsidR="006578ED" w:rsidRDefault="00A1618E">
      <w:pPr>
        <w:pStyle w:val="P68B1DB1-LegalNumPar230"/>
        <w:numPr>
          <w:ilvl w:val="1"/>
          <w:numId w:val="0"/>
        </w:numPr>
        <w:spacing w:line="240" w:lineRule="auto"/>
        <w:jc w:val="both"/>
        <w:rPr>
          <w:rFonts w:cs="Times New Roman"/>
          <w:noProof/>
        </w:rPr>
      </w:pPr>
      <w:r>
        <w:rPr>
          <w:noProof/>
        </w:rPr>
        <w:t>W celu realizacji inwestycji w instrument Hiszpania i ENISA podpisują umowę wykonawczą, która zawiera następującą treść:</w:t>
      </w:r>
    </w:p>
    <w:p w14:paraId="1B9FEF74" w14:textId="7E41FF6B" w:rsidR="006578ED" w:rsidRDefault="00A1618E">
      <w:pPr>
        <w:pStyle w:val="P68B1DB1-LegalNumPar29"/>
        <w:numPr>
          <w:ilvl w:val="0"/>
          <w:numId w:val="777"/>
        </w:numPr>
        <w:jc w:val="both"/>
        <w:rPr>
          <w:rFonts w:eastAsia="Times New Roman" w:cs="Times New Roman"/>
          <w:noProof/>
        </w:rPr>
      </w:pPr>
      <w:r>
        <w:rPr>
          <w:noProof/>
        </w:rPr>
        <w:t>Opis procesu decyzyjnego w ramach Instrumentu: Początkowa decyzja w sprawie inwestycji instrumentu podejmowana jest przez komitet inwestycyjny i zatwierdzana większością głosów członków niezależnych od rządu Hiszpanii. W przypadku ENISA komitet inwestycyjny jest włączany przez pracowników ENISA (niezależnych od rządu). Ostateczna decyzja inwestycyjna Instrumentu ogranicza się do zatwierdzenia (bez zmian) lub korzystania z prawa weta w odniesieniu do decyzji inwestycyjnej zaproponowanej przez komitet inwestycyjny lub odpowiedni równoważny organ zarządzający. </w:t>
      </w:r>
    </w:p>
    <w:p w14:paraId="1A8676AB" w14:textId="77777777" w:rsidR="006578ED" w:rsidRDefault="00A1618E">
      <w:pPr>
        <w:pStyle w:val="P68B1DB1-LegalNumPar29"/>
        <w:numPr>
          <w:ilvl w:val="0"/>
          <w:numId w:val="777"/>
        </w:numPr>
        <w:jc w:val="both"/>
        <w:rPr>
          <w:rFonts w:cs="Times New Roman"/>
          <w:noProof/>
        </w:rPr>
      </w:pPr>
      <w:r>
        <w:rPr>
          <w:noProof/>
        </w:rPr>
        <w:t>Kluczowe wymogi powiązanej polityki inwestycyjnej,</w:t>
      </w:r>
      <w:r>
        <w:rPr>
          <w:b/>
          <w:noProof/>
        </w:rPr>
        <w:t xml:space="preserve"> </w:t>
      </w:r>
      <w:r>
        <w:rPr>
          <w:noProof/>
        </w:rPr>
        <w:t>które obejmują:</w:t>
      </w:r>
    </w:p>
    <w:p w14:paraId="53167A26" w14:textId="01E3CE42" w:rsidR="006578ED" w:rsidRDefault="00A1618E">
      <w:pPr>
        <w:pStyle w:val="P68B1DB1-LegalNumPar230"/>
        <w:numPr>
          <w:ilvl w:val="1"/>
          <w:numId w:val="777"/>
        </w:numPr>
        <w:rPr>
          <w:rFonts w:cs="Times New Roman"/>
          <w:noProof/>
        </w:rPr>
      </w:pPr>
      <w:r>
        <w:rPr>
          <w:noProof/>
        </w:rPr>
        <w:t xml:space="preserve">Opis produktu finansowego i kwalifikujących się beneficjentów końcowych zgodnie z opisem środka. </w:t>
      </w:r>
    </w:p>
    <w:p w14:paraId="2058F386" w14:textId="77777777" w:rsidR="006578ED" w:rsidRDefault="00A1618E">
      <w:pPr>
        <w:pStyle w:val="P68B1DB1-LegalNumPar230"/>
        <w:numPr>
          <w:ilvl w:val="1"/>
          <w:numId w:val="777"/>
        </w:numPr>
        <w:rPr>
          <w:rFonts w:cs="Times New Roman"/>
          <w:noProof/>
        </w:rPr>
      </w:pPr>
      <w:r>
        <w:rPr>
          <w:noProof/>
        </w:rPr>
        <w:t>Wymóg, aby wszystkie wspierane inwestycje były ekonomicznie opłacalne</w:t>
      </w:r>
      <w:r>
        <w:rPr>
          <w:b/>
          <w:noProof/>
        </w:rPr>
        <w:t>.</w:t>
      </w:r>
    </w:p>
    <w:p w14:paraId="0F832EDA" w14:textId="77777777" w:rsidR="006578ED" w:rsidRDefault="00A1618E">
      <w:pPr>
        <w:pStyle w:val="P68B1DB1-LegalNumPar230"/>
        <w:numPr>
          <w:ilvl w:val="1"/>
          <w:numId w:val="777"/>
        </w:numPr>
        <w:rPr>
          <w:rFonts w:cs="Times New Roman"/>
          <w:noProof/>
        </w:rPr>
      </w:pPr>
      <w:r>
        <w:rPr>
          <w:noProof/>
        </w:rPr>
        <w:t>Zakaz refinansowania wszelkich niespłaconych pożyczek.</w:t>
      </w:r>
    </w:p>
    <w:p w14:paraId="36A92C80" w14:textId="622DB8F9" w:rsidR="006578ED" w:rsidRDefault="00A1618E">
      <w:pPr>
        <w:pStyle w:val="P68B1DB1-LegalNumPar230"/>
        <w:numPr>
          <w:ilvl w:val="1"/>
          <w:numId w:val="777"/>
        </w:numPr>
        <w:rPr>
          <w:rFonts w:cs="Times New Roman"/>
          <w:noProof/>
        </w:rPr>
      </w:pPr>
      <w:r>
        <w:rPr>
          <w:noProof/>
        </w:rPr>
        <w:t xml:space="preserve">Wymóg zgodności z zasadą „nie czyń poważnych szkód” (DNSH) określoną w wytycznych technicznych dotyczących zasady „nie czyń poważnych szkód” (2021/C58/01), w szczególności: </w:t>
      </w:r>
    </w:p>
    <w:p w14:paraId="7796D9D1" w14:textId="63BE4E8B" w:rsidR="006578ED" w:rsidRDefault="00A1618E">
      <w:pPr>
        <w:pStyle w:val="LegalNumPar2"/>
        <w:numPr>
          <w:ilvl w:val="2"/>
          <w:numId w:val="777"/>
        </w:numPr>
        <w:spacing w:line="240" w:lineRule="auto"/>
        <w:jc w:val="both"/>
        <w:rPr>
          <w:rFonts w:ascii="Times New Roman" w:hAnsi="Times New Roman" w:cs="Times New Roman"/>
          <w:noProof/>
          <w:sz w:val="24"/>
        </w:rPr>
      </w:pPr>
      <w:r>
        <w:rPr>
          <w:rFonts w:ascii="Times New Roman" w:hAnsi="Times New Roman"/>
          <w:noProof/>
          <w:sz w:val="24"/>
        </w:rPr>
        <w:t>polityka inwestycyjna wyłącza z kwalifikowalności następujący wykaz działań i aktywów: działania i aktywa związane z paliwami kopalnymi, w tym wykorzystanie niższego szczebla,</w:t>
      </w:r>
      <w:r>
        <w:rPr>
          <w:rStyle w:val="FootnoteReference"/>
          <w:rFonts w:ascii="Times New Roman" w:hAnsi="Times New Roman" w:cs="Times New Roman"/>
          <w:noProof/>
          <w:sz w:val="24"/>
        </w:rPr>
        <w:footnoteReference w:id="136"/>
      </w:r>
      <w:r>
        <w:rPr>
          <w:rFonts w:ascii="Times New Roman" w:hAnsi="Times New Roman"/>
          <w:noProof/>
          <w:sz w:val="24"/>
        </w:rPr>
        <w:t>(ii) działania i aktywa w ramach unijnego systemu handlu uprawnieniami do emisji (ETS) zapewniające prognozowane emisje gazów cieplarnianych, które nie są niższe od odpowiednich poziomów odniesienia</w:t>
      </w:r>
      <w:r>
        <w:rPr>
          <w:rStyle w:val="FootnoteReference"/>
          <w:rFonts w:ascii="Times New Roman" w:hAnsi="Times New Roman" w:cs="Times New Roman"/>
          <w:noProof/>
          <w:sz w:val="24"/>
        </w:rPr>
        <w:footnoteReference w:id="137"/>
      </w:r>
      <w:r>
        <w:rPr>
          <w:rFonts w:ascii="Times New Roman" w:hAnsi="Times New Roman"/>
          <w:noProof/>
          <w:sz w:val="24"/>
        </w:rPr>
        <w:t xml:space="preserve">, (iii) działania i aktywa związane ze składowiskami odpadów, spalarniami i zakładami mechaniczno-biologicznego przetwarzania odpadów. </w:t>
      </w:r>
    </w:p>
    <w:p w14:paraId="712F106C" w14:textId="61D2918E" w:rsidR="006578ED" w:rsidRDefault="00A1618E">
      <w:pPr>
        <w:pStyle w:val="P68B1DB1-LegalNumPar230"/>
        <w:numPr>
          <w:ilvl w:val="2"/>
          <w:numId w:val="777"/>
        </w:numPr>
        <w:spacing w:line="240" w:lineRule="auto"/>
        <w:jc w:val="both"/>
        <w:rPr>
          <w:rFonts w:cs="Times New Roman"/>
          <w:noProof/>
        </w:rPr>
      </w:pPr>
      <w:r>
        <w:rPr>
          <w:noProof/>
        </w:rPr>
        <w:t>polityka inwestycyjna wymaga zgodności z odpowiednimi unijnymi i krajowymi przepisami w zakresie ochrony środowiska beneficjentów końcowych Instrumentu.</w:t>
      </w:r>
    </w:p>
    <w:p w14:paraId="51AB1F5E" w14:textId="7BB1E230" w:rsidR="006578ED" w:rsidRDefault="00A1618E">
      <w:pPr>
        <w:pStyle w:val="P68B1DB1-ListParagraph7"/>
        <w:numPr>
          <w:ilvl w:val="1"/>
          <w:numId w:val="777"/>
        </w:numPr>
        <w:rPr>
          <w:rFonts w:cs="Times New Roman"/>
          <w:noProof/>
        </w:rPr>
      </w:pPr>
      <w:r>
        <w:rPr>
          <w:noProof/>
        </w:rPr>
        <w:t>Wymóg, zgodnie z którym beneficjenci końcowi Instrumentu nie mogą otrzymywać wsparcia z innych instrumentów unijnych w celu pokrycia tych samych kosztów.</w:t>
      </w:r>
    </w:p>
    <w:p w14:paraId="0B9EDD04" w14:textId="51542B3E" w:rsidR="006578ED" w:rsidRDefault="00A1618E">
      <w:pPr>
        <w:pStyle w:val="P68B1DB1-LegalNumPar29"/>
        <w:numPr>
          <w:ilvl w:val="0"/>
          <w:numId w:val="777"/>
        </w:numPr>
        <w:jc w:val="both"/>
        <w:rPr>
          <w:rFonts w:cs="Times New Roman"/>
          <w:noProof/>
        </w:rPr>
      </w:pPr>
      <w:r>
        <w:rPr>
          <w:noProof/>
        </w:rPr>
        <w:t>Kwotę objętą umową wykonawczą, strukturę opłat dla partnera wykonawczego oraz wymóg ponownego inwestowania wszelkich środków powracających zgodnie z polityką inwestycyjną Instrumentu, chyba że są one wykorzystywane do obsługi spłat pożyczek w ramach Instrumentu na rzecz Odbudowy i Zwiększania Odporności.</w:t>
      </w:r>
    </w:p>
    <w:p w14:paraId="241C198C" w14:textId="046FF4F7" w:rsidR="006578ED" w:rsidRDefault="00A1618E">
      <w:pPr>
        <w:pStyle w:val="P68B1DB1-LegalNumPar29"/>
        <w:numPr>
          <w:ilvl w:val="0"/>
          <w:numId w:val="777"/>
        </w:numPr>
        <w:jc w:val="both"/>
        <w:rPr>
          <w:rFonts w:cs="Times New Roman"/>
          <w:noProof/>
        </w:rPr>
      </w:pPr>
      <w:r>
        <w:rPr>
          <w:noProof/>
        </w:rPr>
        <w:t>Wymogi w zakresie monitorowania, audytu i kontroli, w tym:</w:t>
      </w:r>
    </w:p>
    <w:p w14:paraId="7B5D7055" w14:textId="77777777" w:rsidR="006578ED" w:rsidRDefault="00A1618E">
      <w:pPr>
        <w:pStyle w:val="P68B1DB1-Normal4"/>
        <w:numPr>
          <w:ilvl w:val="1"/>
          <w:numId w:val="777"/>
        </w:numPr>
        <w:spacing w:after="160" w:line="240" w:lineRule="auto"/>
        <w:jc w:val="both"/>
        <w:rPr>
          <w:rFonts w:cs="Times New Roman"/>
          <w:noProof/>
        </w:rPr>
      </w:pPr>
      <w:bookmarkStart w:id="42" w:name="_Hlk139218377"/>
      <w:r>
        <w:rPr>
          <w:noProof/>
        </w:rPr>
        <w:t>Opis stosowanego przez partnera wykonawczego systemu monitorowania służącego do sprawozdawczości na temat uruchomionych inwestycji.</w:t>
      </w:r>
    </w:p>
    <w:p w14:paraId="4AAB5BEC" w14:textId="4D452C87" w:rsidR="006578ED" w:rsidRDefault="00A1618E">
      <w:pPr>
        <w:pStyle w:val="P68B1DB1-Normal4"/>
        <w:numPr>
          <w:ilvl w:val="1"/>
          <w:numId w:val="777"/>
        </w:numPr>
        <w:spacing w:after="160" w:line="259" w:lineRule="auto"/>
        <w:jc w:val="both"/>
        <w:rPr>
          <w:rFonts w:cs="Times New Roman"/>
          <w:noProof/>
        </w:rPr>
      </w:pPr>
      <w:r>
        <w:rPr>
          <w:noProof/>
        </w:rPr>
        <w:t xml:space="preserve">Opis procedur partnera wykonawczego, które zapewnią zapobieganie nadużyciom finansowym, korupcji i konfliktom interesów oraz ich wykrywanie i korygowanie. </w:t>
      </w:r>
    </w:p>
    <w:p w14:paraId="2AF24E11" w14:textId="6558E308" w:rsidR="006578ED" w:rsidRDefault="00A1618E">
      <w:pPr>
        <w:pStyle w:val="P68B1DB1-Normal4"/>
        <w:numPr>
          <w:ilvl w:val="1"/>
          <w:numId w:val="777"/>
        </w:numPr>
        <w:spacing w:after="160" w:line="259" w:lineRule="auto"/>
        <w:jc w:val="both"/>
        <w:rPr>
          <w:rFonts w:cs="Times New Roman"/>
          <w:noProof/>
        </w:rPr>
      </w:pPr>
      <w:r>
        <w:rPr>
          <w:noProof/>
        </w:rPr>
        <w:t>Obowiązek weryfikacji kwalifikowalności każdej operacji zgodnie z wymogami określonymi w umowie wykonawczej przed zobowiązaniem się do finansowania danej operacji.</w:t>
      </w:r>
    </w:p>
    <w:p w14:paraId="2CA9BA25" w14:textId="31FDCD66" w:rsidR="006578ED" w:rsidRDefault="00A1618E">
      <w:pPr>
        <w:pStyle w:val="P68B1DB1-Normal4"/>
        <w:numPr>
          <w:ilvl w:val="1"/>
          <w:numId w:val="777"/>
        </w:numPr>
        <w:spacing w:after="160" w:line="240" w:lineRule="auto"/>
        <w:jc w:val="both"/>
        <w:rPr>
          <w:rFonts w:cs="Times New Roman"/>
          <w:noProof/>
        </w:rPr>
      </w:pPr>
      <w:bookmarkStart w:id="43" w:name="_Hlk145675948"/>
      <w:bookmarkEnd w:id="42"/>
      <w:r>
        <w:rPr>
          <w:noProof/>
        </w:rPr>
        <w:t>Obowiązek przeprowadzania audytów ex post opartych na analizie ryzyka</w:t>
      </w:r>
      <w:bookmarkEnd w:id="43"/>
      <w:r>
        <w:rPr>
          <w:noProof/>
        </w:rPr>
        <w:t xml:space="preserve"> zgodnie z planem audytu ENISA. Audyty te mają na celu sprawdzenie (i) skuteczności systemów kontroli, w tym wykrywania nadużyć finansowych, korupcji i konfliktu interesów; zgodność z zasadą „nie czyń poważnych szkód”, zasadami pomocy państwa, wymogami dotyczącymi celów cyfrowych; oraz (iii) wymóg weryfikacji przez pośrednika, czy beneficjent końcowy przedstawia odpowiedzialne oświadczenie w celu sprawdzenia, czy te same koszty są pokrywane z innego instrumentu unijnego, jest przestrzegany. W ramach audytów sprawdza się również legalność transakcji oraz przestrzeganie warunków mających zastosowanie umów wykonawczych i umów o finansowaniu. </w:t>
      </w:r>
    </w:p>
    <w:p w14:paraId="7D1D5A8A" w14:textId="0E80EC85" w:rsidR="006578ED" w:rsidRDefault="00A1618E">
      <w:pPr>
        <w:numPr>
          <w:ilvl w:val="0"/>
          <w:numId w:val="777"/>
        </w:numPr>
        <w:spacing w:after="160" w:line="240" w:lineRule="auto"/>
        <w:jc w:val="both"/>
        <w:rPr>
          <w:rFonts w:ascii="Times New Roman" w:hAnsi="Times New Roman" w:cs="Times New Roman"/>
          <w:noProof/>
          <w:sz w:val="24"/>
        </w:rPr>
      </w:pPr>
      <w:r>
        <w:rPr>
          <w:rFonts w:ascii="Times New Roman" w:hAnsi="Times New Roman"/>
          <w:noProof/>
          <w:sz w:val="24"/>
        </w:rPr>
        <w:t>Wymogi dotyczące inwestycji cyfrowych realizowanych przez partnera wykonawczego: co najmniej 20 000 000 EUR z inwestycji w Instrument w ramach RRF przyczynia się do realizacji celów cyfrowych zgodnie z załącznikiem VII do rozporządzenia w sprawie RRF.</w:t>
      </w:r>
    </w:p>
    <w:p w14:paraId="22285CFF" w14:textId="079E6B75" w:rsidR="006578ED" w:rsidRDefault="00A1618E">
      <w:pPr>
        <w:pStyle w:val="P68B1DB1-Normal4"/>
        <w:rPr>
          <w:rFonts w:cs="Times New Roman"/>
          <w:noProof/>
        </w:rPr>
      </w:pPr>
      <w:r>
        <w:rPr>
          <w:noProof/>
        </w:rPr>
        <w:t>Wdrożenie środka należy zakończyć do dnia 31 sierpnia 20</w:t>
      </w:r>
      <w:r w:rsidRPr="00A1618E">
        <w:rPr>
          <w:noProof/>
          <w:lang w:val="pl-PL"/>
        </w:rPr>
        <w:t>26 r.</w:t>
      </w:r>
    </w:p>
    <w:p w14:paraId="01845BA9" w14:textId="77777777" w:rsidR="006578ED" w:rsidRDefault="00A1618E">
      <w:pPr>
        <w:pStyle w:val="P68B1DB1-Normal6"/>
        <w:rPr>
          <w:rFonts w:cs="Times New Roman"/>
          <w:noProof/>
        </w:rPr>
      </w:pPr>
      <w:bookmarkStart w:id="44" w:name="_Hlk141697321"/>
      <w:r>
        <w:rPr>
          <w:noProof/>
        </w:rPr>
        <w:t>Inwestycje 13 (C13.I13) – Regionalny Fundusz Zwiększania Odporności (FRA)</w:t>
      </w:r>
    </w:p>
    <w:p w14:paraId="1757DEF3" w14:textId="6176CCD6" w:rsidR="006578ED" w:rsidRDefault="00A1618E">
      <w:pPr>
        <w:pStyle w:val="P68B1DB1-Normal4"/>
        <w:spacing w:before="160" w:after="0" w:line="240" w:lineRule="auto"/>
        <w:jc w:val="both"/>
        <w:rPr>
          <w:rFonts w:eastAsia="@MS Mincho" w:cs="Times New Roman"/>
          <w:noProof/>
        </w:rPr>
      </w:pPr>
      <w:bookmarkStart w:id="45" w:name="_Hlk138428161"/>
      <w:r>
        <w:rPr>
          <w:noProof/>
        </w:rPr>
        <w:t xml:space="preserve">Środek ten składa się z inwestycji publicznej w module państw członkowskich InvestEU oraz w ramach Instrumentu, regionalnego funduszu odporności, aby zachęcić do inwestycji prywatnych i poprawić dostęp do finansowania w hiszpańskich wspólnotach autonomicznych w następujących obszarach priorytetowych: mieszkania socjalne i przystępne cenowo oraz rewitalizacja miast; zrównoważony transport; konkurencyjność przemysłu i MŚP; badania, rozwój i innowacje; zrównoważona turystyka; gospodarka opiekuńcza; gospodarka wodna i gospodarka odpadami; oraz transformacja energetyczna; a także rozwój rynków kapitałowych w tych obszarach. </w:t>
      </w:r>
    </w:p>
    <w:p w14:paraId="4DBD1EA3" w14:textId="1CCC725B" w:rsidR="006578ED" w:rsidRDefault="00A1618E">
      <w:pPr>
        <w:pStyle w:val="P68B1DB1-Normal4"/>
        <w:spacing w:before="160" w:after="0" w:line="240" w:lineRule="auto"/>
        <w:jc w:val="both"/>
        <w:rPr>
          <w:rFonts w:cs="Times New Roman"/>
          <w:noProof/>
        </w:rPr>
      </w:pPr>
      <w:r>
        <w:rPr>
          <w:noProof/>
        </w:rPr>
        <w:t>Instrument działa poprzez zapewnianie finansowania bezpośrednio lub przez pośredników sektorowi prywatnemu, podmiotom sektora publicznego prowadzącym podobną działalność oraz podmiotom publicznym, takim jak samorządy regionalne i lokalne. W oparciu o inwestycje w ramach RRF celem instrumentu jest zapewnienie finansowania w wysokości co najmniej 19 500 000 000 EUR. Dodatkowa kwota 500 000 000 EUR wnosi wkład do modułu państw członkowskich InvestEU.</w:t>
      </w:r>
    </w:p>
    <w:p w14:paraId="62C4CD55" w14:textId="13EEB42C" w:rsidR="006578ED" w:rsidRDefault="00A1618E">
      <w:pPr>
        <w:pStyle w:val="P68B1DB1-Normal4"/>
        <w:spacing w:before="160" w:after="0" w:line="240" w:lineRule="auto"/>
        <w:jc w:val="both"/>
        <w:rPr>
          <w:rFonts w:cs="Times New Roman"/>
          <w:noProof/>
        </w:rPr>
      </w:pPr>
      <w:r>
        <w:rPr>
          <w:noProof/>
        </w:rPr>
        <w:t>Instrumentem zarządza grupa EBI jako partner wykonawczy. Instrument obejmuje następujące linie produktowe:</w:t>
      </w:r>
    </w:p>
    <w:p w14:paraId="2BA9E56C" w14:textId="4037D42B" w:rsidR="006578ED" w:rsidRDefault="00A1618E">
      <w:pPr>
        <w:pStyle w:val="P68B1DB1-ListParagraph7"/>
        <w:numPr>
          <w:ilvl w:val="0"/>
          <w:numId w:val="483"/>
        </w:numPr>
        <w:spacing w:before="160" w:after="0"/>
        <w:ind w:left="714" w:hanging="357"/>
        <w:jc w:val="both"/>
        <w:rPr>
          <w:rFonts w:cs="Times New Roman"/>
          <w:noProof/>
        </w:rPr>
      </w:pPr>
      <w:r>
        <w:rPr>
          <w:noProof/>
        </w:rPr>
        <w:t>Bezpośrednia linia publiczna (3 500 000 000 EUR): Bezpośredni instrument pożyczkowy przeznaczony na finansowanie projektów realizowanych przez podmioty publiczne, takie jak samorządy regionalne i lokalne.</w:t>
      </w:r>
    </w:p>
    <w:p w14:paraId="2FD334C1" w14:textId="5320C188" w:rsidR="006578ED" w:rsidRDefault="00A1618E">
      <w:pPr>
        <w:pStyle w:val="P68B1DB1-ListParagraph7"/>
        <w:numPr>
          <w:ilvl w:val="0"/>
          <w:numId w:val="483"/>
        </w:numPr>
        <w:spacing w:before="160" w:after="0"/>
        <w:ind w:left="714" w:hanging="357"/>
        <w:jc w:val="both"/>
        <w:rPr>
          <w:rFonts w:cs="Times New Roman"/>
          <w:noProof/>
        </w:rPr>
      </w:pPr>
      <w:r>
        <w:rPr>
          <w:noProof/>
        </w:rPr>
        <w:t>Inne linie (16 000 000 000 EUR): Linie skierowane do podmiotów prywatnych lub podmiotów publicznych prowadzących podobną działalność, w szczególności:</w:t>
      </w:r>
    </w:p>
    <w:p w14:paraId="549BA5C1" w14:textId="061495DD" w:rsidR="006578ED" w:rsidRDefault="00A1618E">
      <w:pPr>
        <w:pStyle w:val="P68B1DB1-ListParagraph7"/>
        <w:numPr>
          <w:ilvl w:val="1"/>
          <w:numId w:val="483"/>
        </w:numPr>
        <w:spacing w:before="160" w:after="0"/>
        <w:ind w:left="1434" w:hanging="357"/>
        <w:jc w:val="both"/>
        <w:rPr>
          <w:rFonts w:cs="Times New Roman"/>
          <w:noProof/>
        </w:rPr>
      </w:pPr>
      <w:r>
        <w:rPr>
          <w:noProof/>
        </w:rPr>
        <w:t>Instrument bezpośredniego współfinansowania w celu finansowania projektów poprzez pożyczki, nabycie aktywów lub udział w finansowaniu projektów.</w:t>
      </w:r>
    </w:p>
    <w:p w14:paraId="7232CE8D" w14:textId="60BE3F59" w:rsidR="006578ED" w:rsidRDefault="00A1618E">
      <w:pPr>
        <w:pStyle w:val="P68B1DB1-ListParagraph7"/>
        <w:numPr>
          <w:ilvl w:val="1"/>
          <w:numId w:val="483"/>
        </w:numPr>
        <w:spacing w:before="160" w:after="0"/>
        <w:ind w:left="1434" w:hanging="357"/>
        <w:jc w:val="both"/>
        <w:rPr>
          <w:rFonts w:cs="Times New Roman"/>
          <w:noProof/>
        </w:rPr>
      </w:pPr>
      <w:r>
        <w:rPr>
          <w:noProof/>
        </w:rPr>
        <w:t>Finansowanie MŚP, spółek o średniej kapitalizacji i osób fizycznych przez pośredników, w tym poprzez inwestycje kapitałowe, quasi-kapitał własny, gwarancje i sekurytyzację zabezpieczaną aktywami w istniejących portfelach kredytowych, uprzywilejowane kredyty prywatne oraz zakup zielonych obligacji emitowanych przez podmioty finansowe tworzące nowy kwalifikowalny portfel kredytów.</w:t>
      </w:r>
    </w:p>
    <w:p w14:paraId="7D5D4DF7" w14:textId="23C4DEF6" w:rsidR="006578ED" w:rsidRDefault="00A1618E">
      <w:pPr>
        <w:pStyle w:val="P68B1DB1-Normal4"/>
        <w:spacing w:before="160" w:after="0" w:line="240" w:lineRule="auto"/>
        <w:jc w:val="both"/>
        <w:rPr>
          <w:rFonts w:cs="Times New Roman"/>
          <w:noProof/>
        </w:rPr>
      </w:pPr>
      <w:r>
        <w:rPr>
          <w:noProof/>
        </w:rPr>
        <w:t>W celu realizacji inwestycji w instrument Hiszpania i grupa EBI podpisują umowę wykonawczą, która zawiera następującą treść:</w:t>
      </w:r>
    </w:p>
    <w:p w14:paraId="3C6F4765" w14:textId="7CC40B4C" w:rsidR="006578ED" w:rsidRDefault="00A1618E">
      <w:pPr>
        <w:pStyle w:val="P68B1DB1-ListParagraph7"/>
        <w:numPr>
          <w:ilvl w:val="0"/>
          <w:numId w:val="755"/>
        </w:numPr>
        <w:spacing w:before="160" w:after="0" w:line="240" w:lineRule="auto"/>
        <w:jc w:val="both"/>
        <w:rPr>
          <w:rFonts w:cs="Times New Roman"/>
          <w:noProof/>
        </w:rPr>
      </w:pPr>
      <w:r>
        <w:rPr>
          <w:noProof/>
        </w:rPr>
        <w:t>Początkową decyzję w sprawie inwestycji instrumentu podejmuje grupa EBI niezależnie od rządu Hiszpanii. Ostateczna decyzja inwestycyjna Instrumentu ogranicza się do zatwierdzenia (bez zmian) lub korzystania z prawa weta w odniesieniu do decyzji inwestycyjnej zaproponowanej przez komitet inwestycyjny lub odpowiedni równoważny organ zarządzający.</w:t>
      </w:r>
      <w:r w:rsidRPr="00A1618E">
        <w:rPr>
          <w:noProof/>
          <w:lang w:val="pl-PL"/>
        </w:rPr>
        <w:t>  W</w:t>
      </w:r>
      <w:r>
        <w:rPr>
          <w:noProof/>
        </w:rPr>
        <w:t xml:space="preserve"> przypadku inwestycji przez pośredników ostateczną decyzję inwestycyjną podejmują pośrednicy.</w:t>
      </w:r>
    </w:p>
    <w:p w14:paraId="6068387E" w14:textId="77777777" w:rsidR="006578ED" w:rsidRDefault="00A1618E">
      <w:pPr>
        <w:pStyle w:val="P68B1DB1-ListParagraph7"/>
        <w:numPr>
          <w:ilvl w:val="0"/>
          <w:numId w:val="755"/>
        </w:numPr>
        <w:spacing w:line="240" w:lineRule="auto"/>
        <w:jc w:val="both"/>
        <w:rPr>
          <w:rFonts w:eastAsia="Times New Roman" w:cs="Times New Roman"/>
          <w:noProof/>
        </w:rPr>
      </w:pPr>
      <w:r>
        <w:rPr>
          <w:noProof/>
        </w:rPr>
        <w:t>Kluczowe wymogi powiązanej polityki inwestycyjnej, które obejmują:</w:t>
      </w:r>
    </w:p>
    <w:p w14:paraId="194C34BC" w14:textId="1B6C7087" w:rsidR="006578ED" w:rsidRDefault="00A1618E">
      <w:pPr>
        <w:pStyle w:val="P68B1DB1-ListParagraph7"/>
        <w:numPr>
          <w:ilvl w:val="1"/>
          <w:numId w:val="755"/>
        </w:numPr>
        <w:spacing w:line="240" w:lineRule="auto"/>
        <w:jc w:val="both"/>
        <w:rPr>
          <w:rFonts w:eastAsia="Times New Roman" w:cs="Times New Roman"/>
          <w:noProof/>
        </w:rPr>
      </w:pPr>
      <w:r>
        <w:rPr>
          <w:noProof/>
        </w:rPr>
        <w:t xml:space="preserve">Opis produktów finansowych i kwalifikujących się beneficjentów końcowych zgodnie z opisem środka. </w:t>
      </w:r>
    </w:p>
    <w:p w14:paraId="1B8FC68C" w14:textId="77777777" w:rsidR="006578ED" w:rsidRDefault="00A1618E">
      <w:pPr>
        <w:pStyle w:val="P68B1DB1-ListParagraph7"/>
        <w:numPr>
          <w:ilvl w:val="1"/>
          <w:numId w:val="755"/>
        </w:numPr>
        <w:spacing w:line="240" w:lineRule="auto"/>
        <w:jc w:val="both"/>
        <w:rPr>
          <w:rFonts w:eastAsia="Times New Roman" w:cs="Times New Roman"/>
          <w:noProof/>
        </w:rPr>
      </w:pPr>
      <w:r>
        <w:rPr>
          <w:noProof/>
        </w:rPr>
        <w:t>Wymóg, aby wszystkie wspierane inwestycje były ekonomicznie opłacalne.</w:t>
      </w:r>
    </w:p>
    <w:p w14:paraId="75C0AFD0" w14:textId="350304A7" w:rsidR="006578ED" w:rsidRPr="00A1618E" w:rsidRDefault="00A1618E">
      <w:pPr>
        <w:pStyle w:val="P68B1DB1-ListParagraph7"/>
        <w:numPr>
          <w:ilvl w:val="1"/>
          <w:numId w:val="755"/>
        </w:numPr>
        <w:spacing w:line="240" w:lineRule="auto"/>
        <w:jc w:val="both"/>
        <w:rPr>
          <w:rFonts w:eastAsia="Times New Roman" w:cs="Times New Roman"/>
          <w:noProof/>
          <w:lang w:val="pl-PL"/>
        </w:rPr>
      </w:pPr>
      <w:r>
        <w:rPr>
          <w:noProof/>
        </w:rPr>
        <w:t>Zakaz refinansowania wszelkich niespłaconych pożyczek</w:t>
      </w:r>
      <w:r w:rsidRPr="00A1618E">
        <w:rPr>
          <w:noProof/>
          <w:lang w:val="pl-PL"/>
        </w:rPr>
        <w:t xml:space="preserve">. </w:t>
      </w:r>
    </w:p>
    <w:p w14:paraId="7C25BF49" w14:textId="1F948CEC" w:rsidR="006578ED" w:rsidRDefault="00A1618E">
      <w:pPr>
        <w:pStyle w:val="P68B1DB1-ListParagraph7"/>
        <w:numPr>
          <w:ilvl w:val="1"/>
          <w:numId w:val="755"/>
        </w:numPr>
        <w:spacing w:line="240" w:lineRule="auto"/>
        <w:jc w:val="both"/>
        <w:rPr>
          <w:rFonts w:eastAsia="Times New Roman" w:cs="Times New Roman"/>
          <w:noProof/>
        </w:rPr>
      </w:pPr>
      <w:r>
        <w:rPr>
          <w:noProof/>
        </w:rPr>
        <w:t xml:space="preserve">Wymóg zgodności z zasadą „nie czyń poważnych szkód” (DNSH) określoną w wytycznych technicznych dotyczących zasady „nie czyń poważnych szkód” (2021/C58/01), w szczególności: </w:t>
      </w:r>
    </w:p>
    <w:p w14:paraId="4F28561E" w14:textId="48385625" w:rsidR="006578ED" w:rsidRPr="00A1618E" w:rsidRDefault="00A1618E">
      <w:pPr>
        <w:pStyle w:val="ListParagraph"/>
        <w:numPr>
          <w:ilvl w:val="2"/>
          <w:numId w:val="755"/>
        </w:numPr>
        <w:jc w:val="both"/>
        <w:rPr>
          <w:rFonts w:ascii="Times New Roman" w:eastAsia="Times New Roman" w:hAnsi="Times New Roman" w:cs="Times New Roman"/>
          <w:noProof/>
          <w:sz w:val="24"/>
          <w:lang w:val="pl-PL"/>
        </w:rPr>
      </w:pPr>
      <w:r>
        <w:rPr>
          <w:rFonts w:ascii="Times New Roman" w:hAnsi="Times New Roman"/>
          <w:noProof/>
          <w:sz w:val="24"/>
        </w:rPr>
        <w:t>W przypadku pożyczek, obligacji projektowych lub równoważnych instrumentów: polityka inwestycyjna wyłącza z kwalifikowalności następujący wykaz działań i aktywów: działalności i aktywów związanych z paliwami kopalnymi, w tym wykorzystania niższego szczebla,</w:t>
      </w:r>
      <w:r>
        <w:rPr>
          <w:rStyle w:val="FootnoteReference"/>
          <w:rFonts w:ascii="Times New Roman" w:eastAsia="Times New Roman" w:hAnsi="Times New Roman" w:cs="Times New Roman"/>
          <w:noProof/>
          <w:sz w:val="24"/>
        </w:rPr>
        <w:footnoteReference w:id="138"/>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eastAsia="Times New Roman" w:hAnsi="Times New Roman" w:cs="Times New Roman"/>
          <w:noProof/>
          <w:sz w:val="24"/>
        </w:rPr>
        <w:footnoteReference w:id="139"/>
      </w:r>
      <w:r>
        <w:rPr>
          <w:rFonts w:ascii="Times New Roman" w:hAnsi="Times New Roman"/>
          <w:noProof/>
          <w:sz w:val="24"/>
        </w:rPr>
        <w:t>, (iii) działalności i aktywów związanych ze składowiskami odpadów, spalarniami</w:t>
      </w:r>
      <w:r>
        <w:rPr>
          <w:rStyle w:val="FootnoteReference"/>
          <w:rFonts w:ascii="Times New Roman" w:hAnsi="Times New Roman" w:cs="Times New Roman"/>
          <w:noProof/>
          <w:sz w:val="24"/>
        </w:rPr>
        <w:footnoteReference w:id="140"/>
      </w:r>
      <w:r>
        <w:rPr>
          <w:rFonts w:ascii="Times New Roman" w:hAnsi="Times New Roman"/>
          <w:noProof/>
          <w:sz w:val="24"/>
        </w:rPr>
        <w:t xml:space="preserve"> i zakładami mechaniczno-biologicznego przetwarzania odpadów</w:t>
      </w:r>
      <w:r>
        <w:rPr>
          <w:rStyle w:val="FootnoteReference"/>
          <w:rFonts w:ascii="Times New Roman" w:hAnsi="Times New Roman" w:cs="Times New Roman"/>
          <w:noProof/>
          <w:sz w:val="24"/>
        </w:rPr>
        <w:footnoteReference w:id="141"/>
      </w:r>
      <w:r w:rsidRPr="00A1618E">
        <w:rPr>
          <w:rFonts w:ascii="Times New Roman" w:hAnsi="Times New Roman"/>
          <w:noProof/>
          <w:sz w:val="24"/>
          <w:lang w:val="pl-PL"/>
        </w:rPr>
        <w:t xml:space="preserve">. </w:t>
      </w:r>
    </w:p>
    <w:p w14:paraId="16C8C54F" w14:textId="775D9A5B" w:rsidR="006578ED" w:rsidRDefault="00A1618E">
      <w:pPr>
        <w:pStyle w:val="ListParagraph"/>
        <w:numPr>
          <w:ilvl w:val="2"/>
          <w:numId w:val="755"/>
        </w:numPr>
        <w:jc w:val="both"/>
        <w:rPr>
          <w:rFonts w:ascii="Times New Roman" w:eastAsia="Times New Roman" w:hAnsi="Times New Roman" w:cs="Times New Roman"/>
          <w:noProof/>
          <w:sz w:val="24"/>
        </w:rPr>
      </w:pPr>
      <w:r>
        <w:rPr>
          <w:rFonts w:ascii="Times New Roman" w:hAnsi="Times New Roman"/>
          <w:noProof/>
          <w:sz w:val="24"/>
        </w:rPr>
        <w:t>W przypadku instrumentów kapitałowych, quasi-kapitałowych, korporacyjnych lub równoważnych instrumentów: polityka inwestycyjna zobowiązuje przedsiębiorstwa do przyjęcia planów zielonej transformacji zgodnie z definicją określoną w </w:t>
      </w:r>
      <w:r w:rsidRPr="00A1618E">
        <w:rPr>
          <w:rFonts w:ascii="Times New Roman" w:hAnsi="Times New Roman"/>
          <w:noProof/>
          <w:sz w:val="24"/>
          <w:lang w:val="pl-PL"/>
        </w:rPr>
        <w:t>art. 1</w:t>
      </w:r>
      <w:r>
        <w:rPr>
          <w:rFonts w:ascii="Times New Roman" w:hAnsi="Times New Roman"/>
          <w:noProof/>
          <w:sz w:val="24"/>
        </w:rPr>
        <w:t xml:space="preserve">9a </w:t>
      </w:r>
      <w:r w:rsidRPr="00A1618E">
        <w:rPr>
          <w:rFonts w:ascii="Times New Roman" w:hAnsi="Times New Roman"/>
          <w:noProof/>
          <w:sz w:val="24"/>
          <w:lang w:val="pl-PL"/>
        </w:rPr>
        <w:t>ust. 2</w:t>
      </w:r>
      <w:r>
        <w:rPr>
          <w:rFonts w:ascii="Times New Roman" w:hAnsi="Times New Roman"/>
          <w:noProof/>
          <w:sz w:val="24"/>
        </w:rPr>
        <w:t xml:space="preserve"> </w:t>
      </w:r>
      <w:r w:rsidRPr="00A1618E">
        <w:rPr>
          <w:rFonts w:ascii="Times New Roman" w:hAnsi="Times New Roman"/>
          <w:noProof/>
          <w:sz w:val="24"/>
          <w:lang w:val="pl-PL"/>
        </w:rPr>
        <w:t>lit. a)</w:t>
      </w:r>
      <w:r>
        <w:rPr>
          <w:rFonts w:ascii="Times New Roman" w:hAnsi="Times New Roman"/>
          <w:noProof/>
          <w:sz w:val="24"/>
        </w:rPr>
        <w:t xml:space="preserve"> ppkt (iii) dyrektywy 2013/34/UE,</w:t>
      </w:r>
      <w:r>
        <w:rPr>
          <w:rStyle w:val="FootnoteReference"/>
          <w:rFonts w:ascii="Times New Roman" w:eastAsia="Times New Roman" w:hAnsi="Times New Roman" w:cs="Times New Roman"/>
          <w:noProof/>
          <w:sz w:val="24"/>
        </w:rPr>
        <w:footnoteReference w:id="142"/>
      </w:r>
      <w:r>
        <w:rPr>
          <w:rFonts w:ascii="Times New Roman" w:hAnsi="Times New Roman"/>
          <w:noProof/>
          <w:sz w:val="24"/>
        </w:rPr>
        <w:t xml:space="preserve"> jeżeli ponad 50 % ich bezpośrednich przychodów w poprzednim roku obrotowym pochodzi z następującego wykazu działalności i aktywów: działalności i aktywów związanych z paliwami kopalnymi, w tym wykorzystania niższego szczebla,</w:t>
      </w:r>
      <w:r>
        <w:rPr>
          <w:rStyle w:val="FootnoteReference"/>
          <w:rFonts w:ascii="Times New Roman" w:eastAsia="Times New Roman" w:hAnsi="Times New Roman" w:cs="Times New Roman"/>
          <w:noProof/>
          <w:sz w:val="24"/>
        </w:rPr>
        <w:footnoteReference w:id="143"/>
      </w:r>
      <w:r>
        <w:rPr>
          <w:rFonts w:ascii="Times New Roman" w:hAnsi="Times New Roman"/>
          <w:noProof/>
          <w:sz w:val="24"/>
        </w:rPr>
        <w:t>(ii) działań i aktywów w ramach unijnego systemu handlu uprawnieniami do emisji (ETS) zapewniających prognozowane emisje gazów cieplarnianych, które nie są niższe od odpowiednich poziomów odniesienia</w:t>
      </w:r>
      <w:r>
        <w:rPr>
          <w:rStyle w:val="FootnoteReference"/>
          <w:rFonts w:ascii="Times New Roman" w:eastAsia="Times New Roman" w:hAnsi="Times New Roman" w:cs="Times New Roman"/>
          <w:noProof/>
          <w:sz w:val="24"/>
        </w:rPr>
        <w:footnoteReference w:id="144"/>
      </w:r>
      <w:r>
        <w:rPr>
          <w:rFonts w:ascii="Times New Roman" w:hAnsi="Times New Roman"/>
          <w:noProof/>
          <w:sz w:val="24"/>
        </w:rPr>
        <w:t>, (iii) działalności i aktywów związanych ze składowiskami odpadów, spalarniami</w:t>
      </w:r>
      <w:r>
        <w:rPr>
          <w:rStyle w:val="FootnoteReference"/>
          <w:rFonts w:ascii="Times New Roman" w:eastAsia="Times New Roman" w:hAnsi="Times New Roman" w:cs="Times New Roman"/>
          <w:noProof/>
          <w:sz w:val="24"/>
        </w:rPr>
        <w:footnoteReference w:id="145"/>
      </w:r>
      <w:r>
        <w:rPr>
          <w:rFonts w:ascii="Times New Roman" w:hAnsi="Times New Roman"/>
          <w:noProof/>
          <w:sz w:val="24"/>
        </w:rPr>
        <w:t xml:space="preserve"> i zakładami mechaniczno-biologicznego przetwarzania odpadów</w:t>
      </w:r>
      <w:r>
        <w:rPr>
          <w:rStyle w:val="FootnoteReference"/>
          <w:rFonts w:ascii="Times New Roman" w:eastAsia="Times New Roman" w:hAnsi="Times New Roman" w:cs="Times New Roman"/>
          <w:noProof/>
          <w:sz w:val="24"/>
        </w:rPr>
        <w:footnoteReference w:id="146"/>
      </w:r>
      <w:r>
        <w:rPr>
          <w:rFonts w:ascii="Times New Roman" w:hAnsi="Times New Roman"/>
          <w:noProof/>
          <w:sz w:val="24"/>
        </w:rPr>
        <w:t xml:space="preserve">. </w:t>
      </w:r>
    </w:p>
    <w:p w14:paraId="1F24FA81" w14:textId="3F2B89E3" w:rsidR="006578ED" w:rsidRDefault="00A1618E">
      <w:pPr>
        <w:pStyle w:val="P68B1DB1-ListParagraph7"/>
        <w:numPr>
          <w:ilvl w:val="2"/>
          <w:numId w:val="755"/>
        </w:numPr>
        <w:rPr>
          <w:rFonts w:eastAsia="Times New Roman" w:cs="Times New Roman"/>
          <w:noProof/>
        </w:rPr>
      </w:pPr>
      <w:r>
        <w:rPr>
          <w:noProof/>
        </w:rPr>
        <w:t>Ponadto polityka inwestycyjna wymaga zgodności z odpowiednimi unijnymi i krajowymi przepisami w zakresie ochrony środowiska beneficjentów końcowych Instrumentu.</w:t>
      </w:r>
    </w:p>
    <w:p w14:paraId="68AAD697" w14:textId="48059DAB" w:rsidR="006578ED" w:rsidRDefault="00A1618E">
      <w:pPr>
        <w:pStyle w:val="P68B1DB1-ListParagraph7"/>
        <w:numPr>
          <w:ilvl w:val="1"/>
          <w:numId w:val="755"/>
        </w:numPr>
        <w:rPr>
          <w:rFonts w:eastAsia="Times New Roman" w:cs="Times New Roman"/>
          <w:noProof/>
        </w:rPr>
      </w:pPr>
      <w:r>
        <w:rPr>
          <w:noProof/>
        </w:rPr>
        <w:t>Wymóg, zgodnie z którym beneficjenci końcowi Instrumentu nie mogą otrzymywać wsparcia z innych instrumentów unijnych w celu pokrycia tych samych kosztów.</w:t>
      </w:r>
    </w:p>
    <w:p w14:paraId="7CF753BD" w14:textId="55453D88" w:rsidR="006578ED" w:rsidRDefault="00A1618E">
      <w:pPr>
        <w:pStyle w:val="P68B1DB1-ListParagraph7"/>
        <w:numPr>
          <w:ilvl w:val="0"/>
          <w:numId w:val="755"/>
        </w:numPr>
        <w:jc w:val="both"/>
        <w:rPr>
          <w:rFonts w:eastAsia="Times New Roman" w:cs="Times New Roman"/>
          <w:noProof/>
        </w:rPr>
      </w:pPr>
      <w:r>
        <w:rPr>
          <w:noProof/>
        </w:rPr>
        <w:t>Kwotę objętą umową wykonawczą, strukturę opłat dla partnera wykonawczego oraz wymóg ponownego inwestowania wszelkich środków powracających zgodnie z polityką inwestycyjną Instrumentu, chyba że są one wykorzystywane do obsługi spłat pożyczek w ramach Instrumentu na rzecz Odbudowy i Zwiększania Odporności.</w:t>
      </w:r>
    </w:p>
    <w:p w14:paraId="375487A6" w14:textId="7ABB0A99" w:rsidR="006578ED" w:rsidRDefault="00A1618E">
      <w:pPr>
        <w:pStyle w:val="P68B1DB1-ListParagraph7"/>
        <w:numPr>
          <w:ilvl w:val="0"/>
          <w:numId w:val="755"/>
        </w:numPr>
        <w:jc w:val="both"/>
        <w:rPr>
          <w:rFonts w:eastAsia="Times New Roman" w:cs="Times New Roman"/>
          <w:noProof/>
        </w:rPr>
      </w:pPr>
      <w:r>
        <w:rPr>
          <w:noProof/>
        </w:rPr>
        <w:t>Wymogi w zakresie monitorowania, audytu i kontroli, w tym:</w:t>
      </w:r>
    </w:p>
    <w:p w14:paraId="044F541F" w14:textId="0D35370C" w:rsidR="006578ED" w:rsidRDefault="00A1618E">
      <w:pPr>
        <w:pStyle w:val="P68B1DB1-ListParagraph7"/>
        <w:numPr>
          <w:ilvl w:val="1"/>
          <w:numId w:val="755"/>
        </w:numPr>
        <w:jc w:val="both"/>
        <w:rPr>
          <w:rFonts w:eastAsia="Times New Roman" w:cs="Times New Roman"/>
          <w:noProof/>
        </w:rPr>
      </w:pPr>
      <w:r>
        <w:rPr>
          <w:noProof/>
        </w:rPr>
        <w:t>Obowiązek weryfikacji kwalifikowalności każdej operacji zgodnie z wymogami określonymi w rozporządzeniach ustanawiających Instrument przed zobowiązaniem się do finansowania danej operacji.</w:t>
      </w:r>
    </w:p>
    <w:p w14:paraId="725AD338" w14:textId="47F867C4" w:rsidR="006578ED" w:rsidRDefault="00A1618E">
      <w:pPr>
        <w:pStyle w:val="P68B1DB1-ListParagraph7"/>
        <w:numPr>
          <w:ilvl w:val="1"/>
          <w:numId w:val="755"/>
        </w:numPr>
        <w:jc w:val="both"/>
        <w:rPr>
          <w:rFonts w:eastAsia="Times New Roman" w:cs="Times New Roman"/>
          <w:noProof/>
        </w:rPr>
      </w:pPr>
      <w:r>
        <w:rPr>
          <w:noProof/>
        </w:rPr>
        <w:t>Obowiązek przeprowadzania opartych na analizie ryzyka audytów ex post zgodnie z planem audytu grupy EBI. Audyty te mają na celu sprawdzenie (i) skuteczności systemów kontroli, w tym wykrywania nadużyć finansowych, korupcji i konfliktu interesów; zgodność z zasadą „nie czyń poważnych szkód”, zasadami pomocy państwa, wymogami dotyczącymi celów klimatycznych i cyfrowych; oraz (iii) wymóg weryfikacji przez pośrednika, czy beneficjent końcowy przedstawia odpowiedzialne oświadczenie w celu sprawdzenia, czy te same koszty są pokrywane z innego instrumentu unijnego, jest przestrzegany</w:t>
      </w:r>
      <w:r w:rsidRPr="00A1618E">
        <w:rPr>
          <w:noProof/>
          <w:lang w:val="pl-PL"/>
        </w:rPr>
        <w:t>. W</w:t>
      </w:r>
      <w:r>
        <w:rPr>
          <w:noProof/>
          <w:lang w:val="pl-PL"/>
        </w:rPr>
        <w:t> </w:t>
      </w:r>
      <w:r>
        <w:rPr>
          <w:noProof/>
        </w:rPr>
        <w:t xml:space="preserve">ramach audytów sprawdza się również legalność transakcji oraz przestrzeganie warunków mających zastosowanie umów wykonawczych i umów o finansowaniu. </w:t>
      </w:r>
    </w:p>
    <w:p w14:paraId="618D5455" w14:textId="75E44350" w:rsidR="006578ED" w:rsidRDefault="00A1618E">
      <w:pPr>
        <w:pStyle w:val="P68B1DB1-ListParagraph7"/>
        <w:numPr>
          <w:ilvl w:val="1"/>
          <w:numId w:val="755"/>
        </w:numPr>
        <w:jc w:val="both"/>
        <w:rPr>
          <w:rFonts w:eastAsia="Times New Roman" w:cs="Times New Roman"/>
          <w:noProof/>
        </w:rPr>
      </w:pPr>
      <w:r>
        <w:rPr>
          <w:noProof/>
        </w:rPr>
        <w:t>Spoczywający na grupie EBI obowiązek przedstawiania kontrolerowi generalnemu rządu centralnego („IGAE”) rocznego sprawozdania z audytu sporządzonego przez audytorów zewnętrznych.</w:t>
      </w:r>
    </w:p>
    <w:p w14:paraId="557E207F" w14:textId="0EEAC7FC" w:rsidR="006578ED" w:rsidRDefault="00A1618E">
      <w:pPr>
        <w:pStyle w:val="ListParagraph"/>
        <w:numPr>
          <w:ilvl w:val="0"/>
          <w:numId w:val="755"/>
        </w:numPr>
        <w:jc w:val="both"/>
        <w:rPr>
          <w:rFonts w:ascii="Times New Roman" w:eastAsia="Times New Roman" w:hAnsi="Times New Roman" w:cs="Times New Roman"/>
          <w:noProof/>
          <w:sz w:val="24"/>
        </w:rPr>
      </w:pPr>
      <w:r>
        <w:rPr>
          <w:rFonts w:ascii="Times New Roman" w:hAnsi="Times New Roman"/>
          <w:noProof/>
          <w:sz w:val="24"/>
        </w:rPr>
        <w:t>Wymogi dotyczące inwestycji w dziedzinie klimatu realizowanych przez partnera wykonawczego: co najmniej 9 750 000 000 EUR z inwestycji RRF w Instrument przyczynia się do realizacji celów związanych ze zmianą klimatu zgodnie z załącznikiem VI do rozporządzenia w sprawie RRF.</w:t>
      </w:r>
      <w:r>
        <w:rPr>
          <w:rStyle w:val="FootnoteReference"/>
          <w:rFonts w:ascii="Times New Roman" w:hAnsi="Times New Roman" w:cs="Times New Roman"/>
          <w:noProof/>
          <w:sz w:val="24"/>
        </w:rPr>
        <w:footnoteReference w:id="147"/>
      </w:r>
    </w:p>
    <w:p w14:paraId="216600C2" w14:textId="3041850D" w:rsidR="006578ED" w:rsidRPr="00A1618E" w:rsidRDefault="00A1618E">
      <w:pPr>
        <w:pStyle w:val="P68B1DB1-ListParagraph7"/>
        <w:numPr>
          <w:ilvl w:val="0"/>
          <w:numId w:val="755"/>
        </w:numPr>
        <w:jc w:val="both"/>
        <w:rPr>
          <w:rFonts w:eastAsia="Times New Roman" w:cs="Times New Roman"/>
          <w:noProof/>
          <w:lang w:val="pl-PL"/>
        </w:rPr>
      </w:pPr>
      <w:r>
        <w:rPr>
          <w:noProof/>
        </w:rPr>
        <w:t>Wymogi dotyczące wyboru pośredników finansowych: Grupa EBI wybiera pośredników finansowych w sposób otwarty, przejrzysty i niedyskryminacyjny. Kontrole dotyczące braku konfliktu interesów w odniesieniu do pośredników finansowych przeprowadza się i przeprowadza ex ante w odniesieniu do wszystkich zaangażowanych podmiotów finansowych</w:t>
      </w:r>
      <w:r w:rsidRPr="00A1618E">
        <w:rPr>
          <w:noProof/>
          <w:lang w:val="pl-PL"/>
        </w:rPr>
        <w:t xml:space="preserve">. </w:t>
      </w:r>
    </w:p>
    <w:p w14:paraId="6137DE3A" w14:textId="20BBA0C1" w:rsidR="006578ED" w:rsidRPr="00A1618E" w:rsidRDefault="00A1618E">
      <w:pPr>
        <w:pStyle w:val="P68B1DB1-ListParagraph7"/>
        <w:numPr>
          <w:ilvl w:val="0"/>
          <w:numId w:val="755"/>
        </w:numPr>
        <w:jc w:val="both"/>
        <w:rPr>
          <w:rFonts w:eastAsia="Times New Roman" w:cs="Times New Roman"/>
          <w:noProof/>
          <w:lang w:val="pl-PL"/>
        </w:rPr>
      </w:pPr>
      <w:r>
        <w:rPr>
          <w:noProof/>
        </w:rPr>
        <w:t>Wymóg podpisania umów o finansowaniu: Grupa EBI podpisuje umowy o finansowaniu z pośrednikami finansowymi zgodnie z kluczowymi wymogami, które należy przedstawić jako załącznik do umowy wykonawczej. Kluczowe wymogi umowy o finansowaniu obejmują wszystkie wymogi, na podstawie których działa Instrument, w tym</w:t>
      </w:r>
      <w:r w:rsidRPr="00A1618E">
        <w:rPr>
          <w:noProof/>
          <w:lang w:val="pl-PL"/>
        </w:rPr>
        <w:t xml:space="preserve">: </w:t>
      </w:r>
    </w:p>
    <w:p w14:paraId="5DEE2206" w14:textId="0FD8D761" w:rsidR="006578ED" w:rsidRDefault="00A1618E">
      <w:pPr>
        <w:pStyle w:val="P68B1DB1-ListParagraph7"/>
        <w:numPr>
          <w:ilvl w:val="1"/>
          <w:numId w:val="755"/>
        </w:numPr>
        <w:rPr>
          <w:rFonts w:cs="Times New Roman"/>
          <w:noProof/>
        </w:rPr>
      </w:pPr>
      <w:r>
        <w:rPr>
          <w:noProof/>
        </w:rPr>
        <w:t xml:space="preserve">Spoczywający na pośredniku finansowym obowiązek podejmowania decyzji </w:t>
      </w:r>
      <w:r>
        <w:rPr>
          <w:i/>
          <w:noProof/>
        </w:rPr>
        <w:t>odpowiednio</w:t>
      </w:r>
      <w:r>
        <w:rPr>
          <w:noProof/>
        </w:rPr>
        <w:t xml:space="preserve"> zgodnie z określonymi powyżej wymogami w zakresie podejmowania decyzji i polityki inwestycyjnej, w tym dotyczącymi przestrzegania zasady „nie czyń poważnych szkód”. </w:t>
      </w:r>
    </w:p>
    <w:p w14:paraId="139C3B11" w14:textId="26E45203" w:rsidR="006578ED" w:rsidRPr="00A1618E" w:rsidRDefault="00A1618E">
      <w:pPr>
        <w:pStyle w:val="P68B1DB1-ListParagraph7"/>
        <w:numPr>
          <w:ilvl w:val="1"/>
          <w:numId w:val="755"/>
        </w:numPr>
        <w:rPr>
          <w:rFonts w:cs="Times New Roman"/>
          <w:noProof/>
          <w:lang w:val="pl-PL"/>
        </w:rPr>
      </w:pPr>
      <w:r>
        <w:rPr>
          <w:noProof/>
        </w:rPr>
        <w:t xml:space="preserve">Opis ram monitorowania oraz audytu i kontroli, które pośrednik finansowy wprowadza, które </w:t>
      </w:r>
      <w:r>
        <w:rPr>
          <w:i/>
          <w:noProof/>
        </w:rPr>
        <w:t>odpowiednio</w:t>
      </w:r>
      <w:r>
        <w:rPr>
          <w:noProof/>
        </w:rPr>
        <w:t xml:space="preserve"> podlegają wszystkim wymogom w zakresie monitorowania, audytu i kontroli określonym powyżej</w:t>
      </w:r>
      <w:r w:rsidRPr="00A1618E">
        <w:rPr>
          <w:noProof/>
          <w:lang w:val="pl-PL"/>
        </w:rPr>
        <w:t xml:space="preserve">. </w:t>
      </w:r>
    </w:p>
    <w:p w14:paraId="1FF0C1AA" w14:textId="6CC7862A" w:rsidR="006578ED" w:rsidRDefault="00A1618E">
      <w:pPr>
        <w:pStyle w:val="P68B1DB1-Normal4"/>
        <w:spacing w:before="160" w:after="0" w:line="240" w:lineRule="auto"/>
        <w:jc w:val="both"/>
        <w:rPr>
          <w:rFonts w:eastAsia="Times New Roman" w:cs="Times New Roman"/>
          <w:noProof/>
        </w:rPr>
      </w:pPr>
      <w:r>
        <w:rPr>
          <w:noProof/>
        </w:rPr>
        <w:t>Wkład do modułu państw członkowskich InvestEU (500 000 000 EUR) wykorzystuje się na finansowanie</w:t>
      </w:r>
      <w:r>
        <w:rPr>
          <w:b/>
          <w:noProof/>
        </w:rPr>
        <w:t xml:space="preserve"> </w:t>
      </w:r>
      <w:r>
        <w:rPr>
          <w:noProof/>
        </w:rPr>
        <w:t>MŚP, spółek o średniej kapitalizacji i osób fizycznych, w tym poprzez obligacje, pożyczki, leasing, dług podporządkowany, faktoring, gwarancje bankowe lub finansowanie handlu.</w:t>
      </w:r>
    </w:p>
    <w:p w14:paraId="7242546C" w14:textId="67DB3CC0" w:rsidR="006578ED" w:rsidRDefault="00A1618E">
      <w:pPr>
        <w:pStyle w:val="P68B1DB1-Normal4"/>
        <w:spacing w:before="160" w:after="0" w:line="240" w:lineRule="auto"/>
        <w:jc w:val="both"/>
        <w:rPr>
          <w:rFonts w:eastAsia="Times New Roman" w:cs="Times New Roman"/>
          <w:noProof/>
        </w:rPr>
      </w:pPr>
      <w:r>
        <w:rPr>
          <w:noProof/>
        </w:rPr>
        <w:t>Umowa gwarancyjna między Komisją a partnerem wykonawczym, wybrana zgodnie z odpowiednimi przepisami rozporządzenia Parlamentu Europejskiego i Rady (UE) 2021/523 z dnia 24 marca 20</w:t>
      </w:r>
      <w:r w:rsidRPr="00A1618E">
        <w:rPr>
          <w:noProof/>
          <w:lang w:val="pl-PL"/>
        </w:rPr>
        <w:t>21 r.</w:t>
      </w:r>
      <w:r>
        <w:rPr>
          <w:noProof/>
        </w:rPr>
        <w:t xml:space="preserve"> ustanawiającego Program InvestEU i zmieniającego rozporządzenie (UE) 2015/1017, wchodzi w życie. Hiszpania zaproponowała EFI jako partnera wykonawczego do celów wdrożenia tego środka.</w:t>
      </w:r>
    </w:p>
    <w:p w14:paraId="75AD9FE1" w14:textId="38097391" w:rsidR="006578ED" w:rsidRDefault="00A1618E">
      <w:pPr>
        <w:pStyle w:val="P68B1DB1-Normal4"/>
        <w:spacing w:before="160" w:after="0" w:line="240" w:lineRule="auto"/>
        <w:jc w:val="both"/>
        <w:rPr>
          <w:rFonts w:eastAsia="Times New Roman" w:cs="Times New Roman"/>
          <w:noProof/>
        </w:rPr>
      </w:pPr>
      <w:r>
        <w:rPr>
          <w:noProof/>
        </w:rPr>
        <w:t xml:space="preserve">Hiszpania podpisuje z Komisją Europejską umowę o przyznanie wkładu, która zawiera: </w:t>
      </w:r>
    </w:p>
    <w:p w14:paraId="20DB6344" w14:textId="77777777" w:rsidR="006578ED" w:rsidRDefault="00A1618E">
      <w:pPr>
        <w:pStyle w:val="P68B1DB1-ListParagraph7"/>
        <w:numPr>
          <w:ilvl w:val="0"/>
          <w:numId w:val="719"/>
        </w:numPr>
        <w:spacing w:before="160" w:after="0" w:line="240" w:lineRule="auto"/>
        <w:jc w:val="both"/>
        <w:rPr>
          <w:rFonts w:eastAsia="Times New Roman" w:cs="Times New Roman"/>
          <w:noProof/>
        </w:rPr>
      </w:pPr>
      <w:r>
        <w:rPr>
          <w:noProof/>
        </w:rPr>
        <w:t xml:space="preserve">Proponowany partner wykonawczy. </w:t>
      </w:r>
    </w:p>
    <w:p w14:paraId="13495C88" w14:textId="737B24DD" w:rsidR="006578ED" w:rsidRDefault="00A1618E">
      <w:pPr>
        <w:pStyle w:val="ListParagraph"/>
        <w:numPr>
          <w:ilvl w:val="0"/>
          <w:numId w:val="719"/>
        </w:numPr>
        <w:spacing w:before="160" w:after="0" w:line="240" w:lineRule="auto"/>
        <w:jc w:val="both"/>
        <w:rPr>
          <w:rFonts w:ascii="Times New Roman" w:eastAsia="Times New Roman" w:hAnsi="Times New Roman" w:cs="Times New Roman"/>
          <w:noProof/>
          <w:sz w:val="24"/>
        </w:rPr>
      </w:pPr>
      <w:r>
        <w:rPr>
          <w:rFonts w:ascii="Times New Roman" w:hAnsi="Times New Roman"/>
          <w:noProof/>
          <w:sz w:val="24"/>
        </w:rPr>
        <w:t>Wymóg zgodności z wytycznymi technicznymi dotyczącymi zasady „nie czyń poważnych szkód” (2021/C58/01). W razie potrzeby umowa gwarancyjna wyłącza z kwalifikowalności następujący wykaz działań i aktywów: działalności i aktywów związanych z paliwami kopalnymi, w tym wykorzystania niższego szczebla</w:t>
      </w:r>
      <w:r>
        <w:rPr>
          <w:rStyle w:val="FootnoteReference"/>
          <w:rFonts w:ascii="Times New Roman" w:eastAsia="Times New Roman" w:hAnsi="Times New Roman" w:cs="Times New Roman"/>
          <w:noProof/>
          <w:sz w:val="24"/>
        </w:rPr>
        <w:footnoteReference w:id="148"/>
      </w:r>
      <w:r>
        <w:rPr>
          <w:rFonts w:ascii="Times New Roman" w:hAnsi="Times New Roman"/>
          <w:noProof/>
          <w:sz w:val="24"/>
        </w:rPr>
        <w:t>; działania i aktywa w ramach unijnego systemu handlu uprawnieniami do emisji (ETS) zapewniające prognozowane emisje gazów cieplarnianych, które nie są niższe od odpowiednich wskaźników referencyjnych</w:t>
      </w:r>
      <w:r>
        <w:rPr>
          <w:rStyle w:val="FootnoteReference"/>
          <w:rFonts w:ascii="Times New Roman" w:eastAsia="Times New Roman" w:hAnsi="Times New Roman" w:cs="Times New Roman"/>
          <w:noProof/>
          <w:sz w:val="24"/>
        </w:rPr>
        <w:footnoteReference w:id="149"/>
      </w:r>
      <w:r>
        <w:rPr>
          <w:rFonts w:ascii="Times New Roman" w:hAnsi="Times New Roman"/>
          <w:noProof/>
          <w:sz w:val="24"/>
        </w:rPr>
        <w:t>; działalność i aktywa związane ze składowiskami odpadów, spalarniami</w:t>
      </w:r>
      <w:r>
        <w:rPr>
          <w:rStyle w:val="FootnoteReference"/>
          <w:rFonts w:ascii="Times New Roman" w:eastAsia="Times New Roman" w:hAnsi="Times New Roman" w:cs="Times New Roman"/>
          <w:noProof/>
          <w:sz w:val="24"/>
        </w:rPr>
        <w:footnoteReference w:id="150"/>
      </w:r>
      <w:r>
        <w:rPr>
          <w:rFonts w:ascii="Times New Roman" w:hAnsi="Times New Roman"/>
          <w:noProof/>
          <w:sz w:val="24"/>
        </w:rPr>
        <w:t xml:space="preserve"> i zakładami mechaniczno-biologicznego przetwarzania odpadów</w:t>
      </w:r>
      <w:r>
        <w:rPr>
          <w:rStyle w:val="FootnoteReference"/>
          <w:rFonts w:ascii="Times New Roman" w:eastAsia="Times New Roman" w:hAnsi="Times New Roman" w:cs="Times New Roman"/>
          <w:noProof/>
          <w:sz w:val="24"/>
        </w:rPr>
        <w:footnoteReference w:id="151"/>
      </w:r>
      <w:r>
        <w:rPr>
          <w:rFonts w:ascii="Times New Roman" w:hAnsi="Times New Roman"/>
          <w:noProof/>
          <w:sz w:val="24"/>
        </w:rPr>
        <w:t>.</w:t>
      </w:r>
    </w:p>
    <w:p w14:paraId="600CE2FF" w14:textId="04A85FDC" w:rsidR="006578ED" w:rsidRDefault="00A1618E">
      <w:pPr>
        <w:pStyle w:val="P68B1DB1-Normal4"/>
        <w:rPr>
          <w:rFonts w:eastAsia="Times New Roman" w:cs="Times New Roman"/>
          <w:noProof/>
        </w:rPr>
      </w:pPr>
      <w:r>
        <w:rPr>
          <w:noProof/>
        </w:rPr>
        <w:t>Wdrożenie środka należy zakończyć do dnia 31 sierpnia 20</w:t>
      </w:r>
      <w:r w:rsidRPr="00A1618E">
        <w:rPr>
          <w:noProof/>
          <w:lang w:val="pl-PL"/>
        </w:rPr>
        <w:t>26 r.</w:t>
      </w:r>
    </w:p>
    <w:bookmarkEnd w:id="44"/>
    <w:bookmarkEnd w:id="45"/>
    <w:p w14:paraId="63516851" w14:textId="0E21389C" w:rsidR="006578ED" w:rsidRDefault="00AF6B91">
      <w:pPr>
        <w:pStyle w:val="P68B1DB1-paragraph31"/>
        <w:spacing w:before="0" w:beforeAutospacing="0" w:after="0" w:afterAutospacing="0"/>
        <w:ind w:left="720"/>
        <w:jc w:val="both"/>
        <w:textAlignment w:val="baseline"/>
        <w:rPr>
          <w:rFonts w:cs="Times New Roman"/>
          <w:noProof/>
        </w:rPr>
      </w:pPr>
      <w:r>
        <w:rPr>
          <w:noProof/>
        </w:rPr>
        <w:t xml:space="preserve">Kamień milowy.4. </w:t>
      </w:r>
      <w:r>
        <w:rPr>
          <w:noProof/>
        </w:rPr>
        <w:tab/>
        <w:t>Cele pośrednie, wartości docelowe, wskaźniki oraz harmonogram monitorowania</w:t>
      </w:r>
      <w:r w:rsidR="00A1618E">
        <w:rPr>
          <w:noProof/>
        </w:rPr>
        <w:t xml:space="preserve"> i wdr</w:t>
      </w:r>
      <w:r>
        <w:rPr>
          <w:noProof/>
        </w:rPr>
        <w:t>ażania wsparcia</w:t>
      </w:r>
      <w:r w:rsidR="00A1618E">
        <w:rPr>
          <w:noProof/>
        </w:rPr>
        <w:t xml:space="preserve"> w for</w:t>
      </w:r>
      <w:r>
        <w:rPr>
          <w:noProof/>
        </w:rPr>
        <w:t>mie pożyczek</w:t>
      </w:r>
    </w:p>
    <w:p w14:paraId="06DF55F9" w14:textId="3E7724DF" w:rsidR="006578ED" w:rsidRDefault="006578ED">
      <w:pPr>
        <w:pStyle w:val="paragraph"/>
        <w:spacing w:before="0" w:beforeAutospacing="0" w:after="0" w:afterAutospacing="0"/>
        <w:jc w:val="both"/>
        <w:textAlignment w:val="baseline"/>
        <w:rPr>
          <w:rFonts w:ascii="Times New Roman" w:hAnsi="Times New Roman" w:cs="Times New Roman"/>
          <w:b/>
          <w:noProof/>
          <w:u w:val="single"/>
        </w:rPr>
      </w:pPr>
    </w:p>
    <w:p w14:paraId="7BCE618A" w14:textId="3E2C413D" w:rsidR="006578ED" w:rsidRDefault="00A1618E">
      <w:pPr>
        <w:pStyle w:val="P68B1DB1-paragraph25"/>
        <w:spacing w:before="0" w:beforeAutospacing="0" w:after="0" w:afterAutospacing="0"/>
        <w:jc w:val="both"/>
        <w:textAlignment w:val="baseline"/>
        <w:rPr>
          <w:rFonts w:cs="Times New Roman"/>
          <w:b/>
          <w:noProof/>
          <w:u w:val="single"/>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w:t>
      </w:r>
    </w:p>
    <w:p w14:paraId="1DAFA8BA" w14:textId="77777777" w:rsidR="006578ED" w:rsidRDefault="006578ED">
      <w:pPr>
        <w:rPr>
          <w:rFonts w:ascii="Times New Roman" w:hAnsi="Times New Roman" w:cs="Times New Roman"/>
          <w:noProof/>
          <w:sz w:val="24"/>
        </w:rPr>
        <w:sectPr w:rsidR="006578ED" w:rsidSect="00EB7CC8">
          <w:headerReference w:type="even" r:id="rId282"/>
          <w:headerReference w:type="default" r:id="rId283"/>
          <w:footerReference w:type="even" r:id="rId284"/>
          <w:footerReference w:type="default" r:id="rId285"/>
          <w:headerReference w:type="first" r:id="rId286"/>
          <w:footerReference w:type="first" r:id="rId287"/>
          <w:pgSz w:w="11907" w:h="16839"/>
          <w:pgMar w:top="1134" w:right="1417" w:bottom="1134" w:left="1417" w:header="709" w:footer="709" w:gutter="0"/>
          <w:cols w:space="720"/>
          <w:docGrid w:linePitch="360"/>
        </w:sectPr>
      </w:pPr>
    </w:p>
    <w:tbl>
      <w:tblPr>
        <w:tblW w:w="14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850"/>
        <w:gridCol w:w="851"/>
        <w:gridCol w:w="2268"/>
        <w:gridCol w:w="1134"/>
        <w:gridCol w:w="709"/>
        <w:gridCol w:w="708"/>
        <w:gridCol w:w="709"/>
        <w:gridCol w:w="709"/>
        <w:gridCol w:w="709"/>
        <w:gridCol w:w="4958"/>
      </w:tblGrid>
      <w:tr w:rsidR="006578ED" w14:paraId="009AA642" w14:textId="77777777">
        <w:trPr>
          <w:trHeight w:val="300"/>
          <w:tblHeader/>
        </w:trPr>
        <w:tc>
          <w:tcPr>
            <w:tcW w:w="846" w:type="dxa"/>
            <w:vMerge w:val="restart"/>
            <w:shd w:val="clear" w:color="auto" w:fill="C6D9F1" w:themeFill="text2" w:themeFillTint="33"/>
            <w:vAlign w:val="center"/>
            <w:hideMark/>
          </w:tcPr>
          <w:p w14:paraId="228A799E" w14:textId="77777777" w:rsidR="006578ED" w:rsidRDefault="00A1618E">
            <w:pPr>
              <w:pStyle w:val="P68B1DB1-Normal13"/>
              <w:spacing w:after="0" w:line="240" w:lineRule="auto"/>
              <w:jc w:val="center"/>
              <w:textAlignment w:val="baseline"/>
              <w:rPr>
                <w:rFonts w:eastAsia="Times New Roman" w:cs="Times New Roman"/>
                <w:noProof/>
              </w:rPr>
            </w:pPr>
            <w:r>
              <w:rPr>
                <w:b/>
                <w:noProof/>
              </w:rPr>
              <w:t>Liczba</w:t>
            </w:r>
            <w:r>
              <w:rPr>
                <w:noProof/>
              </w:rPr>
              <w:t> </w:t>
            </w:r>
          </w:p>
          <w:p w14:paraId="54770E32" w14:textId="35686B28" w:rsidR="006578ED" w:rsidRDefault="00A1618E">
            <w:pPr>
              <w:pStyle w:val="P68B1DB1-Normal13"/>
              <w:spacing w:after="0" w:line="240" w:lineRule="auto"/>
              <w:jc w:val="center"/>
              <w:textAlignment w:val="baseline"/>
              <w:rPr>
                <w:rFonts w:eastAsia="Times New Roman" w:cs="Times New Roman"/>
                <w:noProof/>
              </w:rPr>
            </w:pPr>
            <w:r>
              <w:rPr>
                <w:noProof/>
              </w:rPr>
              <w:t> </w:t>
            </w:r>
          </w:p>
        </w:tc>
        <w:tc>
          <w:tcPr>
            <w:tcW w:w="850" w:type="dxa"/>
            <w:vMerge w:val="restart"/>
            <w:shd w:val="clear" w:color="auto" w:fill="C6D9F1" w:themeFill="text2" w:themeFillTint="33"/>
            <w:vAlign w:val="center"/>
            <w:hideMark/>
          </w:tcPr>
          <w:p w14:paraId="16242CC3" w14:textId="77777777" w:rsidR="006578ED" w:rsidRDefault="00A1618E">
            <w:pPr>
              <w:pStyle w:val="P68B1DB1-Normal13"/>
              <w:spacing w:after="0" w:line="240" w:lineRule="auto"/>
              <w:jc w:val="center"/>
              <w:textAlignment w:val="baseline"/>
              <w:rPr>
                <w:rFonts w:eastAsia="Times New Roman" w:cs="Times New Roman"/>
                <w:noProof/>
              </w:rPr>
            </w:pPr>
            <w:r>
              <w:rPr>
                <w:b/>
                <w:noProof/>
              </w:rPr>
              <w:t>Środek</w:t>
            </w:r>
            <w:r>
              <w:rPr>
                <w:noProof/>
              </w:rPr>
              <w:t> </w:t>
            </w:r>
          </w:p>
          <w:p w14:paraId="76686C5A" w14:textId="04D5F8CE" w:rsidR="006578ED" w:rsidRDefault="00A1618E">
            <w:pPr>
              <w:pStyle w:val="P68B1DB1-Normal13"/>
              <w:spacing w:after="0" w:line="240" w:lineRule="auto"/>
              <w:jc w:val="center"/>
              <w:textAlignment w:val="baseline"/>
              <w:rPr>
                <w:rFonts w:eastAsia="Times New Roman" w:cs="Times New Roman"/>
                <w:noProof/>
              </w:rPr>
            </w:pPr>
            <w:r>
              <w:rPr>
                <w:noProof/>
              </w:rPr>
              <w:t> </w:t>
            </w:r>
          </w:p>
        </w:tc>
        <w:tc>
          <w:tcPr>
            <w:tcW w:w="851" w:type="dxa"/>
            <w:vMerge w:val="restart"/>
            <w:shd w:val="clear" w:color="auto" w:fill="C6D9F1" w:themeFill="text2" w:themeFillTint="33"/>
            <w:vAlign w:val="center"/>
            <w:hideMark/>
          </w:tcPr>
          <w:p w14:paraId="4C2BB3AE" w14:textId="750746FA" w:rsidR="006578ED" w:rsidRDefault="00EC188C">
            <w:pPr>
              <w:pStyle w:val="P68B1DB1-Normal8"/>
              <w:spacing w:after="0" w:line="240" w:lineRule="auto"/>
              <w:jc w:val="center"/>
              <w:textAlignment w:val="baseline"/>
              <w:rPr>
                <w:rFonts w:eastAsia="Times New Roman" w:cs="Times New Roman"/>
                <w:noProof/>
                <w:sz w:val="18"/>
              </w:rPr>
            </w:pPr>
            <w:r>
              <w:rPr>
                <w:b/>
                <w:noProof/>
                <w:sz w:val="18"/>
              </w:rPr>
              <w:t>Kamień milowy</w:t>
            </w:r>
            <w:r>
              <w:rPr>
                <w:noProof/>
                <w:sz w:val="18"/>
              </w:rPr>
              <w:t xml:space="preserve"> </w:t>
            </w:r>
            <w:r>
              <w:rPr>
                <w:noProof/>
                <w:shd w:val="clear" w:color="auto" w:fill="E6E6E6"/>
              </w:rPr>
              <w:br/>
            </w:r>
            <w:r>
              <w:rPr>
                <w:b/>
                <w:noProof/>
                <w:sz w:val="18"/>
              </w:rPr>
              <w:t>/</w:t>
            </w:r>
            <w:r w:rsidR="00AF6B91">
              <w:rPr>
                <w:b/>
                <w:noProof/>
                <w:sz w:val="18"/>
              </w:rPr>
              <w:t>Wartość docelowa</w:t>
            </w:r>
            <w:r>
              <w:rPr>
                <w:noProof/>
                <w:sz w:val="18"/>
              </w:rPr>
              <w:t> </w:t>
            </w:r>
          </w:p>
          <w:p w14:paraId="1F11B0E2" w14:textId="43990835" w:rsidR="006578ED" w:rsidRDefault="00A1618E">
            <w:pPr>
              <w:pStyle w:val="P68B1DB1-Normal13"/>
              <w:spacing w:after="0" w:line="240" w:lineRule="auto"/>
              <w:jc w:val="center"/>
              <w:textAlignment w:val="baseline"/>
              <w:rPr>
                <w:rFonts w:eastAsia="Times New Roman" w:cs="Times New Roman"/>
                <w:noProof/>
              </w:rPr>
            </w:pPr>
            <w:r>
              <w:rPr>
                <w:noProof/>
              </w:rPr>
              <w:t> </w:t>
            </w:r>
          </w:p>
        </w:tc>
        <w:tc>
          <w:tcPr>
            <w:tcW w:w="2268" w:type="dxa"/>
            <w:vMerge w:val="restart"/>
            <w:shd w:val="clear" w:color="auto" w:fill="C6D9F1" w:themeFill="text2" w:themeFillTint="33"/>
            <w:vAlign w:val="center"/>
            <w:hideMark/>
          </w:tcPr>
          <w:p w14:paraId="67F7FFCD" w14:textId="77777777" w:rsidR="006578ED" w:rsidRDefault="00A1618E">
            <w:pPr>
              <w:pStyle w:val="P68B1DB1-Normal13"/>
              <w:spacing w:after="0" w:line="240" w:lineRule="auto"/>
              <w:jc w:val="center"/>
              <w:textAlignment w:val="baseline"/>
              <w:rPr>
                <w:rFonts w:eastAsia="Times New Roman" w:cs="Times New Roman"/>
                <w:noProof/>
              </w:rPr>
            </w:pPr>
            <w:r>
              <w:rPr>
                <w:b/>
                <w:noProof/>
              </w:rPr>
              <w:t>Nazwa</w:t>
            </w:r>
            <w:r>
              <w:rPr>
                <w:noProof/>
              </w:rPr>
              <w:t> </w:t>
            </w:r>
          </w:p>
          <w:p w14:paraId="04BB8F11" w14:textId="301D47E5" w:rsidR="006578ED" w:rsidRDefault="00A1618E">
            <w:pPr>
              <w:pStyle w:val="P68B1DB1-Normal13"/>
              <w:spacing w:after="0" w:line="240" w:lineRule="auto"/>
              <w:textAlignment w:val="baseline"/>
              <w:rPr>
                <w:rFonts w:eastAsia="Times New Roman" w:cs="Times New Roman"/>
                <w:noProof/>
              </w:rPr>
            </w:pPr>
            <w:r>
              <w:rPr>
                <w:noProof/>
              </w:rPr>
              <w:t> </w:t>
            </w:r>
          </w:p>
        </w:tc>
        <w:tc>
          <w:tcPr>
            <w:tcW w:w="1134" w:type="dxa"/>
            <w:vMerge w:val="restart"/>
            <w:shd w:val="clear" w:color="auto" w:fill="C6D9F1" w:themeFill="text2" w:themeFillTint="33"/>
            <w:vAlign w:val="center"/>
            <w:hideMark/>
          </w:tcPr>
          <w:p w14:paraId="1FD58E81" w14:textId="77777777" w:rsidR="006578ED" w:rsidRDefault="00A1618E">
            <w:pPr>
              <w:pStyle w:val="P68B1DB1-Normal13"/>
              <w:spacing w:after="0" w:line="240" w:lineRule="auto"/>
              <w:jc w:val="center"/>
              <w:textAlignment w:val="baseline"/>
              <w:rPr>
                <w:rFonts w:eastAsia="Times New Roman" w:cs="Times New Roman"/>
                <w:noProof/>
              </w:rPr>
            </w:pPr>
            <w:r>
              <w:rPr>
                <w:b/>
                <w:noProof/>
              </w:rPr>
              <w:t>Wskaźnik jakościowy dla celów pośrednich</w:t>
            </w:r>
            <w:r>
              <w:rPr>
                <w:noProof/>
              </w:rPr>
              <w:t> </w:t>
            </w:r>
          </w:p>
          <w:p w14:paraId="2A6C4529" w14:textId="5EC89C64" w:rsidR="006578ED" w:rsidRDefault="00A1618E">
            <w:pPr>
              <w:pStyle w:val="P68B1DB1-Normal13"/>
              <w:spacing w:after="0" w:line="240" w:lineRule="auto"/>
              <w:jc w:val="center"/>
              <w:textAlignment w:val="baseline"/>
              <w:rPr>
                <w:rFonts w:eastAsia="Times New Roman" w:cs="Times New Roman"/>
                <w:noProof/>
              </w:rPr>
            </w:pPr>
            <w:r>
              <w:rPr>
                <w:noProof/>
              </w:rPr>
              <w:t> </w:t>
            </w:r>
          </w:p>
        </w:tc>
        <w:tc>
          <w:tcPr>
            <w:tcW w:w="2126" w:type="dxa"/>
            <w:gridSpan w:val="3"/>
            <w:shd w:val="clear" w:color="auto" w:fill="C6D9F1" w:themeFill="text2" w:themeFillTint="33"/>
            <w:vAlign w:val="center"/>
            <w:hideMark/>
          </w:tcPr>
          <w:p w14:paraId="16A60266" w14:textId="77777777" w:rsidR="006578ED" w:rsidRDefault="00A1618E">
            <w:pPr>
              <w:pStyle w:val="P68B1DB1-Normal13"/>
              <w:spacing w:after="0" w:line="240" w:lineRule="auto"/>
              <w:jc w:val="center"/>
              <w:textAlignment w:val="baseline"/>
              <w:rPr>
                <w:rFonts w:eastAsia="Times New Roman" w:cs="Times New Roman"/>
                <w:noProof/>
              </w:rPr>
            </w:pPr>
            <w:r>
              <w:rPr>
                <w:b/>
                <w:noProof/>
              </w:rPr>
              <w:t>Wskaźnik ilościowy dla celu</w:t>
            </w:r>
            <w:r>
              <w:rPr>
                <w:noProof/>
              </w:rPr>
              <w:t> </w:t>
            </w:r>
          </w:p>
        </w:tc>
        <w:tc>
          <w:tcPr>
            <w:tcW w:w="1418" w:type="dxa"/>
            <w:gridSpan w:val="2"/>
            <w:shd w:val="clear" w:color="auto" w:fill="C6D9F1" w:themeFill="text2" w:themeFillTint="33"/>
            <w:vAlign w:val="center"/>
            <w:hideMark/>
          </w:tcPr>
          <w:p w14:paraId="79B6C7FC" w14:textId="77777777" w:rsidR="006578ED" w:rsidRDefault="00A1618E">
            <w:pPr>
              <w:pStyle w:val="P68B1DB1-Normal13"/>
              <w:spacing w:after="0" w:line="240" w:lineRule="auto"/>
              <w:jc w:val="center"/>
              <w:textAlignment w:val="baseline"/>
              <w:rPr>
                <w:rFonts w:eastAsia="Times New Roman" w:cs="Times New Roman"/>
                <w:noProof/>
              </w:rPr>
            </w:pPr>
            <w:r>
              <w:rPr>
                <w:b/>
                <w:noProof/>
              </w:rPr>
              <w:t>Czas</w:t>
            </w:r>
            <w:r>
              <w:rPr>
                <w:noProof/>
              </w:rPr>
              <w:t> </w:t>
            </w:r>
          </w:p>
        </w:tc>
        <w:tc>
          <w:tcPr>
            <w:tcW w:w="4958" w:type="dxa"/>
            <w:vMerge w:val="restart"/>
            <w:shd w:val="clear" w:color="auto" w:fill="C6D9F1" w:themeFill="text2" w:themeFillTint="33"/>
            <w:vAlign w:val="center"/>
            <w:hideMark/>
          </w:tcPr>
          <w:p w14:paraId="76717449" w14:textId="6DA35A90" w:rsidR="006578ED" w:rsidRDefault="00A1618E">
            <w:pPr>
              <w:pStyle w:val="P68B1DB1-Normal13"/>
              <w:spacing w:after="0" w:line="240" w:lineRule="auto"/>
              <w:jc w:val="center"/>
              <w:textAlignment w:val="baseline"/>
              <w:rPr>
                <w:rFonts w:eastAsia="Times New Roman" w:cs="Times New Roman"/>
                <w:noProof/>
              </w:rPr>
            </w:pPr>
            <w:r>
              <w:rPr>
                <w:b/>
                <w:noProof/>
              </w:rPr>
              <w:t>Opis każdego celu pośredniego i celu końcowego</w:t>
            </w:r>
            <w:r>
              <w:rPr>
                <w:noProof/>
              </w:rPr>
              <w:t> </w:t>
            </w:r>
          </w:p>
          <w:p w14:paraId="742312F1" w14:textId="79871565" w:rsidR="006578ED" w:rsidRDefault="00A1618E">
            <w:pPr>
              <w:pStyle w:val="P68B1DB1-Normal13"/>
              <w:spacing w:after="0" w:line="240" w:lineRule="auto"/>
              <w:textAlignment w:val="baseline"/>
              <w:rPr>
                <w:rFonts w:eastAsia="Times New Roman" w:cs="Times New Roman"/>
                <w:noProof/>
              </w:rPr>
            </w:pPr>
            <w:r>
              <w:rPr>
                <w:noProof/>
              </w:rPr>
              <w:t> </w:t>
            </w:r>
          </w:p>
        </w:tc>
      </w:tr>
      <w:tr w:rsidR="006578ED" w14:paraId="65A4F62D" w14:textId="77777777">
        <w:trPr>
          <w:trHeight w:val="495"/>
          <w:tblHeader/>
        </w:trPr>
        <w:tc>
          <w:tcPr>
            <w:tcW w:w="846" w:type="dxa"/>
            <w:vMerge/>
            <w:shd w:val="clear" w:color="auto" w:fill="C6D9F1" w:themeFill="text2" w:themeFillTint="33"/>
            <w:hideMark/>
          </w:tcPr>
          <w:p w14:paraId="47E8EB72" w14:textId="3890B55D"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850" w:type="dxa"/>
            <w:vMerge/>
            <w:shd w:val="clear" w:color="auto" w:fill="C6D9F1" w:themeFill="text2" w:themeFillTint="33"/>
            <w:hideMark/>
          </w:tcPr>
          <w:p w14:paraId="4D9D5A78" w14:textId="6C04FB28"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851" w:type="dxa"/>
            <w:vMerge/>
            <w:shd w:val="clear" w:color="auto" w:fill="C6D9F1" w:themeFill="text2" w:themeFillTint="33"/>
            <w:hideMark/>
          </w:tcPr>
          <w:p w14:paraId="28A47BAC" w14:textId="3B79D6A1"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2268" w:type="dxa"/>
            <w:vMerge/>
            <w:shd w:val="clear" w:color="auto" w:fill="C6D9F1" w:themeFill="text2" w:themeFillTint="33"/>
            <w:hideMark/>
          </w:tcPr>
          <w:p w14:paraId="4929334D" w14:textId="7F2FCDD2" w:rsidR="006578ED" w:rsidRDefault="006578ED">
            <w:pPr>
              <w:spacing w:after="0" w:line="240" w:lineRule="auto"/>
              <w:textAlignment w:val="baseline"/>
              <w:rPr>
                <w:rFonts w:ascii="Times New Roman" w:eastAsia="Times New Roman" w:hAnsi="Times New Roman" w:cs="Times New Roman"/>
                <w:noProof/>
                <w:sz w:val="18"/>
              </w:rPr>
            </w:pPr>
          </w:p>
        </w:tc>
        <w:tc>
          <w:tcPr>
            <w:tcW w:w="1134" w:type="dxa"/>
            <w:vMerge/>
            <w:shd w:val="clear" w:color="auto" w:fill="C6D9F1" w:themeFill="text2" w:themeFillTint="33"/>
            <w:hideMark/>
          </w:tcPr>
          <w:p w14:paraId="4CA1E531" w14:textId="522CE838"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D9F1" w:themeFill="text2" w:themeFillTint="33"/>
            <w:vAlign w:val="center"/>
            <w:hideMark/>
          </w:tcPr>
          <w:p w14:paraId="79E268EE" w14:textId="77777777" w:rsidR="006578ED" w:rsidRDefault="00A1618E">
            <w:pPr>
              <w:pStyle w:val="P68B1DB1-Normal13"/>
              <w:spacing w:after="0" w:line="240" w:lineRule="auto"/>
              <w:jc w:val="center"/>
              <w:textAlignment w:val="baseline"/>
              <w:rPr>
                <w:rFonts w:eastAsia="Times New Roman" w:cs="Times New Roman"/>
                <w:noProof/>
              </w:rPr>
            </w:pPr>
            <w:r>
              <w:rPr>
                <w:b/>
                <w:noProof/>
              </w:rPr>
              <w:t>Jednostka</w:t>
            </w:r>
            <w:r>
              <w:rPr>
                <w:noProof/>
              </w:rPr>
              <w:t> </w:t>
            </w:r>
          </w:p>
        </w:tc>
        <w:tc>
          <w:tcPr>
            <w:tcW w:w="708" w:type="dxa"/>
            <w:shd w:val="clear" w:color="auto" w:fill="C6D9F1" w:themeFill="text2" w:themeFillTint="33"/>
            <w:vAlign w:val="center"/>
            <w:hideMark/>
          </w:tcPr>
          <w:p w14:paraId="7DE07462" w14:textId="7B033F9A" w:rsidR="006578ED" w:rsidRDefault="00A1618E">
            <w:pPr>
              <w:pStyle w:val="P68B1DB1-Normal13"/>
              <w:spacing w:after="0" w:line="240" w:lineRule="auto"/>
              <w:jc w:val="center"/>
              <w:textAlignment w:val="baseline"/>
              <w:rPr>
                <w:rFonts w:eastAsia="Times New Roman" w:cs="Times New Roman"/>
                <w:noProof/>
              </w:rPr>
            </w:pPr>
            <w:r>
              <w:rPr>
                <w:b/>
                <w:noProof/>
              </w:rPr>
              <w:t>Wartość wyjściowa</w:t>
            </w:r>
            <w:r>
              <w:rPr>
                <w:noProof/>
              </w:rPr>
              <w:t> </w:t>
            </w:r>
          </w:p>
        </w:tc>
        <w:tc>
          <w:tcPr>
            <w:tcW w:w="709" w:type="dxa"/>
            <w:shd w:val="clear" w:color="auto" w:fill="C6D9F1" w:themeFill="text2" w:themeFillTint="33"/>
            <w:vAlign w:val="center"/>
            <w:hideMark/>
          </w:tcPr>
          <w:p w14:paraId="26DDD29B" w14:textId="77777777" w:rsidR="006578ED" w:rsidRDefault="00A1618E">
            <w:pPr>
              <w:pStyle w:val="P68B1DB1-Normal13"/>
              <w:spacing w:after="0" w:line="240" w:lineRule="auto"/>
              <w:jc w:val="center"/>
              <w:textAlignment w:val="baseline"/>
              <w:rPr>
                <w:rFonts w:eastAsia="Times New Roman" w:cs="Times New Roman"/>
                <w:noProof/>
              </w:rPr>
            </w:pPr>
            <w:r>
              <w:rPr>
                <w:b/>
                <w:noProof/>
              </w:rPr>
              <w:t>Cel</w:t>
            </w:r>
            <w:r>
              <w:rPr>
                <w:noProof/>
              </w:rPr>
              <w:t> </w:t>
            </w:r>
          </w:p>
        </w:tc>
        <w:tc>
          <w:tcPr>
            <w:tcW w:w="709" w:type="dxa"/>
            <w:shd w:val="clear" w:color="auto" w:fill="C6D9F1" w:themeFill="text2" w:themeFillTint="33"/>
            <w:vAlign w:val="center"/>
            <w:hideMark/>
          </w:tcPr>
          <w:p w14:paraId="26E559A7" w14:textId="77777777" w:rsidR="006578ED" w:rsidRDefault="00A1618E">
            <w:pPr>
              <w:pStyle w:val="P68B1DB1-Normal13"/>
              <w:spacing w:after="0" w:line="240" w:lineRule="auto"/>
              <w:jc w:val="center"/>
              <w:textAlignment w:val="baseline"/>
              <w:rPr>
                <w:rFonts w:eastAsia="Times New Roman" w:cs="Times New Roman"/>
                <w:noProof/>
              </w:rPr>
            </w:pPr>
            <w:r>
              <w:rPr>
                <w:b/>
                <w:noProof/>
              </w:rPr>
              <w:t>Q</w:t>
            </w:r>
            <w:r>
              <w:rPr>
                <w:noProof/>
              </w:rPr>
              <w:t> </w:t>
            </w:r>
          </w:p>
        </w:tc>
        <w:tc>
          <w:tcPr>
            <w:tcW w:w="709" w:type="dxa"/>
            <w:shd w:val="clear" w:color="auto" w:fill="C6D9F1" w:themeFill="text2" w:themeFillTint="33"/>
            <w:vAlign w:val="center"/>
            <w:hideMark/>
          </w:tcPr>
          <w:p w14:paraId="47AD313C" w14:textId="77777777" w:rsidR="006578ED" w:rsidRDefault="00A1618E">
            <w:pPr>
              <w:pStyle w:val="P68B1DB1-Normal13"/>
              <w:spacing w:after="0" w:line="240" w:lineRule="auto"/>
              <w:jc w:val="center"/>
              <w:textAlignment w:val="baseline"/>
              <w:rPr>
                <w:rFonts w:eastAsia="Times New Roman" w:cs="Times New Roman"/>
                <w:noProof/>
              </w:rPr>
            </w:pPr>
            <w:r>
              <w:rPr>
                <w:b/>
                <w:noProof/>
              </w:rPr>
              <w:t>Rok</w:t>
            </w:r>
            <w:r>
              <w:rPr>
                <w:noProof/>
              </w:rPr>
              <w:t> </w:t>
            </w:r>
          </w:p>
        </w:tc>
        <w:tc>
          <w:tcPr>
            <w:tcW w:w="4958" w:type="dxa"/>
            <w:vMerge/>
            <w:shd w:val="clear" w:color="auto" w:fill="C6D9F1" w:themeFill="text2" w:themeFillTint="33"/>
            <w:hideMark/>
          </w:tcPr>
          <w:p w14:paraId="5A46B545" w14:textId="0E052537" w:rsidR="006578ED" w:rsidRDefault="006578ED">
            <w:pPr>
              <w:spacing w:after="0" w:line="240" w:lineRule="auto"/>
              <w:textAlignment w:val="baseline"/>
              <w:rPr>
                <w:rFonts w:ascii="Times New Roman" w:eastAsia="Times New Roman" w:hAnsi="Times New Roman" w:cs="Times New Roman"/>
                <w:noProof/>
                <w:sz w:val="18"/>
              </w:rPr>
            </w:pPr>
          </w:p>
        </w:tc>
      </w:tr>
      <w:tr w:rsidR="006578ED" w14:paraId="38DD0C1A" w14:textId="77777777">
        <w:trPr>
          <w:trHeight w:val="300"/>
        </w:trPr>
        <w:tc>
          <w:tcPr>
            <w:tcW w:w="846" w:type="dxa"/>
            <w:shd w:val="clear" w:color="auto" w:fill="C6EFCE"/>
            <w:hideMark/>
          </w:tcPr>
          <w:p w14:paraId="0484FB96" w14:textId="43DAF472" w:rsidR="006578ED" w:rsidRDefault="00A1618E">
            <w:pPr>
              <w:pStyle w:val="P68B1DB1-Normal13"/>
              <w:spacing w:after="0" w:line="240" w:lineRule="auto"/>
              <w:jc w:val="center"/>
              <w:textAlignment w:val="baseline"/>
              <w:rPr>
                <w:rFonts w:eastAsia="Times New Roman" w:cs="Times New Roman"/>
                <w:noProof/>
              </w:rPr>
            </w:pPr>
            <w:r>
              <w:rPr>
                <w:noProof/>
              </w:rPr>
              <w:t xml:space="preserve">L25 </w:t>
            </w:r>
          </w:p>
        </w:tc>
        <w:tc>
          <w:tcPr>
            <w:tcW w:w="850" w:type="dxa"/>
            <w:shd w:val="clear" w:color="auto" w:fill="C6EFCE"/>
            <w:hideMark/>
          </w:tcPr>
          <w:p w14:paraId="7CB457CB" w14:textId="77777777"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hideMark/>
          </w:tcPr>
          <w:p w14:paraId="2D9910B1" w14:textId="6B8A0079" w:rsidR="006578ED" w:rsidRDefault="00AF6B91">
            <w:pPr>
              <w:pStyle w:val="P68B1DB1-Normal13"/>
              <w:spacing w:after="0" w:line="240" w:lineRule="auto"/>
              <w:jc w:val="center"/>
              <w:textAlignment w:val="baseline"/>
              <w:rPr>
                <w:rFonts w:eastAsia="Times New Roman" w:cs="Times New Roman"/>
                <w:noProof/>
              </w:rPr>
            </w:pPr>
            <w:r>
              <w:rPr>
                <w:noProof/>
              </w:rPr>
              <w:t>Kamień milowy </w:t>
            </w:r>
          </w:p>
        </w:tc>
        <w:tc>
          <w:tcPr>
            <w:tcW w:w="2268" w:type="dxa"/>
            <w:shd w:val="clear" w:color="auto" w:fill="C6EFCE"/>
            <w:hideMark/>
          </w:tcPr>
          <w:p w14:paraId="64221936" w14:textId="1E1CE59E" w:rsidR="006578ED" w:rsidRDefault="00A1618E">
            <w:pPr>
              <w:pStyle w:val="P68B1DB1-Normal13"/>
              <w:spacing w:after="0" w:line="240" w:lineRule="auto"/>
              <w:textAlignment w:val="baseline"/>
              <w:rPr>
                <w:rFonts w:eastAsia="Times New Roman" w:cs="Times New Roman"/>
                <w:noProof/>
              </w:rPr>
            </w:pPr>
            <w:r>
              <w:rPr>
                <w:noProof/>
              </w:rPr>
              <w:t>Porozumienie wykonawcze z ICO w sprawie zielonej linii</w:t>
            </w:r>
          </w:p>
        </w:tc>
        <w:tc>
          <w:tcPr>
            <w:tcW w:w="1134" w:type="dxa"/>
            <w:shd w:val="clear" w:color="auto" w:fill="C6EFCE"/>
            <w:hideMark/>
          </w:tcPr>
          <w:p w14:paraId="0B2E0E54" w14:textId="3C7FD2C3" w:rsidR="006578ED" w:rsidRDefault="00A1618E">
            <w:pPr>
              <w:pStyle w:val="P68B1DB1-Normal13"/>
              <w:spacing w:after="0" w:line="240" w:lineRule="auto"/>
              <w:jc w:val="center"/>
              <w:textAlignment w:val="baseline"/>
              <w:rPr>
                <w:rFonts w:eastAsia="Times New Roman" w:cs="Times New Roman"/>
                <w:noProof/>
              </w:rPr>
            </w:pPr>
            <w:r>
              <w:rPr>
                <w:noProof/>
              </w:rPr>
              <w:t>Wejście w życie umowy wykonawczej </w:t>
            </w:r>
          </w:p>
        </w:tc>
        <w:tc>
          <w:tcPr>
            <w:tcW w:w="709" w:type="dxa"/>
            <w:shd w:val="clear" w:color="auto" w:fill="C6EFCE"/>
            <w:hideMark/>
          </w:tcPr>
          <w:p w14:paraId="00E85A9A" w14:textId="2A25A784" w:rsidR="006578ED" w:rsidRDefault="006578ED">
            <w:pPr>
              <w:pStyle w:val="P68B1DB1-Normal13"/>
              <w:spacing w:after="0" w:line="240" w:lineRule="auto"/>
              <w:jc w:val="center"/>
              <w:textAlignment w:val="baseline"/>
              <w:rPr>
                <w:rFonts w:eastAsia="Times New Roman" w:cs="Times New Roman"/>
                <w:noProof/>
              </w:rPr>
            </w:pPr>
          </w:p>
        </w:tc>
        <w:tc>
          <w:tcPr>
            <w:tcW w:w="708" w:type="dxa"/>
            <w:shd w:val="clear" w:color="auto" w:fill="C6EFCE"/>
            <w:hideMark/>
          </w:tcPr>
          <w:p w14:paraId="6CE86E41" w14:textId="01982D7A" w:rsidR="006578ED" w:rsidRDefault="006578ED">
            <w:pPr>
              <w:pStyle w:val="P68B1DB1-Normal13"/>
              <w:spacing w:after="0" w:line="240" w:lineRule="auto"/>
              <w:jc w:val="right"/>
              <w:textAlignment w:val="baseline"/>
              <w:rPr>
                <w:rFonts w:eastAsia="Times New Roman" w:cs="Times New Roman"/>
                <w:noProof/>
              </w:rPr>
            </w:pPr>
          </w:p>
        </w:tc>
        <w:tc>
          <w:tcPr>
            <w:tcW w:w="709" w:type="dxa"/>
            <w:shd w:val="clear" w:color="auto" w:fill="C6EFCE"/>
            <w:hideMark/>
          </w:tcPr>
          <w:p w14:paraId="2BDAA92E" w14:textId="46154F7A" w:rsidR="006578ED" w:rsidRDefault="006578ED">
            <w:pPr>
              <w:pStyle w:val="P68B1DB1-Normal13"/>
              <w:spacing w:after="0" w:line="240" w:lineRule="auto"/>
              <w:jc w:val="right"/>
              <w:textAlignment w:val="baseline"/>
              <w:rPr>
                <w:rFonts w:eastAsia="Times New Roman" w:cs="Times New Roman"/>
                <w:noProof/>
              </w:rPr>
            </w:pPr>
          </w:p>
        </w:tc>
        <w:tc>
          <w:tcPr>
            <w:tcW w:w="709" w:type="dxa"/>
            <w:shd w:val="clear" w:color="auto" w:fill="C6EFCE"/>
            <w:hideMark/>
          </w:tcPr>
          <w:p w14:paraId="7E990893" w14:textId="40E222E7" w:rsidR="006578ED" w:rsidRDefault="00EC188C">
            <w:pPr>
              <w:pStyle w:val="P68B1DB1-Normal13"/>
              <w:spacing w:after="0" w:line="240" w:lineRule="auto"/>
              <w:jc w:val="center"/>
              <w:textAlignment w:val="baseline"/>
              <w:rPr>
                <w:rFonts w:eastAsia="Times New Roman" w:cs="Times New Roman"/>
                <w:noProof/>
              </w:rPr>
            </w:pPr>
            <w:r>
              <w:rPr>
                <w:noProof/>
              </w:rPr>
              <w:t>KW. 4 </w:t>
            </w:r>
          </w:p>
        </w:tc>
        <w:tc>
          <w:tcPr>
            <w:tcW w:w="709" w:type="dxa"/>
            <w:shd w:val="clear" w:color="auto" w:fill="C6EFCE"/>
            <w:hideMark/>
          </w:tcPr>
          <w:p w14:paraId="4FEAD874" w14:textId="77777777" w:rsidR="006578ED" w:rsidRDefault="00A1618E">
            <w:pPr>
              <w:pStyle w:val="P68B1DB1-Normal13"/>
              <w:spacing w:after="0" w:line="240" w:lineRule="auto"/>
              <w:jc w:val="center"/>
              <w:textAlignment w:val="baseline"/>
              <w:rPr>
                <w:rFonts w:eastAsia="Times New Roman" w:cs="Times New Roman"/>
                <w:noProof/>
              </w:rPr>
            </w:pPr>
            <w:r>
              <w:rPr>
                <w:noProof/>
              </w:rPr>
              <w:t>2023 </w:t>
            </w:r>
          </w:p>
        </w:tc>
        <w:tc>
          <w:tcPr>
            <w:tcW w:w="4958" w:type="dxa"/>
            <w:shd w:val="clear" w:color="auto" w:fill="C6EFCE"/>
            <w:hideMark/>
          </w:tcPr>
          <w:p w14:paraId="7F7EA717" w14:textId="2B52F380" w:rsidR="006578ED" w:rsidRDefault="00A1618E">
            <w:pPr>
              <w:pStyle w:val="P68B1DB1-Normal13"/>
              <w:spacing w:after="0" w:line="240" w:lineRule="auto"/>
              <w:textAlignment w:val="baseline"/>
              <w:rPr>
                <w:rFonts w:eastAsia="Times New Roman" w:cs="Times New Roman"/>
                <w:noProof/>
              </w:rPr>
            </w:pPr>
            <w:r>
              <w:rPr>
                <w:noProof/>
              </w:rPr>
              <w:t>Wejście w życie umowy wykonawczej.</w:t>
            </w:r>
          </w:p>
        </w:tc>
      </w:tr>
      <w:tr w:rsidR="006578ED" w14:paraId="58AE24B1" w14:textId="77777777">
        <w:trPr>
          <w:trHeight w:val="300"/>
        </w:trPr>
        <w:tc>
          <w:tcPr>
            <w:tcW w:w="846" w:type="dxa"/>
            <w:shd w:val="clear" w:color="auto" w:fill="C6EFCE"/>
          </w:tcPr>
          <w:p w14:paraId="3E5F2996" w14:textId="7B963C64" w:rsidR="006578ED" w:rsidRDefault="00A1618E">
            <w:pPr>
              <w:pStyle w:val="P68B1DB1-Normal13"/>
              <w:spacing w:after="0" w:line="240" w:lineRule="auto"/>
              <w:jc w:val="center"/>
              <w:textAlignment w:val="baseline"/>
              <w:rPr>
                <w:rFonts w:eastAsia="Times New Roman" w:cs="Times New Roman"/>
                <w:noProof/>
              </w:rPr>
            </w:pPr>
            <w:r>
              <w:rPr>
                <w:noProof/>
              </w:rPr>
              <w:t>L25a</w:t>
            </w:r>
          </w:p>
        </w:tc>
        <w:tc>
          <w:tcPr>
            <w:tcW w:w="850" w:type="dxa"/>
            <w:shd w:val="clear" w:color="auto" w:fill="C6EFCE"/>
          </w:tcPr>
          <w:p w14:paraId="63CB3941" w14:textId="08A2DD43"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066063AF" w14:textId="2C3CF5A7"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3ADCE7B9" w14:textId="4538D939" w:rsidR="006578ED" w:rsidRDefault="00A1618E">
            <w:pPr>
              <w:pStyle w:val="P68B1DB1-Normal13"/>
              <w:spacing w:after="0" w:line="240" w:lineRule="auto"/>
              <w:textAlignment w:val="baseline"/>
              <w:rPr>
                <w:rFonts w:eastAsia="Times New Roman" w:cs="Times New Roman"/>
                <w:noProof/>
              </w:rPr>
            </w:pPr>
            <w:r>
              <w:rPr>
                <w:noProof/>
              </w:rPr>
              <w:t>Zielona linia ICO – umowy prawne podpisane z beneficjentami końcowymi (w tym funduszami kapitałowymi) (I)</w:t>
            </w:r>
          </w:p>
        </w:tc>
        <w:tc>
          <w:tcPr>
            <w:tcW w:w="1134" w:type="dxa"/>
            <w:shd w:val="clear" w:color="auto" w:fill="C6EFCE"/>
          </w:tcPr>
          <w:p w14:paraId="47B2720F"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3CE78BA" w14:textId="50FE46BF"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42FA31CA" w14:textId="45ECE08F" w:rsidR="006578ED" w:rsidRDefault="00A1618E">
            <w:pPr>
              <w:pStyle w:val="P68B1DB1-Normal13"/>
              <w:spacing w:after="0" w:line="240" w:lineRule="auto"/>
              <w:jc w:val="right"/>
              <w:textAlignment w:val="baseline"/>
              <w:rPr>
                <w:rFonts w:eastAsia="Times New Roman" w:cs="Times New Roman"/>
                <w:noProof/>
              </w:rPr>
            </w:pPr>
            <w:r>
              <w:rPr>
                <w:noProof/>
              </w:rPr>
              <w:t>0 %</w:t>
            </w:r>
          </w:p>
        </w:tc>
        <w:tc>
          <w:tcPr>
            <w:tcW w:w="709" w:type="dxa"/>
            <w:shd w:val="clear" w:color="auto" w:fill="C6EFCE"/>
          </w:tcPr>
          <w:p w14:paraId="2B6F9941" w14:textId="77777777" w:rsidR="006578ED" w:rsidRDefault="00A1618E">
            <w:pPr>
              <w:pStyle w:val="P68B1DB1-Normal13"/>
              <w:spacing w:after="0" w:line="240" w:lineRule="auto"/>
              <w:jc w:val="right"/>
              <w:textAlignment w:val="baseline"/>
              <w:rPr>
                <w:rFonts w:eastAsia="Times New Roman" w:cs="Times New Roman"/>
                <w:noProof/>
              </w:rPr>
            </w:pPr>
            <w:r>
              <w:rPr>
                <w:noProof/>
              </w:rPr>
              <w:t xml:space="preserve">15 % </w:t>
            </w:r>
          </w:p>
          <w:p w14:paraId="1354F165"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CBD6F75" w14:textId="4BE0B851" w:rsidR="006578ED" w:rsidRDefault="00EC188C">
            <w:pPr>
              <w:pStyle w:val="P68B1DB1-Normal13"/>
              <w:spacing w:after="0" w:line="240" w:lineRule="auto"/>
              <w:jc w:val="center"/>
              <w:textAlignment w:val="baseline"/>
              <w:rPr>
                <w:rFonts w:eastAsia="Times New Roman" w:cs="Times New Roman"/>
                <w:noProof/>
              </w:rPr>
            </w:pPr>
            <w:r>
              <w:rPr>
                <w:noProof/>
              </w:rPr>
              <w:t>KW. 4</w:t>
            </w:r>
          </w:p>
        </w:tc>
        <w:tc>
          <w:tcPr>
            <w:tcW w:w="709" w:type="dxa"/>
            <w:shd w:val="clear" w:color="auto" w:fill="C6EFCE"/>
          </w:tcPr>
          <w:p w14:paraId="4A69A515" w14:textId="13A47AD7" w:rsidR="006578ED" w:rsidRDefault="00A1618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51EEFEB4" w14:textId="49421F2B" w:rsidR="006578ED" w:rsidRDefault="00A1618E">
            <w:pPr>
              <w:pStyle w:val="P68B1DB1-Normal13"/>
              <w:spacing w:after="0" w:line="240" w:lineRule="auto"/>
              <w:textAlignment w:val="baseline"/>
              <w:rPr>
                <w:rFonts w:eastAsia="Times New Roman" w:cs="Times New Roman"/>
                <w:noProof/>
              </w:rPr>
            </w:pPr>
            <w:r>
              <w:rPr>
                <w:noProof/>
              </w:rPr>
              <w:t xml:space="preserve">ICO/Osi oraz pośrednicy wybrani przez ICO zawarli prawne umowy w sprawie finansowania z beneficjentami końcowymi (w tym funduszami kapitałowymi) na kwotę niezbędną do wykorzystania co najmniej 15 % inwestycji RRF w instrument (z uwzględnieniem opłat za zarządzanie). Co najmniej 2,5 % finansowania odpowiada umowom finansowym podpisanym z funduszami kapitałowymi, a co najmniej 50 % – umowami w sprawie finansowania podpisanymi z beneficjentami końcowymi w odniesieniu do wszystkich innych produktów inwestycyjnych (w tym bezpośrednich inwestycji kapitałowych dokonywanych przez partnera wykonawczego). Komisarz ds. Informacji sporządza sprawozdanie wyszczególniające udział tego finansowania, który przyczynia się do realizacji celów klimatycznych, stosując metodykę określoną w załączniku VI do rozporządzenia w sprawie RRF. </w:t>
            </w:r>
          </w:p>
        </w:tc>
      </w:tr>
      <w:tr w:rsidR="006578ED" w14:paraId="3DE10BF1" w14:textId="77777777">
        <w:trPr>
          <w:trHeight w:val="300"/>
        </w:trPr>
        <w:tc>
          <w:tcPr>
            <w:tcW w:w="846" w:type="dxa"/>
            <w:shd w:val="clear" w:color="auto" w:fill="C6EFCE"/>
          </w:tcPr>
          <w:p w14:paraId="132606E8" w14:textId="3028137B" w:rsidR="006578ED" w:rsidRDefault="00A1618E">
            <w:pPr>
              <w:pStyle w:val="P68B1DB1-Normal13"/>
              <w:spacing w:after="0" w:line="240" w:lineRule="auto"/>
              <w:jc w:val="center"/>
              <w:textAlignment w:val="baseline"/>
              <w:rPr>
                <w:rFonts w:eastAsia="Times New Roman" w:cs="Times New Roman"/>
                <w:noProof/>
              </w:rPr>
            </w:pPr>
            <w:r>
              <w:rPr>
                <w:noProof/>
              </w:rPr>
              <w:t>L26</w:t>
            </w:r>
          </w:p>
        </w:tc>
        <w:tc>
          <w:tcPr>
            <w:tcW w:w="850" w:type="dxa"/>
            <w:shd w:val="clear" w:color="auto" w:fill="C6EFCE"/>
          </w:tcPr>
          <w:p w14:paraId="34E3B45E" w14:textId="77777777"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1E8B5BEF" w14:textId="758AECDA"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635294DF" w14:textId="2EF70B4A" w:rsidR="006578ED" w:rsidRDefault="00A1618E">
            <w:pPr>
              <w:pStyle w:val="P68B1DB1-Normal13"/>
              <w:spacing w:after="0" w:line="240" w:lineRule="auto"/>
              <w:textAlignment w:val="baseline"/>
              <w:rPr>
                <w:rFonts w:eastAsia="Times New Roman" w:cs="Times New Roman"/>
                <w:noProof/>
              </w:rPr>
            </w:pPr>
            <w:r>
              <w:rPr>
                <w:noProof/>
              </w:rPr>
              <w:t>Zielona linia ICO – umowy prawne podpisane z beneficjentami końcowymi (w tym funduszami kapitałowymi) (II)</w:t>
            </w:r>
          </w:p>
        </w:tc>
        <w:tc>
          <w:tcPr>
            <w:tcW w:w="1134" w:type="dxa"/>
            <w:shd w:val="clear" w:color="auto" w:fill="C6EFCE"/>
          </w:tcPr>
          <w:p w14:paraId="72261FED" w14:textId="6022DB30"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397D884" w14:textId="256A234F"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4359F60D" w14:textId="0C8D1C03" w:rsidR="006578ED" w:rsidRDefault="00A1618E">
            <w:pPr>
              <w:pStyle w:val="P68B1DB1-Normal13"/>
              <w:spacing w:after="0" w:line="240" w:lineRule="auto"/>
              <w:jc w:val="center"/>
              <w:textAlignment w:val="baseline"/>
              <w:rPr>
                <w:rFonts w:eastAsia="Times New Roman" w:cs="Times New Roman"/>
                <w:noProof/>
              </w:rPr>
            </w:pPr>
            <w:r>
              <w:rPr>
                <w:noProof/>
              </w:rPr>
              <w:t>15 %</w:t>
            </w:r>
          </w:p>
        </w:tc>
        <w:tc>
          <w:tcPr>
            <w:tcW w:w="709" w:type="dxa"/>
            <w:shd w:val="clear" w:color="auto" w:fill="C6EFCE"/>
          </w:tcPr>
          <w:p w14:paraId="6D41301B" w14:textId="6D99ABAC" w:rsidR="006578ED" w:rsidRDefault="00A1618E">
            <w:pPr>
              <w:pStyle w:val="P68B1DB1-Normal13"/>
              <w:spacing w:after="0" w:line="240" w:lineRule="auto"/>
              <w:jc w:val="right"/>
              <w:textAlignment w:val="baseline"/>
              <w:rPr>
                <w:rFonts w:eastAsia="Times New Roman" w:cs="Times New Roman"/>
                <w:noProof/>
              </w:rPr>
            </w:pPr>
            <w:r>
              <w:rPr>
                <w:noProof/>
              </w:rPr>
              <w:t xml:space="preserve">50 % </w:t>
            </w:r>
          </w:p>
          <w:p w14:paraId="78DF5E69" w14:textId="1C4D9A76"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C35E3D9" w14:textId="6E180B51" w:rsidR="006578ED" w:rsidRDefault="00EC188C">
            <w:pPr>
              <w:pStyle w:val="P68B1DB1-Normal13"/>
              <w:spacing w:after="0" w:line="240" w:lineRule="auto"/>
              <w:jc w:val="center"/>
              <w:textAlignment w:val="baseline"/>
              <w:rPr>
                <w:rFonts w:eastAsia="Times New Roman" w:cs="Times New Roman"/>
                <w:noProof/>
              </w:rPr>
            </w:pPr>
            <w:r>
              <w:rPr>
                <w:noProof/>
              </w:rPr>
              <w:t>KW. 2</w:t>
            </w:r>
          </w:p>
        </w:tc>
        <w:tc>
          <w:tcPr>
            <w:tcW w:w="709" w:type="dxa"/>
            <w:shd w:val="clear" w:color="auto" w:fill="C6EFCE"/>
          </w:tcPr>
          <w:p w14:paraId="2A72BF7E"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37A7DD49" w14:textId="19AB5F5D" w:rsidR="006578ED" w:rsidRDefault="00A1618E">
            <w:pPr>
              <w:pStyle w:val="P68B1DB1-Normal13"/>
              <w:spacing w:after="0" w:line="240" w:lineRule="auto"/>
              <w:textAlignment w:val="baseline"/>
              <w:rPr>
                <w:rFonts w:eastAsia="Times New Roman" w:cs="Times New Roman"/>
                <w:b/>
                <w:noProof/>
              </w:rPr>
            </w:pPr>
            <w:r>
              <w:rPr>
                <w:noProof/>
              </w:rPr>
              <w:t xml:space="preserve">ICO/Osi oraz pośrednicy wybrani przez ICO zawarli prawne umowy w sprawie finansowania z beneficjentami końcowymi (w tym funduszami kapitałowymi) na kwotę niezbędną do wykorzystania co najmniej 50 % inwestycji RRF w instrument (z uwzględnieniem opłat za zarządzanie). Co najmniej 2,5 % finansowania odpowiada umowom finansowym podpisanym z funduszami kapitałowymi, a co najmniej 50 % – umowami w sprawie finansowania podpisanymi z beneficjentami końcowymi w odniesieniu do wszystkich innych produktów inwestycyjnych (w tym bezpośrednich inwestycji kapitałowych dokonywanych przez partnera wykonawczego). Komisarz ds. Informacji sporządza sprawozdanie wyszczególniające udział tego finansowania, który przyczynia się do realizacji celów klimatycznych, stosując metodykę określoną w załączniku VI do rozporządzenia w sprawie RRF. </w:t>
            </w:r>
          </w:p>
        </w:tc>
      </w:tr>
      <w:tr w:rsidR="006578ED" w14:paraId="0DFCD043" w14:textId="77777777">
        <w:trPr>
          <w:trHeight w:val="300"/>
        </w:trPr>
        <w:tc>
          <w:tcPr>
            <w:tcW w:w="846" w:type="dxa"/>
            <w:shd w:val="clear" w:color="auto" w:fill="C6EFCE"/>
          </w:tcPr>
          <w:p w14:paraId="7D93EEE5" w14:textId="34DF8E06" w:rsidR="006578ED" w:rsidRDefault="00A1618E">
            <w:pPr>
              <w:pStyle w:val="P68B1DB1-Normal13"/>
              <w:spacing w:after="0" w:line="240" w:lineRule="auto"/>
              <w:jc w:val="center"/>
              <w:textAlignment w:val="baseline"/>
              <w:rPr>
                <w:rFonts w:eastAsia="Times New Roman" w:cs="Times New Roman"/>
                <w:noProof/>
              </w:rPr>
            </w:pPr>
            <w:r>
              <w:rPr>
                <w:noProof/>
              </w:rPr>
              <w:t>L27</w:t>
            </w:r>
          </w:p>
        </w:tc>
        <w:tc>
          <w:tcPr>
            <w:tcW w:w="850" w:type="dxa"/>
            <w:shd w:val="clear" w:color="auto" w:fill="C6EFCE"/>
          </w:tcPr>
          <w:p w14:paraId="2F40B8EF" w14:textId="77777777"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61037879" w14:textId="662D65DF"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5D319704" w14:textId="2E88D1EB" w:rsidR="006578ED" w:rsidRDefault="00A1618E">
            <w:pPr>
              <w:pStyle w:val="P68B1DB1-Normal13"/>
              <w:spacing w:after="0" w:line="240" w:lineRule="auto"/>
              <w:textAlignment w:val="baseline"/>
              <w:rPr>
                <w:rFonts w:eastAsia="Times New Roman" w:cs="Times New Roman"/>
                <w:noProof/>
              </w:rPr>
            </w:pPr>
            <w:r>
              <w:rPr>
                <w:noProof/>
              </w:rPr>
              <w:t>Zielona linia ICO – umowy prawne podpisane z beneficjentami końcowymi (w tym funduszami kapitałowymi) (III)</w:t>
            </w:r>
          </w:p>
        </w:tc>
        <w:tc>
          <w:tcPr>
            <w:tcW w:w="1134" w:type="dxa"/>
            <w:shd w:val="clear" w:color="auto" w:fill="C6EFCE"/>
          </w:tcPr>
          <w:p w14:paraId="527B6538" w14:textId="24D80566"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291F74D" w14:textId="06576BD1"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44C9391D" w14:textId="796F0FE5" w:rsidR="006578ED" w:rsidRDefault="00A1618E">
            <w:pPr>
              <w:pStyle w:val="P68B1DB1-Normal13"/>
              <w:spacing w:after="0" w:line="240" w:lineRule="auto"/>
              <w:jc w:val="right"/>
              <w:textAlignment w:val="baseline"/>
              <w:rPr>
                <w:rFonts w:eastAsia="Times New Roman" w:cs="Times New Roman"/>
                <w:noProof/>
              </w:rPr>
            </w:pPr>
            <w:r>
              <w:rPr>
                <w:noProof/>
              </w:rPr>
              <w:t xml:space="preserve">50 % </w:t>
            </w:r>
          </w:p>
        </w:tc>
        <w:tc>
          <w:tcPr>
            <w:tcW w:w="709" w:type="dxa"/>
            <w:shd w:val="clear" w:color="auto" w:fill="C6EFCE"/>
          </w:tcPr>
          <w:p w14:paraId="76A0D5D7" w14:textId="1F3298FB" w:rsidR="006578ED" w:rsidRDefault="00A1618E">
            <w:pPr>
              <w:pStyle w:val="P68B1DB1-Normal13"/>
              <w:spacing w:after="0" w:line="240" w:lineRule="auto"/>
              <w:jc w:val="right"/>
              <w:textAlignment w:val="baseline"/>
              <w:rPr>
                <w:rFonts w:eastAsia="Times New Roman" w:cs="Times New Roman"/>
                <w:noProof/>
              </w:rPr>
            </w:pPr>
            <w:r>
              <w:rPr>
                <w:noProof/>
              </w:rPr>
              <w:t xml:space="preserve">75 % </w:t>
            </w:r>
          </w:p>
          <w:p w14:paraId="13387DD0" w14:textId="77777777" w:rsidR="006578ED" w:rsidRDefault="006578ED">
            <w:pPr>
              <w:rPr>
                <w:rFonts w:ascii="Times New Roman" w:eastAsia="Times New Roman" w:hAnsi="Times New Roman" w:cs="Times New Roman"/>
                <w:noProof/>
                <w:sz w:val="18"/>
              </w:rPr>
            </w:pPr>
          </w:p>
        </w:tc>
        <w:tc>
          <w:tcPr>
            <w:tcW w:w="709" w:type="dxa"/>
            <w:shd w:val="clear" w:color="auto" w:fill="C6EFCE"/>
          </w:tcPr>
          <w:p w14:paraId="793F4CD5" w14:textId="1483CBB9" w:rsidR="006578ED" w:rsidRDefault="00EC188C">
            <w:pPr>
              <w:pStyle w:val="P68B1DB1-Normal13"/>
              <w:spacing w:after="0" w:line="240" w:lineRule="auto"/>
              <w:jc w:val="center"/>
              <w:textAlignment w:val="baseline"/>
              <w:rPr>
                <w:rFonts w:eastAsia="Times New Roman" w:cs="Times New Roman"/>
                <w:noProof/>
              </w:rPr>
            </w:pPr>
            <w:r>
              <w:rPr>
                <w:noProof/>
              </w:rPr>
              <w:t>KW. 4</w:t>
            </w:r>
          </w:p>
        </w:tc>
        <w:tc>
          <w:tcPr>
            <w:tcW w:w="709" w:type="dxa"/>
            <w:shd w:val="clear" w:color="auto" w:fill="C6EFCE"/>
          </w:tcPr>
          <w:p w14:paraId="0C737108"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50094083" w14:textId="7FB7BD82" w:rsidR="006578ED" w:rsidRDefault="00A1618E">
            <w:pPr>
              <w:pStyle w:val="P68B1DB1-paragraph32"/>
              <w:spacing w:before="0" w:beforeAutospacing="0" w:after="0" w:afterAutospacing="0"/>
              <w:textAlignment w:val="baseline"/>
              <w:rPr>
                <w:noProof/>
              </w:rPr>
            </w:pPr>
            <w:r>
              <w:rPr>
                <w:noProof/>
              </w:rPr>
              <w:t xml:space="preserve">ICO/Osi oraz pośrednicy wybrani przez ICO zawarli prawne umowy w sprawie finansowania z beneficjentami końcowymi (w tym funduszami kapitałowymi) na kwotę niezbędną do wykorzystania co najmniej 75 % inwestycji RRF w instrument (z uwzględnieniem opłat za zarządzanie). Co najmniej 7,5 % finansowania odpowiada umowom finansowym podpisanym z funduszami kapitałowymi, a co najmniej 50 % – umowami w sprawie finansowania podpisanymi z beneficjentami końcowymi w odniesieniu do wszystkich innych produktów inwestycyjnych (w tym bezpośrednich inwestycji kapitałowych dokonywanych przez partnera wykonawczego). Komisarz ds. Informacji sporządza sprawozdanie wyszczególniające udział tego finansowania, który przyczynia się do realizacji celów klimatycznych, stosując metodykę określoną w załączniku VI do rozporządzenia w sprawie RRF. </w:t>
            </w:r>
          </w:p>
        </w:tc>
      </w:tr>
      <w:tr w:rsidR="006578ED" w14:paraId="430E365D" w14:textId="77777777">
        <w:trPr>
          <w:trHeight w:val="300"/>
        </w:trPr>
        <w:tc>
          <w:tcPr>
            <w:tcW w:w="846" w:type="dxa"/>
            <w:shd w:val="clear" w:color="auto" w:fill="C6EFCE"/>
          </w:tcPr>
          <w:p w14:paraId="36CE58AE" w14:textId="12159273" w:rsidR="006578ED" w:rsidRDefault="00A1618E">
            <w:pPr>
              <w:pStyle w:val="P68B1DB1-Normal13"/>
              <w:spacing w:after="0" w:line="240" w:lineRule="auto"/>
              <w:jc w:val="center"/>
              <w:textAlignment w:val="baseline"/>
              <w:rPr>
                <w:rFonts w:eastAsia="Times New Roman" w:cs="Times New Roman"/>
                <w:noProof/>
              </w:rPr>
            </w:pPr>
            <w:r>
              <w:rPr>
                <w:noProof/>
              </w:rPr>
              <w:t>L28</w:t>
            </w:r>
          </w:p>
        </w:tc>
        <w:tc>
          <w:tcPr>
            <w:tcW w:w="850" w:type="dxa"/>
            <w:shd w:val="clear" w:color="auto" w:fill="C6EFCE"/>
          </w:tcPr>
          <w:p w14:paraId="252CE9D9" w14:textId="77777777"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4713ED1E" w14:textId="4498B929"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627C7615" w14:textId="124C8052" w:rsidR="006578ED" w:rsidRDefault="00A1618E">
            <w:pPr>
              <w:pStyle w:val="P68B1DB1-Normal13"/>
              <w:spacing w:after="0" w:line="240" w:lineRule="auto"/>
              <w:textAlignment w:val="baseline"/>
              <w:rPr>
                <w:rFonts w:eastAsia="Times New Roman" w:cs="Times New Roman"/>
                <w:noProof/>
              </w:rPr>
            </w:pPr>
            <w:r>
              <w:rPr>
                <w:noProof/>
              </w:rPr>
              <w:t>Zielona linia ICO – umowy prawne podpisane z beneficjentami końcowymi (w tym funduszami kapitałowymi) (IV)</w:t>
            </w:r>
          </w:p>
        </w:tc>
        <w:tc>
          <w:tcPr>
            <w:tcW w:w="1134" w:type="dxa"/>
            <w:shd w:val="clear" w:color="auto" w:fill="C6EFCE"/>
          </w:tcPr>
          <w:p w14:paraId="5BCAE9D4" w14:textId="5F241F01"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588480D" w14:textId="1C2801A5"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68410066" w14:textId="6362BB91" w:rsidR="006578ED" w:rsidRDefault="00A1618E">
            <w:pPr>
              <w:pStyle w:val="P68B1DB1-Normal13"/>
              <w:spacing w:after="0" w:line="240" w:lineRule="auto"/>
              <w:jc w:val="right"/>
              <w:textAlignment w:val="baseline"/>
              <w:rPr>
                <w:rFonts w:eastAsia="Times New Roman" w:cs="Times New Roman"/>
                <w:noProof/>
              </w:rPr>
            </w:pPr>
            <w:r>
              <w:rPr>
                <w:noProof/>
              </w:rPr>
              <w:t xml:space="preserve">75 % </w:t>
            </w:r>
          </w:p>
        </w:tc>
        <w:tc>
          <w:tcPr>
            <w:tcW w:w="709" w:type="dxa"/>
            <w:shd w:val="clear" w:color="auto" w:fill="C6EFCE"/>
          </w:tcPr>
          <w:p w14:paraId="20B9358E" w14:textId="3A96D0F7" w:rsidR="006578ED" w:rsidRDefault="00A1618E">
            <w:pPr>
              <w:pStyle w:val="P68B1DB1-Normal13"/>
              <w:spacing w:after="0" w:line="240" w:lineRule="auto"/>
              <w:jc w:val="right"/>
              <w:textAlignment w:val="baseline"/>
              <w:rPr>
                <w:rFonts w:eastAsia="Times New Roman" w:cs="Times New Roman"/>
                <w:noProof/>
              </w:rPr>
            </w:pPr>
            <w:r>
              <w:rPr>
                <w:noProof/>
              </w:rPr>
              <w:t xml:space="preserve">100 % </w:t>
            </w:r>
          </w:p>
        </w:tc>
        <w:tc>
          <w:tcPr>
            <w:tcW w:w="709" w:type="dxa"/>
            <w:shd w:val="clear" w:color="auto" w:fill="C6EFCE"/>
          </w:tcPr>
          <w:p w14:paraId="7C483CA8" w14:textId="54B95B72"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7A4C0272"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E1B295B" w14:textId="42680C70" w:rsidR="006578ED" w:rsidRDefault="00A1618E">
            <w:pPr>
              <w:pStyle w:val="P68B1DB1-paragraph32"/>
              <w:spacing w:before="0" w:beforeAutospacing="0" w:after="0" w:afterAutospacing="0"/>
              <w:textAlignment w:val="baseline"/>
              <w:rPr>
                <w:noProof/>
              </w:rPr>
            </w:pPr>
            <w:r>
              <w:rPr>
                <w:noProof/>
              </w:rPr>
              <w:t xml:space="preserve">ICO/Osi oraz pośrednicy wybrani przez ICO zawarli prawne umowy w sprawie finansowania z beneficjentami końcowymi (w tym funduszami kapitałowymi) na kwotę niezbędną do wykorzystania 100 % inwestycji RRF w instrument (z uwzględnieniem opłat za zarządzanie). Co najmniej 10 % finansowania odpowiada umowom finansowym podpisanym z funduszami kapitałowymi, a co najmniej 50 % – umowami w sprawie finansowania podpisanymi z beneficjentami końcowymi w odniesieniu do wszystkich innych produktów inwestycyjnych (w tym bezpośrednich inwestycji kapitałowych dokonywanych przez partnera wykonawczego). Co najmniej 80,9 % tego finansowania przyczynia się do realizacji celów klimatycznych przy użyciu metodyki określonej w załączniku VI do rozporządzenia w sprawie RRF. </w:t>
            </w:r>
          </w:p>
        </w:tc>
      </w:tr>
      <w:tr w:rsidR="006578ED" w14:paraId="65E01684" w14:textId="77777777">
        <w:trPr>
          <w:trHeight w:val="300"/>
        </w:trPr>
        <w:tc>
          <w:tcPr>
            <w:tcW w:w="846" w:type="dxa"/>
            <w:shd w:val="clear" w:color="auto" w:fill="C6EFCE"/>
          </w:tcPr>
          <w:p w14:paraId="1348715E" w14:textId="3C6DD476" w:rsidR="006578ED" w:rsidRDefault="00A1618E">
            <w:pPr>
              <w:pStyle w:val="P68B1DB1-Normal13"/>
              <w:spacing w:after="0" w:line="240" w:lineRule="auto"/>
              <w:jc w:val="center"/>
              <w:textAlignment w:val="baseline"/>
              <w:rPr>
                <w:rFonts w:eastAsia="Times New Roman" w:cs="Times New Roman"/>
                <w:noProof/>
              </w:rPr>
            </w:pPr>
            <w:r>
              <w:rPr>
                <w:noProof/>
              </w:rPr>
              <w:t>L29</w:t>
            </w:r>
          </w:p>
        </w:tc>
        <w:tc>
          <w:tcPr>
            <w:tcW w:w="850" w:type="dxa"/>
            <w:shd w:val="clear" w:color="auto" w:fill="C6EFCE"/>
          </w:tcPr>
          <w:p w14:paraId="5D31E5FC" w14:textId="77777777"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5E50CF49" w14:textId="0B8402DD"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5D2CFC15" w14:textId="606E27FF" w:rsidR="006578ED" w:rsidRDefault="00A1618E">
            <w:pPr>
              <w:pStyle w:val="P68B1DB1-Normal13"/>
              <w:spacing w:after="0" w:line="240" w:lineRule="auto"/>
              <w:textAlignment w:val="baseline"/>
              <w:rPr>
                <w:rFonts w:eastAsia="Times New Roman" w:cs="Times New Roman"/>
                <w:noProof/>
              </w:rPr>
            </w:pPr>
            <w:r>
              <w:rPr>
                <w:noProof/>
              </w:rPr>
              <w:t>Zielona linia ICO – Ministerstwo zakończyło inwestycję</w:t>
            </w:r>
          </w:p>
        </w:tc>
        <w:tc>
          <w:tcPr>
            <w:tcW w:w="1134" w:type="dxa"/>
            <w:shd w:val="clear" w:color="auto" w:fill="C6EFCE"/>
          </w:tcPr>
          <w:p w14:paraId="21CFA64B" w14:textId="6AD11D01" w:rsidR="006578ED" w:rsidRDefault="00A1618E">
            <w:pPr>
              <w:pStyle w:val="P68B1DB1-Normal13"/>
              <w:spacing w:after="0" w:line="240" w:lineRule="auto"/>
              <w:jc w:val="center"/>
              <w:textAlignment w:val="baseline"/>
              <w:rPr>
                <w:rFonts w:eastAsia="Times New Roman" w:cs="Times New Roman"/>
                <w:noProof/>
              </w:rPr>
            </w:pPr>
            <w:r>
              <w:rPr>
                <w:noProof/>
              </w:rPr>
              <w:t>Świadectwo transferu</w:t>
            </w:r>
          </w:p>
        </w:tc>
        <w:tc>
          <w:tcPr>
            <w:tcW w:w="709" w:type="dxa"/>
            <w:shd w:val="clear" w:color="auto" w:fill="C6EFCE"/>
          </w:tcPr>
          <w:p w14:paraId="38C0BAF3" w14:textId="5BFB7EFC"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54D0DD89"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BCFA1C4" w14:textId="3EA6823C" w:rsidR="006578ED" w:rsidRDefault="00A1618E">
            <w:pPr>
              <w:pStyle w:val="P68B1DB1-Normal13"/>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177DC39B" w14:textId="2ABD230D"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4EC5DE42"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7EC78B9" w14:textId="7D014BE2" w:rsidR="006578ED" w:rsidRDefault="00A1618E">
            <w:pPr>
              <w:pStyle w:val="P68B1DB1-Normal13"/>
              <w:spacing w:after="0" w:line="240" w:lineRule="auto"/>
              <w:textAlignment w:val="baseline"/>
              <w:rPr>
                <w:rFonts w:eastAsia="Times New Roman" w:cs="Times New Roman"/>
                <w:noProof/>
              </w:rPr>
            </w:pPr>
            <w:r>
              <w:rPr>
                <w:noProof/>
              </w:rPr>
              <w:t xml:space="preserve">Hiszpania przesunie 22 000 000 000 EUR na rzecz ICO na rzecz Instrumentu. </w:t>
            </w:r>
          </w:p>
        </w:tc>
      </w:tr>
      <w:tr w:rsidR="006578ED" w14:paraId="5B976FA9" w14:textId="77777777">
        <w:trPr>
          <w:trHeight w:val="300"/>
        </w:trPr>
        <w:tc>
          <w:tcPr>
            <w:tcW w:w="846" w:type="dxa"/>
            <w:shd w:val="clear" w:color="auto" w:fill="C6EFCE"/>
          </w:tcPr>
          <w:p w14:paraId="60CCA077" w14:textId="64714839" w:rsidR="006578ED" w:rsidRDefault="00A1618E">
            <w:pPr>
              <w:pStyle w:val="P68B1DB1-Normal13"/>
              <w:spacing w:after="0" w:line="240" w:lineRule="auto"/>
              <w:jc w:val="center"/>
              <w:textAlignment w:val="baseline"/>
              <w:rPr>
                <w:rFonts w:eastAsia="Times New Roman" w:cs="Times New Roman"/>
                <w:noProof/>
              </w:rPr>
            </w:pPr>
            <w:r>
              <w:rPr>
                <w:noProof/>
              </w:rPr>
              <w:t>L30</w:t>
            </w:r>
          </w:p>
        </w:tc>
        <w:tc>
          <w:tcPr>
            <w:tcW w:w="850" w:type="dxa"/>
            <w:shd w:val="clear" w:color="auto" w:fill="C6EFCE"/>
          </w:tcPr>
          <w:p w14:paraId="2534DF42" w14:textId="77777777"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78659B46" w14:textId="60B22B4D"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6D02C463" w14:textId="024C1976" w:rsidR="006578ED" w:rsidRDefault="00A1618E">
            <w:pPr>
              <w:pStyle w:val="P68B1DB1-Normal13"/>
              <w:spacing w:after="0" w:line="240" w:lineRule="auto"/>
              <w:textAlignment w:val="baseline"/>
              <w:rPr>
                <w:rFonts w:eastAsia="Times New Roman" w:cs="Times New Roman"/>
                <w:noProof/>
              </w:rPr>
            </w:pPr>
            <w:r>
              <w:rPr>
                <w:noProof/>
              </w:rPr>
              <w:t xml:space="preserve">Umowa wykonawcza dla przedsiębiorstw i przedsiębiorców ICO </w:t>
            </w:r>
          </w:p>
        </w:tc>
        <w:tc>
          <w:tcPr>
            <w:tcW w:w="1134" w:type="dxa"/>
            <w:shd w:val="clear" w:color="auto" w:fill="C6EFCE"/>
          </w:tcPr>
          <w:p w14:paraId="1E3502D4" w14:textId="06F0A26E" w:rsidR="006578ED" w:rsidRDefault="00A1618E">
            <w:pPr>
              <w:pStyle w:val="P68B1DB1-Normal13"/>
              <w:spacing w:after="0" w:line="240" w:lineRule="auto"/>
              <w:jc w:val="center"/>
              <w:textAlignment w:val="baseline"/>
              <w:rPr>
                <w:rFonts w:eastAsia="Times New Roman" w:cs="Times New Roman"/>
                <w:noProof/>
              </w:rPr>
            </w:pPr>
            <w:r>
              <w:rPr>
                <w:noProof/>
              </w:rPr>
              <w:t>Wejście w życie umowy wykonawczej </w:t>
            </w:r>
          </w:p>
        </w:tc>
        <w:tc>
          <w:tcPr>
            <w:tcW w:w="709" w:type="dxa"/>
            <w:shd w:val="clear" w:color="auto" w:fill="C6EFCE"/>
          </w:tcPr>
          <w:p w14:paraId="72BA320A"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C1E9E38" w14:textId="62944D50"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DA8BC75"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7D52C6EA" w14:textId="6F392775" w:rsidR="006578ED" w:rsidRDefault="00EC188C">
            <w:pPr>
              <w:pStyle w:val="P68B1DB1-Normal13"/>
              <w:spacing w:after="0" w:line="240" w:lineRule="auto"/>
              <w:jc w:val="center"/>
              <w:textAlignment w:val="baseline"/>
              <w:rPr>
                <w:rFonts w:eastAsia="Times New Roman" w:cs="Times New Roman"/>
                <w:noProof/>
              </w:rPr>
            </w:pPr>
            <w:r>
              <w:rPr>
                <w:noProof/>
              </w:rPr>
              <w:t xml:space="preserve">KW. 4 </w:t>
            </w:r>
          </w:p>
        </w:tc>
        <w:tc>
          <w:tcPr>
            <w:tcW w:w="709" w:type="dxa"/>
            <w:shd w:val="clear" w:color="auto" w:fill="C6EFCE"/>
          </w:tcPr>
          <w:p w14:paraId="6BA60D4B" w14:textId="77777777" w:rsidR="006578ED" w:rsidRDefault="00A1618E">
            <w:pPr>
              <w:pStyle w:val="P68B1DB1-Normal13"/>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5C58F40D" w14:textId="491DDAAD" w:rsidR="006578ED" w:rsidRDefault="00A1618E">
            <w:pPr>
              <w:pStyle w:val="P68B1DB1-paragraph32"/>
              <w:spacing w:before="0" w:beforeAutospacing="0" w:after="0" w:afterAutospacing="0"/>
              <w:textAlignment w:val="baseline"/>
              <w:rPr>
                <w:rFonts w:cs="Times New Roman"/>
                <w:noProof/>
              </w:rPr>
            </w:pPr>
            <w:r>
              <w:rPr>
                <w:noProof/>
              </w:rPr>
              <w:t>Wejście w życie umowy wykonawczej.</w:t>
            </w:r>
          </w:p>
        </w:tc>
      </w:tr>
      <w:tr w:rsidR="006578ED" w14:paraId="42C2B01A" w14:textId="77777777">
        <w:trPr>
          <w:trHeight w:val="300"/>
        </w:trPr>
        <w:tc>
          <w:tcPr>
            <w:tcW w:w="846" w:type="dxa"/>
            <w:shd w:val="clear" w:color="auto" w:fill="C6EFCE"/>
          </w:tcPr>
          <w:p w14:paraId="5BA39789" w14:textId="20179638" w:rsidR="006578ED" w:rsidRDefault="00A1618E">
            <w:pPr>
              <w:pStyle w:val="P68B1DB1-Normal13"/>
              <w:spacing w:after="0" w:line="240" w:lineRule="auto"/>
              <w:jc w:val="center"/>
              <w:textAlignment w:val="baseline"/>
              <w:rPr>
                <w:rFonts w:eastAsia="Times New Roman" w:cs="Times New Roman"/>
                <w:noProof/>
              </w:rPr>
            </w:pPr>
            <w:r>
              <w:rPr>
                <w:noProof/>
              </w:rPr>
              <w:t>L31</w:t>
            </w:r>
          </w:p>
        </w:tc>
        <w:tc>
          <w:tcPr>
            <w:tcW w:w="850" w:type="dxa"/>
            <w:shd w:val="clear" w:color="auto" w:fill="C6EFCE"/>
          </w:tcPr>
          <w:p w14:paraId="2DF94740" w14:textId="77777777"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4F2F2BFB" w14:textId="772FFBF1"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5FB70BD5" w14:textId="386B1E3B" w:rsidR="006578ED" w:rsidRDefault="00A1618E">
            <w:pPr>
              <w:pStyle w:val="P68B1DB1-Normal13"/>
              <w:spacing w:after="0" w:line="240" w:lineRule="auto"/>
              <w:textAlignment w:val="baseline"/>
              <w:rPr>
                <w:rFonts w:eastAsia="Times New Roman" w:cs="Times New Roman"/>
                <w:noProof/>
              </w:rPr>
            </w:pPr>
            <w:r>
              <w:rPr>
                <w:noProof/>
              </w:rPr>
              <w:t>ICO Enterprises and Entrepreneurs Line – umowy prawne podpisane z beneficjentami końcowymi (w tym funduszami kapitałowymi) (I)</w:t>
            </w:r>
          </w:p>
        </w:tc>
        <w:tc>
          <w:tcPr>
            <w:tcW w:w="1134" w:type="dxa"/>
            <w:shd w:val="clear" w:color="auto" w:fill="C6EFCE"/>
          </w:tcPr>
          <w:p w14:paraId="0C4DC771" w14:textId="2B7CD62E" w:rsidR="006578ED" w:rsidRDefault="00A1618E">
            <w:pPr>
              <w:pStyle w:val="P68B1DB1-Normal13"/>
              <w:spacing w:after="0" w:line="240" w:lineRule="auto"/>
              <w:jc w:val="center"/>
              <w:textAlignment w:val="baseline"/>
              <w:rPr>
                <w:rFonts w:eastAsia="Times New Roman" w:cs="Times New Roman"/>
                <w:noProof/>
              </w:rPr>
            </w:pPr>
            <w:r>
              <w:rPr>
                <w:noProof/>
              </w:rPr>
              <w:t xml:space="preserve"> </w:t>
            </w:r>
          </w:p>
        </w:tc>
        <w:tc>
          <w:tcPr>
            <w:tcW w:w="709" w:type="dxa"/>
            <w:shd w:val="clear" w:color="auto" w:fill="C6EFCE"/>
          </w:tcPr>
          <w:p w14:paraId="1EE90475" w14:textId="35C90CAC"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6C5CBE24" w14:textId="0A385553" w:rsidR="006578ED" w:rsidRDefault="00A1618E">
            <w:pPr>
              <w:pStyle w:val="P68B1DB1-Normal13"/>
              <w:spacing w:after="0" w:line="240" w:lineRule="auto"/>
              <w:jc w:val="center"/>
              <w:textAlignment w:val="baseline"/>
              <w:rPr>
                <w:rFonts w:eastAsia="Times New Roman" w:cs="Times New Roman"/>
                <w:noProof/>
              </w:rPr>
            </w:pPr>
            <w:r>
              <w:rPr>
                <w:noProof/>
              </w:rPr>
              <w:t>0 %</w:t>
            </w:r>
          </w:p>
        </w:tc>
        <w:tc>
          <w:tcPr>
            <w:tcW w:w="709" w:type="dxa"/>
            <w:shd w:val="clear" w:color="auto" w:fill="C6EFCE"/>
          </w:tcPr>
          <w:p w14:paraId="3CF7496A" w14:textId="451036C1" w:rsidR="006578ED" w:rsidRDefault="00A1618E">
            <w:pPr>
              <w:pStyle w:val="P68B1DB1-Normal13"/>
              <w:spacing w:after="0" w:line="240" w:lineRule="auto"/>
              <w:jc w:val="right"/>
              <w:textAlignment w:val="baseline"/>
              <w:rPr>
                <w:rFonts w:eastAsia="Times New Roman" w:cs="Times New Roman"/>
                <w:noProof/>
              </w:rPr>
            </w:pPr>
            <w:r>
              <w:rPr>
                <w:noProof/>
              </w:rPr>
              <w:t xml:space="preserve">50 % </w:t>
            </w:r>
          </w:p>
        </w:tc>
        <w:tc>
          <w:tcPr>
            <w:tcW w:w="709" w:type="dxa"/>
            <w:shd w:val="clear" w:color="auto" w:fill="C6EFCE"/>
          </w:tcPr>
          <w:p w14:paraId="75C8355B" w14:textId="1A50ECFE" w:rsidR="006578ED" w:rsidRDefault="00EC188C">
            <w:pPr>
              <w:pStyle w:val="P68B1DB1-Normal13"/>
              <w:spacing w:after="0" w:line="240" w:lineRule="auto"/>
              <w:jc w:val="center"/>
              <w:textAlignment w:val="baseline"/>
              <w:rPr>
                <w:rFonts w:eastAsia="Times New Roman" w:cs="Times New Roman"/>
                <w:noProof/>
              </w:rPr>
            </w:pPr>
            <w:r>
              <w:rPr>
                <w:noProof/>
              </w:rPr>
              <w:t>KW. 2</w:t>
            </w:r>
          </w:p>
        </w:tc>
        <w:tc>
          <w:tcPr>
            <w:tcW w:w="709" w:type="dxa"/>
            <w:shd w:val="clear" w:color="auto" w:fill="C6EFCE"/>
          </w:tcPr>
          <w:p w14:paraId="1CB3D9B3"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ED2A9A4" w14:textId="5CCFE918" w:rsidR="006578ED" w:rsidRDefault="00A1618E">
            <w:pPr>
              <w:pStyle w:val="P68B1DB1-paragraph32"/>
              <w:spacing w:before="0" w:beforeAutospacing="0" w:after="0" w:afterAutospacing="0"/>
              <w:textAlignment w:val="baseline"/>
              <w:rPr>
                <w:rStyle w:val="normaltextrun"/>
                <w:rFonts w:eastAsiaTheme="minorHAnsi" w:cs="Times New Roman"/>
                <w:noProof/>
                <w:u w:val="single"/>
              </w:rPr>
            </w:pPr>
            <w:r>
              <w:rPr>
                <w:noProof/>
              </w:rPr>
              <w:t>ICO/Osi oraz pośrednicy wybrani przez ICO zawarli prawne umowy w sprawie finansowania z beneficjentami końcowymi (w tym funduszami kapitałowymi) na kwotę niezbędną do wykorzystania co najmniej 50 % inwestycji RRF w instrument (z uwzględnieniem opłat za zarządzanie). Co najmniej 2,5 % finansowania odpowiada umowom finansowym podpisanym z funduszami kapitałowymi, a co najmniej 50 % – umowami w sprawie finansowania podpisanymi z beneficjentami końcowymi w odniesieniu do wszystkich innych produktów inwestycyjnych (w tym bezpośrednich inwestycji kapitałowych dokonywanych przez partnera wykonawczego).</w:t>
            </w:r>
          </w:p>
        </w:tc>
      </w:tr>
      <w:tr w:rsidR="006578ED" w14:paraId="680EF42C" w14:textId="77777777">
        <w:trPr>
          <w:trHeight w:val="300"/>
        </w:trPr>
        <w:tc>
          <w:tcPr>
            <w:tcW w:w="846" w:type="dxa"/>
            <w:shd w:val="clear" w:color="auto" w:fill="C6EFCE"/>
          </w:tcPr>
          <w:p w14:paraId="41EA9FC6" w14:textId="28DEC1A9" w:rsidR="006578ED" w:rsidRDefault="00A1618E">
            <w:pPr>
              <w:pStyle w:val="P68B1DB1-Normal13"/>
              <w:spacing w:after="0" w:line="240" w:lineRule="auto"/>
              <w:jc w:val="center"/>
              <w:textAlignment w:val="baseline"/>
              <w:rPr>
                <w:rFonts w:eastAsia="Times New Roman" w:cs="Times New Roman"/>
                <w:noProof/>
              </w:rPr>
            </w:pPr>
            <w:r>
              <w:rPr>
                <w:noProof/>
              </w:rPr>
              <w:t>L32</w:t>
            </w:r>
          </w:p>
        </w:tc>
        <w:tc>
          <w:tcPr>
            <w:tcW w:w="850" w:type="dxa"/>
            <w:shd w:val="clear" w:color="auto" w:fill="C6EFCE"/>
          </w:tcPr>
          <w:p w14:paraId="61004FF6" w14:textId="77777777"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640872D2" w14:textId="05E19D3B"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3329D60E" w14:textId="518F4793" w:rsidR="006578ED" w:rsidRDefault="00A1618E">
            <w:pPr>
              <w:pStyle w:val="P68B1DB1-Normal13"/>
              <w:spacing w:after="0" w:line="240" w:lineRule="auto"/>
              <w:textAlignment w:val="baseline"/>
              <w:rPr>
                <w:rFonts w:eastAsia="Times New Roman" w:cs="Times New Roman"/>
                <w:noProof/>
              </w:rPr>
            </w:pPr>
            <w:r>
              <w:rPr>
                <w:noProof/>
              </w:rPr>
              <w:t>ICO Enterprises and Entrepreneurs Line – umowy prawne podpisane z beneficjentami końcowymi (w tym funduszami kapitałowymi) (II)</w:t>
            </w:r>
          </w:p>
        </w:tc>
        <w:tc>
          <w:tcPr>
            <w:tcW w:w="1134" w:type="dxa"/>
            <w:shd w:val="clear" w:color="auto" w:fill="C6EFCE"/>
          </w:tcPr>
          <w:p w14:paraId="6705A2E9" w14:textId="1D274F3E"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E47BDF4" w14:textId="004F984A"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014F1668" w14:textId="6E2E8268" w:rsidR="006578ED" w:rsidRDefault="00A1618E">
            <w:pPr>
              <w:pStyle w:val="P68B1DB1-Normal13"/>
              <w:spacing w:after="0" w:line="240" w:lineRule="auto"/>
              <w:jc w:val="right"/>
              <w:textAlignment w:val="baseline"/>
              <w:rPr>
                <w:rFonts w:eastAsia="Times New Roman" w:cs="Times New Roman"/>
                <w:noProof/>
              </w:rPr>
            </w:pPr>
            <w:r>
              <w:rPr>
                <w:noProof/>
              </w:rPr>
              <w:t xml:space="preserve">50 % </w:t>
            </w:r>
          </w:p>
        </w:tc>
        <w:tc>
          <w:tcPr>
            <w:tcW w:w="709" w:type="dxa"/>
            <w:shd w:val="clear" w:color="auto" w:fill="C6EFCE"/>
          </w:tcPr>
          <w:p w14:paraId="521B4250" w14:textId="46DB6A46" w:rsidR="006578ED" w:rsidRDefault="00A1618E">
            <w:pPr>
              <w:pStyle w:val="P68B1DB1-Normal13"/>
              <w:spacing w:after="0" w:line="240" w:lineRule="auto"/>
              <w:jc w:val="right"/>
              <w:textAlignment w:val="baseline"/>
              <w:rPr>
                <w:rFonts w:eastAsia="Times New Roman" w:cs="Times New Roman"/>
                <w:noProof/>
              </w:rPr>
            </w:pPr>
            <w:r>
              <w:rPr>
                <w:noProof/>
              </w:rPr>
              <w:t xml:space="preserve">75 % </w:t>
            </w:r>
          </w:p>
        </w:tc>
        <w:tc>
          <w:tcPr>
            <w:tcW w:w="709" w:type="dxa"/>
            <w:shd w:val="clear" w:color="auto" w:fill="C6EFCE"/>
          </w:tcPr>
          <w:p w14:paraId="7ACBC92F" w14:textId="01B935C5" w:rsidR="006578ED" w:rsidRDefault="00EC188C">
            <w:pPr>
              <w:pStyle w:val="P68B1DB1-Normal13"/>
              <w:spacing w:after="0" w:line="240" w:lineRule="auto"/>
              <w:jc w:val="center"/>
              <w:textAlignment w:val="baseline"/>
              <w:rPr>
                <w:rFonts w:eastAsia="Times New Roman" w:cs="Times New Roman"/>
                <w:noProof/>
              </w:rPr>
            </w:pPr>
            <w:r>
              <w:rPr>
                <w:noProof/>
              </w:rPr>
              <w:t>KW. 4</w:t>
            </w:r>
          </w:p>
        </w:tc>
        <w:tc>
          <w:tcPr>
            <w:tcW w:w="709" w:type="dxa"/>
            <w:shd w:val="clear" w:color="auto" w:fill="C6EFCE"/>
          </w:tcPr>
          <w:p w14:paraId="76F1F85F"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E22CC94" w14:textId="5C57C576" w:rsidR="006578ED" w:rsidRDefault="00A1618E">
            <w:pPr>
              <w:pStyle w:val="P68B1DB1-paragraph32"/>
              <w:spacing w:before="0" w:beforeAutospacing="0" w:after="0" w:afterAutospacing="0"/>
              <w:textAlignment w:val="baseline"/>
              <w:rPr>
                <w:rStyle w:val="normaltextrun"/>
                <w:rFonts w:eastAsiaTheme="minorEastAsia" w:cs="Times New Roman"/>
                <w:noProof/>
              </w:rPr>
            </w:pPr>
            <w:r>
              <w:rPr>
                <w:noProof/>
              </w:rPr>
              <w:t xml:space="preserve">ICO/Osi oraz pośrednicy wybrani przez ICO zawarli prawne umowy w sprawie finansowania z beneficjentami końcowymi (w tym funduszami kapitałowymi) na kwotę niezbędną do wykorzystania co najmniej 75 % inwestycji RRF w instrument (z uwzględnieniem opłat za zarządzanie). Co najmniej 7,5 % finansowania odpowiada umowom finansowym podpisanym z funduszami kapitałowymi, a co najmniej 50 % – umowami w sprawie finansowania podpisanymi z beneficjentami końcowymi w odniesieniu do wszystkich innych produktów inwestycyjnych (w tym bezpośrednich inwestycji kapitałowych dokonywanych przez partnera wykonawczego). </w:t>
            </w:r>
          </w:p>
        </w:tc>
      </w:tr>
      <w:tr w:rsidR="006578ED" w14:paraId="3AA7BE6B" w14:textId="77777777">
        <w:trPr>
          <w:trHeight w:val="300"/>
        </w:trPr>
        <w:tc>
          <w:tcPr>
            <w:tcW w:w="846" w:type="dxa"/>
            <w:shd w:val="clear" w:color="auto" w:fill="C6EFCE"/>
          </w:tcPr>
          <w:p w14:paraId="20BA34D9" w14:textId="74A64304" w:rsidR="006578ED" w:rsidRDefault="00A1618E">
            <w:pPr>
              <w:pStyle w:val="P68B1DB1-Normal13"/>
              <w:spacing w:after="0" w:line="240" w:lineRule="auto"/>
              <w:jc w:val="center"/>
              <w:textAlignment w:val="baseline"/>
              <w:rPr>
                <w:rFonts w:eastAsia="Times New Roman" w:cs="Times New Roman"/>
                <w:noProof/>
              </w:rPr>
            </w:pPr>
            <w:r>
              <w:rPr>
                <w:noProof/>
              </w:rPr>
              <w:t>L33</w:t>
            </w:r>
          </w:p>
        </w:tc>
        <w:tc>
          <w:tcPr>
            <w:tcW w:w="850" w:type="dxa"/>
            <w:shd w:val="clear" w:color="auto" w:fill="C6EFCE"/>
          </w:tcPr>
          <w:p w14:paraId="228A1BC9" w14:textId="77777777"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2758B547" w14:textId="6FAAE784"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112F34AB" w14:textId="370FC7AC" w:rsidR="006578ED" w:rsidRDefault="00A1618E">
            <w:pPr>
              <w:pStyle w:val="P68B1DB1-Normal13"/>
              <w:spacing w:after="0" w:line="240" w:lineRule="auto"/>
              <w:textAlignment w:val="baseline"/>
              <w:rPr>
                <w:rFonts w:eastAsia="Times New Roman" w:cs="Times New Roman"/>
                <w:noProof/>
              </w:rPr>
            </w:pPr>
            <w:r>
              <w:rPr>
                <w:noProof/>
              </w:rPr>
              <w:t>ICO Enterprises and Entrepreneurs Line – umowy prawne podpisane z beneficjentami końcowymi (w tym funduszami kapitałowymi) (III)</w:t>
            </w:r>
          </w:p>
        </w:tc>
        <w:tc>
          <w:tcPr>
            <w:tcW w:w="1134" w:type="dxa"/>
            <w:shd w:val="clear" w:color="auto" w:fill="C6EFCE"/>
          </w:tcPr>
          <w:p w14:paraId="5B044FB9" w14:textId="12E53D49" w:rsidR="006578ED" w:rsidRDefault="00A1618E">
            <w:pPr>
              <w:pStyle w:val="P68B1DB1-Normal13"/>
              <w:spacing w:after="0" w:line="240" w:lineRule="auto"/>
              <w:jc w:val="center"/>
              <w:textAlignment w:val="baseline"/>
              <w:rPr>
                <w:rFonts w:eastAsia="Times New Roman" w:cs="Times New Roman"/>
                <w:noProof/>
              </w:rPr>
            </w:pPr>
            <w:r>
              <w:rPr>
                <w:noProof/>
              </w:rPr>
              <w:t xml:space="preserve"> </w:t>
            </w:r>
          </w:p>
        </w:tc>
        <w:tc>
          <w:tcPr>
            <w:tcW w:w="709" w:type="dxa"/>
            <w:shd w:val="clear" w:color="auto" w:fill="C6EFCE"/>
          </w:tcPr>
          <w:p w14:paraId="4F73509C" w14:textId="35C98BE7"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15E859CD" w14:textId="40231C8F" w:rsidR="006578ED" w:rsidRDefault="00A1618E">
            <w:pPr>
              <w:pStyle w:val="P68B1DB1-Normal13"/>
              <w:spacing w:after="0" w:line="240" w:lineRule="auto"/>
              <w:jc w:val="right"/>
              <w:textAlignment w:val="baseline"/>
              <w:rPr>
                <w:rFonts w:eastAsia="Times New Roman" w:cs="Times New Roman"/>
                <w:noProof/>
              </w:rPr>
            </w:pPr>
            <w:r>
              <w:rPr>
                <w:noProof/>
              </w:rPr>
              <w:t xml:space="preserve">75 % </w:t>
            </w:r>
          </w:p>
        </w:tc>
        <w:tc>
          <w:tcPr>
            <w:tcW w:w="709" w:type="dxa"/>
            <w:shd w:val="clear" w:color="auto" w:fill="C6EFCE"/>
          </w:tcPr>
          <w:p w14:paraId="0DC9BAE2" w14:textId="0980F094" w:rsidR="006578ED" w:rsidRDefault="00A1618E">
            <w:pPr>
              <w:pStyle w:val="P68B1DB1-Normal13"/>
              <w:spacing w:after="0" w:line="240" w:lineRule="auto"/>
              <w:jc w:val="right"/>
              <w:textAlignment w:val="baseline"/>
              <w:rPr>
                <w:rFonts w:eastAsia="Times New Roman" w:cs="Times New Roman"/>
                <w:noProof/>
              </w:rPr>
            </w:pPr>
            <w:r>
              <w:rPr>
                <w:noProof/>
              </w:rPr>
              <w:t xml:space="preserve">100 % </w:t>
            </w:r>
          </w:p>
        </w:tc>
        <w:tc>
          <w:tcPr>
            <w:tcW w:w="709" w:type="dxa"/>
            <w:shd w:val="clear" w:color="auto" w:fill="C6EFCE"/>
          </w:tcPr>
          <w:p w14:paraId="0F13266E" w14:textId="601901A7"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6CB5F185"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55A87545" w14:textId="28E488CB" w:rsidR="006578ED" w:rsidRDefault="00A1618E">
            <w:pPr>
              <w:pStyle w:val="P68B1DB1-paragraph32"/>
              <w:spacing w:before="0" w:beforeAutospacing="0" w:after="0" w:afterAutospacing="0"/>
              <w:textAlignment w:val="baseline"/>
              <w:rPr>
                <w:rStyle w:val="normaltextrun"/>
                <w:rFonts w:eastAsiaTheme="minorEastAsia" w:cs="Times New Roman"/>
                <w:noProof/>
                <w:u w:val="single"/>
              </w:rPr>
            </w:pPr>
            <w:r>
              <w:rPr>
                <w:noProof/>
              </w:rPr>
              <w:t xml:space="preserve">ICO/Osi oraz pośrednicy wybrani przez ICO zawarli prawne umowy w sprawie finansowania z beneficjentami końcowymi (w tym funduszami kapitałowymi) na kwotę niezbędną do wykorzystania 100 % inwestycji RRF w instrument (z uwzględnieniem opłat za zarządzanie). Co najmniej 10 % finansowania odpowiada umowom finansowym podpisanym z funduszami kapitałowymi, a co najmniej 50 % – umowami w sprawie finansowania podpisanymi z beneficjentami końcowymi w odniesieniu do wszystkich innych produktów inwestycyjnych (w tym bezpośrednich inwestycji kapitałowych dokonywanych przez partnera wykonawczego). Co najmniej 1,84 % tego finansowania przyczynia się do realizacji celów cyfrowych przy użyciu metodyki określonej w załączniku VII do rozporządzenia w sprawie RRF. </w:t>
            </w:r>
          </w:p>
        </w:tc>
      </w:tr>
      <w:tr w:rsidR="006578ED" w14:paraId="326480BC" w14:textId="77777777">
        <w:trPr>
          <w:trHeight w:val="300"/>
        </w:trPr>
        <w:tc>
          <w:tcPr>
            <w:tcW w:w="846" w:type="dxa"/>
            <w:shd w:val="clear" w:color="auto" w:fill="C6EFCE"/>
          </w:tcPr>
          <w:p w14:paraId="5040ED5B" w14:textId="08B036AA" w:rsidR="006578ED" w:rsidRDefault="00A1618E">
            <w:pPr>
              <w:pStyle w:val="P68B1DB1-Normal13"/>
              <w:spacing w:after="0" w:line="240" w:lineRule="auto"/>
              <w:jc w:val="center"/>
              <w:textAlignment w:val="baseline"/>
              <w:rPr>
                <w:rFonts w:eastAsia="Times New Roman" w:cs="Times New Roman"/>
                <w:noProof/>
              </w:rPr>
            </w:pPr>
            <w:r>
              <w:rPr>
                <w:noProof/>
              </w:rPr>
              <w:t>L34</w:t>
            </w:r>
          </w:p>
        </w:tc>
        <w:tc>
          <w:tcPr>
            <w:tcW w:w="850" w:type="dxa"/>
            <w:shd w:val="clear" w:color="auto" w:fill="C6EFCE"/>
          </w:tcPr>
          <w:p w14:paraId="65DE97C5" w14:textId="77777777" w:rsidR="006578ED" w:rsidRDefault="00A1618E">
            <w:pPr>
              <w:pStyle w:val="P68B1DB1-Normal13"/>
              <w:spacing w:after="0" w:line="240" w:lineRule="auto"/>
              <w:jc w:val="center"/>
              <w:textAlignment w:val="baseline"/>
              <w:rPr>
                <w:rFonts w:eastAsia="Times New Roman" w:cs="Times New Roman"/>
                <w:noProof/>
              </w:rPr>
            </w:pPr>
            <w:r>
              <w:rPr>
                <w:noProof/>
              </w:rPr>
              <w:t>C13.I6</w:t>
            </w:r>
          </w:p>
        </w:tc>
        <w:tc>
          <w:tcPr>
            <w:tcW w:w="851" w:type="dxa"/>
            <w:shd w:val="clear" w:color="auto" w:fill="C6EFCE"/>
          </w:tcPr>
          <w:p w14:paraId="277146FF" w14:textId="1C70D655"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3FBD63BA" w14:textId="26A51040" w:rsidR="006578ED" w:rsidRDefault="00A1618E">
            <w:pPr>
              <w:pStyle w:val="P68B1DB1-Normal13"/>
              <w:spacing w:after="0" w:line="240" w:lineRule="auto"/>
              <w:textAlignment w:val="baseline"/>
              <w:rPr>
                <w:rFonts w:eastAsia="Times New Roman" w:cs="Times New Roman"/>
                <w:noProof/>
              </w:rPr>
            </w:pPr>
            <w:r>
              <w:rPr>
                <w:noProof/>
              </w:rPr>
              <w:t>ICO Enterprises and Entrepreneurs Line – Ministerstwo ukończyło inwestycję.</w:t>
            </w:r>
          </w:p>
        </w:tc>
        <w:tc>
          <w:tcPr>
            <w:tcW w:w="1134" w:type="dxa"/>
            <w:shd w:val="clear" w:color="auto" w:fill="C6EFCE"/>
          </w:tcPr>
          <w:p w14:paraId="5FA7AE29" w14:textId="4AF971AC" w:rsidR="006578ED" w:rsidRDefault="00A1618E">
            <w:pPr>
              <w:pStyle w:val="P68B1DB1-Normal13"/>
              <w:spacing w:after="0" w:line="240" w:lineRule="auto"/>
              <w:jc w:val="center"/>
              <w:textAlignment w:val="baseline"/>
              <w:rPr>
                <w:rFonts w:eastAsia="Times New Roman" w:cs="Times New Roman"/>
                <w:noProof/>
              </w:rPr>
            </w:pPr>
            <w:r>
              <w:rPr>
                <w:noProof/>
              </w:rPr>
              <w:t>Świadectwo transferu</w:t>
            </w:r>
          </w:p>
        </w:tc>
        <w:tc>
          <w:tcPr>
            <w:tcW w:w="709" w:type="dxa"/>
            <w:shd w:val="clear" w:color="auto" w:fill="C6EFCE"/>
          </w:tcPr>
          <w:p w14:paraId="3ED141B2"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7CD22B98"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5DF4F92"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02FC5681" w14:textId="3F171AAF"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258F4AC3"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533E1A7" w14:textId="5E8DB829" w:rsidR="006578ED" w:rsidRDefault="00A1618E">
            <w:pPr>
              <w:pStyle w:val="P68B1DB1-Normal13"/>
              <w:spacing w:after="0" w:line="240" w:lineRule="auto"/>
              <w:textAlignment w:val="baseline"/>
              <w:rPr>
                <w:rFonts w:eastAsia="Times New Roman" w:cs="Times New Roman"/>
                <w:noProof/>
              </w:rPr>
            </w:pPr>
            <w:r>
              <w:rPr>
                <w:noProof/>
              </w:rPr>
              <w:t>Hiszpania przesunie 8 150 000 000 EUR na rzecz ICO na rzecz Instrumentu.</w:t>
            </w:r>
          </w:p>
        </w:tc>
      </w:tr>
      <w:tr w:rsidR="006578ED" w14:paraId="4FC8E8BF" w14:textId="77777777">
        <w:trPr>
          <w:trHeight w:val="677"/>
        </w:trPr>
        <w:tc>
          <w:tcPr>
            <w:tcW w:w="846" w:type="dxa"/>
            <w:shd w:val="clear" w:color="auto" w:fill="C6EFCE"/>
          </w:tcPr>
          <w:p w14:paraId="54AB878F" w14:textId="43BD63A3" w:rsidR="006578ED" w:rsidRDefault="00A1618E">
            <w:pPr>
              <w:pStyle w:val="P68B1DB1-Normal13"/>
              <w:spacing w:after="0" w:line="240" w:lineRule="auto"/>
              <w:jc w:val="center"/>
              <w:textAlignment w:val="baseline"/>
              <w:rPr>
                <w:rFonts w:eastAsia="Times New Roman" w:cs="Times New Roman"/>
                <w:noProof/>
              </w:rPr>
            </w:pPr>
            <w:r>
              <w:rPr>
                <w:noProof/>
              </w:rPr>
              <w:t>L35</w:t>
            </w:r>
          </w:p>
        </w:tc>
        <w:tc>
          <w:tcPr>
            <w:tcW w:w="850" w:type="dxa"/>
            <w:shd w:val="clear" w:color="auto" w:fill="C6EFCE"/>
          </w:tcPr>
          <w:p w14:paraId="537C5BEE" w14:textId="77777777" w:rsidR="006578ED" w:rsidRDefault="00A1618E">
            <w:pPr>
              <w:pStyle w:val="P68B1DB1-Normal13"/>
              <w:spacing w:after="0" w:line="240" w:lineRule="auto"/>
              <w:jc w:val="center"/>
              <w:rPr>
                <w:rFonts w:eastAsia="Times New Roman" w:cs="Times New Roman"/>
                <w:noProof/>
              </w:rPr>
            </w:pPr>
            <w:r>
              <w:rPr>
                <w:noProof/>
              </w:rPr>
              <w:t>C13.I7</w:t>
            </w:r>
          </w:p>
        </w:tc>
        <w:tc>
          <w:tcPr>
            <w:tcW w:w="851" w:type="dxa"/>
            <w:shd w:val="clear" w:color="auto" w:fill="C6EFCE"/>
          </w:tcPr>
          <w:p w14:paraId="64DF9146" w14:textId="07E9FB16"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6FD52622" w14:textId="780ED793" w:rsidR="006578ED" w:rsidRDefault="00A1618E">
            <w:pPr>
              <w:pStyle w:val="P68B1DB1-Normal13"/>
              <w:spacing w:after="0" w:line="240" w:lineRule="auto"/>
              <w:textAlignment w:val="baseline"/>
              <w:rPr>
                <w:rFonts w:eastAsia="Times New Roman" w:cs="Times New Roman"/>
                <w:noProof/>
              </w:rPr>
            </w:pPr>
            <w:r>
              <w:rPr>
                <w:noProof/>
              </w:rPr>
              <w:t xml:space="preserve">Następny Fundusz Technicznej – umowa wykonawcza z osią </w:t>
            </w:r>
          </w:p>
        </w:tc>
        <w:tc>
          <w:tcPr>
            <w:tcW w:w="1134" w:type="dxa"/>
            <w:shd w:val="clear" w:color="auto" w:fill="C6EFCE"/>
          </w:tcPr>
          <w:p w14:paraId="5F24E248" w14:textId="77777777" w:rsidR="006578ED" w:rsidRDefault="00A1618E">
            <w:pPr>
              <w:pStyle w:val="P68B1DB1-Normal13"/>
              <w:spacing w:after="0" w:line="240" w:lineRule="auto"/>
              <w:jc w:val="center"/>
              <w:textAlignment w:val="baseline"/>
              <w:rPr>
                <w:rFonts w:eastAsia="Times New Roman" w:cs="Times New Roman"/>
                <w:noProof/>
              </w:rPr>
            </w:pPr>
            <w:r>
              <w:rPr>
                <w:noProof/>
              </w:rPr>
              <w:t>Podpisanie zmienionej umowy wykonawczej</w:t>
            </w:r>
          </w:p>
        </w:tc>
        <w:tc>
          <w:tcPr>
            <w:tcW w:w="709" w:type="dxa"/>
            <w:shd w:val="clear" w:color="auto" w:fill="C6EFCE"/>
          </w:tcPr>
          <w:p w14:paraId="2509CEC8"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044E9458"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559DA499"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1BC05701" w14:textId="423F67A3" w:rsidR="006578ED" w:rsidRDefault="00EC188C">
            <w:pPr>
              <w:pStyle w:val="P68B1DB1-Normal13"/>
              <w:spacing w:after="0" w:line="240" w:lineRule="auto"/>
              <w:jc w:val="center"/>
              <w:textAlignment w:val="baseline"/>
              <w:rPr>
                <w:rFonts w:eastAsia="Times New Roman" w:cs="Times New Roman"/>
                <w:noProof/>
              </w:rPr>
            </w:pPr>
            <w:r>
              <w:rPr>
                <w:noProof/>
              </w:rPr>
              <w:t>KW. 4</w:t>
            </w:r>
          </w:p>
        </w:tc>
        <w:tc>
          <w:tcPr>
            <w:tcW w:w="709" w:type="dxa"/>
            <w:shd w:val="clear" w:color="auto" w:fill="C6EFCE"/>
          </w:tcPr>
          <w:p w14:paraId="3CD67789" w14:textId="77777777" w:rsidR="006578ED" w:rsidRDefault="00A1618E">
            <w:pPr>
              <w:pStyle w:val="P68B1DB1-Normal13"/>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0AB4A920" w14:textId="1C592395" w:rsidR="006578ED" w:rsidRDefault="00A1618E">
            <w:pPr>
              <w:pStyle w:val="paragraph"/>
              <w:spacing w:before="0" w:beforeAutospacing="0" w:after="0" w:afterAutospacing="0"/>
              <w:textAlignment w:val="baseline"/>
              <w:rPr>
                <w:rFonts w:ascii="Times New Roman" w:hAnsi="Times New Roman" w:cs="Times New Roman"/>
                <w:noProof/>
                <w:sz w:val="18"/>
              </w:rPr>
            </w:pPr>
            <w:r>
              <w:rPr>
                <w:rStyle w:val="normaltextrun"/>
                <w:rFonts w:ascii="Times New Roman" w:hAnsi="Times New Roman"/>
                <w:noProof/>
                <w:sz w:val="18"/>
              </w:rPr>
              <w:t xml:space="preserve">Wejście w życie umowy wykonawczej </w:t>
            </w:r>
          </w:p>
        </w:tc>
      </w:tr>
      <w:tr w:rsidR="006578ED" w14:paraId="6E488E46" w14:textId="77777777">
        <w:trPr>
          <w:trHeight w:val="300"/>
        </w:trPr>
        <w:tc>
          <w:tcPr>
            <w:tcW w:w="846" w:type="dxa"/>
            <w:shd w:val="clear" w:color="auto" w:fill="C6EFCE"/>
          </w:tcPr>
          <w:p w14:paraId="6995C319" w14:textId="1FBC5C27" w:rsidR="006578ED" w:rsidRDefault="00A1618E">
            <w:pPr>
              <w:pStyle w:val="P68B1DB1-Normal13"/>
              <w:spacing w:after="0" w:line="240" w:lineRule="auto"/>
              <w:jc w:val="center"/>
              <w:textAlignment w:val="baseline"/>
              <w:rPr>
                <w:rFonts w:eastAsia="Times New Roman" w:cs="Times New Roman"/>
                <w:noProof/>
              </w:rPr>
            </w:pPr>
            <w:r>
              <w:rPr>
                <w:noProof/>
              </w:rPr>
              <w:t>L36</w:t>
            </w:r>
          </w:p>
        </w:tc>
        <w:tc>
          <w:tcPr>
            <w:tcW w:w="850" w:type="dxa"/>
            <w:shd w:val="clear" w:color="auto" w:fill="C6EFCE"/>
          </w:tcPr>
          <w:p w14:paraId="316A7C83" w14:textId="77777777" w:rsidR="006578ED" w:rsidRDefault="00A1618E">
            <w:pPr>
              <w:pStyle w:val="P68B1DB1-Normal13"/>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5D376CAE" w14:textId="2C062F55"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325126CE" w14:textId="6D42D744" w:rsidR="006578ED" w:rsidRDefault="00A1618E">
            <w:pPr>
              <w:pStyle w:val="P68B1DB1-Normal13"/>
              <w:spacing w:after="0" w:line="240" w:lineRule="auto"/>
              <w:textAlignment w:val="baseline"/>
              <w:rPr>
                <w:rFonts w:eastAsia="Times New Roman" w:cs="Times New Roman"/>
                <w:noProof/>
              </w:rPr>
            </w:pPr>
            <w:r>
              <w:rPr>
                <w:noProof/>
              </w:rPr>
              <w:t>Kolejna technologia – umowy prawne podpisane z beneficjentami końcowymi i funduszami kapitałowymi (I)</w:t>
            </w:r>
          </w:p>
        </w:tc>
        <w:tc>
          <w:tcPr>
            <w:tcW w:w="1134" w:type="dxa"/>
            <w:shd w:val="clear" w:color="auto" w:fill="C6EFCE"/>
          </w:tcPr>
          <w:p w14:paraId="6E4A6D46" w14:textId="216F8E54"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84EF85D" w14:textId="25CCB4B8" w:rsidR="006578ED" w:rsidRDefault="00A1618E">
            <w:pPr>
              <w:pStyle w:val="P68B1DB1-Normal13"/>
              <w:spacing w:after="0" w:line="360" w:lineRule="auto"/>
              <w:jc w:val="center"/>
              <w:textAlignment w:val="baseline"/>
              <w:rPr>
                <w:rFonts w:eastAsia="Times New Roman" w:cs="Times New Roman"/>
                <w:noProof/>
              </w:rPr>
            </w:pPr>
            <w:r>
              <w:rPr>
                <w:noProof/>
              </w:rPr>
              <w:t>%</w:t>
            </w:r>
          </w:p>
        </w:tc>
        <w:tc>
          <w:tcPr>
            <w:tcW w:w="708" w:type="dxa"/>
            <w:shd w:val="clear" w:color="auto" w:fill="C6EFCE"/>
          </w:tcPr>
          <w:p w14:paraId="489ACAD9" w14:textId="391305EC" w:rsidR="006578ED" w:rsidRDefault="00A1618E">
            <w:pPr>
              <w:pStyle w:val="P68B1DB1-Normal13"/>
              <w:spacing w:after="0" w:line="240" w:lineRule="auto"/>
              <w:jc w:val="right"/>
              <w:textAlignment w:val="baseline"/>
              <w:rPr>
                <w:rFonts w:eastAsia="Times New Roman" w:cs="Times New Roman"/>
                <w:noProof/>
              </w:rPr>
            </w:pPr>
            <w:r>
              <w:rPr>
                <w:noProof/>
              </w:rPr>
              <w:t>0 %</w:t>
            </w:r>
          </w:p>
        </w:tc>
        <w:tc>
          <w:tcPr>
            <w:tcW w:w="709" w:type="dxa"/>
            <w:shd w:val="clear" w:color="auto" w:fill="C6EFCE"/>
          </w:tcPr>
          <w:p w14:paraId="7564B01C" w14:textId="6038F89D" w:rsidR="006578ED" w:rsidRDefault="00A1618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2C514BD" w14:textId="2C2492B1" w:rsidR="006578ED" w:rsidRDefault="00EC188C">
            <w:pPr>
              <w:pStyle w:val="P68B1DB1-Normal13"/>
              <w:spacing w:after="0" w:line="240" w:lineRule="auto"/>
              <w:jc w:val="center"/>
              <w:textAlignment w:val="baseline"/>
              <w:rPr>
                <w:rFonts w:eastAsia="Times New Roman" w:cs="Times New Roman"/>
                <w:noProof/>
              </w:rPr>
            </w:pPr>
            <w:r>
              <w:rPr>
                <w:noProof/>
              </w:rPr>
              <w:t>KW. 2</w:t>
            </w:r>
          </w:p>
        </w:tc>
        <w:tc>
          <w:tcPr>
            <w:tcW w:w="709" w:type="dxa"/>
            <w:shd w:val="clear" w:color="auto" w:fill="C6EFCE"/>
          </w:tcPr>
          <w:p w14:paraId="4DB96629"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2D0D321F" w14:textId="2FCA2753" w:rsidR="006578ED" w:rsidRDefault="00A1618E">
            <w:pPr>
              <w:pStyle w:val="P68B1DB1-Normal13"/>
              <w:spacing w:after="0" w:line="240" w:lineRule="auto"/>
              <w:textAlignment w:val="baseline"/>
              <w:rPr>
                <w:rFonts w:eastAsia="Times New Roman" w:cs="Times New Roman"/>
                <w:noProof/>
              </w:rPr>
            </w:pPr>
            <w:r>
              <w:rPr>
                <w:noProof/>
              </w:rPr>
              <w:t xml:space="preserve">Oś i pośrednicy wybrani przez oś zawierają z beneficjentami końcowymi i funduszami kapitałowymi prawną umowę o finansowaniu na kwotę niezbędną do wykorzystania co najmniej 50 % inwestycji RRF w instrument (z uwzględnieniem opłat za zarządzanie). Oś sporządza sprawozdanie wyszczególniające udział tego finansowania, który przyczynia się do realizacji celów cyfrowych, z wykorzystaniem metodyki określonej w załączniku VII do rozporządzenia w sprawie RRF. </w:t>
            </w:r>
          </w:p>
        </w:tc>
      </w:tr>
      <w:tr w:rsidR="006578ED" w14:paraId="4597898A" w14:textId="77777777">
        <w:trPr>
          <w:trHeight w:val="300"/>
        </w:trPr>
        <w:tc>
          <w:tcPr>
            <w:tcW w:w="846" w:type="dxa"/>
            <w:shd w:val="clear" w:color="auto" w:fill="C6EFCE"/>
          </w:tcPr>
          <w:p w14:paraId="70870A6A" w14:textId="13F3C568" w:rsidR="006578ED" w:rsidRDefault="00A1618E">
            <w:pPr>
              <w:pStyle w:val="P68B1DB1-Normal13"/>
              <w:spacing w:after="0" w:line="240" w:lineRule="auto"/>
              <w:jc w:val="center"/>
              <w:textAlignment w:val="baseline"/>
              <w:rPr>
                <w:rFonts w:eastAsia="Times New Roman" w:cs="Times New Roman"/>
                <w:noProof/>
              </w:rPr>
            </w:pPr>
            <w:r>
              <w:rPr>
                <w:noProof/>
              </w:rPr>
              <w:t>L37</w:t>
            </w:r>
          </w:p>
        </w:tc>
        <w:tc>
          <w:tcPr>
            <w:tcW w:w="850" w:type="dxa"/>
            <w:shd w:val="clear" w:color="auto" w:fill="C6EFCE"/>
          </w:tcPr>
          <w:p w14:paraId="07A76F6F" w14:textId="77777777" w:rsidR="006578ED" w:rsidRDefault="00A1618E">
            <w:pPr>
              <w:pStyle w:val="P68B1DB1-Normal13"/>
              <w:spacing w:after="0" w:line="240" w:lineRule="auto"/>
              <w:jc w:val="center"/>
              <w:textAlignment w:val="baseline"/>
              <w:rPr>
                <w:rFonts w:eastAsia="Times New Roman" w:cs="Times New Roman"/>
                <w:noProof/>
              </w:rPr>
            </w:pPr>
            <w:r>
              <w:rPr>
                <w:noProof/>
              </w:rPr>
              <w:t>C13.I7</w:t>
            </w:r>
          </w:p>
          <w:p w14:paraId="3D6AB098"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851" w:type="dxa"/>
            <w:shd w:val="clear" w:color="auto" w:fill="C6EFCE"/>
          </w:tcPr>
          <w:p w14:paraId="410584B2" w14:textId="1C2A18BD"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0BC07377" w14:textId="05164FE5" w:rsidR="006578ED" w:rsidRDefault="00A1618E">
            <w:pPr>
              <w:pStyle w:val="P68B1DB1-Normal13"/>
              <w:spacing w:after="0" w:line="240" w:lineRule="auto"/>
              <w:textAlignment w:val="baseline"/>
              <w:rPr>
                <w:rFonts w:eastAsia="Times New Roman" w:cs="Times New Roman"/>
                <w:noProof/>
              </w:rPr>
            </w:pPr>
            <w:r>
              <w:rPr>
                <w:noProof/>
              </w:rPr>
              <w:t>Kolejna technologia – umowy prawne podpisane z beneficjentami końcowymi i funduszami kapitałowymi (II)</w:t>
            </w:r>
          </w:p>
        </w:tc>
        <w:tc>
          <w:tcPr>
            <w:tcW w:w="1134" w:type="dxa"/>
            <w:shd w:val="clear" w:color="auto" w:fill="C6EFCE"/>
          </w:tcPr>
          <w:p w14:paraId="711A44B0" w14:textId="275B0298"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7CA1770" w14:textId="3C7A8A00"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3EF1F523" w14:textId="30DE1D69" w:rsidR="006578ED" w:rsidRDefault="00A1618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63560433" w14:textId="7BE776E1" w:rsidR="006578ED" w:rsidRDefault="00A1618E">
            <w:pPr>
              <w:pStyle w:val="P68B1DB1-Normal13"/>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75EBF31D" w14:textId="62EDA91E" w:rsidR="006578ED" w:rsidRDefault="00EC188C">
            <w:pPr>
              <w:pStyle w:val="P68B1DB1-Normal13"/>
              <w:spacing w:after="0" w:line="240" w:lineRule="auto"/>
              <w:jc w:val="center"/>
              <w:textAlignment w:val="baseline"/>
              <w:rPr>
                <w:rFonts w:eastAsia="Times New Roman" w:cs="Times New Roman"/>
                <w:noProof/>
              </w:rPr>
            </w:pPr>
            <w:r>
              <w:rPr>
                <w:noProof/>
              </w:rPr>
              <w:t>KW. 4</w:t>
            </w:r>
          </w:p>
        </w:tc>
        <w:tc>
          <w:tcPr>
            <w:tcW w:w="709" w:type="dxa"/>
            <w:shd w:val="clear" w:color="auto" w:fill="C6EFCE"/>
          </w:tcPr>
          <w:p w14:paraId="77DA9086"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16E76197" w14:textId="681EF155" w:rsidR="006578ED" w:rsidRDefault="00A1618E">
            <w:pPr>
              <w:pStyle w:val="P68B1DB1-Normal13"/>
              <w:spacing w:after="0" w:line="240" w:lineRule="auto"/>
              <w:textAlignment w:val="baseline"/>
              <w:rPr>
                <w:rFonts w:eastAsia="Times New Roman" w:cs="Times New Roman"/>
                <w:noProof/>
              </w:rPr>
            </w:pPr>
            <w:r>
              <w:rPr>
                <w:noProof/>
              </w:rPr>
              <w:t xml:space="preserve">Oś i pośrednicy wybrani przez oś zawierają z beneficjentami końcowymi i funduszami kapitałowymi prawną umowę o finansowaniu na kwotę niezbędną do wykorzystania co najmniej 75 % inwestycji RRF w instrument (z uwzględnieniem opłat za zarządzanie). Oś sporządza sprawozdanie wyszczególniające udział tego finansowania, który przyczynia się do realizacji celów cyfrowych, z wykorzystaniem metodyki określonej w załączniku VII do rozporządzenia w sprawie RRF. </w:t>
            </w:r>
          </w:p>
        </w:tc>
      </w:tr>
      <w:tr w:rsidR="006578ED" w14:paraId="277B94BD" w14:textId="77777777">
        <w:trPr>
          <w:trHeight w:val="300"/>
        </w:trPr>
        <w:tc>
          <w:tcPr>
            <w:tcW w:w="846" w:type="dxa"/>
            <w:shd w:val="clear" w:color="auto" w:fill="C6EFCE"/>
          </w:tcPr>
          <w:p w14:paraId="61844900" w14:textId="52F53057" w:rsidR="006578ED" w:rsidRDefault="00A1618E">
            <w:pPr>
              <w:pStyle w:val="P68B1DB1-Normal13"/>
              <w:spacing w:after="0" w:line="240" w:lineRule="auto"/>
              <w:jc w:val="center"/>
              <w:textAlignment w:val="baseline"/>
              <w:rPr>
                <w:rFonts w:eastAsia="Times New Roman" w:cs="Times New Roman"/>
                <w:noProof/>
              </w:rPr>
            </w:pPr>
            <w:r>
              <w:rPr>
                <w:noProof/>
              </w:rPr>
              <w:t>L38</w:t>
            </w:r>
          </w:p>
        </w:tc>
        <w:tc>
          <w:tcPr>
            <w:tcW w:w="850" w:type="dxa"/>
            <w:shd w:val="clear" w:color="auto" w:fill="C6EFCE"/>
          </w:tcPr>
          <w:p w14:paraId="2AF164FC" w14:textId="77777777" w:rsidR="006578ED" w:rsidRDefault="00A1618E">
            <w:pPr>
              <w:pStyle w:val="P68B1DB1-Normal13"/>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09BBE52D" w14:textId="5D6D730D"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0853A9B8" w14:textId="41CFE7BE" w:rsidR="006578ED" w:rsidRDefault="00A1618E">
            <w:pPr>
              <w:pStyle w:val="P68B1DB1-Normal13"/>
              <w:spacing w:after="0" w:line="240" w:lineRule="auto"/>
              <w:textAlignment w:val="baseline"/>
              <w:rPr>
                <w:rFonts w:eastAsia="Times New Roman" w:cs="Times New Roman"/>
                <w:noProof/>
              </w:rPr>
            </w:pPr>
            <w:r>
              <w:rPr>
                <w:noProof/>
              </w:rPr>
              <w:t>Kolejna technologia – umowy prawne podpisane z beneficjentami końcowymi i funduszami kapitałowymi (II)</w:t>
            </w:r>
          </w:p>
        </w:tc>
        <w:tc>
          <w:tcPr>
            <w:tcW w:w="1134" w:type="dxa"/>
            <w:shd w:val="clear" w:color="auto" w:fill="C6EFCE"/>
          </w:tcPr>
          <w:p w14:paraId="0CA2BE6E" w14:textId="056C9211"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A70397B" w14:textId="764B4723"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1E5A1461" w14:textId="61C4BED3" w:rsidR="006578ED" w:rsidRDefault="00A1618E">
            <w:pPr>
              <w:pStyle w:val="P68B1DB1-Normal13"/>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00CC87E9" w14:textId="2EB5FF72" w:rsidR="006578ED" w:rsidRDefault="00A1618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4186B1BD" w14:textId="3DD64278"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675D6D0F"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62DD61C" w14:textId="402D432F" w:rsidR="006578ED" w:rsidRDefault="00A1618E">
            <w:pPr>
              <w:pStyle w:val="P68B1DB1-Normal13"/>
              <w:spacing w:after="0" w:line="240" w:lineRule="auto"/>
              <w:textAlignment w:val="baseline"/>
              <w:rPr>
                <w:rFonts w:eastAsia="Times New Roman" w:cs="Times New Roman"/>
                <w:noProof/>
              </w:rPr>
            </w:pPr>
            <w:r>
              <w:rPr>
                <w:noProof/>
              </w:rPr>
              <w:t xml:space="preserve">Oś i pośrednicy wybrani przez oś zawierają z beneficjentami końcowymi i funduszami kapitałowymi prawną umowę o finansowaniu na kwotę niezbędną do wykorzystania 100 % inwestycji RRF w instrument (z uwzględnieniem opłat za zarządzanie). 100 % tego finansowania przyczynia się do realizacji celów cyfrowych przy użyciu metodyki określonej w załączniku VII do rozporządzenia w sprawie RRF. </w:t>
            </w:r>
          </w:p>
        </w:tc>
      </w:tr>
      <w:tr w:rsidR="006578ED" w14:paraId="62E7A379" w14:textId="77777777">
        <w:trPr>
          <w:trHeight w:val="300"/>
        </w:trPr>
        <w:tc>
          <w:tcPr>
            <w:tcW w:w="846" w:type="dxa"/>
            <w:shd w:val="clear" w:color="auto" w:fill="C6EFCE"/>
          </w:tcPr>
          <w:p w14:paraId="4B05E2B6" w14:textId="382D6228" w:rsidR="006578ED" w:rsidRDefault="00A1618E">
            <w:pPr>
              <w:pStyle w:val="P68B1DB1-Normal13"/>
              <w:spacing w:after="0" w:line="240" w:lineRule="auto"/>
              <w:jc w:val="center"/>
              <w:textAlignment w:val="baseline"/>
              <w:rPr>
                <w:rFonts w:eastAsia="Times New Roman" w:cs="Times New Roman"/>
                <w:noProof/>
              </w:rPr>
            </w:pPr>
            <w:r>
              <w:rPr>
                <w:noProof/>
              </w:rPr>
              <w:t>L39</w:t>
            </w:r>
          </w:p>
        </w:tc>
        <w:tc>
          <w:tcPr>
            <w:tcW w:w="850" w:type="dxa"/>
            <w:shd w:val="clear" w:color="auto" w:fill="C6EFCE"/>
          </w:tcPr>
          <w:p w14:paraId="3BD747F8" w14:textId="77777777" w:rsidR="006578ED" w:rsidRDefault="00A1618E">
            <w:pPr>
              <w:pStyle w:val="P68B1DB1-Normal13"/>
              <w:spacing w:after="0" w:line="240" w:lineRule="auto"/>
              <w:jc w:val="center"/>
              <w:textAlignment w:val="baseline"/>
              <w:rPr>
                <w:rFonts w:eastAsia="Times New Roman" w:cs="Times New Roman"/>
                <w:noProof/>
              </w:rPr>
            </w:pPr>
            <w:r>
              <w:rPr>
                <w:noProof/>
              </w:rPr>
              <w:t>C13.I7</w:t>
            </w:r>
          </w:p>
        </w:tc>
        <w:tc>
          <w:tcPr>
            <w:tcW w:w="851" w:type="dxa"/>
            <w:shd w:val="clear" w:color="auto" w:fill="C6EFCE"/>
          </w:tcPr>
          <w:p w14:paraId="4CF0C57E" w14:textId="09BF23EA"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4BD548CA" w14:textId="711EE18B" w:rsidR="006578ED" w:rsidRDefault="00A1618E">
            <w:pPr>
              <w:pStyle w:val="P68B1DB1-Normal13"/>
              <w:spacing w:after="0" w:line="240" w:lineRule="auto"/>
              <w:textAlignment w:val="baseline"/>
              <w:rPr>
                <w:rFonts w:eastAsia="Times New Roman" w:cs="Times New Roman"/>
                <w:noProof/>
              </w:rPr>
            </w:pPr>
            <w:r>
              <w:rPr>
                <w:noProof/>
              </w:rPr>
              <w:t xml:space="preserve">Kolejna technologia – Ministerstwo zakończyło inwestycje. </w:t>
            </w:r>
          </w:p>
        </w:tc>
        <w:tc>
          <w:tcPr>
            <w:tcW w:w="1134" w:type="dxa"/>
            <w:shd w:val="clear" w:color="auto" w:fill="C6EFCE"/>
          </w:tcPr>
          <w:p w14:paraId="50565B4D" w14:textId="01BB337C" w:rsidR="006578ED" w:rsidRDefault="00A1618E">
            <w:pPr>
              <w:pStyle w:val="P68B1DB1-Normal13"/>
              <w:spacing w:after="0" w:line="240" w:lineRule="auto"/>
              <w:jc w:val="center"/>
              <w:textAlignment w:val="baseline"/>
              <w:rPr>
                <w:rFonts w:eastAsia="Times New Roman" w:cs="Times New Roman"/>
                <w:noProof/>
              </w:rPr>
            </w:pPr>
            <w:r>
              <w:rPr>
                <w:noProof/>
              </w:rPr>
              <w:t>Świadectwo transferu</w:t>
            </w:r>
          </w:p>
        </w:tc>
        <w:tc>
          <w:tcPr>
            <w:tcW w:w="709" w:type="dxa"/>
            <w:shd w:val="clear" w:color="auto" w:fill="C6EFCE"/>
          </w:tcPr>
          <w:p w14:paraId="1BF984B9" w14:textId="7509B215"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4E656853"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3601E0F" w14:textId="1001B4B6"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96DDA20" w14:textId="02AEE954"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4655CBB3"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64747634" w14:textId="11E345AE" w:rsidR="006578ED" w:rsidRDefault="00A1618E">
            <w:pPr>
              <w:pStyle w:val="P68B1DB1-Normal13"/>
              <w:spacing w:after="0" w:line="240" w:lineRule="auto"/>
              <w:textAlignment w:val="baseline"/>
              <w:rPr>
                <w:rFonts w:eastAsia="Times New Roman" w:cs="Times New Roman"/>
                <w:noProof/>
              </w:rPr>
            </w:pPr>
            <w:r>
              <w:rPr>
                <w:noProof/>
              </w:rPr>
              <w:t>Hiszpania przesunie 4 000 000 000 EUR na rzecz ICO na rzecz Instrumentu.</w:t>
            </w:r>
          </w:p>
        </w:tc>
      </w:tr>
      <w:tr w:rsidR="006578ED" w14:paraId="4E31ADCE" w14:textId="77777777">
        <w:trPr>
          <w:trHeight w:val="300"/>
        </w:trPr>
        <w:tc>
          <w:tcPr>
            <w:tcW w:w="846" w:type="dxa"/>
            <w:shd w:val="clear" w:color="auto" w:fill="C6EFCE"/>
          </w:tcPr>
          <w:p w14:paraId="6B773916" w14:textId="2C35DE84" w:rsidR="006578ED" w:rsidRDefault="00A1618E">
            <w:pPr>
              <w:pStyle w:val="P68B1DB1-Normal13"/>
              <w:spacing w:after="0" w:line="240" w:lineRule="auto"/>
              <w:jc w:val="center"/>
              <w:textAlignment w:val="baseline"/>
              <w:rPr>
                <w:rFonts w:eastAsia="Times New Roman" w:cs="Times New Roman"/>
                <w:noProof/>
              </w:rPr>
            </w:pPr>
            <w:r>
              <w:rPr>
                <w:noProof/>
              </w:rPr>
              <w:t>L40</w:t>
            </w:r>
          </w:p>
        </w:tc>
        <w:tc>
          <w:tcPr>
            <w:tcW w:w="850" w:type="dxa"/>
            <w:shd w:val="clear" w:color="auto" w:fill="C6EFCE"/>
          </w:tcPr>
          <w:p w14:paraId="57D602EB" w14:textId="77777777" w:rsidR="006578ED" w:rsidRDefault="00A1618E">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483ACA03" w14:textId="768052ED"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1264AA5D" w14:textId="48BF9705" w:rsidR="006578ED" w:rsidRDefault="00A1618E">
            <w:pPr>
              <w:pStyle w:val="P68B1DB1-Normal13"/>
              <w:spacing w:after="0" w:line="240" w:lineRule="auto"/>
              <w:textAlignment w:val="baseline"/>
              <w:rPr>
                <w:rFonts w:eastAsia="Times New Roman" w:cs="Times New Roman"/>
                <w:noProof/>
              </w:rPr>
            </w:pPr>
            <w:r>
              <w:rPr>
                <w:noProof/>
              </w:rPr>
              <w:t>Foco – rozporządzenia ustanawiające Fundusz</w:t>
            </w:r>
          </w:p>
        </w:tc>
        <w:tc>
          <w:tcPr>
            <w:tcW w:w="1134" w:type="dxa"/>
            <w:shd w:val="clear" w:color="auto" w:fill="C6EFCE"/>
          </w:tcPr>
          <w:p w14:paraId="3AE85A06" w14:textId="2AA07F00" w:rsidR="006578ED" w:rsidRDefault="00A1618E">
            <w:pPr>
              <w:pStyle w:val="P68B1DB1-Normal13"/>
              <w:spacing w:after="0" w:line="240" w:lineRule="auto"/>
              <w:jc w:val="center"/>
              <w:textAlignment w:val="baseline"/>
              <w:rPr>
                <w:rFonts w:eastAsia="Times New Roman" w:cs="Times New Roman"/>
                <w:noProof/>
              </w:rPr>
            </w:pPr>
            <w:r>
              <w:rPr>
                <w:noProof/>
              </w:rPr>
              <w:t>Wejście w życie rozporządzeń ustanawiających Instrument</w:t>
            </w:r>
          </w:p>
        </w:tc>
        <w:tc>
          <w:tcPr>
            <w:tcW w:w="709" w:type="dxa"/>
            <w:shd w:val="clear" w:color="auto" w:fill="C6EFCE"/>
          </w:tcPr>
          <w:p w14:paraId="7ED26068"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7C979E1"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7558F92"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8719DEB" w14:textId="481F5D1F" w:rsidR="006578ED" w:rsidRDefault="00EC188C">
            <w:pPr>
              <w:pStyle w:val="P68B1DB1-Normal13"/>
              <w:spacing w:after="0" w:line="240" w:lineRule="auto"/>
              <w:jc w:val="center"/>
              <w:textAlignment w:val="baseline"/>
              <w:rPr>
                <w:rFonts w:eastAsia="Times New Roman" w:cs="Times New Roman"/>
                <w:noProof/>
              </w:rPr>
            </w:pPr>
            <w:r>
              <w:rPr>
                <w:noProof/>
              </w:rPr>
              <w:t>KW. 1</w:t>
            </w:r>
          </w:p>
        </w:tc>
        <w:tc>
          <w:tcPr>
            <w:tcW w:w="709" w:type="dxa"/>
            <w:shd w:val="clear" w:color="auto" w:fill="C6EFCE"/>
          </w:tcPr>
          <w:p w14:paraId="69C41DF4" w14:textId="070D1F91" w:rsidR="006578ED" w:rsidRDefault="00A1618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23BE14D3" w14:textId="78526BE2" w:rsidR="006578ED" w:rsidRDefault="00A1618E">
            <w:pPr>
              <w:pStyle w:val="P68B1DB1-Normal13"/>
              <w:spacing w:after="0" w:line="240" w:lineRule="auto"/>
              <w:textAlignment w:val="baseline"/>
              <w:rPr>
                <w:rFonts w:eastAsia="Times New Roman" w:cs="Times New Roman"/>
                <w:noProof/>
              </w:rPr>
            </w:pPr>
            <w:r>
              <w:rPr>
                <w:noProof/>
              </w:rPr>
              <w:t xml:space="preserve">Wejście w życie rozporządzenia i wszelkich związanych z nim dokumentów ustanawiających Instrument. </w:t>
            </w:r>
          </w:p>
        </w:tc>
      </w:tr>
      <w:tr w:rsidR="006578ED" w14:paraId="388D8E24" w14:textId="77777777">
        <w:trPr>
          <w:trHeight w:val="300"/>
        </w:trPr>
        <w:tc>
          <w:tcPr>
            <w:tcW w:w="846" w:type="dxa"/>
            <w:shd w:val="clear" w:color="auto" w:fill="C6EFCE"/>
          </w:tcPr>
          <w:p w14:paraId="62E598CB" w14:textId="2303095C" w:rsidR="006578ED" w:rsidRDefault="00A1618E">
            <w:pPr>
              <w:pStyle w:val="P68B1DB1-Normal13"/>
              <w:spacing w:after="0" w:line="240" w:lineRule="auto"/>
              <w:jc w:val="center"/>
              <w:textAlignment w:val="baseline"/>
              <w:rPr>
                <w:rFonts w:eastAsia="Times New Roman" w:cs="Times New Roman"/>
                <w:noProof/>
              </w:rPr>
            </w:pPr>
            <w:r>
              <w:rPr>
                <w:noProof/>
              </w:rPr>
              <w:t>L41</w:t>
            </w:r>
          </w:p>
        </w:tc>
        <w:tc>
          <w:tcPr>
            <w:tcW w:w="850" w:type="dxa"/>
            <w:shd w:val="clear" w:color="auto" w:fill="C6EFCE"/>
          </w:tcPr>
          <w:p w14:paraId="1D237F3C" w14:textId="77777777" w:rsidR="006578ED" w:rsidRDefault="00A1618E">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75D4F251" w14:textId="286A2C73"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0560FF3F" w14:textId="09C103BE" w:rsidR="006578ED" w:rsidRDefault="00A1618E">
            <w:pPr>
              <w:pStyle w:val="P68B1DB1-Normal13"/>
              <w:spacing w:after="0" w:line="240" w:lineRule="auto"/>
              <w:textAlignment w:val="baseline"/>
              <w:rPr>
                <w:rFonts w:eastAsia="Times New Roman" w:cs="Times New Roman"/>
                <w:noProof/>
              </w:rPr>
            </w:pPr>
            <w:r>
              <w:rPr>
                <w:noProof/>
              </w:rPr>
              <w:t>Foco – umowy prawne podpisane z beneficjentami końcowymi (w tym funduszami kapitałowymi) (I)</w:t>
            </w:r>
          </w:p>
        </w:tc>
        <w:tc>
          <w:tcPr>
            <w:tcW w:w="1134" w:type="dxa"/>
            <w:shd w:val="clear" w:color="auto" w:fill="C6EFCE"/>
          </w:tcPr>
          <w:p w14:paraId="752CC410" w14:textId="1E76E501"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16A9226" w14:textId="104F94C9"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00758ADC" w14:textId="77777777" w:rsidR="006578ED" w:rsidRDefault="00A1618E">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385CBF3D" w14:textId="580B9033" w:rsidR="006578ED" w:rsidRDefault="00A1618E">
            <w:pPr>
              <w:pStyle w:val="P68B1DB1-Normal13"/>
              <w:spacing w:after="0" w:line="240" w:lineRule="auto"/>
              <w:jc w:val="right"/>
              <w:textAlignment w:val="baseline"/>
              <w:rPr>
                <w:rFonts w:eastAsia="Times New Roman" w:cs="Times New Roman"/>
                <w:noProof/>
              </w:rPr>
            </w:pPr>
            <w:r>
              <w:rPr>
                <w:noProof/>
              </w:rPr>
              <w:t>50 %</w:t>
            </w:r>
          </w:p>
          <w:p w14:paraId="59214C2B"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D73FE16" w14:textId="33E4EABD" w:rsidR="006578ED" w:rsidRDefault="00EC188C">
            <w:pPr>
              <w:pStyle w:val="P68B1DB1-Normal13"/>
              <w:spacing w:after="0" w:line="240" w:lineRule="auto"/>
              <w:jc w:val="center"/>
              <w:textAlignment w:val="baseline"/>
              <w:rPr>
                <w:rFonts w:eastAsia="Times New Roman" w:cs="Times New Roman"/>
                <w:noProof/>
              </w:rPr>
            </w:pPr>
            <w:r>
              <w:rPr>
                <w:noProof/>
              </w:rPr>
              <w:t>KW. 2</w:t>
            </w:r>
          </w:p>
        </w:tc>
        <w:tc>
          <w:tcPr>
            <w:tcW w:w="709" w:type="dxa"/>
            <w:shd w:val="clear" w:color="auto" w:fill="C6EFCE"/>
          </w:tcPr>
          <w:p w14:paraId="15E7847C"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6DD25180" w14:textId="4042ABC3" w:rsidR="006578ED" w:rsidRDefault="00A1618E">
            <w:pPr>
              <w:pStyle w:val="P68B1DB1-Normal13"/>
              <w:spacing w:after="0" w:line="240" w:lineRule="auto"/>
              <w:textAlignment w:val="baseline"/>
              <w:rPr>
                <w:rFonts w:eastAsia="Times New Roman" w:cs="Times New Roman"/>
                <w:noProof/>
              </w:rPr>
            </w:pPr>
            <w:r>
              <w:rPr>
                <w:noProof/>
              </w:rPr>
              <w:t>Instrument i pośrednicy wybrani przez COFIDES zawierają prawne umowy o finansowaniu z beneficjentami końcowymi (w tym funduszami kapitałowymi) na kwotę niezbędną do wykorzystania co najmniej 50 % inwestycji RRF w instrument (z uwzględnieniem opłat za zarządzanie). Co najmniej 20 % finansowania odpowiada umowom finansowym podpisanym z funduszami kapitałowymi, a co najmniej 20 % – umowami w sprawie finansowania podpisanymi z beneficjentami końcowymi w odniesieniu do wszystkich innych produktów inwestycyjnych (w tym bezpośrednich inwestycji kapitałowych w ramach Instrumentu).</w:t>
            </w:r>
          </w:p>
        </w:tc>
      </w:tr>
      <w:tr w:rsidR="006578ED" w14:paraId="4DE1B9BD" w14:textId="77777777">
        <w:trPr>
          <w:trHeight w:val="300"/>
        </w:trPr>
        <w:tc>
          <w:tcPr>
            <w:tcW w:w="846" w:type="dxa"/>
            <w:shd w:val="clear" w:color="auto" w:fill="C6EFCE"/>
          </w:tcPr>
          <w:p w14:paraId="2992D19F" w14:textId="3844CEEA" w:rsidR="006578ED" w:rsidRDefault="00A1618E">
            <w:pPr>
              <w:pStyle w:val="P68B1DB1-Normal13"/>
              <w:spacing w:after="0" w:line="240" w:lineRule="auto"/>
              <w:jc w:val="center"/>
              <w:textAlignment w:val="baseline"/>
              <w:rPr>
                <w:rFonts w:eastAsia="Times New Roman" w:cs="Times New Roman"/>
                <w:noProof/>
              </w:rPr>
            </w:pPr>
            <w:r>
              <w:rPr>
                <w:noProof/>
              </w:rPr>
              <w:t>L42</w:t>
            </w:r>
          </w:p>
        </w:tc>
        <w:tc>
          <w:tcPr>
            <w:tcW w:w="850" w:type="dxa"/>
            <w:shd w:val="clear" w:color="auto" w:fill="C6EFCE"/>
          </w:tcPr>
          <w:p w14:paraId="008092BD" w14:textId="77777777" w:rsidR="006578ED" w:rsidRDefault="00A1618E">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5F8A0532" w14:textId="1108C021"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4CF63345" w14:textId="7A5BE486" w:rsidR="006578ED" w:rsidRDefault="00A1618E">
            <w:pPr>
              <w:pStyle w:val="P68B1DB1-Normal13"/>
              <w:spacing w:after="0" w:line="240" w:lineRule="auto"/>
              <w:textAlignment w:val="baseline"/>
              <w:rPr>
                <w:rFonts w:eastAsia="Times New Roman" w:cs="Times New Roman"/>
                <w:noProof/>
              </w:rPr>
            </w:pPr>
            <w:r>
              <w:rPr>
                <w:noProof/>
              </w:rPr>
              <w:t>Foco – umowy prawne podpisane z beneficjentami końcowymi (w tym funduszami kapitałowymi) (II)</w:t>
            </w:r>
          </w:p>
        </w:tc>
        <w:tc>
          <w:tcPr>
            <w:tcW w:w="1134" w:type="dxa"/>
            <w:shd w:val="clear" w:color="auto" w:fill="C6EFCE"/>
          </w:tcPr>
          <w:p w14:paraId="1C19B6C9" w14:textId="11CE6039"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185F2E5" w14:textId="354E27A0" w:rsidR="006578ED" w:rsidRDefault="00A1618E">
            <w:pPr>
              <w:pStyle w:val="P68B1DB1-Normal13"/>
              <w:spacing w:after="0" w:line="240" w:lineRule="auto"/>
              <w:jc w:val="center"/>
              <w:textAlignment w:val="baseline"/>
              <w:rPr>
                <w:rFonts w:eastAsia="Times New Roman" w:cs="Times New Roman"/>
                <w:noProof/>
              </w:rPr>
            </w:pPr>
            <w:r>
              <w:rPr>
                <w:noProof/>
              </w:rPr>
              <w:t>%</w:t>
            </w:r>
          </w:p>
        </w:tc>
        <w:tc>
          <w:tcPr>
            <w:tcW w:w="708" w:type="dxa"/>
            <w:shd w:val="clear" w:color="auto" w:fill="C6EFCE"/>
          </w:tcPr>
          <w:p w14:paraId="2AC405AC" w14:textId="1252F274" w:rsidR="006578ED" w:rsidRDefault="00A1618E">
            <w:pPr>
              <w:pStyle w:val="P68B1DB1-Normal13"/>
              <w:spacing w:after="0" w:line="240" w:lineRule="auto"/>
              <w:jc w:val="center"/>
              <w:textAlignment w:val="baseline"/>
              <w:rPr>
                <w:rFonts w:eastAsia="Times New Roman" w:cs="Times New Roman"/>
                <w:noProof/>
              </w:rPr>
            </w:pPr>
            <w:r>
              <w:rPr>
                <w:noProof/>
              </w:rPr>
              <w:t>50 %</w:t>
            </w:r>
          </w:p>
        </w:tc>
        <w:tc>
          <w:tcPr>
            <w:tcW w:w="709" w:type="dxa"/>
            <w:shd w:val="clear" w:color="auto" w:fill="C6EFCE"/>
          </w:tcPr>
          <w:p w14:paraId="3D1A6017" w14:textId="0F9BBE4D" w:rsidR="006578ED" w:rsidRDefault="00A1618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37E52C92" w14:textId="66ED6647"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6DEBAB30"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05133B97" w14:textId="7C24D227" w:rsidR="006578ED" w:rsidRDefault="00A1618E">
            <w:pPr>
              <w:pStyle w:val="P68B1DB1-Normal13"/>
              <w:spacing w:after="0" w:line="240" w:lineRule="auto"/>
              <w:textAlignment w:val="baseline"/>
              <w:rPr>
                <w:rFonts w:eastAsia="Times New Roman" w:cs="Times New Roman"/>
                <w:noProof/>
              </w:rPr>
            </w:pPr>
            <w:r>
              <w:rPr>
                <w:noProof/>
              </w:rPr>
              <w:t>Instrument i pośrednicy wybrani przez COFIDES zawierają prawne umowy o finansowaniu z beneficjentami końcowymi (w tym funduszami kapitałowymi) na kwotę niezbędną do wykorzystania 100 % inwestycji RRF w instrument (z uwzględnieniem opłat za zarządzanie). Co najmniej 20 % finansowania odpowiada umowom finansowym podpisanym z funduszami kapitałowymi, a co najmniej 20 % – umowami w sprawie finansowania podpisanymi z beneficjentami końcowymi w odniesieniu do wszystkich innych produktów inwestycyjnych (w tym bezpośrednich inwestycji kapitałowych w ramach Instrumentu).</w:t>
            </w:r>
          </w:p>
        </w:tc>
      </w:tr>
      <w:tr w:rsidR="006578ED" w14:paraId="413858E2" w14:textId="77777777">
        <w:trPr>
          <w:trHeight w:val="300"/>
        </w:trPr>
        <w:tc>
          <w:tcPr>
            <w:tcW w:w="846" w:type="dxa"/>
            <w:shd w:val="clear" w:color="auto" w:fill="C6EFCE"/>
          </w:tcPr>
          <w:p w14:paraId="679F761A" w14:textId="72994404" w:rsidR="006578ED" w:rsidRDefault="00A1618E">
            <w:pPr>
              <w:pStyle w:val="P68B1DB1-Normal13"/>
              <w:spacing w:after="0" w:line="240" w:lineRule="auto"/>
              <w:jc w:val="center"/>
              <w:textAlignment w:val="baseline"/>
              <w:rPr>
                <w:rFonts w:eastAsia="Times New Roman" w:cs="Times New Roman"/>
                <w:noProof/>
              </w:rPr>
            </w:pPr>
            <w:r>
              <w:rPr>
                <w:noProof/>
              </w:rPr>
              <w:t>L43</w:t>
            </w:r>
          </w:p>
        </w:tc>
        <w:tc>
          <w:tcPr>
            <w:tcW w:w="850" w:type="dxa"/>
            <w:shd w:val="clear" w:color="auto" w:fill="C6EFCE"/>
          </w:tcPr>
          <w:p w14:paraId="6B82B99B" w14:textId="77777777" w:rsidR="006578ED" w:rsidRDefault="00A1618E">
            <w:pPr>
              <w:pStyle w:val="P68B1DB1-Normal13"/>
              <w:spacing w:after="0" w:line="240" w:lineRule="auto"/>
              <w:jc w:val="center"/>
              <w:textAlignment w:val="baseline"/>
              <w:rPr>
                <w:rFonts w:eastAsia="Times New Roman" w:cs="Times New Roman"/>
                <w:noProof/>
              </w:rPr>
            </w:pPr>
            <w:r>
              <w:rPr>
                <w:noProof/>
              </w:rPr>
              <w:t>C13.I8</w:t>
            </w:r>
          </w:p>
        </w:tc>
        <w:tc>
          <w:tcPr>
            <w:tcW w:w="851" w:type="dxa"/>
            <w:shd w:val="clear" w:color="auto" w:fill="C6EFCE"/>
          </w:tcPr>
          <w:p w14:paraId="11175A4F" w14:textId="77A41BB1"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47F04ADC" w14:textId="2CFEFE6D" w:rsidR="006578ED" w:rsidRDefault="00A1618E">
            <w:pPr>
              <w:pStyle w:val="P68B1DB1-Normal13"/>
              <w:spacing w:after="0" w:line="240" w:lineRule="auto"/>
              <w:textAlignment w:val="baseline"/>
              <w:rPr>
                <w:rFonts w:eastAsia="Times New Roman" w:cs="Times New Roman"/>
                <w:noProof/>
              </w:rPr>
            </w:pPr>
            <w:r>
              <w:rPr>
                <w:noProof/>
              </w:rPr>
              <w:t>Foco – Ministerstwo zakończyło inwestycję.</w:t>
            </w:r>
          </w:p>
        </w:tc>
        <w:tc>
          <w:tcPr>
            <w:tcW w:w="1134" w:type="dxa"/>
            <w:shd w:val="clear" w:color="auto" w:fill="C6EFCE"/>
          </w:tcPr>
          <w:p w14:paraId="6874C2AB" w14:textId="5F59CDA8" w:rsidR="006578ED" w:rsidRDefault="00A1618E">
            <w:pPr>
              <w:pStyle w:val="P68B1DB1-Normal13"/>
              <w:spacing w:after="0" w:line="240" w:lineRule="auto"/>
              <w:jc w:val="center"/>
              <w:textAlignment w:val="baseline"/>
              <w:rPr>
                <w:rFonts w:eastAsia="Times New Roman" w:cs="Times New Roman"/>
                <w:noProof/>
              </w:rPr>
            </w:pPr>
            <w:r>
              <w:rPr>
                <w:noProof/>
              </w:rPr>
              <w:t>Świadectwo transferu</w:t>
            </w:r>
          </w:p>
        </w:tc>
        <w:tc>
          <w:tcPr>
            <w:tcW w:w="709" w:type="dxa"/>
            <w:shd w:val="clear" w:color="auto" w:fill="C6EFCE"/>
          </w:tcPr>
          <w:p w14:paraId="625D17C6" w14:textId="6FFA06D2"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2865F839"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AF06EC2" w14:textId="65E4AC7C"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4D5F054" w14:textId="2369586A"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3E719710"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26BD24C5" w14:textId="01188F1C" w:rsidR="006578ED" w:rsidRDefault="00A1618E">
            <w:pPr>
              <w:pStyle w:val="P68B1DB1-Normal13"/>
              <w:spacing w:after="0" w:line="240" w:lineRule="auto"/>
              <w:textAlignment w:val="baseline"/>
              <w:rPr>
                <w:rFonts w:eastAsia="Times New Roman" w:cs="Times New Roman"/>
                <w:noProof/>
              </w:rPr>
            </w:pPr>
            <w:r>
              <w:rPr>
                <w:noProof/>
              </w:rPr>
              <w:t>Hiszpania przesunie 2 000 000 000 EUR do Instrumentu.</w:t>
            </w:r>
          </w:p>
        </w:tc>
      </w:tr>
      <w:tr w:rsidR="006578ED" w14:paraId="674A0CA5" w14:textId="77777777">
        <w:trPr>
          <w:trHeight w:val="1829"/>
        </w:trPr>
        <w:tc>
          <w:tcPr>
            <w:tcW w:w="846" w:type="dxa"/>
            <w:shd w:val="clear" w:color="auto" w:fill="C6EFCE"/>
          </w:tcPr>
          <w:p w14:paraId="29B69C3C" w14:textId="35DF434C" w:rsidR="006578ED" w:rsidRDefault="00A1618E">
            <w:pPr>
              <w:pStyle w:val="P68B1DB1-Normal13"/>
              <w:spacing w:after="0" w:line="240" w:lineRule="auto"/>
              <w:jc w:val="center"/>
              <w:textAlignment w:val="baseline"/>
              <w:rPr>
                <w:rFonts w:eastAsia="Times New Roman" w:cs="Times New Roman"/>
                <w:noProof/>
              </w:rPr>
            </w:pPr>
            <w:bookmarkStart w:id="46" w:name="_Hlk144798525"/>
            <w:r>
              <w:rPr>
                <w:noProof/>
              </w:rPr>
              <w:t>L44</w:t>
            </w:r>
          </w:p>
        </w:tc>
        <w:tc>
          <w:tcPr>
            <w:tcW w:w="850" w:type="dxa"/>
            <w:shd w:val="clear" w:color="auto" w:fill="C6EFCE"/>
          </w:tcPr>
          <w:p w14:paraId="5D94843C" w14:textId="77777777" w:rsidR="006578ED" w:rsidRDefault="00A1618E">
            <w:pPr>
              <w:pStyle w:val="P68B1DB1-Normal13"/>
              <w:spacing w:after="0" w:line="240" w:lineRule="auto"/>
              <w:jc w:val="center"/>
              <w:textAlignment w:val="baseline"/>
              <w:rPr>
                <w:rFonts w:eastAsia="Times New Roman" w:cs="Times New Roman"/>
                <w:noProof/>
              </w:rPr>
            </w:pPr>
            <w:r>
              <w:rPr>
                <w:noProof/>
              </w:rPr>
              <w:t>C13.I9</w:t>
            </w:r>
          </w:p>
        </w:tc>
        <w:tc>
          <w:tcPr>
            <w:tcW w:w="851" w:type="dxa"/>
            <w:shd w:val="clear" w:color="auto" w:fill="C6EFCE"/>
          </w:tcPr>
          <w:p w14:paraId="25A1D4DB" w14:textId="54DF4F8E"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4C6F8DFB" w14:textId="77777777" w:rsidR="006578ED" w:rsidRDefault="00A1618E">
            <w:pPr>
              <w:pStyle w:val="P68B1DB1-Normal13"/>
              <w:spacing w:after="0" w:line="240" w:lineRule="auto"/>
              <w:textAlignment w:val="baseline"/>
              <w:rPr>
                <w:rFonts w:eastAsia="Times New Roman" w:cs="Times New Roman"/>
                <w:noProof/>
              </w:rPr>
            </w:pPr>
            <w:r>
              <w:rPr>
                <w:noProof/>
              </w:rPr>
              <w:t>Fundusz Wsparcia Wypłacalności dla Przedsiębiorstw Strategicznych</w:t>
            </w:r>
          </w:p>
        </w:tc>
        <w:tc>
          <w:tcPr>
            <w:tcW w:w="1134" w:type="dxa"/>
            <w:shd w:val="clear" w:color="auto" w:fill="C6EFCE"/>
          </w:tcPr>
          <w:p w14:paraId="6EA6A767"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A7116BA" w14:textId="77777777" w:rsidR="006578ED" w:rsidRDefault="00A1618E">
            <w:pPr>
              <w:pStyle w:val="P68B1DB1-Normal13"/>
              <w:spacing w:after="0" w:line="240" w:lineRule="auto"/>
              <w:jc w:val="center"/>
              <w:textAlignment w:val="baseline"/>
              <w:rPr>
                <w:rFonts w:eastAsia="Times New Roman" w:cs="Times New Roman"/>
                <w:noProof/>
              </w:rPr>
            </w:pPr>
            <w:r>
              <w:rPr>
                <w:noProof/>
              </w:rPr>
              <w:t>Mln EUR</w:t>
            </w:r>
          </w:p>
        </w:tc>
        <w:tc>
          <w:tcPr>
            <w:tcW w:w="708" w:type="dxa"/>
            <w:shd w:val="clear" w:color="auto" w:fill="C6EFCE"/>
          </w:tcPr>
          <w:p w14:paraId="2F819E3C" w14:textId="77777777" w:rsidR="006578ED" w:rsidRDefault="00A1618E">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1AA03446" w14:textId="77777777" w:rsidR="006578ED" w:rsidRDefault="00A1618E">
            <w:pPr>
              <w:pStyle w:val="P68B1DB1-Normal13"/>
              <w:spacing w:after="0" w:line="240" w:lineRule="auto"/>
              <w:jc w:val="right"/>
              <w:textAlignment w:val="baseline"/>
              <w:rPr>
                <w:rFonts w:eastAsia="Times New Roman" w:cs="Times New Roman"/>
                <w:noProof/>
              </w:rPr>
            </w:pPr>
            <w:r>
              <w:rPr>
                <w:noProof/>
              </w:rPr>
              <w:t>563</w:t>
            </w:r>
          </w:p>
        </w:tc>
        <w:tc>
          <w:tcPr>
            <w:tcW w:w="709" w:type="dxa"/>
            <w:shd w:val="clear" w:color="auto" w:fill="C6EFCE"/>
          </w:tcPr>
          <w:p w14:paraId="0F02180E" w14:textId="71A268B6" w:rsidR="006578ED" w:rsidRDefault="00EC188C">
            <w:pPr>
              <w:pStyle w:val="P68B1DB1-Normal13"/>
              <w:spacing w:after="0" w:line="240" w:lineRule="auto"/>
              <w:jc w:val="center"/>
              <w:textAlignment w:val="baseline"/>
              <w:rPr>
                <w:rFonts w:eastAsia="Times New Roman" w:cs="Times New Roman"/>
                <w:noProof/>
              </w:rPr>
            </w:pPr>
            <w:r>
              <w:rPr>
                <w:noProof/>
              </w:rPr>
              <w:t>KW. 2</w:t>
            </w:r>
          </w:p>
        </w:tc>
        <w:tc>
          <w:tcPr>
            <w:tcW w:w="709" w:type="dxa"/>
            <w:shd w:val="clear" w:color="auto" w:fill="C6EFCE"/>
          </w:tcPr>
          <w:p w14:paraId="5E619485" w14:textId="77777777" w:rsidR="006578ED" w:rsidRDefault="00A1618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608B9E70" w14:textId="3072BB93" w:rsidR="006578ED" w:rsidRDefault="00A1618E">
            <w:pPr>
              <w:pStyle w:val="P68B1DB1-Normal13"/>
              <w:spacing w:line="240" w:lineRule="auto"/>
              <w:rPr>
                <w:rFonts w:eastAsia="Times New Roman" w:cs="Times New Roman"/>
                <w:noProof/>
              </w:rPr>
            </w:pPr>
            <w:r>
              <w:rPr>
                <w:noProof/>
              </w:rPr>
              <w:t>Beneficjentom końcowym wypłacono co najmniej 563 300 000 EUR z operacji kwalifikowalnych w ramach Instrumentu na rzecz Odbudowy i Zwiększania Odporności w ramach FASEE. Audyt ex post przeprowadzony przez niezależnego audytora powinien potwierdzić co najmniej zgodność z zasadą „nie czyń poważnych szkód”, zasadami pomocy państwa, brak nadużyć finansowych, korupcji, konfliktu interesów i podwójnego finansowania, a także gromadzenie danych określonych w </w:t>
            </w:r>
            <w:r w:rsidRPr="00A1618E">
              <w:rPr>
                <w:noProof/>
                <w:lang w:val="pl-PL"/>
              </w:rPr>
              <w:t>art. 2</w:t>
            </w:r>
            <w:r>
              <w:rPr>
                <w:noProof/>
              </w:rPr>
              <w:t xml:space="preserve">2 RRF. W ramach audytu ex post sprawdza się, czy wsparcie zostało udzielone wyłącznie przedsiębiorstwom, które w momencie przyznania wsparcia były rentowne i strategiczne dla krajowej lub regionalnej struktury produkcyjnej. </w:t>
            </w:r>
          </w:p>
        </w:tc>
      </w:tr>
      <w:tr w:rsidR="006578ED" w14:paraId="3973BF9B" w14:textId="77777777">
        <w:trPr>
          <w:trHeight w:val="300"/>
        </w:trPr>
        <w:tc>
          <w:tcPr>
            <w:tcW w:w="846" w:type="dxa"/>
            <w:shd w:val="clear" w:color="auto" w:fill="C6EFCE"/>
          </w:tcPr>
          <w:p w14:paraId="1ED40D9B" w14:textId="0F2A4A88" w:rsidR="006578ED" w:rsidRDefault="00A1618E">
            <w:pPr>
              <w:pStyle w:val="P68B1DB1-Normal13"/>
              <w:spacing w:after="0" w:line="240" w:lineRule="auto"/>
              <w:jc w:val="center"/>
              <w:textAlignment w:val="baseline"/>
              <w:rPr>
                <w:rFonts w:eastAsia="Times New Roman" w:cs="Times New Roman"/>
                <w:noProof/>
              </w:rPr>
            </w:pPr>
            <w:r>
              <w:rPr>
                <w:noProof/>
              </w:rPr>
              <w:t>L45</w:t>
            </w:r>
          </w:p>
        </w:tc>
        <w:tc>
          <w:tcPr>
            <w:tcW w:w="850" w:type="dxa"/>
            <w:shd w:val="clear" w:color="auto" w:fill="C6EFCE"/>
          </w:tcPr>
          <w:p w14:paraId="481AA9DB" w14:textId="77777777" w:rsidR="006578ED" w:rsidRDefault="00A1618E">
            <w:pPr>
              <w:pStyle w:val="P68B1DB1-Normal13"/>
              <w:spacing w:after="0" w:line="240" w:lineRule="auto"/>
              <w:jc w:val="center"/>
              <w:textAlignment w:val="baseline"/>
              <w:rPr>
                <w:rFonts w:eastAsia="Times New Roman" w:cs="Times New Roman"/>
                <w:noProof/>
              </w:rPr>
            </w:pPr>
            <w:r>
              <w:rPr>
                <w:noProof/>
              </w:rPr>
              <w:t>C13.I10</w:t>
            </w:r>
          </w:p>
        </w:tc>
        <w:tc>
          <w:tcPr>
            <w:tcW w:w="851" w:type="dxa"/>
            <w:shd w:val="clear" w:color="auto" w:fill="C6EFCE"/>
          </w:tcPr>
          <w:p w14:paraId="41F31964" w14:textId="2A1DE52D"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2621DB36" w14:textId="77777777" w:rsidR="006578ED" w:rsidRDefault="00A1618E">
            <w:pPr>
              <w:pStyle w:val="P68B1DB1-Normal13"/>
              <w:spacing w:after="0" w:line="240" w:lineRule="auto"/>
              <w:textAlignment w:val="baseline"/>
              <w:rPr>
                <w:rFonts w:eastAsia="Times New Roman" w:cs="Times New Roman"/>
                <w:noProof/>
              </w:rPr>
            </w:pPr>
            <w:r>
              <w:rPr>
                <w:noProof/>
              </w:rPr>
              <w:t>FONREC</w:t>
            </w:r>
          </w:p>
        </w:tc>
        <w:tc>
          <w:tcPr>
            <w:tcW w:w="1134" w:type="dxa"/>
            <w:shd w:val="clear" w:color="auto" w:fill="C6EFCE"/>
          </w:tcPr>
          <w:p w14:paraId="7BE35DD6"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C93D5EC" w14:textId="77777777" w:rsidR="006578ED" w:rsidRDefault="00A1618E">
            <w:pPr>
              <w:pStyle w:val="P68B1DB1-Normal13"/>
              <w:spacing w:after="0" w:line="240" w:lineRule="auto"/>
              <w:jc w:val="center"/>
              <w:textAlignment w:val="baseline"/>
              <w:rPr>
                <w:rFonts w:eastAsia="Times New Roman" w:cs="Times New Roman"/>
                <w:noProof/>
              </w:rPr>
            </w:pPr>
            <w:r>
              <w:rPr>
                <w:noProof/>
              </w:rPr>
              <w:t>Mln EUR</w:t>
            </w:r>
          </w:p>
        </w:tc>
        <w:tc>
          <w:tcPr>
            <w:tcW w:w="708" w:type="dxa"/>
            <w:shd w:val="clear" w:color="auto" w:fill="C6EFCE"/>
          </w:tcPr>
          <w:p w14:paraId="2E82B041" w14:textId="77777777" w:rsidR="006578ED" w:rsidRDefault="00A1618E">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66B06835" w14:textId="538EC0B6" w:rsidR="006578ED" w:rsidRDefault="00A1618E">
            <w:pPr>
              <w:pStyle w:val="P68B1DB1-Normal13"/>
              <w:spacing w:after="0" w:line="240" w:lineRule="auto"/>
              <w:jc w:val="right"/>
              <w:textAlignment w:val="baseline"/>
              <w:rPr>
                <w:rFonts w:eastAsia="Times New Roman" w:cs="Times New Roman"/>
                <w:noProof/>
              </w:rPr>
            </w:pPr>
            <w:r>
              <w:rPr>
                <w:noProof/>
              </w:rPr>
              <w:t>457,01</w:t>
            </w:r>
          </w:p>
        </w:tc>
        <w:tc>
          <w:tcPr>
            <w:tcW w:w="709" w:type="dxa"/>
            <w:shd w:val="clear" w:color="auto" w:fill="C6EFCE"/>
          </w:tcPr>
          <w:p w14:paraId="189A94BE" w14:textId="2978BC67" w:rsidR="006578ED" w:rsidRDefault="00EC188C">
            <w:pPr>
              <w:pStyle w:val="P68B1DB1-Normal13"/>
              <w:spacing w:after="0" w:line="240" w:lineRule="auto"/>
              <w:jc w:val="center"/>
              <w:textAlignment w:val="baseline"/>
              <w:rPr>
                <w:rFonts w:eastAsia="Times New Roman" w:cs="Times New Roman"/>
                <w:noProof/>
              </w:rPr>
            </w:pPr>
            <w:r>
              <w:rPr>
                <w:noProof/>
              </w:rPr>
              <w:t>KW. 2</w:t>
            </w:r>
          </w:p>
        </w:tc>
        <w:tc>
          <w:tcPr>
            <w:tcW w:w="709" w:type="dxa"/>
            <w:shd w:val="clear" w:color="auto" w:fill="C6EFCE"/>
          </w:tcPr>
          <w:p w14:paraId="7D490E8B" w14:textId="369B1A9E"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76BFDC4F" w14:textId="232D1DD5" w:rsidR="006578ED" w:rsidRDefault="00A1618E">
            <w:pPr>
              <w:pStyle w:val="P68B1DB1-Normal13"/>
              <w:spacing w:after="0" w:line="240" w:lineRule="auto"/>
              <w:textAlignment w:val="baseline"/>
              <w:rPr>
                <w:rFonts w:eastAsia="Times New Roman" w:cs="Times New Roman"/>
                <w:noProof/>
              </w:rPr>
            </w:pPr>
            <w:r>
              <w:rPr>
                <w:noProof/>
              </w:rPr>
              <w:t>Beneficjentom końcowym wypłacono co najmniej 457 010 000 EUR z operacji kwalifikowalnych w ramach Instrumentu na rzecz Odbudowy i Zwiększania Odporności w ramach FONREC. Audyt ex post przeprowadzony przez niezależnego audytora powinien potwierdzić co najmniej zgodność z zasadą „nie czyń poważnych szkód”, zasadami pomocy państwa, brak nadużyć finansowych, korupcji, konfliktu interesów i podwójnego finansowania, a także gromadzenie danych określonych w </w:t>
            </w:r>
            <w:r w:rsidRPr="00A1618E">
              <w:rPr>
                <w:noProof/>
                <w:lang w:val="pl-PL"/>
              </w:rPr>
              <w:t>art. 2</w:t>
            </w:r>
            <w:r>
              <w:rPr>
                <w:noProof/>
              </w:rPr>
              <w:t>2 RRF. W ramach audytu ex post sprawdza się, czy wsparcie zostało udzielone wyłącznie przedsiębiorstwom kwalifikującym się na podstawie ram prawnych instrumentu.</w:t>
            </w:r>
          </w:p>
        </w:tc>
      </w:tr>
      <w:bookmarkEnd w:id="46"/>
      <w:tr w:rsidR="006578ED" w14:paraId="6C5071F8" w14:textId="77777777">
        <w:trPr>
          <w:trHeight w:val="300"/>
        </w:trPr>
        <w:tc>
          <w:tcPr>
            <w:tcW w:w="846" w:type="dxa"/>
            <w:shd w:val="clear" w:color="auto" w:fill="C6EFCE"/>
          </w:tcPr>
          <w:p w14:paraId="288A6F5B" w14:textId="49A414C5" w:rsidR="006578ED" w:rsidRDefault="00A1618E">
            <w:pPr>
              <w:pStyle w:val="P68B1DB1-Normal13"/>
              <w:spacing w:after="0" w:line="240" w:lineRule="auto"/>
              <w:jc w:val="center"/>
              <w:textAlignment w:val="baseline"/>
              <w:rPr>
                <w:rFonts w:eastAsia="Times New Roman" w:cs="Times New Roman"/>
                <w:noProof/>
              </w:rPr>
            </w:pPr>
            <w:r>
              <w:rPr>
                <w:noProof/>
              </w:rPr>
              <w:t>L46</w:t>
            </w:r>
          </w:p>
        </w:tc>
        <w:tc>
          <w:tcPr>
            <w:tcW w:w="850" w:type="dxa"/>
            <w:shd w:val="clear" w:color="auto" w:fill="C6EFCE"/>
          </w:tcPr>
          <w:p w14:paraId="61DECBED" w14:textId="77777777" w:rsidR="006578ED" w:rsidRDefault="00A1618E">
            <w:pPr>
              <w:pStyle w:val="P68B1DB1-Normal13"/>
              <w:spacing w:after="0" w:line="240" w:lineRule="auto"/>
              <w:jc w:val="center"/>
              <w:textAlignment w:val="baseline"/>
              <w:rPr>
                <w:rFonts w:eastAsia="Times New Roman" w:cs="Times New Roman"/>
                <w:noProof/>
              </w:rPr>
            </w:pPr>
            <w:r>
              <w:rPr>
                <w:noProof/>
              </w:rPr>
              <w:t>C13.I11</w:t>
            </w:r>
          </w:p>
        </w:tc>
        <w:tc>
          <w:tcPr>
            <w:tcW w:w="851" w:type="dxa"/>
            <w:shd w:val="clear" w:color="auto" w:fill="C6EFCE"/>
          </w:tcPr>
          <w:p w14:paraId="3B422315" w14:textId="7C8ED51C"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7348AA40" w14:textId="77777777" w:rsidR="006578ED" w:rsidRDefault="00A1618E">
            <w:pPr>
              <w:pStyle w:val="P68B1DB1-Normal13"/>
              <w:spacing w:after="0" w:line="240" w:lineRule="auto"/>
              <w:textAlignment w:val="baseline"/>
              <w:rPr>
                <w:rFonts w:eastAsia="Times New Roman" w:cs="Times New Roman"/>
                <w:noProof/>
              </w:rPr>
            </w:pPr>
            <w:r>
              <w:rPr>
                <w:noProof/>
              </w:rPr>
              <w:t>CERSA</w:t>
            </w:r>
          </w:p>
        </w:tc>
        <w:tc>
          <w:tcPr>
            <w:tcW w:w="1134" w:type="dxa"/>
            <w:shd w:val="clear" w:color="auto" w:fill="C6EFCE"/>
          </w:tcPr>
          <w:p w14:paraId="45B86058"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D54FCFD" w14:textId="77777777" w:rsidR="006578ED" w:rsidRDefault="00A1618E">
            <w:pPr>
              <w:pStyle w:val="P68B1DB1-Normal13"/>
              <w:spacing w:after="0" w:line="240" w:lineRule="auto"/>
              <w:jc w:val="center"/>
              <w:textAlignment w:val="baseline"/>
              <w:rPr>
                <w:rFonts w:eastAsia="Times New Roman" w:cs="Times New Roman"/>
                <w:noProof/>
              </w:rPr>
            </w:pPr>
            <w:r>
              <w:rPr>
                <w:noProof/>
              </w:rPr>
              <w:t>Mln EUR</w:t>
            </w:r>
          </w:p>
        </w:tc>
        <w:tc>
          <w:tcPr>
            <w:tcW w:w="708" w:type="dxa"/>
            <w:shd w:val="clear" w:color="auto" w:fill="C6EFCE"/>
          </w:tcPr>
          <w:p w14:paraId="507A5AC3" w14:textId="77777777" w:rsidR="006578ED" w:rsidRDefault="00A1618E">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00F8D76A" w14:textId="1E69D12F" w:rsidR="006578ED" w:rsidRDefault="00A1618E">
            <w:pPr>
              <w:pStyle w:val="P68B1DB1-Normal13"/>
              <w:spacing w:after="0" w:line="240" w:lineRule="auto"/>
              <w:jc w:val="right"/>
              <w:textAlignment w:val="baseline"/>
              <w:rPr>
                <w:rFonts w:eastAsia="Times New Roman" w:cs="Times New Roman"/>
                <w:noProof/>
              </w:rPr>
            </w:pPr>
            <w:r>
              <w:rPr>
                <w:noProof/>
              </w:rPr>
              <w:t>2 100</w:t>
            </w:r>
          </w:p>
        </w:tc>
        <w:tc>
          <w:tcPr>
            <w:tcW w:w="709" w:type="dxa"/>
            <w:shd w:val="clear" w:color="auto" w:fill="C6EFCE"/>
          </w:tcPr>
          <w:p w14:paraId="656CB88D" w14:textId="427C164D"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16F0D829"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3A190137" w14:textId="3F8FAE41" w:rsidR="006578ED" w:rsidRDefault="00A1618E">
            <w:pPr>
              <w:pStyle w:val="P68B1DB1-Normal13"/>
              <w:spacing w:after="0" w:line="240" w:lineRule="auto"/>
              <w:rPr>
                <w:rFonts w:eastAsia="Times New Roman" w:cs="Times New Roman"/>
                <w:noProof/>
              </w:rPr>
            </w:pPr>
            <w:r>
              <w:rPr>
                <w:noProof/>
              </w:rPr>
              <w:t>Gwarancja CERSA: Co najmniej 2 100 000 000 EUR gwarancji udzielonych przez CERSA od dnia 1 lipca 20</w:t>
            </w:r>
            <w:r w:rsidRPr="00A1618E">
              <w:rPr>
                <w:noProof/>
                <w:lang w:val="pl-PL"/>
              </w:rPr>
              <w:t>23 r.</w:t>
            </w:r>
            <w:r>
              <w:rPr>
                <w:noProof/>
              </w:rPr>
              <w:t xml:space="preserve"> umożliwiających MŚP i spółkom o średniej kapitalizacji uzyskanie gwarancji na inwestycje długoterminowe i kapitał obrotowy oraz gwarancje finansowe, handlowe i techniczne. Kryteria wyboru zapewniają zgodność z wytycznymi technicznymi dotyczącymi zasady „nie czyń poważnych szkód” (2021/C58/01) transakcji objętych wsparciem w ramach tego środka poprzez wykorzystanie wykazu wykluczenia oraz wymóg zgodności z odpowiednimi unijnymi i krajowymi przepisami w zakresie ochrony środowiska.</w:t>
            </w:r>
          </w:p>
        </w:tc>
      </w:tr>
      <w:tr w:rsidR="006578ED" w14:paraId="5214E48A" w14:textId="77777777">
        <w:trPr>
          <w:trHeight w:val="300"/>
        </w:trPr>
        <w:tc>
          <w:tcPr>
            <w:tcW w:w="846" w:type="dxa"/>
            <w:shd w:val="clear" w:color="auto" w:fill="C6EFCE"/>
          </w:tcPr>
          <w:p w14:paraId="653132E0" w14:textId="4FDE57AF" w:rsidR="006578ED" w:rsidRDefault="00A1618E">
            <w:pPr>
              <w:pStyle w:val="P68B1DB1-Normal13"/>
              <w:spacing w:after="0" w:line="240" w:lineRule="auto"/>
              <w:jc w:val="center"/>
              <w:textAlignment w:val="baseline"/>
              <w:rPr>
                <w:rFonts w:eastAsia="Times New Roman" w:cs="Times New Roman"/>
                <w:noProof/>
              </w:rPr>
            </w:pPr>
            <w:r>
              <w:rPr>
                <w:noProof/>
              </w:rPr>
              <w:t>L47</w:t>
            </w:r>
          </w:p>
        </w:tc>
        <w:tc>
          <w:tcPr>
            <w:tcW w:w="850" w:type="dxa"/>
            <w:shd w:val="clear" w:color="auto" w:fill="C6EFCE"/>
          </w:tcPr>
          <w:p w14:paraId="2B7997EA" w14:textId="77777777" w:rsidR="006578ED" w:rsidRDefault="00A1618E">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72C5ABFE" w14:textId="2521CBB8"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24643420" w14:textId="56F46F61" w:rsidR="006578ED" w:rsidRDefault="00A1618E">
            <w:pPr>
              <w:pStyle w:val="P68B1DB1-Normal13"/>
              <w:spacing w:after="0" w:line="240" w:lineRule="auto"/>
              <w:textAlignment w:val="baseline"/>
              <w:rPr>
                <w:rFonts w:eastAsia="Times New Roman" w:cs="Times New Roman"/>
                <w:noProof/>
              </w:rPr>
            </w:pPr>
            <w:r>
              <w:rPr>
                <w:noProof/>
              </w:rPr>
              <w:t>ENISA – Fundusz na rzecz przedsiębiorczości i MŚP – umowa wykonawcza</w:t>
            </w:r>
          </w:p>
        </w:tc>
        <w:tc>
          <w:tcPr>
            <w:tcW w:w="1134" w:type="dxa"/>
            <w:shd w:val="clear" w:color="auto" w:fill="C6EFCE"/>
          </w:tcPr>
          <w:p w14:paraId="3330650D" w14:textId="435F53B3" w:rsidR="006578ED" w:rsidRDefault="00A1618E">
            <w:pPr>
              <w:pStyle w:val="P68B1DB1-Normal13"/>
              <w:spacing w:after="0" w:line="240" w:lineRule="auto"/>
              <w:jc w:val="center"/>
              <w:textAlignment w:val="baseline"/>
              <w:rPr>
                <w:rFonts w:eastAsia="Times New Roman" w:cs="Times New Roman"/>
                <w:noProof/>
              </w:rPr>
            </w:pPr>
            <w:r>
              <w:rPr>
                <w:noProof/>
              </w:rPr>
              <w:t>Wejście w życie umowy wykonawczej</w:t>
            </w:r>
          </w:p>
        </w:tc>
        <w:tc>
          <w:tcPr>
            <w:tcW w:w="709" w:type="dxa"/>
            <w:shd w:val="clear" w:color="auto" w:fill="C6EFCE"/>
          </w:tcPr>
          <w:p w14:paraId="62A16AC1"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5894F71"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FB9A061"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F4A8C84" w14:textId="4B9BD7C7" w:rsidR="006578ED" w:rsidRDefault="00EC188C">
            <w:pPr>
              <w:pStyle w:val="P68B1DB1-Normal13"/>
              <w:spacing w:after="0" w:line="240" w:lineRule="auto"/>
              <w:jc w:val="center"/>
              <w:textAlignment w:val="baseline"/>
              <w:rPr>
                <w:rFonts w:eastAsia="Times New Roman" w:cs="Times New Roman"/>
                <w:noProof/>
              </w:rPr>
            </w:pPr>
            <w:r>
              <w:rPr>
                <w:noProof/>
              </w:rPr>
              <w:t>KW. 2</w:t>
            </w:r>
          </w:p>
        </w:tc>
        <w:tc>
          <w:tcPr>
            <w:tcW w:w="709" w:type="dxa"/>
            <w:shd w:val="clear" w:color="auto" w:fill="C6EFCE"/>
          </w:tcPr>
          <w:p w14:paraId="19FD97A5" w14:textId="09CC0B88" w:rsidR="006578ED" w:rsidRDefault="00A1618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30AF59CD" w14:textId="1AE4C486" w:rsidR="006578ED" w:rsidRDefault="00A1618E">
            <w:pPr>
              <w:pStyle w:val="P68B1DB1-Normal13"/>
              <w:spacing w:line="240" w:lineRule="auto"/>
              <w:rPr>
                <w:rFonts w:cs="Times New Roman"/>
                <w:noProof/>
              </w:rPr>
            </w:pPr>
            <w:r>
              <w:rPr>
                <w:noProof/>
              </w:rPr>
              <w:t>Wejście w życie umowy wykonawczej.</w:t>
            </w:r>
          </w:p>
        </w:tc>
      </w:tr>
      <w:tr w:rsidR="006578ED" w14:paraId="3A5852ED" w14:textId="77777777">
        <w:trPr>
          <w:trHeight w:val="300"/>
        </w:trPr>
        <w:tc>
          <w:tcPr>
            <w:tcW w:w="846" w:type="dxa"/>
            <w:shd w:val="clear" w:color="auto" w:fill="C6EFCE"/>
          </w:tcPr>
          <w:p w14:paraId="06905E86" w14:textId="312CD56D" w:rsidR="006578ED" w:rsidRDefault="00A1618E">
            <w:pPr>
              <w:pStyle w:val="P68B1DB1-Normal13"/>
              <w:spacing w:after="0" w:line="240" w:lineRule="auto"/>
              <w:jc w:val="center"/>
              <w:textAlignment w:val="baseline"/>
              <w:rPr>
                <w:rFonts w:eastAsia="Times New Roman" w:cs="Times New Roman"/>
                <w:noProof/>
              </w:rPr>
            </w:pPr>
            <w:r>
              <w:rPr>
                <w:noProof/>
              </w:rPr>
              <w:t>L48</w:t>
            </w:r>
          </w:p>
        </w:tc>
        <w:tc>
          <w:tcPr>
            <w:tcW w:w="850" w:type="dxa"/>
            <w:shd w:val="clear" w:color="auto" w:fill="C6EFCE"/>
          </w:tcPr>
          <w:p w14:paraId="6B86ECBB" w14:textId="77777777" w:rsidR="006578ED" w:rsidRDefault="00A1618E">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3234A8A9" w14:textId="0963A053"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2937366F" w14:textId="0380E25D" w:rsidR="006578ED" w:rsidRDefault="00A1618E">
            <w:pPr>
              <w:pStyle w:val="P68B1DB1-Normal13"/>
              <w:spacing w:after="0" w:line="240" w:lineRule="auto"/>
              <w:textAlignment w:val="baseline"/>
              <w:rPr>
                <w:rFonts w:eastAsia="Times New Roman" w:cs="Times New Roman"/>
                <w:noProof/>
              </w:rPr>
            </w:pPr>
            <w:r>
              <w:rPr>
                <w:noProof/>
              </w:rPr>
              <w:t>Fundusz na rzecz przedsiębiorczości i MŚP ENISA – umowy prawne podpisane z beneficjentami końcowymi</w:t>
            </w:r>
          </w:p>
        </w:tc>
        <w:tc>
          <w:tcPr>
            <w:tcW w:w="1134" w:type="dxa"/>
            <w:shd w:val="clear" w:color="auto" w:fill="C6EFCE"/>
          </w:tcPr>
          <w:p w14:paraId="46300E66"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CA5433C"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2B112905" w14:textId="77777777" w:rsidR="006578ED" w:rsidRDefault="00A1618E">
            <w:pPr>
              <w:pStyle w:val="P68B1DB1-Normal13"/>
              <w:spacing w:after="0" w:line="240" w:lineRule="auto"/>
              <w:jc w:val="center"/>
              <w:textAlignment w:val="baseline"/>
              <w:rPr>
                <w:rFonts w:eastAsia="Times New Roman" w:cs="Times New Roman"/>
                <w:noProof/>
              </w:rPr>
            </w:pPr>
            <w:r>
              <w:rPr>
                <w:noProof/>
              </w:rPr>
              <w:t>0</w:t>
            </w:r>
          </w:p>
        </w:tc>
        <w:tc>
          <w:tcPr>
            <w:tcW w:w="709" w:type="dxa"/>
            <w:shd w:val="clear" w:color="auto" w:fill="C6EFCE"/>
          </w:tcPr>
          <w:p w14:paraId="4C5F5E96" w14:textId="77777777" w:rsidR="006578ED" w:rsidRDefault="00A1618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01BC7C0F" w14:textId="22E39884" w:rsidR="006578ED" w:rsidRDefault="00EC188C">
            <w:pPr>
              <w:pStyle w:val="P68B1DB1-Normal13"/>
              <w:spacing w:after="0" w:line="240" w:lineRule="auto"/>
              <w:jc w:val="center"/>
              <w:textAlignment w:val="baseline"/>
              <w:rPr>
                <w:rFonts w:eastAsia="Times New Roman" w:cs="Times New Roman"/>
                <w:noProof/>
              </w:rPr>
            </w:pPr>
            <w:r>
              <w:rPr>
                <w:noProof/>
              </w:rPr>
              <w:t>KW. 2</w:t>
            </w:r>
          </w:p>
        </w:tc>
        <w:tc>
          <w:tcPr>
            <w:tcW w:w="709" w:type="dxa"/>
            <w:shd w:val="clear" w:color="auto" w:fill="C6EFCE"/>
          </w:tcPr>
          <w:p w14:paraId="36EFFD94"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2FDFDE1A" w14:textId="3EED013D" w:rsidR="006578ED" w:rsidRDefault="00A1618E">
            <w:pPr>
              <w:pStyle w:val="P68B1DB1-Normal13"/>
              <w:spacing w:after="0" w:line="240" w:lineRule="auto"/>
              <w:textAlignment w:val="baseline"/>
              <w:rPr>
                <w:rFonts w:eastAsia="Times New Roman" w:cs="Times New Roman"/>
                <w:noProof/>
              </w:rPr>
            </w:pPr>
            <w:r>
              <w:rPr>
                <w:noProof/>
              </w:rPr>
              <w:t>ENISA zawiera z beneficjentami końcowymi prawne umowy w sprawie finansowania na kwotę niezbędną do wykorzystania co najmniej 50 % inwestycji RRF w instrument (z uwzględnieniem opłat za zarządzanie).</w:t>
            </w:r>
          </w:p>
        </w:tc>
      </w:tr>
      <w:tr w:rsidR="006578ED" w14:paraId="5CF5B340" w14:textId="77777777">
        <w:trPr>
          <w:trHeight w:val="300"/>
        </w:trPr>
        <w:tc>
          <w:tcPr>
            <w:tcW w:w="846" w:type="dxa"/>
            <w:shd w:val="clear" w:color="auto" w:fill="C6EFCE"/>
          </w:tcPr>
          <w:p w14:paraId="697232E0" w14:textId="08C37CC3" w:rsidR="006578ED" w:rsidRDefault="00A1618E">
            <w:pPr>
              <w:pStyle w:val="P68B1DB1-Normal13"/>
              <w:spacing w:after="0" w:line="240" w:lineRule="auto"/>
              <w:jc w:val="center"/>
              <w:textAlignment w:val="baseline"/>
              <w:rPr>
                <w:rFonts w:eastAsia="Times New Roman" w:cs="Times New Roman"/>
                <w:noProof/>
              </w:rPr>
            </w:pPr>
            <w:r>
              <w:rPr>
                <w:noProof/>
              </w:rPr>
              <w:t>L49</w:t>
            </w:r>
          </w:p>
        </w:tc>
        <w:tc>
          <w:tcPr>
            <w:tcW w:w="850" w:type="dxa"/>
            <w:shd w:val="clear" w:color="auto" w:fill="C6EFCE"/>
          </w:tcPr>
          <w:p w14:paraId="5D16A0FA" w14:textId="77777777" w:rsidR="006578ED" w:rsidRDefault="00A1618E">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482A7C59" w14:textId="609D973B"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20F140E5" w14:textId="61DB8584" w:rsidR="006578ED" w:rsidRDefault="00A1618E">
            <w:pPr>
              <w:pStyle w:val="P68B1DB1-Normal13"/>
              <w:spacing w:after="0" w:line="240" w:lineRule="auto"/>
              <w:textAlignment w:val="baseline"/>
              <w:rPr>
                <w:rFonts w:eastAsia="Times New Roman" w:cs="Times New Roman"/>
                <w:noProof/>
              </w:rPr>
            </w:pPr>
            <w:r>
              <w:rPr>
                <w:noProof/>
              </w:rPr>
              <w:t>Fundusz na rzecz przedsiębiorczości i MŚP ENISA – umowy prawne podpisane z beneficjentami końcowymi</w:t>
            </w:r>
          </w:p>
        </w:tc>
        <w:tc>
          <w:tcPr>
            <w:tcW w:w="1134" w:type="dxa"/>
            <w:shd w:val="clear" w:color="auto" w:fill="C6EFCE"/>
          </w:tcPr>
          <w:p w14:paraId="62534D82"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30D15689"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9F1853B" w14:textId="77777777" w:rsidR="006578ED" w:rsidRDefault="00A1618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719122DD" w14:textId="77777777" w:rsidR="006578ED" w:rsidRDefault="00A1618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67F370D8" w14:textId="213239CB"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013CF25A"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A2A1F0B" w14:textId="103CC6F3" w:rsidR="006578ED" w:rsidRDefault="00A1618E">
            <w:pPr>
              <w:pStyle w:val="P68B1DB1-Normal13"/>
              <w:spacing w:after="0" w:line="240" w:lineRule="auto"/>
              <w:textAlignment w:val="baseline"/>
              <w:rPr>
                <w:rFonts w:eastAsia="Times New Roman" w:cs="Times New Roman"/>
                <w:noProof/>
              </w:rPr>
            </w:pPr>
            <w:r>
              <w:rPr>
                <w:noProof/>
              </w:rPr>
              <w:t>ENISA zawarła z beneficjentami końcowymi prawne umowy w sprawie finansowania na kwotę niezbędną do wykorzystania 100 % inwestycji w Instrument w ramach RRF (z uwzględnieniem opłat za zarządzanie). Co najmniej 6,6 % tego finansowania przyczynia się do realizacji celów cyfrowych przy użyciu metodyki określonej w załączniku VII do rozporządzenia w sprawie RRF.</w:t>
            </w:r>
          </w:p>
        </w:tc>
      </w:tr>
      <w:tr w:rsidR="006578ED" w14:paraId="349E1D53" w14:textId="77777777">
        <w:trPr>
          <w:trHeight w:val="300"/>
        </w:trPr>
        <w:tc>
          <w:tcPr>
            <w:tcW w:w="846" w:type="dxa"/>
            <w:shd w:val="clear" w:color="auto" w:fill="C6EFCE"/>
          </w:tcPr>
          <w:p w14:paraId="58EA83D0" w14:textId="3FA7A21E" w:rsidR="006578ED" w:rsidRDefault="00A1618E">
            <w:pPr>
              <w:pStyle w:val="P68B1DB1-Normal13"/>
              <w:spacing w:after="0" w:line="240" w:lineRule="auto"/>
              <w:jc w:val="center"/>
              <w:textAlignment w:val="baseline"/>
              <w:rPr>
                <w:rFonts w:eastAsia="Times New Roman" w:cs="Times New Roman"/>
                <w:noProof/>
              </w:rPr>
            </w:pPr>
            <w:r>
              <w:rPr>
                <w:noProof/>
              </w:rPr>
              <w:t>L50</w:t>
            </w:r>
          </w:p>
        </w:tc>
        <w:tc>
          <w:tcPr>
            <w:tcW w:w="850" w:type="dxa"/>
            <w:shd w:val="clear" w:color="auto" w:fill="C6EFCE"/>
          </w:tcPr>
          <w:p w14:paraId="37CFB7C0" w14:textId="77777777" w:rsidR="006578ED" w:rsidRDefault="00A1618E">
            <w:pPr>
              <w:pStyle w:val="P68B1DB1-Normal13"/>
              <w:spacing w:after="0" w:line="240" w:lineRule="auto"/>
              <w:jc w:val="center"/>
              <w:textAlignment w:val="baseline"/>
              <w:rPr>
                <w:rFonts w:eastAsia="Times New Roman" w:cs="Times New Roman"/>
                <w:noProof/>
              </w:rPr>
            </w:pPr>
            <w:r>
              <w:rPr>
                <w:noProof/>
              </w:rPr>
              <w:t>C13.I12</w:t>
            </w:r>
          </w:p>
        </w:tc>
        <w:tc>
          <w:tcPr>
            <w:tcW w:w="851" w:type="dxa"/>
            <w:shd w:val="clear" w:color="auto" w:fill="C6EFCE"/>
          </w:tcPr>
          <w:p w14:paraId="36C91DE3" w14:textId="0443786B"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5C8C5ED6" w14:textId="67DEF979" w:rsidR="006578ED" w:rsidRDefault="00A1618E">
            <w:pPr>
              <w:pStyle w:val="P68B1DB1-Normal13"/>
              <w:spacing w:after="0" w:line="240" w:lineRule="auto"/>
              <w:textAlignment w:val="baseline"/>
              <w:rPr>
                <w:rFonts w:eastAsia="Times New Roman" w:cs="Times New Roman"/>
                <w:noProof/>
              </w:rPr>
            </w:pPr>
            <w:r>
              <w:rPr>
                <w:noProof/>
              </w:rPr>
              <w:t xml:space="preserve">Fundusz na rzecz Przedsiębiorczości i MŚP ENISA – Ministerstwo ukończyło inwestycje. </w:t>
            </w:r>
          </w:p>
        </w:tc>
        <w:tc>
          <w:tcPr>
            <w:tcW w:w="1134" w:type="dxa"/>
            <w:shd w:val="clear" w:color="auto" w:fill="C6EFCE"/>
          </w:tcPr>
          <w:p w14:paraId="101F1BA0" w14:textId="111AE4F7" w:rsidR="006578ED" w:rsidRDefault="00A1618E">
            <w:pPr>
              <w:pStyle w:val="P68B1DB1-Normal13"/>
              <w:spacing w:after="0" w:line="240" w:lineRule="auto"/>
              <w:jc w:val="center"/>
              <w:textAlignment w:val="baseline"/>
              <w:rPr>
                <w:rFonts w:eastAsia="Times New Roman" w:cs="Times New Roman"/>
                <w:noProof/>
              </w:rPr>
            </w:pPr>
            <w:r>
              <w:rPr>
                <w:noProof/>
              </w:rPr>
              <w:t>Świadectwo transferu</w:t>
            </w:r>
          </w:p>
        </w:tc>
        <w:tc>
          <w:tcPr>
            <w:tcW w:w="709" w:type="dxa"/>
            <w:shd w:val="clear" w:color="auto" w:fill="C6EFCE"/>
          </w:tcPr>
          <w:p w14:paraId="14738179" w14:textId="1A7183F3"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2E3AC936" w14:textId="2F0C0CD1"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2045F6AF" w14:textId="6E7444D0"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71557CA" w14:textId="0C813903"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48D5AD69"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486A647E" w14:textId="70158327" w:rsidR="006578ED" w:rsidRDefault="00A1618E">
            <w:pPr>
              <w:pStyle w:val="P68B1DB1-Normal13"/>
              <w:spacing w:after="0" w:line="240" w:lineRule="auto"/>
              <w:textAlignment w:val="baseline"/>
              <w:rPr>
                <w:rFonts w:eastAsia="Times New Roman" w:cs="Times New Roman"/>
                <w:noProof/>
              </w:rPr>
            </w:pPr>
            <w:r>
              <w:rPr>
                <w:noProof/>
              </w:rPr>
              <w:t xml:space="preserve">Hiszpania dokonuje przesunięcia 303 000 000 EUR na rzecz ENISA na rzecz Instrumentu. </w:t>
            </w:r>
          </w:p>
        </w:tc>
      </w:tr>
      <w:tr w:rsidR="006578ED" w14:paraId="2F9F6FDF" w14:textId="77777777">
        <w:trPr>
          <w:trHeight w:val="300"/>
        </w:trPr>
        <w:tc>
          <w:tcPr>
            <w:tcW w:w="846" w:type="dxa"/>
            <w:shd w:val="clear" w:color="auto" w:fill="C6EFCE"/>
          </w:tcPr>
          <w:p w14:paraId="30D7D40B" w14:textId="7A0947B4" w:rsidR="006578ED" w:rsidRDefault="00A1618E">
            <w:pPr>
              <w:pStyle w:val="P68B1DB1-Normal13"/>
              <w:spacing w:after="0" w:line="240" w:lineRule="auto"/>
              <w:jc w:val="center"/>
              <w:textAlignment w:val="baseline"/>
              <w:rPr>
                <w:rFonts w:eastAsia="Times New Roman" w:cs="Times New Roman"/>
                <w:noProof/>
              </w:rPr>
            </w:pPr>
            <w:r>
              <w:rPr>
                <w:noProof/>
              </w:rPr>
              <w:t>L51</w:t>
            </w:r>
          </w:p>
        </w:tc>
        <w:tc>
          <w:tcPr>
            <w:tcW w:w="850" w:type="dxa"/>
            <w:shd w:val="clear" w:color="auto" w:fill="C6EFCE"/>
          </w:tcPr>
          <w:p w14:paraId="62EE6A22" w14:textId="77777777"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6F6A86C5" w14:textId="6AF4F5A1"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64C12D66" w14:textId="18CDCD92" w:rsidR="006578ED" w:rsidRDefault="00A1618E">
            <w:pPr>
              <w:pStyle w:val="P68B1DB1-Normal13"/>
              <w:spacing w:after="0" w:line="240" w:lineRule="auto"/>
              <w:textAlignment w:val="baseline"/>
              <w:rPr>
                <w:rFonts w:eastAsia="Times New Roman" w:cs="Times New Roman"/>
                <w:noProof/>
              </w:rPr>
            </w:pPr>
            <w:r>
              <w:rPr>
                <w:noProof/>
              </w:rPr>
              <w:t>Fundusz odporności regionalnej – InvestEU: Podpisanie porozumienia o wkładzie finansowym między rządem Hiszpanii a Komisją Europejską</w:t>
            </w:r>
          </w:p>
        </w:tc>
        <w:tc>
          <w:tcPr>
            <w:tcW w:w="1134" w:type="dxa"/>
            <w:shd w:val="clear" w:color="auto" w:fill="C6EFCE"/>
          </w:tcPr>
          <w:p w14:paraId="61F78961" w14:textId="5F4A8A1F" w:rsidR="006578ED" w:rsidRDefault="00A1618E">
            <w:pPr>
              <w:pStyle w:val="P68B1DB1-Normal13"/>
              <w:spacing w:after="0" w:line="240" w:lineRule="auto"/>
              <w:jc w:val="center"/>
              <w:textAlignment w:val="baseline"/>
              <w:rPr>
                <w:rFonts w:eastAsia="Times New Roman" w:cs="Times New Roman"/>
                <w:noProof/>
              </w:rPr>
            </w:pPr>
            <w:r>
              <w:rPr>
                <w:noProof/>
              </w:rPr>
              <w:t>Podpisanie umowy o wkładzie finansowym</w:t>
            </w:r>
          </w:p>
        </w:tc>
        <w:tc>
          <w:tcPr>
            <w:tcW w:w="709" w:type="dxa"/>
            <w:shd w:val="clear" w:color="auto" w:fill="C6EFCE"/>
          </w:tcPr>
          <w:p w14:paraId="705E3A95"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69FA58FE"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4434F3A5"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E73E5F2" w14:textId="2151C446" w:rsidR="006578ED" w:rsidRDefault="00EC188C">
            <w:pPr>
              <w:pStyle w:val="P68B1DB1-Normal13"/>
              <w:spacing w:after="0" w:line="240" w:lineRule="auto"/>
              <w:jc w:val="center"/>
              <w:textAlignment w:val="baseline"/>
              <w:rPr>
                <w:rFonts w:eastAsia="Times New Roman" w:cs="Times New Roman"/>
                <w:noProof/>
              </w:rPr>
            </w:pPr>
            <w:r>
              <w:rPr>
                <w:noProof/>
              </w:rPr>
              <w:t>KW. 4</w:t>
            </w:r>
          </w:p>
        </w:tc>
        <w:tc>
          <w:tcPr>
            <w:tcW w:w="709" w:type="dxa"/>
            <w:shd w:val="clear" w:color="auto" w:fill="C6EFCE"/>
          </w:tcPr>
          <w:p w14:paraId="7F49490E" w14:textId="77777777" w:rsidR="006578ED" w:rsidRDefault="00A1618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39849D9D" w14:textId="02C200AC" w:rsidR="006578ED" w:rsidRDefault="00A1618E">
            <w:pPr>
              <w:pStyle w:val="P68B1DB1-Normal13"/>
              <w:spacing w:after="0" w:line="240" w:lineRule="auto"/>
              <w:textAlignment w:val="baseline"/>
              <w:rPr>
                <w:rFonts w:eastAsia="Times New Roman" w:cs="Times New Roman"/>
                <w:noProof/>
              </w:rPr>
            </w:pPr>
            <w:r>
              <w:rPr>
                <w:noProof/>
              </w:rPr>
              <w:t>Podpisanie porozumienia o wkładzie finansowym między rządem Hiszpanii a Komisją Europejską na kwotę 500 000 000 EUR.</w:t>
            </w:r>
          </w:p>
        </w:tc>
      </w:tr>
      <w:tr w:rsidR="006578ED" w14:paraId="77C8E513" w14:textId="77777777">
        <w:trPr>
          <w:trHeight w:val="300"/>
        </w:trPr>
        <w:tc>
          <w:tcPr>
            <w:tcW w:w="846" w:type="dxa"/>
            <w:shd w:val="clear" w:color="auto" w:fill="C6EFCE"/>
          </w:tcPr>
          <w:p w14:paraId="12937DB4" w14:textId="2F1CF206" w:rsidR="006578ED" w:rsidRDefault="00A1618E">
            <w:pPr>
              <w:pStyle w:val="P68B1DB1-Normal13"/>
              <w:spacing w:after="0" w:line="240" w:lineRule="auto"/>
              <w:jc w:val="center"/>
              <w:textAlignment w:val="baseline"/>
              <w:rPr>
                <w:rFonts w:eastAsia="Times New Roman" w:cs="Times New Roman"/>
                <w:noProof/>
              </w:rPr>
            </w:pPr>
            <w:r>
              <w:rPr>
                <w:noProof/>
              </w:rPr>
              <w:t>L52</w:t>
            </w:r>
          </w:p>
        </w:tc>
        <w:tc>
          <w:tcPr>
            <w:tcW w:w="850" w:type="dxa"/>
            <w:shd w:val="clear" w:color="auto" w:fill="C6EFCE"/>
          </w:tcPr>
          <w:p w14:paraId="3F4A2501" w14:textId="6B565761"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1A7A5D33" w14:textId="5FF97B0A"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63562C17" w14:textId="5F706781" w:rsidR="006578ED" w:rsidRDefault="00A1618E">
            <w:pPr>
              <w:pStyle w:val="P68B1DB1-Normal13"/>
              <w:spacing w:after="0" w:line="240" w:lineRule="auto"/>
              <w:textAlignment w:val="baseline"/>
              <w:rPr>
                <w:rFonts w:eastAsia="Times New Roman" w:cs="Times New Roman"/>
                <w:noProof/>
              </w:rPr>
            </w:pPr>
            <w:r>
              <w:rPr>
                <w:noProof/>
              </w:rPr>
              <w:t>Fundusz odporności regionalnej – InvestEU: Operacje z zakresu finansowania lub inwestycji o wartości co najmniej 500 mln EUR przydzielone na instrument zatwierdzony przez Komitet Inwestycyjny InvestEU.</w:t>
            </w:r>
          </w:p>
        </w:tc>
        <w:tc>
          <w:tcPr>
            <w:tcW w:w="1134" w:type="dxa"/>
            <w:shd w:val="clear" w:color="auto" w:fill="C6EFCE"/>
          </w:tcPr>
          <w:p w14:paraId="7BE661E4"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50466B7A" w14:textId="0EC3724E"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389606B4" w14:textId="2805ABA1" w:rsidR="006578ED" w:rsidRDefault="00A1618E">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6E8C09FE" w14:textId="75923D23" w:rsidR="006578ED" w:rsidRDefault="00A1618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0D6856FA" w14:textId="28F02F71"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76DD787A"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2963E159" w14:textId="5D264E2E" w:rsidR="006578ED" w:rsidRDefault="00A1618E">
            <w:pPr>
              <w:pStyle w:val="P68B1DB1-Normal13"/>
              <w:spacing w:after="0" w:line="240" w:lineRule="auto"/>
              <w:textAlignment w:val="baseline"/>
              <w:rPr>
                <w:rFonts w:eastAsia="Times New Roman" w:cs="Times New Roman"/>
                <w:noProof/>
              </w:rPr>
            </w:pPr>
            <w:r>
              <w:rPr>
                <w:noProof/>
              </w:rPr>
              <w:t>Operacje z zakresu finansowania lub inwestycji stanowiące 100 % całkowitej kwoty zasobów RRF przydzielonych na instrument zostały zatwierdzone przez Komitet Inwestycyjny InvestEU.</w:t>
            </w:r>
          </w:p>
        </w:tc>
      </w:tr>
      <w:tr w:rsidR="006578ED" w14:paraId="3B3C7B6B" w14:textId="77777777">
        <w:trPr>
          <w:trHeight w:val="1085"/>
        </w:trPr>
        <w:tc>
          <w:tcPr>
            <w:tcW w:w="846" w:type="dxa"/>
            <w:shd w:val="clear" w:color="auto" w:fill="C6EFCE"/>
          </w:tcPr>
          <w:p w14:paraId="7109109F" w14:textId="58AD46B8" w:rsidR="006578ED" w:rsidRDefault="00A1618E">
            <w:pPr>
              <w:pStyle w:val="P68B1DB1-Normal13"/>
              <w:spacing w:after="0" w:line="240" w:lineRule="auto"/>
              <w:jc w:val="center"/>
              <w:textAlignment w:val="baseline"/>
              <w:rPr>
                <w:rFonts w:eastAsia="Times New Roman" w:cs="Times New Roman"/>
                <w:noProof/>
              </w:rPr>
            </w:pPr>
            <w:bookmarkStart w:id="47" w:name="_Hlk141708313"/>
            <w:r>
              <w:rPr>
                <w:noProof/>
              </w:rPr>
              <w:t>L53</w:t>
            </w:r>
          </w:p>
        </w:tc>
        <w:tc>
          <w:tcPr>
            <w:tcW w:w="850" w:type="dxa"/>
            <w:shd w:val="clear" w:color="auto" w:fill="C6EFCE"/>
          </w:tcPr>
          <w:p w14:paraId="03CF9462" w14:textId="77777777"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4D7C2760" w14:textId="152C9C92"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2EFF7B6C" w14:textId="0F4FFA0A" w:rsidR="006578ED" w:rsidRDefault="00A1618E">
            <w:pPr>
              <w:pStyle w:val="P68B1DB1-Normal13"/>
              <w:spacing w:after="0" w:line="240" w:lineRule="auto"/>
              <w:textAlignment w:val="baseline"/>
              <w:rPr>
                <w:rFonts w:eastAsia="Times New Roman" w:cs="Times New Roman"/>
                <w:noProof/>
              </w:rPr>
            </w:pPr>
            <w:r>
              <w:rPr>
                <w:noProof/>
              </w:rPr>
              <w:t xml:space="preserve">Regionalny Fundusz na rzecz Zwiększania Odporności: Umowa wykonawcza </w:t>
            </w:r>
          </w:p>
        </w:tc>
        <w:tc>
          <w:tcPr>
            <w:tcW w:w="1134" w:type="dxa"/>
            <w:shd w:val="clear" w:color="auto" w:fill="C6EFCE"/>
          </w:tcPr>
          <w:p w14:paraId="1A2EA724" w14:textId="22F28E6A" w:rsidR="006578ED" w:rsidRDefault="00A1618E">
            <w:pPr>
              <w:pStyle w:val="P68B1DB1-Normal13"/>
              <w:spacing w:after="0" w:line="240" w:lineRule="auto"/>
              <w:jc w:val="center"/>
              <w:textAlignment w:val="baseline"/>
              <w:rPr>
                <w:rFonts w:eastAsia="Times New Roman" w:cs="Times New Roman"/>
                <w:noProof/>
              </w:rPr>
            </w:pPr>
            <w:r>
              <w:rPr>
                <w:noProof/>
              </w:rPr>
              <w:t>Wejście w życie umowy wykonawczej</w:t>
            </w:r>
          </w:p>
        </w:tc>
        <w:tc>
          <w:tcPr>
            <w:tcW w:w="709" w:type="dxa"/>
            <w:shd w:val="clear" w:color="auto" w:fill="C6EFCE"/>
          </w:tcPr>
          <w:p w14:paraId="0ACEDFCE" w14:textId="77777777" w:rsidR="006578ED" w:rsidRDefault="00A1618E">
            <w:pPr>
              <w:pStyle w:val="P68B1DB1-Normal13"/>
              <w:spacing w:after="0" w:line="240" w:lineRule="auto"/>
              <w:jc w:val="center"/>
              <w:textAlignment w:val="baseline"/>
              <w:rPr>
                <w:rFonts w:eastAsia="Times New Roman" w:cs="Times New Roman"/>
                <w:noProof/>
              </w:rPr>
            </w:pPr>
            <w:r>
              <w:rPr>
                <w:noProof/>
              </w:rPr>
              <w:t xml:space="preserve"> </w:t>
            </w:r>
          </w:p>
        </w:tc>
        <w:tc>
          <w:tcPr>
            <w:tcW w:w="708" w:type="dxa"/>
            <w:shd w:val="clear" w:color="auto" w:fill="C6EFCE"/>
          </w:tcPr>
          <w:p w14:paraId="3D6C9F81" w14:textId="77777777" w:rsidR="006578ED" w:rsidRDefault="00A1618E">
            <w:pPr>
              <w:pStyle w:val="P68B1DB1-Normal13"/>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0B2FDE26" w14:textId="77777777" w:rsidR="006578ED" w:rsidRDefault="00A1618E">
            <w:pPr>
              <w:pStyle w:val="P68B1DB1-Normal13"/>
              <w:spacing w:after="0" w:line="240" w:lineRule="auto"/>
              <w:jc w:val="right"/>
              <w:textAlignment w:val="baseline"/>
              <w:rPr>
                <w:rFonts w:eastAsia="Times New Roman" w:cs="Times New Roman"/>
                <w:noProof/>
              </w:rPr>
            </w:pPr>
            <w:r>
              <w:rPr>
                <w:noProof/>
              </w:rPr>
              <w:t xml:space="preserve"> </w:t>
            </w:r>
          </w:p>
        </w:tc>
        <w:tc>
          <w:tcPr>
            <w:tcW w:w="709" w:type="dxa"/>
            <w:shd w:val="clear" w:color="auto" w:fill="C6EFCE"/>
          </w:tcPr>
          <w:p w14:paraId="466A19D1" w14:textId="68C7ADB2" w:rsidR="006578ED" w:rsidRDefault="00EC188C">
            <w:pPr>
              <w:pStyle w:val="P68B1DB1-Normal13"/>
              <w:spacing w:after="0" w:line="240" w:lineRule="auto"/>
              <w:jc w:val="center"/>
              <w:textAlignment w:val="baseline"/>
              <w:rPr>
                <w:rFonts w:eastAsia="Times New Roman" w:cs="Times New Roman"/>
                <w:noProof/>
              </w:rPr>
            </w:pPr>
            <w:r>
              <w:rPr>
                <w:noProof/>
              </w:rPr>
              <w:t>KW. 4</w:t>
            </w:r>
          </w:p>
        </w:tc>
        <w:tc>
          <w:tcPr>
            <w:tcW w:w="709" w:type="dxa"/>
            <w:shd w:val="clear" w:color="auto" w:fill="C6EFCE"/>
          </w:tcPr>
          <w:p w14:paraId="6F6D41BC" w14:textId="77777777" w:rsidR="006578ED" w:rsidRDefault="00A1618E">
            <w:pPr>
              <w:pStyle w:val="P68B1DB1-Normal13"/>
              <w:spacing w:after="0" w:line="240" w:lineRule="auto"/>
              <w:jc w:val="center"/>
              <w:textAlignment w:val="baseline"/>
              <w:rPr>
                <w:rFonts w:eastAsia="Times New Roman" w:cs="Times New Roman"/>
                <w:noProof/>
              </w:rPr>
            </w:pPr>
            <w:r>
              <w:rPr>
                <w:noProof/>
              </w:rPr>
              <w:t>2023</w:t>
            </w:r>
          </w:p>
        </w:tc>
        <w:tc>
          <w:tcPr>
            <w:tcW w:w="4958" w:type="dxa"/>
            <w:shd w:val="clear" w:color="auto" w:fill="C6EFCE"/>
          </w:tcPr>
          <w:p w14:paraId="4D7FCF31" w14:textId="233779EE" w:rsidR="006578ED" w:rsidRDefault="00A1618E">
            <w:pPr>
              <w:pStyle w:val="P68B1DB1-Normal13"/>
              <w:spacing w:after="0" w:line="240" w:lineRule="auto"/>
              <w:textAlignment w:val="baseline"/>
              <w:rPr>
                <w:rFonts w:eastAsia="Times New Roman" w:cs="Times New Roman"/>
                <w:noProof/>
              </w:rPr>
            </w:pPr>
            <w:r>
              <w:rPr>
                <w:noProof/>
              </w:rPr>
              <w:t xml:space="preserve">Wejście w życie umowy wykonawczej </w:t>
            </w:r>
          </w:p>
        </w:tc>
      </w:tr>
      <w:tr w:rsidR="006578ED" w14:paraId="362638EB" w14:textId="77777777">
        <w:trPr>
          <w:trHeight w:val="300"/>
        </w:trPr>
        <w:tc>
          <w:tcPr>
            <w:tcW w:w="846" w:type="dxa"/>
            <w:shd w:val="clear" w:color="auto" w:fill="C6EFCE"/>
          </w:tcPr>
          <w:p w14:paraId="1A5791F0" w14:textId="4751708F" w:rsidR="006578ED" w:rsidRDefault="00A1618E">
            <w:pPr>
              <w:pStyle w:val="P68B1DB1-Normal13"/>
              <w:spacing w:after="0" w:line="240" w:lineRule="auto"/>
              <w:jc w:val="center"/>
              <w:textAlignment w:val="baseline"/>
              <w:rPr>
                <w:rFonts w:eastAsia="Times New Roman" w:cs="Times New Roman"/>
                <w:noProof/>
              </w:rPr>
            </w:pPr>
            <w:r>
              <w:rPr>
                <w:noProof/>
              </w:rPr>
              <w:t>L54</w:t>
            </w:r>
          </w:p>
        </w:tc>
        <w:tc>
          <w:tcPr>
            <w:tcW w:w="850" w:type="dxa"/>
            <w:shd w:val="clear" w:color="auto" w:fill="C6EFCE"/>
          </w:tcPr>
          <w:p w14:paraId="2C866467" w14:textId="77777777"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AC69072" w14:textId="16632CAF"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6EA034C3" w14:textId="76555B60" w:rsidR="006578ED" w:rsidRDefault="00A1618E">
            <w:pPr>
              <w:pStyle w:val="P68B1DB1-Normal13"/>
              <w:spacing w:after="0" w:line="240" w:lineRule="auto"/>
              <w:textAlignment w:val="baseline"/>
              <w:rPr>
                <w:rFonts w:eastAsia="Times New Roman" w:cs="Times New Roman"/>
                <w:noProof/>
              </w:rPr>
            </w:pPr>
            <w:r>
              <w:rPr>
                <w:noProof/>
              </w:rPr>
              <w:t>Fundusz na rzecz odporności regionalnej – Inne linie: Umowy prawne podpisane z beneficjentami końcowymi (w tym z funduszami kapitałowymi) (I)</w:t>
            </w:r>
          </w:p>
        </w:tc>
        <w:tc>
          <w:tcPr>
            <w:tcW w:w="1134" w:type="dxa"/>
            <w:shd w:val="clear" w:color="auto" w:fill="C6EFCE"/>
          </w:tcPr>
          <w:p w14:paraId="13150465" w14:textId="0CF651EC"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564B5E" w14:textId="6DC0F5AF"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1196233A" w14:textId="77777777" w:rsidR="006578ED" w:rsidRDefault="00A1618E">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47D225E3" w14:textId="2D4969E4" w:rsidR="006578ED" w:rsidRDefault="00A1618E">
            <w:pPr>
              <w:pStyle w:val="P68B1DB1-Normal13"/>
              <w:spacing w:after="0" w:line="240" w:lineRule="auto"/>
              <w:jc w:val="right"/>
              <w:textAlignment w:val="baseline"/>
              <w:rPr>
                <w:rFonts w:eastAsia="Times New Roman" w:cs="Times New Roman"/>
                <w:noProof/>
              </w:rPr>
            </w:pPr>
            <w:r>
              <w:rPr>
                <w:noProof/>
              </w:rPr>
              <w:t>15 %</w:t>
            </w:r>
          </w:p>
        </w:tc>
        <w:tc>
          <w:tcPr>
            <w:tcW w:w="709" w:type="dxa"/>
            <w:shd w:val="clear" w:color="auto" w:fill="C6EFCE"/>
          </w:tcPr>
          <w:p w14:paraId="640449AF" w14:textId="1D8E539C" w:rsidR="006578ED" w:rsidRDefault="00EC188C">
            <w:pPr>
              <w:pStyle w:val="P68B1DB1-Normal13"/>
              <w:spacing w:after="0" w:line="240" w:lineRule="auto"/>
              <w:jc w:val="center"/>
              <w:textAlignment w:val="baseline"/>
              <w:rPr>
                <w:rFonts w:eastAsia="Times New Roman" w:cs="Times New Roman"/>
                <w:noProof/>
              </w:rPr>
            </w:pPr>
            <w:r>
              <w:rPr>
                <w:noProof/>
              </w:rPr>
              <w:t>KW. 4</w:t>
            </w:r>
          </w:p>
        </w:tc>
        <w:tc>
          <w:tcPr>
            <w:tcW w:w="709" w:type="dxa"/>
            <w:shd w:val="clear" w:color="auto" w:fill="C6EFCE"/>
          </w:tcPr>
          <w:p w14:paraId="138B9EB6" w14:textId="77777777" w:rsidR="006578ED" w:rsidRDefault="00A1618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6E546150" w14:textId="7C71AD86" w:rsidR="006578ED" w:rsidRDefault="00A1618E">
            <w:pPr>
              <w:pStyle w:val="P68B1DB1-Normal13"/>
              <w:spacing w:after="0" w:line="240" w:lineRule="auto"/>
              <w:textAlignment w:val="baseline"/>
              <w:rPr>
                <w:rFonts w:eastAsia="Times New Roman" w:cs="Times New Roman"/>
                <w:noProof/>
              </w:rPr>
            </w:pPr>
            <w:r>
              <w:rPr>
                <w:noProof/>
              </w:rPr>
              <w:t>Grupa EBI i pośrednicy wybrani przez grupę EBI zawierają prawne umowy o finansowaniu z beneficjentami końcowymi (w tym funduszami kapitałowymi) na kwotę niezbędną do wykorzystania co najmniej 25 % inwestycji w ramach RRF na inne linie (z uwzględnieniem opłat za zarządzanie). Co najmniej 2,5 % finansowania odpowiada umowom finansowym podpisanym z funduszami kapitałowymi, a co najmniej 60 % – umowami w sprawie finansowania podpisanymi z beneficjentami końcowymi w odniesieniu do wszystkich innych produktów inwestycyjnych (w tym bezpośrednich inwestycji kapitałowych w ramach Instrumentu). Grupa EBI sporządza sprawozdanie wyszczególniające odsetek tego finansowania, które przyczynia się do realizacji celów klimatycznych, stosując metodykę określoną w załączniku VI do rozporządzenia w sprawie RRF.</w:t>
            </w:r>
          </w:p>
        </w:tc>
      </w:tr>
      <w:tr w:rsidR="006578ED" w14:paraId="4292062F" w14:textId="77777777">
        <w:trPr>
          <w:trHeight w:val="300"/>
        </w:trPr>
        <w:tc>
          <w:tcPr>
            <w:tcW w:w="846" w:type="dxa"/>
            <w:shd w:val="clear" w:color="auto" w:fill="C6EFCE"/>
          </w:tcPr>
          <w:p w14:paraId="736256C6" w14:textId="6899A111" w:rsidR="006578ED" w:rsidRDefault="00A1618E">
            <w:pPr>
              <w:pStyle w:val="P68B1DB1-Normal13"/>
              <w:spacing w:after="0" w:line="240" w:lineRule="auto"/>
              <w:jc w:val="center"/>
              <w:textAlignment w:val="baseline"/>
              <w:rPr>
                <w:rFonts w:eastAsia="Times New Roman" w:cs="Times New Roman"/>
                <w:noProof/>
              </w:rPr>
            </w:pPr>
            <w:r>
              <w:rPr>
                <w:noProof/>
              </w:rPr>
              <w:t>L55</w:t>
            </w:r>
          </w:p>
        </w:tc>
        <w:tc>
          <w:tcPr>
            <w:tcW w:w="850" w:type="dxa"/>
            <w:shd w:val="clear" w:color="auto" w:fill="C6EFCE"/>
          </w:tcPr>
          <w:p w14:paraId="1EA7EE1B" w14:textId="77777777"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2B66452C" w14:textId="33186D39"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0D7867C7" w14:textId="508213DF" w:rsidR="006578ED" w:rsidRDefault="00A1618E">
            <w:pPr>
              <w:pStyle w:val="P68B1DB1-Normal13"/>
              <w:spacing w:after="0" w:line="240" w:lineRule="auto"/>
              <w:textAlignment w:val="baseline"/>
              <w:rPr>
                <w:rFonts w:eastAsia="Times New Roman" w:cs="Times New Roman"/>
                <w:noProof/>
              </w:rPr>
            </w:pPr>
            <w:r>
              <w:rPr>
                <w:noProof/>
              </w:rPr>
              <w:t>Fundusz na rzecz odporności regionalnej – Inne linie: Umowy prawne podpisane z beneficjentami końcowymi (w tym z funduszami kapitałowymi) (II)</w:t>
            </w:r>
          </w:p>
        </w:tc>
        <w:tc>
          <w:tcPr>
            <w:tcW w:w="1134" w:type="dxa"/>
            <w:shd w:val="clear" w:color="auto" w:fill="C6EFCE"/>
          </w:tcPr>
          <w:p w14:paraId="5F31F902" w14:textId="06DB7B15"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1B2AB904" w14:textId="2D0D8A21"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51088886" w14:textId="74701B21" w:rsidR="006578ED" w:rsidRDefault="00A1618E">
            <w:pPr>
              <w:pStyle w:val="P68B1DB1-Normal13"/>
              <w:spacing w:after="0" w:line="240" w:lineRule="auto"/>
              <w:jc w:val="right"/>
              <w:textAlignment w:val="baseline"/>
              <w:rPr>
                <w:rFonts w:eastAsia="Times New Roman" w:cs="Times New Roman"/>
                <w:noProof/>
              </w:rPr>
            </w:pPr>
            <w:r>
              <w:rPr>
                <w:noProof/>
              </w:rPr>
              <w:t>15 %</w:t>
            </w:r>
          </w:p>
        </w:tc>
        <w:tc>
          <w:tcPr>
            <w:tcW w:w="709" w:type="dxa"/>
            <w:shd w:val="clear" w:color="auto" w:fill="C6EFCE"/>
          </w:tcPr>
          <w:p w14:paraId="4F6A4DC0" w14:textId="37FA3D77" w:rsidR="006578ED" w:rsidRDefault="00A1618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C35AD1F" w14:textId="084885AD" w:rsidR="006578ED" w:rsidRDefault="00EC188C">
            <w:pPr>
              <w:pStyle w:val="P68B1DB1-Normal13"/>
              <w:spacing w:after="0" w:line="240" w:lineRule="auto"/>
              <w:jc w:val="center"/>
              <w:textAlignment w:val="baseline"/>
              <w:rPr>
                <w:rFonts w:eastAsia="Times New Roman" w:cs="Times New Roman"/>
                <w:noProof/>
              </w:rPr>
            </w:pPr>
            <w:r>
              <w:rPr>
                <w:noProof/>
              </w:rPr>
              <w:t>KW. 2</w:t>
            </w:r>
          </w:p>
        </w:tc>
        <w:tc>
          <w:tcPr>
            <w:tcW w:w="709" w:type="dxa"/>
            <w:shd w:val="clear" w:color="auto" w:fill="C6EFCE"/>
          </w:tcPr>
          <w:p w14:paraId="723F4717"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00972C7A" w14:textId="1EF97FC9" w:rsidR="006578ED" w:rsidRDefault="00A1618E">
            <w:pPr>
              <w:pStyle w:val="P68B1DB1-Normal13"/>
              <w:spacing w:after="0" w:line="240" w:lineRule="auto"/>
              <w:textAlignment w:val="baseline"/>
              <w:rPr>
                <w:rFonts w:eastAsia="Times New Roman" w:cs="Times New Roman"/>
                <w:noProof/>
              </w:rPr>
            </w:pPr>
            <w:r>
              <w:rPr>
                <w:noProof/>
              </w:rPr>
              <w:t>Grupa EBI i pośrednicy wybrani przez grupę EBI zawierają prawne umowy o finansowaniu z beneficjentami końcowymi (w tym funduszami kapitałowymi) na kwotę niezbędną do wykorzystania co najmniej 50 % inwestycji w ramach RRF na inne linie (z uwzględnieniem opłat za zarządzanie). Co najmniej 2,5 % finansowania odpowiada umowom finansowym podpisanym z funduszami kapitałowymi, a co najmniej 60 % – umowami w sprawie finansowania podpisanymi z beneficjentami końcowymi w odniesieniu do wszystkich innych produktów inwestycyjnych (w tym bezpośrednich inwestycji kapitałowych w ramach Instrumentu). Grupa EBI sporządza sprawozdanie wyszczególniające odsetek tego finansowania, które przyczynia się do realizacji celów klimatycznych, stosując metodykę określoną w załączniku VI do rozporządzenia w sprawie RRF.</w:t>
            </w:r>
          </w:p>
        </w:tc>
      </w:tr>
      <w:tr w:rsidR="006578ED" w14:paraId="791776F7" w14:textId="77777777">
        <w:trPr>
          <w:trHeight w:val="300"/>
        </w:trPr>
        <w:tc>
          <w:tcPr>
            <w:tcW w:w="846" w:type="dxa"/>
            <w:shd w:val="clear" w:color="auto" w:fill="C6EFCE"/>
          </w:tcPr>
          <w:p w14:paraId="770405F3" w14:textId="6E55B292" w:rsidR="006578ED" w:rsidRDefault="00A1618E">
            <w:pPr>
              <w:pStyle w:val="P68B1DB1-Normal13"/>
              <w:spacing w:after="0" w:line="240" w:lineRule="auto"/>
              <w:jc w:val="center"/>
              <w:textAlignment w:val="baseline"/>
              <w:rPr>
                <w:rFonts w:eastAsia="Times New Roman" w:cs="Times New Roman"/>
                <w:noProof/>
              </w:rPr>
            </w:pPr>
            <w:r>
              <w:rPr>
                <w:noProof/>
              </w:rPr>
              <w:t>L56</w:t>
            </w:r>
          </w:p>
        </w:tc>
        <w:tc>
          <w:tcPr>
            <w:tcW w:w="850" w:type="dxa"/>
            <w:shd w:val="clear" w:color="auto" w:fill="C6EFCE"/>
          </w:tcPr>
          <w:p w14:paraId="70652E84" w14:textId="77777777"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74B665E0" w14:textId="569BD2FB"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146F402F" w14:textId="5C2A527B" w:rsidR="006578ED" w:rsidRDefault="00A1618E">
            <w:pPr>
              <w:pStyle w:val="P68B1DB1-Normal13"/>
              <w:spacing w:after="0" w:line="240" w:lineRule="auto"/>
              <w:textAlignment w:val="baseline"/>
              <w:rPr>
                <w:rFonts w:eastAsia="Times New Roman" w:cs="Times New Roman"/>
                <w:noProof/>
              </w:rPr>
            </w:pPr>
            <w:r>
              <w:rPr>
                <w:noProof/>
              </w:rPr>
              <w:t>Regionalny Fundusz na rzecz Odporności – Inne linie: Umowy prawne podpisane z beneficjentami końcowymi (w tym z funduszami kapitałowymi) (III)</w:t>
            </w:r>
          </w:p>
        </w:tc>
        <w:tc>
          <w:tcPr>
            <w:tcW w:w="1134" w:type="dxa"/>
            <w:shd w:val="clear" w:color="auto" w:fill="C6EFCE"/>
          </w:tcPr>
          <w:p w14:paraId="0AFDFDA8" w14:textId="172C6FB3"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CF8BA72" w14:textId="1EC5ED4A"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7D158BE4" w14:textId="2A2CE4E5" w:rsidR="006578ED" w:rsidRDefault="00A1618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EA499EC" w14:textId="593576DE" w:rsidR="006578ED" w:rsidRDefault="00A1618E">
            <w:pPr>
              <w:pStyle w:val="P68B1DB1-Normal13"/>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4BB1C262" w14:textId="7C0DF749" w:rsidR="006578ED" w:rsidRDefault="00EC188C">
            <w:pPr>
              <w:pStyle w:val="P68B1DB1-Normal13"/>
              <w:spacing w:after="0" w:line="240" w:lineRule="auto"/>
              <w:jc w:val="center"/>
              <w:textAlignment w:val="baseline"/>
              <w:rPr>
                <w:rFonts w:eastAsia="Times New Roman" w:cs="Times New Roman"/>
                <w:noProof/>
              </w:rPr>
            </w:pPr>
            <w:r>
              <w:rPr>
                <w:noProof/>
              </w:rPr>
              <w:t>KW. 4</w:t>
            </w:r>
          </w:p>
        </w:tc>
        <w:tc>
          <w:tcPr>
            <w:tcW w:w="709" w:type="dxa"/>
            <w:shd w:val="clear" w:color="auto" w:fill="C6EFCE"/>
          </w:tcPr>
          <w:p w14:paraId="7D7B06A9"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73BB7229" w14:textId="6B63FBD5" w:rsidR="006578ED" w:rsidRDefault="00A1618E">
            <w:pPr>
              <w:pStyle w:val="P68B1DB1-Normal13"/>
              <w:spacing w:after="0" w:line="240" w:lineRule="auto"/>
              <w:textAlignment w:val="baseline"/>
              <w:rPr>
                <w:rFonts w:eastAsia="Times New Roman" w:cs="Times New Roman"/>
                <w:noProof/>
              </w:rPr>
            </w:pPr>
            <w:r>
              <w:rPr>
                <w:noProof/>
              </w:rPr>
              <w:t>Grupa EBI i pośrednicy wybrani przez grupę EBI zawierają prawne umowy o finansowaniu z beneficjentami końcowymi (w tym funduszami kapitałowymi) na kwotę niezbędną do wykorzystania co najmniej 75 % inwestycji w RRF na inne linie (z uwzględnieniem opłat za zarządzanie). Co najmniej 2,5 % finansowania odpowiada umowom finansowym podpisanym z funduszami kapitałowymi, a co najmniej 60 % – umowami w sprawie finansowania podpisanymi z beneficjentami końcowymi w odniesieniu do wszystkich innych produktów inwestycyjnych (w tym bezpośrednich inwestycji kapitałowych w ramach Instrumentu)</w:t>
            </w:r>
            <w:r w:rsidRPr="00A1618E">
              <w:rPr>
                <w:noProof/>
                <w:lang w:val="pl-PL"/>
              </w:rPr>
              <w:t>. G</w:t>
            </w:r>
            <w:r>
              <w:rPr>
                <w:noProof/>
              </w:rPr>
              <w:t>rupa EBI sporządza sprawozdanie wyszczególniające odsetek tego finansowania, które przyczynia się do realizacji celów klimatycznych, stosując metodykę określoną w załączniku VI do rozporządzenia w sprawie RRF.</w:t>
            </w:r>
          </w:p>
        </w:tc>
      </w:tr>
      <w:tr w:rsidR="006578ED" w14:paraId="05D9E365" w14:textId="77777777">
        <w:trPr>
          <w:trHeight w:val="300"/>
        </w:trPr>
        <w:tc>
          <w:tcPr>
            <w:tcW w:w="846" w:type="dxa"/>
            <w:shd w:val="clear" w:color="auto" w:fill="C6EFCE"/>
          </w:tcPr>
          <w:p w14:paraId="143BED7A" w14:textId="3590908E" w:rsidR="006578ED" w:rsidRDefault="00A1618E">
            <w:pPr>
              <w:pStyle w:val="P68B1DB1-Normal13"/>
              <w:spacing w:after="0" w:line="240" w:lineRule="auto"/>
              <w:jc w:val="center"/>
              <w:textAlignment w:val="baseline"/>
              <w:rPr>
                <w:rFonts w:eastAsia="Times New Roman" w:cs="Times New Roman"/>
                <w:noProof/>
              </w:rPr>
            </w:pPr>
            <w:r>
              <w:rPr>
                <w:noProof/>
              </w:rPr>
              <w:t>L57</w:t>
            </w:r>
          </w:p>
        </w:tc>
        <w:tc>
          <w:tcPr>
            <w:tcW w:w="850" w:type="dxa"/>
            <w:shd w:val="clear" w:color="auto" w:fill="C6EFCE"/>
          </w:tcPr>
          <w:p w14:paraId="5A120BA7" w14:textId="77777777"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0155F790" w14:textId="6E9D56AA"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5A070662" w14:textId="14987441" w:rsidR="006578ED" w:rsidRDefault="00A1618E">
            <w:pPr>
              <w:pStyle w:val="P68B1DB1-Normal13"/>
              <w:spacing w:after="0" w:line="240" w:lineRule="auto"/>
              <w:textAlignment w:val="baseline"/>
              <w:rPr>
                <w:rFonts w:eastAsia="Times New Roman" w:cs="Times New Roman"/>
                <w:noProof/>
              </w:rPr>
            </w:pPr>
            <w:r>
              <w:rPr>
                <w:noProof/>
              </w:rPr>
              <w:t>Regionalny Fundusz na rzecz Odporności – Inne linie: Umowy prawne podpisane z beneficjentami końcowymi (w tym z funduszami kapitałowymi) (IV)</w:t>
            </w:r>
          </w:p>
        </w:tc>
        <w:tc>
          <w:tcPr>
            <w:tcW w:w="1134" w:type="dxa"/>
            <w:shd w:val="clear" w:color="auto" w:fill="C6EFCE"/>
          </w:tcPr>
          <w:p w14:paraId="5A8CCAD9" w14:textId="7E8BD2A5"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664EC5B0" w14:textId="551D045F"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7702EF7D" w14:textId="553D87CD" w:rsidR="006578ED" w:rsidRDefault="00A1618E">
            <w:pPr>
              <w:pStyle w:val="P68B1DB1-Normal13"/>
              <w:spacing w:after="0" w:line="240" w:lineRule="auto"/>
              <w:jc w:val="right"/>
              <w:textAlignment w:val="baseline"/>
              <w:rPr>
                <w:rFonts w:eastAsia="Times New Roman" w:cs="Times New Roman"/>
                <w:noProof/>
              </w:rPr>
            </w:pPr>
            <w:r>
              <w:rPr>
                <w:noProof/>
              </w:rPr>
              <w:t>75 %</w:t>
            </w:r>
          </w:p>
        </w:tc>
        <w:tc>
          <w:tcPr>
            <w:tcW w:w="709" w:type="dxa"/>
            <w:shd w:val="clear" w:color="auto" w:fill="C6EFCE"/>
          </w:tcPr>
          <w:p w14:paraId="46AA8698" w14:textId="3B25FE1D" w:rsidR="006578ED" w:rsidRDefault="00A1618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16FA5C8C" w14:textId="7C90CF32"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1DBD2CD8"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7D6E26F8" w14:textId="63296D7E" w:rsidR="006578ED" w:rsidRDefault="00A1618E">
            <w:pPr>
              <w:pStyle w:val="P68B1DB1-Normal13"/>
              <w:spacing w:after="0" w:line="240" w:lineRule="auto"/>
              <w:textAlignment w:val="baseline"/>
              <w:rPr>
                <w:rFonts w:eastAsia="Times New Roman" w:cs="Times New Roman"/>
                <w:noProof/>
              </w:rPr>
            </w:pPr>
            <w:r>
              <w:rPr>
                <w:noProof/>
              </w:rPr>
              <w:t>Grupa EBI i pośrednicy wybrani przez grupę EBI zawierają prawne umowy o finansowaniu z beneficjentami końcowymi (w tym funduszami kapitałowymi) na kwotę niezbędną do wykorzystania 100 % inwestycji w ramach RRF na inne linie (z uwzględnieniem opłat za zarządzanie). Co najmniej 2,5 % finansowania odpowiada umowom finansowym podpisanym z funduszami kapitałowymi, a co najmniej 60 % – umowami w sprawie finansowania podpisanymi z beneficjentami końcowymi w odniesieniu do wszystkich innych produktów inwestycyjnych (w tym bezpośrednich inwestycji kapitałowych w ramach Instrumentu). Grupa EBI sporządza sprawozdanie wyszczególniające odsetek tego finansowania, które przyczynia się do realizacji celów klimatycznych, stosując metodykę określoną w załączniku VI do rozporządzenia w sprawie RRF.</w:t>
            </w:r>
          </w:p>
        </w:tc>
      </w:tr>
      <w:tr w:rsidR="006578ED" w14:paraId="06A35F8D" w14:textId="77777777">
        <w:trPr>
          <w:trHeight w:val="417"/>
        </w:trPr>
        <w:tc>
          <w:tcPr>
            <w:tcW w:w="846" w:type="dxa"/>
            <w:shd w:val="clear" w:color="auto" w:fill="C6EFCE"/>
          </w:tcPr>
          <w:p w14:paraId="12F5515E" w14:textId="01698D97" w:rsidR="006578ED" w:rsidRDefault="00A1618E">
            <w:pPr>
              <w:pStyle w:val="P68B1DB1-Normal13"/>
              <w:spacing w:after="0" w:line="240" w:lineRule="auto"/>
              <w:jc w:val="center"/>
              <w:textAlignment w:val="baseline"/>
              <w:rPr>
                <w:rFonts w:eastAsia="Times New Roman" w:cs="Times New Roman"/>
                <w:noProof/>
              </w:rPr>
            </w:pPr>
            <w:r>
              <w:rPr>
                <w:noProof/>
              </w:rPr>
              <w:t>L58</w:t>
            </w:r>
          </w:p>
        </w:tc>
        <w:tc>
          <w:tcPr>
            <w:tcW w:w="850" w:type="dxa"/>
            <w:shd w:val="clear" w:color="auto" w:fill="C6EFCE"/>
          </w:tcPr>
          <w:p w14:paraId="683F350C" w14:textId="77777777"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5BE30C83" w14:textId="45F08D97"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3063E0CC" w14:textId="5E323EB5" w:rsidR="006578ED" w:rsidRDefault="00A1618E">
            <w:pPr>
              <w:pStyle w:val="P68B1DB1-Normal13"/>
              <w:spacing w:after="0" w:line="240" w:lineRule="auto"/>
              <w:textAlignment w:val="baseline"/>
              <w:rPr>
                <w:rFonts w:eastAsia="Times New Roman" w:cs="Times New Roman"/>
                <w:noProof/>
              </w:rPr>
            </w:pPr>
            <w:r>
              <w:rPr>
                <w:noProof/>
              </w:rPr>
              <w:t>Fundusz odporności regionalnej – bezpośrednia linia publiczna: Umowy prawne podpisane z beneficjentami końcowymi (I)</w:t>
            </w:r>
          </w:p>
        </w:tc>
        <w:tc>
          <w:tcPr>
            <w:tcW w:w="1134" w:type="dxa"/>
            <w:shd w:val="clear" w:color="auto" w:fill="C6EFCE"/>
          </w:tcPr>
          <w:p w14:paraId="02B3B879" w14:textId="391F8EEA"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43B89C93" w14:textId="6D36023C"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1C5B8A19" w14:textId="77777777" w:rsidR="006578ED" w:rsidRDefault="00A1618E">
            <w:pPr>
              <w:pStyle w:val="P68B1DB1-Normal13"/>
              <w:spacing w:after="0" w:line="240" w:lineRule="auto"/>
              <w:jc w:val="right"/>
              <w:textAlignment w:val="baseline"/>
              <w:rPr>
                <w:rFonts w:eastAsia="Times New Roman" w:cs="Times New Roman"/>
                <w:noProof/>
              </w:rPr>
            </w:pPr>
            <w:r>
              <w:rPr>
                <w:noProof/>
              </w:rPr>
              <w:t>0</w:t>
            </w:r>
          </w:p>
        </w:tc>
        <w:tc>
          <w:tcPr>
            <w:tcW w:w="709" w:type="dxa"/>
            <w:shd w:val="clear" w:color="auto" w:fill="C6EFCE"/>
          </w:tcPr>
          <w:p w14:paraId="7ECDB1A0" w14:textId="53352305" w:rsidR="006578ED" w:rsidRDefault="00A1618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34245172" w14:textId="24644DDC" w:rsidR="006578ED" w:rsidRDefault="00EC188C">
            <w:pPr>
              <w:pStyle w:val="P68B1DB1-Normal13"/>
              <w:spacing w:after="0" w:line="240" w:lineRule="auto"/>
              <w:jc w:val="center"/>
              <w:textAlignment w:val="baseline"/>
              <w:rPr>
                <w:rFonts w:eastAsia="Times New Roman" w:cs="Times New Roman"/>
                <w:noProof/>
              </w:rPr>
            </w:pPr>
            <w:r>
              <w:rPr>
                <w:noProof/>
              </w:rPr>
              <w:t>KW. 4</w:t>
            </w:r>
          </w:p>
        </w:tc>
        <w:tc>
          <w:tcPr>
            <w:tcW w:w="709" w:type="dxa"/>
            <w:shd w:val="clear" w:color="auto" w:fill="C6EFCE"/>
          </w:tcPr>
          <w:p w14:paraId="705541E0" w14:textId="77777777" w:rsidR="006578ED" w:rsidRDefault="00A1618E">
            <w:pPr>
              <w:pStyle w:val="P68B1DB1-Normal13"/>
              <w:spacing w:after="0" w:line="240" w:lineRule="auto"/>
              <w:jc w:val="center"/>
              <w:textAlignment w:val="baseline"/>
              <w:rPr>
                <w:rFonts w:eastAsia="Times New Roman" w:cs="Times New Roman"/>
                <w:noProof/>
              </w:rPr>
            </w:pPr>
            <w:r>
              <w:rPr>
                <w:noProof/>
              </w:rPr>
              <w:t>2024</w:t>
            </w:r>
          </w:p>
        </w:tc>
        <w:tc>
          <w:tcPr>
            <w:tcW w:w="4958" w:type="dxa"/>
            <w:shd w:val="clear" w:color="auto" w:fill="C6EFCE"/>
          </w:tcPr>
          <w:p w14:paraId="11CD28D0" w14:textId="7EA4E7C3" w:rsidR="006578ED" w:rsidRDefault="00A1618E">
            <w:pPr>
              <w:pStyle w:val="P68B1DB1-Normal13"/>
              <w:spacing w:after="0" w:line="240" w:lineRule="auto"/>
              <w:textAlignment w:val="baseline"/>
              <w:rPr>
                <w:rFonts w:eastAsia="Times New Roman" w:cs="Times New Roman"/>
                <w:noProof/>
              </w:rPr>
            </w:pPr>
            <w:r>
              <w:rPr>
                <w:noProof/>
              </w:rPr>
              <w:t>Grupa EBI i pośrednicy wybrani przez grupę EBI zawierają z beneficjentami końcowymi prawne umowy o finansowaniu na kwotę niezbędną do wykorzystania co najmniej 50 % inwestycji w ramach RRF na bezpośrednią linię publiczną (z uwzględnieniem opłat za zarządzanie). Grupa EBI sporządza sprawozdanie wyszczególniające odsetek tego finansowania, które przyczynia się do realizacji celów klimatycznych, stosując metodykę określoną w załączniku VI do rozporządzenia w sprawie RRF.</w:t>
            </w:r>
          </w:p>
        </w:tc>
      </w:tr>
      <w:tr w:rsidR="006578ED" w14:paraId="63E8570F" w14:textId="77777777">
        <w:trPr>
          <w:trHeight w:val="417"/>
        </w:trPr>
        <w:tc>
          <w:tcPr>
            <w:tcW w:w="846" w:type="dxa"/>
            <w:shd w:val="clear" w:color="auto" w:fill="C6EFCE"/>
          </w:tcPr>
          <w:p w14:paraId="4495493D" w14:textId="6672C7F9" w:rsidR="006578ED" w:rsidRDefault="00A1618E">
            <w:pPr>
              <w:pStyle w:val="P68B1DB1-Normal13"/>
              <w:spacing w:after="0" w:line="240" w:lineRule="auto"/>
              <w:jc w:val="center"/>
              <w:textAlignment w:val="baseline"/>
              <w:rPr>
                <w:rFonts w:eastAsia="Times New Roman" w:cs="Times New Roman"/>
                <w:noProof/>
              </w:rPr>
            </w:pPr>
            <w:r>
              <w:rPr>
                <w:noProof/>
              </w:rPr>
              <w:t>L59</w:t>
            </w:r>
          </w:p>
        </w:tc>
        <w:tc>
          <w:tcPr>
            <w:tcW w:w="850" w:type="dxa"/>
            <w:shd w:val="clear" w:color="auto" w:fill="C6EFCE"/>
          </w:tcPr>
          <w:p w14:paraId="2E2778A9" w14:textId="77777777"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B4CBA85" w14:textId="21A5A532" w:rsidR="006578ED" w:rsidRDefault="00AF6B91">
            <w:pPr>
              <w:pStyle w:val="P68B1DB1-Normal13"/>
              <w:spacing w:after="0" w:line="240" w:lineRule="auto"/>
              <w:jc w:val="center"/>
              <w:textAlignment w:val="baseline"/>
              <w:rPr>
                <w:rFonts w:eastAsia="Times New Roman" w:cs="Times New Roman"/>
                <w:noProof/>
              </w:rPr>
            </w:pPr>
            <w:r>
              <w:rPr>
                <w:noProof/>
              </w:rPr>
              <w:t>Cel</w:t>
            </w:r>
          </w:p>
        </w:tc>
        <w:tc>
          <w:tcPr>
            <w:tcW w:w="2268" w:type="dxa"/>
            <w:shd w:val="clear" w:color="auto" w:fill="C6EFCE"/>
          </w:tcPr>
          <w:p w14:paraId="099C52F7" w14:textId="06C07E27" w:rsidR="006578ED" w:rsidRDefault="00A1618E">
            <w:pPr>
              <w:pStyle w:val="P68B1DB1-Normal13"/>
              <w:spacing w:after="0" w:line="240" w:lineRule="auto"/>
              <w:textAlignment w:val="baseline"/>
              <w:rPr>
                <w:rFonts w:eastAsia="Times New Roman" w:cs="Times New Roman"/>
                <w:noProof/>
              </w:rPr>
            </w:pPr>
            <w:r>
              <w:rPr>
                <w:noProof/>
              </w:rPr>
              <w:t>Fundusz odporności regionalnej – bezpośrednia linia publiczna: Umowy prawne podpisane z beneficjentami końcowymi (II)</w:t>
            </w:r>
          </w:p>
        </w:tc>
        <w:tc>
          <w:tcPr>
            <w:tcW w:w="1134" w:type="dxa"/>
            <w:shd w:val="clear" w:color="auto" w:fill="C6EFCE"/>
          </w:tcPr>
          <w:p w14:paraId="4D278E9E" w14:textId="0BACD6D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019728C8" w14:textId="00BA9B33"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1F042AEB" w14:textId="04DA191A" w:rsidR="006578ED" w:rsidRDefault="00A1618E">
            <w:pPr>
              <w:pStyle w:val="P68B1DB1-Normal13"/>
              <w:spacing w:after="0" w:line="240" w:lineRule="auto"/>
              <w:jc w:val="right"/>
              <w:textAlignment w:val="baseline"/>
              <w:rPr>
                <w:rFonts w:eastAsia="Times New Roman" w:cs="Times New Roman"/>
                <w:noProof/>
              </w:rPr>
            </w:pPr>
            <w:r>
              <w:rPr>
                <w:noProof/>
              </w:rPr>
              <w:t>50 %</w:t>
            </w:r>
          </w:p>
        </w:tc>
        <w:tc>
          <w:tcPr>
            <w:tcW w:w="709" w:type="dxa"/>
            <w:shd w:val="clear" w:color="auto" w:fill="C6EFCE"/>
          </w:tcPr>
          <w:p w14:paraId="7DEF3DEE" w14:textId="7267021C" w:rsidR="006578ED" w:rsidRDefault="00A1618E">
            <w:pPr>
              <w:pStyle w:val="P68B1DB1-Normal13"/>
              <w:spacing w:after="0" w:line="240" w:lineRule="auto"/>
              <w:jc w:val="right"/>
              <w:textAlignment w:val="baseline"/>
              <w:rPr>
                <w:rFonts w:eastAsia="Times New Roman" w:cs="Times New Roman"/>
                <w:noProof/>
              </w:rPr>
            </w:pPr>
            <w:r>
              <w:rPr>
                <w:noProof/>
              </w:rPr>
              <w:t>100 %</w:t>
            </w:r>
          </w:p>
        </w:tc>
        <w:tc>
          <w:tcPr>
            <w:tcW w:w="709" w:type="dxa"/>
            <w:shd w:val="clear" w:color="auto" w:fill="C6EFCE"/>
          </w:tcPr>
          <w:p w14:paraId="5E27C084" w14:textId="573B315E" w:rsidR="006578ED" w:rsidRDefault="00EC188C">
            <w:pPr>
              <w:pStyle w:val="P68B1DB1-Normal13"/>
              <w:spacing w:after="0" w:line="240" w:lineRule="auto"/>
              <w:jc w:val="center"/>
              <w:textAlignment w:val="baseline"/>
              <w:rPr>
                <w:rFonts w:eastAsia="Times New Roman" w:cs="Times New Roman"/>
                <w:noProof/>
              </w:rPr>
            </w:pPr>
            <w:r>
              <w:rPr>
                <w:noProof/>
              </w:rPr>
              <w:t>KW. 2</w:t>
            </w:r>
          </w:p>
        </w:tc>
        <w:tc>
          <w:tcPr>
            <w:tcW w:w="709" w:type="dxa"/>
            <w:shd w:val="clear" w:color="auto" w:fill="C6EFCE"/>
          </w:tcPr>
          <w:p w14:paraId="36118383" w14:textId="77777777" w:rsidR="006578ED" w:rsidRDefault="00A1618E">
            <w:pPr>
              <w:pStyle w:val="P68B1DB1-Normal13"/>
              <w:spacing w:after="0" w:line="240" w:lineRule="auto"/>
              <w:jc w:val="center"/>
              <w:textAlignment w:val="baseline"/>
              <w:rPr>
                <w:rFonts w:eastAsia="Times New Roman" w:cs="Times New Roman"/>
                <w:noProof/>
              </w:rPr>
            </w:pPr>
            <w:r>
              <w:rPr>
                <w:noProof/>
              </w:rPr>
              <w:t>2025</w:t>
            </w:r>
          </w:p>
        </w:tc>
        <w:tc>
          <w:tcPr>
            <w:tcW w:w="4958" w:type="dxa"/>
            <w:shd w:val="clear" w:color="auto" w:fill="C6EFCE"/>
          </w:tcPr>
          <w:p w14:paraId="58EF0038" w14:textId="5A41FCA8" w:rsidR="006578ED" w:rsidRDefault="00A1618E">
            <w:pPr>
              <w:pStyle w:val="P68B1DB1-Normal13"/>
              <w:spacing w:after="0" w:line="240" w:lineRule="auto"/>
              <w:textAlignment w:val="baseline"/>
              <w:rPr>
                <w:rFonts w:eastAsia="Times New Roman" w:cs="Times New Roman"/>
                <w:noProof/>
              </w:rPr>
            </w:pPr>
            <w:r>
              <w:rPr>
                <w:noProof/>
              </w:rPr>
              <w:t xml:space="preserve">Grupa EBI i pośrednicy wybrani przez grupę EBI zawierają z beneficjentami końcowymi prawne umowy o finansowaniu na kwotę niezbędną do wykorzystania 100 % inwestycji w ramach RRF na bezpośrednią linię publiczną (z uwzględnieniem opłat za zarządzanie). </w:t>
            </w:r>
            <w:bookmarkStart w:id="48" w:name="_Hlk145696936"/>
            <w:r>
              <w:rPr>
                <w:noProof/>
              </w:rPr>
              <w:t>Grupa EBI sporządza sprawozdanie wyszczególniające odsetek tego finansowania, które przyczynia się do realizacji celów klimatycznych, stosując metodykę określoną w załączniku VI do rozporządzenia w sprawie RRF.</w:t>
            </w:r>
            <w:bookmarkEnd w:id="48"/>
          </w:p>
        </w:tc>
      </w:tr>
      <w:tr w:rsidR="006578ED" w14:paraId="03FB41D9" w14:textId="77777777">
        <w:trPr>
          <w:trHeight w:val="417"/>
        </w:trPr>
        <w:tc>
          <w:tcPr>
            <w:tcW w:w="846" w:type="dxa"/>
            <w:shd w:val="clear" w:color="auto" w:fill="C6EFCE"/>
          </w:tcPr>
          <w:p w14:paraId="01FCDD23" w14:textId="44738A29" w:rsidR="006578ED" w:rsidRDefault="00A1618E">
            <w:pPr>
              <w:pStyle w:val="P68B1DB1-Normal13"/>
              <w:spacing w:after="0" w:line="240" w:lineRule="auto"/>
              <w:jc w:val="center"/>
              <w:textAlignment w:val="baseline"/>
              <w:rPr>
                <w:rFonts w:eastAsia="Times New Roman" w:cs="Times New Roman"/>
                <w:noProof/>
              </w:rPr>
            </w:pPr>
            <w:r>
              <w:rPr>
                <w:noProof/>
              </w:rPr>
              <w:t>L60</w:t>
            </w:r>
          </w:p>
        </w:tc>
        <w:tc>
          <w:tcPr>
            <w:tcW w:w="850" w:type="dxa"/>
            <w:shd w:val="clear" w:color="auto" w:fill="C6EFCE"/>
          </w:tcPr>
          <w:p w14:paraId="5CBC3798" w14:textId="3C89253C"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3BAD9EAF" w14:textId="0C847200"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0EAD6F9A" w14:textId="615DCA9E" w:rsidR="006578ED" w:rsidRDefault="00A1618E">
            <w:pPr>
              <w:pStyle w:val="P68B1DB1-Normal13"/>
              <w:spacing w:after="0" w:line="240" w:lineRule="auto"/>
              <w:textAlignment w:val="baseline"/>
              <w:rPr>
                <w:rFonts w:eastAsia="Times New Roman" w:cs="Times New Roman"/>
                <w:noProof/>
              </w:rPr>
            </w:pPr>
            <w:r>
              <w:rPr>
                <w:noProof/>
              </w:rPr>
              <w:t>Regionalny Fundusz na rzecz Zwiększania Odporności – wkład w działania na rzecz klimatu</w:t>
            </w:r>
          </w:p>
        </w:tc>
        <w:tc>
          <w:tcPr>
            <w:tcW w:w="1134" w:type="dxa"/>
            <w:shd w:val="clear" w:color="auto" w:fill="C6EFCE"/>
          </w:tcPr>
          <w:p w14:paraId="2E9F1A1F"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28B9F36D"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00BC601D"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55BFDEE6"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3CD6F765" w14:textId="36943F9F"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1DDDBAD4" w14:textId="51E2A380"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5E552863" w14:textId="78D7A3DC" w:rsidR="006578ED" w:rsidRDefault="00A1618E">
            <w:pPr>
              <w:pStyle w:val="P68B1DB1-Normal13"/>
              <w:spacing w:after="0" w:line="240" w:lineRule="auto"/>
              <w:textAlignment w:val="baseline"/>
              <w:rPr>
                <w:rFonts w:eastAsia="Times New Roman" w:cs="Times New Roman"/>
                <w:noProof/>
              </w:rPr>
            </w:pPr>
            <w:r>
              <w:rPr>
                <w:noProof/>
              </w:rPr>
              <w:t>Co najmniej 50 % finansowania bezpośredniej linii publicznej i innych linii przyczynia się do realizacji celów klimatycznych przy użyciu metodyki określonej w załączniku VI do rozporządzenia w sprawie RRF.</w:t>
            </w:r>
          </w:p>
        </w:tc>
      </w:tr>
      <w:tr w:rsidR="006578ED" w14:paraId="21EB8F1D" w14:textId="77777777">
        <w:trPr>
          <w:trHeight w:val="300"/>
        </w:trPr>
        <w:tc>
          <w:tcPr>
            <w:tcW w:w="846" w:type="dxa"/>
            <w:shd w:val="clear" w:color="auto" w:fill="C6EFCE"/>
          </w:tcPr>
          <w:p w14:paraId="72699A00" w14:textId="079AEF25" w:rsidR="006578ED" w:rsidRDefault="00A1618E">
            <w:pPr>
              <w:pStyle w:val="P68B1DB1-Normal13"/>
              <w:spacing w:after="0" w:line="240" w:lineRule="auto"/>
              <w:jc w:val="center"/>
              <w:textAlignment w:val="baseline"/>
              <w:rPr>
                <w:rFonts w:eastAsia="Times New Roman" w:cs="Times New Roman"/>
                <w:noProof/>
              </w:rPr>
            </w:pPr>
            <w:r>
              <w:rPr>
                <w:noProof/>
              </w:rPr>
              <w:t>L61</w:t>
            </w:r>
          </w:p>
        </w:tc>
        <w:tc>
          <w:tcPr>
            <w:tcW w:w="850" w:type="dxa"/>
            <w:shd w:val="clear" w:color="auto" w:fill="C6EFCE"/>
          </w:tcPr>
          <w:p w14:paraId="5845E936" w14:textId="77777777"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0D109629" w14:textId="7975FA02"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505D58B1" w14:textId="5F4AF18F" w:rsidR="006578ED" w:rsidRDefault="00A1618E">
            <w:pPr>
              <w:pStyle w:val="P68B1DB1-Normal13"/>
              <w:spacing w:after="0" w:line="240" w:lineRule="auto"/>
              <w:textAlignment w:val="baseline"/>
              <w:rPr>
                <w:rFonts w:eastAsia="Times New Roman" w:cs="Times New Roman"/>
                <w:noProof/>
              </w:rPr>
            </w:pPr>
            <w:r>
              <w:rPr>
                <w:noProof/>
              </w:rPr>
              <w:t>Fundusz odporności regionalnej – bezpośrednia linia publiczna: Zakończenie projektów przez podmioty publiczne</w:t>
            </w:r>
          </w:p>
        </w:tc>
        <w:tc>
          <w:tcPr>
            <w:tcW w:w="1134" w:type="dxa"/>
            <w:shd w:val="clear" w:color="auto" w:fill="C6EFCE"/>
          </w:tcPr>
          <w:p w14:paraId="2820682D" w14:textId="40F98DA1"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9" w:type="dxa"/>
            <w:shd w:val="clear" w:color="auto" w:fill="C6EFCE"/>
          </w:tcPr>
          <w:p w14:paraId="7E495312" w14:textId="2B6037AD"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5E04D9BD"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6729A8EC" w14:textId="40BB2BFC" w:rsidR="006578ED" w:rsidRDefault="006578ED">
            <w:pPr>
              <w:jc w:val="right"/>
              <w:rPr>
                <w:rFonts w:ascii="Times New Roman" w:eastAsia="Times New Roman" w:hAnsi="Times New Roman" w:cs="Times New Roman"/>
                <w:noProof/>
                <w:sz w:val="18"/>
              </w:rPr>
            </w:pPr>
          </w:p>
        </w:tc>
        <w:tc>
          <w:tcPr>
            <w:tcW w:w="709" w:type="dxa"/>
            <w:shd w:val="clear" w:color="auto" w:fill="C6EFCE"/>
          </w:tcPr>
          <w:p w14:paraId="4442565A" w14:textId="35DF6333"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3FF794C2"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1812BD0E" w14:textId="6C49CB0D" w:rsidR="006578ED" w:rsidRDefault="00A1618E">
            <w:pPr>
              <w:pStyle w:val="P68B1DB1-Normal13"/>
              <w:spacing w:after="0" w:line="240" w:lineRule="auto"/>
              <w:textAlignment w:val="baseline"/>
              <w:rPr>
                <w:rFonts w:eastAsia="Times New Roman" w:cs="Times New Roman"/>
                <w:noProof/>
              </w:rPr>
            </w:pPr>
            <w:r>
              <w:rPr>
                <w:noProof/>
              </w:rPr>
              <w:t>Zakończenie projektów przez podmioty publiczne o wartości co najmniej 3 150 000 000 EUR (łącznie z opłatami za zarządzanie) w bezpośredniej linii publicznej.</w:t>
            </w:r>
            <w:r>
              <w:rPr>
                <w:noProof/>
                <w:highlight w:val="yellow"/>
              </w:rPr>
              <w:t xml:space="preserve"> </w:t>
            </w:r>
          </w:p>
        </w:tc>
      </w:tr>
      <w:tr w:rsidR="006578ED" w14:paraId="16180596" w14:textId="77777777">
        <w:trPr>
          <w:trHeight w:val="300"/>
        </w:trPr>
        <w:tc>
          <w:tcPr>
            <w:tcW w:w="846" w:type="dxa"/>
            <w:shd w:val="clear" w:color="auto" w:fill="C6EFCE"/>
          </w:tcPr>
          <w:p w14:paraId="64DE1AE2" w14:textId="7B5AB5C3" w:rsidR="006578ED" w:rsidRDefault="00A1618E">
            <w:pPr>
              <w:pStyle w:val="P68B1DB1-Normal13"/>
              <w:spacing w:after="0" w:line="240" w:lineRule="auto"/>
              <w:jc w:val="center"/>
              <w:textAlignment w:val="baseline"/>
              <w:rPr>
                <w:rFonts w:eastAsia="Times New Roman" w:cs="Times New Roman"/>
                <w:noProof/>
              </w:rPr>
            </w:pPr>
            <w:r>
              <w:rPr>
                <w:noProof/>
              </w:rPr>
              <w:t>L62</w:t>
            </w:r>
          </w:p>
        </w:tc>
        <w:tc>
          <w:tcPr>
            <w:tcW w:w="850" w:type="dxa"/>
            <w:shd w:val="clear" w:color="auto" w:fill="C6EFCE"/>
          </w:tcPr>
          <w:p w14:paraId="37BA37A7" w14:textId="77777777" w:rsidR="006578ED" w:rsidRDefault="00A1618E">
            <w:pPr>
              <w:pStyle w:val="P68B1DB1-Normal13"/>
              <w:spacing w:after="0" w:line="240" w:lineRule="auto"/>
              <w:jc w:val="center"/>
              <w:textAlignment w:val="baseline"/>
              <w:rPr>
                <w:rFonts w:eastAsia="Times New Roman" w:cs="Times New Roman"/>
                <w:noProof/>
              </w:rPr>
            </w:pPr>
            <w:r>
              <w:rPr>
                <w:noProof/>
              </w:rPr>
              <w:t>C13.I13</w:t>
            </w:r>
          </w:p>
        </w:tc>
        <w:tc>
          <w:tcPr>
            <w:tcW w:w="851" w:type="dxa"/>
            <w:shd w:val="clear" w:color="auto" w:fill="C6EFCE"/>
          </w:tcPr>
          <w:p w14:paraId="7DF5DC8D" w14:textId="66215AF7" w:rsidR="006578ED" w:rsidRDefault="00AF6B91">
            <w:pPr>
              <w:pStyle w:val="P68B1DB1-Normal13"/>
              <w:spacing w:after="0" w:line="240" w:lineRule="auto"/>
              <w:jc w:val="center"/>
              <w:textAlignment w:val="baseline"/>
              <w:rPr>
                <w:rFonts w:eastAsia="Times New Roman" w:cs="Times New Roman"/>
                <w:noProof/>
              </w:rPr>
            </w:pPr>
            <w:r>
              <w:rPr>
                <w:noProof/>
              </w:rPr>
              <w:t>Kamień milowy</w:t>
            </w:r>
          </w:p>
        </w:tc>
        <w:tc>
          <w:tcPr>
            <w:tcW w:w="2268" w:type="dxa"/>
            <w:shd w:val="clear" w:color="auto" w:fill="C6EFCE"/>
          </w:tcPr>
          <w:p w14:paraId="5C1B1A16" w14:textId="60F0E530" w:rsidR="006578ED" w:rsidRDefault="00A1618E">
            <w:pPr>
              <w:pStyle w:val="P68B1DB1-Normal13"/>
              <w:spacing w:after="0" w:line="240" w:lineRule="auto"/>
              <w:textAlignment w:val="baseline"/>
              <w:rPr>
                <w:rFonts w:eastAsia="Times New Roman" w:cs="Times New Roman"/>
                <w:noProof/>
              </w:rPr>
            </w:pPr>
            <w:r>
              <w:rPr>
                <w:noProof/>
              </w:rPr>
              <w:t>Regionalny Fundusz na rzecz Odporności – Ministerstwo Gospodarki i Transformacji Cyfrowej zakończyło inwestycję</w:t>
            </w:r>
          </w:p>
        </w:tc>
        <w:tc>
          <w:tcPr>
            <w:tcW w:w="1134" w:type="dxa"/>
            <w:shd w:val="clear" w:color="auto" w:fill="C6EFCE"/>
          </w:tcPr>
          <w:p w14:paraId="16C4AA6B" w14:textId="107B7F77" w:rsidR="006578ED" w:rsidRDefault="00A1618E">
            <w:pPr>
              <w:pStyle w:val="P68B1DB1-Normal13"/>
              <w:spacing w:after="0" w:line="240" w:lineRule="auto"/>
              <w:jc w:val="center"/>
              <w:textAlignment w:val="baseline"/>
              <w:rPr>
                <w:rFonts w:eastAsia="Times New Roman" w:cs="Times New Roman"/>
                <w:noProof/>
              </w:rPr>
            </w:pPr>
            <w:r>
              <w:rPr>
                <w:noProof/>
              </w:rPr>
              <w:t>Zaświadczenie o wypłacie środków na rzecz Funduszu</w:t>
            </w:r>
          </w:p>
        </w:tc>
        <w:tc>
          <w:tcPr>
            <w:tcW w:w="709" w:type="dxa"/>
            <w:shd w:val="clear" w:color="auto" w:fill="C6EFCE"/>
          </w:tcPr>
          <w:p w14:paraId="11CA77FB" w14:textId="56F495F6" w:rsidR="006578ED" w:rsidRDefault="006578ED">
            <w:pPr>
              <w:spacing w:after="0" w:line="240" w:lineRule="auto"/>
              <w:jc w:val="center"/>
              <w:textAlignment w:val="baseline"/>
              <w:rPr>
                <w:rFonts w:ascii="Times New Roman" w:eastAsia="Times New Roman" w:hAnsi="Times New Roman" w:cs="Times New Roman"/>
                <w:noProof/>
                <w:sz w:val="18"/>
              </w:rPr>
            </w:pPr>
          </w:p>
          <w:p w14:paraId="1F699900" w14:textId="77777777" w:rsidR="006578ED" w:rsidRDefault="006578ED">
            <w:pPr>
              <w:spacing w:after="0" w:line="240" w:lineRule="auto"/>
              <w:jc w:val="center"/>
              <w:textAlignment w:val="baseline"/>
              <w:rPr>
                <w:rFonts w:ascii="Times New Roman" w:eastAsia="Times New Roman" w:hAnsi="Times New Roman" w:cs="Times New Roman"/>
                <w:noProof/>
                <w:sz w:val="18"/>
              </w:rPr>
            </w:pPr>
          </w:p>
        </w:tc>
        <w:tc>
          <w:tcPr>
            <w:tcW w:w="708" w:type="dxa"/>
            <w:shd w:val="clear" w:color="auto" w:fill="C6EFCE"/>
          </w:tcPr>
          <w:p w14:paraId="311F4D0C"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18DB9A1B" w14:textId="0029E818" w:rsidR="006578ED" w:rsidRDefault="006578ED">
            <w:pPr>
              <w:spacing w:after="0" w:line="240" w:lineRule="auto"/>
              <w:jc w:val="right"/>
              <w:textAlignment w:val="baseline"/>
              <w:rPr>
                <w:rFonts w:ascii="Times New Roman" w:eastAsia="Times New Roman" w:hAnsi="Times New Roman" w:cs="Times New Roman"/>
                <w:noProof/>
                <w:sz w:val="18"/>
              </w:rPr>
            </w:pPr>
          </w:p>
          <w:p w14:paraId="3BB3C1FE" w14:textId="77777777" w:rsidR="006578ED" w:rsidRDefault="006578ED">
            <w:pPr>
              <w:spacing w:after="0" w:line="240" w:lineRule="auto"/>
              <w:jc w:val="right"/>
              <w:textAlignment w:val="baseline"/>
              <w:rPr>
                <w:rFonts w:ascii="Times New Roman" w:eastAsia="Times New Roman" w:hAnsi="Times New Roman" w:cs="Times New Roman"/>
                <w:noProof/>
                <w:sz w:val="18"/>
              </w:rPr>
            </w:pPr>
          </w:p>
        </w:tc>
        <w:tc>
          <w:tcPr>
            <w:tcW w:w="709" w:type="dxa"/>
            <w:shd w:val="clear" w:color="auto" w:fill="C6EFCE"/>
          </w:tcPr>
          <w:p w14:paraId="7A261259" w14:textId="0D895931" w:rsidR="006578ED" w:rsidRDefault="00EC188C">
            <w:pPr>
              <w:pStyle w:val="P68B1DB1-Normal13"/>
              <w:spacing w:after="0" w:line="240" w:lineRule="auto"/>
              <w:jc w:val="center"/>
              <w:textAlignment w:val="baseline"/>
              <w:rPr>
                <w:rFonts w:eastAsia="Times New Roman" w:cs="Times New Roman"/>
                <w:noProof/>
              </w:rPr>
            </w:pPr>
            <w:r>
              <w:rPr>
                <w:noProof/>
              </w:rPr>
              <w:t>KW. 3</w:t>
            </w:r>
          </w:p>
        </w:tc>
        <w:tc>
          <w:tcPr>
            <w:tcW w:w="709" w:type="dxa"/>
            <w:shd w:val="clear" w:color="auto" w:fill="C6EFCE"/>
          </w:tcPr>
          <w:p w14:paraId="219AE1CF" w14:textId="77777777" w:rsidR="006578ED" w:rsidRDefault="00A1618E">
            <w:pPr>
              <w:pStyle w:val="P68B1DB1-Normal13"/>
              <w:spacing w:after="0" w:line="240" w:lineRule="auto"/>
              <w:jc w:val="center"/>
              <w:textAlignment w:val="baseline"/>
              <w:rPr>
                <w:rFonts w:eastAsia="Times New Roman" w:cs="Times New Roman"/>
                <w:noProof/>
              </w:rPr>
            </w:pPr>
            <w:r>
              <w:rPr>
                <w:noProof/>
              </w:rPr>
              <w:t>2026</w:t>
            </w:r>
          </w:p>
        </w:tc>
        <w:tc>
          <w:tcPr>
            <w:tcW w:w="4958" w:type="dxa"/>
            <w:shd w:val="clear" w:color="auto" w:fill="C6EFCE"/>
          </w:tcPr>
          <w:p w14:paraId="4DD5973E" w14:textId="70BFECC3" w:rsidR="006578ED" w:rsidRDefault="00A1618E">
            <w:pPr>
              <w:pStyle w:val="P68B1DB1-Normal13"/>
              <w:spacing w:after="0" w:line="240" w:lineRule="auto"/>
              <w:textAlignment w:val="baseline"/>
              <w:rPr>
                <w:rFonts w:eastAsia="Times New Roman" w:cs="Times New Roman"/>
                <w:noProof/>
              </w:rPr>
            </w:pPr>
            <w:r>
              <w:rPr>
                <w:noProof/>
              </w:rPr>
              <w:t>Hiszpania przekazuje kwotę 19 500 000 000 EUR grupie EBI na rzecz instrumentu.</w:t>
            </w:r>
          </w:p>
        </w:tc>
      </w:tr>
      <w:bookmarkEnd w:id="47"/>
    </w:tbl>
    <w:p w14:paraId="7E6B0AD1" w14:textId="19B8E0ED" w:rsidR="006578ED" w:rsidRDefault="00A1618E">
      <w:pPr>
        <w:rPr>
          <w:rFonts w:ascii="Times New Roman" w:hAnsi="Times New Roman" w:cs="Times New Roman"/>
          <w:noProof/>
          <w:sz w:val="24"/>
        </w:rPr>
      </w:pPr>
      <w:r>
        <w:rPr>
          <w:noProof/>
        </w:rPr>
        <w:br w:type="page"/>
      </w:r>
    </w:p>
    <w:p w14:paraId="6B8AE13E" w14:textId="77777777" w:rsidR="006578ED" w:rsidRDefault="006578ED">
      <w:pPr>
        <w:rPr>
          <w:rFonts w:ascii="Times New Roman" w:hAnsi="Times New Roman" w:cs="Times New Roman"/>
          <w:noProof/>
          <w:sz w:val="24"/>
        </w:rPr>
        <w:sectPr w:rsidR="006578ED" w:rsidSect="00EB7CC8">
          <w:headerReference w:type="even" r:id="rId288"/>
          <w:headerReference w:type="default" r:id="rId289"/>
          <w:footerReference w:type="even" r:id="rId290"/>
          <w:footerReference w:type="default" r:id="rId291"/>
          <w:headerReference w:type="first" r:id="rId292"/>
          <w:footerReference w:type="first" r:id="rId293"/>
          <w:pgSz w:w="16839" w:h="11907" w:orient="landscape"/>
          <w:pgMar w:top="1417" w:right="1134" w:bottom="1417" w:left="1134" w:header="709" w:footer="709" w:gutter="0"/>
          <w:cols w:space="720"/>
          <w:docGrid w:linePitch="360"/>
        </w:sectPr>
      </w:pPr>
    </w:p>
    <w:p w14:paraId="49F00853" w14:textId="77777777" w:rsidR="006578ED" w:rsidRDefault="00A1618E">
      <w:pPr>
        <w:pStyle w:val="P68B1DB1-Heading12"/>
        <w:rPr>
          <w:rFonts w:cs="Times New Roman"/>
          <w:noProof/>
        </w:rPr>
      </w:pPr>
      <w:r>
        <w:rPr>
          <w:noProof/>
        </w:rPr>
        <w:t>N. KOMPONENT 14: Turystyka</w:t>
      </w:r>
    </w:p>
    <w:p w14:paraId="187C3B49" w14:textId="4A3EE0C4" w:rsidR="006578ED" w:rsidRDefault="00A1618E">
      <w:pPr>
        <w:pStyle w:val="maintext"/>
        <w:rPr>
          <w:b/>
          <w:smallCaps/>
          <w:noProof/>
          <w:sz w:val="28"/>
        </w:rPr>
      </w:pPr>
      <w:r>
        <w:rPr>
          <w:noProof/>
        </w:rPr>
        <w:t>Komponent hiszpańskiego planu odbudowy i zwiększania odporności obejmuje następujące wyzwania:</w:t>
      </w:r>
    </w:p>
    <w:p w14:paraId="70FB1EE8" w14:textId="2144C2EF" w:rsidR="006578ED" w:rsidRDefault="00A1618E">
      <w:pPr>
        <w:pStyle w:val="P68B1DB1-ListParagraph7"/>
        <w:numPr>
          <w:ilvl w:val="0"/>
          <w:numId w:val="720"/>
        </w:numPr>
        <w:spacing w:before="120" w:line="240" w:lineRule="auto"/>
        <w:jc w:val="both"/>
        <w:rPr>
          <w:rFonts w:cs="Times New Roman"/>
          <w:noProof/>
        </w:rPr>
      </w:pPr>
      <w:r>
        <w:rPr>
          <w:noProof/>
        </w:rPr>
        <w:t xml:space="preserve">W wyniku kryzysu wywołanego pandemią COVID-19 hiszpański sektor turystyki stoi w obliczu bardzo delikatnej sytuacji i konieczne są pilne działania, aby zwiększyć jego zrównoważony charakter i konkurencyjność. </w:t>
      </w:r>
    </w:p>
    <w:p w14:paraId="6CDD9DBE" w14:textId="441C59C5" w:rsidR="006578ED" w:rsidRDefault="00A1618E">
      <w:pPr>
        <w:pStyle w:val="P68B1DB1-ListParagraph7"/>
        <w:numPr>
          <w:ilvl w:val="0"/>
          <w:numId w:val="720"/>
        </w:numPr>
        <w:spacing w:before="120" w:after="120" w:line="240" w:lineRule="auto"/>
        <w:jc w:val="both"/>
        <w:rPr>
          <w:rFonts w:cs="Times New Roman"/>
          <w:noProof/>
        </w:rPr>
      </w:pPr>
      <w:r>
        <w:rPr>
          <w:noProof/>
        </w:rPr>
        <w:t>Wyspy Kanaryjskie i Baleary, które są siłą napędową hiszpańskiej branży turystycznej, potrzebują specjalnych działań w celu złagodzenia efektów zewnętrznych i ich dużej zależności od aktywności wakacyjnej.</w:t>
      </w:r>
    </w:p>
    <w:p w14:paraId="0CF97EC8" w14:textId="70932803" w:rsidR="006578ED" w:rsidRDefault="00A1618E">
      <w:pPr>
        <w:pStyle w:val="P68B1DB1-ListParagraph7"/>
        <w:numPr>
          <w:ilvl w:val="0"/>
          <w:numId w:val="720"/>
        </w:numPr>
        <w:spacing w:before="120" w:after="120" w:line="240" w:lineRule="auto"/>
        <w:jc w:val="both"/>
        <w:rPr>
          <w:rFonts w:cs="Times New Roman"/>
          <w:noProof/>
        </w:rPr>
      </w:pPr>
      <w:r>
        <w:rPr>
          <w:noProof/>
        </w:rPr>
        <w:t>Hiszpania zajmuje 27. miejsce pod względem technologii informacyjno-komunikacyjnych, zgodnie ze sprawozdaniem na temat konkurencyjności turystyki Światowego Forum Ekonomicznego. Ponadto jej publiczne i prywatne inwestycje w badania i rozwój są stosunkowo niskie. Ponadto w wielu sprawozdaniach wskazano, że sektor podróży ma największy potencjał do czerpania korzyści ze sztucznej inteligencji (128 % wzrost wartości dodanej działalności poprzez zastosowanie sztucznej inteligencji).</w:t>
      </w:r>
    </w:p>
    <w:p w14:paraId="5A8182C4" w14:textId="30653627" w:rsidR="006578ED" w:rsidRDefault="00A1618E">
      <w:pPr>
        <w:pStyle w:val="P68B1DB1-Normal4"/>
        <w:spacing w:before="120" w:after="120" w:line="240" w:lineRule="auto"/>
        <w:jc w:val="both"/>
        <w:rPr>
          <w:rFonts w:cs="Times New Roman"/>
          <w:noProof/>
        </w:rPr>
      </w:pPr>
      <w:r>
        <w:rPr>
          <w:noProof/>
        </w:rPr>
        <w:t>Celem tego komponentu jest przekształcenie i modernizacja sektora turystyki w Hiszpanii poprzez zwiększenie jego konkurencyjności i odporności.</w:t>
      </w:r>
    </w:p>
    <w:p w14:paraId="35827750" w14:textId="2053B35E" w:rsidR="006578ED" w:rsidRDefault="00A1618E">
      <w:pPr>
        <w:pStyle w:val="P68B1DB1-Normal4"/>
        <w:spacing w:before="120" w:after="120" w:line="240" w:lineRule="auto"/>
        <w:jc w:val="both"/>
        <w:rPr>
          <w:rFonts w:cs="Times New Roman"/>
          <w:noProof/>
        </w:rPr>
      </w:pPr>
      <w:r>
        <w:rPr>
          <w:noProof/>
        </w:rPr>
        <w:t xml:space="preserve">Komponent ten dotyczy zaleceń dla poszczególnych krajów w sprawie promowania inwestycji w innowacje i w efektywność energetyczną oraz zwiększenia skuteczności polityk wspierających badania naukowe i innowacje (zalecenie dla poszczególnych krajów 3 2019), wspierania gospodarki (zalecenie dla poszczególnych krajów </w:t>
      </w:r>
      <w:r w:rsidRPr="00A1618E">
        <w:rPr>
          <w:noProof/>
          <w:lang w:val="pl-PL"/>
        </w:rPr>
        <w:t>nr 1</w:t>
      </w:r>
      <w:r>
        <w:rPr>
          <w:noProof/>
        </w:rPr>
        <w:t xml:space="preserve"> 2020), wspierania zatrudnienia za pomocą środków mających na celu utrzymanie miejsc pracy i rozwój umiejętności oraz poprawę dostępu do cyfrowego uczenia się (zalecenie dla poszczególnych krajów </w:t>
      </w:r>
      <w:r w:rsidRPr="00A1618E">
        <w:rPr>
          <w:noProof/>
          <w:lang w:val="pl-PL"/>
        </w:rPr>
        <w:t>nr 2</w:t>
      </w:r>
      <w:r>
        <w:rPr>
          <w:noProof/>
        </w:rPr>
        <w:t xml:space="preserve"> 2020), promowania inwestycji publicznych i prywatnych oraz wspierania transformacji ekologicznej i cyfrowej (zalecenie dla poszczególnych krajów </w:t>
      </w:r>
      <w:r w:rsidRPr="00A1618E">
        <w:rPr>
          <w:noProof/>
          <w:lang w:val="pl-PL"/>
        </w:rPr>
        <w:t>nr 3</w:t>
      </w:r>
      <w:r>
        <w:rPr>
          <w:noProof/>
        </w:rPr>
        <w:t xml:space="preserve"> 2020) oraz poprawy koordynacji między różnymi szczeblami administracji (zalecenie dla poszczególnych krajów </w:t>
      </w:r>
      <w:r w:rsidRPr="00A1618E">
        <w:rPr>
          <w:noProof/>
          <w:lang w:val="pl-PL"/>
        </w:rPr>
        <w:t>nr 4</w:t>
      </w:r>
      <w:r>
        <w:rPr>
          <w:noProof/>
        </w:rPr>
        <w:t> 2020).</w:t>
      </w:r>
    </w:p>
    <w:p w14:paraId="6928174B" w14:textId="6203F1D1" w:rsidR="006578ED" w:rsidRPr="00A1618E" w:rsidRDefault="00A1618E">
      <w:pPr>
        <w:pStyle w:val="P68B1DB1-Normal4"/>
        <w:spacing w:before="120" w:after="120" w:line="240" w:lineRule="auto"/>
        <w:ind w:left="11"/>
        <w:jc w:val="both"/>
        <w:rPr>
          <w:rFonts w:cs="Times New Roman"/>
          <w:noProof/>
          <w:lang w:val="pl-PL"/>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r w:rsidRPr="00A1618E">
        <w:rPr>
          <w:noProof/>
          <w:lang w:val="pl-PL"/>
        </w:rPr>
        <w:t xml:space="preserve">. </w:t>
      </w:r>
    </w:p>
    <w:p w14:paraId="42129347" w14:textId="7EA61770" w:rsidR="006578ED" w:rsidRDefault="00A1618E">
      <w:pPr>
        <w:pStyle w:val="P68B1DB1-Normal5"/>
        <w:spacing w:before="120" w:after="120" w:line="240" w:lineRule="auto"/>
        <w:ind w:left="720"/>
        <w:jc w:val="both"/>
        <w:rPr>
          <w:rFonts w:cs="Times New Roman"/>
          <w:i/>
          <w:noProof/>
        </w:rPr>
      </w:pPr>
      <w:r>
        <w:rPr>
          <w:noProof/>
        </w:rPr>
        <w:t xml:space="preserve">N.1. </w:t>
      </w:r>
      <w:r>
        <w:rPr>
          <w:noProof/>
        </w:rPr>
        <w:tab/>
        <w:t>Opis reform i inwestycji, które mają być finansowane z bezzwrotnego wsparcia finansowego</w:t>
      </w:r>
    </w:p>
    <w:p w14:paraId="5DA8EE5F" w14:textId="55DBAA24" w:rsidR="006578ED" w:rsidRDefault="00A1618E">
      <w:pPr>
        <w:pStyle w:val="P68B1DB1-Normal6"/>
        <w:spacing w:before="120" w:after="120" w:line="240" w:lineRule="auto"/>
        <w:jc w:val="both"/>
        <w:rPr>
          <w:rFonts w:cs="Times New Roman"/>
          <w:noProof/>
        </w:rPr>
      </w:pPr>
      <w:r>
        <w:rPr>
          <w:noProof/>
        </w:rPr>
        <w:t>Reforma 1 (C14.R1) – dekret królewski w sprawie wdrożenia Państwowego Funduszu Finansowego na rzecz Konkurencyjności Turystyki (FOCIT)</w:t>
      </w:r>
    </w:p>
    <w:p w14:paraId="34CD9BB6" w14:textId="74D2EAFC" w:rsidR="006578ED" w:rsidRDefault="00A1618E">
      <w:pPr>
        <w:pStyle w:val="P68B1DB1-Normal4"/>
        <w:spacing w:before="120" w:after="120" w:line="240" w:lineRule="auto"/>
        <w:jc w:val="both"/>
        <w:rPr>
          <w:rFonts w:cs="Times New Roman"/>
          <w:noProof/>
        </w:rPr>
      </w:pPr>
      <w:r>
        <w:rPr>
          <w:noProof/>
        </w:rPr>
        <w:t xml:space="preserve">Celem reformy jest poprawa konkurencyjności sektora turystyki poprzez wspieranie innowacji oraz wspieranie efektywności energetycznej i gospodarki o obiegu zamkniętym. </w:t>
      </w:r>
    </w:p>
    <w:p w14:paraId="4EDB6FDB" w14:textId="341F4B98" w:rsidR="006578ED" w:rsidRPr="00A1618E" w:rsidRDefault="00A1618E">
      <w:pPr>
        <w:pStyle w:val="P68B1DB1-Normal4"/>
        <w:spacing w:before="120" w:after="120" w:line="240" w:lineRule="auto"/>
        <w:jc w:val="both"/>
        <w:rPr>
          <w:rFonts w:cs="Times New Roman"/>
          <w:noProof/>
          <w:lang w:val="pl-PL"/>
        </w:rPr>
      </w:pPr>
      <w:r>
        <w:rPr>
          <w:noProof/>
        </w:rPr>
        <w:t>Reforma zmienia istniejące akty prawne regulujące cele, charakter, operacje i kwalifikujące się projekty Państwowego Funduszu Finansowego na rzecz Konkurencyjności Turystyki</w:t>
      </w:r>
      <w:r w:rsidRPr="00A1618E">
        <w:rPr>
          <w:noProof/>
          <w:lang w:val="pl-PL"/>
        </w:rPr>
        <w:t xml:space="preserve">. </w:t>
      </w:r>
    </w:p>
    <w:p w14:paraId="535EFD1F" w14:textId="64579A32" w:rsidR="006578ED" w:rsidRDefault="00A1618E">
      <w:pPr>
        <w:pStyle w:val="P68B1DB1-Normal4"/>
        <w:spacing w:before="120" w:after="120" w:line="240" w:lineRule="auto"/>
        <w:jc w:val="both"/>
        <w:rPr>
          <w:rFonts w:cs="Times New Roman"/>
          <w:noProof/>
        </w:rPr>
      </w:pPr>
      <w:r>
        <w:rPr>
          <w:noProof/>
        </w:rPr>
        <w:t>Zmieniony akt prawny umożliwi Państwowemu Funduszowi Finansowemu na rzecz Konkurencyjności Turystyki finansowanie przedsiębiorstw turystycznych w celu poprawy efektywności energetycznej, zmniejszenia poziomu zużycia zasobów i wytwarzania odpadów oraz zwiększenia ponownego wykorzystania i recyklingu odpadów. W dziedzinie efektywności energetycznej i gospodarki o obiegu zamkniętym Fundusz finansuje projekty innowacyjne.</w:t>
      </w:r>
    </w:p>
    <w:p w14:paraId="7E2182EC" w14:textId="67B44C96" w:rsidR="006578ED" w:rsidRDefault="00A1618E">
      <w:pPr>
        <w:pStyle w:val="P68B1DB1-Normal4"/>
        <w:spacing w:before="120" w:after="120" w:line="240" w:lineRule="auto"/>
        <w:jc w:val="both"/>
        <w:rPr>
          <w:rFonts w:cs="Times New Roman"/>
          <w:noProof/>
        </w:rPr>
      </w:pPr>
      <w:r>
        <w:rPr>
          <w:noProof/>
        </w:rPr>
        <w:t>Instrument finansowania może wykorzystywać systemy łączone łączące pożyczki z innymi rodzajami wsparcia. Instrument jest finansowany z budżetu krajowego.</w:t>
      </w:r>
    </w:p>
    <w:p w14:paraId="66A890D1" w14:textId="77777777" w:rsidR="006578ED" w:rsidRDefault="00A1618E">
      <w:pPr>
        <w:pStyle w:val="P68B1DB1-Normal4"/>
        <w:spacing w:before="120" w:after="120" w:line="240" w:lineRule="auto"/>
        <w:jc w:val="both"/>
        <w:rPr>
          <w:rFonts w:cs="Times New Roman"/>
          <w:noProof/>
        </w:rPr>
      </w:pPr>
      <w:r>
        <w:rPr>
          <w:noProof/>
        </w:rPr>
        <w:t xml:space="preserve">Reforma obejmuje również następujące szczególne środki: </w:t>
      </w:r>
    </w:p>
    <w:p w14:paraId="6BC89025" w14:textId="4D09183B" w:rsidR="006578ED" w:rsidRDefault="00A1618E">
      <w:pPr>
        <w:pStyle w:val="P68B1DB1-ListParagraph24"/>
        <w:numPr>
          <w:ilvl w:val="0"/>
          <w:numId w:val="723"/>
        </w:numPr>
        <w:spacing w:before="120" w:after="120" w:line="240" w:lineRule="auto"/>
        <w:jc w:val="both"/>
        <w:rPr>
          <w:rFonts w:cs="Times New Roman"/>
          <w:noProof/>
          <w:sz w:val="24"/>
        </w:rPr>
      </w:pPr>
      <w:r>
        <w:rPr>
          <w:noProof/>
          <w:sz w:val="24"/>
        </w:rPr>
        <w:t>plan</w:t>
      </w:r>
      <w:r>
        <w:rPr>
          <w:noProof/>
        </w:rPr>
        <w:t xml:space="preserve"> </w:t>
      </w:r>
      <w:r>
        <w:rPr>
          <w:noProof/>
          <w:sz w:val="24"/>
        </w:rPr>
        <w:t xml:space="preserve">promowania sektora turystyki, w którym opisano środki mające na celu jego pobudzenie oraz określono ramy wdrażania środków związanych z turystyką. </w:t>
      </w:r>
    </w:p>
    <w:p w14:paraId="084EBCB4" w14:textId="4CE1E161" w:rsidR="006578ED" w:rsidRDefault="00A1618E">
      <w:pPr>
        <w:pStyle w:val="P68B1DB1-ListParagraph7"/>
        <w:numPr>
          <w:ilvl w:val="0"/>
          <w:numId w:val="723"/>
        </w:numPr>
        <w:spacing w:line="240" w:lineRule="auto"/>
        <w:rPr>
          <w:rFonts w:cs="Times New Roman"/>
          <w:noProof/>
        </w:rPr>
      </w:pPr>
      <w:r>
        <w:rPr>
          <w:noProof/>
        </w:rPr>
        <w:t xml:space="preserve">uruchomienie strony internetowej gromadzącej dane z różnych źródeł statystyki w dziedzinie turystyki, w tym z podmiotów publicznych i prywatnych, takich jak INE, </w:t>
      </w:r>
      <w:r>
        <w:rPr>
          <w:i/>
          <w:noProof/>
        </w:rPr>
        <w:t>Turespaña</w:t>
      </w:r>
      <w:r>
        <w:rPr>
          <w:noProof/>
        </w:rPr>
        <w:t xml:space="preserve">, Bank Hiszpanii, AENA i RENFE. </w:t>
      </w:r>
    </w:p>
    <w:p w14:paraId="4FA9F02D" w14:textId="482272F0" w:rsidR="006578ED" w:rsidRDefault="00A1618E">
      <w:pPr>
        <w:pStyle w:val="P68B1DB1-Normal4"/>
        <w:spacing w:before="120" w:after="120" w:line="240" w:lineRule="auto"/>
        <w:jc w:val="both"/>
        <w:rPr>
          <w:rFonts w:cs="Times New Roman"/>
          <w:noProof/>
        </w:rPr>
      </w:pPr>
      <w:r>
        <w:rPr>
          <w:noProof/>
        </w:rPr>
        <w:t>Realizacja reformy zakończy się do dnia 31 grudnia 20</w:t>
      </w:r>
      <w:r w:rsidRPr="00A1618E">
        <w:rPr>
          <w:noProof/>
          <w:lang w:val="pl-PL"/>
        </w:rPr>
        <w:t>21 r.</w:t>
      </w:r>
    </w:p>
    <w:p w14:paraId="456FBD52" w14:textId="2761DF7C" w:rsidR="006578ED" w:rsidRDefault="00A1618E">
      <w:pPr>
        <w:pStyle w:val="P68B1DB1-Normal6"/>
        <w:keepNext/>
        <w:spacing w:before="120" w:after="120" w:line="240" w:lineRule="auto"/>
        <w:jc w:val="both"/>
        <w:rPr>
          <w:rFonts w:cs="Times New Roman"/>
          <w:noProof/>
        </w:rPr>
      </w:pPr>
      <w:r>
        <w:rPr>
          <w:noProof/>
        </w:rPr>
        <w:t>Inwestycja 1 (C14.I1) – Przekształcenie modelu turystyki w kierunku zrównoważonego rozwoju</w:t>
      </w:r>
    </w:p>
    <w:p w14:paraId="6ABEDDDC" w14:textId="426D4294" w:rsidR="006578ED" w:rsidRDefault="00A1618E">
      <w:pPr>
        <w:pStyle w:val="P68B1DB1-Normal4"/>
        <w:keepNext/>
        <w:spacing w:before="120" w:after="120" w:line="240" w:lineRule="auto"/>
        <w:jc w:val="both"/>
        <w:rPr>
          <w:rFonts w:cs="Times New Roman"/>
          <w:noProof/>
        </w:rPr>
      </w:pPr>
      <w:r>
        <w:rPr>
          <w:noProof/>
        </w:rPr>
        <w:t xml:space="preserve">Celem inwestycji jest wzmocnienie zrównoważenia środowiskowego, społeczno-gospodarczego i terytorialnego turystyki oraz ukierunkowanie na ośrodki turystyczne, partnerów społecznych i podmioty prywatne w tym sektorze. </w:t>
      </w:r>
    </w:p>
    <w:p w14:paraId="3752306B" w14:textId="77777777" w:rsidR="006578ED" w:rsidRDefault="00A1618E">
      <w:pPr>
        <w:pStyle w:val="P68B1DB1-Normal4"/>
        <w:spacing w:before="120" w:after="120" w:line="240" w:lineRule="auto"/>
        <w:jc w:val="both"/>
        <w:rPr>
          <w:rFonts w:cs="Times New Roman"/>
          <w:noProof/>
        </w:rPr>
      </w:pPr>
      <w:r>
        <w:rPr>
          <w:noProof/>
        </w:rPr>
        <w:t xml:space="preserve">Inwestycja obejmuje cztery poddziałania: </w:t>
      </w:r>
    </w:p>
    <w:p w14:paraId="67183722" w14:textId="5F447115" w:rsidR="006578ED" w:rsidRDefault="00A1618E">
      <w:pPr>
        <w:pStyle w:val="P68B1DB1-Normal4"/>
        <w:numPr>
          <w:ilvl w:val="0"/>
          <w:numId w:val="114"/>
        </w:numPr>
        <w:spacing w:before="120" w:after="160" w:line="240" w:lineRule="auto"/>
        <w:ind w:left="360"/>
        <w:contextualSpacing/>
        <w:jc w:val="both"/>
        <w:rPr>
          <w:rFonts w:cs="Times New Roman"/>
          <w:noProof/>
        </w:rPr>
      </w:pPr>
      <w:r>
        <w:rPr>
          <w:noProof/>
        </w:rPr>
        <w:t xml:space="preserve">Przygotowanie strategii na rzecz zrównoważonej turystyki w Hiszpanii </w:t>
      </w:r>
      <w:r w:rsidRPr="00A1618E">
        <w:rPr>
          <w:noProof/>
          <w:lang w:val="pl-PL"/>
        </w:rPr>
        <w:t>do 2</w:t>
      </w:r>
      <w:r>
        <w:rPr>
          <w:noProof/>
        </w:rPr>
        <w:t>0</w:t>
      </w:r>
      <w:r w:rsidRPr="00A1618E">
        <w:rPr>
          <w:noProof/>
          <w:lang w:val="pl-PL"/>
        </w:rPr>
        <w:t>30 r.</w:t>
      </w:r>
      <w:r>
        <w:rPr>
          <w:noProof/>
        </w:rPr>
        <w:t>, która ma stanowić krajowy program na rzecz turystyki, aby sprostać wyzwaniom sektora w perspektywie średnio- i długoterminowej, wzmacniając trzy filary zrównoważonego rozwoju: społeczno-gospodarcze, środowiskowe i terytorialne;</w:t>
      </w:r>
    </w:p>
    <w:p w14:paraId="27081162" w14:textId="76B0DC6F" w:rsidR="006578ED" w:rsidRDefault="00A1618E">
      <w:pPr>
        <w:pStyle w:val="P68B1DB1-Normal4"/>
        <w:numPr>
          <w:ilvl w:val="0"/>
          <w:numId w:val="114"/>
        </w:numPr>
        <w:spacing w:before="120" w:after="160" w:line="240" w:lineRule="auto"/>
        <w:ind w:left="360"/>
        <w:contextualSpacing/>
        <w:jc w:val="both"/>
        <w:rPr>
          <w:rFonts w:cs="Times New Roman"/>
          <w:noProof/>
        </w:rPr>
      </w:pPr>
      <w:r>
        <w:rPr>
          <w:noProof/>
        </w:rPr>
        <w:t>Plany zrównoważonego rozwoju turystyki w ośrodkach turystycznych: Poddziałania te wdraża się w następującej kolejności:</w:t>
      </w:r>
    </w:p>
    <w:p w14:paraId="7B8FA401" w14:textId="6E51E71C" w:rsidR="006578ED" w:rsidRDefault="00A1618E">
      <w:pPr>
        <w:pStyle w:val="P68B1DB1-Normal4"/>
        <w:numPr>
          <w:ilvl w:val="0"/>
          <w:numId w:val="116"/>
        </w:numPr>
        <w:spacing w:before="120" w:after="160" w:line="240" w:lineRule="auto"/>
        <w:ind w:left="1069"/>
        <w:contextualSpacing/>
        <w:jc w:val="both"/>
        <w:rPr>
          <w:rFonts w:cs="Times New Roman"/>
          <w:noProof/>
        </w:rPr>
      </w:pPr>
      <w:r>
        <w:rPr>
          <w:noProof/>
        </w:rPr>
        <w:t>Przygotowanie strategii na rzecz zrównoważonego rozwoju turystyki w miejscu przeznaczenia, która stanowi podstawę do ustrukturyzowania, planowania, opracowywania i oceny działań administracji turystycznej mających na celu przekształcenie kierunków turystycznych, zgodnie ze zrównoważonymi kryteriami i zgodnie z celami zrównoważonego rozwoju określonymi w Agendzie 2030.</w:t>
      </w:r>
    </w:p>
    <w:p w14:paraId="5093BE89" w14:textId="79B04267" w:rsidR="006578ED" w:rsidRDefault="00A1618E">
      <w:pPr>
        <w:pStyle w:val="P68B1DB1-Normal4"/>
        <w:numPr>
          <w:ilvl w:val="0"/>
          <w:numId w:val="116"/>
        </w:numPr>
        <w:spacing w:before="120" w:after="160" w:line="240" w:lineRule="auto"/>
        <w:ind w:left="1069"/>
        <w:contextualSpacing/>
        <w:jc w:val="both"/>
        <w:rPr>
          <w:rFonts w:cs="Times New Roman"/>
          <w:noProof/>
        </w:rPr>
      </w:pPr>
      <w:r>
        <w:rPr>
          <w:noProof/>
        </w:rPr>
        <w:t xml:space="preserve">Przygotowanie programu zrównoważonego rozwoju turystyki turystycznej. Program ten określa warunki uczestnictwa wspólnot autonomicznych i władz lokalnych, zakres stosowania, minimalne progi inwestycyjne, procedurę składania wniosków oraz zasady ich zatwierdzania, wdrażania i uzasadnienia. </w:t>
      </w:r>
    </w:p>
    <w:p w14:paraId="4F01777E" w14:textId="1C6B85C7" w:rsidR="006578ED" w:rsidRDefault="00A1618E">
      <w:pPr>
        <w:pStyle w:val="P68B1DB1-Normal4"/>
        <w:numPr>
          <w:ilvl w:val="0"/>
          <w:numId w:val="116"/>
        </w:numPr>
        <w:spacing w:before="160" w:after="160" w:line="240" w:lineRule="auto"/>
        <w:ind w:left="1069"/>
        <w:contextualSpacing/>
        <w:jc w:val="both"/>
        <w:rPr>
          <w:rFonts w:cs="Times New Roman"/>
          <w:noProof/>
        </w:rPr>
      </w:pPr>
      <w:r>
        <w:rPr>
          <w:noProof/>
        </w:rPr>
        <w:t>Przygotowanie i wdrożenie terytorialnych planów zrównoważonego rozwoju turystyki w ośrodkach turystycznych. Są one opracowywane w ramach procesu partycypacyjnego i opartego na współpracy między trzema właściwymi administracjami publicznymi oraz różnymi podmiotami publicznymi i prywatnymi ekosystemu turystycznego w miejscu docelowym. Umożliwiają one każdemu terytorium i celowi turystycznemu reagowanie na wyzwania związane ze zrównoważonym rozwojem turystyki, w ramach wykonywania ich uprawnień w zakresie planowania turystyki oraz w ramach strategii zrównoważonego rozwoju turystyki dla miejsca przeznaczenia zatwierdzonej przez rząd hiszpański. Plany te obejmują działania w następujących dziedzinach:</w:t>
      </w:r>
    </w:p>
    <w:p w14:paraId="065201EE" w14:textId="32A841AC" w:rsidR="006578ED" w:rsidRDefault="00A1618E">
      <w:pPr>
        <w:pStyle w:val="P68B1DB1-ListParagraph7"/>
        <w:numPr>
          <w:ilvl w:val="1"/>
          <w:numId w:val="117"/>
        </w:numPr>
        <w:spacing w:before="160" w:line="240" w:lineRule="auto"/>
        <w:ind w:left="1786" w:hanging="357"/>
        <w:rPr>
          <w:rFonts w:cs="Times New Roman"/>
          <w:noProof/>
        </w:rPr>
      </w:pPr>
      <w:r>
        <w:rPr>
          <w:noProof/>
        </w:rPr>
        <w:t>Transformacja ekologiczna, w tym działania w ramach tej inwestycji dotyczące odbudowy środowiska, zarządzania użytkowaniem publicznym na chronionych obszarach przyrodniczych, wdrażania systemów certyfikacji turystyki, wdrażania środków gospodarki o obiegu zamkniętym w usługach publicznych oraz budowania ścieżek na obszarach wiejskich nadających się do recyklingu.</w:t>
      </w:r>
    </w:p>
    <w:p w14:paraId="1320C32F" w14:textId="49979EFF" w:rsidR="006578ED" w:rsidRDefault="00A1618E">
      <w:pPr>
        <w:pStyle w:val="P68B1DB1-Normal4"/>
        <w:numPr>
          <w:ilvl w:val="1"/>
          <w:numId w:val="117"/>
        </w:numPr>
        <w:spacing w:before="160" w:after="160" w:line="240" w:lineRule="auto"/>
        <w:ind w:left="1789"/>
        <w:contextualSpacing/>
        <w:jc w:val="both"/>
        <w:rPr>
          <w:rFonts w:cs="Times New Roman"/>
          <w:noProof/>
        </w:rPr>
      </w:pPr>
      <w:r>
        <w:rPr>
          <w:noProof/>
        </w:rPr>
        <w:t>Efektywność energetyczna, w tym działania w ramach tej inwestycji mające na celu ograniczenie emisji CO2 w budynkach, infrastrukturze publicznej i usługach publicznych, łagodzenie zmiany klimatu, wdrożenie technologii środowiskowych, obniżenie emisyjności i promowanie mobilności zgodnej z zasadami zrównoważonego rozwoju lub poprawę stanu środowiska miejskiego.</w:t>
      </w:r>
    </w:p>
    <w:p w14:paraId="6AEC8CA2" w14:textId="321E234D" w:rsidR="006578ED" w:rsidRDefault="00A1618E">
      <w:pPr>
        <w:pStyle w:val="P68B1DB1-Normal8"/>
        <w:numPr>
          <w:ilvl w:val="1"/>
          <w:numId w:val="117"/>
        </w:numPr>
        <w:spacing w:before="160" w:after="160" w:line="240" w:lineRule="auto"/>
        <w:ind w:left="1789"/>
        <w:contextualSpacing/>
        <w:jc w:val="both"/>
        <w:rPr>
          <w:rFonts w:cs="Times New Roman"/>
          <w:noProof/>
          <w:sz w:val="24"/>
        </w:rPr>
      </w:pPr>
      <w:r>
        <w:rPr>
          <w:noProof/>
          <w:sz w:val="24"/>
        </w:rPr>
        <w:t>Transformacja cyfrowa, w tym działania w ramach tej inwestycji mające na celu cyfryzację usług dla turystów w ośrodkach turystycznych, rozwój śladu cyfrowego miejsca docelowego lub rozpoznanie rynku i zarządzanie popytem na turystykę</w:t>
      </w:r>
      <w:r>
        <w:rPr>
          <w:noProof/>
          <w:sz w:val="18"/>
        </w:rPr>
        <w:t xml:space="preserve">. </w:t>
      </w:r>
    </w:p>
    <w:p w14:paraId="0FDC034A" w14:textId="0CB1B315" w:rsidR="006578ED" w:rsidRDefault="00A1618E">
      <w:pPr>
        <w:pStyle w:val="P68B1DB1-Normal4"/>
        <w:numPr>
          <w:ilvl w:val="1"/>
          <w:numId w:val="117"/>
        </w:numPr>
        <w:spacing w:before="160" w:after="160" w:line="240" w:lineRule="auto"/>
        <w:ind w:left="1789"/>
        <w:contextualSpacing/>
        <w:jc w:val="both"/>
        <w:rPr>
          <w:rFonts w:cs="Times New Roman"/>
          <w:noProof/>
        </w:rPr>
      </w:pPr>
      <w:r>
        <w:rPr>
          <w:noProof/>
        </w:rPr>
        <w:t>Transformacja konkurencyjności, w tym działania w ramach tej inwestycji mające na celu zwiększenie dostępności poprzez miejsce docelowe, poprawę lokalnej publicznej infrastruktury turystycznej lub wspieranie tworzenia miejsc pracy poprzez rozwój nowych produktów turystycznych, takich jak produkty kulturalne, przyrodnicze, gastronomia lub tradycyjne rzemiosło i przemysł.</w:t>
      </w:r>
    </w:p>
    <w:p w14:paraId="0676D8AC" w14:textId="77777777" w:rsidR="006578ED" w:rsidRDefault="00A1618E">
      <w:pPr>
        <w:pStyle w:val="P68B1DB1-Normal4"/>
        <w:numPr>
          <w:ilvl w:val="0"/>
          <w:numId w:val="114"/>
        </w:numPr>
        <w:spacing w:before="160" w:after="160" w:line="240" w:lineRule="auto"/>
        <w:ind w:left="360"/>
        <w:contextualSpacing/>
        <w:jc w:val="both"/>
        <w:rPr>
          <w:rFonts w:cs="Times New Roman"/>
          <w:noProof/>
        </w:rPr>
      </w:pPr>
      <w:r>
        <w:rPr>
          <w:noProof/>
        </w:rPr>
        <w:t>Plan zrównoważonego rozwoju społecznego dla sektora turystyki.</w:t>
      </w:r>
    </w:p>
    <w:p w14:paraId="1862E719" w14:textId="3A42AF94" w:rsidR="006578ED" w:rsidRDefault="00A1618E">
      <w:pPr>
        <w:pStyle w:val="P68B1DB1-Normal4"/>
        <w:numPr>
          <w:ilvl w:val="0"/>
          <w:numId w:val="114"/>
        </w:numPr>
        <w:spacing w:before="120" w:after="120" w:line="240" w:lineRule="auto"/>
        <w:ind w:left="360"/>
        <w:contextualSpacing/>
        <w:jc w:val="both"/>
        <w:rPr>
          <w:rFonts w:cs="Times New Roman"/>
          <w:noProof/>
        </w:rPr>
      </w:pPr>
      <w:r>
        <w:rPr>
          <w:noProof/>
        </w:rPr>
        <w:t>Przekształcenie istniejącego hiszpańskiego systemu jakości turystyki dla kierunków turystycznych (SICTED) w kompleksowy system zrównoważonego rozwoju turystyki dla kierunków turystycznych. Obejmuje to opracowanie nowego procesu i wytycznych, modernizację istniejącej platformy informatycznej, szkolenie nowych podmiotów zajmujących się zrównoważonym rozwojem turystyki oraz opracowanie mechanizmu agregacji danych w celu analizowania i monitorowania rynku mieszkań turystycznych w całej Hiszpanii.</w:t>
      </w:r>
    </w:p>
    <w:p w14:paraId="25486ECB" w14:textId="4FCE8F9D" w:rsidR="006578ED" w:rsidRDefault="00A1618E">
      <w:pPr>
        <w:pStyle w:val="P68B1DB1-Normal4"/>
        <w:spacing w:before="120" w:after="120" w:line="240" w:lineRule="auto"/>
        <w:jc w:val="both"/>
        <w:rPr>
          <w:rFonts w:cs="Times New Roman"/>
          <w:noProof/>
        </w:rPr>
      </w:pPr>
      <w:r>
        <w:rPr>
          <w:noProof/>
        </w:rPr>
        <w:t>Działania w ramach tej inwestycji odbywają się w okresie od dnia 1 stycznia 20</w:t>
      </w:r>
      <w:r w:rsidRPr="00A1618E">
        <w:rPr>
          <w:noProof/>
          <w:lang w:val="pl-PL"/>
        </w:rPr>
        <w:t>21 r.</w:t>
      </w:r>
      <w:r>
        <w:rPr>
          <w:noProof/>
        </w:rPr>
        <w:t xml:space="preserve"> do dnia 30 czerwca 20</w:t>
      </w:r>
      <w:r w:rsidRPr="00A1618E">
        <w:rPr>
          <w:noProof/>
          <w:lang w:val="pl-PL"/>
        </w:rPr>
        <w:t>26 r.</w:t>
      </w:r>
      <w:r>
        <w:rPr>
          <w:noProof/>
        </w:rPr>
        <w:t>, z wypłatami na rzecz władz lokalnych w okresie od dnia 1 stycznia 20</w:t>
      </w:r>
      <w:r w:rsidRPr="00A1618E">
        <w:rPr>
          <w:noProof/>
          <w:lang w:val="pl-PL"/>
        </w:rPr>
        <w:t>21 r.</w:t>
      </w:r>
      <w:r>
        <w:rPr>
          <w:noProof/>
        </w:rPr>
        <w:t xml:space="preserve"> do dnia 31 grudnia 20</w:t>
      </w:r>
      <w:r w:rsidRPr="00A1618E">
        <w:rPr>
          <w:noProof/>
          <w:lang w:val="pl-PL"/>
        </w:rPr>
        <w:t>23 r.</w:t>
      </w:r>
      <w:r>
        <w:rPr>
          <w:noProof/>
        </w:rPr>
        <w:t xml:space="preserve"> oraz od wdrożenia </w:t>
      </w:r>
      <w:r w:rsidRPr="00A1618E">
        <w:rPr>
          <w:noProof/>
          <w:lang w:val="pl-PL"/>
        </w:rPr>
        <w:t>do 2</w:t>
      </w:r>
      <w:r>
        <w:rPr>
          <w:noProof/>
        </w:rPr>
        <w:t>0</w:t>
      </w:r>
      <w:r w:rsidRPr="00A1618E">
        <w:rPr>
          <w:noProof/>
          <w:lang w:val="pl-PL"/>
        </w:rPr>
        <w:t>26 r.</w:t>
      </w:r>
      <w:r>
        <w:rPr>
          <w:noProof/>
        </w:rPr>
        <w:t xml:space="preserve"> Projekty mające na celu promowanie zrównoważonego charakteru kierunków turystycznych w ramach tej inwestycji zostaną ukończone do dnia 30 czerwca 20</w:t>
      </w:r>
      <w:r w:rsidRPr="00A1618E">
        <w:rPr>
          <w:noProof/>
          <w:lang w:val="pl-PL"/>
        </w:rPr>
        <w:t>26 r.</w:t>
      </w:r>
      <w:r>
        <w:rPr>
          <w:noProof/>
        </w:rPr>
        <w:t xml:space="preserve"> </w:t>
      </w:r>
    </w:p>
    <w:p w14:paraId="66CF2AE0" w14:textId="7C12CB77"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152"/>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153"/>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154"/>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155"/>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 Kryteria wyboru zapewniają ponadto, aby wspierane mogły być wyłącznie działania zgodne z odpowiednimi przepisami unijnymi i krajowymi w zakresie ochrony środowiska. Kryteria wyboru zapewniają, aby co najmniej 359 mln EUR przyczyniało się do realizacji celów związanych ze zmianą klimatu przy zastosowaniu współczynnika klimatycznego wynoszącego 100 % i co najmniej 519 mln EUR ze współczynnikiem klimatycznym wynoszącym 40 %, zgodnie z załącznikiem VI do rozporządzenia (UE) 2021/241 w sprawie Instrumentu na rzecz Odbudowy i Zwiększania Odporności. Alternatywnie kryteria wyboru zapewniają, aby co najmniej 1 788,6 mln EUR przyczyniało się do realizacji celów związanych ze zmianą klimatu przy średnim współczynniku klimatycznym wynoszącym co najmniej 31,7 % zgodnie z załącznikiem VI do rozporządzenia Parlamentu Europejskiego i Rady (UE) 2021/241. Tę średnią stawkę wkładu można osiągnąć poprzez wykorzystanie pełnego zakresu obszarów interwencji określonych w załączniku VI do rozporządzenia (UE) 2021/241.</w:t>
      </w:r>
    </w:p>
    <w:p w14:paraId="34ACB801" w14:textId="27F86C33"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611BD607" w14:textId="2E9426C7" w:rsidR="006578ED" w:rsidRDefault="00A1618E">
      <w:pPr>
        <w:pStyle w:val="P68B1DB1-Normal6"/>
        <w:keepNext/>
        <w:spacing w:before="120" w:after="120" w:line="240" w:lineRule="auto"/>
        <w:jc w:val="both"/>
        <w:rPr>
          <w:rFonts w:cs="Times New Roman"/>
          <w:noProof/>
        </w:rPr>
      </w:pPr>
      <w:r>
        <w:rPr>
          <w:noProof/>
        </w:rPr>
        <w:t>Inwestycje 2 (C14.I2) – Program cyfryzacji i wywiadu dla kierunków turystycznych i sektora turystyki</w:t>
      </w:r>
    </w:p>
    <w:p w14:paraId="03EEB851" w14:textId="5084290A" w:rsidR="006578ED" w:rsidRDefault="00A1618E">
      <w:pPr>
        <w:pStyle w:val="P68B1DB1-Normal4"/>
        <w:keepNext/>
        <w:spacing w:before="120" w:after="120" w:line="240" w:lineRule="auto"/>
        <w:jc w:val="both"/>
        <w:rPr>
          <w:rFonts w:cs="Times New Roman"/>
          <w:noProof/>
        </w:rPr>
      </w:pPr>
      <w:r>
        <w:rPr>
          <w:noProof/>
        </w:rPr>
        <w:t>Celem działań w ramach tej inwestycji jest stworzenie platformy inteligentnych kierunków turystycznych, dzięki której turyści będą mogli korzystać z interoperacyjnych usług publicznych i prywatnych</w:t>
      </w:r>
      <w:r w:rsidRPr="00A1618E">
        <w:rPr>
          <w:noProof/>
          <w:lang w:val="pl-PL"/>
        </w:rPr>
        <w:t>. U</w:t>
      </w:r>
      <w:r>
        <w:rPr>
          <w:noProof/>
        </w:rPr>
        <w:t xml:space="preserve">zupełnieniem tych działań będzie rozwój systemu wywiadu turystycznego oraz zestaw inicjatyw mających na celu wzmocnienie hiszpańskiej sieci inteligentnych ośrodków turystycznych. Działania w ramach tej inwestycji wspierają również rozwiązania cyfrowe oparte na sztucznej inteligencji i innych technologiach prorozwojowych w przedsiębiorstwach w sektorze turystyki, a także zapewniają finansowanie rozwoju przestrzeni danych przemysłowych i promowania innowacji cyfrowych w sektorze turystyki. </w:t>
      </w:r>
    </w:p>
    <w:p w14:paraId="7821B2DF" w14:textId="04F61168" w:rsidR="006578ED" w:rsidRDefault="00A1618E">
      <w:pPr>
        <w:pStyle w:val="P68B1DB1-Normal4"/>
        <w:spacing w:before="120" w:after="120" w:line="240" w:lineRule="auto"/>
        <w:jc w:val="both"/>
        <w:rPr>
          <w:rFonts w:cs="Times New Roman"/>
          <w:noProof/>
        </w:rPr>
      </w:pPr>
      <w:r>
        <w:rPr>
          <w:noProof/>
        </w:rPr>
        <w:t>Działania w ramach tej inwestycji odbywają się w drodze zaproszeń do składania ofert i inwestycji bezpośrednich. Co najmniej 1000 przedsiębiorstw lub klastrów otrzymało finansowanie z projektów inwestycyjnych związanych ze sztuczną inteligencją i innymi technologiami prorozwojowymi, a do dnia 30 czerwca 20</w:t>
      </w:r>
      <w:r w:rsidRPr="00A1618E">
        <w:rPr>
          <w:noProof/>
          <w:lang w:val="pl-PL"/>
        </w:rPr>
        <w:t>25 r.</w:t>
      </w:r>
      <w:r>
        <w:rPr>
          <w:noProof/>
        </w:rPr>
        <w:t xml:space="preserve"> uruchomiona zostanie platforma inteligentnej lokalizacji.</w:t>
      </w:r>
    </w:p>
    <w:p w14:paraId="3FD7FEBC" w14:textId="69BEDDB5"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25 r.</w:t>
      </w:r>
    </w:p>
    <w:p w14:paraId="5C545786" w14:textId="77777777" w:rsidR="006578ED" w:rsidRDefault="00A1618E">
      <w:pPr>
        <w:pStyle w:val="P68B1DB1-Normal6"/>
        <w:spacing w:before="120" w:after="120" w:line="240" w:lineRule="auto"/>
        <w:jc w:val="both"/>
        <w:rPr>
          <w:rFonts w:cs="Times New Roman"/>
          <w:noProof/>
        </w:rPr>
      </w:pPr>
      <w:r>
        <w:rPr>
          <w:noProof/>
        </w:rPr>
        <w:t>Inwestycja 3 (C14.I3) – Strategie odporności turystyki dla terytoriów pozapółwysepowych</w:t>
      </w:r>
    </w:p>
    <w:p w14:paraId="2AAE98BB" w14:textId="08819FF4" w:rsidR="006578ED" w:rsidRDefault="00A1618E">
      <w:pPr>
        <w:pStyle w:val="P68B1DB1-Normal4"/>
        <w:spacing w:before="120" w:after="120" w:line="240" w:lineRule="auto"/>
        <w:jc w:val="both"/>
        <w:rPr>
          <w:rFonts w:cs="Times New Roman"/>
          <w:noProof/>
        </w:rPr>
      </w:pPr>
      <w:r>
        <w:rPr>
          <w:noProof/>
        </w:rPr>
        <w:t>Inwestycja jest skierowana do Balearów, Wysp Kanaryjskich, Ceuty i Melilli, a jej celem jest sprostanie szczególnym wyzwaniom stojącym przed przemysłem turystycznym na tych terytoriach. Środki te poprawiają konkurencyjność i zdolność tych terytoriów do dostosowywania się do zmian zachodzących na rynkach międzynarodowych i obejmują:</w:t>
      </w:r>
    </w:p>
    <w:p w14:paraId="07260ABD" w14:textId="0F2CC758" w:rsidR="006578ED" w:rsidRDefault="00A1618E">
      <w:pPr>
        <w:pStyle w:val="P68B1DB1-ListParagraph7"/>
        <w:numPr>
          <w:ilvl w:val="0"/>
          <w:numId w:val="721"/>
        </w:numPr>
        <w:spacing w:before="120" w:line="240" w:lineRule="auto"/>
        <w:jc w:val="both"/>
        <w:rPr>
          <w:rFonts w:cs="Times New Roman"/>
          <w:noProof/>
        </w:rPr>
      </w:pPr>
      <w:r>
        <w:rPr>
          <w:noProof/>
        </w:rPr>
        <w:t>infrastrukturę publiczną, ze szczególnym naciskiem na poprawę przestrzeni publicznej w celu promowania turystyki, gospodarowania środowiskiem i przetwarzania odpadów, a także na przekwalifikowywanie przestarzałej infrastruktury turystycznej;</w:t>
      </w:r>
    </w:p>
    <w:p w14:paraId="5976AF1A" w14:textId="2BE56571" w:rsidR="006578ED" w:rsidRDefault="00A1618E">
      <w:pPr>
        <w:pStyle w:val="P68B1DB1-ListParagraph7"/>
        <w:numPr>
          <w:ilvl w:val="0"/>
          <w:numId w:val="721"/>
        </w:numPr>
        <w:spacing w:before="120" w:line="240" w:lineRule="auto"/>
        <w:jc w:val="both"/>
        <w:rPr>
          <w:rFonts w:cs="Times New Roman"/>
          <w:noProof/>
        </w:rPr>
      </w:pPr>
      <w:r>
        <w:rPr>
          <w:noProof/>
        </w:rPr>
        <w:t>wzmocnienie usług publicznych na obszarach o szczególnym wpływie turystycznym: usługi administracyjne, w zakresie bezpieczeństwa i opieki zdrowotnej;</w:t>
      </w:r>
    </w:p>
    <w:p w14:paraId="39286C5C" w14:textId="76F1C5F6" w:rsidR="006578ED" w:rsidRDefault="00A1618E">
      <w:pPr>
        <w:pStyle w:val="P68B1DB1-ListParagraph7"/>
        <w:numPr>
          <w:ilvl w:val="0"/>
          <w:numId w:val="721"/>
        </w:numPr>
        <w:spacing w:before="120" w:line="240" w:lineRule="auto"/>
        <w:jc w:val="both"/>
        <w:rPr>
          <w:rFonts w:cs="Times New Roman"/>
          <w:noProof/>
        </w:rPr>
      </w:pPr>
      <w:r>
        <w:rPr>
          <w:noProof/>
        </w:rPr>
        <w:t>szkolenia, ze szczególnym uwzględnieniem szkoleń dla młodzieży związanych z sektorem turystyki;</w:t>
      </w:r>
    </w:p>
    <w:p w14:paraId="5ED1DF2F" w14:textId="6396E48F" w:rsidR="006578ED" w:rsidRDefault="00A1618E">
      <w:pPr>
        <w:pStyle w:val="P68B1DB1-ListParagraph7"/>
        <w:numPr>
          <w:ilvl w:val="0"/>
          <w:numId w:val="721"/>
        </w:numPr>
        <w:spacing w:before="120" w:line="240" w:lineRule="auto"/>
        <w:jc w:val="both"/>
        <w:rPr>
          <w:rFonts w:cs="Times New Roman"/>
          <w:noProof/>
        </w:rPr>
      </w:pPr>
      <w:r>
        <w:rPr>
          <w:noProof/>
        </w:rPr>
        <w:t>rozwój alternatywnych produktów turystycznych i modernizacja oferty turystycznej;</w:t>
      </w:r>
    </w:p>
    <w:p w14:paraId="346BFF24" w14:textId="6EE33BEE" w:rsidR="006578ED" w:rsidRDefault="00A1618E">
      <w:pPr>
        <w:pStyle w:val="P68B1DB1-ListParagraph7"/>
        <w:numPr>
          <w:ilvl w:val="0"/>
          <w:numId w:val="721"/>
        </w:numPr>
        <w:spacing w:before="120" w:line="240" w:lineRule="auto"/>
        <w:jc w:val="both"/>
        <w:rPr>
          <w:rFonts w:cs="Times New Roman"/>
          <w:noProof/>
        </w:rPr>
      </w:pPr>
      <w:r>
        <w:rPr>
          <w:noProof/>
        </w:rPr>
        <w:t>zachęty mające na celu ułatwienie połączeń z terytoriami, a przedsiębiorstwom turystycznym do prowadzenia działalności poza sezonem;</w:t>
      </w:r>
    </w:p>
    <w:p w14:paraId="2E27E597" w14:textId="3B79403F" w:rsidR="006578ED" w:rsidRDefault="00A1618E">
      <w:pPr>
        <w:pStyle w:val="P68B1DB1-ListParagraph7"/>
        <w:numPr>
          <w:ilvl w:val="0"/>
          <w:numId w:val="721"/>
        </w:numPr>
        <w:spacing w:before="120" w:line="240" w:lineRule="auto"/>
        <w:jc w:val="both"/>
        <w:rPr>
          <w:rFonts w:cs="Times New Roman"/>
          <w:noProof/>
        </w:rPr>
      </w:pPr>
      <w:r>
        <w:rPr>
          <w:noProof/>
        </w:rPr>
        <w:t>promowanie krajowych i międzynarodowych terytoriów pozapółwysepowych jako ośrodków turystycznych o znaczeniu historycznym; oraz</w:t>
      </w:r>
    </w:p>
    <w:p w14:paraId="4B9F9FB5" w14:textId="742AC6DE" w:rsidR="006578ED" w:rsidRDefault="00A1618E">
      <w:pPr>
        <w:pStyle w:val="P68B1DB1-ListParagraph7"/>
        <w:numPr>
          <w:ilvl w:val="0"/>
          <w:numId w:val="721"/>
        </w:numPr>
        <w:spacing w:before="120" w:line="240" w:lineRule="auto"/>
        <w:jc w:val="both"/>
        <w:rPr>
          <w:rFonts w:cs="Times New Roman"/>
          <w:noProof/>
        </w:rPr>
      </w:pPr>
      <w:r>
        <w:rPr>
          <w:noProof/>
        </w:rPr>
        <w:t>sezonowo dostosowane promocje strategiczne, ze szczególnym uwzględnieniem strategii marketingu internetowego, dostępności językowej, proaktywnej zdolności w zakresie narzędzi multimedialnych i instytucjonalnego zarządzania relacjami z klientami.</w:t>
      </w:r>
    </w:p>
    <w:p w14:paraId="45BEB207" w14:textId="05F25537" w:rsidR="006578ED" w:rsidRDefault="00A1618E">
      <w:pPr>
        <w:pStyle w:val="P68B1DB1-Normal4"/>
        <w:spacing w:before="120" w:after="120" w:line="240" w:lineRule="auto"/>
        <w:jc w:val="both"/>
        <w:rPr>
          <w:rFonts w:cs="Times New Roman"/>
          <w:noProof/>
        </w:rPr>
      </w:pPr>
      <w:r>
        <w:rPr>
          <w:noProof/>
        </w:rPr>
        <w:t>Co najmniej 400 podmiotów gospodarczych i społecznych odniosłoby korzyści z inwestycji w regionach pozapółwysepowych do czerwca 20</w:t>
      </w:r>
      <w:r w:rsidRPr="00A1618E">
        <w:rPr>
          <w:noProof/>
          <w:lang w:val="pl-PL"/>
        </w:rPr>
        <w:t>25 r.</w:t>
      </w:r>
    </w:p>
    <w:p w14:paraId="3FC09720" w14:textId="6A94D269"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25 r.</w:t>
      </w:r>
    </w:p>
    <w:p w14:paraId="5A7285A2" w14:textId="41654DFD" w:rsidR="006578ED" w:rsidRDefault="00A1618E">
      <w:pPr>
        <w:pStyle w:val="P68B1DB1-Normal6"/>
        <w:spacing w:before="120" w:after="120" w:line="240" w:lineRule="auto"/>
        <w:jc w:val="both"/>
        <w:rPr>
          <w:rFonts w:cs="Times New Roman"/>
          <w:noProof/>
        </w:rPr>
      </w:pPr>
      <w:r>
        <w:rPr>
          <w:noProof/>
        </w:rPr>
        <w:t>Inwestycje 4 (C14.I4) – Działania specjalne w dziedzinie konkurencyjności</w:t>
      </w:r>
    </w:p>
    <w:p w14:paraId="767D7DFA" w14:textId="22C7099A" w:rsidR="006578ED" w:rsidRDefault="00A1618E">
      <w:pPr>
        <w:pStyle w:val="P68B1DB1-Normal4"/>
        <w:spacing w:before="120" w:after="120" w:line="240" w:lineRule="auto"/>
        <w:jc w:val="both"/>
        <w:rPr>
          <w:rFonts w:cs="Times New Roman"/>
          <w:noProof/>
        </w:rPr>
      </w:pPr>
      <w:r>
        <w:rPr>
          <w:noProof/>
        </w:rPr>
        <w:t>Inwestycja obejmuje szereg środków mających na celu poprawę konkurencyjności sektora turystyki. Konkretne działania, które mają być wspierane w ramach tej inwestycji, obejmują:</w:t>
      </w:r>
    </w:p>
    <w:p w14:paraId="4756CFC3" w14:textId="6C44C236" w:rsidR="006578ED" w:rsidRDefault="00A1618E">
      <w:pPr>
        <w:pStyle w:val="P68B1DB1-ListParagraph7"/>
        <w:numPr>
          <w:ilvl w:val="0"/>
          <w:numId w:val="722"/>
        </w:numPr>
        <w:spacing w:before="120" w:line="240" w:lineRule="auto"/>
        <w:jc w:val="both"/>
        <w:rPr>
          <w:rFonts w:cs="Times New Roman"/>
          <w:noProof/>
        </w:rPr>
      </w:pPr>
      <w:r>
        <w:rPr>
          <w:noProof/>
        </w:rPr>
        <w:t>rozwój produktów turystycznych zgodnie ze strategią rozwoju zrównoważonych produktów turystycznych i obejmujący m.in. następujące orientacyjne kategorie: turystyka gastronomiczna, kulturalna, miejska, ekoturystyka, biznesowa, sportowa, rowerowa, dziedzictwo i religijna;</w:t>
      </w:r>
    </w:p>
    <w:p w14:paraId="686D5410" w14:textId="78526DD3" w:rsidR="006578ED" w:rsidRDefault="00A1618E">
      <w:pPr>
        <w:pStyle w:val="P68B1DB1-ListParagraph7"/>
        <w:numPr>
          <w:ilvl w:val="0"/>
          <w:numId w:val="722"/>
        </w:numPr>
        <w:spacing w:before="120" w:after="120" w:line="240" w:lineRule="auto"/>
        <w:jc w:val="both"/>
        <w:rPr>
          <w:rFonts w:cs="Times New Roman"/>
          <w:noProof/>
        </w:rPr>
      </w:pPr>
      <w:r>
        <w:rPr>
          <w:noProof/>
        </w:rPr>
        <w:t xml:space="preserve">projekty mające na celu zmniejszenie rocznego zużycia odpadów lub energii przez obiekty turystyczne. W celu zmniejszenia zużycia energii szczególne środki obejmują instalację czujników do monitorowania i optymalizacji zużycia energii, promowanie stosowania systemów zarządzania energią (takich jak systemy certyfikowane zgodnie z normą ISO 500001), wykorzystanie materiałów energooszczędnych, stosowanie energooszczędnych technologii oraz wykorzystanie elementów zewnętrznych, takich jak odcienie lub ogrody. Szczególne środki mające na celu ograniczenie ilości odpadów obejmują plany segregacji odpadów u źródła oraz działania promujące ponowne użycie i recykling odpadów. Dalsze środki obejmują kampanie uświadamiające i szkolenia w zakresie efektywności energetycznej i gospodarowania odpadami skierowane do pracowników obiektów turystycznych oraz promowanie produkcji i zakupu lokalnych dostaw; </w:t>
      </w:r>
    </w:p>
    <w:p w14:paraId="453EDD0D" w14:textId="01A4B65C" w:rsidR="006578ED" w:rsidRDefault="00A1618E">
      <w:pPr>
        <w:pStyle w:val="P68B1DB1-ListParagraph7"/>
        <w:numPr>
          <w:ilvl w:val="0"/>
          <w:numId w:val="722"/>
        </w:numPr>
        <w:spacing w:before="120" w:after="120" w:line="240" w:lineRule="auto"/>
        <w:jc w:val="both"/>
        <w:rPr>
          <w:rFonts w:cs="Times New Roman"/>
          <w:noProof/>
        </w:rPr>
      </w:pPr>
      <w:r>
        <w:rPr>
          <w:noProof/>
        </w:rPr>
        <w:t>rewitalizacja i rekultywacja zabytkowych obiektów dziedzictwa turystycznego, w tym (i) zmniejszenie i kompensacja śladu węglowego poprzez opracowanie planów działania na rzecz ograniczenia emisji gazów cieplarnianych, (ii) ekorehabilitacja terenów, iii) poprawa efektywności energetycznej poprzez zastąpienie kotłów napędowych lub paliwowych kotłami na gaz ziemny, iv) działania mające na celu przystosowanie się do zmiany klimatu, v) ulepszenie systemów uzdatniania szarej wody, (vi) modernizację systemów gospodarowania odpadami, (vi) rekultywację i wykorzystanie przestrzeni dzięki inteligentnym technologiom, działania mające na celu poprawę dostępności obiektów oraz viii) działania na rzecz zmniejszenia zużycia energii i wody; oraz</w:t>
      </w:r>
    </w:p>
    <w:p w14:paraId="17B32380" w14:textId="11E37452" w:rsidR="006578ED" w:rsidRDefault="00A1618E">
      <w:pPr>
        <w:pStyle w:val="P68B1DB1-ListParagraph7"/>
        <w:numPr>
          <w:ilvl w:val="0"/>
          <w:numId w:val="722"/>
        </w:numPr>
        <w:spacing w:before="120" w:after="120" w:line="240" w:lineRule="auto"/>
        <w:jc w:val="both"/>
        <w:rPr>
          <w:rFonts w:cs="Times New Roman"/>
          <w:noProof/>
        </w:rPr>
      </w:pPr>
      <w:r>
        <w:rPr>
          <w:noProof/>
        </w:rPr>
        <w:t>poprawa obszarów handlowych na obszarach lokalnych o dużym napływie turystów, w tym działania w ramach tej inwestycji w nowe technologie; wdrażanie rozwiązań technologicznych w celu poprawy efektywności energetycznej; wydajne ekologicznie procesy oraz recykling i ponowne wykorzystanie odpadów; szkolenie personelu</w:t>
      </w:r>
      <w:r w:rsidRPr="00A1618E">
        <w:rPr>
          <w:noProof/>
          <w:lang w:val="pl-PL"/>
        </w:rPr>
        <w:t>; z</w:t>
      </w:r>
      <w:r>
        <w:rPr>
          <w:noProof/>
        </w:rPr>
        <w:t xml:space="preserve">integrowany podpis cyfrowy dostosowany do potrzeb zagranicznych odwiedzających; oraz dostosowanie przestrzeni publicznej w celu poprawy dostępności i mobilności. </w:t>
      </w:r>
    </w:p>
    <w:p w14:paraId="4E65AEEE" w14:textId="77777777" w:rsidR="006578ED" w:rsidRDefault="006578ED">
      <w:pPr>
        <w:spacing w:before="120" w:after="120" w:line="240" w:lineRule="auto"/>
        <w:ind w:left="360"/>
        <w:contextualSpacing/>
        <w:jc w:val="both"/>
        <w:rPr>
          <w:rFonts w:ascii="Times New Roman" w:hAnsi="Times New Roman" w:cs="Times New Roman"/>
          <w:noProof/>
          <w:sz w:val="24"/>
        </w:rPr>
      </w:pPr>
    </w:p>
    <w:p w14:paraId="2DF4BA9A" w14:textId="5581022E" w:rsidR="006578ED" w:rsidRDefault="00A1618E">
      <w:pPr>
        <w:pStyle w:val="P68B1DB1-Normal4"/>
        <w:spacing w:before="120" w:after="120" w:line="240" w:lineRule="auto"/>
        <w:jc w:val="both"/>
        <w:rPr>
          <w:rFonts w:cs="Times New Roman"/>
          <w:noProof/>
        </w:rPr>
      </w:pPr>
      <w:r>
        <w:rPr>
          <w:noProof/>
        </w:rPr>
        <w:t>Do dnia 31 grudnia 20</w:t>
      </w:r>
      <w:r w:rsidRPr="00A1618E">
        <w:rPr>
          <w:noProof/>
          <w:lang w:val="pl-PL"/>
        </w:rPr>
        <w:t>24 r.</w:t>
      </w:r>
      <w:r>
        <w:rPr>
          <w:noProof/>
        </w:rPr>
        <w:t xml:space="preserve"> należy zakończyć co najmniej 60 projektów na obszarach komercyjnych położonych na obszarach lokalnych o dużym napływie turystów. Inwestycje zrealizowane do dnia 30 czerwca 20</w:t>
      </w:r>
      <w:r w:rsidRPr="00A1618E">
        <w:rPr>
          <w:noProof/>
          <w:lang w:val="pl-PL"/>
        </w:rPr>
        <w:t>25 r.</w:t>
      </w:r>
      <w:r>
        <w:rPr>
          <w:noProof/>
        </w:rPr>
        <w:t xml:space="preserve"> skutkują: co najmniej 45 nowych dostępnych produktów turystycznych oraz (ii) co najmniej 3400 obiektów turystycznych musi ukończyć projekty mające na celu zmniejszenie rocznego zużycia odpadów lub energii. Do dnia 30 czerwca 20</w:t>
      </w:r>
      <w:r w:rsidRPr="00A1618E">
        <w:rPr>
          <w:noProof/>
          <w:lang w:val="pl-PL"/>
        </w:rPr>
        <w:t>26 r.</w:t>
      </w:r>
      <w:r>
        <w:rPr>
          <w:noProof/>
        </w:rPr>
        <w:t xml:space="preserve"> należy zakończyć co najmniej 50 projektów ukierunkowanych na zabytki historycznego dziedzictwa turystycznego. </w:t>
      </w:r>
    </w:p>
    <w:p w14:paraId="20A76D21" w14:textId="0E3820B1" w:rsidR="006578ED" w:rsidRDefault="00A1618E">
      <w:pPr>
        <w:pStyle w:val="Text1"/>
        <w:ind w:left="0"/>
        <w:rPr>
          <w:rFonts w:ascii="Times New Roman" w:hAnsi="Times New Roman" w:cs="Times New Roman"/>
          <w:noProof/>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156"/>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157"/>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158"/>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159"/>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521253E5" w14:textId="0DF03616" w:rsidR="006578ED" w:rsidRDefault="00A1618E">
      <w:pPr>
        <w:pStyle w:val="P68B1DB1-Text119"/>
        <w:ind w:left="0"/>
        <w:rPr>
          <w:rFonts w:eastAsia="Calibri" w:cs="Times New Roman"/>
          <w:noProof/>
        </w:rPr>
      </w:pPr>
      <w:r>
        <w:rPr>
          <w:noProof/>
        </w:rPr>
        <w:t>Realizacja inwestycji zakończy się do dnia 30 czerwca 20</w:t>
      </w:r>
      <w:r w:rsidRPr="00A1618E">
        <w:rPr>
          <w:noProof/>
          <w:lang w:val="pl-PL"/>
        </w:rPr>
        <w:t>26 r.</w:t>
      </w:r>
    </w:p>
    <w:p w14:paraId="242947EB" w14:textId="77777777" w:rsidR="006578ED" w:rsidRDefault="006578ED">
      <w:pPr>
        <w:pStyle w:val="Text1"/>
        <w:ind w:left="0"/>
        <w:rPr>
          <w:rFonts w:ascii="Times New Roman" w:eastAsia="Calibri" w:hAnsi="Times New Roman" w:cs="Times New Roman"/>
          <w:noProof/>
        </w:rPr>
      </w:pPr>
    </w:p>
    <w:p w14:paraId="5EB8C009" w14:textId="005B6707" w:rsidR="006578ED" w:rsidRDefault="00A1618E">
      <w:pPr>
        <w:pStyle w:val="P68B1DB1-Normal5"/>
        <w:keepNext/>
        <w:spacing w:before="120" w:after="120" w:line="240" w:lineRule="auto"/>
        <w:ind w:left="709"/>
        <w:jc w:val="both"/>
        <w:rPr>
          <w:rFonts w:cs="Times New Roman"/>
          <w:noProof/>
        </w:rPr>
      </w:pPr>
      <w:r>
        <w:rPr>
          <w:noProof/>
        </w:rPr>
        <w:t xml:space="preserve">N.2. </w:t>
      </w:r>
      <w:r>
        <w:rPr>
          <w:noProof/>
        </w:rPr>
        <w:tab/>
        <w:t>Kamienie milowe, wartości docelowe, wskaźniki i harmonogram monitorowania i realizacji na potrzeby bezzwrotnego wsparcia finansowego</w:t>
      </w:r>
    </w:p>
    <w:p w14:paraId="70AC05EA" w14:textId="2A6DF1B3" w:rsidR="006578ED" w:rsidRDefault="00A1618E">
      <w:pPr>
        <w:pStyle w:val="P68B1DB1-Normal4"/>
        <w:keepNext/>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126BCA63" w14:textId="77777777" w:rsidR="006578ED" w:rsidRDefault="006578ED">
      <w:pPr>
        <w:spacing w:before="120" w:after="120" w:line="240" w:lineRule="auto"/>
        <w:jc w:val="both"/>
        <w:rPr>
          <w:rFonts w:ascii="Times New Roman" w:hAnsi="Times New Roman" w:cs="Times New Roman"/>
          <w:b/>
          <w:noProof/>
          <w:sz w:val="24"/>
          <w:u w:val="single"/>
        </w:rPr>
      </w:pPr>
    </w:p>
    <w:p w14:paraId="4C3FEC7D" w14:textId="77777777" w:rsidR="006578ED" w:rsidRDefault="006578ED">
      <w:pPr>
        <w:spacing w:before="120" w:after="120" w:line="240" w:lineRule="auto"/>
        <w:ind w:left="709"/>
        <w:jc w:val="both"/>
        <w:rPr>
          <w:rFonts w:ascii="Times New Roman" w:hAnsi="Times New Roman" w:cs="Times New Roman"/>
          <w:noProof/>
          <w:sz w:val="24"/>
        </w:rPr>
      </w:pPr>
    </w:p>
    <w:p w14:paraId="4B605DE9"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294"/>
          <w:headerReference w:type="default" r:id="rId295"/>
          <w:footerReference w:type="even" r:id="rId296"/>
          <w:footerReference w:type="default" r:id="rId297"/>
          <w:headerReference w:type="first" r:id="rId298"/>
          <w:footerReference w:type="first" r:id="rId299"/>
          <w:pgSz w:w="11907" w:h="16839"/>
          <w:pgMar w:top="1134" w:right="1417" w:bottom="1134" w:left="1417" w:header="709" w:footer="709" w:gutter="0"/>
          <w:cols w:space="720"/>
          <w:docGrid w:linePitch="360"/>
        </w:sectPr>
      </w:pPr>
    </w:p>
    <w:tbl>
      <w:tblPr>
        <w:tblW w:w="1488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1418"/>
        <w:gridCol w:w="1276"/>
        <w:gridCol w:w="850"/>
        <w:gridCol w:w="992"/>
        <w:gridCol w:w="567"/>
        <w:gridCol w:w="426"/>
        <w:gridCol w:w="708"/>
        <w:gridCol w:w="6237"/>
      </w:tblGrid>
      <w:tr w:rsidR="006578ED" w14:paraId="063DFD46" w14:textId="77777777">
        <w:trPr>
          <w:trHeight w:val="309"/>
          <w:tblHeader/>
        </w:trPr>
        <w:tc>
          <w:tcPr>
            <w:tcW w:w="709" w:type="dxa"/>
            <w:tcBorders>
              <w:bottom w:val="nil"/>
            </w:tcBorders>
            <w:shd w:val="clear" w:color="auto" w:fill="C6D9F1" w:themeFill="text2" w:themeFillTint="33"/>
            <w:noWrap/>
            <w:vAlign w:val="center"/>
          </w:tcPr>
          <w:p w14:paraId="4AFFA011"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4BAC7FA5"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33A9C41E" w14:textId="75DE2402" w:rsidR="006578ED" w:rsidRDefault="00EC188C">
            <w:pPr>
              <w:pStyle w:val="P68B1DB1-Normal13"/>
              <w:spacing w:after="0" w:line="240" w:lineRule="auto"/>
              <w:jc w:val="center"/>
              <w:rPr>
                <w:rFonts w:cs="Times New Roman"/>
                <w:b/>
                <w:noProof/>
              </w:rPr>
            </w:pPr>
            <w:r>
              <w:rPr>
                <w:b/>
                <w:noProof/>
              </w:rPr>
              <w:t>Kamień milowy</w:t>
            </w:r>
            <w:r>
              <w:rPr>
                <w:noProof/>
              </w:rPr>
              <w:br/>
            </w:r>
            <w:r>
              <w:rPr>
                <w:b/>
                <w:noProof/>
              </w:rPr>
              <w:t xml:space="preserve"> /</w:t>
            </w:r>
            <w:r w:rsidR="00AF6B91">
              <w:rPr>
                <w:b/>
                <w:noProof/>
              </w:rPr>
              <w:t>Wartość docelowa</w:t>
            </w:r>
          </w:p>
        </w:tc>
        <w:tc>
          <w:tcPr>
            <w:tcW w:w="1418" w:type="dxa"/>
            <w:vMerge w:val="restart"/>
            <w:shd w:val="clear" w:color="auto" w:fill="C6D9F1" w:themeFill="text2" w:themeFillTint="33"/>
            <w:noWrap/>
            <w:vAlign w:val="center"/>
          </w:tcPr>
          <w:p w14:paraId="12D59150" w14:textId="77777777" w:rsidR="006578ED" w:rsidRDefault="00A1618E">
            <w:pPr>
              <w:pStyle w:val="P68B1DB1-Normal12"/>
              <w:spacing w:after="0" w:line="240" w:lineRule="auto"/>
              <w:jc w:val="center"/>
              <w:rPr>
                <w:rFonts w:cs="Times New Roman"/>
                <w:noProof/>
              </w:rPr>
            </w:pPr>
            <w:r>
              <w:rPr>
                <w:noProof/>
              </w:rPr>
              <w:t>Nazwa</w:t>
            </w:r>
          </w:p>
        </w:tc>
        <w:tc>
          <w:tcPr>
            <w:tcW w:w="1276" w:type="dxa"/>
            <w:vMerge w:val="restart"/>
            <w:shd w:val="clear" w:color="auto" w:fill="C6D9F1" w:themeFill="text2" w:themeFillTint="33"/>
            <w:noWrap/>
            <w:vAlign w:val="center"/>
          </w:tcPr>
          <w:p w14:paraId="26345872"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409" w:type="dxa"/>
            <w:gridSpan w:val="3"/>
            <w:shd w:val="clear" w:color="auto" w:fill="C6D9F1" w:themeFill="text2" w:themeFillTint="33"/>
            <w:noWrap/>
            <w:vAlign w:val="center"/>
          </w:tcPr>
          <w:p w14:paraId="4131D199"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134" w:type="dxa"/>
            <w:gridSpan w:val="2"/>
            <w:shd w:val="clear" w:color="auto" w:fill="C6D9F1" w:themeFill="text2" w:themeFillTint="33"/>
            <w:noWrap/>
            <w:vAlign w:val="center"/>
          </w:tcPr>
          <w:p w14:paraId="2F42BFA9" w14:textId="77777777" w:rsidR="006578ED" w:rsidRDefault="00A1618E">
            <w:pPr>
              <w:pStyle w:val="P68B1DB1-Normal12"/>
              <w:spacing w:after="0" w:line="240" w:lineRule="auto"/>
              <w:jc w:val="center"/>
              <w:rPr>
                <w:rFonts w:cs="Times New Roman"/>
                <w:noProof/>
              </w:rPr>
            </w:pPr>
            <w:r>
              <w:rPr>
                <w:noProof/>
              </w:rPr>
              <w:t>Czas</w:t>
            </w:r>
          </w:p>
        </w:tc>
        <w:tc>
          <w:tcPr>
            <w:tcW w:w="6237" w:type="dxa"/>
            <w:vMerge w:val="restart"/>
            <w:shd w:val="clear" w:color="auto" w:fill="C6D9F1" w:themeFill="text2" w:themeFillTint="33"/>
            <w:noWrap/>
            <w:vAlign w:val="center"/>
          </w:tcPr>
          <w:p w14:paraId="2EBF9182" w14:textId="04229405"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4688A0EE" w14:textId="77777777">
        <w:trPr>
          <w:trHeight w:val="309"/>
          <w:tblHeader/>
        </w:trPr>
        <w:tc>
          <w:tcPr>
            <w:tcW w:w="709" w:type="dxa"/>
            <w:tcBorders>
              <w:top w:val="nil"/>
            </w:tcBorders>
            <w:shd w:val="clear" w:color="auto" w:fill="C6D9F1" w:themeFill="text2" w:themeFillTint="33"/>
            <w:noWrap/>
          </w:tcPr>
          <w:p w14:paraId="132A2021"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521F4038"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13EF80F5" w14:textId="77777777" w:rsidR="006578ED" w:rsidRDefault="006578ED">
            <w:pPr>
              <w:spacing w:after="0" w:line="240" w:lineRule="auto"/>
              <w:jc w:val="center"/>
              <w:rPr>
                <w:rFonts w:ascii="Times New Roman" w:hAnsi="Times New Roman" w:cs="Times New Roman"/>
                <w:b/>
                <w:noProof/>
                <w:sz w:val="18"/>
              </w:rPr>
            </w:pPr>
          </w:p>
        </w:tc>
        <w:tc>
          <w:tcPr>
            <w:tcW w:w="1418" w:type="dxa"/>
            <w:vMerge/>
            <w:noWrap/>
          </w:tcPr>
          <w:p w14:paraId="6632FDF6" w14:textId="77777777" w:rsidR="006578ED" w:rsidRDefault="006578ED">
            <w:pPr>
              <w:spacing w:after="0" w:line="240" w:lineRule="auto"/>
              <w:rPr>
                <w:rFonts w:ascii="Times New Roman" w:hAnsi="Times New Roman" w:cs="Times New Roman"/>
                <w:b/>
                <w:noProof/>
                <w:sz w:val="18"/>
              </w:rPr>
            </w:pPr>
          </w:p>
        </w:tc>
        <w:tc>
          <w:tcPr>
            <w:tcW w:w="1276" w:type="dxa"/>
            <w:vMerge/>
            <w:noWrap/>
          </w:tcPr>
          <w:p w14:paraId="4D45A0BB"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628B78D6" w14:textId="77777777" w:rsidR="006578ED" w:rsidRDefault="00A1618E">
            <w:pPr>
              <w:pStyle w:val="P68B1DB1-Normal12"/>
              <w:spacing w:after="0" w:line="240" w:lineRule="auto"/>
              <w:jc w:val="center"/>
              <w:rPr>
                <w:rFonts w:cs="Times New Roman"/>
                <w:noProof/>
              </w:rPr>
            </w:pPr>
            <w:r>
              <w:rPr>
                <w:noProof/>
              </w:rPr>
              <w:t>Jednostka</w:t>
            </w:r>
          </w:p>
          <w:p w14:paraId="03340206" w14:textId="385CFE10" w:rsidR="006578ED" w:rsidRDefault="006578ED">
            <w:pPr>
              <w:spacing w:after="0" w:line="240" w:lineRule="auto"/>
              <w:jc w:val="center"/>
              <w:rPr>
                <w:rFonts w:ascii="Times New Roman" w:hAnsi="Times New Roman" w:cs="Times New Roman"/>
                <w:b/>
                <w:noProof/>
                <w:sz w:val="18"/>
              </w:rPr>
            </w:pPr>
          </w:p>
        </w:tc>
        <w:tc>
          <w:tcPr>
            <w:tcW w:w="992" w:type="dxa"/>
            <w:shd w:val="clear" w:color="auto" w:fill="C6D9F1" w:themeFill="text2" w:themeFillTint="33"/>
            <w:noWrap/>
            <w:vAlign w:val="center"/>
          </w:tcPr>
          <w:p w14:paraId="00041F81" w14:textId="77777777" w:rsidR="006578ED" w:rsidRDefault="00A1618E">
            <w:pPr>
              <w:pStyle w:val="P68B1DB1-Normal12"/>
              <w:spacing w:after="0" w:line="240" w:lineRule="auto"/>
              <w:jc w:val="center"/>
              <w:rPr>
                <w:rFonts w:cs="Times New Roman"/>
                <w:noProof/>
              </w:rPr>
            </w:pPr>
            <w:r>
              <w:rPr>
                <w:noProof/>
              </w:rPr>
              <w:t>Wartość wyjściowa</w:t>
            </w:r>
          </w:p>
          <w:p w14:paraId="7D3E5CB8" w14:textId="496D4530" w:rsidR="006578ED" w:rsidRDefault="006578ED">
            <w:pPr>
              <w:spacing w:after="0" w:line="240" w:lineRule="auto"/>
              <w:jc w:val="center"/>
              <w:rPr>
                <w:rFonts w:ascii="Times New Roman" w:hAnsi="Times New Roman" w:cs="Times New Roman"/>
                <w:b/>
                <w:noProof/>
                <w:sz w:val="18"/>
              </w:rPr>
            </w:pPr>
          </w:p>
        </w:tc>
        <w:tc>
          <w:tcPr>
            <w:tcW w:w="567" w:type="dxa"/>
            <w:shd w:val="clear" w:color="auto" w:fill="C6D9F1" w:themeFill="text2" w:themeFillTint="33"/>
            <w:noWrap/>
            <w:vAlign w:val="center"/>
          </w:tcPr>
          <w:p w14:paraId="5E7A485D" w14:textId="77777777" w:rsidR="006578ED" w:rsidRDefault="00A1618E">
            <w:pPr>
              <w:pStyle w:val="P68B1DB1-Normal12"/>
              <w:spacing w:after="0" w:line="240" w:lineRule="auto"/>
              <w:jc w:val="center"/>
              <w:rPr>
                <w:rFonts w:cs="Times New Roman"/>
                <w:noProof/>
              </w:rPr>
            </w:pPr>
            <w:r>
              <w:rPr>
                <w:noProof/>
              </w:rPr>
              <w:t>Cel</w:t>
            </w:r>
          </w:p>
          <w:p w14:paraId="5C77F60E" w14:textId="68715297" w:rsidR="006578ED" w:rsidRDefault="006578ED">
            <w:pPr>
              <w:spacing w:after="0" w:line="240" w:lineRule="auto"/>
              <w:jc w:val="center"/>
              <w:rPr>
                <w:rFonts w:ascii="Times New Roman" w:hAnsi="Times New Roman" w:cs="Times New Roman"/>
                <w:b/>
                <w:noProof/>
                <w:sz w:val="18"/>
              </w:rPr>
            </w:pPr>
          </w:p>
        </w:tc>
        <w:tc>
          <w:tcPr>
            <w:tcW w:w="426" w:type="dxa"/>
            <w:shd w:val="clear" w:color="auto" w:fill="C6D9F1" w:themeFill="text2" w:themeFillTint="33"/>
            <w:noWrap/>
            <w:vAlign w:val="center"/>
          </w:tcPr>
          <w:p w14:paraId="4617389F" w14:textId="77777777" w:rsidR="006578ED" w:rsidRDefault="00A1618E">
            <w:pPr>
              <w:pStyle w:val="P68B1DB1-Normal12"/>
              <w:spacing w:after="0" w:line="240" w:lineRule="auto"/>
              <w:jc w:val="center"/>
              <w:rPr>
                <w:rFonts w:cs="Times New Roman"/>
                <w:noProof/>
              </w:rPr>
            </w:pPr>
            <w:r>
              <w:rPr>
                <w:noProof/>
              </w:rPr>
              <w:t>Q</w:t>
            </w:r>
          </w:p>
          <w:p w14:paraId="0127678F" w14:textId="7FDC6B8F" w:rsidR="006578ED" w:rsidRDefault="006578ED">
            <w:pPr>
              <w:spacing w:after="0" w:line="240" w:lineRule="auto"/>
              <w:jc w:val="center"/>
              <w:rPr>
                <w:rFonts w:ascii="Times New Roman" w:hAnsi="Times New Roman" w:cs="Times New Roman"/>
                <w:b/>
                <w:noProof/>
                <w:sz w:val="18"/>
              </w:rPr>
            </w:pPr>
          </w:p>
        </w:tc>
        <w:tc>
          <w:tcPr>
            <w:tcW w:w="708" w:type="dxa"/>
            <w:shd w:val="clear" w:color="auto" w:fill="C6D9F1" w:themeFill="text2" w:themeFillTint="33"/>
            <w:noWrap/>
            <w:vAlign w:val="center"/>
          </w:tcPr>
          <w:p w14:paraId="0FBB54C7" w14:textId="77777777" w:rsidR="006578ED" w:rsidRDefault="00A1618E">
            <w:pPr>
              <w:pStyle w:val="P68B1DB1-Normal12"/>
              <w:spacing w:after="0" w:line="240" w:lineRule="auto"/>
              <w:jc w:val="center"/>
              <w:rPr>
                <w:rFonts w:cs="Times New Roman"/>
                <w:noProof/>
              </w:rPr>
            </w:pPr>
            <w:r>
              <w:rPr>
                <w:noProof/>
              </w:rPr>
              <w:t>Rok</w:t>
            </w:r>
          </w:p>
          <w:p w14:paraId="5FBC7EB6" w14:textId="3BF060B8" w:rsidR="006578ED" w:rsidRDefault="006578ED">
            <w:pPr>
              <w:spacing w:after="0" w:line="240" w:lineRule="auto"/>
              <w:jc w:val="center"/>
              <w:rPr>
                <w:rFonts w:ascii="Times New Roman" w:hAnsi="Times New Roman" w:cs="Times New Roman"/>
                <w:b/>
                <w:noProof/>
                <w:sz w:val="18"/>
              </w:rPr>
            </w:pPr>
          </w:p>
        </w:tc>
        <w:tc>
          <w:tcPr>
            <w:tcW w:w="6237" w:type="dxa"/>
            <w:vMerge/>
            <w:noWrap/>
          </w:tcPr>
          <w:p w14:paraId="5D55FAF0" w14:textId="77777777" w:rsidR="006578ED" w:rsidRDefault="006578ED">
            <w:pPr>
              <w:spacing w:after="0" w:line="240" w:lineRule="auto"/>
              <w:rPr>
                <w:rFonts w:ascii="Times New Roman" w:hAnsi="Times New Roman" w:cs="Times New Roman"/>
                <w:b/>
                <w:noProof/>
                <w:sz w:val="18"/>
              </w:rPr>
            </w:pPr>
          </w:p>
        </w:tc>
      </w:tr>
      <w:tr w:rsidR="006578ED" w14:paraId="0BC17027" w14:textId="77777777">
        <w:trPr>
          <w:trHeight w:val="309"/>
        </w:trPr>
        <w:tc>
          <w:tcPr>
            <w:tcW w:w="709" w:type="dxa"/>
            <w:shd w:val="clear" w:color="auto" w:fill="C6EFCE"/>
            <w:noWrap/>
          </w:tcPr>
          <w:p w14:paraId="029298D7" w14:textId="77777777" w:rsidR="006578ED" w:rsidRDefault="00A1618E">
            <w:pPr>
              <w:pStyle w:val="P68B1DB1-Normal13"/>
              <w:spacing w:after="0" w:line="240" w:lineRule="auto"/>
              <w:jc w:val="center"/>
              <w:rPr>
                <w:rFonts w:eastAsia="Times New Roman" w:cs="Times New Roman"/>
                <w:noProof/>
              </w:rPr>
            </w:pPr>
            <w:r>
              <w:rPr>
                <w:noProof/>
              </w:rPr>
              <w:t>214</w:t>
            </w:r>
          </w:p>
        </w:tc>
        <w:tc>
          <w:tcPr>
            <w:tcW w:w="851" w:type="dxa"/>
            <w:shd w:val="clear" w:color="auto" w:fill="C6EFCE"/>
            <w:noWrap/>
          </w:tcPr>
          <w:p w14:paraId="4CFE236E" w14:textId="77777777" w:rsidR="006578ED" w:rsidRDefault="00A1618E">
            <w:pPr>
              <w:pStyle w:val="P68B1DB1-Normal13"/>
              <w:spacing w:after="0" w:line="240" w:lineRule="auto"/>
              <w:jc w:val="center"/>
              <w:rPr>
                <w:rFonts w:eastAsia="Times New Roman" w:cs="Times New Roman"/>
                <w:noProof/>
              </w:rPr>
            </w:pPr>
            <w:r>
              <w:rPr>
                <w:noProof/>
              </w:rPr>
              <w:t>C14.R1</w:t>
            </w:r>
          </w:p>
        </w:tc>
        <w:tc>
          <w:tcPr>
            <w:tcW w:w="850" w:type="dxa"/>
            <w:shd w:val="clear" w:color="auto" w:fill="C6EFCE"/>
            <w:noWrap/>
          </w:tcPr>
          <w:p w14:paraId="4CA21D10" w14:textId="718AF6D3" w:rsidR="006578ED" w:rsidRDefault="00AF6B91">
            <w:pPr>
              <w:pStyle w:val="P68B1DB1-Normal13"/>
              <w:spacing w:after="0" w:line="240" w:lineRule="auto"/>
              <w:jc w:val="center"/>
              <w:rPr>
                <w:rFonts w:eastAsia="Times New Roman" w:cs="Times New Roman"/>
                <w:noProof/>
              </w:rPr>
            </w:pPr>
            <w:r>
              <w:rPr>
                <w:noProof/>
              </w:rPr>
              <w:t>Kamień milowy</w:t>
            </w:r>
          </w:p>
        </w:tc>
        <w:tc>
          <w:tcPr>
            <w:tcW w:w="1418" w:type="dxa"/>
            <w:shd w:val="clear" w:color="auto" w:fill="C6EFCE"/>
            <w:noWrap/>
          </w:tcPr>
          <w:p w14:paraId="0241C116" w14:textId="77777777" w:rsidR="006578ED" w:rsidRDefault="00A1618E">
            <w:pPr>
              <w:pStyle w:val="P68B1DB1-Normal13"/>
              <w:spacing w:after="0" w:line="240" w:lineRule="auto"/>
              <w:rPr>
                <w:rFonts w:eastAsia="Times New Roman" w:cs="Times New Roman"/>
                <w:noProof/>
              </w:rPr>
            </w:pPr>
            <w:r>
              <w:rPr>
                <w:noProof/>
              </w:rPr>
              <w:t>Plan promowania sektora turystyki</w:t>
            </w:r>
          </w:p>
        </w:tc>
        <w:tc>
          <w:tcPr>
            <w:tcW w:w="1276" w:type="dxa"/>
            <w:shd w:val="clear" w:color="auto" w:fill="C6EFCE"/>
            <w:noWrap/>
          </w:tcPr>
          <w:p w14:paraId="2F992D67" w14:textId="77777777" w:rsidR="006578ED" w:rsidRDefault="00A1618E">
            <w:pPr>
              <w:pStyle w:val="P68B1DB1-Normal13"/>
              <w:spacing w:after="0" w:line="240" w:lineRule="auto"/>
              <w:jc w:val="center"/>
              <w:rPr>
                <w:rFonts w:eastAsia="Times New Roman" w:cs="Times New Roman"/>
                <w:noProof/>
              </w:rPr>
            </w:pPr>
            <w:r>
              <w:rPr>
                <w:noProof/>
              </w:rPr>
              <w:t>Strona internetowa publikacji</w:t>
            </w:r>
          </w:p>
        </w:tc>
        <w:tc>
          <w:tcPr>
            <w:tcW w:w="850" w:type="dxa"/>
            <w:shd w:val="clear" w:color="auto" w:fill="C6EFCE"/>
            <w:noWrap/>
          </w:tcPr>
          <w:p w14:paraId="226F9C0B"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2EC2116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6621D010"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26" w:type="dxa"/>
            <w:shd w:val="clear" w:color="auto" w:fill="C6EFCE"/>
            <w:noWrap/>
          </w:tcPr>
          <w:p w14:paraId="3A37F27E" w14:textId="384BF61C" w:rsidR="006578ED" w:rsidRDefault="00EC188C">
            <w:pPr>
              <w:pStyle w:val="P68B1DB1-Normal13"/>
              <w:spacing w:after="0" w:line="240" w:lineRule="auto"/>
              <w:jc w:val="center"/>
              <w:rPr>
                <w:rFonts w:eastAsia="Times New Roman" w:cs="Times New Roman"/>
                <w:noProof/>
              </w:rPr>
            </w:pPr>
            <w:r>
              <w:rPr>
                <w:noProof/>
              </w:rPr>
              <w:t>KW. 2</w:t>
            </w:r>
          </w:p>
        </w:tc>
        <w:tc>
          <w:tcPr>
            <w:tcW w:w="708" w:type="dxa"/>
            <w:shd w:val="clear" w:color="auto" w:fill="C6EFCE"/>
            <w:noWrap/>
          </w:tcPr>
          <w:p w14:paraId="0F5EAF35" w14:textId="77777777" w:rsidR="006578ED" w:rsidRDefault="00A1618E">
            <w:pPr>
              <w:pStyle w:val="P68B1DB1-Normal13"/>
              <w:spacing w:after="0" w:line="240" w:lineRule="auto"/>
              <w:jc w:val="center"/>
              <w:rPr>
                <w:rFonts w:eastAsia="Times New Roman" w:cs="Times New Roman"/>
                <w:noProof/>
              </w:rPr>
            </w:pPr>
            <w:r>
              <w:rPr>
                <w:noProof/>
              </w:rPr>
              <w:t>2020</w:t>
            </w:r>
          </w:p>
        </w:tc>
        <w:tc>
          <w:tcPr>
            <w:tcW w:w="6237" w:type="dxa"/>
            <w:shd w:val="clear" w:color="auto" w:fill="C6EFCE"/>
            <w:noWrap/>
          </w:tcPr>
          <w:p w14:paraId="3E743927" w14:textId="2F292F0D" w:rsidR="006578ED" w:rsidRDefault="00A1618E">
            <w:pPr>
              <w:pStyle w:val="P68B1DB1-Normal13"/>
              <w:spacing w:after="0" w:line="240" w:lineRule="auto"/>
              <w:rPr>
                <w:rFonts w:eastAsia="Times New Roman" w:cs="Times New Roman"/>
                <w:noProof/>
              </w:rPr>
            </w:pPr>
            <w:r>
              <w:rPr>
                <w:noProof/>
              </w:rPr>
              <w:t>W planie opisuje się środki mające na celu pobudzenie sektora turystyki i określa ramy wdrażania środków związanych z turystyką.</w:t>
            </w:r>
          </w:p>
        </w:tc>
      </w:tr>
      <w:tr w:rsidR="006578ED" w14:paraId="256CED81" w14:textId="77777777">
        <w:trPr>
          <w:trHeight w:val="881"/>
        </w:trPr>
        <w:tc>
          <w:tcPr>
            <w:tcW w:w="709" w:type="dxa"/>
            <w:shd w:val="clear" w:color="auto" w:fill="C6EFCE"/>
            <w:noWrap/>
          </w:tcPr>
          <w:p w14:paraId="16F839A0" w14:textId="77777777" w:rsidR="006578ED" w:rsidRDefault="00A1618E">
            <w:pPr>
              <w:pStyle w:val="P68B1DB1-Normal13"/>
              <w:spacing w:after="0" w:line="240" w:lineRule="auto"/>
              <w:jc w:val="center"/>
              <w:rPr>
                <w:rFonts w:eastAsia="Times New Roman" w:cs="Times New Roman"/>
                <w:noProof/>
              </w:rPr>
            </w:pPr>
            <w:r>
              <w:rPr>
                <w:noProof/>
              </w:rPr>
              <w:t>215</w:t>
            </w:r>
          </w:p>
        </w:tc>
        <w:tc>
          <w:tcPr>
            <w:tcW w:w="851" w:type="dxa"/>
            <w:shd w:val="clear" w:color="auto" w:fill="C6EFCE"/>
            <w:noWrap/>
          </w:tcPr>
          <w:p w14:paraId="4BC75E1B" w14:textId="77777777" w:rsidR="006578ED" w:rsidRDefault="00A1618E">
            <w:pPr>
              <w:pStyle w:val="P68B1DB1-Normal13"/>
              <w:spacing w:after="0" w:line="240" w:lineRule="auto"/>
              <w:jc w:val="center"/>
              <w:rPr>
                <w:rFonts w:eastAsia="Times New Roman" w:cs="Times New Roman"/>
                <w:noProof/>
              </w:rPr>
            </w:pPr>
            <w:r>
              <w:rPr>
                <w:noProof/>
              </w:rPr>
              <w:t>C14.R1</w:t>
            </w:r>
          </w:p>
        </w:tc>
        <w:tc>
          <w:tcPr>
            <w:tcW w:w="850" w:type="dxa"/>
            <w:shd w:val="clear" w:color="auto" w:fill="C6EFCE"/>
            <w:noWrap/>
          </w:tcPr>
          <w:p w14:paraId="3A720761" w14:textId="5D4BE073" w:rsidR="006578ED" w:rsidRDefault="00AF6B91">
            <w:pPr>
              <w:pStyle w:val="P68B1DB1-Normal13"/>
              <w:spacing w:after="0" w:line="240" w:lineRule="auto"/>
              <w:jc w:val="center"/>
              <w:rPr>
                <w:rFonts w:eastAsia="Times New Roman" w:cs="Times New Roman"/>
                <w:noProof/>
              </w:rPr>
            </w:pPr>
            <w:r>
              <w:rPr>
                <w:noProof/>
              </w:rPr>
              <w:t>Kamień milowy</w:t>
            </w:r>
          </w:p>
        </w:tc>
        <w:tc>
          <w:tcPr>
            <w:tcW w:w="1418" w:type="dxa"/>
            <w:shd w:val="clear" w:color="auto" w:fill="C6EFCE"/>
            <w:noWrap/>
          </w:tcPr>
          <w:p w14:paraId="4391D859" w14:textId="77777777" w:rsidR="006578ED" w:rsidRDefault="00A1618E">
            <w:pPr>
              <w:pStyle w:val="P68B1DB1-Normal13"/>
              <w:spacing w:after="0" w:line="240" w:lineRule="auto"/>
              <w:rPr>
                <w:rFonts w:eastAsia="Times New Roman" w:cs="Times New Roman"/>
                <w:noProof/>
              </w:rPr>
            </w:pPr>
            <w:r>
              <w:rPr>
                <w:noProof/>
              </w:rPr>
              <w:t>Uruchomienie strony internetowej „DATAESTUR” gromadzącej dane na temat turystyki</w:t>
            </w:r>
          </w:p>
        </w:tc>
        <w:tc>
          <w:tcPr>
            <w:tcW w:w="1276" w:type="dxa"/>
            <w:shd w:val="clear" w:color="auto" w:fill="C6EFCE"/>
            <w:noWrap/>
          </w:tcPr>
          <w:p w14:paraId="4D25AC71" w14:textId="77777777" w:rsidR="006578ED" w:rsidRDefault="00A1618E">
            <w:pPr>
              <w:pStyle w:val="P68B1DB1-Normal13"/>
              <w:spacing w:after="0" w:line="240" w:lineRule="auto"/>
              <w:jc w:val="center"/>
              <w:rPr>
                <w:rFonts w:eastAsia="Times New Roman" w:cs="Times New Roman"/>
                <w:noProof/>
              </w:rPr>
            </w:pPr>
            <w:r>
              <w:rPr>
                <w:noProof/>
              </w:rPr>
              <w:t>Link do strony internetowej DATAESTUR</w:t>
            </w:r>
          </w:p>
        </w:tc>
        <w:tc>
          <w:tcPr>
            <w:tcW w:w="850" w:type="dxa"/>
            <w:shd w:val="clear" w:color="auto" w:fill="C6EFCE"/>
            <w:noWrap/>
          </w:tcPr>
          <w:p w14:paraId="39554A49"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992" w:type="dxa"/>
            <w:shd w:val="clear" w:color="auto" w:fill="C6EFCE"/>
            <w:noWrap/>
          </w:tcPr>
          <w:p w14:paraId="180FA731"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B8DC005"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26" w:type="dxa"/>
            <w:shd w:val="clear" w:color="auto" w:fill="C6EFCE"/>
            <w:noWrap/>
          </w:tcPr>
          <w:p w14:paraId="780C42A6" w14:textId="4A17E8F6" w:rsidR="006578ED" w:rsidRDefault="00EC188C">
            <w:pPr>
              <w:pStyle w:val="P68B1DB1-Normal13"/>
              <w:spacing w:after="0" w:line="240" w:lineRule="auto"/>
              <w:jc w:val="center"/>
              <w:rPr>
                <w:rFonts w:eastAsia="Times New Roman" w:cs="Times New Roman"/>
                <w:noProof/>
              </w:rPr>
            </w:pPr>
            <w:r>
              <w:rPr>
                <w:noProof/>
              </w:rPr>
              <w:t>KW. 4</w:t>
            </w:r>
          </w:p>
        </w:tc>
        <w:tc>
          <w:tcPr>
            <w:tcW w:w="708" w:type="dxa"/>
            <w:shd w:val="clear" w:color="auto" w:fill="C6EFCE"/>
            <w:noWrap/>
          </w:tcPr>
          <w:p w14:paraId="0965DB69" w14:textId="77777777" w:rsidR="006578ED" w:rsidRDefault="00A1618E">
            <w:pPr>
              <w:pStyle w:val="P68B1DB1-Normal13"/>
              <w:spacing w:after="0" w:line="240" w:lineRule="auto"/>
              <w:jc w:val="center"/>
              <w:rPr>
                <w:rFonts w:eastAsia="Times New Roman" w:cs="Times New Roman"/>
                <w:noProof/>
              </w:rPr>
            </w:pPr>
            <w:r>
              <w:rPr>
                <w:noProof/>
              </w:rPr>
              <w:t>2020</w:t>
            </w:r>
          </w:p>
        </w:tc>
        <w:tc>
          <w:tcPr>
            <w:tcW w:w="6237" w:type="dxa"/>
            <w:shd w:val="clear" w:color="auto" w:fill="C6EFCE"/>
            <w:noWrap/>
          </w:tcPr>
          <w:p w14:paraId="239EFD6C" w14:textId="13A4C330" w:rsidR="006578ED" w:rsidRDefault="00A1618E">
            <w:pPr>
              <w:pStyle w:val="P68B1DB1-Normal13"/>
              <w:spacing w:after="0" w:line="240" w:lineRule="auto"/>
              <w:rPr>
                <w:rFonts w:eastAsia="Times New Roman" w:cs="Times New Roman"/>
                <w:noProof/>
              </w:rPr>
            </w:pPr>
            <w:r>
              <w:rPr>
                <w:noProof/>
              </w:rPr>
              <w:t>Strona internetowa gromadzi dane dotyczące turystyki w Hiszpanii z różnych źródeł statystyki w dziedzinie turystyki, w tym z podmiotów publicznych i prywatnych, takich jak INE, Turespaña, Bank Hiszpanii, AENA lub RENFE, i jest operacyjna.</w:t>
            </w:r>
          </w:p>
        </w:tc>
      </w:tr>
      <w:tr w:rsidR="006578ED" w14:paraId="5FF511CA" w14:textId="77777777">
        <w:trPr>
          <w:trHeight w:val="881"/>
        </w:trPr>
        <w:tc>
          <w:tcPr>
            <w:tcW w:w="709" w:type="dxa"/>
            <w:shd w:val="clear" w:color="auto" w:fill="C6EFCE"/>
            <w:noWrap/>
          </w:tcPr>
          <w:p w14:paraId="5EE03C76" w14:textId="77777777" w:rsidR="006578ED" w:rsidRDefault="00A1618E">
            <w:pPr>
              <w:pStyle w:val="P68B1DB1-Normal13"/>
              <w:spacing w:after="0" w:line="240" w:lineRule="auto"/>
              <w:jc w:val="center"/>
              <w:rPr>
                <w:rFonts w:cs="Times New Roman"/>
                <w:noProof/>
              </w:rPr>
            </w:pPr>
            <w:r>
              <w:rPr>
                <w:noProof/>
              </w:rPr>
              <w:t>216</w:t>
            </w:r>
          </w:p>
        </w:tc>
        <w:tc>
          <w:tcPr>
            <w:tcW w:w="851" w:type="dxa"/>
            <w:shd w:val="clear" w:color="auto" w:fill="C6EFCE"/>
            <w:noWrap/>
          </w:tcPr>
          <w:p w14:paraId="5B7C6976" w14:textId="77777777" w:rsidR="006578ED" w:rsidRDefault="00A1618E">
            <w:pPr>
              <w:pStyle w:val="P68B1DB1-Normal13"/>
              <w:spacing w:after="0" w:line="240" w:lineRule="auto"/>
              <w:jc w:val="center"/>
              <w:rPr>
                <w:rFonts w:cs="Times New Roman"/>
                <w:noProof/>
              </w:rPr>
            </w:pPr>
            <w:r>
              <w:rPr>
                <w:noProof/>
              </w:rPr>
              <w:t>C14.R1</w:t>
            </w:r>
          </w:p>
        </w:tc>
        <w:tc>
          <w:tcPr>
            <w:tcW w:w="850" w:type="dxa"/>
            <w:shd w:val="clear" w:color="auto" w:fill="C6EFCE"/>
            <w:noWrap/>
          </w:tcPr>
          <w:p w14:paraId="4EE6B19A" w14:textId="51178096" w:rsidR="006578ED" w:rsidRDefault="00AF6B91">
            <w:pPr>
              <w:pStyle w:val="P68B1DB1-Normal13"/>
              <w:spacing w:after="0" w:line="240" w:lineRule="auto"/>
              <w:jc w:val="center"/>
              <w:rPr>
                <w:rFonts w:cs="Times New Roman"/>
                <w:noProof/>
              </w:rPr>
            </w:pPr>
            <w:r>
              <w:rPr>
                <w:noProof/>
              </w:rPr>
              <w:t>Kamień milowy</w:t>
            </w:r>
          </w:p>
        </w:tc>
        <w:tc>
          <w:tcPr>
            <w:tcW w:w="1418" w:type="dxa"/>
            <w:shd w:val="clear" w:color="auto" w:fill="C6EFCE"/>
            <w:noWrap/>
          </w:tcPr>
          <w:p w14:paraId="033843B4" w14:textId="08454902" w:rsidR="006578ED" w:rsidRDefault="00A1618E">
            <w:pPr>
              <w:pStyle w:val="P68B1DB1-Normal13"/>
              <w:spacing w:after="0" w:line="240" w:lineRule="auto"/>
              <w:rPr>
                <w:rFonts w:cs="Times New Roman"/>
                <w:noProof/>
              </w:rPr>
            </w:pPr>
            <w:r>
              <w:rPr>
                <w:noProof/>
              </w:rPr>
              <w:t xml:space="preserve">Wejście w życie dekretu królewskiego w sprawie wdrożenia Państwowego Funduszu Finansowego na rzecz Konkurencyjności Turystyki </w:t>
            </w:r>
          </w:p>
        </w:tc>
        <w:tc>
          <w:tcPr>
            <w:tcW w:w="1276" w:type="dxa"/>
            <w:shd w:val="clear" w:color="auto" w:fill="C6EFCE"/>
            <w:noWrap/>
          </w:tcPr>
          <w:p w14:paraId="208A134E" w14:textId="12DC7768" w:rsidR="006578ED" w:rsidRDefault="00A1618E">
            <w:pPr>
              <w:pStyle w:val="P68B1DB1-Normal13"/>
              <w:spacing w:after="0" w:line="240" w:lineRule="auto"/>
              <w:jc w:val="center"/>
              <w:rPr>
                <w:rFonts w:cs="Times New Roman"/>
                <w:noProof/>
              </w:rPr>
            </w:pPr>
            <w:r>
              <w:rPr>
                <w:noProof/>
              </w:rPr>
              <w:t>Przepis dekretu królewskiego wskazujący na wejście w życie ustawy</w:t>
            </w:r>
          </w:p>
        </w:tc>
        <w:tc>
          <w:tcPr>
            <w:tcW w:w="850" w:type="dxa"/>
            <w:shd w:val="clear" w:color="auto" w:fill="C6EFCE"/>
            <w:noWrap/>
          </w:tcPr>
          <w:p w14:paraId="6C1352AE" w14:textId="77777777" w:rsidR="006578ED" w:rsidRDefault="00A1618E">
            <w:pPr>
              <w:pStyle w:val="P68B1DB1-Normal13"/>
              <w:spacing w:after="0" w:line="240" w:lineRule="auto"/>
              <w:jc w:val="right"/>
              <w:rPr>
                <w:rFonts w:cs="Times New Roman"/>
                <w:noProof/>
              </w:rPr>
            </w:pPr>
            <w:r>
              <w:rPr>
                <w:noProof/>
              </w:rPr>
              <w:t xml:space="preserve"> </w:t>
            </w:r>
          </w:p>
        </w:tc>
        <w:tc>
          <w:tcPr>
            <w:tcW w:w="992" w:type="dxa"/>
            <w:shd w:val="clear" w:color="auto" w:fill="C6EFCE"/>
            <w:noWrap/>
          </w:tcPr>
          <w:p w14:paraId="3C57C8A9" w14:textId="77777777" w:rsidR="006578ED" w:rsidRDefault="00A1618E">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0EB9C128" w14:textId="77777777" w:rsidR="006578ED" w:rsidRDefault="00A1618E">
            <w:pPr>
              <w:pStyle w:val="P68B1DB1-Normal13"/>
              <w:spacing w:after="0" w:line="240" w:lineRule="auto"/>
              <w:jc w:val="right"/>
              <w:rPr>
                <w:rFonts w:cs="Times New Roman"/>
                <w:noProof/>
              </w:rPr>
            </w:pPr>
            <w:r>
              <w:rPr>
                <w:noProof/>
              </w:rPr>
              <w:t xml:space="preserve"> </w:t>
            </w:r>
          </w:p>
        </w:tc>
        <w:tc>
          <w:tcPr>
            <w:tcW w:w="426" w:type="dxa"/>
            <w:shd w:val="clear" w:color="auto" w:fill="C6EFCE"/>
            <w:noWrap/>
          </w:tcPr>
          <w:p w14:paraId="0733D322" w14:textId="474A5236" w:rsidR="006578ED" w:rsidRDefault="00EC188C">
            <w:pPr>
              <w:pStyle w:val="P68B1DB1-Normal13"/>
              <w:spacing w:after="0" w:line="240" w:lineRule="auto"/>
              <w:jc w:val="center"/>
              <w:rPr>
                <w:rFonts w:cs="Times New Roman"/>
                <w:noProof/>
              </w:rPr>
            </w:pPr>
            <w:r>
              <w:rPr>
                <w:noProof/>
              </w:rPr>
              <w:t>KW. 4</w:t>
            </w:r>
          </w:p>
        </w:tc>
        <w:tc>
          <w:tcPr>
            <w:tcW w:w="708" w:type="dxa"/>
            <w:shd w:val="clear" w:color="auto" w:fill="C6EFCE"/>
            <w:noWrap/>
          </w:tcPr>
          <w:p w14:paraId="6A376A49" w14:textId="77777777" w:rsidR="006578ED" w:rsidRDefault="00A1618E">
            <w:pPr>
              <w:pStyle w:val="P68B1DB1-Normal13"/>
              <w:spacing w:after="0" w:line="240" w:lineRule="auto"/>
              <w:jc w:val="center"/>
              <w:rPr>
                <w:rFonts w:cs="Times New Roman"/>
                <w:noProof/>
              </w:rPr>
            </w:pPr>
            <w:r>
              <w:rPr>
                <w:noProof/>
              </w:rPr>
              <w:t>2021</w:t>
            </w:r>
          </w:p>
        </w:tc>
        <w:tc>
          <w:tcPr>
            <w:tcW w:w="6237" w:type="dxa"/>
            <w:shd w:val="clear" w:color="auto" w:fill="C6EFCE"/>
            <w:noWrap/>
          </w:tcPr>
          <w:p w14:paraId="6AF54F6E" w14:textId="6456FA8C" w:rsidR="006578ED" w:rsidRDefault="00A1618E">
            <w:pPr>
              <w:pStyle w:val="P68B1DB1-Normal13"/>
              <w:spacing w:after="0" w:line="240" w:lineRule="auto"/>
              <w:rPr>
                <w:rFonts w:cs="Times New Roman"/>
                <w:noProof/>
              </w:rPr>
            </w:pPr>
            <w:r>
              <w:rPr>
                <w:noProof/>
              </w:rPr>
              <w:t xml:space="preserve">Dekret królewski w sprawie wdrożenia Państwowego Funduszu Finansowego na rzecz Konkurencyjności Turystyki poprawi dostęp przedsiębiorstw do finansowania publicznego w dziedzinie gospodarki o obiegu zamkniętym i efektywności energetycznej. </w:t>
            </w:r>
          </w:p>
        </w:tc>
      </w:tr>
      <w:tr w:rsidR="006578ED" w14:paraId="5F4ACDC5" w14:textId="77777777">
        <w:trPr>
          <w:trHeight w:val="881"/>
        </w:trPr>
        <w:tc>
          <w:tcPr>
            <w:tcW w:w="709" w:type="dxa"/>
            <w:shd w:val="clear" w:color="auto" w:fill="C6EFCE"/>
            <w:noWrap/>
          </w:tcPr>
          <w:p w14:paraId="57B862B3" w14:textId="77777777" w:rsidR="006578ED" w:rsidRDefault="00A1618E">
            <w:pPr>
              <w:pStyle w:val="P68B1DB1-Normal13"/>
              <w:spacing w:after="0" w:line="240" w:lineRule="auto"/>
              <w:jc w:val="center"/>
              <w:rPr>
                <w:rFonts w:cs="Times New Roman"/>
                <w:noProof/>
              </w:rPr>
            </w:pPr>
            <w:r>
              <w:rPr>
                <w:noProof/>
              </w:rPr>
              <w:t>217</w:t>
            </w:r>
          </w:p>
        </w:tc>
        <w:tc>
          <w:tcPr>
            <w:tcW w:w="851" w:type="dxa"/>
            <w:shd w:val="clear" w:color="auto" w:fill="C6EFCE"/>
            <w:noWrap/>
          </w:tcPr>
          <w:p w14:paraId="57AF5194" w14:textId="77777777" w:rsidR="006578ED" w:rsidRDefault="00A1618E">
            <w:pPr>
              <w:pStyle w:val="P68B1DB1-Normal13"/>
              <w:spacing w:after="0" w:line="240" w:lineRule="auto"/>
              <w:jc w:val="center"/>
              <w:rPr>
                <w:rFonts w:cs="Times New Roman"/>
                <w:noProof/>
              </w:rPr>
            </w:pPr>
            <w:r>
              <w:rPr>
                <w:noProof/>
              </w:rPr>
              <w:t>C14.I1</w:t>
            </w:r>
          </w:p>
        </w:tc>
        <w:tc>
          <w:tcPr>
            <w:tcW w:w="850" w:type="dxa"/>
            <w:shd w:val="clear" w:color="auto" w:fill="C6EFCE"/>
            <w:noWrap/>
          </w:tcPr>
          <w:p w14:paraId="7BD991D3" w14:textId="6114023A" w:rsidR="006578ED" w:rsidRDefault="00AF6B91">
            <w:pPr>
              <w:pStyle w:val="P68B1DB1-Normal13"/>
              <w:spacing w:after="0" w:line="240" w:lineRule="auto"/>
              <w:jc w:val="center"/>
              <w:rPr>
                <w:rFonts w:cs="Times New Roman"/>
                <w:noProof/>
              </w:rPr>
            </w:pPr>
            <w:r>
              <w:rPr>
                <w:noProof/>
              </w:rPr>
              <w:t>Cel</w:t>
            </w:r>
          </w:p>
        </w:tc>
        <w:tc>
          <w:tcPr>
            <w:tcW w:w="1418" w:type="dxa"/>
            <w:shd w:val="clear" w:color="auto" w:fill="C6EFCE"/>
            <w:noWrap/>
          </w:tcPr>
          <w:p w14:paraId="64BC3D8B" w14:textId="4DF3DE3B" w:rsidR="006578ED" w:rsidRDefault="00A1618E">
            <w:pPr>
              <w:pStyle w:val="P68B1DB1-Normal13"/>
              <w:spacing w:after="0" w:line="240" w:lineRule="auto"/>
              <w:rPr>
                <w:rFonts w:cs="Times New Roman"/>
                <w:noProof/>
              </w:rPr>
            </w:pPr>
            <w:r>
              <w:rPr>
                <w:noProof/>
              </w:rPr>
              <w:t>Przyznawanie środków budżetowych na plany promujące zrównoważony rozwój turystyki w miejscu docelowym</w:t>
            </w:r>
          </w:p>
        </w:tc>
        <w:tc>
          <w:tcPr>
            <w:tcW w:w="1276" w:type="dxa"/>
            <w:shd w:val="clear" w:color="auto" w:fill="C6EFCE"/>
            <w:noWrap/>
          </w:tcPr>
          <w:p w14:paraId="2491DAEF"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0A88C9B6" w14:textId="77777777" w:rsidR="006578ED" w:rsidRDefault="00A1618E">
            <w:pPr>
              <w:pStyle w:val="P68B1DB1-Normal13"/>
              <w:spacing w:after="0" w:line="240" w:lineRule="auto"/>
              <w:jc w:val="right"/>
              <w:rPr>
                <w:rFonts w:cs="Times New Roman"/>
                <w:noProof/>
              </w:rPr>
            </w:pPr>
            <w:r>
              <w:rPr>
                <w:noProof/>
              </w:rPr>
              <w:t>W mln EUR</w:t>
            </w:r>
          </w:p>
        </w:tc>
        <w:tc>
          <w:tcPr>
            <w:tcW w:w="992" w:type="dxa"/>
            <w:shd w:val="clear" w:color="auto" w:fill="C6EFCE"/>
            <w:noWrap/>
          </w:tcPr>
          <w:p w14:paraId="3CAEF826" w14:textId="77777777" w:rsidR="006578ED" w:rsidRDefault="00A1618E">
            <w:pPr>
              <w:pStyle w:val="P68B1DB1-Normal13"/>
              <w:spacing w:after="0" w:line="240" w:lineRule="auto"/>
              <w:jc w:val="right"/>
              <w:rPr>
                <w:rFonts w:cs="Times New Roman"/>
                <w:noProof/>
              </w:rPr>
            </w:pPr>
            <w:r>
              <w:rPr>
                <w:noProof/>
              </w:rPr>
              <w:t>0</w:t>
            </w:r>
          </w:p>
        </w:tc>
        <w:tc>
          <w:tcPr>
            <w:tcW w:w="567" w:type="dxa"/>
            <w:shd w:val="clear" w:color="auto" w:fill="C6EFCE"/>
            <w:noWrap/>
          </w:tcPr>
          <w:p w14:paraId="1F72AA04" w14:textId="77777777" w:rsidR="006578ED" w:rsidRDefault="00A1618E">
            <w:pPr>
              <w:pStyle w:val="P68B1DB1-Normal13"/>
              <w:spacing w:after="0" w:line="240" w:lineRule="auto"/>
              <w:jc w:val="right"/>
              <w:rPr>
                <w:rFonts w:cs="Times New Roman"/>
                <w:noProof/>
              </w:rPr>
            </w:pPr>
            <w:r>
              <w:rPr>
                <w:noProof/>
              </w:rPr>
              <w:t>561</w:t>
            </w:r>
          </w:p>
        </w:tc>
        <w:tc>
          <w:tcPr>
            <w:tcW w:w="426" w:type="dxa"/>
            <w:shd w:val="clear" w:color="auto" w:fill="C6EFCE"/>
            <w:noWrap/>
          </w:tcPr>
          <w:p w14:paraId="0CF117A0" w14:textId="1480DC60" w:rsidR="006578ED" w:rsidRDefault="00EC188C">
            <w:pPr>
              <w:pStyle w:val="P68B1DB1-Normal13"/>
              <w:spacing w:after="0" w:line="240" w:lineRule="auto"/>
              <w:jc w:val="center"/>
              <w:rPr>
                <w:rFonts w:cs="Times New Roman"/>
                <w:noProof/>
              </w:rPr>
            </w:pPr>
            <w:r>
              <w:rPr>
                <w:noProof/>
              </w:rPr>
              <w:t>KW. 4</w:t>
            </w:r>
          </w:p>
        </w:tc>
        <w:tc>
          <w:tcPr>
            <w:tcW w:w="708" w:type="dxa"/>
            <w:shd w:val="clear" w:color="auto" w:fill="C6EFCE"/>
            <w:noWrap/>
          </w:tcPr>
          <w:p w14:paraId="18240322" w14:textId="77777777" w:rsidR="006578ED" w:rsidRDefault="00A1618E">
            <w:pPr>
              <w:pStyle w:val="P68B1DB1-Normal13"/>
              <w:spacing w:after="0" w:line="240" w:lineRule="auto"/>
              <w:jc w:val="center"/>
              <w:rPr>
                <w:rFonts w:cs="Times New Roman"/>
                <w:noProof/>
              </w:rPr>
            </w:pPr>
            <w:r>
              <w:rPr>
                <w:noProof/>
              </w:rPr>
              <w:t>2021</w:t>
            </w:r>
          </w:p>
        </w:tc>
        <w:tc>
          <w:tcPr>
            <w:tcW w:w="6237" w:type="dxa"/>
            <w:shd w:val="clear" w:color="auto" w:fill="C6EFCE"/>
            <w:noWrap/>
          </w:tcPr>
          <w:p w14:paraId="3898F70F" w14:textId="42ADFEBF" w:rsidR="006578ED" w:rsidRDefault="00A1618E">
            <w:pPr>
              <w:pStyle w:val="P68B1DB1-Normal13"/>
              <w:spacing w:after="0" w:line="240" w:lineRule="auto"/>
              <w:rPr>
                <w:rFonts w:cs="Times New Roman"/>
                <w:noProof/>
              </w:rPr>
            </w:pPr>
            <w:r>
              <w:rPr>
                <w:noProof/>
              </w:rPr>
              <w:t>Publikacja w Dz.U. przyznania władzom lokalnym wsparcia na rzecz wdrożenia „Planów terytorialnych na rzecz zrównoważonego rozwoju turystyki w miejscu przeznaczenia” w wysokości co najmniej 561 000 000 EUR, przy czym 35 % funduszy ma na celu sfinansowanie działań dotyczących transformacji ekologicznej, zrównoważonego rozwoju i efektywności energetycznej/elektromobilności w ośrodkach turystycznych. Kryteria wyboru zapewnią zgodność z wytycznymi technicznymi dotyczącymi zasady „nie czyń poważnych szkód” (2021/C58/01) poprzez wykorzystanie wykazu wykluczenia oraz spełnienie wymogu zgodności z odpowiednimi unijnymi i krajowymi przepisami w zakresie ochrony środowiska. Kryteria wyboru zapewniają, aby z ostatecznego całkowitego budżetu przyznanego na dane działanie co najmniej 359 000 000 EUR z działania przyczyniało się do realizacji celów związanych ze zmianą klimatu przy zastosowaniu współczynnika klimatycznego wynoszącego 100 % i co najmniej 519 000 000 EUR ze współczynnikiem klimatycznym wynoszącym 40 %, zgodnie z załącznikiem VI do rozporządzenia (UE) 2021/241 w sprawie Instrumentu na rzecz Odbudowy i Zwiększania Odporności. Alternatywnie kryteria wyboru zapewniają, aby co najmniej 1 788,6 mln EUR przyczyniało się do realizacji celów związanych ze zmianą klimatu przy średnim współczynniku klimatycznym wynoszącym co najmniej 31,7 % zgodnie z załącznikiem VI do rozporządzenia Parlamentu Europejskiego i Rady (UE) 2021/241. Tę średnią stawkę wkładu można osiągnąć na podstawie obszarów interwencji określonych w załączniku VI do rozporządzenia (UE) 2021/241.</w:t>
            </w:r>
          </w:p>
        </w:tc>
      </w:tr>
      <w:tr w:rsidR="006578ED" w14:paraId="3A49E1E8" w14:textId="77777777">
        <w:trPr>
          <w:trHeight w:val="881"/>
        </w:trPr>
        <w:tc>
          <w:tcPr>
            <w:tcW w:w="709" w:type="dxa"/>
            <w:shd w:val="clear" w:color="auto" w:fill="C6EFCE"/>
            <w:noWrap/>
          </w:tcPr>
          <w:p w14:paraId="53C4D7CE" w14:textId="77777777" w:rsidR="006578ED" w:rsidRDefault="00A1618E">
            <w:pPr>
              <w:pStyle w:val="P68B1DB1-Normal13"/>
              <w:spacing w:after="0" w:line="240" w:lineRule="auto"/>
              <w:jc w:val="center"/>
              <w:rPr>
                <w:rFonts w:cs="Times New Roman"/>
                <w:noProof/>
              </w:rPr>
            </w:pPr>
            <w:r>
              <w:rPr>
                <w:noProof/>
              </w:rPr>
              <w:t>218</w:t>
            </w:r>
          </w:p>
        </w:tc>
        <w:tc>
          <w:tcPr>
            <w:tcW w:w="851" w:type="dxa"/>
            <w:shd w:val="clear" w:color="auto" w:fill="C6EFCE"/>
            <w:noWrap/>
          </w:tcPr>
          <w:p w14:paraId="4197E07D" w14:textId="77777777" w:rsidR="006578ED" w:rsidRDefault="00A1618E">
            <w:pPr>
              <w:pStyle w:val="P68B1DB1-Normal13"/>
              <w:spacing w:after="0" w:line="240" w:lineRule="auto"/>
              <w:jc w:val="center"/>
              <w:rPr>
                <w:rFonts w:cs="Times New Roman"/>
                <w:noProof/>
              </w:rPr>
            </w:pPr>
            <w:r>
              <w:rPr>
                <w:noProof/>
              </w:rPr>
              <w:t>C14.I1</w:t>
            </w:r>
          </w:p>
        </w:tc>
        <w:tc>
          <w:tcPr>
            <w:tcW w:w="850" w:type="dxa"/>
            <w:shd w:val="clear" w:color="auto" w:fill="C6EFCE"/>
            <w:noWrap/>
          </w:tcPr>
          <w:p w14:paraId="7A8BEF67" w14:textId="28099BD9" w:rsidR="006578ED" w:rsidRDefault="00AF6B91">
            <w:pPr>
              <w:pStyle w:val="P68B1DB1-Normal13"/>
              <w:spacing w:after="0" w:line="240" w:lineRule="auto"/>
              <w:jc w:val="center"/>
              <w:rPr>
                <w:rFonts w:cs="Times New Roman"/>
                <w:noProof/>
              </w:rPr>
            </w:pPr>
            <w:r>
              <w:rPr>
                <w:noProof/>
              </w:rPr>
              <w:t>Cel</w:t>
            </w:r>
          </w:p>
        </w:tc>
        <w:tc>
          <w:tcPr>
            <w:tcW w:w="1418" w:type="dxa"/>
            <w:shd w:val="clear" w:color="auto" w:fill="C6EFCE"/>
            <w:noWrap/>
          </w:tcPr>
          <w:p w14:paraId="656C3402" w14:textId="5655AC14" w:rsidR="006578ED" w:rsidRDefault="00A1618E">
            <w:pPr>
              <w:pStyle w:val="P68B1DB1-Normal13"/>
              <w:spacing w:after="0" w:line="240" w:lineRule="auto"/>
              <w:rPr>
                <w:rFonts w:cs="Times New Roman"/>
                <w:noProof/>
              </w:rPr>
            </w:pPr>
            <w:r>
              <w:rPr>
                <w:noProof/>
              </w:rPr>
              <w:t>Przyznawanie środków budżetowych na plany promujące zrównoważony rozwój turystyki w miejscu docelowym</w:t>
            </w:r>
          </w:p>
        </w:tc>
        <w:tc>
          <w:tcPr>
            <w:tcW w:w="1276" w:type="dxa"/>
            <w:shd w:val="clear" w:color="auto" w:fill="C6EFCE"/>
            <w:noWrap/>
          </w:tcPr>
          <w:p w14:paraId="031418A8"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35029609" w14:textId="77777777" w:rsidR="006578ED" w:rsidRDefault="00A1618E">
            <w:pPr>
              <w:pStyle w:val="P68B1DB1-Normal13"/>
              <w:spacing w:after="0" w:line="240" w:lineRule="auto"/>
              <w:jc w:val="right"/>
              <w:rPr>
                <w:rFonts w:cs="Times New Roman"/>
                <w:noProof/>
              </w:rPr>
            </w:pPr>
            <w:r>
              <w:rPr>
                <w:noProof/>
              </w:rPr>
              <w:t>W mln EUR</w:t>
            </w:r>
          </w:p>
        </w:tc>
        <w:tc>
          <w:tcPr>
            <w:tcW w:w="992" w:type="dxa"/>
            <w:shd w:val="clear" w:color="auto" w:fill="C6EFCE"/>
            <w:noWrap/>
          </w:tcPr>
          <w:p w14:paraId="3F42A92B" w14:textId="77777777" w:rsidR="006578ED" w:rsidRDefault="00A1618E">
            <w:pPr>
              <w:pStyle w:val="P68B1DB1-Normal13"/>
              <w:spacing w:after="0" w:line="240" w:lineRule="auto"/>
              <w:jc w:val="right"/>
              <w:rPr>
                <w:rFonts w:cs="Times New Roman"/>
                <w:noProof/>
              </w:rPr>
            </w:pPr>
            <w:r>
              <w:rPr>
                <w:noProof/>
              </w:rPr>
              <w:t>561</w:t>
            </w:r>
          </w:p>
        </w:tc>
        <w:tc>
          <w:tcPr>
            <w:tcW w:w="567" w:type="dxa"/>
            <w:shd w:val="clear" w:color="auto" w:fill="C6EFCE"/>
            <w:noWrap/>
          </w:tcPr>
          <w:p w14:paraId="7B60B58D" w14:textId="77777777" w:rsidR="006578ED" w:rsidRDefault="00A1618E">
            <w:pPr>
              <w:pStyle w:val="P68B1DB1-Normal13"/>
              <w:spacing w:after="0" w:line="240" w:lineRule="auto"/>
              <w:jc w:val="right"/>
              <w:rPr>
                <w:rFonts w:cs="Times New Roman"/>
                <w:noProof/>
              </w:rPr>
            </w:pPr>
            <w:r>
              <w:rPr>
                <w:noProof/>
              </w:rPr>
              <w:t>1 173</w:t>
            </w:r>
          </w:p>
        </w:tc>
        <w:tc>
          <w:tcPr>
            <w:tcW w:w="426" w:type="dxa"/>
            <w:shd w:val="clear" w:color="auto" w:fill="C6EFCE"/>
            <w:noWrap/>
          </w:tcPr>
          <w:p w14:paraId="4821E7BF" w14:textId="5AD650F5" w:rsidR="006578ED" w:rsidRDefault="00EC188C">
            <w:pPr>
              <w:pStyle w:val="P68B1DB1-Normal13"/>
              <w:spacing w:after="0" w:line="240" w:lineRule="auto"/>
              <w:jc w:val="center"/>
              <w:rPr>
                <w:rFonts w:cs="Times New Roman"/>
                <w:noProof/>
              </w:rPr>
            </w:pPr>
            <w:r>
              <w:rPr>
                <w:noProof/>
              </w:rPr>
              <w:t>KW. 4</w:t>
            </w:r>
          </w:p>
        </w:tc>
        <w:tc>
          <w:tcPr>
            <w:tcW w:w="708" w:type="dxa"/>
            <w:shd w:val="clear" w:color="auto" w:fill="C6EFCE"/>
            <w:noWrap/>
          </w:tcPr>
          <w:p w14:paraId="57C4583C" w14:textId="77777777" w:rsidR="006578ED" w:rsidRDefault="00A1618E">
            <w:pPr>
              <w:pStyle w:val="P68B1DB1-Normal13"/>
              <w:spacing w:after="0" w:line="240" w:lineRule="auto"/>
              <w:jc w:val="center"/>
              <w:rPr>
                <w:rFonts w:cs="Times New Roman"/>
                <w:noProof/>
              </w:rPr>
            </w:pPr>
            <w:r>
              <w:rPr>
                <w:noProof/>
              </w:rPr>
              <w:t>2022</w:t>
            </w:r>
          </w:p>
        </w:tc>
        <w:tc>
          <w:tcPr>
            <w:tcW w:w="6237" w:type="dxa"/>
            <w:shd w:val="clear" w:color="auto" w:fill="C6EFCE"/>
            <w:noWrap/>
          </w:tcPr>
          <w:p w14:paraId="2279EB70" w14:textId="6F593BCE" w:rsidR="006578ED" w:rsidRDefault="00A1618E">
            <w:pPr>
              <w:pStyle w:val="P68B1DB1-Normal13"/>
              <w:spacing w:after="0" w:line="240" w:lineRule="auto"/>
              <w:rPr>
                <w:rFonts w:cs="Times New Roman"/>
                <w:noProof/>
              </w:rPr>
            </w:pPr>
            <w:r>
              <w:rPr>
                <w:noProof/>
              </w:rPr>
              <w:t>Publikacja w Dz.U. przyznania władzom lokalnym wsparcia na rzecz wdrożenia „Planów terytorialnych na rzecz zrównoważonego rozwoju turystyki w miejscu przeznaczenia” na kwotę co najmniej 1 173 000 000 EUR (poziom bazowy: 31 grudnia 20</w:t>
            </w:r>
            <w:r w:rsidRPr="00A1618E">
              <w:rPr>
                <w:noProof/>
                <w:lang w:val="pl-PL"/>
              </w:rPr>
              <w:t>21 r.</w:t>
            </w:r>
            <w:r>
              <w:rPr>
                <w:noProof/>
              </w:rPr>
              <w:t>) oraz 35 % środków na finansowanie działań dotyczących transformacji ekologicznej, zrównoważonego rozwoju i efektywności energetycznej/elektromobilności w miejscach przeznaczenia. Kryteria wyboru muszą zapewniać zgodność z wytycznymi technicznymi dotyczącymi zasady „nie czyń poważnych szkód” (2021/C58/01) poprzez wykorzystanie wykazu wykluczenia oraz spełnienie wymogu zgodności z odpowiednimi unijnymi i krajowymi przepisami w zakresie ochrony środowiska. Kryteria wyboru zapewniają, aby z ostatecznego całkowitego budżetu przyznanego na dane działanie co najmniej 359 000 000 EUR z działania przyczyniało się do realizacji celów związanych ze zmianą klimatu przy zastosowaniu współczynnika klimatycznego wynoszącego 100 % i co najmniej 519 000 000 EUR ze współczynnikiem klimatycznym wynoszącym 40 %, zgodnie z załącznikiem VI do rozporządzenia (UE) 2021/241 w sprawie Instrumentu na rzecz Odbudowy i Zwiększania Odporności</w:t>
            </w:r>
            <w:r w:rsidRPr="00A1618E">
              <w:rPr>
                <w:noProof/>
                <w:lang w:val="pl-PL"/>
              </w:rPr>
              <w:t>.</w:t>
            </w:r>
            <w:r w:rsidRPr="00A1618E">
              <w:rPr>
                <w:noProof/>
                <w:shd w:val="clear" w:color="auto" w:fill="E6E6E6"/>
                <w:lang w:val="pl-PL"/>
              </w:rPr>
              <w:t xml:space="preserve"> </w:t>
            </w:r>
            <w:r w:rsidRPr="00A1618E">
              <w:rPr>
                <w:noProof/>
                <w:lang w:val="pl-PL"/>
              </w:rPr>
              <w:t>A</w:t>
            </w:r>
            <w:r>
              <w:rPr>
                <w:noProof/>
              </w:rPr>
              <w:t>lternatywnie kryteria wyboru zapewniają, aby co najmniej 1 788,6 mln EUR przyczyniało się do realizacji celów związanych ze zmianą klimatu przy średnim współczynniku klimatycznym wynoszącym co najmniej 31,7 % zgodnie z załącznikiem VI do rozporządzenia Parlamentu Europejskiego i Rady (UE) 2021/241. Tę średnią stawkę wkładu można osiągnąć na podstawie obszarów interwencji określonych w załączniku VI do rozporządzenia (UE) 2021/241.</w:t>
            </w:r>
          </w:p>
        </w:tc>
      </w:tr>
      <w:tr w:rsidR="006578ED" w14:paraId="7E2C0B03" w14:textId="77777777">
        <w:trPr>
          <w:trHeight w:val="881"/>
        </w:trPr>
        <w:tc>
          <w:tcPr>
            <w:tcW w:w="709" w:type="dxa"/>
            <w:shd w:val="clear" w:color="auto" w:fill="C6EFCE"/>
            <w:noWrap/>
          </w:tcPr>
          <w:p w14:paraId="3F6C604A" w14:textId="77777777" w:rsidR="006578ED" w:rsidRDefault="00A1618E">
            <w:pPr>
              <w:pStyle w:val="P68B1DB1-Normal13"/>
              <w:spacing w:after="0" w:line="240" w:lineRule="auto"/>
              <w:jc w:val="center"/>
              <w:rPr>
                <w:rFonts w:cs="Times New Roman"/>
                <w:noProof/>
              </w:rPr>
            </w:pPr>
            <w:r>
              <w:rPr>
                <w:noProof/>
              </w:rPr>
              <w:t>219</w:t>
            </w:r>
          </w:p>
        </w:tc>
        <w:tc>
          <w:tcPr>
            <w:tcW w:w="851" w:type="dxa"/>
            <w:shd w:val="clear" w:color="auto" w:fill="C6EFCE"/>
            <w:noWrap/>
          </w:tcPr>
          <w:p w14:paraId="3BB6DD03" w14:textId="77777777" w:rsidR="006578ED" w:rsidRDefault="00A1618E">
            <w:pPr>
              <w:pStyle w:val="P68B1DB1-Normal13"/>
              <w:spacing w:after="0" w:line="240" w:lineRule="auto"/>
              <w:jc w:val="center"/>
              <w:rPr>
                <w:rFonts w:cs="Times New Roman"/>
                <w:noProof/>
              </w:rPr>
            </w:pPr>
            <w:r>
              <w:rPr>
                <w:noProof/>
              </w:rPr>
              <w:t>C14.I1</w:t>
            </w:r>
          </w:p>
        </w:tc>
        <w:tc>
          <w:tcPr>
            <w:tcW w:w="850" w:type="dxa"/>
            <w:shd w:val="clear" w:color="auto" w:fill="C6EFCE"/>
            <w:noWrap/>
          </w:tcPr>
          <w:p w14:paraId="714985AB" w14:textId="0A1D5551" w:rsidR="006578ED" w:rsidRDefault="00AF6B91">
            <w:pPr>
              <w:pStyle w:val="P68B1DB1-Normal13"/>
              <w:spacing w:after="0" w:line="240" w:lineRule="auto"/>
              <w:jc w:val="center"/>
              <w:rPr>
                <w:rFonts w:cs="Times New Roman"/>
                <w:noProof/>
              </w:rPr>
            </w:pPr>
            <w:r>
              <w:rPr>
                <w:noProof/>
              </w:rPr>
              <w:t>Cel</w:t>
            </w:r>
          </w:p>
        </w:tc>
        <w:tc>
          <w:tcPr>
            <w:tcW w:w="1418" w:type="dxa"/>
            <w:shd w:val="clear" w:color="auto" w:fill="C6EFCE"/>
            <w:noWrap/>
          </w:tcPr>
          <w:p w14:paraId="2C99D933" w14:textId="407C2FFF" w:rsidR="006578ED" w:rsidRDefault="00A1618E">
            <w:pPr>
              <w:pStyle w:val="P68B1DB1-Normal13"/>
              <w:spacing w:after="0" w:line="240" w:lineRule="auto"/>
              <w:rPr>
                <w:rFonts w:cs="Times New Roman"/>
                <w:noProof/>
              </w:rPr>
            </w:pPr>
            <w:r>
              <w:rPr>
                <w:noProof/>
              </w:rPr>
              <w:t>Przyznawanie środków budżetowych na plany promujące zrównoważony rozwój turystyki w miejscu docelowym</w:t>
            </w:r>
          </w:p>
        </w:tc>
        <w:tc>
          <w:tcPr>
            <w:tcW w:w="1276" w:type="dxa"/>
            <w:shd w:val="clear" w:color="auto" w:fill="C6EFCE"/>
            <w:noWrap/>
          </w:tcPr>
          <w:p w14:paraId="252E388B"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793BFD1E" w14:textId="77777777" w:rsidR="006578ED" w:rsidRDefault="00A1618E">
            <w:pPr>
              <w:pStyle w:val="P68B1DB1-Normal13"/>
              <w:spacing w:after="0" w:line="240" w:lineRule="auto"/>
              <w:jc w:val="right"/>
              <w:rPr>
                <w:rFonts w:cs="Times New Roman"/>
                <w:noProof/>
              </w:rPr>
            </w:pPr>
            <w:r>
              <w:rPr>
                <w:noProof/>
              </w:rPr>
              <w:t>W mln EUR</w:t>
            </w:r>
          </w:p>
        </w:tc>
        <w:tc>
          <w:tcPr>
            <w:tcW w:w="992" w:type="dxa"/>
            <w:shd w:val="clear" w:color="auto" w:fill="C6EFCE"/>
            <w:noWrap/>
          </w:tcPr>
          <w:p w14:paraId="0D6A52D3" w14:textId="77777777" w:rsidR="006578ED" w:rsidRDefault="00A1618E">
            <w:pPr>
              <w:pStyle w:val="P68B1DB1-Normal13"/>
              <w:spacing w:after="0" w:line="240" w:lineRule="auto"/>
              <w:jc w:val="right"/>
              <w:rPr>
                <w:rFonts w:cs="Times New Roman"/>
                <w:noProof/>
              </w:rPr>
            </w:pPr>
            <w:r>
              <w:rPr>
                <w:noProof/>
              </w:rPr>
              <w:t>1 173</w:t>
            </w:r>
          </w:p>
        </w:tc>
        <w:tc>
          <w:tcPr>
            <w:tcW w:w="567" w:type="dxa"/>
            <w:shd w:val="clear" w:color="auto" w:fill="C6EFCE"/>
            <w:noWrap/>
          </w:tcPr>
          <w:p w14:paraId="42F823EC" w14:textId="77777777" w:rsidR="006578ED" w:rsidRDefault="00A1618E">
            <w:pPr>
              <w:pStyle w:val="P68B1DB1-Normal13"/>
              <w:spacing w:after="0" w:line="240" w:lineRule="auto"/>
              <w:jc w:val="right"/>
              <w:rPr>
                <w:rFonts w:cs="Times New Roman"/>
                <w:noProof/>
              </w:rPr>
            </w:pPr>
            <w:r>
              <w:rPr>
                <w:noProof/>
              </w:rPr>
              <w:t xml:space="preserve">1 788,6 </w:t>
            </w:r>
          </w:p>
        </w:tc>
        <w:tc>
          <w:tcPr>
            <w:tcW w:w="426" w:type="dxa"/>
            <w:shd w:val="clear" w:color="auto" w:fill="C6EFCE"/>
            <w:noWrap/>
          </w:tcPr>
          <w:p w14:paraId="4486E236" w14:textId="16054C10" w:rsidR="006578ED" w:rsidRDefault="00EC188C">
            <w:pPr>
              <w:pStyle w:val="P68B1DB1-Normal13"/>
              <w:spacing w:after="0" w:line="240" w:lineRule="auto"/>
              <w:jc w:val="center"/>
              <w:rPr>
                <w:rFonts w:cs="Times New Roman"/>
                <w:noProof/>
              </w:rPr>
            </w:pPr>
            <w:r>
              <w:rPr>
                <w:noProof/>
              </w:rPr>
              <w:t>KW. 4</w:t>
            </w:r>
          </w:p>
        </w:tc>
        <w:tc>
          <w:tcPr>
            <w:tcW w:w="708" w:type="dxa"/>
            <w:shd w:val="clear" w:color="auto" w:fill="C6EFCE"/>
            <w:noWrap/>
          </w:tcPr>
          <w:p w14:paraId="05A1046B" w14:textId="77777777" w:rsidR="006578ED" w:rsidRDefault="00A1618E">
            <w:pPr>
              <w:pStyle w:val="P68B1DB1-Normal13"/>
              <w:spacing w:after="0" w:line="240" w:lineRule="auto"/>
              <w:jc w:val="center"/>
              <w:rPr>
                <w:rFonts w:cs="Times New Roman"/>
                <w:noProof/>
              </w:rPr>
            </w:pPr>
            <w:r>
              <w:rPr>
                <w:noProof/>
              </w:rPr>
              <w:t>2023</w:t>
            </w:r>
          </w:p>
        </w:tc>
        <w:tc>
          <w:tcPr>
            <w:tcW w:w="6237" w:type="dxa"/>
            <w:shd w:val="clear" w:color="auto" w:fill="C6EFCE"/>
            <w:noWrap/>
          </w:tcPr>
          <w:p w14:paraId="0D332556" w14:textId="04BE1776" w:rsidR="006578ED" w:rsidRDefault="00A1618E">
            <w:pPr>
              <w:pStyle w:val="P68B1DB1-Normal13"/>
              <w:spacing w:after="0" w:line="240" w:lineRule="auto"/>
              <w:rPr>
                <w:rFonts w:cs="Times New Roman"/>
                <w:noProof/>
              </w:rPr>
            </w:pPr>
            <w:r>
              <w:rPr>
                <w:noProof/>
              </w:rPr>
              <w:t>Publikacja w Dz.U. przyznania władzom lokalnym wsparcia na rzecz wdrożenia „Planów terytorialnych na rzecz zrównoważonego rozwoju turystyki w miejscu przeznaczenia” za co najmniej 1 788 600 000 EUR (poziom bazowy: 31 grudnia 20</w:t>
            </w:r>
            <w:r w:rsidRPr="00A1618E">
              <w:rPr>
                <w:noProof/>
                <w:lang w:val="pl-PL"/>
              </w:rPr>
              <w:t>22 r.</w:t>
            </w:r>
            <w:r>
              <w:rPr>
                <w:noProof/>
              </w:rPr>
              <w:t>) oraz 35 % środków na finansowanie działań dotyczących transformacji ekologicznej, zrównoważonego rozwoju i efektywności energetycznej/mobilności elektronów w ośrodkach turystycznych. Kryteria wyboru muszą zapewniać zgodność z wytycznymi technicznymi dotyczącymi zasady „nie czyń poważnych szkód” (2021/C58/01) poprzez wykorzystanie wykazu wykluczenia oraz spełnienie wymogu zgodności z odpowiednimi unijnymi i krajowymi przepisami w zakresie ochrony środowiska. Kryteria wyboru zapewniają, aby z ostatecznego całkowitego budżetu przyznanego na dane działanie co najmniej 359 000 000 EUR z działania przyczyniało się do realizacji celów związanych ze zmianą klimatu przy zastosowaniu współczynnika klimatycznego wynoszącego 100 % i co najmniej 519 000 000 EUR ze współczynnikiem klimatycznym wynoszącym 40 %, zgodnie z załącznikiem VI do rozporządzenia (UE) 2021/241 w sprawie Instrumentu na rzecz Odbudowy i Zwiększania Odporności. Alternatywnie kryteria wyboru zapewniają, aby co najmniej 1 788,6 mln EUR przyczyniało się do realizacji celów związanych ze zmianą klimatu przy średnim współczynniku klimatycznym wynoszącym co najmniej 31,7 % zgodnie z załącznikiem VI do rozporządzenia Parlamentu Europejskiego i Rady (UE) 2021/241. Tę średnią stawkę wkładu można osiągnąć na podstawie obszarów interwencji określonych w załączniku VI do rozporządzenia (UE) 2021/241.</w:t>
            </w:r>
          </w:p>
        </w:tc>
      </w:tr>
      <w:tr w:rsidR="006578ED" w14:paraId="12DD52FC" w14:textId="77777777">
        <w:trPr>
          <w:trHeight w:val="881"/>
        </w:trPr>
        <w:tc>
          <w:tcPr>
            <w:tcW w:w="709" w:type="dxa"/>
            <w:shd w:val="clear" w:color="auto" w:fill="C6EFCE"/>
            <w:noWrap/>
          </w:tcPr>
          <w:p w14:paraId="7AAF69D2" w14:textId="77777777" w:rsidR="006578ED" w:rsidRDefault="00A1618E">
            <w:pPr>
              <w:pStyle w:val="P68B1DB1-Normal13"/>
              <w:spacing w:after="0" w:line="240" w:lineRule="auto"/>
              <w:jc w:val="center"/>
              <w:rPr>
                <w:rFonts w:cs="Times New Roman"/>
                <w:noProof/>
              </w:rPr>
            </w:pPr>
            <w:r>
              <w:rPr>
                <w:noProof/>
              </w:rPr>
              <w:t>220</w:t>
            </w:r>
          </w:p>
        </w:tc>
        <w:tc>
          <w:tcPr>
            <w:tcW w:w="851" w:type="dxa"/>
            <w:shd w:val="clear" w:color="auto" w:fill="C6EFCE"/>
            <w:noWrap/>
          </w:tcPr>
          <w:p w14:paraId="367BA7AF" w14:textId="77777777" w:rsidR="006578ED" w:rsidRDefault="00A1618E">
            <w:pPr>
              <w:pStyle w:val="P68B1DB1-Normal13"/>
              <w:spacing w:after="0" w:line="240" w:lineRule="auto"/>
              <w:jc w:val="center"/>
              <w:rPr>
                <w:rFonts w:cs="Times New Roman"/>
                <w:noProof/>
              </w:rPr>
            </w:pPr>
            <w:r>
              <w:rPr>
                <w:noProof/>
              </w:rPr>
              <w:t>C14.I1</w:t>
            </w:r>
          </w:p>
        </w:tc>
        <w:tc>
          <w:tcPr>
            <w:tcW w:w="850" w:type="dxa"/>
            <w:shd w:val="clear" w:color="auto" w:fill="C6EFCE"/>
            <w:noWrap/>
          </w:tcPr>
          <w:p w14:paraId="40DCAAEF" w14:textId="3CC1B6E0" w:rsidR="006578ED" w:rsidRDefault="00AF6B91">
            <w:pPr>
              <w:pStyle w:val="P68B1DB1-Normal13"/>
              <w:spacing w:after="0" w:line="240" w:lineRule="auto"/>
              <w:jc w:val="center"/>
              <w:rPr>
                <w:rFonts w:cs="Times New Roman"/>
                <w:noProof/>
              </w:rPr>
            </w:pPr>
            <w:r>
              <w:rPr>
                <w:noProof/>
              </w:rPr>
              <w:t>Kamień milowy</w:t>
            </w:r>
          </w:p>
        </w:tc>
        <w:tc>
          <w:tcPr>
            <w:tcW w:w="1418" w:type="dxa"/>
            <w:shd w:val="clear" w:color="auto" w:fill="C6EFCE"/>
            <w:noWrap/>
          </w:tcPr>
          <w:p w14:paraId="6C965BCD" w14:textId="4E269DBA" w:rsidR="006578ED" w:rsidRDefault="00A1618E">
            <w:pPr>
              <w:pStyle w:val="P68B1DB1-Normal13"/>
              <w:spacing w:after="0" w:line="240" w:lineRule="auto"/>
              <w:rPr>
                <w:rFonts w:cs="Times New Roman"/>
                <w:noProof/>
              </w:rPr>
            </w:pPr>
            <w:r>
              <w:rPr>
                <w:noProof/>
              </w:rPr>
              <w:t>Ukończenie planów promujących zrównoważony charakter turystyki w miejscu docelowym</w:t>
            </w:r>
          </w:p>
        </w:tc>
        <w:tc>
          <w:tcPr>
            <w:tcW w:w="1276" w:type="dxa"/>
            <w:shd w:val="clear" w:color="auto" w:fill="C6EFCE"/>
            <w:noWrap/>
          </w:tcPr>
          <w:p w14:paraId="5F4CC487" w14:textId="77777777" w:rsidR="006578ED" w:rsidRDefault="00A1618E">
            <w:pPr>
              <w:pStyle w:val="P68B1DB1-Normal13"/>
              <w:spacing w:after="0" w:line="240" w:lineRule="auto"/>
              <w:jc w:val="center"/>
              <w:rPr>
                <w:rFonts w:cs="Times New Roman"/>
                <w:noProof/>
              </w:rPr>
            </w:pPr>
            <w:r>
              <w:rPr>
                <w:noProof/>
              </w:rPr>
              <w:t>Sprawozdanie Komisji Monitorującej zatwierdzające próg postępu</w:t>
            </w:r>
          </w:p>
        </w:tc>
        <w:tc>
          <w:tcPr>
            <w:tcW w:w="850" w:type="dxa"/>
            <w:shd w:val="clear" w:color="auto" w:fill="C6EFCE"/>
            <w:noWrap/>
          </w:tcPr>
          <w:p w14:paraId="1F1C4F07" w14:textId="77777777" w:rsidR="006578ED" w:rsidRDefault="00A1618E">
            <w:pPr>
              <w:pStyle w:val="P68B1DB1-Normal13"/>
              <w:spacing w:after="0" w:line="240" w:lineRule="auto"/>
              <w:jc w:val="right"/>
              <w:rPr>
                <w:rFonts w:cs="Times New Roman"/>
                <w:noProof/>
              </w:rPr>
            </w:pPr>
            <w:r>
              <w:rPr>
                <w:noProof/>
              </w:rPr>
              <w:t> </w:t>
            </w:r>
          </w:p>
        </w:tc>
        <w:tc>
          <w:tcPr>
            <w:tcW w:w="992" w:type="dxa"/>
            <w:shd w:val="clear" w:color="auto" w:fill="C6EFCE"/>
            <w:noWrap/>
          </w:tcPr>
          <w:p w14:paraId="1C108D2C" w14:textId="77777777" w:rsidR="006578ED" w:rsidRDefault="00A1618E">
            <w:pPr>
              <w:pStyle w:val="P68B1DB1-Normal13"/>
              <w:spacing w:after="0" w:line="240" w:lineRule="auto"/>
              <w:jc w:val="right"/>
              <w:rPr>
                <w:rFonts w:cs="Times New Roman"/>
                <w:noProof/>
              </w:rPr>
            </w:pPr>
            <w:r>
              <w:rPr>
                <w:noProof/>
              </w:rPr>
              <w:t> </w:t>
            </w:r>
          </w:p>
        </w:tc>
        <w:tc>
          <w:tcPr>
            <w:tcW w:w="567" w:type="dxa"/>
            <w:shd w:val="clear" w:color="auto" w:fill="C6EFCE"/>
            <w:noWrap/>
          </w:tcPr>
          <w:p w14:paraId="42048B5B" w14:textId="77777777" w:rsidR="006578ED" w:rsidRDefault="00A1618E">
            <w:pPr>
              <w:pStyle w:val="P68B1DB1-Normal13"/>
              <w:spacing w:after="0" w:line="240" w:lineRule="auto"/>
              <w:jc w:val="right"/>
              <w:rPr>
                <w:rFonts w:cs="Times New Roman"/>
                <w:noProof/>
              </w:rPr>
            </w:pPr>
            <w:r>
              <w:rPr>
                <w:noProof/>
              </w:rPr>
              <w:t> </w:t>
            </w:r>
          </w:p>
        </w:tc>
        <w:tc>
          <w:tcPr>
            <w:tcW w:w="426" w:type="dxa"/>
            <w:shd w:val="clear" w:color="auto" w:fill="C6EFCE"/>
            <w:noWrap/>
          </w:tcPr>
          <w:p w14:paraId="4362E8A4" w14:textId="14AB6844" w:rsidR="006578ED" w:rsidRDefault="00EC188C">
            <w:pPr>
              <w:pStyle w:val="P68B1DB1-Normal13"/>
              <w:spacing w:after="0" w:line="240" w:lineRule="auto"/>
              <w:jc w:val="center"/>
              <w:rPr>
                <w:rFonts w:cs="Times New Roman"/>
                <w:noProof/>
              </w:rPr>
            </w:pPr>
            <w:r>
              <w:rPr>
                <w:noProof/>
              </w:rPr>
              <w:t>KW. 4</w:t>
            </w:r>
          </w:p>
        </w:tc>
        <w:tc>
          <w:tcPr>
            <w:tcW w:w="708" w:type="dxa"/>
            <w:shd w:val="clear" w:color="auto" w:fill="C6EFCE"/>
            <w:noWrap/>
          </w:tcPr>
          <w:p w14:paraId="4483B977" w14:textId="77777777" w:rsidR="006578ED" w:rsidRDefault="00A1618E">
            <w:pPr>
              <w:pStyle w:val="P68B1DB1-Normal13"/>
              <w:spacing w:after="0" w:line="240" w:lineRule="auto"/>
              <w:jc w:val="center"/>
              <w:rPr>
                <w:rFonts w:cs="Times New Roman"/>
                <w:noProof/>
              </w:rPr>
            </w:pPr>
            <w:r>
              <w:rPr>
                <w:noProof/>
              </w:rPr>
              <w:t>2024</w:t>
            </w:r>
          </w:p>
        </w:tc>
        <w:tc>
          <w:tcPr>
            <w:tcW w:w="6237" w:type="dxa"/>
            <w:shd w:val="clear" w:color="auto" w:fill="C6EFCE"/>
            <w:noWrap/>
          </w:tcPr>
          <w:p w14:paraId="0C6ED490" w14:textId="5F3C4AB6" w:rsidR="006578ED" w:rsidRDefault="00A1618E">
            <w:pPr>
              <w:pStyle w:val="P68B1DB1-Normal13"/>
              <w:spacing w:after="0" w:line="240" w:lineRule="auto"/>
              <w:rPr>
                <w:rFonts w:cs="Times New Roman"/>
                <w:noProof/>
              </w:rPr>
            </w:pPr>
            <w:r>
              <w:rPr>
                <w:noProof/>
              </w:rPr>
              <w:t>Komisja monitorująca zapewnia, aby wszystkie przyznane miejsca przeznaczenia spełniały co najmniej następujący odsetek poziomów wykonania każdego planu zrównoważoności turystycznej:</w:t>
            </w:r>
            <w:r>
              <w:rPr>
                <w:noProof/>
              </w:rPr>
              <w:br/>
            </w:r>
            <w:bookmarkStart w:id="49" w:name="_Hlk139826696"/>
            <w:r>
              <w:rPr>
                <w:noProof/>
              </w:rPr>
              <w:t>Ukończenie 50 % w przypadku miejsc przeznaczenia przyznanych w 20</w:t>
            </w:r>
            <w:r w:rsidRPr="00A1618E">
              <w:rPr>
                <w:noProof/>
                <w:lang w:val="pl-PL"/>
              </w:rPr>
              <w:t>21 r.</w:t>
            </w:r>
            <w:r>
              <w:rPr>
                <w:noProof/>
              </w:rPr>
              <w:br/>
              <w:t>30 % realizacji w przypadku miejsc przeznaczenia przyznanych w 20</w:t>
            </w:r>
            <w:r w:rsidRPr="00A1618E">
              <w:rPr>
                <w:noProof/>
                <w:lang w:val="pl-PL"/>
              </w:rPr>
              <w:t>22 r.</w:t>
            </w:r>
            <w:r>
              <w:rPr>
                <w:noProof/>
              </w:rPr>
              <w:t xml:space="preserve"> </w:t>
            </w:r>
            <w:r>
              <w:rPr>
                <w:noProof/>
              </w:rPr>
              <w:br/>
              <w:t>15 % ukończenia w przypadku miejsc przeznaczenia przyznanych w 20</w:t>
            </w:r>
            <w:r w:rsidRPr="00A1618E">
              <w:rPr>
                <w:noProof/>
                <w:lang w:val="pl-PL"/>
              </w:rPr>
              <w:t>23 r.</w:t>
            </w:r>
            <w:r>
              <w:rPr>
                <w:noProof/>
              </w:rPr>
              <w:t xml:space="preserve"> </w:t>
            </w:r>
            <w:bookmarkEnd w:id="49"/>
          </w:p>
        </w:tc>
      </w:tr>
      <w:tr w:rsidR="006578ED" w14:paraId="0501667D" w14:textId="77777777">
        <w:trPr>
          <w:trHeight w:val="881"/>
        </w:trPr>
        <w:tc>
          <w:tcPr>
            <w:tcW w:w="709" w:type="dxa"/>
            <w:shd w:val="clear" w:color="auto" w:fill="C6EFCE"/>
            <w:noWrap/>
          </w:tcPr>
          <w:p w14:paraId="4FC549A4" w14:textId="77777777" w:rsidR="006578ED" w:rsidRDefault="00A1618E">
            <w:pPr>
              <w:pStyle w:val="P68B1DB1-Normal13"/>
              <w:spacing w:after="0" w:line="240" w:lineRule="auto"/>
              <w:jc w:val="center"/>
              <w:rPr>
                <w:rFonts w:cs="Times New Roman"/>
                <w:noProof/>
              </w:rPr>
            </w:pPr>
            <w:r>
              <w:rPr>
                <w:noProof/>
              </w:rPr>
              <w:t>221</w:t>
            </w:r>
          </w:p>
        </w:tc>
        <w:tc>
          <w:tcPr>
            <w:tcW w:w="851" w:type="dxa"/>
            <w:shd w:val="clear" w:color="auto" w:fill="C6EFCE"/>
            <w:noWrap/>
          </w:tcPr>
          <w:p w14:paraId="5EA6E5FA" w14:textId="77777777" w:rsidR="006578ED" w:rsidRDefault="00A1618E">
            <w:pPr>
              <w:pStyle w:val="P68B1DB1-Normal13"/>
              <w:spacing w:after="0" w:line="240" w:lineRule="auto"/>
              <w:jc w:val="center"/>
              <w:rPr>
                <w:rFonts w:cs="Times New Roman"/>
                <w:noProof/>
              </w:rPr>
            </w:pPr>
            <w:r>
              <w:rPr>
                <w:noProof/>
              </w:rPr>
              <w:t>C14.I1</w:t>
            </w:r>
          </w:p>
        </w:tc>
        <w:tc>
          <w:tcPr>
            <w:tcW w:w="850" w:type="dxa"/>
            <w:shd w:val="clear" w:color="auto" w:fill="C6EFCE"/>
            <w:noWrap/>
          </w:tcPr>
          <w:p w14:paraId="43D19A03" w14:textId="6049D4A7" w:rsidR="006578ED" w:rsidRDefault="00AF6B91">
            <w:pPr>
              <w:pStyle w:val="P68B1DB1-Normal13"/>
              <w:spacing w:after="0" w:line="240" w:lineRule="auto"/>
              <w:jc w:val="center"/>
              <w:rPr>
                <w:rFonts w:cs="Times New Roman"/>
                <w:noProof/>
              </w:rPr>
            </w:pPr>
            <w:r>
              <w:rPr>
                <w:noProof/>
              </w:rPr>
              <w:t>Kamień milowy</w:t>
            </w:r>
          </w:p>
        </w:tc>
        <w:tc>
          <w:tcPr>
            <w:tcW w:w="1418" w:type="dxa"/>
            <w:shd w:val="clear" w:color="auto" w:fill="C6EFCE"/>
            <w:noWrap/>
          </w:tcPr>
          <w:p w14:paraId="5B0E3809" w14:textId="77777777" w:rsidR="006578ED" w:rsidRDefault="00A1618E">
            <w:pPr>
              <w:pStyle w:val="P68B1DB1-Normal13"/>
              <w:spacing w:after="0" w:line="240" w:lineRule="auto"/>
              <w:rPr>
                <w:rFonts w:cs="Times New Roman"/>
                <w:noProof/>
              </w:rPr>
            </w:pPr>
            <w:r>
              <w:rPr>
                <w:noProof/>
              </w:rPr>
              <w:t xml:space="preserve">Zakończenie projektów promujących zrównoważony charakter kierunków turystycznych </w:t>
            </w:r>
          </w:p>
        </w:tc>
        <w:tc>
          <w:tcPr>
            <w:tcW w:w="1276" w:type="dxa"/>
            <w:shd w:val="clear" w:color="auto" w:fill="C6EFCE"/>
            <w:noWrap/>
          </w:tcPr>
          <w:p w14:paraId="4B888E08" w14:textId="77777777" w:rsidR="006578ED" w:rsidRDefault="00A1618E">
            <w:pPr>
              <w:pStyle w:val="P68B1DB1-Normal13"/>
              <w:spacing w:after="0" w:line="240" w:lineRule="auto"/>
              <w:jc w:val="center"/>
              <w:rPr>
                <w:rFonts w:cs="Times New Roman"/>
                <w:noProof/>
              </w:rPr>
            </w:pPr>
            <w:r>
              <w:rPr>
                <w:noProof/>
              </w:rPr>
              <w:t>Świadectwo ukończenia</w:t>
            </w:r>
          </w:p>
        </w:tc>
        <w:tc>
          <w:tcPr>
            <w:tcW w:w="850" w:type="dxa"/>
            <w:shd w:val="clear" w:color="auto" w:fill="C6EFCE"/>
            <w:noWrap/>
          </w:tcPr>
          <w:p w14:paraId="50BD9DCD" w14:textId="77777777" w:rsidR="006578ED" w:rsidRDefault="00A1618E">
            <w:pPr>
              <w:pStyle w:val="P68B1DB1-Normal13"/>
              <w:spacing w:after="0" w:line="240" w:lineRule="auto"/>
              <w:jc w:val="right"/>
              <w:rPr>
                <w:rFonts w:cs="Times New Roman"/>
                <w:noProof/>
              </w:rPr>
            </w:pPr>
            <w:r>
              <w:rPr>
                <w:noProof/>
              </w:rPr>
              <w:t> </w:t>
            </w:r>
          </w:p>
        </w:tc>
        <w:tc>
          <w:tcPr>
            <w:tcW w:w="992" w:type="dxa"/>
            <w:shd w:val="clear" w:color="auto" w:fill="C6EFCE"/>
            <w:noWrap/>
          </w:tcPr>
          <w:p w14:paraId="155B9399" w14:textId="77777777" w:rsidR="006578ED" w:rsidRDefault="00A1618E">
            <w:pPr>
              <w:pStyle w:val="P68B1DB1-Normal13"/>
              <w:spacing w:after="0" w:line="240" w:lineRule="auto"/>
              <w:jc w:val="right"/>
              <w:rPr>
                <w:rFonts w:cs="Times New Roman"/>
                <w:noProof/>
              </w:rPr>
            </w:pPr>
            <w:r>
              <w:rPr>
                <w:noProof/>
              </w:rPr>
              <w:t> </w:t>
            </w:r>
          </w:p>
        </w:tc>
        <w:tc>
          <w:tcPr>
            <w:tcW w:w="567" w:type="dxa"/>
            <w:shd w:val="clear" w:color="auto" w:fill="C6EFCE"/>
            <w:noWrap/>
          </w:tcPr>
          <w:p w14:paraId="753A0B0D" w14:textId="77777777" w:rsidR="006578ED" w:rsidRDefault="00A1618E">
            <w:pPr>
              <w:pStyle w:val="P68B1DB1-Normal13"/>
              <w:spacing w:after="0" w:line="240" w:lineRule="auto"/>
              <w:jc w:val="right"/>
              <w:rPr>
                <w:rFonts w:cs="Times New Roman"/>
                <w:noProof/>
              </w:rPr>
            </w:pPr>
            <w:r>
              <w:rPr>
                <w:noProof/>
              </w:rPr>
              <w:t> </w:t>
            </w:r>
          </w:p>
        </w:tc>
        <w:tc>
          <w:tcPr>
            <w:tcW w:w="426" w:type="dxa"/>
            <w:shd w:val="clear" w:color="auto" w:fill="C6EFCE"/>
            <w:noWrap/>
          </w:tcPr>
          <w:p w14:paraId="4EC6F3F3" w14:textId="361AB813" w:rsidR="006578ED" w:rsidRDefault="00EC188C">
            <w:pPr>
              <w:pStyle w:val="P68B1DB1-Normal13"/>
              <w:spacing w:after="0" w:line="240" w:lineRule="auto"/>
              <w:jc w:val="center"/>
              <w:rPr>
                <w:rFonts w:cs="Times New Roman"/>
                <w:noProof/>
              </w:rPr>
            </w:pPr>
            <w:r>
              <w:rPr>
                <w:noProof/>
              </w:rPr>
              <w:t>KW. 2</w:t>
            </w:r>
          </w:p>
        </w:tc>
        <w:tc>
          <w:tcPr>
            <w:tcW w:w="708" w:type="dxa"/>
            <w:shd w:val="clear" w:color="auto" w:fill="C6EFCE"/>
            <w:noWrap/>
          </w:tcPr>
          <w:p w14:paraId="41897F6E" w14:textId="77777777" w:rsidR="006578ED" w:rsidRDefault="00A1618E">
            <w:pPr>
              <w:pStyle w:val="P68B1DB1-Normal13"/>
              <w:spacing w:after="0" w:line="240" w:lineRule="auto"/>
              <w:jc w:val="center"/>
              <w:rPr>
                <w:rFonts w:cs="Times New Roman"/>
                <w:noProof/>
              </w:rPr>
            </w:pPr>
            <w:r>
              <w:rPr>
                <w:noProof/>
              </w:rPr>
              <w:t>2026</w:t>
            </w:r>
          </w:p>
        </w:tc>
        <w:tc>
          <w:tcPr>
            <w:tcW w:w="6237" w:type="dxa"/>
            <w:shd w:val="clear" w:color="auto" w:fill="C6EFCE"/>
            <w:noWrap/>
          </w:tcPr>
          <w:p w14:paraId="52EA63BF" w14:textId="7BD6671E" w:rsidR="006578ED" w:rsidRDefault="00A1618E">
            <w:pPr>
              <w:pStyle w:val="P68B1DB1-Normal13"/>
              <w:spacing w:after="0" w:line="240" w:lineRule="auto"/>
              <w:rPr>
                <w:rFonts w:cs="Times New Roman"/>
                <w:noProof/>
              </w:rPr>
            </w:pPr>
            <w:r>
              <w:rPr>
                <w:noProof/>
              </w:rPr>
              <w:t>Zakończenie wszystkich projektów ujętych w „Planach terytorialnych na rzecz zrównoważonego rozwoju turystyki w miejscu przeznaczenia” i przyznanych zgodnie z celami 217, 218 i 219 przy 35 % środków na finansowanie działań dotyczących transformacji ekologicznej, zrównoważonego rozwoju i efektywności energetycznej/elektromobilności w miejscach przeznaczenia, zgodnie z wytycznymi technicznymi „nie czyń poważnych szkód” (2021/C58/01) poprzez wykorzystanie wykazu wykluczenia oraz wymóg zgodności z odpowiednimi unijnymi i krajowymi przepisami w zakresie ochrony środowiska.</w:t>
            </w:r>
          </w:p>
        </w:tc>
      </w:tr>
      <w:tr w:rsidR="006578ED" w14:paraId="7C571586" w14:textId="77777777">
        <w:trPr>
          <w:trHeight w:val="881"/>
        </w:trPr>
        <w:tc>
          <w:tcPr>
            <w:tcW w:w="709" w:type="dxa"/>
            <w:shd w:val="clear" w:color="auto" w:fill="C6EFCE"/>
            <w:noWrap/>
          </w:tcPr>
          <w:p w14:paraId="21C5838F" w14:textId="77777777" w:rsidR="006578ED" w:rsidRDefault="00A1618E">
            <w:pPr>
              <w:pStyle w:val="P68B1DB1-Normal13"/>
              <w:spacing w:after="0" w:line="240" w:lineRule="auto"/>
              <w:jc w:val="center"/>
              <w:rPr>
                <w:rFonts w:cs="Times New Roman"/>
                <w:noProof/>
              </w:rPr>
            </w:pPr>
            <w:r>
              <w:rPr>
                <w:noProof/>
              </w:rPr>
              <w:t>222</w:t>
            </w:r>
          </w:p>
        </w:tc>
        <w:tc>
          <w:tcPr>
            <w:tcW w:w="851" w:type="dxa"/>
            <w:shd w:val="clear" w:color="auto" w:fill="C6EFCE"/>
            <w:noWrap/>
          </w:tcPr>
          <w:p w14:paraId="3154B6A1" w14:textId="77777777" w:rsidR="006578ED" w:rsidRDefault="00A1618E">
            <w:pPr>
              <w:pStyle w:val="P68B1DB1-Normal13"/>
              <w:spacing w:after="0" w:line="240" w:lineRule="auto"/>
              <w:jc w:val="center"/>
              <w:rPr>
                <w:rFonts w:cs="Times New Roman"/>
                <w:noProof/>
              </w:rPr>
            </w:pPr>
            <w:r>
              <w:rPr>
                <w:noProof/>
              </w:rPr>
              <w:t>C14.I2</w:t>
            </w:r>
          </w:p>
        </w:tc>
        <w:tc>
          <w:tcPr>
            <w:tcW w:w="850" w:type="dxa"/>
            <w:shd w:val="clear" w:color="auto" w:fill="C6EFCE"/>
            <w:noWrap/>
          </w:tcPr>
          <w:p w14:paraId="19EF0260" w14:textId="5E92A16A" w:rsidR="006578ED" w:rsidRDefault="00AF6B91">
            <w:pPr>
              <w:pStyle w:val="P68B1DB1-Normal13"/>
              <w:spacing w:after="0" w:line="240" w:lineRule="auto"/>
              <w:jc w:val="center"/>
              <w:rPr>
                <w:rFonts w:cs="Times New Roman"/>
                <w:noProof/>
              </w:rPr>
            </w:pPr>
            <w:r>
              <w:rPr>
                <w:noProof/>
              </w:rPr>
              <w:t>Kamień milowy</w:t>
            </w:r>
          </w:p>
        </w:tc>
        <w:tc>
          <w:tcPr>
            <w:tcW w:w="1418" w:type="dxa"/>
            <w:shd w:val="clear" w:color="auto" w:fill="C6EFCE"/>
            <w:noWrap/>
          </w:tcPr>
          <w:p w14:paraId="013AE616" w14:textId="7D6CCDFB" w:rsidR="006578ED" w:rsidRDefault="00A1618E">
            <w:pPr>
              <w:pStyle w:val="P68B1DB1-Normal13"/>
              <w:spacing w:after="0" w:line="240" w:lineRule="auto"/>
              <w:rPr>
                <w:rFonts w:cs="Times New Roman"/>
                <w:noProof/>
              </w:rPr>
            </w:pPr>
            <w:r>
              <w:rPr>
                <w:noProof/>
              </w:rPr>
              <w:t>Uruchomienie platformy inteligentnej turystyki w sektorze turystyki.</w:t>
            </w:r>
          </w:p>
        </w:tc>
        <w:tc>
          <w:tcPr>
            <w:tcW w:w="1276" w:type="dxa"/>
            <w:shd w:val="clear" w:color="auto" w:fill="C6EFCE"/>
            <w:noWrap/>
          </w:tcPr>
          <w:p w14:paraId="4B9978DD" w14:textId="77777777" w:rsidR="006578ED" w:rsidRDefault="00A1618E">
            <w:pPr>
              <w:pStyle w:val="P68B1DB1-Normal13"/>
              <w:spacing w:after="0" w:line="240" w:lineRule="auto"/>
              <w:jc w:val="center"/>
              <w:rPr>
                <w:rFonts w:cs="Times New Roman"/>
                <w:noProof/>
              </w:rPr>
            </w:pPr>
            <w:r>
              <w:rPr>
                <w:noProof/>
              </w:rPr>
              <w:t>Link do platformy</w:t>
            </w:r>
          </w:p>
        </w:tc>
        <w:tc>
          <w:tcPr>
            <w:tcW w:w="850" w:type="dxa"/>
            <w:shd w:val="clear" w:color="auto" w:fill="C6EFCE"/>
            <w:noWrap/>
          </w:tcPr>
          <w:p w14:paraId="59BE89D5" w14:textId="77777777" w:rsidR="006578ED" w:rsidRDefault="00A1618E">
            <w:pPr>
              <w:pStyle w:val="P68B1DB1-Normal13"/>
              <w:spacing w:after="0" w:line="240" w:lineRule="auto"/>
              <w:jc w:val="right"/>
              <w:rPr>
                <w:rFonts w:cs="Times New Roman"/>
                <w:noProof/>
              </w:rPr>
            </w:pPr>
            <w:r>
              <w:rPr>
                <w:noProof/>
              </w:rPr>
              <w:t> </w:t>
            </w:r>
          </w:p>
        </w:tc>
        <w:tc>
          <w:tcPr>
            <w:tcW w:w="992" w:type="dxa"/>
            <w:shd w:val="clear" w:color="auto" w:fill="C6EFCE"/>
            <w:noWrap/>
          </w:tcPr>
          <w:p w14:paraId="7DBA839F" w14:textId="77777777" w:rsidR="006578ED" w:rsidRDefault="00A1618E">
            <w:pPr>
              <w:pStyle w:val="P68B1DB1-Normal13"/>
              <w:spacing w:after="0" w:line="240" w:lineRule="auto"/>
              <w:jc w:val="right"/>
              <w:rPr>
                <w:rFonts w:cs="Times New Roman"/>
                <w:noProof/>
              </w:rPr>
            </w:pPr>
            <w:r>
              <w:rPr>
                <w:noProof/>
              </w:rPr>
              <w:t> </w:t>
            </w:r>
          </w:p>
        </w:tc>
        <w:tc>
          <w:tcPr>
            <w:tcW w:w="567" w:type="dxa"/>
            <w:shd w:val="clear" w:color="auto" w:fill="C6EFCE"/>
            <w:noWrap/>
          </w:tcPr>
          <w:p w14:paraId="77586365" w14:textId="77777777" w:rsidR="006578ED" w:rsidRDefault="00A1618E">
            <w:pPr>
              <w:pStyle w:val="P68B1DB1-Normal13"/>
              <w:spacing w:after="0" w:line="240" w:lineRule="auto"/>
              <w:jc w:val="right"/>
              <w:rPr>
                <w:rFonts w:cs="Times New Roman"/>
                <w:noProof/>
              </w:rPr>
            </w:pPr>
            <w:r>
              <w:rPr>
                <w:noProof/>
              </w:rPr>
              <w:t> </w:t>
            </w:r>
          </w:p>
        </w:tc>
        <w:tc>
          <w:tcPr>
            <w:tcW w:w="426" w:type="dxa"/>
            <w:shd w:val="clear" w:color="auto" w:fill="C6EFCE"/>
            <w:noWrap/>
          </w:tcPr>
          <w:p w14:paraId="14EA049E" w14:textId="3F77BF94" w:rsidR="006578ED" w:rsidRDefault="00EC188C">
            <w:pPr>
              <w:pStyle w:val="P68B1DB1-Normal13"/>
              <w:spacing w:after="0" w:line="240" w:lineRule="auto"/>
              <w:jc w:val="center"/>
              <w:rPr>
                <w:rFonts w:cs="Times New Roman"/>
                <w:noProof/>
              </w:rPr>
            </w:pPr>
            <w:r>
              <w:rPr>
                <w:noProof/>
              </w:rPr>
              <w:t>KW. 2</w:t>
            </w:r>
          </w:p>
        </w:tc>
        <w:tc>
          <w:tcPr>
            <w:tcW w:w="708" w:type="dxa"/>
            <w:shd w:val="clear" w:color="auto" w:fill="C6EFCE"/>
            <w:noWrap/>
          </w:tcPr>
          <w:p w14:paraId="70BFDCAA" w14:textId="77777777" w:rsidR="006578ED" w:rsidRDefault="00A1618E">
            <w:pPr>
              <w:pStyle w:val="P68B1DB1-Normal13"/>
              <w:spacing w:after="0" w:line="240" w:lineRule="auto"/>
              <w:jc w:val="center"/>
              <w:rPr>
                <w:rFonts w:cs="Times New Roman"/>
                <w:noProof/>
              </w:rPr>
            </w:pPr>
            <w:r>
              <w:rPr>
                <w:noProof/>
              </w:rPr>
              <w:t>2025</w:t>
            </w:r>
          </w:p>
        </w:tc>
        <w:tc>
          <w:tcPr>
            <w:tcW w:w="6237" w:type="dxa"/>
            <w:shd w:val="clear" w:color="auto" w:fill="C6EFCE"/>
            <w:noWrap/>
          </w:tcPr>
          <w:p w14:paraId="0B81599A" w14:textId="2DE1C2C7" w:rsidR="006578ED" w:rsidRDefault="00A1618E">
            <w:pPr>
              <w:pStyle w:val="P68B1DB1-Normal13"/>
              <w:spacing w:after="0" w:line="240" w:lineRule="auto"/>
              <w:rPr>
                <w:rFonts w:cs="Times New Roman"/>
                <w:noProof/>
              </w:rPr>
            </w:pPr>
            <w:r>
              <w:rPr>
                <w:noProof/>
              </w:rPr>
              <w:t>Wdrożenie i uruchomienie w pełni funkcjonującej platformy inteligentnej lokalizacji. Platforma udostępnia turysty interoperacyjne usługi publiczne i prywatne.</w:t>
            </w:r>
          </w:p>
        </w:tc>
      </w:tr>
      <w:tr w:rsidR="006578ED" w14:paraId="4C4443DE" w14:textId="77777777">
        <w:trPr>
          <w:trHeight w:val="171"/>
        </w:trPr>
        <w:tc>
          <w:tcPr>
            <w:tcW w:w="709" w:type="dxa"/>
            <w:shd w:val="clear" w:color="auto" w:fill="C6EFCE"/>
            <w:noWrap/>
          </w:tcPr>
          <w:p w14:paraId="33E1B8CE" w14:textId="77777777" w:rsidR="006578ED" w:rsidRDefault="00A1618E">
            <w:pPr>
              <w:pStyle w:val="P68B1DB1-Normal13"/>
              <w:spacing w:after="0" w:line="240" w:lineRule="auto"/>
              <w:jc w:val="center"/>
              <w:rPr>
                <w:rFonts w:cs="Times New Roman"/>
                <w:noProof/>
              </w:rPr>
            </w:pPr>
            <w:r>
              <w:rPr>
                <w:noProof/>
              </w:rPr>
              <w:t>223</w:t>
            </w:r>
          </w:p>
        </w:tc>
        <w:tc>
          <w:tcPr>
            <w:tcW w:w="851" w:type="dxa"/>
            <w:shd w:val="clear" w:color="auto" w:fill="C6EFCE"/>
            <w:noWrap/>
          </w:tcPr>
          <w:p w14:paraId="757B8BE0" w14:textId="77777777" w:rsidR="006578ED" w:rsidRDefault="00A1618E">
            <w:pPr>
              <w:pStyle w:val="P68B1DB1-Normal13"/>
              <w:spacing w:after="0" w:line="240" w:lineRule="auto"/>
              <w:jc w:val="center"/>
              <w:rPr>
                <w:rFonts w:cs="Times New Roman"/>
                <w:noProof/>
              </w:rPr>
            </w:pPr>
            <w:r>
              <w:rPr>
                <w:noProof/>
              </w:rPr>
              <w:t>C14.I2</w:t>
            </w:r>
          </w:p>
        </w:tc>
        <w:tc>
          <w:tcPr>
            <w:tcW w:w="850" w:type="dxa"/>
            <w:shd w:val="clear" w:color="auto" w:fill="C6EFCE"/>
            <w:noWrap/>
          </w:tcPr>
          <w:p w14:paraId="1FB216CC" w14:textId="5B29A22D" w:rsidR="006578ED" w:rsidRDefault="00AF6B91">
            <w:pPr>
              <w:pStyle w:val="P68B1DB1-Normal13"/>
              <w:spacing w:after="0" w:line="240" w:lineRule="auto"/>
              <w:jc w:val="center"/>
              <w:rPr>
                <w:rFonts w:cs="Times New Roman"/>
                <w:noProof/>
              </w:rPr>
            </w:pPr>
            <w:r>
              <w:rPr>
                <w:noProof/>
              </w:rPr>
              <w:t>Cel</w:t>
            </w:r>
          </w:p>
        </w:tc>
        <w:tc>
          <w:tcPr>
            <w:tcW w:w="1418" w:type="dxa"/>
            <w:shd w:val="clear" w:color="auto" w:fill="C6EFCE"/>
            <w:noWrap/>
          </w:tcPr>
          <w:p w14:paraId="0E2164DB" w14:textId="5177C728" w:rsidR="006578ED" w:rsidRDefault="00A1618E">
            <w:pPr>
              <w:pStyle w:val="P68B1DB1-Normal13"/>
              <w:spacing w:after="0" w:line="240" w:lineRule="auto"/>
              <w:rPr>
                <w:rFonts w:cs="Times New Roman"/>
                <w:noProof/>
              </w:rPr>
            </w:pPr>
            <w:r>
              <w:rPr>
                <w:noProof/>
              </w:rPr>
              <w:t>Beneficjenci innowacyjnych projektów opartych na technologii związanych ze sztuczną inteligencją i innymi technologiami wspomagającymi</w:t>
            </w:r>
          </w:p>
        </w:tc>
        <w:tc>
          <w:tcPr>
            <w:tcW w:w="1276" w:type="dxa"/>
            <w:shd w:val="clear" w:color="auto" w:fill="C6EFCE"/>
            <w:noWrap/>
          </w:tcPr>
          <w:p w14:paraId="3226E9BF"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19E2031B" w14:textId="77777777" w:rsidR="006578ED" w:rsidRDefault="00A1618E">
            <w:pPr>
              <w:pStyle w:val="P68B1DB1-Normal13"/>
              <w:spacing w:after="0" w:line="240" w:lineRule="auto"/>
              <w:jc w:val="right"/>
              <w:rPr>
                <w:rFonts w:cs="Times New Roman"/>
                <w:noProof/>
              </w:rPr>
            </w:pPr>
            <w:r>
              <w:rPr>
                <w:noProof/>
              </w:rPr>
              <w:t>Liczba</w:t>
            </w:r>
          </w:p>
        </w:tc>
        <w:tc>
          <w:tcPr>
            <w:tcW w:w="992" w:type="dxa"/>
            <w:shd w:val="clear" w:color="auto" w:fill="C6EFCE"/>
            <w:noWrap/>
          </w:tcPr>
          <w:p w14:paraId="0E9DD790" w14:textId="77777777" w:rsidR="006578ED" w:rsidRDefault="00A1618E">
            <w:pPr>
              <w:pStyle w:val="P68B1DB1-Normal13"/>
              <w:spacing w:after="0" w:line="240" w:lineRule="auto"/>
              <w:jc w:val="right"/>
              <w:rPr>
                <w:rFonts w:cs="Times New Roman"/>
                <w:noProof/>
              </w:rPr>
            </w:pPr>
            <w:r>
              <w:rPr>
                <w:noProof/>
              </w:rPr>
              <w:t>0</w:t>
            </w:r>
          </w:p>
        </w:tc>
        <w:tc>
          <w:tcPr>
            <w:tcW w:w="567" w:type="dxa"/>
            <w:shd w:val="clear" w:color="auto" w:fill="C6EFCE"/>
            <w:noWrap/>
          </w:tcPr>
          <w:p w14:paraId="58635DFE" w14:textId="77777777" w:rsidR="006578ED" w:rsidRDefault="00A1618E">
            <w:pPr>
              <w:pStyle w:val="P68B1DB1-Normal13"/>
              <w:spacing w:after="0" w:line="240" w:lineRule="auto"/>
              <w:jc w:val="right"/>
              <w:rPr>
                <w:rFonts w:cs="Times New Roman"/>
                <w:noProof/>
              </w:rPr>
            </w:pPr>
            <w:r>
              <w:rPr>
                <w:noProof/>
              </w:rPr>
              <w:t>1 000</w:t>
            </w:r>
          </w:p>
        </w:tc>
        <w:tc>
          <w:tcPr>
            <w:tcW w:w="426" w:type="dxa"/>
            <w:shd w:val="clear" w:color="auto" w:fill="C6EFCE"/>
            <w:noWrap/>
          </w:tcPr>
          <w:p w14:paraId="7719B954" w14:textId="660CA3B5" w:rsidR="006578ED" w:rsidRDefault="00EC188C">
            <w:pPr>
              <w:pStyle w:val="P68B1DB1-Normal13"/>
              <w:spacing w:after="0" w:line="240" w:lineRule="auto"/>
              <w:jc w:val="center"/>
              <w:rPr>
                <w:rFonts w:cs="Times New Roman"/>
                <w:noProof/>
              </w:rPr>
            </w:pPr>
            <w:r>
              <w:rPr>
                <w:noProof/>
              </w:rPr>
              <w:t>KW. 2</w:t>
            </w:r>
          </w:p>
        </w:tc>
        <w:tc>
          <w:tcPr>
            <w:tcW w:w="708" w:type="dxa"/>
            <w:shd w:val="clear" w:color="auto" w:fill="C6EFCE"/>
            <w:noWrap/>
          </w:tcPr>
          <w:p w14:paraId="30E7C679" w14:textId="77777777" w:rsidR="006578ED" w:rsidRDefault="00A1618E">
            <w:pPr>
              <w:pStyle w:val="P68B1DB1-Normal13"/>
              <w:spacing w:after="0" w:line="240" w:lineRule="auto"/>
              <w:jc w:val="center"/>
              <w:rPr>
                <w:rFonts w:cs="Times New Roman"/>
                <w:noProof/>
              </w:rPr>
            </w:pPr>
            <w:r>
              <w:rPr>
                <w:noProof/>
              </w:rPr>
              <w:t>2025</w:t>
            </w:r>
          </w:p>
        </w:tc>
        <w:tc>
          <w:tcPr>
            <w:tcW w:w="6237" w:type="dxa"/>
            <w:shd w:val="clear" w:color="auto" w:fill="C6EFCE"/>
            <w:noWrap/>
          </w:tcPr>
          <w:p w14:paraId="46B5ECA5" w14:textId="2EC7A3A6" w:rsidR="006578ED" w:rsidRDefault="00A1618E">
            <w:pPr>
              <w:pStyle w:val="P68B1DB1-Normal13"/>
              <w:spacing w:after="0" w:line="240" w:lineRule="auto"/>
              <w:rPr>
                <w:rFonts w:cs="Times New Roman"/>
                <w:noProof/>
              </w:rPr>
            </w:pPr>
            <w:r>
              <w:rPr>
                <w:noProof/>
              </w:rPr>
              <w:t xml:space="preserve">Co najmniej 1000 beneficjentów (przedsiębiorstw lub klastrów), którzy ukończyli innowacyjne projekty oparte na technologii w sektorze turystyki związane ze sztuczną inteligencją i innymi technologiami prorozwojowymi, takimi jak internet rzeczy, 5G, duże zbiory danych, cyberbezpieczeństwo, aplikacje mobilne. </w:t>
            </w:r>
          </w:p>
        </w:tc>
      </w:tr>
      <w:tr w:rsidR="006578ED" w14:paraId="0767E8E7" w14:textId="77777777">
        <w:trPr>
          <w:trHeight w:val="881"/>
        </w:trPr>
        <w:tc>
          <w:tcPr>
            <w:tcW w:w="709" w:type="dxa"/>
            <w:shd w:val="clear" w:color="auto" w:fill="C6EFCE"/>
            <w:noWrap/>
          </w:tcPr>
          <w:p w14:paraId="71EC71E3" w14:textId="77777777" w:rsidR="006578ED" w:rsidRDefault="00A1618E">
            <w:pPr>
              <w:pStyle w:val="P68B1DB1-Normal13"/>
              <w:spacing w:after="0" w:line="240" w:lineRule="auto"/>
              <w:jc w:val="center"/>
              <w:rPr>
                <w:rFonts w:cs="Times New Roman"/>
                <w:noProof/>
              </w:rPr>
            </w:pPr>
            <w:r>
              <w:rPr>
                <w:noProof/>
              </w:rPr>
              <w:t>224</w:t>
            </w:r>
          </w:p>
        </w:tc>
        <w:tc>
          <w:tcPr>
            <w:tcW w:w="851" w:type="dxa"/>
            <w:shd w:val="clear" w:color="auto" w:fill="C6EFCE"/>
            <w:noWrap/>
          </w:tcPr>
          <w:p w14:paraId="16DA144B" w14:textId="77777777" w:rsidR="006578ED" w:rsidRDefault="00A1618E">
            <w:pPr>
              <w:pStyle w:val="P68B1DB1-Normal13"/>
              <w:spacing w:after="0" w:line="240" w:lineRule="auto"/>
              <w:jc w:val="center"/>
              <w:rPr>
                <w:rFonts w:cs="Times New Roman"/>
                <w:noProof/>
              </w:rPr>
            </w:pPr>
            <w:r>
              <w:rPr>
                <w:noProof/>
              </w:rPr>
              <w:t>C14.I3</w:t>
            </w:r>
          </w:p>
        </w:tc>
        <w:tc>
          <w:tcPr>
            <w:tcW w:w="850" w:type="dxa"/>
            <w:shd w:val="clear" w:color="auto" w:fill="C6EFCE"/>
            <w:noWrap/>
          </w:tcPr>
          <w:p w14:paraId="47493A6B" w14:textId="458060F7" w:rsidR="006578ED" w:rsidRDefault="00AF6B91">
            <w:pPr>
              <w:pStyle w:val="P68B1DB1-Normal13"/>
              <w:spacing w:after="0" w:line="240" w:lineRule="auto"/>
              <w:jc w:val="center"/>
              <w:rPr>
                <w:rFonts w:cs="Times New Roman"/>
                <w:noProof/>
              </w:rPr>
            </w:pPr>
            <w:r>
              <w:rPr>
                <w:noProof/>
              </w:rPr>
              <w:t>Cel</w:t>
            </w:r>
          </w:p>
        </w:tc>
        <w:tc>
          <w:tcPr>
            <w:tcW w:w="1418" w:type="dxa"/>
            <w:shd w:val="clear" w:color="auto" w:fill="C6EFCE"/>
            <w:noWrap/>
          </w:tcPr>
          <w:p w14:paraId="5F52E50C" w14:textId="252699AE" w:rsidR="006578ED" w:rsidRDefault="00A1618E">
            <w:pPr>
              <w:pStyle w:val="P68B1DB1-Normal13"/>
              <w:spacing w:after="0" w:line="240" w:lineRule="auto"/>
              <w:rPr>
                <w:rFonts w:cs="Times New Roman"/>
                <w:noProof/>
              </w:rPr>
            </w:pPr>
            <w:r>
              <w:rPr>
                <w:noProof/>
              </w:rPr>
              <w:t>Beneficjenci w regionach pozamiejskich, którzy ukończyli projekty mające na celu poprawę konkurencyjności i zdolności przystosowania się do zmian na rynkach międzynarodowych</w:t>
            </w:r>
          </w:p>
        </w:tc>
        <w:tc>
          <w:tcPr>
            <w:tcW w:w="1276" w:type="dxa"/>
            <w:shd w:val="clear" w:color="auto" w:fill="C6EFCE"/>
            <w:noWrap/>
          </w:tcPr>
          <w:p w14:paraId="0A29F6D2"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06EE9AA1" w14:textId="77777777" w:rsidR="006578ED" w:rsidRDefault="00A1618E">
            <w:pPr>
              <w:pStyle w:val="P68B1DB1-Normal13"/>
              <w:spacing w:after="0" w:line="240" w:lineRule="auto"/>
              <w:jc w:val="right"/>
              <w:rPr>
                <w:rFonts w:cs="Times New Roman"/>
                <w:noProof/>
              </w:rPr>
            </w:pPr>
            <w:r>
              <w:rPr>
                <w:noProof/>
              </w:rPr>
              <w:t>Liczba</w:t>
            </w:r>
          </w:p>
        </w:tc>
        <w:tc>
          <w:tcPr>
            <w:tcW w:w="992" w:type="dxa"/>
            <w:shd w:val="clear" w:color="auto" w:fill="C6EFCE"/>
            <w:noWrap/>
          </w:tcPr>
          <w:p w14:paraId="0AAEB8C8" w14:textId="77777777" w:rsidR="006578ED" w:rsidRDefault="00A1618E">
            <w:pPr>
              <w:pStyle w:val="P68B1DB1-Normal13"/>
              <w:spacing w:after="0" w:line="240" w:lineRule="auto"/>
              <w:jc w:val="right"/>
              <w:rPr>
                <w:rFonts w:cs="Times New Roman"/>
                <w:noProof/>
              </w:rPr>
            </w:pPr>
            <w:r>
              <w:rPr>
                <w:noProof/>
              </w:rPr>
              <w:t>0</w:t>
            </w:r>
          </w:p>
        </w:tc>
        <w:tc>
          <w:tcPr>
            <w:tcW w:w="567" w:type="dxa"/>
            <w:shd w:val="clear" w:color="auto" w:fill="C6EFCE"/>
            <w:noWrap/>
          </w:tcPr>
          <w:p w14:paraId="6BF37D29" w14:textId="77777777" w:rsidR="006578ED" w:rsidRDefault="00A1618E">
            <w:pPr>
              <w:pStyle w:val="P68B1DB1-Normal13"/>
              <w:spacing w:after="0" w:line="240" w:lineRule="auto"/>
              <w:jc w:val="right"/>
              <w:rPr>
                <w:rFonts w:cs="Times New Roman"/>
                <w:noProof/>
              </w:rPr>
            </w:pPr>
            <w:r>
              <w:rPr>
                <w:noProof/>
              </w:rPr>
              <w:t>400</w:t>
            </w:r>
          </w:p>
        </w:tc>
        <w:tc>
          <w:tcPr>
            <w:tcW w:w="426" w:type="dxa"/>
            <w:shd w:val="clear" w:color="auto" w:fill="C6EFCE"/>
            <w:noWrap/>
          </w:tcPr>
          <w:p w14:paraId="77158A0C" w14:textId="791B864D" w:rsidR="006578ED" w:rsidRDefault="00EC188C">
            <w:pPr>
              <w:pStyle w:val="P68B1DB1-Normal13"/>
              <w:spacing w:after="0" w:line="240" w:lineRule="auto"/>
              <w:jc w:val="center"/>
              <w:rPr>
                <w:rFonts w:cs="Times New Roman"/>
                <w:noProof/>
              </w:rPr>
            </w:pPr>
            <w:r>
              <w:rPr>
                <w:noProof/>
              </w:rPr>
              <w:t>KW. 2</w:t>
            </w:r>
          </w:p>
        </w:tc>
        <w:tc>
          <w:tcPr>
            <w:tcW w:w="708" w:type="dxa"/>
            <w:shd w:val="clear" w:color="auto" w:fill="C6EFCE"/>
            <w:noWrap/>
          </w:tcPr>
          <w:p w14:paraId="105DEDD1" w14:textId="77777777" w:rsidR="006578ED" w:rsidRDefault="00A1618E">
            <w:pPr>
              <w:pStyle w:val="P68B1DB1-Normal13"/>
              <w:spacing w:after="0" w:line="240" w:lineRule="auto"/>
              <w:jc w:val="center"/>
              <w:rPr>
                <w:rFonts w:cs="Times New Roman"/>
                <w:noProof/>
              </w:rPr>
            </w:pPr>
            <w:r>
              <w:rPr>
                <w:noProof/>
              </w:rPr>
              <w:t>2025</w:t>
            </w:r>
          </w:p>
        </w:tc>
        <w:tc>
          <w:tcPr>
            <w:tcW w:w="6237" w:type="dxa"/>
            <w:shd w:val="clear" w:color="auto" w:fill="C6EFCE"/>
            <w:noWrap/>
          </w:tcPr>
          <w:p w14:paraId="7E791D59" w14:textId="38D51FC4" w:rsidR="006578ED" w:rsidRDefault="00A1618E">
            <w:pPr>
              <w:pStyle w:val="P68B1DB1-Normal13"/>
              <w:spacing w:after="0" w:line="240" w:lineRule="auto"/>
              <w:rPr>
                <w:rFonts w:cs="Times New Roman"/>
                <w:noProof/>
              </w:rPr>
            </w:pPr>
            <w:r>
              <w:rPr>
                <w:noProof/>
              </w:rPr>
              <w:t>Co najmniej 400 beneficjentów w regionach pozamiejskich (Baleary, Wyspy Kanaryjskie, Ceuta i Melilla), które ukończyły projekty mające na celu poprawę konkurencyjności i zdolności przystosowania się do zmian na rynkach międzynarodowych.</w:t>
            </w:r>
          </w:p>
        </w:tc>
      </w:tr>
      <w:tr w:rsidR="006578ED" w14:paraId="7F8EA3C9" w14:textId="77777777">
        <w:trPr>
          <w:trHeight w:val="881"/>
        </w:trPr>
        <w:tc>
          <w:tcPr>
            <w:tcW w:w="709" w:type="dxa"/>
            <w:shd w:val="clear" w:color="auto" w:fill="C6EFCE"/>
            <w:noWrap/>
          </w:tcPr>
          <w:p w14:paraId="385EAC47" w14:textId="77777777" w:rsidR="006578ED" w:rsidRDefault="00A1618E">
            <w:pPr>
              <w:pStyle w:val="P68B1DB1-Normal13"/>
              <w:spacing w:after="0" w:line="240" w:lineRule="auto"/>
              <w:jc w:val="center"/>
              <w:rPr>
                <w:rFonts w:cs="Times New Roman"/>
                <w:noProof/>
              </w:rPr>
            </w:pPr>
            <w:r>
              <w:rPr>
                <w:noProof/>
              </w:rPr>
              <w:t>225</w:t>
            </w:r>
          </w:p>
        </w:tc>
        <w:tc>
          <w:tcPr>
            <w:tcW w:w="851" w:type="dxa"/>
            <w:shd w:val="clear" w:color="auto" w:fill="C6EFCE"/>
            <w:noWrap/>
          </w:tcPr>
          <w:p w14:paraId="2303E8C6" w14:textId="77777777" w:rsidR="006578ED" w:rsidRDefault="00A1618E">
            <w:pPr>
              <w:pStyle w:val="P68B1DB1-Normal13"/>
              <w:spacing w:after="0" w:line="240" w:lineRule="auto"/>
              <w:jc w:val="center"/>
              <w:rPr>
                <w:rFonts w:cs="Times New Roman"/>
                <w:noProof/>
              </w:rPr>
            </w:pPr>
            <w:r>
              <w:rPr>
                <w:noProof/>
              </w:rPr>
              <w:t>C14.I4</w:t>
            </w:r>
          </w:p>
        </w:tc>
        <w:tc>
          <w:tcPr>
            <w:tcW w:w="850" w:type="dxa"/>
            <w:shd w:val="clear" w:color="auto" w:fill="C6EFCE"/>
            <w:noWrap/>
          </w:tcPr>
          <w:p w14:paraId="6805CA9F" w14:textId="1BE7785E" w:rsidR="006578ED" w:rsidRDefault="00AF6B91">
            <w:pPr>
              <w:pStyle w:val="P68B1DB1-Normal13"/>
              <w:spacing w:after="0" w:line="240" w:lineRule="auto"/>
              <w:jc w:val="center"/>
              <w:rPr>
                <w:rFonts w:cs="Times New Roman"/>
                <w:noProof/>
              </w:rPr>
            </w:pPr>
            <w:r>
              <w:rPr>
                <w:noProof/>
              </w:rPr>
              <w:t>Cel</w:t>
            </w:r>
          </w:p>
        </w:tc>
        <w:tc>
          <w:tcPr>
            <w:tcW w:w="1418" w:type="dxa"/>
            <w:shd w:val="clear" w:color="auto" w:fill="C6EFCE"/>
            <w:noWrap/>
          </w:tcPr>
          <w:p w14:paraId="413B15AC" w14:textId="69FA5130" w:rsidR="006578ED" w:rsidRDefault="00A1618E">
            <w:pPr>
              <w:pStyle w:val="P68B1DB1-Normal13"/>
              <w:spacing w:after="0" w:line="240" w:lineRule="auto"/>
              <w:rPr>
                <w:rFonts w:cs="Times New Roman"/>
                <w:noProof/>
              </w:rPr>
            </w:pPr>
            <w:r>
              <w:rPr>
                <w:noProof/>
              </w:rPr>
              <w:t>Projekty ukierunkowane na obszary komercyjne położone na obszarach lokalnych o dużym napływie turystycznym</w:t>
            </w:r>
          </w:p>
        </w:tc>
        <w:tc>
          <w:tcPr>
            <w:tcW w:w="1276" w:type="dxa"/>
            <w:shd w:val="clear" w:color="auto" w:fill="C6EFCE"/>
            <w:noWrap/>
          </w:tcPr>
          <w:p w14:paraId="12BB2E25"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31E5FFEF" w14:textId="77777777" w:rsidR="006578ED" w:rsidRDefault="00A1618E">
            <w:pPr>
              <w:pStyle w:val="P68B1DB1-Normal13"/>
              <w:spacing w:after="0" w:line="240" w:lineRule="auto"/>
              <w:jc w:val="right"/>
              <w:rPr>
                <w:rFonts w:cs="Times New Roman"/>
                <w:noProof/>
              </w:rPr>
            </w:pPr>
            <w:r>
              <w:rPr>
                <w:noProof/>
              </w:rPr>
              <w:t>Liczba</w:t>
            </w:r>
          </w:p>
        </w:tc>
        <w:tc>
          <w:tcPr>
            <w:tcW w:w="992" w:type="dxa"/>
            <w:shd w:val="clear" w:color="auto" w:fill="C6EFCE"/>
            <w:noWrap/>
          </w:tcPr>
          <w:p w14:paraId="5F983A08" w14:textId="77777777" w:rsidR="006578ED" w:rsidRDefault="00A1618E">
            <w:pPr>
              <w:pStyle w:val="P68B1DB1-Normal13"/>
              <w:spacing w:after="0" w:line="240" w:lineRule="auto"/>
              <w:jc w:val="right"/>
              <w:rPr>
                <w:rFonts w:cs="Times New Roman"/>
                <w:noProof/>
              </w:rPr>
            </w:pPr>
            <w:r>
              <w:rPr>
                <w:noProof/>
              </w:rPr>
              <w:t>0</w:t>
            </w:r>
          </w:p>
        </w:tc>
        <w:tc>
          <w:tcPr>
            <w:tcW w:w="567" w:type="dxa"/>
            <w:shd w:val="clear" w:color="auto" w:fill="C6EFCE"/>
            <w:noWrap/>
          </w:tcPr>
          <w:p w14:paraId="6DF72650" w14:textId="77777777" w:rsidR="006578ED" w:rsidRDefault="00A1618E">
            <w:pPr>
              <w:pStyle w:val="P68B1DB1-Normal13"/>
              <w:spacing w:after="0" w:line="240" w:lineRule="auto"/>
              <w:jc w:val="right"/>
              <w:rPr>
                <w:rFonts w:cs="Times New Roman"/>
                <w:noProof/>
              </w:rPr>
            </w:pPr>
            <w:r>
              <w:rPr>
                <w:noProof/>
              </w:rPr>
              <w:t>60</w:t>
            </w:r>
          </w:p>
        </w:tc>
        <w:tc>
          <w:tcPr>
            <w:tcW w:w="426" w:type="dxa"/>
            <w:shd w:val="clear" w:color="auto" w:fill="C6EFCE"/>
            <w:noWrap/>
          </w:tcPr>
          <w:p w14:paraId="3D85A9FF" w14:textId="791832B2" w:rsidR="006578ED" w:rsidRDefault="00EC188C">
            <w:pPr>
              <w:pStyle w:val="P68B1DB1-Normal13"/>
              <w:spacing w:after="0" w:line="240" w:lineRule="auto"/>
              <w:jc w:val="center"/>
              <w:rPr>
                <w:rFonts w:cs="Times New Roman"/>
                <w:noProof/>
              </w:rPr>
            </w:pPr>
            <w:r>
              <w:rPr>
                <w:noProof/>
              </w:rPr>
              <w:t>KW. 4</w:t>
            </w:r>
          </w:p>
        </w:tc>
        <w:tc>
          <w:tcPr>
            <w:tcW w:w="708" w:type="dxa"/>
            <w:shd w:val="clear" w:color="auto" w:fill="C6EFCE"/>
            <w:noWrap/>
          </w:tcPr>
          <w:p w14:paraId="4BD77ADF" w14:textId="77777777" w:rsidR="006578ED" w:rsidRDefault="00A1618E">
            <w:pPr>
              <w:pStyle w:val="P68B1DB1-Normal13"/>
              <w:spacing w:after="0" w:line="240" w:lineRule="auto"/>
              <w:jc w:val="center"/>
              <w:rPr>
                <w:rFonts w:cs="Times New Roman"/>
                <w:noProof/>
              </w:rPr>
            </w:pPr>
            <w:r>
              <w:rPr>
                <w:noProof/>
              </w:rPr>
              <w:t>2024</w:t>
            </w:r>
          </w:p>
        </w:tc>
        <w:tc>
          <w:tcPr>
            <w:tcW w:w="6237" w:type="dxa"/>
            <w:shd w:val="clear" w:color="auto" w:fill="C6EFCE"/>
            <w:noWrap/>
          </w:tcPr>
          <w:p w14:paraId="249191AF" w14:textId="17A3EC1F" w:rsidR="006578ED" w:rsidRDefault="00A1618E">
            <w:pPr>
              <w:pStyle w:val="P68B1DB1-Normal13"/>
              <w:spacing w:after="0" w:line="240" w:lineRule="auto"/>
              <w:rPr>
                <w:rFonts w:cs="Times New Roman"/>
                <w:noProof/>
              </w:rPr>
            </w:pPr>
            <w:r>
              <w:rPr>
                <w:noProof/>
              </w:rPr>
              <w:t>Zakończono co najmniej 60 projektów ukierunkowanych na obszary komercyjne znajdujące się na obszarach lokalnych o dużym napływie turystów, zgodnie z wytycznymi technicznymi dotyczącymi zasady „nie czyń poważnych szkód” (2021/C58/01) poprzez wykorzystanie wykazu wykluczenia oraz wymóg zgodności z odpowiednimi unijnymi i krajowymi przepisami w zakresie ochrony środowiska.</w:t>
            </w:r>
          </w:p>
        </w:tc>
      </w:tr>
      <w:tr w:rsidR="006578ED" w14:paraId="16C4192C" w14:textId="77777777">
        <w:trPr>
          <w:trHeight w:val="881"/>
        </w:trPr>
        <w:tc>
          <w:tcPr>
            <w:tcW w:w="709" w:type="dxa"/>
            <w:shd w:val="clear" w:color="auto" w:fill="C6EFCE"/>
            <w:noWrap/>
          </w:tcPr>
          <w:p w14:paraId="1E2E6596" w14:textId="77777777" w:rsidR="006578ED" w:rsidRDefault="00A1618E">
            <w:pPr>
              <w:pStyle w:val="P68B1DB1-Normal13"/>
              <w:spacing w:after="0" w:line="240" w:lineRule="auto"/>
              <w:jc w:val="center"/>
              <w:rPr>
                <w:rFonts w:cs="Times New Roman"/>
                <w:noProof/>
              </w:rPr>
            </w:pPr>
            <w:r>
              <w:rPr>
                <w:noProof/>
              </w:rPr>
              <w:t>226</w:t>
            </w:r>
          </w:p>
        </w:tc>
        <w:tc>
          <w:tcPr>
            <w:tcW w:w="851" w:type="dxa"/>
            <w:shd w:val="clear" w:color="auto" w:fill="C6EFCE"/>
            <w:noWrap/>
          </w:tcPr>
          <w:p w14:paraId="74FBDFDD" w14:textId="77777777" w:rsidR="006578ED" w:rsidRDefault="00A1618E">
            <w:pPr>
              <w:pStyle w:val="P68B1DB1-Normal13"/>
              <w:spacing w:after="0" w:line="240" w:lineRule="auto"/>
              <w:jc w:val="center"/>
              <w:rPr>
                <w:rFonts w:cs="Times New Roman"/>
                <w:noProof/>
              </w:rPr>
            </w:pPr>
            <w:r>
              <w:rPr>
                <w:noProof/>
              </w:rPr>
              <w:t>C14.I4</w:t>
            </w:r>
          </w:p>
        </w:tc>
        <w:tc>
          <w:tcPr>
            <w:tcW w:w="850" w:type="dxa"/>
            <w:shd w:val="clear" w:color="auto" w:fill="C6EFCE"/>
            <w:noWrap/>
          </w:tcPr>
          <w:p w14:paraId="7DC82036" w14:textId="0264BE23" w:rsidR="006578ED" w:rsidRDefault="00AF6B91">
            <w:pPr>
              <w:pStyle w:val="P68B1DB1-Normal13"/>
              <w:spacing w:after="0" w:line="240" w:lineRule="auto"/>
              <w:jc w:val="center"/>
              <w:rPr>
                <w:rFonts w:cs="Times New Roman"/>
                <w:noProof/>
              </w:rPr>
            </w:pPr>
            <w:r>
              <w:rPr>
                <w:noProof/>
              </w:rPr>
              <w:t>Cel</w:t>
            </w:r>
          </w:p>
        </w:tc>
        <w:tc>
          <w:tcPr>
            <w:tcW w:w="1418" w:type="dxa"/>
            <w:shd w:val="clear" w:color="auto" w:fill="C6EFCE"/>
            <w:noWrap/>
          </w:tcPr>
          <w:p w14:paraId="0188AC6F" w14:textId="77777777" w:rsidR="006578ED" w:rsidRDefault="00A1618E">
            <w:pPr>
              <w:pStyle w:val="P68B1DB1-Normal13"/>
              <w:spacing w:after="0" w:line="240" w:lineRule="auto"/>
              <w:rPr>
                <w:rFonts w:cs="Times New Roman"/>
                <w:noProof/>
              </w:rPr>
            </w:pPr>
            <w:r>
              <w:rPr>
                <w:noProof/>
              </w:rPr>
              <w:t xml:space="preserve">Produkty turystyczne dostarczane zgodnie ze strategią turystyczną </w:t>
            </w:r>
          </w:p>
        </w:tc>
        <w:tc>
          <w:tcPr>
            <w:tcW w:w="1276" w:type="dxa"/>
            <w:shd w:val="clear" w:color="auto" w:fill="C6EFCE"/>
            <w:noWrap/>
          </w:tcPr>
          <w:p w14:paraId="734BD8B1"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3FC4EB3F" w14:textId="77777777" w:rsidR="006578ED" w:rsidRDefault="00A1618E">
            <w:pPr>
              <w:pStyle w:val="P68B1DB1-Normal13"/>
              <w:spacing w:after="0" w:line="240" w:lineRule="auto"/>
              <w:jc w:val="right"/>
              <w:rPr>
                <w:rFonts w:cs="Times New Roman"/>
                <w:noProof/>
              </w:rPr>
            </w:pPr>
            <w:r>
              <w:rPr>
                <w:noProof/>
              </w:rPr>
              <w:t>Liczba</w:t>
            </w:r>
          </w:p>
        </w:tc>
        <w:tc>
          <w:tcPr>
            <w:tcW w:w="992" w:type="dxa"/>
            <w:shd w:val="clear" w:color="auto" w:fill="C6EFCE"/>
            <w:noWrap/>
          </w:tcPr>
          <w:p w14:paraId="0081B951" w14:textId="77777777" w:rsidR="006578ED" w:rsidRDefault="00A1618E">
            <w:pPr>
              <w:pStyle w:val="P68B1DB1-Normal13"/>
              <w:spacing w:after="0" w:line="240" w:lineRule="auto"/>
              <w:jc w:val="right"/>
              <w:rPr>
                <w:rFonts w:cs="Times New Roman"/>
                <w:noProof/>
              </w:rPr>
            </w:pPr>
            <w:r>
              <w:rPr>
                <w:noProof/>
              </w:rPr>
              <w:t>0</w:t>
            </w:r>
          </w:p>
        </w:tc>
        <w:tc>
          <w:tcPr>
            <w:tcW w:w="567" w:type="dxa"/>
            <w:shd w:val="clear" w:color="auto" w:fill="C6EFCE"/>
            <w:noWrap/>
          </w:tcPr>
          <w:p w14:paraId="0BAEFB59" w14:textId="77777777" w:rsidR="006578ED" w:rsidRDefault="00A1618E">
            <w:pPr>
              <w:pStyle w:val="P68B1DB1-Normal13"/>
              <w:spacing w:after="0" w:line="240" w:lineRule="auto"/>
              <w:jc w:val="right"/>
              <w:rPr>
                <w:rFonts w:cs="Times New Roman"/>
                <w:noProof/>
              </w:rPr>
            </w:pPr>
            <w:r>
              <w:rPr>
                <w:noProof/>
              </w:rPr>
              <w:t>45</w:t>
            </w:r>
          </w:p>
        </w:tc>
        <w:tc>
          <w:tcPr>
            <w:tcW w:w="426" w:type="dxa"/>
            <w:shd w:val="clear" w:color="auto" w:fill="C6EFCE"/>
            <w:noWrap/>
          </w:tcPr>
          <w:p w14:paraId="52ED2B2C" w14:textId="1AE935BF" w:rsidR="006578ED" w:rsidRDefault="00EC188C">
            <w:pPr>
              <w:pStyle w:val="P68B1DB1-Normal13"/>
              <w:spacing w:after="0" w:line="240" w:lineRule="auto"/>
              <w:jc w:val="center"/>
              <w:rPr>
                <w:rFonts w:cs="Times New Roman"/>
                <w:noProof/>
              </w:rPr>
            </w:pPr>
            <w:r>
              <w:rPr>
                <w:noProof/>
              </w:rPr>
              <w:t>KW. 2</w:t>
            </w:r>
          </w:p>
        </w:tc>
        <w:tc>
          <w:tcPr>
            <w:tcW w:w="708" w:type="dxa"/>
            <w:shd w:val="clear" w:color="auto" w:fill="C6EFCE"/>
            <w:noWrap/>
          </w:tcPr>
          <w:p w14:paraId="6F9E11E8" w14:textId="77777777" w:rsidR="006578ED" w:rsidRDefault="00A1618E">
            <w:pPr>
              <w:pStyle w:val="P68B1DB1-Normal13"/>
              <w:spacing w:after="0" w:line="240" w:lineRule="auto"/>
              <w:jc w:val="center"/>
              <w:rPr>
                <w:rFonts w:cs="Times New Roman"/>
                <w:noProof/>
              </w:rPr>
            </w:pPr>
            <w:r>
              <w:rPr>
                <w:noProof/>
              </w:rPr>
              <w:t>2025</w:t>
            </w:r>
          </w:p>
        </w:tc>
        <w:tc>
          <w:tcPr>
            <w:tcW w:w="6237" w:type="dxa"/>
            <w:shd w:val="clear" w:color="auto" w:fill="C6EFCE"/>
            <w:noWrap/>
          </w:tcPr>
          <w:p w14:paraId="1E21EE6A" w14:textId="1A658DDB" w:rsidR="006578ED" w:rsidRDefault="00A1618E">
            <w:pPr>
              <w:pStyle w:val="P68B1DB1-Normal13"/>
              <w:spacing w:after="0" w:line="240" w:lineRule="auto"/>
              <w:rPr>
                <w:rFonts w:cs="Times New Roman"/>
                <w:noProof/>
              </w:rPr>
            </w:pPr>
            <w:r>
              <w:rPr>
                <w:noProof/>
              </w:rPr>
              <w:t xml:space="preserve">Co najmniej 45 nowych produktów turystycznych dostarczonych zgodnie ze strategią rozwoju zrównoważonych produktów turystycznych, zgodnie z wytycznymi technicznymi dotyczącymi zasady „nie czyń poważnych szkód” (2021/C58/01) poprzez wykorzystanie wykazu wykluczenia oraz wymóg zgodności z odpowiednimi unijnymi i krajowymi przepisami w zakresie ochrony środowiska. </w:t>
            </w:r>
          </w:p>
        </w:tc>
      </w:tr>
      <w:tr w:rsidR="006578ED" w14:paraId="1C686068" w14:textId="77777777">
        <w:trPr>
          <w:trHeight w:val="881"/>
        </w:trPr>
        <w:tc>
          <w:tcPr>
            <w:tcW w:w="709" w:type="dxa"/>
            <w:shd w:val="clear" w:color="auto" w:fill="C6EFCE"/>
            <w:noWrap/>
          </w:tcPr>
          <w:p w14:paraId="7C067D74" w14:textId="77777777" w:rsidR="006578ED" w:rsidRDefault="00A1618E">
            <w:pPr>
              <w:pStyle w:val="P68B1DB1-Normal13"/>
              <w:spacing w:after="0" w:line="240" w:lineRule="auto"/>
              <w:jc w:val="center"/>
              <w:rPr>
                <w:rFonts w:cs="Times New Roman"/>
                <w:noProof/>
              </w:rPr>
            </w:pPr>
            <w:r>
              <w:rPr>
                <w:noProof/>
              </w:rPr>
              <w:t>227</w:t>
            </w:r>
          </w:p>
        </w:tc>
        <w:tc>
          <w:tcPr>
            <w:tcW w:w="851" w:type="dxa"/>
            <w:shd w:val="clear" w:color="auto" w:fill="C6EFCE"/>
            <w:noWrap/>
          </w:tcPr>
          <w:p w14:paraId="2007CE7E" w14:textId="77777777" w:rsidR="006578ED" w:rsidRDefault="00A1618E">
            <w:pPr>
              <w:pStyle w:val="P68B1DB1-Normal13"/>
              <w:spacing w:after="0" w:line="240" w:lineRule="auto"/>
              <w:jc w:val="center"/>
              <w:rPr>
                <w:rFonts w:cs="Times New Roman"/>
                <w:noProof/>
              </w:rPr>
            </w:pPr>
            <w:r>
              <w:rPr>
                <w:noProof/>
              </w:rPr>
              <w:t>C14.I4</w:t>
            </w:r>
          </w:p>
        </w:tc>
        <w:tc>
          <w:tcPr>
            <w:tcW w:w="850" w:type="dxa"/>
            <w:shd w:val="clear" w:color="auto" w:fill="C6EFCE"/>
            <w:noWrap/>
          </w:tcPr>
          <w:p w14:paraId="66897B48" w14:textId="6D62162A" w:rsidR="006578ED" w:rsidRDefault="00AF6B91">
            <w:pPr>
              <w:pStyle w:val="P68B1DB1-Normal13"/>
              <w:spacing w:after="0" w:line="240" w:lineRule="auto"/>
              <w:jc w:val="center"/>
              <w:rPr>
                <w:rFonts w:cs="Times New Roman"/>
                <w:noProof/>
              </w:rPr>
            </w:pPr>
            <w:r>
              <w:rPr>
                <w:noProof/>
              </w:rPr>
              <w:t>Cel</w:t>
            </w:r>
          </w:p>
        </w:tc>
        <w:tc>
          <w:tcPr>
            <w:tcW w:w="1418" w:type="dxa"/>
            <w:shd w:val="clear" w:color="auto" w:fill="C6EFCE"/>
            <w:noWrap/>
          </w:tcPr>
          <w:p w14:paraId="434B6C3F" w14:textId="77777777" w:rsidR="006578ED" w:rsidRDefault="00A1618E">
            <w:pPr>
              <w:pStyle w:val="P68B1DB1-Normal13"/>
              <w:spacing w:after="0" w:line="240" w:lineRule="auto"/>
              <w:rPr>
                <w:rFonts w:cs="Times New Roman"/>
                <w:noProof/>
              </w:rPr>
            </w:pPr>
            <w:r>
              <w:rPr>
                <w:noProof/>
              </w:rPr>
              <w:t>Placówki turystyczne zmniejszają swoje roczne zużycie odpadów lub energii</w:t>
            </w:r>
          </w:p>
        </w:tc>
        <w:tc>
          <w:tcPr>
            <w:tcW w:w="1276" w:type="dxa"/>
            <w:shd w:val="clear" w:color="auto" w:fill="C6EFCE"/>
            <w:noWrap/>
          </w:tcPr>
          <w:p w14:paraId="3F8486BA"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5A315F3E" w14:textId="77777777" w:rsidR="006578ED" w:rsidRDefault="00A1618E">
            <w:pPr>
              <w:pStyle w:val="P68B1DB1-Normal13"/>
              <w:spacing w:after="0" w:line="240" w:lineRule="auto"/>
              <w:jc w:val="right"/>
              <w:rPr>
                <w:rFonts w:cs="Times New Roman"/>
                <w:noProof/>
              </w:rPr>
            </w:pPr>
            <w:r>
              <w:rPr>
                <w:noProof/>
              </w:rPr>
              <w:t>Liczba</w:t>
            </w:r>
          </w:p>
        </w:tc>
        <w:tc>
          <w:tcPr>
            <w:tcW w:w="992" w:type="dxa"/>
            <w:shd w:val="clear" w:color="auto" w:fill="C6EFCE"/>
            <w:noWrap/>
          </w:tcPr>
          <w:p w14:paraId="331FA6EA" w14:textId="77777777" w:rsidR="006578ED" w:rsidRDefault="00A1618E">
            <w:pPr>
              <w:pStyle w:val="P68B1DB1-Normal13"/>
              <w:spacing w:after="0" w:line="240" w:lineRule="auto"/>
              <w:jc w:val="right"/>
              <w:rPr>
                <w:rFonts w:cs="Times New Roman"/>
                <w:noProof/>
              </w:rPr>
            </w:pPr>
            <w:r>
              <w:rPr>
                <w:noProof/>
              </w:rPr>
              <w:t>0</w:t>
            </w:r>
          </w:p>
        </w:tc>
        <w:tc>
          <w:tcPr>
            <w:tcW w:w="567" w:type="dxa"/>
            <w:shd w:val="clear" w:color="auto" w:fill="C6EFCE"/>
            <w:noWrap/>
          </w:tcPr>
          <w:p w14:paraId="60532D3B" w14:textId="77777777" w:rsidR="006578ED" w:rsidRDefault="00A1618E">
            <w:pPr>
              <w:pStyle w:val="P68B1DB1-Normal13"/>
              <w:spacing w:after="0" w:line="240" w:lineRule="auto"/>
              <w:jc w:val="right"/>
              <w:rPr>
                <w:rFonts w:cs="Times New Roman"/>
                <w:noProof/>
              </w:rPr>
            </w:pPr>
            <w:r>
              <w:rPr>
                <w:noProof/>
              </w:rPr>
              <w:t>3 400</w:t>
            </w:r>
          </w:p>
        </w:tc>
        <w:tc>
          <w:tcPr>
            <w:tcW w:w="426" w:type="dxa"/>
            <w:shd w:val="clear" w:color="auto" w:fill="C6EFCE"/>
            <w:noWrap/>
          </w:tcPr>
          <w:p w14:paraId="71FB228C" w14:textId="74926BB4" w:rsidR="006578ED" w:rsidRDefault="00EC188C">
            <w:pPr>
              <w:pStyle w:val="P68B1DB1-Normal13"/>
              <w:spacing w:after="0" w:line="240" w:lineRule="auto"/>
              <w:jc w:val="center"/>
              <w:rPr>
                <w:rFonts w:cs="Times New Roman"/>
                <w:noProof/>
              </w:rPr>
            </w:pPr>
            <w:r>
              <w:rPr>
                <w:noProof/>
              </w:rPr>
              <w:t>KW. 2</w:t>
            </w:r>
          </w:p>
        </w:tc>
        <w:tc>
          <w:tcPr>
            <w:tcW w:w="708" w:type="dxa"/>
            <w:shd w:val="clear" w:color="auto" w:fill="C6EFCE"/>
            <w:noWrap/>
          </w:tcPr>
          <w:p w14:paraId="4A694733" w14:textId="77777777" w:rsidR="006578ED" w:rsidRDefault="00A1618E">
            <w:pPr>
              <w:pStyle w:val="P68B1DB1-Normal13"/>
              <w:spacing w:after="0" w:line="240" w:lineRule="auto"/>
              <w:jc w:val="center"/>
              <w:rPr>
                <w:rFonts w:cs="Times New Roman"/>
                <w:noProof/>
              </w:rPr>
            </w:pPr>
            <w:r>
              <w:rPr>
                <w:noProof/>
              </w:rPr>
              <w:t>2025</w:t>
            </w:r>
          </w:p>
        </w:tc>
        <w:tc>
          <w:tcPr>
            <w:tcW w:w="6237" w:type="dxa"/>
            <w:shd w:val="clear" w:color="auto" w:fill="C6EFCE"/>
            <w:noWrap/>
          </w:tcPr>
          <w:p w14:paraId="43DD508F" w14:textId="22A7603D" w:rsidR="006578ED" w:rsidRDefault="00A1618E">
            <w:pPr>
              <w:pStyle w:val="P68B1DB1-Normal13"/>
              <w:spacing w:after="0" w:line="240" w:lineRule="auto"/>
              <w:rPr>
                <w:rFonts w:cs="Times New Roman"/>
                <w:noProof/>
              </w:rPr>
            </w:pPr>
            <w:r>
              <w:rPr>
                <w:noProof/>
              </w:rPr>
              <w:t>Co najmniej 3400 obiektów turystycznych ukończyło projekty mające na celu zmniejszenie ich rocznego zużycia odpadów lub energii, zgodnie z wytycznymi technicznymi dotyczącymi zasady „nie czyń poważnych szkód” (2021/C58/01) poprzez wykorzystanie wykazu wyłączeń oraz wymóg zgodności z odpowiednimi unijnymi i krajowymi przepisami w zakresie ochrony środowiska.</w:t>
            </w:r>
          </w:p>
        </w:tc>
      </w:tr>
      <w:tr w:rsidR="006578ED" w14:paraId="5599F7AA" w14:textId="77777777">
        <w:trPr>
          <w:trHeight w:val="881"/>
        </w:trPr>
        <w:tc>
          <w:tcPr>
            <w:tcW w:w="709" w:type="dxa"/>
            <w:shd w:val="clear" w:color="auto" w:fill="C6EFCE"/>
            <w:noWrap/>
          </w:tcPr>
          <w:p w14:paraId="6B47432E" w14:textId="77777777" w:rsidR="006578ED" w:rsidRDefault="00A1618E">
            <w:pPr>
              <w:pStyle w:val="P68B1DB1-Normal13"/>
              <w:spacing w:after="0" w:line="240" w:lineRule="auto"/>
              <w:jc w:val="center"/>
              <w:rPr>
                <w:rFonts w:cs="Times New Roman"/>
                <w:noProof/>
              </w:rPr>
            </w:pPr>
            <w:r>
              <w:rPr>
                <w:noProof/>
              </w:rPr>
              <w:t>228</w:t>
            </w:r>
          </w:p>
        </w:tc>
        <w:tc>
          <w:tcPr>
            <w:tcW w:w="851" w:type="dxa"/>
            <w:shd w:val="clear" w:color="auto" w:fill="C6EFCE"/>
            <w:noWrap/>
          </w:tcPr>
          <w:p w14:paraId="27E92DE7" w14:textId="77777777" w:rsidR="006578ED" w:rsidRDefault="00A1618E">
            <w:pPr>
              <w:pStyle w:val="P68B1DB1-Normal13"/>
              <w:spacing w:after="0" w:line="240" w:lineRule="auto"/>
              <w:jc w:val="center"/>
              <w:rPr>
                <w:rFonts w:cs="Times New Roman"/>
                <w:noProof/>
              </w:rPr>
            </w:pPr>
            <w:r>
              <w:rPr>
                <w:noProof/>
              </w:rPr>
              <w:t>C14.I4</w:t>
            </w:r>
          </w:p>
        </w:tc>
        <w:tc>
          <w:tcPr>
            <w:tcW w:w="850" w:type="dxa"/>
            <w:shd w:val="clear" w:color="auto" w:fill="C6EFCE"/>
            <w:noWrap/>
          </w:tcPr>
          <w:p w14:paraId="3792C9DD" w14:textId="7AB24DCF" w:rsidR="006578ED" w:rsidRDefault="00AF6B91">
            <w:pPr>
              <w:pStyle w:val="P68B1DB1-Normal13"/>
              <w:spacing w:after="0" w:line="240" w:lineRule="auto"/>
              <w:jc w:val="center"/>
              <w:rPr>
                <w:rFonts w:cs="Times New Roman"/>
                <w:noProof/>
              </w:rPr>
            </w:pPr>
            <w:r>
              <w:rPr>
                <w:noProof/>
              </w:rPr>
              <w:t>Cel</w:t>
            </w:r>
          </w:p>
        </w:tc>
        <w:tc>
          <w:tcPr>
            <w:tcW w:w="1418" w:type="dxa"/>
            <w:shd w:val="clear" w:color="auto" w:fill="C6EFCE"/>
            <w:noWrap/>
          </w:tcPr>
          <w:p w14:paraId="1557000D" w14:textId="507F5898" w:rsidR="006578ED" w:rsidRDefault="00A1618E">
            <w:pPr>
              <w:pStyle w:val="P68B1DB1-Normal13"/>
              <w:spacing w:after="0" w:line="240" w:lineRule="auto"/>
              <w:rPr>
                <w:rFonts w:cs="Times New Roman"/>
                <w:noProof/>
              </w:rPr>
            </w:pPr>
            <w:r>
              <w:rPr>
                <w:noProof/>
              </w:rPr>
              <w:t>Projekty rewitalizacji obiektów dziedzictwa historycznego o obecnym lub przyszłym przeznaczeniu turystycznym</w:t>
            </w:r>
          </w:p>
        </w:tc>
        <w:tc>
          <w:tcPr>
            <w:tcW w:w="1276" w:type="dxa"/>
            <w:shd w:val="clear" w:color="auto" w:fill="C6EFCE"/>
            <w:noWrap/>
          </w:tcPr>
          <w:p w14:paraId="45A9A141"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179C0CBD" w14:textId="77777777" w:rsidR="006578ED" w:rsidRDefault="00A1618E">
            <w:pPr>
              <w:pStyle w:val="P68B1DB1-Normal13"/>
              <w:spacing w:after="0" w:line="240" w:lineRule="auto"/>
              <w:jc w:val="right"/>
              <w:rPr>
                <w:rFonts w:cs="Times New Roman"/>
                <w:noProof/>
              </w:rPr>
            </w:pPr>
            <w:r>
              <w:rPr>
                <w:noProof/>
              </w:rPr>
              <w:t>Liczba</w:t>
            </w:r>
          </w:p>
        </w:tc>
        <w:tc>
          <w:tcPr>
            <w:tcW w:w="992" w:type="dxa"/>
            <w:shd w:val="clear" w:color="auto" w:fill="C6EFCE"/>
            <w:noWrap/>
          </w:tcPr>
          <w:p w14:paraId="58A16522" w14:textId="77777777" w:rsidR="006578ED" w:rsidRDefault="00A1618E">
            <w:pPr>
              <w:pStyle w:val="P68B1DB1-Normal13"/>
              <w:spacing w:after="0" w:line="240" w:lineRule="auto"/>
              <w:jc w:val="right"/>
              <w:rPr>
                <w:rFonts w:cs="Times New Roman"/>
                <w:noProof/>
              </w:rPr>
            </w:pPr>
            <w:r>
              <w:rPr>
                <w:noProof/>
              </w:rPr>
              <w:t>0</w:t>
            </w:r>
          </w:p>
        </w:tc>
        <w:tc>
          <w:tcPr>
            <w:tcW w:w="567" w:type="dxa"/>
            <w:shd w:val="clear" w:color="auto" w:fill="C6EFCE"/>
            <w:noWrap/>
          </w:tcPr>
          <w:p w14:paraId="42B1A537" w14:textId="77777777" w:rsidR="006578ED" w:rsidRDefault="00A1618E">
            <w:pPr>
              <w:pStyle w:val="P68B1DB1-Normal13"/>
              <w:spacing w:after="0" w:line="240" w:lineRule="auto"/>
              <w:jc w:val="right"/>
              <w:rPr>
                <w:rFonts w:cs="Times New Roman"/>
                <w:noProof/>
              </w:rPr>
            </w:pPr>
            <w:r>
              <w:rPr>
                <w:noProof/>
              </w:rPr>
              <w:t>50</w:t>
            </w:r>
          </w:p>
        </w:tc>
        <w:tc>
          <w:tcPr>
            <w:tcW w:w="426" w:type="dxa"/>
            <w:shd w:val="clear" w:color="auto" w:fill="C6EFCE"/>
            <w:noWrap/>
          </w:tcPr>
          <w:p w14:paraId="341BFCFB" w14:textId="5A88E880" w:rsidR="006578ED" w:rsidRDefault="00EC188C">
            <w:pPr>
              <w:pStyle w:val="P68B1DB1-Normal13"/>
              <w:spacing w:after="0" w:line="240" w:lineRule="auto"/>
              <w:jc w:val="center"/>
              <w:rPr>
                <w:rFonts w:cs="Times New Roman"/>
                <w:noProof/>
              </w:rPr>
            </w:pPr>
            <w:r>
              <w:rPr>
                <w:noProof/>
              </w:rPr>
              <w:t>KW. 2</w:t>
            </w:r>
          </w:p>
        </w:tc>
        <w:tc>
          <w:tcPr>
            <w:tcW w:w="708" w:type="dxa"/>
            <w:shd w:val="clear" w:color="auto" w:fill="C6EFCE"/>
            <w:noWrap/>
          </w:tcPr>
          <w:p w14:paraId="30C50665" w14:textId="77777777" w:rsidR="006578ED" w:rsidRDefault="00A1618E">
            <w:pPr>
              <w:pStyle w:val="P68B1DB1-Normal13"/>
              <w:spacing w:after="0" w:line="240" w:lineRule="auto"/>
              <w:jc w:val="center"/>
              <w:rPr>
                <w:rFonts w:cs="Times New Roman"/>
                <w:noProof/>
              </w:rPr>
            </w:pPr>
            <w:r>
              <w:rPr>
                <w:noProof/>
              </w:rPr>
              <w:t>2026</w:t>
            </w:r>
          </w:p>
        </w:tc>
        <w:tc>
          <w:tcPr>
            <w:tcW w:w="6237" w:type="dxa"/>
            <w:shd w:val="clear" w:color="auto" w:fill="C6EFCE"/>
            <w:noWrap/>
          </w:tcPr>
          <w:p w14:paraId="11932909" w14:textId="0FB28D1A" w:rsidR="006578ED" w:rsidRDefault="00A1618E">
            <w:pPr>
              <w:pStyle w:val="P68B1DB1-Normal13"/>
              <w:spacing w:after="0" w:line="240" w:lineRule="auto"/>
              <w:rPr>
                <w:rFonts w:cs="Times New Roman"/>
                <w:noProof/>
              </w:rPr>
            </w:pPr>
            <w:r>
              <w:rPr>
                <w:noProof/>
              </w:rPr>
              <w:t xml:space="preserve">Zakończono co najmniej 50 działań w zakresie rewitalizacji obiektów dziedzictwa historycznego, zgodnie z wytycznymi technicznymi dotyczącymi zasady „nie czyń poważnych szkód” (2021/C58/01) poprzez wykorzystanie wykazu wyłączeń oraz wymóg zgodności z odpowiednimi unijnymi i krajowymi przepisami w zakresie ochrony środowiska. </w:t>
            </w:r>
          </w:p>
        </w:tc>
      </w:tr>
    </w:tbl>
    <w:p w14:paraId="0EBF13D8" w14:textId="77777777" w:rsidR="006578ED" w:rsidRDefault="006578ED">
      <w:pPr>
        <w:spacing w:before="120" w:after="120" w:line="240" w:lineRule="auto"/>
        <w:ind w:left="709"/>
        <w:jc w:val="both"/>
        <w:rPr>
          <w:rFonts w:ascii="Times New Roman" w:hAnsi="Times New Roman" w:cs="Times New Roman"/>
          <w:noProof/>
          <w:sz w:val="24"/>
        </w:rPr>
      </w:pPr>
    </w:p>
    <w:p w14:paraId="53690C33" w14:textId="77777777" w:rsidR="006578ED" w:rsidRDefault="006578ED">
      <w:pPr>
        <w:spacing w:before="120" w:after="120" w:line="240" w:lineRule="auto"/>
        <w:jc w:val="both"/>
        <w:rPr>
          <w:rFonts w:ascii="Times New Roman" w:hAnsi="Times New Roman" w:cs="Times New Roman"/>
          <w:noProof/>
          <w:sz w:val="24"/>
        </w:rPr>
        <w:sectPr w:rsidR="006578ED" w:rsidSect="00EB7CC8">
          <w:headerReference w:type="even" r:id="rId300"/>
          <w:headerReference w:type="default" r:id="rId301"/>
          <w:footerReference w:type="even" r:id="rId302"/>
          <w:footerReference w:type="default" r:id="rId303"/>
          <w:headerReference w:type="first" r:id="rId304"/>
          <w:footerReference w:type="first" r:id="rId305"/>
          <w:pgSz w:w="16839" w:h="11907" w:orient="landscape"/>
          <w:pgMar w:top="1417" w:right="1134" w:bottom="1417" w:left="1134" w:header="709" w:footer="709" w:gutter="0"/>
          <w:cols w:space="720"/>
          <w:docGrid w:linePitch="360"/>
        </w:sectPr>
      </w:pPr>
    </w:p>
    <w:p w14:paraId="0005EC5A" w14:textId="77777777" w:rsidR="006578ED" w:rsidRDefault="00A1618E">
      <w:pPr>
        <w:pStyle w:val="P68B1DB1-Heading12"/>
        <w:rPr>
          <w:rFonts w:cs="Times New Roman"/>
          <w:noProof/>
        </w:rPr>
      </w:pPr>
      <w:r>
        <w:rPr>
          <w:noProof/>
        </w:rPr>
        <w:t>O. KOMPONENT 15: Łączność cyfrowa</w:t>
      </w:r>
    </w:p>
    <w:p w14:paraId="7E48FAC7" w14:textId="3D0C874B" w:rsidR="006578ED" w:rsidRDefault="00A1618E">
      <w:pPr>
        <w:pStyle w:val="P68B1DB1-Normal4"/>
        <w:spacing w:before="120" w:after="120" w:line="240" w:lineRule="auto"/>
        <w:jc w:val="both"/>
        <w:rPr>
          <w:rFonts w:cs="Times New Roman"/>
          <w:noProof/>
        </w:rPr>
      </w:pPr>
      <w:r>
        <w:rPr>
          <w:noProof/>
        </w:rPr>
        <w:t>Łączność cyfrowa jest kluczowym czynnikiem rozwoju działalności gospodarczej, zwiększenia wydajności, pobudzania innowacji oraz spójności terytorialnej i społecznej. Dostęp do sieci cyfrowych jest coraz bardziej niezbędny, aby móc uzyskać dostęp do usług publicznych, rozwijać działalność gospodarczą i aktywnie uczestniczyć w życiu społecznym.</w:t>
      </w:r>
    </w:p>
    <w:p w14:paraId="50C9AC70" w14:textId="22D57C65" w:rsidR="006578ED" w:rsidRDefault="00A1618E">
      <w:pPr>
        <w:pStyle w:val="P68B1DB1-Normal4"/>
        <w:spacing w:before="120" w:after="120" w:line="240" w:lineRule="auto"/>
        <w:jc w:val="both"/>
        <w:rPr>
          <w:rFonts w:eastAsia="Calibri" w:cs="Times New Roman"/>
          <w:noProof/>
        </w:rPr>
      </w:pPr>
      <w:r>
        <w:rPr>
          <w:noProof/>
        </w:rPr>
        <w:t>Ten element hiszpańskiego planu odbudowy i zwiększania odporności dotyczy wyzwań w zakresie łączności związanych z zapewnieniem zasięgu ultraszybkich sieci stacjonarnych o przepustowości ponad 100 Mb/s oraz 5G w Hiszpanii, w szczególności na obszarach wiejskich i w kluczowych transgranicznych korytarzach transportowych. Z punktu widzenia cyberbezpieczeństwa głównym wyzwaniem, jakim jest stworzenie wiarygodnego i bezpiecznego środowiska dla obywateli i przedsiębiorstw, aby przyczynić się do procesu cyfryzacji i hiperłączności związanego z wdrażaniem sieci 5G i usług związanych z tą technologią, takich jak aplikacje internetu rzeczy (IoT).</w:t>
      </w:r>
    </w:p>
    <w:p w14:paraId="63E92DF6" w14:textId="77C90213" w:rsidR="006578ED" w:rsidRDefault="00A1618E">
      <w:pPr>
        <w:pStyle w:val="P68B1DB1-Normal4"/>
        <w:spacing w:before="120" w:after="120" w:line="240" w:lineRule="auto"/>
        <w:jc w:val="both"/>
        <w:rPr>
          <w:rFonts w:eastAsia="Calibri" w:cs="Times New Roman"/>
          <w:noProof/>
        </w:rPr>
      </w:pPr>
      <w:r>
        <w:rPr>
          <w:noProof/>
        </w:rPr>
        <w:t>Celem tego komponentu jest dostosowanie sektora telekomunikacyjnego do wymogów europejskiej strategii cyfrowej oraz wzmocnienie spójności gospodarczej, społecznej i terytorialnej poprzez zlikwidowanie luk cyfrowych i zwiększenie dostępu do ultraszybkiego zasięgu na całym terytorium krajowym. Komponent wspiera przyspieszone wdrażanie technologii 5G poprzez: 1) udostępnianie niezbędnych zasobów widma w pasmach priorytetowych 5G; 2) rozwój niezawodnego i bezpiecznego środowiska wdrażania oraz 3) wspieranie rozwoju zastosowań technologii 5G. Jego celem jest również wspieranie zrównoważonej kultury bezpieczeństwa cybernetycznego obywateli i przedsiębiorstw.</w:t>
      </w:r>
    </w:p>
    <w:p w14:paraId="03951814" w14:textId="05EDABEC" w:rsidR="006578ED" w:rsidRDefault="00A1618E">
      <w:pPr>
        <w:pStyle w:val="P68B1DB1-Normal4"/>
        <w:spacing w:before="120" w:after="120" w:line="240" w:lineRule="auto"/>
        <w:jc w:val="both"/>
        <w:rPr>
          <w:rFonts w:eastAsia="Calibri" w:cs="Times New Roman"/>
          <w:noProof/>
        </w:rPr>
      </w:pPr>
      <w:r>
        <w:rPr>
          <w:noProof/>
        </w:rPr>
        <w:t xml:space="preserve">Komponent ten odnosi się do zaleceń dla poszczególnych krajów dotyczących ukierunkowania inwestycyjnej polityki gospodarczej na wspieranie innowacji (zalecenie dla poszczególnych krajów </w:t>
      </w:r>
      <w:r w:rsidRPr="00A1618E">
        <w:rPr>
          <w:noProof/>
          <w:lang w:val="pl-PL"/>
        </w:rPr>
        <w:t>nr 3</w:t>
      </w:r>
      <w:r>
        <w:rPr>
          <w:noProof/>
        </w:rPr>
        <w:t xml:space="preserve"> z 20</w:t>
      </w:r>
      <w:r w:rsidRPr="00A1618E">
        <w:rPr>
          <w:noProof/>
          <w:lang w:val="pl-PL"/>
        </w:rPr>
        <w:t>19 r.</w:t>
      </w:r>
      <w:r>
        <w:rPr>
          <w:noProof/>
        </w:rPr>
        <w:t xml:space="preserve">) i koncentracji na wstępie gotowych projektów inwestycji publicznych oraz skoncentrowania inwestycji na transformacji cyfrowej (zalecenia dla poszczególnych krajów </w:t>
      </w:r>
      <w:r w:rsidRPr="00A1618E">
        <w:rPr>
          <w:noProof/>
          <w:lang w:val="pl-PL"/>
        </w:rPr>
        <w:t>nr 3</w:t>
      </w:r>
      <w:r>
        <w:rPr>
          <w:noProof/>
        </w:rPr>
        <w:t> 2020, 1 2022 i 1 2023).</w:t>
      </w:r>
    </w:p>
    <w:p w14:paraId="09C9655A" w14:textId="47878C69" w:rsidR="006578ED" w:rsidRDefault="00A1618E">
      <w:pPr>
        <w:pStyle w:val="P68B1DB1-Normal4"/>
        <w:spacing w:before="120" w:after="120" w:line="240" w:lineRule="auto"/>
        <w:jc w:val="both"/>
        <w:rPr>
          <w:rFonts w:eastAsia="Calibri"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0E41D603" w14:textId="04700500" w:rsidR="006578ED" w:rsidRDefault="00A1618E">
      <w:pPr>
        <w:pStyle w:val="P68B1DB1-Normal33"/>
        <w:ind w:left="720"/>
        <w:rPr>
          <w:rFonts w:cs="Times New Roman"/>
          <w:noProof/>
        </w:rPr>
      </w:pPr>
      <w:r>
        <w:rPr>
          <w:noProof/>
        </w:rPr>
        <w:t>O</w:t>
      </w:r>
      <w:r>
        <w:rPr>
          <w:noProof/>
          <w:sz w:val="24"/>
        </w:rPr>
        <w:t xml:space="preserve">.1. </w:t>
      </w:r>
      <w:r>
        <w:rPr>
          <w:noProof/>
          <w:sz w:val="24"/>
        </w:rPr>
        <w:tab/>
        <w:t>Opis reform i inwestycji, które mają być finansowane z bezzwrotnego wsparcia finansowego</w:t>
      </w:r>
    </w:p>
    <w:p w14:paraId="0EBBD9EE" w14:textId="18D88886" w:rsidR="006578ED" w:rsidRDefault="00A1618E">
      <w:pPr>
        <w:pStyle w:val="P68B1DB1-Normal6"/>
        <w:spacing w:before="120" w:after="120" w:line="240" w:lineRule="auto"/>
        <w:jc w:val="both"/>
        <w:rPr>
          <w:rFonts w:cs="Times New Roman"/>
          <w:noProof/>
        </w:rPr>
      </w:pPr>
      <w:r>
        <w:rPr>
          <w:noProof/>
        </w:rPr>
        <w:t>Reforma 1 (C15.R1) – Reforma ram regulacyjnych w dziedzinie telekomunikacji: Ustawa ogólna, instrumenty regulacyjne i instrumenty wykonawcze</w:t>
      </w:r>
    </w:p>
    <w:p w14:paraId="57A432B6" w14:textId="5664A5B6" w:rsidR="006578ED" w:rsidRDefault="00A1618E">
      <w:pPr>
        <w:pStyle w:val="P68B1DB1-Normal4"/>
        <w:spacing w:before="120" w:after="120" w:line="240" w:lineRule="auto"/>
        <w:jc w:val="both"/>
        <w:rPr>
          <w:rFonts w:cs="Times New Roman"/>
          <w:noProof/>
        </w:rPr>
      </w:pPr>
      <w:r>
        <w:rPr>
          <w:noProof/>
        </w:rPr>
        <w:t>Celem środka jest transpozycja dyrektywy 2018/1972 Europejskiego kodeksu łączności elektronicznej, opracowanie najlepszych praktyk w zakresie wdrażania sieci stacjonarnych i ruchomych o dużej przepustowości oraz sieci 5G, a także opracowanie działań niezbędnych do wdrożenia w ramach krajowych zestawu narzędzi wynikającego z zalecenia Komisji Europejskiej w sprawie łączności C(2020) 6270.</w:t>
      </w:r>
    </w:p>
    <w:p w14:paraId="513A533F" w14:textId="1CD31268" w:rsidR="006578ED" w:rsidRDefault="00A1618E">
      <w:pPr>
        <w:pStyle w:val="P68B1DB1-Normal4"/>
        <w:spacing w:before="120" w:after="120" w:line="240" w:lineRule="auto"/>
        <w:jc w:val="both"/>
        <w:rPr>
          <w:rFonts w:eastAsia="Calibri" w:cs="Times New Roman"/>
          <w:noProof/>
        </w:rPr>
      </w:pPr>
      <w:r>
        <w:rPr>
          <w:noProof/>
        </w:rPr>
        <w:t xml:space="preserve">Zestaw narzędzi wynikający z wdrożenia zalecenia Komisji Europejskiej w sprawie łączności C(2020) 6270 zostanie włączony do hiszpańskich ram prawnych w ramach ogólnego prawa telekomunikacyjnego w odniesieniu do tych elementów, które wymagają statusu prawnego. </w:t>
      </w:r>
    </w:p>
    <w:p w14:paraId="45987DA4" w14:textId="776C1550" w:rsidR="006578ED" w:rsidRDefault="00A1618E">
      <w:pPr>
        <w:pStyle w:val="P68B1DB1-Normal8"/>
        <w:autoSpaceDE w:val="0"/>
        <w:autoSpaceDN w:val="0"/>
        <w:spacing w:before="40" w:after="40" w:line="240" w:lineRule="auto"/>
        <w:jc w:val="both"/>
        <w:rPr>
          <w:rFonts w:eastAsia="Calibri" w:cs="Times New Roman"/>
          <w:noProof/>
        </w:rPr>
      </w:pPr>
      <w:r>
        <w:rPr>
          <w:noProof/>
          <w:sz w:val="24"/>
        </w:rPr>
        <w:t>Wdrożenie środka należy zakończyć do dnia 30 czerwca 20</w:t>
      </w:r>
      <w:r w:rsidRPr="00A1618E">
        <w:rPr>
          <w:noProof/>
          <w:sz w:val="24"/>
          <w:lang w:val="pl-PL"/>
        </w:rPr>
        <w:t>22 r.</w:t>
      </w:r>
      <w:r>
        <w:rPr>
          <w:noProof/>
          <w:sz w:val="20"/>
        </w:rPr>
        <w:t xml:space="preserve"> </w:t>
      </w:r>
    </w:p>
    <w:p w14:paraId="0618C9AF" w14:textId="063F77B9" w:rsidR="006578ED" w:rsidRDefault="00A1618E">
      <w:pPr>
        <w:pStyle w:val="P68B1DB1-Normal6"/>
        <w:keepNext/>
        <w:spacing w:before="120" w:after="120" w:line="240" w:lineRule="auto"/>
        <w:jc w:val="both"/>
        <w:rPr>
          <w:rFonts w:cs="Times New Roman"/>
          <w:noProof/>
        </w:rPr>
      </w:pPr>
      <w:r>
        <w:rPr>
          <w:noProof/>
        </w:rPr>
        <w:t>Reforma 2 (C15.R2) – Plan działania 5G: Zarządzanie widmem i jego przydział, zmniejszenie obciążeń związanych z wdrażaniem, akt o cyberbezpieczeństwie 5G i wsparcie dla władz lokalnych</w:t>
      </w:r>
    </w:p>
    <w:p w14:paraId="7FFDEE86" w14:textId="69B52329" w:rsidR="006578ED" w:rsidRDefault="00A1618E">
      <w:pPr>
        <w:pStyle w:val="P68B1DB1-Normal4"/>
        <w:keepNext/>
        <w:spacing w:before="120" w:after="120" w:line="240" w:lineRule="auto"/>
        <w:jc w:val="both"/>
        <w:rPr>
          <w:rFonts w:cs="Times New Roman"/>
          <w:noProof/>
        </w:rPr>
      </w:pPr>
      <w:r>
        <w:rPr>
          <w:noProof/>
        </w:rPr>
        <w:t>Celem środka jest: 1) zakończenie „drugiej dywidendy cyfrowej” oraz procedury aukcyjnej dla pasma częstotliwości 700 MHz i 26 GHz; 2) tymczasowe ograniczenie opodatkowania częstotliwości dla operatorów telekomunikacyjnych w latach 2022 i 2023 w celu przyspieszenia wdrażania sieci 5G; 3) włączenie unijnego zestawu narzędzi na rzecz cyberbezpieczeństwa sieci 5G do krajowego zbioru przepisów; oraz 4) rozpowszechnianie wśród lokalnych organów administracji publicznej dobrych praktyk w zakresie telekomunikacji i urbanistyki.</w:t>
      </w:r>
    </w:p>
    <w:p w14:paraId="4BB49479" w14:textId="4768D492" w:rsidR="006578ED" w:rsidRDefault="00A1618E">
      <w:pPr>
        <w:pStyle w:val="P68B1DB1-Normal4"/>
        <w:spacing w:before="120" w:after="120" w:line="240" w:lineRule="auto"/>
        <w:jc w:val="both"/>
        <w:rPr>
          <w:rFonts w:cs="Times New Roman"/>
          <w:noProof/>
        </w:rPr>
      </w:pPr>
      <w:r>
        <w:rPr>
          <w:noProof/>
        </w:rPr>
        <w:t>Jeśli chodzi o wdrażanie, określono następujące etapy:</w:t>
      </w:r>
    </w:p>
    <w:p w14:paraId="69B0C14B" w14:textId="77777777" w:rsidR="006578ED" w:rsidRDefault="00A1618E">
      <w:pPr>
        <w:pStyle w:val="P68B1DB1-Normal4"/>
        <w:numPr>
          <w:ilvl w:val="0"/>
          <w:numId w:val="724"/>
        </w:numPr>
        <w:spacing w:before="120" w:after="160" w:line="256" w:lineRule="auto"/>
        <w:contextualSpacing/>
        <w:jc w:val="both"/>
        <w:rPr>
          <w:rFonts w:cs="Times New Roman"/>
          <w:noProof/>
        </w:rPr>
      </w:pPr>
      <w:r>
        <w:rPr>
          <w:noProof/>
        </w:rPr>
        <w:t>Zakończenie „drugiej dywidendy cyfrowej”</w:t>
      </w:r>
    </w:p>
    <w:p w14:paraId="3CF44432" w14:textId="77777777" w:rsidR="006578ED" w:rsidRDefault="00A1618E">
      <w:pPr>
        <w:pStyle w:val="P68B1DB1-Normal4"/>
        <w:numPr>
          <w:ilvl w:val="0"/>
          <w:numId w:val="724"/>
        </w:numPr>
        <w:spacing w:before="120" w:after="160" w:line="256" w:lineRule="auto"/>
        <w:contextualSpacing/>
        <w:jc w:val="both"/>
        <w:rPr>
          <w:rFonts w:cs="Times New Roman"/>
          <w:noProof/>
        </w:rPr>
      </w:pPr>
      <w:r>
        <w:rPr>
          <w:noProof/>
        </w:rPr>
        <w:t>Strategia na rzecz promowania technologii 5G</w:t>
      </w:r>
    </w:p>
    <w:p w14:paraId="01E905DD" w14:textId="77777777" w:rsidR="006578ED" w:rsidRDefault="00A1618E">
      <w:pPr>
        <w:pStyle w:val="P68B1DB1-Normal4"/>
        <w:numPr>
          <w:ilvl w:val="0"/>
          <w:numId w:val="724"/>
        </w:numPr>
        <w:spacing w:before="120" w:after="160" w:line="256" w:lineRule="auto"/>
        <w:contextualSpacing/>
        <w:jc w:val="both"/>
        <w:rPr>
          <w:rFonts w:cs="Times New Roman"/>
          <w:noProof/>
        </w:rPr>
      </w:pPr>
      <w:r>
        <w:rPr>
          <w:noProof/>
        </w:rPr>
        <w:t xml:space="preserve">Aukcja dla pasma 700 MHz </w:t>
      </w:r>
    </w:p>
    <w:p w14:paraId="63929EA3" w14:textId="77777777" w:rsidR="006578ED" w:rsidRDefault="00A1618E">
      <w:pPr>
        <w:pStyle w:val="P68B1DB1-Normal4"/>
        <w:numPr>
          <w:ilvl w:val="0"/>
          <w:numId w:val="724"/>
        </w:numPr>
        <w:spacing w:before="120" w:after="160" w:line="256" w:lineRule="auto"/>
        <w:contextualSpacing/>
        <w:jc w:val="both"/>
        <w:rPr>
          <w:rFonts w:cs="Times New Roman"/>
          <w:noProof/>
        </w:rPr>
      </w:pPr>
      <w:r>
        <w:rPr>
          <w:noProof/>
        </w:rPr>
        <w:t>Zaproszenie do składania ofert na pasmo 26 GHz</w:t>
      </w:r>
    </w:p>
    <w:p w14:paraId="0ADCCBA1" w14:textId="77777777" w:rsidR="006578ED" w:rsidRDefault="00A1618E">
      <w:pPr>
        <w:pStyle w:val="P68B1DB1-Normal4"/>
        <w:numPr>
          <w:ilvl w:val="0"/>
          <w:numId w:val="724"/>
        </w:numPr>
        <w:spacing w:before="120" w:after="160" w:line="256" w:lineRule="auto"/>
        <w:contextualSpacing/>
        <w:jc w:val="both"/>
        <w:rPr>
          <w:rFonts w:cs="Times New Roman"/>
          <w:noProof/>
        </w:rPr>
      </w:pPr>
      <w:r>
        <w:rPr>
          <w:noProof/>
        </w:rPr>
        <w:t>Tymczasowa obniżka opodatkowania widma</w:t>
      </w:r>
    </w:p>
    <w:p w14:paraId="537CA5FF" w14:textId="6B86C431" w:rsidR="006578ED" w:rsidRDefault="00A1618E">
      <w:pPr>
        <w:pStyle w:val="P68B1DB1-Normal4"/>
        <w:numPr>
          <w:ilvl w:val="0"/>
          <w:numId w:val="724"/>
        </w:numPr>
        <w:spacing w:before="120" w:after="160" w:line="256" w:lineRule="auto"/>
        <w:contextualSpacing/>
        <w:jc w:val="both"/>
        <w:rPr>
          <w:rFonts w:cs="Times New Roman"/>
          <w:noProof/>
        </w:rPr>
      </w:pPr>
      <w:r>
        <w:rPr>
          <w:noProof/>
        </w:rPr>
        <w:t>Ustawa o cyberbezpieczeństwie 5G</w:t>
      </w:r>
    </w:p>
    <w:p w14:paraId="6FF8FE8D" w14:textId="5F64B312" w:rsidR="006578ED" w:rsidRDefault="00A1618E">
      <w:pPr>
        <w:pStyle w:val="P68B1DB1-Normal8"/>
        <w:autoSpaceDE w:val="0"/>
        <w:autoSpaceDN w:val="0"/>
        <w:spacing w:before="40" w:after="40" w:line="240" w:lineRule="auto"/>
        <w:jc w:val="both"/>
        <w:rPr>
          <w:rFonts w:eastAsia="Calibri" w:cs="Times New Roman"/>
          <w:noProof/>
        </w:rPr>
      </w:pPr>
      <w:r>
        <w:rPr>
          <w:noProof/>
          <w:sz w:val="24"/>
        </w:rPr>
        <w:t>Wdrożenie środka należy zakończyć do dnia 31 grudnia 20</w:t>
      </w:r>
      <w:r w:rsidRPr="00A1618E">
        <w:rPr>
          <w:noProof/>
          <w:sz w:val="24"/>
          <w:lang w:val="pl-PL"/>
        </w:rPr>
        <w:t>22 r.</w:t>
      </w:r>
      <w:r>
        <w:rPr>
          <w:noProof/>
          <w:sz w:val="20"/>
        </w:rPr>
        <w:t xml:space="preserve"> </w:t>
      </w:r>
    </w:p>
    <w:p w14:paraId="3E4A5C09" w14:textId="77777777" w:rsidR="006578ED" w:rsidRDefault="00A1618E">
      <w:pPr>
        <w:pStyle w:val="P68B1DB1-Normal6"/>
        <w:spacing w:before="120" w:after="120" w:line="240" w:lineRule="auto"/>
        <w:jc w:val="both"/>
        <w:rPr>
          <w:rFonts w:cs="Times New Roman"/>
          <w:noProof/>
        </w:rPr>
      </w:pPr>
      <w:r>
        <w:rPr>
          <w:noProof/>
        </w:rPr>
        <w:t>Inwestycja 1 (C15.I1) – Promowanie spójności terytorialnej poprzez wdrażanie sieci: Rozszerzenie ultraszybkich łączy szerokopasmowych</w:t>
      </w:r>
    </w:p>
    <w:p w14:paraId="45B9A600" w14:textId="194DE575" w:rsidR="006578ED" w:rsidRDefault="00A1618E">
      <w:pPr>
        <w:pStyle w:val="P68B1DB1-Normal4"/>
        <w:spacing w:before="120" w:after="120" w:line="240" w:lineRule="auto"/>
        <w:jc w:val="both"/>
        <w:rPr>
          <w:rFonts w:cs="Times New Roman"/>
          <w:noProof/>
        </w:rPr>
      </w:pPr>
      <w:r>
        <w:rPr>
          <w:noProof/>
        </w:rPr>
        <w:t xml:space="preserve">Celem środka jest: Zwiększenie zasięgu ultraszybkich sieci dostępu szerokopasmowego na obszarach, które ich brakuje, w celu dotarcia </w:t>
      </w:r>
      <w:r w:rsidRPr="00A1618E">
        <w:rPr>
          <w:noProof/>
          <w:lang w:val="pl-PL"/>
        </w:rPr>
        <w:t>do 1</w:t>
      </w:r>
      <w:r>
        <w:rPr>
          <w:noProof/>
        </w:rPr>
        <w:t xml:space="preserve">00 % ludności; oraz 2) wdrożenie konkretnych działań na rzecz rozszerzenia zasięgu w historycznych ośrodkach miejskich o statusie białego obszaru. </w:t>
      </w:r>
    </w:p>
    <w:p w14:paraId="7E223AF1" w14:textId="33541CCA" w:rsidR="006578ED" w:rsidRDefault="00A1618E">
      <w:pPr>
        <w:pStyle w:val="P68B1DB1-Normal4"/>
        <w:spacing w:before="120" w:after="120" w:line="240" w:lineRule="auto"/>
        <w:jc w:val="both"/>
        <w:rPr>
          <w:rFonts w:cs="Times New Roman"/>
          <w:noProof/>
        </w:rPr>
      </w:pPr>
      <w:r>
        <w:rPr>
          <w:noProof/>
        </w:rPr>
        <w:t>Inwestycja polega na zapewnieniu ultraszybkiej łączności szerokopasmowej (powyżej 100 Mb/s) na tych obszarach, głównie na obszarach wiejskich i obszarach o wartości historycznej, które obecnie nie posiadają takiej łączności. Szczegółowy plan wykonalny zostanie przyjęty do końca 20</w:t>
      </w:r>
      <w:r w:rsidRPr="00A1618E">
        <w:rPr>
          <w:noProof/>
          <w:lang w:val="pl-PL"/>
        </w:rPr>
        <w:t>21 r.</w:t>
      </w:r>
      <w:r>
        <w:rPr>
          <w:noProof/>
        </w:rPr>
        <w:t>, a 100 % budżetu zostanie przyznane do końca 20</w:t>
      </w:r>
      <w:r w:rsidRPr="00A1618E">
        <w:rPr>
          <w:noProof/>
          <w:lang w:val="pl-PL"/>
        </w:rPr>
        <w:t>23 r.</w:t>
      </w:r>
      <w:r>
        <w:rPr>
          <w:noProof/>
        </w:rPr>
        <w:t xml:space="preserve"> W</w:t>
      </w:r>
      <w:r>
        <w:rPr>
          <w:noProof/>
          <w:lang w:val="pl-PL"/>
        </w:rPr>
        <w:t> </w:t>
      </w:r>
      <w:r>
        <w:rPr>
          <w:noProof/>
        </w:rPr>
        <w:t xml:space="preserve">planie określa się również ostateczne cele (pod względem dodatkowego zasięgu w jednostkach), które należy osiągnąć, oraz zapewnia neutralność technologiczną i utrzymanie mechanizmów konkurencji rynkowej i dostępu wszystkich operatorów do wdrożonej infrastruktury. Obszary interwencji określa się w takim planie. W planie wdrażania określa się również wymagane kroki prawne i regulacyjne, w tym działania, które należy podjąć w celu zapewnienia zgodności z odpowiednimi unijnymi zasadami pomocy państwa. Celem jest zapewnienie symetrycznej prędkości 300 Mb/s, z możliwością modernizacji </w:t>
      </w:r>
      <w:r w:rsidRPr="00A1618E">
        <w:rPr>
          <w:noProof/>
          <w:lang w:val="pl-PL"/>
        </w:rPr>
        <w:t>do 1</w:t>
      </w:r>
      <w:r>
        <w:rPr>
          <w:noProof/>
        </w:rPr>
        <w:t>-Gbps symetrycznej (gigabit na sekundę) na obszarach białych i na obszarach szarych.</w:t>
      </w:r>
    </w:p>
    <w:p w14:paraId="023C33CE" w14:textId="4549C003" w:rsidR="006578ED" w:rsidRDefault="00A1618E">
      <w:pPr>
        <w:pStyle w:val="P68B1DB1-Normal4"/>
        <w:spacing w:before="120" w:after="120" w:line="240" w:lineRule="auto"/>
        <w:jc w:val="both"/>
        <w:rPr>
          <w:rFonts w:cs="Times New Roman"/>
          <w:noProof/>
        </w:rPr>
      </w:pPr>
      <w:r>
        <w:rPr>
          <w:noProof/>
        </w:rPr>
        <w:t>Realizacja inwestycji zostanie zakończona do dnia 31 grudnia 20</w:t>
      </w:r>
      <w:r w:rsidRPr="00A1618E">
        <w:rPr>
          <w:noProof/>
          <w:lang w:val="pl-PL"/>
        </w:rPr>
        <w:t>25 r.</w:t>
      </w:r>
      <w:r>
        <w:rPr>
          <w:noProof/>
        </w:rPr>
        <w:t xml:space="preserve"> </w:t>
      </w:r>
    </w:p>
    <w:p w14:paraId="5A9C09E0" w14:textId="07EC61DB" w:rsidR="006578ED" w:rsidRDefault="00A1618E">
      <w:pPr>
        <w:pStyle w:val="P68B1DB1-Normal6"/>
        <w:spacing w:before="120" w:after="120" w:line="240" w:lineRule="auto"/>
        <w:jc w:val="both"/>
        <w:rPr>
          <w:rFonts w:cs="Times New Roman"/>
          <w:noProof/>
        </w:rPr>
      </w:pPr>
      <w:r>
        <w:rPr>
          <w:noProof/>
        </w:rPr>
        <w:t>Inwestycja 2 (C15.I2) Wzmocnienie łączności w ośrodkach odniesienia, motorach społeczno-gospodarczych i projektach w zakresie cyfryzacji sektorowej</w:t>
      </w:r>
    </w:p>
    <w:p w14:paraId="2F33BE61" w14:textId="7BD06D04" w:rsidR="006578ED" w:rsidRDefault="00A1618E">
      <w:pPr>
        <w:pStyle w:val="P68B1DB1-Normal4"/>
        <w:spacing w:before="120" w:after="120" w:line="240" w:lineRule="auto"/>
        <w:jc w:val="both"/>
        <w:rPr>
          <w:rFonts w:cs="Times New Roman"/>
          <w:noProof/>
        </w:rPr>
      </w:pPr>
      <w:r>
        <w:rPr>
          <w:noProof/>
        </w:rPr>
        <w:t>Celem środka jest: 1) poprawa łączności i wyposażenia ośrodków zapewniających dostęp do podstawowej opieki i usług społecznych, takich jak szpitale, ośrodki zdrowia, ośrodki kształcenia i szkolenia; oraz 2) zapewnienie ultrapołączalności w głównych czynnikach stymulujących rozwój społeczno-gospodarczy kraju oraz na obszarach o wysokim zapotrzebowaniu na przepustowość (wyspy technologiczne).</w:t>
      </w:r>
    </w:p>
    <w:p w14:paraId="6F1B5E36" w14:textId="552A1F7C" w:rsidR="006578ED" w:rsidRDefault="00A1618E">
      <w:pPr>
        <w:pStyle w:val="P68B1DB1-Normal4"/>
        <w:spacing w:before="120" w:after="120" w:line="240" w:lineRule="auto"/>
        <w:jc w:val="both"/>
        <w:rPr>
          <w:rFonts w:cs="Times New Roman"/>
          <w:noProof/>
        </w:rPr>
      </w:pPr>
      <w:r>
        <w:rPr>
          <w:noProof/>
        </w:rPr>
        <w:t>Inwestycja polega na rozszerzeniu łączności 1-Gigabitowej na główne ośrodki działalności społecznej i gospodarczej w całym kraju. Wybrane obiekty obejmują obiekty przemysłowe, ośrodki przetwarzania danych, zakłady rolno-przemysłowe, ośrodki badawcze, węzły transportowe, węzły logistyczne lub przedsiębiorstwa intensywnie korzystające z danych, a także ośrodki zdrowia, takie jak szpitale, ośrodki szkoleniowe i ośrodki zdrowia.</w:t>
      </w:r>
    </w:p>
    <w:p w14:paraId="07FA28B2" w14:textId="1855D790" w:rsidR="006578ED" w:rsidRDefault="00A1618E">
      <w:pPr>
        <w:pStyle w:val="P68B1DB1-Normal4"/>
        <w:spacing w:before="120" w:after="120" w:line="240" w:lineRule="auto"/>
        <w:jc w:val="both"/>
        <w:rPr>
          <w:rFonts w:eastAsia="Calibri" w:cs="Times New Roman"/>
          <w:noProof/>
        </w:rPr>
      </w:pPr>
      <w:r>
        <w:rPr>
          <w:noProof/>
        </w:rPr>
        <w:t>Działania szczegółowe obejmują: projekty mające na celu wzmocnienie łączności w punktach kontaktowych i usługach publicznych; projekty w zakresie łączności 1-Gigabitalnej i wsparcie dla kluczowych sektorów, w tym innowacyjne projekty w zakresie digitalizacji sektorowej (zdrowie, sektor rolno-spożywczy, mobilność, turystyka, przemysł, handel itp.) oraz projekty dotyczące łączności dla terenów przemysłowych i biznesowych na obszarach białych/szarych.</w:t>
      </w:r>
    </w:p>
    <w:p w14:paraId="22F7D782" w14:textId="033109E9" w:rsidR="006578ED" w:rsidRDefault="00A1618E">
      <w:pPr>
        <w:pStyle w:val="P68B1DB1-Normal4"/>
        <w:spacing w:before="120" w:after="120" w:line="240" w:lineRule="auto"/>
        <w:jc w:val="both"/>
        <w:rPr>
          <w:rFonts w:eastAsia="Calibri" w:cs="Times New Roman"/>
          <w:noProof/>
        </w:rPr>
      </w:pPr>
      <w:r>
        <w:rPr>
          <w:noProof/>
        </w:rPr>
        <w:t>Inwestycja zostanie zakończona do dnia 31 grudnia 20</w:t>
      </w:r>
      <w:r w:rsidRPr="00A1618E">
        <w:rPr>
          <w:noProof/>
          <w:lang w:val="pl-PL"/>
        </w:rPr>
        <w:t>24 r.</w:t>
      </w:r>
    </w:p>
    <w:p w14:paraId="19135B77" w14:textId="7008ABC9" w:rsidR="006578ED" w:rsidRDefault="00A1618E">
      <w:pPr>
        <w:pStyle w:val="P68B1DB1-Normal6"/>
        <w:spacing w:before="120" w:after="120" w:line="240" w:lineRule="auto"/>
        <w:jc w:val="both"/>
        <w:rPr>
          <w:rFonts w:cs="Times New Roman"/>
          <w:noProof/>
        </w:rPr>
      </w:pPr>
      <w:r>
        <w:rPr>
          <w:noProof/>
        </w:rPr>
        <w:t>Inwestycja 3 (C15.I3) – Bony na łączność dla MŚP i słabszych grup społecznych</w:t>
      </w:r>
    </w:p>
    <w:p w14:paraId="16A8916A" w14:textId="77777777" w:rsidR="006578ED" w:rsidRDefault="00A1618E">
      <w:pPr>
        <w:pStyle w:val="P68B1DB1-Normal4"/>
        <w:spacing w:before="120" w:after="120" w:line="240" w:lineRule="auto"/>
        <w:jc w:val="both"/>
        <w:rPr>
          <w:rFonts w:cs="Times New Roman"/>
          <w:noProof/>
        </w:rPr>
      </w:pPr>
      <w:r>
        <w:rPr>
          <w:noProof/>
        </w:rPr>
        <w:t xml:space="preserve">Inwestycja polega na zapewnieniu: </w:t>
      </w:r>
    </w:p>
    <w:p w14:paraId="5BDF574A" w14:textId="0F3BD808" w:rsidR="006578ED" w:rsidRDefault="00A1618E">
      <w:pPr>
        <w:pStyle w:val="P68B1DB1-Normal4"/>
        <w:numPr>
          <w:ilvl w:val="0"/>
          <w:numId w:val="725"/>
        </w:numPr>
        <w:spacing w:before="120" w:after="120" w:line="240" w:lineRule="auto"/>
        <w:jc w:val="both"/>
        <w:rPr>
          <w:rFonts w:cs="Times New Roman"/>
          <w:noProof/>
        </w:rPr>
      </w:pPr>
      <w:r>
        <w:rPr>
          <w:noProof/>
        </w:rPr>
        <w:t>Bony dla MŚP na finansowanie inwestycji w łączność (w tym podstawową łączność o przepustowości co najmniej 100 Mb/s oraz usługi o wartości dodanej, takie jak VPN i cyberbezpieczeństwo); oraz</w:t>
      </w:r>
    </w:p>
    <w:p w14:paraId="22248C2C" w14:textId="0796CFEB" w:rsidR="006578ED" w:rsidRDefault="00A1618E">
      <w:pPr>
        <w:pStyle w:val="P68B1DB1-Normal4"/>
        <w:numPr>
          <w:ilvl w:val="0"/>
          <w:numId w:val="725"/>
        </w:numPr>
        <w:spacing w:before="120" w:after="120" w:line="240" w:lineRule="auto"/>
        <w:jc w:val="both"/>
        <w:rPr>
          <w:rFonts w:cs="Times New Roman"/>
          <w:noProof/>
        </w:rPr>
      </w:pPr>
      <w:r>
        <w:rPr>
          <w:noProof/>
        </w:rPr>
        <w:t xml:space="preserve">Bony dla osób lub rodzin znajdujących się w trudnej sytuacji na sfinansowanie pakietów połączeń szerokopasmowych za pomocą najodpowiedniejszej technologii. </w:t>
      </w:r>
    </w:p>
    <w:p w14:paraId="6F22491A" w14:textId="79F3E28D" w:rsidR="006578ED" w:rsidRDefault="00A1618E">
      <w:pPr>
        <w:pStyle w:val="P68B1DB1-Normal4"/>
        <w:spacing w:before="120" w:after="120" w:line="240" w:lineRule="auto"/>
        <w:jc w:val="both"/>
        <w:rPr>
          <w:rFonts w:cs="Times New Roman"/>
          <w:noProof/>
        </w:rPr>
      </w:pPr>
      <w:r>
        <w:rPr>
          <w:noProof/>
        </w:rPr>
        <w:t>Inwestycja zostanie zakończona do dnia 31 grudnia 20</w:t>
      </w:r>
      <w:r w:rsidRPr="00A1618E">
        <w:rPr>
          <w:noProof/>
          <w:lang w:val="pl-PL"/>
        </w:rPr>
        <w:t>24 r.</w:t>
      </w:r>
      <w:r>
        <w:rPr>
          <w:noProof/>
        </w:rPr>
        <w:t xml:space="preserve"> </w:t>
      </w:r>
    </w:p>
    <w:p w14:paraId="115B517A" w14:textId="1F1301D8" w:rsidR="006578ED" w:rsidRDefault="00A1618E">
      <w:pPr>
        <w:pStyle w:val="P68B1DB1-Normal6"/>
        <w:spacing w:before="120" w:after="120" w:line="240" w:lineRule="auto"/>
        <w:jc w:val="both"/>
        <w:rPr>
          <w:rFonts w:cs="Times New Roman"/>
          <w:noProof/>
        </w:rPr>
      </w:pPr>
      <w:r>
        <w:rPr>
          <w:noProof/>
        </w:rPr>
        <w:t>Inwestycja 4 (C15.I4) – Odnowa i trwałość infrastruktury</w:t>
      </w:r>
    </w:p>
    <w:p w14:paraId="07C9BBD2" w14:textId="26FD9CBF" w:rsidR="006578ED" w:rsidRDefault="00A1618E">
      <w:pPr>
        <w:pStyle w:val="P68B1DB1-Normal4"/>
        <w:spacing w:before="120" w:after="120" w:line="240" w:lineRule="auto"/>
        <w:jc w:val="both"/>
        <w:rPr>
          <w:rFonts w:eastAsia="Calibri" w:cs="Times New Roman"/>
          <w:noProof/>
        </w:rPr>
      </w:pPr>
      <w:r>
        <w:rPr>
          <w:noProof/>
        </w:rPr>
        <w:t>Inwestycja polega na wyposażeniu części istniejących budynków w infrastrukturę ułatwiającą optymalne wdrożenie sieci o bardzo dużej przepustowości w ostatniej mili dostępu. Oczekuje się, że inwestycja ta, oprócz koordynacji i optymalizacji wdrażania sieci dostępu nowej generacji w zrównoważony sposób, zoptymalizuje zużycie energii przez rozmieszczone sieci. Inwestycja zostanie zakończona do dnia 31 grudnia 20</w:t>
      </w:r>
      <w:r w:rsidRPr="00A1618E">
        <w:rPr>
          <w:noProof/>
          <w:lang w:val="pl-PL"/>
        </w:rPr>
        <w:t>24 r.</w:t>
      </w:r>
    </w:p>
    <w:p w14:paraId="613726C0" w14:textId="77777777" w:rsidR="006578ED" w:rsidRDefault="00A1618E">
      <w:pPr>
        <w:pStyle w:val="P68B1DB1-Normal6"/>
        <w:spacing w:before="120" w:after="120" w:line="240" w:lineRule="auto"/>
        <w:jc w:val="both"/>
        <w:rPr>
          <w:rFonts w:cs="Times New Roman"/>
          <w:noProof/>
        </w:rPr>
      </w:pPr>
      <w:r>
        <w:rPr>
          <w:noProof/>
        </w:rPr>
        <w:t>Inwestycja 5 (C15.I5) – Wdrażanie transgranicznej infrastruktury cyfrowej</w:t>
      </w:r>
    </w:p>
    <w:p w14:paraId="1BD68E2F" w14:textId="18FD567B" w:rsidR="006578ED" w:rsidRDefault="00A1618E">
      <w:pPr>
        <w:pStyle w:val="P68B1DB1-Normal4"/>
        <w:spacing w:before="120" w:after="120" w:line="240" w:lineRule="auto"/>
        <w:jc w:val="both"/>
        <w:rPr>
          <w:rFonts w:cs="Times New Roman"/>
          <w:noProof/>
        </w:rPr>
      </w:pPr>
      <w:r>
        <w:rPr>
          <w:noProof/>
        </w:rPr>
        <w:t>Inwestycja składa się z trzech projektów.</w:t>
      </w:r>
    </w:p>
    <w:p w14:paraId="11197346" w14:textId="61C8FEBF" w:rsidR="006578ED" w:rsidRDefault="00A1618E">
      <w:pPr>
        <w:pStyle w:val="P68B1DB1-Normal4"/>
        <w:spacing w:before="120" w:after="120" w:line="240" w:lineRule="auto"/>
        <w:ind w:left="709"/>
        <w:jc w:val="both"/>
        <w:rPr>
          <w:rFonts w:cs="Times New Roman"/>
          <w:noProof/>
        </w:rPr>
      </w:pPr>
      <w:r>
        <w:rPr>
          <w:noProof/>
        </w:rPr>
        <w:t xml:space="preserve">Poprawa transgranicznej infrastruktury cyfrowej łączności: Wiązałoby się to z udziałem hiszpańskich przedsiębiorstw w konsorcjach przedsiębiorstw zajmujących się projektami połączeń infrastruktury danych i kabla podmorskiego w ramach instrumentu „Łącząc Europę” (CEF2 Digital) i nowego ogólnego rozporządzenia w sprawie wyłączeń blokowych. </w:t>
      </w:r>
    </w:p>
    <w:p w14:paraId="186801E0" w14:textId="3F60E841" w:rsidR="006578ED" w:rsidRDefault="00A1618E">
      <w:pPr>
        <w:pStyle w:val="P68B1DB1-Normal4"/>
        <w:spacing w:before="120" w:after="120" w:line="240" w:lineRule="auto"/>
        <w:ind w:left="709"/>
        <w:jc w:val="both"/>
        <w:rPr>
          <w:rFonts w:cs="Times New Roman"/>
          <w:noProof/>
        </w:rPr>
      </w:pPr>
      <w:r>
        <w:rPr>
          <w:noProof/>
        </w:rPr>
        <w:t>Udział w projektach dotyczących infrastruktury cyfrowej</w:t>
      </w:r>
      <w:r w:rsidRPr="00A1618E">
        <w:rPr>
          <w:noProof/>
          <w:lang w:val="pl-PL"/>
        </w:rPr>
        <w:t>: p</w:t>
      </w:r>
      <w:r>
        <w:rPr>
          <w:noProof/>
        </w:rPr>
        <w:t xml:space="preserve">roponowane projekty będą związane z infrastrukturą i usługami nowej generacji chmury obliczeniowej i edge; oraz zaawansowane procesory i półprzewodniki. </w:t>
      </w:r>
    </w:p>
    <w:p w14:paraId="691C9FC0" w14:textId="08512503" w:rsidR="006578ED" w:rsidRDefault="00A1618E">
      <w:pPr>
        <w:pStyle w:val="P68B1DB1-Normal4"/>
        <w:spacing w:before="120" w:after="120" w:line="240" w:lineRule="auto"/>
        <w:ind w:left="709"/>
        <w:jc w:val="both"/>
        <w:rPr>
          <w:rFonts w:cs="Times New Roman"/>
          <w:noProof/>
        </w:rPr>
      </w:pPr>
      <w:r>
        <w:rPr>
          <w:noProof/>
        </w:rPr>
        <w:t xml:space="preserve">Inne projekty w zakresie transgranicznej infrastruktury cyfrowej w zakresie badań, rozwoju i innowacji, w tym inwestycje w system bezpiecznej łączności satelitarnej i rozwój zdolności w zakresie komunikacji kwantowej. </w:t>
      </w:r>
    </w:p>
    <w:p w14:paraId="0A297D7E" w14:textId="371B3A0D" w:rsidR="006578ED" w:rsidRPr="00A1618E" w:rsidRDefault="00A1618E">
      <w:pPr>
        <w:pStyle w:val="P68B1DB1-Normal4"/>
        <w:spacing w:before="120" w:after="120" w:line="240" w:lineRule="auto"/>
        <w:jc w:val="both"/>
        <w:rPr>
          <w:rFonts w:eastAsia="Calibri" w:cs="Times New Roman"/>
          <w:noProof/>
          <w:lang w:val="pl-PL"/>
        </w:rPr>
      </w:pPr>
      <w:r>
        <w:rPr>
          <w:noProof/>
        </w:rPr>
        <w:t>Szczegółowy plan realizacji tych inwestycji zostanie przedstawiony do dnia 31 grudnia 20</w:t>
      </w:r>
      <w:r w:rsidRPr="00A1618E">
        <w:rPr>
          <w:noProof/>
          <w:lang w:val="pl-PL"/>
        </w:rPr>
        <w:t>22 r.</w:t>
      </w:r>
      <w:r>
        <w:rPr>
          <w:noProof/>
        </w:rPr>
        <w:t xml:space="preserve"> w celu jasnego zdefiniowania wybranych projektów</w:t>
      </w:r>
      <w:r w:rsidRPr="00A1618E">
        <w:rPr>
          <w:noProof/>
          <w:lang w:val="pl-PL"/>
        </w:rPr>
        <w:t xml:space="preserve">. </w:t>
      </w:r>
    </w:p>
    <w:p w14:paraId="0483EF2F" w14:textId="1F4FC93C" w:rsidR="006578ED" w:rsidRDefault="00A1618E">
      <w:pPr>
        <w:pStyle w:val="P68B1DB1-Normal4"/>
        <w:spacing w:before="120" w:after="120" w:line="240" w:lineRule="auto"/>
        <w:jc w:val="both"/>
        <w:rPr>
          <w:rFonts w:cs="Times New Roman"/>
          <w:noProof/>
        </w:rPr>
      </w:pPr>
      <w:r>
        <w:rPr>
          <w:noProof/>
        </w:rPr>
        <w:t>Plan określa kryteria techniczne (kluczowe cechy projektów i beneficjentów) oraz wymagane kroki prawne i regulacyjne, w tym niezbędne kroki podjęte w celu zapewnienia zgodności z kontrolą pomocy państwa. Inwestycja zostanie zakończona do dnia 30 czerwca 20</w:t>
      </w:r>
      <w:r w:rsidRPr="00A1618E">
        <w:rPr>
          <w:noProof/>
          <w:lang w:val="pl-PL"/>
        </w:rPr>
        <w:t>26 r.</w:t>
      </w:r>
      <w:r>
        <w:rPr>
          <w:noProof/>
        </w:rPr>
        <w:t xml:space="preserve"> </w:t>
      </w:r>
    </w:p>
    <w:p w14:paraId="547B9957" w14:textId="2EDEA6F6" w:rsidR="006578ED" w:rsidRDefault="00A1618E">
      <w:pPr>
        <w:pStyle w:val="P68B1DB1-Normal6"/>
        <w:spacing w:before="120" w:after="120" w:line="240" w:lineRule="auto"/>
        <w:jc w:val="both"/>
        <w:rPr>
          <w:rFonts w:cs="Times New Roman"/>
          <w:noProof/>
        </w:rPr>
      </w:pPr>
      <w:r>
        <w:rPr>
          <w:noProof/>
        </w:rPr>
        <w:t>Inwestycja 6 (C15.I6) – Wdrażanie sieci 5G: sieci, zmiany technologiczne i innowacje</w:t>
      </w:r>
    </w:p>
    <w:p w14:paraId="24B69272" w14:textId="77777777" w:rsidR="006578ED" w:rsidRDefault="00A1618E">
      <w:pPr>
        <w:pStyle w:val="P68B1DB1-Normal4"/>
        <w:spacing w:before="120" w:after="120" w:line="240" w:lineRule="auto"/>
        <w:jc w:val="both"/>
        <w:rPr>
          <w:rFonts w:cs="Times New Roman"/>
          <w:noProof/>
        </w:rPr>
      </w:pPr>
      <w:r>
        <w:rPr>
          <w:noProof/>
        </w:rPr>
        <w:t>Inwestycja obejmuje cztery różne podprojekty:</w:t>
      </w:r>
    </w:p>
    <w:p w14:paraId="0B1CF237" w14:textId="3CCDCC38" w:rsidR="006578ED" w:rsidRDefault="00A1618E">
      <w:pPr>
        <w:pStyle w:val="P68B1DB1-Normal4"/>
        <w:spacing w:before="120" w:after="120" w:line="240" w:lineRule="auto"/>
        <w:ind w:left="709"/>
        <w:jc w:val="both"/>
        <w:rPr>
          <w:rFonts w:eastAsia="Calibri" w:cs="Times New Roman"/>
          <w:noProof/>
        </w:rPr>
      </w:pPr>
      <w:r>
        <w:rPr>
          <w:noProof/>
        </w:rPr>
        <w:t>Należy zwiększyć i przyspieszyć wdrażanie sieci 5G w głównych korytarzach transportowych (drogach i kolejowych), zarówno krajowych (korytarzach drugorzędnych na niektórych obszarach), jak i transgranicznych (korytarze podstawowe). Inicjatywa ta jest zgodna z korytarzami 5G określonymi przez Komisję Europejską i pobudzi korytarze między Hiszpanią a Portugalią oraz Hiszpanią i Francją na łączną liczbę co najmniej 4000 obiektów, w tym połączeń dosyłowych. Środek ten obejmuje trasy drugorzędne, które nie są objęte obowiązkami nałożonymi w przetargach na widmo.</w:t>
      </w:r>
    </w:p>
    <w:p w14:paraId="7084D070" w14:textId="7914BB59" w:rsidR="006578ED" w:rsidRDefault="00A1618E">
      <w:pPr>
        <w:pStyle w:val="P68B1DB1-Normal4"/>
        <w:spacing w:before="120" w:after="120" w:line="240" w:lineRule="auto"/>
        <w:ind w:left="709"/>
        <w:jc w:val="both"/>
        <w:rPr>
          <w:rFonts w:cs="Times New Roman"/>
          <w:noProof/>
        </w:rPr>
      </w:pPr>
      <w:r>
        <w:rPr>
          <w:noProof/>
        </w:rPr>
        <w:t xml:space="preserve">2) wdrożenie sieci 5G na niektórych obszarach w celu osiągnięcia 75 % odsetka ludności </w:t>
      </w:r>
      <w:r w:rsidRPr="00A1618E">
        <w:rPr>
          <w:noProof/>
          <w:lang w:val="pl-PL"/>
        </w:rPr>
        <w:t>do 3</w:t>
      </w:r>
      <w:r>
        <w:rPr>
          <w:noProof/>
        </w:rPr>
        <w:t>1 grudnia 20</w:t>
      </w:r>
      <w:r w:rsidRPr="00A1618E">
        <w:rPr>
          <w:noProof/>
          <w:lang w:val="pl-PL"/>
        </w:rPr>
        <w:t>25 r.</w:t>
      </w:r>
      <w:r>
        <w:rPr>
          <w:noProof/>
        </w:rPr>
        <w:t xml:space="preserve"> w przedziałach preferencji 5G. Aby ułatwić wdrożenie, podejmuje się również działania mające na celu zwiększenie zdolności istniejącej sieci do reagowania na wysokie zapotrzebowanie na szerokość pasma oraz gęstość stacji bazowych, które wymagają wdrożenia sieci 5G (co najmniej 7000 nowych lub istniejących obiektów wyposażonych w nowe urządzenia 5G; oraz co najmniej 4000 istniejących obiektów prowadzących działania mające na celu zwiększenie przepustowości ich sieci dosyłowej). Środek ten obejmuje obszary, które nie są objęte obowiązkami nałożonymi w przetargach na widmo.</w:t>
      </w:r>
    </w:p>
    <w:p w14:paraId="323D5C30" w14:textId="779AFAB2" w:rsidR="006578ED" w:rsidRDefault="00A1618E">
      <w:pPr>
        <w:pStyle w:val="P68B1DB1-Normal4"/>
        <w:spacing w:before="120" w:after="120" w:line="240" w:lineRule="auto"/>
        <w:ind w:left="709"/>
        <w:jc w:val="both"/>
        <w:rPr>
          <w:rFonts w:cs="Times New Roman"/>
          <w:noProof/>
        </w:rPr>
      </w:pPr>
      <w:r>
        <w:rPr>
          <w:noProof/>
        </w:rPr>
        <w:t>Zastosowanie sieci 5G w kluczowych rodzajach działalności gospodarczej (środowiska produkcji przemysłowej w strategicznych przedsiębiorstwach w niektórych kluczowych sektorach produkcji o dużym oddziaływaniu) oraz w podstawowych usługach (środowiska produkcyjne w obszarach edukacji, opieki i opieki społecznej). Oczekuje się co najmniej 43 projektów w zakresie łączności.</w:t>
      </w:r>
    </w:p>
    <w:p w14:paraId="77066EE2" w14:textId="20EA2426" w:rsidR="006578ED" w:rsidRDefault="00A1618E">
      <w:pPr>
        <w:pStyle w:val="P68B1DB1-Normal4"/>
        <w:spacing w:before="120" w:after="120" w:line="240" w:lineRule="auto"/>
        <w:ind w:left="709"/>
        <w:jc w:val="both"/>
        <w:rPr>
          <w:rFonts w:cs="Times New Roman"/>
          <w:noProof/>
        </w:rPr>
      </w:pPr>
      <w:r>
        <w:rPr>
          <w:noProof/>
        </w:rPr>
        <w:t>Wsparcie na rzecz badań i rozwoju związanych z 5G i 6G na rzecz ekosystemów innowacji (co najmniej 200 projektów) oraz ekosystemów cyberbezpieczeństwa 5G (utworzenie centrum o zdolności do przyjęcia około 300 inżynierów, na potrzeby cyberbezpieczeństwa sieci 5G, z wyłączeniem kosztów związanych z pracami budowlanymi/renowacyjnymi).</w:t>
      </w:r>
    </w:p>
    <w:p w14:paraId="4CD8BEF3" w14:textId="37A228E1" w:rsidR="006578ED" w:rsidRDefault="00A1618E">
      <w:pPr>
        <w:pStyle w:val="P68B1DB1-Normal4"/>
        <w:spacing w:before="120" w:after="120" w:line="240" w:lineRule="auto"/>
        <w:jc w:val="both"/>
        <w:rPr>
          <w:rFonts w:eastAsia="Calibri" w:cs="Times New Roman"/>
          <w:noProof/>
        </w:rPr>
      </w:pPr>
      <w:r>
        <w:rPr>
          <w:noProof/>
        </w:rPr>
        <w:t>W odniesieniu do wszystkich powyższych projektów do dnia 30 czerwca 20</w:t>
      </w:r>
      <w:r w:rsidRPr="00A1618E">
        <w:rPr>
          <w:noProof/>
          <w:lang w:val="pl-PL"/>
        </w:rPr>
        <w:t>22 r.</w:t>
      </w:r>
      <w:r>
        <w:rPr>
          <w:noProof/>
        </w:rPr>
        <w:t xml:space="preserve"> należy przedstawić szczegółowy plan wykonalny w celu jasnego określenia wybranych projektów i przyznania 100 % budżetu do dnia 31 grudnia 20</w:t>
      </w:r>
      <w:r w:rsidRPr="00A1618E">
        <w:rPr>
          <w:noProof/>
          <w:lang w:val="pl-PL"/>
        </w:rPr>
        <w:t>24 r.</w:t>
      </w:r>
      <w:r>
        <w:rPr>
          <w:noProof/>
        </w:rPr>
        <w:t xml:space="preserve"> i zakończenia projektu do dnia 30 czerwca 20</w:t>
      </w:r>
      <w:r w:rsidRPr="00A1618E">
        <w:rPr>
          <w:noProof/>
          <w:lang w:val="pl-PL"/>
        </w:rPr>
        <w:t>25 r.</w:t>
      </w:r>
      <w:r>
        <w:rPr>
          <w:noProof/>
        </w:rPr>
        <w:t xml:space="preserve"> </w:t>
      </w:r>
    </w:p>
    <w:p w14:paraId="32224B04" w14:textId="6E090DD8" w:rsidR="006578ED" w:rsidRDefault="00A1618E">
      <w:pPr>
        <w:pStyle w:val="P68B1DB1-Normal4"/>
        <w:spacing w:before="120" w:after="120" w:line="240" w:lineRule="auto"/>
        <w:jc w:val="both"/>
        <w:rPr>
          <w:rFonts w:eastAsia="Calibri" w:cs="Times New Roman"/>
          <w:noProof/>
        </w:rPr>
      </w:pPr>
      <w:r>
        <w:rPr>
          <w:noProof/>
        </w:rPr>
        <w:t>Plan obejmuje plan wdrożenia sieci 5G obejmujący działania w następujących obszarach: Korytarze 5G; Uruchomienie sieci dostępowych 5G i sieci dosyłowych sieci ruchomych na innych określonych obszarach; Projekty wdrożeniowe sieci 5G na rzecz łączności i cyfryzacji kluczowych rodzajów działalności gospodarczej i podstawowych usług; oraz 4) wsparcie dla innowacyjnych zastosowań w ekosystemie 5G i 6G. W planie określa się również kryteria techniczne (kluczowe cechy projektów i obszarów objętych programem, w stosownych przypadkach) oraz wymagane kroki prawne i regulacyjne, w tym niezbędne kroki podjęte w celu zapewnienia zgodności z odpowiednimi unijnymi zasadami pomocy państwa. W planie określa się również ostateczne cele, które mają zostać osiągnięte do dnia 31 grudnia 20</w:t>
      </w:r>
      <w:r w:rsidRPr="00A1618E">
        <w:rPr>
          <w:noProof/>
          <w:lang w:val="pl-PL"/>
        </w:rPr>
        <w:t>25 r.</w:t>
      </w:r>
      <w:r>
        <w:rPr>
          <w:noProof/>
        </w:rPr>
        <w:t xml:space="preserve"> </w:t>
      </w:r>
    </w:p>
    <w:p w14:paraId="68A4B104" w14:textId="2BFEC52D" w:rsidR="006578ED" w:rsidRDefault="00A1618E">
      <w:pPr>
        <w:pStyle w:val="P68B1DB1-Normal4"/>
        <w:spacing w:before="120" w:after="120" w:line="240" w:lineRule="auto"/>
        <w:jc w:val="both"/>
        <w:rPr>
          <w:rFonts w:eastAsia="Calibri" w:cs="Times New Roman"/>
          <w:noProof/>
        </w:rPr>
      </w:pPr>
      <w:r>
        <w:rPr>
          <w:noProof/>
        </w:rPr>
        <w:t>Inwestycja zostanie zakończona do dnia 30 czerwca 20</w:t>
      </w:r>
      <w:r w:rsidRPr="00A1618E">
        <w:rPr>
          <w:noProof/>
          <w:lang w:val="pl-PL"/>
        </w:rPr>
        <w:t>26 r.</w:t>
      </w:r>
    </w:p>
    <w:p w14:paraId="1127DB1F" w14:textId="026E1297" w:rsidR="006578ED" w:rsidRDefault="00A1618E">
      <w:pPr>
        <w:pStyle w:val="P68B1DB1-Normal6"/>
        <w:spacing w:before="120" w:after="120" w:line="240" w:lineRule="auto"/>
        <w:jc w:val="both"/>
        <w:rPr>
          <w:rFonts w:cs="Times New Roman"/>
          <w:noProof/>
        </w:rPr>
      </w:pPr>
      <w:r>
        <w:rPr>
          <w:noProof/>
        </w:rPr>
        <w:t>Inwestycja 7 (C15.I7) Cyberbezpieczeństwo: Wzmacnianie zdolności obywateli, MŚP i specjalistów; poprawa ekosystemu sektora</w:t>
      </w:r>
    </w:p>
    <w:p w14:paraId="410DE09F" w14:textId="33F0B01D" w:rsidR="006578ED" w:rsidRDefault="00A1618E">
      <w:pPr>
        <w:pStyle w:val="P68B1DB1-Normal4"/>
        <w:spacing w:before="120" w:after="120" w:line="240" w:lineRule="auto"/>
        <w:jc w:val="both"/>
        <w:rPr>
          <w:rFonts w:cs="Times New Roman"/>
          <w:noProof/>
        </w:rPr>
      </w:pPr>
      <w:r>
        <w:rPr>
          <w:noProof/>
        </w:rPr>
        <w:t xml:space="preserve">Inwestycja obejmuje szereg działań mających na celu rozwój zdolności w zakresie cyberbezpieczeństwa zarówno obywateli, jak i przedsiębiorstw oraz wzmocnienie hiszpańskiego ekosystemu cyberbezpieczeństwa. Działania koncentrują się wokół trzech osi: </w:t>
      </w:r>
    </w:p>
    <w:p w14:paraId="4C6EFB9E" w14:textId="21E32A8F" w:rsidR="006578ED" w:rsidRDefault="00A1618E">
      <w:pPr>
        <w:pStyle w:val="P68B1DB1-Normal4"/>
        <w:spacing w:before="120" w:after="120" w:line="240" w:lineRule="auto"/>
        <w:ind w:left="709"/>
        <w:jc w:val="both"/>
        <w:rPr>
          <w:rFonts w:cs="Times New Roman"/>
          <w:noProof/>
        </w:rPr>
      </w:pPr>
      <w:r>
        <w:rPr>
          <w:noProof/>
        </w:rPr>
        <w:t xml:space="preserve">Wzmocnienie zdolności w zakresie cyberbezpieczeństwa obywateli, MŚP i specjalistów. Wyposażenie obywateli i przedsiębiorstw, zwłaszcza MŚP, w umiejętności niezbędne do identyfikowania zagrożeń związanych z codziennym korzystaniem z technologii cyfrowych. Programy w tej dziedzinie obejmują kampanię uświadamiającą, która ma dotrzeć do jak największej liczby osób, poprzez kampanie komunikacyjne, działania w zakresie bliskości i rozwój konkretnych zasobów na te cele. Obejmuje to również zwiększenie liczby mechanizmów reagowania poprzez skoordynowane usługi i działania, takie jak infolinia ds. cyberbezpieczeństwa, która zwiększy jej zdolność </w:t>
      </w:r>
      <w:r w:rsidRPr="00A1618E">
        <w:rPr>
          <w:noProof/>
          <w:lang w:val="pl-PL"/>
        </w:rPr>
        <w:t>do 2</w:t>
      </w:r>
      <w:r>
        <w:rPr>
          <w:noProof/>
        </w:rPr>
        <w:t>0000 połączeń miesięcznie.</w:t>
      </w:r>
    </w:p>
    <w:p w14:paraId="58B7BDA7" w14:textId="4D7E4324" w:rsidR="006578ED" w:rsidRDefault="00A1618E">
      <w:pPr>
        <w:pStyle w:val="P68B1DB1-Normal4"/>
        <w:spacing w:before="120" w:after="120" w:line="240" w:lineRule="auto"/>
        <w:ind w:left="709"/>
        <w:jc w:val="both"/>
        <w:rPr>
          <w:rFonts w:eastAsia="Calibri" w:cs="Times New Roman"/>
          <w:noProof/>
        </w:rPr>
      </w:pPr>
      <w:r>
        <w:rPr>
          <w:noProof/>
        </w:rPr>
        <w:t>2) Wzmacnianie ekosystemu przemysłowego cyberbezpieczeństwa. Ta część środka obejmuje konkretne działania dotyczące: krajowej branży cyberbezpieczeństwa na rzecz powstawania, wzrostu i rozwoju nowych przedsiębiorstw w tym sektorze; badania, rozwój i innowacje w dziedzinie cyberbezpieczeństwa, umożliwiające rozwój rozwiązań i usług o wysokiej wartości dodanej; szkolenie i rozwijanie talentów w celu zaspokojenia niezaspokojonego zapotrzebowania na specjalistów w tym sektorze. Ponadto przewiduje utworzenie centrum demonstracyjnego na rzecz rozwoju infrastruktury cyberbezpieczeństwa i tworzenie nowych usług w zakresie cyberbezpieczeństwa, w tym laboratoriów testowych i symulatorów ataków cybernetycznych, a także opracowanie certyfikatów etykiet cyberbezpieczeństwa. Utworzenie międzynarodowego centrum ds. cyberbezpieczeństwa w celu pobudzenia sektora w Europie dzięki aktywnemu uczestnictwu w europejskiej sieci centrów ds. cyberbezpieczeństwa. Obejmuje to uruchomienie lustrzanego centrum Europejskiego Centrum Kompetencji (ERCC).</w:t>
      </w:r>
    </w:p>
    <w:p w14:paraId="1BF3A708" w14:textId="3AE59745" w:rsidR="006578ED" w:rsidRDefault="00A1618E">
      <w:pPr>
        <w:pStyle w:val="P68B1DB1-Normal4"/>
        <w:spacing w:after="0" w:line="240" w:lineRule="auto"/>
        <w:rPr>
          <w:rFonts w:eastAsia="Calibri" w:cs="Times New Roman"/>
          <w:noProof/>
        </w:rPr>
      </w:pPr>
      <w:r>
        <w:rPr>
          <w:noProof/>
        </w:rPr>
        <w:t>Realizacja inwestycji zakończy się do dnia 30 czerwca 20</w:t>
      </w:r>
      <w:r w:rsidRPr="00A1618E">
        <w:rPr>
          <w:noProof/>
          <w:lang w:val="pl-PL"/>
        </w:rPr>
        <w:t>26 r.</w:t>
      </w:r>
      <w:r>
        <w:rPr>
          <w:noProof/>
        </w:rPr>
        <w:t xml:space="preserve"> </w:t>
      </w:r>
    </w:p>
    <w:p w14:paraId="6EED76DD" w14:textId="12D2A92A" w:rsidR="006578ED" w:rsidRDefault="00A1618E">
      <w:pPr>
        <w:pStyle w:val="P68B1DB1-Normal6"/>
        <w:spacing w:before="120" w:after="120" w:line="240" w:lineRule="auto"/>
        <w:jc w:val="both"/>
        <w:rPr>
          <w:rFonts w:cs="Times New Roman"/>
          <w:noProof/>
        </w:rPr>
      </w:pPr>
      <w:r>
        <w:rPr>
          <w:noProof/>
        </w:rPr>
        <w:t>Inwestycja 8 (C15.I8) – PERTE Chip: Wzmocnienie ekosystemu naukowego i technologicznego. Zwiększenie zdolności projektowych</w:t>
      </w:r>
    </w:p>
    <w:p w14:paraId="26F5EB1B" w14:textId="1D4E602A" w:rsidR="006578ED" w:rsidRDefault="00A1618E">
      <w:pPr>
        <w:pStyle w:val="P68B1DB1-Normal4"/>
        <w:spacing w:before="120" w:after="120" w:line="240" w:lineRule="auto"/>
        <w:jc w:val="both"/>
        <w:rPr>
          <w:rFonts w:cs="Times New Roman"/>
          <w:noProof/>
        </w:rPr>
      </w:pPr>
      <w:r>
        <w:rPr>
          <w:noProof/>
        </w:rPr>
        <w:t>Środek ten jest częścią PERTE Chip, strategicznej inicjatywy mającej na celu rozwój zdolności naukowych, projektowych i produkcyjnych przemysłu mikroelektroniki i półprzewodników w Hiszpanii. Inwestycje te wzmacniają ekosystem naukowy i technologiczny przemysłu półprzewodników, koncentrując się na rozwoju badań, rozwoju i innowacji w całym sektorze, w tym na tworzeniu i ulepszaniu infrastruktury pomieszczeń czystych, generowaniu i przyciąganiu talentów lub wzmocnieniu konkretnych obszarów, takich jak zintegrowana fotonika lub RISC-V.</w:t>
      </w:r>
    </w:p>
    <w:p w14:paraId="43493729" w14:textId="1FDEE0A6" w:rsidR="006578ED" w:rsidRDefault="00A1618E">
      <w:pPr>
        <w:pStyle w:val="P68B1DB1-Normal4"/>
        <w:spacing w:before="120" w:after="120" w:line="240" w:lineRule="auto"/>
        <w:jc w:val="both"/>
        <w:rPr>
          <w:rFonts w:cs="Times New Roman"/>
          <w:noProof/>
        </w:rPr>
      </w:pPr>
      <w:r>
        <w:rPr>
          <w:noProof/>
        </w:rPr>
        <w:t>Projekty wspierane w ramach tej inwestycji przyczyniają się, przynajmniej w części, do realizacji co najmniej jednego z następujących kierunków działania:</w:t>
      </w:r>
    </w:p>
    <w:p w14:paraId="6AD5FD41" w14:textId="7C5BF32B" w:rsidR="006578ED" w:rsidRDefault="00A1618E">
      <w:pPr>
        <w:pStyle w:val="P68B1DB1-ListParagraph7"/>
        <w:numPr>
          <w:ilvl w:val="0"/>
          <w:numId w:val="631"/>
        </w:numPr>
        <w:spacing w:before="120" w:after="120" w:line="240" w:lineRule="auto"/>
        <w:rPr>
          <w:rFonts w:cs="Times New Roman"/>
          <w:noProof/>
        </w:rPr>
      </w:pPr>
      <w:r>
        <w:rPr>
          <w:noProof/>
        </w:rPr>
        <w:t>Działanie 1. Rozwój badań, rozwoju i innowacji w zakresie najnowocześniejszych mikroprocesorów i architektur alternatywnych.</w:t>
      </w:r>
    </w:p>
    <w:p w14:paraId="2E618CE4" w14:textId="62001635" w:rsidR="006578ED" w:rsidRDefault="00A1618E">
      <w:pPr>
        <w:pStyle w:val="P68B1DB1-ListParagraph7"/>
        <w:numPr>
          <w:ilvl w:val="0"/>
          <w:numId w:val="631"/>
        </w:numPr>
        <w:spacing w:before="120" w:after="120" w:line="240" w:lineRule="auto"/>
        <w:rPr>
          <w:rFonts w:cs="Times New Roman"/>
          <w:noProof/>
        </w:rPr>
      </w:pPr>
      <w:r>
        <w:rPr>
          <w:noProof/>
        </w:rPr>
        <w:t>Działanie 2. Rozwój badań, rozwoju i innowacji w dziedzinie fotoniki</w:t>
      </w:r>
    </w:p>
    <w:p w14:paraId="6F66DE6B" w14:textId="6CC6BB51" w:rsidR="006578ED" w:rsidRDefault="00A1618E">
      <w:pPr>
        <w:pStyle w:val="P68B1DB1-ListParagraph7"/>
        <w:numPr>
          <w:ilvl w:val="0"/>
          <w:numId w:val="631"/>
        </w:numPr>
        <w:spacing w:before="120" w:after="120" w:line="240" w:lineRule="auto"/>
        <w:rPr>
          <w:rFonts w:cs="Times New Roman"/>
          <w:noProof/>
        </w:rPr>
      </w:pPr>
      <w:r>
        <w:rPr>
          <w:noProof/>
        </w:rPr>
        <w:t>Działanie 3. Linia finansowania LPCEI dotycząca mikroelektroniki i technologii komunikacyjnych (IPCEI ME-TC)</w:t>
      </w:r>
    </w:p>
    <w:p w14:paraId="586F95AC" w14:textId="2B4287B8" w:rsidR="006578ED" w:rsidRDefault="00A1618E">
      <w:pPr>
        <w:pStyle w:val="P68B1DB1-ListParagraph7"/>
        <w:numPr>
          <w:ilvl w:val="0"/>
          <w:numId w:val="631"/>
        </w:numPr>
        <w:spacing w:before="120" w:after="120" w:line="240" w:lineRule="auto"/>
        <w:rPr>
          <w:rFonts w:cs="Times New Roman"/>
          <w:noProof/>
        </w:rPr>
      </w:pPr>
      <w:r>
        <w:rPr>
          <w:noProof/>
        </w:rPr>
        <w:t>Działanie 4. Tworzenie przedsiębiorstw zajmujących się produkcją najnowocześniejszych mikroprocesorów i architektur alternatywnych.</w:t>
      </w:r>
    </w:p>
    <w:p w14:paraId="4BCDC96A" w14:textId="77777777" w:rsidR="006578ED" w:rsidRDefault="00A1618E">
      <w:pPr>
        <w:pStyle w:val="P68B1DB1-ListParagraph7"/>
        <w:numPr>
          <w:ilvl w:val="0"/>
          <w:numId w:val="631"/>
        </w:numPr>
        <w:spacing w:before="120" w:after="120" w:line="240" w:lineRule="auto"/>
        <w:rPr>
          <w:rFonts w:cs="Times New Roman"/>
          <w:noProof/>
        </w:rPr>
      </w:pPr>
      <w:r>
        <w:rPr>
          <w:noProof/>
        </w:rPr>
        <w:t>Działanie 5. Utworzenie pilotażowych linii testowych.</w:t>
      </w:r>
    </w:p>
    <w:p w14:paraId="30B4D0DC" w14:textId="0AFFAE37" w:rsidR="006578ED" w:rsidRDefault="00A1618E">
      <w:pPr>
        <w:pStyle w:val="P68B1DB1-ListParagraph7"/>
        <w:numPr>
          <w:ilvl w:val="0"/>
          <w:numId w:val="631"/>
        </w:numPr>
        <w:spacing w:before="120" w:after="120" w:line="240" w:lineRule="auto"/>
        <w:rPr>
          <w:rFonts w:cs="Times New Roman"/>
          <w:noProof/>
        </w:rPr>
      </w:pPr>
      <w:r>
        <w:rPr>
          <w:noProof/>
        </w:rPr>
        <w:t>Działanie 6. Utworzenie sieci kształcenia, szkolenia i szkolenia w zakresie półprzewodników</w:t>
      </w:r>
    </w:p>
    <w:p w14:paraId="23BD4A3C" w14:textId="77777777" w:rsidR="006578ED" w:rsidRDefault="00A1618E">
      <w:pPr>
        <w:pStyle w:val="P68B1DB1-ListParagraph7"/>
        <w:numPr>
          <w:ilvl w:val="0"/>
          <w:numId w:val="631"/>
        </w:numPr>
        <w:spacing w:before="120" w:after="120" w:line="240" w:lineRule="auto"/>
        <w:rPr>
          <w:rFonts w:cs="Times New Roman"/>
          <w:noProof/>
        </w:rPr>
      </w:pPr>
      <w:r>
        <w:rPr>
          <w:noProof/>
        </w:rPr>
        <w:t xml:space="preserve">Działanie 7. Mają zdolność produkcyjną poniżej 5 nm </w:t>
      </w:r>
    </w:p>
    <w:p w14:paraId="2FD5B01F" w14:textId="77777777" w:rsidR="006578ED" w:rsidRDefault="00A1618E">
      <w:pPr>
        <w:pStyle w:val="P68B1DB1-ListParagraph7"/>
        <w:numPr>
          <w:ilvl w:val="0"/>
          <w:numId w:val="631"/>
        </w:numPr>
        <w:spacing w:before="120" w:after="120" w:line="240" w:lineRule="auto"/>
        <w:rPr>
          <w:rFonts w:cs="Times New Roman"/>
          <w:noProof/>
        </w:rPr>
      </w:pPr>
      <w:r>
        <w:rPr>
          <w:noProof/>
        </w:rPr>
        <w:t xml:space="preserve">Działanie 8. Mają zdolność produkcyjną powyżej 5 nm </w:t>
      </w:r>
    </w:p>
    <w:p w14:paraId="33D26450" w14:textId="77777777" w:rsidR="006578ED" w:rsidRDefault="00A1618E">
      <w:pPr>
        <w:pStyle w:val="P68B1DB1-ListParagraph7"/>
        <w:numPr>
          <w:ilvl w:val="0"/>
          <w:numId w:val="631"/>
        </w:numPr>
        <w:spacing w:before="120" w:after="120" w:line="240" w:lineRule="auto"/>
        <w:rPr>
          <w:rFonts w:cs="Times New Roman"/>
          <w:noProof/>
        </w:rPr>
      </w:pPr>
      <w:r>
        <w:rPr>
          <w:noProof/>
        </w:rPr>
        <w:t>Działanie 9. Program zachęt do produkcji technologii informacyjno-komunikacyjnych</w:t>
      </w:r>
    </w:p>
    <w:p w14:paraId="40DE6A08" w14:textId="4C522B41" w:rsidR="006578ED" w:rsidRDefault="00A1618E">
      <w:pPr>
        <w:pStyle w:val="P68B1DB1-Normal4"/>
        <w:spacing w:before="120" w:after="120" w:line="240" w:lineRule="auto"/>
        <w:rPr>
          <w:rFonts w:cs="Times New Roman"/>
          <w:noProof/>
        </w:rPr>
      </w:pPr>
      <w:r>
        <w:rPr>
          <w:noProof/>
        </w:rPr>
        <w:t>Realizacja inwestycji zakończy się do dnia 30 czerwca 20</w:t>
      </w:r>
      <w:r w:rsidRPr="00A1618E">
        <w:rPr>
          <w:noProof/>
          <w:lang w:val="pl-PL"/>
        </w:rPr>
        <w:t>26 r.</w:t>
      </w:r>
      <w:r>
        <w:rPr>
          <w:noProof/>
        </w:rPr>
        <w:t xml:space="preserve"> </w:t>
      </w:r>
    </w:p>
    <w:p w14:paraId="2F9699E9" w14:textId="79F9E764" w:rsidR="006578ED" w:rsidRDefault="00A1618E">
      <w:pPr>
        <w:pStyle w:val="P68B1DB1-Normal5"/>
        <w:ind w:left="720"/>
        <w:rPr>
          <w:rFonts w:cs="Times New Roman"/>
          <w:noProof/>
        </w:rPr>
      </w:pPr>
      <w:r>
        <w:rPr>
          <w:noProof/>
        </w:rPr>
        <w:t xml:space="preserve">O.2. </w:t>
      </w:r>
      <w:r>
        <w:rPr>
          <w:noProof/>
        </w:rPr>
        <w:tab/>
        <w:t>Kamienie milowe, wartości docelowe, wskaźniki i harmonogram monitorowania i realizacji na potrzeby bezzwrotnego wsparcia finansowego</w:t>
      </w:r>
    </w:p>
    <w:p w14:paraId="3F9B53CA" w14:textId="6903178F"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44EA458C" w14:textId="77777777" w:rsidR="006578ED" w:rsidRDefault="006578ED">
      <w:pPr>
        <w:spacing w:before="120" w:after="120" w:line="240" w:lineRule="auto"/>
        <w:jc w:val="both"/>
        <w:rPr>
          <w:rFonts w:ascii="Times New Roman" w:hAnsi="Times New Roman" w:cs="Times New Roman"/>
          <w:b/>
          <w:noProof/>
          <w:sz w:val="24"/>
          <w:u w:val="single"/>
        </w:rPr>
      </w:pPr>
    </w:p>
    <w:p w14:paraId="6A7AEB8A" w14:textId="77777777" w:rsidR="006578ED" w:rsidRDefault="006578ED">
      <w:pPr>
        <w:spacing w:before="120" w:after="120" w:line="240" w:lineRule="auto"/>
        <w:ind w:left="709"/>
        <w:jc w:val="both"/>
        <w:rPr>
          <w:rFonts w:ascii="Times New Roman" w:hAnsi="Times New Roman" w:cs="Times New Roman"/>
          <w:noProof/>
          <w:sz w:val="24"/>
        </w:rPr>
      </w:pPr>
    </w:p>
    <w:p w14:paraId="08AB0B9E"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306"/>
          <w:headerReference w:type="default" r:id="rId307"/>
          <w:footerReference w:type="even" r:id="rId308"/>
          <w:footerReference w:type="default" r:id="rId309"/>
          <w:headerReference w:type="first" r:id="rId310"/>
          <w:footerReference w:type="first" r:id="rId311"/>
          <w:pgSz w:w="11907" w:h="16839"/>
          <w:pgMar w:top="1134" w:right="1417" w:bottom="1134" w:left="1417" w:header="709" w:footer="709" w:gutter="0"/>
          <w:cols w:space="720"/>
          <w:docGrid w:linePitch="360"/>
        </w:sectPr>
      </w:pPr>
    </w:p>
    <w:tbl>
      <w:tblPr>
        <w:tblpPr w:leftFromText="180" w:rightFromText="180" w:vertAnchor="text" w:tblpXSpec="right" w:tblpY="1"/>
        <w:tblOverlap w:val="neve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4"/>
        <w:gridCol w:w="969"/>
        <w:gridCol w:w="833"/>
        <w:gridCol w:w="2451"/>
        <w:gridCol w:w="1275"/>
        <w:gridCol w:w="709"/>
        <w:gridCol w:w="709"/>
        <w:gridCol w:w="776"/>
        <w:gridCol w:w="500"/>
        <w:gridCol w:w="708"/>
        <w:gridCol w:w="5670"/>
        <w:gridCol w:w="6"/>
      </w:tblGrid>
      <w:tr w:rsidR="006578ED" w14:paraId="7A0188BB" w14:textId="77777777">
        <w:trPr>
          <w:trHeight w:val="309"/>
          <w:tblHeader/>
        </w:trPr>
        <w:tc>
          <w:tcPr>
            <w:tcW w:w="704"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4E950E4" w14:textId="77777777" w:rsidR="006578ED" w:rsidRDefault="00A1618E">
            <w:pPr>
              <w:pStyle w:val="P68B1DB1-Normal12"/>
              <w:spacing w:after="0"/>
              <w:jc w:val="center"/>
              <w:rPr>
                <w:rFonts w:cs="Times New Roman"/>
                <w:noProof/>
              </w:rPr>
            </w:pPr>
            <w:r>
              <w:rPr>
                <w:noProof/>
              </w:rPr>
              <w:t>Liczba</w:t>
            </w:r>
          </w:p>
        </w:tc>
        <w:tc>
          <w:tcPr>
            <w:tcW w:w="969"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25D0FFEA" w14:textId="77777777" w:rsidR="006578ED" w:rsidRDefault="00A1618E">
            <w:pPr>
              <w:pStyle w:val="P68B1DB1-Normal12"/>
              <w:spacing w:after="0"/>
              <w:jc w:val="center"/>
              <w:rPr>
                <w:rFonts w:cs="Times New Roman"/>
                <w:noProof/>
              </w:rPr>
            </w:pPr>
            <w:r>
              <w:rPr>
                <w:noProof/>
              </w:rPr>
              <w:t>Środek</w:t>
            </w:r>
          </w:p>
        </w:tc>
        <w:tc>
          <w:tcPr>
            <w:tcW w:w="833"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DF6799D" w14:textId="50CCB650" w:rsidR="006578ED" w:rsidRDefault="00EC188C">
            <w:pPr>
              <w:pStyle w:val="P68B1DB1-Normal13"/>
              <w:spacing w:after="0"/>
              <w:jc w:val="center"/>
              <w:rPr>
                <w:rFonts w:cs="Times New Roman"/>
                <w:b/>
                <w:noProof/>
              </w:rPr>
            </w:pPr>
            <w:r>
              <w:rPr>
                <w:b/>
                <w:noProof/>
              </w:rPr>
              <w:t>Kamień milowy</w:t>
            </w:r>
            <w:r>
              <w:rPr>
                <w:noProof/>
              </w:rPr>
              <w:br/>
            </w:r>
            <w:r>
              <w:rPr>
                <w:b/>
                <w:noProof/>
              </w:rPr>
              <w:t xml:space="preserve"> /</w:t>
            </w:r>
            <w:r w:rsidR="00AF6B91">
              <w:rPr>
                <w:b/>
                <w:noProof/>
              </w:rPr>
              <w:t>Wartość docelowa</w:t>
            </w:r>
          </w:p>
        </w:tc>
        <w:tc>
          <w:tcPr>
            <w:tcW w:w="2451"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53A4726C" w14:textId="77777777" w:rsidR="006578ED" w:rsidRDefault="00A1618E">
            <w:pPr>
              <w:pStyle w:val="P68B1DB1-Normal12"/>
              <w:spacing w:after="0"/>
              <w:jc w:val="center"/>
              <w:rPr>
                <w:rFonts w:cs="Times New Roman"/>
                <w:noProof/>
              </w:rPr>
            </w:pPr>
            <w:r>
              <w:rPr>
                <w:noProof/>
              </w:rPr>
              <w:t>Nazwa</w:t>
            </w:r>
          </w:p>
        </w:tc>
        <w:tc>
          <w:tcPr>
            <w:tcW w:w="1275" w:type="dxa"/>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66C672C6" w14:textId="77777777" w:rsidR="006578ED" w:rsidRDefault="00A1618E">
            <w:pPr>
              <w:pStyle w:val="P68B1DB1-Normal12"/>
              <w:spacing w:after="0"/>
              <w:jc w:val="center"/>
              <w:rPr>
                <w:rFonts w:cs="Times New Roman"/>
                <w:noProof/>
              </w:rPr>
            </w:pPr>
            <w:r>
              <w:rPr>
                <w:noProof/>
              </w:rPr>
              <w:t>Wskaźnik jakościowy dla celów pośrednich</w:t>
            </w:r>
          </w:p>
        </w:tc>
        <w:tc>
          <w:tcPr>
            <w:tcW w:w="219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62DF217" w14:textId="77777777" w:rsidR="006578ED" w:rsidRDefault="00A1618E">
            <w:pPr>
              <w:pStyle w:val="P68B1DB1-Normal12"/>
              <w:spacing w:after="0"/>
              <w:jc w:val="center"/>
              <w:rPr>
                <w:rFonts w:cs="Times New Roman"/>
                <w:noProof/>
              </w:rPr>
            </w:pPr>
            <w:r>
              <w:rPr>
                <w:noProof/>
              </w:rPr>
              <w:t>Wskaźnik ilościowy dla celu</w:t>
            </w:r>
          </w:p>
        </w:tc>
        <w:tc>
          <w:tcPr>
            <w:tcW w:w="120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AD463C" w14:textId="77777777" w:rsidR="006578ED" w:rsidRDefault="00A1618E">
            <w:pPr>
              <w:pStyle w:val="P68B1DB1-Normal12"/>
              <w:spacing w:after="0"/>
              <w:jc w:val="center"/>
              <w:rPr>
                <w:rFonts w:cs="Times New Roman"/>
                <w:noProof/>
              </w:rPr>
            </w:pPr>
            <w:r>
              <w:rPr>
                <w:noProof/>
              </w:rPr>
              <w:t>Czas</w:t>
            </w:r>
          </w:p>
        </w:tc>
        <w:tc>
          <w:tcPr>
            <w:tcW w:w="5676" w:type="dxa"/>
            <w:gridSpan w:val="2"/>
            <w:tcBorders>
              <w:top w:val="single" w:sz="4" w:space="0" w:color="auto"/>
              <w:left w:val="single" w:sz="4" w:space="0" w:color="auto"/>
              <w:bottom w:val="nil"/>
              <w:right w:val="single" w:sz="4" w:space="0" w:color="auto"/>
            </w:tcBorders>
            <w:shd w:val="clear" w:color="auto" w:fill="C6D9F1" w:themeFill="text2" w:themeFillTint="33"/>
            <w:noWrap/>
            <w:vAlign w:val="center"/>
            <w:hideMark/>
          </w:tcPr>
          <w:p w14:paraId="116C122A" w14:textId="4BA147C3" w:rsidR="006578ED" w:rsidRDefault="00A1618E">
            <w:pPr>
              <w:pStyle w:val="P68B1DB1-Normal12"/>
              <w:spacing w:after="0"/>
              <w:jc w:val="center"/>
              <w:rPr>
                <w:rFonts w:cs="Times New Roman"/>
                <w:noProof/>
              </w:rPr>
            </w:pPr>
            <w:r>
              <w:rPr>
                <w:noProof/>
              </w:rPr>
              <w:t>Opis każdego celu pośredniego i celu końcowego</w:t>
            </w:r>
          </w:p>
        </w:tc>
      </w:tr>
      <w:tr w:rsidR="006578ED" w14:paraId="4067725C" w14:textId="77777777">
        <w:trPr>
          <w:trHeight w:val="309"/>
          <w:tblHeader/>
        </w:trPr>
        <w:tc>
          <w:tcPr>
            <w:tcW w:w="704" w:type="dxa"/>
            <w:tcBorders>
              <w:top w:val="nil"/>
              <w:left w:val="single" w:sz="4" w:space="0" w:color="auto"/>
              <w:bottom w:val="single" w:sz="4" w:space="0" w:color="auto"/>
              <w:right w:val="single" w:sz="4" w:space="0" w:color="auto"/>
            </w:tcBorders>
            <w:shd w:val="clear" w:color="auto" w:fill="C6D9F1" w:themeFill="text2" w:themeFillTint="33"/>
            <w:noWrap/>
          </w:tcPr>
          <w:p w14:paraId="27E765F8" w14:textId="77777777" w:rsidR="006578ED" w:rsidRDefault="006578ED">
            <w:pPr>
              <w:spacing w:after="0"/>
              <w:jc w:val="center"/>
              <w:rPr>
                <w:rFonts w:ascii="Times New Roman" w:hAnsi="Times New Roman" w:cs="Times New Roman"/>
                <w:b/>
                <w:noProof/>
                <w:sz w:val="18"/>
              </w:rPr>
            </w:pPr>
          </w:p>
        </w:tc>
        <w:tc>
          <w:tcPr>
            <w:tcW w:w="969" w:type="dxa"/>
            <w:tcBorders>
              <w:top w:val="nil"/>
              <w:left w:val="single" w:sz="4" w:space="0" w:color="auto"/>
              <w:bottom w:val="single" w:sz="4" w:space="0" w:color="auto"/>
              <w:right w:val="single" w:sz="4" w:space="0" w:color="auto"/>
            </w:tcBorders>
            <w:shd w:val="clear" w:color="auto" w:fill="C6D9F1" w:themeFill="text2" w:themeFillTint="33"/>
            <w:noWrap/>
          </w:tcPr>
          <w:p w14:paraId="733FB4A1" w14:textId="77777777" w:rsidR="006578ED" w:rsidRDefault="006578ED">
            <w:pPr>
              <w:spacing w:after="0"/>
              <w:jc w:val="center"/>
              <w:rPr>
                <w:rFonts w:ascii="Times New Roman" w:hAnsi="Times New Roman" w:cs="Times New Roman"/>
                <w:b/>
                <w:noProof/>
                <w:sz w:val="18"/>
              </w:rPr>
            </w:pPr>
          </w:p>
        </w:tc>
        <w:tc>
          <w:tcPr>
            <w:tcW w:w="833" w:type="dxa"/>
            <w:tcBorders>
              <w:top w:val="nil"/>
              <w:left w:val="single" w:sz="4" w:space="0" w:color="auto"/>
              <w:bottom w:val="single" w:sz="4" w:space="0" w:color="auto"/>
              <w:right w:val="single" w:sz="4" w:space="0" w:color="auto"/>
            </w:tcBorders>
            <w:shd w:val="clear" w:color="auto" w:fill="C6D9F1" w:themeFill="text2" w:themeFillTint="33"/>
            <w:noWrap/>
          </w:tcPr>
          <w:p w14:paraId="6E018703" w14:textId="77777777" w:rsidR="006578ED" w:rsidRDefault="006578ED">
            <w:pPr>
              <w:spacing w:after="0"/>
              <w:jc w:val="center"/>
              <w:rPr>
                <w:rFonts w:ascii="Times New Roman" w:hAnsi="Times New Roman" w:cs="Times New Roman"/>
                <w:b/>
                <w:noProof/>
                <w:sz w:val="18"/>
              </w:rPr>
            </w:pPr>
          </w:p>
        </w:tc>
        <w:tc>
          <w:tcPr>
            <w:tcW w:w="2451" w:type="dxa"/>
            <w:tcBorders>
              <w:top w:val="nil"/>
              <w:left w:val="single" w:sz="4" w:space="0" w:color="auto"/>
              <w:bottom w:val="single" w:sz="4" w:space="0" w:color="auto"/>
              <w:right w:val="single" w:sz="4" w:space="0" w:color="auto"/>
            </w:tcBorders>
            <w:shd w:val="clear" w:color="auto" w:fill="C6D9F1" w:themeFill="text2" w:themeFillTint="33"/>
            <w:noWrap/>
          </w:tcPr>
          <w:p w14:paraId="4BA5681D" w14:textId="77777777" w:rsidR="006578ED" w:rsidRDefault="006578ED">
            <w:pPr>
              <w:spacing w:after="0"/>
              <w:rPr>
                <w:rFonts w:ascii="Times New Roman" w:hAnsi="Times New Roman" w:cs="Times New Roman"/>
                <w:b/>
                <w:noProof/>
                <w:sz w:val="18"/>
              </w:rPr>
            </w:pPr>
          </w:p>
        </w:tc>
        <w:tc>
          <w:tcPr>
            <w:tcW w:w="1275" w:type="dxa"/>
            <w:tcBorders>
              <w:top w:val="nil"/>
              <w:left w:val="single" w:sz="4" w:space="0" w:color="auto"/>
              <w:bottom w:val="single" w:sz="4" w:space="0" w:color="auto"/>
              <w:right w:val="single" w:sz="4" w:space="0" w:color="auto"/>
            </w:tcBorders>
            <w:shd w:val="clear" w:color="auto" w:fill="C6D9F1" w:themeFill="text2" w:themeFillTint="33"/>
            <w:noWrap/>
          </w:tcPr>
          <w:p w14:paraId="2397FB46" w14:textId="77777777" w:rsidR="006578ED" w:rsidRDefault="006578ED">
            <w:pPr>
              <w:spacing w:after="0"/>
              <w:jc w:val="center"/>
              <w:rPr>
                <w:rFonts w:ascii="Times New Roman" w:hAnsi="Times New Roman" w:cs="Times New Roman"/>
                <w:b/>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188F84FF" w14:textId="77777777" w:rsidR="006578ED" w:rsidRDefault="00A1618E">
            <w:pPr>
              <w:pStyle w:val="P68B1DB1-Normal12"/>
              <w:spacing w:after="0"/>
              <w:jc w:val="center"/>
              <w:rPr>
                <w:rFonts w:cs="Times New Roman"/>
                <w:noProof/>
              </w:rPr>
            </w:pPr>
            <w:r>
              <w:rPr>
                <w:noProof/>
              </w:rPr>
              <w:t>Jednostka</w:t>
            </w: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4EDF8F0" w14:textId="77777777" w:rsidR="006578ED" w:rsidRDefault="00A1618E">
            <w:pPr>
              <w:pStyle w:val="P68B1DB1-Normal12"/>
              <w:spacing w:after="0"/>
              <w:jc w:val="center"/>
              <w:rPr>
                <w:rFonts w:cs="Times New Roman"/>
                <w:noProof/>
              </w:rPr>
            </w:pPr>
            <w:r>
              <w:rPr>
                <w:noProof/>
              </w:rPr>
              <w:t>Wartość wyjściowa</w:t>
            </w:r>
          </w:p>
        </w:tc>
        <w:tc>
          <w:tcPr>
            <w:tcW w:w="776"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4873E1E8" w14:textId="77777777" w:rsidR="006578ED" w:rsidRDefault="00A1618E">
            <w:pPr>
              <w:pStyle w:val="P68B1DB1-Normal12"/>
              <w:spacing w:after="0"/>
              <w:jc w:val="center"/>
              <w:rPr>
                <w:rFonts w:cs="Times New Roman"/>
                <w:noProof/>
              </w:rPr>
            </w:pPr>
            <w:r>
              <w:rPr>
                <w:noProof/>
              </w:rPr>
              <w:t>Cel</w:t>
            </w:r>
          </w:p>
        </w:tc>
        <w:tc>
          <w:tcPr>
            <w:tcW w:w="5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20AE6F81" w14:textId="77777777" w:rsidR="006578ED" w:rsidRDefault="00A1618E">
            <w:pPr>
              <w:pStyle w:val="P68B1DB1-Normal12"/>
              <w:spacing w:after="0"/>
              <w:jc w:val="center"/>
              <w:rPr>
                <w:rFonts w:cs="Times New Roman"/>
                <w:noProof/>
              </w:rPr>
            </w:pPr>
            <w:r>
              <w:rPr>
                <w:noProof/>
              </w:rPr>
              <w:t>Q</w:t>
            </w:r>
          </w:p>
        </w:tc>
        <w:tc>
          <w:tcPr>
            <w:tcW w:w="708" w:type="dxa"/>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14:paraId="5EF862C1" w14:textId="77777777" w:rsidR="006578ED" w:rsidRDefault="00A1618E">
            <w:pPr>
              <w:pStyle w:val="P68B1DB1-Normal12"/>
              <w:spacing w:after="0"/>
              <w:jc w:val="center"/>
              <w:rPr>
                <w:rFonts w:cs="Times New Roman"/>
                <w:noProof/>
              </w:rPr>
            </w:pPr>
            <w:r>
              <w:rPr>
                <w:noProof/>
              </w:rPr>
              <w:t>Rok</w:t>
            </w:r>
          </w:p>
        </w:tc>
        <w:tc>
          <w:tcPr>
            <w:tcW w:w="5676" w:type="dxa"/>
            <w:gridSpan w:val="2"/>
            <w:tcBorders>
              <w:top w:val="nil"/>
              <w:left w:val="single" w:sz="4" w:space="0" w:color="auto"/>
              <w:bottom w:val="single" w:sz="4" w:space="0" w:color="auto"/>
              <w:right w:val="single" w:sz="4" w:space="0" w:color="auto"/>
            </w:tcBorders>
            <w:shd w:val="clear" w:color="auto" w:fill="C6D9F1" w:themeFill="text2" w:themeFillTint="33"/>
            <w:noWrap/>
          </w:tcPr>
          <w:p w14:paraId="79F17D79" w14:textId="77777777" w:rsidR="006578ED" w:rsidRDefault="006578ED">
            <w:pPr>
              <w:spacing w:after="0"/>
              <w:rPr>
                <w:rFonts w:ascii="Times New Roman" w:hAnsi="Times New Roman" w:cs="Times New Roman"/>
                <w:b/>
                <w:noProof/>
                <w:sz w:val="18"/>
              </w:rPr>
            </w:pPr>
          </w:p>
        </w:tc>
      </w:tr>
      <w:tr w:rsidR="006578ED" w14:paraId="1A64BBD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B9B005F" w14:textId="77777777" w:rsidR="006578ED" w:rsidRDefault="00A1618E">
            <w:pPr>
              <w:pStyle w:val="P68B1DB1-Normal13"/>
              <w:spacing w:after="0"/>
              <w:jc w:val="center"/>
              <w:rPr>
                <w:rFonts w:eastAsia="Times New Roman" w:cs="Times New Roman"/>
                <w:noProof/>
              </w:rPr>
            </w:pPr>
            <w:r>
              <w:rPr>
                <w:noProof/>
              </w:rPr>
              <w:t>229</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46A2B41" w14:textId="77777777" w:rsidR="006578ED" w:rsidRDefault="00A1618E">
            <w:pPr>
              <w:pStyle w:val="P68B1DB1-Normal13"/>
              <w:spacing w:after="0"/>
              <w:jc w:val="center"/>
              <w:rPr>
                <w:rFonts w:eastAsia="Times New Roman" w:cs="Times New Roman"/>
                <w:noProof/>
              </w:rPr>
            </w:pPr>
            <w:r>
              <w:rPr>
                <w:noProof/>
              </w:rPr>
              <w:t>C15.R1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80A4849" w14:textId="38635661" w:rsidR="006578ED" w:rsidRDefault="00AF6B91">
            <w:pPr>
              <w:pStyle w:val="P68B1DB1-Normal13"/>
              <w:spacing w:after="0"/>
              <w:jc w:val="center"/>
              <w:rPr>
                <w:rFonts w:eastAsia="Times New Roman"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D83F309" w14:textId="7219B8C8" w:rsidR="006578ED" w:rsidRDefault="00A1618E">
            <w:pPr>
              <w:pStyle w:val="P68B1DB1-Normal13"/>
              <w:spacing w:after="0"/>
              <w:rPr>
                <w:rFonts w:eastAsia="Times New Roman" w:cs="Times New Roman"/>
                <w:noProof/>
              </w:rPr>
            </w:pPr>
            <w:r>
              <w:rPr>
                <w:noProof/>
              </w:rPr>
              <w:t>Wejście w życie ustawy o telekomunikacji</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A0F63ED" w14:textId="56A2720F" w:rsidR="006578ED" w:rsidRDefault="00A1618E">
            <w:pPr>
              <w:pStyle w:val="P68B1DB1-Normal13"/>
              <w:spacing w:after="0"/>
              <w:jc w:val="center"/>
              <w:rPr>
                <w:rFonts w:eastAsia="Times New Roman" w:cs="Times New Roman"/>
                <w:noProof/>
              </w:rPr>
            </w:pPr>
            <w:r>
              <w:rPr>
                <w:noProof/>
              </w:rPr>
              <w:t xml:space="preserve">Przepis ustawy wskazujący na wejście w życie ustawy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B797C1F" w14:textId="77777777" w:rsidR="006578ED" w:rsidRDefault="00A1618E">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E9BA939" w14:textId="77777777" w:rsidR="006578ED" w:rsidRDefault="00A1618E">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24B7C234" w14:textId="77777777" w:rsidR="006578ED" w:rsidRDefault="00A1618E">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8A21E35" w14:textId="7BD79B8E" w:rsidR="006578ED" w:rsidRDefault="00EC188C">
            <w:pPr>
              <w:pStyle w:val="P68B1DB1-Normal13"/>
              <w:spacing w:after="0"/>
              <w:jc w:val="center"/>
              <w:rPr>
                <w:rFonts w:eastAsia="Times New Roman" w:cs="Times New Roman"/>
                <w:noProof/>
              </w:rPr>
            </w:pPr>
            <w:r>
              <w:rPr>
                <w:noProof/>
              </w:rPr>
              <w:t>KW.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E6D9E83" w14:textId="77777777" w:rsidR="006578ED" w:rsidRDefault="00A1618E">
            <w:pPr>
              <w:pStyle w:val="P68B1DB1-Normal13"/>
              <w:spacing w:after="0"/>
              <w:jc w:val="center"/>
              <w:rPr>
                <w:rFonts w:eastAsia="Times New Roman"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0E66D777" w14:textId="62497A59" w:rsidR="006578ED" w:rsidRDefault="00A1618E">
            <w:pPr>
              <w:pStyle w:val="P68B1DB1-Normal13"/>
              <w:spacing w:after="0"/>
              <w:rPr>
                <w:rFonts w:eastAsia="Times New Roman" w:cs="Times New Roman"/>
                <w:noProof/>
              </w:rPr>
            </w:pPr>
            <w:r>
              <w:rPr>
                <w:noProof/>
              </w:rPr>
              <w:t>Ustawa o telekomunikacji transponuje również dyrektywę 2018/1972 Europejskiego kodeksu łączności elektronicznej</w:t>
            </w:r>
            <w:r w:rsidRPr="00A1618E">
              <w:rPr>
                <w:noProof/>
                <w:lang w:val="pl-PL"/>
              </w:rPr>
              <w:t>. W</w:t>
            </w:r>
            <w:r>
              <w:rPr>
                <w:noProof/>
                <w:lang w:val="pl-PL"/>
              </w:rPr>
              <w:t> </w:t>
            </w:r>
            <w:r>
              <w:rPr>
                <w:noProof/>
              </w:rPr>
              <w:t>ustawie uwzględnia się również zalecenia dotyczące unijnego zestawu narzędzi łączności, które muszą być zawarte w ustawie zgodnie z hiszpańskimi ramami prawnymi. Poza transpozycją dyrektywy 2018/1972 Europejskiego kodeksu łączności elektronicznej ustawa obejmuje: przepisy dotyczące inwentaryzacji kabli podmorskich i IXP/ośrodków przetwarzania danych; (II) a także uproszczony system podatkowy dla lokalnych podatków od budowy sieci; oraz (iii) utworzenie pojedynczego punktu kontaktowego do celów stosowania licencji i zezwoleń udzielanych przez różne szczeble administracji rządowej na wdrażanie sieci.</w:t>
            </w:r>
          </w:p>
        </w:tc>
      </w:tr>
      <w:tr w:rsidR="006578ED" w14:paraId="7BB81DD8"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586BEC9" w14:textId="77777777" w:rsidR="006578ED" w:rsidRDefault="00A1618E">
            <w:pPr>
              <w:pStyle w:val="P68B1DB1-Normal13"/>
              <w:spacing w:after="0"/>
              <w:jc w:val="center"/>
              <w:rPr>
                <w:rFonts w:eastAsia="Times New Roman" w:cs="Times New Roman"/>
                <w:noProof/>
              </w:rPr>
            </w:pPr>
            <w:r>
              <w:rPr>
                <w:noProof/>
              </w:rPr>
              <w:t>230</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D51E7C8" w14:textId="77777777" w:rsidR="006578ED" w:rsidRDefault="00A1618E">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A35B76E" w14:textId="4914E640" w:rsidR="006578ED" w:rsidRDefault="00AF6B91">
            <w:pPr>
              <w:pStyle w:val="P68B1DB1-Normal13"/>
              <w:spacing w:after="0"/>
              <w:jc w:val="center"/>
              <w:rPr>
                <w:rFonts w:eastAsia="Times New Roman"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9CAAD49" w14:textId="433680B7" w:rsidR="006578ED" w:rsidRDefault="00A1618E">
            <w:pPr>
              <w:pStyle w:val="P68B1DB1-Normal13"/>
              <w:spacing w:after="0"/>
              <w:rPr>
                <w:rFonts w:eastAsia="Times New Roman" w:cs="Times New Roman"/>
                <w:noProof/>
              </w:rPr>
            </w:pPr>
            <w:r>
              <w:rPr>
                <w:noProof/>
              </w:rPr>
              <w:t>Plan i strategia cyfrowej Hiszpanii 2025 na rzecz promowania technologii 5G</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F669771" w14:textId="77777777" w:rsidR="006578ED" w:rsidRDefault="00A1618E">
            <w:pPr>
              <w:pStyle w:val="P68B1DB1-Normal13"/>
              <w:spacing w:after="0"/>
              <w:jc w:val="center"/>
              <w:rPr>
                <w:rFonts w:eastAsia="Times New Roman" w:cs="Times New Roman"/>
                <w:noProof/>
              </w:rPr>
            </w:pPr>
            <w:r>
              <w:rPr>
                <w:noProof/>
              </w:rPr>
              <w:t>Publikacja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DCCC6A9" w14:textId="77777777" w:rsidR="006578ED" w:rsidRDefault="00A1618E">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3EDF791" w14:textId="77777777" w:rsidR="006578ED" w:rsidRDefault="00A1618E">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B3F5C07" w14:textId="77777777" w:rsidR="006578ED" w:rsidRDefault="00A1618E">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8BA5706" w14:textId="18236046" w:rsidR="006578ED" w:rsidRDefault="00EC188C">
            <w:pPr>
              <w:pStyle w:val="P68B1DB1-Normal13"/>
              <w:spacing w:after="0"/>
              <w:jc w:val="center"/>
              <w:rPr>
                <w:rFonts w:eastAsia="Times New Roman"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FA98355" w14:textId="77777777" w:rsidR="006578ED" w:rsidRDefault="00A1618E">
            <w:pPr>
              <w:pStyle w:val="P68B1DB1-Normal13"/>
              <w:spacing w:after="0"/>
              <w:jc w:val="center"/>
              <w:rPr>
                <w:rFonts w:eastAsia="Times New Roman" w:cs="Times New Roman"/>
                <w:noProof/>
              </w:rPr>
            </w:pPr>
            <w:r>
              <w:rPr>
                <w:noProof/>
              </w:rPr>
              <w:t>2020</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5201AFC" w14:textId="0D0DAEE0" w:rsidR="006578ED" w:rsidRDefault="00A1618E">
            <w:pPr>
              <w:pStyle w:val="P68B1DB1-Normal13"/>
              <w:spacing w:after="0"/>
              <w:rPr>
                <w:rFonts w:eastAsia="Times New Roman" w:cs="Times New Roman"/>
                <w:noProof/>
              </w:rPr>
            </w:pPr>
            <w:r>
              <w:rPr>
                <w:noProof/>
              </w:rPr>
              <w:t xml:space="preserve">Publikacja planu „Cyfrowa Hiszpania” </w:t>
            </w:r>
            <w:r w:rsidRPr="00A1618E">
              <w:rPr>
                <w:noProof/>
                <w:lang w:val="pl-PL"/>
              </w:rPr>
              <w:t>na 2</w:t>
            </w:r>
            <w:r>
              <w:rPr>
                <w:noProof/>
              </w:rPr>
              <w:t>0</w:t>
            </w:r>
            <w:r w:rsidRPr="00A1618E">
              <w:rPr>
                <w:noProof/>
                <w:lang w:val="pl-PL"/>
              </w:rPr>
              <w:t>25 r.</w:t>
            </w:r>
            <w:r>
              <w:rPr>
                <w:noProof/>
              </w:rPr>
              <w:t xml:space="preserve"> i zatwierdzenie przez Radę Ministrów „Strategii na rzecz promowania technologii 5G”</w:t>
            </w:r>
          </w:p>
        </w:tc>
      </w:tr>
      <w:tr w:rsidR="006578ED" w14:paraId="36906E2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15DE1AD" w14:textId="77777777" w:rsidR="006578ED" w:rsidRDefault="00A1618E">
            <w:pPr>
              <w:pStyle w:val="P68B1DB1-Normal13"/>
              <w:spacing w:after="0"/>
              <w:jc w:val="center"/>
              <w:rPr>
                <w:rFonts w:eastAsia="Times New Roman" w:cs="Times New Roman"/>
                <w:noProof/>
              </w:rPr>
            </w:pPr>
            <w:r>
              <w:rPr>
                <w:noProof/>
              </w:rPr>
              <w:t>231</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9A78D93" w14:textId="77777777" w:rsidR="006578ED" w:rsidRDefault="00A1618E">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BEF3789" w14:textId="31421ADF" w:rsidR="006578ED" w:rsidRDefault="00AF6B91">
            <w:pPr>
              <w:pStyle w:val="P68B1DB1-Normal13"/>
              <w:spacing w:after="0"/>
              <w:jc w:val="center"/>
              <w:rPr>
                <w:rFonts w:eastAsia="Times New Roman"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3327BA2" w14:textId="77777777" w:rsidR="006578ED" w:rsidRDefault="00A1618E">
            <w:pPr>
              <w:pStyle w:val="P68B1DB1-Normal13"/>
              <w:spacing w:after="0"/>
              <w:rPr>
                <w:rFonts w:eastAsia="Times New Roman" w:cs="Times New Roman"/>
                <w:noProof/>
              </w:rPr>
            </w:pPr>
            <w:r>
              <w:rPr>
                <w:noProof/>
              </w:rPr>
              <w:t>Uwolnienie pasma częstotliwości 700 MHz</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2BDA8CE" w14:textId="77777777" w:rsidR="006578ED" w:rsidRDefault="00A1618E">
            <w:pPr>
              <w:pStyle w:val="P68B1DB1-Normal13"/>
              <w:spacing w:after="0"/>
              <w:jc w:val="center"/>
              <w:rPr>
                <w:rFonts w:eastAsia="Times New Roman" w:cs="Times New Roman"/>
                <w:noProof/>
              </w:rPr>
            </w:pPr>
            <w:r>
              <w:rPr>
                <w:noProof/>
              </w:rPr>
              <w:t>Powiadomienie Komisji Europejskiej</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101AE19" w14:textId="77777777" w:rsidR="006578ED" w:rsidRDefault="00A1618E">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880B599" w14:textId="77777777" w:rsidR="006578ED" w:rsidRDefault="00A1618E">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3CC3711F" w14:textId="77777777" w:rsidR="006578ED" w:rsidRDefault="00A1618E">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0D77C98" w14:textId="16177DCF" w:rsidR="006578ED" w:rsidRDefault="00EC188C">
            <w:pPr>
              <w:pStyle w:val="P68B1DB1-Normal13"/>
              <w:spacing w:after="0"/>
              <w:jc w:val="center"/>
              <w:rPr>
                <w:rFonts w:eastAsia="Times New Roman"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5D38DE3" w14:textId="77777777" w:rsidR="006578ED" w:rsidRDefault="00A1618E">
            <w:pPr>
              <w:pStyle w:val="P68B1DB1-Normal13"/>
              <w:spacing w:after="0"/>
              <w:jc w:val="center"/>
              <w:rPr>
                <w:rFonts w:eastAsia="Times New Roman" w:cs="Times New Roman"/>
                <w:noProof/>
              </w:rPr>
            </w:pPr>
            <w:r>
              <w:rPr>
                <w:noProof/>
              </w:rPr>
              <w:t>2020</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F71FEC" w14:textId="01965557" w:rsidR="006578ED" w:rsidRDefault="00A1618E">
            <w:pPr>
              <w:pStyle w:val="P68B1DB1-Normal13"/>
              <w:spacing w:after="0"/>
              <w:rPr>
                <w:rFonts w:eastAsia="Times New Roman" w:cs="Times New Roman"/>
                <w:noProof/>
              </w:rPr>
            </w:pPr>
            <w:r>
              <w:rPr>
                <w:noProof/>
              </w:rPr>
              <w:t>Zakończenie procesu uwalniania zakresu częstotliwości 700 MHz zgodnie z decyzją Parlamentu Europejskiego i Rady (UE) 2017/899 z dnia 17 maja 20</w:t>
            </w:r>
            <w:r w:rsidRPr="00A1618E">
              <w:rPr>
                <w:noProof/>
                <w:lang w:val="pl-PL"/>
              </w:rPr>
              <w:t>17 r.</w:t>
            </w:r>
            <w:r>
              <w:rPr>
                <w:noProof/>
              </w:rPr>
              <w:t xml:space="preserve"> w sprawie wykorzystania zakresu 470–790 MHz w Unii</w:t>
            </w:r>
          </w:p>
        </w:tc>
      </w:tr>
      <w:tr w:rsidR="006578ED" w14:paraId="07A1718C"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DDE008A" w14:textId="77777777" w:rsidR="006578ED" w:rsidRDefault="00A1618E">
            <w:pPr>
              <w:pStyle w:val="P68B1DB1-Normal13"/>
              <w:spacing w:after="0"/>
              <w:jc w:val="center"/>
              <w:rPr>
                <w:rFonts w:eastAsia="Times New Roman" w:cs="Times New Roman"/>
                <w:noProof/>
              </w:rPr>
            </w:pPr>
            <w:r>
              <w:rPr>
                <w:noProof/>
              </w:rPr>
              <w:t>232</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8C7A772" w14:textId="77777777" w:rsidR="006578ED" w:rsidRDefault="00A1618E">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E6F76D1" w14:textId="388BA21C" w:rsidR="006578ED" w:rsidRDefault="00AF6B91">
            <w:pPr>
              <w:pStyle w:val="P68B1DB1-Normal13"/>
              <w:spacing w:after="0"/>
              <w:jc w:val="center"/>
              <w:rPr>
                <w:rFonts w:eastAsia="Times New Roman"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52DDE74" w14:textId="77777777" w:rsidR="006578ED" w:rsidRDefault="00A1618E">
            <w:pPr>
              <w:pStyle w:val="P68B1DB1-Normal13"/>
              <w:spacing w:after="0"/>
              <w:rPr>
                <w:rFonts w:eastAsia="Times New Roman" w:cs="Times New Roman"/>
                <w:noProof/>
              </w:rPr>
            </w:pPr>
            <w:r>
              <w:rPr>
                <w:noProof/>
              </w:rPr>
              <w:t>Przydział pasma 700 MHz</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2BBC00A0" w14:textId="33075336" w:rsidR="006578ED" w:rsidRDefault="00A1618E">
            <w:pPr>
              <w:pStyle w:val="P68B1DB1-Normal13"/>
              <w:spacing w:after="0"/>
              <w:jc w:val="center"/>
              <w:rPr>
                <w:rFonts w:eastAsia="Times New Roman" w:cs="Times New Roman"/>
                <w:noProof/>
              </w:rPr>
            </w:pPr>
            <w:r>
              <w:rPr>
                <w:noProof/>
              </w:rPr>
              <w:t>Publikacja w Dzienniku Urzędowym</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670D6F6" w14:textId="77777777" w:rsidR="006578ED" w:rsidRDefault="00A1618E">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1F3773B" w14:textId="77777777" w:rsidR="006578ED" w:rsidRDefault="00A1618E">
            <w:pPr>
              <w:pStyle w:val="P68B1DB1-Normal13"/>
              <w:spacing w:after="0"/>
              <w:jc w:val="right"/>
              <w:rPr>
                <w:rFonts w:eastAsia="Times New Roman"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431E06F" w14:textId="77777777" w:rsidR="006578ED" w:rsidRDefault="00A1618E">
            <w:pPr>
              <w:pStyle w:val="P68B1DB1-Normal13"/>
              <w:spacing w:after="0"/>
              <w:jc w:val="right"/>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87BDF89" w14:textId="6B578CE7" w:rsidR="006578ED" w:rsidRDefault="00EC188C">
            <w:pPr>
              <w:pStyle w:val="P68B1DB1-Normal13"/>
              <w:spacing w:after="0"/>
              <w:jc w:val="center"/>
              <w:rPr>
                <w:rFonts w:eastAsia="Times New Roman"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33B631C" w14:textId="77777777" w:rsidR="006578ED" w:rsidRDefault="00A1618E">
            <w:pPr>
              <w:pStyle w:val="P68B1DB1-Normal13"/>
              <w:spacing w:after="0"/>
              <w:jc w:val="center"/>
              <w:rPr>
                <w:rFonts w:eastAsia="Times New Roman" w:cs="Times New Roman"/>
                <w:noProof/>
              </w:rPr>
            </w:pPr>
            <w:r>
              <w:rPr>
                <w:noProof/>
              </w:rPr>
              <w:t>2021</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85608EF" w14:textId="4C7F422E" w:rsidR="006578ED" w:rsidRDefault="00A1618E">
            <w:pPr>
              <w:pStyle w:val="P68B1DB1-Normal13"/>
              <w:spacing w:after="0"/>
              <w:rPr>
                <w:rFonts w:eastAsia="Times New Roman" w:cs="Times New Roman"/>
                <w:noProof/>
              </w:rPr>
            </w:pPr>
            <w:r>
              <w:rPr>
                <w:noProof/>
              </w:rPr>
              <w:t xml:space="preserve">Publikacja w Dzienniku Urzędowym decyzji o przyznaniu pasma 700 MHz w wyniku aukcji </w:t>
            </w:r>
          </w:p>
        </w:tc>
      </w:tr>
      <w:tr w:rsidR="006578ED" w14:paraId="0983D9D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78DCE97" w14:textId="77777777" w:rsidR="006578ED" w:rsidRDefault="00A1618E">
            <w:pPr>
              <w:pStyle w:val="P68B1DB1-Normal13"/>
              <w:spacing w:after="0"/>
              <w:jc w:val="center"/>
              <w:rPr>
                <w:rFonts w:eastAsia="Times New Roman" w:cs="Times New Roman"/>
                <w:noProof/>
              </w:rPr>
            </w:pPr>
            <w:r>
              <w:rPr>
                <w:noProof/>
              </w:rPr>
              <w:t>233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763B62AD" w14:textId="77777777" w:rsidR="006578ED" w:rsidRDefault="00A1618E">
            <w:pPr>
              <w:pStyle w:val="P68B1DB1-Normal13"/>
              <w:spacing w:after="0"/>
              <w:jc w:val="center"/>
              <w:rPr>
                <w:rFonts w:eastAsia="Times New Roman"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F456F4C" w14:textId="52489281" w:rsidR="006578ED" w:rsidRDefault="00AF6B91">
            <w:pPr>
              <w:pStyle w:val="P68B1DB1-Normal13"/>
              <w:spacing w:after="0"/>
              <w:jc w:val="center"/>
              <w:rPr>
                <w:rFonts w:eastAsia="Times New Roman"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5CB988B" w14:textId="1C8514FF" w:rsidR="006578ED" w:rsidRDefault="00A1618E">
            <w:pPr>
              <w:pStyle w:val="P68B1DB1-Normal13"/>
              <w:spacing w:after="0"/>
              <w:rPr>
                <w:rFonts w:eastAsia="Times New Roman" w:cs="Times New Roman"/>
                <w:noProof/>
              </w:rPr>
            </w:pPr>
            <w:r>
              <w:rPr>
                <w:noProof/>
              </w:rPr>
              <w:t>Wejście w życie aktu prawnego w sprawie zmniejszenia opodatkowania częstotliwości 5G</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EA7CF7B" w14:textId="153B8298" w:rsidR="006578ED" w:rsidRDefault="00A1618E">
            <w:pPr>
              <w:pStyle w:val="P68B1DB1-Normal13"/>
              <w:spacing w:after="0"/>
              <w:jc w:val="center"/>
              <w:rPr>
                <w:rFonts w:eastAsia="Times New Roman" w:cs="Times New Roman"/>
                <w:noProof/>
              </w:rPr>
            </w:pPr>
            <w:r>
              <w:rPr>
                <w:noProof/>
              </w:rPr>
              <w:t>Przepis aktu prawnego dotyczący wejścia w życie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6CF8A5C" w14:textId="77777777" w:rsidR="006578ED" w:rsidRDefault="00A1618E">
            <w:pPr>
              <w:pStyle w:val="P68B1DB1-Normal13"/>
              <w:spacing w:after="0"/>
              <w:jc w:val="center"/>
              <w:rPr>
                <w:rFonts w:eastAsia="Times New Roman"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2FBBBD2" w14:textId="77777777" w:rsidR="006578ED" w:rsidRDefault="00A1618E">
            <w:pPr>
              <w:pStyle w:val="P68B1DB1-Normal13"/>
              <w:spacing w:after="0"/>
              <w:jc w:val="right"/>
              <w:rPr>
                <w:rFonts w:eastAsia="Times New Roman" w:cs="Times New Roman"/>
                <w:noProof/>
              </w:rPr>
            </w:pPr>
            <w:r>
              <w:rPr>
                <w:noProof/>
              </w:rPr>
              <w:t>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E613D4F" w14:textId="77777777" w:rsidR="006578ED" w:rsidRDefault="00A1618E">
            <w:pPr>
              <w:pStyle w:val="P68B1DB1-Normal13"/>
              <w:spacing w:after="0"/>
              <w:jc w:val="right"/>
              <w:rPr>
                <w:rFonts w:eastAsia="Times New Roman" w:cs="Times New Roman"/>
                <w:noProof/>
              </w:rPr>
            </w:pPr>
            <w:r>
              <w:rPr>
                <w:noProof/>
              </w:rPr>
              <w:t>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1379C742" w14:textId="6A0D730A" w:rsidR="006578ED" w:rsidRDefault="00EC188C">
            <w:pPr>
              <w:pStyle w:val="P68B1DB1-Normal13"/>
              <w:spacing w:after="0"/>
              <w:jc w:val="center"/>
              <w:rPr>
                <w:rFonts w:eastAsia="Times New Roman"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1DDF45C" w14:textId="77777777" w:rsidR="006578ED" w:rsidRDefault="00A1618E">
            <w:pPr>
              <w:pStyle w:val="P68B1DB1-Normal13"/>
              <w:spacing w:after="0"/>
              <w:jc w:val="center"/>
              <w:rPr>
                <w:rFonts w:eastAsia="Times New Roman" w:cs="Times New Roman"/>
                <w:noProof/>
              </w:rPr>
            </w:pPr>
            <w:r>
              <w:rPr>
                <w:noProof/>
              </w:rPr>
              <w:t>2021</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AF44EE6" w14:textId="0181D554" w:rsidR="006578ED" w:rsidRDefault="00A1618E">
            <w:pPr>
              <w:pStyle w:val="P68B1DB1-Normal13"/>
              <w:spacing w:after="0"/>
              <w:rPr>
                <w:rFonts w:eastAsia="Times New Roman" w:cs="Times New Roman"/>
                <w:noProof/>
              </w:rPr>
            </w:pPr>
            <w:r>
              <w:rPr>
                <w:noProof/>
              </w:rPr>
              <w:t>Przyjęcie aktu prawnego w sprawie zmniejszenia opodatkowania widma 5G w celu przyspieszenia wdrażania sieci 5G, określającego odpowiednie przyspieszenie wdrażania sieci 5G oczekiwane od każdego beneficjenta. Akt prawny określa wymagane kroki prawne i regulacyjne dotyczące realizacji projektu. </w:t>
            </w:r>
          </w:p>
        </w:tc>
      </w:tr>
      <w:tr w:rsidR="006578ED" w14:paraId="63723CF5"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2482854" w14:textId="77777777" w:rsidR="006578ED" w:rsidRDefault="00A1618E">
            <w:pPr>
              <w:pStyle w:val="P68B1DB1-Normal13"/>
              <w:spacing w:after="0"/>
              <w:jc w:val="center"/>
              <w:rPr>
                <w:rFonts w:cs="Times New Roman"/>
                <w:noProof/>
              </w:rPr>
            </w:pPr>
            <w:r>
              <w:rPr>
                <w:noProof/>
              </w:rPr>
              <w:t>234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53FEC97" w14:textId="77777777" w:rsidR="006578ED" w:rsidRDefault="00A1618E">
            <w:pPr>
              <w:pStyle w:val="P68B1DB1-Normal13"/>
              <w:spacing w:after="0"/>
              <w:jc w:val="center"/>
              <w:rPr>
                <w:rFonts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0644109" w14:textId="5823B210" w:rsidR="006578ED" w:rsidRDefault="00AF6B91">
            <w:pPr>
              <w:pStyle w:val="P68B1DB1-Normal13"/>
              <w:spacing w:after="0"/>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11FCA7D" w14:textId="77777777" w:rsidR="006578ED" w:rsidRDefault="00A1618E">
            <w:pPr>
              <w:pStyle w:val="P68B1DB1-Normal13"/>
              <w:spacing w:after="0"/>
              <w:rPr>
                <w:rFonts w:cs="Times New Roman"/>
                <w:noProof/>
              </w:rPr>
            </w:pPr>
            <w:r>
              <w:rPr>
                <w:noProof/>
              </w:rPr>
              <w:t>Przydział widma radiowego 26 GHz</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BA7FD8C" w14:textId="67BE1DDC" w:rsidR="006578ED" w:rsidRDefault="00A1618E">
            <w:pPr>
              <w:pStyle w:val="P68B1DB1-Normal13"/>
              <w:spacing w:after="0"/>
              <w:jc w:val="center"/>
              <w:rPr>
                <w:rFonts w:cs="Times New Roman"/>
                <w:noProof/>
              </w:rPr>
            </w:pPr>
            <w:r>
              <w:rPr>
                <w:noProof/>
              </w:rPr>
              <w:t>Publikacja w Dzienniku Urzędowym</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6B69910" w14:textId="77777777" w:rsidR="006578ED" w:rsidRDefault="00A1618E">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61AACF0" w14:textId="77777777" w:rsidR="006578ED" w:rsidRDefault="00A1618E">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86960E1" w14:textId="77777777" w:rsidR="006578ED" w:rsidRDefault="00A1618E">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DB694F1" w14:textId="13968A61" w:rsidR="006578ED" w:rsidRDefault="00EC188C">
            <w:pPr>
              <w:pStyle w:val="P68B1DB1-Normal13"/>
              <w:spacing w:after="0"/>
              <w:jc w:val="center"/>
              <w:rPr>
                <w:rFonts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07CCF78" w14:textId="77777777" w:rsidR="006578ED" w:rsidRDefault="00A1618E">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F301A6B" w14:textId="0BD19A00" w:rsidR="006578ED" w:rsidRDefault="00A1618E">
            <w:pPr>
              <w:pStyle w:val="P68B1DB1-Normal13"/>
              <w:spacing w:after="0" w:line="256" w:lineRule="auto"/>
              <w:rPr>
                <w:rFonts w:cs="Times New Roman"/>
                <w:noProof/>
              </w:rPr>
            </w:pPr>
            <w:r>
              <w:rPr>
                <w:noProof/>
              </w:rPr>
              <w:t xml:space="preserve">Publikacja w Dzienniku Urzędowym decyzji o przyznaniu pasma 26 GHz w wyniku aukcji </w:t>
            </w:r>
          </w:p>
        </w:tc>
      </w:tr>
      <w:tr w:rsidR="006578ED" w14:paraId="63A9F23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309964C9" w14:textId="77777777" w:rsidR="006578ED" w:rsidRDefault="00A1618E">
            <w:pPr>
              <w:pStyle w:val="P68B1DB1-Normal13"/>
              <w:spacing w:after="0"/>
              <w:jc w:val="center"/>
              <w:rPr>
                <w:rFonts w:cs="Times New Roman"/>
                <w:noProof/>
              </w:rPr>
            </w:pPr>
            <w:r>
              <w:rPr>
                <w:noProof/>
              </w:rPr>
              <w:t>235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07BC4E70" w14:textId="77777777" w:rsidR="006578ED" w:rsidRDefault="00A1618E">
            <w:pPr>
              <w:pStyle w:val="P68B1DB1-Normal13"/>
              <w:spacing w:after="0"/>
              <w:jc w:val="center"/>
              <w:rPr>
                <w:rFonts w:cs="Times New Roman"/>
                <w:noProof/>
              </w:rPr>
            </w:pPr>
            <w:r>
              <w:rPr>
                <w:noProof/>
              </w:rPr>
              <w:t>C15.R2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E19C2E0" w14:textId="120F9F99" w:rsidR="006578ED" w:rsidRDefault="00AF6B91">
            <w:pPr>
              <w:pStyle w:val="P68B1DB1-Normal13"/>
              <w:spacing w:after="0"/>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D560151" w14:textId="7E51DD14" w:rsidR="006578ED" w:rsidRDefault="00A1618E">
            <w:pPr>
              <w:pStyle w:val="P68B1DB1-Normal13"/>
              <w:spacing w:after="0"/>
              <w:rPr>
                <w:rFonts w:cs="Times New Roman"/>
                <w:noProof/>
              </w:rPr>
            </w:pPr>
            <w:r>
              <w:rPr>
                <w:noProof/>
              </w:rPr>
              <w:t xml:space="preserve">Wejście w życie ustawy o cyberbezpieczeństwie sieci 5G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77D3029" w14:textId="4EBCDAAD" w:rsidR="006578ED" w:rsidRDefault="00A1618E">
            <w:pPr>
              <w:pStyle w:val="P68B1DB1-Normal13"/>
              <w:spacing w:after="0"/>
              <w:jc w:val="center"/>
              <w:rPr>
                <w:rFonts w:cs="Times New Roman"/>
                <w:noProof/>
              </w:rPr>
            </w:pPr>
            <w:r>
              <w:rPr>
                <w:noProof/>
              </w:rPr>
              <w:t xml:space="preserve">Przepis ustawy o cyberbezpieczeństwie sieci 5G dotyczący wejścia w życie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8AD3D0E" w14:textId="77777777" w:rsidR="006578ED" w:rsidRDefault="00A1618E">
            <w:pPr>
              <w:pStyle w:val="P68B1DB1-Normal13"/>
              <w:spacing w:after="0"/>
              <w:jc w:val="center"/>
              <w:rPr>
                <w:rFonts w:cs="Times New Roman"/>
                <w:noProof/>
              </w:rPr>
            </w:pPr>
            <w:r>
              <w:rPr>
                <w:noProof/>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90C29B6" w14:textId="77777777" w:rsidR="006578ED" w:rsidRDefault="00A1618E">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2A90CF9" w14:textId="77777777" w:rsidR="006578ED" w:rsidRDefault="00A1618E">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A638ED6" w14:textId="786E56A5" w:rsidR="006578ED" w:rsidRDefault="00EC188C">
            <w:pPr>
              <w:pStyle w:val="P68B1DB1-Normal13"/>
              <w:spacing w:after="0"/>
              <w:jc w:val="center"/>
              <w:rPr>
                <w:rFonts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86B948B" w14:textId="77777777" w:rsidR="006578ED" w:rsidRDefault="00A1618E">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22E4215" w14:textId="0BBD1919" w:rsidR="006578ED" w:rsidRDefault="00A1618E">
            <w:pPr>
              <w:pStyle w:val="P68B1DB1-Normal13"/>
              <w:spacing w:after="0" w:line="256" w:lineRule="auto"/>
              <w:rPr>
                <w:rFonts w:cs="Times New Roman"/>
                <w:noProof/>
              </w:rPr>
            </w:pPr>
            <w:r>
              <w:rPr>
                <w:noProof/>
              </w:rPr>
              <w:t>Ustawa o cyberbezpieczeństwie sieci 5G zawiera i wdraża zalecenie w sprawie unijnego zestawu narzędzi na potrzeby cyberbezpieczeństwa sieci 5G</w:t>
            </w:r>
          </w:p>
        </w:tc>
      </w:tr>
      <w:tr w:rsidR="006578ED" w14:paraId="5E7774A0"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9BD6ED0" w14:textId="77777777" w:rsidR="006578ED" w:rsidRDefault="00A1618E">
            <w:pPr>
              <w:pStyle w:val="P68B1DB1-Normal13"/>
              <w:spacing w:after="0"/>
              <w:jc w:val="center"/>
              <w:rPr>
                <w:rFonts w:cs="Times New Roman"/>
                <w:noProof/>
              </w:rPr>
            </w:pPr>
            <w:r>
              <w:rPr>
                <w:noProof/>
              </w:rPr>
              <w:t>236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350E4B3" w14:textId="77777777" w:rsidR="006578ED" w:rsidRDefault="00A1618E">
            <w:pPr>
              <w:pStyle w:val="P68B1DB1-Normal13"/>
              <w:spacing w:after="0"/>
              <w:jc w:val="center"/>
              <w:rPr>
                <w:rFonts w:cs="Times New Roman"/>
                <w:noProof/>
              </w:rPr>
            </w:pPr>
            <w:r>
              <w:rPr>
                <w:noProof/>
              </w:rPr>
              <w:t>C15.I1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1627747" w14:textId="1A2B5280" w:rsidR="006578ED" w:rsidRDefault="00AF6B91">
            <w:pPr>
              <w:pStyle w:val="P68B1DB1-Normal13"/>
              <w:spacing w:after="0"/>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986A6E1" w14:textId="77777777" w:rsidR="006578ED" w:rsidRDefault="00A1618E">
            <w:pPr>
              <w:pStyle w:val="P68B1DB1-Normal13"/>
              <w:spacing w:after="0"/>
              <w:rPr>
                <w:rFonts w:cs="Times New Roman"/>
                <w:noProof/>
              </w:rPr>
            </w:pPr>
            <w:r>
              <w:rPr>
                <w:noProof/>
              </w:rPr>
              <w:t>Rozwój ultraszybkich sieci szerokopasmowych: nagroda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DBCAF2D" w14:textId="77777777" w:rsidR="006578ED" w:rsidRDefault="00A1618E">
            <w:pPr>
              <w:pStyle w:val="P68B1DB1-Normal13"/>
              <w:spacing w:after="0"/>
              <w:jc w:val="center"/>
              <w:rPr>
                <w:rFonts w:cs="Times New Roman"/>
                <w:noProof/>
              </w:rPr>
            </w:pPr>
            <w:r>
              <w:rPr>
                <w:noProof/>
              </w:rPr>
              <w:t>Przyznawanie projektów</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A9915FC" w14:textId="77777777" w:rsidR="006578ED" w:rsidRDefault="00A1618E">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DED26B5" w14:textId="77777777" w:rsidR="006578ED" w:rsidRDefault="00A1618E">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0DF2D682" w14:textId="77777777" w:rsidR="006578ED" w:rsidRDefault="00A1618E">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81BEA4E" w14:textId="3BC54054" w:rsidR="006578ED" w:rsidRDefault="00EC188C">
            <w:pPr>
              <w:pStyle w:val="P68B1DB1-Normal13"/>
              <w:spacing w:after="0"/>
              <w:jc w:val="center"/>
              <w:rPr>
                <w:rFonts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1F88B34" w14:textId="77777777" w:rsidR="006578ED" w:rsidRDefault="00A1618E">
            <w:pPr>
              <w:pStyle w:val="P68B1DB1-Normal13"/>
              <w:spacing w:after="0"/>
              <w:jc w:val="center"/>
              <w:rPr>
                <w:rFonts w:cs="Times New Roman"/>
                <w:noProof/>
              </w:rPr>
            </w:pPr>
            <w:r>
              <w:rPr>
                <w:noProof/>
              </w:rPr>
              <w:t>2023</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7010DB3" w14:textId="39B88085" w:rsidR="006578ED" w:rsidRDefault="00A1618E">
            <w:pPr>
              <w:pStyle w:val="P68B1DB1-Normal13"/>
              <w:spacing w:after="0" w:line="256" w:lineRule="auto"/>
              <w:rPr>
                <w:rFonts w:cs="Times New Roman"/>
                <w:noProof/>
              </w:rPr>
            </w:pPr>
            <w:r>
              <w:rPr>
                <w:noProof/>
              </w:rPr>
              <w:t>Udzielenie wszystkich zamówień i dotacji (całkowity budżet w wysokości 752 000 000 EUR) oraz przesunięcie</w:t>
            </w:r>
            <w:r>
              <w:rPr>
                <w:noProof/>
                <w:shd w:val="clear" w:color="auto" w:fill="E6E6E6"/>
              </w:rPr>
              <w:t xml:space="preserve"> </w:t>
            </w:r>
            <w:r>
              <w:rPr>
                <w:noProof/>
              </w:rPr>
              <w:t>środków finansowych na realizację działań mających na celu zapewnienie ultraszybkich łączy szerokopasmowych na białych i szarych obszarach o symetrycznych prędkościach 300 Mb/s, z możliwością modernizacji do symetrycznej 1 Gb/s, z wyjątkiem oddalonych obszarów wiejskich, które wymagają szczególnych projektów, które mają zostać objęte gwarancją co najmniej 100 Mb/s.</w:t>
            </w:r>
          </w:p>
        </w:tc>
      </w:tr>
      <w:tr w:rsidR="006578ED" w14:paraId="4B8434B3"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7C20DD8" w14:textId="77777777" w:rsidR="006578ED" w:rsidRDefault="00A1618E">
            <w:pPr>
              <w:pStyle w:val="P68B1DB1-Normal13"/>
              <w:spacing w:after="0"/>
              <w:jc w:val="center"/>
              <w:rPr>
                <w:rFonts w:cs="Times New Roman"/>
                <w:noProof/>
              </w:rPr>
            </w:pPr>
            <w:r>
              <w:rPr>
                <w:noProof/>
              </w:rPr>
              <w:t>237</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A99EAA3" w14:textId="77777777" w:rsidR="006578ED" w:rsidRDefault="00A1618E">
            <w:pPr>
              <w:pStyle w:val="P68B1DB1-Normal13"/>
              <w:spacing w:after="0"/>
              <w:jc w:val="center"/>
              <w:rPr>
                <w:rFonts w:cs="Times New Roman"/>
                <w:noProof/>
              </w:rPr>
            </w:pPr>
            <w:r>
              <w:rPr>
                <w:noProof/>
              </w:rPr>
              <w:t>C15.I1</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DCB60E1" w14:textId="69BCC4D5" w:rsidR="006578ED" w:rsidRDefault="00AF6B91">
            <w:pPr>
              <w:pStyle w:val="P68B1DB1-Normal13"/>
              <w:spacing w:after="0"/>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5E5086A1" w14:textId="77777777" w:rsidR="006578ED" w:rsidRDefault="00A1618E">
            <w:pPr>
              <w:pStyle w:val="P68B1DB1-Normal13"/>
              <w:spacing w:after="0"/>
              <w:rPr>
                <w:rFonts w:cs="Times New Roman"/>
                <w:noProof/>
              </w:rPr>
            </w:pPr>
            <w:r>
              <w:rPr>
                <w:noProof/>
              </w:rPr>
              <w:t>Rozwój ultraszybkich sieci szerokopasmowych: Zakończenie projektu</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249C819" w14:textId="77777777" w:rsidR="006578ED" w:rsidRDefault="00A1618E">
            <w:pPr>
              <w:pStyle w:val="P68B1DB1-Normal13"/>
              <w:spacing w:after="0"/>
              <w:jc w:val="center"/>
              <w:rPr>
                <w:rFonts w:cs="Times New Roman"/>
                <w:noProof/>
              </w:rPr>
            </w:pPr>
            <w:r>
              <w:rPr>
                <w:noProof/>
              </w:rPr>
              <w:t>Zakończenie projektów, na które przyznano dofinansowanie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38E395A" w14:textId="77777777" w:rsidR="006578ED" w:rsidRDefault="00A1618E">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23B1C78" w14:textId="77777777" w:rsidR="006578ED" w:rsidRDefault="00A1618E">
            <w:pPr>
              <w:pStyle w:val="P68B1DB1-Normal13"/>
              <w:spacing w:after="0"/>
              <w:jc w:val="right"/>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20BFFB4A" w14:textId="77777777" w:rsidR="006578ED" w:rsidRDefault="00A1618E">
            <w:pPr>
              <w:pStyle w:val="P68B1DB1-Normal13"/>
              <w:spacing w:after="0"/>
              <w:jc w:val="right"/>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00181B9B" w14:textId="08CC7C96" w:rsidR="006578ED" w:rsidRDefault="00EC188C">
            <w:pPr>
              <w:pStyle w:val="P68B1DB1-Normal13"/>
              <w:spacing w:after="0"/>
              <w:jc w:val="center"/>
              <w:rPr>
                <w:rFonts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7E7B4FE" w14:textId="77777777" w:rsidR="006578ED" w:rsidRDefault="00A1618E">
            <w:pPr>
              <w:pStyle w:val="P68B1DB1-Normal13"/>
              <w:spacing w:after="0"/>
              <w:jc w:val="center"/>
              <w:rPr>
                <w:rFonts w:cs="Times New Roman"/>
                <w:noProof/>
              </w:rPr>
            </w:pPr>
            <w:r>
              <w:rPr>
                <w:noProof/>
              </w:rPr>
              <w:t>2025</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F174A24" w14:textId="4367398D" w:rsidR="006578ED" w:rsidRDefault="00A1618E">
            <w:pPr>
              <w:pStyle w:val="P68B1DB1-Normal13"/>
              <w:spacing w:after="0" w:line="256" w:lineRule="auto"/>
              <w:rPr>
                <w:rFonts w:cs="Times New Roman"/>
                <w:noProof/>
              </w:rPr>
            </w:pPr>
            <w:r>
              <w:rPr>
                <w:noProof/>
              </w:rPr>
              <w:t>Zakończenie projektów budowy ultraszybkich łączy szerokopasmowych zgodnie z kryteriami określonymi w przyznawaniu programu (kamień milowy #236).</w:t>
            </w:r>
          </w:p>
        </w:tc>
      </w:tr>
      <w:tr w:rsidR="006578ED" w14:paraId="11EB6E5C"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9E686E7" w14:textId="77777777" w:rsidR="006578ED" w:rsidRDefault="00A1618E">
            <w:pPr>
              <w:pStyle w:val="P68B1DB1-Normal13"/>
              <w:spacing w:after="0" w:line="256" w:lineRule="auto"/>
              <w:jc w:val="center"/>
              <w:rPr>
                <w:rFonts w:cs="Times New Roman"/>
                <w:noProof/>
              </w:rPr>
            </w:pPr>
            <w:r>
              <w:rPr>
                <w:noProof/>
              </w:rPr>
              <w:t>238</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0BD21786" w14:textId="77777777" w:rsidR="006578ED" w:rsidRDefault="00A1618E">
            <w:pPr>
              <w:pStyle w:val="P68B1DB1-Normal13"/>
              <w:spacing w:after="0" w:line="256" w:lineRule="auto"/>
              <w:jc w:val="center"/>
              <w:rPr>
                <w:rFonts w:cs="Times New Roman"/>
                <w:noProof/>
              </w:rPr>
            </w:pPr>
            <w:r>
              <w:rPr>
                <w:noProof/>
              </w:rPr>
              <w:t>C15.I2</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5DD2DB9" w14:textId="3A37FE73" w:rsidR="006578ED" w:rsidRDefault="00AF6B91">
            <w:pPr>
              <w:pStyle w:val="P68B1DB1-Normal13"/>
              <w:spacing w:after="0" w:line="256" w:lineRule="auto"/>
              <w:jc w:val="center"/>
              <w:rPr>
                <w:rFonts w:cs="Times New Roman"/>
                <w:noProof/>
              </w:rPr>
            </w:pPr>
            <w:r>
              <w:rPr>
                <w:noProof/>
              </w:rPr>
              <w:t>Cel</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12FD4F7" w14:textId="4A7833CB" w:rsidR="006578ED" w:rsidRDefault="00A1618E">
            <w:pPr>
              <w:pStyle w:val="P68B1DB1-Normal13"/>
              <w:spacing w:after="0" w:line="256" w:lineRule="auto"/>
              <w:rPr>
                <w:rFonts w:cs="Times New Roman"/>
                <w:noProof/>
              </w:rPr>
            </w:pPr>
            <w:r>
              <w:rPr>
                <w:noProof/>
              </w:rPr>
              <w:t xml:space="preserve">Poprawa łączności w kluczowych ośrodkach i sektorach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30A01DE" w14:textId="77777777" w:rsidR="006578ED" w:rsidRDefault="00A1618E">
            <w:pPr>
              <w:pStyle w:val="P68B1DB1-Normal13"/>
              <w:spacing w:after="0" w:line="256" w:lineRule="auto"/>
              <w:jc w:val="center"/>
              <w:rPr>
                <w:rFonts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1F657F9" w14:textId="77777777" w:rsidR="006578ED" w:rsidRDefault="00A1618E">
            <w:pPr>
              <w:pStyle w:val="P68B1DB1-Normal13"/>
              <w:spacing w:after="0" w:line="256" w:lineRule="auto"/>
              <w:jc w:val="center"/>
              <w:rPr>
                <w:rFonts w:cs="Times New Roman"/>
                <w:noProof/>
              </w:rPr>
            </w:pPr>
            <w:r>
              <w:rPr>
                <w:noProof/>
              </w:rPr>
              <w:t>Liczba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299B962" w14:textId="77777777" w:rsidR="006578ED" w:rsidRDefault="00A1618E">
            <w:pPr>
              <w:pStyle w:val="P68B1DB1-Normal13"/>
              <w:spacing w:after="0" w:line="256" w:lineRule="auto"/>
              <w:jc w:val="center"/>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E69D1D8" w14:textId="77777777" w:rsidR="006578ED" w:rsidRDefault="00A1618E">
            <w:pPr>
              <w:pStyle w:val="P68B1DB1-Normal13"/>
              <w:spacing w:after="0" w:line="256" w:lineRule="auto"/>
              <w:jc w:val="center"/>
              <w:rPr>
                <w:rFonts w:cs="Times New Roman"/>
                <w:noProof/>
              </w:rPr>
            </w:pPr>
            <w:r>
              <w:rPr>
                <w:noProof/>
              </w:rPr>
              <w:t>16 100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CA4453A" w14:textId="15058228" w:rsidR="006578ED" w:rsidRDefault="00EC188C">
            <w:pPr>
              <w:pStyle w:val="P68B1DB1-Normal13"/>
              <w:spacing w:after="0" w:line="256" w:lineRule="auto"/>
              <w:jc w:val="center"/>
              <w:rPr>
                <w:rFonts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500A25A" w14:textId="77777777" w:rsidR="006578ED" w:rsidRDefault="00A1618E">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34614045" w14:textId="1EA6A4C9" w:rsidR="006578ED" w:rsidRDefault="00A1618E">
            <w:pPr>
              <w:pStyle w:val="P68B1DB1-Normal13"/>
              <w:spacing w:after="0" w:line="256" w:lineRule="auto"/>
              <w:rPr>
                <w:rFonts w:cs="Times New Roman"/>
                <w:noProof/>
              </w:rPr>
            </w:pPr>
            <w:r>
              <w:rPr>
                <w:noProof/>
              </w:rPr>
              <w:t>Liczba podmiotów, które zmodernizowano do prędkości połączeń 1-Gigabitowych:</w:t>
            </w:r>
            <w:r>
              <w:rPr>
                <w:noProof/>
              </w:rPr>
              <w:br/>
              <w:t>co najmniej 9000 publicznych ośrodków i usług, takich jak publiczne ośrodki zdrowia, ośrodki kształcenia i szkolenia oraz ośrodki badawczo-rozwojowe;</w:t>
            </w:r>
            <w:r>
              <w:rPr>
                <w:noProof/>
              </w:rPr>
              <w:br/>
              <w:t>co najmniej 1600 małych obiektów przemysłowych i biznesowych;</w:t>
            </w:r>
            <w:r>
              <w:rPr>
                <w:noProof/>
              </w:rPr>
              <w:br/>
              <w:t>— co najmniej 5500 połączeń dla projektów cyfryzacji (zdrowie, sektor rolno-spożywczy, mobilność, turystyka, przemysł, handel itp.).</w:t>
            </w:r>
          </w:p>
        </w:tc>
      </w:tr>
      <w:tr w:rsidR="006578ED" w14:paraId="411FCCE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FF58A5A" w14:textId="77777777" w:rsidR="006578ED" w:rsidRDefault="00A1618E">
            <w:pPr>
              <w:pStyle w:val="P68B1DB1-Normal13"/>
              <w:spacing w:after="0" w:line="256" w:lineRule="auto"/>
              <w:jc w:val="center"/>
              <w:rPr>
                <w:rFonts w:cs="Times New Roman"/>
                <w:noProof/>
              </w:rPr>
            </w:pPr>
            <w:r>
              <w:rPr>
                <w:noProof/>
              </w:rPr>
              <w:t>239</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9C96ABF" w14:textId="77777777" w:rsidR="006578ED" w:rsidRDefault="00A1618E">
            <w:pPr>
              <w:pStyle w:val="P68B1DB1-Normal13"/>
              <w:spacing w:after="0" w:line="256" w:lineRule="auto"/>
              <w:jc w:val="center"/>
              <w:rPr>
                <w:rFonts w:cs="Times New Roman"/>
                <w:noProof/>
              </w:rPr>
            </w:pPr>
            <w:r>
              <w:rPr>
                <w:noProof/>
              </w:rPr>
              <w:t>C15.I3</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F11093D" w14:textId="62AFF3FD" w:rsidR="006578ED" w:rsidRDefault="00AF6B91">
            <w:pPr>
              <w:pStyle w:val="P68B1DB1-Normal13"/>
              <w:spacing w:after="0" w:line="256" w:lineRule="auto"/>
              <w:jc w:val="center"/>
              <w:rPr>
                <w:rFonts w:cs="Times New Roman"/>
                <w:noProof/>
              </w:rPr>
            </w:pPr>
            <w:r>
              <w:rPr>
                <w:noProof/>
              </w:rPr>
              <w:t>Cel</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B9C398E" w14:textId="3430B045" w:rsidR="006578ED" w:rsidRDefault="00A1618E">
            <w:pPr>
              <w:pStyle w:val="P68B1DB1-Normal13"/>
              <w:spacing w:after="0" w:line="256" w:lineRule="auto"/>
              <w:rPr>
                <w:rFonts w:cs="Times New Roman"/>
                <w:noProof/>
              </w:rPr>
            </w:pPr>
            <w:r>
              <w:rPr>
                <w:noProof/>
              </w:rPr>
              <w:t xml:space="preserve">Bony na łączność dla MŚP i słabszych grup społecznych </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358F8F7" w14:textId="77777777" w:rsidR="006578ED" w:rsidRDefault="00A1618E">
            <w:pPr>
              <w:pStyle w:val="P68B1DB1-Normal13"/>
              <w:spacing w:after="0" w:line="256" w:lineRule="auto"/>
              <w:jc w:val="center"/>
              <w:rPr>
                <w:rFonts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75409A6" w14:textId="77777777" w:rsidR="006578ED" w:rsidRDefault="00A1618E">
            <w:pPr>
              <w:pStyle w:val="P68B1DB1-Normal13"/>
              <w:spacing w:after="0" w:line="256" w:lineRule="auto"/>
              <w:rPr>
                <w:rFonts w:cs="Times New Roman"/>
                <w:noProof/>
              </w:rPr>
            </w:pPr>
            <w:r>
              <w:rPr>
                <w:noProof/>
              </w:rPr>
              <w:t>Liczba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03110E" w14:textId="77777777" w:rsidR="006578ED" w:rsidRDefault="00A1618E">
            <w:pPr>
              <w:pStyle w:val="P68B1DB1-Normal13"/>
              <w:spacing w:after="0" w:line="256" w:lineRule="auto"/>
              <w:jc w:val="center"/>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6B20134" w14:textId="77777777" w:rsidR="006578ED" w:rsidRDefault="00A1618E">
            <w:pPr>
              <w:pStyle w:val="P68B1DB1-Normal13"/>
              <w:spacing w:after="0" w:line="256" w:lineRule="auto"/>
              <w:jc w:val="center"/>
              <w:rPr>
                <w:rFonts w:cs="Times New Roman"/>
                <w:noProof/>
              </w:rPr>
            </w:pPr>
            <w:r>
              <w:rPr>
                <w:noProof/>
              </w:rPr>
              <w:t>136 000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25E50DCC" w14:textId="46B3845B" w:rsidR="006578ED" w:rsidRDefault="00EC188C">
            <w:pPr>
              <w:pStyle w:val="P68B1DB1-Normal13"/>
              <w:spacing w:after="0" w:line="256" w:lineRule="auto"/>
              <w:jc w:val="center"/>
              <w:rPr>
                <w:rFonts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F4EFFC8" w14:textId="583E4ACB" w:rsidR="006578ED" w:rsidRDefault="00A1618E">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4B79018" w14:textId="5A40FAAB" w:rsidR="006578ED" w:rsidRDefault="00A1618E">
            <w:pPr>
              <w:pStyle w:val="P68B1DB1-Normal13"/>
              <w:spacing w:after="0" w:line="256" w:lineRule="auto"/>
              <w:rPr>
                <w:rFonts w:cs="Times New Roman"/>
                <w:noProof/>
              </w:rPr>
            </w:pPr>
            <w:r>
              <w:rPr>
                <w:noProof/>
              </w:rPr>
              <w:t>Co najmniej 125000 bonów na łączność dla osób fizycznych lub rodzin określonych jako „wrażliwe” (aby nabyć pakiet połączeń szerokopasmowych z najodpowiedniejszą technologią) oraz co najmniej 11000 bonów na łączność dla MŚP (bony składają się z dwóch odrębnych elementów: łączności o przepustowości 100 Mb/s i zestawu usług o wartości dodanej, VPN, cyberbezpieczeństwo).</w:t>
            </w:r>
          </w:p>
        </w:tc>
      </w:tr>
      <w:tr w:rsidR="006578ED" w14:paraId="7635A7D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7C0467D8" w14:textId="77777777" w:rsidR="006578ED" w:rsidRDefault="00A1618E">
            <w:pPr>
              <w:pStyle w:val="P68B1DB1-Normal13"/>
              <w:jc w:val="center"/>
              <w:rPr>
                <w:rFonts w:cs="Times New Roman"/>
                <w:noProof/>
              </w:rPr>
            </w:pPr>
            <w:r>
              <w:rPr>
                <w:noProof/>
              </w:rPr>
              <w:t>240</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010D6EF" w14:textId="77777777" w:rsidR="006578ED" w:rsidRDefault="00A1618E">
            <w:pPr>
              <w:pStyle w:val="P68B1DB1-Normal13"/>
              <w:jc w:val="center"/>
              <w:rPr>
                <w:rFonts w:cs="Times New Roman"/>
                <w:noProof/>
              </w:rPr>
            </w:pPr>
            <w:r>
              <w:rPr>
                <w:noProof/>
              </w:rPr>
              <w:t>C15.I4</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31126644" w14:textId="104F19E8" w:rsidR="006578ED" w:rsidRDefault="00AF6B91">
            <w:pPr>
              <w:pStyle w:val="P68B1DB1-Normal13"/>
              <w:jc w:val="center"/>
              <w:rPr>
                <w:rFonts w:cs="Times New Roman"/>
                <w:noProof/>
              </w:rPr>
            </w:pPr>
            <w:r>
              <w:rPr>
                <w:noProof/>
              </w:rPr>
              <w:t>Cel</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29EA1792" w14:textId="5D3DA90F" w:rsidR="006578ED" w:rsidRDefault="00A1618E">
            <w:pPr>
              <w:pStyle w:val="P68B1DB1-Normal13"/>
              <w:rPr>
                <w:rFonts w:cs="Times New Roman"/>
                <w:noProof/>
              </w:rPr>
            </w:pPr>
            <w:r>
              <w:rPr>
                <w:noProof/>
              </w:rPr>
              <w:t>Dostosowanie infrastruktury telekomunikacyjnej w budynkach</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496FFDA" w14:textId="77777777" w:rsidR="006578ED" w:rsidRDefault="00A1618E">
            <w:pPr>
              <w:pStyle w:val="P68B1DB1-Normal13"/>
              <w:jc w:val="center"/>
              <w:rPr>
                <w:rFonts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FE2106E" w14:textId="77777777" w:rsidR="006578ED" w:rsidRDefault="00A1618E">
            <w:pPr>
              <w:pStyle w:val="P68B1DB1-Normal13"/>
              <w:rPr>
                <w:rFonts w:cs="Times New Roman"/>
                <w:noProof/>
              </w:rPr>
            </w:pPr>
            <w:r>
              <w:rPr>
                <w:noProof/>
              </w:rPr>
              <w:t>Liczba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E9D3BAE" w14:textId="77777777" w:rsidR="006578ED" w:rsidRDefault="00A1618E">
            <w:pPr>
              <w:pStyle w:val="P68B1DB1-Normal13"/>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1075576" w14:textId="442281D4" w:rsidR="006578ED" w:rsidRDefault="00A1618E">
            <w:pPr>
              <w:pStyle w:val="P68B1DB1-Normal13"/>
              <w:rPr>
                <w:rFonts w:cs="Times New Roman"/>
                <w:noProof/>
              </w:rPr>
            </w:pPr>
            <w:r>
              <w:rPr>
                <w:noProof/>
              </w:rPr>
              <w:t>7 700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61663BC6" w14:textId="6B1B4806" w:rsidR="006578ED" w:rsidRDefault="00EC188C">
            <w:pPr>
              <w:pStyle w:val="P68B1DB1-Normal13"/>
              <w:jc w:val="center"/>
              <w:rPr>
                <w:rFonts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A1005B4" w14:textId="7ADB7974" w:rsidR="006578ED" w:rsidRDefault="00A1618E">
            <w:pPr>
              <w:pStyle w:val="P68B1DB1-Normal13"/>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43B79E03" w14:textId="233931A5" w:rsidR="006578ED" w:rsidRDefault="00A1618E">
            <w:pPr>
              <w:pStyle w:val="P68B1DB1-Normal13"/>
              <w:rPr>
                <w:rFonts w:cs="Times New Roman"/>
                <w:noProof/>
              </w:rPr>
            </w:pPr>
            <w:r>
              <w:rPr>
                <w:noProof/>
              </w:rPr>
              <w:t>Roboty wykonane w co najmniej 7700 budynkach w celu poprawy ich wspólnej infrastruktury sieciowej na poziomie sieci o bardzo dużej przepustowości.</w:t>
            </w:r>
          </w:p>
        </w:tc>
      </w:tr>
      <w:tr w:rsidR="006578ED" w14:paraId="68826676"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0374B947" w14:textId="77777777" w:rsidR="006578ED" w:rsidRDefault="00A1618E">
            <w:pPr>
              <w:pStyle w:val="P68B1DB1-Normal13"/>
              <w:spacing w:after="0" w:line="256" w:lineRule="auto"/>
              <w:jc w:val="center"/>
              <w:rPr>
                <w:rFonts w:cs="Times New Roman"/>
                <w:noProof/>
              </w:rPr>
            </w:pPr>
            <w:r>
              <w:rPr>
                <w:noProof/>
              </w:rPr>
              <w:t>241</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FF48813" w14:textId="77777777" w:rsidR="006578ED" w:rsidRDefault="00A1618E">
            <w:pPr>
              <w:pStyle w:val="P68B1DB1-Normal13"/>
              <w:spacing w:after="0" w:line="256" w:lineRule="auto"/>
              <w:jc w:val="center"/>
              <w:rPr>
                <w:rFonts w:cs="Times New Roman"/>
                <w:noProof/>
              </w:rPr>
            </w:pPr>
            <w:r>
              <w:rPr>
                <w:noProof/>
              </w:rPr>
              <w:t>C15.I5</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3150BFB" w14:textId="3EA5DDD3" w:rsidR="006578ED" w:rsidRDefault="00AF6B91">
            <w:pPr>
              <w:pStyle w:val="P68B1DB1-Normal13"/>
              <w:spacing w:after="0" w:line="256" w:lineRule="auto"/>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979762C" w14:textId="77777777" w:rsidR="006578ED" w:rsidRDefault="00A1618E">
            <w:pPr>
              <w:pStyle w:val="P68B1DB1-Normal13"/>
              <w:spacing w:after="0" w:line="256" w:lineRule="auto"/>
              <w:rPr>
                <w:rFonts w:cs="Times New Roman"/>
                <w:noProof/>
              </w:rPr>
            </w:pPr>
            <w:r>
              <w:rPr>
                <w:noProof/>
              </w:rPr>
              <w:t>Poprawa transgranicznej infrastruktury cyfrowej: nagroda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3B75597" w14:textId="6A88D166" w:rsidR="006578ED" w:rsidRDefault="00A1618E">
            <w:pPr>
              <w:pStyle w:val="P68B1DB1-Normal13"/>
              <w:spacing w:after="0" w:line="256" w:lineRule="auto"/>
              <w:rPr>
                <w:rFonts w:cs="Times New Roman"/>
                <w:noProof/>
              </w:rPr>
            </w:pPr>
            <w:r>
              <w:rPr>
                <w:noProof/>
              </w:rPr>
              <w:t xml:space="preserve">Oficjalna publikacja decyzji o przyznaniu dotacji na projekty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B5B795D" w14:textId="77777777" w:rsidR="006578ED" w:rsidRDefault="00A1618E">
            <w:pPr>
              <w:pStyle w:val="P68B1DB1-Normal13"/>
              <w:spacing w:after="0" w:line="256" w:lineRule="auto"/>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F4BDA32" w14:textId="77777777" w:rsidR="006578ED" w:rsidRDefault="00A1618E">
            <w:pPr>
              <w:pStyle w:val="P68B1DB1-Normal13"/>
              <w:spacing w:after="0" w:line="256" w:lineRule="auto"/>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BFEA234" w14:textId="77777777" w:rsidR="006578ED" w:rsidRDefault="00A1618E">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2A19043" w14:textId="722AAB01" w:rsidR="006578ED" w:rsidRDefault="00EC188C">
            <w:pPr>
              <w:pStyle w:val="P68B1DB1-Normal13"/>
              <w:spacing w:after="0" w:line="256" w:lineRule="auto"/>
              <w:jc w:val="center"/>
              <w:rPr>
                <w:rFonts w:cs="Times New Roman"/>
                <w:noProof/>
              </w:rPr>
            </w:pPr>
            <w:r>
              <w:rPr>
                <w:noProof/>
              </w:rPr>
              <w:t>KW.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B283F6B" w14:textId="3D313E79" w:rsidR="006578ED" w:rsidRDefault="00A1618E">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1215C710" w14:textId="21BAA66D" w:rsidR="006578ED" w:rsidRDefault="00A1618E">
            <w:pPr>
              <w:pStyle w:val="P68B1DB1-Normal13"/>
              <w:spacing w:after="0" w:line="256" w:lineRule="auto"/>
              <w:rPr>
                <w:rFonts w:cs="Times New Roman"/>
                <w:noProof/>
              </w:rPr>
            </w:pPr>
            <w:r>
              <w:rPr>
                <w:noProof/>
              </w:rPr>
              <w:t xml:space="preserve">Udzielenie wszystkich zamówień i dotacji na projekty (całkowity budżet zaproszenia do składania wniosków wynosi 500 000 000 EUR) oraz transfer środków finansowych w celu realizacji działań na rzecz: w przypadku kabli podmorskich i wzajemnych połączeń infrastruktury chmury/danych; w sprawie projektów dotyczących infrastruktury i usług nowej generacji chmury obliczeniowej i przetwarzania danych; w sprawie projektów dotyczących zaawansowanego procesora i półprzewodników; oraz d) w sprawie projektów w zakresie badań, rozwoju i innowacji na rzecz wzmocnienia zdolności w zakresie komunikacji kwantowej i bezpiecznej łączności satelitarnej </w:t>
            </w:r>
          </w:p>
        </w:tc>
      </w:tr>
      <w:tr w:rsidR="006578ED" w14:paraId="2CC6FE17"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DA198CD" w14:textId="77777777" w:rsidR="006578ED" w:rsidRDefault="00A1618E">
            <w:pPr>
              <w:pStyle w:val="P68B1DB1-Normal13"/>
              <w:spacing w:after="0" w:line="256" w:lineRule="auto"/>
              <w:jc w:val="center"/>
              <w:rPr>
                <w:rFonts w:cs="Times New Roman"/>
                <w:noProof/>
              </w:rPr>
            </w:pPr>
            <w:r>
              <w:rPr>
                <w:noProof/>
              </w:rPr>
              <w:t>242</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B6FEBCD" w14:textId="77777777" w:rsidR="006578ED" w:rsidRDefault="00A1618E">
            <w:pPr>
              <w:pStyle w:val="P68B1DB1-Normal13"/>
              <w:spacing w:after="0" w:line="256" w:lineRule="auto"/>
              <w:jc w:val="center"/>
              <w:rPr>
                <w:rFonts w:cs="Times New Roman"/>
                <w:noProof/>
              </w:rPr>
            </w:pPr>
            <w:r>
              <w:rPr>
                <w:noProof/>
              </w:rPr>
              <w:t>C15.I5</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3FB61713" w14:textId="1BA8CE61" w:rsidR="006578ED" w:rsidRDefault="00AF6B91">
            <w:pPr>
              <w:pStyle w:val="P68B1DB1-Normal13"/>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7A01AA1" w14:textId="77777777" w:rsidR="006578ED" w:rsidRDefault="00A1618E">
            <w:pPr>
              <w:pStyle w:val="P68B1DB1-Normal13"/>
              <w:rPr>
                <w:rFonts w:cs="Times New Roman"/>
                <w:noProof/>
              </w:rPr>
            </w:pPr>
            <w:r>
              <w:rPr>
                <w:noProof/>
              </w:rPr>
              <w:t>Poprawa transgranicznej infrastruktury cyfrowej: zakończenie projektu</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42A6D73" w14:textId="77777777" w:rsidR="006578ED" w:rsidRDefault="00A1618E">
            <w:pPr>
              <w:pStyle w:val="P68B1DB1-Normal13"/>
              <w:rPr>
                <w:rFonts w:cs="Times New Roman"/>
                <w:noProof/>
              </w:rPr>
            </w:pPr>
            <w:r>
              <w:rPr>
                <w:noProof/>
              </w:rPr>
              <w:t>Zakończenie projektów, na które przyznano dofinansowanie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AB5C23F" w14:textId="77777777" w:rsidR="006578ED" w:rsidRDefault="00A1618E">
            <w:pPr>
              <w:pStyle w:val="P68B1DB1-Normal13"/>
              <w:spacing w:after="0" w:line="256" w:lineRule="auto"/>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9E9D330" w14:textId="77777777" w:rsidR="006578ED" w:rsidRDefault="00A1618E">
            <w:pPr>
              <w:pStyle w:val="P68B1DB1-Normal13"/>
              <w:spacing w:after="0" w:line="256" w:lineRule="auto"/>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A57AC48" w14:textId="77777777" w:rsidR="006578ED" w:rsidRDefault="00A1618E">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07929CF" w14:textId="1869DEBD" w:rsidR="006578ED" w:rsidRDefault="00EC188C">
            <w:pPr>
              <w:pStyle w:val="P68B1DB1-Normal13"/>
              <w:spacing w:after="0" w:line="256" w:lineRule="auto"/>
              <w:jc w:val="center"/>
              <w:rPr>
                <w:rFonts w:cs="Times New Roman"/>
                <w:noProof/>
              </w:rPr>
            </w:pPr>
            <w:r>
              <w:rPr>
                <w:noProof/>
              </w:rPr>
              <w:t>KW.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345DA5D" w14:textId="35AB7177" w:rsidR="006578ED" w:rsidRDefault="00A1618E">
            <w:pPr>
              <w:pStyle w:val="P68B1DB1-Normal13"/>
              <w:spacing w:after="0" w:line="256" w:lineRule="auto"/>
              <w:jc w:val="center"/>
              <w:rPr>
                <w:rFonts w:cs="Times New Roman"/>
                <w:noProof/>
              </w:rPr>
            </w:pPr>
            <w:r>
              <w:rPr>
                <w:noProof/>
              </w:rPr>
              <w:t xml:space="preserve">2026 </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D71ED7" w14:textId="58269308" w:rsidR="006578ED" w:rsidRDefault="00A1618E">
            <w:pPr>
              <w:pStyle w:val="P68B1DB1-Normal13"/>
              <w:spacing w:after="0" w:line="256" w:lineRule="auto"/>
              <w:rPr>
                <w:rFonts w:cs="Times New Roman"/>
                <w:noProof/>
              </w:rPr>
            </w:pPr>
            <w:r>
              <w:rPr>
                <w:noProof/>
              </w:rPr>
              <w:t xml:space="preserve">Zakończenie projektów (przyznanych w fazie kluczowej nr#241) w odniesieniu do a) kabli podmorskich i wzajemnych połączeń infrastruktury chmury/danych; w sprawie projektów dotyczących infrastruktury i usług nowej generacji chmury obliczeniowej i przetwarzania danych; w sprawie projektów dotyczących zaawansowanego procesora i półprzewodników; oraz d) w sprawie projektów w zakresie badań, rozwoju i innowacji na rzecz wzmocnienia zdolności w zakresie komunikacji kwantowej i bezpiecznej łączności satelitarnej </w:t>
            </w:r>
          </w:p>
        </w:tc>
      </w:tr>
      <w:tr w:rsidR="006578ED" w14:paraId="4F590BBC"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90E85FB" w14:textId="77777777" w:rsidR="006578ED" w:rsidRDefault="00A1618E">
            <w:pPr>
              <w:pStyle w:val="P68B1DB1-Normal13"/>
              <w:jc w:val="center"/>
              <w:rPr>
                <w:rFonts w:cs="Times New Roman"/>
                <w:noProof/>
              </w:rPr>
            </w:pPr>
            <w:r>
              <w:rPr>
                <w:noProof/>
              </w:rPr>
              <w:t>243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D36CEEA" w14:textId="77777777" w:rsidR="006578ED" w:rsidRDefault="00A1618E">
            <w:pPr>
              <w:pStyle w:val="P68B1DB1-Normal13"/>
              <w:jc w:val="center"/>
              <w:rPr>
                <w:rFonts w:cs="Times New Roman"/>
                <w:noProof/>
              </w:rPr>
            </w:pPr>
            <w:r>
              <w:rPr>
                <w:noProof/>
              </w:rPr>
              <w:t>C15.I6</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6AACD3F4" w14:textId="0A27360D" w:rsidR="006578ED" w:rsidRDefault="00AF6B91">
            <w:pPr>
              <w:pStyle w:val="P68B1DB1-Normal13"/>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034C15AE" w14:textId="77777777" w:rsidR="006578ED" w:rsidRDefault="00A1618E">
            <w:pPr>
              <w:pStyle w:val="P68B1DB1-Normal13"/>
              <w:rPr>
                <w:rFonts w:cs="Times New Roman"/>
                <w:noProof/>
              </w:rPr>
            </w:pPr>
            <w:r>
              <w:rPr>
                <w:noProof/>
              </w:rPr>
              <w:t>Wdrażanie technologii 5G: nagroda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18E8661E" w14:textId="2BA2ABB7" w:rsidR="006578ED" w:rsidRDefault="00A1618E">
            <w:pPr>
              <w:pStyle w:val="P68B1DB1-Normal13"/>
              <w:rPr>
                <w:rFonts w:cs="Times New Roman"/>
                <w:noProof/>
              </w:rPr>
            </w:pPr>
            <w:r>
              <w:rPr>
                <w:noProof/>
              </w:rPr>
              <w:t>Oficjalna publikacja decyzji o przyznaniu dotacji na projekty</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6A23F54" w14:textId="77777777" w:rsidR="006578ED" w:rsidRDefault="00A1618E">
            <w:pPr>
              <w:pStyle w:val="P68B1DB1-Normal13"/>
              <w:spacing w:after="0" w:line="256" w:lineRule="auto"/>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9644D5C" w14:textId="77777777" w:rsidR="006578ED" w:rsidRDefault="00A1618E">
            <w:pPr>
              <w:pStyle w:val="P68B1DB1-Normal13"/>
              <w:spacing w:after="0" w:line="256" w:lineRule="auto"/>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7F8A613" w14:textId="77777777" w:rsidR="006578ED" w:rsidRDefault="00A1618E">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9081711" w14:textId="05A62F1B" w:rsidR="006578ED" w:rsidRDefault="00EC188C">
            <w:pPr>
              <w:pStyle w:val="P68B1DB1-Normal13"/>
              <w:spacing w:after="0" w:line="256" w:lineRule="auto"/>
              <w:jc w:val="center"/>
              <w:rPr>
                <w:rFonts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669E428" w14:textId="50B7EAD7" w:rsidR="006578ED" w:rsidRDefault="00A1618E">
            <w:pPr>
              <w:pStyle w:val="P68B1DB1-Normal13"/>
              <w:spacing w:after="0" w:line="256" w:lineRule="auto"/>
              <w:jc w:val="center"/>
              <w:rPr>
                <w:rFonts w:cs="Times New Roman"/>
                <w:noProof/>
              </w:rPr>
            </w:pPr>
            <w:r>
              <w:rPr>
                <w:noProof/>
              </w:rPr>
              <w:t>2024</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762AB78" w14:textId="45009B8A" w:rsidR="006578ED" w:rsidRDefault="00A1618E">
            <w:pPr>
              <w:pStyle w:val="P68B1DB1-Normal13"/>
              <w:spacing w:after="0" w:line="256" w:lineRule="auto"/>
              <w:rPr>
                <w:rFonts w:cs="Times New Roman"/>
                <w:noProof/>
              </w:rPr>
            </w:pPr>
            <w:r>
              <w:rPr>
                <w:noProof/>
              </w:rPr>
              <w:t xml:space="preserve">Udzielenie wszystkich zamówień i dotacji na projekty (całkowity budżet projektów w wysokości 1 465 000 000 EUR) oraz transfer środków finansowych w celu realizacji działań na rzecz: wdrożenie sieci 5G w głównych krajowych (na niektórych obszarach) i transgranicznych korytarzach transportowych (4000 miejsc); wdrożenie sieci 5G na niektórych obszarach w celu osiągnięcia 75 % populacji </w:t>
            </w:r>
            <w:r w:rsidRPr="00A1618E">
              <w:rPr>
                <w:noProof/>
                <w:lang w:val="pl-PL"/>
              </w:rPr>
              <w:t>do 2</w:t>
            </w:r>
            <w:r>
              <w:rPr>
                <w:noProof/>
              </w:rPr>
              <w:t>0</w:t>
            </w:r>
            <w:r w:rsidRPr="00A1618E">
              <w:rPr>
                <w:noProof/>
                <w:lang w:val="pl-PL"/>
              </w:rPr>
              <w:t>25 r.</w:t>
            </w:r>
            <w:r>
              <w:rPr>
                <w:noProof/>
              </w:rPr>
              <w:t xml:space="preserve"> w pasmach preferencji 5G (co najmniej 7000 nowych lub istniejących obiektów wyposażonych w nowe urządzenia 5G; oraz co najmniej 4000 istniejących obiektów prowadzących działania mające na celu zwiększenie przepustowości ich sieci dosyłowej); wdrożenie sieci 5G w kluczowych rodzajach działalności gospodarczej usług podstawowych (43 projekty w zakresie łączności); oraz d) wsparcie badań i rozwoju związanych z 5G i 6G na rzecz ekosystemów innowacji (200 projektów) oraz ekosystemów cyberbezpieczeństwa 5G. </w:t>
            </w:r>
          </w:p>
        </w:tc>
      </w:tr>
      <w:tr w:rsidR="006578ED" w14:paraId="39769899"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26240FC7" w14:textId="77777777" w:rsidR="006578ED" w:rsidRDefault="00A1618E">
            <w:pPr>
              <w:pStyle w:val="P68B1DB1-Normal13"/>
              <w:spacing w:after="0" w:line="256" w:lineRule="auto"/>
              <w:jc w:val="center"/>
              <w:rPr>
                <w:rFonts w:cs="Times New Roman"/>
                <w:noProof/>
              </w:rPr>
            </w:pPr>
            <w:r>
              <w:rPr>
                <w:noProof/>
              </w:rPr>
              <w:t>244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07E0F06" w14:textId="77777777" w:rsidR="006578ED" w:rsidRDefault="00A1618E">
            <w:pPr>
              <w:pStyle w:val="P68B1DB1-Normal13"/>
              <w:spacing w:after="0" w:line="256" w:lineRule="auto"/>
              <w:jc w:val="center"/>
              <w:rPr>
                <w:rFonts w:cs="Times New Roman"/>
                <w:noProof/>
              </w:rPr>
            </w:pPr>
            <w:r>
              <w:rPr>
                <w:noProof/>
              </w:rPr>
              <w:t>C15.I6</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F1328D5" w14:textId="51676D90" w:rsidR="006578ED" w:rsidRDefault="00AF6B91">
            <w:pPr>
              <w:pStyle w:val="P68B1DB1-Normal13"/>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D122A13" w14:textId="77777777" w:rsidR="006578ED" w:rsidRDefault="00A1618E">
            <w:pPr>
              <w:pStyle w:val="P68B1DB1-Normal13"/>
              <w:rPr>
                <w:rFonts w:cs="Times New Roman"/>
                <w:noProof/>
              </w:rPr>
            </w:pPr>
            <w:r>
              <w:rPr>
                <w:noProof/>
              </w:rPr>
              <w:t>Wdrażanie technologii 5G: Zakończenie projektu</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6CE50BAB" w14:textId="77777777" w:rsidR="006578ED" w:rsidRDefault="00A1618E">
            <w:pPr>
              <w:pStyle w:val="P68B1DB1-Normal13"/>
              <w:rPr>
                <w:rFonts w:cs="Times New Roman"/>
                <w:noProof/>
              </w:rPr>
            </w:pPr>
            <w:r>
              <w:rPr>
                <w:noProof/>
              </w:rPr>
              <w:t>Zakończenie projektów, na które przyznano dofinansowanie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9FD8733" w14:textId="77777777" w:rsidR="006578ED" w:rsidRDefault="00A1618E">
            <w:pPr>
              <w:pStyle w:val="P68B1DB1-Normal34"/>
              <w:rPr>
                <w:rFonts w:cs="Times New Roman"/>
                <w:noProof/>
              </w:rPr>
            </w:pPr>
            <w:r>
              <w:rPr>
                <w:noProof/>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E386E8A" w14:textId="77777777" w:rsidR="006578ED" w:rsidRDefault="00A1618E">
            <w:pPr>
              <w:pStyle w:val="P68B1DB1-Normal34"/>
              <w:rPr>
                <w:rFonts w:cs="Times New Roman"/>
                <w:noProof/>
              </w:rPr>
            </w:pPr>
            <w:r>
              <w:rPr>
                <w:noProof/>
              </w:rPr>
              <w:t xml:space="preserve">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5F59B1E" w14:textId="77777777" w:rsidR="006578ED" w:rsidRDefault="00A1618E">
            <w:pPr>
              <w:pStyle w:val="P68B1DB1-Normal13"/>
              <w:spacing w:after="0" w:line="256" w:lineRule="auto"/>
              <w:rPr>
                <w:rFonts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A4CB8D2" w14:textId="1F1C5C07" w:rsidR="006578ED" w:rsidRDefault="00EC188C">
            <w:pPr>
              <w:pStyle w:val="P68B1DB1-Normal13"/>
              <w:spacing w:after="0" w:line="256" w:lineRule="auto"/>
              <w:jc w:val="center"/>
              <w:rPr>
                <w:rFonts w:cs="Times New Roman"/>
                <w:noProof/>
              </w:rPr>
            </w:pPr>
            <w:r>
              <w:rPr>
                <w:noProof/>
              </w:rPr>
              <w:t>KW.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C5B31D8" w14:textId="6BCB7F3A" w:rsidR="006578ED" w:rsidRDefault="00A1618E">
            <w:pPr>
              <w:pStyle w:val="P68B1DB1-Normal13"/>
              <w:spacing w:after="0" w:line="256" w:lineRule="auto"/>
              <w:jc w:val="center"/>
              <w:rPr>
                <w:rFonts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51941857" w14:textId="1F0F7D84" w:rsidR="006578ED" w:rsidRDefault="00A1618E">
            <w:pPr>
              <w:pStyle w:val="P68B1DB1-Normal13"/>
              <w:spacing w:after="0" w:line="256" w:lineRule="auto"/>
              <w:rPr>
                <w:rFonts w:cs="Times New Roman"/>
                <w:noProof/>
              </w:rPr>
            </w:pPr>
            <w:r>
              <w:rPr>
                <w:noProof/>
              </w:rPr>
              <w:t xml:space="preserve">Zakończenie projektów dotyczących a) rozmieszczenia sieci 5G na głównym terytorium kraju (na niektórych obszarach) oraz transgranicznych korytarzy transportowych (4000 miejsc); wdrożenie sieci 5G na niektórych obszarach w celu osiągnięcia 75 % liczby ludności </w:t>
            </w:r>
            <w:r w:rsidRPr="00A1618E">
              <w:rPr>
                <w:noProof/>
                <w:lang w:val="pl-PL"/>
              </w:rPr>
              <w:t>do 2</w:t>
            </w:r>
            <w:r>
              <w:rPr>
                <w:noProof/>
              </w:rPr>
              <w:t>0</w:t>
            </w:r>
            <w:r w:rsidRPr="00A1618E">
              <w:rPr>
                <w:noProof/>
                <w:lang w:val="pl-PL"/>
              </w:rPr>
              <w:t>25 r.</w:t>
            </w:r>
            <w:r>
              <w:rPr>
                <w:noProof/>
              </w:rPr>
              <w:t xml:space="preserve"> w pasmach preferencji 5G (co najmniej 7000 nowych lub istniejących obiektów wyposażonych w nowe urządzenia 5G i co najmniej 4000 istniejących obiektów z działaniami mającymi na celu zwiększenie przepustowości ich sieci dosyłowej); wdrożenie sieci 5G w kluczowych rodzajach działalności gospodarczej usług podstawowych (43 projekty w zakresie łączności); oraz d) wsparcie badań i rozwoju związanych z 5G i 6G na rzecz ekosystemów innowacji (200 projektów) oraz ekosystemów cyberbezpieczeństwa 5G. Projekty są realizowane zgodnie z kryteriami określonymi w przyznawaniu programu (Milestone 243).</w:t>
            </w:r>
          </w:p>
        </w:tc>
      </w:tr>
      <w:tr w:rsidR="006578ED" w14:paraId="2FEA3BFE"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15C8FB01" w14:textId="77777777" w:rsidR="006578ED" w:rsidRDefault="00A1618E">
            <w:pPr>
              <w:pStyle w:val="P68B1DB1-Normal13"/>
              <w:spacing w:after="0"/>
              <w:jc w:val="center"/>
              <w:rPr>
                <w:rFonts w:eastAsia="Times New Roman" w:cs="Times New Roman"/>
                <w:noProof/>
              </w:rPr>
            </w:pPr>
            <w:r>
              <w:rPr>
                <w:noProof/>
              </w:rPr>
              <w:t>245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A520B89" w14:textId="77777777" w:rsidR="006578ED" w:rsidRDefault="00A1618E">
            <w:pPr>
              <w:pStyle w:val="P68B1DB1-Normal13"/>
              <w:spacing w:after="0"/>
              <w:jc w:val="center"/>
              <w:rPr>
                <w:rFonts w:eastAsia="Times New Roman"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18916D20" w14:textId="2A544353" w:rsidR="006578ED" w:rsidRDefault="00AF6B91">
            <w:pPr>
              <w:pStyle w:val="P68B1DB1-Normal13"/>
              <w:spacing w:after="0"/>
              <w:jc w:val="center"/>
              <w:rPr>
                <w:rFonts w:eastAsia="Times New Roman"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E141CC0" w14:textId="4B6B30DE" w:rsidR="006578ED" w:rsidRDefault="00A1618E">
            <w:pPr>
              <w:pStyle w:val="P68B1DB1-Normal13"/>
              <w:spacing w:after="0"/>
              <w:rPr>
                <w:rFonts w:eastAsia="Times New Roman" w:cs="Times New Roman"/>
                <w:noProof/>
              </w:rPr>
            </w:pPr>
            <w:r>
              <w:rPr>
                <w:noProof/>
              </w:rPr>
              <w:t>Uruchomienie krajowego programu wsparcia przemysłu cybernetycznego, globalnego programu innowacji w dziedzinie bezpieczeństwa i powiązanych działań.</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049FA71A" w14:textId="77777777" w:rsidR="006578ED" w:rsidRDefault="00A1618E">
            <w:pPr>
              <w:pStyle w:val="P68B1DB1-Normal13"/>
              <w:spacing w:after="0"/>
              <w:jc w:val="center"/>
              <w:rPr>
                <w:rFonts w:eastAsia="Times New Roman" w:cs="Times New Roman"/>
                <w:noProof/>
              </w:rPr>
            </w:pPr>
            <w:r>
              <w:rPr>
                <w:noProof/>
              </w:rPr>
              <w:t>Publikacja programów</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BDA5081" w14:textId="584E8150" w:rsidR="006578ED" w:rsidRDefault="006578ED">
            <w:pPr>
              <w:spacing w:after="0"/>
              <w:jc w:val="center"/>
              <w:rPr>
                <w:rFonts w:ascii="Times New Roman" w:eastAsia="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14F70AF" w14:textId="1268178A" w:rsidR="006578ED" w:rsidRDefault="006578ED">
            <w:pPr>
              <w:spacing w:after="0"/>
              <w:jc w:val="center"/>
              <w:rPr>
                <w:rFonts w:ascii="Times New Roman" w:eastAsia="Times New Roman" w:hAnsi="Times New Roman" w:cs="Times New Roman"/>
                <w:noProof/>
                <w:sz w:val="18"/>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FA29AF3" w14:textId="088F2FA0" w:rsidR="006578ED" w:rsidRDefault="00A1618E">
            <w:pPr>
              <w:pStyle w:val="P68B1DB1-Normal13"/>
              <w:spacing w:after="0"/>
              <w:jc w:val="center"/>
              <w:rPr>
                <w:rFonts w:eastAsia="Times New Roman" w:cs="Times New Roman"/>
                <w:noProof/>
              </w:rPr>
            </w:pPr>
            <w:r>
              <w:rPr>
                <w:noProof/>
              </w:rPr>
              <w:t xml:space="preserve">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7C1F5103" w14:textId="7DF5885E" w:rsidR="006578ED" w:rsidRDefault="00EC188C">
            <w:pPr>
              <w:pStyle w:val="P68B1DB1-Normal13"/>
              <w:spacing w:after="0"/>
              <w:jc w:val="center"/>
              <w:rPr>
                <w:rFonts w:eastAsia="Times New Roman"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873EB9B" w14:textId="1A6BD0A3" w:rsidR="006578ED" w:rsidRDefault="00A1618E">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227B89" w14:textId="48EF49E1" w:rsidR="006578ED" w:rsidRDefault="00A1618E">
            <w:pPr>
              <w:spacing w:after="0"/>
              <w:rPr>
                <w:rFonts w:ascii="Times New Roman" w:eastAsia="Times New Roman" w:hAnsi="Times New Roman" w:cs="Times New Roman"/>
                <w:noProof/>
                <w:sz w:val="18"/>
              </w:rPr>
            </w:pPr>
            <w:r>
              <w:rPr>
                <w:rFonts w:ascii="Times New Roman" w:hAnsi="Times New Roman"/>
                <w:noProof/>
                <w:sz w:val="18"/>
              </w:rPr>
              <w:t>Uruchomienie krajowego programu wsparcia przemysłu cybernetycznego i globalnego programu innowacji w dziedzinie bezpieczeństwa oraz innych powiązanych działań</w:t>
            </w:r>
            <w:r>
              <w:rPr>
                <w:noProof/>
              </w:rPr>
              <w:t xml:space="preserve"> </w:t>
            </w:r>
            <w:r>
              <w:rPr>
                <w:rFonts w:ascii="Times New Roman" w:hAnsi="Times New Roman"/>
                <w:noProof/>
                <w:sz w:val="18"/>
              </w:rPr>
              <w:t>(z budżetem w wysokości 311 000 000 EUR), który dotyczy kluczowych aspektów branżowych, takich jak:</w:t>
            </w:r>
            <w:r>
              <w:rPr>
                <w:rFonts w:ascii="Times New Roman" w:hAnsi="Times New Roman"/>
                <w:noProof/>
                <w:sz w:val="18"/>
              </w:rPr>
              <w:br/>
              <w:t xml:space="preserve">pobudzenie krajowej branży cyberbezpieczeństwa z myślą o powstaniu, wzroście i rozwoju przedsiębiorstw w tym sektorze </w:t>
            </w:r>
            <w:r>
              <w:rPr>
                <w:rFonts w:ascii="Times New Roman" w:hAnsi="Times New Roman"/>
                <w:noProof/>
                <w:sz w:val="18"/>
              </w:rPr>
              <w:br/>
              <w:t xml:space="preserve">opracowywanie rozwiązań i usług o wysokiej wartości dodanej w dziedzinie cyberbezpieczeństwa </w:t>
            </w:r>
            <w:r>
              <w:rPr>
                <w:rFonts w:ascii="Times New Roman" w:hAnsi="Times New Roman"/>
                <w:noProof/>
                <w:sz w:val="18"/>
              </w:rPr>
              <w:br/>
              <w:t xml:space="preserve">szkolenie i rozwój talentów specjalizujących się w dziedzinie cyberbezpieczeństwa </w:t>
            </w:r>
            <w:r>
              <w:rPr>
                <w:rFonts w:ascii="Times New Roman" w:hAnsi="Times New Roman"/>
                <w:noProof/>
                <w:sz w:val="18"/>
              </w:rPr>
              <w:br/>
              <w:t xml:space="preserve">Działania na rzecz umiędzynarodowienia w dziedzinie cyberbezpieczeństwa </w:t>
            </w:r>
            <w:r>
              <w:rPr>
                <w:rFonts w:ascii="Times New Roman" w:hAnsi="Times New Roman"/>
                <w:noProof/>
                <w:sz w:val="18"/>
              </w:rPr>
              <w:br/>
              <w:t xml:space="preserve">utworzenie centrum demonstracyjnego na rzecz rozwoju infrastruktury cyberbezpieczeństwa i tworzenia nowych usług w zakresie cyberbezpieczeństwa, w tym laboratoriów testowych i symulatorów cyberataków </w:t>
            </w:r>
            <w:r>
              <w:rPr>
                <w:rFonts w:ascii="Times New Roman" w:hAnsi="Times New Roman"/>
                <w:noProof/>
                <w:sz w:val="18"/>
              </w:rPr>
              <w:br/>
              <w:t>— opracowanie certyfikatów oznakowania cybernetycznego.</w:t>
            </w:r>
          </w:p>
        </w:tc>
      </w:tr>
      <w:tr w:rsidR="006578ED" w14:paraId="2558A584" w14:textId="77777777">
        <w:trPr>
          <w:gridAfter w:val="1"/>
          <w:wAfter w:w="6" w:type="dxa"/>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480C579D" w14:textId="50B8C22D" w:rsidR="006578ED" w:rsidRDefault="00A1618E">
            <w:pPr>
              <w:pStyle w:val="P68B1DB1-Normal13"/>
              <w:spacing w:after="0"/>
              <w:jc w:val="center"/>
              <w:rPr>
                <w:rFonts w:cs="Times New Roman"/>
                <w:noProof/>
              </w:rPr>
            </w:pPr>
            <w:r>
              <w:rPr>
                <w:noProof/>
              </w:rPr>
              <w:t>453</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1C8A01CC" w14:textId="56657FFE" w:rsidR="006578ED" w:rsidRDefault="00A1618E">
            <w:pPr>
              <w:pStyle w:val="P68B1DB1-Normal13"/>
              <w:spacing w:after="0"/>
              <w:jc w:val="center"/>
              <w:rPr>
                <w:rFonts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7573A7D4" w14:textId="22F4C0A7" w:rsidR="006578ED" w:rsidRDefault="00AF6B91">
            <w:pPr>
              <w:pStyle w:val="P68B1DB1-Normal13"/>
              <w:spacing w:after="0"/>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70FA5D1C" w14:textId="6876BE86" w:rsidR="006578ED" w:rsidRDefault="00A1618E">
            <w:pPr>
              <w:pStyle w:val="P68B1DB1-Normal13"/>
              <w:spacing w:after="0"/>
              <w:rPr>
                <w:rFonts w:cs="Times New Roman"/>
                <w:noProof/>
              </w:rPr>
            </w:pPr>
            <w:r>
              <w:rPr>
                <w:noProof/>
              </w:rPr>
              <w:t>Uruchomienie krajowego programu wsparcia przemysłu cybernetycznego, globalnego programu innowacji w dziedzinie bezpieczeństwa i powiązanych działań.</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FD2E6FE" w14:textId="77777777" w:rsidR="006578ED" w:rsidRDefault="00A1618E">
            <w:pPr>
              <w:pStyle w:val="P68B1DB1-Normal13"/>
              <w:spacing w:after="0"/>
              <w:jc w:val="center"/>
              <w:rPr>
                <w:rFonts w:cs="Times New Roman"/>
                <w:noProof/>
              </w:rPr>
            </w:pPr>
            <w:r>
              <w:rPr>
                <w:noProof/>
              </w:rPr>
              <w:t>Publikacja programów</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8F486CC" w14:textId="7A1F42A4" w:rsidR="006578ED" w:rsidRDefault="006578ED">
            <w:pPr>
              <w:spacing w:after="0"/>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7E428DD" w14:textId="3CD1FCF6" w:rsidR="006578ED" w:rsidRDefault="006578ED">
            <w:pPr>
              <w:spacing w:after="0"/>
              <w:jc w:val="center"/>
              <w:rPr>
                <w:rFonts w:ascii="Times New Roman" w:hAnsi="Times New Roman" w:cs="Times New Roman"/>
                <w:noProof/>
                <w:sz w:val="18"/>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7005736" w14:textId="42F6C17F" w:rsidR="006578ED" w:rsidRDefault="006578ED">
            <w:pPr>
              <w:spacing w:after="0"/>
              <w:jc w:val="center"/>
              <w:rPr>
                <w:rFonts w:ascii="Times New Roman" w:hAnsi="Times New Roman" w:cs="Times New Roman"/>
                <w:noProof/>
                <w:sz w:val="18"/>
              </w:rPr>
            </w:pP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431EA3E9" w14:textId="1D4DE9E5" w:rsidR="006578ED" w:rsidRDefault="00EC188C">
            <w:pPr>
              <w:pStyle w:val="P68B1DB1-Normal13"/>
              <w:spacing w:after="0"/>
              <w:jc w:val="center"/>
              <w:rPr>
                <w:rFonts w:cs="Times New Roman"/>
                <w:noProof/>
              </w:rPr>
            </w:pPr>
            <w:r>
              <w:rPr>
                <w:noProof/>
              </w:rPr>
              <w:t>KW.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982EDB3" w14:textId="3540BD27" w:rsidR="006578ED" w:rsidRDefault="00A1618E">
            <w:pPr>
              <w:pStyle w:val="P68B1DB1-Normal13"/>
              <w:spacing w:after="0"/>
              <w:jc w:val="center"/>
              <w:rPr>
                <w:rFonts w:cs="Times New Roman"/>
                <w:noProof/>
              </w:rPr>
            </w:pPr>
            <w:r>
              <w:rPr>
                <w:noProof/>
              </w:rPr>
              <w:t>2023</w:t>
            </w:r>
          </w:p>
        </w:tc>
        <w:tc>
          <w:tcPr>
            <w:tcW w:w="5670" w:type="dxa"/>
            <w:tcBorders>
              <w:top w:val="single" w:sz="4" w:space="0" w:color="auto"/>
              <w:left w:val="single" w:sz="4" w:space="0" w:color="auto"/>
              <w:bottom w:val="single" w:sz="4" w:space="0" w:color="auto"/>
              <w:right w:val="single" w:sz="4" w:space="0" w:color="auto"/>
            </w:tcBorders>
            <w:shd w:val="clear" w:color="auto" w:fill="C6EFCE"/>
            <w:noWrap/>
          </w:tcPr>
          <w:p w14:paraId="7EE5AD83" w14:textId="218EC015" w:rsidR="006578ED" w:rsidRDefault="00A1618E">
            <w:pPr>
              <w:spacing w:after="0"/>
              <w:rPr>
                <w:rFonts w:ascii="Times New Roman" w:hAnsi="Times New Roman" w:cs="Times New Roman"/>
                <w:noProof/>
                <w:sz w:val="18"/>
              </w:rPr>
            </w:pPr>
            <w:r>
              <w:rPr>
                <w:rFonts w:ascii="Times New Roman" w:hAnsi="Times New Roman"/>
                <w:noProof/>
                <w:sz w:val="18"/>
              </w:rPr>
              <w:t>Kontynuacja etapu 245 wdrożenia krajowego programu wsparcia przemysłu cybernetycznego i globalnego programu innowacji w dziedzinie bezpieczeństwa oraz innych powiązanych działań</w:t>
            </w:r>
            <w:r>
              <w:rPr>
                <w:noProof/>
              </w:rPr>
              <w:t xml:space="preserve"> </w:t>
            </w:r>
            <w:r>
              <w:rPr>
                <w:rFonts w:ascii="Times New Roman" w:hAnsi="Times New Roman"/>
                <w:noProof/>
                <w:sz w:val="18"/>
              </w:rPr>
              <w:t xml:space="preserve">(z budżetem przyznanym w wysokości 107 000 000 EUR, oprócz 311 000 000 EUR w ramach etapu 245 na łączną kwotę 418 000 000 EUR), która dotyczy kluczowych aspektów branżowych, takich jak: </w:t>
            </w:r>
          </w:p>
          <w:p w14:paraId="4C3E715A" w14:textId="5ED0E519" w:rsidR="006578ED" w:rsidRDefault="00A1618E">
            <w:pPr>
              <w:pStyle w:val="P68B1DB1-Normal13"/>
              <w:spacing w:after="0"/>
              <w:rPr>
                <w:rFonts w:cs="Times New Roman"/>
                <w:noProof/>
              </w:rPr>
            </w:pPr>
            <w:r>
              <w:rPr>
                <w:noProof/>
              </w:rPr>
              <w:t xml:space="preserve">pobudzenie krajowej branży bezpieczeństwa cybernetycznego z myślą o powstaniu, wzroście i rozwoju przedsiębiorstw w tym sektorze; </w:t>
            </w:r>
          </w:p>
          <w:p w14:paraId="128F5FCB" w14:textId="4F41E1BB" w:rsidR="006578ED" w:rsidRDefault="00A1618E">
            <w:pPr>
              <w:pStyle w:val="P68B1DB1-Normal13"/>
              <w:spacing w:after="0"/>
              <w:rPr>
                <w:rFonts w:cs="Times New Roman"/>
                <w:noProof/>
              </w:rPr>
            </w:pPr>
            <w:r>
              <w:rPr>
                <w:noProof/>
              </w:rPr>
              <w:t xml:space="preserve">opracowywanie rozwiązań i usług o wysokiej wartości dodanej w dziedzinie cyberbezpieczeństwa </w:t>
            </w:r>
          </w:p>
          <w:p w14:paraId="215A96E9" w14:textId="28413BEA" w:rsidR="006578ED" w:rsidRDefault="00A1618E">
            <w:pPr>
              <w:pStyle w:val="P68B1DB1-Normal13"/>
              <w:spacing w:after="0"/>
              <w:rPr>
                <w:rFonts w:cs="Times New Roman"/>
                <w:noProof/>
              </w:rPr>
            </w:pPr>
            <w:r>
              <w:rPr>
                <w:noProof/>
              </w:rPr>
              <w:t xml:space="preserve">szkolenie i rozwój talentów specjalizujących się w dziedzinie cyberbezpieczeństwa </w:t>
            </w:r>
          </w:p>
          <w:p w14:paraId="2B5C29E9" w14:textId="398E6E5A" w:rsidR="006578ED" w:rsidRDefault="00A1618E">
            <w:pPr>
              <w:pStyle w:val="P68B1DB1-Normal13"/>
              <w:spacing w:after="0"/>
              <w:rPr>
                <w:rFonts w:cs="Times New Roman"/>
                <w:noProof/>
              </w:rPr>
            </w:pPr>
            <w:r>
              <w:rPr>
                <w:noProof/>
              </w:rPr>
              <w:t xml:space="preserve">działania na rzecz umiędzynarodowienia w dziedzinie cyberbezpieczeństwa; </w:t>
            </w:r>
          </w:p>
          <w:p w14:paraId="09C08B24" w14:textId="1E24780E" w:rsidR="006578ED" w:rsidRDefault="00A1618E">
            <w:pPr>
              <w:pStyle w:val="P68B1DB1-Normal13"/>
              <w:spacing w:after="0"/>
              <w:rPr>
                <w:rFonts w:cs="Times New Roman"/>
                <w:noProof/>
              </w:rPr>
            </w:pPr>
            <w:r>
              <w:rPr>
                <w:noProof/>
              </w:rPr>
              <w:t xml:space="preserve">utworzenie centrum demonstracyjnego na rzecz rozwoju infrastruktury cyberbezpieczeństwa i tworzenia nowych usług w zakresie cyberbezpieczeństwa, w tym laboratoriów testowych i symulatorów cyberataków </w:t>
            </w:r>
          </w:p>
          <w:p w14:paraId="38430699" w14:textId="77777777" w:rsidR="006578ED" w:rsidRDefault="00A1618E">
            <w:pPr>
              <w:pStyle w:val="P68B1DB1-Normal13"/>
              <w:spacing w:after="0"/>
              <w:rPr>
                <w:rFonts w:cs="Times New Roman"/>
                <w:noProof/>
              </w:rPr>
            </w:pPr>
            <w:r>
              <w:rPr>
                <w:noProof/>
              </w:rPr>
              <w:t>— opracowanie certyfikatów oznakowania cybernetycznego.</w:t>
            </w:r>
          </w:p>
          <w:p w14:paraId="3AA6A019" w14:textId="4E302B60" w:rsidR="006578ED" w:rsidRDefault="00A1618E">
            <w:pPr>
              <w:pStyle w:val="P68B1DB1-Normal13"/>
              <w:spacing w:after="0"/>
              <w:rPr>
                <w:rFonts w:cs="Times New Roman"/>
                <w:noProof/>
              </w:rPr>
            </w:pPr>
            <w:r>
              <w:rPr>
                <w:noProof/>
              </w:rPr>
              <w:t>(Data poziomu bazowego: Grudzień 20</w:t>
            </w:r>
            <w:r w:rsidRPr="00A1618E">
              <w:rPr>
                <w:noProof/>
                <w:lang w:val="pl-PL"/>
              </w:rPr>
              <w:t>22 r.</w:t>
            </w:r>
            <w:r>
              <w:rPr>
                <w:noProof/>
              </w:rPr>
              <w:t>)</w:t>
            </w:r>
          </w:p>
        </w:tc>
      </w:tr>
      <w:tr w:rsidR="006578ED" w14:paraId="499C6D84"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4D288E7" w14:textId="77777777" w:rsidR="006578ED" w:rsidRDefault="00A1618E">
            <w:pPr>
              <w:pStyle w:val="P68B1DB1-Normal13"/>
              <w:spacing w:after="0"/>
              <w:jc w:val="center"/>
              <w:rPr>
                <w:rFonts w:eastAsia="Times New Roman" w:cs="Times New Roman"/>
                <w:noProof/>
              </w:rPr>
            </w:pPr>
            <w:r>
              <w:rPr>
                <w:noProof/>
              </w:rPr>
              <w:t>246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2BDAD87E" w14:textId="77777777" w:rsidR="006578ED" w:rsidRDefault="00A1618E">
            <w:pPr>
              <w:pStyle w:val="P68B1DB1-Normal13"/>
              <w:spacing w:after="0"/>
              <w:jc w:val="center"/>
              <w:rPr>
                <w:rFonts w:eastAsia="Times New Roman"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05B013B2" w14:textId="1A79B450" w:rsidR="006578ED" w:rsidRDefault="00AF6B91">
            <w:pPr>
              <w:pStyle w:val="P68B1DB1-Normal13"/>
              <w:spacing w:after="0"/>
              <w:jc w:val="center"/>
              <w:rPr>
                <w:rFonts w:eastAsia="Times New Roman" w:cs="Times New Roman"/>
                <w:noProof/>
              </w:rPr>
            </w:pPr>
            <w:r>
              <w:rPr>
                <w:noProof/>
              </w:rPr>
              <w:t>Cel</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EF056CD" w14:textId="64166FDE" w:rsidR="006578ED" w:rsidRDefault="00A1618E">
            <w:pPr>
              <w:pStyle w:val="P68B1DB1-Normal13"/>
              <w:spacing w:after="0"/>
              <w:rPr>
                <w:rFonts w:eastAsia="Times New Roman" w:cs="Times New Roman"/>
                <w:noProof/>
              </w:rPr>
            </w:pPr>
            <w:r>
              <w:rPr>
                <w:noProof/>
              </w:rPr>
              <w:t>Wzmocnienie i poprawa zdolności w zakresie cyberbezpieczeństwa: Zasoby</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753EC6B8" w14:textId="77777777" w:rsidR="006578ED" w:rsidRDefault="00A1618E">
            <w:pPr>
              <w:pStyle w:val="P68B1DB1-Normal13"/>
              <w:spacing w:after="0"/>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45A6F4B" w14:textId="77777777" w:rsidR="006578ED" w:rsidRDefault="00A1618E">
            <w:pPr>
              <w:pStyle w:val="P68B1DB1-Normal13"/>
              <w:spacing w:after="0"/>
              <w:jc w:val="right"/>
              <w:rPr>
                <w:rFonts w:eastAsia="Times New Roman" w:cs="Times New Roman"/>
                <w:noProof/>
              </w:rPr>
            </w:pPr>
            <w:r>
              <w:rPr>
                <w:noProof/>
              </w:rPr>
              <w:t>Liczba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C6C39D5" w14:textId="77777777" w:rsidR="006578ED" w:rsidRDefault="00A1618E">
            <w:pPr>
              <w:pStyle w:val="P68B1DB1-Normal13"/>
              <w:spacing w:after="0"/>
              <w:jc w:val="right"/>
              <w:rPr>
                <w:rFonts w:eastAsia="Times New Roman"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7EF372F2" w14:textId="77777777" w:rsidR="006578ED" w:rsidRDefault="00A1618E">
            <w:pPr>
              <w:pStyle w:val="P68B1DB1-Normal13"/>
              <w:spacing w:after="0"/>
              <w:jc w:val="right"/>
              <w:rPr>
                <w:rFonts w:eastAsia="Times New Roman" w:cs="Times New Roman"/>
                <w:noProof/>
              </w:rPr>
            </w:pPr>
            <w:r>
              <w:rPr>
                <w:noProof/>
              </w:rPr>
              <w:t>100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5C8DB48F" w14:textId="55AA63C8" w:rsidR="006578ED" w:rsidRDefault="00EC188C">
            <w:pPr>
              <w:pStyle w:val="P68B1DB1-Normal13"/>
              <w:spacing w:after="0"/>
              <w:jc w:val="center"/>
              <w:rPr>
                <w:rFonts w:eastAsia="Times New Roman"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4354BB86" w14:textId="77777777" w:rsidR="006578ED" w:rsidRDefault="00A1618E">
            <w:pPr>
              <w:pStyle w:val="P68B1DB1-Normal13"/>
              <w:spacing w:after="0"/>
              <w:jc w:val="center"/>
              <w:rPr>
                <w:rFonts w:eastAsia="Times New Roman" w:cs="Times New Roman"/>
                <w:noProof/>
              </w:rPr>
            </w:pPr>
            <w:r>
              <w:rPr>
                <w:noProof/>
              </w:rPr>
              <w:t>2023</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24AADAE6" w14:textId="602548DB" w:rsidR="006578ED" w:rsidRDefault="00A1618E">
            <w:pPr>
              <w:pStyle w:val="P68B1DB1-Normal13"/>
              <w:spacing w:after="0"/>
              <w:rPr>
                <w:rFonts w:eastAsia="Times New Roman" w:cs="Times New Roman"/>
                <w:noProof/>
              </w:rPr>
            </w:pPr>
            <w:r>
              <w:rPr>
                <w:noProof/>
              </w:rPr>
              <w:t>Wzmocnienie i poprawa zdolności w zakresie cyberbezpieczeństwa poprzez dostarczenie co najmniej 100 zasobów na działania informacyjne i komunikacyjne w dziedzinie cyberbezpieczeństwa. Umiejętności cyfrowe w zakresie cyberbezpieczeństwa są rozwijane na wszystkich poziomach kształcenia poprzez opracowanie konkretnych zasobów, narzędzi i materiałów. Ponadto należy utworzyć międzynarodowy ośrodek ds. cyberbezpieczeństwa uczestniczący w europejskiej sieci centrów ds. cyberbezpieczeństwa.</w:t>
            </w:r>
          </w:p>
        </w:tc>
      </w:tr>
      <w:tr w:rsidR="006578ED" w14:paraId="5AE9C9F7"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11223121" w14:textId="77777777" w:rsidR="006578ED" w:rsidRDefault="00A1618E">
            <w:pPr>
              <w:pStyle w:val="P68B1DB1-Normal13"/>
              <w:spacing w:after="0"/>
              <w:jc w:val="center"/>
              <w:rPr>
                <w:rFonts w:cs="Times New Roman"/>
                <w:noProof/>
              </w:rPr>
            </w:pPr>
            <w:r>
              <w:rPr>
                <w:noProof/>
              </w:rPr>
              <w:t>247</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67C38019" w14:textId="77777777" w:rsidR="006578ED" w:rsidRDefault="00A1618E">
            <w:pPr>
              <w:pStyle w:val="P68B1DB1-Normal13"/>
              <w:spacing w:after="0"/>
              <w:jc w:val="center"/>
              <w:rPr>
                <w:rFonts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216395D" w14:textId="1EF5A7B3" w:rsidR="006578ED" w:rsidRDefault="00AF6B91">
            <w:pPr>
              <w:pStyle w:val="P68B1DB1-Normal13"/>
              <w:spacing w:after="0"/>
              <w:jc w:val="center"/>
              <w:rPr>
                <w:rFonts w:cs="Times New Roman"/>
                <w:noProof/>
              </w:rPr>
            </w:pPr>
            <w:r>
              <w:rPr>
                <w:noProof/>
              </w:rPr>
              <w:t>Cel</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39A38F69" w14:textId="04401199" w:rsidR="006578ED" w:rsidRDefault="00A1618E">
            <w:pPr>
              <w:pStyle w:val="P68B1DB1-Normal13"/>
              <w:spacing w:after="0"/>
              <w:rPr>
                <w:rFonts w:cs="Times New Roman"/>
                <w:noProof/>
              </w:rPr>
            </w:pPr>
            <w:r>
              <w:rPr>
                <w:noProof/>
              </w:rPr>
              <w:t>Wzmocnienie i poprawa zdolności w zakresie cyberbezpieczeństwa: Linia pomocy w zakresie cyberbezpieczeństwa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2C174D4" w14:textId="77777777" w:rsidR="006578ED" w:rsidRDefault="00A1618E">
            <w:pPr>
              <w:pStyle w:val="P68B1DB1-Normal13"/>
              <w:spacing w:after="0"/>
              <w:jc w:val="center"/>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2ABC001" w14:textId="77777777" w:rsidR="006578ED" w:rsidRDefault="00A1618E">
            <w:pPr>
              <w:pStyle w:val="P68B1DB1-Normal13"/>
              <w:spacing w:after="0"/>
              <w:jc w:val="right"/>
              <w:rPr>
                <w:rFonts w:cs="Times New Roman"/>
                <w:noProof/>
              </w:rPr>
            </w:pPr>
            <w:r>
              <w:rPr>
                <w:noProof/>
              </w:rPr>
              <w:t>Liczba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71F1E224" w14:textId="77777777" w:rsidR="006578ED" w:rsidRDefault="00A1618E">
            <w:pPr>
              <w:pStyle w:val="P68B1DB1-Normal13"/>
              <w:spacing w:after="0"/>
              <w:jc w:val="right"/>
              <w:rPr>
                <w:rFonts w:cs="Times New Roman"/>
                <w:noProof/>
              </w:rPr>
            </w:pPr>
            <w:r>
              <w:rPr>
                <w:noProof/>
              </w:rPr>
              <w:t>5 000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677D81FA" w14:textId="77777777" w:rsidR="006578ED" w:rsidRDefault="00A1618E">
            <w:pPr>
              <w:pStyle w:val="P68B1DB1-Normal13"/>
              <w:spacing w:after="0"/>
              <w:jc w:val="right"/>
              <w:rPr>
                <w:rFonts w:cs="Times New Roman"/>
                <w:noProof/>
              </w:rPr>
            </w:pPr>
            <w:r>
              <w:rPr>
                <w:noProof/>
              </w:rPr>
              <w:t>20 000</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54F03A3F" w14:textId="40DB31BF" w:rsidR="006578ED" w:rsidRDefault="00EC188C">
            <w:pPr>
              <w:pStyle w:val="P68B1DB1-Normal13"/>
              <w:spacing w:after="0"/>
              <w:jc w:val="center"/>
              <w:rPr>
                <w:rFonts w:cs="Times New Roman"/>
                <w:noProof/>
              </w:rPr>
            </w:pPr>
            <w:r>
              <w:rPr>
                <w:noProof/>
              </w:rPr>
              <w:t>KW. 4</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EF76858" w14:textId="0FA55558" w:rsidR="006578ED" w:rsidRDefault="00A1618E">
            <w:pPr>
              <w:pStyle w:val="P68B1DB1-Normal13"/>
              <w:spacing w:after="0"/>
              <w:jc w:val="center"/>
              <w:rPr>
                <w:rFonts w:cs="Times New Roman"/>
                <w:noProof/>
              </w:rPr>
            </w:pPr>
            <w:r>
              <w:rPr>
                <w:noProof/>
              </w:rPr>
              <w:t>2022</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146AA933" w14:textId="0ECAB0A8" w:rsidR="006578ED" w:rsidRDefault="00A1618E">
            <w:pPr>
              <w:pStyle w:val="P68B1DB1-Normal13"/>
              <w:spacing w:after="0"/>
              <w:rPr>
                <w:rFonts w:cs="Times New Roman"/>
                <w:noProof/>
              </w:rPr>
            </w:pPr>
            <w:r>
              <w:rPr>
                <w:noProof/>
              </w:rPr>
              <w:t>Wzmocnienie zdolności w zakresie cyberbezpieczeństwa poprzez usprawnienie linii pomocy w zakresie cyberbezpieczeństwa Krajowego Instytutu Cyberbezpieczeństwa (INCIBE), z miesięczną zdolnością co najmniej 20000 obsługiwanych połączeń miesięcznie. Ta infolinia wspiera również usuwanie materiałów przedstawiających niegodziwe traktowanie dzieci w celach seksualnych na potrzeby zasobów internetowych.</w:t>
            </w:r>
          </w:p>
        </w:tc>
      </w:tr>
      <w:tr w:rsidR="006578ED" w14:paraId="30A996CB"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55F5EAA9" w14:textId="77777777" w:rsidR="006578ED" w:rsidRDefault="00A1618E">
            <w:pPr>
              <w:pStyle w:val="P68B1DB1-Normal13"/>
              <w:spacing w:after="0"/>
              <w:jc w:val="center"/>
              <w:rPr>
                <w:rFonts w:cs="Times New Roman"/>
                <w:noProof/>
                <w:highlight w:val="yellow"/>
              </w:rPr>
            </w:pPr>
            <w:r>
              <w:rPr>
                <w:noProof/>
              </w:rPr>
              <w:t>248</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56383EBE" w14:textId="77777777" w:rsidR="006578ED" w:rsidRDefault="00A1618E">
            <w:pPr>
              <w:pStyle w:val="P68B1DB1-Normal13"/>
              <w:spacing w:after="0"/>
              <w:jc w:val="center"/>
              <w:rPr>
                <w:rFonts w:cs="Times New Roman"/>
                <w:noProof/>
              </w:rPr>
            </w:pPr>
            <w:r>
              <w:rPr>
                <w:noProof/>
              </w:rPr>
              <w:t>C15.I7</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6CBE7B3" w14:textId="7A8EF296" w:rsidR="006578ED" w:rsidRDefault="00AF6B91">
            <w:pPr>
              <w:pStyle w:val="P68B1DB1-Normal13"/>
              <w:spacing w:after="0"/>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17848E5A" w14:textId="40F098CC" w:rsidR="006578ED" w:rsidRDefault="00A1618E">
            <w:pPr>
              <w:pStyle w:val="P68B1DB1-Normal13"/>
              <w:spacing w:after="0"/>
              <w:rPr>
                <w:rFonts w:cs="Times New Roman"/>
                <w:noProof/>
              </w:rPr>
            </w:pPr>
            <w:r>
              <w:rPr>
                <w:noProof/>
              </w:rPr>
              <w:t>Zakończenie projektów w ramach krajowego programu wsparcia przemysłu cybernetycznego, globalnego programu innowacji w dziedzinie bezpieczeństwa i powiązanych działań.</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5355E1BE" w14:textId="4818295A" w:rsidR="006578ED" w:rsidRDefault="00A1618E">
            <w:pPr>
              <w:pStyle w:val="P68B1DB1-Normal13"/>
              <w:spacing w:after="0"/>
              <w:jc w:val="center"/>
              <w:rPr>
                <w:rFonts w:cs="Times New Roman"/>
                <w:noProof/>
              </w:rPr>
            </w:pPr>
            <w:r>
              <w:rPr>
                <w:noProof/>
              </w:rPr>
              <w:t>Powiadomienie o zakończeniu projektów inwestycyjnych</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0C22811" w14:textId="77777777" w:rsidR="006578ED" w:rsidRDefault="00A1618E">
            <w:pPr>
              <w:pStyle w:val="P68B1DB1-Normal13"/>
              <w:spacing w:after="0"/>
              <w:jc w:val="right"/>
              <w:rPr>
                <w:rFonts w:cs="Times New Roman"/>
                <w:noProof/>
              </w:rPr>
            </w:pPr>
            <w:r>
              <w:rPr>
                <w:noProof/>
              </w:rPr>
              <w:t>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387D92F" w14:textId="77777777" w:rsidR="006578ED" w:rsidRDefault="00A1618E">
            <w:pPr>
              <w:pStyle w:val="P68B1DB1-Normal13"/>
              <w:spacing w:after="0"/>
              <w:jc w:val="right"/>
              <w:rPr>
                <w:rFonts w:cs="Times New Roman"/>
                <w:noProof/>
              </w:rPr>
            </w:pPr>
            <w:r>
              <w:rPr>
                <w:noProof/>
              </w:rPr>
              <w:t> </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1DA3C514" w14:textId="77777777" w:rsidR="006578ED" w:rsidRDefault="00A1618E">
            <w:pPr>
              <w:pStyle w:val="P68B1DB1-Normal13"/>
              <w:spacing w:after="0"/>
              <w:jc w:val="right"/>
              <w:rPr>
                <w:rFonts w:cs="Times New Roman"/>
                <w:noProof/>
              </w:rPr>
            </w:pPr>
            <w:r>
              <w:rPr>
                <w:noProof/>
              </w:rPr>
              <w:t> </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2ECC6469" w14:textId="702F078F" w:rsidR="006578ED" w:rsidRDefault="00EC188C">
            <w:pPr>
              <w:pStyle w:val="P68B1DB1-Normal13"/>
              <w:spacing w:after="0"/>
              <w:jc w:val="center"/>
              <w:rPr>
                <w:rFonts w:cs="Times New Roman"/>
                <w:noProof/>
              </w:rPr>
            </w:pPr>
            <w:r>
              <w:rPr>
                <w:noProof/>
              </w:rPr>
              <w:t>KW.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7234E94E" w14:textId="77777777" w:rsidR="006578ED" w:rsidRDefault="00A1618E">
            <w:pPr>
              <w:pStyle w:val="P68B1DB1-Normal13"/>
              <w:spacing w:after="0"/>
              <w:jc w:val="center"/>
              <w:rPr>
                <w:rFonts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72E75B61" w14:textId="76F42FCD" w:rsidR="006578ED" w:rsidRDefault="00A1618E">
            <w:pPr>
              <w:pStyle w:val="P68B1DB1-Normal13"/>
              <w:spacing w:after="0"/>
              <w:rPr>
                <w:rFonts w:cs="Times New Roman"/>
                <w:noProof/>
              </w:rPr>
            </w:pPr>
            <w:r>
              <w:rPr>
                <w:noProof/>
              </w:rPr>
              <w:t>Zakończenie projektów objętych krajowym programem wsparcia przemysłu cybernetycznego i globalnym programem innowacji w dziedzinie bezpieczeństwa, a także innych powiązanych działań w następujących obszarach (przyznanych w ramach etapu 245):</w:t>
            </w:r>
            <w:r>
              <w:rPr>
                <w:noProof/>
              </w:rPr>
              <w:br/>
              <w:t xml:space="preserve">pobudzenie krajowej branży cyberbezpieczeństwa z myślą o powstaniu, wzroście i rozwoju przedsiębiorstw w tym sektorze </w:t>
            </w:r>
            <w:r>
              <w:rPr>
                <w:noProof/>
              </w:rPr>
              <w:br/>
              <w:t xml:space="preserve">opracowywanie rozwiązań i usług o wysokiej wartości dodanej w dziedzinie cyberbezpieczeństwa </w:t>
            </w:r>
            <w:r>
              <w:rPr>
                <w:noProof/>
              </w:rPr>
              <w:br/>
              <w:t xml:space="preserve">szkolenie i rozwój talentów w dziedzinie cyberbezpieczeństwa, </w:t>
            </w:r>
            <w:r>
              <w:rPr>
                <w:noProof/>
              </w:rPr>
              <w:br/>
              <w:t xml:space="preserve">Działania na rzecz umiędzynarodowienia w dziedzinie cyberbezpieczeństwa </w:t>
            </w:r>
            <w:r>
              <w:rPr>
                <w:noProof/>
              </w:rPr>
              <w:br/>
              <w:t xml:space="preserve">utworzenie centrum demonstracyjnego na rzecz rozwoju infrastruktury cyberbezpieczeństwa i tworzenia nowych usług w zakresie cyberbezpieczeństwa, w tym laboratoriów testowych i symulatorów cyberataków </w:t>
            </w:r>
            <w:r>
              <w:rPr>
                <w:noProof/>
              </w:rPr>
              <w:br/>
              <w:t>opracowanie certyfikatów oznakowania cybernetycznego</w:t>
            </w:r>
          </w:p>
        </w:tc>
      </w:tr>
      <w:tr w:rsidR="006578ED" w14:paraId="50CCF006" w14:textId="77777777">
        <w:trPr>
          <w:gridAfter w:val="1"/>
          <w:wAfter w:w="6" w:type="dxa"/>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750ABBA4" w14:textId="5A246F5F" w:rsidR="006578ED" w:rsidRDefault="00A1618E">
            <w:pPr>
              <w:pStyle w:val="P68B1DB1-Normal13"/>
              <w:spacing w:after="0"/>
              <w:jc w:val="center"/>
              <w:rPr>
                <w:rFonts w:cs="Times New Roman"/>
                <w:noProof/>
                <w:shd w:val="clear" w:color="auto" w:fill="E6E6E6"/>
              </w:rPr>
            </w:pPr>
            <w:r>
              <w:rPr>
                <w:noProof/>
              </w:rPr>
              <w:t>454</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7CD70E0" w14:textId="77777777" w:rsidR="006578ED" w:rsidRDefault="00A1618E">
            <w:pPr>
              <w:pStyle w:val="P68B1DB1-Normal13"/>
              <w:spacing w:after="0"/>
              <w:jc w:val="center"/>
              <w:rPr>
                <w:rFonts w:cs="Times New Roman"/>
                <w:noProof/>
                <w:shd w:val="clear" w:color="auto" w:fill="E6E6E6"/>
              </w:rPr>
            </w:pPr>
            <w:r>
              <w:rPr>
                <w:noProof/>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5F70033C" w14:textId="0A69254C" w:rsidR="006578ED" w:rsidRDefault="00AF6B91">
            <w:pPr>
              <w:pStyle w:val="P68B1DB1-Normal13"/>
              <w:spacing w:after="0"/>
              <w:jc w:val="center"/>
              <w:rPr>
                <w:rFonts w:cs="Times New Roman"/>
                <w:noProof/>
              </w:rPr>
            </w:pPr>
            <w:r>
              <w:rPr>
                <w:noProof/>
              </w:rPr>
              <w:t>Kamień milowy</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67390809" w14:textId="58E9330F" w:rsidR="006578ED" w:rsidRDefault="00A1618E">
            <w:pPr>
              <w:pStyle w:val="P68B1DB1-Normal13"/>
              <w:spacing w:after="0"/>
              <w:rPr>
                <w:rFonts w:eastAsia="Times New Roman" w:cs="Times New Roman"/>
                <w:noProof/>
              </w:rPr>
            </w:pPr>
            <w:r>
              <w:rPr>
                <w:noProof/>
              </w:rPr>
              <w:t>CZIP PERTE. Wzmocnienie potencjału naukowego, projektowania i innowacyjnej produkcji: nagroda</w:t>
            </w:r>
          </w:p>
          <w:p w14:paraId="11F6290C" w14:textId="77777777" w:rsidR="006578ED" w:rsidRDefault="006578ED">
            <w:pPr>
              <w:spacing w:after="0"/>
              <w:rPr>
                <w:rFonts w:ascii="Times New Roman" w:hAnsi="Times New Roman" w:cs="Times New Roman"/>
                <w:noProof/>
                <w:sz w:val="18"/>
                <w:shd w:val="clear" w:color="auto" w:fill="E6E6E6"/>
              </w:rPr>
            </w:pP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2B917ACA" w14:textId="3D9F8EA3" w:rsidR="006578ED" w:rsidRDefault="00A1618E">
            <w:pPr>
              <w:pStyle w:val="P68B1DB1-Normal13"/>
              <w:spacing w:after="0"/>
              <w:jc w:val="center"/>
              <w:rPr>
                <w:rFonts w:eastAsia="Times New Roman" w:cs="Times New Roman"/>
                <w:noProof/>
              </w:rPr>
            </w:pPr>
            <w:r>
              <w:rPr>
                <w:noProof/>
              </w:rPr>
              <w:t>Oficjalna publikacja decyzji o przyznaniu dotacji na projekty</w:t>
            </w:r>
          </w:p>
          <w:p w14:paraId="07207186" w14:textId="77777777" w:rsidR="006578ED" w:rsidRDefault="006578ED">
            <w:pPr>
              <w:spacing w:after="0"/>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2AFE8DE" w14:textId="77777777" w:rsidR="006578ED" w:rsidRDefault="006578ED">
            <w:pPr>
              <w:spacing w:after="0"/>
              <w:jc w:val="right"/>
              <w:rPr>
                <w:rFonts w:ascii="Times New Roman" w:hAnsi="Times New Roman" w:cs="Times New Roman"/>
                <w:noProof/>
                <w:sz w:val="18"/>
                <w:shd w:val="clear" w:color="auto" w:fill="E6E6E6"/>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1852F31" w14:textId="77777777" w:rsidR="006578ED" w:rsidRDefault="006578ED">
            <w:pPr>
              <w:spacing w:after="0"/>
              <w:jc w:val="right"/>
              <w:rPr>
                <w:rFonts w:ascii="Times New Roman" w:hAnsi="Times New Roman" w:cs="Times New Roman"/>
                <w:noProof/>
                <w:sz w:val="18"/>
                <w:shd w:val="clear" w:color="auto" w:fill="E6E6E6"/>
              </w:rPr>
            </w:pP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5D703A86" w14:textId="77777777" w:rsidR="006578ED" w:rsidRDefault="006578ED">
            <w:pPr>
              <w:spacing w:after="0"/>
              <w:jc w:val="right"/>
              <w:rPr>
                <w:rFonts w:ascii="Times New Roman" w:hAnsi="Times New Roman" w:cs="Times New Roman"/>
                <w:noProof/>
                <w:sz w:val="18"/>
                <w:shd w:val="clear" w:color="auto" w:fill="E6E6E6"/>
              </w:rPr>
            </w:pP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58221B7" w14:textId="15542922" w:rsidR="006578ED" w:rsidRDefault="00EC188C">
            <w:pPr>
              <w:pStyle w:val="P68B1DB1-Normal13"/>
              <w:spacing w:after="0"/>
              <w:jc w:val="center"/>
              <w:rPr>
                <w:rFonts w:cs="Times New Roman"/>
                <w:noProof/>
              </w:rPr>
            </w:pPr>
            <w:r>
              <w:rPr>
                <w:noProof/>
              </w:rPr>
              <w:t>KW.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C5426B2" w14:textId="0FCACF73" w:rsidR="006578ED" w:rsidRDefault="00A1618E">
            <w:pPr>
              <w:pStyle w:val="P68B1DB1-Normal13"/>
              <w:spacing w:after="0"/>
              <w:jc w:val="center"/>
              <w:rPr>
                <w:rFonts w:cs="Times New Roman"/>
                <w:noProof/>
                <w:shd w:val="clear" w:color="auto" w:fill="E6E6E6"/>
              </w:rPr>
            </w:pPr>
            <w:r>
              <w:rPr>
                <w:noProof/>
              </w:rPr>
              <w:t>2025</w:t>
            </w:r>
          </w:p>
        </w:tc>
        <w:tc>
          <w:tcPr>
            <w:tcW w:w="5670" w:type="dxa"/>
            <w:tcBorders>
              <w:top w:val="single" w:sz="4" w:space="0" w:color="auto"/>
              <w:left w:val="single" w:sz="4" w:space="0" w:color="auto"/>
              <w:bottom w:val="single" w:sz="4" w:space="0" w:color="auto"/>
              <w:right w:val="single" w:sz="4" w:space="0" w:color="auto"/>
            </w:tcBorders>
            <w:shd w:val="clear" w:color="auto" w:fill="C6EFCE"/>
            <w:noWrap/>
          </w:tcPr>
          <w:p w14:paraId="235D63DE" w14:textId="361918DA" w:rsidR="006578ED" w:rsidRDefault="00A1618E">
            <w:pPr>
              <w:pStyle w:val="P68B1DB1-Normal13"/>
              <w:spacing w:after="0"/>
              <w:rPr>
                <w:rFonts w:cs="Times New Roman"/>
                <w:noProof/>
                <w:shd w:val="clear" w:color="auto" w:fill="E6E6E6"/>
              </w:rPr>
            </w:pPr>
            <w:r>
              <w:rPr>
                <w:noProof/>
              </w:rPr>
              <w:t>Co najmniej 540 900 000 EUR przyznane na projekty w zakresie badań, rozwoju i innowacji w dziedzinie mikroelektroniki i półprzewodników, w tym na tworzenie i udoskonalanie infrastruktury białych pomieszczeń, projektowanie, wytwarzanie i przyciąganie talentów lub innowacyjnej produkcji.</w:t>
            </w:r>
          </w:p>
        </w:tc>
      </w:tr>
      <w:tr w:rsidR="006578ED" w14:paraId="261D3CE2"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6120EEBE" w14:textId="5DB6BB3E" w:rsidR="006578ED" w:rsidRDefault="00A1618E">
            <w:pPr>
              <w:pStyle w:val="P68B1DB1-Normal13"/>
              <w:spacing w:after="0"/>
              <w:jc w:val="center"/>
              <w:rPr>
                <w:rFonts w:cs="Times New Roman"/>
                <w:noProof/>
              </w:rPr>
            </w:pPr>
            <w:r>
              <w:rPr>
                <w:noProof/>
              </w:rPr>
              <w:t>455</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4773E3B0" w14:textId="77777777" w:rsidR="006578ED" w:rsidRDefault="00A1618E">
            <w:pPr>
              <w:pStyle w:val="P68B1DB1-Normal13"/>
              <w:spacing w:after="0"/>
              <w:jc w:val="center"/>
              <w:rPr>
                <w:rFonts w:cs="Times New Roman"/>
                <w:noProof/>
              </w:rPr>
            </w:pPr>
            <w:r>
              <w:rPr>
                <w:noProof/>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43F2A9A9" w14:textId="3EA49B13" w:rsidR="006578ED" w:rsidRDefault="00AF6B91">
            <w:pPr>
              <w:pStyle w:val="P68B1DB1-Normal34"/>
              <w:spacing w:after="0"/>
              <w:jc w:val="center"/>
              <w:rPr>
                <w:rFonts w:cs="Times New Roman"/>
                <w:noProof/>
              </w:rPr>
            </w:pPr>
            <w:r>
              <w:rPr>
                <w:noProof/>
              </w:rPr>
              <w:t>Cel</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4F638040" w14:textId="42544A58" w:rsidR="006578ED" w:rsidRDefault="00A1618E">
            <w:pPr>
              <w:pStyle w:val="P68B1DB1-Normal13"/>
              <w:spacing w:after="0"/>
              <w:rPr>
                <w:rFonts w:cs="Times New Roman"/>
                <w:noProof/>
              </w:rPr>
            </w:pPr>
            <w:r>
              <w:rPr>
                <w:noProof/>
              </w:rPr>
              <w:t>CZIP PERTE. Wzmocnienie potencjału naukowego, projektowania i innowacyjnej produkcji: wypłata.</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373BF882" w14:textId="77777777" w:rsidR="006578ED" w:rsidRDefault="006578ED">
            <w:pPr>
              <w:spacing w:after="0"/>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2B9643A" w14:textId="47AD25FF" w:rsidR="006578ED" w:rsidRDefault="00A1618E">
            <w:pPr>
              <w:pStyle w:val="P68B1DB1-Normal13"/>
              <w:spacing w:after="0"/>
              <w:jc w:val="right"/>
              <w:rPr>
                <w:rFonts w:cs="Times New Roman"/>
                <w:noProof/>
              </w:rPr>
            </w:pPr>
            <w:r>
              <w:rPr>
                <w:noProof/>
              </w:rPr>
              <w:t>W mln EUR</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6D46C61B" w14:textId="03414522" w:rsidR="006578ED" w:rsidRDefault="00A1618E">
            <w:pPr>
              <w:pStyle w:val="P68B1DB1-Normal13"/>
              <w:spacing w:after="0"/>
              <w:jc w:val="right"/>
              <w:rPr>
                <w:rFonts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4F2AED1F" w14:textId="77777777" w:rsidR="006578ED" w:rsidRDefault="00A1618E">
            <w:pPr>
              <w:pStyle w:val="P68B1DB1-Normal13"/>
              <w:spacing w:after="0"/>
              <w:jc w:val="right"/>
              <w:rPr>
                <w:rFonts w:cs="Times New Roman"/>
                <w:noProof/>
              </w:rPr>
            </w:pPr>
            <w:r>
              <w:rPr>
                <w:noProof/>
              </w:rPr>
              <w:t>486,81</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CD7AD15" w14:textId="0DC81F10" w:rsidR="006578ED" w:rsidRDefault="00EC188C">
            <w:pPr>
              <w:pStyle w:val="P68B1DB1-Normal13"/>
              <w:spacing w:after="0"/>
              <w:jc w:val="center"/>
              <w:rPr>
                <w:rFonts w:cs="Times New Roman"/>
                <w:noProof/>
              </w:rPr>
            </w:pPr>
            <w:r>
              <w:rPr>
                <w:noProof/>
              </w:rPr>
              <w:t>KW.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917CAE8" w14:textId="7A05CFF0" w:rsidR="006578ED" w:rsidRDefault="00A1618E">
            <w:pPr>
              <w:pStyle w:val="P68B1DB1-Normal13"/>
              <w:spacing w:after="0"/>
              <w:jc w:val="center"/>
              <w:rPr>
                <w:rFonts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0CFFCAC" w14:textId="0D22E725" w:rsidR="006578ED" w:rsidRDefault="00A1618E">
            <w:pPr>
              <w:pStyle w:val="P68B1DB1-Normal13"/>
              <w:spacing w:after="0"/>
              <w:rPr>
                <w:rFonts w:cs="Times New Roman"/>
                <w:noProof/>
              </w:rPr>
            </w:pPr>
            <w:r>
              <w:rPr>
                <w:noProof/>
              </w:rPr>
              <w:t xml:space="preserve">Wypłata co najmniej 486 810 000 EUR na projekty w zakresie badań, rozwoju i innowacji w dziedzinie mikroelektroniki i półprzewodników, w tym na tworzenie i udoskonalanie infrastruktury białych pomieszczeń, projektowanie, wytwarzanie i przyciąganie talentów lub innowacyjnej produkcji. </w:t>
            </w:r>
          </w:p>
        </w:tc>
      </w:tr>
      <w:tr w:rsidR="006578ED" w14:paraId="241EC10F" w14:textId="77777777">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C6EFCE"/>
            <w:noWrap/>
          </w:tcPr>
          <w:p w14:paraId="4AB5813E" w14:textId="1C0E1E87" w:rsidR="006578ED" w:rsidRDefault="00A1618E">
            <w:pPr>
              <w:pStyle w:val="P68B1DB1-Normal13"/>
              <w:spacing w:after="0"/>
              <w:jc w:val="center"/>
              <w:rPr>
                <w:rFonts w:eastAsia="Times New Roman" w:cs="Times New Roman"/>
                <w:noProof/>
              </w:rPr>
            </w:pPr>
            <w:r>
              <w:rPr>
                <w:noProof/>
              </w:rPr>
              <w:t>456</w:t>
            </w:r>
          </w:p>
        </w:tc>
        <w:tc>
          <w:tcPr>
            <w:tcW w:w="969" w:type="dxa"/>
            <w:tcBorders>
              <w:top w:val="single" w:sz="4" w:space="0" w:color="auto"/>
              <w:left w:val="single" w:sz="4" w:space="0" w:color="auto"/>
              <w:bottom w:val="single" w:sz="4" w:space="0" w:color="auto"/>
              <w:right w:val="single" w:sz="4" w:space="0" w:color="auto"/>
            </w:tcBorders>
            <w:shd w:val="clear" w:color="auto" w:fill="C6EFCE"/>
            <w:noWrap/>
          </w:tcPr>
          <w:p w14:paraId="302C0AE1" w14:textId="58978213" w:rsidR="006578ED" w:rsidRDefault="00A1618E">
            <w:pPr>
              <w:pStyle w:val="P68B1DB1-Normal13"/>
              <w:spacing w:after="0"/>
              <w:jc w:val="center"/>
              <w:rPr>
                <w:rFonts w:eastAsia="Times New Roman" w:cs="Times New Roman"/>
                <w:noProof/>
              </w:rPr>
            </w:pPr>
            <w:r>
              <w:rPr>
                <w:noProof/>
              </w:rPr>
              <w:t>C15.I8</w:t>
            </w:r>
          </w:p>
        </w:tc>
        <w:tc>
          <w:tcPr>
            <w:tcW w:w="833" w:type="dxa"/>
            <w:tcBorders>
              <w:top w:val="single" w:sz="4" w:space="0" w:color="auto"/>
              <w:left w:val="single" w:sz="4" w:space="0" w:color="auto"/>
              <w:bottom w:val="single" w:sz="4" w:space="0" w:color="auto"/>
              <w:right w:val="single" w:sz="4" w:space="0" w:color="auto"/>
            </w:tcBorders>
            <w:shd w:val="clear" w:color="auto" w:fill="C6EFCE"/>
            <w:noWrap/>
          </w:tcPr>
          <w:p w14:paraId="24AA2E09" w14:textId="31E260B2" w:rsidR="006578ED" w:rsidRDefault="00AF6B91">
            <w:pPr>
              <w:pStyle w:val="P68B1DB1-Normal13"/>
              <w:spacing w:after="0"/>
              <w:jc w:val="both"/>
              <w:rPr>
                <w:rFonts w:eastAsia="Times New Roman" w:cs="Times New Roman"/>
                <w:noProof/>
              </w:rPr>
            </w:pPr>
            <w:r>
              <w:rPr>
                <w:noProof/>
              </w:rPr>
              <w:t>Cel</w:t>
            </w:r>
          </w:p>
        </w:tc>
        <w:tc>
          <w:tcPr>
            <w:tcW w:w="2451" w:type="dxa"/>
            <w:tcBorders>
              <w:top w:val="single" w:sz="4" w:space="0" w:color="auto"/>
              <w:left w:val="single" w:sz="4" w:space="0" w:color="auto"/>
              <w:bottom w:val="single" w:sz="4" w:space="0" w:color="auto"/>
              <w:right w:val="single" w:sz="4" w:space="0" w:color="auto"/>
            </w:tcBorders>
            <w:shd w:val="clear" w:color="auto" w:fill="C6EFCE"/>
            <w:noWrap/>
          </w:tcPr>
          <w:p w14:paraId="2FB4D002" w14:textId="61C0C1F7" w:rsidR="006578ED" w:rsidRDefault="00A1618E">
            <w:pPr>
              <w:pStyle w:val="P68B1DB1-Normal13"/>
              <w:spacing w:after="0"/>
              <w:rPr>
                <w:rFonts w:eastAsia="Times New Roman" w:cs="Times New Roman"/>
                <w:noProof/>
              </w:rPr>
            </w:pPr>
            <w:r>
              <w:rPr>
                <w:noProof/>
              </w:rPr>
              <w:t>CZIP PERTE. Krzesła i talenty w dziedzinie mikroelektroniki</w:t>
            </w:r>
          </w:p>
        </w:tc>
        <w:tc>
          <w:tcPr>
            <w:tcW w:w="1275" w:type="dxa"/>
            <w:tcBorders>
              <w:top w:val="single" w:sz="4" w:space="0" w:color="auto"/>
              <w:left w:val="single" w:sz="4" w:space="0" w:color="auto"/>
              <w:bottom w:val="single" w:sz="4" w:space="0" w:color="auto"/>
              <w:right w:val="single" w:sz="4" w:space="0" w:color="auto"/>
            </w:tcBorders>
            <w:shd w:val="clear" w:color="auto" w:fill="C6EFCE"/>
            <w:noWrap/>
          </w:tcPr>
          <w:p w14:paraId="469CB42B" w14:textId="77777777" w:rsidR="006578ED" w:rsidRDefault="006578ED">
            <w:pPr>
              <w:spacing w:after="0"/>
              <w:rPr>
                <w:rFonts w:ascii="Times New Roman" w:eastAsia="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4B8AE7D" w14:textId="77777777" w:rsidR="006578ED" w:rsidRDefault="00A1618E">
            <w:pPr>
              <w:pStyle w:val="P68B1DB1-Normal13"/>
              <w:spacing w:after="0"/>
              <w:jc w:val="both"/>
              <w:rPr>
                <w:rFonts w:eastAsia="Times New Roman" w:cs="Times New Roman"/>
                <w:noProof/>
              </w:rPr>
            </w:pPr>
            <w:r>
              <w:rPr>
                <w:noProof/>
              </w:rPr>
              <w:t>Liczba</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C0AB539" w14:textId="77777777" w:rsidR="006578ED" w:rsidRDefault="00A1618E">
            <w:pPr>
              <w:pStyle w:val="P68B1DB1-Normal13"/>
              <w:spacing w:after="0"/>
              <w:jc w:val="right"/>
              <w:rPr>
                <w:rFonts w:eastAsia="Times New Roman" w:cs="Times New Roman"/>
                <w:noProof/>
              </w:rPr>
            </w:pPr>
            <w:r>
              <w:rPr>
                <w:noProof/>
              </w:rPr>
              <w:t>0</w:t>
            </w:r>
          </w:p>
        </w:tc>
        <w:tc>
          <w:tcPr>
            <w:tcW w:w="776" w:type="dxa"/>
            <w:tcBorders>
              <w:top w:val="single" w:sz="4" w:space="0" w:color="auto"/>
              <w:left w:val="single" w:sz="4" w:space="0" w:color="auto"/>
              <w:bottom w:val="single" w:sz="4" w:space="0" w:color="auto"/>
              <w:right w:val="single" w:sz="4" w:space="0" w:color="auto"/>
            </w:tcBorders>
            <w:shd w:val="clear" w:color="auto" w:fill="C6EFCE"/>
            <w:noWrap/>
          </w:tcPr>
          <w:p w14:paraId="01D70DF3" w14:textId="0BBBA109" w:rsidR="006578ED" w:rsidRDefault="00A1618E">
            <w:pPr>
              <w:pStyle w:val="P68B1DB1-Normal13"/>
              <w:spacing w:after="0"/>
              <w:jc w:val="right"/>
              <w:rPr>
                <w:rFonts w:eastAsia="Times New Roman" w:cs="Times New Roman"/>
                <w:noProof/>
              </w:rPr>
            </w:pPr>
            <w:r>
              <w:rPr>
                <w:noProof/>
              </w:rPr>
              <w:t>13</w:t>
            </w:r>
          </w:p>
        </w:tc>
        <w:tc>
          <w:tcPr>
            <w:tcW w:w="500" w:type="dxa"/>
            <w:tcBorders>
              <w:top w:val="single" w:sz="4" w:space="0" w:color="auto"/>
              <w:left w:val="single" w:sz="4" w:space="0" w:color="auto"/>
              <w:bottom w:val="single" w:sz="4" w:space="0" w:color="auto"/>
              <w:right w:val="single" w:sz="4" w:space="0" w:color="auto"/>
            </w:tcBorders>
            <w:shd w:val="clear" w:color="auto" w:fill="C6EFCE"/>
            <w:noWrap/>
          </w:tcPr>
          <w:p w14:paraId="323EC645" w14:textId="5D4ACBB4" w:rsidR="006578ED" w:rsidRDefault="00EC188C">
            <w:pPr>
              <w:pStyle w:val="P68B1DB1-Normal13"/>
              <w:spacing w:after="0"/>
              <w:jc w:val="center"/>
              <w:rPr>
                <w:rFonts w:eastAsia="Times New Roman" w:cs="Times New Roman"/>
                <w:noProof/>
              </w:rPr>
            </w:pPr>
            <w:r>
              <w:rPr>
                <w:noProof/>
              </w:rPr>
              <w:t>KW. 2</w:t>
            </w:r>
          </w:p>
        </w:tc>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D49183E" w14:textId="77777777" w:rsidR="006578ED" w:rsidRDefault="00A1618E">
            <w:pPr>
              <w:pStyle w:val="P68B1DB1-Normal13"/>
              <w:spacing w:after="0"/>
              <w:jc w:val="center"/>
              <w:rPr>
                <w:rFonts w:eastAsia="Times New Roman" w:cs="Times New Roman"/>
                <w:noProof/>
              </w:rPr>
            </w:pPr>
            <w:r>
              <w:rPr>
                <w:noProof/>
              </w:rPr>
              <w:t>2026</w:t>
            </w:r>
          </w:p>
        </w:tc>
        <w:tc>
          <w:tcPr>
            <w:tcW w:w="5676" w:type="dxa"/>
            <w:gridSpan w:val="2"/>
            <w:tcBorders>
              <w:top w:val="single" w:sz="4" w:space="0" w:color="auto"/>
              <w:left w:val="single" w:sz="4" w:space="0" w:color="auto"/>
              <w:bottom w:val="single" w:sz="4" w:space="0" w:color="auto"/>
              <w:right w:val="single" w:sz="4" w:space="0" w:color="auto"/>
            </w:tcBorders>
            <w:shd w:val="clear" w:color="auto" w:fill="C6EFCE"/>
            <w:noWrap/>
          </w:tcPr>
          <w:p w14:paraId="6833BE77" w14:textId="764D3B7F" w:rsidR="006578ED" w:rsidRDefault="00A1618E">
            <w:pPr>
              <w:pStyle w:val="P68B1DB1-Normal13"/>
              <w:spacing w:after="0"/>
              <w:rPr>
                <w:rFonts w:cs="Times New Roman"/>
                <w:noProof/>
              </w:rPr>
            </w:pPr>
            <w:r>
              <w:rPr>
                <w:noProof/>
              </w:rPr>
              <w:t>Utworzenie i finansowanie co najmniej 13 profesorów uniwersyteckich, każdy na okres trzech lat finansowany ze środków RRF, koncentrujących się na mikroelektroniki w celu zwiększenia talentów w Hiszpanii związanych z projektowaniem i produkcją półprzewodników.</w:t>
            </w:r>
          </w:p>
        </w:tc>
      </w:tr>
    </w:tbl>
    <w:p w14:paraId="3535129C" w14:textId="77777777" w:rsidR="006578ED" w:rsidRDefault="00A1618E">
      <w:pPr>
        <w:rPr>
          <w:rFonts w:ascii="Times New Roman" w:hAnsi="Times New Roman" w:cs="Times New Roman"/>
          <w:noProof/>
        </w:rPr>
        <w:sectPr w:rsidR="006578ED" w:rsidSect="00EB7CC8">
          <w:headerReference w:type="even" r:id="rId312"/>
          <w:headerReference w:type="default" r:id="rId313"/>
          <w:footerReference w:type="even" r:id="rId314"/>
          <w:footerReference w:type="default" r:id="rId315"/>
          <w:headerReference w:type="first" r:id="rId316"/>
          <w:footerReference w:type="first" r:id="rId317"/>
          <w:pgSz w:w="16839" w:h="11907" w:orient="landscape"/>
          <w:pgMar w:top="1417" w:right="1134" w:bottom="1417" w:left="1134" w:header="709" w:footer="709" w:gutter="0"/>
          <w:cols w:space="720"/>
          <w:docGrid w:linePitch="360"/>
        </w:sectPr>
      </w:pPr>
      <w:r>
        <w:rPr>
          <w:noProof/>
        </w:rPr>
        <w:br/>
      </w:r>
    </w:p>
    <w:p w14:paraId="2DC4F565" w14:textId="77777777" w:rsidR="006578ED" w:rsidRDefault="006578ED">
      <w:pPr>
        <w:spacing w:before="120" w:after="120" w:line="240" w:lineRule="auto"/>
        <w:jc w:val="both"/>
        <w:rPr>
          <w:rFonts w:ascii="Times New Roman" w:hAnsi="Times New Roman" w:cs="Times New Roman"/>
          <w:noProof/>
          <w:sz w:val="24"/>
        </w:rPr>
        <w:sectPr w:rsidR="006578ED" w:rsidSect="00EB7CC8">
          <w:headerReference w:type="even" r:id="rId318"/>
          <w:headerReference w:type="default" r:id="rId319"/>
          <w:footerReference w:type="even" r:id="rId320"/>
          <w:footerReference w:type="default" r:id="rId321"/>
          <w:headerReference w:type="first" r:id="rId322"/>
          <w:footerReference w:type="first" r:id="rId323"/>
          <w:type w:val="continuous"/>
          <w:pgSz w:w="16839" w:h="11907" w:orient="landscape"/>
          <w:pgMar w:top="1417" w:right="1134" w:bottom="1417" w:left="1134" w:header="709" w:footer="709" w:gutter="0"/>
          <w:cols w:space="720"/>
          <w:docGrid w:linePitch="360"/>
        </w:sectPr>
      </w:pPr>
    </w:p>
    <w:p w14:paraId="7806FB6E" w14:textId="2E37F38C" w:rsidR="006578ED" w:rsidRDefault="00A1618E">
      <w:pPr>
        <w:pStyle w:val="P68B1DB1-Heading2blue35"/>
        <w:rPr>
          <w:noProof/>
        </w:rPr>
      </w:pPr>
      <w:r>
        <w:rPr>
          <w:noProof/>
        </w:rPr>
        <w:t xml:space="preserve">O.3. </w:t>
      </w:r>
      <w:r>
        <w:rPr>
          <w:noProof/>
        </w:rPr>
        <w:tab/>
        <w:t>Opis reform i inwestycji na potrzeby wsparcia w formie pożyczki</w:t>
      </w:r>
    </w:p>
    <w:p w14:paraId="3EE89FB3" w14:textId="23B0F548" w:rsidR="006578ED" w:rsidRDefault="00A1618E">
      <w:pPr>
        <w:pStyle w:val="P68B1DB1-Heading3blue36"/>
        <w:rPr>
          <w:noProof/>
          <w:shd w:val="clear" w:color="auto" w:fill="E6E6E6"/>
        </w:rPr>
      </w:pPr>
      <w:r>
        <w:rPr>
          <w:noProof/>
        </w:rPr>
        <w:t xml:space="preserve">Inwestycje </w:t>
      </w:r>
      <w:bookmarkStart w:id="50" w:name="_Hlk141289400"/>
      <w:r>
        <w:rPr>
          <w:noProof/>
        </w:rPr>
        <w:t>9 (C15.I9) – Mechanizm Finansowy CHIP</w:t>
      </w:r>
      <w:bookmarkEnd w:id="50"/>
    </w:p>
    <w:p w14:paraId="7D436FDD" w14:textId="465CF8DA" w:rsidR="006578ED" w:rsidRDefault="00A1618E">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Środek ten obejmuje inwestycje publiczne w instrument – mechanizm finansowy CHIP – w celu zachęcenia do inwestycji prywatnych i poprawy dostępu do finansowania </w:t>
      </w:r>
      <w:r>
        <w:rPr>
          <w:rFonts w:ascii="Times New Roman" w:hAnsi="Times New Roman"/>
          <w:noProof/>
          <w:sz w:val="24"/>
        </w:rPr>
        <w:t>w</w:t>
      </w:r>
      <w:r>
        <w:rPr>
          <w:rStyle w:val="normaltextrun"/>
          <w:rFonts w:ascii="Times New Roman" w:hAnsi="Times New Roman"/>
          <w:noProof/>
          <w:sz w:val="24"/>
          <w:shd w:val="clear" w:color="auto" w:fill="FFFFFF"/>
        </w:rPr>
        <w:t> </w:t>
      </w:r>
      <w:r>
        <w:rPr>
          <w:rFonts w:ascii="Times New Roman" w:hAnsi="Times New Roman"/>
          <w:noProof/>
          <w:sz w:val="24"/>
        </w:rPr>
        <w:t>hiszpańskim sektorze półprzewodników, w tym w dużych zakładach produkcyjnych</w:t>
      </w:r>
      <w:r>
        <w:rPr>
          <w:rStyle w:val="normaltextrun"/>
          <w:rFonts w:ascii="Times New Roman" w:hAnsi="Times New Roman"/>
          <w:noProof/>
          <w:sz w:val="24"/>
          <w:shd w:val="clear" w:color="auto" w:fill="FFFFFF"/>
        </w:rPr>
        <w:t>. Instrument ten działa poprzez udzielanie pożyczek, inwestycji kapitałowych i quasi-kapitałowych (lub ich kombinacji) dla sektora prywatnego, a także dla podmiotów sektora publicznego prowadzących podobną działalność. Na podstawie inwestycji w ramach RRF instrument ma początkowo zapewnić finansowanie w wysokości co najmniej 10 750 000 000 EUR.</w:t>
      </w:r>
    </w:p>
    <w:p w14:paraId="1F276953" w14:textId="0D09D759" w:rsidR="006578ED" w:rsidRDefault="00A1618E">
      <w:pPr>
        <w:spacing w:line="240" w:lineRule="auto"/>
        <w:jc w:val="both"/>
        <w:rPr>
          <w:rStyle w:val="normaltextrun"/>
          <w:rFonts w:ascii="Times New Roman" w:eastAsia="Times New Roman" w:hAnsi="Times New Roman" w:cs="Times New Roman"/>
          <w:noProof/>
          <w:sz w:val="24"/>
          <w:shd w:val="clear" w:color="auto" w:fill="FFFFFF"/>
        </w:rPr>
      </w:pPr>
      <w:r>
        <w:rPr>
          <w:rStyle w:val="normaltextrun"/>
          <w:rFonts w:ascii="Times New Roman" w:hAnsi="Times New Roman"/>
          <w:noProof/>
          <w:sz w:val="24"/>
          <w:shd w:val="clear" w:color="auto" w:fill="FFFFFF"/>
        </w:rPr>
        <w:t xml:space="preserve">Instrumentem zarządza </w:t>
      </w:r>
      <w:r>
        <w:rPr>
          <w:rFonts w:ascii="Times New Roman" w:hAnsi="Times New Roman"/>
          <w:noProof/>
          <w:sz w:val="24"/>
        </w:rPr>
        <w:t xml:space="preserve">Sociedad Estatal de Microelectrónica y Semiconductores (SEMyS) </w:t>
      </w:r>
      <w:r>
        <w:rPr>
          <w:rStyle w:val="normaltextrun"/>
          <w:rFonts w:ascii="Times New Roman" w:hAnsi="Times New Roman"/>
          <w:noProof/>
          <w:sz w:val="24"/>
          <w:shd w:val="clear" w:color="auto" w:fill="FFFFFF"/>
        </w:rPr>
        <w:t xml:space="preserve">jako partner wykonawczy. Fundusz obejmuje następujące linie produktowe: </w:t>
      </w:r>
    </w:p>
    <w:p w14:paraId="46004854" w14:textId="50D0430F" w:rsidR="006578ED" w:rsidRDefault="00A1618E">
      <w:pPr>
        <w:pStyle w:val="ListParagraph"/>
        <w:numPr>
          <w:ilvl w:val="0"/>
          <w:numId w:val="551"/>
        </w:numPr>
        <w:spacing w:line="240" w:lineRule="auto"/>
        <w:jc w:val="both"/>
        <w:rPr>
          <w:rStyle w:val="eop"/>
          <w:rFonts w:ascii="Times New Roman" w:hAnsi="Times New Roman" w:cs="Times New Roman"/>
          <w:noProof/>
          <w:sz w:val="24"/>
        </w:rPr>
      </w:pPr>
      <w:r>
        <w:rPr>
          <w:rStyle w:val="normaltextrun"/>
          <w:rFonts w:ascii="Times New Roman" w:hAnsi="Times New Roman"/>
          <w:noProof/>
          <w:sz w:val="24"/>
        </w:rPr>
        <w:t>Linia bezpośrednia: Inwestycje bezpośrednie w przedsiębiorstwa wykorzystujące zwykłe pożyczki, pożyczki partycypacyjne oraz udział w kapitale tymczasowym i mniejszościowym. Inwestycje kapitałowe Funduszu nie powodują, że udział kapitału publicznego w beneficjencie końcowym przekracza 49 % całkowitego kapitału własnego.</w:t>
      </w:r>
    </w:p>
    <w:p w14:paraId="27E92ACA" w14:textId="2BF9D63D" w:rsidR="006578ED" w:rsidRDefault="00A1618E">
      <w:pPr>
        <w:pStyle w:val="ListParagraph"/>
        <w:numPr>
          <w:ilvl w:val="0"/>
          <w:numId w:val="550"/>
        </w:numPr>
        <w:spacing w:line="240" w:lineRule="auto"/>
        <w:jc w:val="both"/>
        <w:rPr>
          <w:rStyle w:val="eop"/>
          <w:rFonts w:ascii="Times New Roman" w:eastAsia="Times New Roman" w:hAnsi="Times New Roman" w:cs="Times New Roman"/>
          <w:noProof/>
          <w:sz w:val="24"/>
          <w:shd w:val="clear" w:color="auto" w:fill="FFFFFF"/>
        </w:rPr>
      </w:pPr>
      <w:r>
        <w:rPr>
          <w:rStyle w:val="eop"/>
          <w:rFonts w:ascii="Times New Roman" w:hAnsi="Times New Roman"/>
          <w:noProof/>
          <w:sz w:val="24"/>
          <w:shd w:val="clear" w:color="auto" w:fill="FFFFFF"/>
        </w:rPr>
        <w:t xml:space="preserve">Współinwestowanie w „otwarte unijne fabryki” i „zintegrowane zakłady produkcyjne”: </w:t>
      </w:r>
      <w:r>
        <w:rPr>
          <w:rStyle w:val="eop"/>
          <w:rFonts w:ascii="Times New Roman" w:hAnsi="Times New Roman"/>
          <w:noProof/>
          <w:sz w:val="24"/>
        </w:rPr>
        <w:t xml:space="preserve">Aby wesprzeć przemysł produkcji półprzewodników w Hiszpanii, Fundusz musi być w stanie udzielać wsparcia mieszanym instrumentom finansowym poprzez pożyczki, kapitał własny i quasi-kapitał własny (lub ich połączenie), które integrują kapitał prywatny i publiczny w koordynacji z publicznymi programami wsparcia, z zastrzeżeniem wymogów w zakresie zarządzania przedstawionych poniżej. </w:t>
      </w:r>
    </w:p>
    <w:p w14:paraId="3C3BF76C" w14:textId="1F08F36D" w:rsidR="006578ED" w:rsidRDefault="00A1618E">
      <w:pPr>
        <w:pStyle w:val="P68B1DB1-Normal4"/>
        <w:spacing w:line="240" w:lineRule="auto"/>
        <w:jc w:val="both"/>
        <w:rPr>
          <w:rFonts w:eastAsia="Times New Roman" w:cs="Times New Roman"/>
          <w:noProof/>
        </w:rPr>
      </w:pPr>
      <w:r>
        <w:rPr>
          <w:noProof/>
        </w:rPr>
        <w:t xml:space="preserve">W celu realizacji inwestycji w instrument Hiszpania i SEMyS podpisują umowę wykonawczą lub Hiszpania zatwierdza odpowiedni instrument prawny i powiązane dokumenty, które zawierają następującą treść: </w:t>
      </w:r>
    </w:p>
    <w:p w14:paraId="638FB3BD" w14:textId="5421BBB8" w:rsidR="006578ED" w:rsidRDefault="00A1618E">
      <w:pPr>
        <w:pStyle w:val="P68B1DB1-ListParagraph7"/>
        <w:numPr>
          <w:ilvl w:val="0"/>
          <w:numId w:val="761"/>
        </w:numPr>
        <w:spacing w:line="240" w:lineRule="auto"/>
        <w:contextualSpacing w:val="0"/>
        <w:jc w:val="both"/>
        <w:rPr>
          <w:rFonts w:eastAsia="Times New Roman" w:cs="Times New Roman"/>
          <w:noProof/>
        </w:rPr>
      </w:pPr>
      <w:r>
        <w:rPr>
          <w:noProof/>
        </w:rPr>
        <w:t>Opis procesu decyzyjnego w ramach Instrumentu</w:t>
      </w:r>
      <w:r w:rsidRPr="00A1618E">
        <w:rPr>
          <w:noProof/>
          <w:lang w:val="pl-PL"/>
        </w:rPr>
        <w:t>: D</w:t>
      </w:r>
      <w:r>
        <w:rPr>
          <w:noProof/>
        </w:rPr>
        <w:t>ecyzję o początkowej inwestycji instrumentu podejmuje komitet inwestycyjny lub inny odpowiedni równoważny organ zarządzający i zatwierdzana większością głosów członków niezależnych od rządu hiszpańskiego. Ostateczna decyzja inwestycyjna Instrumentu ogranicza się do zatwierdzenia (bez zmian) lub korzystania z prawa weta w odniesieniu do decyzji inwestycyjnej zaproponowanej przez komitet inwestycyjny lub odpowiedni równoważny organ zarządzający.</w:t>
      </w:r>
    </w:p>
    <w:p w14:paraId="1AEF3AC5" w14:textId="77777777" w:rsidR="006578ED" w:rsidRDefault="00A1618E">
      <w:pPr>
        <w:pStyle w:val="P68B1DB1-ListParagraph7"/>
        <w:numPr>
          <w:ilvl w:val="0"/>
          <w:numId w:val="761"/>
        </w:numPr>
        <w:spacing w:line="240" w:lineRule="auto"/>
        <w:jc w:val="both"/>
        <w:rPr>
          <w:rFonts w:eastAsia="Times New Roman" w:cs="Times New Roman"/>
          <w:noProof/>
        </w:rPr>
      </w:pPr>
      <w:r>
        <w:rPr>
          <w:noProof/>
        </w:rPr>
        <w:t>Kluczowe wymogi powiązanej polityki inwestycyjnej, które obejmują:</w:t>
      </w:r>
    </w:p>
    <w:p w14:paraId="66AE5AA0" w14:textId="51C7B9A3" w:rsidR="006578ED" w:rsidRPr="00A1618E" w:rsidRDefault="00A1618E">
      <w:pPr>
        <w:pStyle w:val="P68B1DB1-ListParagraph7"/>
        <w:numPr>
          <w:ilvl w:val="1"/>
          <w:numId w:val="761"/>
        </w:numPr>
        <w:spacing w:line="240" w:lineRule="auto"/>
        <w:jc w:val="both"/>
        <w:rPr>
          <w:rFonts w:eastAsia="Times New Roman" w:cs="Times New Roman"/>
          <w:noProof/>
          <w:lang w:val="pl-PL"/>
        </w:rPr>
      </w:pPr>
      <w:r>
        <w:rPr>
          <w:noProof/>
        </w:rPr>
        <w:t>Opis produktów finansowych i kwalifikujących się beneficjentów końcowych zgodnie z opisem środka</w:t>
      </w:r>
      <w:r w:rsidRPr="00A1618E">
        <w:rPr>
          <w:noProof/>
          <w:lang w:val="pl-PL"/>
        </w:rPr>
        <w:t xml:space="preserve">. </w:t>
      </w:r>
    </w:p>
    <w:p w14:paraId="49D79BC5" w14:textId="77777777" w:rsidR="006578ED" w:rsidRDefault="00A1618E">
      <w:pPr>
        <w:pStyle w:val="P68B1DB1-ListParagraph7"/>
        <w:numPr>
          <w:ilvl w:val="1"/>
          <w:numId w:val="761"/>
        </w:numPr>
        <w:spacing w:line="240" w:lineRule="auto"/>
        <w:jc w:val="both"/>
        <w:rPr>
          <w:rFonts w:eastAsia="Times New Roman" w:cs="Times New Roman"/>
          <w:noProof/>
        </w:rPr>
      </w:pPr>
      <w:r>
        <w:rPr>
          <w:noProof/>
        </w:rPr>
        <w:t>Wymóg, aby wszystkie wspierane inwestycje były ekonomicznie opłacalne.</w:t>
      </w:r>
    </w:p>
    <w:p w14:paraId="6F7FA0C4" w14:textId="2F321FB2" w:rsidR="006578ED" w:rsidRPr="00A1618E" w:rsidRDefault="00A1618E">
      <w:pPr>
        <w:pStyle w:val="P68B1DB1-ListParagraph7"/>
        <w:numPr>
          <w:ilvl w:val="1"/>
          <w:numId w:val="761"/>
        </w:numPr>
        <w:spacing w:line="240" w:lineRule="auto"/>
        <w:jc w:val="both"/>
        <w:rPr>
          <w:rFonts w:eastAsia="Times New Roman" w:cs="Times New Roman"/>
          <w:noProof/>
          <w:lang w:val="pl-PL"/>
        </w:rPr>
      </w:pPr>
      <w:r>
        <w:rPr>
          <w:noProof/>
        </w:rPr>
        <w:t>Zakaz refinansowania wszelkich niespłaconych pożyczek</w:t>
      </w:r>
      <w:r w:rsidRPr="00A1618E">
        <w:rPr>
          <w:noProof/>
          <w:lang w:val="pl-PL"/>
        </w:rPr>
        <w:t xml:space="preserve">. </w:t>
      </w:r>
    </w:p>
    <w:p w14:paraId="11646C73" w14:textId="2CAA0562" w:rsidR="006578ED" w:rsidRDefault="00A1618E">
      <w:pPr>
        <w:pStyle w:val="P68B1DB1-ListParagraph7"/>
        <w:numPr>
          <w:ilvl w:val="1"/>
          <w:numId w:val="761"/>
        </w:numPr>
        <w:spacing w:line="240" w:lineRule="auto"/>
        <w:jc w:val="both"/>
        <w:rPr>
          <w:rFonts w:eastAsia="Times New Roman" w:cs="Times New Roman"/>
          <w:noProof/>
        </w:rPr>
      </w:pPr>
      <w:r>
        <w:rPr>
          <w:noProof/>
        </w:rPr>
        <w:t>Wymóg zgodności z zasadą „nie czyń poważnych szkód” (DNSH) określoną w wytycznych technicznych dotyczących zasady „nie czyń poważnych szkód” (2021/C58/01), w szczególności inwestycje w nowe obiekty, musi wykorzystywać najlepszą dostępną technologię o najniższym wpływie na środowisko w tym sektorze. Ponadto polityka inwestycyjna wymaga zgodności z odpowiednimi unijnymi i krajowymi przepisami w zakresie ochrony środowiska beneficjentów końcowych Instrumentu.</w:t>
      </w:r>
    </w:p>
    <w:p w14:paraId="54A13A50" w14:textId="31266124" w:rsidR="006578ED" w:rsidRDefault="00A1618E">
      <w:pPr>
        <w:pStyle w:val="P68B1DB1-ListParagraph7"/>
        <w:numPr>
          <w:ilvl w:val="1"/>
          <w:numId w:val="761"/>
        </w:numPr>
        <w:rPr>
          <w:rFonts w:eastAsia="Times New Roman" w:cs="Times New Roman"/>
          <w:noProof/>
        </w:rPr>
      </w:pPr>
      <w:r>
        <w:rPr>
          <w:noProof/>
        </w:rPr>
        <w:t>Wymóg, zgodnie z którym beneficjenci końcowi Instrumentu nie mogą otrzymywać wsparcia z innych instrumentów unijnych w celu pokrycia tych samych kosztów.</w:t>
      </w:r>
    </w:p>
    <w:p w14:paraId="4846F44A" w14:textId="10ECF562" w:rsidR="006578ED" w:rsidRDefault="00A1618E">
      <w:pPr>
        <w:pStyle w:val="P68B1DB1-ListParagraph7"/>
        <w:numPr>
          <w:ilvl w:val="0"/>
          <w:numId w:val="761"/>
        </w:numPr>
        <w:jc w:val="both"/>
        <w:rPr>
          <w:rFonts w:eastAsia="Times New Roman" w:cs="Times New Roman"/>
          <w:noProof/>
        </w:rPr>
      </w:pPr>
      <w:r>
        <w:rPr>
          <w:noProof/>
        </w:rPr>
        <w:t>Kwotę objętą instrumentem prawnym i powiązanymi dokumentami ustanawiającym Instrument, strukturę opłat dla partnera wykonawczego oraz wymóg reinwestowania wszelkich środków powracających zgodnie z polityką inwestycyjną Instrumentu, chyba że są one wykorzystywane do obsługi spłat pożyczek w ramach Instrumentu na rzecz Odbudowy i Zwiększania Odporności.</w:t>
      </w:r>
    </w:p>
    <w:p w14:paraId="6516A3EE" w14:textId="1266CC7C" w:rsidR="006578ED" w:rsidRDefault="00A1618E">
      <w:pPr>
        <w:pStyle w:val="P68B1DB1-ListParagraph7"/>
        <w:numPr>
          <w:ilvl w:val="0"/>
          <w:numId w:val="761"/>
        </w:numPr>
        <w:jc w:val="both"/>
        <w:rPr>
          <w:rFonts w:eastAsia="Times New Roman" w:cs="Times New Roman"/>
          <w:noProof/>
        </w:rPr>
      </w:pPr>
      <w:r>
        <w:rPr>
          <w:noProof/>
        </w:rPr>
        <w:t>Wymogi w zakresie monitorowania, audytu i kontroli, w tym:</w:t>
      </w:r>
    </w:p>
    <w:p w14:paraId="309BD4A1" w14:textId="77777777" w:rsidR="006578ED" w:rsidRDefault="00A1618E">
      <w:pPr>
        <w:pStyle w:val="P68B1DB1-ListParagraph7"/>
        <w:numPr>
          <w:ilvl w:val="1"/>
          <w:numId w:val="761"/>
        </w:numPr>
        <w:jc w:val="both"/>
        <w:rPr>
          <w:rFonts w:eastAsia="Times New Roman" w:cs="Times New Roman"/>
          <w:noProof/>
        </w:rPr>
      </w:pPr>
      <w:r>
        <w:rPr>
          <w:noProof/>
        </w:rPr>
        <w:t>Opis stosowanego przez partnera wykonawczego systemu monitorowania służącego do sprawozdawczości na temat uruchomionych inwestycji.</w:t>
      </w:r>
    </w:p>
    <w:p w14:paraId="6538DEEE" w14:textId="4CDC27C9" w:rsidR="006578ED" w:rsidRDefault="00A1618E">
      <w:pPr>
        <w:pStyle w:val="P68B1DB1-ListParagraph7"/>
        <w:numPr>
          <w:ilvl w:val="1"/>
          <w:numId w:val="761"/>
        </w:numPr>
        <w:jc w:val="both"/>
        <w:rPr>
          <w:rFonts w:eastAsia="Times New Roman" w:cs="Times New Roman"/>
          <w:noProof/>
        </w:rPr>
      </w:pPr>
      <w:r>
        <w:rPr>
          <w:noProof/>
        </w:rPr>
        <w:t xml:space="preserve">Opis procedur partnera wykonawczego, które zapewnią zapobieganie nadużyciom finansowym, korupcji i konfliktom interesów oraz ich wykrywanie i korygowanie. </w:t>
      </w:r>
    </w:p>
    <w:p w14:paraId="51CD4460" w14:textId="0CC17CE0" w:rsidR="006578ED" w:rsidRDefault="00A1618E">
      <w:pPr>
        <w:pStyle w:val="P68B1DB1-ListParagraph7"/>
        <w:numPr>
          <w:ilvl w:val="1"/>
          <w:numId w:val="761"/>
        </w:numPr>
        <w:jc w:val="both"/>
        <w:rPr>
          <w:rFonts w:eastAsia="Times New Roman" w:cs="Times New Roman"/>
          <w:noProof/>
        </w:rPr>
      </w:pPr>
      <w:r>
        <w:rPr>
          <w:noProof/>
        </w:rPr>
        <w:t>Obowiązek weryfikacji kwalifikowalności każdej operacji zgodnie z wymogami określonymi w rozporządzeniach ustanawiających Instrument przed zobowiązaniem się do finansowania danej operacji.</w:t>
      </w:r>
    </w:p>
    <w:p w14:paraId="4AC4F0A4" w14:textId="1DD62B52" w:rsidR="006578ED" w:rsidRDefault="00A1618E">
      <w:pPr>
        <w:pStyle w:val="P68B1DB1-ListParagraph7"/>
        <w:numPr>
          <w:ilvl w:val="1"/>
          <w:numId w:val="761"/>
        </w:numPr>
        <w:jc w:val="both"/>
        <w:rPr>
          <w:rFonts w:eastAsia="Times New Roman" w:cs="Times New Roman"/>
          <w:noProof/>
        </w:rPr>
      </w:pPr>
      <w:r>
        <w:rPr>
          <w:noProof/>
        </w:rPr>
        <w:t xml:space="preserve">Obowiązek przeprowadzania opartych na analizie ryzyka audytów ex post zgodnie z planem audytu SEMyS. Audyty te mają na celu sprawdzenie (i) skuteczności systemów kontroli, w tym wykrywania nadużyć finansowych, korupcji i konfliktu interesów; zgodność z zasadą „nie czyń poważnych szkód”, zasadami pomocy państwa, wymogami dotyczącymi celów klimatycznych i cyfrowych; oraz (iii) wymóg weryfikacji przez pośrednika, czy beneficjent końcowy przedstawia odpowiedzialne oświadczenie w celu sprawdzenia, czy te same koszty są pokrywane z innego instrumentu unijnego, jest przestrzegany. W ramach audytów sprawdza się również legalność transakcji oraz przestrzeganie warunków obowiązującej umowy wykonawczej lub rozporządzenia i powiązanych dokumentów ustanawiających Instrument i umów o finansowaniu. </w:t>
      </w:r>
    </w:p>
    <w:p w14:paraId="49750047" w14:textId="42E579D3" w:rsidR="006578ED" w:rsidRDefault="00A1618E">
      <w:pPr>
        <w:pStyle w:val="ListParagraph"/>
        <w:numPr>
          <w:ilvl w:val="0"/>
          <w:numId w:val="761"/>
        </w:numPr>
        <w:spacing w:line="240" w:lineRule="auto"/>
        <w:jc w:val="both"/>
        <w:rPr>
          <w:rFonts w:ascii="Times New Roman" w:eastAsia="Times New Roman" w:hAnsi="Times New Roman" w:cs="Times New Roman"/>
          <w:noProof/>
          <w:sz w:val="24"/>
          <w:shd w:val="clear" w:color="auto" w:fill="FFFFFF"/>
        </w:rPr>
      </w:pPr>
      <w:r>
        <w:rPr>
          <w:rFonts w:ascii="Times New Roman" w:hAnsi="Times New Roman"/>
          <w:noProof/>
          <w:sz w:val="24"/>
        </w:rPr>
        <w:t>Wymogi dotyczące inwestycji cyfrowych realizowanych przez partnera wykonawczego: co najmniej 10 750 000 000 EUR z inwestycji w Instrument w ramach RRF przyczynia się do realizacji celów transformacji cyfrowej zgodnie z załącznikiem VII do rozporządzenia w sprawie RRF.</w:t>
      </w:r>
      <w:r>
        <w:rPr>
          <w:rStyle w:val="FootnoteReference"/>
          <w:rFonts w:ascii="Times New Roman" w:eastAsia="Times New Roman" w:hAnsi="Times New Roman" w:cs="Times New Roman"/>
          <w:noProof/>
          <w:sz w:val="24"/>
        </w:rPr>
        <w:footnoteReference w:id="160"/>
      </w:r>
      <w:r>
        <w:rPr>
          <w:rFonts w:ascii="Times New Roman" w:hAnsi="Times New Roman"/>
          <w:noProof/>
          <w:sz w:val="24"/>
        </w:rPr>
        <w:t xml:space="preserve"> </w:t>
      </w:r>
    </w:p>
    <w:p w14:paraId="26E1CE06" w14:textId="30E2A0EE" w:rsidR="006578ED" w:rsidRDefault="00A1618E">
      <w:pPr>
        <w:pStyle w:val="maintext"/>
        <w:rPr>
          <w:noProof/>
        </w:rPr>
      </w:pPr>
      <w:r>
        <w:rPr>
          <w:noProof/>
        </w:rPr>
        <w:t>Wdrożenie środka należy zakończyć do dnia 31 sierpnia 20</w:t>
      </w:r>
      <w:r w:rsidRPr="00A1618E">
        <w:rPr>
          <w:noProof/>
          <w:lang w:val="pl-PL"/>
        </w:rPr>
        <w:t>26 r.</w:t>
      </w:r>
    </w:p>
    <w:p w14:paraId="3FA97640" w14:textId="69A9A9E5" w:rsidR="006578ED" w:rsidRDefault="00A1618E">
      <w:pPr>
        <w:pStyle w:val="P68B1DB1-Normal5"/>
        <w:ind w:left="720"/>
        <w:rPr>
          <w:rFonts w:cs="Times New Roman"/>
          <w:noProof/>
        </w:rPr>
      </w:pPr>
      <w:r>
        <w:rPr>
          <w:noProof/>
        </w:rPr>
        <w:t xml:space="preserve">O.4. </w:t>
      </w:r>
      <w:r>
        <w:rPr>
          <w:noProof/>
        </w:rPr>
        <w:tab/>
        <w:t>Cele pośrednie, wartości docelowe, wskaźniki oraz harmonogram monitorowania i wdrażania zwrotnego wsparcia finansowego</w:t>
      </w:r>
    </w:p>
    <w:p w14:paraId="632A4652" w14:textId="6145B7C3" w:rsidR="006578ED" w:rsidRDefault="00A1618E">
      <w:pPr>
        <w:pStyle w:val="P68B1DB1-Normal18"/>
        <w:rPr>
          <w:rFonts w:cs="Times New Roman"/>
          <w:noProof/>
        </w:rPr>
      </w:pPr>
      <w:r>
        <w:rPr>
          <w:noProof/>
        </w:rPr>
        <w:t>Zob. tabela poniżej. Datą odniesienia dla wszystkich wskaźników jest dzień 1 lutego 20</w:t>
      </w:r>
      <w:r w:rsidRPr="00A1618E">
        <w:rPr>
          <w:noProof/>
          <w:lang w:val="pl-PL"/>
        </w:rPr>
        <w:t>20 r.</w:t>
      </w:r>
      <w:r>
        <w:rPr>
          <w:noProof/>
        </w:rPr>
        <w:t xml:space="preserve">, chyba że w opisie działania wskazano inaczej. </w:t>
      </w:r>
    </w:p>
    <w:p w14:paraId="67D8A628" w14:textId="77777777" w:rsidR="006578ED" w:rsidRDefault="006578ED">
      <w:pPr>
        <w:spacing w:line="240" w:lineRule="auto"/>
        <w:rPr>
          <w:rFonts w:ascii="Times New Roman" w:hAnsi="Times New Roman" w:cs="Times New Roman"/>
          <w:noProof/>
        </w:rPr>
      </w:pPr>
    </w:p>
    <w:p w14:paraId="7D6B3BB9"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324"/>
          <w:headerReference w:type="default" r:id="rId325"/>
          <w:footerReference w:type="even" r:id="rId326"/>
          <w:footerReference w:type="default" r:id="rId327"/>
          <w:headerReference w:type="first" r:id="rId328"/>
          <w:footerReference w:type="first" r:id="rId329"/>
          <w:pgSz w:w="11907" w:h="16839"/>
          <w:pgMar w:top="1134" w:right="1417" w:bottom="1134" w:left="1417" w:header="709" w:footer="709" w:gutter="0"/>
          <w:cols w:space="720"/>
          <w:docGrid w:linePitch="360"/>
        </w:sectPr>
      </w:pPr>
    </w:p>
    <w:tbl>
      <w:tblPr>
        <w:tblW w:w="13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992"/>
        <w:gridCol w:w="992"/>
        <w:gridCol w:w="1701"/>
        <w:gridCol w:w="1276"/>
        <w:gridCol w:w="709"/>
        <w:gridCol w:w="709"/>
        <w:gridCol w:w="708"/>
        <w:gridCol w:w="426"/>
        <w:gridCol w:w="567"/>
        <w:gridCol w:w="4958"/>
      </w:tblGrid>
      <w:tr w:rsidR="006578ED" w14:paraId="43963385" w14:textId="77777777">
        <w:trPr>
          <w:trHeight w:val="300"/>
          <w:tblHeader/>
        </w:trPr>
        <w:tc>
          <w:tcPr>
            <w:tcW w:w="846" w:type="dxa"/>
            <w:vMerge w:val="restart"/>
            <w:shd w:val="clear" w:color="auto" w:fill="BDD7EE"/>
            <w:vAlign w:val="center"/>
            <w:hideMark/>
          </w:tcPr>
          <w:p w14:paraId="15DF1754" w14:textId="77777777" w:rsidR="006578ED" w:rsidRDefault="00A1618E">
            <w:pPr>
              <w:pStyle w:val="P68B1DB1-Normal12"/>
              <w:jc w:val="center"/>
              <w:rPr>
                <w:rFonts w:eastAsia="Times New Roman" w:cs="Times New Roman"/>
                <w:noProof/>
              </w:rPr>
            </w:pPr>
            <w:r>
              <w:rPr>
                <w:noProof/>
              </w:rPr>
              <w:t>Liczba</w:t>
            </w:r>
          </w:p>
        </w:tc>
        <w:tc>
          <w:tcPr>
            <w:tcW w:w="992" w:type="dxa"/>
            <w:vMerge w:val="restart"/>
            <w:shd w:val="clear" w:color="auto" w:fill="BDD7EE"/>
            <w:vAlign w:val="center"/>
            <w:hideMark/>
          </w:tcPr>
          <w:p w14:paraId="2A8EB361" w14:textId="77777777" w:rsidR="006578ED" w:rsidRDefault="00A1618E">
            <w:pPr>
              <w:pStyle w:val="P68B1DB1-Normal12"/>
              <w:jc w:val="center"/>
              <w:rPr>
                <w:rFonts w:eastAsia="Times New Roman" w:cs="Times New Roman"/>
                <w:noProof/>
              </w:rPr>
            </w:pPr>
            <w:r>
              <w:rPr>
                <w:noProof/>
              </w:rPr>
              <w:t>Środek</w:t>
            </w:r>
          </w:p>
        </w:tc>
        <w:tc>
          <w:tcPr>
            <w:tcW w:w="992" w:type="dxa"/>
            <w:vMerge w:val="restart"/>
            <w:shd w:val="clear" w:color="auto" w:fill="BDD7EE"/>
            <w:vAlign w:val="center"/>
            <w:hideMark/>
          </w:tcPr>
          <w:p w14:paraId="3F845D1D" w14:textId="00F52961" w:rsidR="006578ED" w:rsidRDefault="00EC188C">
            <w:pPr>
              <w:pStyle w:val="P68B1DB1-Normal13"/>
              <w:jc w:val="center"/>
              <w:rPr>
                <w:rFonts w:eastAsia="Times New Roman" w:cs="Times New Roman"/>
                <w:b/>
                <w:noProof/>
              </w:rPr>
            </w:pPr>
            <w:r>
              <w:rPr>
                <w:b/>
                <w:noProof/>
              </w:rPr>
              <w:t>Kamień milowy</w:t>
            </w:r>
            <w:r>
              <w:rPr>
                <w:noProof/>
              </w:rPr>
              <w:br/>
            </w:r>
            <w:r>
              <w:rPr>
                <w:b/>
                <w:noProof/>
              </w:rPr>
              <w:t xml:space="preserve"> /</w:t>
            </w:r>
            <w:r w:rsidR="00AF6B91">
              <w:rPr>
                <w:b/>
                <w:noProof/>
              </w:rPr>
              <w:t>Wartość docelowa</w:t>
            </w:r>
          </w:p>
        </w:tc>
        <w:tc>
          <w:tcPr>
            <w:tcW w:w="1701" w:type="dxa"/>
            <w:vMerge w:val="restart"/>
            <w:shd w:val="clear" w:color="auto" w:fill="BDD7EE"/>
            <w:vAlign w:val="center"/>
            <w:hideMark/>
          </w:tcPr>
          <w:p w14:paraId="53F5094F" w14:textId="77777777" w:rsidR="006578ED" w:rsidRDefault="00A1618E">
            <w:pPr>
              <w:pStyle w:val="P68B1DB1-Normal12"/>
              <w:jc w:val="center"/>
              <w:rPr>
                <w:rFonts w:eastAsia="Times New Roman" w:cs="Times New Roman"/>
                <w:noProof/>
              </w:rPr>
            </w:pPr>
            <w:r>
              <w:rPr>
                <w:noProof/>
              </w:rPr>
              <w:t>Nazwa</w:t>
            </w:r>
          </w:p>
        </w:tc>
        <w:tc>
          <w:tcPr>
            <w:tcW w:w="1276" w:type="dxa"/>
            <w:vMerge w:val="restart"/>
            <w:shd w:val="clear" w:color="auto" w:fill="BDD7EE"/>
            <w:vAlign w:val="center"/>
            <w:hideMark/>
          </w:tcPr>
          <w:p w14:paraId="7A730B7D" w14:textId="77777777" w:rsidR="006578ED" w:rsidRDefault="00A1618E">
            <w:pPr>
              <w:pStyle w:val="P68B1DB1-Normal12"/>
              <w:jc w:val="center"/>
              <w:rPr>
                <w:rFonts w:eastAsia="Times New Roman" w:cs="Times New Roman"/>
                <w:noProof/>
              </w:rPr>
            </w:pPr>
            <w:r>
              <w:rPr>
                <w:noProof/>
              </w:rPr>
              <w:t>Wskaźnik jakościowy dla celów pośrednich</w:t>
            </w:r>
          </w:p>
        </w:tc>
        <w:tc>
          <w:tcPr>
            <w:tcW w:w="2126" w:type="dxa"/>
            <w:gridSpan w:val="3"/>
            <w:shd w:val="clear" w:color="auto" w:fill="BDD7EE"/>
            <w:vAlign w:val="center"/>
            <w:hideMark/>
          </w:tcPr>
          <w:p w14:paraId="2A8CBAEA" w14:textId="77777777" w:rsidR="006578ED" w:rsidRDefault="00A1618E">
            <w:pPr>
              <w:pStyle w:val="P68B1DB1-Normal12"/>
              <w:jc w:val="center"/>
              <w:rPr>
                <w:rFonts w:eastAsia="Times New Roman" w:cs="Times New Roman"/>
                <w:noProof/>
              </w:rPr>
            </w:pPr>
            <w:r>
              <w:rPr>
                <w:noProof/>
              </w:rPr>
              <w:t>Wskaźnik ilościowy dla celu</w:t>
            </w:r>
          </w:p>
        </w:tc>
        <w:tc>
          <w:tcPr>
            <w:tcW w:w="993" w:type="dxa"/>
            <w:gridSpan w:val="2"/>
            <w:shd w:val="clear" w:color="auto" w:fill="BDD7EE"/>
            <w:vAlign w:val="center"/>
            <w:hideMark/>
          </w:tcPr>
          <w:p w14:paraId="73EB6A43" w14:textId="77777777" w:rsidR="006578ED" w:rsidRDefault="00A1618E">
            <w:pPr>
              <w:pStyle w:val="P68B1DB1-Normal12"/>
              <w:jc w:val="center"/>
              <w:rPr>
                <w:rFonts w:eastAsia="Times New Roman" w:cs="Times New Roman"/>
                <w:noProof/>
              </w:rPr>
            </w:pPr>
            <w:r>
              <w:rPr>
                <w:noProof/>
              </w:rPr>
              <w:t>Czas</w:t>
            </w:r>
          </w:p>
        </w:tc>
        <w:tc>
          <w:tcPr>
            <w:tcW w:w="4958" w:type="dxa"/>
            <w:vMerge w:val="restart"/>
            <w:shd w:val="clear" w:color="auto" w:fill="BDD7EE"/>
            <w:vAlign w:val="center"/>
            <w:hideMark/>
          </w:tcPr>
          <w:p w14:paraId="29588294" w14:textId="44996552" w:rsidR="006578ED" w:rsidRDefault="00A1618E">
            <w:pPr>
              <w:pStyle w:val="P68B1DB1-Normal12"/>
              <w:jc w:val="center"/>
              <w:rPr>
                <w:rFonts w:eastAsia="Times New Roman" w:cs="Times New Roman"/>
                <w:noProof/>
              </w:rPr>
            </w:pPr>
            <w:r>
              <w:rPr>
                <w:noProof/>
              </w:rPr>
              <w:t>Opis każdego celu pośredniego i celu końcowego</w:t>
            </w:r>
          </w:p>
        </w:tc>
      </w:tr>
      <w:tr w:rsidR="006578ED" w14:paraId="5C2B87F9" w14:textId="77777777">
        <w:trPr>
          <w:trHeight w:val="495"/>
        </w:trPr>
        <w:tc>
          <w:tcPr>
            <w:tcW w:w="846" w:type="dxa"/>
            <w:vMerge/>
            <w:shd w:val="clear" w:color="auto" w:fill="BDD7EE"/>
            <w:hideMark/>
          </w:tcPr>
          <w:p w14:paraId="7443414A" w14:textId="77777777" w:rsidR="006578ED" w:rsidRDefault="006578ED">
            <w:pPr>
              <w:jc w:val="center"/>
              <w:rPr>
                <w:rFonts w:ascii="Times New Roman" w:eastAsia="Times New Roman" w:hAnsi="Times New Roman" w:cs="Times New Roman"/>
                <w:b/>
                <w:noProof/>
                <w:sz w:val="18"/>
              </w:rPr>
            </w:pPr>
          </w:p>
        </w:tc>
        <w:tc>
          <w:tcPr>
            <w:tcW w:w="992" w:type="dxa"/>
            <w:vMerge/>
            <w:shd w:val="clear" w:color="auto" w:fill="BDD7EE"/>
            <w:hideMark/>
          </w:tcPr>
          <w:p w14:paraId="532CBB21" w14:textId="77777777" w:rsidR="006578ED" w:rsidRDefault="006578ED">
            <w:pPr>
              <w:jc w:val="center"/>
              <w:rPr>
                <w:rFonts w:ascii="Times New Roman" w:eastAsia="Times New Roman" w:hAnsi="Times New Roman" w:cs="Times New Roman"/>
                <w:b/>
                <w:noProof/>
                <w:sz w:val="18"/>
              </w:rPr>
            </w:pPr>
          </w:p>
        </w:tc>
        <w:tc>
          <w:tcPr>
            <w:tcW w:w="992" w:type="dxa"/>
            <w:vMerge/>
            <w:shd w:val="clear" w:color="auto" w:fill="BDD7EE"/>
            <w:hideMark/>
          </w:tcPr>
          <w:p w14:paraId="7613B594" w14:textId="77777777" w:rsidR="006578ED" w:rsidRDefault="006578ED">
            <w:pPr>
              <w:jc w:val="center"/>
              <w:rPr>
                <w:rFonts w:ascii="Times New Roman" w:eastAsia="Times New Roman" w:hAnsi="Times New Roman" w:cs="Times New Roman"/>
                <w:b/>
                <w:noProof/>
                <w:sz w:val="18"/>
              </w:rPr>
            </w:pPr>
          </w:p>
        </w:tc>
        <w:tc>
          <w:tcPr>
            <w:tcW w:w="1701" w:type="dxa"/>
            <w:vMerge/>
            <w:shd w:val="clear" w:color="auto" w:fill="BDD7EE"/>
            <w:hideMark/>
          </w:tcPr>
          <w:p w14:paraId="6D29F1BD" w14:textId="77777777" w:rsidR="006578ED" w:rsidRDefault="006578ED">
            <w:pPr>
              <w:jc w:val="center"/>
              <w:rPr>
                <w:rFonts w:ascii="Times New Roman" w:eastAsia="Times New Roman" w:hAnsi="Times New Roman" w:cs="Times New Roman"/>
                <w:b/>
                <w:noProof/>
                <w:sz w:val="18"/>
              </w:rPr>
            </w:pPr>
          </w:p>
        </w:tc>
        <w:tc>
          <w:tcPr>
            <w:tcW w:w="1276" w:type="dxa"/>
            <w:vMerge/>
            <w:shd w:val="clear" w:color="auto" w:fill="BDD7EE"/>
            <w:hideMark/>
          </w:tcPr>
          <w:p w14:paraId="7D2BCCFA" w14:textId="77777777" w:rsidR="006578ED" w:rsidRDefault="006578ED">
            <w:pPr>
              <w:jc w:val="center"/>
              <w:rPr>
                <w:rFonts w:ascii="Times New Roman" w:eastAsia="Times New Roman" w:hAnsi="Times New Roman" w:cs="Times New Roman"/>
                <w:b/>
                <w:noProof/>
                <w:sz w:val="18"/>
              </w:rPr>
            </w:pPr>
          </w:p>
        </w:tc>
        <w:tc>
          <w:tcPr>
            <w:tcW w:w="709" w:type="dxa"/>
            <w:shd w:val="clear" w:color="auto" w:fill="BDD7EE"/>
            <w:hideMark/>
          </w:tcPr>
          <w:p w14:paraId="146393A0" w14:textId="77777777" w:rsidR="006578ED" w:rsidRDefault="00A1618E">
            <w:pPr>
              <w:pStyle w:val="P68B1DB1-Normal12"/>
              <w:jc w:val="center"/>
              <w:rPr>
                <w:rFonts w:eastAsia="Times New Roman" w:cs="Times New Roman"/>
                <w:noProof/>
              </w:rPr>
            </w:pPr>
            <w:r>
              <w:rPr>
                <w:noProof/>
              </w:rPr>
              <w:t>Jednostka</w:t>
            </w:r>
          </w:p>
        </w:tc>
        <w:tc>
          <w:tcPr>
            <w:tcW w:w="709" w:type="dxa"/>
            <w:shd w:val="clear" w:color="auto" w:fill="BDD7EE"/>
            <w:hideMark/>
          </w:tcPr>
          <w:p w14:paraId="4B231DE4" w14:textId="77777777" w:rsidR="006578ED" w:rsidRDefault="00A1618E">
            <w:pPr>
              <w:pStyle w:val="P68B1DB1-Normal12"/>
              <w:jc w:val="center"/>
              <w:rPr>
                <w:rFonts w:eastAsia="Times New Roman" w:cs="Times New Roman"/>
                <w:noProof/>
              </w:rPr>
            </w:pPr>
            <w:r>
              <w:rPr>
                <w:noProof/>
              </w:rPr>
              <w:t>Wartość wyjściowa</w:t>
            </w:r>
          </w:p>
        </w:tc>
        <w:tc>
          <w:tcPr>
            <w:tcW w:w="708" w:type="dxa"/>
            <w:shd w:val="clear" w:color="auto" w:fill="BDD7EE"/>
            <w:hideMark/>
          </w:tcPr>
          <w:p w14:paraId="1D3E9995" w14:textId="77777777" w:rsidR="006578ED" w:rsidRDefault="00A1618E">
            <w:pPr>
              <w:pStyle w:val="P68B1DB1-Normal12"/>
              <w:jc w:val="center"/>
              <w:rPr>
                <w:rFonts w:eastAsia="Times New Roman" w:cs="Times New Roman"/>
                <w:noProof/>
              </w:rPr>
            </w:pPr>
            <w:r>
              <w:rPr>
                <w:noProof/>
              </w:rPr>
              <w:t>Cel</w:t>
            </w:r>
          </w:p>
        </w:tc>
        <w:tc>
          <w:tcPr>
            <w:tcW w:w="426" w:type="dxa"/>
            <w:shd w:val="clear" w:color="auto" w:fill="BDD7EE"/>
            <w:hideMark/>
          </w:tcPr>
          <w:p w14:paraId="0596B63C" w14:textId="4DF0A5B8" w:rsidR="006578ED" w:rsidRDefault="00A1618E">
            <w:pPr>
              <w:pStyle w:val="P68B1DB1-Normal12"/>
              <w:jc w:val="center"/>
              <w:rPr>
                <w:rFonts w:eastAsia="Times New Roman" w:cs="Times New Roman"/>
                <w:noProof/>
              </w:rPr>
            </w:pPr>
            <w:r>
              <w:rPr>
                <w:noProof/>
              </w:rPr>
              <w:t>Q</w:t>
            </w:r>
          </w:p>
        </w:tc>
        <w:tc>
          <w:tcPr>
            <w:tcW w:w="567" w:type="dxa"/>
            <w:shd w:val="clear" w:color="auto" w:fill="BDD7EE"/>
            <w:hideMark/>
          </w:tcPr>
          <w:p w14:paraId="207A5044" w14:textId="7406E71C" w:rsidR="006578ED" w:rsidRDefault="00A1618E">
            <w:pPr>
              <w:pStyle w:val="P68B1DB1-Normal12"/>
              <w:jc w:val="center"/>
              <w:rPr>
                <w:rFonts w:eastAsia="Times New Roman" w:cs="Times New Roman"/>
                <w:noProof/>
              </w:rPr>
            </w:pPr>
            <w:r>
              <w:rPr>
                <w:noProof/>
              </w:rPr>
              <w:t>Rok</w:t>
            </w:r>
          </w:p>
          <w:p w14:paraId="01D9CBC1" w14:textId="77EB7F29" w:rsidR="006578ED" w:rsidRDefault="006578ED">
            <w:pPr>
              <w:rPr>
                <w:rFonts w:ascii="Times New Roman" w:eastAsia="Times New Roman" w:hAnsi="Times New Roman" w:cs="Times New Roman"/>
                <w:noProof/>
                <w:sz w:val="18"/>
              </w:rPr>
            </w:pPr>
          </w:p>
        </w:tc>
        <w:tc>
          <w:tcPr>
            <w:tcW w:w="4958" w:type="dxa"/>
            <w:vMerge/>
            <w:shd w:val="clear" w:color="auto" w:fill="BDD7EE"/>
            <w:hideMark/>
          </w:tcPr>
          <w:p w14:paraId="1B6A682F" w14:textId="77777777" w:rsidR="006578ED" w:rsidRDefault="006578ED">
            <w:pPr>
              <w:jc w:val="center"/>
              <w:rPr>
                <w:rFonts w:ascii="Times New Roman" w:eastAsia="Times New Roman" w:hAnsi="Times New Roman" w:cs="Times New Roman"/>
                <w:b/>
                <w:noProof/>
                <w:sz w:val="18"/>
              </w:rPr>
            </w:pPr>
          </w:p>
        </w:tc>
      </w:tr>
      <w:tr w:rsidR="006578ED" w14:paraId="7D05D04F" w14:textId="77777777">
        <w:trPr>
          <w:trHeight w:val="300"/>
        </w:trPr>
        <w:tc>
          <w:tcPr>
            <w:tcW w:w="846" w:type="dxa"/>
            <w:shd w:val="clear" w:color="auto" w:fill="C6EFCE"/>
            <w:hideMark/>
          </w:tcPr>
          <w:p w14:paraId="0D0C5572" w14:textId="280387A3" w:rsidR="006578ED" w:rsidRDefault="00A1618E">
            <w:pPr>
              <w:pStyle w:val="P68B1DB1-Normal13"/>
              <w:jc w:val="center"/>
              <w:rPr>
                <w:rFonts w:cs="Times New Roman"/>
                <w:noProof/>
              </w:rPr>
            </w:pPr>
            <w:r>
              <w:rPr>
                <w:noProof/>
              </w:rPr>
              <w:t>L63</w:t>
            </w:r>
          </w:p>
        </w:tc>
        <w:tc>
          <w:tcPr>
            <w:tcW w:w="992" w:type="dxa"/>
            <w:shd w:val="clear" w:color="auto" w:fill="C6EFCE"/>
            <w:hideMark/>
          </w:tcPr>
          <w:p w14:paraId="2D369ECD" w14:textId="348F3DBF" w:rsidR="006578ED" w:rsidRDefault="00A1618E">
            <w:pPr>
              <w:pStyle w:val="P68B1DB1-Normal13"/>
              <w:jc w:val="center"/>
              <w:rPr>
                <w:rFonts w:cs="Times New Roman"/>
                <w:noProof/>
              </w:rPr>
            </w:pPr>
            <w:r>
              <w:rPr>
                <w:noProof/>
              </w:rPr>
              <w:t>C15.I9</w:t>
            </w:r>
          </w:p>
        </w:tc>
        <w:tc>
          <w:tcPr>
            <w:tcW w:w="992" w:type="dxa"/>
            <w:shd w:val="clear" w:color="auto" w:fill="C6EFCE"/>
            <w:hideMark/>
          </w:tcPr>
          <w:p w14:paraId="2376F4A4" w14:textId="04D47221" w:rsidR="006578ED" w:rsidRDefault="00AF6B91">
            <w:pPr>
              <w:pStyle w:val="P68B1DB1-Normal13"/>
              <w:jc w:val="center"/>
              <w:rPr>
                <w:rFonts w:cs="Times New Roman"/>
                <w:noProof/>
              </w:rPr>
            </w:pPr>
            <w:r>
              <w:rPr>
                <w:noProof/>
              </w:rPr>
              <w:t>Kamień milowy</w:t>
            </w:r>
          </w:p>
        </w:tc>
        <w:tc>
          <w:tcPr>
            <w:tcW w:w="1701" w:type="dxa"/>
            <w:shd w:val="clear" w:color="auto" w:fill="C6EFCE"/>
            <w:hideMark/>
          </w:tcPr>
          <w:p w14:paraId="25940D13" w14:textId="53DD0140" w:rsidR="006578ED" w:rsidRDefault="00A1618E">
            <w:pPr>
              <w:pStyle w:val="P68B1DB1-Normal13"/>
              <w:rPr>
                <w:rFonts w:cs="Times New Roman"/>
                <w:noProof/>
              </w:rPr>
            </w:pPr>
            <w:r>
              <w:rPr>
                <w:noProof/>
              </w:rPr>
              <w:t>Mechanizm finansowania czipów: Formalne zatwierdzenie mechanizmu finansowania</w:t>
            </w:r>
          </w:p>
        </w:tc>
        <w:tc>
          <w:tcPr>
            <w:tcW w:w="1276" w:type="dxa"/>
            <w:shd w:val="clear" w:color="auto" w:fill="C6EFCE"/>
            <w:hideMark/>
          </w:tcPr>
          <w:p w14:paraId="3BC64F0B" w14:textId="77777777" w:rsidR="006578ED" w:rsidRDefault="00A1618E">
            <w:pPr>
              <w:pStyle w:val="P68B1DB1-Normal13"/>
              <w:rPr>
                <w:rFonts w:cs="Times New Roman"/>
                <w:noProof/>
              </w:rPr>
            </w:pPr>
            <w:r>
              <w:rPr>
                <w:noProof/>
              </w:rPr>
              <w:t>Podpisanie umowy wykonawczej </w:t>
            </w:r>
          </w:p>
        </w:tc>
        <w:tc>
          <w:tcPr>
            <w:tcW w:w="709" w:type="dxa"/>
            <w:shd w:val="clear" w:color="auto" w:fill="C6EFCE"/>
            <w:hideMark/>
          </w:tcPr>
          <w:p w14:paraId="41D33B3A" w14:textId="3C48A688" w:rsidR="006578ED" w:rsidRDefault="006578ED">
            <w:pPr>
              <w:pStyle w:val="P68B1DB1-Normal13"/>
              <w:rPr>
                <w:rFonts w:cs="Times New Roman"/>
                <w:noProof/>
              </w:rPr>
            </w:pPr>
          </w:p>
        </w:tc>
        <w:tc>
          <w:tcPr>
            <w:tcW w:w="709" w:type="dxa"/>
            <w:shd w:val="clear" w:color="auto" w:fill="C6EFCE"/>
            <w:hideMark/>
          </w:tcPr>
          <w:p w14:paraId="5F93FEEE" w14:textId="4A297CA8" w:rsidR="006578ED" w:rsidRDefault="006578ED">
            <w:pPr>
              <w:pStyle w:val="P68B1DB1-Normal13"/>
              <w:rPr>
                <w:rFonts w:cs="Times New Roman"/>
                <w:noProof/>
              </w:rPr>
            </w:pPr>
          </w:p>
        </w:tc>
        <w:tc>
          <w:tcPr>
            <w:tcW w:w="708" w:type="dxa"/>
            <w:shd w:val="clear" w:color="auto" w:fill="C6EFCE"/>
            <w:hideMark/>
          </w:tcPr>
          <w:p w14:paraId="4BA7C8A7" w14:textId="34A01D49" w:rsidR="006578ED" w:rsidRDefault="006578ED">
            <w:pPr>
              <w:pStyle w:val="P68B1DB1-Normal13"/>
              <w:rPr>
                <w:rFonts w:cs="Times New Roman"/>
                <w:noProof/>
              </w:rPr>
            </w:pPr>
          </w:p>
        </w:tc>
        <w:tc>
          <w:tcPr>
            <w:tcW w:w="426" w:type="dxa"/>
            <w:shd w:val="clear" w:color="auto" w:fill="C6EFCE"/>
            <w:hideMark/>
          </w:tcPr>
          <w:p w14:paraId="7EC9807C" w14:textId="4FB6C4C0" w:rsidR="006578ED" w:rsidRDefault="00EC188C">
            <w:pPr>
              <w:pStyle w:val="P68B1DB1-Normal13"/>
              <w:jc w:val="center"/>
              <w:rPr>
                <w:rFonts w:cs="Times New Roman"/>
                <w:noProof/>
              </w:rPr>
            </w:pPr>
            <w:r>
              <w:rPr>
                <w:noProof/>
              </w:rPr>
              <w:t>KW. 4</w:t>
            </w:r>
          </w:p>
        </w:tc>
        <w:tc>
          <w:tcPr>
            <w:tcW w:w="567" w:type="dxa"/>
            <w:shd w:val="clear" w:color="auto" w:fill="C6EFCE"/>
            <w:hideMark/>
          </w:tcPr>
          <w:p w14:paraId="135322BD" w14:textId="77777777" w:rsidR="006578ED" w:rsidRDefault="00A1618E">
            <w:pPr>
              <w:pStyle w:val="P68B1DB1-Normal13"/>
              <w:jc w:val="center"/>
              <w:rPr>
                <w:rFonts w:eastAsia="Times New Roman" w:cs="Times New Roman"/>
                <w:noProof/>
              </w:rPr>
            </w:pPr>
            <w:r>
              <w:rPr>
                <w:noProof/>
              </w:rPr>
              <w:t>2023</w:t>
            </w:r>
          </w:p>
        </w:tc>
        <w:tc>
          <w:tcPr>
            <w:tcW w:w="4958" w:type="dxa"/>
            <w:shd w:val="clear" w:color="auto" w:fill="C6EFCE"/>
            <w:hideMark/>
          </w:tcPr>
          <w:p w14:paraId="776872B7" w14:textId="1705993B" w:rsidR="006578ED" w:rsidRDefault="00A1618E">
            <w:pPr>
              <w:pStyle w:val="P68B1DB1-Normal13"/>
              <w:rPr>
                <w:rFonts w:cs="Times New Roman"/>
                <w:noProof/>
              </w:rPr>
            </w:pPr>
            <w:r>
              <w:rPr>
                <w:noProof/>
              </w:rPr>
              <w:t>Podpisanie umowy wykonawczej przez Ministerstwo i SEMyS lub wejście w życie rozporządzenia wraz z wszelkimi powiązanymi dokumentami ustanawiającym Instrument.</w:t>
            </w:r>
          </w:p>
        </w:tc>
      </w:tr>
      <w:tr w:rsidR="006578ED" w14:paraId="1CB13C5D" w14:textId="77777777">
        <w:trPr>
          <w:trHeight w:val="300"/>
        </w:trPr>
        <w:tc>
          <w:tcPr>
            <w:tcW w:w="846" w:type="dxa"/>
            <w:shd w:val="clear" w:color="auto" w:fill="C6EFCE"/>
          </w:tcPr>
          <w:p w14:paraId="63157463" w14:textId="6C136408" w:rsidR="006578ED" w:rsidRDefault="00A1618E">
            <w:pPr>
              <w:pStyle w:val="P68B1DB1-Normal13"/>
              <w:jc w:val="center"/>
              <w:rPr>
                <w:rFonts w:cs="Times New Roman"/>
                <w:noProof/>
              </w:rPr>
            </w:pPr>
            <w:r>
              <w:rPr>
                <w:noProof/>
              </w:rPr>
              <w:t>L64</w:t>
            </w:r>
          </w:p>
        </w:tc>
        <w:tc>
          <w:tcPr>
            <w:tcW w:w="992" w:type="dxa"/>
            <w:shd w:val="clear" w:color="auto" w:fill="C6EFCE"/>
          </w:tcPr>
          <w:p w14:paraId="491EE663" w14:textId="7BDE6061" w:rsidR="006578ED" w:rsidRDefault="00A1618E">
            <w:pPr>
              <w:pStyle w:val="P68B1DB1-Normal13"/>
              <w:jc w:val="center"/>
              <w:rPr>
                <w:rFonts w:cs="Times New Roman"/>
                <w:noProof/>
              </w:rPr>
            </w:pPr>
            <w:r>
              <w:rPr>
                <w:noProof/>
              </w:rPr>
              <w:t>C15.I9</w:t>
            </w:r>
          </w:p>
        </w:tc>
        <w:tc>
          <w:tcPr>
            <w:tcW w:w="992" w:type="dxa"/>
            <w:shd w:val="clear" w:color="auto" w:fill="C6EFCE"/>
          </w:tcPr>
          <w:p w14:paraId="4179376F" w14:textId="6386B136" w:rsidR="006578ED" w:rsidRDefault="00AF6B91">
            <w:pPr>
              <w:pStyle w:val="P68B1DB1-Normal13"/>
              <w:jc w:val="center"/>
              <w:rPr>
                <w:rFonts w:cs="Times New Roman"/>
                <w:noProof/>
              </w:rPr>
            </w:pPr>
            <w:r>
              <w:rPr>
                <w:noProof/>
              </w:rPr>
              <w:t>Cel</w:t>
            </w:r>
          </w:p>
        </w:tc>
        <w:tc>
          <w:tcPr>
            <w:tcW w:w="1701" w:type="dxa"/>
            <w:shd w:val="clear" w:color="auto" w:fill="C6EFCE"/>
          </w:tcPr>
          <w:p w14:paraId="62508480" w14:textId="511A5F3A" w:rsidR="006578ED" w:rsidRDefault="00A1618E">
            <w:pPr>
              <w:pStyle w:val="P68B1DB1-Normal13"/>
              <w:rPr>
                <w:rFonts w:cs="Times New Roman"/>
                <w:noProof/>
              </w:rPr>
            </w:pPr>
            <w:r>
              <w:rPr>
                <w:noProof/>
              </w:rPr>
              <w:t>Mechanizm finansowania czipów: Umowy prawne podpisane z beneficjentami końcowymi (I)</w:t>
            </w:r>
          </w:p>
        </w:tc>
        <w:tc>
          <w:tcPr>
            <w:tcW w:w="1276" w:type="dxa"/>
            <w:shd w:val="clear" w:color="auto" w:fill="C6EFCE"/>
          </w:tcPr>
          <w:p w14:paraId="45F800E9" w14:textId="77777777" w:rsidR="006578ED" w:rsidRDefault="006578ED">
            <w:pPr>
              <w:rPr>
                <w:rFonts w:ascii="Times New Roman" w:hAnsi="Times New Roman" w:cs="Times New Roman"/>
                <w:noProof/>
                <w:sz w:val="18"/>
              </w:rPr>
            </w:pPr>
          </w:p>
        </w:tc>
        <w:tc>
          <w:tcPr>
            <w:tcW w:w="709" w:type="dxa"/>
            <w:shd w:val="clear" w:color="auto" w:fill="C6EFCE"/>
          </w:tcPr>
          <w:p w14:paraId="5647BF63" w14:textId="66EF5FA5" w:rsidR="006578ED" w:rsidRDefault="006578ED">
            <w:pPr>
              <w:rPr>
                <w:rFonts w:ascii="Times New Roman" w:hAnsi="Times New Roman" w:cs="Times New Roman"/>
                <w:noProof/>
                <w:sz w:val="18"/>
              </w:rPr>
            </w:pPr>
          </w:p>
        </w:tc>
        <w:tc>
          <w:tcPr>
            <w:tcW w:w="709" w:type="dxa"/>
            <w:shd w:val="clear" w:color="auto" w:fill="C6EFCE"/>
          </w:tcPr>
          <w:p w14:paraId="19862384" w14:textId="77777777" w:rsidR="006578ED" w:rsidRDefault="00A1618E">
            <w:pPr>
              <w:pStyle w:val="P68B1DB1-Normal13"/>
              <w:jc w:val="center"/>
              <w:rPr>
                <w:rFonts w:cs="Times New Roman"/>
                <w:noProof/>
              </w:rPr>
            </w:pPr>
            <w:r>
              <w:rPr>
                <w:noProof/>
              </w:rPr>
              <w:t>0</w:t>
            </w:r>
          </w:p>
        </w:tc>
        <w:tc>
          <w:tcPr>
            <w:tcW w:w="708" w:type="dxa"/>
            <w:shd w:val="clear" w:color="auto" w:fill="C6EFCE"/>
          </w:tcPr>
          <w:p w14:paraId="4A0D3DAB" w14:textId="083523E6" w:rsidR="006578ED" w:rsidRDefault="00A1618E">
            <w:pPr>
              <w:pStyle w:val="P68B1DB1-Normal13"/>
              <w:jc w:val="center"/>
              <w:rPr>
                <w:rFonts w:cs="Times New Roman"/>
                <w:noProof/>
              </w:rPr>
            </w:pPr>
            <w:r>
              <w:rPr>
                <w:noProof/>
              </w:rPr>
              <w:t>25 %</w:t>
            </w:r>
          </w:p>
        </w:tc>
        <w:tc>
          <w:tcPr>
            <w:tcW w:w="426" w:type="dxa"/>
            <w:shd w:val="clear" w:color="auto" w:fill="C6EFCE"/>
          </w:tcPr>
          <w:p w14:paraId="7903A43B" w14:textId="686EF542" w:rsidR="006578ED" w:rsidRDefault="00EC188C">
            <w:pPr>
              <w:pStyle w:val="P68B1DB1-Normal13"/>
              <w:jc w:val="center"/>
              <w:rPr>
                <w:rFonts w:cs="Times New Roman"/>
                <w:noProof/>
              </w:rPr>
            </w:pPr>
            <w:r>
              <w:rPr>
                <w:noProof/>
              </w:rPr>
              <w:t>KW. 2</w:t>
            </w:r>
          </w:p>
        </w:tc>
        <w:tc>
          <w:tcPr>
            <w:tcW w:w="567" w:type="dxa"/>
            <w:shd w:val="clear" w:color="auto" w:fill="C6EFCE"/>
          </w:tcPr>
          <w:p w14:paraId="1BC066D8" w14:textId="77777777" w:rsidR="006578ED" w:rsidRDefault="00A1618E">
            <w:pPr>
              <w:pStyle w:val="P68B1DB1-Normal13"/>
              <w:jc w:val="center"/>
              <w:rPr>
                <w:rFonts w:eastAsia="Times New Roman" w:cs="Times New Roman"/>
                <w:noProof/>
              </w:rPr>
            </w:pPr>
            <w:r>
              <w:rPr>
                <w:noProof/>
              </w:rPr>
              <w:t>2025</w:t>
            </w:r>
          </w:p>
        </w:tc>
        <w:tc>
          <w:tcPr>
            <w:tcW w:w="4958" w:type="dxa"/>
            <w:shd w:val="clear" w:color="auto" w:fill="C6EFCE"/>
          </w:tcPr>
          <w:p w14:paraId="3F36263D" w14:textId="5003E995" w:rsidR="006578ED" w:rsidRDefault="00A1618E">
            <w:pPr>
              <w:pStyle w:val="P68B1DB1-Normal13"/>
              <w:rPr>
                <w:rFonts w:cs="Times New Roman"/>
                <w:noProof/>
              </w:rPr>
            </w:pPr>
            <w:r>
              <w:rPr>
                <w:noProof/>
              </w:rPr>
              <w:t>Instrument zawiera z beneficjentami końcowymi prawne umowy w sprawie finansowania na kwotę niezbędną do wykorzystania co najmniej 25 % inwestycji RRF w Instrument (z uwzględnieniem opłat za zarządzanie).</w:t>
            </w:r>
          </w:p>
          <w:p w14:paraId="1B65CDBA" w14:textId="7EC8270B" w:rsidR="006578ED" w:rsidRDefault="00A1618E">
            <w:pPr>
              <w:pStyle w:val="P68B1DB1-Normal13"/>
              <w:rPr>
                <w:rFonts w:cs="Times New Roman"/>
                <w:noProof/>
              </w:rPr>
            </w:pPr>
            <w:r>
              <w:rPr>
                <w:noProof/>
              </w:rPr>
              <w:t xml:space="preserve">Podpisuje się również między rządem Hiszpanii a wnioskodawcą ogólnego protokołu działania opisanego w hiszpańskiej ustawie krajowej lub równoważnym instrumencie dyplomatycznym w odniesieniu do co najmniej jednego zakładu produkującego półprzewodniki (na przedniej lub tylnej) w formie otwartej unijnej fabryki lub zintegrowanego zakładu produkcyjnego, który jako pierwszy jest tego rodzaju zgodnie z definicjami ustanowionymi w europejskim akcie w sprawie czipów. </w:t>
            </w:r>
          </w:p>
          <w:p w14:paraId="2B920AB3" w14:textId="1937C6BF" w:rsidR="006578ED" w:rsidRDefault="00A1618E">
            <w:pPr>
              <w:pStyle w:val="P68B1DB1-Normal13"/>
              <w:rPr>
                <w:rFonts w:cs="Times New Roman"/>
                <w:noProof/>
              </w:rPr>
            </w:pPr>
            <w:r>
              <w:rPr>
                <w:noProof/>
              </w:rPr>
              <w:t>SEMyS sporządza sprawozdanie wyszczególniające, że co najmniej 100 % tego finansowania przyczynia się do realizacji celów transformacji cyfrowej, stosując metodykę określoną w załączniku VII do rozporządzenia w sprawie RRF.</w:t>
            </w:r>
          </w:p>
        </w:tc>
      </w:tr>
      <w:tr w:rsidR="006578ED" w14:paraId="2EA593B6" w14:textId="77777777">
        <w:trPr>
          <w:trHeight w:val="300"/>
        </w:trPr>
        <w:tc>
          <w:tcPr>
            <w:tcW w:w="846" w:type="dxa"/>
            <w:shd w:val="clear" w:color="auto" w:fill="C6EFCE"/>
          </w:tcPr>
          <w:p w14:paraId="56656C43" w14:textId="02454E2D" w:rsidR="006578ED" w:rsidRDefault="00A1618E">
            <w:pPr>
              <w:pStyle w:val="P68B1DB1-Normal13"/>
              <w:jc w:val="center"/>
              <w:rPr>
                <w:rFonts w:cs="Times New Roman"/>
                <w:noProof/>
              </w:rPr>
            </w:pPr>
            <w:r>
              <w:rPr>
                <w:noProof/>
              </w:rPr>
              <w:t>L65</w:t>
            </w:r>
          </w:p>
        </w:tc>
        <w:tc>
          <w:tcPr>
            <w:tcW w:w="992" w:type="dxa"/>
            <w:shd w:val="clear" w:color="auto" w:fill="C6EFCE"/>
          </w:tcPr>
          <w:p w14:paraId="0BF73430" w14:textId="17653A36" w:rsidR="006578ED" w:rsidRDefault="00A1618E">
            <w:pPr>
              <w:pStyle w:val="P68B1DB1-Normal13"/>
              <w:jc w:val="center"/>
              <w:rPr>
                <w:rFonts w:cs="Times New Roman"/>
                <w:noProof/>
              </w:rPr>
            </w:pPr>
            <w:r>
              <w:rPr>
                <w:noProof/>
              </w:rPr>
              <w:t>C15.I9</w:t>
            </w:r>
          </w:p>
        </w:tc>
        <w:tc>
          <w:tcPr>
            <w:tcW w:w="992" w:type="dxa"/>
            <w:shd w:val="clear" w:color="auto" w:fill="C6EFCE"/>
          </w:tcPr>
          <w:p w14:paraId="2599D3DB" w14:textId="2026E564" w:rsidR="006578ED" w:rsidRDefault="00AF6B91">
            <w:pPr>
              <w:pStyle w:val="P68B1DB1-Normal13"/>
              <w:jc w:val="center"/>
              <w:rPr>
                <w:rFonts w:eastAsia="Times New Roman" w:cs="Times New Roman"/>
                <w:noProof/>
              </w:rPr>
            </w:pPr>
            <w:r>
              <w:rPr>
                <w:noProof/>
              </w:rPr>
              <w:t>Cel</w:t>
            </w:r>
          </w:p>
        </w:tc>
        <w:tc>
          <w:tcPr>
            <w:tcW w:w="1701" w:type="dxa"/>
            <w:shd w:val="clear" w:color="auto" w:fill="C6EFCE"/>
          </w:tcPr>
          <w:p w14:paraId="196137CD" w14:textId="69E3E16C" w:rsidR="006578ED" w:rsidRDefault="00A1618E">
            <w:pPr>
              <w:pStyle w:val="P68B1DB1-Normal13"/>
              <w:rPr>
                <w:rFonts w:eastAsia="Times New Roman" w:cs="Times New Roman"/>
                <w:noProof/>
              </w:rPr>
            </w:pPr>
            <w:r>
              <w:rPr>
                <w:noProof/>
              </w:rPr>
              <w:t>Mechanizm finansowania czipów: Umowy prawne podpisane z beneficjentami końcowymi (II)</w:t>
            </w:r>
          </w:p>
        </w:tc>
        <w:tc>
          <w:tcPr>
            <w:tcW w:w="1276" w:type="dxa"/>
            <w:shd w:val="clear" w:color="auto" w:fill="C6EFCE"/>
          </w:tcPr>
          <w:p w14:paraId="41A672A3" w14:textId="77777777" w:rsidR="006578ED" w:rsidRDefault="006578ED">
            <w:pPr>
              <w:rPr>
                <w:rFonts w:ascii="Times New Roman" w:eastAsia="Times New Roman" w:hAnsi="Times New Roman" w:cs="Times New Roman"/>
                <w:noProof/>
                <w:sz w:val="18"/>
              </w:rPr>
            </w:pPr>
          </w:p>
        </w:tc>
        <w:tc>
          <w:tcPr>
            <w:tcW w:w="709" w:type="dxa"/>
            <w:shd w:val="clear" w:color="auto" w:fill="C6EFCE"/>
          </w:tcPr>
          <w:p w14:paraId="2988B5C7" w14:textId="14397A8A" w:rsidR="006578ED" w:rsidRDefault="006578ED">
            <w:pPr>
              <w:rPr>
                <w:rFonts w:ascii="Times New Roman" w:hAnsi="Times New Roman" w:cs="Times New Roman"/>
                <w:noProof/>
                <w:sz w:val="18"/>
              </w:rPr>
            </w:pPr>
          </w:p>
        </w:tc>
        <w:tc>
          <w:tcPr>
            <w:tcW w:w="709" w:type="dxa"/>
            <w:shd w:val="clear" w:color="auto" w:fill="C6EFCE"/>
          </w:tcPr>
          <w:p w14:paraId="7CB24F9B" w14:textId="7C1EB69A" w:rsidR="006578ED" w:rsidRDefault="00A1618E">
            <w:pPr>
              <w:pStyle w:val="P68B1DB1-Normal13"/>
              <w:jc w:val="center"/>
              <w:rPr>
                <w:rFonts w:eastAsia="Times New Roman" w:cs="Times New Roman"/>
                <w:noProof/>
              </w:rPr>
            </w:pPr>
            <w:r>
              <w:rPr>
                <w:noProof/>
              </w:rPr>
              <w:t>25 %</w:t>
            </w:r>
          </w:p>
        </w:tc>
        <w:tc>
          <w:tcPr>
            <w:tcW w:w="708" w:type="dxa"/>
            <w:shd w:val="clear" w:color="auto" w:fill="C6EFCE"/>
          </w:tcPr>
          <w:p w14:paraId="5FA4F5FA" w14:textId="4150342C" w:rsidR="006578ED" w:rsidRDefault="00A1618E">
            <w:pPr>
              <w:pStyle w:val="P68B1DB1-Normal13"/>
              <w:jc w:val="center"/>
              <w:rPr>
                <w:rFonts w:eastAsia="Times New Roman" w:cs="Times New Roman"/>
                <w:noProof/>
              </w:rPr>
            </w:pPr>
            <w:r>
              <w:rPr>
                <w:noProof/>
              </w:rPr>
              <w:t>100 %</w:t>
            </w:r>
          </w:p>
        </w:tc>
        <w:tc>
          <w:tcPr>
            <w:tcW w:w="426" w:type="dxa"/>
            <w:shd w:val="clear" w:color="auto" w:fill="C6EFCE"/>
          </w:tcPr>
          <w:p w14:paraId="567D5DA6" w14:textId="0A08AC3F" w:rsidR="006578ED" w:rsidRDefault="00EC188C">
            <w:pPr>
              <w:pStyle w:val="P68B1DB1-Normal13"/>
              <w:jc w:val="center"/>
              <w:rPr>
                <w:rFonts w:cs="Times New Roman"/>
                <w:noProof/>
              </w:rPr>
            </w:pPr>
            <w:r>
              <w:rPr>
                <w:noProof/>
              </w:rPr>
              <w:t>KW. 3</w:t>
            </w:r>
          </w:p>
        </w:tc>
        <w:tc>
          <w:tcPr>
            <w:tcW w:w="567" w:type="dxa"/>
            <w:shd w:val="clear" w:color="auto" w:fill="C6EFCE"/>
          </w:tcPr>
          <w:p w14:paraId="227E7D60" w14:textId="32174019" w:rsidR="006578ED" w:rsidRDefault="00A1618E">
            <w:pPr>
              <w:pStyle w:val="P68B1DB1-Normal13"/>
              <w:jc w:val="center"/>
              <w:rPr>
                <w:rFonts w:cs="Times New Roman"/>
                <w:noProof/>
              </w:rPr>
            </w:pPr>
            <w:r>
              <w:rPr>
                <w:noProof/>
              </w:rPr>
              <w:t>2026</w:t>
            </w:r>
          </w:p>
        </w:tc>
        <w:tc>
          <w:tcPr>
            <w:tcW w:w="4958" w:type="dxa"/>
            <w:shd w:val="clear" w:color="auto" w:fill="C6EFCE"/>
          </w:tcPr>
          <w:p w14:paraId="78AE8FD0" w14:textId="7A60AA95" w:rsidR="006578ED" w:rsidRDefault="00A1618E">
            <w:pPr>
              <w:pStyle w:val="P68B1DB1-Normal13"/>
              <w:rPr>
                <w:rFonts w:cs="Times New Roman"/>
                <w:noProof/>
              </w:rPr>
            </w:pPr>
            <w:r>
              <w:rPr>
                <w:noProof/>
              </w:rPr>
              <w:t>Instrument zawiera z beneficjentami końcowymi prawne umowy w sprawie finansowania na kwotę niezbędną do wykorzystania 100 % inwestycji w Instrument w ramach RRF (z uwzględnieniem opłat za zarządzanie).</w:t>
            </w:r>
          </w:p>
          <w:p w14:paraId="3868FC58" w14:textId="17BA946D" w:rsidR="006578ED" w:rsidRDefault="00A1618E">
            <w:pPr>
              <w:pStyle w:val="P68B1DB1-Normal13"/>
              <w:rPr>
                <w:rFonts w:cs="Times New Roman"/>
                <w:noProof/>
              </w:rPr>
            </w:pPr>
            <w:r>
              <w:rPr>
                <w:noProof/>
              </w:rPr>
              <w:t>SEMyS sporządza sprawozdanie wyszczególniające, że co najmniej 100 % tego finansowania przyczynia się do realizacji celów transformacji cyfrowej, stosując metodykę określoną w załączniku VII do rozporządzenia w sprawie RRF.</w:t>
            </w:r>
          </w:p>
        </w:tc>
      </w:tr>
      <w:tr w:rsidR="006578ED" w14:paraId="7FA53FE6" w14:textId="77777777">
        <w:trPr>
          <w:trHeight w:val="300"/>
        </w:trPr>
        <w:tc>
          <w:tcPr>
            <w:tcW w:w="846" w:type="dxa"/>
            <w:shd w:val="clear" w:color="auto" w:fill="C6EFCE"/>
          </w:tcPr>
          <w:p w14:paraId="052B4093" w14:textId="43FB1F02" w:rsidR="006578ED" w:rsidRDefault="00A1618E">
            <w:pPr>
              <w:pStyle w:val="P68B1DB1-Normal13"/>
              <w:jc w:val="center"/>
              <w:rPr>
                <w:rFonts w:cs="Times New Roman"/>
                <w:noProof/>
              </w:rPr>
            </w:pPr>
            <w:r>
              <w:rPr>
                <w:noProof/>
              </w:rPr>
              <w:t>L66</w:t>
            </w:r>
          </w:p>
        </w:tc>
        <w:tc>
          <w:tcPr>
            <w:tcW w:w="992" w:type="dxa"/>
            <w:shd w:val="clear" w:color="auto" w:fill="C6EFCE"/>
          </w:tcPr>
          <w:p w14:paraId="6758F82E" w14:textId="4102C823" w:rsidR="006578ED" w:rsidRDefault="00A1618E">
            <w:pPr>
              <w:pStyle w:val="P68B1DB1-Normal13"/>
              <w:jc w:val="center"/>
              <w:rPr>
                <w:rFonts w:cs="Times New Roman"/>
                <w:noProof/>
              </w:rPr>
            </w:pPr>
            <w:r>
              <w:rPr>
                <w:noProof/>
              </w:rPr>
              <w:t>C15.I9</w:t>
            </w:r>
          </w:p>
        </w:tc>
        <w:tc>
          <w:tcPr>
            <w:tcW w:w="992" w:type="dxa"/>
            <w:shd w:val="clear" w:color="auto" w:fill="C6EFCE"/>
          </w:tcPr>
          <w:p w14:paraId="5B35E011" w14:textId="3E53AD0B" w:rsidR="006578ED" w:rsidRDefault="00AF6B91">
            <w:pPr>
              <w:pStyle w:val="P68B1DB1-Normal13"/>
              <w:jc w:val="center"/>
              <w:rPr>
                <w:rFonts w:cs="Times New Roman"/>
                <w:noProof/>
              </w:rPr>
            </w:pPr>
            <w:r>
              <w:rPr>
                <w:noProof/>
              </w:rPr>
              <w:t>Kamień milowy</w:t>
            </w:r>
          </w:p>
        </w:tc>
        <w:tc>
          <w:tcPr>
            <w:tcW w:w="1701" w:type="dxa"/>
            <w:shd w:val="clear" w:color="auto" w:fill="C6EFCE"/>
          </w:tcPr>
          <w:p w14:paraId="3CE1C078" w14:textId="5849E117" w:rsidR="006578ED" w:rsidRDefault="00A1618E">
            <w:pPr>
              <w:pStyle w:val="P68B1DB1-Normal13"/>
              <w:rPr>
                <w:rFonts w:cs="Times New Roman"/>
                <w:noProof/>
              </w:rPr>
            </w:pPr>
            <w:r>
              <w:rPr>
                <w:noProof/>
              </w:rPr>
              <w:t xml:space="preserve">Mechanizm finansowania czipów: Ministerstwo zakończyło inwestycję. </w:t>
            </w:r>
          </w:p>
        </w:tc>
        <w:tc>
          <w:tcPr>
            <w:tcW w:w="1276" w:type="dxa"/>
            <w:shd w:val="clear" w:color="auto" w:fill="C6EFCE"/>
          </w:tcPr>
          <w:p w14:paraId="3BA1A2B2" w14:textId="172197F1" w:rsidR="006578ED" w:rsidRDefault="00A1618E">
            <w:pPr>
              <w:pStyle w:val="P68B1DB1-Normal13"/>
              <w:rPr>
                <w:rFonts w:cs="Times New Roman"/>
                <w:noProof/>
              </w:rPr>
            </w:pPr>
            <w:r>
              <w:rPr>
                <w:noProof/>
              </w:rPr>
              <w:t xml:space="preserve">Świadectwo transferu </w:t>
            </w:r>
          </w:p>
        </w:tc>
        <w:tc>
          <w:tcPr>
            <w:tcW w:w="709" w:type="dxa"/>
            <w:shd w:val="clear" w:color="auto" w:fill="C6EFCE"/>
          </w:tcPr>
          <w:p w14:paraId="42EB5E1B" w14:textId="1E55410B" w:rsidR="006578ED" w:rsidRDefault="006578ED">
            <w:pPr>
              <w:jc w:val="center"/>
              <w:rPr>
                <w:rFonts w:ascii="Times New Roman" w:hAnsi="Times New Roman" w:cs="Times New Roman"/>
                <w:noProof/>
                <w:sz w:val="18"/>
              </w:rPr>
            </w:pPr>
          </w:p>
        </w:tc>
        <w:tc>
          <w:tcPr>
            <w:tcW w:w="709" w:type="dxa"/>
            <w:shd w:val="clear" w:color="auto" w:fill="C6EFCE"/>
          </w:tcPr>
          <w:p w14:paraId="5A860AAC" w14:textId="47ACFEA4" w:rsidR="006578ED" w:rsidRDefault="006578ED">
            <w:pPr>
              <w:rPr>
                <w:rFonts w:ascii="Times New Roman" w:hAnsi="Times New Roman" w:cs="Times New Roman"/>
                <w:noProof/>
                <w:sz w:val="18"/>
              </w:rPr>
            </w:pPr>
          </w:p>
        </w:tc>
        <w:tc>
          <w:tcPr>
            <w:tcW w:w="708" w:type="dxa"/>
            <w:shd w:val="clear" w:color="auto" w:fill="C6EFCE"/>
          </w:tcPr>
          <w:p w14:paraId="635452A8" w14:textId="52B1A388" w:rsidR="006578ED" w:rsidRDefault="006578ED">
            <w:pPr>
              <w:rPr>
                <w:rFonts w:ascii="Times New Roman" w:hAnsi="Times New Roman" w:cs="Times New Roman"/>
                <w:noProof/>
                <w:sz w:val="18"/>
              </w:rPr>
            </w:pPr>
          </w:p>
        </w:tc>
        <w:tc>
          <w:tcPr>
            <w:tcW w:w="426" w:type="dxa"/>
            <w:shd w:val="clear" w:color="auto" w:fill="C6EFCE"/>
          </w:tcPr>
          <w:p w14:paraId="34F3DFA2" w14:textId="55015BB6" w:rsidR="006578ED" w:rsidRDefault="00EC188C">
            <w:pPr>
              <w:pStyle w:val="P68B1DB1-Normal13"/>
              <w:jc w:val="center"/>
              <w:rPr>
                <w:rFonts w:cs="Times New Roman"/>
                <w:noProof/>
              </w:rPr>
            </w:pPr>
            <w:r>
              <w:rPr>
                <w:noProof/>
              </w:rPr>
              <w:t>KW. 3</w:t>
            </w:r>
          </w:p>
        </w:tc>
        <w:tc>
          <w:tcPr>
            <w:tcW w:w="567" w:type="dxa"/>
            <w:shd w:val="clear" w:color="auto" w:fill="C6EFCE"/>
          </w:tcPr>
          <w:p w14:paraId="0AD71336" w14:textId="77777777" w:rsidR="006578ED" w:rsidRDefault="00A1618E">
            <w:pPr>
              <w:pStyle w:val="P68B1DB1-Normal13"/>
              <w:jc w:val="center"/>
              <w:rPr>
                <w:rFonts w:cs="Times New Roman"/>
                <w:noProof/>
              </w:rPr>
            </w:pPr>
            <w:r>
              <w:rPr>
                <w:noProof/>
              </w:rPr>
              <w:t>2026</w:t>
            </w:r>
          </w:p>
        </w:tc>
        <w:tc>
          <w:tcPr>
            <w:tcW w:w="4958" w:type="dxa"/>
            <w:shd w:val="clear" w:color="auto" w:fill="C6EFCE"/>
          </w:tcPr>
          <w:p w14:paraId="7808AB6C" w14:textId="5CEBF4B5" w:rsidR="006578ED" w:rsidRDefault="00A1618E">
            <w:pPr>
              <w:pStyle w:val="P68B1DB1-Normal13"/>
              <w:rPr>
                <w:rFonts w:cs="Times New Roman"/>
                <w:noProof/>
              </w:rPr>
            </w:pPr>
            <w:r>
              <w:rPr>
                <w:noProof/>
              </w:rPr>
              <w:t>Hiszpania dokonuje przesunięcia kwoty 10 750 000 000 EUR na rzecz SEMyS na rzecz instrumentu.</w:t>
            </w:r>
          </w:p>
        </w:tc>
      </w:tr>
    </w:tbl>
    <w:p w14:paraId="01914987" w14:textId="77777777" w:rsidR="006578ED" w:rsidRDefault="006578ED">
      <w:pPr>
        <w:spacing w:before="120" w:after="120" w:line="240" w:lineRule="auto"/>
        <w:ind w:left="709"/>
        <w:jc w:val="both"/>
        <w:rPr>
          <w:rFonts w:ascii="Times New Roman" w:hAnsi="Times New Roman" w:cs="Times New Roman"/>
          <w:noProof/>
          <w:sz w:val="24"/>
        </w:rPr>
      </w:pPr>
    </w:p>
    <w:p w14:paraId="3DBE73F8"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330"/>
          <w:headerReference w:type="default" r:id="rId331"/>
          <w:footerReference w:type="even" r:id="rId332"/>
          <w:footerReference w:type="default" r:id="rId333"/>
          <w:headerReference w:type="first" r:id="rId334"/>
          <w:footerReference w:type="first" r:id="rId335"/>
          <w:pgSz w:w="16839" w:h="11907" w:orient="landscape"/>
          <w:pgMar w:top="1417" w:right="1134" w:bottom="1417" w:left="1134" w:header="709" w:footer="709" w:gutter="0"/>
          <w:cols w:space="720"/>
          <w:docGrid w:linePitch="360"/>
        </w:sectPr>
      </w:pPr>
    </w:p>
    <w:p w14:paraId="4E73C637" w14:textId="77777777" w:rsidR="006578ED" w:rsidRDefault="00A1618E">
      <w:pPr>
        <w:pStyle w:val="P68B1DB1-Heading12"/>
        <w:rPr>
          <w:rFonts w:cs="Times New Roman"/>
          <w:noProof/>
        </w:rPr>
      </w:pPr>
      <w:r>
        <w:rPr>
          <w:noProof/>
        </w:rPr>
        <w:t>P. KOMPONENT 16: Sztucznej inteligencji</w:t>
      </w:r>
    </w:p>
    <w:p w14:paraId="4A87F81B" w14:textId="05952620" w:rsidR="006578ED" w:rsidRDefault="00A1618E">
      <w:pPr>
        <w:pStyle w:val="P68B1DB1-Normal4"/>
        <w:spacing w:before="120" w:after="120" w:line="240" w:lineRule="auto"/>
        <w:jc w:val="both"/>
        <w:rPr>
          <w:rFonts w:cs="Times New Roman"/>
          <w:noProof/>
        </w:rPr>
      </w:pPr>
      <w:r>
        <w:rPr>
          <w:noProof/>
        </w:rPr>
        <w:t xml:space="preserve">Sztuczna inteligencja (AI) ma znaczny potencjał transformacji z technologicznego, gospodarczego i społecznego punktu widzenia, biorąc pod uwagę jej przenikanie międzysektorowe, duży wpływ, szybki wzrost oraz wkład w poprawę wydajności i konkurencyjności. </w:t>
      </w:r>
    </w:p>
    <w:p w14:paraId="5D4612A0" w14:textId="62D198A3" w:rsidR="006578ED" w:rsidRDefault="00A1618E">
      <w:pPr>
        <w:pStyle w:val="P68B1DB1-Normal4"/>
        <w:spacing w:before="120" w:after="120" w:line="240" w:lineRule="auto"/>
        <w:jc w:val="both"/>
        <w:rPr>
          <w:rFonts w:cs="Times New Roman"/>
          <w:noProof/>
        </w:rPr>
      </w:pPr>
      <w:r>
        <w:rPr>
          <w:noProof/>
        </w:rPr>
        <w:t>Główne wyzwania, do których odnosi się ten element hiszpańskiego planu odbudowy i zwiększania odporności, to: ograniczone wykorzystanie sztucznej inteligencji w przedsiębiorstwach, zwłaszcza w MŚP, (ii) tworzenie szeroko dostępnych repozytoriów danych oraz (iii) promowanie publicznych i prywatnych inwestycji w innowacje w AI. Komponent ten opiera się na krajowej strategii w zakresie sztucznej inteligencji (ENIA), która jest jednym z głównych planów agendy cyfrowej hiszpańskiego rządu (</w:t>
      </w:r>
      <w:r>
        <w:rPr>
          <w:i/>
          <w:noProof/>
        </w:rPr>
        <w:t>España Digital 2025</w:t>
      </w:r>
      <w:r>
        <w:rPr>
          <w:noProof/>
        </w:rPr>
        <w:t xml:space="preserve">). Komponent ten przyczynia się również do sprostania wyzwaniom społecznym, w szczególności do zmniejszenia różnic w traktowaniu kobiet i mężczyzn (poprzez działania skierowane do kobiet), przepaści cyfrowej, transformacji ekologicznej oraz spójności terytorialnej. </w:t>
      </w:r>
    </w:p>
    <w:p w14:paraId="644576C3" w14:textId="77777777" w:rsidR="006578ED" w:rsidRDefault="00A1618E">
      <w:pPr>
        <w:pStyle w:val="P68B1DB1-Normal4"/>
        <w:spacing w:before="120" w:after="120" w:line="240" w:lineRule="auto"/>
        <w:jc w:val="both"/>
        <w:rPr>
          <w:rFonts w:cs="Times New Roman"/>
          <w:noProof/>
        </w:rPr>
      </w:pPr>
      <w:r>
        <w:rPr>
          <w:noProof/>
        </w:rPr>
        <w:t xml:space="preserve">Z tego punktu widzenia celem tego komponentu jest: </w:t>
      </w:r>
    </w:p>
    <w:p w14:paraId="57EA1398" w14:textId="46ED0112" w:rsidR="006578ED" w:rsidRDefault="00A1618E">
      <w:pPr>
        <w:pStyle w:val="P68B1DB1-Normal4"/>
        <w:numPr>
          <w:ilvl w:val="0"/>
          <w:numId w:val="127"/>
        </w:numPr>
        <w:spacing w:before="120" w:after="120" w:line="240" w:lineRule="auto"/>
        <w:ind w:left="426" w:hanging="426"/>
        <w:jc w:val="both"/>
        <w:rPr>
          <w:rFonts w:cs="Times New Roman"/>
          <w:noProof/>
        </w:rPr>
      </w:pPr>
      <w:r>
        <w:rPr>
          <w:noProof/>
        </w:rPr>
        <w:t>umieszczenie Hiszpanii jako wiodącego kraju pod względem doskonałości naukowej i innowacji w dziedzinie sztucznej inteligencji w sposób interdyscyplinarny;</w:t>
      </w:r>
    </w:p>
    <w:p w14:paraId="49FE989E" w14:textId="023DFFFD" w:rsidR="006578ED" w:rsidRDefault="00A1618E">
      <w:pPr>
        <w:pStyle w:val="P68B1DB1-Normal4"/>
        <w:numPr>
          <w:ilvl w:val="0"/>
          <w:numId w:val="127"/>
        </w:numPr>
        <w:spacing w:before="120" w:after="120" w:line="240" w:lineRule="auto"/>
        <w:ind w:left="426" w:hanging="426"/>
        <w:jc w:val="both"/>
        <w:rPr>
          <w:rFonts w:cs="Times New Roman"/>
          <w:noProof/>
        </w:rPr>
      </w:pPr>
      <w:r>
        <w:rPr>
          <w:noProof/>
        </w:rPr>
        <w:t>odgrywanie roli światowego lidera w opracowywaniu narzędzi, technologii i aplikacji do projekcji i stosowania języka hiszpańskiego w sztucznej inteligencji;</w:t>
      </w:r>
    </w:p>
    <w:p w14:paraId="4731BC8A" w14:textId="325F91B2" w:rsidR="006578ED" w:rsidRDefault="00A1618E">
      <w:pPr>
        <w:pStyle w:val="P68B1DB1-Normal4"/>
        <w:numPr>
          <w:ilvl w:val="0"/>
          <w:numId w:val="127"/>
        </w:numPr>
        <w:spacing w:before="120" w:after="120" w:line="240" w:lineRule="auto"/>
        <w:ind w:left="426" w:hanging="426"/>
        <w:jc w:val="both"/>
        <w:rPr>
          <w:rFonts w:cs="Times New Roman"/>
          <w:noProof/>
        </w:rPr>
      </w:pPr>
      <w:r>
        <w:rPr>
          <w:noProof/>
        </w:rPr>
        <w:t>promowanie tworzenia miejsc pracy wymagających wysokich kwalifikacji, wspieranie szkoleń i kształcenia, pobudzanie talentów hiszpańskich i przyciąganie talentów globalnych;</w:t>
      </w:r>
    </w:p>
    <w:p w14:paraId="5A1ADD7D" w14:textId="77777777" w:rsidR="006578ED" w:rsidRDefault="00A1618E">
      <w:pPr>
        <w:pStyle w:val="P68B1DB1-Normal4"/>
        <w:numPr>
          <w:ilvl w:val="0"/>
          <w:numId w:val="127"/>
        </w:numPr>
        <w:spacing w:before="120" w:after="120" w:line="240" w:lineRule="auto"/>
        <w:ind w:left="426" w:hanging="426"/>
        <w:jc w:val="both"/>
        <w:rPr>
          <w:rFonts w:cs="Times New Roman"/>
          <w:noProof/>
        </w:rPr>
      </w:pPr>
      <w:r>
        <w:rPr>
          <w:noProof/>
        </w:rPr>
        <w:t>uwzględnienie sztucznej inteligencji jako czynnika poprawy wydajności hiszpańskiego sektora prywatnego, wydajności administracji publicznej oraz jako siły napędowej trwałego wzrostu gospodarczego sprzyjającego włączeniu społecznemu;</w:t>
      </w:r>
    </w:p>
    <w:p w14:paraId="53AFD8B4" w14:textId="758424AF" w:rsidR="006578ED" w:rsidRDefault="00A1618E">
      <w:pPr>
        <w:pStyle w:val="P68B1DB1-Normal4"/>
        <w:numPr>
          <w:ilvl w:val="0"/>
          <w:numId w:val="127"/>
        </w:numPr>
        <w:spacing w:before="120" w:after="120" w:line="240" w:lineRule="auto"/>
        <w:ind w:left="426" w:hanging="426"/>
        <w:jc w:val="both"/>
        <w:rPr>
          <w:rFonts w:cs="Times New Roman"/>
          <w:noProof/>
        </w:rPr>
      </w:pPr>
      <w:r>
        <w:rPr>
          <w:noProof/>
        </w:rPr>
        <w:t>stworzenie środowiska zaufania w odniesieniu do sztucznej inteligencji, zarówno pod względem rozwoju technologicznego, regulacji, jak i skutków społecznych;</w:t>
      </w:r>
    </w:p>
    <w:p w14:paraId="1C19587F" w14:textId="1190A23A" w:rsidR="006578ED" w:rsidRDefault="00A1618E">
      <w:pPr>
        <w:pStyle w:val="P68B1DB1-Normal4"/>
        <w:numPr>
          <w:ilvl w:val="0"/>
          <w:numId w:val="127"/>
        </w:numPr>
        <w:spacing w:before="120" w:after="120" w:line="240" w:lineRule="auto"/>
        <w:ind w:left="426" w:hanging="426"/>
        <w:jc w:val="both"/>
        <w:rPr>
          <w:rFonts w:cs="Times New Roman"/>
          <w:noProof/>
        </w:rPr>
      </w:pPr>
      <w:r>
        <w:rPr>
          <w:noProof/>
        </w:rPr>
        <w:t>stymulowanie globalnej debaty na temat humanizmu technologicznego poprzez tworzenie forów i działań informacyjnych oraz uczestniczenie w nich w celu opracowania ram etycznych gwarantujących indywidualne i zbiorowe prawa obywateli;</w:t>
      </w:r>
    </w:p>
    <w:p w14:paraId="1364B138" w14:textId="58E09AC5" w:rsidR="006578ED" w:rsidRDefault="00A1618E">
      <w:pPr>
        <w:pStyle w:val="P68B1DB1-Normal4"/>
        <w:numPr>
          <w:ilvl w:val="0"/>
          <w:numId w:val="127"/>
        </w:numPr>
        <w:spacing w:before="120" w:after="120" w:line="240" w:lineRule="auto"/>
        <w:ind w:left="426" w:hanging="426"/>
        <w:jc w:val="both"/>
        <w:rPr>
          <w:rFonts w:cs="Times New Roman"/>
          <w:noProof/>
        </w:rPr>
      </w:pPr>
      <w:r>
        <w:rPr>
          <w:noProof/>
        </w:rPr>
        <w:t>wzmocnienie sztucznej inteligencji jako wektora przekrojowego w celu sprostania wielkim wyzwaniom społecznym, a w szczególności zmniejszenia różnic w traktowaniu kobiet i mężczyzn, przepaści cyfrowej, wspierania transformacji ekologicznej i spójności terytorialnej.</w:t>
      </w:r>
    </w:p>
    <w:p w14:paraId="18EF63D9" w14:textId="4F17A8AC" w:rsidR="006578ED" w:rsidRDefault="00A1618E">
      <w:pPr>
        <w:pStyle w:val="P68B1DB1-Normal4"/>
        <w:spacing w:before="120" w:after="120" w:line="240" w:lineRule="auto"/>
        <w:jc w:val="both"/>
        <w:rPr>
          <w:rFonts w:cs="Times New Roman"/>
          <w:noProof/>
        </w:rPr>
      </w:pPr>
      <w:r>
        <w:rPr>
          <w:noProof/>
        </w:rPr>
        <w:t xml:space="preserve">Komponent ten dotyczy zaleceń dla poszczególnych krajów w sprawie promowania inwestycji w innowacje (zalecenie dla poszczególnych krajów </w:t>
      </w:r>
      <w:r w:rsidRPr="00A1618E">
        <w:rPr>
          <w:noProof/>
          <w:lang w:val="pl-PL"/>
        </w:rPr>
        <w:t>nr 3</w:t>
      </w:r>
      <w:r>
        <w:rPr>
          <w:noProof/>
        </w:rPr>
        <w:t xml:space="preserve"> z 20</w:t>
      </w:r>
      <w:r w:rsidRPr="00A1618E">
        <w:rPr>
          <w:noProof/>
          <w:lang w:val="pl-PL"/>
        </w:rPr>
        <w:t>19 r.</w:t>
      </w:r>
      <w:r>
        <w:rPr>
          <w:noProof/>
        </w:rPr>
        <w:t xml:space="preserve">), poprawy dostępu do cyfrowego uczenia się (zalecenie dla poszczególnych krajów </w:t>
      </w:r>
      <w:r w:rsidRPr="00A1618E">
        <w:rPr>
          <w:noProof/>
          <w:lang w:val="pl-PL"/>
        </w:rPr>
        <w:t>nr 2</w:t>
      </w:r>
      <w:r>
        <w:rPr>
          <w:noProof/>
        </w:rPr>
        <w:t xml:space="preserve"> z 20</w:t>
      </w:r>
      <w:r w:rsidRPr="00A1618E">
        <w:rPr>
          <w:noProof/>
          <w:lang w:val="pl-PL"/>
        </w:rPr>
        <w:t>20 r.</w:t>
      </w:r>
      <w:r>
        <w:rPr>
          <w:noProof/>
        </w:rPr>
        <w:t xml:space="preserve">) oraz promowania inwestycji publicznych i prywatnych oraz wspierania transformacji cyfrowej (zalecenie dla poszczególnych krajów </w:t>
      </w:r>
      <w:r w:rsidRPr="00A1618E">
        <w:rPr>
          <w:noProof/>
          <w:lang w:val="pl-PL"/>
        </w:rPr>
        <w:t>nr 3</w:t>
      </w:r>
      <w:r>
        <w:rPr>
          <w:noProof/>
        </w:rPr>
        <w:t xml:space="preserve"> z 20</w:t>
      </w:r>
      <w:r w:rsidRPr="00A1618E">
        <w:rPr>
          <w:noProof/>
          <w:lang w:val="pl-PL"/>
        </w:rPr>
        <w:t>20 r.</w:t>
      </w:r>
      <w:r>
        <w:rPr>
          <w:noProof/>
        </w:rPr>
        <w:t>).</w:t>
      </w:r>
    </w:p>
    <w:p w14:paraId="32D63FA5" w14:textId="43AC2A8F"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 xml:space="preserve">7 rozporządzenia (UE) 2020/852, biorąc pod uwagę opis środków i działań łagodzących określonych w planie odbudowy i zwiększania odporności zgodnie z wytycznymi technicznymi dotyczącymi zasady „nie czyń poważnych szkód” (2021/C58/01). </w:t>
      </w:r>
    </w:p>
    <w:p w14:paraId="60545F2D" w14:textId="61AB5DDC" w:rsidR="006578ED" w:rsidRDefault="00A1618E">
      <w:pPr>
        <w:pStyle w:val="P68B1DB1-Heading227"/>
        <w:numPr>
          <w:ilvl w:val="0"/>
          <w:numId w:val="0"/>
        </w:numPr>
        <w:ind w:left="850"/>
        <w:rPr>
          <w:rFonts w:cs="Times New Roman"/>
          <w:b w:val="0"/>
          <w:noProof/>
        </w:rPr>
      </w:pPr>
      <w:r>
        <w:rPr>
          <w:noProof/>
        </w:rPr>
        <w:t xml:space="preserve">P.1. </w:t>
      </w:r>
      <w:r>
        <w:rPr>
          <w:noProof/>
        </w:rPr>
        <w:tab/>
        <w:t>Opis reform i inwestycji, które mają być finansowane z bezzwrotnego wsparcia finansowego</w:t>
      </w:r>
    </w:p>
    <w:p w14:paraId="1FD43111" w14:textId="2D301B5D" w:rsidR="006578ED" w:rsidRDefault="00A1618E">
      <w:pPr>
        <w:pStyle w:val="P68B1DB1-Heading337"/>
        <w:numPr>
          <w:ilvl w:val="0"/>
          <w:numId w:val="0"/>
        </w:numPr>
        <w:ind w:left="850" w:hanging="850"/>
        <w:rPr>
          <w:rFonts w:cs="Times New Roman"/>
          <w:noProof/>
        </w:rPr>
      </w:pPr>
      <w:r>
        <w:rPr>
          <w:noProof/>
        </w:rPr>
        <w:t>Reforma 1 (C16.R1) – Krajowa strategia w zakresie AI</w:t>
      </w:r>
    </w:p>
    <w:p w14:paraId="2A6B2C59" w14:textId="64299CEA" w:rsidR="006578ED" w:rsidRDefault="00A1618E">
      <w:pPr>
        <w:pStyle w:val="P68B1DB1-Normal4"/>
        <w:keepNext/>
        <w:spacing w:before="120" w:after="120" w:line="240" w:lineRule="auto"/>
        <w:jc w:val="both"/>
        <w:rPr>
          <w:rFonts w:cs="Times New Roman"/>
          <w:noProof/>
        </w:rPr>
      </w:pPr>
      <w:r>
        <w:rPr>
          <w:noProof/>
        </w:rPr>
        <w:t xml:space="preserve">Celem tego kompleksowego środka jest ustanowienie ram wdrażania wiarygodnej, przejrzystej i inkluzywnej krajowej strategii w zakresie AI, która zapewnia zgodność z podstawowymi zasadami i wartościami oraz uwzględnia zbiorowe aspiracje obywateli. W tym celu środek obejmuje trzy reformy legislacyjne mające na celu ustanowienie ram regulacyjnych i etycznych dotyczących sztucznej inteligencji oraz dziewięć projektów inwestycyjnych wspierających rozwój i przyjmowanie technologii opartych na sztucznej inteligencji w hiszpańskiej gospodarce i społeczeństwie, takich jak projekty w zakresie umiejętności, talentów i infrastruktury. </w:t>
      </w:r>
    </w:p>
    <w:p w14:paraId="6C911DA2" w14:textId="77777777" w:rsidR="006578ED" w:rsidRDefault="00A1618E">
      <w:pPr>
        <w:pStyle w:val="P68B1DB1-Normal4"/>
        <w:spacing w:before="120" w:after="120" w:line="240" w:lineRule="auto"/>
        <w:jc w:val="both"/>
        <w:rPr>
          <w:rFonts w:cs="Times New Roman"/>
          <w:noProof/>
        </w:rPr>
      </w:pPr>
      <w:r>
        <w:rPr>
          <w:noProof/>
        </w:rPr>
        <w:t>Działania te podzielono na pięć dźwigni politycznych:</w:t>
      </w:r>
    </w:p>
    <w:p w14:paraId="162ABEC0" w14:textId="15FAA6FB" w:rsidR="006578ED" w:rsidRDefault="00A1618E">
      <w:pPr>
        <w:pStyle w:val="P68B1DB1-ListParagraph7"/>
        <w:numPr>
          <w:ilvl w:val="0"/>
          <w:numId w:val="550"/>
        </w:numPr>
        <w:spacing w:before="120" w:after="120" w:line="240" w:lineRule="auto"/>
        <w:jc w:val="both"/>
        <w:rPr>
          <w:rFonts w:cs="Times New Roman"/>
          <w:noProof/>
        </w:rPr>
      </w:pPr>
      <w:r>
        <w:rPr>
          <w:noProof/>
        </w:rPr>
        <w:t xml:space="preserve">Ramy regulacyjne i etyczne (akty prawne): </w:t>
      </w:r>
    </w:p>
    <w:p w14:paraId="00E478A3" w14:textId="3BAC7C56"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krajowa strategia w zakresie sztucznej inteligencji (ENIA): krajowy plan działań i reform na rzecz wprowadzenia i rozszerzenia technologii opartych na sztucznej inteligencji w hiszpańskiej gospodarce i społeczeństwie poprzez utworzenie Komitetu Doradczego ds. Sztucznej Inteligencji;</w:t>
      </w:r>
    </w:p>
    <w:p w14:paraId="57F4B11F" w14:textId="1E2B5E49"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piaskownice regulacyjne: opracowanie niezbędnych aktów ustawodawczych, aby umożliwić piaskownice regulacyjne na potrzeby stosowania sztucznej inteligencji. Bezpieczne środowiska lub piaskownice wykorzystuje się do wprowadzania nowych procesów i usług opartych na danych, zarówno w sferze publicznej, jak i prywatnej. Bezpieczne środowiska i piaskownice mogą być wykorzystywane przez agencje rządowe, użytkowników sztucznej inteligencji oraz przez twórców repozytoriów danych, w miarę możliwości w ramach sieci centrów innowacji cyfrowych w celu wprowadzania i regulowania nowych produktów i aplikacji;</w:t>
      </w:r>
    </w:p>
    <w:p w14:paraId="613BDD09" w14:textId="180A02EF"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Centrum monitorowania sztucznej inteligencji i certyfikacja zaufania: w tym opracowanie (i) planu ochrony słabszych grup społecznych w obszarze sztucznej inteligencji, w tym praw pracowniczych i socjalnych oraz potrzeb kobiet, (ii) planu zwiększania świadomości i zaufania do sztucznej inteligencji, (iii) obserwatoriów wpływu na kwestie etyczne i regulacyjne algorytmów obejmujących sztuczną inteligencję, (iv) wiarygodnej certyfikacji sztucznej inteligencji i architektury pieczęci w odniesieniu do produktów i usług AI, a także (v) opracowania i promowania Karty praw cyfrowych.</w:t>
      </w:r>
    </w:p>
    <w:p w14:paraId="509B815A" w14:textId="5F17E290"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 xml:space="preserve">Utworzenie hiszpańskiej agencji (AESIA) w celu nadzorowania systemów sztucznej inteligencji, wykorzystywanych zarówno przez sektor publiczny, jak i prywatny. W szczególności Agencja co najmniej monitoruje i promuje gwarancję praw związanych ze sztuczną inteligencją, interpretuje wyniki rozwoju piaskownic regulacyjnych i przeprowadza oceny rozwoju sztucznej inteligencji w celu dalszego rozwoju regulacji i wytycznych dotyczących sztucznej inteligencji. </w:t>
      </w:r>
    </w:p>
    <w:p w14:paraId="78BE46CA" w14:textId="640B1287" w:rsidR="006578ED" w:rsidRDefault="00A1618E">
      <w:pPr>
        <w:pStyle w:val="P68B1DB1-ListParagraph7"/>
        <w:numPr>
          <w:ilvl w:val="0"/>
          <w:numId w:val="550"/>
        </w:numPr>
        <w:spacing w:before="120" w:after="120" w:line="240" w:lineRule="auto"/>
        <w:jc w:val="both"/>
        <w:rPr>
          <w:rFonts w:cs="Times New Roman"/>
          <w:noProof/>
        </w:rPr>
      </w:pPr>
      <w:r>
        <w:rPr>
          <w:noProof/>
        </w:rPr>
        <w:t xml:space="preserve">Wspieranie badań, rozwoju i innowacji w dziedzinie sztucznej inteligencji (projekty): </w:t>
      </w:r>
    </w:p>
    <w:p w14:paraId="36AE9F35" w14:textId="53D9F979"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Misje w zakresie badań, rozwoju i innowacji: finansowanie projektów w zakresie badań przemysłowych lub eksperymentalnych projektów rozwojowych w dziedzinie sztucznej inteligencji w celu sprostania głównym wyzwaniom społecznym lub misjom krajowym, o których mowa w ENIA (tj. różnic w traktowaniu kobiet i mężczyzn, transformacji ekologicznej, struktury terytorialnej i przepaści cyfrowej) w sektorach o dużym znaczeniu i dużej zdolności do zakłóceń i oddziaływania (tj. energetyka, mobilność, biomedycyna, klimat, sektor rolno-spożywczy, zdrowie, turystyka i hotelarstwo);</w:t>
      </w:r>
    </w:p>
    <w:p w14:paraId="641E766A" w14:textId="542BE105"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multidyscyplinarny instytut sztucznej inteligencji: utworzenie multidyscyplinarnego ośrodka badawczego integrującego sztuczną inteligencję z innymi naukami, ze szczególnym uwzględnieniem neurotechnologii;</w:t>
      </w:r>
    </w:p>
    <w:p w14:paraId="7FB1A941" w14:textId="16D52F7C"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sieć doskonałości w dziedzinie sztucznej inteligencji: utworzenie hiszpańskiej sieci doskonałości w dziedzinie sztucznej inteligencji z interdyscyplinarnymi programami szkoleniowymi i programami wysokiej specjalizacji oraz mechanizmami rekrutacji i zatrzymywania talentów, które działają w zintegrowany sposób w celu koordynacji badań na szczeblu krajowym.</w:t>
      </w:r>
    </w:p>
    <w:p w14:paraId="5DB72044" w14:textId="77777777" w:rsidR="006578ED" w:rsidRDefault="00A1618E">
      <w:pPr>
        <w:pStyle w:val="P68B1DB1-ListParagraph7"/>
        <w:numPr>
          <w:ilvl w:val="0"/>
          <w:numId w:val="550"/>
        </w:numPr>
        <w:spacing w:before="120" w:after="120" w:line="240" w:lineRule="auto"/>
        <w:jc w:val="both"/>
        <w:rPr>
          <w:rFonts w:cs="Times New Roman"/>
          <w:noProof/>
        </w:rPr>
      </w:pPr>
      <w:r>
        <w:rPr>
          <w:noProof/>
        </w:rPr>
        <w:t xml:space="preserve">Przyciąganie talentów (projekty): </w:t>
      </w:r>
    </w:p>
    <w:p w14:paraId="555DC212" w14:textId="1E61EBED" w:rsidR="006578ED" w:rsidRDefault="00A1618E">
      <w:pPr>
        <w:pStyle w:val="P68B1DB1-Normal4"/>
        <w:numPr>
          <w:ilvl w:val="0"/>
          <w:numId w:val="124"/>
        </w:numPr>
        <w:spacing w:before="120" w:after="120" w:line="240" w:lineRule="auto"/>
        <w:ind w:left="851" w:hanging="426"/>
        <w:contextualSpacing/>
        <w:jc w:val="both"/>
        <w:rPr>
          <w:rFonts w:cs="Times New Roman"/>
          <w:noProof/>
        </w:rPr>
      </w:pPr>
      <w:r>
        <w:rPr>
          <w:noProof/>
        </w:rPr>
        <w:t>Hiszpańskie centrum talentów: utworzenie węzła informacyjnego w celu przyciągnięcia i zatrzymania talentów w dziedzinie sztucznej inteligencji – Hiszpańskiego Centrum Talentów, które ma służyć jako punkt kontaktowy przy rekrutacji i zwiększaniu talentów i inwestycji zagranicznych, ze szczególnym uwzględnieniem potrzeb kobiet i inwestycji o oddziaływaniu społecznym;</w:t>
      </w:r>
    </w:p>
    <w:p w14:paraId="08EAFF90" w14:textId="4CBB78A6" w:rsidR="006578ED" w:rsidRDefault="00A1618E">
      <w:pPr>
        <w:pStyle w:val="P68B1DB1-Normal4"/>
        <w:numPr>
          <w:ilvl w:val="0"/>
          <w:numId w:val="124"/>
        </w:numPr>
        <w:spacing w:before="120" w:after="120" w:line="240" w:lineRule="auto"/>
        <w:ind w:left="851" w:hanging="426"/>
        <w:contextualSpacing/>
        <w:jc w:val="both"/>
        <w:rPr>
          <w:rFonts w:cs="Times New Roman"/>
          <w:noProof/>
        </w:rPr>
      </w:pPr>
      <w:r>
        <w:rPr>
          <w:noProof/>
        </w:rPr>
        <w:t xml:space="preserve">Przewodniczący akademiccy: finansowanie utworzenia 10–15 tymczasowych przewodniczących akademickich w okresie </w:t>
      </w:r>
      <w:r w:rsidRPr="00A1618E">
        <w:rPr>
          <w:noProof/>
          <w:lang w:val="pl-PL"/>
        </w:rPr>
        <w:t>od 1</w:t>
      </w:r>
      <w:r>
        <w:rPr>
          <w:noProof/>
        </w:rPr>
        <w:t xml:space="preserve"> stycznia 20</w:t>
      </w:r>
      <w:r w:rsidRPr="00A1618E">
        <w:rPr>
          <w:noProof/>
          <w:lang w:val="pl-PL"/>
        </w:rPr>
        <w:t>21 r.</w:t>
      </w:r>
      <w:r>
        <w:rPr>
          <w:noProof/>
        </w:rPr>
        <w:t xml:space="preserve"> </w:t>
      </w:r>
      <w:r w:rsidRPr="00A1618E">
        <w:rPr>
          <w:noProof/>
          <w:lang w:val="pl-PL"/>
        </w:rPr>
        <w:t>do 3</w:t>
      </w:r>
      <w:r>
        <w:rPr>
          <w:noProof/>
        </w:rPr>
        <w:t>1 grudnia 20</w:t>
      </w:r>
      <w:r w:rsidRPr="00A1618E">
        <w:rPr>
          <w:noProof/>
          <w:lang w:val="pl-PL"/>
        </w:rPr>
        <w:t>23 r.</w:t>
      </w:r>
      <w:r>
        <w:rPr>
          <w:noProof/>
        </w:rPr>
        <w:t>, ze szczególnym uwzględnieniem głównych tematów, takich jak wpływ sztucznej inteligencji na demokrację, pojawiające się tendencje w zakresie sztucznej inteligencji, oceny systemów sztucznej inteligencji, hybrydyzacja mózgów i sztuczna inteligencja biomedyczna.</w:t>
      </w:r>
    </w:p>
    <w:p w14:paraId="3A5AF4AE" w14:textId="0FFB9347" w:rsidR="006578ED" w:rsidRDefault="00A1618E">
      <w:pPr>
        <w:pStyle w:val="P68B1DB1-ListParagraph7"/>
        <w:numPr>
          <w:ilvl w:val="0"/>
          <w:numId w:val="550"/>
        </w:numPr>
        <w:spacing w:before="120" w:after="120" w:line="240" w:lineRule="auto"/>
        <w:jc w:val="both"/>
        <w:rPr>
          <w:rFonts w:cs="Times New Roman"/>
          <w:noProof/>
        </w:rPr>
      </w:pPr>
      <w:r>
        <w:rPr>
          <w:noProof/>
        </w:rPr>
        <w:t xml:space="preserve">Infrastruktura danych i technologii (projekty): </w:t>
      </w:r>
    </w:p>
    <w:p w14:paraId="4E6987FC" w14:textId="2982413A"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Plan w dziedzinie technologii języka naturalnego: celem jest rozwój przemysłu przetwarzania języka naturalnego, a także systemów tłumaczenia maszynowego i rozmów w Hiszpanii, zwłaszcza w językach hiszpańskim i współurzędowym;</w:t>
      </w:r>
    </w:p>
    <w:p w14:paraId="4192A10B" w14:textId="79A6FB2A"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wzmocnienie strategicznych zdolności w zakresie obliczeń superkomputerowych: opracowanie programu ułatwiającego dostęp i wykorzystanie MŚP i struktury biznesowej centrów obliczeń superkomputerowych w różnych regionach (takich jak Estremadura, Galicja i Aragonia), a także przyjęcie obliczeń kwantowych w ramach projektów dotyczących różnych tematów, w tym mobilności i zmiany klimatu. Ponadto w kontekście czipów PERTE należy wzmocnić rozwój czipów kwantowych poprzez wspieranie badań, rozwoju i innowacji w opracowywaniu technologii czipów kwantowych nowej generacji.</w:t>
      </w:r>
    </w:p>
    <w:p w14:paraId="3138FC50" w14:textId="77777777" w:rsidR="006578ED" w:rsidRDefault="00A1618E">
      <w:pPr>
        <w:pStyle w:val="P68B1DB1-ListParagraph7"/>
        <w:numPr>
          <w:ilvl w:val="0"/>
          <w:numId w:val="550"/>
        </w:numPr>
        <w:spacing w:before="120" w:after="120" w:line="240" w:lineRule="auto"/>
        <w:jc w:val="both"/>
        <w:rPr>
          <w:rFonts w:cs="Times New Roman"/>
          <w:noProof/>
        </w:rPr>
      </w:pPr>
      <w:r>
        <w:rPr>
          <w:noProof/>
        </w:rPr>
        <w:t>Włączenie sztucznej inteligencji do łańcuchów wartości (projektów):</w:t>
      </w:r>
    </w:p>
    <w:p w14:paraId="72345051" w14:textId="61D16BF9"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zaproszenie do składania wniosków o dotacje na integrację sztucznej inteligencji z łańcuchami wartości: program pomocy finansujący eksperymentalne projekty rozwojowe, których dojrzałość technologiczna odpowiada poziomom TRL 6, 7 i 8. Finansowanie projektów na tych poziomach dojrzałości technologicznej stanowi silne wsparcie dla produktów, które mogłyby być bliskie przyjęcia na rynek, a tym samym mogłyby zostać przeniesione do łańcucha wartości;</w:t>
      </w:r>
    </w:p>
    <w:p w14:paraId="5BFA29A9" w14:textId="298157E0" w:rsidR="006578ED" w:rsidRDefault="00A1618E">
      <w:pPr>
        <w:pStyle w:val="P68B1DB1-Normal4"/>
        <w:numPr>
          <w:ilvl w:val="0"/>
          <w:numId w:val="124"/>
        </w:numPr>
        <w:spacing w:before="120" w:after="120" w:line="240" w:lineRule="auto"/>
        <w:ind w:left="851" w:hanging="425"/>
        <w:contextualSpacing/>
        <w:jc w:val="both"/>
        <w:rPr>
          <w:rFonts w:cs="Times New Roman"/>
          <w:noProof/>
        </w:rPr>
      </w:pPr>
      <w:r>
        <w:rPr>
          <w:noProof/>
        </w:rPr>
        <w:t>Krajowy program zielonych algorytmów: program wsparcia na rzecz rozwoju zielonych algorytmów w celu zmaksymalizowania efektywności energetycznej i zmniejszenia wpływu modeli sztucznej inteligencji na środowisko, przy jednoczesnym wspieraniu wykorzystania tej technologii w odpowiedzi na różne wyzwania środowiskowe.</w:t>
      </w:r>
    </w:p>
    <w:p w14:paraId="271D2A83" w14:textId="523AA750" w:rsidR="006578ED" w:rsidRDefault="00A1618E">
      <w:pPr>
        <w:pStyle w:val="P68B1DB1-Normal4"/>
        <w:spacing w:before="120" w:after="120" w:line="240" w:lineRule="auto"/>
        <w:jc w:val="both"/>
        <w:rPr>
          <w:rFonts w:cs="Times New Roman"/>
          <w:noProof/>
        </w:rPr>
      </w:pPr>
      <w:r>
        <w:rPr>
          <w:noProof/>
        </w:rPr>
        <w:t xml:space="preserve">Reformy i inwestycje są realizowane poprzez (i) zaproszenia do składania wniosków o dotacje, misje w zakresie badań, rozwoju i innowacji, włączenie sztucznej inteligencji do łańcuchów wartości oraz rozwój technologii czipów kwantowych nowej generacji; konwencje dotyczące infrastruktury danych i technologii; zamówienia publiczne, w odniesieniu do ram regulacyjnych i etycznych, krajowego programu zielonych algorytmów i planu dotyczącego języka naturalnego; oraz (iv) konsorcja dla multidyscyplinarnego instytutu sztucznej inteligencji. </w:t>
      </w:r>
    </w:p>
    <w:p w14:paraId="24F4AF92" w14:textId="06490CF8" w:rsidR="006578ED" w:rsidRDefault="00A1618E">
      <w:pPr>
        <w:pStyle w:val="P68B1DB1-Normal4"/>
        <w:spacing w:before="120" w:after="120" w:line="240" w:lineRule="auto"/>
        <w:jc w:val="both"/>
        <w:rPr>
          <w:rFonts w:cs="Times New Roman"/>
          <w:noProof/>
        </w:rPr>
      </w:pPr>
      <w:r>
        <w:rPr>
          <w:noProof/>
        </w:rPr>
        <w:t>Realizacja reformy zakończy się do dnia 30 czerwca 20</w:t>
      </w:r>
      <w:r w:rsidRPr="00A1618E">
        <w:rPr>
          <w:noProof/>
          <w:lang w:val="pl-PL"/>
        </w:rPr>
        <w:t>26 r.</w:t>
      </w:r>
      <w:r>
        <w:rPr>
          <w:noProof/>
        </w:rPr>
        <w:t xml:space="preserve"> </w:t>
      </w:r>
    </w:p>
    <w:p w14:paraId="5406F878" w14:textId="2EA85C4C" w:rsidR="006578ED" w:rsidRDefault="00A1618E">
      <w:pPr>
        <w:pStyle w:val="P68B1DB1-Normal5"/>
        <w:ind w:left="720"/>
        <w:rPr>
          <w:rFonts w:cs="Times New Roman"/>
          <w:noProof/>
        </w:rPr>
      </w:pPr>
      <w:r>
        <w:rPr>
          <w:noProof/>
        </w:rPr>
        <w:t xml:space="preserve">P.2. </w:t>
      </w:r>
      <w:r>
        <w:rPr>
          <w:noProof/>
        </w:rPr>
        <w:tab/>
        <w:t>Kamienie milowe, wartości docelowe, wskaźniki i harmonogram monitorowania i realizacji na potrzeby bezzwrotnego wsparcia finansowego</w:t>
      </w:r>
    </w:p>
    <w:p w14:paraId="2A76E93D" w14:textId="5B9B14B8"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2EDE943D" w14:textId="77777777" w:rsidR="006578ED" w:rsidRDefault="006578ED">
      <w:pPr>
        <w:spacing w:before="120" w:after="120" w:line="240" w:lineRule="auto"/>
        <w:jc w:val="both"/>
        <w:rPr>
          <w:rFonts w:ascii="Times New Roman" w:hAnsi="Times New Roman" w:cs="Times New Roman"/>
          <w:b/>
          <w:noProof/>
          <w:sz w:val="24"/>
          <w:u w:val="single"/>
        </w:rPr>
      </w:pPr>
    </w:p>
    <w:p w14:paraId="2BE9C227"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336"/>
          <w:headerReference w:type="default" r:id="rId337"/>
          <w:footerReference w:type="even" r:id="rId338"/>
          <w:footerReference w:type="default" r:id="rId339"/>
          <w:headerReference w:type="first" r:id="rId340"/>
          <w:footerReference w:type="first" r:id="rId341"/>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694"/>
        <w:gridCol w:w="1275"/>
        <w:gridCol w:w="851"/>
        <w:gridCol w:w="567"/>
        <w:gridCol w:w="567"/>
        <w:gridCol w:w="567"/>
        <w:gridCol w:w="567"/>
        <w:gridCol w:w="5812"/>
      </w:tblGrid>
      <w:tr w:rsidR="006578ED" w14:paraId="18F62D71" w14:textId="77777777">
        <w:trPr>
          <w:trHeight w:val="309"/>
          <w:tblHeader/>
        </w:trPr>
        <w:tc>
          <w:tcPr>
            <w:tcW w:w="709" w:type="dxa"/>
            <w:tcBorders>
              <w:bottom w:val="nil"/>
            </w:tcBorders>
            <w:shd w:val="clear" w:color="auto" w:fill="C6D9F1" w:themeFill="text2" w:themeFillTint="33"/>
            <w:noWrap/>
          </w:tcPr>
          <w:p w14:paraId="41CA0B6A"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tcPr>
          <w:p w14:paraId="7F24B2A7"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tcPr>
          <w:p w14:paraId="3DE6A602" w14:textId="52DA3C21"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694" w:type="dxa"/>
            <w:tcBorders>
              <w:bottom w:val="nil"/>
            </w:tcBorders>
            <w:shd w:val="clear" w:color="auto" w:fill="C6D9F1" w:themeFill="text2" w:themeFillTint="33"/>
            <w:noWrap/>
          </w:tcPr>
          <w:p w14:paraId="547B5F96" w14:textId="77777777" w:rsidR="006578ED" w:rsidRDefault="00A1618E">
            <w:pPr>
              <w:pStyle w:val="P68B1DB1-Normal12"/>
              <w:spacing w:after="0" w:line="240" w:lineRule="auto"/>
              <w:jc w:val="center"/>
              <w:rPr>
                <w:rFonts w:cs="Times New Roman"/>
                <w:noProof/>
              </w:rPr>
            </w:pPr>
            <w:r>
              <w:rPr>
                <w:noProof/>
              </w:rPr>
              <w:t>Nazwa</w:t>
            </w:r>
          </w:p>
        </w:tc>
        <w:tc>
          <w:tcPr>
            <w:tcW w:w="1275" w:type="dxa"/>
            <w:tcBorders>
              <w:bottom w:val="nil"/>
            </w:tcBorders>
            <w:shd w:val="clear" w:color="auto" w:fill="C6D9F1" w:themeFill="text2" w:themeFillTint="33"/>
            <w:noWrap/>
          </w:tcPr>
          <w:p w14:paraId="1C0ED490"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85" w:type="dxa"/>
            <w:gridSpan w:val="3"/>
            <w:shd w:val="clear" w:color="auto" w:fill="C6D9F1" w:themeFill="text2" w:themeFillTint="33"/>
            <w:noWrap/>
          </w:tcPr>
          <w:p w14:paraId="7FFD4E55"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134" w:type="dxa"/>
            <w:gridSpan w:val="2"/>
            <w:shd w:val="clear" w:color="auto" w:fill="C6D9F1" w:themeFill="text2" w:themeFillTint="33"/>
            <w:noWrap/>
          </w:tcPr>
          <w:p w14:paraId="33B311A9" w14:textId="77777777" w:rsidR="006578ED" w:rsidRDefault="00A1618E">
            <w:pPr>
              <w:pStyle w:val="P68B1DB1-Normal12"/>
              <w:spacing w:after="0" w:line="240" w:lineRule="auto"/>
              <w:jc w:val="center"/>
              <w:rPr>
                <w:rFonts w:cs="Times New Roman"/>
                <w:noProof/>
              </w:rPr>
            </w:pPr>
            <w:r>
              <w:rPr>
                <w:noProof/>
              </w:rPr>
              <w:t>Czas</w:t>
            </w:r>
          </w:p>
        </w:tc>
        <w:tc>
          <w:tcPr>
            <w:tcW w:w="5812" w:type="dxa"/>
            <w:tcBorders>
              <w:bottom w:val="nil"/>
            </w:tcBorders>
            <w:shd w:val="clear" w:color="auto" w:fill="C6D9F1" w:themeFill="text2" w:themeFillTint="33"/>
            <w:noWrap/>
          </w:tcPr>
          <w:p w14:paraId="77B940C1" w14:textId="1D369303"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21CB8188" w14:textId="77777777">
        <w:trPr>
          <w:trHeight w:val="309"/>
          <w:tblHeader/>
        </w:trPr>
        <w:tc>
          <w:tcPr>
            <w:tcW w:w="709" w:type="dxa"/>
            <w:tcBorders>
              <w:top w:val="nil"/>
            </w:tcBorders>
            <w:shd w:val="clear" w:color="auto" w:fill="C6D9F1" w:themeFill="text2" w:themeFillTint="33"/>
            <w:noWrap/>
          </w:tcPr>
          <w:p w14:paraId="373A0F4F"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496A1993"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663E802" w14:textId="77777777" w:rsidR="006578ED" w:rsidRDefault="006578ED">
            <w:pPr>
              <w:spacing w:after="0" w:line="240" w:lineRule="auto"/>
              <w:jc w:val="center"/>
              <w:rPr>
                <w:rFonts w:ascii="Times New Roman" w:hAnsi="Times New Roman" w:cs="Times New Roman"/>
                <w:b/>
                <w:noProof/>
                <w:sz w:val="18"/>
              </w:rPr>
            </w:pPr>
          </w:p>
        </w:tc>
        <w:tc>
          <w:tcPr>
            <w:tcW w:w="2694" w:type="dxa"/>
            <w:tcBorders>
              <w:top w:val="nil"/>
            </w:tcBorders>
            <w:shd w:val="clear" w:color="auto" w:fill="C6D9F1" w:themeFill="text2" w:themeFillTint="33"/>
            <w:noWrap/>
          </w:tcPr>
          <w:p w14:paraId="41C852C4" w14:textId="77777777" w:rsidR="006578ED" w:rsidRDefault="006578ED">
            <w:pPr>
              <w:spacing w:after="0" w:line="240" w:lineRule="auto"/>
              <w:rPr>
                <w:rFonts w:ascii="Times New Roman" w:hAnsi="Times New Roman" w:cs="Times New Roman"/>
                <w:b/>
                <w:noProof/>
                <w:sz w:val="18"/>
              </w:rPr>
            </w:pPr>
          </w:p>
        </w:tc>
        <w:tc>
          <w:tcPr>
            <w:tcW w:w="1275" w:type="dxa"/>
            <w:tcBorders>
              <w:top w:val="nil"/>
            </w:tcBorders>
            <w:shd w:val="clear" w:color="auto" w:fill="C6D9F1" w:themeFill="text2" w:themeFillTint="33"/>
            <w:noWrap/>
          </w:tcPr>
          <w:p w14:paraId="3D1C1254" w14:textId="77777777" w:rsidR="006578ED" w:rsidRDefault="006578ED">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78F7F448"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tcPr>
          <w:p w14:paraId="5B637134" w14:textId="77777777" w:rsidR="006578ED" w:rsidRDefault="00A1618E">
            <w:pPr>
              <w:pStyle w:val="P68B1DB1-Normal12"/>
              <w:spacing w:after="0" w:line="240" w:lineRule="auto"/>
              <w:jc w:val="center"/>
              <w:rPr>
                <w:rFonts w:cs="Times New Roman"/>
                <w:noProof/>
              </w:rPr>
            </w:pPr>
            <w:r>
              <w:rPr>
                <w:noProof/>
              </w:rPr>
              <w:t>Wartość wyjściowa</w:t>
            </w:r>
          </w:p>
        </w:tc>
        <w:tc>
          <w:tcPr>
            <w:tcW w:w="567" w:type="dxa"/>
            <w:shd w:val="clear" w:color="auto" w:fill="C6D9F1" w:themeFill="text2" w:themeFillTint="33"/>
            <w:noWrap/>
          </w:tcPr>
          <w:p w14:paraId="10FACC42" w14:textId="77777777" w:rsidR="006578ED" w:rsidRDefault="00A1618E">
            <w:pPr>
              <w:pStyle w:val="P68B1DB1-Normal12"/>
              <w:spacing w:after="0" w:line="240" w:lineRule="auto"/>
              <w:jc w:val="center"/>
              <w:rPr>
                <w:rFonts w:cs="Times New Roman"/>
                <w:noProof/>
              </w:rPr>
            </w:pPr>
            <w:r>
              <w:rPr>
                <w:noProof/>
              </w:rPr>
              <w:t>Cel</w:t>
            </w:r>
          </w:p>
        </w:tc>
        <w:tc>
          <w:tcPr>
            <w:tcW w:w="567" w:type="dxa"/>
            <w:shd w:val="clear" w:color="auto" w:fill="C6D9F1" w:themeFill="text2" w:themeFillTint="33"/>
            <w:noWrap/>
          </w:tcPr>
          <w:p w14:paraId="007AB6D4"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7EC494FD" w14:textId="77777777" w:rsidR="006578ED" w:rsidRDefault="00A1618E">
            <w:pPr>
              <w:pStyle w:val="P68B1DB1-Normal12"/>
              <w:spacing w:after="0" w:line="240" w:lineRule="auto"/>
              <w:jc w:val="center"/>
              <w:rPr>
                <w:rFonts w:cs="Times New Roman"/>
                <w:noProof/>
              </w:rPr>
            </w:pPr>
            <w:r>
              <w:rPr>
                <w:noProof/>
              </w:rPr>
              <w:t>Rok</w:t>
            </w:r>
          </w:p>
        </w:tc>
        <w:tc>
          <w:tcPr>
            <w:tcW w:w="5812" w:type="dxa"/>
            <w:tcBorders>
              <w:top w:val="nil"/>
            </w:tcBorders>
            <w:shd w:val="clear" w:color="auto" w:fill="C6D9F1" w:themeFill="text2" w:themeFillTint="33"/>
            <w:noWrap/>
          </w:tcPr>
          <w:p w14:paraId="5694B408" w14:textId="77777777" w:rsidR="006578ED" w:rsidRDefault="006578ED">
            <w:pPr>
              <w:spacing w:after="0" w:line="240" w:lineRule="auto"/>
              <w:rPr>
                <w:rFonts w:ascii="Times New Roman" w:hAnsi="Times New Roman" w:cs="Times New Roman"/>
                <w:b/>
                <w:noProof/>
                <w:sz w:val="18"/>
              </w:rPr>
            </w:pPr>
          </w:p>
        </w:tc>
      </w:tr>
      <w:tr w:rsidR="006578ED" w14:paraId="36F932E5" w14:textId="77777777">
        <w:trPr>
          <w:trHeight w:val="309"/>
        </w:trPr>
        <w:tc>
          <w:tcPr>
            <w:tcW w:w="709" w:type="dxa"/>
            <w:shd w:val="clear" w:color="auto" w:fill="C6EFCE"/>
            <w:noWrap/>
          </w:tcPr>
          <w:p w14:paraId="17350418" w14:textId="77777777" w:rsidR="006578ED" w:rsidRDefault="00A1618E">
            <w:pPr>
              <w:pStyle w:val="P68B1DB1-Normal13"/>
              <w:spacing w:after="0" w:line="240" w:lineRule="auto"/>
              <w:jc w:val="center"/>
              <w:rPr>
                <w:rFonts w:eastAsia="Times New Roman" w:cs="Times New Roman"/>
                <w:noProof/>
              </w:rPr>
            </w:pPr>
            <w:r>
              <w:rPr>
                <w:noProof/>
              </w:rPr>
              <w:t>249</w:t>
            </w:r>
          </w:p>
        </w:tc>
        <w:tc>
          <w:tcPr>
            <w:tcW w:w="851" w:type="dxa"/>
            <w:shd w:val="clear" w:color="auto" w:fill="C6EFCE"/>
            <w:noWrap/>
          </w:tcPr>
          <w:p w14:paraId="67EABD58" w14:textId="77777777" w:rsidR="006578ED" w:rsidRDefault="00A1618E">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336ED4C0" w14:textId="55AE328C" w:rsidR="006578ED" w:rsidRDefault="00AF6B91">
            <w:pPr>
              <w:pStyle w:val="P68B1DB1-Normal13"/>
              <w:spacing w:after="0" w:line="240" w:lineRule="auto"/>
              <w:jc w:val="center"/>
              <w:rPr>
                <w:rFonts w:eastAsia="Times New Roman" w:cs="Times New Roman"/>
                <w:noProof/>
              </w:rPr>
            </w:pPr>
            <w:r>
              <w:rPr>
                <w:noProof/>
              </w:rPr>
              <w:t>Kamień milowy</w:t>
            </w:r>
          </w:p>
        </w:tc>
        <w:tc>
          <w:tcPr>
            <w:tcW w:w="2694" w:type="dxa"/>
            <w:shd w:val="clear" w:color="auto" w:fill="C6EFCE"/>
            <w:noWrap/>
          </w:tcPr>
          <w:p w14:paraId="3DE4A649" w14:textId="77777777" w:rsidR="006578ED" w:rsidRDefault="00A1618E">
            <w:pPr>
              <w:pStyle w:val="P68B1DB1-Normal13"/>
              <w:spacing w:after="0" w:line="240" w:lineRule="auto"/>
              <w:rPr>
                <w:rFonts w:eastAsia="Times New Roman" w:cs="Times New Roman"/>
                <w:noProof/>
              </w:rPr>
            </w:pPr>
            <w:r>
              <w:rPr>
                <w:noProof/>
              </w:rPr>
              <w:t xml:space="preserve">Krajowa strategia na rzecz sztucznej inteligencji </w:t>
            </w:r>
          </w:p>
        </w:tc>
        <w:tc>
          <w:tcPr>
            <w:tcW w:w="1275" w:type="dxa"/>
            <w:shd w:val="clear" w:color="auto" w:fill="C6EFCE"/>
            <w:noWrap/>
          </w:tcPr>
          <w:p w14:paraId="07CC24E0" w14:textId="77777777" w:rsidR="006578ED" w:rsidRDefault="00A1618E">
            <w:pPr>
              <w:pStyle w:val="P68B1DB1-Normal13"/>
              <w:spacing w:after="0" w:line="240" w:lineRule="auto"/>
              <w:jc w:val="center"/>
              <w:rPr>
                <w:rFonts w:eastAsia="Times New Roman" w:cs="Times New Roman"/>
                <w:noProof/>
              </w:rPr>
            </w:pPr>
            <w:r>
              <w:rPr>
                <w:noProof/>
              </w:rPr>
              <w:t>Publikacja w Dz.U.</w:t>
            </w:r>
          </w:p>
        </w:tc>
        <w:tc>
          <w:tcPr>
            <w:tcW w:w="851" w:type="dxa"/>
            <w:shd w:val="clear" w:color="auto" w:fill="C6EFCE"/>
            <w:noWrap/>
          </w:tcPr>
          <w:p w14:paraId="3DAF5D7F"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0BA2ACDA"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ACDE741"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482DB46E" w14:textId="0F706C42" w:rsidR="006578ED" w:rsidRDefault="00EC188C">
            <w:pPr>
              <w:pStyle w:val="P68B1DB1-Normal13"/>
              <w:spacing w:after="0" w:line="240" w:lineRule="auto"/>
              <w:jc w:val="center"/>
              <w:rPr>
                <w:rFonts w:eastAsia="Times New Roman" w:cs="Times New Roman"/>
                <w:noProof/>
              </w:rPr>
            </w:pPr>
            <w:r>
              <w:rPr>
                <w:noProof/>
              </w:rPr>
              <w:t>KW. 3</w:t>
            </w:r>
          </w:p>
        </w:tc>
        <w:tc>
          <w:tcPr>
            <w:tcW w:w="567" w:type="dxa"/>
            <w:shd w:val="clear" w:color="auto" w:fill="C6EFCE"/>
            <w:noWrap/>
          </w:tcPr>
          <w:p w14:paraId="1C6FB7B4" w14:textId="77777777" w:rsidR="006578ED" w:rsidRDefault="00A1618E">
            <w:pPr>
              <w:pStyle w:val="P68B1DB1-Normal13"/>
              <w:spacing w:after="0" w:line="240" w:lineRule="auto"/>
              <w:jc w:val="center"/>
              <w:rPr>
                <w:rFonts w:eastAsia="Times New Roman" w:cs="Times New Roman"/>
                <w:noProof/>
              </w:rPr>
            </w:pPr>
            <w:r>
              <w:rPr>
                <w:noProof/>
              </w:rPr>
              <w:t>2020</w:t>
            </w:r>
          </w:p>
        </w:tc>
        <w:tc>
          <w:tcPr>
            <w:tcW w:w="5812" w:type="dxa"/>
            <w:shd w:val="clear" w:color="auto" w:fill="C6EFCE"/>
            <w:noWrap/>
          </w:tcPr>
          <w:p w14:paraId="04E742C5" w14:textId="7E25D5B3" w:rsidR="006578ED" w:rsidRDefault="00A1618E">
            <w:pPr>
              <w:pStyle w:val="P68B1DB1-Normal13"/>
              <w:spacing w:after="0" w:line="240" w:lineRule="auto"/>
              <w:rPr>
                <w:rFonts w:eastAsia="Times New Roman" w:cs="Times New Roman"/>
                <w:noProof/>
              </w:rPr>
            </w:pPr>
            <w:r>
              <w:rPr>
                <w:noProof/>
              </w:rPr>
              <w:t xml:space="preserve">Publikacja krajowej strategii na rzecz sztucznej inteligencji. Strategia ma na celu: </w:t>
            </w:r>
            <w:r>
              <w:rPr>
                <w:noProof/>
              </w:rPr>
              <w:br/>
              <w:t>1. Uznanie Hiszpanii za państwo zaangażowane w promowanie doskonałości naukowej i innowacji w dziedzinie sztucznej inteligencji.</w:t>
            </w:r>
            <w:r>
              <w:rPr>
                <w:noProof/>
              </w:rPr>
              <w:br/>
              <w:t xml:space="preserve">2. Projekcja języka hiszpańskiego w AI. </w:t>
            </w:r>
            <w:r>
              <w:rPr>
                <w:noProof/>
              </w:rPr>
              <w:br/>
              <w:t>3. Tworzenie miejsc pracy wymagających kwalifikacji, pobudzanie i przyciąganie talentów, ze szczególnym uwzględnieniem kobiet.</w:t>
            </w:r>
            <w:r>
              <w:rPr>
                <w:noProof/>
              </w:rPr>
              <w:br/>
              <w:t>4. Włączenie sztucznej inteligencji do systemu produkcyjnego w celu poprawy wydajności hiszpańskich przedsiębiorstw.</w:t>
            </w:r>
            <w:r>
              <w:rPr>
                <w:noProof/>
              </w:rPr>
              <w:br/>
              <w:t>5. Stworzenie zaufanego środowiska w odniesieniu do sztucznej inteligencji.</w:t>
            </w:r>
            <w:r>
              <w:rPr>
                <w:noProof/>
              </w:rPr>
              <w:br/>
              <w:t>6. Opracowanie ram etycznych gwarantujących indywidualne i zbiorowe prawa obywateli w dziedzinie sztucznej inteligencji.</w:t>
            </w:r>
            <w:r>
              <w:rPr>
                <w:noProof/>
              </w:rPr>
              <w:br/>
              <w:t>7. Wzmocnienie inkluzywnej i zrównoważonej sztucznej inteligencji; w szczególności zniwelowanie różnic w traktowaniu kobiet i mężczyzn i przepaści cyfrowej oraz wspieranie transformacji ekologicznej i spójności terytorialnej.</w:t>
            </w:r>
          </w:p>
        </w:tc>
      </w:tr>
      <w:tr w:rsidR="006578ED" w14:paraId="2FFA111E" w14:textId="77777777">
        <w:trPr>
          <w:trHeight w:val="309"/>
        </w:trPr>
        <w:tc>
          <w:tcPr>
            <w:tcW w:w="709" w:type="dxa"/>
            <w:shd w:val="clear" w:color="auto" w:fill="C6EFCE"/>
            <w:noWrap/>
          </w:tcPr>
          <w:p w14:paraId="11223EEE" w14:textId="77777777" w:rsidR="006578ED" w:rsidRDefault="00A1618E">
            <w:pPr>
              <w:pStyle w:val="P68B1DB1-Normal13"/>
              <w:spacing w:after="0" w:line="240" w:lineRule="auto"/>
              <w:jc w:val="center"/>
              <w:rPr>
                <w:rFonts w:eastAsia="Times New Roman" w:cs="Times New Roman"/>
                <w:noProof/>
              </w:rPr>
            </w:pPr>
            <w:r>
              <w:rPr>
                <w:noProof/>
              </w:rPr>
              <w:t>250</w:t>
            </w:r>
          </w:p>
        </w:tc>
        <w:tc>
          <w:tcPr>
            <w:tcW w:w="851" w:type="dxa"/>
            <w:shd w:val="clear" w:color="auto" w:fill="C6EFCE"/>
            <w:noWrap/>
          </w:tcPr>
          <w:p w14:paraId="69D4EBBA" w14:textId="77777777" w:rsidR="006578ED" w:rsidRDefault="00A1618E">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28643269" w14:textId="2C9E536C" w:rsidR="006578ED" w:rsidRDefault="00AF6B91">
            <w:pPr>
              <w:pStyle w:val="P68B1DB1-Normal13"/>
              <w:spacing w:after="0" w:line="240" w:lineRule="auto"/>
              <w:jc w:val="center"/>
              <w:rPr>
                <w:rFonts w:eastAsia="Times New Roman" w:cs="Times New Roman"/>
                <w:noProof/>
              </w:rPr>
            </w:pPr>
            <w:r>
              <w:rPr>
                <w:noProof/>
              </w:rPr>
              <w:t>Kamień milowy</w:t>
            </w:r>
          </w:p>
        </w:tc>
        <w:tc>
          <w:tcPr>
            <w:tcW w:w="2694" w:type="dxa"/>
            <w:shd w:val="clear" w:color="auto" w:fill="C6EFCE"/>
            <w:noWrap/>
          </w:tcPr>
          <w:p w14:paraId="26EEB8F1" w14:textId="77777777" w:rsidR="006578ED" w:rsidRDefault="00A1618E">
            <w:pPr>
              <w:pStyle w:val="P68B1DB1-Normal13"/>
              <w:spacing w:after="0" w:line="240" w:lineRule="auto"/>
              <w:rPr>
                <w:rFonts w:eastAsia="Times New Roman" w:cs="Times New Roman"/>
                <w:noProof/>
              </w:rPr>
            </w:pPr>
            <w:r>
              <w:rPr>
                <w:noProof/>
              </w:rPr>
              <w:t>Karta praw cyfrowych</w:t>
            </w:r>
          </w:p>
        </w:tc>
        <w:tc>
          <w:tcPr>
            <w:tcW w:w="1275" w:type="dxa"/>
            <w:shd w:val="clear" w:color="auto" w:fill="C6EFCE"/>
            <w:noWrap/>
          </w:tcPr>
          <w:p w14:paraId="2F39C460" w14:textId="77777777" w:rsidR="006578ED" w:rsidRDefault="00A1618E">
            <w:pPr>
              <w:pStyle w:val="P68B1DB1-Normal13"/>
              <w:spacing w:after="0" w:line="240" w:lineRule="auto"/>
              <w:jc w:val="center"/>
              <w:rPr>
                <w:rFonts w:eastAsia="Times New Roman" w:cs="Times New Roman"/>
                <w:noProof/>
              </w:rPr>
            </w:pPr>
            <w:r>
              <w:rPr>
                <w:noProof/>
              </w:rPr>
              <w:t>Publikacja w Dz.U.</w:t>
            </w:r>
          </w:p>
        </w:tc>
        <w:tc>
          <w:tcPr>
            <w:tcW w:w="851" w:type="dxa"/>
            <w:shd w:val="clear" w:color="auto" w:fill="C6EFCE"/>
            <w:noWrap/>
          </w:tcPr>
          <w:p w14:paraId="562F7403"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75826876"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6EE5AC0"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11C302C" w14:textId="0147A919"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5170D935"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812" w:type="dxa"/>
            <w:shd w:val="clear" w:color="auto" w:fill="C6EFCE"/>
            <w:noWrap/>
          </w:tcPr>
          <w:p w14:paraId="71499C32" w14:textId="17F60410" w:rsidR="006578ED" w:rsidRDefault="00A1618E">
            <w:pPr>
              <w:pStyle w:val="P68B1DB1-Normal13"/>
              <w:spacing w:after="0" w:line="240" w:lineRule="auto"/>
              <w:rPr>
                <w:rFonts w:eastAsia="Times New Roman" w:cs="Times New Roman"/>
                <w:noProof/>
              </w:rPr>
            </w:pPr>
            <w:r>
              <w:rPr>
                <w:noProof/>
              </w:rPr>
              <w:t xml:space="preserve">Przyjęcie przez rząd hiszpański i publikacja na oficjalnej stronie internetowej Karty praw cyfrowych. Karta nie ma charakteru normatywnego, lecz ma na celu uwzględnienie nowych wyzwań związanych ze stosowaniem i interpretacją, jakie stwarza dostosowanie praw do środowiska cyfrowego, oraz zaproponowanie związanych z nimi zasad i polityk w tym kontekście. Oprócz tego Komisja zaproponuje również ramy odniesienia dla działań organów publicznych, wykorzystując i rozwijając wszystkie możliwości i możliwości obecnego środowiska cyfrowego, a jednocześnie zapobiegając związanym z nim zagrożeniom. </w:t>
            </w:r>
          </w:p>
        </w:tc>
      </w:tr>
      <w:tr w:rsidR="006578ED" w14:paraId="029A96F6" w14:textId="77777777">
        <w:trPr>
          <w:trHeight w:val="309"/>
        </w:trPr>
        <w:tc>
          <w:tcPr>
            <w:tcW w:w="709" w:type="dxa"/>
            <w:shd w:val="clear" w:color="auto" w:fill="C6EFCE"/>
            <w:noWrap/>
          </w:tcPr>
          <w:p w14:paraId="276F758E" w14:textId="77777777" w:rsidR="006578ED" w:rsidRDefault="00A1618E">
            <w:pPr>
              <w:pStyle w:val="P68B1DB1-Normal13"/>
              <w:spacing w:after="0" w:line="240" w:lineRule="auto"/>
              <w:jc w:val="center"/>
              <w:rPr>
                <w:rFonts w:eastAsia="Times New Roman" w:cs="Times New Roman"/>
                <w:noProof/>
              </w:rPr>
            </w:pPr>
            <w:r>
              <w:rPr>
                <w:noProof/>
              </w:rPr>
              <w:t>251</w:t>
            </w:r>
          </w:p>
        </w:tc>
        <w:tc>
          <w:tcPr>
            <w:tcW w:w="851" w:type="dxa"/>
            <w:shd w:val="clear" w:color="auto" w:fill="C6EFCE"/>
            <w:noWrap/>
          </w:tcPr>
          <w:p w14:paraId="79FD9143" w14:textId="77777777" w:rsidR="006578ED" w:rsidRDefault="00A1618E">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0FBABEE3" w14:textId="1A887199" w:rsidR="006578ED" w:rsidRDefault="00AF6B91">
            <w:pPr>
              <w:pStyle w:val="P68B1DB1-Normal13"/>
              <w:spacing w:after="0" w:line="240" w:lineRule="auto"/>
              <w:jc w:val="center"/>
              <w:rPr>
                <w:rFonts w:eastAsia="Times New Roman" w:cs="Times New Roman"/>
                <w:noProof/>
              </w:rPr>
            </w:pPr>
            <w:r>
              <w:rPr>
                <w:noProof/>
              </w:rPr>
              <w:t>Kamień milowy</w:t>
            </w:r>
          </w:p>
        </w:tc>
        <w:tc>
          <w:tcPr>
            <w:tcW w:w="2694" w:type="dxa"/>
            <w:shd w:val="clear" w:color="auto" w:fill="C6EFCE"/>
            <w:noWrap/>
          </w:tcPr>
          <w:p w14:paraId="0A39D493" w14:textId="77777777" w:rsidR="006578ED" w:rsidRDefault="00A1618E">
            <w:pPr>
              <w:pStyle w:val="P68B1DB1-Normal13"/>
              <w:spacing w:after="0" w:line="240" w:lineRule="auto"/>
              <w:rPr>
                <w:rFonts w:eastAsia="Times New Roman" w:cs="Times New Roman"/>
                <w:noProof/>
              </w:rPr>
            </w:pPr>
            <w:r>
              <w:rPr>
                <w:noProof/>
              </w:rPr>
              <w:t xml:space="preserve">Wsparcie dla projektów dotyczących sztucznej inteligencji </w:t>
            </w:r>
          </w:p>
        </w:tc>
        <w:tc>
          <w:tcPr>
            <w:tcW w:w="1275" w:type="dxa"/>
            <w:shd w:val="clear" w:color="auto" w:fill="C6EFCE"/>
            <w:noWrap/>
          </w:tcPr>
          <w:p w14:paraId="679CB12A" w14:textId="355338E7" w:rsidR="006578ED" w:rsidRDefault="00A1618E">
            <w:pPr>
              <w:pStyle w:val="P68B1DB1-Normal13"/>
              <w:spacing w:after="0" w:line="240" w:lineRule="auto"/>
              <w:jc w:val="center"/>
              <w:rPr>
                <w:rFonts w:eastAsia="Times New Roman" w:cs="Times New Roman"/>
                <w:noProof/>
              </w:rPr>
            </w:pPr>
            <w:r>
              <w:rPr>
                <w:noProof/>
              </w:rPr>
              <w:t>Publikacja i finansowanie dotacji w ramach programu</w:t>
            </w:r>
          </w:p>
        </w:tc>
        <w:tc>
          <w:tcPr>
            <w:tcW w:w="851" w:type="dxa"/>
            <w:shd w:val="clear" w:color="auto" w:fill="C6EFCE"/>
            <w:noWrap/>
          </w:tcPr>
          <w:p w14:paraId="01458715" w14:textId="77777777" w:rsidR="006578ED" w:rsidRDefault="00A1618E">
            <w:pPr>
              <w:pStyle w:val="P68B1DB1-Normal13"/>
              <w:spacing w:after="0" w:line="240" w:lineRule="auto"/>
              <w:jc w:val="center"/>
              <w:rPr>
                <w:rFonts w:eastAsia="Times New Roman" w:cs="Times New Roman"/>
                <w:noProof/>
              </w:rPr>
            </w:pPr>
            <w:r>
              <w:rPr>
                <w:noProof/>
              </w:rPr>
              <w:t> </w:t>
            </w:r>
          </w:p>
        </w:tc>
        <w:tc>
          <w:tcPr>
            <w:tcW w:w="567" w:type="dxa"/>
            <w:shd w:val="clear" w:color="auto" w:fill="C6EFCE"/>
            <w:noWrap/>
          </w:tcPr>
          <w:p w14:paraId="635BD68A" w14:textId="77777777" w:rsidR="006578ED" w:rsidRDefault="00A1618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554268E3" w14:textId="77777777" w:rsidR="006578ED" w:rsidRDefault="00A1618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6FBEC253" w14:textId="629FE8A5"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0431DFA5"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812" w:type="dxa"/>
            <w:shd w:val="clear" w:color="auto" w:fill="C6EFCE"/>
            <w:noWrap/>
          </w:tcPr>
          <w:p w14:paraId="085D693A" w14:textId="6BDD0810" w:rsidR="006578ED" w:rsidRDefault="00A1618E">
            <w:pPr>
              <w:pStyle w:val="P68B1DB1-Normal13"/>
              <w:spacing w:after="0" w:line="240" w:lineRule="auto"/>
              <w:rPr>
                <w:rFonts w:eastAsia="Times New Roman" w:cs="Times New Roman"/>
                <w:noProof/>
              </w:rPr>
            </w:pPr>
            <w:r>
              <w:rPr>
                <w:noProof/>
              </w:rPr>
              <w:t>Co najmniej 500 000 000 EUR przeznaczone na dotacje na projekty w zakresie badań i rozwoju w dziedzinie sztucznej inteligencji, hiszpańskie centrum talentów w dziedzinie sztucznej inteligencji, multidyscyplinarny instytut sztucznej inteligencji, sieć doskonałości w dziedzinie sztucznej inteligencji, plan w zakresie technologii języka naturalnego, przewodniczących akademickich, obserwatoriów, wiarygodnej certyfikacji i pieczęci sztucznej inteligencji, plan ochrony grup szczególnie wrażliwych w dziedzinie sztucznej inteligencji, plan podnoszenia świadomości i zaufania w zakresie sztucznej inteligencji, obliczenia kwantowe oraz program krajowy dotyczący zielonych algorytmów. Dotacje przyznaje się w drodze konkurencyjnych zaproszeń do składania ofert.</w:t>
            </w:r>
          </w:p>
        </w:tc>
      </w:tr>
      <w:tr w:rsidR="006578ED" w14:paraId="3AD21B9A" w14:textId="77777777">
        <w:trPr>
          <w:trHeight w:val="309"/>
        </w:trPr>
        <w:tc>
          <w:tcPr>
            <w:tcW w:w="709" w:type="dxa"/>
            <w:shd w:val="clear" w:color="auto" w:fill="C6EFCE"/>
            <w:noWrap/>
          </w:tcPr>
          <w:p w14:paraId="5EC72927" w14:textId="617BAA48" w:rsidR="006578ED" w:rsidRDefault="00A1618E">
            <w:pPr>
              <w:pStyle w:val="P68B1DB1-Normal13"/>
              <w:spacing w:after="0" w:line="240" w:lineRule="auto"/>
              <w:jc w:val="center"/>
              <w:rPr>
                <w:rFonts w:cs="Times New Roman"/>
                <w:noProof/>
              </w:rPr>
            </w:pPr>
            <w:r>
              <w:rPr>
                <w:noProof/>
              </w:rPr>
              <w:t>458</w:t>
            </w:r>
          </w:p>
        </w:tc>
        <w:tc>
          <w:tcPr>
            <w:tcW w:w="851" w:type="dxa"/>
            <w:shd w:val="clear" w:color="auto" w:fill="C6EFCE"/>
            <w:noWrap/>
          </w:tcPr>
          <w:p w14:paraId="19829B5B" w14:textId="6040864A" w:rsidR="006578ED" w:rsidRDefault="00A1618E">
            <w:pPr>
              <w:pStyle w:val="P68B1DB1-Normal13"/>
              <w:spacing w:after="0" w:line="240" w:lineRule="auto"/>
              <w:jc w:val="center"/>
              <w:rPr>
                <w:rFonts w:cs="Times New Roman"/>
                <w:noProof/>
              </w:rPr>
            </w:pPr>
            <w:r>
              <w:rPr>
                <w:noProof/>
              </w:rPr>
              <w:t>C16.R1</w:t>
            </w:r>
          </w:p>
        </w:tc>
        <w:tc>
          <w:tcPr>
            <w:tcW w:w="850" w:type="dxa"/>
            <w:shd w:val="clear" w:color="auto" w:fill="C6EFCE"/>
            <w:noWrap/>
          </w:tcPr>
          <w:p w14:paraId="428EB1E6" w14:textId="21153FE2" w:rsidR="006578ED" w:rsidRDefault="00AF6B91">
            <w:pPr>
              <w:pStyle w:val="P68B1DB1-Normal13"/>
              <w:spacing w:after="0" w:line="240" w:lineRule="auto"/>
              <w:jc w:val="center"/>
              <w:rPr>
                <w:rFonts w:cs="Times New Roman"/>
                <w:noProof/>
              </w:rPr>
            </w:pPr>
            <w:r>
              <w:rPr>
                <w:noProof/>
              </w:rPr>
              <w:t>Kamień milowy</w:t>
            </w:r>
          </w:p>
        </w:tc>
        <w:tc>
          <w:tcPr>
            <w:tcW w:w="2694" w:type="dxa"/>
            <w:shd w:val="clear" w:color="auto" w:fill="C6EFCE"/>
            <w:noWrap/>
          </w:tcPr>
          <w:p w14:paraId="774B9519" w14:textId="53B6D3E6" w:rsidR="006578ED" w:rsidRDefault="00A1618E">
            <w:pPr>
              <w:pStyle w:val="P68B1DB1-Normal13"/>
              <w:spacing w:after="0" w:line="240" w:lineRule="auto"/>
              <w:rPr>
                <w:rFonts w:cs="Times New Roman"/>
                <w:noProof/>
              </w:rPr>
            </w:pPr>
            <w:r>
              <w:rPr>
                <w:noProof/>
              </w:rPr>
              <w:t>Piaskownice regulacyjne i hiszpańska Agencja ds. Nadzoru Sztucznej Inteligencji (AESIA)</w:t>
            </w:r>
          </w:p>
        </w:tc>
        <w:tc>
          <w:tcPr>
            <w:tcW w:w="1275" w:type="dxa"/>
            <w:shd w:val="clear" w:color="auto" w:fill="C6EFCE"/>
            <w:noWrap/>
          </w:tcPr>
          <w:p w14:paraId="29A3EA67" w14:textId="19C678FA" w:rsidR="006578ED" w:rsidRDefault="00A1618E">
            <w:pPr>
              <w:pStyle w:val="P68B1DB1-Normal13"/>
              <w:spacing w:after="0" w:line="240" w:lineRule="auto"/>
              <w:jc w:val="center"/>
              <w:rPr>
                <w:rFonts w:cs="Times New Roman"/>
                <w:noProof/>
              </w:rPr>
            </w:pPr>
            <w:r>
              <w:rPr>
                <w:noProof/>
              </w:rPr>
              <w:t>Publikacja w Dz.U.</w:t>
            </w:r>
          </w:p>
        </w:tc>
        <w:tc>
          <w:tcPr>
            <w:tcW w:w="851" w:type="dxa"/>
            <w:shd w:val="clear" w:color="auto" w:fill="C6EFCE"/>
            <w:noWrap/>
          </w:tcPr>
          <w:p w14:paraId="106430E3" w14:textId="77777777"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noWrap/>
          </w:tcPr>
          <w:p w14:paraId="6EB4222B" w14:textId="77777777" w:rsidR="006578ED" w:rsidRDefault="006578ED">
            <w:pPr>
              <w:spacing w:after="0" w:line="240" w:lineRule="auto"/>
              <w:jc w:val="right"/>
              <w:rPr>
                <w:rFonts w:ascii="Times New Roman" w:hAnsi="Times New Roman" w:cs="Times New Roman"/>
                <w:noProof/>
                <w:sz w:val="18"/>
              </w:rPr>
            </w:pPr>
          </w:p>
        </w:tc>
        <w:tc>
          <w:tcPr>
            <w:tcW w:w="567" w:type="dxa"/>
            <w:shd w:val="clear" w:color="auto" w:fill="C6EFCE"/>
            <w:noWrap/>
          </w:tcPr>
          <w:p w14:paraId="0F8FC42F" w14:textId="77777777" w:rsidR="006578ED" w:rsidRDefault="006578ED">
            <w:pPr>
              <w:spacing w:after="0" w:line="240" w:lineRule="auto"/>
              <w:jc w:val="right"/>
              <w:rPr>
                <w:rFonts w:ascii="Times New Roman" w:hAnsi="Times New Roman" w:cs="Times New Roman"/>
                <w:noProof/>
                <w:sz w:val="18"/>
              </w:rPr>
            </w:pPr>
          </w:p>
        </w:tc>
        <w:tc>
          <w:tcPr>
            <w:tcW w:w="567" w:type="dxa"/>
            <w:shd w:val="clear" w:color="auto" w:fill="C6EFCE"/>
            <w:noWrap/>
          </w:tcPr>
          <w:p w14:paraId="1965FC98" w14:textId="2384F1B1"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78980B90" w14:textId="3A5E4AC1" w:rsidR="006578ED" w:rsidRDefault="00A1618E">
            <w:pPr>
              <w:pStyle w:val="P68B1DB1-Normal13"/>
              <w:spacing w:after="0" w:line="240" w:lineRule="auto"/>
              <w:jc w:val="center"/>
              <w:rPr>
                <w:rFonts w:cs="Times New Roman"/>
                <w:noProof/>
              </w:rPr>
            </w:pPr>
            <w:r>
              <w:rPr>
                <w:noProof/>
              </w:rPr>
              <w:t>2024</w:t>
            </w:r>
          </w:p>
        </w:tc>
        <w:tc>
          <w:tcPr>
            <w:tcW w:w="5812" w:type="dxa"/>
            <w:shd w:val="clear" w:color="auto" w:fill="C6EFCE"/>
            <w:noWrap/>
          </w:tcPr>
          <w:p w14:paraId="7C0083ED" w14:textId="34D10D12" w:rsidR="006578ED" w:rsidRDefault="00A1618E">
            <w:pPr>
              <w:pStyle w:val="P68B1DB1-Normal13"/>
              <w:spacing w:after="0" w:line="240" w:lineRule="auto"/>
              <w:rPr>
                <w:rFonts w:cs="Times New Roman"/>
                <w:noProof/>
              </w:rPr>
            </w:pPr>
            <w:r>
              <w:rPr>
                <w:noProof/>
              </w:rPr>
              <w:t>Publikacja w Dz.U. niezbędnych aktów ustawodawczych w celu umożliwienia piaskownic regulacyjnych na potrzeby stosowania sztucznej inteligencji oraz dekretu królewskiego zatwierdzającego wewnętrzny statut hiszpańskiej agencji ds. nadzoru nad sztuczną inteligencją. Te ostatnie obejmują: charakter i system prawny Agencji (przyznawanie jej publicznej osobowości prawnej, własnych aktywów i autonomii zarządczej); jej przedmiot, cel i kompetencje; strukturę organiczną i proces jej wyboru; jego ustroju majątkowego, finansowego i zawierania umów; a także zarządzanie i kontrola ekonomiczno-budżetowa.</w:t>
            </w:r>
          </w:p>
        </w:tc>
      </w:tr>
      <w:tr w:rsidR="006578ED" w14:paraId="4B1423DB" w14:textId="77777777">
        <w:trPr>
          <w:trHeight w:val="309"/>
        </w:trPr>
        <w:tc>
          <w:tcPr>
            <w:tcW w:w="709" w:type="dxa"/>
            <w:shd w:val="clear" w:color="auto" w:fill="C6EFCE"/>
            <w:noWrap/>
          </w:tcPr>
          <w:p w14:paraId="7F9E1A61" w14:textId="77777777" w:rsidR="006578ED" w:rsidRDefault="00A1618E">
            <w:pPr>
              <w:pStyle w:val="P68B1DB1-Normal13"/>
              <w:spacing w:after="0" w:line="240" w:lineRule="auto"/>
              <w:jc w:val="center"/>
              <w:rPr>
                <w:rFonts w:eastAsia="Times New Roman" w:cs="Times New Roman"/>
                <w:noProof/>
              </w:rPr>
            </w:pPr>
            <w:r>
              <w:rPr>
                <w:noProof/>
              </w:rPr>
              <w:t>252</w:t>
            </w:r>
          </w:p>
        </w:tc>
        <w:tc>
          <w:tcPr>
            <w:tcW w:w="851" w:type="dxa"/>
            <w:shd w:val="clear" w:color="auto" w:fill="C6EFCE"/>
            <w:noWrap/>
          </w:tcPr>
          <w:p w14:paraId="6F66F239" w14:textId="77777777" w:rsidR="006578ED" w:rsidRDefault="00A1618E">
            <w:pPr>
              <w:pStyle w:val="P68B1DB1-Normal13"/>
              <w:spacing w:after="0" w:line="240" w:lineRule="auto"/>
              <w:jc w:val="center"/>
              <w:rPr>
                <w:rFonts w:eastAsia="Times New Roman" w:cs="Times New Roman"/>
                <w:noProof/>
              </w:rPr>
            </w:pPr>
            <w:r>
              <w:rPr>
                <w:noProof/>
              </w:rPr>
              <w:t>C16.R1</w:t>
            </w:r>
          </w:p>
        </w:tc>
        <w:tc>
          <w:tcPr>
            <w:tcW w:w="850" w:type="dxa"/>
            <w:shd w:val="clear" w:color="auto" w:fill="C6EFCE"/>
            <w:noWrap/>
          </w:tcPr>
          <w:p w14:paraId="5B6776B5" w14:textId="16D16CD1" w:rsidR="006578ED" w:rsidRDefault="00AF6B91">
            <w:pPr>
              <w:pStyle w:val="P68B1DB1-Normal13"/>
              <w:spacing w:after="0" w:line="240" w:lineRule="auto"/>
              <w:jc w:val="center"/>
              <w:rPr>
                <w:rFonts w:eastAsia="Times New Roman" w:cs="Times New Roman"/>
                <w:noProof/>
              </w:rPr>
            </w:pPr>
            <w:r>
              <w:rPr>
                <w:noProof/>
              </w:rPr>
              <w:t>Cel</w:t>
            </w:r>
          </w:p>
        </w:tc>
        <w:tc>
          <w:tcPr>
            <w:tcW w:w="2694" w:type="dxa"/>
            <w:shd w:val="clear" w:color="auto" w:fill="C6EFCE"/>
            <w:noWrap/>
          </w:tcPr>
          <w:p w14:paraId="2B41DD4A" w14:textId="77777777" w:rsidR="006578ED" w:rsidRDefault="00A1618E">
            <w:pPr>
              <w:pStyle w:val="P68B1DB1-Normal13"/>
              <w:spacing w:after="0" w:line="240" w:lineRule="auto"/>
              <w:rPr>
                <w:rFonts w:eastAsia="Times New Roman" w:cs="Times New Roman"/>
                <w:noProof/>
              </w:rPr>
            </w:pPr>
            <w:r>
              <w:rPr>
                <w:noProof/>
              </w:rPr>
              <w:t xml:space="preserve">Misje krajowe, do których adresowano </w:t>
            </w:r>
          </w:p>
        </w:tc>
        <w:tc>
          <w:tcPr>
            <w:tcW w:w="1275" w:type="dxa"/>
            <w:shd w:val="clear" w:color="auto" w:fill="C6EFCE"/>
            <w:noWrap/>
          </w:tcPr>
          <w:p w14:paraId="18D32A11" w14:textId="77777777" w:rsidR="006578ED" w:rsidRDefault="00A1618E">
            <w:pPr>
              <w:pStyle w:val="P68B1DB1-Normal13"/>
              <w:spacing w:after="0" w:line="240" w:lineRule="auto"/>
              <w:jc w:val="center"/>
              <w:rPr>
                <w:rFonts w:eastAsia="Times New Roman" w:cs="Times New Roman"/>
                <w:noProof/>
              </w:rPr>
            </w:pPr>
            <w:r>
              <w:rPr>
                <w:noProof/>
              </w:rPr>
              <w:t>—</w:t>
            </w:r>
          </w:p>
        </w:tc>
        <w:tc>
          <w:tcPr>
            <w:tcW w:w="851" w:type="dxa"/>
            <w:shd w:val="clear" w:color="auto" w:fill="C6EFCE"/>
            <w:noWrap/>
          </w:tcPr>
          <w:p w14:paraId="78017AE8"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7" w:type="dxa"/>
            <w:shd w:val="clear" w:color="auto" w:fill="C6EFCE"/>
            <w:noWrap/>
          </w:tcPr>
          <w:p w14:paraId="6BD500FA" w14:textId="77777777" w:rsidR="006578ED" w:rsidRDefault="00A1618E">
            <w:pPr>
              <w:pStyle w:val="P68B1DB1-Normal13"/>
              <w:spacing w:after="0" w:line="240" w:lineRule="auto"/>
              <w:jc w:val="right"/>
              <w:rPr>
                <w:rFonts w:eastAsia="Times New Roman" w:cs="Times New Roman"/>
                <w:noProof/>
              </w:rPr>
            </w:pPr>
            <w:r>
              <w:rPr>
                <w:noProof/>
              </w:rPr>
              <w:t>0</w:t>
            </w:r>
          </w:p>
        </w:tc>
        <w:tc>
          <w:tcPr>
            <w:tcW w:w="567" w:type="dxa"/>
            <w:shd w:val="clear" w:color="auto" w:fill="C6EFCE"/>
            <w:noWrap/>
          </w:tcPr>
          <w:p w14:paraId="659369D5" w14:textId="77777777" w:rsidR="006578ED" w:rsidRDefault="00A1618E">
            <w:pPr>
              <w:pStyle w:val="P68B1DB1-Normal13"/>
              <w:spacing w:after="0" w:line="240" w:lineRule="auto"/>
              <w:jc w:val="right"/>
              <w:rPr>
                <w:rFonts w:eastAsia="Times New Roman" w:cs="Times New Roman"/>
                <w:noProof/>
              </w:rPr>
            </w:pPr>
            <w:r>
              <w:rPr>
                <w:noProof/>
              </w:rPr>
              <w:t>7</w:t>
            </w:r>
          </w:p>
        </w:tc>
        <w:tc>
          <w:tcPr>
            <w:tcW w:w="567" w:type="dxa"/>
            <w:shd w:val="clear" w:color="auto" w:fill="C6EFCE"/>
            <w:noWrap/>
          </w:tcPr>
          <w:p w14:paraId="635009B0" w14:textId="24DDBE91" w:rsidR="006578ED" w:rsidRDefault="00EC188C">
            <w:pPr>
              <w:pStyle w:val="P68B1DB1-Normal13"/>
              <w:spacing w:after="0" w:line="240" w:lineRule="auto"/>
              <w:jc w:val="center"/>
              <w:rPr>
                <w:rFonts w:eastAsia="Times New Roman" w:cs="Times New Roman"/>
                <w:noProof/>
              </w:rPr>
            </w:pPr>
            <w:r>
              <w:rPr>
                <w:noProof/>
              </w:rPr>
              <w:t>KW. 1</w:t>
            </w:r>
          </w:p>
        </w:tc>
        <w:tc>
          <w:tcPr>
            <w:tcW w:w="567" w:type="dxa"/>
            <w:shd w:val="clear" w:color="auto" w:fill="C6EFCE"/>
            <w:noWrap/>
          </w:tcPr>
          <w:p w14:paraId="109081B4" w14:textId="77777777" w:rsidR="006578ED" w:rsidRDefault="00A1618E">
            <w:pPr>
              <w:pStyle w:val="P68B1DB1-Normal13"/>
              <w:spacing w:after="0" w:line="240" w:lineRule="auto"/>
              <w:jc w:val="center"/>
              <w:rPr>
                <w:rFonts w:eastAsia="Times New Roman" w:cs="Times New Roman"/>
                <w:noProof/>
              </w:rPr>
            </w:pPr>
            <w:r>
              <w:rPr>
                <w:noProof/>
              </w:rPr>
              <w:t>2026</w:t>
            </w:r>
          </w:p>
        </w:tc>
        <w:tc>
          <w:tcPr>
            <w:tcW w:w="5812" w:type="dxa"/>
            <w:shd w:val="clear" w:color="auto" w:fill="C6EFCE"/>
            <w:noWrap/>
          </w:tcPr>
          <w:p w14:paraId="12CC84ED" w14:textId="383AE8A8" w:rsidR="006578ED" w:rsidRDefault="00A1618E">
            <w:pPr>
              <w:pStyle w:val="P68B1DB1-Normal13"/>
              <w:spacing w:after="0" w:line="240" w:lineRule="auto"/>
              <w:rPr>
                <w:rFonts w:eastAsia="Times New Roman" w:cs="Times New Roman"/>
                <w:noProof/>
              </w:rPr>
            </w:pPr>
            <w:r>
              <w:rPr>
                <w:noProof/>
              </w:rPr>
              <w:t xml:space="preserve">Co najmniej 7 projektów finansowanych w celu realizacji konkretnych misji krajowych za pomocą innowacyjnych rozwiązań opartych na sztucznej inteligencji w celu rozwiązania problemów zidentyfikowanych w ramach tych misji: zdrowie, przemysł, środowisko, społeczeństwo, energia, rolnictwo i gospodarka. Projekty są realizowane przy finansowaniu projektów opartych na współpracy w wysokości </w:t>
            </w:r>
            <w:r w:rsidRPr="00A1618E">
              <w:rPr>
                <w:noProof/>
                <w:lang w:val="pl-PL"/>
              </w:rPr>
              <w:t>od 1</w:t>
            </w:r>
            <w:r>
              <w:rPr>
                <w:noProof/>
              </w:rPr>
              <w:t xml:space="preserve">0 000 000 EUR </w:t>
            </w:r>
            <w:r w:rsidRPr="00A1618E">
              <w:rPr>
                <w:noProof/>
                <w:lang w:val="pl-PL"/>
              </w:rPr>
              <w:t>do 1</w:t>
            </w:r>
            <w:r>
              <w:rPr>
                <w:noProof/>
              </w:rPr>
              <w:t>5 000 000 EUR.</w:t>
            </w:r>
          </w:p>
        </w:tc>
      </w:tr>
      <w:tr w:rsidR="006578ED" w14:paraId="62777899" w14:textId="77777777">
        <w:trPr>
          <w:trHeight w:val="309"/>
        </w:trPr>
        <w:tc>
          <w:tcPr>
            <w:tcW w:w="709" w:type="dxa"/>
            <w:shd w:val="clear" w:color="auto" w:fill="C6EFCE"/>
            <w:noWrap/>
          </w:tcPr>
          <w:p w14:paraId="5EB06565" w14:textId="77777777" w:rsidR="006578ED" w:rsidRDefault="00A1618E">
            <w:pPr>
              <w:pStyle w:val="P68B1DB1-Normal13"/>
              <w:spacing w:after="0" w:line="240" w:lineRule="auto"/>
              <w:jc w:val="center"/>
              <w:rPr>
                <w:rFonts w:cs="Times New Roman"/>
                <w:noProof/>
              </w:rPr>
            </w:pPr>
            <w:r>
              <w:rPr>
                <w:noProof/>
              </w:rPr>
              <w:t>253</w:t>
            </w:r>
          </w:p>
        </w:tc>
        <w:tc>
          <w:tcPr>
            <w:tcW w:w="851" w:type="dxa"/>
            <w:shd w:val="clear" w:color="auto" w:fill="C6EFCE"/>
            <w:noWrap/>
          </w:tcPr>
          <w:p w14:paraId="302EAF8E" w14:textId="77777777" w:rsidR="006578ED" w:rsidRDefault="00A1618E">
            <w:pPr>
              <w:pStyle w:val="P68B1DB1-Normal13"/>
              <w:spacing w:after="0" w:line="240" w:lineRule="auto"/>
              <w:jc w:val="center"/>
              <w:rPr>
                <w:rFonts w:cs="Times New Roman"/>
                <w:noProof/>
              </w:rPr>
            </w:pPr>
            <w:r>
              <w:rPr>
                <w:noProof/>
              </w:rPr>
              <w:t>C16.R1</w:t>
            </w:r>
          </w:p>
        </w:tc>
        <w:tc>
          <w:tcPr>
            <w:tcW w:w="850" w:type="dxa"/>
            <w:shd w:val="clear" w:color="auto" w:fill="C6EFCE"/>
            <w:noWrap/>
          </w:tcPr>
          <w:p w14:paraId="0A11A897" w14:textId="0EA2A4FE" w:rsidR="006578ED" w:rsidRDefault="00AF6B91">
            <w:pPr>
              <w:pStyle w:val="P68B1DB1-Normal13"/>
              <w:spacing w:after="0" w:line="240" w:lineRule="auto"/>
              <w:jc w:val="center"/>
              <w:rPr>
                <w:rFonts w:cs="Times New Roman"/>
                <w:noProof/>
              </w:rPr>
            </w:pPr>
            <w:r>
              <w:rPr>
                <w:noProof/>
              </w:rPr>
              <w:t>Kamień milowy</w:t>
            </w:r>
          </w:p>
        </w:tc>
        <w:tc>
          <w:tcPr>
            <w:tcW w:w="2694" w:type="dxa"/>
            <w:shd w:val="clear" w:color="auto" w:fill="C6EFCE"/>
            <w:noWrap/>
          </w:tcPr>
          <w:p w14:paraId="627D5FB4" w14:textId="77777777" w:rsidR="006578ED" w:rsidRDefault="00A1618E">
            <w:pPr>
              <w:pStyle w:val="P68B1DB1-Normal13"/>
              <w:spacing w:after="0" w:line="240" w:lineRule="auto"/>
              <w:rPr>
                <w:rFonts w:cs="Times New Roman"/>
                <w:noProof/>
              </w:rPr>
            </w:pPr>
            <w:r>
              <w:rPr>
                <w:noProof/>
              </w:rPr>
              <w:t xml:space="preserve">Zakończenie projektów dotyczących sztucznej inteligencji </w:t>
            </w:r>
          </w:p>
        </w:tc>
        <w:tc>
          <w:tcPr>
            <w:tcW w:w="1275" w:type="dxa"/>
            <w:shd w:val="clear" w:color="auto" w:fill="C6EFCE"/>
            <w:noWrap/>
          </w:tcPr>
          <w:p w14:paraId="7ECD54BA" w14:textId="7575C322" w:rsidR="006578ED" w:rsidRDefault="00A1618E">
            <w:pPr>
              <w:pStyle w:val="P68B1DB1-Normal13"/>
              <w:spacing w:after="0" w:line="240" w:lineRule="auto"/>
              <w:jc w:val="center"/>
              <w:rPr>
                <w:rFonts w:cs="Times New Roman"/>
                <w:noProof/>
              </w:rPr>
            </w:pPr>
            <w:r>
              <w:rPr>
                <w:noProof/>
              </w:rPr>
              <w:t>Powiadomienie o zakończeniu projektów inwestycyjnych</w:t>
            </w:r>
          </w:p>
        </w:tc>
        <w:tc>
          <w:tcPr>
            <w:tcW w:w="851" w:type="dxa"/>
            <w:shd w:val="clear" w:color="auto" w:fill="C6EFCE"/>
            <w:noWrap/>
          </w:tcPr>
          <w:p w14:paraId="263869B2" w14:textId="77777777" w:rsidR="006578ED" w:rsidRDefault="00A1618E">
            <w:pPr>
              <w:pStyle w:val="P68B1DB1-Normal13"/>
              <w:spacing w:after="0" w:line="240" w:lineRule="auto"/>
              <w:jc w:val="center"/>
              <w:rPr>
                <w:rFonts w:cs="Times New Roman"/>
                <w:noProof/>
              </w:rPr>
            </w:pPr>
            <w:r>
              <w:rPr>
                <w:noProof/>
              </w:rPr>
              <w:t xml:space="preserve"> </w:t>
            </w:r>
          </w:p>
        </w:tc>
        <w:tc>
          <w:tcPr>
            <w:tcW w:w="567" w:type="dxa"/>
            <w:shd w:val="clear" w:color="auto" w:fill="C6EFCE"/>
            <w:noWrap/>
          </w:tcPr>
          <w:p w14:paraId="5D3B8A88" w14:textId="77777777" w:rsidR="006578ED" w:rsidRDefault="00A1618E">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503E7E70" w14:textId="77777777" w:rsidR="006578ED" w:rsidRDefault="00A1618E">
            <w:pPr>
              <w:pStyle w:val="P68B1DB1-Normal13"/>
              <w:spacing w:after="0" w:line="240" w:lineRule="auto"/>
              <w:jc w:val="right"/>
              <w:rPr>
                <w:rFonts w:cs="Times New Roman"/>
                <w:noProof/>
              </w:rPr>
            </w:pPr>
            <w:r>
              <w:rPr>
                <w:noProof/>
              </w:rPr>
              <w:t xml:space="preserve"> </w:t>
            </w:r>
          </w:p>
        </w:tc>
        <w:tc>
          <w:tcPr>
            <w:tcW w:w="567" w:type="dxa"/>
            <w:shd w:val="clear" w:color="auto" w:fill="C6EFCE"/>
            <w:noWrap/>
          </w:tcPr>
          <w:p w14:paraId="08857245" w14:textId="015093E8" w:rsidR="006578ED" w:rsidRDefault="00EC188C">
            <w:pPr>
              <w:pStyle w:val="P68B1DB1-Normal13"/>
              <w:spacing w:after="0" w:line="240" w:lineRule="auto"/>
              <w:jc w:val="center"/>
              <w:rPr>
                <w:rFonts w:cs="Times New Roman"/>
                <w:noProof/>
              </w:rPr>
            </w:pPr>
            <w:r>
              <w:rPr>
                <w:noProof/>
              </w:rPr>
              <w:t>KW. 1</w:t>
            </w:r>
          </w:p>
        </w:tc>
        <w:tc>
          <w:tcPr>
            <w:tcW w:w="567" w:type="dxa"/>
            <w:shd w:val="clear" w:color="auto" w:fill="C6EFCE"/>
            <w:noWrap/>
          </w:tcPr>
          <w:p w14:paraId="027D83E8" w14:textId="77777777" w:rsidR="006578ED" w:rsidRDefault="00A1618E">
            <w:pPr>
              <w:pStyle w:val="P68B1DB1-Normal13"/>
              <w:spacing w:after="0" w:line="240" w:lineRule="auto"/>
              <w:jc w:val="center"/>
              <w:rPr>
                <w:rFonts w:cs="Times New Roman"/>
                <w:noProof/>
              </w:rPr>
            </w:pPr>
            <w:r>
              <w:rPr>
                <w:noProof/>
              </w:rPr>
              <w:t>2026</w:t>
            </w:r>
          </w:p>
        </w:tc>
        <w:tc>
          <w:tcPr>
            <w:tcW w:w="5812" w:type="dxa"/>
            <w:shd w:val="clear" w:color="auto" w:fill="C6EFCE"/>
            <w:noWrap/>
          </w:tcPr>
          <w:p w14:paraId="243A0FA8" w14:textId="0B240F08" w:rsidR="006578ED" w:rsidRDefault="00A1618E">
            <w:pPr>
              <w:pStyle w:val="P68B1DB1-Normal13"/>
              <w:spacing w:after="0" w:line="240" w:lineRule="auto"/>
              <w:rPr>
                <w:rFonts w:cs="Times New Roman"/>
                <w:noProof/>
              </w:rPr>
            </w:pPr>
            <w:r>
              <w:rPr>
                <w:noProof/>
              </w:rPr>
              <w:t>Zakończenie projektów dotyczących badań i rozwoju w dziedzinie sztucznej inteligencji, hiszpańskie centrum talentów w dziedzinie sztucznej inteligencji, multidyscyplinarny instytut ds. sztucznej inteligencji, sieć doskonałości w dziedzinie sztucznej inteligencji, plan w zakresie technologii języka naturalnego, przewodniczących akademickich, obserwatoriów, wiarygodnej certyfikacji i pieczęci sztucznej inteligencji, planu ochrony grup szczególnie wrażliwych w dziedzinie sztucznej inteligencji, planu na rzecz podnoszenia świadomości i zaufania w zakresie sztucznej inteligencji, obliczeń kwantowych oraz programu krajowego dotyczącego zielonych algorytmów, zgodnie z kryteriami określonymi w zaproszeniach do składania ofert (kamień milowy #251).</w:t>
            </w:r>
          </w:p>
        </w:tc>
      </w:tr>
      <w:tr w:rsidR="006578ED" w14:paraId="092CBB81" w14:textId="77777777">
        <w:trPr>
          <w:trHeight w:val="309"/>
        </w:trPr>
        <w:tc>
          <w:tcPr>
            <w:tcW w:w="709" w:type="dxa"/>
            <w:shd w:val="clear" w:color="auto" w:fill="C6EFCE"/>
            <w:noWrap/>
          </w:tcPr>
          <w:p w14:paraId="1C5A6AE3" w14:textId="61F1C44E" w:rsidR="006578ED" w:rsidRDefault="00A1618E">
            <w:pPr>
              <w:pStyle w:val="P68B1DB1-Normal13"/>
              <w:spacing w:after="0" w:line="240" w:lineRule="auto"/>
              <w:jc w:val="center"/>
              <w:rPr>
                <w:rFonts w:cs="Times New Roman"/>
                <w:noProof/>
              </w:rPr>
            </w:pPr>
            <w:r>
              <w:rPr>
                <w:noProof/>
              </w:rPr>
              <w:t>457</w:t>
            </w:r>
          </w:p>
        </w:tc>
        <w:tc>
          <w:tcPr>
            <w:tcW w:w="851" w:type="dxa"/>
            <w:shd w:val="clear" w:color="auto" w:fill="C6EFCE"/>
            <w:noWrap/>
          </w:tcPr>
          <w:p w14:paraId="53C3501E" w14:textId="77777777" w:rsidR="006578ED" w:rsidRDefault="00A1618E">
            <w:pPr>
              <w:pStyle w:val="P68B1DB1-Normal13"/>
              <w:spacing w:after="0" w:line="240" w:lineRule="auto"/>
              <w:jc w:val="center"/>
              <w:rPr>
                <w:rFonts w:cs="Times New Roman"/>
                <w:noProof/>
              </w:rPr>
            </w:pPr>
            <w:r>
              <w:rPr>
                <w:noProof/>
              </w:rPr>
              <w:t>C16.R1</w:t>
            </w:r>
          </w:p>
        </w:tc>
        <w:tc>
          <w:tcPr>
            <w:tcW w:w="850" w:type="dxa"/>
            <w:shd w:val="clear" w:color="auto" w:fill="C6EFCE"/>
            <w:noWrap/>
          </w:tcPr>
          <w:p w14:paraId="06E57DF2" w14:textId="77BA594E" w:rsidR="006578ED" w:rsidRDefault="00AF6B91">
            <w:pPr>
              <w:pStyle w:val="P68B1DB1-Normal13"/>
              <w:jc w:val="center"/>
              <w:rPr>
                <w:rFonts w:cs="Times New Roman"/>
                <w:noProof/>
              </w:rPr>
            </w:pPr>
            <w:r>
              <w:rPr>
                <w:noProof/>
              </w:rPr>
              <w:t>Cel</w:t>
            </w:r>
          </w:p>
        </w:tc>
        <w:tc>
          <w:tcPr>
            <w:tcW w:w="2694" w:type="dxa"/>
            <w:shd w:val="clear" w:color="auto" w:fill="C6EFCE"/>
            <w:noWrap/>
          </w:tcPr>
          <w:p w14:paraId="2D1D67BC" w14:textId="77777777" w:rsidR="006578ED" w:rsidRDefault="00A1618E">
            <w:pPr>
              <w:pStyle w:val="P68B1DB1-Normal13"/>
              <w:spacing w:after="0" w:line="240" w:lineRule="auto"/>
              <w:rPr>
                <w:rFonts w:cs="Times New Roman"/>
                <w:noProof/>
              </w:rPr>
            </w:pPr>
            <w:r>
              <w:rPr>
                <w:noProof/>
              </w:rPr>
              <w:t>CZIP PERTE. Wzmocnienie ekosystemu kwantowego.</w:t>
            </w:r>
          </w:p>
        </w:tc>
        <w:tc>
          <w:tcPr>
            <w:tcW w:w="1275" w:type="dxa"/>
            <w:shd w:val="clear" w:color="auto" w:fill="C6EFCE"/>
            <w:noWrap/>
          </w:tcPr>
          <w:p w14:paraId="5C216153" w14:textId="77777777" w:rsidR="006578ED" w:rsidRDefault="006578ED">
            <w:pPr>
              <w:spacing w:after="0" w:line="240" w:lineRule="auto"/>
              <w:jc w:val="center"/>
              <w:rPr>
                <w:rFonts w:ascii="Times New Roman" w:hAnsi="Times New Roman" w:cs="Times New Roman"/>
                <w:noProof/>
                <w:sz w:val="18"/>
              </w:rPr>
            </w:pPr>
          </w:p>
        </w:tc>
        <w:tc>
          <w:tcPr>
            <w:tcW w:w="851" w:type="dxa"/>
            <w:shd w:val="clear" w:color="auto" w:fill="C6EFCE"/>
            <w:noWrap/>
          </w:tcPr>
          <w:p w14:paraId="079F98AE" w14:textId="77777777" w:rsidR="006578ED" w:rsidRDefault="00A1618E">
            <w:pPr>
              <w:pStyle w:val="P68B1DB1-Normal13"/>
              <w:spacing w:after="0" w:line="240" w:lineRule="auto"/>
              <w:jc w:val="center"/>
              <w:rPr>
                <w:rFonts w:cs="Times New Roman"/>
                <w:noProof/>
              </w:rPr>
            </w:pPr>
            <w:r>
              <w:rPr>
                <w:noProof/>
              </w:rPr>
              <w:t>W mln EUR</w:t>
            </w:r>
          </w:p>
        </w:tc>
        <w:tc>
          <w:tcPr>
            <w:tcW w:w="567" w:type="dxa"/>
            <w:shd w:val="clear" w:color="auto" w:fill="C6EFCE"/>
            <w:noWrap/>
          </w:tcPr>
          <w:p w14:paraId="10B0F16D" w14:textId="77777777" w:rsidR="006578ED" w:rsidRDefault="00A1618E">
            <w:pPr>
              <w:pStyle w:val="P68B1DB1-Normal13"/>
              <w:spacing w:after="0" w:line="240" w:lineRule="auto"/>
              <w:jc w:val="center"/>
              <w:rPr>
                <w:rFonts w:cs="Times New Roman"/>
                <w:noProof/>
              </w:rPr>
            </w:pPr>
            <w:r>
              <w:rPr>
                <w:noProof/>
              </w:rPr>
              <w:t>0</w:t>
            </w:r>
          </w:p>
        </w:tc>
        <w:tc>
          <w:tcPr>
            <w:tcW w:w="567" w:type="dxa"/>
            <w:shd w:val="clear" w:color="auto" w:fill="C6EFCE"/>
            <w:noWrap/>
          </w:tcPr>
          <w:p w14:paraId="6F2AAE7F" w14:textId="77777777" w:rsidR="006578ED" w:rsidRDefault="00A1618E">
            <w:pPr>
              <w:pStyle w:val="P68B1DB1-Normal13"/>
              <w:spacing w:after="0" w:line="240" w:lineRule="auto"/>
              <w:jc w:val="center"/>
              <w:rPr>
                <w:rFonts w:cs="Times New Roman"/>
                <w:noProof/>
              </w:rPr>
            </w:pPr>
            <w:r>
              <w:rPr>
                <w:noProof/>
              </w:rPr>
              <w:t>36</w:t>
            </w:r>
          </w:p>
        </w:tc>
        <w:tc>
          <w:tcPr>
            <w:tcW w:w="567" w:type="dxa"/>
            <w:shd w:val="clear" w:color="auto" w:fill="C6EFCE"/>
            <w:noWrap/>
          </w:tcPr>
          <w:p w14:paraId="53753E6A" w14:textId="38135334"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53E84126" w14:textId="77777777" w:rsidR="006578ED" w:rsidRDefault="00A1618E">
            <w:pPr>
              <w:pStyle w:val="P68B1DB1-Normal13"/>
              <w:spacing w:after="0" w:line="240" w:lineRule="auto"/>
              <w:jc w:val="center"/>
              <w:rPr>
                <w:rFonts w:cs="Times New Roman"/>
                <w:noProof/>
              </w:rPr>
            </w:pPr>
            <w:r>
              <w:rPr>
                <w:noProof/>
              </w:rPr>
              <w:t>2026</w:t>
            </w:r>
          </w:p>
        </w:tc>
        <w:tc>
          <w:tcPr>
            <w:tcW w:w="5812" w:type="dxa"/>
            <w:shd w:val="clear" w:color="auto" w:fill="C6EFCE"/>
            <w:noWrap/>
          </w:tcPr>
          <w:p w14:paraId="10182414" w14:textId="7DD977F6" w:rsidR="006578ED" w:rsidRDefault="00A1618E">
            <w:pPr>
              <w:pStyle w:val="P68B1DB1-Normal13"/>
              <w:spacing w:after="0" w:line="240" w:lineRule="auto"/>
              <w:rPr>
                <w:rFonts w:cs="Times New Roman"/>
                <w:noProof/>
              </w:rPr>
            </w:pPr>
            <w:r>
              <w:rPr>
                <w:noProof/>
              </w:rPr>
              <w:t>Wypłata co najmniej 36 000 000 EUR na projekty w zakresie badań, rozwoju i innowacji w dziedzinie technologii kwantowych nowej generacji, w tym wsparcie na rzecz rozwoju sprzętu kwantowego, oprogramowania i oprogramowania pośredniczącego w kwantach, rozwoju alternatywnych kubit i powiązanych niezbędnych linii pilotażowych, komunikacji kwantowej i kryptografii kwantowej, kwantowych technologii internetowych, metrologii i detekcji kwantowych.</w:t>
            </w:r>
          </w:p>
        </w:tc>
      </w:tr>
    </w:tbl>
    <w:p w14:paraId="66F97877" w14:textId="77777777" w:rsidR="006578ED" w:rsidRDefault="006578ED">
      <w:pPr>
        <w:spacing w:before="120" w:after="120" w:line="240" w:lineRule="auto"/>
        <w:jc w:val="both"/>
        <w:rPr>
          <w:rFonts w:ascii="Times New Roman" w:hAnsi="Times New Roman" w:cs="Times New Roman"/>
          <w:b/>
          <w:noProof/>
          <w:sz w:val="24"/>
          <w:u w:val="single"/>
        </w:rPr>
      </w:pPr>
    </w:p>
    <w:p w14:paraId="0B8F6066" w14:textId="77777777" w:rsidR="006578ED" w:rsidRDefault="006578ED">
      <w:pPr>
        <w:spacing w:before="120" w:after="120" w:line="240" w:lineRule="auto"/>
        <w:ind w:left="709"/>
        <w:jc w:val="both"/>
        <w:rPr>
          <w:rFonts w:ascii="Times New Roman" w:hAnsi="Times New Roman" w:cs="Times New Roman"/>
          <w:noProof/>
          <w:sz w:val="24"/>
        </w:rPr>
        <w:sectPr w:rsidR="006578ED" w:rsidSect="00EB7CC8">
          <w:headerReference w:type="even" r:id="rId342"/>
          <w:headerReference w:type="default" r:id="rId343"/>
          <w:footerReference w:type="even" r:id="rId344"/>
          <w:footerReference w:type="default" r:id="rId345"/>
          <w:headerReference w:type="first" r:id="rId346"/>
          <w:footerReference w:type="first" r:id="rId347"/>
          <w:pgSz w:w="16839" w:h="11907" w:orient="landscape"/>
          <w:pgMar w:top="1417" w:right="1134" w:bottom="1417" w:left="1134" w:header="709" w:footer="709" w:gutter="0"/>
          <w:cols w:space="720"/>
          <w:docGrid w:linePitch="360"/>
        </w:sectPr>
      </w:pPr>
    </w:p>
    <w:p w14:paraId="1671E380" w14:textId="7C5EA273" w:rsidR="006578ED" w:rsidRDefault="00EC188C">
      <w:pPr>
        <w:pStyle w:val="P68B1DB1-Heading12"/>
        <w:rPr>
          <w:rFonts w:cs="Times New Roman"/>
          <w:noProof/>
        </w:rPr>
      </w:pPr>
      <w:r>
        <w:rPr>
          <w:noProof/>
        </w:rPr>
        <w:t>KW. KOMPONENT 17: Nauka, technologia</w:t>
      </w:r>
      <w:r w:rsidR="00A1618E">
        <w:rPr>
          <w:noProof/>
        </w:rPr>
        <w:t xml:space="preserve"> i inn</w:t>
      </w:r>
      <w:r>
        <w:rPr>
          <w:noProof/>
        </w:rPr>
        <w:t xml:space="preserve">owacje. </w:t>
      </w:r>
    </w:p>
    <w:p w14:paraId="2A31730D" w14:textId="263ECD3A" w:rsidR="006578ED" w:rsidRDefault="00A1618E">
      <w:pPr>
        <w:pStyle w:val="P68B1DB1-Normal4"/>
        <w:spacing w:before="120" w:after="120" w:line="240" w:lineRule="auto"/>
        <w:jc w:val="both"/>
        <w:rPr>
          <w:rFonts w:cs="Times New Roman"/>
          <w:noProof/>
        </w:rPr>
      </w:pPr>
      <w:r>
        <w:rPr>
          <w:noProof/>
        </w:rPr>
        <w:t>Hiszpańska strategia na rzecz nauki, technologii i innowacji na lata 2021–2027 przewiduje znaczny wzrost inwestycji w badania naukowe, rozwój i innowacje w Hiszpanii, osiągając poziom 2,12 % PKB w 20</w:t>
      </w:r>
      <w:r w:rsidRPr="00A1618E">
        <w:rPr>
          <w:noProof/>
          <w:lang w:val="pl-PL"/>
        </w:rPr>
        <w:t>27 r.</w:t>
      </w:r>
      <w:r>
        <w:rPr>
          <w:noProof/>
        </w:rPr>
        <w:t xml:space="preserve"> W</w:t>
      </w:r>
      <w:r>
        <w:rPr>
          <w:noProof/>
          <w:lang w:val="pl-PL"/>
        </w:rPr>
        <w:t> </w:t>
      </w:r>
      <w:r>
        <w:rPr>
          <w:noProof/>
        </w:rPr>
        <w:t xml:space="preserve">tym kontekście głównym celem tego komponentu hiszpańskiego planu odbudowy i zwiększania odporności jest </w:t>
      </w:r>
      <w:r>
        <w:rPr>
          <w:noProof/>
          <w:shd w:val="clear" w:color="auto" w:fill="FFFFFF"/>
        </w:rPr>
        <w:t xml:space="preserve">poprawa hiszpańskiego </w:t>
      </w:r>
      <w:r>
        <w:rPr>
          <w:noProof/>
        </w:rPr>
        <w:t xml:space="preserve">systemu nauki, technologii i innowacji poprzez reformę zarządzania nim, poprawę koordynacji między podmiotami, zwiększenie jego skuteczności i przyspieszenie inwestycji w badania, rozwój i innowacje poprzez następujące elementy: </w:t>
      </w:r>
    </w:p>
    <w:p w14:paraId="4617937D" w14:textId="16535A7E" w:rsidR="006578ED" w:rsidRDefault="00A1618E">
      <w:pPr>
        <w:pStyle w:val="P68B1DB1-Normal4"/>
        <w:numPr>
          <w:ilvl w:val="0"/>
          <w:numId w:val="63"/>
        </w:numPr>
        <w:spacing w:before="120" w:after="120" w:line="240" w:lineRule="auto"/>
        <w:jc w:val="both"/>
        <w:rPr>
          <w:rFonts w:cs="Times New Roman"/>
          <w:noProof/>
        </w:rPr>
      </w:pPr>
      <w:r>
        <w:rPr>
          <w:noProof/>
        </w:rPr>
        <w:t xml:space="preserve">Opracowanie jasnych i przewidywalnych ram regulacyjnych, które usprawnią zarządzanie sektorem, zwiększają skuteczność polityki publicznej w zakresie badań, rozwoju i innowacji, usprawnią transfer wiedzy i promują inwestycje w badania, rozwój i innowacje; </w:t>
      </w:r>
    </w:p>
    <w:p w14:paraId="1181ED1E" w14:textId="148AB31B" w:rsidR="006578ED" w:rsidRDefault="00A1618E">
      <w:pPr>
        <w:pStyle w:val="P68B1DB1-Normal4"/>
        <w:numPr>
          <w:ilvl w:val="0"/>
          <w:numId w:val="63"/>
        </w:numPr>
        <w:spacing w:before="120" w:after="120" w:line="240" w:lineRule="auto"/>
        <w:jc w:val="both"/>
        <w:rPr>
          <w:rFonts w:cs="Times New Roman"/>
          <w:noProof/>
        </w:rPr>
      </w:pPr>
      <w:r>
        <w:rPr>
          <w:noProof/>
        </w:rPr>
        <w:t xml:space="preserve">inwestycje w infrastrukturę, sprzęt i kapitał ludzki; </w:t>
      </w:r>
    </w:p>
    <w:p w14:paraId="40724F0C" w14:textId="56D9CB2D" w:rsidR="006578ED" w:rsidRDefault="00A1618E">
      <w:pPr>
        <w:pStyle w:val="P68B1DB1-Normal4"/>
        <w:numPr>
          <w:ilvl w:val="0"/>
          <w:numId w:val="63"/>
        </w:numPr>
        <w:spacing w:before="120" w:after="120" w:line="240" w:lineRule="auto"/>
        <w:jc w:val="both"/>
        <w:rPr>
          <w:rFonts w:cs="Times New Roman"/>
          <w:noProof/>
        </w:rPr>
      </w:pPr>
      <w:r>
        <w:rPr>
          <w:noProof/>
        </w:rPr>
        <w:t xml:space="preserve">inwestycje w transfer wiedzy, regionalne badania, rozwój i innowacje, krajowe projekty badawczo-rozwojowe i innowacyjne oraz partnerstwa publiczno-prywatne; oraz </w:t>
      </w:r>
    </w:p>
    <w:p w14:paraId="7C4F4D35" w14:textId="0A3BC55A" w:rsidR="006578ED" w:rsidRDefault="00A1618E">
      <w:pPr>
        <w:pStyle w:val="P68B1DB1-Normal4"/>
        <w:numPr>
          <w:ilvl w:val="0"/>
          <w:numId w:val="63"/>
        </w:numPr>
        <w:spacing w:before="120" w:after="120" w:line="240" w:lineRule="auto"/>
        <w:jc w:val="both"/>
        <w:rPr>
          <w:rFonts w:cs="Times New Roman"/>
          <w:noProof/>
        </w:rPr>
      </w:pPr>
      <w:r>
        <w:rPr>
          <w:noProof/>
        </w:rPr>
        <w:t xml:space="preserve">inwestycje w badania, rozwój i innowacje w strategicznych sektorach zdrowia, środowiska, zmiany klimatu i energii, mikroelektroniki i półprzewodników, zrównoważonego przemysłu motoryzacyjnego oraz lotniczego i kosmicznego. </w:t>
      </w:r>
    </w:p>
    <w:p w14:paraId="0951DFE5" w14:textId="7A1ABD1E" w:rsidR="006578ED" w:rsidRDefault="00A1618E">
      <w:pPr>
        <w:pStyle w:val="P68B1DB1-Normal4"/>
        <w:spacing w:before="120" w:after="0" w:line="240" w:lineRule="auto"/>
        <w:jc w:val="both"/>
        <w:rPr>
          <w:rFonts w:cs="Times New Roman"/>
          <w:noProof/>
        </w:rPr>
      </w:pPr>
      <w:r>
        <w:rPr>
          <w:noProof/>
        </w:rPr>
        <w:t xml:space="preserve">Komponent ten dotyczy zaleceń dla poszczególnych krajów w sprawie promowania inwestycji w innowacje i w efektywność energetyczną oraz w sprawie zwiększenia skuteczności polityk wspierających badania naukowe i innowacje (zalecenie dla poszczególnych krajów </w:t>
      </w:r>
      <w:r w:rsidRPr="00A1618E">
        <w:rPr>
          <w:noProof/>
          <w:lang w:val="pl-PL"/>
        </w:rPr>
        <w:t>nr 3</w:t>
      </w:r>
      <w:r>
        <w:rPr>
          <w:noProof/>
        </w:rPr>
        <w:t xml:space="preserve"> z 20</w:t>
      </w:r>
      <w:r w:rsidRPr="00A1618E">
        <w:rPr>
          <w:noProof/>
          <w:lang w:val="pl-PL"/>
        </w:rPr>
        <w:t>19 r.</w:t>
      </w:r>
      <w:r>
        <w:rPr>
          <w:noProof/>
        </w:rPr>
        <w:t xml:space="preserve">), promowania </w:t>
      </w:r>
      <w:r>
        <w:rPr>
          <w:noProof/>
          <w:shd w:val="clear" w:color="auto" w:fill="FFFFFF"/>
        </w:rPr>
        <w:t>inwestycji publicznych i prywatnych oraz badań naukowych i innowacji (</w:t>
      </w:r>
      <w:r>
        <w:rPr>
          <w:noProof/>
        </w:rPr>
        <w:t xml:space="preserve">zalecenie dla poszczególnych krajów </w:t>
      </w:r>
      <w:r w:rsidRPr="00A1618E">
        <w:rPr>
          <w:noProof/>
          <w:lang w:val="pl-PL"/>
        </w:rPr>
        <w:t>nr 3</w:t>
      </w:r>
      <w:r>
        <w:rPr>
          <w:noProof/>
        </w:rPr>
        <w:t xml:space="preserve"> 2020), poprawy </w:t>
      </w:r>
      <w:r>
        <w:rPr>
          <w:noProof/>
          <w:shd w:val="clear" w:color="auto" w:fill="FFFFFF"/>
        </w:rPr>
        <w:t xml:space="preserve">koordynacji na wszystkich szczeblach sprawowania rządów (zalecenie dla poszczególnych krajów </w:t>
      </w:r>
      <w:r w:rsidRPr="00A1618E">
        <w:rPr>
          <w:noProof/>
          <w:lang w:val="pl-PL"/>
        </w:rPr>
        <w:t>nr 4</w:t>
      </w:r>
      <w:r>
        <w:rPr>
          <w:noProof/>
        </w:rPr>
        <w:t xml:space="preserve"> 2020) oraz skoncentrowania inwestycji na transformację ekologiczną i cyfrową, w szczególności na wspieranie badań naukowych i innowacji (zalecenie dla poszczególnych krajów </w:t>
      </w:r>
      <w:r w:rsidRPr="00A1618E">
        <w:rPr>
          <w:noProof/>
          <w:lang w:val="pl-PL"/>
        </w:rPr>
        <w:t>nr 3</w:t>
      </w:r>
      <w:r>
        <w:rPr>
          <w:noProof/>
        </w:rPr>
        <w:t xml:space="preserve"> z 20</w:t>
      </w:r>
      <w:r w:rsidRPr="00A1618E">
        <w:rPr>
          <w:noProof/>
          <w:lang w:val="pl-PL"/>
        </w:rPr>
        <w:t>21 r.</w:t>
      </w:r>
      <w:r>
        <w:rPr>
          <w:noProof/>
        </w:rPr>
        <w:t>).</w:t>
      </w:r>
    </w:p>
    <w:p w14:paraId="25070E90" w14:textId="3BABD59B" w:rsidR="006578ED" w:rsidRDefault="00A1618E">
      <w:pPr>
        <w:pStyle w:val="P68B1DB1-Normal4"/>
        <w:spacing w:before="120" w:after="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 xml:space="preserve">7 rozporządzenia (UE) 2020/852, biorąc pod uwagę opis środków i działań łagodzących określonych w planie odbudowy i zwiększania odporności zgodnie z wytycznymi technicznymi dotyczącymi zasady „nie czyń poważnych szkód” (2021/C58/01). </w:t>
      </w:r>
    </w:p>
    <w:p w14:paraId="1AC670E6" w14:textId="548FC24F" w:rsidR="006578ED" w:rsidRDefault="00EC188C">
      <w:pPr>
        <w:pStyle w:val="P68B1DB1-Normal5"/>
        <w:spacing w:before="120" w:after="120" w:line="240" w:lineRule="auto"/>
        <w:ind w:left="709"/>
        <w:jc w:val="both"/>
        <w:rPr>
          <w:rFonts w:cs="Times New Roman"/>
          <w:i/>
          <w:noProof/>
        </w:rPr>
      </w:pPr>
      <w:r>
        <w:rPr>
          <w:noProof/>
        </w:rPr>
        <w:t xml:space="preserve">KW. 1. </w:t>
      </w:r>
      <w:r>
        <w:rPr>
          <w:noProof/>
        </w:rPr>
        <w:tab/>
        <w:t>Opis reform</w:t>
      </w:r>
      <w:r w:rsidR="00A1618E">
        <w:rPr>
          <w:noProof/>
        </w:rPr>
        <w:t xml:space="preserve"> i inw</w:t>
      </w:r>
      <w:r>
        <w:rPr>
          <w:noProof/>
        </w:rPr>
        <w:t>estycji, które mają być finansowane</w:t>
      </w:r>
      <w:r w:rsidR="00A1618E">
        <w:rPr>
          <w:noProof/>
        </w:rPr>
        <w:t xml:space="preserve"> z bez</w:t>
      </w:r>
      <w:r>
        <w:rPr>
          <w:noProof/>
        </w:rPr>
        <w:t>zwrotnego wsparcia finansowego</w:t>
      </w:r>
    </w:p>
    <w:p w14:paraId="49E5DF14" w14:textId="2DC60718" w:rsidR="006578ED" w:rsidRDefault="00A1618E">
      <w:pPr>
        <w:pStyle w:val="P68B1DB1-Normal6"/>
        <w:spacing w:before="120" w:after="120" w:line="240" w:lineRule="auto"/>
        <w:jc w:val="both"/>
        <w:rPr>
          <w:rFonts w:cs="Times New Roman"/>
          <w:noProof/>
        </w:rPr>
      </w:pPr>
      <w:r>
        <w:rPr>
          <w:noProof/>
        </w:rPr>
        <w:t xml:space="preserve">Reforma 1 (C17.R1): Reforma prawa o nauce, technologii i innowacji </w:t>
      </w:r>
    </w:p>
    <w:p w14:paraId="12ABCC99" w14:textId="689A719C" w:rsidR="006578ED" w:rsidRDefault="00A1618E">
      <w:pPr>
        <w:pStyle w:val="P68B1DB1-Normal4"/>
        <w:spacing w:before="120" w:after="120" w:line="240" w:lineRule="auto"/>
        <w:jc w:val="both"/>
        <w:rPr>
          <w:rFonts w:cs="Times New Roman"/>
          <w:noProof/>
        </w:rPr>
      </w:pPr>
      <w:r>
        <w:rPr>
          <w:noProof/>
        </w:rPr>
        <w:t xml:space="preserve">Celem tego środka jest wzmocnienie ram regulacyjnych dla sektora nauki, technologii i innowacji w celu poprawy zarządzania sektorem i jego koordynacji, stworzenia atrakcyjnej kariery naukowej oraz poprawy transferu wiedzy z badań naukowych do produktów/usług stosowanych dla społeczeństwa. W szczególności Hiszpania zaktualizuje ustawę 14/2011 o nauce, technologii i innowacjach, poprawiając koordynację polityki w zakresie nauki, badań naukowych i innowacji, usprawniając zarządzanie hiszpańskim systemem technologii i innowacji w dziedzinie nauki i innowacji, wprowadzając nową karierę naukową i usprawniając transfer wiedzy. </w:t>
      </w:r>
    </w:p>
    <w:p w14:paraId="63D4C440" w14:textId="5973DE35" w:rsidR="006578ED" w:rsidRDefault="00A1618E">
      <w:pPr>
        <w:pStyle w:val="P68B1DB1-Normal4"/>
        <w:spacing w:before="120" w:after="120" w:line="240" w:lineRule="auto"/>
        <w:jc w:val="both"/>
        <w:rPr>
          <w:rFonts w:cs="Times New Roman"/>
          <w:noProof/>
        </w:rPr>
      </w:pPr>
      <w:r>
        <w:rPr>
          <w:noProof/>
        </w:rPr>
        <w:t>Środek ten jest związany z inwestycjami ujętymi w pozycjach C17.I1, C17.I4 i C17.I5 opisanymi poniżej.</w:t>
      </w:r>
    </w:p>
    <w:p w14:paraId="7479ADB4" w14:textId="2FF74324" w:rsidR="006578ED" w:rsidRDefault="00A1618E">
      <w:pPr>
        <w:pStyle w:val="P68B1DB1-Normal4"/>
        <w:autoSpaceDE w:val="0"/>
        <w:autoSpaceDN w:val="0"/>
        <w:spacing w:before="40" w:after="40"/>
        <w:rPr>
          <w:rFonts w:cs="Times New Roman"/>
          <w:noProof/>
        </w:rPr>
      </w:pPr>
      <w:r>
        <w:rPr>
          <w:noProof/>
        </w:rPr>
        <w:t>Wdrożenie środka należy zakończyć do dnia 30 czerwca 20</w:t>
      </w:r>
      <w:r w:rsidRPr="00A1618E">
        <w:rPr>
          <w:noProof/>
          <w:lang w:val="pl-PL"/>
        </w:rPr>
        <w:t>22 r.</w:t>
      </w:r>
      <w:r>
        <w:rPr>
          <w:noProof/>
        </w:rPr>
        <w:t xml:space="preserve"> </w:t>
      </w:r>
    </w:p>
    <w:p w14:paraId="7B09C627" w14:textId="0E06C813" w:rsidR="006578ED" w:rsidRDefault="00A1618E">
      <w:pPr>
        <w:pStyle w:val="P68B1DB1-Normal6"/>
        <w:spacing w:before="120" w:after="120" w:line="240" w:lineRule="auto"/>
        <w:jc w:val="both"/>
        <w:rPr>
          <w:rFonts w:cs="Times New Roman"/>
          <w:noProof/>
        </w:rPr>
      </w:pPr>
      <w:r>
        <w:rPr>
          <w:noProof/>
        </w:rPr>
        <w:t xml:space="preserve">Reforma 2 (C17.R2): </w:t>
      </w:r>
      <w:bookmarkStart w:id="51" w:name="_Hlk60056026"/>
      <w:r>
        <w:rPr>
          <w:noProof/>
        </w:rPr>
        <w:t>Hiszpańska strategia na rzecz nauki, technologii i innowacji na lata 2021–</w:t>
      </w:r>
      <w:r>
        <w:rPr>
          <w:b/>
          <w:noProof/>
        </w:rPr>
        <w:t xml:space="preserve"> </w:t>
      </w:r>
      <w:r>
        <w:rPr>
          <w:noProof/>
        </w:rPr>
        <w:t>2027</w:t>
      </w:r>
      <w:bookmarkEnd w:id="51"/>
      <w:r>
        <w:rPr>
          <w:noProof/>
        </w:rPr>
        <w:t xml:space="preserve"> oraz zaawansowany rozwój systemu informacji naukowej, technologicznej i innowacyjnej</w:t>
      </w:r>
    </w:p>
    <w:p w14:paraId="4103B86F" w14:textId="44B28B84" w:rsidR="006578ED" w:rsidRDefault="00A1618E">
      <w:pPr>
        <w:pStyle w:val="P68B1DB1-Normal4"/>
        <w:spacing w:before="120" w:after="120" w:line="240" w:lineRule="auto"/>
        <w:jc w:val="both"/>
        <w:rPr>
          <w:rFonts w:cs="Times New Roman"/>
          <w:noProof/>
        </w:rPr>
      </w:pPr>
      <w:r>
        <w:rPr>
          <w:noProof/>
        </w:rPr>
        <w:t xml:space="preserve">Środek obejmuje przyjęcie przez rząd hiszpański hiszpańskiej strategii na rzecz nauki, technologii i innowacji na lata 2021–2027. W strategii określono ogólne cele dla tego sektora na lata 2021–2027. W celu zwiększenia transferu wiedzy w ramach strategii połączono wcześniej odrębne strategie w zakresie nauki i technologii oraz strategię w zakresie innowacji. Strategia zapewnia ogólne ramy, które mają ukierunkowywać zarówno krajowe, jak i regionalne plany w zakresie badań, rozwoju i innowacji. W tym celu Hiszpania przyjęła strategię „Strategii inteligentnej specjalizacji Hiszpanii” w ramach Europejskiego Funduszu Rozwoju Regionalnego (EFRR), zapewniając strukturę przyszłych regionalnych strategii inteligentnej specjalizacji. </w:t>
      </w:r>
    </w:p>
    <w:p w14:paraId="46C75450" w14:textId="488F27F6" w:rsidR="006578ED" w:rsidRDefault="00A1618E">
      <w:pPr>
        <w:pStyle w:val="P68B1DB1-Normal4"/>
        <w:spacing w:before="120" w:after="120" w:line="240" w:lineRule="auto"/>
        <w:jc w:val="both"/>
        <w:rPr>
          <w:rFonts w:cs="Times New Roman"/>
          <w:noProof/>
        </w:rPr>
      </w:pPr>
      <w:r>
        <w:rPr>
          <w:noProof/>
        </w:rPr>
        <w:t xml:space="preserve">Strategia została opracowana przez Radę ds. Polityki Nauki, Technologii i Innowacji pod przewodnictwem Ministerstwa Nauki i Innowacji, z udziałem kluczowych ministerstw i regionów. Strategię przeprowadzono z najważniejszymi zainteresowanymi stronami, w tym z sektorem prywatnym, publicznymi organizacjami badawczymi i społeczeństwem obywatelskim. W celu monitorowania i oceny strategii powołano komitet reprezentujący państwo, regiony, podmioty gospodarcze i społeczne, społeczność naukową i innowacyjną oraz społeczeństwo obywatelskie. </w:t>
      </w:r>
    </w:p>
    <w:p w14:paraId="67FA60AB" w14:textId="10AD6638" w:rsidR="006578ED" w:rsidRDefault="00A1618E">
      <w:pPr>
        <w:pStyle w:val="P68B1DB1-Normal4"/>
        <w:spacing w:before="120" w:after="120" w:line="240" w:lineRule="auto"/>
        <w:jc w:val="both"/>
        <w:rPr>
          <w:rFonts w:cs="Times New Roman"/>
          <w:noProof/>
        </w:rPr>
      </w:pPr>
      <w:r>
        <w:rPr>
          <w:noProof/>
        </w:rPr>
        <w:t>Strategia przewiduje roczne sprawozdania z monitorowania, ocenę śródokresową (do grudnia 20</w:t>
      </w:r>
      <w:r w:rsidRPr="00A1618E">
        <w:rPr>
          <w:noProof/>
          <w:lang w:val="pl-PL"/>
        </w:rPr>
        <w:t>23 r.</w:t>
      </w:r>
      <w:r>
        <w:rPr>
          <w:noProof/>
        </w:rPr>
        <w:t>) oraz ocenę końcową strategii podaje się do wiadomości publicznej. Oceny obejmą również postępy w realizacji zaleceń dla poszczególnych krajów skierowanych do Hiszpanii w dziedzinie badań i rozwoju. Ponadto środek ten ma w szczególności na celu wzmocnienie systemu informacji na temat nauki, technologii i innowacji, poprawę gromadzenia i analizy danych na potrzeby monitorowania hiszpańskiej strategii na rzecz nauki, technologii i innowacji.</w:t>
      </w:r>
    </w:p>
    <w:p w14:paraId="0B5B77A3" w14:textId="7ED239D5" w:rsidR="006578ED" w:rsidRDefault="00A1618E">
      <w:pPr>
        <w:pStyle w:val="P68B1DB1-Normal4"/>
        <w:autoSpaceDE w:val="0"/>
        <w:autoSpaceDN w:val="0"/>
        <w:spacing w:before="40" w:after="40"/>
        <w:rPr>
          <w:rFonts w:cs="Times New Roman"/>
          <w:noProof/>
        </w:rPr>
      </w:pPr>
      <w:r>
        <w:rPr>
          <w:noProof/>
        </w:rPr>
        <w:t>Wdrożenie środka zostanie zakończone do dnia 31 grudnia 20</w:t>
      </w:r>
      <w:r w:rsidRPr="00A1618E">
        <w:rPr>
          <w:noProof/>
          <w:lang w:val="pl-PL"/>
        </w:rPr>
        <w:t>23 r.</w:t>
      </w:r>
      <w:r>
        <w:rPr>
          <w:noProof/>
        </w:rPr>
        <w:t xml:space="preserve"> </w:t>
      </w:r>
    </w:p>
    <w:p w14:paraId="4F0950D3" w14:textId="46A6B012" w:rsidR="006578ED" w:rsidRDefault="00A1618E">
      <w:pPr>
        <w:pStyle w:val="P68B1DB1-Normal6"/>
        <w:spacing w:before="120" w:after="120" w:line="240" w:lineRule="auto"/>
        <w:jc w:val="both"/>
        <w:rPr>
          <w:rFonts w:cs="Times New Roman"/>
          <w:noProof/>
        </w:rPr>
      </w:pPr>
      <w:r>
        <w:rPr>
          <w:noProof/>
        </w:rPr>
        <w:t xml:space="preserve">Reforma 3 (C17.R3): Reorganizacja publicznych </w:t>
      </w:r>
      <w:bookmarkStart w:id="52" w:name="_Hlk60056040"/>
      <w:r>
        <w:rPr>
          <w:noProof/>
        </w:rPr>
        <w:t xml:space="preserve">organizacji badawczych </w:t>
      </w:r>
      <w:bookmarkEnd w:id="52"/>
      <w:r>
        <w:rPr>
          <w:noProof/>
        </w:rPr>
        <w:t>oraz racjonalizacja ich struktury i funkcjonowania</w:t>
      </w:r>
    </w:p>
    <w:p w14:paraId="336E99BA" w14:textId="4C42A634" w:rsidR="006578ED" w:rsidRDefault="00A1618E">
      <w:pPr>
        <w:pStyle w:val="P68B1DB1-Normal4"/>
        <w:spacing w:before="120" w:after="120" w:line="240" w:lineRule="auto"/>
        <w:jc w:val="both"/>
        <w:rPr>
          <w:rFonts w:cs="Times New Roman"/>
          <w:noProof/>
        </w:rPr>
      </w:pPr>
      <w:r>
        <w:rPr>
          <w:noProof/>
        </w:rPr>
        <w:t>Celem tego środka jest zwiększenie skuteczności publicznych organizacji badawczych (PRO), po przeprowadzeniu analizy wyzwań, poprzez reorganizację PRO, w tym ich strukturę zarządzania. Na początku 20</w:t>
      </w:r>
      <w:r w:rsidRPr="00A1618E">
        <w:rPr>
          <w:noProof/>
          <w:lang w:val="pl-PL"/>
        </w:rPr>
        <w:t>21 r.</w:t>
      </w:r>
      <w:r>
        <w:rPr>
          <w:noProof/>
        </w:rPr>
        <w:t xml:space="preserve"> komitet ekspertów przeprowadził analizę PRO i stwierdził, że większe, niezależne i elastyczne agencje badawcze mają lepsze struktury, aby konkurować. </w:t>
      </w:r>
    </w:p>
    <w:p w14:paraId="350C3DB4" w14:textId="570EE090" w:rsidR="006578ED" w:rsidRDefault="00A1618E">
      <w:pPr>
        <w:pStyle w:val="P68B1DB1-Normal4"/>
        <w:spacing w:before="120" w:after="120" w:line="240" w:lineRule="auto"/>
        <w:jc w:val="both"/>
        <w:rPr>
          <w:rFonts w:cs="Times New Roman"/>
          <w:noProof/>
        </w:rPr>
      </w:pPr>
      <w:r>
        <w:rPr>
          <w:noProof/>
        </w:rPr>
        <w:t>W wyniku tej analizy Hiszpania włącza do hiszpańskiej Krajowej Rady ds. Badań Naukowych (</w:t>
      </w:r>
      <w:r>
        <w:rPr>
          <w:i/>
          <w:noProof/>
        </w:rPr>
        <w:t>Centro Superior de Investigaciones Científicas</w:t>
      </w:r>
      <w:r>
        <w:rPr>
          <w:noProof/>
        </w:rPr>
        <w:t>, CSIC) trzy PRO: krajowy Instytut Badań Rolnictwa i Żywności (</w:t>
      </w:r>
      <w:r>
        <w:rPr>
          <w:i/>
          <w:noProof/>
        </w:rPr>
        <w:t>Instituto Nacional de Investigación y Tecnología Agraria</w:t>
      </w:r>
      <w:r>
        <w:rPr>
          <w:noProof/>
        </w:rPr>
        <w:t>, INIA), Hiszpański Instytut Oceanografii (</w:t>
      </w:r>
      <w:r>
        <w:rPr>
          <w:i/>
          <w:noProof/>
        </w:rPr>
        <w:t>Instituto Español de Oceanografía</w:t>
      </w:r>
      <w:r>
        <w:rPr>
          <w:noProof/>
        </w:rPr>
        <w:t>,</w:t>
      </w:r>
      <w:r>
        <w:rPr>
          <w:noProof/>
          <w:shd w:val="clear" w:color="auto" w:fill="E6E6E6"/>
        </w:rPr>
        <w:t xml:space="preserve"> </w:t>
      </w:r>
      <w:r>
        <w:rPr>
          <w:noProof/>
        </w:rPr>
        <w:t>IEO) oraz Instytut Geologii i Górnictwa Hiszpanii (</w:t>
      </w:r>
      <w:r>
        <w:rPr>
          <w:i/>
          <w:noProof/>
        </w:rPr>
        <w:t>Instituto Geológico Minero de España</w:t>
      </w:r>
      <w:r>
        <w:rPr>
          <w:noProof/>
        </w:rPr>
        <w:t xml:space="preserve">, IGME). Reorganizacja ta wzmocni zdolności eksperckie Hiszpanii w zakresie polityki rybołówstwa, sektora rolno-spożywczego i transformacji ekologicznej. Trzy PRO posiadają system prawny agencji państwowej, który zapewnia większą elastyczność i ramy oparte na wynikach ustanowione w wieloletniej umowie o zarządzanie. Ponadto Hiszpania wprowadza budżetowanie celowe. Reforma ma na celu wzmocnienie zarządzania, oceny wyników i kontroli nad powstałym podmiotem. </w:t>
      </w:r>
    </w:p>
    <w:p w14:paraId="31A7E0A8" w14:textId="33386A9C" w:rsidR="006578ED" w:rsidRDefault="00A1618E">
      <w:pPr>
        <w:pStyle w:val="P68B1DB1-Text119"/>
        <w:ind w:left="0"/>
        <w:rPr>
          <w:rFonts w:cs="Times New Roman"/>
          <w:noProof/>
        </w:rPr>
      </w:pPr>
      <w:r>
        <w:rPr>
          <w:noProof/>
        </w:rPr>
        <w:t>Wdrożenie środka należy zakończyć do dnia 31 grudnia 20</w:t>
      </w:r>
      <w:r w:rsidRPr="00A1618E">
        <w:rPr>
          <w:noProof/>
          <w:lang w:val="pl-PL"/>
        </w:rPr>
        <w:t>22 r.</w:t>
      </w:r>
      <w:r>
        <w:rPr>
          <w:noProof/>
        </w:rPr>
        <w:t xml:space="preserve"> </w:t>
      </w:r>
    </w:p>
    <w:p w14:paraId="106264B3" w14:textId="16AD2061" w:rsidR="006578ED" w:rsidRDefault="00A1618E">
      <w:pPr>
        <w:pStyle w:val="P68B1DB1-Normal6"/>
        <w:keepNext/>
        <w:spacing w:before="120" w:after="120" w:line="240" w:lineRule="auto"/>
        <w:jc w:val="both"/>
        <w:rPr>
          <w:rFonts w:cs="Times New Roman"/>
          <w:noProof/>
        </w:rPr>
      </w:pPr>
      <w:r>
        <w:rPr>
          <w:noProof/>
        </w:rPr>
        <w:t>Inwestycja 1 (C17.I1): Uzupełniające plany badawczo-rozwojowe ze wspólnotami autonomicznymi</w:t>
      </w:r>
    </w:p>
    <w:p w14:paraId="29BDEE70" w14:textId="08A5E441" w:rsidR="006578ED" w:rsidRDefault="00A1618E">
      <w:pPr>
        <w:pStyle w:val="P68B1DB1-Normal4"/>
        <w:keepNext/>
        <w:spacing w:before="120" w:after="120" w:line="240" w:lineRule="auto"/>
        <w:jc w:val="both"/>
        <w:rPr>
          <w:rFonts w:cs="Times New Roman"/>
          <w:noProof/>
        </w:rPr>
      </w:pPr>
      <w:r>
        <w:rPr>
          <w:noProof/>
        </w:rPr>
        <w:t xml:space="preserve">Celem tego działania jest wspieranie koordynacji szczebla państwowego z regionami w obszarze badań, rozwoju i innowacji poprzez ustanowienie uzupełniających planów w zakresie badań, rozwoju i innowacji, które mają być współfinansowane z RRF i regionów. Ten nowy instrument przyczynia się również do dalszej współpracy między regionami, ponieważ ustanawiają one wspólne priorytety w ramach swoich odpowiednich regionalnych strategii inteligentnej specjalizacji (RIS3). </w:t>
      </w:r>
    </w:p>
    <w:p w14:paraId="7670F622" w14:textId="507BC70E" w:rsidR="006578ED" w:rsidRDefault="00A1618E">
      <w:pPr>
        <w:pStyle w:val="P68B1DB1-Normal4"/>
        <w:spacing w:before="120" w:after="120" w:line="240" w:lineRule="auto"/>
        <w:jc w:val="both"/>
        <w:rPr>
          <w:rFonts w:cs="Times New Roman"/>
          <w:noProof/>
        </w:rPr>
      </w:pPr>
      <w:r>
        <w:rPr>
          <w:noProof/>
        </w:rPr>
        <w:t>Zgodnie z hiszpańską strategią na rzecz nauki, technologii i innowacji na lata 2021–2027 plany uzupełniające przyczynią się do poprawy tworzenia wiedzy i innowacji technologicznych, koordynacji na różnych szczeblach sprawowania rządów oraz pobudzenia terytorialnej transformacji gospodarczej w następujących obszarach strategicznych: komunikacja kwantowa, energia i ekologiczny wodór, produkty rolno-spożywcze, różnorodność biologiczna, astrofizyka i fizyka wysokoenergetyczna, nauki o morzu, materiałoznawstwo i biotechnologia stosowana w dziedzinie zdrowia. W celu zbudowania synergii terytorialnych plany uzupełniające przewidują udział kilku regionów w programie, z możliwością uczestnictwa w kilku programach. W związku z tym możliwe jest uwzględnienie i wykorzystanie konkretnych zdolności regionalnych w kilku planach. Plany te trwają dwa lub trzy lata i wymagają od regionów zobowiązań do współfinansowania.</w:t>
      </w:r>
    </w:p>
    <w:p w14:paraId="669F6013" w14:textId="249F6E27" w:rsidR="006578ED" w:rsidRDefault="00A1618E">
      <w:pPr>
        <w:pStyle w:val="P68B1DB1-Normal4"/>
        <w:spacing w:before="120" w:after="120" w:line="240" w:lineRule="auto"/>
        <w:jc w:val="both"/>
        <w:rPr>
          <w:rFonts w:cs="Times New Roman"/>
          <w:noProof/>
        </w:rPr>
      </w:pPr>
      <w:r>
        <w:rPr>
          <w:noProof/>
        </w:rPr>
        <w:t xml:space="preserve">Działania w ramach tej inwestycji obejmują podpisanie ośmiu umów finansowych między Ministerstwem Nauki i Innowacji a regionami. </w:t>
      </w:r>
    </w:p>
    <w:p w14:paraId="0B359E22" w14:textId="48288527" w:rsidR="006578ED" w:rsidRDefault="00A1618E">
      <w:pPr>
        <w:pStyle w:val="P68B1DB1-Text119"/>
        <w:ind w:left="0"/>
        <w:rPr>
          <w:rFonts w:cs="Times New Roman"/>
          <w:noProof/>
        </w:rPr>
      </w:pPr>
      <w:r>
        <w:rPr>
          <w:noProof/>
        </w:rPr>
        <w:t>Realizacja inwestycji zostanie zakończona do dnia 31 grudnia 20</w:t>
      </w:r>
      <w:r w:rsidRPr="00A1618E">
        <w:rPr>
          <w:noProof/>
          <w:lang w:val="pl-PL"/>
        </w:rPr>
        <w:t>25 r.</w:t>
      </w:r>
      <w:r>
        <w:rPr>
          <w:noProof/>
        </w:rPr>
        <w:t xml:space="preserve"> </w:t>
      </w:r>
    </w:p>
    <w:p w14:paraId="2300410A" w14:textId="5F8DBCF6" w:rsidR="006578ED" w:rsidRDefault="00A1618E">
      <w:pPr>
        <w:pStyle w:val="P68B1DB1-Normal6"/>
        <w:spacing w:before="120" w:after="120" w:line="240" w:lineRule="auto"/>
        <w:jc w:val="both"/>
        <w:rPr>
          <w:rFonts w:cs="Times New Roman"/>
          <w:noProof/>
        </w:rPr>
      </w:pPr>
      <w:r>
        <w:rPr>
          <w:noProof/>
        </w:rPr>
        <w:t xml:space="preserve">Inwestycja 2 (C17.I2): Wzmocnienie zdolności, infrastruktury i wyposażenia Państwowego Systemu Nauki, Technologii i Innowacji </w:t>
      </w:r>
    </w:p>
    <w:p w14:paraId="5BCBE96F" w14:textId="2793A84E" w:rsidR="006578ED" w:rsidRDefault="00A1618E">
      <w:pPr>
        <w:pStyle w:val="P68B1DB1-Normal4"/>
        <w:spacing w:before="120" w:after="120" w:line="240" w:lineRule="auto"/>
        <w:jc w:val="both"/>
        <w:rPr>
          <w:rFonts w:cs="Times New Roman"/>
          <w:noProof/>
        </w:rPr>
      </w:pPr>
      <w:r>
        <w:rPr>
          <w:noProof/>
        </w:rPr>
        <w:t xml:space="preserve">Inwestycje te koncentrują się na dostarczaniu, ulepszaniu i aktualizowaniu technicznego wyposażenia naukowego i infrastruktury systemu B+R+I w celu ułatwienia doskonałych badań naukowych i poprawy konkurencyjności systemu. </w:t>
      </w:r>
    </w:p>
    <w:p w14:paraId="38C72822" w14:textId="2D657DBB" w:rsidR="006578ED" w:rsidRDefault="00A1618E">
      <w:pPr>
        <w:pStyle w:val="P68B1DB1-Normal4"/>
        <w:spacing w:before="120" w:after="120" w:line="240" w:lineRule="auto"/>
        <w:jc w:val="both"/>
        <w:rPr>
          <w:rFonts w:cs="Times New Roman"/>
          <w:noProof/>
        </w:rPr>
      </w:pPr>
      <w:r>
        <w:rPr>
          <w:noProof/>
        </w:rPr>
        <w:t xml:space="preserve">Inwestycje te wspierają infrastrukturę i wyposażenie sektora nauki, technologii i innowacji poprzez zaproszenia do składania wniosków. W ramach inwestycji finansuje się również odbudowę, aktualizację lub nową strategiczną infrastrukturę krajową, taką jak: infrastruktura trzeciego poziomu bezpieczeństwa biologicznego w celu sprostania nowym wyzwaniom związanym z przenośnymi czynnikami chorobotwórczymi, budowa nowej rośliny fitgenetycznej, utworzenie nowego centrum zaawansowanej Opcji oraz modernizacja infrastruktury </w:t>
      </w:r>
      <w:r>
        <w:rPr>
          <w:i/>
          <w:noProof/>
        </w:rPr>
        <w:t>Centro de Investigaciones Energéticas, Medioambientales y Tecnológicas (CIEMAT</w:t>
      </w:r>
      <w:r>
        <w:rPr>
          <w:noProof/>
        </w:rPr>
        <w:t>) wraz z infrastrukturą niezbędną do prowadzenia badań nad energią odnawialną. Konkretne działania w ramach tej inwestycji, które mają być wspierane, obejmują duże infrastruktury naukowe z siedzibą w Hiszpanii, w szczególności te ujęte w „Map of Unique Scientific and Technical Infrastructures” (ICTS)</w:t>
      </w:r>
      <w:r>
        <w:rPr>
          <w:i/>
          <w:noProof/>
        </w:rPr>
        <w:t>(Mapa de Infraestructuras Científicas y Técnicas Singulares</w:t>
      </w:r>
      <w:r>
        <w:rPr>
          <w:noProof/>
        </w:rPr>
        <w:t xml:space="preserve">). Ponadto inwestycja wspiera infrastrukturę europejską i międzynarodową, taką jak m.in. CERN i Deep Underground Experiment Neutrino Experiment. </w:t>
      </w:r>
    </w:p>
    <w:p w14:paraId="4B5B6DE7" w14:textId="3CFBC0E2" w:rsidR="006578ED" w:rsidRPr="00A1618E" w:rsidRDefault="00A1618E">
      <w:pPr>
        <w:pStyle w:val="P68B1DB1-Normal4"/>
        <w:spacing w:before="120" w:after="120" w:line="240" w:lineRule="auto"/>
        <w:jc w:val="both"/>
        <w:rPr>
          <w:rFonts w:cs="Times New Roman"/>
          <w:noProof/>
          <w:lang w:val="pl-PL"/>
        </w:rPr>
      </w:pPr>
      <w:r>
        <w:rPr>
          <w:noProof/>
        </w:rPr>
        <w:t xml:space="preserve">Ponadto inwestycja obejmuje serię zaproszeń do składania wniosków o dotacje w celu zwiększenia możliwości umiędzynarodowienia hiszpańskiego systemu badań, rozwoju i innowacji, w tym: zaproszenie do składania wniosków o zarządzanie projektami europejskimi, zaproszenie do składania wniosków w sprawie badań nad Europą 2020, zaproszenie do składania wniosków o doskonałość w Europie 2020, 2022 i 2023. Inwestycja przewiduje również cyfryzację zarządzania badaniami i rozwojem. </w:t>
      </w:r>
    </w:p>
    <w:p w14:paraId="0D9410AF" w14:textId="0D4EE80D" w:rsidR="006578ED" w:rsidRDefault="00A1618E">
      <w:pPr>
        <w:pStyle w:val="P68B1DB1-Normal4"/>
        <w:spacing w:before="120" w:after="120" w:line="240" w:lineRule="auto"/>
        <w:jc w:val="both"/>
        <w:rPr>
          <w:rFonts w:cs="Times New Roman"/>
          <w:noProof/>
        </w:rPr>
      </w:pPr>
      <w:r w:rsidRPr="00A1618E">
        <w:rPr>
          <w:noProof/>
          <w:lang w:val="pl-PL"/>
        </w:rPr>
        <w:t>D</w:t>
      </w:r>
      <w:r>
        <w:rPr>
          <w:noProof/>
        </w:rPr>
        <w:t xml:space="preserve">ziałania w ramach tej inwestycji odbywają się wraz z zaproszeniami do składania wniosków i bezpośrednimi inwestycjami publicznymi. </w:t>
      </w:r>
    </w:p>
    <w:p w14:paraId="0450D448" w14:textId="3C39DF6C" w:rsidR="006578ED" w:rsidRDefault="00A1618E">
      <w:pPr>
        <w:pStyle w:val="P68B1DB1-Normal4"/>
        <w:spacing w:before="120" w:after="120" w:line="240" w:lineRule="auto"/>
        <w:jc w:val="both"/>
        <w:rPr>
          <w:rFonts w:cs="Times New Roman"/>
          <w:noProof/>
        </w:rPr>
      </w:pPr>
      <w:r>
        <w:rPr>
          <w:noProof/>
        </w:rPr>
        <w:t xml:space="preserve">Ponadto w ramach </w:t>
      </w:r>
      <w:r>
        <w:rPr>
          <w:i/>
          <w:noProof/>
        </w:rPr>
        <w:t>strategicznego projektu na rzecz odbudowy i transformacji gospodarczej (</w:t>
      </w:r>
      <w:r>
        <w:rPr>
          <w:noProof/>
        </w:rPr>
        <w:t xml:space="preserve">PERTE Chip) inwestycje wspierają projekty badawczo-rozwojowe i innowacyjne w łańcuchu wartości sektorów półprzewodników i mikroelektroniki. W szczególności należy dokonać inwestycji w budowę, zwiększenie powierzchni, wzmocnienie istniejącej infrastruktury i wyposażenia w zakresie pomieszczeń czystych (National Microelectronics Center of the CSIC oraz Unique Scientific and Technical Infrastructure (ICTS) Distributed MICRONANOFABS) oraz działania mające na celu wzmocnienie zdolności w dziedzinie półprzewodników związanych z obliczeniami superkomputerowymi (Mare Nostrum 5, hiszpańska sieć superkomputerów (RES) i Krajowa Sieć Komunikacji na rzecz Edukacji i Badań Naukowych (RedIRIS), a także wkład Hiszpanii we wspólne przedsięwzięcie na rzecz umowy ramowej o partnerstwie na rzecz opracowania zakrojonej na szeroką skalę europejskiej inicjatywy na rzecz obliczeń wielkiej skali z ekosystemem opartym na RISC-V. </w:t>
      </w:r>
    </w:p>
    <w:p w14:paraId="2BC2CF30" w14:textId="06EE76C1" w:rsidR="006578ED" w:rsidRDefault="00A1618E">
      <w:pPr>
        <w:pStyle w:val="P68B1DB1-Text119"/>
        <w:ind w:left="0"/>
        <w:rPr>
          <w:rFonts w:cs="Times New Roman"/>
          <w:noProof/>
        </w:rPr>
      </w:pPr>
      <w:r>
        <w:rPr>
          <w:noProof/>
        </w:rPr>
        <w:t xml:space="preserve">Realizacja inwestycji zostanie zakończona do </w:t>
      </w:r>
      <w:r>
        <w:rPr>
          <w:noProof/>
          <w:shd w:val="clear" w:color="auto" w:fill="FFFFFF" w:themeFill="background1"/>
        </w:rPr>
        <w:t>dnia 31 sierpnia</w:t>
      </w:r>
      <w:r>
        <w:rPr>
          <w:noProof/>
        </w:rPr>
        <w:t xml:space="preserve"> 20</w:t>
      </w:r>
      <w:r w:rsidRPr="00A1618E">
        <w:rPr>
          <w:noProof/>
          <w:lang w:val="pl-PL"/>
        </w:rPr>
        <w:t>26 r.</w:t>
      </w:r>
      <w:r>
        <w:rPr>
          <w:noProof/>
          <w:shd w:val="clear" w:color="auto" w:fill="E6E6E6"/>
        </w:rPr>
        <w:t xml:space="preserve"> </w:t>
      </w:r>
    </w:p>
    <w:p w14:paraId="6B9333B6" w14:textId="04D00505" w:rsidR="006578ED" w:rsidRDefault="00A1618E">
      <w:pPr>
        <w:pStyle w:val="P68B1DB1-Normal6"/>
        <w:spacing w:before="120" w:after="120" w:line="240" w:lineRule="auto"/>
        <w:jc w:val="both"/>
        <w:rPr>
          <w:rFonts w:cs="Times New Roman"/>
          <w:noProof/>
        </w:rPr>
      </w:pPr>
      <w:r>
        <w:rPr>
          <w:noProof/>
        </w:rPr>
        <w:t>Inwestycja 3 (C17.I3): Nowe prywatne, interdyscyplinarne publiczne projekty w zakresie badań, rozwoju i innowacji, testy koncepcyjne i przyznanie pomocy w wyniku międzynarodowych konkurencyjnych zaproszeń do składania wniosków. Nowatorskie badania i rozwój ukierunkowane na wyzwania społeczne. Przedkomercyjne zamówienia publiczne</w:t>
      </w:r>
    </w:p>
    <w:p w14:paraId="0933ADB4" w14:textId="2410FE4F" w:rsidR="006578ED" w:rsidRDefault="00A1618E">
      <w:pPr>
        <w:pStyle w:val="P68B1DB1-Normal4"/>
        <w:spacing w:before="120" w:after="120" w:line="240" w:lineRule="auto"/>
        <w:jc w:val="both"/>
        <w:rPr>
          <w:rFonts w:cs="Times New Roman"/>
          <w:noProof/>
        </w:rPr>
      </w:pPr>
      <w:r>
        <w:rPr>
          <w:noProof/>
        </w:rPr>
        <w:t xml:space="preserve">Celem działań w ramach tej inwestycji jest wzmocnienie tworzenia wiedzy, transferu wiedzy i partnerstw publiczno-prywatnych w dziedzinie badań, rozwoju i innowacji. Poprzez działania w ramach tej inwestycji należy zintensyfikować działalność w zakresie badań naukowych i innowacji w sektorze prywatnym oraz zacieśnić współpracę między publicznymi organizacjami badawczymi a sektorem prywatnym. Celem środka jest również zwiększenie działalności w zakresie badań, rozwoju i innowacji w strategicznych obszarach, takich jak transformacja ekologiczna i cyfrowa, a także zwiększenie umiędzynarodowienia hiszpańskich grup badawczych. </w:t>
      </w:r>
    </w:p>
    <w:p w14:paraId="1E9B8B1D" w14:textId="7C8FA61B" w:rsidR="006578ED" w:rsidRDefault="00A1618E">
      <w:pPr>
        <w:pStyle w:val="P68B1DB1-Normal4"/>
        <w:spacing w:before="120" w:after="120" w:line="240" w:lineRule="auto"/>
        <w:jc w:val="both"/>
        <w:rPr>
          <w:rFonts w:cs="Times New Roman"/>
          <w:noProof/>
        </w:rPr>
      </w:pPr>
      <w:r>
        <w:rPr>
          <w:noProof/>
        </w:rPr>
        <w:t xml:space="preserve">W ramach tej inwestycji przewidziano dziewięć zaproszeń do składania wniosków: Zaproszenie do przedstawienia dowodów </w:t>
      </w:r>
      <w:r>
        <w:rPr>
          <w:i/>
          <w:noProof/>
        </w:rPr>
        <w:t>koncepcji służy finansowaniu projektów na wczesnych etapach rozwoju przedkonkurencyjnego w celu przyspieszenia przekształcania wiedzy naukowej w produkty lub usługi, 2) zaproszenie do składania projektów interdyscyplinarnych służy finansowaniu projektów realizowanych przez konsorcja publiczno-prywatne, które zwiększają konkurencyjność hiszpańskich badań, rozwoju i innowacji, 3) zaproszenia do składania wniosków dotyczących projektów w zakresie badań, rozwoju i innowacji związanych z transformacją ekologiczną i cyfrową 4) zaproszenia do składania wniosków dotyczących projektów współpracy publiczno-prywatnej w celu finansowania projektów o wyższym poziomie gotowości technologicznej ukierunkowanych na osiągnięcie wyników zbliżonych do rynku, 5) zaproszenie do składania wniosków dotyczących projektów współpracy międzynarodowej w celu finansowania projektów hiszpańskich naukowców publicznych, które stanowią część projektów wybranych do finansowania w ramach partnerstw w ramach programu „Horyzont 2020” i programu „Horyzont Europa”, 6) zaproszenie do składania wniosków dotyczących badań i rozwoju w celu sprostania wyzwaniom społecznym, w tym na przykład bezpiecznej, wydajnej i czystej energii lub cyberbezpieczeństwa, 7) zaproszenie do składania wniosków o finansowanie przedkomercyjnych zamówień publicznych o nazwie Alliance for Innovation, 8) zaproszenie do składania wniosków dotyczących projektów w zakresie badań, rozwoju i innowacji w dziedzinie półprzewodników („Misje na rzecz nauki i innowacji związane z czipem PERTE”) oraz 9) zaproszenie do weryfikacji poprawności projektu</w:t>
      </w:r>
      <w:r>
        <w:rPr>
          <w:noProof/>
        </w:rPr>
        <w:t xml:space="preserve"> w dziedzinie półprzewodników.</w:t>
      </w:r>
    </w:p>
    <w:p w14:paraId="50349E44" w14:textId="7D9054B4" w:rsidR="006578ED" w:rsidRDefault="00A1618E">
      <w:pPr>
        <w:pStyle w:val="P68B1DB1-Normal4"/>
        <w:spacing w:before="120" w:after="120" w:line="240" w:lineRule="auto"/>
        <w:jc w:val="both"/>
        <w:rPr>
          <w:rFonts w:cs="Times New Roman"/>
          <w:noProof/>
        </w:rPr>
      </w:pPr>
      <w:r>
        <w:rPr>
          <w:noProof/>
        </w:rPr>
        <w:t xml:space="preserve">Inwestycje w ramach tego środka będą realizowane w latach 2020–2026, przy czym zaproszenia do składania wniosków i przedkomercyjne zamówienia publiczne będą skoncentrowane w latach 2020–2025, a realizacja niektórych bardziej złożonych inwestycji rozciąga się </w:t>
      </w:r>
      <w:r w:rsidRPr="00A1618E">
        <w:rPr>
          <w:noProof/>
          <w:lang w:val="pl-PL"/>
        </w:rPr>
        <w:t>do 2</w:t>
      </w:r>
      <w:r>
        <w:rPr>
          <w:noProof/>
        </w:rPr>
        <w:t>0</w:t>
      </w:r>
      <w:r w:rsidRPr="00A1618E">
        <w:rPr>
          <w:noProof/>
          <w:lang w:val="pl-PL"/>
        </w:rPr>
        <w:t>26 r.</w:t>
      </w:r>
      <w:r>
        <w:rPr>
          <w:noProof/>
        </w:rPr>
        <w:t xml:space="preserve"> </w:t>
      </w:r>
    </w:p>
    <w:p w14:paraId="0DA88287" w14:textId="23AF2D53" w:rsidR="006578ED" w:rsidRDefault="00A1618E">
      <w:pPr>
        <w:pStyle w:val="Text1"/>
        <w:ind w:left="0"/>
        <w:rPr>
          <w:rFonts w:ascii="Times New Roman" w:hAnsi="Times New Roman" w:cs="Times New Roman"/>
          <w:noProof/>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161"/>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162"/>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163"/>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164"/>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14A43722" w14:textId="3ECD4957" w:rsidR="006578ED" w:rsidRDefault="00A1618E">
      <w:pPr>
        <w:pStyle w:val="P68B1DB1-Normal4"/>
        <w:spacing w:before="120" w:after="120" w:line="240" w:lineRule="auto"/>
        <w:jc w:val="both"/>
        <w:rPr>
          <w:rFonts w:cs="Times New Roman"/>
          <w:noProof/>
        </w:rPr>
      </w:pPr>
      <w:r>
        <w:rPr>
          <w:noProof/>
        </w:rPr>
        <w:t>Następujące działania w zakresie badań, rozwoju i innowacji w ramach tej inwestycji uznaje się za zgodne z wytycznymi technicznymi dotyczącymi zasady „nie czyń poważnych szkód” (2021/C58/01): działania w zakresie badań, rozwoju i innowacji w ramach tej inwestycji, skutkujące neutralnymi technologicznie wynikami na poziomie ich zastosowania; działania w zakresie badań, rozwoju i innowacji w ramach tej inwestycji wspierające alternatywy o niskim wpływie na środowisko, w przypadku których istnieją; lub (iii) tych działań w zakresie badań, rozwoju i innowacji w ramach tej inwestycji, które koncentrują się przede wszystkim na opracowaniu rozwiązań alternatywnych o możliwie najmniejszym wpływie na środowisko w sektorze w przypadku tych rodzajów działalności, w przypadku których nie istnieje alternatywa o niskim wpływie na środowisko wykonalna pod względem technologicznym i ekonomicznym.</w:t>
      </w:r>
    </w:p>
    <w:p w14:paraId="7AE3CEC4" w14:textId="769E2158" w:rsidR="006578ED" w:rsidRDefault="00A1618E">
      <w:pPr>
        <w:pStyle w:val="P68B1DB1-Normal4"/>
        <w:autoSpaceDE w:val="0"/>
        <w:autoSpaceDN w:val="0"/>
        <w:spacing w:before="40" w:after="40"/>
        <w:rPr>
          <w:rFonts w:cs="Times New Roman"/>
          <w:noProof/>
        </w:rPr>
      </w:pPr>
      <w:r>
        <w:rPr>
          <w:noProof/>
        </w:rPr>
        <w:t xml:space="preserve">Realizacja inwestycji zostanie zakończona do </w:t>
      </w:r>
      <w:r>
        <w:rPr>
          <w:noProof/>
          <w:shd w:val="clear" w:color="auto" w:fill="FFFFFF" w:themeFill="background1"/>
        </w:rPr>
        <w:t>dnia 31 sierpnia</w:t>
      </w:r>
      <w:r>
        <w:rPr>
          <w:noProof/>
        </w:rPr>
        <w:t xml:space="preserve"> 20</w:t>
      </w:r>
      <w:r w:rsidRPr="00A1618E">
        <w:rPr>
          <w:noProof/>
          <w:lang w:val="pl-PL"/>
        </w:rPr>
        <w:t>26 r.</w:t>
      </w:r>
      <w:r>
        <w:rPr>
          <w:noProof/>
        </w:rPr>
        <w:t xml:space="preserve"> </w:t>
      </w:r>
    </w:p>
    <w:p w14:paraId="108036FB" w14:textId="608E2A3D" w:rsidR="006578ED" w:rsidRDefault="00A1618E">
      <w:pPr>
        <w:pStyle w:val="P68B1DB1-Normal6"/>
        <w:keepNext/>
        <w:spacing w:before="120" w:after="120" w:line="240" w:lineRule="auto"/>
        <w:jc w:val="both"/>
        <w:rPr>
          <w:rFonts w:cs="Times New Roman"/>
          <w:noProof/>
        </w:rPr>
      </w:pPr>
      <w:r>
        <w:rPr>
          <w:noProof/>
        </w:rPr>
        <w:t>Inwestycja 4 (C17.I4): Nowa kariera naukowa</w:t>
      </w:r>
    </w:p>
    <w:p w14:paraId="21CA05BD" w14:textId="6D523B50" w:rsidR="006578ED" w:rsidRDefault="00A1618E">
      <w:pPr>
        <w:pStyle w:val="P68B1DB1-Normal4"/>
        <w:spacing w:before="120" w:after="120" w:line="240" w:lineRule="auto"/>
        <w:jc w:val="both"/>
        <w:rPr>
          <w:rFonts w:cs="Times New Roman"/>
          <w:noProof/>
        </w:rPr>
      </w:pPr>
      <w:r>
        <w:rPr>
          <w:noProof/>
        </w:rPr>
        <w:t xml:space="preserve">Celem tej inwestycji jest wspieranie stabilnej kariery naukowej. Jest on powiązany z C17.R1. Zaktualizowana ustawa o naukach obejmuje nową karierę naukową w Hiszpanii, która zapewni ramy dla całego personelu badawczego, w tym dla personelu uniwersyteckiego. System zapewnia przejrzystość w powoływaniu personelu, elastyczność, mobilność i stabilność kariery naukowej. </w:t>
      </w:r>
    </w:p>
    <w:p w14:paraId="7C621AE3" w14:textId="38D712A6" w:rsidR="006578ED" w:rsidRDefault="00A1618E">
      <w:pPr>
        <w:pStyle w:val="P68B1DB1-Text119"/>
        <w:ind w:left="0"/>
        <w:rPr>
          <w:rFonts w:cs="Times New Roman"/>
          <w:noProof/>
        </w:rPr>
      </w:pPr>
      <w:r>
        <w:rPr>
          <w:noProof/>
        </w:rPr>
        <w:t>Wsparcie przyjmuje formę dotacji przyznawanych w drodze konkurencyjnych zaproszeń do składania wniosków w następujących programach: Stypendium doktora przemysłowego</w:t>
      </w:r>
      <w:r>
        <w:rPr>
          <w:i/>
          <w:noProof/>
        </w:rPr>
        <w:t>,</w:t>
      </w:r>
      <w:r>
        <w:rPr>
          <w:noProof/>
        </w:rPr>
        <w:t xml:space="preserve"> czteroletni program dla doktorantów w przedsiębiorstwie (50 miejsc), 2) stypendium </w:t>
      </w:r>
      <w:r>
        <w:rPr>
          <w:i/>
          <w:noProof/>
        </w:rPr>
        <w:t>Torresa Quevedo</w:t>
      </w:r>
      <w:r>
        <w:rPr>
          <w:noProof/>
        </w:rPr>
        <w:t xml:space="preserve">, trzyletni program dla doktoranta w przedsiębiorstwie (170 miejsc), 3) stypendium </w:t>
      </w:r>
      <w:r>
        <w:rPr>
          <w:i/>
          <w:noProof/>
        </w:rPr>
        <w:t>szkoleniowe Juana de la</w:t>
      </w:r>
      <w:r>
        <w:rPr>
          <w:noProof/>
        </w:rPr>
        <w:t xml:space="preserve"> Cierva, dwuletni program studiów doktoranckich w instytucjach akademickich, obejmuje stypendium na rzecz mobilności (1,200 miejsc) oraz 4) stypendium na rozpoczęcie studiów doktoranckich </w:t>
      </w:r>
      <w:r>
        <w:rPr>
          <w:i/>
          <w:noProof/>
        </w:rPr>
        <w:t>Juana de la Cierva,</w:t>
      </w:r>
      <w:r>
        <w:rPr>
          <w:noProof/>
        </w:rPr>
        <w:t xml:space="preserve"> trzyletni program studiów doktoranckich w instytucjach akademickich, obejmuje stypendium badawcze (650 miejsc). Środek ten obejmuje również pakiet dotyczący start-upów badawczych </w:t>
      </w:r>
      <w:r w:rsidRPr="00A1618E">
        <w:rPr>
          <w:noProof/>
          <w:lang w:val="pl-PL"/>
        </w:rPr>
        <w:t>dla 7</w:t>
      </w:r>
      <w:r>
        <w:rPr>
          <w:noProof/>
        </w:rPr>
        <w:t xml:space="preserve">50 naukowców posiadających stabilne umowy w instytucjach akademickich lub publicznych organizacjach badawczych, a także specjalny pakiet na rozpoczęcie działalności badawczej </w:t>
      </w:r>
      <w:r w:rsidRPr="00A1618E">
        <w:rPr>
          <w:noProof/>
          <w:lang w:val="pl-PL"/>
        </w:rPr>
        <w:t>dla 2</w:t>
      </w:r>
      <w:r>
        <w:rPr>
          <w:noProof/>
        </w:rPr>
        <w:t xml:space="preserve">5 naukowców w dziedzinie mikroelektroniki i półprzewodników. Działania w ramach tej inwestycji odbywają się w oparciu o konkurencyjne zaproszenia do składania wniosków o dotacje. </w:t>
      </w:r>
    </w:p>
    <w:p w14:paraId="5AAE6B5A" w14:textId="0EBDEBDD" w:rsidR="006578ED" w:rsidRDefault="00A1618E">
      <w:pPr>
        <w:pStyle w:val="P68B1DB1-Text119"/>
        <w:ind w:left="0"/>
        <w:rPr>
          <w:rFonts w:cs="Times New Roman"/>
          <w:noProof/>
        </w:rPr>
      </w:pPr>
      <w:r>
        <w:rPr>
          <w:noProof/>
        </w:rPr>
        <w:t xml:space="preserve">Realizacja inwestycji zostanie zakończona do </w:t>
      </w:r>
      <w:r>
        <w:rPr>
          <w:noProof/>
          <w:shd w:val="clear" w:color="auto" w:fill="FFFFFF" w:themeFill="background1"/>
        </w:rPr>
        <w:t>dnia 31 sierpnia</w:t>
      </w:r>
      <w:r>
        <w:rPr>
          <w:noProof/>
        </w:rPr>
        <w:t xml:space="preserve"> 20</w:t>
      </w:r>
      <w:r w:rsidRPr="00A1618E">
        <w:rPr>
          <w:noProof/>
          <w:lang w:val="pl-PL"/>
        </w:rPr>
        <w:t>26 r.</w:t>
      </w:r>
      <w:r>
        <w:rPr>
          <w:noProof/>
          <w:shd w:val="clear" w:color="auto" w:fill="E6E6E6"/>
        </w:rPr>
        <w:t xml:space="preserve"> </w:t>
      </w:r>
    </w:p>
    <w:p w14:paraId="70594352" w14:textId="77777777" w:rsidR="006578ED" w:rsidRDefault="00A1618E">
      <w:pPr>
        <w:pStyle w:val="P68B1DB1-Normal6"/>
        <w:spacing w:before="120" w:after="120" w:line="240" w:lineRule="auto"/>
        <w:jc w:val="both"/>
        <w:rPr>
          <w:rFonts w:cs="Times New Roman"/>
          <w:noProof/>
        </w:rPr>
      </w:pPr>
      <w:r>
        <w:rPr>
          <w:noProof/>
        </w:rPr>
        <w:t>Inwestycja 5 (C17.I5): Transfer wiedzy</w:t>
      </w:r>
    </w:p>
    <w:p w14:paraId="2B7882A6" w14:textId="55643A42" w:rsidR="006578ED" w:rsidRDefault="00A1618E">
      <w:pPr>
        <w:pStyle w:val="P68B1DB1-Normal4"/>
        <w:spacing w:before="120" w:after="120" w:line="240" w:lineRule="auto"/>
        <w:jc w:val="both"/>
        <w:rPr>
          <w:rFonts w:cs="Times New Roman"/>
          <w:noProof/>
        </w:rPr>
      </w:pPr>
      <w:r>
        <w:rPr>
          <w:noProof/>
        </w:rPr>
        <w:t xml:space="preserve">Celem tej inwestycji jest promowanie transferu technologii i wspieranie transferu wyników badań nad technologiami innowacyjnymi. Inwestycja ta jest powiązana z reformą C17.R1; zaktualizowana ustawa o nauce wspiera transfer wiedzy poprzez zachęcanie naukowców do mobilności, stworzenie elastycznego narzędzia prawnego umożliwiającego współinwestowanie w nowe przedsiębiorstwa technologiczne oraz przekształcenie struktury zachęt w taki sposób, aby transfer wiedzy był odpowiednio uwzględniany w wynagrodzeniu naukowca wraz z tradycyjną działalnością badawczą. </w:t>
      </w:r>
    </w:p>
    <w:p w14:paraId="4938D679" w14:textId="43A334FA" w:rsidR="006578ED" w:rsidRDefault="00A1618E">
      <w:pPr>
        <w:pStyle w:val="P68B1DB1-Normal4"/>
        <w:spacing w:before="120" w:after="120" w:line="240" w:lineRule="auto"/>
        <w:jc w:val="both"/>
        <w:rPr>
          <w:rFonts w:cs="Times New Roman"/>
          <w:noProof/>
        </w:rPr>
      </w:pPr>
      <w:r>
        <w:rPr>
          <w:noProof/>
        </w:rPr>
        <w:t>Środki te obejmują sześć konkretnych działań mających na celu usprawnienie transferu wiedzy: Zaproszenie do składania wniosków „Ekosystemy innowacji oparte na sieci doskonałości z </w:t>
      </w:r>
      <w:r>
        <w:rPr>
          <w:i/>
          <w:noProof/>
        </w:rPr>
        <w:t>Cervera</w:t>
      </w:r>
      <w:r>
        <w:rPr>
          <w:noProof/>
        </w:rPr>
        <w:t xml:space="preserve">”, 2) poprawa zdolności i ukierunkowania biur transferu wyników badań naukowych, 3) apele o dotacje </w:t>
      </w:r>
      <w:r>
        <w:rPr>
          <w:i/>
          <w:noProof/>
        </w:rPr>
        <w:t>Cervera</w:t>
      </w:r>
      <w:r>
        <w:rPr>
          <w:noProof/>
        </w:rPr>
        <w:t xml:space="preserve"> dla ośrodków technologicznych, ośrodków badawczych oraz MŚP i spółek o średniej kapitalizacji na prowadzenie badań i rozwoju w zakresie technologii priorytetowych, 4) wezwanie do wsparcia hiszpańskich MŚP za pomocą europejskiej pieczęci doskonałości, 5) wsparcie kapitału podwyższonego ryzyka w celu współinwestowania i inwestowania w przedsiębiorstwa posiadające technologie strategiczne za pośrednictwem funduszu transferu technologii oraz 6) wsparcie dla NEOTEC, trwającego programu ramowego w zakresie badań i rozwoju wspierającego tworzenie i konsolidację przedsiębiorstw opartych na technologii. </w:t>
      </w:r>
    </w:p>
    <w:p w14:paraId="2488B454" w14:textId="1B1A7EFE" w:rsidR="006578ED" w:rsidRPr="00A1618E" w:rsidRDefault="00A1618E">
      <w:pPr>
        <w:pStyle w:val="P68B1DB1-Normal4"/>
        <w:spacing w:before="120" w:after="120" w:line="240" w:lineRule="auto"/>
        <w:jc w:val="both"/>
        <w:rPr>
          <w:rFonts w:cs="Times New Roman"/>
          <w:noProof/>
          <w:lang w:val="pl-PL"/>
        </w:rPr>
      </w:pPr>
      <w:r>
        <w:rPr>
          <w:noProof/>
        </w:rPr>
        <w:t>Działania w ramach tej inwestycji odbywają się głównie w drodze zaproszeń do składania wniosków</w:t>
      </w:r>
      <w:r w:rsidRPr="00A1618E">
        <w:rPr>
          <w:noProof/>
          <w:lang w:val="pl-PL"/>
        </w:rPr>
        <w:t xml:space="preserve">. </w:t>
      </w:r>
    </w:p>
    <w:p w14:paraId="2B7AC239" w14:textId="4D1FDAE4"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165"/>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166"/>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167"/>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168"/>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1F79D808" w14:textId="5A66CEF9" w:rsidR="006578ED" w:rsidRDefault="00A1618E">
      <w:pPr>
        <w:pStyle w:val="P68B1DB1-Normal4"/>
        <w:spacing w:before="120" w:after="120" w:line="240" w:lineRule="auto"/>
        <w:jc w:val="both"/>
        <w:rPr>
          <w:rFonts w:cs="Times New Roman"/>
          <w:noProof/>
        </w:rPr>
      </w:pPr>
      <w:r>
        <w:rPr>
          <w:noProof/>
        </w:rPr>
        <w:t>Następujące działania w zakresie badań, rozwoju i innowacji w ramach tej inwestycji uznaje się za zgodne z wytycznymi technicznymi dotyczącymi zasady „nie czyń poważnych szkód” (2021/C58/01): działania w zakresie badań, rozwoju i innowacji w ramach tej inwestycji, skutkujące neutralnymi technologicznie wynikami na poziomie ich zastosowania; działania w zakresie badań, rozwoju i innowacji w ramach tej inwestycji wspierające alternatywy o niskim wpływie na środowisko, w przypadku których istnieją; lub (iii) tych działań w zakresie badań, rozwoju i innowacji w ramach tej inwestycji, które koncentrują się przede wszystkim na opracowaniu rozwiązań alternatywnych o możliwie najmniejszym wpływie na środowisko w sektorze w przypadku tych rodzajów działalności, w przypadku których nie istnieje alternatywa o niskim wpływie na środowisko wykonalna pod względem technologicznym i ekonomicznym.</w:t>
      </w:r>
    </w:p>
    <w:p w14:paraId="20615DC9" w14:textId="66603B49"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p>
    <w:p w14:paraId="07E0B2B3" w14:textId="77777777" w:rsidR="006578ED" w:rsidRDefault="00A1618E">
      <w:pPr>
        <w:pStyle w:val="P68B1DB1-Normal6"/>
        <w:spacing w:before="120" w:after="120" w:line="240" w:lineRule="auto"/>
        <w:jc w:val="both"/>
        <w:rPr>
          <w:rFonts w:cs="Times New Roman"/>
          <w:noProof/>
        </w:rPr>
      </w:pPr>
      <w:r>
        <w:rPr>
          <w:noProof/>
        </w:rPr>
        <w:t>Inwestycja 6 (C17.I6): Zdrowia</w:t>
      </w:r>
    </w:p>
    <w:p w14:paraId="523421E4" w14:textId="00123DB6" w:rsidR="006578ED" w:rsidRDefault="00A1618E">
      <w:pPr>
        <w:pStyle w:val="P68B1DB1-Normal4"/>
        <w:spacing w:before="120" w:after="120" w:line="240" w:lineRule="auto"/>
        <w:jc w:val="both"/>
        <w:rPr>
          <w:rFonts w:cs="Times New Roman"/>
          <w:noProof/>
        </w:rPr>
      </w:pPr>
      <w:r>
        <w:rPr>
          <w:noProof/>
        </w:rPr>
        <w:t xml:space="preserve">Celem tej inwestycji jest wspieranie rozwoju badań i innowacji w sektorze zdrowia. Środek obejmuje następujące kierunki działania: </w:t>
      </w:r>
    </w:p>
    <w:p w14:paraId="35050FC1" w14:textId="73132F22" w:rsidR="006578ED" w:rsidRDefault="00A1618E">
      <w:pPr>
        <w:pStyle w:val="P68B1DB1-Normal4"/>
        <w:spacing w:before="120" w:after="120" w:line="240" w:lineRule="auto"/>
        <w:ind w:left="720"/>
        <w:jc w:val="both"/>
        <w:rPr>
          <w:rFonts w:cs="Times New Roman"/>
          <w:noProof/>
        </w:rPr>
      </w:pPr>
      <w:r>
        <w:rPr>
          <w:noProof/>
        </w:rPr>
        <w:t xml:space="preserve">Inwestycje w dziedzinie terapii zaawansowanych, nowo pojawiających się leków i medycyny spersonalizowanej, </w:t>
      </w:r>
    </w:p>
    <w:p w14:paraId="1E3A367B" w14:textId="4C0E2D2C" w:rsidR="006578ED" w:rsidRDefault="00A1618E">
      <w:pPr>
        <w:pStyle w:val="P68B1DB1-Normal4"/>
        <w:spacing w:before="120" w:after="120" w:line="240" w:lineRule="auto"/>
        <w:ind w:left="720"/>
        <w:jc w:val="both"/>
        <w:rPr>
          <w:rFonts w:cs="Times New Roman"/>
          <w:noProof/>
        </w:rPr>
      </w:pPr>
      <w:r>
        <w:rPr>
          <w:noProof/>
        </w:rPr>
        <w:t xml:space="preserve">2) środki mające na celu wzmocnienie zdolności strategicznych i umiędzynarodowienie krajowego systemu opieki zdrowotnej, </w:t>
      </w:r>
    </w:p>
    <w:p w14:paraId="3A48DE95" w14:textId="4B8559A8" w:rsidR="006578ED" w:rsidRDefault="00A1618E">
      <w:pPr>
        <w:pStyle w:val="P68B1DB1-Normal4"/>
        <w:spacing w:before="120" w:after="120" w:line="240" w:lineRule="auto"/>
        <w:ind w:left="720"/>
        <w:jc w:val="both"/>
        <w:rPr>
          <w:rFonts w:cs="Times New Roman"/>
          <w:noProof/>
        </w:rPr>
      </w:pPr>
      <w:r>
        <w:rPr>
          <w:noProof/>
        </w:rPr>
        <w:t xml:space="preserve">Działania na rzecz wspierania zdolności do zwalczania chorób zakaźnych i globalnych zagrożeń prowadzone przez </w:t>
      </w:r>
      <w:r>
        <w:rPr>
          <w:i/>
          <w:noProof/>
        </w:rPr>
        <w:t>Instituto de Salud Carlos III</w:t>
      </w:r>
      <w:r>
        <w:rPr>
          <w:noProof/>
        </w:rPr>
        <w:t xml:space="preserve">, w szczególności Krajowe Centrum Mikrobiologii, Krajowe Centrum Epidemiologii oraz Krajową Szkołę Medycyny Pracy i Narodową Szkołę Zdrowia, </w:t>
      </w:r>
    </w:p>
    <w:p w14:paraId="188FC210" w14:textId="042909C9" w:rsidR="006578ED" w:rsidRDefault="00A1618E">
      <w:pPr>
        <w:pStyle w:val="P68B1DB1-Normal4"/>
        <w:spacing w:before="120" w:after="120" w:line="240" w:lineRule="auto"/>
        <w:ind w:left="720"/>
        <w:jc w:val="both"/>
        <w:rPr>
          <w:rFonts w:cs="Times New Roman"/>
          <w:noProof/>
        </w:rPr>
      </w:pPr>
      <w:r>
        <w:rPr>
          <w:noProof/>
        </w:rPr>
        <w:t xml:space="preserve">Udział w wielokrajowym projekcie „The Genome of Europe” w ramach inicjatywy „1 mln genomów”, </w:t>
      </w:r>
    </w:p>
    <w:p w14:paraId="5E14A1AC" w14:textId="79ADB631" w:rsidR="006578ED" w:rsidRDefault="00A1618E">
      <w:pPr>
        <w:pStyle w:val="P68B1DB1-Normal4"/>
        <w:spacing w:before="120" w:after="120" w:line="240" w:lineRule="auto"/>
        <w:ind w:left="720"/>
        <w:jc w:val="both"/>
        <w:rPr>
          <w:rFonts w:cs="Times New Roman"/>
          <w:noProof/>
        </w:rPr>
      </w:pPr>
      <w:r>
        <w:rPr>
          <w:noProof/>
        </w:rPr>
        <w:t xml:space="preserve">5) środki budowania zdolności związane z badaniami nad chorobami zakaźnymi, innymi globalnymi zagrożeniami dla zdrowia i starzeniem się społeczeństwa, </w:t>
      </w:r>
    </w:p>
    <w:p w14:paraId="588B36B9" w14:textId="641D838C" w:rsidR="006578ED" w:rsidRDefault="00A1618E">
      <w:pPr>
        <w:pStyle w:val="P68B1DB1-Normal4"/>
        <w:spacing w:before="120" w:after="120" w:line="240" w:lineRule="auto"/>
        <w:ind w:left="720"/>
        <w:jc w:val="both"/>
        <w:rPr>
          <w:rFonts w:eastAsia="Times New Roman" w:cs="Times New Roman"/>
          <w:noProof/>
        </w:rPr>
      </w:pPr>
      <w:r>
        <w:rPr>
          <w:noProof/>
        </w:rPr>
        <w:t>6) działania w ramach PERTE Vanguard Health mające na celu: wzmocnienie i umiędzynarodowienie zdolności przemysłowych w sektorze opieki zdrowotnej poprzez wspieranie udziału Hiszpanii w wielokrajowych projektach w zakresie badań, rozwoju i innowacji, (ii) wspieranie badań i rozwoju związanych z diagnostyką chorób rzadkich, iii) wspieranie badań, rozwoju i innowacji w dziedzinie spersonalizowanej medycyny precyzyjnej, iv) rozwój i modernizacja platformy proteomiki i metabolomiki w Instituto de Salud Carlos III (ISCIII), (v) aktualizacja, rozbudowa i poprawa infrastruktury biomonitoringu ludzkiego ISCIII oraz (vi) rozwój i modernizacja jednostek badań klinicznych orientacyjnych oraz</w:t>
      </w:r>
    </w:p>
    <w:p w14:paraId="6FBF3EFB" w14:textId="7D3A8FB3" w:rsidR="006578ED" w:rsidRDefault="00A1618E">
      <w:pPr>
        <w:pStyle w:val="P68B1DB1-Normal4"/>
        <w:spacing w:before="120" w:after="120" w:line="240" w:lineRule="auto"/>
        <w:ind w:left="720"/>
        <w:jc w:val="both"/>
        <w:rPr>
          <w:rFonts w:eastAsia="Times New Roman" w:cs="Times New Roman"/>
          <w:noProof/>
        </w:rPr>
      </w:pPr>
      <w:r>
        <w:rPr>
          <w:noProof/>
        </w:rPr>
        <w:t xml:space="preserve">Niepodlegająca zwrotowi część pożyczek dla sektora opieki zdrowotnej, jako uzupełnienie inwestycji C17.I10 (pożyczki dla sektora ochrony zdrowia, przemysłu lotniczego i kosmicznego). </w:t>
      </w:r>
    </w:p>
    <w:p w14:paraId="16E012FB" w14:textId="7D075265" w:rsidR="006578ED" w:rsidRDefault="00A1618E">
      <w:pPr>
        <w:pStyle w:val="P68B1DB1-Normal4"/>
        <w:spacing w:before="120" w:after="120" w:line="240" w:lineRule="auto"/>
        <w:jc w:val="both"/>
        <w:rPr>
          <w:rFonts w:cs="Times New Roman"/>
          <w:noProof/>
        </w:rPr>
      </w:pPr>
      <w:r>
        <w:rPr>
          <w:noProof/>
        </w:rPr>
        <w:t>Działania w ramach tej inwestycji obejmują zaproszenia do składania wniosków, inwestycje publiczne i prywatne kapitał podwyższonego ryzyka oraz bezpośrednie inwestycje publiczne.</w:t>
      </w:r>
    </w:p>
    <w:p w14:paraId="2D44DAF6" w14:textId="707BA631" w:rsidR="006578ED" w:rsidRDefault="00A1618E">
      <w:pPr>
        <w:pStyle w:val="P68B1DB1-Normal4"/>
        <w:spacing w:before="120" w:after="120" w:line="240" w:lineRule="auto"/>
        <w:jc w:val="both"/>
        <w:rPr>
          <w:rFonts w:cs="Times New Roman"/>
          <w:noProof/>
        </w:rPr>
      </w:pPr>
      <w:r>
        <w:rPr>
          <w:noProof/>
        </w:rPr>
        <w:t xml:space="preserve">Realizacja inwestycji zostanie zakończona do </w:t>
      </w:r>
      <w:r>
        <w:rPr>
          <w:noProof/>
          <w:shd w:val="clear" w:color="auto" w:fill="FFFFFF" w:themeFill="background1"/>
        </w:rPr>
        <w:t>dnia 31 sierpnia</w:t>
      </w:r>
      <w:r>
        <w:rPr>
          <w:noProof/>
        </w:rPr>
        <w:t xml:space="preserve"> 20</w:t>
      </w:r>
      <w:r w:rsidRPr="00A1618E">
        <w:rPr>
          <w:noProof/>
          <w:lang w:val="pl-PL"/>
        </w:rPr>
        <w:t>26 r.</w:t>
      </w:r>
      <w:r>
        <w:rPr>
          <w:noProof/>
        </w:rPr>
        <w:t xml:space="preserve"> </w:t>
      </w:r>
    </w:p>
    <w:p w14:paraId="4590D68D" w14:textId="55B9CB8D" w:rsidR="006578ED" w:rsidRDefault="00A1618E">
      <w:pPr>
        <w:pStyle w:val="P68B1DB1-Normal6"/>
        <w:spacing w:before="120" w:after="120" w:line="240" w:lineRule="auto"/>
        <w:jc w:val="both"/>
        <w:rPr>
          <w:rFonts w:cs="Times New Roman"/>
          <w:noProof/>
        </w:rPr>
      </w:pPr>
      <w:r>
        <w:rPr>
          <w:noProof/>
        </w:rPr>
        <w:t>Inwestycja 7 (C17.I7): Środowisko, zmiana klimatu i energia</w:t>
      </w:r>
    </w:p>
    <w:p w14:paraId="6083A820" w14:textId="2DCD85DB" w:rsidR="006578ED" w:rsidRDefault="00A1618E">
      <w:pPr>
        <w:pStyle w:val="P68B1DB1-Normal4"/>
        <w:spacing w:before="120" w:after="120" w:line="240" w:lineRule="auto"/>
        <w:jc w:val="both"/>
        <w:rPr>
          <w:rFonts w:cs="Times New Roman"/>
          <w:noProof/>
        </w:rPr>
      </w:pPr>
      <w:r>
        <w:rPr>
          <w:noProof/>
        </w:rPr>
        <w:t xml:space="preserve">Celem tego środka jest wspieranie rozwoju badań i innowacji w sektorze środowiska, zmiany klimatu i energii. Środek wspiera: Projekty w zakresie badań, rozwoju i innowacji związane ze zrównoważonymi tworzywami sztucznymi w gospodarce o obiegu zamkniętym, produkcją alternatywnych tworzyw sztucznych i zrównoważonym gospodarowaniem odpadami z tworzyw sztucznych, 2) projektem dotyczącym zmiany klimatu i wpływu na zasoby wody, 3) projektem dotyczącym zaawansowanych technologicznie elementów transformacji energetycznej, w szczególności w odniesieniu do magazynowania energii i rozwoju prototypowych zakładów wychwytywania CO2 z procesów przemysłowych w energochłonnych sektorach przemysłu przez </w:t>
      </w:r>
      <w:r>
        <w:rPr>
          <w:i/>
          <w:noProof/>
        </w:rPr>
        <w:t>Consejo Superior de Investigaciones Científicas</w:t>
      </w:r>
      <w:r>
        <w:rPr>
          <w:noProof/>
        </w:rPr>
        <w:t xml:space="preserve"> (CSIC). W przypadku gdy instalacje objęte unijnym systemem handlu uprawnieniami do emisji (ETS) są zaangażowane, osiągają prognozowane emisje gazów cieplarnianych, które są co najmniej niższe od odpowiednich poziomów odniesienia,</w:t>
      </w:r>
      <w:r>
        <w:rPr>
          <w:noProof/>
        </w:rPr>
        <w:footnoteReference w:id="169"/>
      </w:r>
      <w:r>
        <w:rPr>
          <w:noProof/>
        </w:rPr>
        <w:t>i wyklucza się działalność związaną z paliwami kopalnymi, w tym wykorzystywaniem niższego szczebla,</w:t>
      </w:r>
      <w:r>
        <w:rPr>
          <w:noProof/>
        </w:rPr>
        <w:footnoteReference w:id="170"/>
      </w:r>
      <w:r>
        <w:rPr>
          <w:noProof/>
        </w:rPr>
        <w:t xml:space="preserve">4) projekt badawczy dotyczący metali strategicznych dla transformacji energetycznej oraz 5) utworzenie centrum badawczo-rozwojowego w zakresie magazynowania energii w Estremadurze w celu pobudzenia technologicznej i naukowej reakcji na zarządzanie produkcją zielonej energii, w szczególności w odniesieniu do zastosowań przemysłowych wodoru, a także produkcji, magazynowania i transportu zielonego wodoru. Środek ten wspiera również budowanie zdolności, które mają być realizowane w centrum w celu szkolenia naukowców i naukowców w zakresie przemysłu energetycznego i magazynowania energii. </w:t>
      </w:r>
    </w:p>
    <w:p w14:paraId="35D5C9B7" w14:textId="28461C0D" w:rsidR="006578ED" w:rsidRDefault="00A1618E">
      <w:pPr>
        <w:pStyle w:val="P68B1DB1-Normal4"/>
        <w:spacing w:before="120" w:after="120" w:line="240" w:lineRule="auto"/>
        <w:jc w:val="both"/>
        <w:rPr>
          <w:rFonts w:cs="Times New Roman"/>
          <w:noProof/>
        </w:rPr>
      </w:pPr>
      <w:r>
        <w:rPr>
          <w:noProof/>
        </w:rPr>
        <w:t>Działania w ramach tej inwestycji odbywają się w formie zaproszeń do składania ofert.</w:t>
      </w:r>
    </w:p>
    <w:p w14:paraId="65A82F25" w14:textId="66BC436D" w:rsidR="006578ED" w:rsidRDefault="00A1618E">
      <w:pPr>
        <w:pStyle w:val="Text1"/>
        <w:ind w:left="0"/>
        <w:rPr>
          <w:rFonts w:ascii="Times New Roman" w:hAnsi="Times New Roman" w:cs="Times New Roman"/>
          <w:noProof/>
          <w:highlight w:val="yellow"/>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171"/>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172"/>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173"/>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174"/>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00258B17" w14:textId="594C0447" w:rsidR="006578ED" w:rsidRDefault="00A1618E">
      <w:pPr>
        <w:pStyle w:val="P68B1DB1-Normal4"/>
        <w:spacing w:before="120" w:after="120" w:line="240" w:lineRule="auto"/>
        <w:jc w:val="both"/>
        <w:rPr>
          <w:rFonts w:cs="Times New Roman"/>
          <w:noProof/>
        </w:rPr>
      </w:pPr>
      <w:r>
        <w:rPr>
          <w:noProof/>
        </w:rPr>
        <w:t>Następujące działania w zakresie badań, rozwoju i innowacji w ramach tej inwestycji uznaje się za zgodne z wytycznymi technicznymi dotyczącymi zasady „nie czyń poważnych szkód” (2021/C58/01): działania w zakresie badań, rozwoju i innowacji w ramach tej inwestycji, skutkujące neutralnymi technologicznie wynikami na poziomie ich zastosowania; działania w zakresie badań, rozwoju i innowacji w ramach tej inwestycji wspierające alternatywy o niskim wpływie na środowisko, w przypadku których istnieją; lub (iii) tych działań w zakresie badań, rozwoju i innowacji w ramach tej inwestycji, które koncentrują się przede wszystkim na opracowaniu rozwiązań alternatywnych o możliwie najmniejszym wpływie na środowisko w sektorze w przypadku tych rodzajów działalności, w przypadku których nie istnieje alternatywa o niskim wpływie na środowisko wykonalna pod względem technologicznym i ekonomicznym.</w:t>
      </w:r>
    </w:p>
    <w:p w14:paraId="3B55B35E" w14:textId="6672BC2B" w:rsidR="006578ED" w:rsidRDefault="00A1618E">
      <w:pPr>
        <w:pStyle w:val="P68B1DB1-Normal4"/>
        <w:autoSpaceDE w:val="0"/>
        <w:autoSpaceDN w:val="0"/>
        <w:spacing w:before="40" w:after="40"/>
        <w:rPr>
          <w:rFonts w:cs="Times New Roman"/>
          <w:noProof/>
        </w:rPr>
      </w:pPr>
      <w:r>
        <w:rPr>
          <w:noProof/>
        </w:rPr>
        <w:t>Realizacja inwestycji zakończy się do dnia 30 czerwca 20</w:t>
      </w:r>
      <w:r w:rsidRPr="00A1618E">
        <w:rPr>
          <w:noProof/>
          <w:lang w:val="pl-PL"/>
        </w:rPr>
        <w:t>26 r.</w:t>
      </w:r>
      <w:r>
        <w:rPr>
          <w:noProof/>
        </w:rPr>
        <w:t xml:space="preserve"> </w:t>
      </w:r>
    </w:p>
    <w:p w14:paraId="61CEF7F6" w14:textId="26247B1F" w:rsidR="006578ED" w:rsidRPr="00A1618E" w:rsidRDefault="00A1618E">
      <w:pPr>
        <w:pStyle w:val="P68B1DB1-Normal6"/>
        <w:keepNext/>
        <w:spacing w:before="120" w:after="120" w:line="240" w:lineRule="auto"/>
        <w:jc w:val="both"/>
        <w:rPr>
          <w:rFonts w:cs="Times New Roman"/>
          <w:noProof/>
          <w:lang w:val="pl-PL"/>
        </w:rPr>
      </w:pPr>
      <w:r>
        <w:rPr>
          <w:noProof/>
        </w:rPr>
        <w:t>Inwestycja 8 (C17.I8): Zrównoważone badania, rozwój i innowacje w przemyśle motoryzacyjny</w:t>
      </w:r>
      <w:r w:rsidRPr="00A1618E">
        <w:rPr>
          <w:noProof/>
          <w:lang w:val="pl-PL"/>
        </w:rPr>
        <w:t xml:space="preserve">m </w:t>
      </w:r>
    </w:p>
    <w:p w14:paraId="5C0B8649" w14:textId="03F88770" w:rsidR="006578ED" w:rsidRDefault="00A1618E">
      <w:pPr>
        <w:pStyle w:val="P68B1DB1-Normal4"/>
        <w:keepNext/>
        <w:spacing w:before="120" w:after="120" w:line="240" w:lineRule="auto"/>
        <w:jc w:val="both"/>
        <w:rPr>
          <w:rFonts w:cs="Times New Roman"/>
          <w:noProof/>
        </w:rPr>
      </w:pPr>
      <w:r>
        <w:rPr>
          <w:noProof/>
        </w:rPr>
        <w:t xml:space="preserve">Celem tego środka jest wspieranie rozwoju badań i innowacji w zrównoważonym sektorze motoryzacyjnym. W szczególności środek ma na celu: 1) wspieranie rozwoju komponentów i platform wyłącznie do pojazdów elektrycznych, hybrydowych typu plug-in i pojazdów wodorowych, 2) wspieranie badań i rozwoju w zakresie jazdy autonomicznej i mobilności opartej na sieci poprzez opracowanie nowej architektury pojazdów związanych ze sprzętem i oprogramowaniem oraz 3) dostosowanie obszarów produkcji komponentów i systemów wyłącznie do pojazdów elektrycznych, hybrydowych typu plug-in i pojazdów napędzanych wodorem. Projekty realizowane są przez konsorcja biznesowe liczące od trzech do ośmiu przedsiębiorstw (co najmniej jedno musi być MŚP), a okres nie dłuższy niż trzy lata. </w:t>
      </w:r>
    </w:p>
    <w:p w14:paraId="412B8A44" w14:textId="24B70889" w:rsidR="006578ED" w:rsidRDefault="00A1618E">
      <w:pPr>
        <w:pStyle w:val="P68B1DB1-Normal4"/>
        <w:spacing w:before="120" w:after="120" w:line="240" w:lineRule="auto"/>
        <w:jc w:val="both"/>
        <w:rPr>
          <w:rFonts w:cs="Times New Roman"/>
          <w:noProof/>
        </w:rPr>
      </w:pPr>
      <w:r>
        <w:rPr>
          <w:noProof/>
        </w:rPr>
        <w:t xml:space="preserve">Działania w ramach tej inwestycji odbywają się wraz z zaproszeniami do składania wniosków. </w:t>
      </w:r>
    </w:p>
    <w:p w14:paraId="3E64342F" w14:textId="5C8678B1"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175"/>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176"/>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177"/>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178"/>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2532D4FB" w14:textId="3DC55169" w:rsidR="006578ED" w:rsidRDefault="00A1618E">
      <w:pPr>
        <w:pStyle w:val="P68B1DB1-Normal4"/>
        <w:spacing w:before="120" w:after="120" w:line="240" w:lineRule="auto"/>
        <w:jc w:val="both"/>
        <w:rPr>
          <w:rFonts w:cs="Times New Roman"/>
          <w:noProof/>
        </w:rPr>
      </w:pPr>
      <w:r>
        <w:rPr>
          <w:noProof/>
        </w:rPr>
        <w:t>Następujące działania w zakresie badań, rozwoju i innowacji w ramach tej inwestycji uznaje się za zgodne z wytycznymi technicznymi dotyczącymi zasady „nie czyń poważnych szkód” (2021/C58/01): działania w zakresie badań, rozwoju i innowacji w ramach tej inwestycji, skutkujące neutralnymi technologicznie wynikami na poziomie ich zastosowania; działania w zakresie badań, rozwoju i innowacji w ramach tej inwestycji wspierające alternatywy o niskim wpływie na środowisko, w przypadku których istnieją; lub (iii) tych działań w zakresie badań, rozwoju i innowacji w ramach tej inwestycji, które koncentrują się przede wszystkim na opracowaniu rozwiązań alternatywnych o możliwie najmniejszym wpływie na środowisko w sektorze w przypadku tych rodzajów działalności, w przypadku których nie istnieje alternatywa o niskim wpływie na środowisko wykonalna pod względem technologicznym i ekonomicznym.</w:t>
      </w:r>
    </w:p>
    <w:p w14:paraId="2A2155DC" w14:textId="378EB6C1" w:rsidR="006578ED" w:rsidRDefault="00A1618E">
      <w:pPr>
        <w:pStyle w:val="P68B1DB1-Normal4"/>
        <w:autoSpaceDE w:val="0"/>
        <w:autoSpaceDN w:val="0"/>
        <w:spacing w:before="40" w:after="40"/>
        <w:rPr>
          <w:rFonts w:cs="Times New Roman"/>
          <w:noProof/>
        </w:rPr>
      </w:pPr>
      <w:r>
        <w:rPr>
          <w:noProof/>
        </w:rPr>
        <w:t>Realizacja inwestycji zostanie zakończona do dnia 30 czerwca 20</w:t>
      </w:r>
      <w:r w:rsidRPr="00A1618E">
        <w:rPr>
          <w:noProof/>
          <w:lang w:val="pl-PL"/>
        </w:rPr>
        <w:t>24 r.</w:t>
      </w:r>
      <w:r>
        <w:rPr>
          <w:noProof/>
        </w:rPr>
        <w:t xml:space="preserve"> </w:t>
      </w:r>
    </w:p>
    <w:p w14:paraId="5BE7A6FF" w14:textId="77777777" w:rsidR="006578ED" w:rsidRDefault="00A1618E">
      <w:pPr>
        <w:pStyle w:val="P68B1DB1-Normal6"/>
        <w:spacing w:before="120" w:after="120" w:line="240" w:lineRule="auto"/>
        <w:jc w:val="both"/>
        <w:rPr>
          <w:rFonts w:cs="Times New Roman"/>
          <w:noProof/>
        </w:rPr>
      </w:pPr>
      <w:r>
        <w:rPr>
          <w:noProof/>
        </w:rPr>
        <w:t>Inwestycja 9 (C17.I9): Aerospace</w:t>
      </w:r>
    </w:p>
    <w:p w14:paraId="1B07EE26" w14:textId="36E48018" w:rsidR="006578ED" w:rsidRDefault="00A1618E">
      <w:pPr>
        <w:pStyle w:val="P68B1DB1-Normal4"/>
        <w:spacing w:before="120" w:after="120" w:line="240" w:lineRule="auto"/>
        <w:jc w:val="both"/>
        <w:rPr>
          <w:rFonts w:cs="Times New Roman"/>
          <w:noProof/>
        </w:rPr>
      </w:pPr>
      <w:r>
        <w:rPr>
          <w:noProof/>
        </w:rPr>
        <w:t xml:space="preserve">Celem tego środka jest wspieranie rozwoju badań i innowacji w sektorze lotniczym i kosmicznym, ze szczególnym uwzględnieniem działań w ramach tej inwestycji związanych z niskoemisyjnymi lub zeroemisyjnymi technologiami lotniczymi i kosmicznymi oraz aeronautyką. Środek ten </w:t>
      </w:r>
      <w:bookmarkStart w:id="53" w:name="_Hlk70075465"/>
      <w:r>
        <w:rPr>
          <w:noProof/>
        </w:rPr>
        <w:t>ma na celu poprawę zdolności przemysłowych związanych z przyszłymi nisko- i zeroemisyjnymi statkami powietrznymi, krytyczny rozwój technologiczny związany z bezzałogowymi statkami powietrznymi, systemami wsiadanymi, wielofunkcyjnymi statkami powietrznymi i zaawansowanymi systemami produkcyjnymi, które obejmują tworzenie cyfrowych bliźniaków, promowanie efektywności i mniejsze zużycie zasobów lub mniejszy wpływ na środowisko</w:t>
      </w:r>
      <w:bookmarkEnd w:id="53"/>
      <w:r>
        <w:rPr>
          <w:noProof/>
        </w:rPr>
        <w:t xml:space="preserve">. W ramach Krajowego Programu Technologicznego Kosmicznego środek wspiera również przemysł lotniczy i kosmiczny poprzez finansowanie badań, rozwoju i innowacji, aktualizację zdolności produkcyjnych, cyfryzację i technologię, a także rozwój i wdrażanie zielonych technologii, które przyczyniają się do zrównoważonego rozwoju sektora. Obszary zainteresowania obejmują dostęp do przestrzeni kosmicznej, obserwację Ziemi, systemy optycznej i bezpiecznej komunikacji oraz konstelacje satelitarne. Działania w ramach tej inwestycji odbywają się w drodze zaproszeń do składania wniosków i zamówień publicznych. </w:t>
      </w:r>
    </w:p>
    <w:p w14:paraId="1A47E194" w14:textId="23F761C8" w:rsidR="006578ED" w:rsidRDefault="00A1618E">
      <w:pPr>
        <w:pStyle w:val="P68B1DB1-Normal4"/>
        <w:spacing w:before="120" w:after="120" w:line="240" w:lineRule="auto"/>
        <w:jc w:val="both"/>
        <w:rPr>
          <w:rFonts w:cs="Times New Roman"/>
          <w:noProof/>
        </w:rPr>
      </w:pPr>
      <w:r>
        <w:rPr>
          <w:noProof/>
        </w:rPr>
        <w:t>Dodatkowo, jako uzupełnienie inwestycji C17.I10 (pożyczki dla sektora ochrony zdrowia oraz przemysłu lotniczego i kosmicznego), niepodlegająca zwrotowi część pożyczek dla przemysłu lotniczego i kosmicznego zostanie włączona do tej inwestycji.</w:t>
      </w:r>
    </w:p>
    <w:p w14:paraId="36F69F39" w14:textId="2524AA10"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dotyczącymi zasady „nie czyń poważnych szkód” (2021/C58/01), kryteria kwalifikowalności zawarte w zakresie wymagań i obowiązków dla przyszłych zaproszeń do składania wniosków o udzielenie zamówienia publicznego wykluczają następujący wykaz działań: działalności związanej z paliwami kopalnymi, w tym wykorzystania niższego szczebla</w:t>
      </w:r>
      <w:r>
        <w:rPr>
          <w:rStyle w:val="FootnoteReference"/>
          <w:rFonts w:ascii="Times New Roman" w:hAnsi="Times New Roman" w:cs="Times New Roman"/>
          <w:noProof/>
        </w:rPr>
        <w:footnoteReference w:id="179"/>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180"/>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181"/>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182"/>
      </w:r>
      <w:r>
        <w:rPr>
          <w:rFonts w:ascii="Times New Roman" w:hAnsi="Times New Roman"/>
          <w:noProof/>
        </w:rPr>
        <w:t>; oraz (iv) działań, w przypadku których długoterminowe unieszkodliwianie odpadów może szkodzić środowisku naturalnemu. . Zakres uprawnień wymaga ponadto, aby można było wybierać wyłącznie działania zgodne z odpowiednimi przepisami unijnymi i krajowymi w zakresie ochrony środowiska.</w:t>
      </w:r>
    </w:p>
    <w:p w14:paraId="2E47150A" w14:textId="5490F7F6" w:rsidR="006578ED" w:rsidRDefault="00A1618E">
      <w:pPr>
        <w:pStyle w:val="P68B1DB1-Normal4"/>
        <w:spacing w:before="120" w:after="120" w:line="240" w:lineRule="auto"/>
        <w:jc w:val="both"/>
        <w:rPr>
          <w:rFonts w:cs="Times New Roman"/>
          <w:noProof/>
        </w:rPr>
      </w:pPr>
      <w:r>
        <w:rPr>
          <w:noProof/>
        </w:rPr>
        <w:t>Następujące działania w zakresie badań, rozwoju i innowacji w ramach tej inwestycji uznaje się za zgodne z wytycznymi technicznymi dotyczącymi zasady „nie czyń poważnych szkód” (2021/C58/01): działania w zakresie badań, rozwoju i innowacji w ramach tej inwestycji, skutkujące neutralnymi technologicznie wynikami na poziomie ich zastosowania; działania w zakresie badań, rozwoju i innowacji w ramach tej inwestycji wspierające alternatywy o niskim wpływie na środowisko, w przypadku których istnieją; lub (iii) tych działań w zakresie badań, rozwoju i innowacji w ramach tej inwestycji, które koncentrują się przede wszystkim na opracowaniu rozwiązań alternatywnych o możliwie najmniejszym wpływie na środowisko w sektorze w przypadku tych rodzajów działalności, w przypadku których nie istnieje alternatywa o niskim wpływie na środowisko wykonalna pod względem technologicznym i ekonomicznym.</w:t>
      </w:r>
    </w:p>
    <w:p w14:paraId="77FEF779" w14:textId="721AF868" w:rsidR="006578ED" w:rsidRDefault="00A1618E">
      <w:pPr>
        <w:pStyle w:val="P68B1DB1-Normal4"/>
        <w:autoSpaceDE w:val="0"/>
        <w:autoSpaceDN w:val="0"/>
        <w:spacing w:before="40" w:after="40"/>
        <w:rPr>
          <w:rFonts w:cs="Times New Roman"/>
          <w:noProof/>
        </w:rPr>
      </w:pPr>
      <w:r>
        <w:rPr>
          <w:noProof/>
        </w:rPr>
        <w:t xml:space="preserve">Realizacja inwestycji zostanie zakończona do </w:t>
      </w:r>
      <w:r>
        <w:rPr>
          <w:noProof/>
          <w:shd w:val="clear" w:color="auto" w:fill="FFFFFF" w:themeFill="background1"/>
        </w:rPr>
        <w:t>dnia 31 sierpnia</w:t>
      </w:r>
      <w:r>
        <w:rPr>
          <w:noProof/>
        </w:rPr>
        <w:t xml:space="preserve"> 20</w:t>
      </w:r>
      <w:r w:rsidRPr="00A1618E">
        <w:rPr>
          <w:noProof/>
          <w:lang w:val="pl-PL"/>
        </w:rPr>
        <w:t>26 r.</w:t>
      </w:r>
      <w:r>
        <w:rPr>
          <w:noProof/>
        </w:rPr>
        <w:t xml:space="preserve"> </w:t>
      </w:r>
    </w:p>
    <w:p w14:paraId="0B68CACE" w14:textId="5AA8A2A9" w:rsidR="006578ED" w:rsidRDefault="00EC188C">
      <w:pPr>
        <w:pStyle w:val="P68B1DB1-Normal5"/>
        <w:spacing w:before="120" w:after="120" w:line="240" w:lineRule="auto"/>
        <w:ind w:left="720"/>
        <w:jc w:val="both"/>
        <w:rPr>
          <w:rFonts w:cs="Times New Roman"/>
          <w:noProof/>
        </w:rPr>
      </w:pPr>
      <w:r>
        <w:rPr>
          <w:noProof/>
        </w:rPr>
        <w:t xml:space="preserve">KW. 2 </w:t>
      </w:r>
      <w:r>
        <w:rPr>
          <w:noProof/>
        </w:rPr>
        <w:tab/>
        <w:t>Kamienie milowe, wartości docelowe, wskaźniki</w:t>
      </w:r>
      <w:r w:rsidR="00A1618E">
        <w:rPr>
          <w:noProof/>
        </w:rPr>
        <w:t xml:space="preserve"> i har</w:t>
      </w:r>
      <w:r>
        <w:rPr>
          <w:noProof/>
        </w:rPr>
        <w:t>monogram monitorowania</w:t>
      </w:r>
      <w:r w:rsidR="00A1618E">
        <w:rPr>
          <w:noProof/>
        </w:rPr>
        <w:t xml:space="preserve"> i rea</w:t>
      </w:r>
      <w:r>
        <w:rPr>
          <w:noProof/>
        </w:rPr>
        <w:t>lizacji na potrzeby bezzwrotnego wsparcia finansowego</w:t>
      </w:r>
    </w:p>
    <w:p w14:paraId="4E38FF67" w14:textId="7EC225F0" w:rsidR="006578ED" w:rsidRDefault="00A1618E">
      <w:pPr>
        <w:pStyle w:val="P68B1DB1-Normal4"/>
        <w:spacing w:before="120" w:after="120" w:line="240" w:lineRule="auto"/>
        <w:jc w:val="both"/>
        <w:rPr>
          <w:rFonts w:cs="Times New Roman"/>
          <w:noProof/>
        </w:rPr>
        <w:sectPr w:rsidR="006578ED" w:rsidSect="00EB7CC8">
          <w:headerReference w:type="even" r:id="rId348"/>
          <w:headerReference w:type="default" r:id="rId349"/>
          <w:footerReference w:type="even" r:id="rId350"/>
          <w:footerReference w:type="default" r:id="rId351"/>
          <w:headerReference w:type="first" r:id="rId352"/>
          <w:footerReference w:type="first" r:id="rId353"/>
          <w:pgSz w:w="11907" w:h="16839"/>
          <w:pgMar w:top="1134" w:right="1417" w:bottom="1134" w:left="1417" w:header="709" w:footer="709" w:gutter="0"/>
          <w:cols w:space="720"/>
          <w:docGrid w:linePitch="360"/>
        </w:sect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tbl>
      <w:tblPr>
        <w:tblW w:w="1442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1"/>
        <w:gridCol w:w="729"/>
        <w:gridCol w:w="609"/>
        <w:gridCol w:w="2039"/>
        <w:gridCol w:w="993"/>
        <w:gridCol w:w="850"/>
        <w:gridCol w:w="709"/>
        <w:gridCol w:w="850"/>
        <w:gridCol w:w="567"/>
        <w:gridCol w:w="567"/>
        <w:gridCol w:w="5812"/>
      </w:tblGrid>
      <w:tr w:rsidR="006578ED" w14:paraId="2C5D1B51" w14:textId="77777777">
        <w:trPr>
          <w:trHeight w:val="309"/>
          <w:tblHeader/>
        </w:trPr>
        <w:tc>
          <w:tcPr>
            <w:tcW w:w="701" w:type="dxa"/>
            <w:vMerge w:val="restart"/>
            <w:tcBorders>
              <w:top w:val="single" w:sz="4" w:space="0" w:color="auto"/>
            </w:tcBorders>
            <w:shd w:val="clear" w:color="auto" w:fill="C6D9F1" w:themeFill="text2" w:themeFillTint="33"/>
            <w:noWrap/>
            <w:vAlign w:val="center"/>
          </w:tcPr>
          <w:p w14:paraId="19543CA2" w14:textId="54313E3B" w:rsidR="006578ED" w:rsidRDefault="00A1618E">
            <w:pPr>
              <w:pStyle w:val="P68B1DB1-Normal12"/>
              <w:spacing w:after="0" w:line="240" w:lineRule="auto"/>
              <w:jc w:val="center"/>
              <w:rPr>
                <w:rFonts w:cs="Times New Roman"/>
                <w:noProof/>
              </w:rPr>
            </w:pPr>
            <w:r>
              <w:rPr>
                <w:noProof/>
              </w:rPr>
              <w:t>Liczba</w:t>
            </w:r>
          </w:p>
        </w:tc>
        <w:tc>
          <w:tcPr>
            <w:tcW w:w="729" w:type="dxa"/>
            <w:vMerge w:val="restart"/>
            <w:tcBorders>
              <w:top w:val="single" w:sz="4" w:space="0" w:color="auto"/>
            </w:tcBorders>
            <w:shd w:val="clear" w:color="auto" w:fill="C6D9F1" w:themeFill="text2" w:themeFillTint="33"/>
            <w:noWrap/>
            <w:vAlign w:val="center"/>
          </w:tcPr>
          <w:p w14:paraId="4FA6DF0E" w14:textId="475F1FD5" w:rsidR="006578ED" w:rsidRDefault="00A1618E">
            <w:pPr>
              <w:pStyle w:val="P68B1DB1-Normal12"/>
              <w:spacing w:after="0" w:line="240" w:lineRule="auto"/>
              <w:jc w:val="center"/>
              <w:rPr>
                <w:rFonts w:cs="Times New Roman"/>
                <w:noProof/>
              </w:rPr>
            </w:pPr>
            <w:r>
              <w:rPr>
                <w:noProof/>
              </w:rPr>
              <w:t>Środek</w:t>
            </w:r>
          </w:p>
        </w:tc>
        <w:tc>
          <w:tcPr>
            <w:tcW w:w="609" w:type="dxa"/>
            <w:vMerge w:val="restart"/>
            <w:tcBorders>
              <w:top w:val="single" w:sz="4" w:space="0" w:color="auto"/>
            </w:tcBorders>
            <w:shd w:val="clear" w:color="auto" w:fill="C6D9F1" w:themeFill="text2" w:themeFillTint="33"/>
            <w:noWrap/>
            <w:vAlign w:val="center"/>
          </w:tcPr>
          <w:p w14:paraId="4FC7EB82" w14:textId="0852C4B0"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039" w:type="dxa"/>
            <w:vMerge w:val="restart"/>
            <w:tcBorders>
              <w:top w:val="single" w:sz="4" w:space="0" w:color="auto"/>
            </w:tcBorders>
            <w:shd w:val="clear" w:color="auto" w:fill="C6D9F1" w:themeFill="text2" w:themeFillTint="33"/>
            <w:noWrap/>
            <w:vAlign w:val="center"/>
          </w:tcPr>
          <w:p w14:paraId="43A2C8BF" w14:textId="7068F93C" w:rsidR="006578ED" w:rsidRDefault="00A1618E">
            <w:pPr>
              <w:pStyle w:val="P68B1DB1-Normal12"/>
              <w:spacing w:after="0" w:line="240" w:lineRule="auto"/>
              <w:jc w:val="center"/>
              <w:rPr>
                <w:rFonts w:cs="Times New Roman"/>
                <w:noProof/>
              </w:rPr>
            </w:pPr>
            <w:r>
              <w:rPr>
                <w:noProof/>
              </w:rPr>
              <w:t>Nazwa</w:t>
            </w:r>
          </w:p>
        </w:tc>
        <w:tc>
          <w:tcPr>
            <w:tcW w:w="993" w:type="dxa"/>
            <w:vMerge w:val="restart"/>
            <w:tcBorders>
              <w:top w:val="single" w:sz="4" w:space="0" w:color="auto"/>
            </w:tcBorders>
            <w:shd w:val="clear" w:color="auto" w:fill="C6D9F1" w:themeFill="text2" w:themeFillTint="33"/>
            <w:noWrap/>
            <w:vAlign w:val="center"/>
          </w:tcPr>
          <w:p w14:paraId="56FC1E27" w14:textId="5621B9A1" w:rsidR="006578ED" w:rsidRDefault="00A1618E">
            <w:pPr>
              <w:pStyle w:val="P68B1DB1-Normal12"/>
              <w:spacing w:after="0" w:line="240" w:lineRule="auto"/>
              <w:jc w:val="center"/>
              <w:rPr>
                <w:rFonts w:cs="Times New Roman"/>
                <w:noProof/>
              </w:rPr>
            </w:pPr>
            <w:r>
              <w:rPr>
                <w:noProof/>
              </w:rPr>
              <w:t>Wskaźnik jakościowy dla celów pośrednich</w:t>
            </w:r>
          </w:p>
        </w:tc>
        <w:tc>
          <w:tcPr>
            <w:tcW w:w="2409" w:type="dxa"/>
            <w:gridSpan w:val="3"/>
            <w:tcBorders>
              <w:top w:val="single" w:sz="4" w:space="0" w:color="auto"/>
            </w:tcBorders>
            <w:shd w:val="clear" w:color="auto" w:fill="C6D9F1" w:themeFill="text2" w:themeFillTint="33"/>
            <w:noWrap/>
            <w:vAlign w:val="center"/>
          </w:tcPr>
          <w:p w14:paraId="38B08711" w14:textId="57CDA850" w:rsidR="006578ED" w:rsidRDefault="00A1618E">
            <w:pPr>
              <w:pStyle w:val="P68B1DB1-Normal12"/>
              <w:spacing w:after="0" w:line="240" w:lineRule="auto"/>
              <w:jc w:val="center"/>
              <w:rPr>
                <w:rFonts w:cs="Times New Roman"/>
                <w:noProof/>
              </w:rPr>
            </w:pPr>
            <w:r>
              <w:rPr>
                <w:noProof/>
              </w:rPr>
              <w:t>Wskaźnik ilościowy dla celu</w:t>
            </w:r>
          </w:p>
        </w:tc>
        <w:tc>
          <w:tcPr>
            <w:tcW w:w="1134" w:type="dxa"/>
            <w:gridSpan w:val="2"/>
            <w:tcBorders>
              <w:top w:val="single" w:sz="4" w:space="0" w:color="auto"/>
            </w:tcBorders>
            <w:shd w:val="clear" w:color="auto" w:fill="C6D9F1" w:themeFill="text2" w:themeFillTint="33"/>
            <w:vAlign w:val="center"/>
          </w:tcPr>
          <w:p w14:paraId="4ED2EEB3" w14:textId="03DAD0E8" w:rsidR="006578ED" w:rsidRDefault="00A1618E">
            <w:pPr>
              <w:pStyle w:val="P68B1DB1-Normal12"/>
              <w:spacing w:after="0" w:line="240" w:lineRule="auto"/>
              <w:jc w:val="center"/>
              <w:rPr>
                <w:rFonts w:cs="Times New Roman"/>
                <w:noProof/>
              </w:rPr>
            </w:pPr>
            <w:r>
              <w:rPr>
                <w:noProof/>
              </w:rPr>
              <w:t>Czas</w:t>
            </w:r>
          </w:p>
        </w:tc>
        <w:tc>
          <w:tcPr>
            <w:tcW w:w="5812" w:type="dxa"/>
            <w:vMerge w:val="restart"/>
            <w:tcBorders>
              <w:top w:val="single" w:sz="4" w:space="0" w:color="auto"/>
            </w:tcBorders>
            <w:shd w:val="clear" w:color="auto" w:fill="C6D9F1" w:themeFill="text2" w:themeFillTint="33"/>
            <w:noWrap/>
            <w:vAlign w:val="center"/>
          </w:tcPr>
          <w:p w14:paraId="4A40A094" w14:textId="47BCAF2C"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158A3BCC" w14:textId="77777777">
        <w:trPr>
          <w:trHeight w:val="309"/>
          <w:tblHeader/>
        </w:trPr>
        <w:tc>
          <w:tcPr>
            <w:tcW w:w="701" w:type="dxa"/>
            <w:vMerge/>
            <w:noWrap/>
            <w:vAlign w:val="center"/>
          </w:tcPr>
          <w:p w14:paraId="6F5EBF30" w14:textId="78FB1A6A" w:rsidR="006578ED" w:rsidRDefault="006578ED">
            <w:pPr>
              <w:spacing w:after="0" w:line="240" w:lineRule="auto"/>
              <w:jc w:val="center"/>
              <w:rPr>
                <w:rFonts w:ascii="Times New Roman" w:hAnsi="Times New Roman" w:cs="Times New Roman"/>
                <w:b/>
                <w:noProof/>
                <w:sz w:val="18"/>
              </w:rPr>
            </w:pPr>
          </w:p>
        </w:tc>
        <w:tc>
          <w:tcPr>
            <w:tcW w:w="729" w:type="dxa"/>
            <w:vMerge/>
            <w:noWrap/>
            <w:vAlign w:val="center"/>
          </w:tcPr>
          <w:p w14:paraId="20D980C9" w14:textId="57CF50E4" w:rsidR="006578ED" w:rsidRDefault="006578ED">
            <w:pPr>
              <w:spacing w:after="0" w:line="240" w:lineRule="auto"/>
              <w:jc w:val="center"/>
              <w:rPr>
                <w:rFonts w:ascii="Times New Roman" w:hAnsi="Times New Roman" w:cs="Times New Roman"/>
                <w:b/>
                <w:noProof/>
                <w:sz w:val="18"/>
              </w:rPr>
            </w:pPr>
          </w:p>
        </w:tc>
        <w:tc>
          <w:tcPr>
            <w:tcW w:w="609" w:type="dxa"/>
            <w:vMerge/>
            <w:noWrap/>
            <w:vAlign w:val="center"/>
          </w:tcPr>
          <w:p w14:paraId="532E6BAC" w14:textId="2177902C" w:rsidR="006578ED" w:rsidRDefault="006578ED">
            <w:pPr>
              <w:spacing w:after="0" w:line="240" w:lineRule="auto"/>
              <w:jc w:val="center"/>
              <w:rPr>
                <w:rFonts w:ascii="Times New Roman" w:hAnsi="Times New Roman" w:cs="Times New Roman"/>
                <w:b/>
                <w:noProof/>
                <w:sz w:val="18"/>
              </w:rPr>
            </w:pPr>
          </w:p>
        </w:tc>
        <w:tc>
          <w:tcPr>
            <w:tcW w:w="2039" w:type="dxa"/>
            <w:vMerge/>
            <w:noWrap/>
            <w:vAlign w:val="center"/>
          </w:tcPr>
          <w:p w14:paraId="36E5785B" w14:textId="5A9A66DC" w:rsidR="006578ED" w:rsidRDefault="006578ED">
            <w:pPr>
              <w:spacing w:after="0" w:line="240" w:lineRule="auto"/>
              <w:rPr>
                <w:rFonts w:ascii="Times New Roman" w:hAnsi="Times New Roman" w:cs="Times New Roman"/>
                <w:b/>
                <w:noProof/>
                <w:sz w:val="18"/>
              </w:rPr>
            </w:pPr>
          </w:p>
        </w:tc>
        <w:tc>
          <w:tcPr>
            <w:tcW w:w="993" w:type="dxa"/>
            <w:vMerge/>
            <w:noWrap/>
            <w:vAlign w:val="center"/>
          </w:tcPr>
          <w:p w14:paraId="1C4710DB" w14:textId="4DB5E512"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vAlign w:val="center"/>
          </w:tcPr>
          <w:p w14:paraId="6D5E5435" w14:textId="2523BC26" w:rsidR="006578ED" w:rsidRDefault="00A1618E">
            <w:pPr>
              <w:pStyle w:val="P68B1DB1-Normal12"/>
              <w:spacing w:after="0" w:line="240" w:lineRule="auto"/>
              <w:jc w:val="center"/>
              <w:rPr>
                <w:rFonts w:cs="Times New Roman"/>
                <w:noProof/>
              </w:rPr>
            </w:pPr>
            <w:r>
              <w:rPr>
                <w:noProof/>
              </w:rPr>
              <w:t>Jednostka</w:t>
            </w:r>
          </w:p>
        </w:tc>
        <w:tc>
          <w:tcPr>
            <w:tcW w:w="709" w:type="dxa"/>
            <w:shd w:val="clear" w:color="auto" w:fill="C6D9F1" w:themeFill="text2" w:themeFillTint="33"/>
            <w:vAlign w:val="center"/>
          </w:tcPr>
          <w:p w14:paraId="56D16D5D" w14:textId="66F5C835" w:rsidR="006578ED" w:rsidRDefault="00A1618E">
            <w:pPr>
              <w:pStyle w:val="P68B1DB1-Normal12"/>
              <w:spacing w:after="0" w:line="240" w:lineRule="auto"/>
              <w:jc w:val="center"/>
              <w:rPr>
                <w:rFonts w:eastAsia="Times New Roman" w:cs="Times New Roman"/>
                <w:noProof/>
              </w:rPr>
            </w:pPr>
            <w:r>
              <w:rPr>
                <w:noProof/>
              </w:rPr>
              <w:t xml:space="preserve">Wartość wyjściowa </w:t>
            </w:r>
          </w:p>
        </w:tc>
        <w:tc>
          <w:tcPr>
            <w:tcW w:w="850" w:type="dxa"/>
            <w:shd w:val="clear" w:color="auto" w:fill="C6D9F1" w:themeFill="text2" w:themeFillTint="33"/>
            <w:vAlign w:val="center"/>
          </w:tcPr>
          <w:p w14:paraId="3B5D6938" w14:textId="7E0E8140" w:rsidR="006578ED" w:rsidRDefault="00A1618E">
            <w:pPr>
              <w:pStyle w:val="P68B1DB1-Normal12"/>
              <w:spacing w:after="0" w:line="240" w:lineRule="auto"/>
              <w:rPr>
                <w:rFonts w:cs="Times New Roman"/>
                <w:noProof/>
              </w:rPr>
            </w:pPr>
            <w:r>
              <w:rPr>
                <w:noProof/>
              </w:rPr>
              <w:t>Cel</w:t>
            </w:r>
          </w:p>
        </w:tc>
        <w:tc>
          <w:tcPr>
            <w:tcW w:w="567" w:type="dxa"/>
            <w:shd w:val="clear" w:color="auto" w:fill="C6D9F1" w:themeFill="text2" w:themeFillTint="33"/>
            <w:vAlign w:val="center"/>
          </w:tcPr>
          <w:p w14:paraId="099A5A6B" w14:textId="0D8178F4"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vAlign w:val="center"/>
          </w:tcPr>
          <w:p w14:paraId="018B82E2" w14:textId="3B09D021" w:rsidR="006578ED" w:rsidRDefault="00A1618E">
            <w:pPr>
              <w:pStyle w:val="P68B1DB1-Normal12"/>
              <w:spacing w:after="0" w:line="240" w:lineRule="auto"/>
              <w:jc w:val="center"/>
              <w:rPr>
                <w:rFonts w:cs="Times New Roman"/>
                <w:noProof/>
              </w:rPr>
            </w:pPr>
            <w:r>
              <w:rPr>
                <w:noProof/>
              </w:rPr>
              <w:t>Rok</w:t>
            </w:r>
          </w:p>
        </w:tc>
        <w:tc>
          <w:tcPr>
            <w:tcW w:w="5812" w:type="dxa"/>
            <w:vMerge/>
            <w:noWrap/>
            <w:vAlign w:val="center"/>
          </w:tcPr>
          <w:p w14:paraId="6028BA91" w14:textId="6495DF35" w:rsidR="006578ED" w:rsidRDefault="006578ED">
            <w:pPr>
              <w:spacing w:after="0" w:line="240" w:lineRule="auto"/>
              <w:rPr>
                <w:rFonts w:ascii="Times New Roman" w:eastAsia="Times New Roman" w:hAnsi="Times New Roman" w:cs="Times New Roman"/>
                <w:b/>
                <w:noProof/>
                <w:sz w:val="18"/>
              </w:rPr>
            </w:pPr>
          </w:p>
        </w:tc>
      </w:tr>
      <w:tr w:rsidR="006578ED" w14:paraId="1FA893DD" w14:textId="77777777">
        <w:trPr>
          <w:trHeight w:val="309"/>
        </w:trPr>
        <w:tc>
          <w:tcPr>
            <w:tcW w:w="701" w:type="dxa"/>
            <w:shd w:val="clear" w:color="auto" w:fill="C6EFCE"/>
            <w:noWrap/>
          </w:tcPr>
          <w:p w14:paraId="0AEDCC32" w14:textId="77777777" w:rsidR="006578ED" w:rsidRDefault="00A1618E">
            <w:pPr>
              <w:pStyle w:val="P68B1DB1-Normal13"/>
              <w:spacing w:after="0" w:line="240" w:lineRule="auto"/>
              <w:jc w:val="center"/>
              <w:rPr>
                <w:rFonts w:eastAsia="Times New Roman" w:cs="Times New Roman"/>
                <w:noProof/>
              </w:rPr>
            </w:pPr>
            <w:r>
              <w:rPr>
                <w:noProof/>
              </w:rPr>
              <w:t>254</w:t>
            </w:r>
          </w:p>
        </w:tc>
        <w:tc>
          <w:tcPr>
            <w:tcW w:w="729" w:type="dxa"/>
            <w:shd w:val="clear" w:color="auto" w:fill="C6EFCE"/>
            <w:noWrap/>
          </w:tcPr>
          <w:p w14:paraId="5FBF3E81" w14:textId="77777777" w:rsidR="006578ED" w:rsidRDefault="00A1618E">
            <w:pPr>
              <w:pStyle w:val="P68B1DB1-Normal13"/>
              <w:spacing w:after="0" w:line="240" w:lineRule="auto"/>
              <w:jc w:val="center"/>
              <w:rPr>
                <w:rFonts w:eastAsia="Times New Roman" w:cs="Times New Roman"/>
                <w:noProof/>
              </w:rPr>
            </w:pPr>
            <w:r>
              <w:rPr>
                <w:noProof/>
              </w:rPr>
              <w:t>C17.R1</w:t>
            </w:r>
          </w:p>
        </w:tc>
        <w:tc>
          <w:tcPr>
            <w:tcW w:w="609" w:type="dxa"/>
            <w:shd w:val="clear" w:color="auto" w:fill="C6EFCE"/>
            <w:noWrap/>
          </w:tcPr>
          <w:p w14:paraId="46CDB860" w14:textId="7DBDB85B" w:rsidR="006578ED" w:rsidRDefault="00AF6B91">
            <w:pPr>
              <w:pStyle w:val="P68B1DB1-Normal13"/>
              <w:spacing w:after="0" w:line="240" w:lineRule="auto"/>
              <w:jc w:val="center"/>
              <w:rPr>
                <w:rFonts w:eastAsia="Times New Roman" w:cs="Times New Roman"/>
                <w:noProof/>
              </w:rPr>
            </w:pPr>
            <w:r>
              <w:rPr>
                <w:noProof/>
              </w:rPr>
              <w:t>Kamień milowy</w:t>
            </w:r>
          </w:p>
        </w:tc>
        <w:tc>
          <w:tcPr>
            <w:tcW w:w="2039" w:type="dxa"/>
            <w:shd w:val="clear" w:color="auto" w:fill="C6EFCE"/>
            <w:noWrap/>
          </w:tcPr>
          <w:p w14:paraId="5D2708B9" w14:textId="08D9E4DF" w:rsidR="006578ED" w:rsidRDefault="00A1618E">
            <w:pPr>
              <w:pStyle w:val="P68B1DB1-Normal13"/>
              <w:spacing w:after="0" w:line="240" w:lineRule="auto"/>
              <w:rPr>
                <w:rFonts w:eastAsia="Times New Roman" w:cs="Times New Roman"/>
                <w:noProof/>
              </w:rPr>
            </w:pPr>
            <w:r>
              <w:rPr>
                <w:noProof/>
              </w:rPr>
              <w:t>Wejście w życie zmiany ustawy 14/2011 z dnia 1 czerwca o nauce, technologii i innowacjach.</w:t>
            </w:r>
          </w:p>
        </w:tc>
        <w:tc>
          <w:tcPr>
            <w:tcW w:w="993" w:type="dxa"/>
            <w:shd w:val="clear" w:color="auto" w:fill="C6EFCE"/>
            <w:noWrap/>
          </w:tcPr>
          <w:p w14:paraId="3D8696D8" w14:textId="4C662184" w:rsidR="006578ED" w:rsidRDefault="00A1618E">
            <w:pPr>
              <w:pStyle w:val="P68B1DB1-Normal13"/>
              <w:spacing w:after="0" w:line="240" w:lineRule="auto"/>
              <w:jc w:val="center"/>
              <w:rPr>
                <w:rFonts w:eastAsia="Times New Roman" w:cs="Times New Roman"/>
                <w:noProof/>
              </w:rPr>
            </w:pPr>
            <w:r>
              <w:rPr>
                <w:noProof/>
              </w:rPr>
              <w:t xml:space="preserve"> Przepis ustawy o wejściu w życie</w:t>
            </w:r>
          </w:p>
        </w:tc>
        <w:tc>
          <w:tcPr>
            <w:tcW w:w="850" w:type="dxa"/>
            <w:shd w:val="clear" w:color="auto" w:fill="C6EFCE"/>
            <w:noWrap/>
          </w:tcPr>
          <w:p w14:paraId="6F55BD0C"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2E7611B6"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17BDBD32" w14:textId="6EC248F7"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tcPr>
          <w:p w14:paraId="39A299FC" w14:textId="4B28EFF9"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tcPr>
          <w:p w14:paraId="11C93FFC" w14:textId="30FDDC17" w:rsidR="006578ED" w:rsidRDefault="00A1618E">
            <w:pPr>
              <w:pStyle w:val="P68B1DB1-Normal13"/>
              <w:spacing w:after="0" w:line="240" w:lineRule="auto"/>
              <w:jc w:val="center"/>
              <w:rPr>
                <w:rFonts w:cs="Times New Roman"/>
                <w:noProof/>
              </w:rPr>
            </w:pPr>
            <w:r>
              <w:rPr>
                <w:noProof/>
              </w:rPr>
              <w:t>2022</w:t>
            </w:r>
          </w:p>
        </w:tc>
        <w:tc>
          <w:tcPr>
            <w:tcW w:w="5812" w:type="dxa"/>
            <w:shd w:val="clear" w:color="auto" w:fill="C6EFCE"/>
            <w:noWrap/>
          </w:tcPr>
          <w:p w14:paraId="4E3D45B8" w14:textId="77295A43" w:rsidR="006578ED" w:rsidRDefault="00A1618E">
            <w:pPr>
              <w:pStyle w:val="P68B1DB1-Normal13"/>
              <w:spacing w:after="0" w:line="240" w:lineRule="auto"/>
              <w:rPr>
                <w:rFonts w:cs="Times New Roman"/>
                <w:noProof/>
              </w:rPr>
            </w:pPr>
            <w:r>
              <w:rPr>
                <w:noProof/>
              </w:rPr>
              <w:t xml:space="preserve">Wejście w życie zmiany ustawy o nauce, technologii i innowacjach, poprawiając koordynację między różnymi szczeblami sprawowania rządów w zakresie polityki w zakresie nauki, badań naukowych i innowacji, usprawniając zarządzanie hiszpańskim systemem technologii i innowacji w dziedzinie nauki i innowacji, wprowadzając nową karierę naukową i usprawniając transfer wiedzy. </w:t>
            </w:r>
          </w:p>
        </w:tc>
      </w:tr>
      <w:tr w:rsidR="006578ED" w14:paraId="1FEA383B" w14:textId="77777777">
        <w:trPr>
          <w:trHeight w:val="309"/>
        </w:trPr>
        <w:tc>
          <w:tcPr>
            <w:tcW w:w="701" w:type="dxa"/>
            <w:shd w:val="clear" w:color="auto" w:fill="C6EFCE"/>
            <w:noWrap/>
          </w:tcPr>
          <w:p w14:paraId="213D4DF8" w14:textId="77777777" w:rsidR="006578ED" w:rsidRDefault="00A1618E">
            <w:pPr>
              <w:pStyle w:val="P68B1DB1-Normal13"/>
              <w:jc w:val="center"/>
              <w:rPr>
                <w:rFonts w:cs="Times New Roman"/>
                <w:noProof/>
              </w:rPr>
            </w:pPr>
            <w:r>
              <w:rPr>
                <w:noProof/>
              </w:rPr>
              <w:t>255</w:t>
            </w:r>
          </w:p>
        </w:tc>
        <w:tc>
          <w:tcPr>
            <w:tcW w:w="729" w:type="dxa"/>
            <w:shd w:val="clear" w:color="auto" w:fill="C6EFCE"/>
            <w:noWrap/>
          </w:tcPr>
          <w:p w14:paraId="47E4DDEA" w14:textId="77777777" w:rsidR="006578ED" w:rsidRDefault="00A1618E">
            <w:pPr>
              <w:pStyle w:val="P68B1DB1-Normal13"/>
              <w:jc w:val="center"/>
              <w:rPr>
                <w:rFonts w:cs="Times New Roman"/>
                <w:noProof/>
              </w:rPr>
            </w:pPr>
            <w:r>
              <w:rPr>
                <w:noProof/>
              </w:rPr>
              <w:t>C17.R2</w:t>
            </w:r>
          </w:p>
        </w:tc>
        <w:tc>
          <w:tcPr>
            <w:tcW w:w="609" w:type="dxa"/>
            <w:shd w:val="clear" w:color="auto" w:fill="C6EFCE"/>
            <w:noWrap/>
          </w:tcPr>
          <w:p w14:paraId="3222240A" w14:textId="7B7E629A" w:rsidR="006578ED" w:rsidRDefault="00AF6B91">
            <w:pPr>
              <w:pStyle w:val="P68B1DB1-Normal13"/>
              <w:jc w:val="center"/>
              <w:rPr>
                <w:rFonts w:cs="Times New Roman"/>
                <w:noProof/>
              </w:rPr>
            </w:pPr>
            <w:r>
              <w:rPr>
                <w:noProof/>
              </w:rPr>
              <w:t>Kamień milowy</w:t>
            </w:r>
          </w:p>
        </w:tc>
        <w:tc>
          <w:tcPr>
            <w:tcW w:w="2039" w:type="dxa"/>
            <w:shd w:val="clear" w:color="auto" w:fill="C6EFCE"/>
            <w:noWrap/>
          </w:tcPr>
          <w:p w14:paraId="62CD58CA" w14:textId="03B4CFFF" w:rsidR="006578ED" w:rsidRDefault="00A1618E">
            <w:pPr>
              <w:pStyle w:val="P68B1DB1-Normal13"/>
              <w:rPr>
                <w:rFonts w:cs="Times New Roman"/>
                <w:noProof/>
              </w:rPr>
            </w:pPr>
            <w:r>
              <w:rPr>
                <w:noProof/>
              </w:rPr>
              <w:t>Publikacja hiszpańskiej strategii na rzecz nauki, technologii i innowacji na lata 2021–2027</w:t>
            </w:r>
          </w:p>
        </w:tc>
        <w:tc>
          <w:tcPr>
            <w:tcW w:w="993" w:type="dxa"/>
            <w:shd w:val="clear" w:color="auto" w:fill="C6EFCE"/>
            <w:noWrap/>
          </w:tcPr>
          <w:p w14:paraId="7AD43052" w14:textId="24556047" w:rsidR="006578ED" w:rsidRDefault="00A1618E">
            <w:pPr>
              <w:pStyle w:val="P68B1DB1-Normal13"/>
              <w:rPr>
                <w:rFonts w:cs="Times New Roman"/>
                <w:noProof/>
              </w:rPr>
            </w:pPr>
            <w:r>
              <w:rPr>
                <w:noProof/>
              </w:rPr>
              <w:t>Publikacja hiszpańskiej strategii na rzecz nauki, technologii i innowacji na lata 2021–2027</w:t>
            </w:r>
          </w:p>
        </w:tc>
        <w:tc>
          <w:tcPr>
            <w:tcW w:w="850" w:type="dxa"/>
            <w:shd w:val="clear" w:color="auto" w:fill="C6EFCE"/>
            <w:noWrap/>
          </w:tcPr>
          <w:p w14:paraId="394EAC0E" w14:textId="77777777" w:rsidR="006578ED" w:rsidRDefault="00A1618E">
            <w:pPr>
              <w:pStyle w:val="P68B1DB1-Normal13"/>
              <w:rPr>
                <w:rFonts w:cs="Times New Roman"/>
                <w:noProof/>
              </w:rPr>
            </w:pPr>
            <w:r>
              <w:rPr>
                <w:noProof/>
              </w:rPr>
              <w:t xml:space="preserve"> </w:t>
            </w:r>
          </w:p>
        </w:tc>
        <w:tc>
          <w:tcPr>
            <w:tcW w:w="709" w:type="dxa"/>
            <w:shd w:val="clear" w:color="auto" w:fill="C6EFCE"/>
          </w:tcPr>
          <w:p w14:paraId="5C7927EC" w14:textId="77777777" w:rsidR="006578ED" w:rsidRDefault="006578ED">
            <w:pPr>
              <w:rPr>
                <w:rFonts w:ascii="Times New Roman" w:hAnsi="Times New Roman" w:cs="Times New Roman"/>
                <w:noProof/>
                <w:sz w:val="18"/>
              </w:rPr>
            </w:pPr>
          </w:p>
        </w:tc>
        <w:tc>
          <w:tcPr>
            <w:tcW w:w="850" w:type="dxa"/>
            <w:shd w:val="clear" w:color="auto" w:fill="C6EFCE"/>
          </w:tcPr>
          <w:p w14:paraId="30E47931" w14:textId="36E724BD" w:rsidR="006578ED" w:rsidRDefault="006578ED">
            <w:pPr>
              <w:jc w:val="center"/>
              <w:rPr>
                <w:rFonts w:ascii="Times New Roman" w:hAnsi="Times New Roman" w:cs="Times New Roman"/>
                <w:noProof/>
                <w:sz w:val="18"/>
              </w:rPr>
            </w:pPr>
          </w:p>
        </w:tc>
        <w:tc>
          <w:tcPr>
            <w:tcW w:w="567" w:type="dxa"/>
            <w:shd w:val="clear" w:color="auto" w:fill="C6EFCE"/>
          </w:tcPr>
          <w:p w14:paraId="21F37CD3" w14:textId="7A6386F1" w:rsidR="006578ED" w:rsidRDefault="00EC188C">
            <w:pPr>
              <w:pStyle w:val="P68B1DB1-Normal13"/>
              <w:jc w:val="center"/>
              <w:rPr>
                <w:rFonts w:cs="Times New Roman"/>
                <w:noProof/>
              </w:rPr>
            </w:pPr>
            <w:r>
              <w:rPr>
                <w:noProof/>
              </w:rPr>
              <w:t>KW. 4</w:t>
            </w:r>
          </w:p>
        </w:tc>
        <w:tc>
          <w:tcPr>
            <w:tcW w:w="567" w:type="dxa"/>
            <w:shd w:val="clear" w:color="auto" w:fill="C6EFCE"/>
          </w:tcPr>
          <w:p w14:paraId="1130D534" w14:textId="6205A7D6" w:rsidR="006578ED" w:rsidRDefault="00A1618E">
            <w:pPr>
              <w:pStyle w:val="P68B1DB1-Normal13"/>
              <w:jc w:val="center"/>
              <w:rPr>
                <w:rFonts w:cs="Times New Roman"/>
                <w:noProof/>
              </w:rPr>
            </w:pPr>
            <w:r>
              <w:rPr>
                <w:noProof/>
              </w:rPr>
              <w:t>2020</w:t>
            </w:r>
          </w:p>
        </w:tc>
        <w:tc>
          <w:tcPr>
            <w:tcW w:w="5812" w:type="dxa"/>
            <w:shd w:val="clear" w:color="auto" w:fill="C6EFCE"/>
            <w:noWrap/>
          </w:tcPr>
          <w:p w14:paraId="10CCE7ED" w14:textId="1B955211" w:rsidR="006578ED" w:rsidRDefault="00A1618E">
            <w:pPr>
              <w:pStyle w:val="P68B1DB1-Normal13"/>
              <w:spacing w:line="240" w:lineRule="auto"/>
              <w:rPr>
                <w:rFonts w:cs="Times New Roman"/>
                <w:noProof/>
              </w:rPr>
            </w:pPr>
            <w:r>
              <w:rPr>
                <w:noProof/>
              </w:rPr>
              <w:t>Hiszpańska strategia na rzecz nauki, technologii i innowacji (EECTI) określa ogólną strategię, która ma być stosowana w obszarze badań, rozwoju i innowacji przez wszystkie organy administracji publicznej, w tym na szczeblu regionalnym i lokalnym. Strategia ta to strategia inteligentnej specjalizacji dla Hiszpanii</w:t>
            </w:r>
            <w:r w:rsidRPr="00A1618E">
              <w:rPr>
                <w:noProof/>
                <w:lang w:val="pl-PL"/>
              </w:rPr>
              <w:t>. U</w:t>
            </w:r>
            <w:r>
              <w:rPr>
                <w:noProof/>
              </w:rPr>
              <w:t xml:space="preserve">stanawia się komitet monitorujący strategię, w skład którego wchodzą przedstawiciele państwa, regionów, podmiotów gospodarczych i społecznych oraz środowiska naukowego. Strategia ta opiera się na zasadzie koordynacji różnych szczebli administracji i została zbudowana w celu zapewnienia perspektywy płci w dziedzinie badań, innowacji i innowacji. Jej celem jest wzmocnienie współpracy publiczno-prywatnej, promowanie transferu wiedzy, zatrzymanie talentów naukowych i rozwój kariery naukowej, zapewnienie odpowiednich zachęt podatkowych w celu wspierania badań, rozwoju i innowacji w sektorze prywatnym oraz uwzględnienie perspektywy płci. </w:t>
            </w:r>
          </w:p>
        </w:tc>
      </w:tr>
      <w:tr w:rsidR="006578ED" w14:paraId="5CCF5445" w14:textId="77777777">
        <w:trPr>
          <w:trHeight w:val="309"/>
        </w:trPr>
        <w:tc>
          <w:tcPr>
            <w:tcW w:w="701" w:type="dxa"/>
            <w:shd w:val="clear" w:color="auto" w:fill="C6EFCE"/>
            <w:noWrap/>
          </w:tcPr>
          <w:p w14:paraId="777BEDB2" w14:textId="77777777" w:rsidR="006578ED" w:rsidRDefault="00A1618E">
            <w:pPr>
              <w:pStyle w:val="P68B1DB1-Normal13"/>
              <w:spacing w:after="0" w:line="240" w:lineRule="auto"/>
              <w:jc w:val="center"/>
              <w:rPr>
                <w:rFonts w:eastAsia="Times New Roman" w:cs="Times New Roman"/>
                <w:noProof/>
              </w:rPr>
            </w:pPr>
            <w:r>
              <w:rPr>
                <w:noProof/>
              </w:rPr>
              <w:t>256</w:t>
            </w:r>
          </w:p>
        </w:tc>
        <w:tc>
          <w:tcPr>
            <w:tcW w:w="729" w:type="dxa"/>
            <w:shd w:val="clear" w:color="auto" w:fill="C6EFCE"/>
            <w:noWrap/>
          </w:tcPr>
          <w:p w14:paraId="685AC3B1" w14:textId="77777777" w:rsidR="006578ED" w:rsidRDefault="00A1618E">
            <w:pPr>
              <w:pStyle w:val="P68B1DB1-Normal13"/>
              <w:spacing w:after="0" w:line="240" w:lineRule="auto"/>
              <w:jc w:val="center"/>
              <w:rPr>
                <w:rFonts w:eastAsia="Times New Roman" w:cs="Times New Roman"/>
                <w:noProof/>
              </w:rPr>
            </w:pPr>
            <w:r>
              <w:rPr>
                <w:noProof/>
              </w:rPr>
              <w:t>C17.R2</w:t>
            </w:r>
          </w:p>
        </w:tc>
        <w:tc>
          <w:tcPr>
            <w:tcW w:w="609" w:type="dxa"/>
            <w:shd w:val="clear" w:color="auto" w:fill="C6EFCE"/>
            <w:noWrap/>
          </w:tcPr>
          <w:p w14:paraId="7D124B38" w14:textId="34C63909" w:rsidR="006578ED" w:rsidRDefault="00AF6B91">
            <w:pPr>
              <w:pStyle w:val="P68B1DB1-Normal13"/>
              <w:spacing w:after="0" w:line="240" w:lineRule="auto"/>
              <w:jc w:val="center"/>
              <w:rPr>
                <w:rFonts w:eastAsia="Times New Roman" w:cs="Times New Roman"/>
                <w:noProof/>
              </w:rPr>
            </w:pPr>
            <w:r>
              <w:rPr>
                <w:noProof/>
              </w:rPr>
              <w:t>Kamień milowy</w:t>
            </w:r>
          </w:p>
        </w:tc>
        <w:tc>
          <w:tcPr>
            <w:tcW w:w="2039" w:type="dxa"/>
            <w:shd w:val="clear" w:color="auto" w:fill="C6EFCE"/>
            <w:noWrap/>
          </w:tcPr>
          <w:p w14:paraId="41DC8F17" w14:textId="77EC1145" w:rsidR="006578ED" w:rsidRDefault="00A1618E">
            <w:pPr>
              <w:pStyle w:val="P68B1DB1-Normal13"/>
              <w:spacing w:after="0" w:line="240" w:lineRule="auto"/>
              <w:rPr>
                <w:rFonts w:eastAsia="Times New Roman" w:cs="Times New Roman"/>
                <w:noProof/>
              </w:rPr>
            </w:pPr>
            <w:r>
              <w:rPr>
                <w:noProof/>
              </w:rPr>
              <w:t xml:space="preserve">Ocena śródokresowa hiszpańskiej strategii na rzecz nauki, technologii i innowacji na lata 2021–2027 </w:t>
            </w:r>
          </w:p>
        </w:tc>
        <w:tc>
          <w:tcPr>
            <w:tcW w:w="993" w:type="dxa"/>
            <w:shd w:val="clear" w:color="auto" w:fill="C6EFCE"/>
            <w:noWrap/>
          </w:tcPr>
          <w:p w14:paraId="456A46FD" w14:textId="250E7FC5" w:rsidR="006578ED" w:rsidRDefault="00A1618E">
            <w:pPr>
              <w:pStyle w:val="P68B1DB1-Normal13"/>
              <w:spacing w:after="0" w:line="240" w:lineRule="auto"/>
              <w:jc w:val="center"/>
              <w:rPr>
                <w:rFonts w:eastAsia="Times New Roman" w:cs="Times New Roman"/>
                <w:noProof/>
              </w:rPr>
            </w:pPr>
            <w:r>
              <w:rPr>
                <w:noProof/>
              </w:rPr>
              <w:t xml:space="preserve">Porozumienie w Consejo de </w:t>
            </w:r>
            <w:r>
              <w:rPr>
                <w:i/>
                <w:noProof/>
              </w:rPr>
              <w:t>Política Científica, Tecnológica y de Innovación</w:t>
            </w:r>
            <w:r>
              <w:rPr>
                <w:noProof/>
              </w:rPr>
              <w:t xml:space="preserve"> oraz publikacja oceny na stronie internetowej Ministerstwa Nauki i Innowacji. </w:t>
            </w:r>
          </w:p>
        </w:tc>
        <w:tc>
          <w:tcPr>
            <w:tcW w:w="850" w:type="dxa"/>
            <w:shd w:val="clear" w:color="auto" w:fill="C6EFCE"/>
            <w:noWrap/>
          </w:tcPr>
          <w:p w14:paraId="19322564"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3A31862B"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0061496B" w14:textId="4EA8BB98"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tcPr>
          <w:p w14:paraId="6DA9F107" w14:textId="53757072"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tcPr>
          <w:p w14:paraId="0D5454B8" w14:textId="61006493" w:rsidR="006578ED" w:rsidRDefault="00A1618E">
            <w:pPr>
              <w:pStyle w:val="P68B1DB1-Normal13"/>
              <w:spacing w:after="0" w:line="240" w:lineRule="auto"/>
              <w:jc w:val="center"/>
              <w:rPr>
                <w:rFonts w:cs="Times New Roman"/>
                <w:noProof/>
              </w:rPr>
            </w:pPr>
            <w:r>
              <w:rPr>
                <w:noProof/>
              </w:rPr>
              <w:t>2023</w:t>
            </w:r>
          </w:p>
        </w:tc>
        <w:tc>
          <w:tcPr>
            <w:tcW w:w="5812" w:type="dxa"/>
            <w:shd w:val="clear" w:color="auto" w:fill="C6EFCE"/>
            <w:noWrap/>
          </w:tcPr>
          <w:p w14:paraId="73F6C422" w14:textId="738C44C8" w:rsidR="006578ED" w:rsidRDefault="00A1618E">
            <w:pPr>
              <w:pStyle w:val="P68B1DB1-Normal13"/>
              <w:spacing w:after="0" w:line="240" w:lineRule="auto"/>
              <w:rPr>
                <w:rFonts w:eastAsia="Times New Roman" w:cs="Times New Roman"/>
                <w:noProof/>
              </w:rPr>
            </w:pPr>
            <w:r>
              <w:rPr>
                <w:noProof/>
              </w:rPr>
              <w:t>Ocena śródokresowa hiszpańskiej strategii na rzecz nauki, technologii i innowacji na lata 2021–2027 przeprowadzona przez komitet monitorujący zostanie opublikowana w grudniu 20</w:t>
            </w:r>
            <w:r w:rsidRPr="00A1618E">
              <w:rPr>
                <w:noProof/>
                <w:lang w:val="pl-PL"/>
              </w:rPr>
              <w:t>23 r.</w:t>
            </w:r>
            <w:r>
              <w:rPr>
                <w:noProof/>
              </w:rPr>
              <w:t xml:space="preserve"> Wskaźniki, które należy stosować w ocenie, zostały uzgodnione w </w:t>
            </w:r>
            <w:r>
              <w:rPr>
                <w:i/>
                <w:noProof/>
              </w:rPr>
              <w:t>Consejo de Política Científica, Tecnológica y de Innovación</w:t>
            </w:r>
            <w:r>
              <w:rPr>
                <w:noProof/>
              </w:rPr>
              <w:t xml:space="preserve"> (w których reprezentowane jest 17 wspólnot autonomicznych), orientacyjny wykaz tych wskaźników i badań danych ustanowiono w hiszpańskiej strategii na rzecz nauki, technologii i innowacji na lata 2021–2027. System nauki, technologii i innowacji jest wykorzystywany do gromadzenia danych na temat postępów w realizacji strategii. </w:t>
            </w:r>
          </w:p>
        </w:tc>
      </w:tr>
      <w:tr w:rsidR="006578ED" w14:paraId="068EE29A" w14:textId="77777777">
        <w:trPr>
          <w:trHeight w:val="309"/>
        </w:trPr>
        <w:tc>
          <w:tcPr>
            <w:tcW w:w="701" w:type="dxa"/>
            <w:shd w:val="clear" w:color="auto" w:fill="C6EFCE"/>
            <w:noWrap/>
          </w:tcPr>
          <w:p w14:paraId="18E0C817" w14:textId="77777777" w:rsidR="006578ED" w:rsidRDefault="00A1618E">
            <w:pPr>
              <w:pStyle w:val="P68B1DB1-Normal13"/>
              <w:spacing w:after="0" w:line="240" w:lineRule="auto"/>
              <w:jc w:val="center"/>
              <w:rPr>
                <w:rFonts w:eastAsia="Times New Roman" w:cs="Times New Roman"/>
                <w:noProof/>
              </w:rPr>
            </w:pPr>
            <w:r>
              <w:rPr>
                <w:noProof/>
              </w:rPr>
              <w:t>257</w:t>
            </w:r>
          </w:p>
        </w:tc>
        <w:tc>
          <w:tcPr>
            <w:tcW w:w="729" w:type="dxa"/>
            <w:shd w:val="clear" w:color="auto" w:fill="C6EFCE"/>
            <w:noWrap/>
          </w:tcPr>
          <w:p w14:paraId="0268D8DA" w14:textId="77777777" w:rsidR="006578ED" w:rsidRDefault="00A1618E">
            <w:pPr>
              <w:pStyle w:val="P68B1DB1-Normal13"/>
              <w:spacing w:after="0" w:line="240" w:lineRule="auto"/>
              <w:jc w:val="center"/>
              <w:rPr>
                <w:rFonts w:eastAsia="Times New Roman" w:cs="Times New Roman"/>
                <w:noProof/>
              </w:rPr>
            </w:pPr>
            <w:r>
              <w:rPr>
                <w:noProof/>
              </w:rPr>
              <w:t>C17.R3</w:t>
            </w:r>
          </w:p>
        </w:tc>
        <w:tc>
          <w:tcPr>
            <w:tcW w:w="609" w:type="dxa"/>
            <w:shd w:val="clear" w:color="auto" w:fill="C6EFCE"/>
            <w:noWrap/>
          </w:tcPr>
          <w:p w14:paraId="0B53C30B" w14:textId="5804FD0B" w:rsidR="006578ED" w:rsidRDefault="00AF6B91">
            <w:pPr>
              <w:pStyle w:val="P68B1DB1-Normal13"/>
              <w:spacing w:after="0" w:line="240" w:lineRule="auto"/>
              <w:jc w:val="center"/>
              <w:rPr>
                <w:rFonts w:eastAsia="Times New Roman" w:cs="Times New Roman"/>
                <w:noProof/>
              </w:rPr>
            </w:pPr>
            <w:r>
              <w:rPr>
                <w:noProof/>
              </w:rPr>
              <w:t>Kamień milowy</w:t>
            </w:r>
          </w:p>
        </w:tc>
        <w:tc>
          <w:tcPr>
            <w:tcW w:w="2039" w:type="dxa"/>
            <w:shd w:val="clear" w:color="auto" w:fill="C6EFCE"/>
            <w:noWrap/>
          </w:tcPr>
          <w:p w14:paraId="276E380B" w14:textId="1E9DE972" w:rsidR="006578ED" w:rsidRDefault="00A1618E">
            <w:pPr>
              <w:pStyle w:val="P68B1DB1-Normal13"/>
              <w:spacing w:after="0" w:line="240" w:lineRule="auto"/>
              <w:rPr>
                <w:rFonts w:eastAsia="Times New Roman" w:cs="Times New Roman"/>
                <w:noProof/>
              </w:rPr>
            </w:pPr>
            <w:r>
              <w:rPr>
                <w:noProof/>
              </w:rPr>
              <w:t xml:space="preserve">Wejście w życie dekretu królewskiego w sprawie reorganizacji publicznych organizacji badawczych. </w:t>
            </w:r>
          </w:p>
        </w:tc>
        <w:tc>
          <w:tcPr>
            <w:tcW w:w="993" w:type="dxa"/>
            <w:shd w:val="clear" w:color="auto" w:fill="C6EFCE"/>
            <w:noWrap/>
          </w:tcPr>
          <w:p w14:paraId="4A68CD8F" w14:textId="21E1B679" w:rsidR="006578ED" w:rsidRDefault="00A1618E">
            <w:pPr>
              <w:pStyle w:val="P68B1DB1-Normal13"/>
              <w:spacing w:after="0" w:line="240" w:lineRule="auto"/>
              <w:jc w:val="center"/>
              <w:rPr>
                <w:rFonts w:eastAsia="Times New Roman" w:cs="Times New Roman"/>
                <w:noProof/>
              </w:rPr>
            </w:pPr>
            <w:r>
              <w:rPr>
                <w:noProof/>
              </w:rPr>
              <w:t xml:space="preserve"> Przepis dekretu królewskiego w sprawie wejścia w życie</w:t>
            </w:r>
          </w:p>
        </w:tc>
        <w:tc>
          <w:tcPr>
            <w:tcW w:w="850" w:type="dxa"/>
            <w:shd w:val="clear" w:color="auto" w:fill="C6EFCE"/>
            <w:noWrap/>
          </w:tcPr>
          <w:p w14:paraId="31A2D429"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1A31E73D"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7B110424" w14:textId="6EB46920"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tcPr>
          <w:p w14:paraId="5172323B" w14:textId="30837BBA" w:rsidR="006578ED" w:rsidRDefault="00EC188C">
            <w:pPr>
              <w:pStyle w:val="P68B1DB1-Normal13"/>
              <w:spacing w:after="0" w:line="240" w:lineRule="auto"/>
              <w:jc w:val="center"/>
              <w:rPr>
                <w:rFonts w:cs="Times New Roman"/>
                <w:noProof/>
              </w:rPr>
            </w:pPr>
            <w:r>
              <w:rPr>
                <w:noProof/>
              </w:rPr>
              <w:t>KW. 1</w:t>
            </w:r>
          </w:p>
        </w:tc>
        <w:tc>
          <w:tcPr>
            <w:tcW w:w="567" w:type="dxa"/>
            <w:shd w:val="clear" w:color="auto" w:fill="C6EFCE"/>
          </w:tcPr>
          <w:p w14:paraId="25087A98" w14:textId="36EDB34B" w:rsidR="006578ED" w:rsidRDefault="00A1618E">
            <w:pPr>
              <w:pStyle w:val="P68B1DB1-Normal13"/>
              <w:spacing w:after="0" w:line="240" w:lineRule="auto"/>
              <w:jc w:val="center"/>
              <w:rPr>
                <w:rFonts w:cs="Times New Roman"/>
                <w:noProof/>
              </w:rPr>
            </w:pPr>
            <w:r>
              <w:rPr>
                <w:noProof/>
              </w:rPr>
              <w:t>2021</w:t>
            </w:r>
          </w:p>
        </w:tc>
        <w:tc>
          <w:tcPr>
            <w:tcW w:w="5812" w:type="dxa"/>
            <w:shd w:val="clear" w:color="auto" w:fill="C6EFCE"/>
            <w:noWrap/>
          </w:tcPr>
          <w:p w14:paraId="41DAEBA5" w14:textId="60335972" w:rsidR="006578ED" w:rsidRDefault="00A1618E">
            <w:pPr>
              <w:pStyle w:val="P68B1DB1-Normal13"/>
              <w:spacing w:after="0" w:line="240" w:lineRule="auto"/>
              <w:rPr>
                <w:rFonts w:eastAsia="Times New Roman" w:cs="Times New Roman"/>
                <w:noProof/>
              </w:rPr>
            </w:pPr>
            <w:r>
              <w:rPr>
                <w:noProof/>
              </w:rPr>
              <w:t>Wejście w życie dekretu królewskiego w sprawie reorganizacji publicznych organizacji badawczych. Ma to na celu poprawę zdolności w zakresie zarządzania i doradztwa naukowego trzech PRO o zmniejszonej masie krytycznej poprzez integrację z większą PRO poprzez: poprawa pozycji konkurencyjnej powstałej PRO, ii) zwiększenie jej skuteczności oraz iii) zapewnienie elastyczności administracyjnej.</w:t>
            </w:r>
          </w:p>
        </w:tc>
      </w:tr>
      <w:tr w:rsidR="006578ED" w14:paraId="49F7AE4E" w14:textId="77777777">
        <w:trPr>
          <w:trHeight w:val="309"/>
        </w:trPr>
        <w:tc>
          <w:tcPr>
            <w:tcW w:w="701" w:type="dxa"/>
            <w:shd w:val="clear" w:color="auto" w:fill="C6EFCE"/>
            <w:noWrap/>
          </w:tcPr>
          <w:p w14:paraId="3297D043" w14:textId="77777777" w:rsidR="006578ED" w:rsidRDefault="00A1618E">
            <w:pPr>
              <w:pStyle w:val="P68B1DB1-Normal13"/>
              <w:spacing w:after="0" w:line="240" w:lineRule="auto"/>
              <w:jc w:val="center"/>
              <w:rPr>
                <w:rFonts w:eastAsia="Times New Roman" w:cs="Times New Roman"/>
                <w:noProof/>
              </w:rPr>
            </w:pPr>
            <w:r>
              <w:rPr>
                <w:noProof/>
              </w:rPr>
              <w:t>258</w:t>
            </w:r>
          </w:p>
        </w:tc>
        <w:tc>
          <w:tcPr>
            <w:tcW w:w="729" w:type="dxa"/>
            <w:shd w:val="clear" w:color="auto" w:fill="C6EFCE"/>
            <w:noWrap/>
          </w:tcPr>
          <w:p w14:paraId="051D7B87" w14:textId="77777777" w:rsidR="006578ED" w:rsidRDefault="00A1618E">
            <w:pPr>
              <w:pStyle w:val="P68B1DB1-Normal13"/>
              <w:spacing w:after="0" w:line="240" w:lineRule="auto"/>
              <w:jc w:val="center"/>
              <w:rPr>
                <w:rFonts w:eastAsia="Times New Roman" w:cs="Times New Roman"/>
                <w:noProof/>
              </w:rPr>
            </w:pPr>
            <w:r>
              <w:rPr>
                <w:noProof/>
              </w:rPr>
              <w:t>C17.I1</w:t>
            </w:r>
          </w:p>
        </w:tc>
        <w:tc>
          <w:tcPr>
            <w:tcW w:w="609" w:type="dxa"/>
            <w:shd w:val="clear" w:color="auto" w:fill="C6EFCE"/>
            <w:noWrap/>
          </w:tcPr>
          <w:p w14:paraId="57188DB5" w14:textId="69DA245D"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64014446" w14:textId="26698DC9" w:rsidR="006578ED" w:rsidRDefault="00A1618E">
            <w:pPr>
              <w:pStyle w:val="P68B1DB1-Normal13"/>
              <w:spacing w:after="0" w:line="240" w:lineRule="auto"/>
              <w:rPr>
                <w:rFonts w:eastAsia="Times New Roman" w:cs="Times New Roman"/>
                <w:noProof/>
              </w:rPr>
            </w:pPr>
            <w:r>
              <w:rPr>
                <w:noProof/>
              </w:rPr>
              <w:t xml:space="preserve">Umowy podpisane przez Ministerstwo Nauki i Innowacji ze wspólnotami autonomicznymi w celu wdrożenia „uzupełniających planów badawczo-rozwojowych”. </w:t>
            </w:r>
          </w:p>
        </w:tc>
        <w:tc>
          <w:tcPr>
            <w:tcW w:w="993" w:type="dxa"/>
            <w:shd w:val="clear" w:color="auto" w:fill="C6EFCE"/>
            <w:noWrap/>
          </w:tcPr>
          <w:p w14:paraId="1FA5245F"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1D711C6B"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tcPr>
          <w:p w14:paraId="325FD8D3"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2F2FF6BF" w14:textId="017F2239" w:rsidR="006578ED" w:rsidRDefault="00A1618E">
            <w:pPr>
              <w:pStyle w:val="P68B1DB1-Normal13"/>
              <w:spacing w:after="0" w:line="240" w:lineRule="auto"/>
              <w:jc w:val="center"/>
              <w:rPr>
                <w:rFonts w:cs="Times New Roman"/>
                <w:noProof/>
              </w:rPr>
            </w:pPr>
            <w:r>
              <w:rPr>
                <w:noProof/>
              </w:rPr>
              <w:t>4</w:t>
            </w:r>
          </w:p>
        </w:tc>
        <w:tc>
          <w:tcPr>
            <w:tcW w:w="567" w:type="dxa"/>
            <w:shd w:val="clear" w:color="auto" w:fill="C6EFCE"/>
          </w:tcPr>
          <w:p w14:paraId="7821A49C" w14:textId="716E4111"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tcPr>
          <w:p w14:paraId="35111DCE" w14:textId="32113782" w:rsidR="006578ED" w:rsidRDefault="00A1618E">
            <w:pPr>
              <w:pStyle w:val="P68B1DB1-Normal13"/>
              <w:spacing w:after="0" w:line="240" w:lineRule="auto"/>
              <w:jc w:val="center"/>
              <w:rPr>
                <w:rFonts w:cs="Times New Roman"/>
                <w:noProof/>
              </w:rPr>
            </w:pPr>
            <w:r>
              <w:rPr>
                <w:noProof/>
              </w:rPr>
              <w:t>2021</w:t>
            </w:r>
          </w:p>
        </w:tc>
        <w:tc>
          <w:tcPr>
            <w:tcW w:w="5812" w:type="dxa"/>
            <w:shd w:val="clear" w:color="auto" w:fill="C6EFCE"/>
            <w:noWrap/>
          </w:tcPr>
          <w:p w14:paraId="4319A5BA" w14:textId="7F1CC4D3" w:rsidR="006578ED" w:rsidRDefault="00A1618E">
            <w:pPr>
              <w:pStyle w:val="P68B1DB1-Normal13"/>
              <w:spacing w:after="0" w:line="240" w:lineRule="auto"/>
              <w:rPr>
                <w:rFonts w:eastAsia="Times New Roman" w:cs="Times New Roman"/>
                <w:noProof/>
              </w:rPr>
            </w:pPr>
            <w:r>
              <w:rPr>
                <w:noProof/>
              </w:rPr>
              <w:t xml:space="preserve">Cztery umowy podpisane przez Ministerstwo Nauki i Innowacji ze wspólnotami autonomicznymi dotyczące realizacji „uzupełniających planów badawczo-rozwojowych” o wartości co najmniej 140 000 000 EUR. Umowy te umożliwiają strategiczną koordynację i synergię między regionalnymi i krajowymi strategiami inteligentnej specjalizacji. </w:t>
            </w:r>
          </w:p>
        </w:tc>
      </w:tr>
      <w:tr w:rsidR="006578ED" w14:paraId="5E5DAD9C" w14:textId="77777777">
        <w:trPr>
          <w:trHeight w:val="309"/>
        </w:trPr>
        <w:tc>
          <w:tcPr>
            <w:tcW w:w="701" w:type="dxa"/>
            <w:shd w:val="clear" w:color="auto" w:fill="C6EFCE"/>
            <w:noWrap/>
          </w:tcPr>
          <w:p w14:paraId="3DE6C918" w14:textId="77777777" w:rsidR="006578ED" w:rsidRDefault="00A1618E">
            <w:pPr>
              <w:pStyle w:val="P68B1DB1-Normal13"/>
              <w:spacing w:after="0" w:line="240" w:lineRule="auto"/>
              <w:jc w:val="center"/>
              <w:rPr>
                <w:rFonts w:eastAsia="Times New Roman" w:cs="Times New Roman"/>
                <w:noProof/>
              </w:rPr>
            </w:pPr>
            <w:r>
              <w:rPr>
                <w:noProof/>
              </w:rPr>
              <w:t>259</w:t>
            </w:r>
          </w:p>
        </w:tc>
        <w:tc>
          <w:tcPr>
            <w:tcW w:w="729" w:type="dxa"/>
            <w:shd w:val="clear" w:color="auto" w:fill="C6EFCE"/>
            <w:noWrap/>
          </w:tcPr>
          <w:p w14:paraId="59BD60A1" w14:textId="77777777" w:rsidR="006578ED" w:rsidRDefault="00A1618E">
            <w:pPr>
              <w:pStyle w:val="P68B1DB1-Normal13"/>
              <w:spacing w:after="0" w:line="240" w:lineRule="auto"/>
              <w:jc w:val="center"/>
              <w:rPr>
                <w:rFonts w:eastAsia="Times New Roman" w:cs="Times New Roman"/>
                <w:noProof/>
              </w:rPr>
            </w:pPr>
            <w:r>
              <w:rPr>
                <w:noProof/>
              </w:rPr>
              <w:t>C17.I2</w:t>
            </w:r>
          </w:p>
        </w:tc>
        <w:tc>
          <w:tcPr>
            <w:tcW w:w="609" w:type="dxa"/>
            <w:shd w:val="clear" w:color="auto" w:fill="C6EFCE"/>
            <w:noWrap/>
          </w:tcPr>
          <w:p w14:paraId="5130E232" w14:textId="3F15AE4D"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5B626C9B" w14:textId="6131D461" w:rsidR="006578ED" w:rsidRDefault="00A1618E">
            <w:pPr>
              <w:pStyle w:val="P68B1DB1-Normal13"/>
              <w:spacing w:after="0" w:line="240" w:lineRule="auto"/>
              <w:rPr>
                <w:rFonts w:eastAsia="Times New Roman" w:cs="Times New Roman"/>
                <w:noProof/>
              </w:rPr>
            </w:pPr>
            <w:r>
              <w:rPr>
                <w:noProof/>
              </w:rPr>
              <w:t xml:space="preserve">Nagrody za projekty zwiększające krajową infrastrukturę naukową i potencjał hiszpańskiego systemu technologii i innowacji naukowych oraz umowy dwustronne podpisane z podmiotami międzynarodowymi i inne instrumenty finansowania projektów dotyczących infrastruktury europejskiej i międzynarodowej. </w:t>
            </w:r>
          </w:p>
        </w:tc>
        <w:tc>
          <w:tcPr>
            <w:tcW w:w="993" w:type="dxa"/>
            <w:shd w:val="clear" w:color="auto" w:fill="C6EFCE"/>
            <w:noWrap/>
          </w:tcPr>
          <w:p w14:paraId="69ED6B58"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43C0488" w14:textId="77777777" w:rsidR="006578ED" w:rsidRDefault="00A1618E">
            <w:pPr>
              <w:pStyle w:val="P68B1DB1-Normal13"/>
              <w:spacing w:after="0" w:line="240" w:lineRule="auto"/>
              <w:jc w:val="center"/>
              <w:rPr>
                <w:rFonts w:eastAsia="Times New Roman" w:cs="Times New Roman"/>
                <w:noProof/>
              </w:rPr>
            </w:pPr>
            <w:r>
              <w:rPr>
                <w:noProof/>
              </w:rPr>
              <w:t>W mln EUR</w:t>
            </w:r>
          </w:p>
        </w:tc>
        <w:tc>
          <w:tcPr>
            <w:tcW w:w="709" w:type="dxa"/>
            <w:shd w:val="clear" w:color="auto" w:fill="C6EFCE"/>
          </w:tcPr>
          <w:p w14:paraId="1397B7ED"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35F60C9E" w14:textId="51D3B5C0" w:rsidR="006578ED" w:rsidRDefault="00A1618E">
            <w:pPr>
              <w:pStyle w:val="P68B1DB1-Normal13"/>
              <w:spacing w:after="0" w:line="240" w:lineRule="auto"/>
              <w:jc w:val="center"/>
              <w:rPr>
                <w:rFonts w:cs="Times New Roman"/>
                <w:noProof/>
              </w:rPr>
            </w:pPr>
            <w:r>
              <w:rPr>
                <w:noProof/>
              </w:rPr>
              <w:t>300,2</w:t>
            </w:r>
          </w:p>
        </w:tc>
        <w:tc>
          <w:tcPr>
            <w:tcW w:w="567" w:type="dxa"/>
            <w:shd w:val="clear" w:color="auto" w:fill="C6EFCE"/>
          </w:tcPr>
          <w:p w14:paraId="474984C4" w14:textId="2F430C29"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tcPr>
          <w:p w14:paraId="1C6A5AF1" w14:textId="4FEA7517" w:rsidR="006578ED" w:rsidRDefault="00A1618E">
            <w:pPr>
              <w:pStyle w:val="P68B1DB1-Normal13"/>
              <w:spacing w:after="0" w:line="240" w:lineRule="auto"/>
              <w:jc w:val="center"/>
              <w:rPr>
                <w:rFonts w:cs="Times New Roman"/>
                <w:noProof/>
              </w:rPr>
            </w:pPr>
            <w:r>
              <w:rPr>
                <w:noProof/>
              </w:rPr>
              <w:t>2022</w:t>
            </w:r>
          </w:p>
        </w:tc>
        <w:tc>
          <w:tcPr>
            <w:tcW w:w="5812" w:type="dxa"/>
            <w:shd w:val="clear" w:color="auto" w:fill="C6EFCE"/>
            <w:noWrap/>
          </w:tcPr>
          <w:p w14:paraId="47493406" w14:textId="7419C25E" w:rsidR="006578ED" w:rsidRDefault="00A1618E">
            <w:pPr>
              <w:pStyle w:val="P68B1DB1-Normal13"/>
              <w:spacing w:after="0" w:line="240" w:lineRule="auto"/>
              <w:rPr>
                <w:rFonts w:cs="Times New Roman"/>
                <w:noProof/>
              </w:rPr>
            </w:pPr>
            <w:r>
              <w:rPr>
                <w:noProof/>
              </w:rPr>
              <w:t>Publikacja w krajowej bazie danych o dotacjach co najmniej 255 155 000 EUR przyznanych na projekty służące poprawie krajowej infrastruktury naukowej, zdolności hiszpańskiego systemu technologii i innowacji naukowych oraz umowy podpisane z podmiotami międzynarodowymi i inne instrumenty finansowania projektów o wartości co najmniej 45 000 000 EUR w dziedzinie infrastruktury europejskiej i międzynarodowej (CERN, wydmy, HKK, ESS-lund, Harmony i SKA).</w:t>
            </w:r>
          </w:p>
        </w:tc>
      </w:tr>
      <w:tr w:rsidR="006578ED" w14:paraId="554E50C8" w14:textId="77777777">
        <w:trPr>
          <w:trHeight w:val="309"/>
        </w:trPr>
        <w:tc>
          <w:tcPr>
            <w:tcW w:w="701" w:type="dxa"/>
            <w:shd w:val="clear" w:color="auto" w:fill="C6EFCE"/>
            <w:noWrap/>
          </w:tcPr>
          <w:p w14:paraId="4ADA14EF" w14:textId="77777777" w:rsidR="006578ED" w:rsidRDefault="00A1618E">
            <w:pPr>
              <w:pStyle w:val="P68B1DB1-Normal13"/>
              <w:spacing w:after="0" w:line="240" w:lineRule="auto"/>
              <w:jc w:val="center"/>
              <w:rPr>
                <w:rFonts w:eastAsia="Times New Roman" w:cs="Times New Roman"/>
                <w:noProof/>
              </w:rPr>
            </w:pPr>
            <w:r>
              <w:rPr>
                <w:noProof/>
              </w:rPr>
              <w:t>260</w:t>
            </w:r>
          </w:p>
        </w:tc>
        <w:tc>
          <w:tcPr>
            <w:tcW w:w="729" w:type="dxa"/>
            <w:shd w:val="clear" w:color="auto" w:fill="C6EFCE"/>
            <w:noWrap/>
          </w:tcPr>
          <w:p w14:paraId="2B61F7CE" w14:textId="77777777" w:rsidR="006578ED" w:rsidRDefault="00A1618E">
            <w:pPr>
              <w:pStyle w:val="P68B1DB1-Normal13"/>
              <w:spacing w:after="0" w:line="240" w:lineRule="auto"/>
              <w:jc w:val="center"/>
              <w:rPr>
                <w:rFonts w:eastAsia="Times New Roman" w:cs="Times New Roman"/>
                <w:noProof/>
              </w:rPr>
            </w:pPr>
            <w:r>
              <w:rPr>
                <w:noProof/>
              </w:rPr>
              <w:t>C17.I2</w:t>
            </w:r>
          </w:p>
        </w:tc>
        <w:tc>
          <w:tcPr>
            <w:tcW w:w="609" w:type="dxa"/>
            <w:shd w:val="clear" w:color="auto" w:fill="C6EFCE"/>
            <w:noWrap/>
          </w:tcPr>
          <w:p w14:paraId="686C71A6" w14:textId="32ABB603"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2350E903" w14:textId="4F3C366D" w:rsidR="006578ED" w:rsidRDefault="00A1618E">
            <w:pPr>
              <w:pStyle w:val="P68B1DB1-Normal13"/>
              <w:spacing w:after="0" w:line="240" w:lineRule="auto"/>
              <w:rPr>
                <w:rFonts w:eastAsia="Times New Roman" w:cs="Times New Roman"/>
                <w:noProof/>
              </w:rPr>
            </w:pPr>
            <w:r>
              <w:rPr>
                <w:noProof/>
              </w:rPr>
              <w:t>Zakończenie wszystkich projektów zwiększających infrastrukturę naukową i potencjał hiszpańskiego systemu technologii i innowacji naukowych, w tym projektów dotyczących infrastruktury europejskiej i międzynarodowej.</w:t>
            </w:r>
          </w:p>
        </w:tc>
        <w:tc>
          <w:tcPr>
            <w:tcW w:w="993" w:type="dxa"/>
            <w:shd w:val="clear" w:color="auto" w:fill="C6EFCE"/>
            <w:noWrap/>
          </w:tcPr>
          <w:p w14:paraId="7207EDA8"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35353081"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15F26F47"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688175D1" w14:textId="46E5AF65" w:rsidR="006578ED" w:rsidRDefault="00A1618E">
            <w:pPr>
              <w:pStyle w:val="P68B1DB1-Normal13"/>
              <w:spacing w:after="0" w:line="240" w:lineRule="auto"/>
              <w:jc w:val="center"/>
              <w:rPr>
                <w:rFonts w:cs="Times New Roman"/>
                <w:noProof/>
              </w:rPr>
            </w:pPr>
            <w:r>
              <w:rPr>
                <w:noProof/>
              </w:rPr>
              <w:t>100</w:t>
            </w:r>
          </w:p>
        </w:tc>
        <w:tc>
          <w:tcPr>
            <w:tcW w:w="567" w:type="dxa"/>
            <w:shd w:val="clear" w:color="auto" w:fill="C6EFCE"/>
          </w:tcPr>
          <w:p w14:paraId="13C1BAB3" w14:textId="5229D122"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tcPr>
          <w:p w14:paraId="5F29CAD9" w14:textId="53C98133" w:rsidR="006578ED" w:rsidRDefault="00A1618E">
            <w:pPr>
              <w:pStyle w:val="P68B1DB1-Normal13"/>
              <w:spacing w:after="0" w:line="240" w:lineRule="auto"/>
              <w:jc w:val="center"/>
              <w:rPr>
                <w:rFonts w:cs="Times New Roman"/>
                <w:noProof/>
              </w:rPr>
            </w:pPr>
            <w:r>
              <w:rPr>
                <w:noProof/>
              </w:rPr>
              <w:t>2026</w:t>
            </w:r>
          </w:p>
        </w:tc>
        <w:tc>
          <w:tcPr>
            <w:tcW w:w="5812" w:type="dxa"/>
            <w:shd w:val="clear" w:color="auto" w:fill="C6EFCE"/>
            <w:noWrap/>
          </w:tcPr>
          <w:p w14:paraId="4F283A38" w14:textId="70874D1F" w:rsidR="006578ED" w:rsidRDefault="00A1618E">
            <w:pPr>
              <w:pStyle w:val="P68B1DB1-Normal13"/>
              <w:spacing w:after="0" w:line="240" w:lineRule="auto"/>
              <w:rPr>
                <w:rFonts w:eastAsia="Times New Roman" w:cs="Times New Roman"/>
                <w:noProof/>
              </w:rPr>
            </w:pPr>
            <w:r>
              <w:rPr>
                <w:noProof/>
              </w:rPr>
              <w:t>100 % ukończonych projektów w zakresie badań naukowych i innowacji (na kwotę co najmniej 676 000 000 EUR) zgodnie z celem mającym na celu wzmocnienie infrastruktury naukowej i potencjału hiszpańskiego systemu technologii i innowacji naukowych poprzez odnowienie sprzętu naukowego, modernizację instalacji BSL3, stworzenie nowej infrastruktury fitogenicznej, wyposażenie CIEMAT (Cento de</w:t>
            </w:r>
            <w:r>
              <w:rPr>
                <w:i/>
                <w:noProof/>
              </w:rPr>
              <w:t>Investigaciones Energéticas, Medioambientales y Tecnológicas) w infrastrukturę niezbędną</w:t>
            </w:r>
            <w:r>
              <w:rPr>
                <w:noProof/>
              </w:rPr>
              <w:t>do prowadzenia badań nad energią odnawialną (w tym wodorem i magazynowaniem), utworzenie centrum zaawansowanej Opcji, a także infrastruktury badawczo-rozwojowej zgodnie z „Planes Estratégicos</w:t>
            </w:r>
            <w:r>
              <w:rPr>
                <w:i/>
                <w:noProof/>
              </w:rPr>
              <w:t>de Infrastructuras científicas y Técnicas Singulares”,</w:t>
            </w:r>
            <w:r>
              <w:rPr>
                <w:noProof/>
              </w:rPr>
              <w:t>projekty wspierające infrastrukturę europejską i międzynarodową (CERN, wydm, HKK, ESS-lund, Harmony i SKA) oraz poprzez inwestycje takie jak zakup i odnowienie sprzętu naukowego, budowa czystych pomieszczeń w dziedzinie półprzewodników i technologii mikronano, a także wzmocnienie zdolności w dziedzinie obliczeń wielkiej skali i komunikacji.</w:t>
            </w:r>
          </w:p>
        </w:tc>
      </w:tr>
      <w:tr w:rsidR="006578ED" w14:paraId="15B94FC3" w14:textId="77777777">
        <w:trPr>
          <w:trHeight w:val="309"/>
        </w:trPr>
        <w:tc>
          <w:tcPr>
            <w:tcW w:w="701" w:type="dxa"/>
            <w:shd w:val="clear" w:color="auto" w:fill="C6EFCE"/>
            <w:noWrap/>
          </w:tcPr>
          <w:p w14:paraId="387DEBB6" w14:textId="77777777" w:rsidR="006578ED" w:rsidRDefault="00A1618E">
            <w:pPr>
              <w:pStyle w:val="P68B1DB1-Normal13"/>
              <w:spacing w:after="0" w:line="240" w:lineRule="auto"/>
              <w:jc w:val="center"/>
              <w:rPr>
                <w:rFonts w:eastAsia="Times New Roman" w:cs="Times New Roman"/>
                <w:noProof/>
              </w:rPr>
            </w:pPr>
            <w:r>
              <w:rPr>
                <w:noProof/>
              </w:rPr>
              <w:t>261</w:t>
            </w:r>
          </w:p>
        </w:tc>
        <w:tc>
          <w:tcPr>
            <w:tcW w:w="729" w:type="dxa"/>
            <w:shd w:val="clear" w:color="auto" w:fill="C6EFCE"/>
            <w:noWrap/>
          </w:tcPr>
          <w:p w14:paraId="51C883E7" w14:textId="77777777" w:rsidR="006578ED" w:rsidRDefault="00A1618E">
            <w:pPr>
              <w:pStyle w:val="P68B1DB1-Normal13"/>
              <w:spacing w:after="0" w:line="240" w:lineRule="auto"/>
              <w:jc w:val="center"/>
              <w:rPr>
                <w:rFonts w:eastAsia="Times New Roman" w:cs="Times New Roman"/>
                <w:noProof/>
              </w:rPr>
            </w:pPr>
            <w:r>
              <w:rPr>
                <w:noProof/>
              </w:rPr>
              <w:t>C17.I3</w:t>
            </w:r>
          </w:p>
        </w:tc>
        <w:tc>
          <w:tcPr>
            <w:tcW w:w="609" w:type="dxa"/>
            <w:shd w:val="clear" w:color="auto" w:fill="C6EFCE"/>
            <w:noWrap/>
          </w:tcPr>
          <w:p w14:paraId="14790625" w14:textId="79D74965"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01ED6906" w14:textId="20631C6F" w:rsidR="006578ED" w:rsidRDefault="00A1618E">
            <w:pPr>
              <w:pStyle w:val="P68B1DB1-Normal13"/>
              <w:spacing w:after="0" w:line="240" w:lineRule="auto"/>
              <w:rPr>
                <w:rFonts w:eastAsia="Times New Roman" w:cs="Times New Roman"/>
                <w:noProof/>
              </w:rPr>
            </w:pPr>
            <w:r>
              <w:rPr>
                <w:noProof/>
              </w:rPr>
              <w:t xml:space="preserve">Przyznawanie nowych prywatnych, interdyscyplinarnych, publicznych projektów w zakresie badań, rozwoju i innowacji, testów koncepcyjnych, międzynarodowych zaproszeń do składania wniosków oraz nowatorskich badań i rozwoju ukierunkowanych na wyzwania społeczne </w:t>
            </w:r>
          </w:p>
        </w:tc>
        <w:tc>
          <w:tcPr>
            <w:tcW w:w="993" w:type="dxa"/>
            <w:shd w:val="clear" w:color="auto" w:fill="C6EFCE"/>
            <w:noWrap/>
          </w:tcPr>
          <w:p w14:paraId="0BE2CBC5" w14:textId="77777777" w:rsidR="006578ED" w:rsidRDefault="006578ED">
            <w:pPr>
              <w:spacing w:after="0" w:line="240" w:lineRule="auto"/>
              <w:jc w:val="center"/>
              <w:rPr>
                <w:rFonts w:ascii="Times New Roman" w:eastAsia="Times New Roman" w:hAnsi="Times New Roman" w:cs="Times New Roman"/>
                <w:noProof/>
                <w:sz w:val="18"/>
              </w:rPr>
            </w:pPr>
          </w:p>
        </w:tc>
        <w:tc>
          <w:tcPr>
            <w:tcW w:w="850" w:type="dxa"/>
            <w:shd w:val="clear" w:color="auto" w:fill="C6EFCE"/>
            <w:noWrap/>
          </w:tcPr>
          <w:p w14:paraId="16B00E14" w14:textId="77777777" w:rsidR="006578ED" w:rsidRDefault="00A1618E">
            <w:pPr>
              <w:pStyle w:val="P68B1DB1-Normal13"/>
              <w:spacing w:after="0" w:line="240" w:lineRule="auto"/>
              <w:jc w:val="center"/>
              <w:rPr>
                <w:rFonts w:eastAsia="Times New Roman" w:cs="Times New Roman"/>
                <w:noProof/>
              </w:rPr>
            </w:pPr>
            <w:r>
              <w:rPr>
                <w:noProof/>
              </w:rPr>
              <w:t>W mln EUR</w:t>
            </w:r>
          </w:p>
        </w:tc>
        <w:tc>
          <w:tcPr>
            <w:tcW w:w="709" w:type="dxa"/>
            <w:shd w:val="clear" w:color="auto" w:fill="C6EFCE"/>
          </w:tcPr>
          <w:p w14:paraId="25D58001"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61A565B7" w14:textId="4FA03F49" w:rsidR="006578ED" w:rsidRDefault="00A1618E">
            <w:pPr>
              <w:pStyle w:val="P68B1DB1-Normal13"/>
              <w:spacing w:after="0" w:line="240" w:lineRule="auto"/>
              <w:jc w:val="center"/>
              <w:rPr>
                <w:rFonts w:cs="Times New Roman"/>
                <w:noProof/>
              </w:rPr>
            </w:pPr>
            <w:r>
              <w:rPr>
                <w:noProof/>
              </w:rPr>
              <w:t>897</w:t>
            </w:r>
          </w:p>
        </w:tc>
        <w:tc>
          <w:tcPr>
            <w:tcW w:w="567" w:type="dxa"/>
            <w:shd w:val="clear" w:color="auto" w:fill="C6EFCE"/>
          </w:tcPr>
          <w:p w14:paraId="6598F3AB" w14:textId="6B650F72"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tcPr>
          <w:p w14:paraId="67381AFA" w14:textId="4C62CC67" w:rsidR="006578ED" w:rsidRDefault="00A1618E">
            <w:pPr>
              <w:pStyle w:val="P68B1DB1-Normal13"/>
              <w:spacing w:after="0" w:line="240" w:lineRule="auto"/>
              <w:jc w:val="center"/>
              <w:rPr>
                <w:rFonts w:cs="Times New Roman"/>
                <w:noProof/>
              </w:rPr>
            </w:pPr>
            <w:r>
              <w:rPr>
                <w:noProof/>
              </w:rPr>
              <w:t>2022</w:t>
            </w:r>
          </w:p>
        </w:tc>
        <w:tc>
          <w:tcPr>
            <w:tcW w:w="5812" w:type="dxa"/>
            <w:shd w:val="clear" w:color="auto" w:fill="C6EFCE"/>
            <w:noWrap/>
          </w:tcPr>
          <w:p w14:paraId="283BB5C7" w14:textId="537C6C7D" w:rsidR="006578ED" w:rsidRDefault="00A1618E">
            <w:pPr>
              <w:pStyle w:val="P68B1DB1-Normal13"/>
              <w:spacing w:after="0" w:line="240" w:lineRule="auto"/>
              <w:jc w:val="both"/>
              <w:rPr>
                <w:rFonts w:eastAsia="Times New Roman" w:cs="Times New Roman"/>
                <w:noProof/>
              </w:rPr>
            </w:pPr>
            <w:r>
              <w:rPr>
                <w:noProof/>
              </w:rPr>
              <w:t>Publikacja w Dzienniku Urzędowym decyzji o przyznaniu co najmniej 897 000 000 EUR w ramach następujących zaproszeń do składania wniosków: zaproszenie do weryfikacji poprawności projektu (80 000 000 EUR), zaproszenie do składania wniosków dotyczących projektów interdyscyplinarnych w liniach strategicznych (73 000 000 EUR), zaproszenie do składania wniosków dotyczących projektów badawczo-rozwojowych związanych z transformacją ekologiczną i cyfrową (296 000 000 EUR), zaproszenie do składania projektów współpracy publiczno-prywatnej (140 000 000 EUR), zaproszenie do składania wniosków o projekty badawczo-rozwojowe ukierunkowane na wyzwania społeczne ( 230 000 000 EUR) oraz zaproszenie do składania wniosków dotyczących projektów współpracy międzynarodowej (78 000 000 EUR). Ocena projektów w ramach tej inwestycji zapewnia zgodność z wytycznymi technicznymi dotyczącymi zasady „nie czyń poważnych szkód” (2021/C58/01) określonymi w opisie działania.</w:t>
            </w:r>
          </w:p>
        </w:tc>
      </w:tr>
      <w:tr w:rsidR="006578ED" w14:paraId="26C43207" w14:textId="77777777">
        <w:trPr>
          <w:trHeight w:val="309"/>
        </w:trPr>
        <w:tc>
          <w:tcPr>
            <w:tcW w:w="701" w:type="dxa"/>
            <w:shd w:val="clear" w:color="auto" w:fill="C6EFCE"/>
            <w:noWrap/>
          </w:tcPr>
          <w:p w14:paraId="0135B5B9" w14:textId="77777777" w:rsidR="006578ED" w:rsidRDefault="00A1618E">
            <w:pPr>
              <w:pStyle w:val="P68B1DB1-Normal13"/>
              <w:spacing w:after="0" w:line="240" w:lineRule="auto"/>
              <w:jc w:val="center"/>
              <w:rPr>
                <w:rFonts w:eastAsia="Times New Roman" w:cs="Times New Roman"/>
                <w:noProof/>
              </w:rPr>
            </w:pPr>
            <w:r>
              <w:rPr>
                <w:noProof/>
              </w:rPr>
              <w:t>262</w:t>
            </w:r>
          </w:p>
        </w:tc>
        <w:tc>
          <w:tcPr>
            <w:tcW w:w="729" w:type="dxa"/>
            <w:shd w:val="clear" w:color="auto" w:fill="C6EFCE"/>
            <w:noWrap/>
          </w:tcPr>
          <w:p w14:paraId="0489316F" w14:textId="77777777" w:rsidR="006578ED" w:rsidRDefault="00A1618E">
            <w:pPr>
              <w:pStyle w:val="P68B1DB1-Normal13"/>
              <w:spacing w:after="0" w:line="240" w:lineRule="auto"/>
              <w:jc w:val="center"/>
              <w:rPr>
                <w:rFonts w:eastAsia="Times New Roman" w:cs="Times New Roman"/>
                <w:noProof/>
              </w:rPr>
            </w:pPr>
            <w:r>
              <w:rPr>
                <w:noProof/>
              </w:rPr>
              <w:t>C17.I3</w:t>
            </w:r>
          </w:p>
        </w:tc>
        <w:tc>
          <w:tcPr>
            <w:tcW w:w="609" w:type="dxa"/>
            <w:shd w:val="clear" w:color="auto" w:fill="C6EFCE"/>
            <w:noWrap/>
          </w:tcPr>
          <w:p w14:paraId="1E3A1DC9" w14:textId="1E7979D4"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3695584F" w14:textId="23509EB1" w:rsidR="006578ED" w:rsidRDefault="00A1618E">
            <w:pPr>
              <w:pStyle w:val="P68B1DB1-Normal13"/>
              <w:spacing w:after="0" w:line="240" w:lineRule="auto"/>
              <w:rPr>
                <w:rFonts w:eastAsia="Times New Roman" w:cs="Times New Roman"/>
                <w:noProof/>
              </w:rPr>
            </w:pPr>
            <w:r>
              <w:rPr>
                <w:noProof/>
              </w:rPr>
              <w:t>Zatwierdzenie projektów w zakresie badań naukowych i innowacji, w których co najmniej 35 % jest związanych z transformacją ekologiczną i cyfrową</w:t>
            </w:r>
          </w:p>
        </w:tc>
        <w:tc>
          <w:tcPr>
            <w:tcW w:w="993" w:type="dxa"/>
            <w:shd w:val="clear" w:color="auto" w:fill="C6EFCE"/>
            <w:noWrap/>
          </w:tcPr>
          <w:p w14:paraId="1A69904D"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ED1A19A"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tcPr>
          <w:p w14:paraId="32857A7F"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743DE6B5" w14:textId="17721044" w:rsidR="006578ED" w:rsidRDefault="00A1618E">
            <w:pPr>
              <w:pStyle w:val="P68B1DB1-Normal13"/>
              <w:spacing w:after="0" w:line="240" w:lineRule="auto"/>
              <w:jc w:val="center"/>
              <w:rPr>
                <w:rFonts w:cs="Times New Roman"/>
                <w:noProof/>
              </w:rPr>
            </w:pPr>
            <w:r>
              <w:rPr>
                <w:noProof/>
              </w:rPr>
              <w:t>3 110</w:t>
            </w:r>
          </w:p>
        </w:tc>
        <w:tc>
          <w:tcPr>
            <w:tcW w:w="567" w:type="dxa"/>
            <w:shd w:val="clear" w:color="auto" w:fill="C6EFCE"/>
          </w:tcPr>
          <w:p w14:paraId="5142FFD0" w14:textId="087FAB0C"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tcPr>
          <w:p w14:paraId="7602444A" w14:textId="43FCF6AF" w:rsidR="006578ED" w:rsidRDefault="00A1618E">
            <w:pPr>
              <w:pStyle w:val="P68B1DB1-Normal13"/>
              <w:spacing w:after="0" w:line="240" w:lineRule="auto"/>
              <w:jc w:val="center"/>
              <w:rPr>
                <w:rFonts w:cs="Times New Roman"/>
                <w:noProof/>
              </w:rPr>
            </w:pPr>
            <w:r>
              <w:rPr>
                <w:noProof/>
              </w:rPr>
              <w:t>2024</w:t>
            </w:r>
          </w:p>
        </w:tc>
        <w:tc>
          <w:tcPr>
            <w:tcW w:w="5812" w:type="dxa"/>
            <w:shd w:val="clear" w:color="auto" w:fill="C6EFCE"/>
            <w:noWrap/>
          </w:tcPr>
          <w:p w14:paraId="73DAAA4D" w14:textId="18D5C797" w:rsidR="006578ED" w:rsidRDefault="00A1618E">
            <w:pPr>
              <w:pStyle w:val="P68B1DB1-Normal13"/>
              <w:spacing w:after="0" w:line="240" w:lineRule="auto"/>
              <w:jc w:val="both"/>
              <w:rPr>
                <w:rFonts w:cs="Times New Roman"/>
                <w:noProof/>
              </w:rPr>
            </w:pPr>
            <w:r>
              <w:rPr>
                <w:noProof/>
              </w:rPr>
              <w:t>Zatwierdzono co najmniej 3110 projektów w zakresie badań naukowych i innowacji, przy czym co najmniej 35 % projektów związanych z transformacją ekologiczną i cyfrową, w </w:t>
            </w:r>
            <w:r w:rsidRPr="00A1618E">
              <w:rPr>
                <w:noProof/>
                <w:lang w:val="pl-PL"/>
              </w:rPr>
              <w:t>tym 1</w:t>
            </w:r>
            <w:r>
              <w:rPr>
                <w:noProof/>
              </w:rPr>
              <w:t xml:space="preserve">10 projektów związanych z Chipem PERTE. Ocena projektów w ramach tej inwestycji zapewnia zgodność z wytycznymi technicznymi dotyczącymi zasady „nie czyń poważnych szkód” (2021/C58/01) określonymi w opisie działania. </w:t>
            </w:r>
          </w:p>
        </w:tc>
      </w:tr>
      <w:tr w:rsidR="006578ED" w14:paraId="56BAA5EA" w14:textId="77777777">
        <w:trPr>
          <w:trHeight w:val="309"/>
        </w:trPr>
        <w:tc>
          <w:tcPr>
            <w:tcW w:w="701" w:type="dxa"/>
            <w:shd w:val="clear" w:color="auto" w:fill="C6EFCE"/>
            <w:noWrap/>
          </w:tcPr>
          <w:p w14:paraId="4FC0078A" w14:textId="77777777" w:rsidR="006578ED" w:rsidRDefault="00A1618E">
            <w:pPr>
              <w:pStyle w:val="P68B1DB1-Normal13"/>
              <w:spacing w:after="0" w:line="240" w:lineRule="auto"/>
              <w:jc w:val="center"/>
              <w:rPr>
                <w:rFonts w:eastAsia="Times New Roman" w:cs="Times New Roman"/>
                <w:noProof/>
              </w:rPr>
            </w:pPr>
            <w:r>
              <w:rPr>
                <w:noProof/>
              </w:rPr>
              <w:t>263</w:t>
            </w:r>
          </w:p>
        </w:tc>
        <w:tc>
          <w:tcPr>
            <w:tcW w:w="729" w:type="dxa"/>
            <w:shd w:val="clear" w:color="auto" w:fill="C6EFCE"/>
            <w:noWrap/>
          </w:tcPr>
          <w:p w14:paraId="14EE2089" w14:textId="77777777" w:rsidR="006578ED" w:rsidRDefault="00A1618E">
            <w:pPr>
              <w:pStyle w:val="P68B1DB1-Normal13"/>
              <w:spacing w:after="0" w:line="240" w:lineRule="auto"/>
              <w:jc w:val="center"/>
              <w:rPr>
                <w:rFonts w:eastAsia="Times New Roman" w:cs="Times New Roman"/>
                <w:noProof/>
              </w:rPr>
            </w:pPr>
            <w:r>
              <w:rPr>
                <w:noProof/>
              </w:rPr>
              <w:t>C17.I4</w:t>
            </w:r>
          </w:p>
        </w:tc>
        <w:tc>
          <w:tcPr>
            <w:tcW w:w="609" w:type="dxa"/>
            <w:shd w:val="clear" w:color="auto" w:fill="C6EFCE"/>
            <w:noWrap/>
          </w:tcPr>
          <w:p w14:paraId="0E62F4B9" w14:textId="6BBB699B"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05532597" w14:textId="74A61C19" w:rsidR="006578ED" w:rsidRDefault="00A1618E">
            <w:pPr>
              <w:pStyle w:val="P68B1DB1-Normal13"/>
              <w:spacing w:after="0" w:line="240" w:lineRule="auto"/>
              <w:rPr>
                <w:rFonts w:eastAsia="Times New Roman" w:cs="Times New Roman"/>
                <w:noProof/>
              </w:rPr>
            </w:pPr>
            <w:r>
              <w:rPr>
                <w:noProof/>
              </w:rPr>
              <w:t xml:space="preserve">Wsparcie kariery naukowej poprzez stypendia i dotacje </w:t>
            </w:r>
          </w:p>
        </w:tc>
        <w:tc>
          <w:tcPr>
            <w:tcW w:w="993" w:type="dxa"/>
            <w:shd w:val="clear" w:color="auto" w:fill="C6EFCE"/>
            <w:noWrap/>
          </w:tcPr>
          <w:p w14:paraId="61D5D72A"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63AC40C5"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tcPr>
          <w:p w14:paraId="328A2BD1"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48869387" w14:textId="594FE145" w:rsidR="006578ED" w:rsidRDefault="00A1618E">
            <w:pPr>
              <w:pStyle w:val="P68B1DB1-Normal13"/>
              <w:spacing w:after="0" w:line="240" w:lineRule="auto"/>
              <w:jc w:val="center"/>
              <w:rPr>
                <w:rFonts w:cs="Times New Roman"/>
                <w:noProof/>
              </w:rPr>
            </w:pPr>
            <w:r>
              <w:rPr>
                <w:noProof/>
              </w:rPr>
              <w:t>2 070</w:t>
            </w:r>
          </w:p>
        </w:tc>
        <w:tc>
          <w:tcPr>
            <w:tcW w:w="567" w:type="dxa"/>
            <w:shd w:val="clear" w:color="auto" w:fill="C6EFCE"/>
          </w:tcPr>
          <w:p w14:paraId="0A9B41BF" w14:textId="1965624E"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tcPr>
          <w:p w14:paraId="25BDE876" w14:textId="7421ECBE" w:rsidR="006578ED" w:rsidRDefault="00A1618E">
            <w:pPr>
              <w:pStyle w:val="P68B1DB1-Normal13"/>
              <w:spacing w:after="0" w:line="240" w:lineRule="auto"/>
              <w:jc w:val="center"/>
              <w:rPr>
                <w:rFonts w:cs="Times New Roman"/>
                <w:noProof/>
              </w:rPr>
            </w:pPr>
            <w:r>
              <w:rPr>
                <w:noProof/>
              </w:rPr>
              <w:t>2024</w:t>
            </w:r>
          </w:p>
        </w:tc>
        <w:tc>
          <w:tcPr>
            <w:tcW w:w="5812" w:type="dxa"/>
            <w:shd w:val="clear" w:color="auto" w:fill="C6EFCE"/>
            <w:noWrap/>
          </w:tcPr>
          <w:p w14:paraId="187EE241" w14:textId="46798872" w:rsidR="006578ED" w:rsidRDefault="00A1618E">
            <w:pPr>
              <w:pStyle w:val="P68B1DB1-Normal13"/>
              <w:spacing w:after="0" w:line="240" w:lineRule="auto"/>
              <w:rPr>
                <w:rFonts w:cs="Times New Roman"/>
                <w:noProof/>
              </w:rPr>
            </w:pPr>
            <w:r>
              <w:rPr>
                <w:noProof/>
              </w:rPr>
              <w:t xml:space="preserve">Hiszpańska kariera naukowa jest wspierana przez co najmniej 2070 naukowców w ramach programu integracji Juana de la Cierva, programu szkoleniowego Juana de la Cierva, programu doktoranckiego w przemyśle oraz programu Torres Quevedo. Ponadto co najmniej 775 naukowców, którzy otrzymali „pakiet badawczy na rozpoczęcie działalności” w ramach stabilnej umowy podobnej do Tenure Track, z czego 25 naukowców otrzymało pakiet badań na rozpoczęcie działalności w ramach CHIP. </w:t>
            </w:r>
          </w:p>
        </w:tc>
      </w:tr>
      <w:tr w:rsidR="006578ED" w14:paraId="23DFE650" w14:textId="77777777">
        <w:trPr>
          <w:trHeight w:val="309"/>
        </w:trPr>
        <w:tc>
          <w:tcPr>
            <w:tcW w:w="701" w:type="dxa"/>
            <w:shd w:val="clear" w:color="auto" w:fill="C6EFCE"/>
            <w:noWrap/>
          </w:tcPr>
          <w:p w14:paraId="517BD4BA" w14:textId="77777777" w:rsidR="006578ED" w:rsidRDefault="00A1618E">
            <w:pPr>
              <w:pStyle w:val="P68B1DB1-Normal13"/>
              <w:spacing w:after="0" w:line="240" w:lineRule="auto"/>
              <w:jc w:val="center"/>
              <w:rPr>
                <w:rFonts w:eastAsia="Times New Roman" w:cs="Times New Roman"/>
                <w:noProof/>
              </w:rPr>
            </w:pPr>
            <w:r>
              <w:rPr>
                <w:noProof/>
              </w:rPr>
              <w:t>264</w:t>
            </w:r>
          </w:p>
        </w:tc>
        <w:tc>
          <w:tcPr>
            <w:tcW w:w="729" w:type="dxa"/>
            <w:shd w:val="clear" w:color="auto" w:fill="C6EFCE"/>
            <w:noWrap/>
          </w:tcPr>
          <w:p w14:paraId="169CD1CB" w14:textId="77777777" w:rsidR="006578ED" w:rsidRDefault="00A1618E">
            <w:pPr>
              <w:pStyle w:val="P68B1DB1-Normal13"/>
              <w:spacing w:after="0" w:line="240" w:lineRule="auto"/>
              <w:jc w:val="center"/>
              <w:rPr>
                <w:rFonts w:eastAsia="Times New Roman" w:cs="Times New Roman"/>
                <w:noProof/>
              </w:rPr>
            </w:pPr>
            <w:r>
              <w:rPr>
                <w:noProof/>
              </w:rPr>
              <w:t>C17.I4</w:t>
            </w:r>
          </w:p>
        </w:tc>
        <w:tc>
          <w:tcPr>
            <w:tcW w:w="609" w:type="dxa"/>
            <w:shd w:val="clear" w:color="auto" w:fill="C6EFCE"/>
            <w:noWrap/>
          </w:tcPr>
          <w:p w14:paraId="192913A4" w14:textId="4E09556F"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57E34B93" w14:textId="1BF63BE6" w:rsidR="006578ED" w:rsidRDefault="00A1618E">
            <w:pPr>
              <w:pStyle w:val="P68B1DB1-Normal13"/>
              <w:spacing w:after="0" w:line="240" w:lineRule="auto"/>
              <w:rPr>
                <w:rFonts w:eastAsia="Times New Roman" w:cs="Times New Roman"/>
                <w:noProof/>
              </w:rPr>
            </w:pPr>
            <w:r>
              <w:rPr>
                <w:noProof/>
              </w:rPr>
              <w:t xml:space="preserve">Zakończenie stypendiów i dotacji wspierających hiszpańską karierę naukową </w:t>
            </w:r>
          </w:p>
        </w:tc>
        <w:tc>
          <w:tcPr>
            <w:tcW w:w="993" w:type="dxa"/>
            <w:shd w:val="clear" w:color="auto" w:fill="C6EFCE"/>
            <w:noWrap/>
          </w:tcPr>
          <w:p w14:paraId="45D72DCE"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6B0504C9"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tcPr>
          <w:p w14:paraId="4F3DF13E" w14:textId="77777777" w:rsidR="006578ED" w:rsidRDefault="006578ED">
            <w:pPr>
              <w:spacing w:after="0" w:line="240" w:lineRule="auto"/>
              <w:jc w:val="both"/>
              <w:rPr>
                <w:rFonts w:ascii="Times New Roman" w:hAnsi="Times New Roman" w:cs="Times New Roman"/>
                <w:noProof/>
                <w:sz w:val="18"/>
              </w:rPr>
            </w:pPr>
          </w:p>
        </w:tc>
        <w:tc>
          <w:tcPr>
            <w:tcW w:w="850" w:type="dxa"/>
            <w:shd w:val="clear" w:color="auto" w:fill="C6EFCE"/>
          </w:tcPr>
          <w:p w14:paraId="6B8F9956" w14:textId="0CF29B72" w:rsidR="006578ED" w:rsidRDefault="00A1618E">
            <w:pPr>
              <w:pStyle w:val="P68B1DB1-Normal13"/>
              <w:spacing w:after="0" w:line="240" w:lineRule="auto"/>
              <w:jc w:val="center"/>
              <w:rPr>
                <w:rFonts w:cs="Times New Roman"/>
                <w:noProof/>
              </w:rPr>
            </w:pPr>
            <w:r>
              <w:rPr>
                <w:noProof/>
              </w:rPr>
              <w:t>2 070</w:t>
            </w:r>
          </w:p>
        </w:tc>
        <w:tc>
          <w:tcPr>
            <w:tcW w:w="567" w:type="dxa"/>
            <w:shd w:val="clear" w:color="auto" w:fill="C6EFCE"/>
          </w:tcPr>
          <w:p w14:paraId="2A94C885" w14:textId="7A23C0EE"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tcPr>
          <w:p w14:paraId="5F928F85" w14:textId="6F11C2C8" w:rsidR="006578ED" w:rsidRDefault="00A1618E">
            <w:pPr>
              <w:pStyle w:val="P68B1DB1-Normal13"/>
              <w:spacing w:after="0" w:line="240" w:lineRule="auto"/>
              <w:jc w:val="center"/>
              <w:rPr>
                <w:rFonts w:cs="Times New Roman"/>
                <w:noProof/>
              </w:rPr>
            </w:pPr>
            <w:r>
              <w:rPr>
                <w:noProof/>
              </w:rPr>
              <w:t>2026</w:t>
            </w:r>
          </w:p>
        </w:tc>
        <w:tc>
          <w:tcPr>
            <w:tcW w:w="5812" w:type="dxa"/>
            <w:shd w:val="clear" w:color="auto" w:fill="C6EFCE"/>
            <w:noWrap/>
          </w:tcPr>
          <w:p w14:paraId="7C820AA9" w14:textId="0BC00ED5" w:rsidR="006578ED" w:rsidRDefault="00A1618E">
            <w:pPr>
              <w:pStyle w:val="P68B1DB1-Normal13"/>
              <w:spacing w:after="0" w:line="240" w:lineRule="auto"/>
              <w:jc w:val="both"/>
              <w:rPr>
                <w:rFonts w:eastAsia="Times New Roman" w:cs="Times New Roman"/>
                <w:noProof/>
              </w:rPr>
            </w:pPr>
            <w:r>
              <w:rPr>
                <w:noProof/>
              </w:rPr>
              <w:t xml:space="preserve">Hiszpańska kariera naukowa jest wspierana przez co najmniej 2070 naukowców, którzy ukończyli program integracji Juan de la Cierva, program szkoleniowy Juan de la Cierva, program doktorancki w przemyśle i program Torres Quevedo. </w:t>
            </w:r>
          </w:p>
        </w:tc>
      </w:tr>
      <w:tr w:rsidR="006578ED" w14:paraId="66E00197" w14:textId="77777777">
        <w:trPr>
          <w:trHeight w:val="309"/>
        </w:trPr>
        <w:tc>
          <w:tcPr>
            <w:tcW w:w="701" w:type="dxa"/>
            <w:shd w:val="clear" w:color="auto" w:fill="C6EFCE"/>
            <w:noWrap/>
          </w:tcPr>
          <w:p w14:paraId="5F935AB6" w14:textId="77777777" w:rsidR="006578ED" w:rsidRDefault="00A1618E">
            <w:pPr>
              <w:pStyle w:val="P68B1DB1-Normal13"/>
              <w:spacing w:after="0" w:line="240" w:lineRule="auto"/>
              <w:jc w:val="center"/>
              <w:rPr>
                <w:rFonts w:eastAsia="Times New Roman" w:cs="Times New Roman"/>
                <w:noProof/>
              </w:rPr>
            </w:pPr>
            <w:r>
              <w:rPr>
                <w:noProof/>
              </w:rPr>
              <w:t>265</w:t>
            </w:r>
          </w:p>
        </w:tc>
        <w:tc>
          <w:tcPr>
            <w:tcW w:w="729" w:type="dxa"/>
            <w:shd w:val="clear" w:color="auto" w:fill="C6EFCE"/>
            <w:noWrap/>
          </w:tcPr>
          <w:p w14:paraId="330BD52E" w14:textId="77777777" w:rsidR="006578ED" w:rsidRDefault="00A1618E">
            <w:pPr>
              <w:pStyle w:val="P68B1DB1-Normal13"/>
              <w:spacing w:after="0" w:line="240" w:lineRule="auto"/>
              <w:jc w:val="center"/>
              <w:rPr>
                <w:rFonts w:eastAsia="Times New Roman" w:cs="Times New Roman"/>
                <w:noProof/>
              </w:rPr>
            </w:pPr>
            <w:r>
              <w:rPr>
                <w:noProof/>
              </w:rPr>
              <w:t>C17.I5</w:t>
            </w:r>
          </w:p>
        </w:tc>
        <w:tc>
          <w:tcPr>
            <w:tcW w:w="609" w:type="dxa"/>
            <w:shd w:val="clear" w:color="auto" w:fill="C6EFCE"/>
            <w:noWrap/>
          </w:tcPr>
          <w:p w14:paraId="67FE101D" w14:textId="7FA35963"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18BD108A" w14:textId="0AA13953" w:rsidR="006578ED" w:rsidRDefault="00A1618E">
            <w:pPr>
              <w:pStyle w:val="P68B1DB1-Normal13"/>
              <w:spacing w:after="0" w:line="240" w:lineRule="auto"/>
              <w:rPr>
                <w:rFonts w:eastAsia="Times New Roman" w:cs="Times New Roman"/>
                <w:noProof/>
              </w:rPr>
            </w:pPr>
            <w:r>
              <w:rPr>
                <w:noProof/>
              </w:rPr>
              <w:t xml:space="preserve">Innowacyjne i oparte na technologiach przedsiębiorstwa otrzymały kapitał w ramach programu Innvierte w celu wzmocnienia swojej działalności badawczej na wczesnym etapie </w:t>
            </w:r>
          </w:p>
        </w:tc>
        <w:tc>
          <w:tcPr>
            <w:tcW w:w="993" w:type="dxa"/>
            <w:shd w:val="clear" w:color="auto" w:fill="C6EFCE"/>
            <w:noWrap/>
          </w:tcPr>
          <w:p w14:paraId="2830361B"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C987795"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tcPr>
          <w:p w14:paraId="172177B1"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1505199E" w14:textId="2DC4C9A5" w:rsidR="006578ED" w:rsidRDefault="00A1618E">
            <w:pPr>
              <w:pStyle w:val="P68B1DB1-Normal13"/>
              <w:spacing w:after="0" w:line="240" w:lineRule="auto"/>
              <w:jc w:val="center"/>
              <w:rPr>
                <w:rFonts w:cs="Times New Roman"/>
                <w:noProof/>
              </w:rPr>
            </w:pPr>
            <w:r>
              <w:rPr>
                <w:noProof/>
              </w:rPr>
              <w:t>45</w:t>
            </w:r>
          </w:p>
        </w:tc>
        <w:tc>
          <w:tcPr>
            <w:tcW w:w="567" w:type="dxa"/>
            <w:shd w:val="clear" w:color="auto" w:fill="C6EFCE"/>
          </w:tcPr>
          <w:p w14:paraId="2198998B" w14:textId="3D7D8920"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tcPr>
          <w:p w14:paraId="68A86E05" w14:textId="65CE8165" w:rsidR="006578ED" w:rsidRDefault="00A1618E">
            <w:pPr>
              <w:pStyle w:val="P68B1DB1-Normal13"/>
              <w:spacing w:after="0" w:line="240" w:lineRule="auto"/>
              <w:jc w:val="center"/>
              <w:rPr>
                <w:rFonts w:cs="Times New Roman"/>
                <w:noProof/>
              </w:rPr>
            </w:pPr>
            <w:r>
              <w:rPr>
                <w:noProof/>
              </w:rPr>
              <w:t>2023</w:t>
            </w:r>
          </w:p>
        </w:tc>
        <w:tc>
          <w:tcPr>
            <w:tcW w:w="5812" w:type="dxa"/>
            <w:shd w:val="clear" w:color="auto" w:fill="C6EFCE"/>
            <w:noWrap/>
          </w:tcPr>
          <w:p w14:paraId="2FBFA9C0" w14:textId="3C761391" w:rsidR="006578ED" w:rsidRDefault="00A1618E">
            <w:pPr>
              <w:pStyle w:val="P68B1DB1-Normal13"/>
              <w:spacing w:after="0" w:line="240" w:lineRule="auto"/>
              <w:jc w:val="both"/>
              <w:rPr>
                <w:rFonts w:eastAsia="Times New Roman" w:cs="Times New Roman"/>
                <w:noProof/>
              </w:rPr>
            </w:pPr>
            <w:r>
              <w:rPr>
                <w:noProof/>
              </w:rPr>
              <w:t xml:space="preserve">Aby promować transfer technologii i pomóc w tworzeniu innowacyjnej struktury biznesowej opartej na innowacyjnych technologiach, co najmniej 45 przedsiębiorstw innowacyjnych i opartych na technologii otrzymało kapitał w ramach programu Innvierte w celu wzmocnienia swojej działalności badawczej na wczesnym etapie. Wszystkie te przedsiębiorstwa otrzymały również inwestycje z sektora prywatnego. Ocena projektów w ramach tej inwestycji zapewnia zgodność z wytycznymi technicznymi dotyczącymi zasady „nie czyń poważnych szkód” (2021/C58/01) określonymi w opisie działania. </w:t>
            </w:r>
          </w:p>
        </w:tc>
      </w:tr>
      <w:tr w:rsidR="006578ED" w14:paraId="3868A5CA" w14:textId="77777777">
        <w:trPr>
          <w:trHeight w:val="309"/>
        </w:trPr>
        <w:tc>
          <w:tcPr>
            <w:tcW w:w="701" w:type="dxa"/>
            <w:shd w:val="clear" w:color="auto" w:fill="C6EFCE"/>
            <w:noWrap/>
          </w:tcPr>
          <w:p w14:paraId="3AA9EBB3" w14:textId="77777777" w:rsidR="006578ED" w:rsidRDefault="00A1618E">
            <w:pPr>
              <w:pStyle w:val="P68B1DB1-Normal13"/>
              <w:spacing w:after="0" w:line="240" w:lineRule="auto"/>
              <w:jc w:val="center"/>
              <w:rPr>
                <w:rFonts w:eastAsia="Times New Roman" w:cs="Times New Roman"/>
                <w:noProof/>
              </w:rPr>
            </w:pPr>
            <w:r>
              <w:rPr>
                <w:noProof/>
              </w:rPr>
              <w:t>266</w:t>
            </w:r>
          </w:p>
        </w:tc>
        <w:tc>
          <w:tcPr>
            <w:tcW w:w="729" w:type="dxa"/>
            <w:shd w:val="clear" w:color="auto" w:fill="C6EFCE"/>
            <w:noWrap/>
          </w:tcPr>
          <w:p w14:paraId="23C416CF" w14:textId="77777777" w:rsidR="006578ED" w:rsidRDefault="00A1618E">
            <w:pPr>
              <w:pStyle w:val="P68B1DB1-Normal13"/>
              <w:spacing w:after="0" w:line="240" w:lineRule="auto"/>
              <w:jc w:val="center"/>
              <w:rPr>
                <w:rFonts w:eastAsia="Times New Roman" w:cs="Times New Roman"/>
                <w:noProof/>
              </w:rPr>
            </w:pPr>
            <w:r>
              <w:rPr>
                <w:noProof/>
              </w:rPr>
              <w:t>C17.I5</w:t>
            </w:r>
          </w:p>
        </w:tc>
        <w:tc>
          <w:tcPr>
            <w:tcW w:w="609" w:type="dxa"/>
            <w:shd w:val="clear" w:color="auto" w:fill="C6EFCE"/>
            <w:noWrap/>
          </w:tcPr>
          <w:p w14:paraId="34ABC271" w14:textId="6313283D"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3C4F2837" w14:textId="40E2306F" w:rsidR="006578ED" w:rsidRDefault="00A1618E">
            <w:pPr>
              <w:pStyle w:val="P68B1DB1-Normal13"/>
              <w:spacing w:after="0" w:line="240" w:lineRule="auto"/>
              <w:rPr>
                <w:rFonts w:eastAsia="Times New Roman" w:cs="Times New Roman"/>
                <w:noProof/>
              </w:rPr>
            </w:pPr>
            <w:r>
              <w:rPr>
                <w:noProof/>
              </w:rPr>
              <w:t>Wspieranie młodych przedsiębiorstw opartych na technologii w realizacji ich biznesplanów.</w:t>
            </w:r>
          </w:p>
        </w:tc>
        <w:tc>
          <w:tcPr>
            <w:tcW w:w="993" w:type="dxa"/>
            <w:shd w:val="clear" w:color="auto" w:fill="C6EFCE"/>
            <w:noWrap/>
          </w:tcPr>
          <w:p w14:paraId="43C6A48A"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36A324D0"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tcPr>
          <w:p w14:paraId="3C75576E"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7C2BD86B" w14:textId="1DAD3CA5" w:rsidR="006578ED" w:rsidRDefault="00A1618E">
            <w:pPr>
              <w:pStyle w:val="P68B1DB1-Normal13"/>
              <w:spacing w:after="0" w:line="240" w:lineRule="auto"/>
              <w:jc w:val="center"/>
              <w:rPr>
                <w:rFonts w:cs="Times New Roman"/>
                <w:noProof/>
              </w:rPr>
            </w:pPr>
            <w:r>
              <w:rPr>
                <w:noProof/>
              </w:rPr>
              <w:t>348</w:t>
            </w:r>
          </w:p>
        </w:tc>
        <w:tc>
          <w:tcPr>
            <w:tcW w:w="567" w:type="dxa"/>
            <w:shd w:val="clear" w:color="auto" w:fill="C6EFCE"/>
          </w:tcPr>
          <w:p w14:paraId="2FFFD9F5" w14:textId="3D113983"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tcPr>
          <w:p w14:paraId="35565D59" w14:textId="40A3961A" w:rsidR="006578ED" w:rsidRDefault="00A1618E">
            <w:pPr>
              <w:pStyle w:val="P68B1DB1-Normal13"/>
              <w:spacing w:after="0" w:line="240" w:lineRule="auto"/>
              <w:jc w:val="center"/>
              <w:rPr>
                <w:rFonts w:cs="Times New Roman"/>
                <w:noProof/>
              </w:rPr>
            </w:pPr>
            <w:r>
              <w:rPr>
                <w:noProof/>
              </w:rPr>
              <w:t>2024</w:t>
            </w:r>
          </w:p>
        </w:tc>
        <w:tc>
          <w:tcPr>
            <w:tcW w:w="5812" w:type="dxa"/>
            <w:shd w:val="clear" w:color="auto" w:fill="C6EFCE"/>
            <w:noWrap/>
          </w:tcPr>
          <w:p w14:paraId="56488D7C" w14:textId="5E2FE01B" w:rsidR="006578ED" w:rsidRDefault="00A1618E">
            <w:pPr>
              <w:pStyle w:val="P68B1DB1-Normal13"/>
              <w:spacing w:after="0" w:line="240" w:lineRule="auto"/>
              <w:jc w:val="both"/>
              <w:rPr>
                <w:rFonts w:eastAsia="Times New Roman" w:cs="Times New Roman"/>
                <w:noProof/>
              </w:rPr>
            </w:pPr>
            <w:r>
              <w:rPr>
                <w:noProof/>
              </w:rPr>
              <w:t>Poprzez zaproszenia do składania wniosków o dotacje NEOTEC, aby promować transfer technologii i wspierać tworzenie nowych przedsiębiorstw w oparciu o innowacyjne technologie</w:t>
            </w:r>
            <w:r w:rsidRPr="00A1618E">
              <w:rPr>
                <w:noProof/>
                <w:lang w:val="pl-PL"/>
              </w:rPr>
              <w:t>: C</w:t>
            </w:r>
            <w:r>
              <w:rPr>
                <w:noProof/>
              </w:rPr>
              <w:t>o najmniej 348 firm opartych na nowych technologiach, którym przyznano zezwolenie na realizację swoich biznesplanów. Przedsiębiorstwa te powinny mieć co najmniej trzy lata i powinny być przedsiębiorstwami innowacyjnymi w rozumieniu ogólnego rozporządzenia w sprawie wyłączeń blokowych. Ocena projektów w ramach tej inwestycji zapewnia zgodność z wytycznymi technicznymi dotyczącymi zasady „nie czyń poważnych szkód” (2021/C58/01) określonymi w opisie działania.</w:t>
            </w:r>
          </w:p>
        </w:tc>
      </w:tr>
      <w:tr w:rsidR="006578ED" w14:paraId="50F6ED81" w14:textId="77777777">
        <w:trPr>
          <w:trHeight w:val="309"/>
        </w:trPr>
        <w:tc>
          <w:tcPr>
            <w:tcW w:w="701" w:type="dxa"/>
            <w:shd w:val="clear" w:color="auto" w:fill="C6EFCE"/>
            <w:noWrap/>
          </w:tcPr>
          <w:p w14:paraId="6124DB9E" w14:textId="7ADA6A8E" w:rsidR="006578ED" w:rsidRDefault="00A1618E">
            <w:pPr>
              <w:pStyle w:val="P68B1DB1-Normal13"/>
              <w:spacing w:after="0" w:line="240" w:lineRule="auto"/>
              <w:jc w:val="center"/>
              <w:rPr>
                <w:rFonts w:cs="Times New Roman"/>
                <w:noProof/>
              </w:rPr>
            </w:pPr>
            <w:r>
              <w:rPr>
                <w:noProof/>
              </w:rPr>
              <w:t>459</w:t>
            </w:r>
          </w:p>
        </w:tc>
        <w:tc>
          <w:tcPr>
            <w:tcW w:w="729" w:type="dxa"/>
            <w:shd w:val="clear" w:color="auto" w:fill="C6EFCE"/>
            <w:noWrap/>
          </w:tcPr>
          <w:p w14:paraId="5E0A2E70" w14:textId="2836B5B6" w:rsidR="006578ED" w:rsidRDefault="00A1618E">
            <w:pPr>
              <w:pStyle w:val="P68B1DB1-Normal13"/>
              <w:spacing w:after="0" w:line="240" w:lineRule="auto"/>
              <w:jc w:val="center"/>
              <w:rPr>
                <w:rFonts w:cs="Times New Roman"/>
                <w:noProof/>
              </w:rPr>
            </w:pPr>
            <w:r>
              <w:rPr>
                <w:noProof/>
              </w:rPr>
              <w:t>C17.I5</w:t>
            </w:r>
          </w:p>
        </w:tc>
        <w:tc>
          <w:tcPr>
            <w:tcW w:w="609" w:type="dxa"/>
            <w:shd w:val="clear" w:color="auto" w:fill="C6EFCE"/>
            <w:noWrap/>
          </w:tcPr>
          <w:p w14:paraId="47A46A0F" w14:textId="03A56242" w:rsidR="006578ED" w:rsidRDefault="00AF6B91">
            <w:pPr>
              <w:pStyle w:val="P68B1DB1-Normal13"/>
              <w:spacing w:after="0" w:line="240" w:lineRule="auto"/>
              <w:jc w:val="center"/>
              <w:rPr>
                <w:rFonts w:cs="Times New Roman"/>
                <w:noProof/>
              </w:rPr>
            </w:pPr>
            <w:r>
              <w:rPr>
                <w:noProof/>
              </w:rPr>
              <w:t>Cel</w:t>
            </w:r>
          </w:p>
        </w:tc>
        <w:tc>
          <w:tcPr>
            <w:tcW w:w="2039" w:type="dxa"/>
            <w:shd w:val="clear" w:color="auto" w:fill="C6EFCE"/>
            <w:noWrap/>
          </w:tcPr>
          <w:p w14:paraId="0985A675" w14:textId="1463510F" w:rsidR="006578ED" w:rsidRDefault="00A1618E">
            <w:pPr>
              <w:pStyle w:val="P68B1DB1-Normal13"/>
              <w:spacing w:after="0" w:line="240" w:lineRule="auto"/>
              <w:rPr>
                <w:rFonts w:cs="Times New Roman"/>
                <w:noProof/>
              </w:rPr>
            </w:pPr>
            <w:r>
              <w:rPr>
                <w:noProof/>
              </w:rPr>
              <w:t>Zakończenie projektów mających na celu promowanie transferu technologii i wspieranie transferu wyników badań nad technologiami innowacyjnymi</w:t>
            </w:r>
          </w:p>
        </w:tc>
        <w:tc>
          <w:tcPr>
            <w:tcW w:w="993" w:type="dxa"/>
            <w:shd w:val="clear" w:color="auto" w:fill="C6EFCE"/>
            <w:noWrap/>
          </w:tcPr>
          <w:p w14:paraId="674F8448" w14:textId="30C57019"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7092BDAE" w14:textId="216A2BED" w:rsidR="006578ED" w:rsidRDefault="00A1618E">
            <w:pPr>
              <w:pStyle w:val="P68B1DB1-Normal13"/>
              <w:spacing w:after="0" w:line="240" w:lineRule="auto"/>
              <w:jc w:val="center"/>
              <w:rPr>
                <w:rFonts w:cs="Times New Roman"/>
                <w:noProof/>
              </w:rPr>
            </w:pPr>
            <w:r>
              <w:rPr>
                <w:noProof/>
              </w:rPr>
              <w:t>W mln EUR</w:t>
            </w:r>
          </w:p>
        </w:tc>
        <w:tc>
          <w:tcPr>
            <w:tcW w:w="709" w:type="dxa"/>
            <w:shd w:val="clear" w:color="auto" w:fill="C6EFCE"/>
          </w:tcPr>
          <w:p w14:paraId="4883C242"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01C0362C" w14:textId="1155E9B3" w:rsidR="006578ED" w:rsidRDefault="00A1618E">
            <w:pPr>
              <w:pStyle w:val="P68B1DB1-Normal13"/>
              <w:spacing w:after="0" w:line="240" w:lineRule="auto"/>
              <w:jc w:val="center"/>
              <w:rPr>
                <w:rFonts w:cs="Times New Roman"/>
                <w:noProof/>
              </w:rPr>
            </w:pPr>
            <w:r>
              <w:rPr>
                <w:noProof/>
              </w:rPr>
              <w:t>118.8</w:t>
            </w:r>
          </w:p>
        </w:tc>
        <w:tc>
          <w:tcPr>
            <w:tcW w:w="567" w:type="dxa"/>
            <w:shd w:val="clear" w:color="auto" w:fill="C6EFCE"/>
          </w:tcPr>
          <w:p w14:paraId="45EAE171" w14:textId="79F4900D"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tcPr>
          <w:p w14:paraId="5ED79361" w14:textId="345FC9BE" w:rsidR="006578ED" w:rsidRDefault="00A1618E">
            <w:pPr>
              <w:pStyle w:val="P68B1DB1-Normal13"/>
              <w:spacing w:after="0" w:line="240" w:lineRule="auto"/>
              <w:jc w:val="center"/>
              <w:rPr>
                <w:rFonts w:cs="Times New Roman"/>
                <w:noProof/>
              </w:rPr>
            </w:pPr>
            <w:r>
              <w:rPr>
                <w:noProof/>
              </w:rPr>
              <w:t>2026</w:t>
            </w:r>
          </w:p>
        </w:tc>
        <w:tc>
          <w:tcPr>
            <w:tcW w:w="5812" w:type="dxa"/>
            <w:shd w:val="clear" w:color="auto" w:fill="C6EFCE"/>
            <w:noWrap/>
          </w:tcPr>
          <w:p w14:paraId="59CB4308" w14:textId="77777777" w:rsidR="006578ED" w:rsidRDefault="00A1618E">
            <w:pPr>
              <w:pStyle w:val="P68B1DB1-Normal13"/>
              <w:spacing w:after="0" w:line="240" w:lineRule="auto"/>
              <w:rPr>
                <w:rFonts w:eastAsia="Times New Roman" w:cs="Times New Roman"/>
                <w:noProof/>
              </w:rPr>
            </w:pPr>
            <w:r>
              <w:rPr>
                <w:noProof/>
              </w:rPr>
              <w:t>Zakończenie następujących projektów na łączną kwotę 118 800 000 EUR.</w:t>
            </w:r>
          </w:p>
          <w:p w14:paraId="65D76EE8" w14:textId="38F5443A" w:rsidR="006578ED" w:rsidRDefault="00A1618E">
            <w:pPr>
              <w:pStyle w:val="P68B1DB1-Normal13"/>
              <w:spacing w:after="0" w:line="240" w:lineRule="auto"/>
              <w:rPr>
                <w:rFonts w:eastAsia="Times New Roman" w:cs="Times New Roman"/>
                <w:noProof/>
              </w:rPr>
            </w:pPr>
            <w:r>
              <w:rPr>
                <w:noProof/>
              </w:rPr>
              <w:t>Projekty, na które udzielono dotacji, obejmują:</w:t>
            </w:r>
          </w:p>
          <w:p w14:paraId="14C6B4CB" w14:textId="7B08F350" w:rsidR="006578ED" w:rsidRDefault="00A1618E">
            <w:pPr>
              <w:pStyle w:val="P68B1DB1-Normal13"/>
              <w:spacing w:after="0" w:line="240" w:lineRule="auto"/>
              <w:rPr>
                <w:rFonts w:eastAsia="Times New Roman" w:cs="Times New Roman"/>
                <w:noProof/>
              </w:rPr>
            </w:pPr>
            <w:r>
              <w:rPr>
                <w:noProof/>
              </w:rPr>
              <w:t>Zaproszenie do składania wniosków o ekosystemy innowacji oparte na sieciach doskonałości „Cervera”</w:t>
            </w:r>
          </w:p>
          <w:p w14:paraId="2612828D" w14:textId="64626072" w:rsidR="006578ED" w:rsidRDefault="00A1618E">
            <w:pPr>
              <w:pStyle w:val="P68B1DB1-Normal13"/>
              <w:spacing w:after="0" w:line="240" w:lineRule="auto"/>
              <w:rPr>
                <w:rFonts w:eastAsia="Times New Roman" w:cs="Times New Roman"/>
                <w:noProof/>
              </w:rPr>
            </w:pPr>
            <w:r>
              <w:rPr>
                <w:noProof/>
              </w:rPr>
              <w:t>Poprawa zdolności i ukierunkowania biur transferu wyników badań</w:t>
            </w:r>
          </w:p>
          <w:p w14:paraId="2F27148B" w14:textId="79003894" w:rsidR="006578ED" w:rsidRDefault="00A1618E">
            <w:pPr>
              <w:pStyle w:val="P68B1DB1-Normal13"/>
              <w:spacing w:after="0" w:line="240" w:lineRule="auto"/>
              <w:rPr>
                <w:rFonts w:eastAsia="Times New Roman" w:cs="Times New Roman"/>
                <w:noProof/>
              </w:rPr>
            </w:pPr>
            <w:r>
              <w:rPr>
                <w:noProof/>
              </w:rPr>
              <w:t>Zaproszenie do składania wniosków o dotacje Cervera dla ośrodków technologicznych, ośrodków badawczych oraz MŚP i spółek o średniej kapitalizacji w celu prowadzenia badań i rozwoju w zakresie technologii priorytetowych</w:t>
            </w:r>
          </w:p>
          <w:p w14:paraId="0F3DCD3A" w14:textId="094BF09E" w:rsidR="006578ED" w:rsidRDefault="00A1618E">
            <w:pPr>
              <w:pStyle w:val="P68B1DB1-Normal13"/>
              <w:spacing w:after="0" w:line="240" w:lineRule="auto"/>
              <w:jc w:val="both"/>
              <w:rPr>
                <w:rFonts w:cs="Times New Roman"/>
                <w:noProof/>
              </w:rPr>
            </w:pPr>
            <w:r>
              <w:rPr>
                <w:noProof/>
              </w:rPr>
              <w:t>Wezwanie do wsparcia hiszpańskich MŚP za pomocą europejskiego pieczęci doskonałości</w:t>
            </w:r>
          </w:p>
        </w:tc>
      </w:tr>
      <w:tr w:rsidR="006578ED" w14:paraId="28CC9AE4" w14:textId="77777777">
        <w:trPr>
          <w:trHeight w:val="309"/>
        </w:trPr>
        <w:tc>
          <w:tcPr>
            <w:tcW w:w="701" w:type="dxa"/>
            <w:shd w:val="clear" w:color="auto" w:fill="C6EFCE"/>
            <w:noWrap/>
          </w:tcPr>
          <w:p w14:paraId="21AD04C3" w14:textId="77777777" w:rsidR="006578ED" w:rsidRDefault="00A1618E">
            <w:pPr>
              <w:pStyle w:val="P68B1DB1-Normal13"/>
              <w:spacing w:after="0" w:line="240" w:lineRule="auto"/>
              <w:jc w:val="center"/>
              <w:rPr>
                <w:rFonts w:eastAsia="Times New Roman" w:cs="Times New Roman"/>
                <w:noProof/>
              </w:rPr>
            </w:pPr>
            <w:r>
              <w:rPr>
                <w:noProof/>
              </w:rPr>
              <w:t>267</w:t>
            </w:r>
          </w:p>
        </w:tc>
        <w:tc>
          <w:tcPr>
            <w:tcW w:w="729" w:type="dxa"/>
            <w:shd w:val="clear" w:color="auto" w:fill="C6EFCE"/>
            <w:noWrap/>
          </w:tcPr>
          <w:p w14:paraId="059C602B" w14:textId="77777777" w:rsidR="006578ED" w:rsidRDefault="00A1618E">
            <w:pPr>
              <w:pStyle w:val="P68B1DB1-Normal13"/>
              <w:spacing w:after="0" w:line="240" w:lineRule="auto"/>
              <w:jc w:val="center"/>
              <w:rPr>
                <w:rFonts w:eastAsia="Times New Roman" w:cs="Times New Roman"/>
                <w:noProof/>
              </w:rPr>
            </w:pPr>
            <w:r>
              <w:rPr>
                <w:noProof/>
              </w:rPr>
              <w:t>C17.I6</w:t>
            </w:r>
          </w:p>
        </w:tc>
        <w:tc>
          <w:tcPr>
            <w:tcW w:w="609" w:type="dxa"/>
            <w:shd w:val="clear" w:color="auto" w:fill="C6EFCE"/>
            <w:noWrap/>
          </w:tcPr>
          <w:p w14:paraId="5B22155B" w14:textId="050A5DBB"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459A25B1" w14:textId="23B77231" w:rsidR="006578ED" w:rsidRDefault="00A1618E">
            <w:pPr>
              <w:pStyle w:val="P68B1DB1-Normal13"/>
              <w:spacing w:after="0" w:line="240" w:lineRule="auto"/>
              <w:rPr>
                <w:rFonts w:eastAsia="Times New Roman" w:cs="Times New Roman"/>
                <w:noProof/>
              </w:rPr>
            </w:pPr>
            <w:r>
              <w:rPr>
                <w:noProof/>
              </w:rPr>
              <w:t>Wspieranie projektów mających na celu wzmocnienie zdolności strategicznych i umiędzynarodowienie krajowego systemu opieki zdrowotnej, projektów związanych ze strategią precyzyjnej medycyny spersonalizowanej oraz wkładu w publiczne i prywatne narzędzie inwestycyjne w terapie zaawansowane.</w:t>
            </w:r>
          </w:p>
        </w:tc>
        <w:tc>
          <w:tcPr>
            <w:tcW w:w="993" w:type="dxa"/>
            <w:shd w:val="clear" w:color="auto" w:fill="C6EFCE"/>
            <w:noWrap/>
          </w:tcPr>
          <w:p w14:paraId="45A4C4C7"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5D1DD916" w14:textId="77777777" w:rsidR="006578ED" w:rsidRDefault="00A1618E">
            <w:pPr>
              <w:pStyle w:val="P68B1DB1-Normal13"/>
              <w:spacing w:after="0" w:line="240" w:lineRule="auto"/>
              <w:jc w:val="center"/>
              <w:rPr>
                <w:rFonts w:eastAsia="Times New Roman" w:cs="Times New Roman"/>
                <w:noProof/>
              </w:rPr>
            </w:pPr>
            <w:r>
              <w:rPr>
                <w:noProof/>
              </w:rPr>
              <w:t>W mln EUR</w:t>
            </w:r>
          </w:p>
        </w:tc>
        <w:tc>
          <w:tcPr>
            <w:tcW w:w="709" w:type="dxa"/>
            <w:shd w:val="clear" w:color="auto" w:fill="C6EFCE"/>
          </w:tcPr>
          <w:p w14:paraId="46CB8396"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65511315" w14:textId="7F0B684E" w:rsidR="006578ED" w:rsidRDefault="00A1618E">
            <w:pPr>
              <w:pStyle w:val="P68B1DB1-Normal13"/>
              <w:spacing w:after="0" w:line="240" w:lineRule="auto"/>
              <w:jc w:val="center"/>
              <w:rPr>
                <w:rFonts w:cs="Times New Roman"/>
                <w:noProof/>
              </w:rPr>
            </w:pPr>
            <w:r>
              <w:rPr>
                <w:noProof/>
              </w:rPr>
              <w:t>436.2</w:t>
            </w:r>
          </w:p>
        </w:tc>
        <w:tc>
          <w:tcPr>
            <w:tcW w:w="567" w:type="dxa"/>
            <w:shd w:val="clear" w:color="auto" w:fill="C6EFCE"/>
          </w:tcPr>
          <w:p w14:paraId="4B134831" w14:textId="65330330" w:rsidR="006578ED" w:rsidRDefault="00EC188C">
            <w:pPr>
              <w:pStyle w:val="P68B1DB1-Normal13"/>
              <w:spacing w:after="0" w:line="240" w:lineRule="auto"/>
              <w:jc w:val="center"/>
              <w:rPr>
                <w:rFonts w:cs="Times New Roman"/>
                <w:noProof/>
              </w:rPr>
            </w:pPr>
            <w:r>
              <w:rPr>
                <w:noProof/>
              </w:rPr>
              <w:t>KW. 1</w:t>
            </w:r>
          </w:p>
        </w:tc>
        <w:tc>
          <w:tcPr>
            <w:tcW w:w="567" w:type="dxa"/>
            <w:shd w:val="clear" w:color="auto" w:fill="C6EFCE"/>
          </w:tcPr>
          <w:p w14:paraId="5316A6CE" w14:textId="5D094771" w:rsidR="006578ED" w:rsidRDefault="00A1618E">
            <w:pPr>
              <w:pStyle w:val="P68B1DB1-Normal13"/>
              <w:spacing w:after="0" w:line="240" w:lineRule="auto"/>
              <w:jc w:val="center"/>
              <w:rPr>
                <w:rFonts w:cs="Times New Roman"/>
                <w:noProof/>
              </w:rPr>
            </w:pPr>
            <w:r>
              <w:rPr>
                <w:noProof/>
              </w:rPr>
              <w:t>2024</w:t>
            </w:r>
          </w:p>
        </w:tc>
        <w:tc>
          <w:tcPr>
            <w:tcW w:w="5812" w:type="dxa"/>
            <w:shd w:val="clear" w:color="auto" w:fill="C6EFCE"/>
            <w:noWrap/>
          </w:tcPr>
          <w:p w14:paraId="662CDB46" w14:textId="0B79433A" w:rsidR="006578ED" w:rsidRDefault="00A1618E">
            <w:pPr>
              <w:pStyle w:val="P68B1DB1-Normal13"/>
              <w:spacing w:after="0" w:line="240" w:lineRule="auto"/>
              <w:rPr>
                <w:rFonts w:cs="Times New Roman"/>
                <w:noProof/>
              </w:rPr>
            </w:pPr>
            <w:r>
              <w:rPr>
                <w:noProof/>
              </w:rPr>
              <w:t>Publikacja w Dz.U. przyznanej kwoty co najmniej 436 185 000 EUR:</w:t>
            </w:r>
            <w:r>
              <w:rPr>
                <w:noProof/>
                <w:shd w:val="clear" w:color="auto" w:fill="E6E6E6"/>
              </w:rPr>
              <w:br/>
            </w:r>
            <w:r>
              <w:rPr>
                <w:noProof/>
              </w:rPr>
              <w:t>* 174 000 000 EUR na projekty mające na celu wzmocnienie zdolności strategicznych i umiędzynarodowienie krajowego systemu opieki zdrowotnej, w tym</w:t>
            </w:r>
            <w:r w:rsidRPr="00A1618E">
              <w:rPr>
                <w:noProof/>
                <w:lang w:val="pl-PL"/>
              </w:rPr>
              <w:t xml:space="preserve">: </w:t>
            </w:r>
            <w:r w:rsidRPr="00A1618E">
              <w:rPr>
                <w:noProof/>
                <w:shd w:val="clear" w:color="auto" w:fill="E6E6E6"/>
                <w:lang w:val="pl-PL"/>
              </w:rPr>
              <w:br/>
            </w:r>
            <w:r>
              <w:rPr>
                <w:noProof/>
              </w:rPr>
              <w:t xml:space="preserve">80 000 000 EUR na przyznanie strategicznego działania na rzecz zdrowia </w:t>
            </w:r>
            <w:r>
              <w:rPr>
                <w:noProof/>
                <w:shd w:val="clear" w:color="auto" w:fill="E6E6E6"/>
              </w:rPr>
              <w:br/>
              <w:t xml:space="preserve"> </w:t>
            </w:r>
            <w:r>
              <w:rPr>
                <w:noProof/>
              </w:rPr>
              <w:t xml:space="preserve">75 000 000 EUR dotacji na zwiększenie potencjału naukowego ośrodków badawczych związanych z krajowym systemem opieki zdrowotnej oraz dotacji na wnioski związane z finansowaniem wyposażenia naukowo-technicznego, w tym odnawianiem sprzętu naukowo-technicznego w stanie postarzającym się, </w:t>
            </w:r>
            <w:r>
              <w:rPr>
                <w:noProof/>
                <w:shd w:val="clear" w:color="auto" w:fill="E6E6E6"/>
              </w:rPr>
              <w:br/>
              <w:t xml:space="preserve"> </w:t>
            </w:r>
            <w:r>
              <w:rPr>
                <w:noProof/>
              </w:rPr>
              <w:t>6 000 000 EUR na dotacje na pieczęć doskonałości Instituto de Salud Carlos III;</w:t>
            </w:r>
            <w:r>
              <w:rPr>
                <w:noProof/>
                <w:shd w:val="clear" w:color="auto" w:fill="E6E6E6"/>
              </w:rPr>
              <w:br/>
            </w:r>
            <w:r>
              <w:rPr>
                <w:noProof/>
              </w:rPr>
              <w:t>13 000 000 EUR dotacji dla partnerstw publiczno-prywatnych na włączenie środowiska GMP/LPG do grup badawczych SNS, tj. dotacje na umiędzynarodowienie krajowego systemu opieki zdrowotnej</w:t>
            </w:r>
            <w:r>
              <w:rPr>
                <w:noProof/>
                <w:shd w:val="clear" w:color="auto" w:fill="E6E6E6"/>
              </w:rPr>
              <w:br/>
              <w:t xml:space="preserve"> </w:t>
            </w:r>
            <w:r>
              <w:rPr>
                <w:noProof/>
              </w:rPr>
              <w:t>* 140 500 000 EUR na projekty związane ze strategią na rzecz medycyny personalizowanej, w tym:</w:t>
            </w:r>
            <w:r>
              <w:rPr>
                <w:noProof/>
                <w:shd w:val="clear" w:color="auto" w:fill="E6E6E6"/>
              </w:rPr>
              <w:br/>
            </w:r>
            <w:r>
              <w:rPr>
                <w:noProof/>
              </w:rPr>
              <w:t>29 500 000 EUR – Zaproszenie ogólne dotyczące medycyny personalizowanej</w:t>
            </w:r>
            <w:r>
              <w:rPr>
                <w:noProof/>
                <w:shd w:val="clear" w:color="auto" w:fill="E6E6E6"/>
              </w:rPr>
              <w:br/>
              <w:t xml:space="preserve"> </w:t>
            </w:r>
            <w:r>
              <w:rPr>
                <w:noProof/>
              </w:rPr>
              <w:t>Zaproszenie do składania wniosków w wysokości 91 500 000 EUR na konkretne programy dotyczące medycyny personalizowanej</w:t>
            </w:r>
            <w:r>
              <w:rPr>
                <w:noProof/>
                <w:shd w:val="clear" w:color="auto" w:fill="E6E6E6"/>
              </w:rPr>
              <w:br/>
              <w:t xml:space="preserve"> </w:t>
            </w:r>
            <w:r>
              <w:rPr>
                <w:noProof/>
              </w:rPr>
              <w:t>Zaproszenie do składania wniosków w wysokości 15 000 000 EUR w ramach planu na rzecz terapii spersonalizowanych i zaawansowanych</w:t>
            </w:r>
            <w:r>
              <w:rPr>
                <w:noProof/>
                <w:shd w:val="clear" w:color="auto" w:fill="E6E6E6"/>
              </w:rPr>
              <w:br/>
              <w:t xml:space="preserve"> </w:t>
            </w:r>
            <w:r>
              <w:rPr>
                <w:noProof/>
              </w:rPr>
              <w:t>Zaproszenie do składania wniosków w wysokości 4 500 000 EUR na umiędzynarodowienie medycyny personalizowanej przez Hiszpanię</w:t>
            </w:r>
            <w:r>
              <w:rPr>
                <w:noProof/>
                <w:shd w:val="clear" w:color="auto" w:fill="E6E6E6"/>
              </w:rPr>
              <w:br/>
              <w:t xml:space="preserve"> </w:t>
            </w:r>
            <w:r>
              <w:rPr>
                <w:noProof/>
              </w:rPr>
              <w:t xml:space="preserve">Środki na rzecz umiędzynarodowienia systemu opieki zdrowotnej wspierają pozycję Hiszpanii w europejskim sektorze opieki zdrowotnej poprzez zachęcanie Hiszpanii do uczestnictwa w unijnym programie HEALTH i w programie „Horyzont Europa”. Umożliwia on finansowanie klastrów badań naukowych i innowacji, które są częścią wspólnych transgranicznych projektów programowania wybranych do finansowania w ramach partnerstw w ramach programu „Horyzont Europa” i programu „Horyzont 2020”, takich jak współfinansowanie ERA-Net, europejskie inicjatywy w zakresie wspólnego planowania lub międzynarodowe inicjatywy w zakresie wspólnego planowania, inicjatywy ustanowione na mocy </w:t>
            </w:r>
            <w:r w:rsidRPr="00A1618E">
              <w:rPr>
                <w:noProof/>
                <w:lang w:val="pl-PL"/>
              </w:rPr>
              <w:t>art. 1</w:t>
            </w:r>
            <w:r>
              <w:rPr>
                <w:noProof/>
              </w:rPr>
              <w:t>87 i 185 Traktatu o funkcjonowaniu Unii Europejskiej (TFUE) oraz partnerstwa ustanowione w programie ramowym „Horyzont Europa”.</w:t>
            </w:r>
            <w:r>
              <w:rPr>
                <w:noProof/>
                <w:shd w:val="clear" w:color="auto" w:fill="E6E6E6"/>
              </w:rPr>
              <w:br/>
            </w:r>
            <w:r>
              <w:rPr>
                <w:noProof/>
              </w:rPr>
              <w:t>*Oraz co najmniej 1 wkład w wysokości 36 685 000 EUR na rzecz publiczno-prywatnego instrumentu inwestycyjnego w zakresie terapii zaawansowanych.</w:t>
            </w:r>
          </w:p>
          <w:p w14:paraId="61E4FD0C" w14:textId="606537AD" w:rsidR="006578ED" w:rsidRDefault="00A1618E">
            <w:pPr>
              <w:pStyle w:val="P68B1DB1-Normal13"/>
              <w:spacing w:after="0" w:line="240" w:lineRule="auto"/>
              <w:rPr>
                <w:rFonts w:eastAsia="Times New Roman" w:cs="Times New Roman"/>
                <w:noProof/>
              </w:rPr>
            </w:pPr>
            <w:r>
              <w:rPr>
                <w:noProof/>
              </w:rPr>
              <w:t>* 85 000 000 EUR na działania w ramach PERTE na rzecz zdrowia w czołówce: zaproszenie do składania wspólnych misji Ministerstwa Zdrowia oraz Ministerstwa Nauki i Innowacji w zakresie Chorób Rzadkich; (ii) Zaproszenie do wspólnych misji Ministerstwa Zdrowia oraz Ministerstwa Nauki i Innowacji w zakresie wdrażania medycyny precyzyjnej; iii) Zaproszenie do inwestowania w szkolenia, zmodernizowaną infrastrukturę, projektowanie i wyposażenie dla zdolności badawczych jednostek badań klinicznych zorientowanych na pacjenta.</w:t>
            </w:r>
            <w:r>
              <w:rPr>
                <w:noProof/>
                <w:shd w:val="clear" w:color="auto" w:fill="E6E6E6"/>
              </w:rPr>
              <w:t xml:space="preserve"> </w:t>
            </w:r>
          </w:p>
        </w:tc>
      </w:tr>
      <w:tr w:rsidR="006578ED" w14:paraId="6A9143EA" w14:textId="77777777">
        <w:trPr>
          <w:trHeight w:val="309"/>
        </w:trPr>
        <w:tc>
          <w:tcPr>
            <w:tcW w:w="701" w:type="dxa"/>
            <w:shd w:val="clear" w:color="auto" w:fill="C6EFCE"/>
            <w:noWrap/>
          </w:tcPr>
          <w:p w14:paraId="4C5ED506" w14:textId="77777777" w:rsidR="006578ED" w:rsidRDefault="00A1618E">
            <w:pPr>
              <w:pStyle w:val="P68B1DB1-Normal13"/>
              <w:spacing w:after="0" w:line="240" w:lineRule="auto"/>
              <w:jc w:val="center"/>
              <w:rPr>
                <w:rFonts w:eastAsia="Times New Roman" w:cs="Times New Roman"/>
                <w:noProof/>
              </w:rPr>
            </w:pPr>
            <w:r>
              <w:rPr>
                <w:noProof/>
              </w:rPr>
              <w:t>268</w:t>
            </w:r>
          </w:p>
        </w:tc>
        <w:tc>
          <w:tcPr>
            <w:tcW w:w="729" w:type="dxa"/>
            <w:shd w:val="clear" w:color="auto" w:fill="C6EFCE"/>
            <w:noWrap/>
          </w:tcPr>
          <w:p w14:paraId="6D1F29DC" w14:textId="77777777" w:rsidR="006578ED" w:rsidRDefault="00A1618E">
            <w:pPr>
              <w:pStyle w:val="P68B1DB1-Normal13"/>
              <w:spacing w:after="0" w:line="240" w:lineRule="auto"/>
              <w:jc w:val="center"/>
              <w:rPr>
                <w:rFonts w:eastAsia="Times New Roman" w:cs="Times New Roman"/>
                <w:noProof/>
              </w:rPr>
            </w:pPr>
            <w:r>
              <w:rPr>
                <w:noProof/>
              </w:rPr>
              <w:t>C17.I6</w:t>
            </w:r>
          </w:p>
        </w:tc>
        <w:tc>
          <w:tcPr>
            <w:tcW w:w="609" w:type="dxa"/>
            <w:shd w:val="clear" w:color="auto" w:fill="C6EFCE"/>
            <w:noWrap/>
          </w:tcPr>
          <w:p w14:paraId="5F95BF3A" w14:textId="761C187C"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0ED5F9E7" w14:textId="580CF65B" w:rsidR="006578ED" w:rsidRDefault="00A1618E">
            <w:pPr>
              <w:pStyle w:val="P68B1DB1-Normal13"/>
              <w:spacing w:after="0" w:line="240" w:lineRule="auto"/>
              <w:rPr>
                <w:rFonts w:eastAsia="Times New Roman" w:cs="Times New Roman"/>
                <w:noProof/>
              </w:rPr>
            </w:pPr>
            <w:r>
              <w:rPr>
                <w:noProof/>
              </w:rPr>
              <w:t xml:space="preserve">Zakończenie wszystkich projektów mających na celu wzmocnienie badań naukowych i innowacji w sektorze zdrowia. </w:t>
            </w:r>
          </w:p>
        </w:tc>
        <w:tc>
          <w:tcPr>
            <w:tcW w:w="993" w:type="dxa"/>
            <w:shd w:val="clear" w:color="auto" w:fill="C6EFCE"/>
            <w:noWrap/>
          </w:tcPr>
          <w:p w14:paraId="41E0C0A0"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850" w:type="dxa"/>
            <w:shd w:val="clear" w:color="auto" w:fill="C6EFCE"/>
            <w:noWrap/>
          </w:tcPr>
          <w:p w14:paraId="664A8C52"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0515E4BE"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3B6F4AD7" w14:textId="29C5D2B2" w:rsidR="006578ED" w:rsidRDefault="00A1618E">
            <w:pPr>
              <w:pStyle w:val="P68B1DB1-Normal13"/>
              <w:spacing w:after="0" w:line="240" w:lineRule="auto"/>
              <w:jc w:val="center"/>
              <w:rPr>
                <w:rFonts w:cs="Times New Roman"/>
                <w:noProof/>
              </w:rPr>
            </w:pPr>
            <w:r>
              <w:rPr>
                <w:noProof/>
              </w:rPr>
              <w:t>100</w:t>
            </w:r>
          </w:p>
        </w:tc>
        <w:tc>
          <w:tcPr>
            <w:tcW w:w="567" w:type="dxa"/>
            <w:shd w:val="clear" w:color="auto" w:fill="C6EFCE"/>
          </w:tcPr>
          <w:p w14:paraId="60466CD6" w14:textId="4853D7CC"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tcPr>
          <w:p w14:paraId="0F1A0D18" w14:textId="14C1893B" w:rsidR="006578ED" w:rsidRDefault="00A1618E">
            <w:pPr>
              <w:pStyle w:val="P68B1DB1-Normal13"/>
              <w:spacing w:after="0" w:line="240" w:lineRule="auto"/>
              <w:jc w:val="center"/>
              <w:rPr>
                <w:rFonts w:cs="Times New Roman"/>
                <w:noProof/>
              </w:rPr>
            </w:pPr>
            <w:r>
              <w:rPr>
                <w:noProof/>
              </w:rPr>
              <w:t>2026</w:t>
            </w:r>
          </w:p>
        </w:tc>
        <w:tc>
          <w:tcPr>
            <w:tcW w:w="5812" w:type="dxa"/>
            <w:shd w:val="clear" w:color="auto" w:fill="C6EFCE"/>
            <w:noWrap/>
          </w:tcPr>
          <w:p w14:paraId="45396BF5" w14:textId="7DD88EF8" w:rsidR="006578ED" w:rsidRDefault="00A1618E">
            <w:pPr>
              <w:pStyle w:val="P68B1DB1-Normal8"/>
              <w:spacing w:after="0" w:line="240" w:lineRule="auto"/>
              <w:rPr>
                <w:rFonts w:eastAsia="Times New Roman" w:cs="Times New Roman"/>
                <w:noProof/>
                <w:sz w:val="18"/>
              </w:rPr>
            </w:pPr>
            <w:r>
              <w:rPr>
                <w:noProof/>
                <w:sz w:val="18"/>
              </w:rPr>
              <w:t>Zakończenie wszystkich projektów na łączną kwotę 527 126 000 EUR.</w:t>
            </w:r>
            <w:r>
              <w:rPr>
                <w:noProof/>
              </w:rPr>
              <w:br/>
            </w:r>
            <w:r>
              <w:rPr>
                <w:noProof/>
                <w:sz w:val="18"/>
              </w:rPr>
              <w:t>Przyznane projekty, w tym następujące zaproszenia do składania wniosków:</w:t>
            </w:r>
            <w:r>
              <w:rPr>
                <w:noProof/>
              </w:rPr>
              <w:br/>
            </w:r>
            <w:r>
              <w:rPr>
                <w:noProof/>
                <w:sz w:val="18"/>
              </w:rPr>
              <w:t xml:space="preserve">* W odniesieniu do wzmocnienia zdolności strategicznych i umiędzynarodowienia krajowego systemu opieki zdrowotnej: </w:t>
            </w:r>
            <w:r>
              <w:rPr>
                <w:noProof/>
              </w:rPr>
              <w:br/>
            </w:r>
            <w:r>
              <w:rPr>
                <w:noProof/>
                <w:sz w:val="18"/>
              </w:rPr>
              <w:t xml:space="preserve"> strategiczne działanie na rzecz zdrowia </w:t>
            </w:r>
            <w:r w:rsidRPr="00A1618E">
              <w:rPr>
                <w:noProof/>
                <w:lang w:val="pl-PL"/>
              </w:rPr>
              <w:br/>
              <w:t xml:space="preserve"> </w:t>
            </w:r>
            <w:r w:rsidRPr="00A1618E">
              <w:rPr>
                <w:noProof/>
                <w:sz w:val="18"/>
                <w:lang w:val="pl-PL"/>
              </w:rPr>
              <w:t>p</w:t>
            </w:r>
            <w:r>
              <w:rPr>
                <w:noProof/>
                <w:sz w:val="18"/>
              </w:rPr>
              <w:t xml:space="preserve">rojekty mające na celu zwiększenie potencjału naukowego ośrodków badawczych związanych z krajowym systemem opieki zdrowotnej, </w:t>
            </w:r>
            <w:r w:rsidRPr="00A1618E">
              <w:rPr>
                <w:noProof/>
                <w:lang w:val="pl-PL"/>
              </w:rPr>
              <w:br/>
              <w:t xml:space="preserve"> </w:t>
            </w:r>
            <w:r w:rsidRPr="00A1618E">
              <w:rPr>
                <w:noProof/>
                <w:sz w:val="18"/>
                <w:lang w:val="pl-PL"/>
              </w:rPr>
              <w:t>w</w:t>
            </w:r>
            <w:r>
              <w:rPr>
                <w:noProof/>
                <w:sz w:val="18"/>
              </w:rPr>
              <w:t xml:space="preserve">nioski związane z finansowaniem wyposażenia naukowo-technicznego, w tym odnawianiem sprzętu naukowo-technicznego w okresie postarzania, </w:t>
            </w:r>
            <w:r w:rsidRPr="00A1618E">
              <w:rPr>
                <w:noProof/>
                <w:lang w:val="pl-PL"/>
              </w:rPr>
              <w:br/>
              <w:t xml:space="preserve"> </w:t>
            </w:r>
            <w:r w:rsidRPr="00A1618E">
              <w:rPr>
                <w:noProof/>
                <w:sz w:val="18"/>
                <w:lang w:val="pl-PL"/>
              </w:rPr>
              <w:t>p</w:t>
            </w:r>
            <w:r>
              <w:rPr>
                <w:noProof/>
                <w:sz w:val="18"/>
              </w:rPr>
              <w:t xml:space="preserve">rojekty dotyczące pieczęci doskonałości Instituto de Salud Carlos III; oraz </w:t>
            </w:r>
            <w:r w:rsidRPr="00A1618E">
              <w:rPr>
                <w:noProof/>
                <w:lang w:val="pl-PL"/>
              </w:rPr>
              <w:br/>
              <w:t xml:space="preserve"> </w:t>
            </w:r>
            <w:r w:rsidRPr="00A1618E">
              <w:rPr>
                <w:noProof/>
                <w:sz w:val="18"/>
                <w:lang w:val="pl-PL"/>
              </w:rPr>
              <w:t>p</w:t>
            </w:r>
            <w:r>
              <w:rPr>
                <w:noProof/>
                <w:sz w:val="18"/>
              </w:rPr>
              <w:t>artnerstwa publiczno-prywatne na rzecz włączenia środowiska GMP/LPG do grup badawczych SNS.</w:t>
            </w:r>
            <w:r>
              <w:rPr>
                <w:noProof/>
              </w:rPr>
              <w:br/>
            </w:r>
            <w:r>
              <w:rPr>
                <w:noProof/>
                <w:sz w:val="18"/>
              </w:rPr>
              <w:t>* W odniesieniu do strategii na rzecz medycyny personalizowanej:</w:t>
            </w:r>
            <w:r>
              <w:rPr>
                <w:noProof/>
              </w:rPr>
              <w:br/>
            </w:r>
            <w:r>
              <w:rPr>
                <w:noProof/>
                <w:sz w:val="18"/>
              </w:rPr>
              <w:t xml:space="preserve"> — projekty w ramach ogólnego zaproszenia do składania wniosków dotyczących medycyny personalizowanej</w:t>
            </w:r>
            <w:r w:rsidRPr="00A1618E">
              <w:rPr>
                <w:noProof/>
                <w:lang w:val="pl-PL"/>
              </w:rPr>
              <w:br/>
              <w:t xml:space="preserve"> </w:t>
            </w:r>
            <w:r w:rsidRPr="00A1618E">
              <w:rPr>
                <w:noProof/>
                <w:sz w:val="18"/>
                <w:lang w:val="pl-PL"/>
              </w:rPr>
              <w:t>p</w:t>
            </w:r>
            <w:r>
              <w:rPr>
                <w:noProof/>
                <w:sz w:val="18"/>
              </w:rPr>
              <w:t>rojekty w ramach zaproszenia do składania wniosków dotyczących planu terapii spersonalizowanych i zaawansowanych</w:t>
            </w:r>
            <w:r w:rsidRPr="00A1618E">
              <w:rPr>
                <w:noProof/>
                <w:lang w:val="pl-PL"/>
              </w:rPr>
              <w:br/>
              <w:t xml:space="preserve"> </w:t>
            </w:r>
            <w:r w:rsidRPr="00A1618E">
              <w:rPr>
                <w:noProof/>
                <w:sz w:val="18"/>
                <w:lang w:val="pl-PL"/>
              </w:rPr>
              <w:t>—</w:t>
            </w:r>
            <w:r>
              <w:rPr>
                <w:noProof/>
                <w:sz w:val="18"/>
              </w:rPr>
              <w:t xml:space="preserve"> projekty w ramach zaproszenia do składania wniosków o umiędzynarodowienie hiszpańskiej medycyny personalizowanej</w:t>
            </w:r>
            <w:r>
              <w:rPr>
                <w:noProof/>
              </w:rPr>
              <w:br/>
              <w:t xml:space="preserve"> </w:t>
            </w:r>
            <w:r>
              <w:rPr>
                <w:noProof/>
                <w:sz w:val="18"/>
              </w:rPr>
              <w:t>* Co najmniej 2 podwyższenie kapitału w celu przeprowadzenia badań klinicznych (etap II i III) leków do terapii zaawansowanych</w:t>
            </w:r>
          </w:p>
          <w:p w14:paraId="46EF6F65" w14:textId="77777777" w:rsidR="006578ED" w:rsidRDefault="006578ED">
            <w:pPr>
              <w:spacing w:after="0" w:line="240" w:lineRule="auto"/>
              <w:rPr>
                <w:rFonts w:ascii="Times New Roman" w:hAnsi="Times New Roman" w:cs="Times New Roman"/>
                <w:noProof/>
                <w:sz w:val="18"/>
              </w:rPr>
            </w:pPr>
          </w:p>
        </w:tc>
      </w:tr>
      <w:tr w:rsidR="006578ED" w14:paraId="7DE39A3A" w14:textId="77777777">
        <w:trPr>
          <w:trHeight w:val="309"/>
        </w:trPr>
        <w:tc>
          <w:tcPr>
            <w:tcW w:w="701" w:type="dxa"/>
            <w:shd w:val="clear" w:color="auto" w:fill="C6EFCE"/>
            <w:noWrap/>
          </w:tcPr>
          <w:p w14:paraId="3CCF428E" w14:textId="0B61B297" w:rsidR="006578ED" w:rsidRDefault="00A1618E">
            <w:pPr>
              <w:pStyle w:val="P68B1DB1-Normal13"/>
              <w:spacing w:after="0" w:line="240" w:lineRule="auto"/>
              <w:jc w:val="center"/>
              <w:rPr>
                <w:rFonts w:cs="Times New Roman"/>
                <w:noProof/>
              </w:rPr>
            </w:pPr>
            <w:r>
              <w:rPr>
                <w:noProof/>
              </w:rPr>
              <w:t>460</w:t>
            </w:r>
          </w:p>
        </w:tc>
        <w:tc>
          <w:tcPr>
            <w:tcW w:w="729" w:type="dxa"/>
            <w:shd w:val="clear" w:color="auto" w:fill="C6EFCE"/>
            <w:noWrap/>
          </w:tcPr>
          <w:p w14:paraId="76390B63" w14:textId="3E0CF364" w:rsidR="006578ED" w:rsidRDefault="00A1618E">
            <w:pPr>
              <w:pStyle w:val="P68B1DB1-Normal13"/>
              <w:spacing w:after="0" w:line="240" w:lineRule="auto"/>
              <w:jc w:val="center"/>
              <w:rPr>
                <w:rFonts w:cs="Times New Roman"/>
                <w:noProof/>
              </w:rPr>
            </w:pPr>
            <w:r>
              <w:rPr>
                <w:noProof/>
              </w:rPr>
              <w:t>C17.I6</w:t>
            </w:r>
          </w:p>
        </w:tc>
        <w:tc>
          <w:tcPr>
            <w:tcW w:w="609" w:type="dxa"/>
            <w:shd w:val="clear" w:color="auto" w:fill="C6EFCE"/>
            <w:noWrap/>
          </w:tcPr>
          <w:p w14:paraId="0576D1F3" w14:textId="3822917F" w:rsidR="006578ED" w:rsidRDefault="00AF6B91">
            <w:pPr>
              <w:pStyle w:val="P68B1DB1-Normal13"/>
              <w:spacing w:after="0" w:line="240" w:lineRule="auto"/>
              <w:jc w:val="center"/>
              <w:rPr>
                <w:rFonts w:cs="Times New Roman"/>
                <w:noProof/>
              </w:rPr>
            </w:pPr>
            <w:r>
              <w:rPr>
                <w:noProof/>
              </w:rPr>
              <w:t>Cel</w:t>
            </w:r>
          </w:p>
        </w:tc>
        <w:tc>
          <w:tcPr>
            <w:tcW w:w="2039" w:type="dxa"/>
            <w:shd w:val="clear" w:color="auto" w:fill="C6EFCE"/>
            <w:noWrap/>
          </w:tcPr>
          <w:p w14:paraId="3A6109DB" w14:textId="38485E24" w:rsidR="006578ED" w:rsidRDefault="00A1618E">
            <w:pPr>
              <w:pStyle w:val="P68B1DB1-Normal13"/>
              <w:spacing w:after="0" w:line="240" w:lineRule="auto"/>
              <w:rPr>
                <w:rFonts w:cs="Times New Roman"/>
                <w:noProof/>
              </w:rPr>
            </w:pPr>
            <w:r>
              <w:rPr>
                <w:noProof/>
              </w:rPr>
              <w:t xml:space="preserve">Wypłata środków na projekty badawczo-rozwojowe w ramach PERTE Zdrowie </w:t>
            </w:r>
          </w:p>
        </w:tc>
        <w:tc>
          <w:tcPr>
            <w:tcW w:w="993" w:type="dxa"/>
            <w:shd w:val="clear" w:color="auto" w:fill="C6EFCE"/>
            <w:noWrap/>
          </w:tcPr>
          <w:p w14:paraId="37C3E156" w14:textId="6DA9DDA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70A884B8" w14:textId="28A95139" w:rsidR="006578ED" w:rsidRDefault="00A1618E">
            <w:pPr>
              <w:pStyle w:val="P68B1DB1-Normal13"/>
              <w:spacing w:after="0" w:line="240" w:lineRule="auto"/>
              <w:jc w:val="center"/>
              <w:rPr>
                <w:rFonts w:cs="Times New Roman"/>
                <w:noProof/>
              </w:rPr>
            </w:pPr>
            <w:r>
              <w:rPr>
                <w:noProof/>
              </w:rPr>
              <w:t>W mln EUR</w:t>
            </w:r>
          </w:p>
        </w:tc>
        <w:tc>
          <w:tcPr>
            <w:tcW w:w="709" w:type="dxa"/>
            <w:shd w:val="clear" w:color="auto" w:fill="C6EFCE"/>
          </w:tcPr>
          <w:p w14:paraId="0BF876F1"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55F7A4D6" w14:textId="029DAD6F" w:rsidR="006578ED" w:rsidRDefault="00A1618E">
            <w:pPr>
              <w:pStyle w:val="P68B1DB1-Normal13"/>
              <w:spacing w:after="0" w:line="240" w:lineRule="auto"/>
              <w:jc w:val="center"/>
              <w:rPr>
                <w:rFonts w:cs="Times New Roman"/>
                <w:noProof/>
              </w:rPr>
            </w:pPr>
            <w:r>
              <w:rPr>
                <w:noProof/>
              </w:rPr>
              <w:t>243</w:t>
            </w:r>
          </w:p>
        </w:tc>
        <w:tc>
          <w:tcPr>
            <w:tcW w:w="567" w:type="dxa"/>
            <w:shd w:val="clear" w:color="auto" w:fill="C6EFCE"/>
          </w:tcPr>
          <w:p w14:paraId="187B82CE" w14:textId="065093F8"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tcPr>
          <w:p w14:paraId="5555E33D" w14:textId="5A53107F" w:rsidR="006578ED" w:rsidRDefault="00A1618E">
            <w:pPr>
              <w:pStyle w:val="P68B1DB1-Normal13"/>
              <w:spacing w:after="0" w:line="240" w:lineRule="auto"/>
              <w:jc w:val="center"/>
              <w:rPr>
                <w:rFonts w:cs="Times New Roman"/>
                <w:noProof/>
              </w:rPr>
            </w:pPr>
            <w:r>
              <w:rPr>
                <w:noProof/>
              </w:rPr>
              <w:t>2026</w:t>
            </w:r>
          </w:p>
        </w:tc>
        <w:tc>
          <w:tcPr>
            <w:tcW w:w="5812" w:type="dxa"/>
            <w:shd w:val="clear" w:color="auto" w:fill="C6EFCE"/>
            <w:noWrap/>
          </w:tcPr>
          <w:p w14:paraId="3FACC89B" w14:textId="77777777" w:rsidR="006578ED" w:rsidRDefault="00A1618E">
            <w:pPr>
              <w:pStyle w:val="P68B1DB1-Normal13"/>
              <w:spacing w:after="0" w:line="240" w:lineRule="auto"/>
              <w:rPr>
                <w:rFonts w:eastAsia="Times New Roman" w:cs="Times New Roman"/>
                <w:noProof/>
              </w:rPr>
            </w:pPr>
            <w:r>
              <w:rPr>
                <w:noProof/>
              </w:rPr>
              <w:t xml:space="preserve">W ramach PERTE Zdrowie wypłacono 243 000 000 EUR na następujące projekty badawczo-rozwojowe: </w:t>
            </w:r>
          </w:p>
          <w:p w14:paraId="6298AE6F" w14:textId="6B052FD8" w:rsidR="006578ED" w:rsidRDefault="00A1618E">
            <w:pPr>
              <w:pStyle w:val="P68B1DB1-Normal13"/>
              <w:spacing w:after="0" w:line="240" w:lineRule="auto"/>
              <w:rPr>
                <w:rFonts w:eastAsia="Times New Roman" w:cs="Times New Roman"/>
                <w:noProof/>
              </w:rPr>
            </w:pPr>
            <w:r>
              <w:rPr>
                <w:noProof/>
              </w:rPr>
              <w:t xml:space="preserve">projekty mające na celu wzmocnienie i umiędzynarodowienie potencjału przemysłowego sektora ochrony zdrowia, </w:t>
            </w:r>
          </w:p>
          <w:p w14:paraId="1668C725" w14:textId="08BE0F7A" w:rsidR="006578ED" w:rsidRDefault="00A1618E">
            <w:pPr>
              <w:pStyle w:val="P68B1DB1-Normal13"/>
              <w:spacing w:after="0" w:line="240" w:lineRule="auto"/>
              <w:rPr>
                <w:rFonts w:eastAsia="Times New Roman" w:cs="Times New Roman"/>
                <w:noProof/>
              </w:rPr>
            </w:pPr>
            <w:r>
              <w:rPr>
                <w:noProof/>
              </w:rPr>
              <w:t xml:space="preserve">projekty wspólnej misji w zakresie chorób rzadkich, w tym chorób ALS i chorób neuromięśniowych, </w:t>
            </w:r>
          </w:p>
          <w:p w14:paraId="4CACA2B8" w14:textId="61176FD5" w:rsidR="006578ED" w:rsidRDefault="00A1618E">
            <w:pPr>
              <w:pStyle w:val="P68B1DB1-Normal13"/>
              <w:spacing w:after="0" w:line="240" w:lineRule="auto"/>
              <w:rPr>
                <w:rFonts w:eastAsia="Times New Roman" w:cs="Times New Roman"/>
                <w:noProof/>
              </w:rPr>
            </w:pPr>
            <w:r>
              <w:rPr>
                <w:noProof/>
              </w:rPr>
              <w:t xml:space="preserve">projekty wspólnej misji w zakresie medycyny precyzyjnej, </w:t>
            </w:r>
          </w:p>
          <w:p w14:paraId="15EB433D" w14:textId="7AF5DF19" w:rsidR="006578ED" w:rsidRDefault="00A1618E">
            <w:pPr>
              <w:pStyle w:val="P68B1DB1-Normal13"/>
              <w:spacing w:after="0" w:line="240" w:lineRule="auto"/>
              <w:rPr>
                <w:rFonts w:eastAsia="Times New Roman" w:cs="Times New Roman"/>
                <w:noProof/>
              </w:rPr>
            </w:pPr>
            <w:r>
              <w:rPr>
                <w:noProof/>
              </w:rPr>
              <w:t xml:space="preserve">utworzenie platformy proteomicznej i metabolomicznej w Instituto de Salud Carlos III (ISCIII), </w:t>
            </w:r>
          </w:p>
          <w:p w14:paraId="7D7F3F31" w14:textId="77777777" w:rsidR="006578ED" w:rsidRDefault="00A1618E">
            <w:pPr>
              <w:pStyle w:val="P68B1DB1-Normal13"/>
              <w:spacing w:after="0" w:line="240" w:lineRule="auto"/>
              <w:rPr>
                <w:rFonts w:eastAsia="Times New Roman" w:cs="Times New Roman"/>
                <w:noProof/>
              </w:rPr>
            </w:pPr>
            <w:r>
              <w:rPr>
                <w:noProof/>
              </w:rPr>
              <w:t>projekty dotyczące aktualizacji infrastruktury do biomonitorowania ludzi ISCIII; oraz</w:t>
            </w:r>
          </w:p>
          <w:p w14:paraId="5AFB8329" w14:textId="4896EEEC" w:rsidR="006578ED" w:rsidRDefault="00A1618E">
            <w:pPr>
              <w:pStyle w:val="P68B1DB1-Normal13"/>
              <w:spacing w:after="0" w:line="240" w:lineRule="auto"/>
              <w:rPr>
                <w:rFonts w:cs="Times New Roman"/>
                <w:noProof/>
              </w:rPr>
            </w:pPr>
            <w:r>
              <w:rPr>
                <w:noProof/>
              </w:rPr>
              <w:t>projekty mające na celu modernizację jednostek badań klinicznych zorientowanych na pacjenta w celu modernizacji ich infrastruktury, projektu lub wyposażenia na potrzeby ich zdolności badawczych, szkolenia w zakresie badań klinicznych lub opracowane biura kontroli badań klinicznych.</w:t>
            </w:r>
          </w:p>
        </w:tc>
      </w:tr>
      <w:tr w:rsidR="006578ED" w14:paraId="4F8BD98F" w14:textId="77777777">
        <w:trPr>
          <w:trHeight w:val="309"/>
        </w:trPr>
        <w:tc>
          <w:tcPr>
            <w:tcW w:w="701" w:type="dxa"/>
            <w:shd w:val="clear" w:color="auto" w:fill="C6EFCE"/>
            <w:noWrap/>
          </w:tcPr>
          <w:p w14:paraId="61E75A1F" w14:textId="77777777" w:rsidR="006578ED" w:rsidRDefault="00A1618E">
            <w:pPr>
              <w:pStyle w:val="P68B1DB1-Normal13"/>
              <w:spacing w:after="0" w:line="240" w:lineRule="auto"/>
              <w:jc w:val="center"/>
              <w:rPr>
                <w:rFonts w:eastAsia="Times New Roman" w:cs="Times New Roman"/>
                <w:noProof/>
              </w:rPr>
            </w:pPr>
            <w:r>
              <w:rPr>
                <w:noProof/>
              </w:rPr>
              <w:t>269</w:t>
            </w:r>
          </w:p>
        </w:tc>
        <w:tc>
          <w:tcPr>
            <w:tcW w:w="729" w:type="dxa"/>
            <w:shd w:val="clear" w:color="auto" w:fill="C6EFCE"/>
            <w:noWrap/>
          </w:tcPr>
          <w:p w14:paraId="0379499B" w14:textId="77777777" w:rsidR="006578ED" w:rsidRDefault="00A1618E">
            <w:pPr>
              <w:pStyle w:val="P68B1DB1-Normal13"/>
              <w:spacing w:after="0" w:line="240" w:lineRule="auto"/>
              <w:jc w:val="center"/>
              <w:rPr>
                <w:rFonts w:eastAsia="Times New Roman" w:cs="Times New Roman"/>
                <w:noProof/>
              </w:rPr>
            </w:pPr>
            <w:r>
              <w:rPr>
                <w:noProof/>
              </w:rPr>
              <w:t>C17.I7</w:t>
            </w:r>
          </w:p>
        </w:tc>
        <w:tc>
          <w:tcPr>
            <w:tcW w:w="609" w:type="dxa"/>
            <w:shd w:val="clear" w:color="auto" w:fill="C6EFCE"/>
            <w:noWrap/>
          </w:tcPr>
          <w:p w14:paraId="5F0979D3" w14:textId="2593F92E" w:rsidR="006578ED" w:rsidRDefault="00AF6B91">
            <w:pPr>
              <w:pStyle w:val="P68B1DB1-Normal13"/>
              <w:spacing w:after="0" w:line="240" w:lineRule="auto"/>
              <w:jc w:val="center"/>
              <w:rPr>
                <w:rFonts w:eastAsia="Times New Roman" w:cs="Times New Roman"/>
                <w:noProof/>
              </w:rPr>
            </w:pPr>
            <w:r>
              <w:rPr>
                <w:noProof/>
              </w:rPr>
              <w:t>Kamień milowy</w:t>
            </w:r>
          </w:p>
        </w:tc>
        <w:tc>
          <w:tcPr>
            <w:tcW w:w="2039" w:type="dxa"/>
            <w:shd w:val="clear" w:color="auto" w:fill="C6EFCE"/>
            <w:noWrap/>
          </w:tcPr>
          <w:p w14:paraId="09938E8A" w14:textId="7A8B6081" w:rsidR="006578ED" w:rsidRDefault="00A1618E">
            <w:pPr>
              <w:pStyle w:val="P68B1DB1-Normal13"/>
              <w:spacing w:after="0" w:line="240" w:lineRule="auto"/>
              <w:rPr>
                <w:rFonts w:eastAsia="Times New Roman" w:cs="Times New Roman"/>
                <w:noProof/>
              </w:rPr>
            </w:pPr>
            <w:r>
              <w:rPr>
                <w:noProof/>
              </w:rPr>
              <w:t xml:space="preserve">Centrum badawczo-rozwojowe w zakresie magazynowania energii </w:t>
            </w:r>
          </w:p>
        </w:tc>
        <w:tc>
          <w:tcPr>
            <w:tcW w:w="993" w:type="dxa"/>
            <w:shd w:val="clear" w:color="auto" w:fill="C6EFCE"/>
            <w:noWrap/>
          </w:tcPr>
          <w:p w14:paraId="7CCFF369" w14:textId="6A900E9F" w:rsidR="006578ED" w:rsidRDefault="00A1618E">
            <w:pPr>
              <w:pStyle w:val="P68B1DB1-Normal13"/>
              <w:spacing w:after="0" w:line="240" w:lineRule="auto"/>
              <w:jc w:val="center"/>
              <w:rPr>
                <w:rFonts w:eastAsia="Times New Roman" w:cs="Times New Roman"/>
                <w:noProof/>
              </w:rPr>
            </w:pPr>
            <w:r>
              <w:rPr>
                <w:noProof/>
              </w:rPr>
              <w:t>Budowa i wyposażenie centrum</w:t>
            </w:r>
          </w:p>
        </w:tc>
        <w:tc>
          <w:tcPr>
            <w:tcW w:w="850" w:type="dxa"/>
            <w:shd w:val="clear" w:color="auto" w:fill="C6EFCE"/>
            <w:noWrap/>
          </w:tcPr>
          <w:p w14:paraId="50B9F496"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tcPr>
          <w:p w14:paraId="06C75B4D"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55DFB964" w14:textId="69AC01A1"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tcPr>
          <w:p w14:paraId="08EEE167" w14:textId="0045F8D2"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tcPr>
          <w:p w14:paraId="6BCAE143" w14:textId="28E2E7BE" w:rsidR="006578ED" w:rsidRDefault="00A1618E">
            <w:pPr>
              <w:pStyle w:val="P68B1DB1-Normal13"/>
              <w:spacing w:after="0" w:line="240" w:lineRule="auto"/>
              <w:jc w:val="center"/>
              <w:rPr>
                <w:rFonts w:cs="Times New Roman"/>
                <w:noProof/>
              </w:rPr>
            </w:pPr>
            <w:r>
              <w:rPr>
                <w:noProof/>
              </w:rPr>
              <w:t>2026</w:t>
            </w:r>
          </w:p>
        </w:tc>
        <w:tc>
          <w:tcPr>
            <w:tcW w:w="5812" w:type="dxa"/>
            <w:shd w:val="clear" w:color="auto" w:fill="C6EFCE"/>
            <w:noWrap/>
          </w:tcPr>
          <w:p w14:paraId="6A177C83" w14:textId="734A5039" w:rsidR="006578ED" w:rsidRDefault="00A1618E">
            <w:pPr>
              <w:pStyle w:val="P68B1DB1-Normal13"/>
              <w:spacing w:after="0" w:line="240" w:lineRule="auto"/>
              <w:rPr>
                <w:rFonts w:cs="Times New Roman"/>
                <w:noProof/>
              </w:rPr>
            </w:pPr>
            <w:r>
              <w:rPr>
                <w:noProof/>
              </w:rPr>
              <w:t xml:space="preserve">W Estremadurze wybudowano i wyposażono centrum magazynowania energii w celu pobudzenia technicznej i naukowej reakcji na zarządzanie produkcją zielonej energii, w szczególności w odniesieniu do przemysłowych zastosowań wodoru, a także produkcji, magazynowania i transportu zielonego wodoru. Centrum obejmuje eksperymentalne urządzenia demonstracyjne do testowania i walidacji rozwiązań w zakresie magazynowania energii. Jest on wyposażony w niezbędne wyposażenie naukowe i techniczne. </w:t>
            </w:r>
          </w:p>
          <w:p w14:paraId="22109D16" w14:textId="77777777" w:rsidR="006578ED" w:rsidRDefault="006578ED">
            <w:pPr>
              <w:spacing w:after="0" w:line="240" w:lineRule="auto"/>
              <w:rPr>
                <w:rFonts w:ascii="Times New Roman" w:hAnsi="Times New Roman" w:cs="Times New Roman"/>
                <w:noProof/>
                <w:sz w:val="18"/>
              </w:rPr>
            </w:pPr>
          </w:p>
          <w:p w14:paraId="72671341" w14:textId="77777777" w:rsidR="006578ED" w:rsidRDefault="00A1618E">
            <w:pPr>
              <w:pStyle w:val="P68B1DB1-Normal13"/>
              <w:spacing w:after="0" w:line="240" w:lineRule="auto"/>
              <w:rPr>
                <w:rFonts w:cs="Times New Roman"/>
                <w:noProof/>
              </w:rPr>
            </w:pPr>
            <w:r>
              <w:rPr>
                <w:noProof/>
              </w:rPr>
              <w:t>Consejo Superior de Investigaciones Científicas realizuje następujące inwestycje:</w:t>
            </w:r>
          </w:p>
          <w:p w14:paraId="775AA2A4" w14:textId="60D2031F" w:rsidR="006578ED" w:rsidRDefault="00A1618E">
            <w:pPr>
              <w:pStyle w:val="P68B1DB1-Normal13"/>
              <w:spacing w:after="0" w:line="240" w:lineRule="auto"/>
              <w:rPr>
                <w:rFonts w:cs="Times New Roman"/>
                <w:noProof/>
              </w:rPr>
            </w:pPr>
            <w:r>
              <w:rPr>
                <w:noProof/>
              </w:rPr>
              <w:t xml:space="preserve">Projekty w zakresie badań, rozwoju i innowacji związane ze zrównoważonymi tworzywami sztucznymi w gospodarce o obiegu zamkniętym, produkcji </w:t>
            </w:r>
            <w:r w:rsidRPr="00A1618E">
              <w:rPr>
                <w:noProof/>
                <w:lang w:val="pl-PL"/>
              </w:rPr>
              <w:br/>
              <w:t xml:space="preserve"> a</w:t>
            </w:r>
            <w:r>
              <w:rPr>
                <w:noProof/>
              </w:rPr>
              <w:t xml:space="preserve">lternatywnych tworzyw sztucznych i zrównoważonego gospodarowania odpadami tworzyw sztucznych </w:t>
            </w:r>
          </w:p>
          <w:p w14:paraId="6B1E5B7F" w14:textId="69D58F1F" w:rsidR="006578ED" w:rsidRDefault="00A1618E">
            <w:pPr>
              <w:pStyle w:val="P68B1DB1-Normal13"/>
              <w:spacing w:after="0" w:line="240" w:lineRule="auto"/>
              <w:rPr>
                <w:rFonts w:cs="Times New Roman"/>
                <w:noProof/>
              </w:rPr>
            </w:pPr>
            <w:r>
              <w:rPr>
                <w:noProof/>
              </w:rPr>
              <w:t xml:space="preserve">projekt dotyczący zmiany klimatu i wpływu na zasoby wodne </w:t>
            </w:r>
          </w:p>
          <w:p w14:paraId="06A902F6" w14:textId="20370964" w:rsidR="006578ED" w:rsidRDefault="00A1618E">
            <w:pPr>
              <w:pStyle w:val="P68B1DB1-Normal13"/>
              <w:spacing w:after="0" w:line="240" w:lineRule="auto"/>
              <w:rPr>
                <w:rFonts w:cs="Times New Roman"/>
                <w:noProof/>
              </w:rPr>
            </w:pPr>
            <w:r>
              <w:rPr>
                <w:noProof/>
              </w:rPr>
              <w:t>projekt dotyczący zaawansowanych technologicznie elementów transformacji energetycznej, w szczególności dotyczący magazynowania energii i rozwoju prototypowych zakładów wychwytywania CO2 z procesów przemysłowych w sektorach energochłonnych przez CSIC</w:t>
            </w:r>
          </w:p>
          <w:p w14:paraId="1CE35988" w14:textId="77777777" w:rsidR="006578ED" w:rsidRDefault="00A1618E">
            <w:pPr>
              <w:pStyle w:val="P68B1DB1-Normal13"/>
              <w:spacing w:after="0" w:line="240" w:lineRule="auto"/>
              <w:rPr>
                <w:rFonts w:cs="Times New Roman"/>
                <w:noProof/>
              </w:rPr>
            </w:pPr>
            <w:r>
              <w:rPr>
                <w:noProof/>
              </w:rPr>
              <w:t>projekt badawczy dotyczący metali strategicznych dla transformacji energetycznej</w:t>
            </w:r>
          </w:p>
          <w:p w14:paraId="58EE78CB" w14:textId="77777777" w:rsidR="006578ED" w:rsidRDefault="006578ED">
            <w:pPr>
              <w:spacing w:after="0" w:line="240" w:lineRule="auto"/>
              <w:rPr>
                <w:rFonts w:ascii="Times New Roman" w:hAnsi="Times New Roman" w:cs="Times New Roman"/>
                <w:noProof/>
                <w:sz w:val="18"/>
              </w:rPr>
            </w:pPr>
          </w:p>
          <w:p w14:paraId="4F9CDB09" w14:textId="1836E787" w:rsidR="006578ED" w:rsidRDefault="00A1618E">
            <w:pPr>
              <w:pStyle w:val="P68B1DB1-Normal13"/>
              <w:spacing w:after="0" w:line="240" w:lineRule="auto"/>
              <w:rPr>
                <w:rFonts w:eastAsia="Times New Roman" w:cs="Times New Roman"/>
                <w:noProof/>
              </w:rPr>
            </w:pPr>
            <w:r>
              <w:rPr>
                <w:noProof/>
              </w:rPr>
              <w:t xml:space="preserve">Ocena projektów w ramach tej inwestycji zapewnia zgodność z wytycznymi technicznymi dotyczącymi zasady „nie czyń poważnych szkód” (2021/C58/01) określonymi w opisie działania. </w:t>
            </w:r>
          </w:p>
        </w:tc>
      </w:tr>
      <w:tr w:rsidR="006578ED" w14:paraId="22A99613" w14:textId="77777777">
        <w:trPr>
          <w:trHeight w:val="309"/>
        </w:trPr>
        <w:tc>
          <w:tcPr>
            <w:tcW w:w="701" w:type="dxa"/>
            <w:shd w:val="clear" w:color="auto" w:fill="C6EFCE"/>
            <w:noWrap/>
          </w:tcPr>
          <w:p w14:paraId="4326355D" w14:textId="77777777" w:rsidR="006578ED" w:rsidRDefault="00A1618E">
            <w:pPr>
              <w:pStyle w:val="P68B1DB1-Normal13"/>
              <w:spacing w:after="0" w:line="240" w:lineRule="auto"/>
              <w:jc w:val="center"/>
              <w:rPr>
                <w:rFonts w:eastAsia="Times New Roman" w:cs="Times New Roman"/>
                <w:noProof/>
              </w:rPr>
            </w:pPr>
            <w:r>
              <w:rPr>
                <w:noProof/>
              </w:rPr>
              <w:t>270</w:t>
            </w:r>
          </w:p>
        </w:tc>
        <w:tc>
          <w:tcPr>
            <w:tcW w:w="729" w:type="dxa"/>
            <w:shd w:val="clear" w:color="auto" w:fill="C6EFCE"/>
            <w:noWrap/>
          </w:tcPr>
          <w:p w14:paraId="2BDA18A3" w14:textId="77777777" w:rsidR="006578ED" w:rsidRDefault="00A1618E">
            <w:pPr>
              <w:pStyle w:val="P68B1DB1-Normal13"/>
              <w:spacing w:after="0" w:line="240" w:lineRule="auto"/>
              <w:jc w:val="center"/>
              <w:rPr>
                <w:rFonts w:eastAsia="Times New Roman" w:cs="Times New Roman"/>
                <w:noProof/>
              </w:rPr>
            </w:pPr>
            <w:r>
              <w:rPr>
                <w:noProof/>
              </w:rPr>
              <w:t>C17.I8</w:t>
            </w:r>
          </w:p>
        </w:tc>
        <w:tc>
          <w:tcPr>
            <w:tcW w:w="609" w:type="dxa"/>
            <w:shd w:val="clear" w:color="auto" w:fill="C6EFCE"/>
            <w:noWrap/>
          </w:tcPr>
          <w:p w14:paraId="68EFF59C" w14:textId="6F3B66F8"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58AE5E0D" w14:textId="64F05502" w:rsidR="006578ED" w:rsidRDefault="00A1618E">
            <w:pPr>
              <w:pStyle w:val="P68B1DB1-Normal13"/>
              <w:spacing w:after="0" w:line="240" w:lineRule="auto"/>
              <w:rPr>
                <w:rFonts w:eastAsia="Times New Roman" w:cs="Times New Roman"/>
                <w:noProof/>
              </w:rPr>
            </w:pPr>
            <w:r>
              <w:rPr>
                <w:noProof/>
              </w:rPr>
              <w:t xml:space="preserve">Wsparcie dla projektów w zakresie badań, rozwoju i innowacji w dziedzinie zrównoważonego przemysłu motoryzacyjnego </w:t>
            </w:r>
          </w:p>
        </w:tc>
        <w:tc>
          <w:tcPr>
            <w:tcW w:w="993" w:type="dxa"/>
            <w:shd w:val="clear" w:color="auto" w:fill="C6EFCE"/>
            <w:noWrap/>
          </w:tcPr>
          <w:p w14:paraId="345B06A5"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231AAD54"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tcPr>
          <w:p w14:paraId="3101FCE9"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3B5047B7" w14:textId="34861055" w:rsidR="006578ED" w:rsidRDefault="00A1618E">
            <w:pPr>
              <w:pStyle w:val="P68B1DB1-Normal13"/>
              <w:spacing w:after="0" w:line="240" w:lineRule="auto"/>
              <w:jc w:val="center"/>
              <w:rPr>
                <w:rFonts w:cs="Times New Roman"/>
                <w:noProof/>
              </w:rPr>
            </w:pPr>
            <w:r>
              <w:rPr>
                <w:noProof/>
              </w:rPr>
              <w:t>35</w:t>
            </w:r>
          </w:p>
        </w:tc>
        <w:tc>
          <w:tcPr>
            <w:tcW w:w="567" w:type="dxa"/>
            <w:shd w:val="clear" w:color="auto" w:fill="C6EFCE"/>
          </w:tcPr>
          <w:p w14:paraId="61C962B4" w14:textId="6FC7C610"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tcPr>
          <w:p w14:paraId="55FD75BF" w14:textId="3E51702F" w:rsidR="006578ED" w:rsidRDefault="00A1618E">
            <w:pPr>
              <w:pStyle w:val="P68B1DB1-Normal13"/>
              <w:spacing w:after="0" w:line="240" w:lineRule="auto"/>
              <w:jc w:val="center"/>
              <w:rPr>
                <w:rFonts w:cs="Times New Roman"/>
                <w:noProof/>
              </w:rPr>
            </w:pPr>
            <w:r>
              <w:rPr>
                <w:noProof/>
              </w:rPr>
              <w:t>2022</w:t>
            </w:r>
          </w:p>
        </w:tc>
        <w:tc>
          <w:tcPr>
            <w:tcW w:w="5812" w:type="dxa"/>
            <w:shd w:val="clear" w:color="auto" w:fill="C6EFCE"/>
            <w:noWrap/>
          </w:tcPr>
          <w:p w14:paraId="4C52E1B4" w14:textId="16B3BBB9" w:rsidR="006578ED" w:rsidRDefault="00A1618E">
            <w:pPr>
              <w:pStyle w:val="P68B1DB1-Normal13"/>
              <w:spacing w:after="0" w:line="240" w:lineRule="auto"/>
              <w:rPr>
                <w:rFonts w:eastAsia="Times New Roman" w:cs="Times New Roman"/>
                <w:noProof/>
              </w:rPr>
            </w:pPr>
            <w:r>
              <w:rPr>
                <w:noProof/>
              </w:rPr>
              <w:t>Co najmniej 35 przedsiębiorstw, którym przyznano projekty w zakresie badań, rozwoju i innowacji w dziedzinie zrównoważonego przemysłu motoryzacyjnego w celu zwiększenia zdolności technologicznych przedsiębiorstw w dziedzinach związanych z rozwojem systemów magazynowania energii o bardzo niskiej emisji i wysokiej zdolności do recyklingu, wysokowydajnych systemów mobilności wodorowej, jazdy autonomicznej i mobilności opartej na sieci lub dostosowania środowisk produkcyjnych z bezpiecznymi i solidnymi systemami interakcji człowiek-maszyna w inteligentnym środowisku produkcyjnym. Projekty muszą zapewniać zgodność z wytycznymi technicznymi dotyczącymi zasady „nie czyń poważnych szkód” (2021/C58/01), działaniami niewybranymi i niefinansowanymi oraz odpowiednimi unijnymi i krajowymi przepisami w zakresie ochrony środowiska. Projekty dotyczą:</w:t>
            </w:r>
            <w:r>
              <w:rPr>
                <w:noProof/>
                <w:shd w:val="clear" w:color="auto" w:fill="E6E6E6"/>
              </w:rPr>
              <w:br/>
            </w:r>
            <w:r>
              <w:rPr>
                <w:noProof/>
              </w:rPr>
              <w:t>rozwój komponentów i platform do pojazdów elektrycznych, hybrydowych typu plug-in i wodorowych</w:t>
            </w:r>
            <w:r>
              <w:rPr>
                <w:noProof/>
                <w:shd w:val="clear" w:color="auto" w:fill="E6E6E6"/>
              </w:rPr>
              <w:br/>
              <w:t xml:space="preserve"> </w:t>
            </w:r>
            <w:r>
              <w:rPr>
                <w:noProof/>
              </w:rPr>
              <w:t xml:space="preserve">jazda autonomiczna i mobilność oparta na sieci, rozwój nowej architektury sprzętu i oprogramowania komputerowego </w:t>
            </w:r>
            <w:r>
              <w:rPr>
                <w:noProof/>
                <w:shd w:val="clear" w:color="auto" w:fill="E6E6E6"/>
              </w:rPr>
              <w:br/>
              <w:t xml:space="preserve"> </w:t>
            </w:r>
            <w:r>
              <w:rPr>
                <w:noProof/>
              </w:rPr>
              <w:t>dostosowanie obszarów produkcji komponentów i układów do pojazdów elektrycznych, pojazdów hybrydowych typu plug-in i pojazdów wodorowych.</w:t>
            </w:r>
            <w:r>
              <w:rPr>
                <w:noProof/>
                <w:shd w:val="clear" w:color="auto" w:fill="E6E6E6"/>
              </w:rPr>
              <w:br/>
            </w:r>
            <w:r>
              <w:rPr>
                <w:noProof/>
              </w:rPr>
              <w:t>Projekty realizowane są przez konsorcja biznesowe liczące od trzech do ośmiu przedsiębiorstw (co najmniej jedno musi być MŚP), maksymalnie przez okres trzech lat i przy minimalnym budżecie w wysokości 5 000 000 EUR.</w:t>
            </w:r>
          </w:p>
        </w:tc>
      </w:tr>
      <w:tr w:rsidR="006578ED" w14:paraId="7E794B6F" w14:textId="77777777">
        <w:trPr>
          <w:trHeight w:val="309"/>
        </w:trPr>
        <w:tc>
          <w:tcPr>
            <w:tcW w:w="701" w:type="dxa"/>
            <w:shd w:val="clear" w:color="auto" w:fill="C6EFCE"/>
            <w:noWrap/>
          </w:tcPr>
          <w:p w14:paraId="44CD1635" w14:textId="370ADEC1" w:rsidR="006578ED" w:rsidRDefault="00A1618E">
            <w:pPr>
              <w:pStyle w:val="P68B1DB1-Normal13"/>
              <w:spacing w:after="0" w:line="240" w:lineRule="auto"/>
              <w:jc w:val="center"/>
              <w:rPr>
                <w:rFonts w:cs="Times New Roman"/>
                <w:noProof/>
              </w:rPr>
            </w:pPr>
            <w:r>
              <w:rPr>
                <w:noProof/>
              </w:rPr>
              <w:t>461</w:t>
            </w:r>
          </w:p>
        </w:tc>
        <w:tc>
          <w:tcPr>
            <w:tcW w:w="729" w:type="dxa"/>
            <w:shd w:val="clear" w:color="auto" w:fill="C6EFCE"/>
            <w:noWrap/>
          </w:tcPr>
          <w:p w14:paraId="0AD9C0DB" w14:textId="371062F6" w:rsidR="006578ED" w:rsidRDefault="00A1618E">
            <w:pPr>
              <w:pStyle w:val="P68B1DB1-Normal13"/>
              <w:spacing w:after="0" w:line="240" w:lineRule="auto"/>
              <w:jc w:val="center"/>
              <w:rPr>
                <w:rFonts w:cs="Times New Roman"/>
                <w:noProof/>
              </w:rPr>
            </w:pPr>
            <w:r>
              <w:rPr>
                <w:noProof/>
              </w:rPr>
              <w:t>C17.I9</w:t>
            </w:r>
          </w:p>
        </w:tc>
        <w:tc>
          <w:tcPr>
            <w:tcW w:w="609" w:type="dxa"/>
            <w:shd w:val="clear" w:color="auto" w:fill="C6EFCE"/>
            <w:noWrap/>
          </w:tcPr>
          <w:p w14:paraId="5EC83D9D" w14:textId="659CA45E" w:rsidR="006578ED" w:rsidRDefault="00AF6B91">
            <w:pPr>
              <w:pStyle w:val="P68B1DB1-Normal13"/>
              <w:spacing w:after="0" w:line="240" w:lineRule="auto"/>
              <w:jc w:val="center"/>
              <w:rPr>
                <w:rFonts w:cs="Times New Roman"/>
                <w:noProof/>
              </w:rPr>
            </w:pPr>
            <w:r>
              <w:rPr>
                <w:noProof/>
              </w:rPr>
              <w:t>Kamień milowy</w:t>
            </w:r>
          </w:p>
        </w:tc>
        <w:tc>
          <w:tcPr>
            <w:tcW w:w="2039" w:type="dxa"/>
            <w:shd w:val="clear" w:color="auto" w:fill="C6EFCE"/>
            <w:noWrap/>
          </w:tcPr>
          <w:p w14:paraId="42F0A8BF" w14:textId="6BB6834B" w:rsidR="006578ED" w:rsidRDefault="00A1618E">
            <w:pPr>
              <w:pStyle w:val="P68B1DB1-Normal13"/>
              <w:spacing w:after="0" w:line="240" w:lineRule="auto"/>
              <w:rPr>
                <w:rFonts w:cs="Times New Roman"/>
                <w:noProof/>
              </w:rPr>
            </w:pPr>
            <w:r>
              <w:rPr>
                <w:noProof/>
              </w:rPr>
              <w:t xml:space="preserve">Publikacja nagród w ramach zaproszeń do składania wniosków dotyczących badań, rozwoju i innowacji w sektorze lotniczym i kosmonautycznym. </w:t>
            </w:r>
          </w:p>
        </w:tc>
        <w:tc>
          <w:tcPr>
            <w:tcW w:w="993" w:type="dxa"/>
            <w:shd w:val="clear" w:color="auto" w:fill="C6EFCE"/>
            <w:noWrap/>
          </w:tcPr>
          <w:p w14:paraId="258672C4" w14:textId="1C2C5F09" w:rsidR="006578ED" w:rsidRDefault="00A1618E">
            <w:pPr>
              <w:pStyle w:val="P68B1DB1-Normal13"/>
              <w:spacing w:after="0" w:line="240" w:lineRule="auto"/>
              <w:jc w:val="center"/>
              <w:rPr>
                <w:rFonts w:cs="Times New Roman"/>
                <w:noProof/>
              </w:rPr>
            </w:pPr>
            <w:r>
              <w:rPr>
                <w:noProof/>
              </w:rPr>
              <w:t>Publikacja w Dz.U.</w:t>
            </w:r>
          </w:p>
        </w:tc>
        <w:tc>
          <w:tcPr>
            <w:tcW w:w="850" w:type="dxa"/>
            <w:shd w:val="clear" w:color="auto" w:fill="C6EFCE"/>
            <w:noWrap/>
          </w:tcPr>
          <w:p w14:paraId="31ED98B4" w14:textId="77777777" w:rsidR="006578ED" w:rsidRDefault="006578ED">
            <w:pPr>
              <w:spacing w:after="0" w:line="240" w:lineRule="auto"/>
              <w:jc w:val="center"/>
              <w:rPr>
                <w:rFonts w:ascii="Times New Roman" w:hAnsi="Times New Roman" w:cs="Times New Roman"/>
                <w:noProof/>
                <w:sz w:val="18"/>
              </w:rPr>
            </w:pPr>
          </w:p>
        </w:tc>
        <w:tc>
          <w:tcPr>
            <w:tcW w:w="709" w:type="dxa"/>
            <w:shd w:val="clear" w:color="auto" w:fill="C6EFCE"/>
          </w:tcPr>
          <w:p w14:paraId="03080085"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65089A99" w14:textId="77777777"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tcPr>
          <w:p w14:paraId="161FC6D7" w14:textId="3302407D"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tcPr>
          <w:p w14:paraId="5C1BD5C2" w14:textId="4ABFB91F" w:rsidR="006578ED" w:rsidRDefault="00A1618E">
            <w:pPr>
              <w:pStyle w:val="P68B1DB1-Normal13"/>
              <w:spacing w:after="0" w:line="240" w:lineRule="auto"/>
              <w:jc w:val="center"/>
              <w:rPr>
                <w:rFonts w:cs="Times New Roman"/>
                <w:noProof/>
              </w:rPr>
            </w:pPr>
            <w:r>
              <w:rPr>
                <w:noProof/>
              </w:rPr>
              <w:t>2024</w:t>
            </w:r>
          </w:p>
        </w:tc>
        <w:tc>
          <w:tcPr>
            <w:tcW w:w="5812" w:type="dxa"/>
            <w:shd w:val="clear" w:color="auto" w:fill="C6EFCE"/>
            <w:noWrap/>
          </w:tcPr>
          <w:p w14:paraId="32E46166" w14:textId="7A87D895" w:rsidR="006578ED" w:rsidRDefault="00A1618E">
            <w:pPr>
              <w:pStyle w:val="P68B1DB1-Normal13"/>
              <w:spacing w:after="0" w:line="240" w:lineRule="auto"/>
              <w:rPr>
                <w:rFonts w:cs="Times New Roman"/>
                <w:noProof/>
              </w:rPr>
            </w:pPr>
            <w:r>
              <w:rPr>
                <w:noProof/>
              </w:rPr>
              <w:t>Publikacja w Dz.U. przyznania 70 000 000 EUR w ramach zaproszeń do składania wniosków dotyczących badań, rozwoju i innowacji w dziedzinie lotnictwa i przestrzeni kosmicznej w ramach planu w dziedzinie technologii kosmicznej. Ocena projektów w ramach tej inwestycji zapewnia zgodność z wytycznymi technicznymi dotyczącymi zasady „nie czyń poważnych szkód” (2021/C58/01) określonymi w opisie działania.</w:t>
            </w:r>
          </w:p>
        </w:tc>
      </w:tr>
      <w:tr w:rsidR="006578ED" w14:paraId="4C91D304" w14:textId="77777777">
        <w:trPr>
          <w:trHeight w:val="309"/>
        </w:trPr>
        <w:tc>
          <w:tcPr>
            <w:tcW w:w="701" w:type="dxa"/>
            <w:shd w:val="clear" w:color="auto" w:fill="C6EFCE"/>
            <w:noWrap/>
          </w:tcPr>
          <w:p w14:paraId="5EEF2F04" w14:textId="77777777" w:rsidR="006578ED" w:rsidRDefault="00A1618E">
            <w:pPr>
              <w:pStyle w:val="P68B1DB1-Normal13"/>
              <w:spacing w:after="0" w:line="240" w:lineRule="auto"/>
              <w:jc w:val="center"/>
              <w:rPr>
                <w:rFonts w:eastAsia="Times New Roman" w:cs="Times New Roman"/>
                <w:noProof/>
              </w:rPr>
            </w:pPr>
            <w:r>
              <w:rPr>
                <w:noProof/>
              </w:rPr>
              <w:t>271</w:t>
            </w:r>
          </w:p>
        </w:tc>
        <w:tc>
          <w:tcPr>
            <w:tcW w:w="729" w:type="dxa"/>
            <w:shd w:val="clear" w:color="auto" w:fill="C6EFCE"/>
            <w:noWrap/>
          </w:tcPr>
          <w:p w14:paraId="18EB9DAC" w14:textId="77777777" w:rsidR="006578ED" w:rsidRDefault="00A1618E">
            <w:pPr>
              <w:pStyle w:val="P68B1DB1-Normal13"/>
              <w:spacing w:after="0" w:line="240" w:lineRule="auto"/>
              <w:jc w:val="center"/>
              <w:rPr>
                <w:rFonts w:eastAsia="Times New Roman" w:cs="Times New Roman"/>
                <w:noProof/>
              </w:rPr>
            </w:pPr>
            <w:r>
              <w:rPr>
                <w:noProof/>
              </w:rPr>
              <w:t>C17.I9</w:t>
            </w:r>
          </w:p>
        </w:tc>
        <w:tc>
          <w:tcPr>
            <w:tcW w:w="609" w:type="dxa"/>
            <w:shd w:val="clear" w:color="auto" w:fill="C6EFCE"/>
            <w:noWrap/>
          </w:tcPr>
          <w:p w14:paraId="220C9492" w14:textId="200B19A0"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57AC6AA5" w14:textId="4B50600C" w:rsidR="006578ED" w:rsidRDefault="00A1618E">
            <w:pPr>
              <w:pStyle w:val="P68B1DB1-Normal13"/>
              <w:spacing w:after="0" w:line="240" w:lineRule="auto"/>
              <w:rPr>
                <w:rFonts w:eastAsia="Times New Roman" w:cs="Times New Roman"/>
                <w:noProof/>
              </w:rPr>
            </w:pPr>
            <w:r>
              <w:rPr>
                <w:noProof/>
              </w:rPr>
              <w:t xml:space="preserve">Wsparcie dla projektów w zakresie badań, rozwoju i innowacji w dziedzinie lotnictwa i przestrzeni kosmicznej, ze szczególnym uwzględnieniem technologii niskoemisyjnych i bezemisyjnych </w:t>
            </w:r>
          </w:p>
        </w:tc>
        <w:tc>
          <w:tcPr>
            <w:tcW w:w="993" w:type="dxa"/>
            <w:shd w:val="clear" w:color="auto" w:fill="C6EFCE"/>
            <w:noWrap/>
          </w:tcPr>
          <w:p w14:paraId="0C843255"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468B9A0E"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tcPr>
          <w:p w14:paraId="7D27FAE7"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4F61836B" w14:textId="08600B21" w:rsidR="006578ED" w:rsidRDefault="00A1618E">
            <w:pPr>
              <w:pStyle w:val="P68B1DB1-Normal13"/>
              <w:spacing w:after="0" w:line="240" w:lineRule="auto"/>
              <w:jc w:val="center"/>
              <w:rPr>
                <w:rFonts w:cs="Times New Roman"/>
                <w:noProof/>
              </w:rPr>
            </w:pPr>
            <w:r>
              <w:rPr>
                <w:noProof/>
              </w:rPr>
              <w:t>65</w:t>
            </w:r>
          </w:p>
        </w:tc>
        <w:tc>
          <w:tcPr>
            <w:tcW w:w="567" w:type="dxa"/>
            <w:shd w:val="clear" w:color="auto" w:fill="C6EFCE"/>
          </w:tcPr>
          <w:p w14:paraId="04249646" w14:textId="1A83F781"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tcPr>
          <w:p w14:paraId="62B80835" w14:textId="02A36987" w:rsidR="006578ED" w:rsidRDefault="00A1618E">
            <w:pPr>
              <w:pStyle w:val="P68B1DB1-Normal13"/>
              <w:spacing w:after="0" w:line="240" w:lineRule="auto"/>
              <w:jc w:val="center"/>
              <w:rPr>
                <w:rFonts w:cs="Times New Roman"/>
                <w:noProof/>
              </w:rPr>
            </w:pPr>
            <w:r>
              <w:rPr>
                <w:noProof/>
              </w:rPr>
              <w:t>2023</w:t>
            </w:r>
          </w:p>
        </w:tc>
        <w:tc>
          <w:tcPr>
            <w:tcW w:w="5812" w:type="dxa"/>
            <w:shd w:val="clear" w:color="auto" w:fill="C6EFCE"/>
            <w:noWrap/>
          </w:tcPr>
          <w:p w14:paraId="037C2486" w14:textId="6CF39D41" w:rsidR="006578ED" w:rsidRDefault="00A1618E">
            <w:pPr>
              <w:pStyle w:val="P68B1DB1-Normal13"/>
              <w:spacing w:after="0" w:line="240" w:lineRule="auto"/>
              <w:rPr>
                <w:rFonts w:eastAsia="Times New Roman" w:cs="Times New Roman"/>
                <w:noProof/>
              </w:rPr>
            </w:pPr>
            <w:r>
              <w:rPr>
                <w:noProof/>
              </w:rPr>
              <w:t xml:space="preserve">Co najmniej 65 przedsiębiorstw otrzymało projekty w zakresie badań, rozwoju i innowacji w dziedzinie lotnictwa i przestrzeni kosmicznej, koncentrujące się na niskich i zerowych emisjach, w tym na inwestycjach związanych z technologiami lotniczymi i aeronautycznymi, przy wsparciu z planu </w:t>
            </w:r>
            <w:r>
              <w:rPr>
                <w:i/>
                <w:noProof/>
              </w:rPr>
              <w:t>Aeronáutica</w:t>
            </w:r>
            <w:r>
              <w:rPr>
                <w:noProof/>
              </w:rPr>
              <w:t xml:space="preserve">. Projekty są realizowane przez konsorcja biznesowe liczące </w:t>
            </w:r>
            <w:r w:rsidRPr="00A1618E">
              <w:rPr>
                <w:noProof/>
                <w:lang w:val="pl-PL"/>
              </w:rPr>
              <w:t>od 3</w:t>
            </w:r>
            <w:r>
              <w:rPr>
                <w:noProof/>
              </w:rPr>
              <w:t xml:space="preserve"> </w:t>
            </w:r>
            <w:r w:rsidRPr="00A1618E">
              <w:rPr>
                <w:noProof/>
                <w:lang w:val="pl-PL"/>
              </w:rPr>
              <w:t>do 6</w:t>
            </w:r>
            <w:r>
              <w:rPr>
                <w:noProof/>
              </w:rPr>
              <w:t xml:space="preserve"> przedsiębiorstw (co najmniej jedno musi być MŚP), a okres ten maksimum 3 lata. Ocena projektów w ramach tej inwestycji zapewnia zgodność z wytycznymi technicznymi dotyczącymi zasady „nie czyń poważnych szkód” (2021/C58/01) określonymi w opisie działania.</w:t>
            </w:r>
          </w:p>
        </w:tc>
      </w:tr>
      <w:tr w:rsidR="006578ED" w14:paraId="3331D4F9" w14:textId="77777777">
        <w:trPr>
          <w:trHeight w:val="309"/>
        </w:trPr>
        <w:tc>
          <w:tcPr>
            <w:tcW w:w="701" w:type="dxa"/>
            <w:shd w:val="clear" w:color="auto" w:fill="C6EFCE"/>
            <w:noWrap/>
          </w:tcPr>
          <w:p w14:paraId="11590BFC" w14:textId="77777777" w:rsidR="006578ED" w:rsidRDefault="00A1618E">
            <w:pPr>
              <w:pStyle w:val="P68B1DB1-Normal13"/>
              <w:spacing w:after="0" w:line="240" w:lineRule="auto"/>
              <w:jc w:val="center"/>
              <w:rPr>
                <w:rFonts w:eastAsia="Times New Roman" w:cs="Times New Roman"/>
                <w:noProof/>
              </w:rPr>
            </w:pPr>
            <w:r>
              <w:rPr>
                <w:noProof/>
              </w:rPr>
              <w:t>272</w:t>
            </w:r>
          </w:p>
        </w:tc>
        <w:tc>
          <w:tcPr>
            <w:tcW w:w="729" w:type="dxa"/>
            <w:shd w:val="clear" w:color="auto" w:fill="C6EFCE"/>
            <w:noWrap/>
          </w:tcPr>
          <w:p w14:paraId="202D799F" w14:textId="77777777" w:rsidR="006578ED" w:rsidRDefault="00A1618E">
            <w:pPr>
              <w:pStyle w:val="P68B1DB1-Normal13"/>
              <w:spacing w:after="0" w:line="240" w:lineRule="auto"/>
              <w:jc w:val="center"/>
              <w:rPr>
                <w:rFonts w:eastAsia="Times New Roman" w:cs="Times New Roman"/>
                <w:noProof/>
              </w:rPr>
            </w:pPr>
            <w:r>
              <w:rPr>
                <w:noProof/>
              </w:rPr>
              <w:t>C17.I9</w:t>
            </w:r>
          </w:p>
        </w:tc>
        <w:tc>
          <w:tcPr>
            <w:tcW w:w="609" w:type="dxa"/>
            <w:shd w:val="clear" w:color="auto" w:fill="C6EFCE"/>
            <w:noWrap/>
          </w:tcPr>
          <w:p w14:paraId="0B9F8FA6" w14:textId="2089492A" w:rsidR="006578ED" w:rsidRDefault="00AF6B91">
            <w:pPr>
              <w:pStyle w:val="P68B1DB1-Normal13"/>
              <w:spacing w:after="0" w:line="240" w:lineRule="auto"/>
              <w:jc w:val="center"/>
              <w:rPr>
                <w:rFonts w:eastAsia="Times New Roman" w:cs="Times New Roman"/>
                <w:noProof/>
              </w:rPr>
            </w:pPr>
            <w:r>
              <w:rPr>
                <w:noProof/>
              </w:rPr>
              <w:t>Cel</w:t>
            </w:r>
          </w:p>
        </w:tc>
        <w:tc>
          <w:tcPr>
            <w:tcW w:w="2039" w:type="dxa"/>
            <w:shd w:val="clear" w:color="auto" w:fill="C6EFCE"/>
            <w:noWrap/>
          </w:tcPr>
          <w:p w14:paraId="03568057" w14:textId="7D59D9C7" w:rsidR="006578ED" w:rsidRDefault="00A1618E">
            <w:pPr>
              <w:pStyle w:val="P68B1DB1-Normal13"/>
              <w:spacing w:after="0" w:line="240" w:lineRule="auto"/>
              <w:rPr>
                <w:rFonts w:cs="Times New Roman"/>
                <w:noProof/>
              </w:rPr>
            </w:pPr>
            <w:r>
              <w:rPr>
                <w:noProof/>
              </w:rPr>
              <w:t xml:space="preserve">Zakończenie projektów w zakresie badań, rozwoju i innowacji w dziedzinie lotnictwa i przestrzeni kosmicznej, ze szczególnym uwzględnieniem niskiej i zerowej emisji </w:t>
            </w:r>
          </w:p>
        </w:tc>
        <w:tc>
          <w:tcPr>
            <w:tcW w:w="993" w:type="dxa"/>
            <w:shd w:val="clear" w:color="auto" w:fill="C6EFCE"/>
            <w:noWrap/>
          </w:tcPr>
          <w:p w14:paraId="28864374"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41D6754F"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tcPr>
          <w:p w14:paraId="7A188D08"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4E5254D1" w14:textId="1DEAB3CF" w:rsidR="006578ED" w:rsidRDefault="00A1618E">
            <w:pPr>
              <w:pStyle w:val="P68B1DB1-Normal13"/>
              <w:spacing w:after="0" w:line="240" w:lineRule="auto"/>
              <w:jc w:val="center"/>
              <w:rPr>
                <w:rFonts w:cs="Times New Roman"/>
                <w:noProof/>
              </w:rPr>
            </w:pPr>
            <w:r>
              <w:rPr>
                <w:noProof/>
              </w:rPr>
              <w:t>81</w:t>
            </w:r>
          </w:p>
        </w:tc>
        <w:tc>
          <w:tcPr>
            <w:tcW w:w="567" w:type="dxa"/>
            <w:shd w:val="clear" w:color="auto" w:fill="C6EFCE"/>
          </w:tcPr>
          <w:p w14:paraId="5BA7434F" w14:textId="4071606E" w:rsidR="006578ED" w:rsidRDefault="00EC188C">
            <w:pPr>
              <w:pStyle w:val="P68B1DB1-Normal13"/>
              <w:spacing w:after="0" w:line="240" w:lineRule="auto"/>
              <w:jc w:val="center"/>
              <w:rPr>
                <w:rFonts w:cs="Times New Roman"/>
                <w:noProof/>
              </w:rPr>
            </w:pPr>
            <w:r>
              <w:rPr>
                <w:noProof/>
              </w:rPr>
              <w:t>KW. 3</w:t>
            </w:r>
          </w:p>
        </w:tc>
        <w:tc>
          <w:tcPr>
            <w:tcW w:w="567" w:type="dxa"/>
            <w:shd w:val="clear" w:color="auto" w:fill="C6EFCE"/>
          </w:tcPr>
          <w:p w14:paraId="1B7F1029" w14:textId="69430FB6" w:rsidR="006578ED" w:rsidRDefault="00A1618E">
            <w:pPr>
              <w:pStyle w:val="P68B1DB1-Normal13"/>
              <w:spacing w:after="0" w:line="240" w:lineRule="auto"/>
              <w:jc w:val="center"/>
              <w:rPr>
                <w:rFonts w:cs="Times New Roman"/>
                <w:noProof/>
              </w:rPr>
            </w:pPr>
            <w:r>
              <w:rPr>
                <w:noProof/>
              </w:rPr>
              <w:t>2026</w:t>
            </w:r>
          </w:p>
        </w:tc>
        <w:tc>
          <w:tcPr>
            <w:tcW w:w="5812" w:type="dxa"/>
            <w:shd w:val="clear" w:color="auto" w:fill="C6EFCE"/>
            <w:noWrap/>
          </w:tcPr>
          <w:p w14:paraId="30908457" w14:textId="6A6AC8FE" w:rsidR="006578ED" w:rsidRDefault="00A1618E">
            <w:pPr>
              <w:pStyle w:val="P68B1DB1-Normal13"/>
              <w:spacing w:after="0" w:line="240" w:lineRule="auto"/>
              <w:rPr>
                <w:rFonts w:eastAsia="Times New Roman" w:cs="Times New Roman"/>
                <w:noProof/>
              </w:rPr>
            </w:pPr>
            <w:r>
              <w:rPr>
                <w:noProof/>
              </w:rPr>
              <w:t xml:space="preserve">Co najmniej 81 przedsiębiorstw ukończyło swoje projekty w zakresie badań, rozwoju i innowacji w dziedzinie lotnictwa i przestrzeni kosmicznej, ze szczególnym uwzględnieniem niskoemisyjnych i zerowych emisji, w tym inwestycje związane z technologiami lotniczymi i lotniczymi, przy wsparciu z planu </w:t>
            </w:r>
            <w:r>
              <w:rPr>
                <w:i/>
                <w:noProof/>
              </w:rPr>
              <w:t>Aeronáutica</w:t>
            </w:r>
            <w:r>
              <w:rPr>
                <w:noProof/>
              </w:rPr>
              <w:t>, oraz przeprowadzenie przedkomercyjnych zamówień publicznych w celu rozwoju technologii i innowacji w dziedzinie satelitów obserwacji Ziemi. Ocena projektów w ramach tej inwestycji zapewnia zgodność z wytycznymi technicznymi dotyczącymi zasady „nie czyń poważnych szkód” (2021/C58/01) określonymi w opisie działania.</w:t>
            </w:r>
          </w:p>
        </w:tc>
      </w:tr>
      <w:tr w:rsidR="006578ED" w14:paraId="4BB88DF9" w14:textId="77777777">
        <w:trPr>
          <w:trHeight w:val="309"/>
        </w:trPr>
        <w:tc>
          <w:tcPr>
            <w:tcW w:w="701" w:type="dxa"/>
            <w:shd w:val="clear" w:color="auto" w:fill="C6EFCE"/>
            <w:noWrap/>
          </w:tcPr>
          <w:p w14:paraId="48198A8D" w14:textId="16E612B0" w:rsidR="006578ED" w:rsidRDefault="00A1618E">
            <w:pPr>
              <w:pStyle w:val="P68B1DB1-Normal13"/>
              <w:spacing w:after="0" w:line="240" w:lineRule="auto"/>
              <w:jc w:val="center"/>
              <w:rPr>
                <w:rFonts w:cs="Times New Roman"/>
                <w:noProof/>
              </w:rPr>
            </w:pPr>
            <w:r>
              <w:rPr>
                <w:noProof/>
              </w:rPr>
              <w:t>462</w:t>
            </w:r>
          </w:p>
        </w:tc>
        <w:tc>
          <w:tcPr>
            <w:tcW w:w="729" w:type="dxa"/>
            <w:shd w:val="clear" w:color="auto" w:fill="C6EFCE"/>
            <w:noWrap/>
          </w:tcPr>
          <w:p w14:paraId="16E5289A" w14:textId="77777777" w:rsidR="006578ED" w:rsidRDefault="00A1618E">
            <w:pPr>
              <w:pStyle w:val="P68B1DB1-Normal13"/>
              <w:spacing w:after="0" w:line="240" w:lineRule="auto"/>
              <w:jc w:val="center"/>
              <w:rPr>
                <w:rFonts w:cs="Times New Roman"/>
                <w:noProof/>
              </w:rPr>
            </w:pPr>
            <w:r>
              <w:rPr>
                <w:noProof/>
              </w:rPr>
              <w:t>C17.I9</w:t>
            </w:r>
          </w:p>
        </w:tc>
        <w:tc>
          <w:tcPr>
            <w:tcW w:w="609" w:type="dxa"/>
            <w:shd w:val="clear" w:color="auto" w:fill="C6EFCE"/>
            <w:noWrap/>
          </w:tcPr>
          <w:p w14:paraId="70536C91" w14:textId="21B10C77" w:rsidR="006578ED" w:rsidRDefault="00AF6B91">
            <w:pPr>
              <w:pStyle w:val="P68B1DB1-Normal13"/>
              <w:spacing w:after="0" w:line="240" w:lineRule="auto"/>
              <w:jc w:val="center"/>
              <w:rPr>
                <w:rFonts w:cs="Times New Roman"/>
                <w:noProof/>
              </w:rPr>
            </w:pPr>
            <w:r>
              <w:rPr>
                <w:noProof/>
              </w:rPr>
              <w:t>Cel</w:t>
            </w:r>
          </w:p>
        </w:tc>
        <w:tc>
          <w:tcPr>
            <w:tcW w:w="2039" w:type="dxa"/>
            <w:shd w:val="clear" w:color="auto" w:fill="C6EFCE"/>
            <w:noWrap/>
          </w:tcPr>
          <w:p w14:paraId="4B78E199" w14:textId="36394B7E" w:rsidR="006578ED" w:rsidRDefault="00A1618E">
            <w:pPr>
              <w:pStyle w:val="P68B1DB1-Normal13"/>
              <w:spacing w:after="0" w:line="240" w:lineRule="auto"/>
              <w:rPr>
                <w:rFonts w:cs="Times New Roman"/>
                <w:noProof/>
              </w:rPr>
            </w:pPr>
            <w:r>
              <w:rPr>
                <w:noProof/>
              </w:rPr>
              <w:t>Wypłata środków na projekty w ramach PERTE Aerospace.</w:t>
            </w:r>
          </w:p>
        </w:tc>
        <w:tc>
          <w:tcPr>
            <w:tcW w:w="993" w:type="dxa"/>
            <w:shd w:val="clear" w:color="auto" w:fill="C6EFCE"/>
            <w:noWrap/>
          </w:tcPr>
          <w:p w14:paraId="77738C36" w14:textId="77777777" w:rsidR="006578ED" w:rsidRDefault="00A1618E">
            <w:pPr>
              <w:pStyle w:val="P68B1DB1-Normal13"/>
              <w:spacing w:after="0" w:line="240" w:lineRule="auto"/>
              <w:jc w:val="center"/>
              <w:rPr>
                <w:rFonts w:cs="Times New Roman"/>
                <w:noProof/>
              </w:rPr>
            </w:pPr>
            <w:r>
              <w:rPr>
                <w:noProof/>
              </w:rPr>
              <w:t>—</w:t>
            </w:r>
          </w:p>
        </w:tc>
        <w:tc>
          <w:tcPr>
            <w:tcW w:w="850" w:type="dxa"/>
            <w:shd w:val="clear" w:color="auto" w:fill="C6EFCE"/>
            <w:noWrap/>
          </w:tcPr>
          <w:p w14:paraId="26D6E775" w14:textId="77777777" w:rsidR="006578ED" w:rsidRDefault="00A1618E">
            <w:pPr>
              <w:pStyle w:val="P68B1DB1-Normal13"/>
              <w:spacing w:after="0" w:line="240" w:lineRule="auto"/>
              <w:jc w:val="center"/>
              <w:rPr>
                <w:rFonts w:cs="Times New Roman"/>
                <w:noProof/>
              </w:rPr>
            </w:pPr>
            <w:r>
              <w:rPr>
                <w:noProof/>
              </w:rPr>
              <w:t>W mln EUR</w:t>
            </w:r>
          </w:p>
        </w:tc>
        <w:tc>
          <w:tcPr>
            <w:tcW w:w="709" w:type="dxa"/>
            <w:shd w:val="clear" w:color="auto" w:fill="C6EFCE"/>
          </w:tcPr>
          <w:p w14:paraId="17EB82ED" w14:textId="77777777" w:rsidR="006578ED" w:rsidRDefault="006578ED">
            <w:pPr>
              <w:spacing w:after="0" w:line="240" w:lineRule="auto"/>
              <w:rPr>
                <w:rFonts w:ascii="Times New Roman" w:hAnsi="Times New Roman" w:cs="Times New Roman"/>
                <w:noProof/>
                <w:sz w:val="18"/>
              </w:rPr>
            </w:pPr>
          </w:p>
        </w:tc>
        <w:tc>
          <w:tcPr>
            <w:tcW w:w="850" w:type="dxa"/>
            <w:shd w:val="clear" w:color="auto" w:fill="C6EFCE"/>
          </w:tcPr>
          <w:p w14:paraId="53D0F647" w14:textId="4568353C" w:rsidR="006578ED" w:rsidRDefault="00A1618E">
            <w:pPr>
              <w:pStyle w:val="P68B1DB1-Normal13"/>
              <w:spacing w:after="0" w:line="240" w:lineRule="auto"/>
              <w:jc w:val="center"/>
              <w:rPr>
                <w:rFonts w:cs="Times New Roman"/>
                <w:noProof/>
              </w:rPr>
            </w:pPr>
            <w:r>
              <w:rPr>
                <w:noProof/>
              </w:rPr>
              <w:t>90</w:t>
            </w:r>
          </w:p>
        </w:tc>
        <w:tc>
          <w:tcPr>
            <w:tcW w:w="567" w:type="dxa"/>
            <w:shd w:val="clear" w:color="auto" w:fill="C6EFCE"/>
          </w:tcPr>
          <w:p w14:paraId="4F60E5C8" w14:textId="3D474048" w:rsidR="006578ED" w:rsidRDefault="00EC188C">
            <w:pPr>
              <w:pStyle w:val="P68B1DB1-Normal13"/>
              <w:spacing w:after="0" w:line="240" w:lineRule="auto"/>
              <w:jc w:val="center"/>
              <w:rPr>
                <w:rFonts w:eastAsia="Times New Roman" w:cs="Times New Roman"/>
                <w:noProof/>
              </w:rPr>
            </w:pPr>
            <w:r>
              <w:rPr>
                <w:noProof/>
              </w:rPr>
              <w:t>KW. 3</w:t>
            </w:r>
          </w:p>
        </w:tc>
        <w:tc>
          <w:tcPr>
            <w:tcW w:w="567" w:type="dxa"/>
            <w:shd w:val="clear" w:color="auto" w:fill="C6EFCE"/>
          </w:tcPr>
          <w:p w14:paraId="7B76BA95" w14:textId="326D268E" w:rsidR="006578ED" w:rsidRDefault="00A1618E">
            <w:pPr>
              <w:pStyle w:val="P68B1DB1-Normal13"/>
              <w:spacing w:after="0" w:line="240" w:lineRule="auto"/>
              <w:jc w:val="center"/>
              <w:rPr>
                <w:rFonts w:eastAsia="Times New Roman" w:cs="Times New Roman"/>
                <w:noProof/>
              </w:rPr>
            </w:pPr>
            <w:r>
              <w:rPr>
                <w:noProof/>
              </w:rPr>
              <w:t>2026</w:t>
            </w:r>
          </w:p>
        </w:tc>
        <w:tc>
          <w:tcPr>
            <w:tcW w:w="5812" w:type="dxa"/>
            <w:shd w:val="clear" w:color="auto" w:fill="C6EFCE"/>
            <w:noWrap/>
          </w:tcPr>
          <w:p w14:paraId="1B815578" w14:textId="18154545" w:rsidR="006578ED" w:rsidRDefault="00A1618E">
            <w:pPr>
              <w:pStyle w:val="P68B1DB1-Normal13"/>
              <w:spacing w:after="0" w:line="240" w:lineRule="auto"/>
              <w:rPr>
                <w:rFonts w:eastAsia="Times New Roman" w:cs="Times New Roman"/>
                <w:noProof/>
              </w:rPr>
            </w:pPr>
            <w:r>
              <w:rPr>
                <w:noProof/>
              </w:rPr>
              <w:t>W ramach programu technologii kosmicznej wypłata co najmniej 90 000 000 EUR w formie dotacji i bezzwrotnych pożyczek na projekty badawczo-rozwojowe i innowacyjne. Ocena projektów w ramach tej inwestycji zapewnia zgodność z wytycznymi technicznymi dotyczącymi zasady „nie czyń poważnych szkód” (2021/C58/01) określonymi w opisie działania.</w:t>
            </w:r>
          </w:p>
        </w:tc>
      </w:tr>
    </w:tbl>
    <w:p w14:paraId="022B57D6" w14:textId="77777777" w:rsidR="006578ED" w:rsidRDefault="006578ED">
      <w:pPr>
        <w:rPr>
          <w:rFonts w:ascii="Times New Roman" w:hAnsi="Times New Roman" w:cs="Times New Roman"/>
          <w:noProof/>
        </w:rPr>
        <w:sectPr w:rsidR="006578ED" w:rsidSect="00EB7CC8">
          <w:headerReference w:type="even" r:id="rId354"/>
          <w:headerReference w:type="default" r:id="rId355"/>
          <w:footerReference w:type="even" r:id="rId356"/>
          <w:footerReference w:type="default" r:id="rId357"/>
          <w:headerReference w:type="first" r:id="rId358"/>
          <w:footerReference w:type="first" r:id="rId359"/>
          <w:pgSz w:w="16839" w:h="11907" w:orient="landscape"/>
          <w:pgMar w:top="1417" w:right="1134" w:bottom="1417" w:left="1134" w:header="709" w:footer="709" w:gutter="0"/>
          <w:cols w:space="720"/>
          <w:docGrid w:linePitch="360"/>
        </w:sectPr>
      </w:pPr>
    </w:p>
    <w:p w14:paraId="53D56011" w14:textId="77777777" w:rsidR="006578ED" w:rsidRDefault="006578ED">
      <w:pPr>
        <w:tabs>
          <w:tab w:val="left" w:pos="3733"/>
        </w:tabs>
        <w:rPr>
          <w:rFonts w:ascii="Times New Roman" w:hAnsi="Times New Roman" w:cs="Times New Roman"/>
          <w:noProof/>
        </w:rPr>
      </w:pPr>
    </w:p>
    <w:p w14:paraId="3BD35647" w14:textId="194F1228" w:rsidR="006578ED" w:rsidRPr="00A1618E" w:rsidRDefault="00EC188C">
      <w:pPr>
        <w:pStyle w:val="P68B1DB1-Normal4"/>
        <w:ind w:firstLine="720"/>
        <w:rPr>
          <w:rFonts w:eastAsia="Times New Roman" w:cs="Times New Roman"/>
          <w:noProof/>
          <w:lang w:val="pl-PL"/>
        </w:rPr>
      </w:pPr>
      <w:r>
        <w:rPr>
          <w:noProof/>
        </w:rPr>
        <w:t>KW.</w:t>
      </w:r>
      <w:r>
        <w:rPr>
          <w:b/>
          <w:noProof/>
          <w:u w:val="single"/>
        </w:rPr>
        <w:t>3</w:t>
      </w:r>
      <w:r>
        <w:rPr>
          <w:b/>
          <w:noProof/>
          <w:u w:val="single"/>
        </w:rPr>
        <w:tab/>
        <w:t>Opis inwestycji</w:t>
      </w:r>
      <w:r w:rsidR="00A1618E">
        <w:rPr>
          <w:b/>
          <w:noProof/>
          <w:u w:val="single"/>
        </w:rPr>
        <w:t xml:space="preserve"> w cel</w:t>
      </w:r>
      <w:r>
        <w:rPr>
          <w:b/>
          <w:noProof/>
          <w:u w:val="single"/>
        </w:rPr>
        <w:t>u wsparcia</w:t>
      </w:r>
      <w:r w:rsidR="00A1618E">
        <w:rPr>
          <w:b/>
          <w:noProof/>
          <w:u w:val="single"/>
        </w:rPr>
        <w:t xml:space="preserve"> w for</w:t>
      </w:r>
      <w:r>
        <w:rPr>
          <w:b/>
          <w:noProof/>
          <w:u w:val="single"/>
        </w:rPr>
        <w:t>mie pożyczk</w:t>
      </w:r>
      <w:r w:rsidRPr="00A1618E">
        <w:rPr>
          <w:b/>
          <w:noProof/>
          <w:u w:val="single"/>
          <w:lang w:val="pl-PL"/>
        </w:rPr>
        <w:t>i</w:t>
      </w:r>
      <w:r w:rsidR="00A1618E" w:rsidRPr="00A1618E">
        <w:rPr>
          <w:b/>
          <w:noProof/>
          <w:lang w:val="pl-PL"/>
        </w:rPr>
        <w:t xml:space="preserve"> </w:t>
      </w:r>
    </w:p>
    <w:p w14:paraId="35A1B411" w14:textId="2B209B01" w:rsidR="006578ED" w:rsidRDefault="00A1618E">
      <w:pPr>
        <w:pStyle w:val="P68B1DB1-Normal6"/>
        <w:spacing w:before="120" w:after="120" w:line="240" w:lineRule="auto"/>
        <w:jc w:val="both"/>
        <w:rPr>
          <w:rFonts w:eastAsia="Times New Roman" w:cs="Times New Roman"/>
          <w:noProof/>
        </w:rPr>
      </w:pPr>
      <w:r>
        <w:rPr>
          <w:noProof/>
        </w:rPr>
        <w:t>Inwestycje 10 (C17.I10) – Wsparcie pożyczkowe w ramach PERTE Health and PERTE Aerospace</w:t>
      </w:r>
    </w:p>
    <w:p w14:paraId="1785B497" w14:textId="41F8C68B" w:rsidR="006578ED" w:rsidRDefault="00A1618E">
      <w:pPr>
        <w:pStyle w:val="P68B1DB1-Normal4"/>
        <w:spacing w:after="0" w:line="240" w:lineRule="auto"/>
        <w:jc w:val="both"/>
        <w:rPr>
          <w:rFonts w:eastAsia="Times New Roman" w:cs="Times New Roman"/>
          <w:noProof/>
        </w:rPr>
      </w:pPr>
      <w:r>
        <w:rPr>
          <w:noProof/>
        </w:rPr>
        <w:t>Inwestycja dotyczy wykorzystania wsparcia w formie pożyczki w ramach Instrumentu na rzecz Odbudowy i Zwiększania Odporności do promowania inwestycji prywatnych w sektorze zdrowia oraz sektorze lotniczym i kosmonautycznym prowadzonych w ramach PERTE Health i PERTE Aerospace.</w:t>
      </w:r>
    </w:p>
    <w:p w14:paraId="7F6DB21C" w14:textId="77777777" w:rsidR="006578ED" w:rsidRDefault="006578ED">
      <w:pPr>
        <w:spacing w:after="0" w:line="240" w:lineRule="auto"/>
        <w:jc w:val="both"/>
        <w:rPr>
          <w:rFonts w:ascii="Times New Roman" w:eastAsia="Times New Roman" w:hAnsi="Times New Roman" w:cs="Times New Roman"/>
          <w:noProof/>
          <w:sz w:val="24"/>
        </w:rPr>
      </w:pPr>
    </w:p>
    <w:p w14:paraId="2E56D149" w14:textId="17551EF1" w:rsidR="006578ED" w:rsidRDefault="00A1618E">
      <w:pPr>
        <w:pStyle w:val="P68B1DB1-Normal4"/>
        <w:spacing w:after="0" w:line="240" w:lineRule="auto"/>
        <w:jc w:val="both"/>
        <w:rPr>
          <w:rFonts w:eastAsia="Times New Roman" w:cs="Times New Roman"/>
          <w:noProof/>
        </w:rPr>
      </w:pPr>
      <w:r>
        <w:rPr>
          <w:noProof/>
        </w:rPr>
        <w:t>W ramach programu PERTE na rzecz zdrowia celem środka jest wzmocnienie potencjału naukowego, technologicznego i innowacyjnego w sektorze zdrowia. W szczególności środek wspiera inwestycje poprzez: 1) pożyczki dla przedsiębiorstw w sektorze opieki zdrowotnej w celu wspierania takich działań jak badania, rozwój i innowacje, skalowanie przemysłu, modernizacja i aktualizacja procesów produkcyjnych oraz rozwój i wdrażanie zrównoważonych procesów; Inwestycje Innvierte w hiszpańskie przedsiębiorstwa technologiczne i innowacyjne w sektorze opieki zdrowotnej; oraz 3) pożyczek dla ośrodków badawczych krajowego systemu opieki zdrowotnej w celu rozszerzenia ich zdolności w zakresie badań i rozwoju technologicznego.</w:t>
      </w:r>
    </w:p>
    <w:p w14:paraId="53A7B3C3" w14:textId="77777777" w:rsidR="006578ED" w:rsidRDefault="006578ED">
      <w:pPr>
        <w:spacing w:after="0" w:line="240" w:lineRule="auto"/>
        <w:jc w:val="both"/>
        <w:rPr>
          <w:rFonts w:ascii="Times New Roman" w:eastAsia="Times New Roman" w:hAnsi="Times New Roman" w:cs="Times New Roman"/>
          <w:noProof/>
          <w:sz w:val="24"/>
        </w:rPr>
      </w:pPr>
    </w:p>
    <w:p w14:paraId="63A81C4D" w14:textId="1B14F20A" w:rsidR="006578ED" w:rsidRDefault="00A1618E">
      <w:pPr>
        <w:pStyle w:val="P68B1DB1-Normal4"/>
        <w:spacing w:after="0" w:line="240" w:lineRule="auto"/>
        <w:jc w:val="both"/>
        <w:rPr>
          <w:rFonts w:eastAsia="Times New Roman" w:cs="Times New Roman"/>
          <w:noProof/>
        </w:rPr>
      </w:pPr>
      <w:r>
        <w:rPr>
          <w:noProof/>
        </w:rPr>
        <w:t xml:space="preserve">W ramach programu PERTE Aerospace celem środka jest wzmocnienie potencjału naukowego, technologicznego i innowacyjnego w sektorze lotniczym i kosmonautycznym. Środek ten wspiera inwestycje poprzez pożyczki dla przedsiębiorstw w sektorze lotniczym i kosmicznym w takie działania jak badania, rozwój i innowacje, skalowanie przemysłowe, modernizacja i aktualizacja procesów produkcyjnych, cyfryzacja i modernizacja technologiczna, rozwój i wdrażanie zrównoważonych procesów. </w:t>
      </w:r>
    </w:p>
    <w:p w14:paraId="4352955B" w14:textId="77777777" w:rsidR="006578ED" w:rsidRDefault="006578ED">
      <w:pPr>
        <w:spacing w:after="0" w:line="240" w:lineRule="auto"/>
        <w:jc w:val="both"/>
        <w:rPr>
          <w:rFonts w:ascii="Times New Roman" w:eastAsia="Times New Roman" w:hAnsi="Times New Roman" w:cs="Times New Roman"/>
          <w:noProof/>
          <w:sz w:val="24"/>
        </w:rPr>
      </w:pPr>
    </w:p>
    <w:p w14:paraId="5238A6AA" w14:textId="01690E56" w:rsidR="006578ED" w:rsidRDefault="00A1618E">
      <w:pPr>
        <w:pStyle w:val="P68B1DB1-Normal4"/>
        <w:spacing w:after="0" w:line="240" w:lineRule="auto"/>
        <w:jc w:val="both"/>
        <w:rPr>
          <w:rFonts w:eastAsia="Times New Roman" w:cs="Times New Roman"/>
          <w:noProof/>
        </w:rPr>
      </w:pPr>
      <w:bookmarkStart w:id="54" w:name="_Hlk145665981"/>
      <w:r>
        <w:rPr>
          <w:noProof/>
        </w:rPr>
        <w:t xml:space="preserve">Wszelkie środki powracające związane z operacjami finansowymi wykorzystuje się do obsługi spłaty pożyczek w ramach pożyczki w ramach Instrumentu na rzecz Odbudowy i Zwiększania Odporności. </w:t>
      </w:r>
    </w:p>
    <w:bookmarkEnd w:id="54"/>
    <w:p w14:paraId="625EA318" w14:textId="77777777" w:rsidR="006578ED" w:rsidRDefault="006578ED">
      <w:pPr>
        <w:spacing w:after="0" w:line="240" w:lineRule="auto"/>
        <w:jc w:val="both"/>
        <w:rPr>
          <w:rFonts w:ascii="Times New Roman" w:eastAsia="Times New Roman" w:hAnsi="Times New Roman" w:cs="Times New Roman"/>
          <w:noProof/>
          <w:sz w:val="24"/>
        </w:rPr>
      </w:pPr>
    </w:p>
    <w:p w14:paraId="63A3B9AA" w14:textId="045E31B5" w:rsidR="006578ED" w:rsidRDefault="00A1618E">
      <w:pPr>
        <w:pStyle w:val="P68B1DB1-Normal4"/>
        <w:spacing w:after="0" w:line="240" w:lineRule="auto"/>
        <w:jc w:val="both"/>
        <w:rPr>
          <w:rFonts w:eastAsia="Times New Roman" w:cs="Times New Roman"/>
          <w:noProof/>
        </w:rPr>
      </w:pPr>
      <w:r>
        <w:rPr>
          <w:noProof/>
        </w:rPr>
        <w:t>Aby zapewnić zgodność środka z zasadą „nie czyń poważnych szkód” w ramach Instrumentu na rzecz Odbudowy i Zwiększania Odporności określoną w wytycznych technicznych dotyczących zasady „nie czyń poważnych szkód” (2021/C58/01), umowa(-y) prawna(-e) między podmiotem wykonującym a podmiotem udzielającym zamówienia oraz późniejsza polityka inwestycyjna instrumentu finansowego: </w:t>
      </w:r>
    </w:p>
    <w:p w14:paraId="5ECB9EFD" w14:textId="2D87646F" w:rsidR="006578ED" w:rsidRDefault="00A1618E">
      <w:pPr>
        <w:pStyle w:val="ListParagraph"/>
        <w:numPr>
          <w:ilvl w:val="0"/>
          <w:numId w:val="338"/>
        </w:num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W przypadku pożyczek i gwarancji: wyłączyć z kwalifikowalności następujący wykaz działań i aktywów: działalności i aktywów związanych z paliwami kopalnymi, w tym wykorzystania niższego szczebla</w:t>
      </w:r>
      <w:r>
        <w:rPr>
          <w:rStyle w:val="FootnoteReference"/>
          <w:rFonts w:ascii="Times New Roman" w:hAnsi="Times New Roman" w:cs="Times New Roman"/>
          <w:noProof/>
          <w:sz w:val="24"/>
        </w:rPr>
        <w:footnoteReference w:id="183"/>
      </w:r>
      <w:r>
        <w:rPr>
          <w:rStyle w:val="normaltextrun"/>
          <w:rFonts w:ascii="Times New Roman" w:hAnsi="Times New Roman"/>
          <w:noProof/>
          <w:sz w:val="24"/>
        </w:rPr>
        <w:t>; działania i aktywa w ramach unijnego systemu handlu uprawnieniami do emisji (ETS) zapewniające prognozowane emisje gazów cieplarnianych, które nie są niższe od odpowiednich wskaźników referencyjnych</w:t>
      </w:r>
      <w:r>
        <w:rPr>
          <w:rStyle w:val="FootnoteReference"/>
          <w:rFonts w:ascii="Times New Roman" w:hAnsi="Times New Roman" w:cs="Times New Roman"/>
          <w:noProof/>
          <w:sz w:val="24"/>
        </w:rPr>
        <w:footnoteReference w:id="184"/>
      </w:r>
      <w:r>
        <w:rPr>
          <w:rStyle w:val="normaltextrun"/>
          <w:rFonts w:ascii="Times New Roman" w:hAnsi="Times New Roman"/>
          <w:noProof/>
          <w:sz w:val="24"/>
        </w:rPr>
        <w:t>; działalność i aktywa związane ze składowiskami odpadów, spalarniami</w:t>
      </w:r>
      <w:hyperlink r:id="rId360" w:anchor="_ftn3" w:tgtFrame="_blank" w:history="1">
        <w:r>
          <w:rPr>
            <w:rStyle w:val="normaltextrun"/>
            <w:rFonts w:ascii="Times New Roman" w:hAnsi="Times New Roman"/>
            <w:b/>
            <w:noProof/>
            <w:sz w:val="24"/>
            <w:vertAlign w:val="superscript"/>
          </w:rPr>
          <w:t>]</w:t>
        </w:r>
        <w:r>
          <w:rPr>
            <w:rStyle w:val="FootnoteReference"/>
            <w:rFonts w:ascii="Times New Roman" w:hAnsi="Times New Roman" w:cs="Times New Roman"/>
            <w:noProof/>
            <w:sz w:val="24"/>
          </w:rPr>
          <w:footnoteReference w:id="185"/>
        </w:r>
        <w:r>
          <w:rPr>
            <w:rStyle w:val="normaltextrun"/>
            <w:rFonts w:ascii="Times New Roman" w:hAnsi="Times New Roman"/>
            <w:b/>
            <w:noProof/>
            <w:sz w:val="24"/>
            <w:vertAlign w:val="superscript"/>
          </w:rPr>
          <w:t>i zakładami</w:t>
        </w:r>
      </w:hyperlink>
      <w:r>
        <w:rPr>
          <w:rStyle w:val="normaltextrun"/>
          <w:rFonts w:ascii="Times New Roman" w:hAnsi="Times New Roman"/>
          <w:noProof/>
          <w:sz w:val="24"/>
        </w:rPr>
        <w:t xml:space="preserve"> mechaniczno-biologicznego przetwarzania odpadów.</w:t>
      </w:r>
      <w:r>
        <w:rPr>
          <w:rStyle w:val="FootnoteReference"/>
          <w:rFonts w:ascii="Times New Roman" w:hAnsi="Times New Roman" w:cs="Times New Roman"/>
          <w:noProof/>
          <w:sz w:val="24"/>
        </w:rPr>
        <w:footnoteReference w:id="186"/>
      </w:r>
      <w:r>
        <w:rPr>
          <w:rStyle w:val="eop"/>
          <w:rFonts w:ascii="Times New Roman" w:hAnsi="Times New Roman"/>
          <w:noProof/>
          <w:sz w:val="24"/>
        </w:rPr>
        <w:t xml:space="preserve"> Następujące działania w zakresie badań, rozwoju i innowacji w ramach tej inwestycji uznaje się za zgodne z wytycznymi technicznymi dotyczącymi zasady „nie czyń poważnych szkód” (2021/C58/01): działania w zakresie badań, rozwoju i innowacji w ramach tej inwestycji, skutkujące neutralnymi technologicznie wynikami na poziomie ich zastosowania; działania w zakresie badań, rozwoju i innowacji w ramach tej inwestycji wspierające alternatywy o niskim wpływie na środowisko, w przypadku których istnieją; lub (iii) tych działań w zakresie badań, rozwoju i innowacji w ramach tej inwestycji, które koncentrują się przede wszystkim na opracowaniu rozwiązań alternatywnych o możliwie najmniejszym wpływie na środowisko w sektorze w przypadku tych rodzajów działalności, w przypadku których nie istnieje alternatywa o niskim wpływie na środowisko wykonalna pod względem technologicznym i ekonomicznym.</w:t>
      </w:r>
    </w:p>
    <w:p w14:paraId="449F25C7" w14:textId="4759D529" w:rsidR="006578ED" w:rsidRDefault="00A1618E">
      <w:pPr>
        <w:pStyle w:val="ListParagraph"/>
        <w:numPr>
          <w:ilvl w:val="0"/>
          <w:numId w:val="338"/>
        </w:numPr>
        <w:spacing w:before="120" w:after="120" w:line="240" w:lineRule="auto"/>
        <w:jc w:val="both"/>
        <w:rPr>
          <w:rFonts w:ascii="Times New Roman" w:eastAsia="Times New Roman" w:hAnsi="Times New Roman" w:cs="Times New Roman"/>
          <w:noProof/>
          <w:sz w:val="24"/>
        </w:rPr>
      </w:pPr>
      <w:r>
        <w:rPr>
          <w:rFonts w:ascii="Times New Roman" w:hAnsi="Times New Roman"/>
          <w:noProof/>
          <w:sz w:val="24"/>
        </w:rPr>
        <w:t>W przypadku instrumentów kapitału podwyższonego ryzyka: zobowiązanie przedsiębiorstw do przyjęcia planów zielonej transformacji zgodnie z definicją zawartą w </w:t>
      </w:r>
      <w:r w:rsidRPr="00A1618E">
        <w:rPr>
          <w:rFonts w:ascii="Times New Roman" w:hAnsi="Times New Roman"/>
          <w:noProof/>
          <w:sz w:val="24"/>
          <w:lang w:val="pl-PL"/>
        </w:rPr>
        <w:t>art. 1</w:t>
      </w:r>
      <w:r>
        <w:rPr>
          <w:rFonts w:ascii="Times New Roman" w:hAnsi="Times New Roman"/>
          <w:noProof/>
          <w:sz w:val="24"/>
        </w:rPr>
        <w:t xml:space="preserve">9a </w:t>
      </w:r>
      <w:r w:rsidRPr="00A1618E">
        <w:rPr>
          <w:rFonts w:ascii="Times New Roman" w:hAnsi="Times New Roman"/>
          <w:noProof/>
          <w:sz w:val="24"/>
          <w:lang w:val="pl-PL"/>
        </w:rPr>
        <w:t>ust. 2</w:t>
      </w:r>
      <w:r>
        <w:rPr>
          <w:rFonts w:ascii="Times New Roman" w:hAnsi="Times New Roman"/>
          <w:noProof/>
          <w:sz w:val="24"/>
        </w:rPr>
        <w:t xml:space="preserve"> </w:t>
      </w:r>
      <w:r w:rsidRPr="00A1618E">
        <w:rPr>
          <w:rFonts w:ascii="Times New Roman" w:hAnsi="Times New Roman"/>
          <w:noProof/>
          <w:sz w:val="24"/>
          <w:lang w:val="pl-PL"/>
        </w:rPr>
        <w:t>lit. a)</w:t>
      </w:r>
      <w:r>
        <w:rPr>
          <w:rFonts w:ascii="Times New Roman" w:hAnsi="Times New Roman"/>
          <w:noProof/>
          <w:sz w:val="24"/>
        </w:rPr>
        <w:t xml:space="preserve"> ppkt (iii) dyrektywy 2013/34/UE (zmienionej dyrektywą (UE) 2022/2464), jeżeli ponad 50 % ich bezpośrednich przychodów w poprzednim roku obrotowym pochodzi z następującego wykazu działalności i aktywów: działalność i aktywa związane z paliwami kopalnymi, w tym wykorzystanie niższego szczebla</w:t>
      </w:r>
      <w:hyperlink r:id="rId361" w:anchor="_ftn1" w:tgtFrame="_blank" w:history="1">
        <w:r>
          <w:rPr>
            <w:rStyle w:val="normaltextrun"/>
            <w:rFonts w:ascii="Times New Roman" w:hAnsi="Times New Roman"/>
            <w:b/>
            <w:noProof/>
            <w:sz w:val="24"/>
            <w:vertAlign w:val="superscript"/>
          </w:rPr>
          <w:t>]</w:t>
        </w:r>
      </w:hyperlink>
      <w:r>
        <w:rPr>
          <w:rStyle w:val="FootnoteReference"/>
          <w:rFonts w:ascii="Times New Roman" w:hAnsi="Times New Roman" w:cs="Times New Roman"/>
          <w:noProof/>
          <w:sz w:val="24"/>
        </w:rPr>
        <w:footnoteReference w:id="187"/>
      </w:r>
      <w:r>
        <w:rPr>
          <w:rStyle w:val="normaltextrun"/>
          <w:rFonts w:ascii="Times New Roman" w:hAnsi="Times New Roman"/>
          <w:noProof/>
          <w:sz w:val="24"/>
        </w:rPr>
        <w:t>; działania i aktywa w ramach unijnego systemu handlu uprawnieniami do emisji (ETS) zapewniające prognozowane emisje gazów cieplarnianych, które nie są niższe od odpowiednich wskaźników referencyjnych</w:t>
      </w:r>
      <w:r>
        <w:rPr>
          <w:rStyle w:val="FootnoteReference"/>
          <w:rFonts w:ascii="Times New Roman" w:hAnsi="Times New Roman" w:cs="Times New Roman"/>
          <w:noProof/>
          <w:sz w:val="24"/>
        </w:rPr>
        <w:footnoteReference w:id="188"/>
      </w:r>
      <w:r>
        <w:rPr>
          <w:rStyle w:val="normaltextrun"/>
          <w:rFonts w:ascii="Times New Roman" w:hAnsi="Times New Roman"/>
          <w:noProof/>
          <w:sz w:val="24"/>
        </w:rPr>
        <w:t>; działalność i aktywa związane ze składowiskami odpadów, spalarniami</w:t>
      </w:r>
      <w:hyperlink r:id="rId362" w:anchor="_ftn3" w:tgtFrame="_blank" w:history="1">
        <w:r>
          <w:rPr>
            <w:rStyle w:val="normaltextrun"/>
            <w:rFonts w:ascii="Times New Roman" w:hAnsi="Times New Roman"/>
            <w:b/>
            <w:noProof/>
            <w:sz w:val="24"/>
            <w:vertAlign w:val="superscript"/>
          </w:rPr>
          <w:t>]</w:t>
        </w:r>
        <w:r>
          <w:rPr>
            <w:rStyle w:val="FootnoteReference"/>
            <w:rFonts w:ascii="Times New Roman" w:hAnsi="Times New Roman" w:cs="Times New Roman"/>
            <w:noProof/>
            <w:sz w:val="24"/>
          </w:rPr>
          <w:footnoteReference w:id="189"/>
        </w:r>
        <w:r>
          <w:rPr>
            <w:rStyle w:val="normaltextrun"/>
            <w:rFonts w:ascii="Times New Roman" w:hAnsi="Times New Roman"/>
            <w:b/>
            <w:noProof/>
            <w:sz w:val="24"/>
            <w:vertAlign w:val="superscript"/>
          </w:rPr>
          <w:t>i zakładami</w:t>
        </w:r>
      </w:hyperlink>
      <w:r>
        <w:rPr>
          <w:rStyle w:val="normaltextrun"/>
          <w:rFonts w:ascii="Times New Roman" w:hAnsi="Times New Roman"/>
          <w:noProof/>
          <w:sz w:val="24"/>
        </w:rPr>
        <w:t xml:space="preserve"> mechaniczno-biologicznego przetwarzania odpadów.</w:t>
      </w:r>
      <w:r>
        <w:rPr>
          <w:rStyle w:val="FootnoteReference"/>
          <w:rFonts w:ascii="Times New Roman" w:hAnsi="Times New Roman" w:cs="Times New Roman"/>
          <w:noProof/>
          <w:sz w:val="24"/>
        </w:rPr>
        <w:footnoteReference w:id="190"/>
      </w:r>
    </w:p>
    <w:p w14:paraId="28792347" w14:textId="39FD2F37" w:rsidR="006578ED" w:rsidRDefault="00A1618E">
      <w:pPr>
        <w:pStyle w:val="P68B1DB1-ListParagraph7"/>
        <w:numPr>
          <w:ilvl w:val="0"/>
          <w:numId w:val="338"/>
        </w:numPr>
        <w:spacing w:before="120" w:after="120" w:line="240" w:lineRule="auto"/>
        <w:jc w:val="both"/>
        <w:rPr>
          <w:rFonts w:eastAsia="Times New Roman" w:cs="Times New Roman"/>
          <w:noProof/>
        </w:rPr>
      </w:pPr>
      <w:r>
        <w:rPr>
          <w:noProof/>
        </w:rPr>
        <w:t>Podmiot wdrażający wymaga zgodności z odpowiednimi unijnymi i krajowymi przepisami w zakresie ochrony środowiska beneficjenta.</w:t>
      </w:r>
    </w:p>
    <w:p w14:paraId="68C50DE4" w14:textId="53F0D321" w:rsidR="006578ED" w:rsidRDefault="00A1618E">
      <w:pPr>
        <w:pStyle w:val="P68B1DB1-Normal4"/>
        <w:spacing w:before="120" w:after="120" w:line="240" w:lineRule="auto"/>
        <w:jc w:val="both"/>
        <w:rPr>
          <w:rFonts w:eastAsia="Times New Roman" w:cs="Times New Roman"/>
          <w:noProof/>
        </w:rPr>
      </w:pPr>
      <w:r>
        <w:rPr>
          <w:noProof/>
        </w:rPr>
        <w:t>Wdrożenie środka należy zakończyć do dnia 31 sierpnia 20</w:t>
      </w:r>
      <w:r w:rsidRPr="00A1618E">
        <w:rPr>
          <w:noProof/>
          <w:lang w:val="pl-PL"/>
        </w:rPr>
        <w:t>26 r.</w:t>
      </w:r>
    </w:p>
    <w:p w14:paraId="248959D3" w14:textId="7C5279D8" w:rsidR="006578ED" w:rsidRPr="00A1618E" w:rsidRDefault="00EC188C">
      <w:pPr>
        <w:pStyle w:val="P68B1DB1-Normal4"/>
        <w:ind w:left="720"/>
        <w:rPr>
          <w:rFonts w:eastAsia="Times New Roman" w:cs="Times New Roman"/>
          <w:noProof/>
          <w:lang w:val="pl-PL"/>
        </w:rPr>
      </w:pPr>
      <w:r>
        <w:rPr>
          <w:noProof/>
        </w:rPr>
        <w:t>KW.</w:t>
      </w:r>
      <w:r>
        <w:rPr>
          <w:b/>
          <w:noProof/>
          <w:u w:val="single"/>
        </w:rPr>
        <w:t>4</w:t>
      </w:r>
      <w:r>
        <w:rPr>
          <w:b/>
          <w:noProof/>
          <w:u w:val="single"/>
        </w:rPr>
        <w:tab/>
        <w:t>Cele pośrednie, wartości docelowe, wskaźniki</w:t>
      </w:r>
      <w:r w:rsidR="00A1618E">
        <w:rPr>
          <w:b/>
          <w:noProof/>
          <w:u w:val="single"/>
        </w:rPr>
        <w:t xml:space="preserve"> i har</w:t>
      </w:r>
      <w:r>
        <w:rPr>
          <w:b/>
          <w:noProof/>
          <w:u w:val="single"/>
        </w:rPr>
        <w:t>monogram monitorowania</w:t>
      </w:r>
      <w:r w:rsidR="00A1618E">
        <w:rPr>
          <w:b/>
          <w:noProof/>
          <w:u w:val="single"/>
        </w:rPr>
        <w:t xml:space="preserve"> i wdr</w:t>
      </w:r>
      <w:r>
        <w:rPr>
          <w:b/>
          <w:noProof/>
          <w:u w:val="single"/>
        </w:rPr>
        <w:t>ażania wsparcia</w:t>
      </w:r>
      <w:r w:rsidR="00A1618E">
        <w:rPr>
          <w:b/>
          <w:noProof/>
          <w:u w:val="single"/>
        </w:rPr>
        <w:t xml:space="preserve"> w for</w:t>
      </w:r>
      <w:r>
        <w:rPr>
          <w:b/>
          <w:noProof/>
          <w:u w:val="single"/>
        </w:rPr>
        <w:t>mie pożycze</w:t>
      </w:r>
      <w:r w:rsidRPr="00A1618E">
        <w:rPr>
          <w:b/>
          <w:noProof/>
          <w:u w:val="single"/>
          <w:lang w:val="pl-PL"/>
        </w:rPr>
        <w:t>k</w:t>
      </w:r>
      <w:r w:rsidR="00A1618E" w:rsidRPr="00A1618E">
        <w:rPr>
          <w:b/>
          <w:noProof/>
          <w:lang w:val="pl-PL"/>
        </w:rPr>
        <w:t xml:space="preserve"> </w:t>
      </w:r>
    </w:p>
    <w:p w14:paraId="7D98F7ED" w14:textId="0AE3D54D" w:rsidR="006578ED" w:rsidRDefault="00A1618E">
      <w:pPr>
        <w:pStyle w:val="P68B1DB1-Normal18"/>
        <w:rPr>
          <w:rFonts w:cs="Times New Roman"/>
          <w:noProof/>
        </w:rPr>
      </w:pPr>
      <w:r>
        <w:rPr>
          <w:noProof/>
        </w:rPr>
        <w:t>Zob. tabela poniżej. Datą odniesienia dla wszystkich wskaźników jest rozpoczęcie działania, chyba że w opisie działania wskazano inaczej. Kwoty w tabeli nie obejmują VAT.</w:t>
      </w:r>
    </w:p>
    <w:p w14:paraId="6AB2C1B6" w14:textId="77777777" w:rsidR="006578ED" w:rsidRDefault="006578ED">
      <w:pPr>
        <w:spacing w:before="120" w:after="120" w:line="240" w:lineRule="auto"/>
        <w:rPr>
          <w:rFonts w:ascii="Times New Roman" w:hAnsi="Times New Roman" w:cs="Times New Roman"/>
          <w:noProof/>
        </w:rPr>
        <w:sectPr w:rsidR="006578ED" w:rsidSect="00C94F66">
          <w:headerReference w:type="even" r:id="rId363"/>
          <w:headerReference w:type="default" r:id="rId364"/>
          <w:footerReference w:type="even" r:id="rId365"/>
          <w:footerReference w:type="default" r:id="rId366"/>
          <w:headerReference w:type="first" r:id="rId367"/>
          <w:footerReference w:type="first" r:id="rId368"/>
          <w:pgSz w:w="11907" w:h="16839"/>
          <w:pgMar w:top="1134" w:right="1418" w:bottom="1134" w:left="1418" w:header="709" w:footer="709" w:gutter="0"/>
          <w:cols w:space="720"/>
          <w:docGrid w:linePitch="360"/>
        </w:sectPr>
      </w:pPr>
    </w:p>
    <w:tbl>
      <w:tblPr>
        <w:tblW w:w="1467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877"/>
        <w:gridCol w:w="962"/>
        <w:gridCol w:w="2133"/>
        <w:gridCol w:w="1209"/>
        <w:gridCol w:w="997"/>
        <w:gridCol w:w="1006"/>
        <w:gridCol w:w="639"/>
        <w:gridCol w:w="561"/>
        <w:gridCol w:w="687"/>
        <w:gridCol w:w="4760"/>
      </w:tblGrid>
      <w:tr w:rsidR="006578ED" w14:paraId="756B1323" w14:textId="77777777">
        <w:trPr>
          <w:trHeight w:val="309"/>
          <w:tblHeader/>
        </w:trPr>
        <w:tc>
          <w:tcPr>
            <w:tcW w:w="857" w:type="dxa"/>
            <w:tcBorders>
              <w:bottom w:val="nil"/>
            </w:tcBorders>
            <w:shd w:val="clear" w:color="auto" w:fill="C6D9F1" w:themeFill="text2" w:themeFillTint="33"/>
          </w:tcPr>
          <w:p w14:paraId="66BE53CF" w14:textId="77777777" w:rsidR="006578ED" w:rsidRDefault="00A1618E">
            <w:pPr>
              <w:pStyle w:val="P68B1DB1-Normal12"/>
              <w:spacing w:after="0" w:line="240" w:lineRule="auto"/>
              <w:jc w:val="center"/>
              <w:rPr>
                <w:rFonts w:cs="Times New Roman"/>
                <w:noProof/>
              </w:rPr>
            </w:pPr>
            <w:r>
              <w:rPr>
                <w:noProof/>
              </w:rPr>
              <w:t>Liczba</w:t>
            </w:r>
          </w:p>
        </w:tc>
        <w:tc>
          <w:tcPr>
            <w:tcW w:w="886" w:type="dxa"/>
            <w:tcBorders>
              <w:bottom w:val="nil"/>
            </w:tcBorders>
            <w:shd w:val="clear" w:color="auto" w:fill="C6D9F1" w:themeFill="text2" w:themeFillTint="33"/>
          </w:tcPr>
          <w:p w14:paraId="2EA20D3C" w14:textId="77777777" w:rsidR="006578ED" w:rsidRDefault="00A1618E">
            <w:pPr>
              <w:pStyle w:val="P68B1DB1-Normal12"/>
              <w:spacing w:after="0" w:line="240" w:lineRule="auto"/>
              <w:jc w:val="center"/>
              <w:rPr>
                <w:rFonts w:cs="Times New Roman"/>
                <w:noProof/>
              </w:rPr>
            </w:pPr>
            <w:r>
              <w:rPr>
                <w:noProof/>
              </w:rPr>
              <w:t>Środek</w:t>
            </w:r>
          </w:p>
        </w:tc>
        <w:tc>
          <w:tcPr>
            <w:tcW w:w="966" w:type="dxa"/>
            <w:tcBorders>
              <w:bottom w:val="nil"/>
            </w:tcBorders>
            <w:shd w:val="clear" w:color="auto" w:fill="C6D9F1" w:themeFill="text2" w:themeFillTint="33"/>
          </w:tcPr>
          <w:p w14:paraId="19E272E4" w14:textId="228BD94E" w:rsidR="006578ED" w:rsidRDefault="00EC188C">
            <w:pPr>
              <w:pStyle w:val="P68B1DB1-Normal8"/>
              <w:spacing w:after="0" w:line="240" w:lineRule="auto"/>
              <w:jc w:val="center"/>
              <w:rPr>
                <w:rFonts w:cs="Times New Roman"/>
                <w:b/>
                <w:noProof/>
                <w:sz w:val="18"/>
              </w:rPr>
            </w:pPr>
            <w:r>
              <w:rPr>
                <w:b/>
                <w:noProof/>
                <w:sz w:val="18"/>
              </w:rPr>
              <w:t>Kamień milowy</w:t>
            </w:r>
            <w:r>
              <w:rPr>
                <w:noProof/>
                <w:shd w:val="clear" w:color="auto" w:fill="E6E6E6"/>
              </w:rPr>
              <w:br/>
            </w:r>
            <w:r>
              <w:rPr>
                <w:b/>
                <w:noProof/>
                <w:sz w:val="18"/>
              </w:rPr>
              <w:t xml:space="preserve"> /</w:t>
            </w:r>
            <w:r w:rsidR="00AF6B91">
              <w:rPr>
                <w:b/>
                <w:noProof/>
                <w:sz w:val="18"/>
              </w:rPr>
              <w:t>Wartość docelowa</w:t>
            </w:r>
          </w:p>
        </w:tc>
        <w:tc>
          <w:tcPr>
            <w:tcW w:w="2227" w:type="dxa"/>
            <w:tcBorders>
              <w:bottom w:val="nil"/>
            </w:tcBorders>
            <w:shd w:val="clear" w:color="auto" w:fill="C6D9F1" w:themeFill="text2" w:themeFillTint="33"/>
          </w:tcPr>
          <w:p w14:paraId="1F5E623B" w14:textId="77777777" w:rsidR="006578ED" w:rsidRDefault="00A1618E">
            <w:pPr>
              <w:pStyle w:val="P68B1DB1-Normal12"/>
              <w:spacing w:after="0" w:line="240" w:lineRule="auto"/>
              <w:jc w:val="center"/>
              <w:rPr>
                <w:rFonts w:cs="Times New Roman"/>
                <w:noProof/>
              </w:rPr>
            </w:pPr>
            <w:r>
              <w:rPr>
                <w:noProof/>
              </w:rPr>
              <w:t>Nazwa</w:t>
            </w:r>
          </w:p>
        </w:tc>
        <w:tc>
          <w:tcPr>
            <w:tcW w:w="1226" w:type="dxa"/>
            <w:tcBorders>
              <w:bottom w:val="nil"/>
            </w:tcBorders>
            <w:shd w:val="clear" w:color="auto" w:fill="C6D9F1" w:themeFill="text2" w:themeFillTint="33"/>
          </w:tcPr>
          <w:p w14:paraId="02EB3D44"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173" w:type="dxa"/>
            <w:gridSpan w:val="3"/>
            <w:shd w:val="clear" w:color="auto" w:fill="C6D9F1" w:themeFill="text2" w:themeFillTint="33"/>
          </w:tcPr>
          <w:p w14:paraId="159A064A"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226" w:type="dxa"/>
            <w:gridSpan w:val="2"/>
            <w:shd w:val="clear" w:color="auto" w:fill="C6D9F1" w:themeFill="text2" w:themeFillTint="33"/>
          </w:tcPr>
          <w:p w14:paraId="50EFFB48" w14:textId="77777777" w:rsidR="006578ED" w:rsidRDefault="00A1618E">
            <w:pPr>
              <w:pStyle w:val="P68B1DB1-Normal12"/>
              <w:spacing w:after="0" w:line="240" w:lineRule="auto"/>
              <w:jc w:val="center"/>
              <w:rPr>
                <w:rFonts w:cs="Times New Roman"/>
                <w:noProof/>
              </w:rPr>
            </w:pPr>
            <w:r>
              <w:rPr>
                <w:noProof/>
              </w:rPr>
              <w:t>Czas</w:t>
            </w:r>
          </w:p>
        </w:tc>
        <w:tc>
          <w:tcPr>
            <w:tcW w:w="5114" w:type="dxa"/>
            <w:tcBorders>
              <w:bottom w:val="nil"/>
            </w:tcBorders>
            <w:shd w:val="clear" w:color="auto" w:fill="C6D9F1" w:themeFill="text2" w:themeFillTint="33"/>
          </w:tcPr>
          <w:p w14:paraId="2187E50E" w14:textId="759DF9E9"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6F872CCE" w14:textId="77777777">
        <w:trPr>
          <w:trHeight w:val="309"/>
          <w:tblHeader/>
        </w:trPr>
        <w:tc>
          <w:tcPr>
            <w:tcW w:w="857" w:type="dxa"/>
            <w:tcBorders>
              <w:top w:val="nil"/>
            </w:tcBorders>
            <w:shd w:val="clear" w:color="auto" w:fill="C6D9F1" w:themeFill="text2" w:themeFillTint="33"/>
          </w:tcPr>
          <w:p w14:paraId="27CA29BE" w14:textId="77777777" w:rsidR="006578ED" w:rsidRDefault="006578ED">
            <w:pPr>
              <w:spacing w:after="0" w:line="240" w:lineRule="auto"/>
              <w:jc w:val="center"/>
              <w:rPr>
                <w:rFonts w:ascii="Times New Roman" w:hAnsi="Times New Roman" w:cs="Times New Roman"/>
                <w:b/>
                <w:noProof/>
                <w:sz w:val="18"/>
              </w:rPr>
            </w:pPr>
          </w:p>
        </w:tc>
        <w:tc>
          <w:tcPr>
            <w:tcW w:w="886" w:type="dxa"/>
            <w:tcBorders>
              <w:top w:val="nil"/>
            </w:tcBorders>
            <w:shd w:val="clear" w:color="auto" w:fill="C6D9F1" w:themeFill="text2" w:themeFillTint="33"/>
          </w:tcPr>
          <w:p w14:paraId="11B0139A" w14:textId="77777777" w:rsidR="006578ED" w:rsidRDefault="006578ED">
            <w:pPr>
              <w:spacing w:after="0" w:line="240" w:lineRule="auto"/>
              <w:jc w:val="center"/>
              <w:rPr>
                <w:rFonts w:ascii="Times New Roman" w:hAnsi="Times New Roman" w:cs="Times New Roman"/>
                <w:b/>
                <w:noProof/>
                <w:sz w:val="18"/>
              </w:rPr>
            </w:pPr>
          </w:p>
        </w:tc>
        <w:tc>
          <w:tcPr>
            <w:tcW w:w="966" w:type="dxa"/>
            <w:tcBorders>
              <w:top w:val="nil"/>
            </w:tcBorders>
            <w:shd w:val="clear" w:color="auto" w:fill="C6D9F1" w:themeFill="text2" w:themeFillTint="33"/>
          </w:tcPr>
          <w:p w14:paraId="2AECA98D" w14:textId="77777777" w:rsidR="006578ED" w:rsidRDefault="006578ED">
            <w:pPr>
              <w:spacing w:after="0" w:line="240" w:lineRule="auto"/>
              <w:jc w:val="center"/>
              <w:rPr>
                <w:rFonts w:ascii="Times New Roman" w:hAnsi="Times New Roman" w:cs="Times New Roman"/>
                <w:b/>
                <w:noProof/>
                <w:sz w:val="18"/>
              </w:rPr>
            </w:pPr>
          </w:p>
        </w:tc>
        <w:tc>
          <w:tcPr>
            <w:tcW w:w="2227" w:type="dxa"/>
            <w:tcBorders>
              <w:top w:val="nil"/>
            </w:tcBorders>
            <w:shd w:val="clear" w:color="auto" w:fill="C6D9F1" w:themeFill="text2" w:themeFillTint="33"/>
          </w:tcPr>
          <w:p w14:paraId="54315F50" w14:textId="77777777" w:rsidR="006578ED" w:rsidRDefault="006578ED">
            <w:pPr>
              <w:spacing w:after="0" w:line="240" w:lineRule="auto"/>
              <w:rPr>
                <w:rFonts w:ascii="Times New Roman" w:hAnsi="Times New Roman" w:cs="Times New Roman"/>
                <w:b/>
                <w:noProof/>
                <w:sz w:val="18"/>
              </w:rPr>
            </w:pPr>
          </w:p>
        </w:tc>
        <w:tc>
          <w:tcPr>
            <w:tcW w:w="1226" w:type="dxa"/>
            <w:tcBorders>
              <w:top w:val="nil"/>
            </w:tcBorders>
            <w:shd w:val="clear" w:color="auto" w:fill="C6D9F1" w:themeFill="text2" w:themeFillTint="33"/>
          </w:tcPr>
          <w:p w14:paraId="052258C8" w14:textId="77777777" w:rsidR="006578ED" w:rsidRDefault="006578ED">
            <w:pPr>
              <w:spacing w:after="0" w:line="240" w:lineRule="auto"/>
              <w:jc w:val="center"/>
              <w:rPr>
                <w:rFonts w:ascii="Times New Roman" w:hAnsi="Times New Roman" w:cs="Times New Roman"/>
                <w:b/>
                <w:noProof/>
                <w:sz w:val="18"/>
              </w:rPr>
            </w:pPr>
          </w:p>
        </w:tc>
        <w:tc>
          <w:tcPr>
            <w:tcW w:w="896" w:type="dxa"/>
            <w:shd w:val="clear" w:color="auto" w:fill="C6D9F1" w:themeFill="text2" w:themeFillTint="33"/>
          </w:tcPr>
          <w:p w14:paraId="11B4A688" w14:textId="77777777" w:rsidR="006578ED" w:rsidRDefault="00A1618E">
            <w:pPr>
              <w:pStyle w:val="P68B1DB1-Normal12"/>
              <w:spacing w:after="0" w:line="240" w:lineRule="auto"/>
              <w:jc w:val="center"/>
              <w:rPr>
                <w:rFonts w:cs="Times New Roman"/>
                <w:noProof/>
              </w:rPr>
            </w:pPr>
            <w:r>
              <w:rPr>
                <w:noProof/>
              </w:rPr>
              <w:t>Jednostka</w:t>
            </w:r>
          </w:p>
        </w:tc>
        <w:tc>
          <w:tcPr>
            <w:tcW w:w="636" w:type="dxa"/>
            <w:shd w:val="clear" w:color="auto" w:fill="C6D9F1" w:themeFill="text2" w:themeFillTint="33"/>
          </w:tcPr>
          <w:p w14:paraId="5A6579E2" w14:textId="77777777" w:rsidR="006578ED" w:rsidRDefault="00A1618E">
            <w:pPr>
              <w:pStyle w:val="P68B1DB1-Normal12"/>
              <w:spacing w:after="0" w:line="240" w:lineRule="auto"/>
              <w:jc w:val="center"/>
              <w:rPr>
                <w:rFonts w:cs="Times New Roman"/>
                <w:noProof/>
              </w:rPr>
            </w:pPr>
            <w:r>
              <w:rPr>
                <w:noProof/>
              </w:rPr>
              <w:t>Wartość wyjściowa</w:t>
            </w:r>
          </w:p>
        </w:tc>
        <w:tc>
          <w:tcPr>
            <w:tcW w:w="641" w:type="dxa"/>
            <w:shd w:val="clear" w:color="auto" w:fill="C6D9F1" w:themeFill="text2" w:themeFillTint="33"/>
          </w:tcPr>
          <w:p w14:paraId="0201C213" w14:textId="77777777" w:rsidR="006578ED" w:rsidRDefault="00A1618E">
            <w:pPr>
              <w:pStyle w:val="P68B1DB1-Normal12"/>
              <w:spacing w:after="0" w:line="240" w:lineRule="auto"/>
              <w:jc w:val="center"/>
              <w:rPr>
                <w:rFonts w:cs="Times New Roman"/>
                <w:noProof/>
              </w:rPr>
            </w:pPr>
            <w:r>
              <w:rPr>
                <w:noProof/>
              </w:rPr>
              <w:t>Cel</w:t>
            </w:r>
          </w:p>
        </w:tc>
        <w:tc>
          <w:tcPr>
            <w:tcW w:w="526" w:type="dxa"/>
            <w:shd w:val="clear" w:color="auto" w:fill="C6D9F1" w:themeFill="text2" w:themeFillTint="33"/>
          </w:tcPr>
          <w:p w14:paraId="187F06C1" w14:textId="77777777" w:rsidR="006578ED" w:rsidRDefault="00A1618E">
            <w:pPr>
              <w:pStyle w:val="P68B1DB1-Normal12"/>
              <w:spacing w:after="0" w:line="240" w:lineRule="auto"/>
              <w:jc w:val="center"/>
              <w:rPr>
                <w:rFonts w:cs="Times New Roman"/>
                <w:noProof/>
              </w:rPr>
            </w:pPr>
            <w:r>
              <w:rPr>
                <w:noProof/>
              </w:rPr>
              <w:t>Q</w:t>
            </w:r>
          </w:p>
        </w:tc>
        <w:tc>
          <w:tcPr>
            <w:tcW w:w="700" w:type="dxa"/>
            <w:shd w:val="clear" w:color="auto" w:fill="C6D9F1" w:themeFill="text2" w:themeFillTint="33"/>
          </w:tcPr>
          <w:p w14:paraId="5C32E844" w14:textId="77777777" w:rsidR="006578ED" w:rsidRDefault="00A1618E">
            <w:pPr>
              <w:pStyle w:val="P68B1DB1-Normal12"/>
              <w:spacing w:after="0" w:line="240" w:lineRule="auto"/>
              <w:jc w:val="center"/>
              <w:rPr>
                <w:rFonts w:cs="Times New Roman"/>
                <w:noProof/>
              </w:rPr>
            </w:pPr>
            <w:r>
              <w:rPr>
                <w:noProof/>
              </w:rPr>
              <w:t>Rok</w:t>
            </w:r>
          </w:p>
        </w:tc>
        <w:tc>
          <w:tcPr>
            <w:tcW w:w="5114" w:type="dxa"/>
            <w:tcBorders>
              <w:top w:val="nil"/>
            </w:tcBorders>
            <w:shd w:val="clear" w:color="auto" w:fill="C6D9F1" w:themeFill="text2" w:themeFillTint="33"/>
          </w:tcPr>
          <w:p w14:paraId="2805547E" w14:textId="77777777" w:rsidR="006578ED" w:rsidRDefault="006578ED">
            <w:pPr>
              <w:spacing w:after="0" w:line="240" w:lineRule="auto"/>
              <w:rPr>
                <w:rFonts w:ascii="Times New Roman" w:hAnsi="Times New Roman" w:cs="Times New Roman"/>
                <w:b/>
                <w:noProof/>
                <w:sz w:val="18"/>
              </w:rPr>
            </w:pPr>
          </w:p>
        </w:tc>
      </w:tr>
      <w:tr w:rsidR="006578ED" w14:paraId="40CAD2F4" w14:textId="77777777">
        <w:trPr>
          <w:trHeight w:val="309"/>
        </w:trPr>
        <w:tc>
          <w:tcPr>
            <w:tcW w:w="857" w:type="dxa"/>
            <w:shd w:val="clear" w:color="auto" w:fill="C6EFCE"/>
          </w:tcPr>
          <w:p w14:paraId="2FCEBC2B" w14:textId="24EC0CB9" w:rsidR="006578ED" w:rsidRDefault="00A1618E">
            <w:pPr>
              <w:pStyle w:val="P68B1DB1-Normal13"/>
              <w:spacing w:after="0" w:line="240" w:lineRule="auto"/>
              <w:jc w:val="center"/>
              <w:rPr>
                <w:rFonts w:cs="Times New Roman"/>
                <w:noProof/>
              </w:rPr>
            </w:pPr>
            <w:r>
              <w:rPr>
                <w:noProof/>
              </w:rPr>
              <w:t>L67</w:t>
            </w:r>
          </w:p>
        </w:tc>
        <w:tc>
          <w:tcPr>
            <w:tcW w:w="886" w:type="dxa"/>
            <w:shd w:val="clear" w:color="auto" w:fill="C6EFCE"/>
          </w:tcPr>
          <w:p w14:paraId="291595AA" w14:textId="77777777" w:rsidR="006578ED" w:rsidRDefault="00A1618E">
            <w:pPr>
              <w:pStyle w:val="P68B1DB1-Normal13"/>
              <w:spacing w:after="0" w:line="240" w:lineRule="auto"/>
              <w:jc w:val="center"/>
              <w:rPr>
                <w:rFonts w:cs="Times New Roman"/>
                <w:noProof/>
              </w:rPr>
            </w:pPr>
            <w:r>
              <w:rPr>
                <w:noProof/>
              </w:rPr>
              <w:t>C17.I10</w:t>
            </w:r>
          </w:p>
        </w:tc>
        <w:tc>
          <w:tcPr>
            <w:tcW w:w="966" w:type="dxa"/>
            <w:shd w:val="clear" w:color="auto" w:fill="C6EFCE"/>
          </w:tcPr>
          <w:p w14:paraId="3C1B5EA5" w14:textId="412D3040" w:rsidR="006578ED" w:rsidRDefault="00AF6B91">
            <w:pPr>
              <w:pStyle w:val="P68B1DB1-Normal13"/>
              <w:spacing w:after="0" w:line="240" w:lineRule="auto"/>
              <w:jc w:val="center"/>
              <w:rPr>
                <w:rFonts w:cs="Times New Roman"/>
                <w:noProof/>
              </w:rPr>
            </w:pPr>
            <w:r>
              <w:rPr>
                <w:noProof/>
              </w:rPr>
              <w:t>Cel</w:t>
            </w:r>
          </w:p>
        </w:tc>
        <w:tc>
          <w:tcPr>
            <w:tcW w:w="2227" w:type="dxa"/>
            <w:shd w:val="clear" w:color="auto" w:fill="C6EFCE"/>
          </w:tcPr>
          <w:p w14:paraId="010AA927" w14:textId="7B1787AC" w:rsidR="006578ED" w:rsidRDefault="00A1618E">
            <w:pPr>
              <w:pStyle w:val="P68B1DB1-Normal13"/>
              <w:spacing w:after="0" w:line="240" w:lineRule="auto"/>
              <w:rPr>
                <w:rFonts w:cs="Times New Roman"/>
                <w:noProof/>
              </w:rPr>
            </w:pPr>
            <w:r>
              <w:rPr>
                <w:noProof/>
              </w:rPr>
              <w:t>Inwestycje w wsparcie kapitałowe w sektorze opieki zdrowotnej</w:t>
            </w:r>
          </w:p>
        </w:tc>
        <w:tc>
          <w:tcPr>
            <w:tcW w:w="1226" w:type="dxa"/>
            <w:shd w:val="clear" w:color="auto" w:fill="C6EFCE"/>
          </w:tcPr>
          <w:p w14:paraId="1107DC0B" w14:textId="77777777" w:rsidR="006578ED" w:rsidRDefault="006578ED">
            <w:pPr>
              <w:spacing w:after="0" w:line="240" w:lineRule="auto"/>
              <w:jc w:val="center"/>
              <w:rPr>
                <w:rFonts w:ascii="Times New Roman" w:hAnsi="Times New Roman" w:cs="Times New Roman"/>
                <w:noProof/>
                <w:sz w:val="18"/>
              </w:rPr>
            </w:pPr>
          </w:p>
        </w:tc>
        <w:tc>
          <w:tcPr>
            <w:tcW w:w="896" w:type="dxa"/>
            <w:shd w:val="clear" w:color="auto" w:fill="C6EFCE"/>
          </w:tcPr>
          <w:p w14:paraId="75913F2D" w14:textId="77777777" w:rsidR="006578ED" w:rsidRDefault="00A1618E">
            <w:pPr>
              <w:pStyle w:val="P68B1DB1-Normal13"/>
              <w:spacing w:after="0" w:line="240" w:lineRule="auto"/>
              <w:jc w:val="center"/>
              <w:rPr>
                <w:rFonts w:cs="Times New Roman"/>
                <w:noProof/>
              </w:rPr>
            </w:pPr>
            <w:r>
              <w:rPr>
                <w:noProof/>
              </w:rPr>
              <w:t>W mln EUR</w:t>
            </w:r>
          </w:p>
          <w:p w14:paraId="60319AFE" w14:textId="77777777" w:rsidR="006578ED" w:rsidRDefault="006578ED">
            <w:pPr>
              <w:spacing w:after="0" w:line="240" w:lineRule="auto"/>
              <w:jc w:val="center"/>
              <w:rPr>
                <w:rFonts w:ascii="Times New Roman" w:hAnsi="Times New Roman" w:cs="Times New Roman"/>
                <w:noProof/>
                <w:sz w:val="18"/>
              </w:rPr>
            </w:pPr>
          </w:p>
        </w:tc>
        <w:tc>
          <w:tcPr>
            <w:tcW w:w="636" w:type="dxa"/>
            <w:shd w:val="clear" w:color="auto" w:fill="C6EFCE"/>
          </w:tcPr>
          <w:p w14:paraId="6A13EB3F" w14:textId="77777777" w:rsidR="006578ED" w:rsidRDefault="00A1618E">
            <w:pPr>
              <w:pStyle w:val="P68B1DB1-Normal13"/>
              <w:spacing w:after="0" w:line="240" w:lineRule="auto"/>
              <w:jc w:val="right"/>
              <w:rPr>
                <w:rFonts w:cs="Times New Roman"/>
                <w:noProof/>
              </w:rPr>
            </w:pPr>
            <w:r>
              <w:rPr>
                <w:noProof/>
              </w:rPr>
              <w:t>0</w:t>
            </w:r>
          </w:p>
        </w:tc>
        <w:tc>
          <w:tcPr>
            <w:tcW w:w="641" w:type="dxa"/>
            <w:shd w:val="clear" w:color="auto" w:fill="C6EFCE"/>
          </w:tcPr>
          <w:p w14:paraId="1934BC16" w14:textId="77777777" w:rsidR="006578ED" w:rsidRDefault="00A1618E">
            <w:pPr>
              <w:pStyle w:val="P68B1DB1-Normal13"/>
              <w:spacing w:after="0" w:line="240" w:lineRule="auto"/>
              <w:jc w:val="right"/>
              <w:rPr>
                <w:rFonts w:eastAsia="Times New Roman" w:cs="Times New Roman"/>
                <w:noProof/>
              </w:rPr>
            </w:pPr>
            <w:r>
              <w:rPr>
                <w:noProof/>
              </w:rPr>
              <w:t>27</w:t>
            </w:r>
          </w:p>
        </w:tc>
        <w:tc>
          <w:tcPr>
            <w:tcW w:w="526" w:type="dxa"/>
            <w:shd w:val="clear" w:color="auto" w:fill="C6EFCE"/>
          </w:tcPr>
          <w:p w14:paraId="1720568F" w14:textId="7C0B01CD" w:rsidR="006578ED" w:rsidRDefault="00EC188C">
            <w:pPr>
              <w:pStyle w:val="P68B1DB1-Normal13"/>
              <w:spacing w:after="0" w:line="240" w:lineRule="auto"/>
              <w:jc w:val="center"/>
              <w:rPr>
                <w:rFonts w:cs="Times New Roman"/>
                <w:noProof/>
              </w:rPr>
            </w:pPr>
            <w:r>
              <w:rPr>
                <w:noProof/>
              </w:rPr>
              <w:t xml:space="preserve">KW. 3 </w:t>
            </w:r>
          </w:p>
        </w:tc>
        <w:tc>
          <w:tcPr>
            <w:tcW w:w="700" w:type="dxa"/>
            <w:shd w:val="clear" w:color="auto" w:fill="C6EFCE"/>
          </w:tcPr>
          <w:p w14:paraId="4EA57920" w14:textId="77777777" w:rsidR="006578ED" w:rsidRDefault="00A1618E">
            <w:pPr>
              <w:pStyle w:val="P68B1DB1-Normal13"/>
              <w:spacing w:after="0" w:line="240" w:lineRule="auto"/>
              <w:jc w:val="center"/>
              <w:rPr>
                <w:rFonts w:cs="Times New Roman"/>
                <w:noProof/>
              </w:rPr>
            </w:pPr>
            <w:r>
              <w:rPr>
                <w:noProof/>
              </w:rPr>
              <w:t>2026</w:t>
            </w:r>
          </w:p>
        </w:tc>
        <w:tc>
          <w:tcPr>
            <w:tcW w:w="5114" w:type="dxa"/>
            <w:shd w:val="clear" w:color="auto" w:fill="C6EFCE"/>
          </w:tcPr>
          <w:p w14:paraId="3D249DE9" w14:textId="7746249F" w:rsidR="006578ED" w:rsidRDefault="00A1618E">
            <w:pPr>
              <w:pStyle w:val="P68B1DB1-Normal13"/>
              <w:spacing w:after="0" w:line="240" w:lineRule="auto"/>
              <w:rPr>
                <w:rFonts w:eastAsia="Times New Roman" w:cs="Times New Roman"/>
                <w:noProof/>
              </w:rPr>
            </w:pPr>
            <w:r>
              <w:rPr>
                <w:noProof/>
              </w:rPr>
              <w:t>Wypłata 27 000 000 EUR przez Innvierte w przedsiębiorstwach innowacyjnych i technologicznych w sektorze opieki zdrowotnej jako kapitał własny lub quasi-kapitał własny. Ocena projektów w ramach tej inwestycji zapewnia zgodność z wytycznymi technicznymi dotyczącymi zasady „nie czyń poważnych szkód” (2021/C58/01) określonymi w opisie działania.</w:t>
            </w:r>
          </w:p>
        </w:tc>
      </w:tr>
      <w:tr w:rsidR="006578ED" w14:paraId="1F35E81E" w14:textId="77777777">
        <w:trPr>
          <w:trHeight w:val="309"/>
        </w:trPr>
        <w:tc>
          <w:tcPr>
            <w:tcW w:w="857" w:type="dxa"/>
            <w:shd w:val="clear" w:color="auto" w:fill="C6EFCE"/>
          </w:tcPr>
          <w:p w14:paraId="400BB647" w14:textId="559EBCA0" w:rsidR="006578ED" w:rsidRDefault="00A1618E">
            <w:pPr>
              <w:pStyle w:val="P68B1DB1-Normal13"/>
              <w:spacing w:after="0" w:line="240" w:lineRule="auto"/>
              <w:jc w:val="center"/>
              <w:rPr>
                <w:rFonts w:cs="Times New Roman"/>
                <w:noProof/>
              </w:rPr>
            </w:pPr>
            <w:r>
              <w:rPr>
                <w:noProof/>
              </w:rPr>
              <w:t>L68</w:t>
            </w:r>
          </w:p>
        </w:tc>
        <w:tc>
          <w:tcPr>
            <w:tcW w:w="886" w:type="dxa"/>
            <w:shd w:val="clear" w:color="auto" w:fill="C6EFCE"/>
          </w:tcPr>
          <w:p w14:paraId="1C5CA141" w14:textId="77777777" w:rsidR="006578ED" w:rsidRDefault="00A1618E">
            <w:pPr>
              <w:pStyle w:val="P68B1DB1-Normal13"/>
              <w:spacing w:after="0" w:line="240" w:lineRule="auto"/>
              <w:jc w:val="center"/>
              <w:rPr>
                <w:rFonts w:cs="Times New Roman"/>
                <w:noProof/>
              </w:rPr>
            </w:pPr>
            <w:r>
              <w:rPr>
                <w:noProof/>
              </w:rPr>
              <w:t>C17.I10</w:t>
            </w:r>
          </w:p>
        </w:tc>
        <w:tc>
          <w:tcPr>
            <w:tcW w:w="966" w:type="dxa"/>
            <w:shd w:val="clear" w:color="auto" w:fill="C6EFCE"/>
          </w:tcPr>
          <w:p w14:paraId="28A2FDD3" w14:textId="72334A76" w:rsidR="006578ED" w:rsidRDefault="00AF6B91">
            <w:pPr>
              <w:pStyle w:val="P68B1DB1-Normal13"/>
              <w:spacing w:after="0" w:line="240" w:lineRule="auto"/>
              <w:jc w:val="center"/>
              <w:rPr>
                <w:rFonts w:eastAsia="Times New Roman" w:cs="Times New Roman"/>
                <w:noProof/>
              </w:rPr>
            </w:pPr>
            <w:r>
              <w:rPr>
                <w:noProof/>
              </w:rPr>
              <w:t>Cel</w:t>
            </w:r>
          </w:p>
        </w:tc>
        <w:tc>
          <w:tcPr>
            <w:tcW w:w="2227" w:type="dxa"/>
            <w:shd w:val="clear" w:color="auto" w:fill="C6EFCE"/>
          </w:tcPr>
          <w:p w14:paraId="0FF05EDF" w14:textId="5646CA46" w:rsidR="006578ED" w:rsidRDefault="00A1618E">
            <w:pPr>
              <w:pStyle w:val="P68B1DB1-Normal13"/>
              <w:spacing w:after="0" w:line="240" w:lineRule="auto"/>
              <w:rPr>
                <w:rFonts w:cs="Times New Roman"/>
                <w:noProof/>
              </w:rPr>
            </w:pPr>
            <w:r>
              <w:rPr>
                <w:noProof/>
              </w:rPr>
              <w:t>Zaangażowanie środków finansowych w formie pożyczek na wsparcie sektora zdrowia oraz sektora lotniczego i kosmicznego</w:t>
            </w:r>
          </w:p>
        </w:tc>
        <w:tc>
          <w:tcPr>
            <w:tcW w:w="1226" w:type="dxa"/>
            <w:shd w:val="clear" w:color="auto" w:fill="C6EFCE"/>
          </w:tcPr>
          <w:p w14:paraId="137454FA" w14:textId="77777777" w:rsidR="006578ED" w:rsidRDefault="006578ED">
            <w:pPr>
              <w:spacing w:after="0" w:line="240" w:lineRule="auto"/>
              <w:jc w:val="center"/>
              <w:rPr>
                <w:rFonts w:ascii="Times New Roman" w:hAnsi="Times New Roman" w:cs="Times New Roman"/>
                <w:noProof/>
                <w:sz w:val="18"/>
              </w:rPr>
            </w:pPr>
          </w:p>
        </w:tc>
        <w:tc>
          <w:tcPr>
            <w:tcW w:w="896" w:type="dxa"/>
            <w:shd w:val="clear" w:color="auto" w:fill="C6EFCE"/>
          </w:tcPr>
          <w:p w14:paraId="70ECA4A1" w14:textId="77777777" w:rsidR="006578ED" w:rsidRDefault="00A1618E">
            <w:pPr>
              <w:pStyle w:val="P68B1DB1-Normal13"/>
              <w:spacing w:after="0" w:line="240" w:lineRule="auto"/>
              <w:jc w:val="center"/>
              <w:rPr>
                <w:rFonts w:cs="Times New Roman"/>
                <w:noProof/>
              </w:rPr>
            </w:pPr>
            <w:r>
              <w:rPr>
                <w:noProof/>
              </w:rPr>
              <w:t>W mln EUR</w:t>
            </w:r>
          </w:p>
        </w:tc>
        <w:tc>
          <w:tcPr>
            <w:tcW w:w="636" w:type="dxa"/>
            <w:shd w:val="clear" w:color="auto" w:fill="C6EFCE"/>
          </w:tcPr>
          <w:p w14:paraId="41749BF7" w14:textId="77777777" w:rsidR="006578ED" w:rsidRDefault="00A1618E">
            <w:pPr>
              <w:pStyle w:val="P68B1DB1-Normal13"/>
              <w:spacing w:after="0" w:line="240" w:lineRule="auto"/>
              <w:jc w:val="right"/>
              <w:rPr>
                <w:rFonts w:cs="Times New Roman"/>
                <w:noProof/>
              </w:rPr>
            </w:pPr>
            <w:r>
              <w:rPr>
                <w:noProof/>
              </w:rPr>
              <w:t>0</w:t>
            </w:r>
          </w:p>
        </w:tc>
        <w:tc>
          <w:tcPr>
            <w:tcW w:w="641" w:type="dxa"/>
            <w:shd w:val="clear" w:color="auto" w:fill="C6EFCE"/>
          </w:tcPr>
          <w:p w14:paraId="319026BA" w14:textId="7020A308" w:rsidR="006578ED" w:rsidRDefault="00A1618E">
            <w:pPr>
              <w:pStyle w:val="P68B1DB1-Normal13"/>
              <w:spacing w:after="0" w:line="240" w:lineRule="auto"/>
              <w:jc w:val="right"/>
              <w:rPr>
                <w:rFonts w:cs="Times New Roman"/>
                <w:noProof/>
              </w:rPr>
            </w:pPr>
            <w:r>
              <w:rPr>
                <w:noProof/>
              </w:rPr>
              <w:t>181.6</w:t>
            </w:r>
          </w:p>
        </w:tc>
        <w:tc>
          <w:tcPr>
            <w:tcW w:w="526" w:type="dxa"/>
            <w:shd w:val="clear" w:color="auto" w:fill="C6EFCE"/>
          </w:tcPr>
          <w:p w14:paraId="022A78CD" w14:textId="38DF1502" w:rsidR="006578ED" w:rsidRDefault="00EC188C">
            <w:pPr>
              <w:pStyle w:val="P68B1DB1-Normal13"/>
              <w:spacing w:after="0" w:line="240" w:lineRule="auto"/>
              <w:jc w:val="center"/>
              <w:rPr>
                <w:rFonts w:cs="Times New Roman"/>
                <w:noProof/>
              </w:rPr>
            </w:pPr>
            <w:r>
              <w:rPr>
                <w:noProof/>
              </w:rPr>
              <w:t>KW. 4</w:t>
            </w:r>
          </w:p>
        </w:tc>
        <w:tc>
          <w:tcPr>
            <w:tcW w:w="700" w:type="dxa"/>
            <w:shd w:val="clear" w:color="auto" w:fill="C6EFCE"/>
          </w:tcPr>
          <w:p w14:paraId="32691209" w14:textId="77777777" w:rsidR="006578ED" w:rsidRDefault="00A1618E">
            <w:pPr>
              <w:pStyle w:val="P68B1DB1-Normal13"/>
              <w:spacing w:after="0" w:line="240" w:lineRule="auto"/>
              <w:jc w:val="center"/>
              <w:rPr>
                <w:rFonts w:cs="Times New Roman"/>
                <w:noProof/>
              </w:rPr>
            </w:pPr>
            <w:r>
              <w:rPr>
                <w:noProof/>
              </w:rPr>
              <w:t>2024</w:t>
            </w:r>
          </w:p>
        </w:tc>
        <w:tc>
          <w:tcPr>
            <w:tcW w:w="5114" w:type="dxa"/>
            <w:shd w:val="clear" w:color="auto" w:fill="C6EFCE"/>
          </w:tcPr>
          <w:p w14:paraId="03E5BAA4" w14:textId="3B06AE46" w:rsidR="006578ED" w:rsidRDefault="00A1618E">
            <w:pPr>
              <w:pStyle w:val="P68B1DB1-Normal13"/>
              <w:spacing w:after="0" w:line="240" w:lineRule="auto"/>
              <w:rPr>
                <w:rFonts w:cs="Times New Roman"/>
                <w:noProof/>
              </w:rPr>
            </w:pPr>
            <w:r>
              <w:rPr>
                <w:noProof/>
              </w:rPr>
              <w:t>Zobowiązanie CDTI w wysokości 181 600 000 EUR w formie pożyczek na inwestycje w badania, rozwój i innowacje, skalowanie przemysłu, modernizację procesów produkcyjnych oraz wdrażanie zielonych technologii w sektorze zdrowia, a także w sektorze lotniczym i kosmicznym.</w:t>
            </w:r>
          </w:p>
        </w:tc>
      </w:tr>
      <w:tr w:rsidR="006578ED" w14:paraId="7D44448D" w14:textId="77777777">
        <w:trPr>
          <w:trHeight w:val="309"/>
        </w:trPr>
        <w:tc>
          <w:tcPr>
            <w:tcW w:w="857" w:type="dxa"/>
            <w:shd w:val="clear" w:color="auto" w:fill="C6EFCE"/>
          </w:tcPr>
          <w:p w14:paraId="721685C3" w14:textId="1D1E5160" w:rsidR="006578ED" w:rsidRDefault="00A1618E">
            <w:pPr>
              <w:pStyle w:val="P68B1DB1-Normal13"/>
              <w:spacing w:after="0" w:line="240" w:lineRule="auto"/>
              <w:jc w:val="center"/>
              <w:rPr>
                <w:rFonts w:cs="Times New Roman"/>
                <w:noProof/>
              </w:rPr>
            </w:pPr>
            <w:r>
              <w:rPr>
                <w:noProof/>
              </w:rPr>
              <w:t>L69</w:t>
            </w:r>
          </w:p>
        </w:tc>
        <w:tc>
          <w:tcPr>
            <w:tcW w:w="886" w:type="dxa"/>
            <w:shd w:val="clear" w:color="auto" w:fill="C6EFCE"/>
          </w:tcPr>
          <w:p w14:paraId="651672E3" w14:textId="77777777" w:rsidR="006578ED" w:rsidRDefault="00A1618E">
            <w:pPr>
              <w:pStyle w:val="P68B1DB1-Normal13"/>
              <w:spacing w:after="0" w:line="240" w:lineRule="auto"/>
              <w:jc w:val="center"/>
              <w:rPr>
                <w:rFonts w:cs="Times New Roman"/>
                <w:noProof/>
              </w:rPr>
            </w:pPr>
            <w:r>
              <w:rPr>
                <w:noProof/>
              </w:rPr>
              <w:t>C17.I10</w:t>
            </w:r>
          </w:p>
        </w:tc>
        <w:tc>
          <w:tcPr>
            <w:tcW w:w="966" w:type="dxa"/>
            <w:shd w:val="clear" w:color="auto" w:fill="C6EFCE"/>
          </w:tcPr>
          <w:p w14:paraId="294261C8" w14:textId="6947E2A7" w:rsidR="006578ED" w:rsidRDefault="00AF6B91">
            <w:pPr>
              <w:pStyle w:val="P68B1DB1-Normal13"/>
              <w:spacing w:after="0" w:line="240" w:lineRule="auto"/>
              <w:jc w:val="center"/>
              <w:rPr>
                <w:rFonts w:cs="Times New Roman"/>
                <w:noProof/>
              </w:rPr>
            </w:pPr>
            <w:r>
              <w:rPr>
                <w:noProof/>
              </w:rPr>
              <w:t>Cel</w:t>
            </w:r>
          </w:p>
        </w:tc>
        <w:tc>
          <w:tcPr>
            <w:tcW w:w="2227" w:type="dxa"/>
            <w:shd w:val="clear" w:color="auto" w:fill="C6EFCE"/>
          </w:tcPr>
          <w:p w14:paraId="72ADFE09" w14:textId="7949E1C5" w:rsidR="006578ED" w:rsidRDefault="00A1618E">
            <w:pPr>
              <w:pStyle w:val="P68B1DB1-Normal13"/>
              <w:spacing w:after="0" w:line="240" w:lineRule="auto"/>
              <w:rPr>
                <w:rFonts w:cs="Times New Roman"/>
                <w:noProof/>
              </w:rPr>
            </w:pPr>
            <w:r>
              <w:rPr>
                <w:noProof/>
              </w:rPr>
              <w:t>Wypłata środków w formie pożyczek na wsparcie sektora zdrowia oraz sektora lotniczego i kosmicznego</w:t>
            </w:r>
          </w:p>
        </w:tc>
        <w:tc>
          <w:tcPr>
            <w:tcW w:w="1226" w:type="dxa"/>
            <w:shd w:val="clear" w:color="auto" w:fill="C6EFCE"/>
          </w:tcPr>
          <w:p w14:paraId="17F78AF2" w14:textId="77777777" w:rsidR="006578ED" w:rsidRDefault="006578ED">
            <w:pPr>
              <w:spacing w:after="0" w:line="240" w:lineRule="auto"/>
              <w:jc w:val="center"/>
              <w:rPr>
                <w:rFonts w:ascii="Times New Roman" w:hAnsi="Times New Roman" w:cs="Times New Roman"/>
                <w:noProof/>
                <w:sz w:val="18"/>
              </w:rPr>
            </w:pPr>
          </w:p>
        </w:tc>
        <w:tc>
          <w:tcPr>
            <w:tcW w:w="896" w:type="dxa"/>
            <w:shd w:val="clear" w:color="auto" w:fill="C6EFCE"/>
          </w:tcPr>
          <w:p w14:paraId="0E9A1A24" w14:textId="77777777" w:rsidR="006578ED" w:rsidRDefault="00A1618E">
            <w:pPr>
              <w:pStyle w:val="P68B1DB1-Normal13"/>
              <w:spacing w:after="0" w:line="240" w:lineRule="auto"/>
              <w:jc w:val="center"/>
              <w:rPr>
                <w:rFonts w:cs="Times New Roman"/>
                <w:noProof/>
              </w:rPr>
            </w:pPr>
            <w:r>
              <w:rPr>
                <w:noProof/>
              </w:rPr>
              <w:t>W mln EUR</w:t>
            </w:r>
          </w:p>
        </w:tc>
        <w:tc>
          <w:tcPr>
            <w:tcW w:w="636" w:type="dxa"/>
            <w:shd w:val="clear" w:color="auto" w:fill="C6EFCE"/>
          </w:tcPr>
          <w:p w14:paraId="48E9A1B5" w14:textId="77777777" w:rsidR="006578ED" w:rsidRDefault="00A1618E">
            <w:pPr>
              <w:pStyle w:val="P68B1DB1-Normal13"/>
              <w:spacing w:after="0" w:line="240" w:lineRule="auto"/>
              <w:jc w:val="right"/>
              <w:rPr>
                <w:rFonts w:cs="Times New Roman"/>
                <w:noProof/>
              </w:rPr>
            </w:pPr>
            <w:r>
              <w:rPr>
                <w:noProof/>
              </w:rPr>
              <w:t>0</w:t>
            </w:r>
          </w:p>
        </w:tc>
        <w:tc>
          <w:tcPr>
            <w:tcW w:w="641" w:type="dxa"/>
            <w:shd w:val="clear" w:color="auto" w:fill="C6EFCE"/>
          </w:tcPr>
          <w:p w14:paraId="45ED734C" w14:textId="7E85DADE" w:rsidR="006578ED" w:rsidRDefault="00A1618E">
            <w:pPr>
              <w:pStyle w:val="P68B1DB1-Normal13"/>
              <w:spacing w:after="0" w:line="240" w:lineRule="auto"/>
              <w:jc w:val="right"/>
              <w:rPr>
                <w:rFonts w:cs="Times New Roman"/>
                <w:noProof/>
              </w:rPr>
            </w:pPr>
            <w:r>
              <w:rPr>
                <w:noProof/>
              </w:rPr>
              <w:t>461.7</w:t>
            </w:r>
          </w:p>
        </w:tc>
        <w:tc>
          <w:tcPr>
            <w:tcW w:w="526" w:type="dxa"/>
            <w:shd w:val="clear" w:color="auto" w:fill="C6EFCE"/>
          </w:tcPr>
          <w:p w14:paraId="416CFC95" w14:textId="67A5F24D" w:rsidR="006578ED" w:rsidRDefault="00EC188C">
            <w:pPr>
              <w:pStyle w:val="P68B1DB1-Normal13"/>
              <w:spacing w:after="0" w:line="240" w:lineRule="auto"/>
              <w:jc w:val="center"/>
              <w:rPr>
                <w:rFonts w:cs="Times New Roman"/>
                <w:noProof/>
              </w:rPr>
            </w:pPr>
            <w:r>
              <w:rPr>
                <w:noProof/>
              </w:rPr>
              <w:t>KW. 3</w:t>
            </w:r>
          </w:p>
        </w:tc>
        <w:tc>
          <w:tcPr>
            <w:tcW w:w="700" w:type="dxa"/>
            <w:shd w:val="clear" w:color="auto" w:fill="C6EFCE"/>
          </w:tcPr>
          <w:p w14:paraId="0D22AF08" w14:textId="77777777" w:rsidR="006578ED" w:rsidRDefault="00A1618E">
            <w:pPr>
              <w:pStyle w:val="P68B1DB1-Normal13"/>
              <w:spacing w:after="0" w:line="240" w:lineRule="auto"/>
              <w:jc w:val="center"/>
              <w:rPr>
                <w:rFonts w:cs="Times New Roman"/>
                <w:noProof/>
              </w:rPr>
            </w:pPr>
            <w:r>
              <w:rPr>
                <w:noProof/>
              </w:rPr>
              <w:t>2026</w:t>
            </w:r>
          </w:p>
        </w:tc>
        <w:tc>
          <w:tcPr>
            <w:tcW w:w="5114" w:type="dxa"/>
            <w:shd w:val="clear" w:color="auto" w:fill="C6EFCE"/>
          </w:tcPr>
          <w:p w14:paraId="06A183A7" w14:textId="6EFD10B0" w:rsidR="006578ED" w:rsidRDefault="00A1618E">
            <w:pPr>
              <w:pStyle w:val="P68B1DB1-Normal13"/>
              <w:spacing w:after="0" w:line="240" w:lineRule="auto"/>
              <w:rPr>
                <w:rFonts w:cs="Times New Roman"/>
                <w:noProof/>
              </w:rPr>
            </w:pPr>
            <w:r>
              <w:rPr>
                <w:noProof/>
              </w:rPr>
              <w:t>Wypłata przez CDTI 461 700 000 EUR w formie pożyczek na inwestycje w badania, rozwój i innowacje, skalowanie przemysłu, modernizację procesów produkcyjnych oraz wdrażanie zielonych technologii w sektorze zdrowia, a także w sektorze lotniczym i kosmicznym.</w:t>
            </w:r>
          </w:p>
        </w:tc>
      </w:tr>
      <w:tr w:rsidR="006578ED" w14:paraId="3E768C38" w14:textId="77777777">
        <w:trPr>
          <w:trHeight w:val="309"/>
        </w:trPr>
        <w:tc>
          <w:tcPr>
            <w:tcW w:w="857" w:type="dxa"/>
            <w:shd w:val="clear" w:color="auto" w:fill="C6EFCE"/>
          </w:tcPr>
          <w:p w14:paraId="3F06DFD7" w14:textId="3E8A1D3E" w:rsidR="006578ED" w:rsidRDefault="00A1618E">
            <w:pPr>
              <w:pStyle w:val="P68B1DB1-Normal13"/>
              <w:spacing w:after="0" w:line="240" w:lineRule="auto"/>
              <w:jc w:val="center"/>
              <w:rPr>
                <w:rFonts w:cs="Times New Roman"/>
                <w:noProof/>
              </w:rPr>
            </w:pPr>
            <w:r>
              <w:rPr>
                <w:noProof/>
              </w:rPr>
              <w:t>L70</w:t>
            </w:r>
          </w:p>
        </w:tc>
        <w:tc>
          <w:tcPr>
            <w:tcW w:w="886" w:type="dxa"/>
            <w:shd w:val="clear" w:color="auto" w:fill="C6EFCE"/>
          </w:tcPr>
          <w:p w14:paraId="05C61672" w14:textId="77777777" w:rsidR="006578ED" w:rsidRDefault="00A1618E">
            <w:pPr>
              <w:pStyle w:val="P68B1DB1-Normal13"/>
              <w:spacing w:after="0" w:line="240" w:lineRule="auto"/>
              <w:jc w:val="center"/>
              <w:rPr>
                <w:rFonts w:cs="Times New Roman"/>
                <w:noProof/>
              </w:rPr>
            </w:pPr>
            <w:r>
              <w:rPr>
                <w:noProof/>
              </w:rPr>
              <w:t>C17.I10</w:t>
            </w:r>
          </w:p>
        </w:tc>
        <w:tc>
          <w:tcPr>
            <w:tcW w:w="966" w:type="dxa"/>
            <w:shd w:val="clear" w:color="auto" w:fill="C6EFCE"/>
          </w:tcPr>
          <w:p w14:paraId="1B57D700" w14:textId="3D84F49F" w:rsidR="006578ED" w:rsidRDefault="00AF6B91">
            <w:pPr>
              <w:pStyle w:val="P68B1DB1-Normal13"/>
              <w:spacing w:after="0" w:line="240" w:lineRule="auto"/>
              <w:jc w:val="center"/>
              <w:rPr>
                <w:rFonts w:cs="Times New Roman"/>
                <w:noProof/>
              </w:rPr>
            </w:pPr>
            <w:r>
              <w:rPr>
                <w:noProof/>
              </w:rPr>
              <w:t>Cel</w:t>
            </w:r>
          </w:p>
        </w:tc>
        <w:tc>
          <w:tcPr>
            <w:tcW w:w="2227" w:type="dxa"/>
            <w:shd w:val="clear" w:color="auto" w:fill="C6EFCE"/>
          </w:tcPr>
          <w:p w14:paraId="13DFEEB3" w14:textId="12D5EC39" w:rsidR="006578ED" w:rsidRDefault="00A1618E">
            <w:pPr>
              <w:pStyle w:val="P68B1DB1-Normal13"/>
              <w:spacing w:after="0" w:line="240" w:lineRule="auto"/>
              <w:rPr>
                <w:rFonts w:cs="Times New Roman"/>
                <w:noProof/>
              </w:rPr>
            </w:pPr>
            <w:r>
              <w:rPr>
                <w:noProof/>
              </w:rPr>
              <w:t>Zwiększenie zdolności krajowego systemu opieki zdrowotnej w zakresie badań i rozwoju.</w:t>
            </w:r>
          </w:p>
        </w:tc>
        <w:tc>
          <w:tcPr>
            <w:tcW w:w="1226" w:type="dxa"/>
            <w:shd w:val="clear" w:color="auto" w:fill="C6EFCE"/>
          </w:tcPr>
          <w:p w14:paraId="10D4F863" w14:textId="77777777" w:rsidR="006578ED" w:rsidRDefault="006578ED">
            <w:pPr>
              <w:spacing w:after="0" w:line="240" w:lineRule="auto"/>
              <w:jc w:val="center"/>
              <w:rPr>
                <w:rFonts w:ascii="Times New Roman" w:hAnsi="Times New Roman" w:cs="Times New Roman"/>
                <w:noProof/>
                <w:sz w:val="18"/>
              </w:rPr>
            </w:pPr>
          </w:p>
        </w:tc>
        <w:tc>
          <w:tcPr>
            <w:tcW w:w="896" w:type="dxa"/>
            <w:shd w:val="clear" w:color="auto" w:fill="C6EFCE"/>
          </w:tcPr>
          <w:p w14:paraId="554999A6"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636" w:type="dxa"/>
            <w:shd w:val="clear" w:color="auto" w:fill="C6EFCE"/>
          </w:tcPr>
          <w:p w14:paraId="03984B2D" w14:textId="77777777" w:rsidR="006578ED" w:rsidRDefault="00A1618E">
            <w:pPr>
              <w:pStyle w:val="P68B1DB1-Normal13"/>
              <w:spacing w:after="0" w:line="240" w:lineRule="auto"/>
              <w:jc w:val="right"/>
              <w:rPr>
                <w:rFonts w:cs="Times New Roman"/>
                <w:noProof/>
              </w:rPr>
            </w:pPr>
            <w:r>
              <w:rPr>
                <w:noProof/>
              </w:rPr>
              <w:t>0</w:t>
            </w:r>
          </w:p>
        </w:tc>
        <w:tc>
          <w:tcPr>
            <w:tcW w:w="641" w:type="dxa"/>
            <w:shd w:val="clear" w:color="auto" w:fill="C6EFCE"/>
          </w:tcPr>
          <w:p w14:paraId="0488B6F9" w14:textId="77777777" w:rsidR="006578ED" w:rsidRDefault="00A1618E">
            <w:pPr>
              <w:pStyle w:val="P68B1DB1-Normal13"/>
              <w:spacing w:after="0" w:line="240" w:lineRule="auto"/>
              <w:jc w:val="right"/>
              <w:rPr>
                <w:rFonts w:eastAsia="Times New Roman" w:cs="Times New Roman"/>
                <w:noProof/>
              </w:rPr>
            </w:pPr>
            <w:r>
              <w:rPr>
                <w:noProof/>
              </w:rPr>
              <w:t>4</w:t>
            </w:r>
          </w:p>
        </w:tc>
        <w:tc>
          <w:tcPr>
            <w:tcW w:w="526" w:type="dxa"/>
            <w:shd w:val="clear" w:color="auto" w:fill="C6EFCE"/>
          </w:tcPr>
          <w:p w14:paraId="0BE015B9" w14:textId="0946A158" w:rsidR="006578ED" w:rsidRDefault="00EC188C">
            <w:pPr>
              <w:pStyle w:val="P68B1DB1-Normal13"/>
              <w:spacing w:after="0" w:line="240" w:lineRule="auto"/>
              <w:jc w:val="center"/>
              <w:rPr>
                <w:rFonts w:cs="Times New Roman"/>
                <w:noProof/>
              </w:rPr>
            </w:pPr>
            <w:r>
              <w:rPr>
                <w:noProof/>
              </w:rPr>
              <w:t>KW. 3</w:t>
            </w:r>
          </w:p>
        </w:tc>
        <w:tc>
          <w:tcPr>
            <w:tcW w:w="700" w:type="dxa"/>
            <w:shd w:val="clear" w:color="auto" w:fill="C6EFCE"/>
          </w:tcPr>
          <w:p w14:paraId="2EAE1494" w14:textId="77777777" w:rsidR="006578ED" w:rsidRDefault="00A1618E">
            <w:pPr>
              <w:pStyle w:val="P68B1DB1-Normal13"/>
              <w:spacing w:after="0" w:line="240" w:lineRule="auto"/>
              <w:jc w:val="center"/>
              <w:rPr>
                <w:rFonts w:cs="Times New Roman"/>
                <w:noProof/>
              </w:rPr>
            </w:pPr>
            <w:r>
              <w:rPr>
                <w:noProof/>
              </w:rPr>
              <w:t>2026</w:t>
            </w:r>
          </w:p>
        </w:tc>
        <w:tc>
          <w:tcPr>
            <w:tcW w:w="5114" w:type="dxa"/>
            <w:shd w:val="clear" w:color="auto" w:fill="C6EFCE"/>
          </w:tcPr>
          <w:p w14:paraId="67583859" w14:textId="26AB663A" w:rsidR="006578ED" w:rsidRDefault="00A1618E">
            <w:pPr>
              <w:pStyle w:val="P68B1DB1-Normal13"/>
              <w:spacing w:after="0" w:line="240" w:lineRule="auto"/>
              <w:rPr>
                <w:rFonts w:cs="Times New Roman"/>
                <w:noProof/>
              </w:rPr>
            </w:pPr>
            <w:r>
              <w:rPr>
                <w:noProof/>
              </w:rPr>
              <w:t>Zakończenie projektów inwestycyjnych mających na celu zwiększenie zdolności w zakresie badań i rozwoju technologicznego co najmniej czterech ośrodków badawczych krajowego systemu opieki zdrowotnej.</w:t>
            </w:r>
          </w:p>
        </w:tc>
      </w:tr>
    </w:tbl>
    <w:p w14:paraId="64EE0AAC" w14:textId="77777777" w:rsidR="006578ED" w:rsidRDefault="006578ED">
      <w:pPr>
        <w:spacing w:before="120" w:after="120" w:line="240" w:lineRule="auto"/>
        <w:rPr>
          <w:rFonts w:ascii="Times New Roman" w:hAnsi="Times New Roman" w:cs="Times New Roman"/>
          <w:noProof/>
        </w:rPr>
        <w:sectPr w:rsidR="006578ED" w:rsidSect="00C94F66">
          <w:headerReference w:type="even" r:id="rId369"/>
          <w:headerReference w:type="default" r:id="rId370"/>
          <w:footerReference w:type="even" r:id="rId371"/>
          <w:footerReference w:type="default" r:id="rId372"/>
          <w:headerReference w:type="first" r:id="rId373"/>
          <w:footerReference w:type="first" r:id="rId374"/>
          <w:pgSz w:w="16839" w:h="11907" w:orient="landscape"/>
          <w:pgMar w:top="1417" w:right="1134" w:bottom="1417" w:left="1134" w:header="709" w:footer="709" w:gutter="0"/>
          <w:cols w:space="720"/>
          <w:docGrid w:linePitch="360"/>
        </w:sectPr>
      </w:pPr>
    </w:p>
    <w:p w14:paraId="1B1C4985" w14:textId="3AB0A6F0" w:rsidR="006578ED" w:rsidRDefault="00A1618E">
      <w:pPr>
        <w:pStyle w:val="P68B1DB1-Heading12"/>
        <w:rPr>
          <w:rFonts w:cs="Times New Roman"/>
          <w:noProof/>
        </w:rPr>
      </w:pPr>
      <w:r>
        <w:rPr>
          <w:noProof/>
        </w:rPr>
        <w:t xml:space="preserve">R. </w:t>
      </w:r>
      <w:r w:rsidR="00EC188C">
        <w:rPr>
          <w:noProof/>
        </w:rPr>
        <w:t>KOMPONENT</w:t>
      </w:r>
      <w:r>
        <w:rPr>
          <w:noProof/>
        </w:rPr>
        <w:t xml:space="preserve"> 18: Modernizacja i rozszerzenie możliwości krajowego systemu opieki zdrowotnej</w:t>
      </w:r>
    </w:p>
    <w:p w14:paraId="273D2F69" w14:textId="0FE60EEF" w:rsidR="006578ED" w:rsidRDefault="00A1618E">
      <w:pPr>
        <w:pStyle w:val="P68B1DB1-Normal4"/>
        <w:spacing w:before="120" w:after="120" w:line="240" w:lineRule="auto"/>
        <w:jc w:val="both"/>
        <w:rPr>
          <w:rFonts w:cs="Times New Roman"/>
          <w:noProof/>
        </w:rPr>
      </w:pPr>
      <w:r>
        <w:rPr>
          <w:noProof/>
        </w:rPr>
        <w:t>Kryzys zdrowotny pokazał siłę hiszpańskiego krajowego systemu opieki zdrowotnej, ale ujawnił również trudności, z jakimi boryka się on w radzeniu sobie z sytuacjami wymagającymi przewidywania, szybkiego reagowania i koordynacji, a także potrzebę skorygowania istniejących problemów strukturalnych związanych z tendencjami demograficznymi, społecznymi, technologicznymi lub gospodarczymi. Ten element hiszpańskiego planu odbudowy i zwiększania odporności obejmuje następujące wyzwania: podatność na światowy kryzys zdrowotny, (ii) transformacja systemu opieki zdrowotnej ze względu na starzenie się społeczeństwa, iii) równość płci oraz (iv) długoterminowa stabilność i odporność systemu.</w:t>
      </w:r>
    </w:p>
    <w:p w14:paraId="71509C8B" w14:textId="77777777" w:rsidR="006578ED" w:rsidRDefault="00A1618E">
      <w:pPr>
        <w:pStyle w:val="P68B1DB1-Normal4"/>
        <w:spacing w:before="120" w:after="120" w:line="240" w:lineRule="auto"/>
        <w:jc w:val="both"/>
        <w:rPr>
          <w:rFonts w:cs="Times New Roman"/>
          <w:noProof/>
        </w:rPr>
      </w:pPr>
      <w:r>
        <w:rPr>
          <w:noProof/>
        </w:rPr>
        <w:t xml:space="preserve">Cele tego komponentu są następujące: </w:t>
      </w:r>
    </w:p>
    <w:p w14:paraId="3C9272B0" w14:textId="5614305F" w:rsidR="006578ED" w:rsidRDefault="00A1618E">
      <w:pPr>
        <w:pStyle w:val="P68B1DB1-Normal4"/>
        <w:numPr>
          <w:ilvl w:val="0"/>
          <w:numId w:val="66"/>
        </w:numPr>
        <w:spacing w:before="120" w:after="120" w:line="240" w:lineRule="auto"/>
        <w:ind w:left="993" w:hanging="284"/>
        <w:jc w:val="both"/>
        <w:rPr>
          <w:rFonts w:cs="Times New Roman"/>
          <w:noProof/>
        </w:rPr>
      </w:pPr>
      <w:r>
        <w:rPr>
          <w:noProof/>
        </w:rPr>
        <w:t>Przygotowanie systemu opieki zdrowotnej do zapobiegania potencjalnym globalnym zagrożeniom dla zdrowia, takim jak obecna pandemia COVID-19, i reagowania na nie poprzez zwiększenie zdolności w zakresie zdrowia publicznego i systemów nadzoru epidemiologicznego.</w:t>
      </w:r>
    </w:p>
    <w:p w14:paraId="59469CE2" w14:textId="60D83F8B" w:rsidR="006578ED" w:rsidRDefault="00A1618E">
      <w:pPr>
        <w:pStyle w:val="P68B1DB1-Normal4"/>
        <w:numPr>
          <w:ilvl w:val="0"/>
          <w:numId w:val="66"/>
        </w:numPr>
        <w:spacing w:before="120" w:after="120" w:line="240" w:lineRule="auto"/>
        <w:ind w:left="993" w:hanging="284"/>
        <w:jc w:val="both"/>
        <w:rPr>
          <w:rFonts w:cs="Times New Roman"/>
          <w:noProof/>
        </w:rPr>
      </w:pPr>
      <w:r>
        <w:rPr>
          <w:noProof/>
        </w:rPr>
        <w:t>Świadczenie usług zdrowotnych o najwyższej szybkości, najwyższej jakości i najwyższym poziomie bezpieczeństwa, niezależnie od zasobów pacjentów, ich miejsca zamieszkania, płci, pochodzenia czy wieku.</w:t>
      </w:r>
    </w:p>
    <w:p w14:paraId="04FD66DE" w14:textId="146CDF9D" w:rsidR="006578ED" w:rsidRDefault="00A1618E">
      <w:pPr>
        <w:pStyle w:val="P68B1DB1-Normal4"/>
        <w:numPr>
          <w:ilvl w:val="0"/>
          <w:numId w:val="66"/>
        </w:numPr>
        <w:spacing w:before="120" w:after="120" w:line="240" w:lineRule="auto"/>
        <w:ind w:left="993" w:hanging="284"/>
        <w:jc w:val="both"/>
        <w:rPr>
          <w:rFonts w:cs="Times New Roman"/>
          <w:noProof/>
        </w:rPr>
      </w:pPr>
      <w:r>
        <w:rPr>
          <w:noProof/>
        </w:rPr>
        <w:t xml:space="preserve">Utrzymanie ludzi w centrum systemu opieki zdrowotnej, zwiększenie ich uczestnictwa i dostosowanie opieki zdrowotnej do potrzeb ludzi i społeczności. </w:t>
      </w:r>
    </w:p>
    <w:p w14:paraId="0860012F" w14:textId="77777777" w:rsidR="006578ED" w:rsidRDefault="00A1618E">
      <w:pPr>
        <w:pStyle w:val="P68B1DB1-Normal4"/>
        <w:numPr>
          <w:ilvl w:val="0"/>
          <w:numId w:val="66"/>
        </w:numPr>
        <w:spacing w:before="120" w:after="120" w:line="240" w:lineRule="auto"/>
        <w:ind w:left="993" w:hanging="284"/>
        <w:jc w:val="both"/>
        <w:rPr>
          <w:rFonts w:cs="Times New Roman"/>
          <w:noProof/>
        </w:rPr>
      </w:pPr>
      <w:r>
        <w:rPr>
          <w:noProof/>
        </w:rPr>
        <w:t>Zapewnienie systemów informacyjnych, które mierzą nie tylko aktywność, ale także ostateczne wyniki zdrowotne.</w:t>
      </w:r>
    </w:p>
    <w:p w14:paraId="661A13D5" w14:textId="260ACE8D" w:rsidR="006578ED" w:rsidRDefault="00A1618E">
      <w:pPr>
        <w:pStyle w:val="P68B1DB1-Normal4"/>
        <w:numPr>
          <w:ilvl w:val="0"/>
          <w:numId w:val="66"/>
        </w:numPr>
        <w:spacing w:before="120" w:after="120" w:line="240" w:lineRule="auto"/>
        <w:ind w:left="993" w:hanging="284"/>
        <w:jc w:val="both"/>
        <w:rPr>
          <w:rFonts w:cs="Times New Roman"/>
          <w:noProof/>
        </w:rPr>
      </w:pPr>
      <w:r>
        <w:rPr>
          <w:noProof/>
        </w:rPr>
        <w:t>Aktywne promowanie zdrowia i dobrostanu oraz zapobieganie chorobom i zależności przez całe życie.</w:t>
      </w:r>
    </w:p>
    <w:p w14:paraId="1177AF38" w14:textId="477BE65F" w:rsidR="006578ED" w:rsidRDefault="00A1618E">
      <w:pPr>
        <w:pStyle w:val="P68B1DB1-Normal4"/>
        <w:numPr>
          <w:ilvl w:val="0"/>
          <w:numId w:val="66"/>
        </w:numPr>
        <w:spacing w:before="120" w:after="120" w:line="240" w:lineRule="auto"/>
        <w:ind w:left="993" w:hanging="284"/>
        <w:jc w:val="both"/>
        <w:rPr>
          <w:rFonts w:cs="Times New Roman"/>
          <w:noProof/>
        </w:rPr>
      </w:pPr>
      <w:r>
        <w:rPr>
          <w:noProof/>
        </w:rPr>
        <w:t>Przyciągnięcie i utrzymanie najlepszych specjalistów oferujących im indywidualne i zbiorowe możliwości rozwoju.</w:t>
      </w:r>
    </w:p>
    <w:p w14:paraId="3789ACD8" w14:textId="1E94D9CB" w:rsidR="006578ED" w:rsidRDefault="00A1618E">
      <w:pPr>
        <w:pStyle w:val="P68B1DB1-Normal4"/>
        <w:numPr>
          <w:ilvl w:val="0"/>
          <w:numId w:val="66"/>
        </w:numPr>
        <w:spacing w:before="120" w:after="120" w:line="240" w:lineRule="auto"/>
        <w:ind w:left="993" w:hanging="284"/>
        <w:jc w:val="both"/>
        <w:rPr>
          <w:rFonts w:cs="Times New Roman"/>
          <w:noProof/>
        </w:rPr>
      </w:pPr>
      <w:r>
        <w:rPr>
          <w:noProof/>
        </w:rPr>
        <w:t>Przejście na cyfrowy krajowy system opieki zdrowotnej, który generuje informacje i wiedzę oraz wzmacnia badania naukowe i innowacje w dziedzinie zdrowia jako siłę napędową tworzenia miejsc pracy, wzrostu gospodarczego, wydajności i innowacji.</w:t>
      </w:r>
    </w:p>
    <w:p w14:paraId="37B8A878" w14:textId="7E3916B2" w:rsidR="006578ED" w:rsidRDefault="00A1618E">
      <w:pPr>
        <w:pStyle w:val="P68B1DB1-Normal4"/>
        <w:numPr>
          <w:ilvl w:val="0"/>
          <w:numId w:val="66"/>
        </w:numPr>
        <w:spacing w:before="120" w:after="120" w:line="240" w:lineRule="auto"/>
        <w:ind w:left="993" w:hanging="284"/>
        <w:jc w:val="both"/>
        <w:rPr>
          <w:rFonts w:cs="Times New Roman"/>
          <w:noProof/>
        </w:rPr>
      </w:pPr>
      <w:r>
        <w:rPr>
          <w:noProof/>
        </w:rPr>
        <w:t>Zapewnienie wystarczającego i trwałego finansowania w celu sprostania nowym wyzwaniom zdrowotnym współczesnego i rozwiniętego społeczeństwa, a także zapewnienia efektywności wydatków.</w:t>
      </w:r>
    </w:p>
    <w:p w14:paraId="4223E0CE" w14:textId="5BBF7F65" w:rsidR="006578ED" w:rsidRDefault="00A1618E">
      <w:pPr>
        <w:pStyle w:val="P68B1DB1-Normal4"/>
        <w:numPr>
          <w:ilvl w:val="0"/>
          <w:numId w:val="66"/>
        </w:numPr>
        <w:spacing w:before="120" w:after="120" w:line="240" w:lineRule="auto"/>
        <w:ind w:left="993" w:hanging="284"/>
        <w:jc w:val="both"/>
        <w:rPr>
          <w:rFonts w:cs="Times New Roman"/>
          <w:noProof/>
        </w:rPr>
      </w:pPr>
      <w:r>
        <w:rPr>
          <w:noProof/>
        </w:rPr>
        <w:t>Wzmocnienie i rozwój koordynacji i wielopoziomowego sprawowania rządów w zarządzaniu krajowym systemem opieki zdrowotnej oraz zwiększenie spójności terytorialnej. Aktywne promowanie strategii na rzecz osiągnięcia równości płci w systemie opieki zdrowotnej.</w:t>
      </w:r>
    </w:p>
    <w:p w14:paraId="7574172C" w14:textId="06ECDBA2" w:rsidR="006578ED" w:rsidRDefault="00A1618E">
      <w:pPr>
        <w:pStyle w:val="P68B1DB1-Normal4"/>
        <w:spacing w:before="120" w:after="120" w:line="240" w:lineRule="auto"/>
        <w:jc w:val="both"/>
        <w:rPr>
          <w:rFonts w:cs="Times New Roman"/>
          <w:noProof/>
        </w:rPr>
      </w:pPr>
      <w:r>
        <w:rPr>
          <w:noProof/>
        </w:rPr>
        <w:t xml:space="preserve">Ten element hiszpańskiego planu odbudowy i zwiększania odporności wspiera realizację zaleceń dla poszczególnych krajów dotyczących skutecznej walki z pandemią oraz wzmocnienia zdolności i odporności systemu ochrony zdrowia w odniesieniu do pracowników służby zdrowia oraz podstawowych produktów i infrastruktury medycznej (zalecenie dla poszczególnych krajów </w:t>
      </w:r>
      <w:r w:rsidRPr="00A1618E">
        <w:rPr>
          <w:noProof/>
          <w:lang w:val="pl-PL"/>
        </w:rPr>
        <w:t>nr 1</w:t>
      </w:r>
      <w:r>
        <w:rPr>
          <w:noProof/>
        </w:rPr>
        <w:t xml:space="preserve"> 2020) oraz wspieranie zatrudnienia za pomocą środków mających na celu utrzymanie miejsc pracy, skuteczne zachęty do zatrudniania i rozwój umiejętności (zalecenie dla poszczególnych krajów </w:t>
      </w:r>
      <w:r w:rsidRPr="00A1618E">
        <w:rPr>
          <w:noProof/>
          <w:lang w:val="pl-PL"/>
        </w:rPr>
        <w:t>nr 2</w:t>
      </w:r>
      <w:r>
        <w:rPr>
          <w:noProof/>
        </w:rPr>
        <w:t> 2020).</w:t>
      </w:r>
    </w:p>
    <w:p w14:paraId="01A9F91C" w14:textId="553873E4"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70C6600A" w14:textId="439CD458" w:rsidR="006578ED" w:rsidRDefault="00A1618E">
      <w:pPr>
        <w:pStyle w:val="P68B1DB1-Normal5"/>
        <w:keepNext/>
        <w:spacing w:before="120" w:after="120" w:line="240" w:lineRule="auto"/>
        <w:jc w:val="both"/>
        <w:rPr>
          <w:rFonts w:cs="Times New Roman"/>
          <w:i/>
          <w:noProof/>
        </w:rPr>
      </w:pPr>
      <w:r>
        <w:rPr>
          <w:noProof/>
        </w:rPr>
        <w:t xml:space="preserve">R.1. </w:t>
      </w:r>
      <w:r>
        <w:rPr>
          <w:noProof/>
        </w:rPr>
        <w:tab/>
        <w:t>Opis reform i inwestycji, które mają być finansowane z bezzwrotnego wsparcia finansowego</w:t>
      </w:r>
    </w:p>
    <w:p w14:paraId="055F5AAC" w14:textId="35EFB74C" w:rsidR="006578ED" w:rsidRDefault="00A1618E">
      <w:pPr>
        <w:pStyle w:val="P68B1DB1-Normal6"/>
        <w:keepNext/>
        <w:spacing w:before="120" w:after="120" w:line="240" w:lineRule="auto"/>
        <w:jc w:val="both"/>
        <w:rPr>
          <w:rFonts w:cs="Times New Roman"/>
          <w:noProof/>
        </w:rPr>
      </w:pPr>
      <w:r>
        <w:rPr>
          <w:noProof/>
        </w:rPr>
        <w:t>Reforma 1 (C18.R1) – Wzmocnienie opieki podstawowej i środowiskowej</w:t>
      </w:r>
    </w:p>
    <w:p w14:paraId="36261AE1" w14:textId="235494D1" w:rsidR="006578ED" w:rsidRDefault="00A1618E">
      <w:pPr>
        <w:pStyle w:val="P68B1DB1-Normal4"/>
        <w:keepNext/>
        <w:spacing w:before="120" w:after="120" w:line="240" w:lineRule="auto"/>
        <w:jc w:val="both"/>
        <w:rPr>
          <w:rFonts w:cs="Times New Roman"/>
          <w:noProof/>
        </w:rPr>
      </w:pPr>
      <w:r>
        <w:rPr>
          <w:noProof/>
        </w:rPr>
        <w:t>Wzmocnienie podstawowej opieki zdrowotnej jest jednym z najważniejszych wyzwań zdrowotnych stojących przed Hiszpanią w nadchodzących latach. Celem tej reformy jest lepsze reagowanie na pojawiające się problemy zdrowotne, poprawa indywidualnych doświadczeń w zakresie opieki dla wszystkich oraz zapobieganie chorobom i zwiększenie roli podstawowej opieki zdrowotnej.</w:t>
      </w:r>
    </w:p>
    <w:p w14:paraId="6EE1EB86" w14:textId="3D71D074" w:rsidR="006578ED" w:rsidRDefault="00A1618E">
      <w:pPr>
        <w:pStyle w:val="P68B1DB1-Normal4"/>
        <w:spacing w:before="120" w:after="120" w:line="240" w:lineRule="auto"/>
        <w:jc w:val="both"/>
        <w:rPr>
          <w:rFonts w:cs="Times New Roman"/>
          <w:noProof/>
        </w:rPr>
      </w:pPr>
      <w:r>
        <w:rPr>
          <w:noProof/>
        </w:rPr>
        <w:t>Reforma polega na przygotowaniu i wdrożeniu planu działania na rzecz opracowania strategicznych ram na rzecz wzmocnienia podstawowej i środowiskowej opieki, przyjętych przez rząd centralny i wspólnoty autonomiczne w 20</w:t>
      </w:r>
      <w:r w:rsidRPr="00A1618E">
        <w:rPr>
          <w:noProof/>
          <w:lang w:val="pl-PL"/>
        </w:rPr>
        <w:t>19 r.</w:t>
      </w:r>
      <w:r>
        <w:rPr>
          <w:noProof/>
        </w:rPr>
        <w:t xml:space="preserve"> Plan działania jest uporządkowany wokół kierunków działania, w których należy ukształtować realizację projektów na szczeblu regionalnym. Obejmuje to usprawnienie procesów zarządzania klinicznego, rozbudowę i odnowienie sprzętu diagnostycznego w ośrodkach zdrowia, rozwój technologii informatycznych, szkolenie specjalistów lub poprawę infrastruktury ośrodków zdrowia oraz służb zdrowia i służb ratunkowych</w:t>
      </w:r>
      <w:r w:rsidRPr="00A1618E">
        <w:rPr>
          <w:noProof/>
          <w:lang w:val="pl-PL"/>
        </w:rPr>
        <w:t>. P</w:t>
      </w:r>
      <w:r>
        <w:rPr>
          <w:noProof/>
        </w:rPr>
        <w:t xml:space="preserve">lan działania jest zatwierdzany przez Radę Międzyterytorialną. Jego realizacja nie będzie finansowana w ramach planu odbudowy i zwiększania odporności. </w:t>
      </w:r>
    </w:p>
    <w:p w14:paraId="6C155FF3" w14:textId="6E35EBB7"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r>
        <w:rPr>
          <w:noProof/>
        </w:rPr>
        <w:t xml:space="preserve"> </w:t>
      </w:r>
    </w:p>
    <w:p w14:paraId="0B0ED941" w14:textId="77777777" w:rsidR="006578ED" w:rsidRDefault="00A1618E">
      <w:pPr>
        <w:pStyle w:val="P68B1DB1-Normal6"/>
        <w:spacing w:before="120" w:after="120" w:line="240" w:lineRule="auto"/>
        <w:jc w:val="both"/>
        <w:rPr>
          <w:rFonts w:cs="Times New Roman"/>
          <w:noProof/>
        </w:rPr>
      </w:pPr>
      <w:r>
        <w:rPr>
          <w:noProof/>
        </w:rPr>
        <w:t>Reforma 2 (C18.R2) – Reforma systemu publicznej opieki zdrowotnej</w:t>
      </w:r>
    </w:p>
    <w:p w14:paraId="53B13C59" w14:textId="44D944AA" w:rsidR="006578ED" w:rsidRDefault="00A1618E">
      <w:pPr>
        <w:pStyle w:val="P68B1DB1-Normal4"/>
        <w:spacing w:before="120" w:after="120" w:line="240" w:lineRule="auto"/>
        <w:jc w:val="both"/>
        <w:rPr>
          <w:rFonts w:cs="Times New Roman"/>
          <w:noProof/>
        </w:rPr>
      </w:pPr>
      <w:r>
        <w:rPr>
          <w:noProof/>
        </w:rPr>
        <w:t>Celem reformy jest ustanowienie ogólnych i zintegrowanych ram świadczenia usług w zakresie zdrowia publicznego. Polega ona na rozwijaniu ambitniejszego, bardziej zintegrowanego i lepiej sformułowanego publicznego systemu opieki zdrowotnej poprzez następujące działania:</w:t>
      </w:r>
    </w:p>
    <w:p w14:paraId="516502D7" w14:textId="0B513A34" w:rsidR="006578ED" w:rsidRDefault="00A1618E">
      <w:pPr>
        <w:pStyle w:val="P68B1DB1-Normal8"/>
        <w:spacing w:before="120" w:after="120" w:line="240" w:lineRule="auto"/>
        <w:ind w:left="850" w:hanging="425"/>
        <w:jc w:val="both"/>
        <w:rPr>
          <w:rFonts w:cs="Times New Roman"/>
          <w:noProof/>
          <w:sz w:val="24"/>
        </w:rPr>
      </w:pPr>
      <w:r>
        <w:rPr>
          <w:noProof/>
          <w:sz w:val="24"/>
        </w:rPr>
        <w:t>-</w:t>
      </w:r>
      <w:r>
        <w:rPr>
          <w:noProof/>
        </w:rPr>
        <w:tab/>
      </w:r>
      <w:r>
        <w:rPr>
          <w:noProof/>
          <w:sz w:val="24"/>
        </w:rPr>
        <w:t>Strategia w zakresie zdrowia publicznego, która ustanawia ogólne i zintegrowane ramy, które będą uwzględniane we wszystkich politykach w dziedzinie zdrowia publicznego, i której czas trwania wynosi pięć lat, wraz z ocenami okresowymi co dwa lata, w których analizuje się stopień realizacji.</w:t>
      </w:r>
      <w:r>
        <w:rPr>
          <w:noProof/>
          <w:sz w:val="18"/>
        </w:rPr>
        <w:t xml:space="preserve"> </w:t>
      </w:r>
      <w:r>
        <w:rPr>
          <w:noProof/>
          <w:sz w:val="24"/>
        </w:rPr>
        <w:t>Strategia jest zatwierdzana za zgodą Rady Międzyterytorialnej Krajowego Systemu Zdrowia.</w:t>
      </w:r>
    </w:p>
    <w:p w14:paraId="2B2ACA26" w14:textId="77777777" w:rsidR="006578ED" w:rsidRDefault="00A1618E">
      <w:pPr>
        <w:pStyle w:val="P68B1DB1-Normal4"/>
        <w:spacing w:before="120" w:after="120" w:line="240" w:lineRule="auto"/>
        <w:ind w:left="850" w:hanging="425"/>
        <w:jc w:val="both"/>
        <w:rPr>
          <w:rFonts w:cs="Times New Roman"/>
          <w:noProof/>
        </w:rPr>
      </w:pPr>
      <w:r>
        <w:rPr>
          <w:noProof/>
        </w:rPr>
        <w:t>—</w:t>
      </w:r>
      <w:r>
        <w:rPr>
          <w:noProof/>
        </w:rPr>
        <w:tab/>
        <w:t>Sieć nadzoru nad zdrowiem publicznym oraz nowe Państwowe Centrum Zdrowia Publicznego, utworzone na mocy ustawy lub dekretu królewskiego rządu.</w:t>
      </w:r>
    </w:p>
    <w:p w14:paraId="2399D7B1" w14:textId="20DE9680"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p>
    <w:p w14:paraId="5FF46A81" w14:textId="3535ADC8" w:rsidR="006578ED" w:rsidRDefault="00A1618E">
      <w:pPr>
        <w:pStyle w:val="P68B1DB1-Normal6"/>
        <w:spacing w:before="120" w:after="120" w:line="240" w:lineRule="auto"/>
        <w:jc w:val="both"/>
        <w:rPr>
          <w:rFonts w:cs="Times New Roman"/>
          <w:noProof/>
        </w:rPr>
      </w:pPr>
      <w:r>
        <w:rPr>
          <w:noProof/>
        </w:rPr>
        <w:t>Reforma 3 (C18. R3) – Wzmocnienie spójności, sprawiedliwości i uniwersalności</w:t>
      </w:r>
    </w:p>
    <w:p w14:paraId="3EA6C276" w14:textId="4FE2123A" w:rsidR="006578ED" w:rsidRDefault="00A1618E">
      <w:pPr>
        <w:pStyle w:val="P68B1DB1-Normal4"/>
        <w:spacing w:before="120" w:after="120" w:line="240" w:lineRule="auto"/>
        <w:jc w:val="both"/>
        <w:rPr>
          <w:rFonts w:cs="Times New Roman"/>
          <w:noProof/>
        </w:rPr>
      </w:pPr>
      <w:r>
        <w:rPr>
          <w:noProof/>
        </w:rPr>
        <w:t>Celem tej reformy jest dalsze zwiększenie dostępu do powszechnej opieki zdrowotnej w Hiszpanii, równości w dostępie do opieki zdrowotnej i spójności opieki zdrowotnej między poszczególnymi terytoriami kraju. Reforma składa się z trzech filarów:</w:t>
      </w:r>
    </w:p>
    <w:p w14:paraId="1E7EFC6A" w14:textId="67714753" w:rsidR="006578ED" w:rsidRDefault="00A1618E">
      <w:pPr>
        <w:pStyle w:val="P68B1DB1-Normal4"/>
        <w:spacing w:before="120" w:after="120" w:line="240" w:lineRule="auto"/>
        <w:ind w:left="850" w:hanging="425"/>
        <w:jc w:val="both"/>
        <w:rPr>
          <w:rFonts w:cs="Times New Roman"/>
          <w:noProof/>
        </w:rPr>
      </w:pPr>
      <w:r>
        <w:rPr>
          <w:noProof/>
        </w:rPr>
        <w:t>—</w:t>
      </w:r>
      <w:r>
        <w:rPr>
          <w:noProof/>
        </w:rPr>
        <w:tab/>
        <w:t>Ustawa o równości, uniwersalności i spójności krajowego systemu opieki zdrowotnej. Cele ustawy są następujące: zapewnienie powszechnego dostępu do opieki zdrowotnej, (ii) włączenie przedstawicieli pacjentów do organów zarządzających hiszpańskim krajowym systemem opieki zdrowotnej, (iii) ograniczenie korzystania z nowych współfinansowania, (iv) zmiana definicji świadczeń społecznych i zdrowotnych w portfelu usług krajowego systemu opieki zdrowotnej, v) zapewnienie koordynacji między organami ds. zdrowia a organami socjalnymi, (vi) wprowadzenie oceny skutków wszystkich zmian regulacyjnych w tym obszarze oraz (viii) reforma stosowania produktów farmaceutycznych w krajowym systemie opieki zdrowotnej. Ustawie tej towarzyszy dogłębna ocena skutków badająca również jej wpływ na długoterminową stabilność finansów publicznych i jest podawana do wiadomości publicznej.</w:t>
      </w:r>
    </w:p>
    <w:p w14:paraId="08A6364B" w14:textId="4B9E6E07" w:rsidR="006578ED" w:rsidRDefault="00A1618E">
      <w:pPr>
        <w:pStyle w:val="P68B1DB1-Normal4"/>
        <w:spacing w:before="120" w:after="120" w:line="240" w:lineRule="auto"/>
        <w:ind w:left="850" w:hanging="425"/>
        <w:jc w:val="both"/>
        <w:rPr>
          <w:rFonts w:cs="Times New Roman"/>
          <w:noProof/>
        </w:rPr>
      </w:pPr>
      <w:r>
        <w:rPr>
          <w:noProof/>
        </w:rPr>
        <w:t>—</w:t>
      </w:r>
      <w:r>
        <w:rPr>
          <w:noProof/>
        </w:rPr>
        <w:tab/>
        <w:t xml:space="preserve">Reorientacja wysoce złożonej opieki zdrowotnej w systemie opieki zdrowotnej poprzez konsolidację i rozwój sieci punktów kontaktowych (CSUR) oraz zmianę kolejności opieki niezwiązanej z CSUR. </w:t>
      </w:r>
    </w:p>
    <w:p w14:paraId="6B7D8F2B" w14:textId="47D3DEE1" w:rsidR="006578ED" w:rsidRDefault="00A1618E">
      <w:pPr>
        <w:pStyle w:val="P68B1DB1-Normal4"/>
        <w:spacing w:before="120" w:after="120" w:line="240" w:lineRule="auto"/>
        <w:ind w:left="850" w:hanging="425"/>
        <w:jc w:val="both"/>
        <w:rPr>
          <w:rFonts w:cs="Times New Roman"/>
          <w:noProof/>
        </w:rPr>
      </w:pPr>
      <w:r>
        <w:rPr>
          <w:noProof/>
        </w:rPr>
        <w:t>—</w:t>
      </w:r>
      <w:r>
        <w:rPr>
          <w:noProof/>
        </w:rPr>
        <w:tab/>
        <w:t>Zwiększenie wspólnego portfela publicznych usług zdrowotnych. Reforma ta ma na celu rozszerzenie i poprawę usług w ramach wspólnego portfela w zakresie opieki stomatologicznej, medycyny genomowej, opieki ortopedycznej i protetycznej oraz opieki profilaktycznej.</w:t>
      </w:r>
    </w:p>
    <w:p w14:paraId="4AEA601A" w14:textId="3E94ECA8"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r>
        <w:rPr>
          <w:noProof/>
        </w:rPr>
        <w:t xml:space="preserve"> </w:t>
      </w:r>
    </w:p>
    <w:p w14:paraId="1C75AC79" w14:textId="70FB8A32" w:rsidR="006578ED" w:rsidRDefault="00A1618E">
      <w:pPr>
        <w:pStyle w:val="P68B1DB1-Normal6"/>
        <w:spacing w:before="120" w:after="120" w:line="240" w:lineRule="auto"/>
        <w:jc w:val="both"/>
        <w:rPr>
          <w:rFonts w:cs="Times New Roman"/>
          <w:noProof/>
        </w:rPr>
      </w:pPr>
      <w:r>
        <w:rPr>
          <w:noProof/>
        </w:rPr>
        <w:t>Reforma 4 (C18. R4) – Wzmocnienie umiejętności zawodowych i ograniczenie zatrudnienia na czas określony</w:t>
      </w:r>
    </w:p>
    <w:p w14:paraId="69666E6E" w14:textId="628F78E7" w:rsidR="006578ED" w:rsidRDefault="00A1618E">
      <w:pPr>
        <w:pStyle w:val="P68B1DB1-Normal4"/>
        <w:spacing w:before="120" w:after="120" w:line="240" w:lineRule="auto"/>
        <w:jc w:val="both"/>
        <w:rPr>
          <w:rFonts w:cs="Times New Roman"/>
          <w:noProof/>
        </w:rPr>
      </w:pPr>
      <w:r>
        <w:rPr>
          <w:noProof/>
        </w:rPr>
        <w:t xml:space="preserve">Celem reformy jest rozwiązanie problemu niedoboru pielęgniarek i lekarzy, ograniczenie korzystania z umów na czas określony, poprawa warunków pracy oraz poprawa szkoleń i rozwoju zawodowego. </w:t>
      </w:r>
    </w:p>
    <w:p w14:paraId="19A74EF3" w14:textId="77777777" w:rsidR="006578ED" w:rsidRDefault="00A1618E">
      <w:pPr>
        <w:pStyle w:val="P68B1DB1-Normal4"/>
        <w:spacing w:before="120" w:after="120" w:line="240" w:lineRule="auto"/>
        <w:jc w:val="both"/>
        <w:rPr>
          <w:rFonts w:cs="Times New Roman"/>
          <w:noProof/>
        </w:rPr>
      </w:pPr>
      <w:r>
        <w:rPr>
          <w:noProof/>
        </w:rPr>
        <w:t>Reforma obejmuje dwa obszary:</w:t>
      </w:r>
    </w:p>
    <w:p w14:paraId="428C83B7" w14:textId="08780C2E" w:rsidR="006578ED" w:rsidRDefault="00A1618E">
      <w:pPr>
        <w:pStyle w:val="P68B1DB1-Normal4"/>
        <w:numPr>
          <w:ilvl w:val="0"/>
          <w:numId w:val="130"/>
        </w:numPr>
        <w:spacing w:before="120" w:after="160" w:line="259" w:lineRule="auto"/>
        <w:ind w:left="1134" w:hanging="425"/>
        <w:jc w:val="both"/>
        <w:rPr>
          <w:rFonts w:cs="Times New Roman"/>
          <w:noProof/>
        </w:rPr>
      </w:pPr>
      <w:r>
        <w:rPr>
          <w:noProof/>
        </w:rPr>
        <w:t>Zmiana ustawy o pracownikach służby zdrowia w Hiszpanii (statut ramowy) w celu ograniczenia zatrudnienia tymczasowego, zapewnienia obsadzenia stanowisk na niektórych obszarach geograficznych w niewystarczającym stopniu dzięki środkom zachęcającym, poprawy stanu środowiska i warunków pracy poprzez środki przyczyniające się do rozwoju zawodowego i zatrzymywania talentów w systemie hiszpańskim, przy czym poprawa warunków nie tylko ekonomicznych, ale również stworzenie możliwości nauczania i badań naukowych. W procesie zmiany ustawy sporządza się sprawozdania dotyczące jej skutków gospodarczych, a w szczególności długoterminowych skutków ustawy o stabilności finansów publicznych.</w:t>
      </w:r>
    </w:p>
    <w:p w14:paraId="23A5C93E" w14:textId="34CE6BB9" w:rsidR="006578ED" w:rsidRDefault="00A1618E">
      <w:pPr>
        <w:pStyle w:val="P68B1DB1-Normal4"/>
        <w:numPr>
          <w:ilvl w:val="0"/>
          <w:numId w:val="130"/>
        </w:numPr>
        <w:spacing w:before="120" w:after="160" w:line="259" w:lineRule="auto"/>
        <w:ind w:left="1134" w:hanging="425"/>
        <w:contextualSpacing/>
        <w:jc w:val="both"/>
        <w:rPr>
          <w:rFonts w:cs="Times New Roman"/>
          <w:noProof/>
        </w:rPr>
      </w:pPr>
      <w:r>
        <w:rPr>
          <w:noProof/>
        </w:rPr>
        <w:t>Wejście w życie dekretu królewskiego z mocą ustawy w celu usprawnienia specjalistycznego systemu kształcenia zdrowotnego. Ustawa reguluje szkolenia przekrojowe w zakresie specjalizacji nauk zdrowotnych, konkretne dziedziny kształcenia oraz procedurę walidacji i uznawania kwalifikacji specjalistycznych w dziedzinie nauk medycznych.</w:t>
      </w:r>
    </w:p>
    <w:p w14:paraId="2A26071F" w14:textId="77777777" w:rsidR="006578ED" w:rsidRDefault="006578ED">
      <w:pPr>
        <w:spacing w:before="120" w:after="160" w:line="259" w:lineRule="auto"/>
        <w:ind w:left="1134"/>
        <w:contextualSpacing/>
        <w:jc w:val="both"/>
        <w:rPr>
          <w:rFonts w:ascii="Times New Roman" w:hAnsi="Times New Roman" w:cs="Times New Roman"/>
          <w:noProof/>
        </w:rPr>
      </w:pPr>
    </w:p>
    <w:p w14:paraId="0FEC0190" w14:textId="4DBFDB7B" w:rsidR="006578ED" w:rsidRDefault="00A1618E">
      <w:pPr>
        <w:pStyle w:val="P68B1DB1-Normal4"/>
        <w:spacing w:before="120" w:after="120" w:line="240" w:lineRule="auto"/>
        <w:jc w:val="both"/>
        <w:rPr>
          <w:rFonts w:cs="Times New Roman"/>
          <w:noProof/>
        </w:rPr>
      </w:pPr>
      <w:r>
        <w:rPr>
          <w:noProof/>
        </w:rPr>
        <w:t xml:space="preserve">Reforma ta jest związana z reformą 1 w komponencie 11 (C11.R1). </w:t>
      </w:r>
    </w:p>
    <w:p w14:paraId="6C04A7DC" w14:textId="45C999A8"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p>
    <w:p w14:paraId="09A885C2" w14:textId="192592AF" w:rsidR="006578ED" w:rsidRDefault="00A1618E">
      <w:pPr>
        <w:pStyle w:val="P68B1DB1-Normal6"/>
        <w:spacing w:before="120" w:after="120" w:line="240" w:lineRule="auto"/>
        <w:jc w:val="both"/>
        <w:rPr>
          <w:rFonts w:cs="Times New Roman"/>
          <w:noProof/>
        </w:rPr>
      </w:pPr>
      <w:r>
        <w:rPr>
          <w:noProof/>
        </w:rPr>
        <w:t>Reforma 5 (C18.R5) – Reforma regulacji leków i poprawa dostępu do leków</w:t>
      </w:r>
    </w:p>
    <w:p w14:paraId="21200712" w14:textId="0C020A50" w:rsidR="006578ED" w:rsidRDefault="00A1618E">
      <w:pPr>
        <w:pStyle w:val="P68B1DB1-Normal4"/>
        <w:spacing w:before="120" w:after="120" w:line="240" w:lineRule="auto"/>
        <w:jc w:val="both"/>
        <w:rPr>
          <w:rFonts w:cs="Times New Roman"/>
          <w:noProof/>
        </w:rPr>
      </w:pPr>
      <w:r>
        <w:rPr>
          <w:noProof/>
        </w:rPr>
        <w:t xml:space="preserve">Głównym celem tej reformy jest aktualizacja hiszpańskich ram regulacyjnych dotyczących produktów leczniczych i wyrobów medycznych poprzez zmianę ustawy o gwarancjach i racjonalnym stosowaniu produktów leczniczych i wyrobów medycznych (królewski dekret ustawodawczy </w:t>
      </w:r>
      <w:r w:rsidRPr="00A1618E">
        <w:rPr>
          <w:noProof/>
          <w:lang w:val="pl-PL"/>
        </w:rPr>
        <w:t>nr 1</w:t>
      </w:r>
      <w:r>
        <w:rPr>
          <w:noProof/>
        </w:rPr>
        <w:t>/2015 z dnia 24 lipca), która to ustawa ustanawia obecnie odpowiednie ramy regulacyjne w Hiszpanii</w:t>
      </w:r>
      <w:r w:rsidRPr="00A1618E">
        <w:rPr>
          <w:noProof/>
          <w:lang w:val="pl-PL"/>
        </w:rPr>
        <w:t>. W</w:t>
      </w:r>
      <w:r>
        <w:rPr>
          <w:noProof/>
          <w:lang w:val="pl-PL"/>
        </w:rPr>
        <w:t> </w:t>
      </w:r>
      <w:r>
        <w:rPr>
          <w:noProof/>
        </w:rPr>
        <w:t xml:space="preserve">szczególności system musi zostać dostosowany do nowych przełomowych osiągnięć naukowych, pogłębienia środków racjonalizacji wydatków na produkty farmaceutyczne, zachęcania do racjonalnego stosowania leków oraz wprowadzania zmian w świetle doświadczeń zdobytych podczas pandemii. W trakcie opracowywania ustawy sporządza się sprawozdania dotyczące jej skutków gospodarczych, a w szczególności długoterminowych skutków ustawy o stabilności finansów publicznych. </w:t>
      </w:r>
    </w:p>
    <w:p w14:paraId="64BBFBBA" w14:textId="71956ECE"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p>
    <w:p w14:paraId="1AB505A2" w14:textId="7790A2C1" w:rsidR="006578ED" w:rsidRDefault="00A1618E">
      <w:pPr>
        <w:pStyle w:val="P68B1DB1-Normal6"/>
        <w:keepNext/>
        <w:spacing w:before="120" w:after="120" w:line="240" w:lineRule="auto"/>
        <w:jc w:val="both"/>
        <w:rPr>
          <w:rFonts w:cs="Times New Roman"/>
          <w:noProof/>
        </w:rPr>
      </w:pPr>
      <w:r>
        <w:rPr>
          <w:noProof/>
        </w:rPr>
        <w:t>Inwestycja 1 (C18.I1) – Plan inwestycyjny na rzecz zaawansowanych technologicznie urządzeń w Narodowym Systemie Zdrowia</w:t>
      </w:r>
    </w:p>
    <w:p w14:paraId="2DA5E361" w14:textId="5EF919A0" w:rsidR="006578ED" w:rsidRDefault="00A1618E">
      <w:pPr>
        <w:pStyle w:val="P68B1DB1-Normal4"/>
        <w:keepNext/>
        <w:spacing w:before="120" w:after="120" w:line="240" w:lineRule="auto"/>
        <w:jc w:val="both"/>
        <w:rPr>
          <w:rFonts w:cs="Times New Roman"/>
          <w:noProof/>
        </w:rPr>
      </w:pPr>
      <w:r>
        <w:rPr>
          <w:noProof/>
        </w:rPr>
        <w:t>W Hiszpanii poziom dezaktualizacji sprzętu jest wyższy niż średnia europejska i niższy średni poziom zagęszczenia sprzętu na mieszkańca, ale z pewnymi wyjątkami, takimi jak skanery MRI. Geograficzna dystrybucja sprzętu jest również zachwiana. Celem tej inwestycji jest odnowienie istniejącego sprzętu i dostarczenie Hiszpanii dodatkowego zaawansowanego technologicznie sprzętu medycznego.</w:t>
      </w:r>
    </w:p>
    <w:p w14:paraId="5010DDAC" w14:textId="77777777" w:rsidR="006578ED" w:rsidRDefault="00A1618E">
      <w:pPr>
        <w:pStyle w:val="P68B1DB1-Normal4"/>
        <w:spacing w:before="120" w:after="120" w:line="240" w:lineRule="auto"/>
        <w:jc w:val="both"/>
        <w:rPr>
          <w:rFonts w:cs="Times New Roman"/>
          <w:noProof/>
        </w:rPr>
      </w:pPr>
      <w:r>
        <w:rPr>
          <w:noProof/>
        </w:rPr>
        <w:t>Inwestycja obejmuje:</w:t>
      </w:r>
    </w:p>
    <w:p w14:paraId="3214FCBB" w14:textId="77777777" w:rsidR="006578ED" w:rsidRDefault="00A1618E">
      <w:pPr>
        <w:pStyle w:val="P68B1DB1-Normal4"/>
        <w:spacing w:before="120" w:after="120" w:line="240" w:lineRule="auto"/>
        <w:ind w:left="709"/>
        <w:jc w:val="both"/>
        <w:rPr>
          <w:rFonts w:cs="Times New Roman"/>
          <w:noProof/>
        </w:rPr>
      </w:pPr>
      <w:r>
        <w:rPr>
          <w:noProof/>
        </w:rPr>
        <w:t>—</w:t>
      </w:r>
      <w:r>
        <w:rPr>
          <w:noProof/>
        </w:rPr>
        <w:tab/>
        <w:t>Wymiana sprzętu ze względu na skracanie cyklu życia.</w:t>
      </w:r>
    </w:p>
    <w:p w14:paraId="6A306554" w14:textId="51C3C473" w:rsidR="006578ED" w:rsidRDefault="00A1618E">
      <w:pPr>
        <w:pStyle w:val="P68B1DB1-Normal4"/>
        <w:spacing w:before="120" w:after="120" w:line="240" w:lineRule="auto"/>
        <w:ind w:left="1418" w:hanging="709"/>
        <w:jc w:val="both"/>
        <w:rPr>
          <w:rFonts w:cs="Times New Roman"/>
          <w:noProof/>
        </w:rPr>
      </w:pPr>
      <w:r>
        <w:rPr>
          <w:noProof/>
        </w:rPr>
        <w:t>—</w:t>
      </w:r>
      <w:r>
        <w:rPr>
          <w:noProof/>
        </w:rPr>
        <w:tab/>
        <w:t>Zwiększenie zasobów sprzętu w celu zrównoważenia różnic międzyregionalnych i stopniowego osiągania średniej Unii Europejskiej pod względem liczby mieszkańców na milion mieszkańców, ze szczególnym uwzględnieniem obszarów terytorium Hiszpanii, które są słabo obsługowane na mieszkańca w porównaniu ze średnią krajową.</w:t>
      </w:r>
    </w:p>
    <w:p w14:paraId="5DAC27B9" w14:textId="4BAC14E5" w:rsidR="006578ED" w:rsidRDefault="00A1618E">
      <w:pPr>
        <w:pStyle w:val="P68B1DB1-Normal4"/>
        <w:spacing w:before="120" w:after="120" w:line="240" w:lineRule="auto"/>
        <w:jc w:val="both"/>
        <w:rPr>
          <w:rFonts w:cs="Times New Roman"/>
          <w:noProof/>
        </w:rPr>
      </w:pPr>
      <w:r>
        <w:rPr>
          <w:noProof/>
        </w:rPr>
        <w:t>Plan obejmuje następujące rodzaje urządzeń: akceleratory liniowe, komputerowa tomografia osiowa (CAT), w tym akceleratory planowania; rezonans magnetyczny, tomografia emisyjna pozytrona (PET), tomografia emisyjna pozytronu i CAT (PET-CAT), komora gamma, sprzęt do bbrajoterapii cyfrowej, angiografia naczyniowa, angiografia neurorradiologiczna i pomieszczenia hemodynamiczne.</w:t>
      </w:r>
    </w:p>
    <w:p w14:paraId="307CC6BD" w14:textId="0F73B474" w:rsidR="006578ED" w:rsidRDefault="00A1618E">
      <w:pPr>
        <w:pStyle w:val="P68B1DB1-Normal4"/>
        <w:spacing w:before="120" w:after="120" w:line="240" w:lineRule="auto"/>
        <w:jc w:val="both"/>
        <w:rPr>
          <w:rFonts w:cs="Times New Roman"/>
          <w:noProof/>
        </w:rPr>
      </w:pPr>
      <w:r>
        <w:rPr>
          <w:noProof/>
        </w:rPr>
        <w:t>Realizacja inwestycji zostanie zakończona do dnia 31 grudnia 20</w:t>
      </w:r>
      <w:r w:rsidRPr="00A1618E">
        <w:rPr>
          <w:noProof/>
          <w:lang w:val="pl-PL"/>
        </w:rPr>
        <w:t>23 r.</w:t>
      </w:r>
    </w:p>
    <w:p w14:paraId="3DE11508" w14:textId="6AFD58F4" w:rsidR="006578ED" w:rsidRDefault="00A1618E">
      <w:pPr>
        <w:pStyle w:val="P68B1DB1-Normal6"/>
        <w:spacing w:before="120" w:after="120" w:line="240" w:lineRule="auto"/>
        <w:jc w:val="both"/>
        <w:rPr>
          <w:rFonts w:cs="Times New Roman"/>
          <w:noProof/>
        </w:rPr>
      </w:pPr>
      <w:r>
        <w:rPr>
          <w:noProof/>
        </w:rPr>
        <w:t>Inwestycja 2 (C18.I2) – Działania mające na celu wzmocnienie profilaktyki i promocji zdrowia</w:t>
      </w:r>
    </w:p>
    <w:p w14:paraId="7EF09B9C" w14:textId="385AC5EA" w:rsidR="006578ED" w:rsidRDefault="00A1618E">
      <w:pPr>
        <w:pStyle w:val="P68B1DB1-Normal4"/>
        <w:spacing w:before="120" w:after="120" w:line="240" w:lineRule="auto"/>
        <w:jc w:val="both"/>
        <w:rPr>
          <w:rFonts w:cs="Times New Roman"/>
          <w:noProof/>
        </w:rPr>
      </w:pPr>
      <w:r>
        <w:rPr>
          <w:noProof/>
        </w:rPr>
        <w:t>Inwestycja ta ma na celu wzmocnienie opieki profilaktycznej. Koncentruje się ona w szczególności na promowaniu zdrowego stylu życia i zdrowego środowiska. Obejmuje ona następujące obszary: walka z paleniem tytoniu, zapobieganie spożywaniu alkoholu, promowanie zdrowia psychicznego, promowanie zdrowego środowiska i stylu życia, plan oporności na środki przeciwdrobnoustrojowe oraz profilaktyka nowotworów, w tym rozpowszechnianie europejskiego kodeksu walki z rakiem.</w:t>
      </w:r>
    </w:p>
    <w:p w14:paraId="6F8EA95A" w14:textId="45489B71" w:rsidR="006578ED" w:rsidRDefault="00A1618E">
      <w:pPr>
        <w:pStyle w:val="P68B1DB1-Normal4"/>
        <w:spacing w:before="120" w:after="120" w:line="240" w:lineRule="auto"/>
        <w:jc w:val="both"/>
        <w:rPr>
          <w:rFonts w:cs="Times New Roman"/>
          <w:noProof/>
        </w:rPr>
      </w:pPr>
      <w:r>
        <w:rPr>
          <w:noProof/>
        </w:rPr>
        <w:t>Realizacja inwestycji zostanie zakończona do dnia 31 grudnia 20</w:t>
      </w:r>
      <w:r w:rsidRPr="00A1618E">
        <w:rPr>
          <w:noProof/>
          <w:lang w:val="pl-PL"/>
        </w:rPr>
        <w:t>23 r.</w:t>
      </w:r>
    </w:p>
    <w:p w14:paraId="4F03E14C" w14:textId="77777777" w:rsidR="006578ED" w:rsidRDefault="00A1618E">
      <w:pPr>
        <w:pStyle w:val="P68B1DB1-Normal6"/>
        <w:spacing w:before="120" w:after="120" w:line="240" w:lineRule="auto"/>
        <w:jc w:val="both"/>
        <w:rPr>
          <w:rFonts w:cs="Times New Roman"/>
          <w:noProof/>
        </w:rPr>
      </w:pPr>
      <w:r>
        <w:rPr>
          <w:noProof/>
        </w:rPr>
        <w:t>Inwestycje 3 (C18.I3) – Zwiększenie zdolności reagowania na kryzysy zdrowotne</w:t>
      </w:r>
    </w:p>
    <w:p w14:paraId="62E70756" w14:textId="10B7C2C5" w:rsidR="006578ED" w:rsidRDefault="00A1618E">
      <w:pPr>
        <w:pStyle w:val="P68B1DB1-Normal4"/>
        <w:spacing w:before="120" w:after="120" w:line="240" w:lineRule="auto"/>
        <w:jc w:val="both"/>
        <w:rPr>
          <w:rFonts w:cs="Times New Roman"/>
          <w:noProof/>
        </w:rPr>
      </w:pPr>
      <w:r>
        <w:rPr>
          <w:noProof/>
        </w:rPr>
        <w:t>Pandemia uwypukliła potrzebę wzmocnienia zdolności w zakresie nadzoru, wczesnego wykrywania i szybkiego reagowania na sytuacje krytyczne, a także potrzebę wzmocnienia zdolności laboratoriów i instytucji zdrowia publicznego. Inwestycja ta obejmuje szereg działań mających na celu zwiększenie zdolności reagowania na przyszłe kryzysy zdrowotne:</w:t>
      </w:r>
    </w:p>
    <w:p w14:paraId="54114934" w14:textId="77777777" w:rsidR="006578ED" w:rsidRDefault="00A1618E">
      <w:pPr>
        <w:pStyle w:val="P68B1DB1-Normal4"/>
        <w:spacing w:before="120" w:after="120" w:line="240" w:lineRule="auto"/>
        <w:ind w:left="720"/>
        <w:jc w:val="both"/>
        <w:rPr>
          <w:rFonts w:cs="Times New Roman"/>
          <w:noProof/>
        </w:rPr>
      </w:pPr>
      <w:r>
        <w:rPr>
          <w:noProof/>
        </w:rPr>
        <w:t>1. Wyposażenie nowego Państwowego Centrum Zdrowia Publicznego;</w:t>
      </w:r>
    </w:p>
    <w:p w14:paraId="36323D5D" w14:textId="249415F4" w:rsidR="006578ED" w:rsidRDefault="00A1618E">
      <w:pPr>
        <w:pStyle w:val="P68B1DB1-Normal4"/>
        <w:spacing w:before="120" w:after="120" w:line="240" w:lineRule="auto"/>
        <w:ind w:left="720"/>
        <w:jc w:val="both"/>
        <w:rPr>
          <w:rFonts w:cs="Times New Roman"/>
          <w:noProof/>
        </w:rPr>
      </w:pPr>
      <w:r>
        <w:rPr>
          <w:noProof/>
        </w:rPr>
        <w:t>2. System informacji w zakresie nadzoru zdrowia publicznego, który rozszerza, usprawni i integruje istniejące w Hiszpanii systemy informacyjne dotyczące chorób zakaźnych i niezakaźnych;</w:t>
      </w:r>
    </w:p>
    <w:p w14:paraId="4068DAB9" w14:textId="1ABD1EDA" w:rsidR="006578ED" w:rsidRDefault="00A1618E">
      <w:pPr>
        <w:pStyle w:val="P68B1DB1-Normal4"/>
        <w:spacing w:before="120" w:after="120" w:line="240" w:lineRule="auto"/>
        <w:ind w:left="720"/>
        <w:jc w:val="both"/>
        <w:rPr>
          <w:rFonts w:cs="Times New Roman"/>
          <w:noProof/>
        </w:rPr>
      </w:pPr>
      <w:r>
        <w:rPr>
          <w:noProof/>
        </w:rPr>
        <w:t>3. Ukończenie Szpitala Uniwersyteckiego w Melilli i budowa nowego budynku Krajowego Centrum Dozymetrii;</w:t>
      </w:r>
    </w:p>
    <w:p w14:paraId="119BBF0E" w14:textId="659CDC5E" w:rsidR="006578ED" w:rsidRDefault="00A1618E">
      <w:pPr>
        <w:pStyle w:val="P68B1DB1-Normal4"/>
        <w:spacing w:before="120" w:after="120" w:line="240" w:lineRule="auto"/>
        <w:ind w:left="720"/>
        <w:jc w:val="both"/>
        <w:rPr>
          <w:rFonts w:cs="Times New Roman"/>
          <w:noProof/>
        </w:rPr>
      </w:pPr>
      <w:r>
        <w:rPr>
          <w:noProof/>
        </w:rPr>
        <w:t>4. Zwiększenie zdolności laboratorium badawczego w zakresie indywidualnego wyposażenia ochronnego w Krajowym Instytucie Bezpieczeństwa i Ochrony Zdrowia w Pracy;</w:t>
      </w:r>
    </w:p>
    <w:p w14:paraId="1EFD3961" w14:textId="4EBDF077" w:rsidR="006578ED" w:rsidRDefault="00A1618E">
      <w:pPr>
        <w:pStyle w:val="P68B1DB1-Normal4"/>
        <w:spacing w:before="120" w:after="120" w:line="240" w:lineRule="auto"/>
        <w:ind w:left="720"/>
        <w:jc w:val="both"/>
        <w:rPr>
          <w:rFonts w:cs="Times New Roman"/>
          <w:noProof/>
        </w:rPr>
      </w:pPr>
      <w:r>
        <w:rPr>
          <w:noProof/>
        </w:rPr>
        <w:t>5. Wzmocnienie Krajowego Centrum ds. Żywności;</w:t>
      </w:r>
    </w:p>
    <w:p w14:paraId="738F080A" w14:textId="2DD5D068" w:rsidR="006578ED" w:rsidRDefault="00A1618E">
      <w:pPr>
        <w:pStyle w:val="P68B1DB1-Normal4"/>
        <w:spacing w:before="120" w:after="120" w:line="240" w:lineRule="auto"/>
        <w:ind w:left="720"/>
        <w:jc w:val="both"/>
        <w:rPr>
          <w:rFonts w:cs="Times New Roman"/>
          <w:noProof/>
        </w:rPr>
      </w:pPr>
      <w:r>
        <w:rPr>
          <w:noProof/>
        </w:rPr>
        <w:t>6. Inwestycje technologiczne w Agencję Leków i Krajową Organizację ds. Transplantu;</w:t>
      </w:r>
    </w:p>
    <w:p w14:paraId="5134649D" w14:textId="0DFB478E" w:rsidR="006578ED" w:rsidRDefault="00A1618E">
      <w:pPr>
        <w:pStyle w:val="P68B1DB1-Normal4"/>
        <w:spacing w:before="120" w:after="120" w:line="240" w:lineRule="auto"/>
        <w:ind w:left="720"/>
        <w:jc w:val="both"/>
        <w:rPr>
          <w:rFonts w:cs="Times New Roman"/>
          <w:noProof/>
        </w:rPr>
      </w:pPr>
      <w:r>
        <w:rPr>
          <w:noProof/>
        </w:rPr>
        <w:t>7. Assessment of the performance of the National Health System during the pandemic [Ocena funkcjonowania krajowego systemu opieki zdrowotnej w czasie pandemii].</w:t>
      </w:r>
    </w:p>
    <w:p w14:paraId="69794899" w14:textId="06C53022" w:rsidR="006578ED" w:rsidRDefault="00A1618E">
      <w:pPr>
        <w:pStyle w:val="P68B1DB1-Normal4"/>
        <w:spacing w:before="120" w:after="120" w:line="240" w:lineRule="auto"/>
        <w:jc w:val="both"/>
        <w:rPr>
          <w:rFonts w:cs="Times New Roman"/>
          <w:noProof/>
        </w:rPr>
      </w:pPr>
      <w:r>
        <w:rPr>
          <w:noProof/>
        </w:rPr>
        <w:t>Realizacja inwestycji zostanie zakończona do dnia 31 grudnia 20</w:t>
      </w:r>
      <w:r w:rsidRPr="00A1618E">
        <w:rPr>
          <w:noProof/>
          <w:lang w:val="pl-PL"/>
        </w:rPr>
        <w:t>25 r.</w:t>
      </w:r>
      <w:r>
        <w:rPr>
          <w:noProof/>
        </w:rPr>
        <w:t xml:space="preserve"> </w:t>
      </w:r>
    </w:p>
    <w:p w14:paraId="6CE2FA0F" w14:textId="5D081CF2" w:rsidR="006578ED" w:rsidRDefault="00A1618E">
      <w:pPr>
        <w:keepNext/>
        <w:spacing w:before="120" w:after="120" w:line="240" w:lineRule="auto"/>
        <w:jc w:val="both"/>
        <w:rPr>
          <w:rFonts w:ascii="Times New Roman" w:hAnsi="Times New Roman" w:cs="Times New Roman"/>
          <w:noProof/>
          <w:sz w:val="24"/>
          <w:u w:val="single"/>
        </w:rPr>
      </w:pPr>
      <w:r>
        <w:rPr>
          <w:rFonts w:ascii="Times New Roman" w:hAnsi="Times New Roman"/>
          <w:noProof/>
          <w:sz w:val="24"/>
          <w:u w:val="single"/>
        </w:rPr>
        <w:t>Inwestycja 4 (C18.I4) – Szkolenie pracowników służby zdrowia i zasobów w celu dzielenia się wiedzą</w:t>
      </w:r>
      <w:r>
        <w:rPr>
          <w:noProof/>
        </w:rPr>
        <w:t xml:space="preserve"> </w:t>
      </w:r>
      <w:r>
        <w:rPr>
          <w:rFonts w:ascii="Times New Roman" w:hAnsi="Times New Roman"/>
          <w:noProof/>
          <w:sz w:val="24"/>
          <w:u w:val="single"/>
        </w:rPr>
        <w:t>i</w:t>
      </w:r>
      <w:r>
        <w:rPr>
          <w:noProof/>
        </w:rPr>
        <w:t> </w:t>
      </w:r>
      <w:r>
        <w:rPr>
          <w:rFonts w:ascii="Times New Roman" w:hAnsi="Times New Roman"/>
          <w:noProof/>
          <w:sz w:val="24"/>
          <w:u w:val="single"/>
        </w:rPr>
        <w:t>poprawy leczenia pacjentów cierpiących na rzadkie choroby</w:t>
      </w:r>
    </w:p>
    <w:p w14:paraId="5AA0018A" w14:textId="1F9564B7" w:rsidR="006578ED" w:rsidRDefault="00A1618E">
      <w:pPr>
        <w:pStyle w:val="P68B1DB1-Normal4"/>
        <w:keepNext/>
        <w:tabs>
          <w:tab w:val="left" w:pos="1560"/>
        </w:tabs>
        <w:spacing w:before="120" w:after="120" w:line="240" w:lineRule="auto"/>
        <w:jc w:val="both"/>
        <w:rPr>
          <w:rFonts w:cs="Times New Roman"/>
          <w:noProof/>
        </w:rPr>
      </w:pPr>
      <w:r>
        <w:rPr>
          <w:noProof/>
        </w:rPr>
        <w:t xml:space="preserve">Inwestycja ta ma na celu wzmocnienie umiejętności i kompetencji pracowników służby zdrowia, ze szczególnym uwzględnieniem szkoleń związanych z reformami i inwestycjami w ramach tego komponentu hiszpańskiego planu odbudowy i zwiększania odporności. Jego celem jest również promowanie narzędzi umożliwiających pracownikom służby zdrowia dzielenie się wiedzą w celu poprawy koordynacji i jakości opieki zdrowotnej, w tym w obszarach priorytetowych objętych tym komponentem. Ponadto jego celem jest poprawa leczenia pacjentów cierpiących na rzadkie choroby. </w:t>
      </w:r>
    </w:p>
    <w:p w14:paraId="47680125" w14:textId="20C6B3CD" w:rsidR="006578ED" w:rsidRDefault="00A1618E">
      <w:pPr>
        <w:pStyle w:val="P68B1DB1-Normal4"/>
        <w:keepNext/>
        <w:tabs>
          <w:tab w:val="left" w:pos="1560"/>
        </w:tabs>
        <w:spacing w:before="120" w:after="120" w:line="240" w:lineRule="auto"/>
        <w:jc w:val="both"/>
        <w:rPr>
          <w:rFonts w:cs="Times New Roman"/>
          <w:noProof/>
        </w:rPr>
      </w:pPr>
      <w:r>
        <w:rPr>
          <w:noProof/>
        </w:rPr>
        <w:t>Inwestycja obejmuje pięć obszarów:</w:t>
      </w:r>
    </w:p>
    <w:p w14:paraId="7C00C580" w14:textId="1A4D3C7F" w:rsidR="006578ED" w:rsidRDefault="00A1618E">
      <w:pPr>
        <w:pStyle w:val="P68B1DB1-Normal4"/>
        <w:numPr>
          <w:ilvl w:val="0"/>
          <w:numId w:val="131"/>
        </w:numPr>
        <w:spacing w:before="120" w:after="160" w:line="259" w:lineRule="auto"/>
        <w:contextualSpacing/>
        <w:jc w:val="both"/>
        <w:rPr>
          <w:rFonts w:cs="Times New Roman"/>
          <w:noProof/>
        </w:rPr>
      </w:pPr>
      <w:r>
        <w:rPr>
          <w:noProof/>
        </w:rPr>
        <w:t>Kształcenie ustawiczne w następujących dziedzinach: wykorzystanie technologii medycznych i systemów informacyjnych, nadzór nad zdrowiem publicznym i epidemiologią, bezpieczeństwo pacjentów i pracowników, racjonalne wykorzystanie zasobów diagnostycznych i terapeutycznych, wczesne wykrywanie nowotworów, zdrowie psychiczne, zdrowie środowiskowe, zapobieganie czynnikom ryzyka, wczesne wykrywanie przemocy ze względu na płeć, wczesne wykrywanie znęcania się nad dziećmi, bioetyka, opieka po zakończeniu życia, komunikacja kliniczna, medycyna oparta na dowodach, praca zespołowa, metodologia badań, rozwój umiejętności zarządczych osób odpowiedzialnych za ośrodki zdrowia, szkolenie opiekunów specjalistycznych szkoleń zdrowotnych oraz szkolenia dla osób oceniających kształcenie ustawiczne.</w:t>
      </w:r>
    </w:p>
    <w:p w14:paraId="44A5B044" w14:textId="5FDA6D08" w:rsidR="006578ED" w:rsidRDefault="00A1618E">
      <w:pPr>
        <w:pStyle w:val="P68B1DB1-Normal4"/>
        <w:numPr>
          <w:ilvl w:val="0"/>
          <w:numId w:val="131"/>
        </w:numPr>
        <w:spacing w:before="120" w:after="160" w:line="259" w:lineRule="auto"/>
        <w:contextualSpacing/>
        <w:jc w:val="both"/>
        <w:rPr>
          <w:rFonts w:cs="Times New Roman"/>
          <w:noProof/>
        </w:rPr>
      </w:pPr>
      <w:r>
        <w:rPr>
          <w:noProof/>
        </w:rPr>
        <w:t>Ustanowienie systemu oceny i akredytacji nieregulowanych umiejętności nabytych przez pracowników Krajowego Systemu Zdrowia</w:t>
      </w:r>
    </w:p>
    <w:p w14:paraId="69259F98" w14:textId="6C9D3656" w:rsidR="006578ED" w:rsidRDefault="00A1618E">
      <w:pPr>
        <w:pStyle w:val="P68B1DB1-Normal4"/>
        <w:numPr>
          <w:ilvl w:val="0"/>
          <w:numId w:val="131"/>
        </w:numPr>
        <w:spacing w:before="120" w:after="160" w:line="259" w:lineRule="auto"/>
        <w:contextualSpacing/>
        <w:jc w:val="both"/>
        <w:rPr>
          <w:rFonts w:cs="Times New Roman"/>
          <w:noProof/>
        </w:rPr>
      </w:pPr>
      <w:r>
        <w:rPr>
          <w:noProof/>
        </w:rPr>
        <w:t xml:space="preserve">Narzędzia współpracy służące radzeniu sobie z bardzo złożonymi warunkami. </w:t>
      </w:r>
    </w:p>
    <w:p w14:paraId="3A263ED7" w14:textId="79F0B27C" w:rsidR="006578ED" w:rsidRDefault="00A1618E">
      <w:pPr>
        <w:pStyle w:val="P68B1DB1-Normal4"/>
        <w:numPr>
          <w:ilvl w:val="0"/>
          <w:numId w:val="131"/>
        </w:numPr>
        <w:spacing w:before="120" w:after="160" w:line="259" w:lineRule="auto"/>
        <w:contextualSpacing/>
        <w:jc w:val="both"/>
        <w:rPr>
          <w:rFonts w:cs="Times New Roman"/>
          <w:noProof/>
        </w:rPr>
      </w:pPr>
      <w:r>
        <w:rPr>
          <w:noProof/>
        </w:rPr>
        <w:t xml:space="preserve">Opracowanie skomputeryzowanego mapowania w celu wizualizacji wspólnych zasobów i usług w zakresie wczesnej opieki i medycyny genomowej w Hiszpanii. </w:t>
      </w:r>
    </w:p>
    <w:p w14:paraId="68459F49" w14:textId="5343DA48" w:rsidR="006578ED" w:rsidRDefault="00A1618E">
      <w:pPr>
        <w:pStyle w:val="P68B1DB1-Normal4"/>
        <w:numPr>
          <w:ilvl w:val="0"/>
          <w:numId w:val="131"/>
        </w:numPr>
        <w:spacing w:before="120" w:after="160" w:line="259" w:lineRule="auto"/>
        <w:contextualSpacing/>
        <w:jc w:val="both"/>
        <w:rPr>
          <w:rFonts w:cs="Times New Roman"/>
          <w:noProof/>
        </w:rPr>
      </w:pPr>
      <w:r>
        <w:rPr>
          <w:noProof/>
        </w:rPr>
        <w:t>Zakończenie projektów pilotażowych mających na celu wyposażenie krajowego systemu opieki zdrowotnej w interoperacyjne zdolności, infrastrukturę, sprzęt i systemy informatyczne w celu ułatwienia poprawy opieki zdrowotnej pacjentom cierpiącym na rzadkie choroby.</w:t>
      </w:r>
    </w:p>
    <w:p w14:paraId="64290D2A" w14:textId="77777777" w:rsidR="006578ED" w:rsidRDefault="006578ED">
      <w:pPr>
        <w:spacing w:before="120" w:after="160" w:line="259" w:lineRule="auto"/>
        <w:ind w:left="720"/>
        <w:contextualSpacing/>
        <w:jc w:val="both"/>
        <w:rPr>
          <w:rFonts w:ascii="Times New Roman" w:hAnsi="Times New Roman" w:cs="Times New Roman"/>
          <w:noProof/>
          <w:sz w:val="24"/>
        </w:rPr>
      </w:pPr>
    </w:p>
    <w:p w14:paraId="15EAF733" w14:textId="4941AE9C"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r>
        <w:rPr>
          <w:noProof/>
        </w:rPr>
        <w:t xml:space="preserve"> </w:t>
      </w:r>
    </w:p>
    <w:p w14:paraId="721A2B6D" w14:textId="067EC63E" w:rsidR="006578ED" w:rsidRDefault="00A1618E">
      <w:pPr>
        <w:pStyle w:val="P68B1DB1-Normal6"/>
        <w:spacing w:before="120" w:after="120" w:line="240" w:lineRule="auto"/>
        <w:jc w:val="both"/>
        <w:rPr>
          <w:rFonts w:cs="Times New Roman"/>
          <w:noProof/>
        </w:rPr>
      </w:pPr>
      <w:r>
        <w:rPr>
          <w:noProof/>
        </w:rPr>
        <w:t>Inwestycja 5 (C18.I5) – Plan racjonalizacji konsumpcji produktów farmaceutycznych i promowania zrównoważonego rozwoju oraz rozszerzenia zakresu usług genomowych w Narodowym Systemie Zdrowia</w:t>
      </w:r>
    </w:p>
    <w:p w14:paraId="7100F4DF" w14:textId="03641D46" w:rsidR="006578ED" w:rsidRDefault="00A1618E">
      <w:pPr>
        <w:pStyle w:val="P68B1DB1-Normal4"/>
        <w:spacing w:before="120" w:after="120" w:line="240" w:lineRule="auto"/>
        <w:jc w:val="both"/>
        <w:rPr>
          <w:rFonts w:cs="Times New Roman"/>
          <w:noProof/>
        </w:rPr>
      </w:pPr>
      <w:r>
        <w:rPr>
          <w:noProof/>
        </w:rPr>
        <w:t>Inwestycja ta polega na wdrożeniu planu racjonalizacji stosowania leków i wyrobów medycznych. Plan ma na celu osiągnięcie następujących celów:</w:t>
      </w:r>
    </w:p>
    <w:p w14:paraId="4CBF0E04" w14:textId="3F0F3063" w:rsidR="006578ED" w:rsidRDefault="00A1618E">
      <w:pPr>
        <w:pStyle w:val="P68B1DB1-Normal4"/>
        <w:numPr>
          <w:ilvl w:val="0"/>
          <w:numId w:val="132"/>
        </w:numPr>
        <w:spacing w:before="120" w:after="120" w:line="259" w:lineRule="auto"/>
        <w:ind w:left="714" w:hanging="357"/>
        <w:contextualSpacing/>
        <w:jc w:val="both"/>
        <w:rPr>
          <w:rFonts w:cs="Times New Roman"/>
          <w:noProof/>
        </w:rPr>
      </w:pPr>
      <w:r>
        <w:rPr>
          <w:noProof/>
        </w:rPr>
        <w:t>stosowanie produktów medycznych tylko wtedy, gdy jest to konieczne, a w przypadku ich użycia – te, które są najbardziej opłacalne;</w:t>
      </w:r>
    </w:p>
    <w:p w14:paraId="2EB85BAE" w14:textId="1F257714" w:rsidR="006578ED" w:rsidRPr="00A1618E" w:rsidRDefault="00A1618E">
      <w:pPr>
        <w:pStyle w:val="P68B1DB1-Normal4"/>
        <w:numPr>
          <w:ilvl w:val="0"/>
          <w:numId w:val="132"/>
        </w:numPr>
        <w:spacing w:before="120" w:after="120" w:line="259" w:lineRule="auto"/>
        <w:ind w:left="714" w:hanging="357"/>
        <w:contextualSpacing/>
        <w:jc w:val="both"/>
        <w:rPr>
          <w:rFonts w:cs="Times New Roman"/>
          <w:noProof/>
          <w:lang w:val="pl-PL"/>
        </w:rPr>
      </w:pPr>
      <w:r>
        <w:rPr>
          <w:noProof/>
        </w:rPr>
        <w:t>ograniczenie polifarmacji (ponad pięć leków) i niepotrzebnego stosowania leków</w:t>
      </w:r>
      <w:r w:rsidRPr="00A1618E">
        <w:rPr>
          <w:noProof/>
          <w:lang w:val="pl-PL"/>
        </w:rPr>
        <w:t xml:space="preserve">; </w:t>
      </w:r>
    </w:p>
    <w:p w14:paraId="6B0DB5E6" w14:textId="13254124" w:rsidR="006578ED" w:rsidRDefault="00A1618E">
      <w:pPr>
        <w:pStyle w:val="P68B1DB1-Normal4"/>
        <w:numPr>
          <w:ilvl w:val="0"/>
          <w:numId w:val="132"/>
        </w:numPr>
        <w:spacing w:before="120" w:after="120" w:line="259" w:lineRule="auto"/>
        <w:ind w:left="714" w:hanging="357"/>
        <w:contextualSpacing/>
        <w:jc w:val="both"/>
        <w:rPr>
          <w:rFonts w:cs="Times New Roman"/>
          <w:noProof/>
        </w:rPr>
      </w:pPr>
      <w:r>
        <w:rPr>
          <w:noProof/>
        </w:rPr>
        <w:t>zmniejszenie niepewności klinicznej związanej z nowymi lekami poprzez zwiększenie wiedzy naukowej, poprawę dostępności informacji i zmniejszenie niepewności finansowej.</w:t>
      </w:r>
    </w:p>
    <w:p w14:paraId="0DB07811" w14:textId="27B2974C" w:rsidR="006578ED" w:rsidRDefault="00A1618E">
      <w:pPr>
        <w:pStyle w:val="P68B1DB1-ListParagraph7"/>
        <w:numPr>
          <w:ilvl w:val="0"/>
          <w:numId w:val="132"/>
        </w:numPr>
        <w:spacing w:before="120" w:after="120"/>
        <w:ind w:left="714" w:hanging="357"/>
        <w:jc w:val="both"/>
        <w:rPr>
          <w:rFonts w:cs="Times New Roman"/>
          <w:noProof/>
        </w:rPr>
      </w:pPr>
      <w:r>
        <w:rPr>
          <w:noProof/>
        </w:rPr>
        <w:t>rozszerzenie zakresu usług genomowych w ramach krajowego systemu opieki zdrowotnej</w:t>
      </w:r>
    </w:p>
    <w:p w14:paraId="45FAD8ED" w14:textId="47D208D7" w:rsidR="006578ED" w:rsidRDefault="00A1618E">
      <w:pPr>
        <w:pStyle w:val="P68B1DB1-Normal4"/>
        <w:spacing w:before="120" w:after="120" w:line="240" w:lineRule="auto"/>
        <w:jc w:val="both"/>
        <w:rPr>
          <w:rFonts w:cs="Times New Roman"/>
          <w:noProof/>
        </w:rPr>
      </w:pPr>
      <w:r>
        <w:rPr>
          <w:noProof/>
        </w:rPr>
        <w:t>Plan obejmuje utworzenie lub dalszy rozwój trzech systemów w celu poprawy oceny leków i technologii medycznych w Hiszpanii:</w:t>
      </w:r>
    </w:p>
    <w:p w14:paraId="4360D124" w14:textId="7E8061C2" w:rsidR="006578ED" w:rsidRDefault="00A1618E">
      <w:pPr>
        <w:pStyle w:val="P68B1DB1-Normal4"/>
        <w:numPr>
          <w:ilvl w:val="0"/>
          <w:numId w:val="134"/>
        </w:numPr>
        <w:spacing w:before="120" w:after="160" w:line="259" w:lineRule="auto"/>
        <w:contextualSpacing/>
        <w:jc w:val="both"/>
        <w:rPr>
          <w:rFonts w:cs="Times New Roman"/>
          <w:noProof/>
        </w:rPr>
      </w:pPr>
      <w:r>
        <w:rPr>
          <w:noProof/>
        </w:rPr>
        <w:t>Utworzenie sieci ds. oceny leków w krajowym systemie opieki zdrowotnej: Zostanie opracowana platforma technologiczna służąca do zarządzania sprawozdaniami z oceny i pozycjonowania leków (które analizują wartość dodaną nowych leków na podstawie ich opłacalności) i dzielić się nimi na różnych etapach ich opracowywania.</w:t>
      </w:r>
    </w:p>
    <w:p w14:paraId="74443222" w14:textId="4DE19B42" w:rsidR="006578ED" w:rsidRDefault="00A1618E">
      <w:pPr>
        <w:pStyle w:val="P68B1DB1-Normal4"/>
        <w:numPr>
          <w:ilvl w:val="0"/>
          <w:numId w:val="134"/>
        </w:numPr>
        <w:spacing w:before="120" w:after="160" w:line="259" w:lineRule="auto"/>
        <w:contextualSpacing/>
        <w:jc w:val="both"/>
        <w:rPr>
          <w:rFonts w:cs="Times New Roman"/>
          <w:noProof/>
        </w:rPr>
      </w:pPr>
      <w:r>
        <w:rPr>
          <w:noProof/>
        </w:rPr>
        <w:t>Rozbudowa systemu leków o dużym oddziaływaniu (Valtermed). Narzędzie to opiera się na rejestrze danych administracyjnych, klinicznych i terapeutycznych w celu śledzenia i analizy początkowego statusu i ewolucji pacjentów po rozpoczęciu leczenia farmakologicznego. Cel tego nowego narzędzia jest zintegrowany z systemami informacyjnymi wspólnot autonomicznych i obejmuje informacje dotyczące wpływu leków na jakość życia pacjentów.</w:t>
      </w:r>
    </w:p>
    <w:p w14:paraId="77443D4E" w14:textId="43679817" w:rsidR="006578ED" w:rsidRDefault="00A1618E">
      <w:pPr>
        <w:pStyle w:val="P68B1DB1-Normal4"/>
        <w:numPr>
          <w:ilvl w:val="0"/>
          <w:numId w:val="134"/>
        </w:numPr>
        <w:spacing w:before="120" w:after="160" w:line="240" w:lineRule="auto"/>
        <w:contextualSpacing/>
        <w:jc w:val="both"/>
        <w:rPr>
          <w:rFonts w:cs="Times New Roman"/>
          <w:noProof/>
        </w:rPr>
      </w:pPr>
      <w:r>
        <w:rPr>
          <w:noProof/>
        </w:rPr>
        <w:t>Utworzenie Hiszpańskiej Sieci Technologii i Opieki Zdrowotnej (REDETS). Sieć ta odgrywa kluczową rolę w zapewnianiu doradztwa naukowego i technicznego w procesie podejmowania decyzji w sprawie włączenia technologii i usług medycznych do finansowania publicznego. Platforma technologiczna umożliwia zarządzanie różnymi produktami REDETS i ich wymianę między agencjami/jednostkami sieci na różnych etapach rozwoju, a także monitorowanie przestrzegania terminów określonych dla każdego z etapów.</w:t>
      </w:r>
    </w:p>
    <w:p w14:paraId="26438FF8" w14:textId="44C6914A" w:rsidR="006578ED" w:rsidRDefault="00A1618E">
      <w:pPr>
        <w:spacing w:before="120" w:after="120" w:line="240" w:lineRule="auto"/>
        <w:contextualSpacing/>
        <w:jc w:val="both"/>
        <w:rPr>
          <w:rFonts w:ascii="Times New Roman" w:hAnsi="Times New Roman" w:cs="Times New Roman"/>
          <w:noProof/>
          <w:sz w:val="24"/>
        </w:rPr>
      </w:pPr>
      <w:r>
        <w:rPr>
          <w:rFonts w:ascii="Times New Roman" w:hAnsi="Times New Roman"/>
          <w:noProof/>
          <w:sz w:val="24"/>
        </w:rPr>
        <w:t>Inwestycja obejmuje projekty związane z: promowanie stosowania leków generycznych i biopodobnych, rozwój i modernizacja usług i produktów ortopedycznych i protetycznych, szkolenie pracowników służby zdrowia w zakresie racjonalnego stosowania leków oraz rozwiązania stymulujące innowacje w zakresie produktów leczniczych.</w:t>
      </w:r>
    </w:p>
    <w:p w14:paraId="08F6D3F2" w14:textId="588A5D78" w:rsidR="006578ED" w:rsidRDefault="00A1618E">
      <w:pPr>
        <w:pStyle w:val="ListParagraph"/>
        <w:spacing w:before="120" w:after="120" w:line="240" w:lineRule="auto"/>
        <w:ind w:left="0"/>
        <w:jc w:val="both"/>
        <w:rPr>
          <w:rFonts w:ascii="Times New Roman" w:hAnsi="Times New Roman" w:cs="Times New Roman"/>
          <w:noProof/>
          <w:sz w:val="24"/>
        </w:rPr>
      </w:pPr>
      <w:r>
        <w:rPr>
          <w:rFonts w:ascii="Times New Roman" w:hAnsi="Times New Roman"/>
          <w:noProof/>
          <w:sz w:val="24"/>
        </w:rPr>
        <w:t>Inwestycja ma</w:t>
      </w:r>
      <w:r>
        <w:rPr>
          <w:noProof/>
        </w:rPr>
        <w:t xml:space="preserve"> </w:t>
      </w:r>
      <w:r>
        <w:rPr>
          <w:rFonts w:ascii="Times New Roman" w:hAnsi="Times New Roman"/>
          <w:noProof/>
          <w:sz w:val="24"/>
        </w:rPr>
        <w:t xml:space="preserve">również na celu rozszerzenie katalogu badań genetycznych Narodowego Systemu Zdrowia poprzez zakup niezbędnego sprzętu oraz stworzenie systemu informacyjnego w celu integracji informacji genomowych na poziomie krajowym. </w:t>
      </w:r>
    </w:p>
    <w:p w14:paraId="002D9CE5" w14:textId="77777777" w:rsidR="006578ED" w:rsidRDefault="006578ED">
      <w:pPr>
        <w:pStyle w:val="ListParagraph"/>
        <w:spacing w:before="120" w:after="120" w:line="240" w:lineRule="auto"/>
        <w:ind w:left="0"/>
        <w:jc w:val="both"/>
        <w:rPr>
          <w:rFonts w:ascii="Times New Roman" w:hAnsi="Times New Roman" w:cs="Times New Roman"/>
          <w:noProof/>
          <w:sz w:val="24"/>
        </w:rPr>
      </w:pPr>
    </w:p>
    <w:p w14:paraId="70E8B695" w14:textId="2E3A68C0" w:rsidR="006578ED" w:rsidRDefault="00A1618E">
      <w:pPr>
        <w:pStyle w:val="P68B1DB1-ListParagraph7"/>
        <w:spacing w:before="120" w:after="120" w:line="240" w:lineRule="auto"/>
        <w:ind w:left="0"/>
        <w:jc w:val="both"/>
        <w:rPr>
          <w:rFonts w:cs="Times New Roman"/>
          <w:noProof/>
        </w:rPr>
      </w:pPr>
      <w:r>
        <w:rPr>
          <w:noProof/>
        </w:rPr>
        <w:t>Realizacja inwestycji zakończy się do dnia 30 czerwca 20</w:t>
      </w:r>
      <w:r w:rsidRPr="00A1618E">
        <w:rPr>
          <w:noProof/>
          <w:lang w:val="pl-PL"/>
        </w:rPr>
        <w:t>26 r.</w:t>
      </w:r>
    </w:p>
    <w:p w14:paraId="2AB17794" w14:textId="77777777" w:rsidR="006578ED" w:rsidRDefault="00A1618E">
      <w:pPr>
        <w:pStyle w:val="P68B1DB1-Normal6"/>
        <w:spacing w:before="120" w:after="120" w:line="240" w:lineRule="auto"/>
        <w:jc w:val="both"/>
        <w:rPr>
          <w:rFonts w:cs="Times New Roman"/>
          <w:noProof/>
        </w:rPr>
      </w:pPr>
      <w:r>
        <w:rPr>
          <w:noProof/>
        </w:rPr>
        <w:t>Inwestycja 6 (C18.I6) – jezioro danych dotyczących zdrowia</w:t>
      </w:r>
    </w:p>
    <w:p w14:paraId="75453DF5" w14:textId="267D0833" w:rsidR="006578ED" w:rsidRDefault="00A1618E">
      <w:pPr>
        <w:pStyle w:val="P68B1DB1-Normal4"/>
        <w:spacing w:before="120" w:after="120" w:line="240" w:lineRule="auto"/>
        <w:jc w:val="both"/>
        <w:rPr>
          <w:rFonts w:cs="Times New Roman"/>
          <w:noProof/>
        </w:rPr>
      </w:pPr>
      <w:r>
        <w:rPr>
          <w:noProof/>
        </w:rPr>
        <w:t>Inwestycja ta polega na utworzeniu jeziora danych dotyczących zdrowia, gromadzącego informacje z różnych systemów informacyjnych, w tym systemów regionalnych, w celu ułatwienia masowej analizy w czasie rzeczywistym w celu wsparcia i poprawy diagnostyki i leczenia, identyfikacji czynników ryzyka, analizy tendencji, identyfikacji wzorców, przewidywania sytuacji ryzyka dla zdrowia oraz programowania zasobów na potrzeby radzenia sobie z nimi, w tym z wykorzystaniem algorytmów sztucznej inteligencji, a także nowych skalowalnych struktur systemu i nowych narzędzi przetwarzania i identyfikacji modeli.</w:t>
      </w:r>
    </w:p>
    <w:p w14:paraId="7C66CDFF" w14:textId="2951DF99" w:rsidR="006578ED" w:rsidRDefault="00A1618E">
      <w:pPr>
        <w:pStyle w:val="P68B1DB1-Normal4"/>
        <w:spacing w:before="120" w:after="120" w:line="240" w:lineRule="auto"/>
        <w:jc w:val="both"/>
        <w:rPr>
          <w:rFonts w:cs="Times New Roman"/>
          <w:noProof/>
        </w:rPr>
      </w:pPr>
      <w:r>
        <w:rPr>
          <w:noProof/>
        </w:rPr>
        <w:t>Realizacja inwestycji zostanie zakończona do dnia 31 grudnia 20</w:t>
      </w:r>
      <w:r w:rsidRPr="00A1618E">
        <w:rPr>
          <w:noProof/>
          <w:lang w:val="pl-PL"/>
        </w:rPr>
        <w:t>25 r.</w:t>
      </w:r>
    </w:p>
    <w:p w14:paraId="0EF9A25B" w14:textId="48E26C9D" w:rsidR="006578ED" w:rsidRDefault="00A1618E">
      <w:pPr>
        <w:pStyle w:val="P68B1DB1-Normal5"/>
        <w:spacing w:before="120" w:after="120" w:line="240" w:lineRule="auto"/>
        <w:ind w:left="709"/>
        <w:jc w:val="both"/>
        <w:rPr>
          <w:rFonts w:cs="Times New Roman"/>
          <w:noProof/>
        </w:rPr>
      </w:pPr>
      <w:r>
        <w:rPr>
          <w:noProof/>
        </w:rPr>
        <w:t xml:space="preserve">R.2. </w:t>
      </w:r>
      <w:r>
        <w:rPr>
          <w:noProof/>
        </w:rPr>
        <w:tab/>
        <w:t>Kamienie milowe, wartości docelowe, wskaźniki i harmonogram monitorowania i realizacji na potrzeby bezzwrotnego wsparcia finansowego</w:t>
      </w:r>
    </w:p>
    <w:p w14:paraId="19D63422" w14:textId="7AA4426F"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499AC33C" w14:textId="77777777" w:rsidR="006578ED" w:rsidRDefault="006578ED">
      <w:pPr>
        <w:spacing w:before="120" w:after="120" w:line="240" w:lineRule="auto"/>
        <w:jc w:val="both"/>
        <w:rPr>
          <w:rFonts w:ascii="Times New Roman" w:hAnsi="Times New Roman" w:cs="Times New Roman"/>
          <w:noProof/>
          <w:sz w:val="24"/>
        </w:rPr>
        <w:sectPr w:rsidR="006578ED" w:rsidSect="00C94F66">
          <w:headerReference w:type="even" r:id="rId375"/>
          <w:headerReference w:type="default" r:id="rId376"/>
          <w:footerReference w:type="even" r:id="rId377"/>
          <w:footerReference w:type="default" r:id="rId378"/>
          <w:headerReference w:type="first" r:id="rId379"/>
          <w:footerReference w:type="first" r:id="rId380"/>
          <w:pgSz w:w="11907" w:h="16839"/>
          <w:pgMar w:top="1134" w:right="1417" w:bottom="1134" w:left="1417" w:header="709" w:footer="709" w:gutter="0"/>
          <w:cols w:space="720"/>
          <w:docGrid w:linePitch="360"/>
        </w:sectPr>
      </w:pPr>
    </w:p>
    <w:tbl>
      <w:tblPr>
        <w:tblW w:w="15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8"/>
        <w:gridCol w:w="850"/>
        <w:gridCol w:w="836"/>
        <w:gridCol w:w="2812"/>
        <w:gridCol w:w="1276"/>
        <w:gridCol w:w="709"/>
        <w:gridCol w:w="567"/>
        <w:gridCol w:w="567"/>
        <w:gridCol w:w="567"/>
        <w:gridCol w:w="567"/>
        <w:gridCol w:w="5679"/>
      </w:tblGrid>
      <w:tr w:rsidR="006578ED" w14:paraId="62D43E99" w14:textId="77777777">
        <w:trPr>
          <w:trHeight w:val="309"/>
          <w:tblHeader/>
        </w:trPr>
        <w:tc>
          <w:tcPr>
            <w:tcW w:w="708" w:type="dxa"/>
            <w:tcBorders>
              <w:bottom w:val="nil"/>
            </w:tcBorders>
            <w:shd w:val="clear" w:color="auto" w:fill="C6D9F1" w:themeFill="text2" w:themeFillTint="33"/>
            <w:noWrap/>
          </w:tcPr>
          <w:p w14:paraId="5140A831" w14:textId="4C2C83B0" w:rsidR="006578ED" w:rsidRDefault="00A1618E">
            <w:pPr>
              <w:pStyle w:val="P68B1DB1-Normal12"/>
              <w:spacing w:after="0" w:line="240" w:lineRule="auto"/>
              <w:jc w:val="center"/>
              <w:rPr>
                <w:rFonts w:cs="Times New Roman"/>
                <w:noProof/>
              </w:rPr>
            </w:pPr>
            <w:r>
              <w:rPr>
                <w:noProof/>
              </w:rPr>
              <w:t>Liczba</w:t>
            </w:r>
          </w:p>
        </w:tc>
        <w:tc>
          <w:tcPr>
            <w:tcW w:w="850" w:type="dxa"/>
            <w:tcBorders>
              <w:bottom w:val="nil"/>
            </w:tcBorders>
            <w:shd w:val="clear" w:color="auto" w:fill="C6D9F1" w:themeFill="text2" w:themeFillTint="33"/>
            <w:noWrap/>
          </w:tcPr>
          <w:p w14:paraId="38814002" w14:textId="62C4C95B" w:rsidR="006578ED" w:rsidRDefault="00A1618E">
            <w:pPr>
              <w:pStyle w:val="P68B1DB1-Normal12"/>
              <w:spacing w:after="0" w:line="240" w:lineRule="auto"/>
              <w:jc w:val="center"/>
              <w:rPr>
                <w:rFonts w:cs="Times New Roman"/>
                <w:noProof/>
              </w:rPr>
            </w:pPr>
            <w:r>
              <w:rPr>
                <w:noProof/>
              </w:rPr>
              <w:t>Środek</w:t>
            </w:r>
          </w:p>
        </w:tc>
        <w:tc>
          <w:tcPr>
            <w:tcW w:w="836" w:type="dxa"/>
            <w:tcBorders>
              <w:bottom w:val="nil"/>
            </w:tcBorders>
            <w:shd w:val="clear" w:color="auto" w:fill="C6D9F1" w:themeFill="text2" w:themeFillTint="33"/>
            <w:noWrap/>
          </w:tcPr>
          <w:p w14:paraId="51816F42" w14:textId="5BB027B6"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812" w:type="dxa"/>
            <w:tcBorders>
              <w:bottom w:val="nil"/>
            </w:tcBorders>
            <w:shd w:val="clear" w:color="auto" w:fill="C6D9F1" w:themeFill="text2" w:themeFillTint="33"/>
            <w:noWrap/>
          </w:tcPr>
          <w:p w14:paraId="6D960B58" w14:textId="32BD70F2" w:rsidR="006578ED" w:rsidRDefault="00A1618E">
            <w:pPr>
              <w:pStyle w:val="P68B1DB1-Normal12"/>
              <w:spacing w:after="0" w:line="240" w:lineRule="auto"/>
              <w:jc w:val="center"/>
              <w:rPr>
                <w:rFonts w:cs="Times New Roman"/>
                <w:noProof/>
              </w:rPr>
            </w:pPr>
            <w:r>
              <w:rPr>
                <w:noProof/>
              </w:rPr>
              <w:t>Nazwa</w:t>
            </w:r>
          </w:p>
        </w:tc>
        <w:tc>
          <w:tcPr>
            <w:tcW w:w="1276" w:type="dxa"/>
            <w:tcBorders>
              <w:bottom w:val="nil"/>
            </w:tcBorders>
            <w:shd w:val="clear" w:color="auto" w:fill="C6D9F1" w:themeFill="text2" w:themeFillTint="33"/>
            <w:noWrap/>
          </w:tcPr>
          <w:p w14:paraId="303E1D0A" w14:textId="28A2C36A" w:rsidR="006578ED" w:rsidRDefault="00A1618E">
            <w:pPr>
              <w:pStyle w:val="P68B1DB1-Normal12"/>
              <w:spacing w:after="0" w:line="240" w:lineRule="auto"/>
              <w:jc w:val="center"/>
              <w:rPr>
                <w:rFonts w:cs="Times New Roman"/>
                <w:noProof/>
              </w:rPr>
            </w:pPr>
            <w:r>
              <w:rPr>
                <w:noProof/>
              </w:rPr>
              <w:t>Wskaźnik jakościowy dla celów pośrednich</w:t>
            </w:r>
          </w:p>
        </w:tc>
        <w:tc>
          <w:tcPr>
            <w:tcW w:w="1843" w:type="dxa"/>
            <w:gridSpan w:val="3"/>
            <w:shd w:val="clear" w:color="auto" w:fill="C6D9F1" w:themeFill="text2" w:themeFillTint="33"/>
            <w:noWrap/>
          </w:tcPr>
          <w:p w14:paraId="59ECDC07" w14:textId="072F88A3" w:rsidR="006578ED" w:rsidRDefault="00A1618E">
            <w:pPr>
              <w:pStyle w:val="P68B1DB1-Normal12"/>
              <w:spacing w:after="0" w:line="240" w:lineRule="auto"/>
              <w:jc w:val="center"/>
              <w:rPr>
                <w:rFonts w:cs="Times New Roman"/>
                <w:noProof/>
              </w:rPr>
            </w:pPr>
            <w:r>
              <w:rPr>
                <w:noProof/>
              </w:rPr>
              <w:t>Wskaźnik ilościowy dla celu</w:t>
            </w:r>
          </w:p>
        </w:tc>
        <w:tc>
          <w:tcPr>
            <w:tcW w:w="1134" w:type="dxa"/>
            <w:gridSpan w:val="2"/>
            <w:shd w:val="clear" w:color="auto" w:fill="C6D9F1" w:themeFill="text2" w:themeFillTint="33"/>
            <w:noWrap/>
          </w:tcPr>
          <w:p w14:paraId="6EC1D8C0" w14:textId="4599817F" w:rsidR="006578ED" w:rsidRDefault="00A1618E">
            <w:pPr>
              <w:pStyle w:val="P68B1DB1-Normal12"/>
              <w:spacing w:after="0" w:line="240" w:lineRule="auto"/>
              <w:jc w:val="center"/>
              <w:rPr>
                <w:rFonts w:cs="Times New Roman"/>
                <w:noProof/>
              </w:rPr>
            </w:pPr>
            <w:r>
              <w:rPr>
                <w:noProof/>
              </w:rPr>
              <w:t>Czas</w:t>
            </w:r>
          </w:p>
        </w:tc>
        <w:tc>
          <w:tcPr>
            <w:tcW w:w="5679" w:type="dxa"/>
            <w:tcBorders>
              <w:bottom w:val="nil"/>
            </w:tcBorders>
            <w:shd w:val="clear" w:color="auto" w:fill="C6D9F1" w:themeFill="text2" w:themeFillTint="33"/>
            <w:noWrap/>
          </w:tcPr>
          <w:p w14:paraId="1DA52048" w14:textId="2244546C"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612D5620" w14:textId="77777777">
        <w:trPr>
          <w:trHeight w:val="309"/>
          <w:tblHeader/>
        </w:trPr>
        <w:tc>
          <w:tcPr>
            <w:tcW w:w="708" w:type="dxa"/>
            <w:tcBorders>
              <w:top w:val="nil"/>
              <w:left w:val="single" w:sz="4" w:space="0" w:color="auto"/>
              <w:bottom w:val="single" w:sz="4" w:space="0" w:color="auto"/>
              <w:right w:val="single" w:sz="4" w:space="0" w:color="auto"/>
            </w:tcBorders>
            <w:shd w:val="clear" w:color="auto" w:fill="C6D9F1" w:themeFill="text2" w:themeFillTint="33"/>
            <w:noWrap/>
          </w:tcPr>
          <w:p w14:paraId="037268A0"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left w:val="single" w:sz="4" w:space="0" w:color="auto"/>
              <w:bottom w:val="single" w:sz="4" w:space="0" w:color="auto"/>
              <w:right w:val="single" w:sz="4" w:space="0" w:color="auto"/>
            </w:tcBorders>
            <w:shd w:val="clear" w:color="auto" w:fill="C6D9F1" w:themeFill="text2" w:themeFillTint="33"/>
            <w:noWrap/>
          </w:tcPr>
          <w:p w14:paraId="57246AF6" w14:textId="77777777" w:rsidR="006578ED" w:rsidRDefault="006578ED">
            <w:pPr>
              <w:spacing w:after="0" w:line="240" w:lineRule="auto"/>
              <w:jc w:val="center"/>
              <w:rPr>
                <w:rFonts w:ascii="Times New Roman" w:hAnsi="Times New Roman" w:cs="Times New Roman"/>
                <w:b/>
                <w:noProof/>
                <w:sz w:val="18"/>
              </w:rPr>
            </w:pPr>
          </w:p>
        </w:tc>
        <w:tc>
          <w:tcPr>
            <w:tcW w:w="836" w:type="dxa"/>
            <w:tcBorders>
              <w:top w:val="nil"/>
              <w:left w:val="single" w:sz="4" w:space="0" w:color="auto"/>
              <w:bottom w:val="single" w:sz="4" w:space="0" w:color="auto"/>
              <w:right w:val="single" w:sz="4" w:space="0" w:color="auto"/>
            </w:tcBorders>
            <w:shd w:val="clear" w:color="auto" w:fill="C6D9F1" w:themeFill="text2" w:themeFillTint="33"/>
            <w:noWrap/>
          </w:tcPr>
          <w:p w14:paraId="2B2838FC" w14:textId="77777777" w:rsidR="006578ED" w:rsidRDefault="006578ED">
            <w:pPr>
              <w:spacing w:after="0" w:line="240" w:lineRule="auto"/>
              <w:jc w:val="center"/>
              <w:rPr>
                <w:rFonts w:ascii="Times New Roman" w:hAnsi="Times New Roman" w:cs="Times New Roman"/>
                <w:b/>
                <w:noProof/>
                <w:sz w:val="18"/>
              </w:rPr>
            </w:pPr>
          </w:p>
        </w:tc>
        <w:tc>
          <w:tcPr>
            <w:tcW w:w="2812" w:type="dxa"/>
            <w:tcBorders>
              <w:top w:val="nil"/>
              <w:left w:val="single" w:sz="4" w:space="0" w:color="auto"/>
              <w:bottom w:val="single" w:sz="4" w:space="0" w:color="auto"/>
              <w:right w:val="single" w:sz="4" w:space="0" w:color="auto"/>
            </w:tcBorders>
            <w:shd w:val="clear" w:color="auto" w:fill="C6D9F1" w:themeFill="text2" w:themeFillTint="33"/>
            <w:noWrap/>
          </w:tcPr>
          <w:p w14:paraId="411ED850" w14:textId="77777777" w:rsidR="006578ED" w:rsidRDefault="006578ED">
            <w:pPr>
              <w:spacing w:after="0" w:line="240" w:lineRule="auto"/>
              <w:rPr>
                <w:rFonts w:ascii="Times New Roman" w:hAnsi="Times New Roman" w:cs="Times New Roman"/>
                <w:b/>
                <w:noProof/>
                <w:sz w:val="18"/>
              </w:rPr>
            </w:pPr>
          </w:p>
        </w:tc>
        <w:tc>
          <w:tcPr>
            <w:tcW w:w="1276" w:type="dxa"/>
            <w:tcBorders>
              <w:top w:val="nil"/>
              <w:left w:val="single" w:sz="4" w:space="0" w:color="auto"/>
              <w:bottom w:val="single" w:sz="4" w:space="0" w:color="auto"/>
              <w:right w:val="single" w:sz="4" w:space="0" w:color="auto"/>
            </w:tcBorders>
            <w:shd w:val="clear" w:color="auto" w:fill="C6D9F1" w:themeFill="text2" w:themeFillTint="33"/>
            <w:noWrap/>
          </w:tcPr>
          <w:p w14:paraId="575D5AD0" w14:textId="77777777" w:rsidR="006578ED" w:rsidRDefault="006578ED">
            <w:pPr>
              <w:spacing w:after="0" w:line="240" w:lineRule="auto"/>
              <w:jc w:val="center"/>
              <w:rPr>
                <w:rFonts w:ascii="Times New Roman" w:hAnsi="Times New Roman" w:cs="Times New Roman"/>
                <w:b/>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371D107" w14:textId="6BF2D757" w:rsidR="006578ED" w:rsidRDefault="00A1618E">
            <w:pPr>
              <w:pStyle w:val="P68B1DB1-Normal12"/>
              <w:spacing w:after="0" w:line="240" w:lineRule="auto"/>
              <w:jc w:val="center"/>
              <w:rPr>
                <w:rFonts w:cs="Times New Roman"/>
                <w:noProof/>
              </w:rPr>
            </w:pPr>
            <w:r>
              <w:rPr>
                <w:noProof/>
              </w:rPr>
              <w:t>Jednostka</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306CCFDD" w14:textId="5E3C1B97" w:rsidR="006578ED" w:rsidRDefault="00A1618E">
            <w:pPr>
              <w:pStyle w:val="P68B1DB1-Normal12"/>
              <w:spacing w:after="0" w:line="240" w:lineRule="auto"/>
              <w:jc w:val="center"/>
              <w:rPr>
                <w:rFonts w:cs="Times New Roman"/>
                <w:noProof/>
              </w:rPr>
            </w:pPr>
            <w:r>
              <w:rPr>
                <w:noProof/>
              </w:rPr>
              <w:t>Wartość wyjściowa</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596F0E5A" w14:textId="42FB5AC7" w:rsidR="006578ED" w:rsidRDefault="00A1618E">
            <w:pPr>
              <w:pStyle w:val="P68B1DB1-Normal12"/>
              <w:spacing w:after="0" w:line="240" w:lineRule="auto"/>
              <w:jc w:val="center"/>
              <w:rPr>
                <w:rFonts w:cs="Times New Roman"/>
                <w:noProof/>
              </w:rPr>
            </w:pPr>
            <w:r>
              <w:rPr>
                <w:noProof/>
              </w:rPr>
              <w:t>Cel</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14866DF6" w14:textId="3FD665DA" w:rsidR="006578ED" w:rsidRDefault="006578ED">
            <w:pPr>
              <w:spacing w:after="0" w:line="240" w:lineRule="auto"/>
              <w:jc w:val="center"/>
              <w:rPr>
                <w:rFonts w:ascii="Times New Roman" w:hAnsi="Times New Roman" w:cs="Times New Roman"/>
                <w:b/>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14:paraId="043532FD" w14:textId="1F0E22B5" w:rsidR="006578ED" w:rsidRDefault="006578ED">
            <w:pPr>
              <w:spacing w:after="0" w:line="240" w:lineRule="auto"/>
              <w:jc w:val="center"/>
              <w:rPr>
                <w:rFonts w:ascii="Times New Roman" w:hAnsi="Times New Roman" w:cs="Times New Roman"/>
                <w:b/>
                <w:noProof/>
                <w:sz w:val="18"/>
              </w:rPr>
            </w:pPr>
          </w:p>
        </w:tc>
        <w:tc>
          <w:tcPr>
            <w:tcW w:w="5679" w:type="dxa"/>
            <w:tcBorders>
              <w:top w:val="nil"/>
              <w:left w:val="single" w:sz="4" w:space="0" w:color="auto"/>
              <w:bottom w:val="single" w:sz="4" w:space="0" w:color="auto"/>
              <w:right w:val="single" w:sz="4" w:space="0" w:color="auto"/>
            </w:tcBorders>
            <w:shd w:val="clear" w:color="auto" w:fill="C6D9F1" w:themeFill="text2" w:themeFillTint="33"/>
            <w:noWrap/>
          </w:tcPr>
          <w:p w14:paraId="07F1C55E" w14:textId="77777777" w:rsidR="006578ED" w:rsidRDefault="006578ED">
            <w:pPr>
              <w:spacing w:after="0" w:line="240" w:lineRule="auto"/>
              <w:rPr>
                <w:rFonts w:ascii="Times New Roman" w:hAnsi="Times New Roman" w:cs="Times New Roman"/>
                <w:b/>
                <w:noProof/>
                <w:sz w:val="18"/>
              </w:rPr>
            </w:pPr>
          </w:p>
        </w:tc>
      </w:tr>
      <w:tr w:rsidR="006578ED" w14:paraId="16052931"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34E058F" w14:textId="77777777" w:rsidR="006578ED" w:rsidRDefault="00A1618E">
            <w:pPr>
              <w:pStyle w:val="P68B1DB1-Normal13"/>
              <w:spacing w:after="0" w:line="240" w:lineRule="auto"/>
              <w:jc w:val="center"/>
              <w:rPr>
                <w:rFonts w:eastAsia="Times New Roman" w:cs="Times New Roman"/>
                <w:noProof/>
              </w:rPr>
            </w:pPr>
            <w:r>
              <w:rPr>
                <w:noProof/>
              </w:rPr>
              <w:t>273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3380310" w14:textId="77777777" w:rsidR="006578ED" w:rsidRDefault="00A1618E">
            <w:pPr>
              <w:pStyle w:val="P68B1DB1-Normal13"/>
              <w:spacing w:after="0" w:line="240" w:lineRule="auto"/>
              <w:jc w:val="center"/>
              <w:rPr>
                <w:rFonts w:eastAsia="Times New Roman" w:cs="Times New Roman"/>
                <w:noProof/>
              </w:rPr>
            </w:pPr>
            <w:r>
              <w:rPr>
                <w:noProof/>
              </w:rPr>
              <w:t>C18.R1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6DA3490" w14:textId="3A62F308" w:rsidR="006578ED" w:rsidRDefault="00AF6B91">
            <w:pPr>
              <w:pStyle w:val="P68B1DB1-Normal13"/>
              <w:spacing w:after="0" w:line="240" w:lineRule="auto"/>
              <w:jc w:val="center"/>
              <w:rPr>
                <w:rFonts w:eastAsia="Times New Roman" w:cs="Times New Roman"/>
                <w:noProof/>
              </w:rPr>
            </w:pPr>
            <w:r>
              <w:rPr>
                <w:noProof/>
              </w:rPr>
              <w:t>Kamień milowy</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C1F312F" w14:textId="3B394401" w:rsidR="006578ED" w:rsidRDefault="00A1618E">
            <w:pPr>
              <w:pStyle w:val="P68B1DB1-Normal13"/>
              <w:spacing w:after="0" w:line="240" w:lineRule="auto"/>
              <w:rPr>
                <w:rFonts w:cs="Times New Roman"/>
                <w:noProof/>
              </w:rPr>
            </w:pPr>
            <w:r>
              <w:rPr>
                <w:noProof/>
              </w:rPr>
              <w:t>Plan działania na rzecz opieki podstawowej i środowiskowej</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3AEC3BF" w14:textId="77777777" w:rsidR="006578ED" w:rsidRDefault="00A1618E">
            <w:pPr>
              <w:pStyle w:val="P68B1DB1-Normal13"/>
              <w:spacing w:after="0" w:line="240" w:lineRule="auto"/>
              <w:jc w:val="center"/>
              <w:rPr>
                <w:rFonts w:eastAsia="Times New Roman" w:cs="Times New Roman"/>
                <w:noProof/>
              </w:rPr>
            </w:pPr>
            <w:r>
              <w:rPr>
                <w:noProof/>
              </w:rPr>
              <w:t xml:space="preserve">Zatwierdzenie przez </w:t>
            </w:r>
            <w:r>
              <w:rPr>
                <w:i/>
                <w:noProof/>
              </w:rPr>
              <w:t>Consejo Interterytorialne</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29850E6"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864719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066156D"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750EE90" w14:textId="57D66398" w:rsidR="006578ED" w:rsidRDefault="00EC188C">
            <w:pPr>
              <w:pStyle w:val="P68B1DB1-Normal13"/>
              <w:spacing w:after="0" w:line="240" w:lineRule="auto"/>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6DCB673"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2C500CBB" w14:textId="2AC9C30B" w:rsidR="006578ED" w:rsidRDefault="00A1618E">
            <w:pPr>
              <w:pStyle w:val="P68B1DB1-Normal13"/>
              <w:spacing w:after="0" w:line="240" w:lineRule="auto"/>
              <w:rPr>
                <w:rFonts w:eastAsia="Times New Roman" w:cs="Times New Roman"/>
                <w:noProof/>
              </w:rPr>
            </w:pPr>
            <w:r>
              <w:rPr>
                <w:noProof/>
              </w:rPr>
              <w:t>Głównym celem planu działania jest wzmocnienie podstawowej opieki zdrowotnej w krajowym systemie opieki zdrowotnej w celu lepszego reagowania na pojawiające się problemy zdrowotne, poprawy indywidualnych doświadczeń w zakresie opieki dla wszystkich, zapobiegania chorobom i zwiększenia zdolności podstawowej opieki zdrowotnej do rozwiązywania problemów zdrowotnych.</w:t>
            </w:r>
          </w:p>
        </w:tc>
      </w:tr>
      <w:tr w:rsidR="006578ED" w14:paraId="311F85DC"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5F0A0CAC" w14:textId="77777777" w:rsidR="006578ED" w:rsidRDefault="00A1618E">
            <w:pPr>
              <w:pStyle w:val="P68B1DB1-Normal13"/>
              <w:spacing w:after="0" w:line="240" w:lineRule="auto"/>
              <w:jc w:val="center"/>
              <w:rPr>
                <w:rFonts w:eastAsia="Times New Roman" w:cs="Times New Roman"/>
                <w:noProof/>
              </w:rPr>
            </w:pPr>
            <w:r>
              <w:rPr>
                <w:noProof/>
              </w:rPr>
              <w:t>274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F951474" w14:textId="77777777" w:rsidR="006578ED" w:rsidRDefault="00A1618E">
            <w:pPr>
              <w:pStyle w:val="P68B1DB1-Normal13"/>
              <w:spacing w:after="0" w:line="240" w:lineRule="auto"/>
              <w:jc w:val="center"/>
              <w:rPr>
                <w:rFonts w:eastAsia="Times New Roman" w:cs="Times New Roman"/>
                <w:noProof/>
              </w:rPr>
            </w:pPr>
            <w:r>
              <w:rPr>
                <w:noProof/>
              </w:rPr>
              <w:t>C18.R2</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353E642F" w14:textId="368B3EEA" w:rsidR="006578ED" w:rsidRDefault="00AF6B91">
            <w:pPr>
              <w:pStyle w:val="P68B1DB1-Normal13"/>
              <w:spacing w:after="0" w:line="240" w:lineRule="auto"/>
              <w:jc w:val="center"/>
              <w:rPr>
                <w:rFonts w:eastAsia="Times New Roman" w:cs="Times New Roman"/>
                <w:noProof/>
              </w:rPr>
            </w:pPr>
            <w:r>
              <w:rPr>
                <w:noProof/>
              </w:rPr>
              <w:t>Kamień milowy</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59621D6" w14:textId="64E78B10" w:rsidR="006578ED" w:rsidRDefault="00A1618E">
            <w:pPr>
              <w:pStyle w:val="P68B1DB1-Normal13"/>
              <w:spacing w:after="0" w:line="240" w:lineRule="auto"/>
              <w:rPr>
                <w:rFonts w:eastAsia="Times New Roman" w:cs="Times New Roman"/>
                <w:noProof/>
              </w:rPr>
            </w:pPr>
            <w:r>
              <w:rPr>
                <w:noProof/>
              </w:rPr>
              <w:t xml:space="preserve">Zatwierdzenie hiszpańskiej strategii w zakresie zdrowia publicznego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5B9CE283" w14:textId="77777777" w:rsidR="006578ED" w:rsidRDefault="00A1618E">
            <w:pPr>
              <w:pStyle w:val="P68B1DB1-Normal13"/>
              <w:spacing w:after="0" w:line="240" w:lineRule="auto"/>
              <w:jc w:val="center"/>
              <w:rPr>
                <w:rFonts w:eastAsia="Times New Roman" w:cs="Times New Roman"/>
                <w:noProof/>
              </w:rPr>
            </w:pPr>
            <w:r>
              <w:rPr>
                <w:noProof/>
              </w:rPr>
              <w:t xml:space="preserve">Zatwierdzenie przez </w:t>
            </w:r>
            <w:r>
              <w:rPr>
                <w:i/>
                <w:noProof/>
              </w:rPr>
              <w:t>Consejo Interterytorial Sanidad</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CAA9847"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7A0A9B8"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99BCE16"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93DFE74" w14:textId="5CD5832C" w:rsidR="006578ED" w:rsidRDefault="00EC188C">
            <w:pPr>
              <w:pStyle w:val="P68B1DB1-Normal13"/>
              <w:spacing w:after="0" w:line="240" w:lineRule="auto"/>
              <w:jc w:val="center"/>
              <w:rPr>
                <w:rFonts w:eastAsia="Times New Roman" w:cs="Times New Roman"/>
                <w:noProof/>
              </w:rPr>
            </w:pPr>
            <w:r>
              <w:rPr>
                <w:noProof/>
              </w:rPr>
              <w:t>KW. 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A578786" w14:textId="77777777" w:rsidR="006578ED" w:rsidRDefault="00A1618E">
            <w:pPr>
              <w:pStyle w:val="P68B1DB1-Normal13"/>
              <w:spacing w:after="0" w:line="240" w:lineRule="auto"/>
              <w:jc w:val="center"/>
              <w:rPr>
                <w:rFonts w:eastAsia="Times New Roman" w:cs="Times New Roman"/>
                <w:noProof/>
              </w:rPr>
            </w:pPr>
            <w:r>
              <w:rPr>
                <w:noProof/>
              </w:rPr>
              <w:t>2022</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3AF70249" w14:textId="65818572" w:rsidR="006578ED" w:rsidRDefault="00A1618E">
            <w:pPr>
              <w:pStyle w:val="P68B1DB1-Normal13"/>
              <w:spacing w:after="0" w:line="240" w:lineRule="auto"/>
              <w:rPr>
                <w:rFonts w:eastAsia="Times New Roman" w:cs="Times New Roman"/>
                <w:noProof/>
              </w:rPr>
            </w:pPr>
            <w:r>
              <w:rPr>
                <w:noProof/>
              </w:rPr>
              <w:t xml:space="preserve">Strategia zdrowia publicznego ustanawia strategiczne wytyczne dotyczące działań w zakresie zdrowia publicznego w całej Hiszpanii. Celem strategii jest poprawa zdrowia ludności hiszpańskiej poprzez określenie podstawowych kierunków i priorytetów, którymi powinny się kierować wszystkie administracje zajmujące się zdrowiem w ramach polityki promocji, profilaktyki i ochrony zdrowia publicznego, działań dotyczących grup docelowych, informowania obywateli, szkolenia specjalistów i zaspokajania ich potrzeb. Strategia zapewnia uwzględnienie zdrowia publicznego i równego dostępu do opieki zdrowotnej we wszystkich politykach publicznych oraz ułatwia działania międzysektorowe w tej dziedzinie. Jej okres trwania wynosi pięć lat, przy czym co dwa lata przeprowadza się oceny śródokresowe, w których analizuje się stopień realizacji. Obejmuje ona środki i działania w odniesieniu do wszystkich obszarów zdrowia publicznego, które zostaną wdrożone w ramach polityk, planów i programów wszystkich administracji ds. zdrowia w Hiszpanii w okresie obowiązywania strategii, w terminach określonych w strategii. </w:t>
            </w:r>
          </w:p>
        </w:tc>
      </w:tr>
      <w:tr w:rsidR="006578ED" w14:paraId="3EB075B5"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15F0C82" w14:textId="77777777" w:rsidR="006578ED" w:rsidRDefault="00A1618E">
            <w:pPr>
              <w:pStyle w:val="P68B1DB1-Normal13"/>
              <w:spacing w:after="0" w:line="240" w:lineRule="auto"/>
              <w:jc w:val="center"/>
              <w:rPr>
                <w:rFonts w:eastAsia="Times New Roman" w:cs="Times New Roman"/>
                <w:noProof/>
              </w:rPr>
            </w:pPr>
            <w:r>
              <w:rPr>
                <w:noProof/>
              </w:rPr>
              <w:t>275</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66FAAEC" w14:textId="77777777" w:rsidR="006578ED" w:rsidRDefault="00A1618E">
            <w:pPr>
              <w:pStyle w:val="P68B1DB1-Normal13"/>
              <w:spacing w:after="0" w:line="240" w:lineRule="auto"/>
              <w:jc w:val="center"/>
              <w:rPr>
                <w:rFonts w:eastAsia="Times New Roman" w:cs="Times New Roman"/>
                <w:noProof/>
              </w:rPr>
            </w:pPr>
            <w:r>
              <w:rPr>
                <w:noProof/>
              </w:rPr>
              <w:t>C18.R3</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4FCF575" w14:textId="7896870B" w:rsidR="006578ED" w:rsidRDefault="00AF6B91">
            <w:pPr>
              <w:pStyle w:val="P68B1DB1-Normal13"/>
              <w:spacing w:after="0" w:line="240" w:lineRule="auto"/>
              <w:jc w:val="center"/>
              <w:rPr>
                <w:rFonts w:eastAsia="Times New Roman" w:cs="Times New Roman"/>
                <w:noProof/>
              </w:rPr>
            </w:pPr>
            <w:r>
              <w:rPr>
                <w:noProof/>
              </w:rPr>
              <w:t>Kamień milowy</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7613530" w14:textId="4653C14A" w:rsidR="006578ED" w:rsidRDefault="00A1618E">
            <w:pPr>
              <w:pStyle w:val="P68B1DB1-Normal13"/>
              <w:spacing w:after="0" w:line="240" w:lineRule="auto"/>
              <w:rPr>
                <w:rFonts w:eastAsia="Times New Roman" w:cs="Times New Roman"/>
                <w:noProof/>
              </w:rPr>
            </w:pPr>
            <w:r>
              <w:rPr>
                <w:noProof/>
              </w:rPr>
              <w:t>Ustawa o równości, uniwersalności i spójności krajowego systemu opieki zdrowotnej, reorientacja wysoce złożonej opieki i zwiększenie wspólnego portfela usług</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7742484D" w14:textId="4FA426DC" w:rsidR="006578ED" w:rsidRDefault="00A1618E">
            <w:pPr>
              <w:pStyle w:val="P68B1DB1-Normal13"/>
              <w:spacing w:after="0" w:line="240" w:lineRule="auto"/>
              <w:jc w:val="center"/>
              <w:rPr>
                <w:rFonts w:eastAsia="Times New Roman" w:cs="Times New Roman"/>
                <w:noProof/>
              </w:rPr>
            </w:pPr>
            <w:r>
              <w:rPr>
                <w:noProof/>
              </w:rPr>
              <w:t xml:space="preserve">Wejście w życie ustawy i zatwierdzenia przez </w:t>
            </w:r>
            <w:r>
              <w:rPr>
                <w:i/>
                <w:noProof/>
              </w:rPr>
              <w:t>Consejo Interterytorial Sanidad</w:t>
            </w:r>
            <w:r>
              <w:rPr>
                <w:noProof/>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4DCB852"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297EF7D"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9CB761C"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7EF900" w14:textId="16A25539" w:rsidR="006578ED" w:rsidRDefault="00EC188C">
            <w:pPr>
              <w:pStyle w:val="P68B1DB1-Normal13"/>
              <w:spacing w:after="0" w:line="240" w:lineRule="auto"/>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B232CF8"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F811A3B" w14:textId="2C3109DA" w:rsidR="006578ED" w:rsidRDefault="00A1618E">
            <w:pPr>
              <w:pStyle w:val="P68B1DB1-Normal13"/>
              <w:spacing w:after="0" w:line="240" w:lineRule="auto"/>
              <w:rPr>
                <w:rFonts w:cs="Times New Roman"/>
                <w:noProof/>
              </w:rPr>
            </w:pPr>
            <w:r>
              <w:rPr>
                <w:noProof/>
              </w:rPr>
              <w:t xml:space="preserve">Cele prawa i elementy składowe są następujące: Zapewnienie powszechnego dostępu do opieki zdrowotnej, włączenie przedstawicieli pacjentów do organów zarządzających hiszpańskim krajowym systemem opieki zdrowotnej, ograniczenie stosowania nowych współfinansowania, zmiana definicji świadczeń społecznych i zdrowotnych w portfelu krajowego systemu opieki zdrowotnej, zapewnienie koordynacji między organami ds. zdrowia a organami socjalnymi oraz wprowadzenie oceny skutków wszystkich zmian regulacyjnych w tej dziedzinie, a także reforma stosowania produktów farmaceutycznych w krajowym systemie opieki zdrowotnej. Ustawie tej towarzyszy dogłębna ocena skutków, którą podaje się również do wiadomości publicznej, badając również jej wpływ na długoterminową stabilność finansów publicznych. </w:t>
            </w:r>
          </w:p>
          <w:p w14:paraId="46D8381A" w14:textId="77777777" w:rsidR="006578ED" w:rsidRDefault="006578ED">
            <w:pPr>
              <w:spacing w:after="0" w:line="240" w:lineRule="auto"/>
              <w:rPr>
                <w:rFonts w:ascii="Times New Roman" w:hAnsi="Times New Roman" w:cs="Times New Roman"/>
                <w:noProof/>
                <w:sz w:val="18"/>
              </w:rPr>
            </w:pPr>
          </w:p>
          <w:p w14:paraId="6FED2239" w14:textId="40F697C6" w:rsidR="006578ED" w:rsidRDefault="00A1618E">
            <w:pPr>
              <w:pStyle w:val="P68B1DB1-Normal13"/>
              <w:spacing w:after="0" w:line="240" w:lineRule="auto"/>
              <w:rPr>
                <w:rFonts w:cs="Times New Roman"/>
                <w:noProof/>
              </w:rPr>
            </w:pPr>
            <w:r>
              <w:rPr>
                <w:noProof/>
              </w:rPr>
              <w:t xml:space="preserve">W następstwie porozumienia międzyterytorialnego </w:t>
            </w:r>
            <w:r>
              <w:rPr>
                <w:i/>
                <w:noProof/>
              </w:rPr>
              <w:t>Sanidadu Consejo wejście</w:t>
            </w:r>
            <w:r>
              <w:rPr>
                <w:noProof/>
              </w:rPr>
              <w:t xml:space="preserve"> w życie rozporządzenia ministerialnego w sprawie zwiększenia wspólnego zakresu publicznych usług zdrowotnych poprzez co najmniej rozszerzenie i poprawę usług związanych z opieką dentystyczną, medycyną genomową, opieką ortopedyczną i protezą oraz opieką profilaktyczną. </w:t>
            </w:r>
          </w:p>
          <w:p w14:paraId="7746CA4F" w14:textId="77777777" w:rsidR="006578ED" w:rsidRDefault="006578ED">
            <w:pPr>
              <w:spacing w:after="0" w:line="240" w:lineRule="auto"/>
              <w:rPr>
                <w:rFonts w:ascii="Times New Roman" w:hAnsi="Times New Roman" w:cs="Times New Roman"/>
                <w:noProof/>
                <w:sz w:val="18"/>
              </w:rPr>
            </w:pPr>
          </w:p>
          <w:p w14:paraId="71CC1E39" w14:textId="769A4DAB" w:rsidR="006578ED" w:rsidRDefault="00A1618E">
            <w:pPr>
              <w:pStyle w:val="P68B1DB1-Normal13"/>
              <w:spacing w:after="0" w:line="240" w:lineRule="auto"/>
              <w:rPr>
                <w:rFonts w:eastAsia="Times New Roman" w:cs="Times New Roman"/>
                <w:noProof/>
              </w:rPr>
            </w:pPr>
            <w:r>
              <w:rPr>
                <w:noProof/>
              </w:rPr>
              <w:t xml:space="preserve">Zatwierdzenie przez </w:t>
            </w:r>
            <w:r>
              <w:rPr>
                <w:i/>
                <w:noProof/>
              </w:rPr>
              <w:t>Consejo Interterytorialny Sanidadu</w:t>
            </w:r>
            <w:r>
              <w:rPr>
                <w:noProof/>
              </w:rPr>
              <w:t xml:space="preserve"> konsolidacji i rozwoju sieci punktów kontaktowych oraz zmiany kolejności opieki, której nie zarządzają te centra, służby i jednostki referencyjne (CSUR)</w:t>
            </w:r>
          </w:p>
        </w:tc>
      </w:tr>
      <w:tr w:rsidR="006578ED" w14:paraId="2A694D2D"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2A0641E" w14:textId="77777777" w:rsidR="006578ED" w:rsidRDefault="00A1618E">
            <w:pPr>
              <w:pStyle w:val="P68B1DB1-Normal13"/>
              <w:spacing w:after="0" w:line="240" w:lineRule="auto"/>
              <w:jc w:val="center"/>
              <w:rPr>
                <w:rFonts w:eastAsia="Times New Roman" w:cs="Times New Roman"/>
                <w:noProof/>
              </w:rPr>
            </w:pPr>
            <w:r>
              <w:rPr>
                <w:noProof/>
              </w:rPr>
              <w:t>276</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2E2D91B1" w14:textId="77777777" w:rsidR="006578ED" w:rsidRDefault="00A1618E">
            <w:pPr>
              <w:pStyle w:val="P68B1DB1-Normal13"/>
              <w:spacing w:after="0" w:line="240" w:lineRule="auto"/>
              <w:jc w:val="center"/>
              <w:rPr>
                <w:rFonts w:eastAsia="Times New Roman" w:cs="Times New Roman"/>
                <w:noProof/>
              </w:rPr>
            </w:pPr>
            <w:r>
              <w:rPr>
                <w:noProof/>
              </w:rPr>
              <w:t>C18.R4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253AEF05" w14:textId="268F3023" w:rsidR="006578ED" w:rsidRDefault="00AF6B91">
            <w:pPr>
              <w:pStyle w:val="P68B1DB1-Normal13"/>
              <w:spacing w:after="0" w:line="240" w:lineRule="auto"/>
              <w:jc w:val="center"/>
              <w:rPr>
                <w:rFonts w:eastAsia="Times New Roman" w:cs="Times New Roman"/>
                <w:noProof/>
              </w:rPr>
            </w:pPr>
            <w:r>
              <w:rPr>
                <w:noProof/>
              </w:rPr>
              <w:t>Kamień milowy</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60F063BD" w14:textId="3C5300B0" w:rsidR="006578ED" w:rsidRDefault="00A1618E">
            <w:pPr>
              <w:pStyle w:val="P68B1DB1-Normal13"/>
              <w:spacing w:after="0" w:line="240" w:lineRule="auto"/>
              <w:rPr>
                <w:rFonts w:eastAsia="Times New Roman" w:cs="Times New Roman"/>
                <w:noProof/>
              </w:rPr>
            </w:pPr>
            <w:r>
              <w:rPr>
                <w:noProof/>
              </w:rPr>
              <w:t>Ustawa o statucie ramowym personelu służby zdrowia oraz poprawa systemu specjalistycznego szkolenia zdrowotnego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12F2A19" w14:textId="72217F2F" w:rsidR="006578ED" w:rsidRDefault="00A1618E">
            <w:pPr>
              <w:pStyle w:val="P68B1DB1-Normal13"/>
              <w:spacing w:after="0" w:line="240" w:lineRule="auto"/>
              <w:jc w:val="center"/>
              <w:rPr>
                <w:rFonts w:eastAsia="Times New Roman" w:cs="Times New Roman"/>
                <w:noProof/>
              </w:rPr>
            </w:pPr>
            <w:r>
              <w:rPr>
                <w:noProof/>
              </w:rPr>
              <w:t>Wejście w życie zmiany ustawy i wejście w życie dekretu królewskiego</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096EABCB"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5C152C0"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4908A7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81C0EDC" w14:textId="2490C497" w:rsidR="006578ED" w:rsidRDefault="00EC188C">
            <w:pPr>
              <w:pStyle w:val="P68B1DB1-Normal13"/>
              <w:spacing w:after="0" w:line="240" w:lineRule="auto"/>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72C06D"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484CD968" w14:textId="2C21C210" w:rsidR="006578ED" w:rsidRDefault="00A1618E">
            <w:pPr>
              <w:pStyle w:val="P68B1DB1-Normal13"/>
              <w:spacing w:after="0" w:line="240" w:lineRule="auto"/>
              <w:rPr>
                <w:rFonts w:cs="Times New Roman"/>
                <w:noProof/>
              </w:rPr>
            </w:pPr>
            <w:r>
              <w:rPr>
                <w:noProof/>
              </w:rPr>
              <w:t xml:space="preserve">Statut ramowy jest podstawową normą regulującą dostęp do statusu urzędnika służby zdrowia i regulującą zapewnianie stanowisk, awans i mobilność oraz warunki pracy. Poprawka ma następujące cele: </w:t>
            </w:r>
            <w:r>
              <w:rPr>
                <w:noProof/>
              </w:rPr>
              <w:br/>
              <w:t xml:space="preserve">Zmniejszenie liczby umów o pracę na czas określony. </w:t>
            </w:r>
            <w:r>
              <w:rPr>
                <w:noProof/>
              </w:rPr>
              <w:br/>
              <w:t xml:space="preserve">— Zapewnienie oddelegowania specjalistów na niektórych obszarach geograficznych w niewystarczającym stopniu za pomocą środków zachęcających. </w:t>
            </w:r>
            <w:r>
              <w:rPr>
                <w:noProof/>
              </w:rPr>
              <w:br/>
              <w:t xml:space="preserve">— Poprawa stanu środowiska i warunków pracy za pomocą środków przyczyniających się do rozwoju zawodowego i zatrzymywania talentów w systemie hiszpańskim, przy jednoczesnej poprawie warunków ekonomicznych, ale również poprzez otwieranie możliwości w dziedzinie opieki zdrowotnej, nauczania i badań naukowych. </w:t>
            </w:r>
            <w:r>
              <w:rPr>
                <w:noProof/>
              </w:rPr>
              <w:br/>
              <w:t>Ustawie tej towarzyszy dogłębna ocena skutków badająca również jej wpływ na długoterminową stabilność finansów publicznych.</w:t>
            </w:r>
          </w:p>
          <w:p w14:paraId="473D5362" w14:textId="77777777" w:rsidR="006578ED" w:rsidRDefault="006578ED">
            <w:pPr>
              <w:spacing w:after="0" w:line="240" w:lineRule="auto"/>
              <w:rPr>
                <w:rFonts w:ascii="Times New Roman" w:hAnsi="Times New Roman" w:cs="Times New Roman"/>
                <w:noProof/>
                <w:sz w:val="18"/>
              </w:rPr>
            </w:pPr>
          </w:p>
          <w:p w14:paraId="16B49FF6" w14:textId="5E98A7D6" w:rsidR="006578ED" w:rsidRDefault="00A1618E">
            <w:pPr>
              <w:pStyle w:val="P68B1DB1-Normal13"/>
              <w:spacing w:after="0" w:line="240" w:lineRule="auto"/>
              <w:rPr>
                <w:rFonts w:eastAsia="Times New Roman" w:cs="Times New Roman"/>
                <w:noProof/>
              </w:rPr>
            </w:pPr>
            <w:r>
              <w:rPr>
                <w:noProof/>
              </w:rPr>
              <w:t>Wejście w życie dekretu królewskiego w sprawie usprawnienia specjalistycznego systemu kształcenia zdrowotnego</w:t>
            </w:r>
          </w:p>
        </w:tc>
      </w:tr>
      <w:tr w:rsidR="006578ED" w14:paraId="573ABAC6"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4C282A7" w14:textId="77777777" w:rsidR="006578ED" w:rsidRDefault="00A1618E">
            <w:pPr>
              <w:pStyle w:val="P68B1DB1-Normal13"/>
              <w:spacing w:after="0" w:line="240" w:lineRule="auto"/>
              <w:jc w:val="center"/>
              <w:rPr>
                <w:rFonts w:eastAsia="Times New Roman" w:cs="Times New Roman"/>
                <w:noProof/>
              </w:rPr>
            </w:pPr>
            <w:r>
              <w:rPr>
                <w:noProof/>
              </w:rPr>
              <w:t>277</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51B0933" w14:textId="77777777" w:rsidR="006578ED" w:rsidRDefault="00A1618E">
            <w:pPr>
              <w:pStyle w:val="P68B1DB1-Normal13"/>
              <w:spacing w:after="0" w:line="240" w:lineRule="auto"/>
              <w:jc w:val="center"/>
              <w:rPr>
                <w:rFonts w:eastAsia="Times New Roman" w:cs="Times New Roman"/>
                <w:noProof/>
              </w:rPr>
            </w:pPr>
            <w:r>
              <w:rPr>
                <w:noProof/>
              </w:rPr>
              <w:t>C18.R5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093CBCC7" w14:textId="68F1517F" w:rsidR="006578ED" w:rsidRDefault="00AF6B91">
            <w:pPr>
              <w:pStyle w:val="P68B1DB1-Normal13"/>
              <w:spacing w:after="0" w:line="240" w:lineRule="auto"/>
              <w:jc w:val="center"/>
              <w:rPr>
                <w:rFonts w:eastAsia="Times New Roman" w:cs="Times New Roman"/>
                <w:noProof/>
              </w:rPr>
            </w:pPr>
            <w:r>
              <w:rPr>
                <w:noProof/>
              </w:rPr>
              <w:t>Kamień milowy</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A22CA33" w14:textId="490D030F" w:rsidR="006578ED" w:rsidRDefault="00A1618E">
            <w:pPr>
              <w:pStyle w:val="P68B1DB1-Normal13"/>
              <w:spacing w:after="0" w:line="240" w:lineRule="auto"/>
              <w:rPr>
                <w:rFonts w:cs="Times New Roman"/>
                <w:noProof/>
              </w:rPr>
            </w:pPr>
            <w:r>
              <w:rPr>
                <w:noProof/>
              </w:rPr>
              <w:t xml:space="preserve">Ustawa o gwarancjach i racjonalnym użytkowaniu produktów medycznych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3B3F14D" w14:textId="6AEB6472" w:rsidR="006578ED" w:rsidRDefault="00A1618E">
            <w:pPr>
              <w:pStyle w:val="P68B1DB1-Normal13"/>
              <w:spacing w:after="0" w:line="240" w:lineRule="auto"/>
              <w:jc w:val="center"/>
              <w:rPr>
                <w:rFonts w:eastAsia="Times New Roman" w:cs="Times New Roman"/>
                <w:noProof/>
              </w:rPr>
            </w:pPr>
            <w:r>
              <w:rPr>
                <w:noProof/>
              </w:rPr>
              <w:t>Wejście w życie ustawy</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93CEAAB"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10377D7"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D194527"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7EBF0A" w14:textId="0A3D5A1A" w:rsidR="006578ED" w:rsidRDefault="00EC188C">
            <w:pPr>
              <w:pStyle w:val="P68B1DB1-Normal13"/>
              <w:spacing w:after="0" w:line="240" w:lineRule="auto"/>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2739C40"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383E373D" w14:textId="0FC85606" w:rsidR="006578ED" w:rsidRDefault="00A1618E">
            <w:pPr>
              <w:pStyle w:val="P68B1DB1-Normal8"/>
              <w:spacing w:after="0" w:line="240" w:lineRule="auto"/>
              <w:rPr>
                <w:rFonts w:eastAsia="Times New Roman" w:cs="Times New Roman"/>
                <w:noProof/>
                <w:sz w:val="18"/>
              </w:rPr>
            </w:pPr>
            <w:r>
              <w:rPr>
                <w:noProof/>
                <w:sz w:val="18"/>
              </w:rPr>
              <w:t>Wejście w życie ustawy o gwarancjach i racjonalnym stosowaniu produktów medycznych. Do głównych celów tej reformy prawnej należą:</w:t>
            </w:r>
            <w:r>
              <w:rPr>
                <w:noProof/>
                <w:shd w:val="clear" w:color="auto" w:fill="E6E6E6"/>
              </w:rPr>
              <w:br/>
            </w:r>
            <w:r>
              <w:rPr>
                <w:noProof/>
                <w:sz w:val="18"/>
              </w:rPr>
              <w:t xml:space="preserve">— Zmodyfikować system cen referencyjnych poprzez wprowadzenie elementów zwiększających konkurencję. </w:t>
            </w:r>
            <w:r>
              <w:rPr>
                <w:noProof/>
                <w:shd w:val="clear" w:color="auto" w:fill="E6E6E6"/>
              </w:rPr>
              <w:br/>
            </w:r>
            <w:r>
              <w:rPr>
                <w:noProof/>
                <w:sz w:val="18"/>
              </w:rPr>
              <w:t xml:space="preserve">— Skonsolidowanie zdalnego wydawania leków. </w:t>
            </w:r>
            <w:r>
              <w:rPr>
                <w:noProof/>
                <w:shd w:val="clear" w:color="auto" w:fill="E6E6E6"/>
              </w:rPr>
              <w:br/>
            </w:r>
            <w:r>
              <w:rPr>
                <w:noProof/>
                <w:sz w:val="18"/>
              </w:rPr>
              <w:t xml:space="preserve">Zezwolenie na powiązanie magazynów lekarskich ośrodków społeczno-sanitarnych z usługami aptek podstawowej opieki zdrowotnej. </w:t>
            </w:r>
            <w:r>
              <w:rPr>
                <w:noProof/>
                <w:shd w:val="clear" w:color="auto" w:fill="E6E6E6"/>
              </w:rPr>
              <w:br/>
            </w:r>
            <w:r>
              <w:rPr>
                <w:noProof/>
                <w:sz w:val="18"/>
              </w:rPr>
              <w:t>— Zmodyfikowanie systemu obliczania składek kwartalnych wpłacanych do krajowego systemu opieki zdrowotnej przez producentów, importerów i dostawców leków i produktów zdrowotnych finansowanych ze środków publicznych.</w:t>
            </w:r>
            <w:r>
              <w:rPr>
                <w:noProof/>
                <w:shd w:val="clear" w:color="auto" w:fill="E6E6E6"/>
              </w:rPr>
              <w:br/>
            </w:r>
            <w:r>
              <w:rPr>
                <w:noProof/>
                <w:sz w:val="18"/>
              </w:rPr>
              <w:t xml:space="preserve"> Wyjaśnienie kompetencji w zakresie kontroli reklamy narkotyków.</w:t>
            </w:r>
            <w:r>
              <w:rPr>
                <w:noProof/>
                <w:shd w:val="clear" w:color="auto" w:fill="E6E6E6"/>
              </w:rPr>
              <w:br/>
            </w:r>
            <w:r>
              <w:rPr>
                <w:noProof/>
                <w:sz w:val="18"/>
              </w:rPr>
              <w:t xml:space="preserve"> Zmiana stawek stosowanych przez Agencję Medyczną. </w:t>
            </w:r>
            <w:r>
              <w:rPr>
                <w:noProof/>
                <w:shd w:val="clear" w:color="auto" w:fill="E6E6E6"/>
              </w:rPr>
              <w:br/>
            </w:r>
            <w:r>
              <w:rPr>
                <w:noProof/>
                <w:sz w:val="18"/>
              </w:rPr>
              <w:t xml:space="preserve">— Zmodyfikowanie i aktualizacja procedury nakładania sankcji i naruszeń. </w:t>
            </w:r>
          </w:p>
          <w:p w14:paraId="45D9FFE4" w14:textId="2E2D7D8A" w:rsidR="006578ED" w:rsidRDefault="00A1618E">
            <w:pPr>
              <w:pStyle w:val="P68B1DB1-Normal8"/>
              <w:spacing w:after="0" w:line="240" w:lineRule="auto"/>
              <w:rPr>
                <w:rFonts w:eastAsia="Times New Roman" w:cs="Times New Roman"/>
                <w:noProof/>
                <w:sz w:val="18"/>
              </w:rPr>
            </w:pPr>
            <w:r>
              <w:rPr>
                <w:noProof/>
                <w:shd w:val="clear" w:color="auto" w:fill="E6E6E6"/>
              </w:rPr>
              <w:br/>
            </w:r>
            <w:r>
              <w:rPr>
                <w:noProof/>
                <w:sz w:val="18"/>
              </w:rPr>
              <w:t>Ustawie tej towarzyszy dogłębna ocena skutków badająca również jej wpływ na długoterminową stabilność finansów publicznych.</w:t>
            </w:r>
          </w:p>
        </w:tc>
      </w:tr>
      <w:tr w:rsidR="006578ED" w14:paraId="19EFCCE4"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31C1BD2" w14:textId="77777777" w:rsidR="006578ED" w:rsidRDefault="00A1618E">
            <w:pPr>
              <w:pStyle w:val="P68B1DB1-Normal13"/>
              <w:spacing w:after="0" w:line="240" w:lineRule="auto"/>
              <w:jc w:val="center"/>
              <w:rPr>
                <w:rFonts w:eastAsia="Times New Roman" w:cs="Times New Roman"/>
                <w:noProof/>
              </w:rPr>
            </w:pPr>
            <w:r>
              <w:rPr>
                <w:noProof/>
              </w:rPr>
              <w:t>278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863EB41" w14:textId="77777777" w:rsidR="006578ED" w:rsidRDefault="00A1618E">
            <w:pPr>
              <w:pStyle w:val="P68B1DB1-Normal13"/>
              <w:spacing w:after="0" w:line="240" w:lineRule="auto"/>
              <w:jc w:val="center"/>
              <w:rPr>
                <w:rFonts w:eastAsia="Times New Roman" w:cs="Times New Roman"/>
                <w:noProof/>
              </w:rPr>
            </w:pPr>
            <w:r>
              <w:rPr>
                <w:noProof/>
              </w:rPr>
              <w:t>C18.I1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C44FDA5" w14:textId="2EC5FABE" w:rsidR="006578ED" w:rsidRDefault="00AF6B91">
            <w:pPr>
              <w:pStyle w:val="P68B1DB1-Normal13"/>
              <w:spacing w:after="0" w:line="240" w:lineRule="auto"/>
              <w:jc w:val="center"/>
              <w:rPr>
                <w:rFonts w:eastAsia="Times New Roman" w:cs="Times New Roman"/>
                <w:noProof/>
              </w:rPr>
            </w:pPr>
            <w:r>
              <w:rPr>
                <w:noProof/>
              </w:rPr>
              <w:t>Kamień milowy</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5DC39C66" w14:textId="107418D8" w:rsidR="006578ED" w:rsidRDefault="00A1618E">
            <w:pPr>
              <w:pStyle w:val="P68B1DB1-Normal13"/>
              <w:spacing w:after="0" w:line="240" w:lineRule="auto"/>
              <w:rPr>
                <w:rFonts w:eastAsia="Times New Roman" w:cs="Times New Roman"/>
                <w:noProof/>
              </w:rPr>
            </w:pPr>
            <w:r>
              <w:rPr>
                <w:noProof/>
              </w:rPr>
              <w:t xml:space="preserve">Zatwierdzenie planu inwestycji w sprzęt i dystrybucja środków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453DFC1" w14:textId="77777777" w:rsidR="006578ED" w:rsidRDefault="00A1618E">
            <w:pPr>
              <w:pStyle w:val="P68B1DB1-Normal13"/>
              <w:spacing w:after="0" w:line="240" w:lineRule="auto"/>
              <w:jc w:val="center"/>
              <w:rPr>
                <w:rFonts w:eastAsia="Times New Roman" w:cs="Times New Roman"/>
                <w:noProof/>
              </w:rPr>
            </w:pPr>
            <w:r>
              <w:rPr>
                <w:noProof/>
              </w:rPr>
              <w:t xml:space="preserve">Zatwierdzenie przez </w:t>
            </w:r>
            <w:r>
              <w:rPr>
                <w:i/>
                <w:noProof/>
              </w:rPr>
              <w:t>Consejo Interterytorial Sanidad</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10BBBBC5"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D1F211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E44ABB1"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B7BA4AE" w14:textId="647039DE" w:rsidR="006578ED" w:rsidRDefault="00EC188C">
            <w:pPr>
              <w:pStyle w:val="P68B1DB1-Normal13"/>
              <w:spacing w:after="0" w:line="240" w:lineRule="auto"/>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16978F5"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06522F5E" w14:textId="4FCD85A2" w:rsidR="006578ED" w:rsidRDefault="00A1618E">
            <w:pPr>
              <w:pStyle w:val="P68B1DB1-Normal13"/>
              <w:spacing w:after="0" w:line="240" w:lineRule="auto"/>
              <w:rPr>
                <w:rFonts w:cs="Times New Roman"/>
                <w:noProof/>
              </w:rPr>
            </w:pPr>
            <w:r>
              <w:rPr>
                <w:noProof/>
              </w:rPr>
              <w:t xml:space="preserve">Zatwierdzenie przez </w:t>
            </w:r>
            <w:r>
              <w:rPr>
                <w:i/>
                <w:noProof/>
              </w:rPr>
              <w:t>Consejo Interterytorialnego</w:t>
            </w:r>
            <w:r>
              <w:rPr>
                <w:noProof/>
              </w:rPr>
              <w:t xml:space="preserve"> planu i podziału środków finansowych, określające mechanizmy przyznawania dotacji w wysokości 796 100 000 EUR. </w:t>
            </w:r>
          </w:p>
        </w:tc>
      </w:tr>
      <w:tr w:rsidR="006578ED" w14:paraId="42CB8BE0"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F9412F5" w14:textId="77777777" w:rsidR="006578ED" w:rsidRDefault="00A1618E">
            <w:pPr>
              <w:pStyle w:val="P68B1DB1-Normal13"/>
              <w:spacing w:after="0" w:line="240" w:lineRule="auto"/>
              <w:jc w:val="center"/>
              <w:rPr>
                <w:rFonts w:eastAsia="Times New Roman" w:cs="Times New Roman"/>
                <w:noProof/>
              </w:rPr>
            </w:pPr>
            <w:r>
              <w:rPr>
                <w:noProof/>
              </w:rPr>
              <w:t>279</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EA80977" w14:textId="77777777" w:rsidR="006578ED" w:rsidRDefault="00A1618E">
            <w:pPr>
              <w:pStyle w:val="P68B1DB1-Normal13"/>
              <w:spacing w:after="0" w:line="240" w:lineRule="auto"/>
              <w:jc w:val="center"/>
              <w:rPr>
                <w:rFonts w:eastAsia="Times New Roman" w:cs="Times New Roman"/>
                <w:noProof/>
              </w:rPr>
            </w:pPr>
            <w:r>
              <w:rPr>
                <w:noProof/>
              </w:rPr>
              <w:t>C18.I1</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F7FC025" w14:textId="18793E99" w:rsidR="006578ED" w:rsidRDefault="00AF6B91">
            <w:pPr>
              <w:pStyle w:val="P68B1DB1-Normal13"/>
              <w:spacing w:after="0" w:line="240" w:lineRule="auto"/>
              <w:jc w:val="center"/>
              <w:rPr>
                <w:rFonts w:eastAsia="Times New Roman" w:cs="Times New Roman"/>
                <w:noProof/>
              </w:rPr>
            </w:pPr>
            <w:r>
              <w:rPr>
                <w:noProof/>
              </w:rPr>
              <w:t>Cel</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2FB21D5" w14:textId="77777777" w:rsidR="006578ED" w:rsidRDefault="00A1618E">
            <w:pPr>
              <w:pStyle w:val="P68B1DB1-Normal13"/>
              <w:spacing w:after="0" w:line="240" w:lineRule="auto"/>
              <w:rPr>
                <w:rFonts w:eastAsia="Times New Roman" w:cs="Times New Roman"/>
                <w:noProof/>
              </w:rPr>
            </w:pPr>
            <w:r>
              <w:rPr>
                <w:noProof/>
              </w:rPr>
              <w:t xml:space="preserve">Instalacja/odnowienie/rozbudowa urządzeń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74DD2C7"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F9BF36F"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CD6CCAD" w14:textId="77777777" w:rsidR="006578ED" w:rsidRDefault="00A1618E">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7770382" w14:textId="77777777" w:rsidR="006578ED" w:rsidRDefault="00A1618E">
            <w:pPr>
              <w:pStyle w:val="P68B1DB1-Normal13"/>
              <w:spacing w:after="0" w:line="240" w:lineRule="auto"/>
              <w:jc w:val="right"/>
              <w:rPr>
                <w:rFonts w:eastAsia="Times New Roman" w:cs="Times New Roman"/>
                <w:noProof/>
              </w:rPr>
            </w:pPr>
            <w:r>
              <w:rPr>
                <w:noProof/>
              </w:rPr>
              <w:t>750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BCE52F6" w14:textId="130A171E" w:rsidR="006578ED" w:rsidRDefault="00EC188C">
            <w:pPr>
              <w:pStyle w:val="P68B1DB1-Normal13"/>
              <w:spacing w:after="0" w:line="240" w:lineRule="auto"/>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551A52B"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083A61EE" w14:textId="5C911257" w:rsidR="006578ED" w:rsidRDefault="00A1618E">
            <w:pPr>
              <w:pStyle w:val="P68B1DB1-Normal13"/>
              <w:spacing w:after="0" w:line="240" w:lineRule="auto"/>
              <w:rPr>
                <w:rFonts w:eastAsia="Times New Roman" w:cs="Times New Roman"/>
                <w:noProof/>
              </w:rPr>
            </w:pPr>
            <w:r>
              <w:rPr>
                <w:noProof/>
              </w:rPr>
              <w:t>Uruchomienie co najmniej 750 nowych urządzeń w drodze odnawiania, rozbudowy lub nowych instalacji w całym kraju.</w:t>
            </w:r>
          </w:p>
        </w:tc>
      </w:tr>
      <w:tr w:rsidR="006578ED" w14:paraId="3164ED5A"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15C1F4DB" w14:textId="77777777" w:rsidR="006578ED" w:rsidRDefault="00A1618E">
            <w:pPr>
              <w:pStyle w:val="P68B1DB1-Normal13"/>
              <w:spacing w:after="0" w:line="240" w:lineRule="auto"/>
              <w:jc w:val="center"/>
              <w:rPr>
                <w:rFonts w:eastAsia="Times New Roman" w:cs="Times New Roman"/>
                <w:noProof/>
              </w:rPr>
            </w:pPr>
            <w:r>
              <w:rPr>
                <w:noProof/>
              </w:rPr>
              <w:t>280</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4CDB3F4A" w14:textId="77777777" w:rsidR="006578ED" w:rsidRDefault="00A1618E">
            <w:pPr>
              <w:pStyle w:val="P68B1DB1-Normal13"/>
              <w:spacing w:after="0" w:line="240" w:lineRule="auto"/>
              <w:jc w:val="center"/>
              <w:rPr>
                <w:rFonts w:eastAsia="Times New Roman" w:cs="Times New Roman"/>
                <w:noProof/>
              </w:rPr>
            </w:pPr>
            <w:r>
              <w:rPr>
                <w:noProof/>
              </w:rPr>
              <w:t>C18.I2</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1217C989" w14:textId="44C74BD0" w:rsidR="006578ED" w:rsidRDefault="00AF6B91">
            <w:pPr>
              <w:pStyle w:val="P68B1DB1-Normal13"/>
              <w:spacing w:after="0" w:line="240" w:lineRule="auto"/>
              <w:jc w:val="center"/>
              <w:rPr>
                <w:rFonts w:eastAsia="Times New Roman" w:cs="Times New Roman"/>
                <w:noProof/>
              </w:rPr>
            </w:pPr>
            <w:r>
              <w:rPr>
                <w:noProof/>
              </w:rPr>
              <w:t>Cel</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59B4378" w14:textId="7171B7AA" w:rsidR="006578ED" w:rsidRDefault="00A1618E">
            <w:pPr>
              <w:pStyle w:val="P68B1DB1-Normal13"/>
              <w:spacing w:after="0" w:line="240" w:lineRule="auto"/>
              <w:rPr>
                <w:rFonts w:eastAsia="Times New Roman" w:cs="Times New Roman"/>
                <w:noProof/>
              </w:rPr>
            </w:pPr>
            <w:r>
              <w:rPr>
                <w:noProof/>
              </w:rPr>
              <w:t>Kampanie i działania na rzecz zdrowia publicznego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20781D00"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AFD4AA3"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2252D8D" w14:textId="77777777" w:rsidR="006578ED" w:rsidRDefault="00A1618E">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7514801" w14:textId="77777777" w:rsidR="006578ED" w:rsidRDefault="00A1618E">
            <w:pPr>
              <w:pStyle w:val="P68B1DB1-Normal13"/>
              <w:spacing w:after="0" w:line="240" w:lineRule="auto"/>
              <w:jc w:val="right"/>
              <w:rPr>
                <w:rFonts w:eastAsia="Times New Roman" w:cs="Times New Roman"/>
                <w:noProof/>
              </w:rPr>
            </w:pPr>
            <w:r>
              <w:rPr>
                <w:noProof/>
              </w:rPr>
              <w:t>11</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443F04E" w14:textId="0C403277" w:rsidR="006578ED" w:rsidRDefault="00EC188C">
            <w:pPr>
              <w:pStyle w:val="P68B1DB1-Normal13"/>
              <w:spacing w:after="0" w:line="240" w:lineRule="auto"/>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D66C50A"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7AA1EF44" w14:textId="708F96F6" w:rsidR="006578ED" w:rsidRDefault="00A1618E">
            <w:pPr>
              <w:pStyle w:val="P68B1DB1-Normal13"/>
              <w:spacing w:after="0" w:line="240" w:lineRule="auto"/>
              <w:rPr>
                <w:rFonts w:eastAsia="Times New Roman" w:cs="Times New Roman"/>
                <w:noProof/>
              </w:rPr>
            </w:pPr>
            <w:r>
              <w:rPr>
                <w:noProof/>
              </w:rPr>
              <w:t>Przeprowadzono co najmniej 11 kampanii rozpowszechniania informacji na temat zdrowia publicznego lub badań przesiewowych w następujących dziedzinach: walka z paleniem tytoniu, zapobieganie spożywaniu alkoholu, promowanie zdrowia psychicznego, promowanie zdrowego środowiska i stylu życia, plan oporności na środki przeciwdrobnoustrojowe oraz profilaktyka nowotworów, w tym rozpowszechnianie europejskiego kodeksu walki z rakiem</w:t>
            </w:r>
            <w:r w:rsidRPr="00A1618E">
              <w:rPr>
                <w:noProof/>
                <w:lang w:val="pl-PL"/>
              </w:rPr>
              <w:t>. K</w:t>
            </w:r>
            <w:r>
              <w:rPr>
                <w:noProof/>
              </w:rPr>
              <w:t>ampanie mają zasięg ogólnokrajowy. Rozpowszechnianie odbywa się za pośrednictwem radia, mediów drukowanych, Internetu, marketingu bezpośredniego i działań zewnętrznych.</w:t>
            </w:r>
          </w:p>
        </w:tc>
      </w:tr>
      <w:tr w:rsidR="006578ED" w14:paraId="09954089"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7F27409" w14:textId="77777777" w:rsidR="006578ED" w:rsidRDefault="00A1618E">
            <w:pPr>
              <w:pStyle w:val="P68B1DB1-Normal13"/>
              <w:spacing w:after="0" w:line="240" w:lineRule="auto"/>
              <w:jc w:val="center"/>
              <w:rPr>
                <w:rFonts w:eastAsia="Times New Roman" w:cs="Times New Roman"/>
                <w:noProof/>
              </w:rPr>
            </w:pPr>
            <w:r>
              <w:rPr>
                <w:noProof/>
              </w:rPr>
              <w:t>281</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7B5A24AE" w14:textId="77777777" w:rsidR="006578ED" w:rsidRDefault="00A1618E">
            <w:pPr>
              <w:pStyle w:val="P68B1DB1-Normal13"/>
              <w:spacing w:after="0" w:line="240" w:lineRule="auto"/>
              <w:jc w:val="center"/>
              <w:rPr>
                <w:rFonts w:eastAsia="Times New Roman" w:cs="Times New Roman"/>
                <w:noProof/>
              </w:rPr>
            </w:pPr>
            <w:r>
              <w:rPr>
                <w:noProof/>
              </w:rPr>
              <w:t>C18.I3</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4C3E15E1" w14:textId="03A52C5E" w:rsidR="006578ED" w:rsidRDefault="00AF6B91">
            <w:pPr>
              <w:pStyle w:val="P68B1DB1-Normal13"/>
              <w:spacing w:after="0" w:line="240" w:lineRule="auto"/>
              <w:jc w:val="center"/>
              <w:rPr>
                <w:rFonts w:eastAsia="Times New Roman" w:cs="Times New Roman"/>
                <w:noProof/>
              </w:rPr>
            </w:pPr>
            <w:r>
              <w:rPr>
                <w:noProof/>
              </w:rPr>
              <w:t>Kamień milowy</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04DA3D85" w14:textId="77777777" w:rsidR="006578ED" w:rsidRDefault="00A1618E">
            <w:pPr>
              <w:pStyle w:val="P68B1DB1-Normal13"/>
              <w:spacing w:after="0" w:line="240" w:lineRule="auto"/>
              <w:rPr>
                <w:rFonts w:eastAsia="Times New Roman" w:cs="Times New Roman"/>
                <w:noProof/>
              </w:rPr>
            </w:pPr>
            <w:r>
              <w:rPr>
                <w:noProof/>
              </w:rPr>
              <w:t>System informacyjny sieci nadzoru zdrowia publicznego</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4376D68E" w14:textId="77777777" w:rsidR="006578ED" w:rsidRDefault="00A1618E">
            <w:pPr>
              <w:pStyle w:val="P68B1DB1-Normal13"/>
              <w:spacing w:after="0" w:line="240" w:lineRule="auto"/>
              <w:jc w:val="center"/>
              <w:rPr>
                <w:rFonts w:eastAsia="Times New Roman" w:cs="Times New Roman"/>
                <w:noProof/>
              </w:rPr>
            </w:pPr>
            <w:r>
              <w:rPr>
                <w:noProof/>
              </w:rPr>
              <w:t>Świadectwo dopuszczenia do eksploatacji</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4111EB1D"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7759618"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50BF967"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76BA05C" w14:textId="4F2816C5" w:rsidR="006578ED" w:rsidRDefault="00EC188C">
            <w:pPr>
              <w:pStyle w:val="P68B1DB1-Normal13"/>
              <w:spacing w:after="0" w:line="240" w:lineRule="auto"/>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6F3CF40" w14:textId="2235DDB8" w:rsidR="006578ED" w:rsidRDefault="00A1618E">
            <w:pPr>
              <w:pStyle w:val="P68B1DB1-Normal13"/>
              <w:spacing w:after="0" w:line="240" w:lineRule="auto"/>
              <w:rPr>
                <w:rFonts w:eastAsia="Times New Roman" w:cs="Times New Roman"/>
                <w:noProof/>
              </w:rPr>
            </w:pPr>
            <w:r>
              <w:rPr>
                <w:noProof/>
              </w:rPr>
              <w:t>2025</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2629E51" w14:textId="08730B29" w:rsidR="006578ED" w:rsidRDefault="00A1618E">
            <w:pPr>
              <w:pStyle w:val="P68B1DB1-Normal13"/>
              <w:spacing w:after="0" w:line="240" w:lineRule="auto"/>
              <w:rPr>
                <w:rFonts w:cs="Times New Roman"/>
                <w:noProof/>
              </w:rPr>
            </w:pPr>
            <w:r>
              <w:rPr>
                <w:noProof/>
              </w:rPr>
              <w:t>Należy uruchomić system monitorowania państwa i wspólnot autonomicznych (system informacyjny sieci nadzoru zdrowia publicznego), aby umożliwić wczesne ostrzeganie i szybkie reagowanie w celu wykrywania problemów, które mogą stanowić zagrożenie dla zdrowia, rozpowszechniania informacji od właściwych organów i ułatwienia wdrażania środków kontroli.</w:t>
            </w:r>
          </w:p>
          <w:p w14:paraId="7C6081FB" w14:textId="77777777" w:rsidR="006578ED" w:rsidRDefault="006578ED">
            <w:pPr>
              <w:spacing w:after="0" w:line="240" w:lineRule="auto"/>
              <w:rPr>
                <w:rFonts w:ascii="Times New Roman" w:hAnsi="Times New Roman" w:cs="Times New Roman"/>
                <w:noProof/>
                <w:sz w:val="18"/>
              </w:rPr>
            </w:pPr>
          </w:p>
          <w:p w14:paraId="1D67845B" w14:textId="7A1F1486" w:rsidR="006578ED" w:rsidRDefault="00A1618E">
            <w:pPr>
              <w:pStyle w:val="P68B1DB1-Normal13"/>
              <w:spacing w:after="0" w:line="240" w:lineRule="auto"/>
              <w:rPr>
                <w:rFonts w:cs="Times New Roman"/>
                <w:noProof/>
              </w:rPr>
            </w:pPr>
            <w:r>
              <w:rPr>
                <w:noProof/>
              </w:rPr>
              <w:t>Zakup sprzętu dla nowego Państwowego Ośrodka Zdrowia Publicznego wynosi co najmniej 9,45 mln EUR.</w:t>
            </w:r>
          </w:p>
          <w:p w14:paraId="5AE0BF10" w14:textId="77777777" w:rsidR="006578ED" w:rsidRDefault="006578ED">
            <w:pPr>
              <w:spacing w:after="0" w:line="240" w:lineRule="auto"/>
              <w:rPr>
                <w:rFonts w:ascii="Times New Roman" w:hAnsi="Times New Roman" w:cs="Times New Roman"/>
                <w:noProof/>
                <w:sz w:val="18"/>
              </w:rPr>
            </w:pPr>
          </w:p>
          <w:p w14:paraId="7B0EA280" w14:textId="5A0F808C" w:rsidR="006578ED" w:rsidRDefault="00A1618E">
            <w:pPr>
              <w:pStyle w:val="P68B1DB1-Normal13"/>
              <w:spacing w:after="0" w:line="240" w:lineRule="auto"/>
              <w:rPr>
                <w:rFonts w:cs="Times New Roman"/>
                <w:noProof/>
              </w:rPr>
            </w:pPr>
            <w:r>
              <w:rPr>
                <w:noProof/>
              </w:rPr>
              <w:t>Należy ukończyć zakup wyposażenia Szpitala Uniwersyteckiego w Melilli oraz budowę nowego budynku Krajowego Centrum Dozymetrii, a także zakup wyposażenia i wdrożenia systemów i infrastruktury w celu zwiększenia zdolności laboratorium badawczego Państwowego Instytutu Bezpieczeństwa i Zdrowia Pracy, Krajowego Centrum Żywności, Agencji Leków i Produktów Zdrowotnych oraz Krajowej Organizacji Transplantu o łącznej wartości co najmniej 44 mln EUR.</w:t>
            </w:r>
          </w:p>
          <w:p w14:paraId="7B7CF298" w14:textId="77777777" w:rsidR="006578ED" w:rsidRDefault="006578ED">
            <w:pPr>
              <w:spacing w:after="0" w:line="240" w:lineRule="auto"/>
              <w:rPr>
                <w:rFonts w:ascii="Times New Roman" w:hAnsi="Times New Roman" w:cs="Times New Roman"/>
                <w:noProof/>
                <w:sz w:val="18"/>
              </w:rPr>
            </w:pPr>
          </w:p>
          <w:p w14:paraId="0373B938" w14:textId="187077C2" w:rsidR="006578ED" w:rsidRDefault="00A1618E">
            <w:pPr>
              <w:pStyle w:val="P68B1DB1-Normal13"/>
              <w:spacing w:after="0" w:line="240" w:lineRule="auto"/>
              <w:rPr>
                <w:rFonts w:eastAsia="Times New Roman" w:cs="Times New Roman"/>
                <w:noProof/>
              </w:rPr>
            </w:pPr>
            <w:r>
              <w:rPr>
                <w:noProof/>
              </w:rPr>
              <w:t>Ocena funkcjonowania krajowego systemu opieki zdrowotnej w czasie pandemii zostaje zakończona i opublikowana.</w:t>
            </w:r>
          </w:p>
        </w:tc>
      </w:tr>
      <w:tr w:rsidR="006578ED" w14:paraId="7B849F40"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3DD97B2C" w14:textId="77777777" w:rsidR="006578ED" w:rsidRDefault="00A1618E">
            <w:pPr>
              <w:pStyle w:val="P68B1DB1-Normal13"/>
              <w:spacing w:after="0" w:line="240" w:lineRule="auto"/>
              <w:jc w:val="center"/>
              <w:rPr>
                <w:rFonts w:eastAsia="Times New Roman" w:cs="Times New Roman"/>
                <w:noProof/>
              </w:rPr>
            </w:pPr>
            <w:r>
              <w:rPr>
                <w:noProof/>
              </w:rPr>
              <w:t>282</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B5711B0" w14:textId="77777777" w:rsidR="006578ED" w:rsidRDefault="00A1618E">
            <w:pPr>
              <w:pStyle w:val="P68B1DB1-Normal13"/>
              <w:spacing w:after="0" w:line="240" w:lineRule="auto"/>
              <w:jc w:val="center"/>
              <w:rPr>
                <w:rFonts w:eastAsia="Times New Roman" w:cs="Times New Roman"/>
                <w:noProof/>
              </w:rPr>
            </w:pPr>
            <w:r>
              <w:rPr>
                <w:noProof/>
              </w:rPr>
              <w:t>C18.I4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364E6A73" w14:textId="00E930EB" w:rsidR="006578ED" w:rsidRDefault="00AF6B91">
            <w:pPr>
              <w:pStyle w:val="P68B1DB1-Normal13"/>
              <w:spacing w:after="0" w:line="240" w:lineRule="auto"/>
              <w:jc w:val="center"/>
              <w:rPr>
                <w:rFonts w:eastAsia="Times New Roman" w:cs="Times New Roman"/>
                <w:noProof/>
              </w:rPr>
            </w:pPr>
            <w:r>
              <w:rPr>
                <w:noProof/>
              </w:rPr>
              <w:t>Cel</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9568BA0" w14:textId="59A37224" w:rsidR="006578ED" w:rsidRDefault="00A1618E">
            <w:pPr>
              <w:pStyle w:val="P68B1DB1-Normal13"/>
              <w:spacing w:after="0" w:line="240" w:lineRule="auto"/>
              <w:rPr>
                <w:rFonts w:eastAsia="Times New Roman" w:cs="Times New Roman"/>
                <w:noProof/>
              </w:rPr>
            </w:pPr>
            <w:r>
              <w:rPr>
                <w:noProof/>
              </w:rPr>
              <w:t xml:space="preserve">Pracownicy służby zdrowia wyszkoleni w ramach planów kształcenia ustawicznego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08376EC4"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1A10F92"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ADF40FD" w14:textId="77777777" w:rsidR="006578ED" w:rsidRDefault="00A1618E">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1CCE16E" w14:textId="77777777" w:rsidR="006578ED" w:rsidRDefault="00A1618E">
            <w:pPr>
              <w:pStyle w:val="P68B1DB1-Normal13"/>
              <w:spacing w:after="0" w:line="240" w:lineRule="auto"/>
              <w:jc w:val="right"/>
              <w:rPr>
                <w:rFonts w:eastAsia="Times New Roman" w:cs="Times New Roman"/>
                <w:noProof/>
              </w:rPr>
            </w:pPr>
            <w:r>
              <w:rPr>
                <w:noProof/>
              </w:rPr>
              <w:t>90 000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BF129A7" w14:textId="6D04686F" w:rsidR="006578ED" w:rsidRDefault="00EC188C">
            <w:pPr>
              <w:pStyle w:val="P68B1DB1-Normal13"/>
              <w:spacing w:after="0" w:line="240" w:lineRule="auto"/>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DD7CCB4"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6C75BA9A" w14:textId="2602B149" w:rsidR="006578ED" w:rsidRDefault="00A1618E">
            <w:pPr>
              <w:pStyle w:val="P68B1DB1-Normal13"/>
              <w:spacing w:after="0" w:line="240" w:lineRule="auto"/>
              <w:rPr>
                <w:rFonts w:cs="Times New Roman"/>
                <w:noProof/>
              </w:rPr>
            </w:pPr>
            <w:r>
              <w:rPr>
                <w:noProof/>
              </w:rPr>
              <w:t>Co najmniej 90000 pracowników służby zdrowia ukończyło łącznie 360000 punktów kształcenia ustawicznego, co odpowiada łącznej liczbie 3,6 mln godzin szkolenia w ramach planów kształcenia ustawicznego opracowanych zgodnie z priorytetami określonymi w definicji C18.I4. Szkolenia obejmują: Wykorzystanie technologii medycznych i systemów informacyjnych, nadzór nad zdrowiem publicznym i epidemiologię, bezpieczeństwo pacjentów i pracowników, racjonalne wykorzystanie zasobów diagnostycznych i terapeutycznych, wczesne wykrywanie nowotworów, zdrowie psychiczne, zdrowie środowiskowe, zapobieganie czynnikom ryzyka, wczesne wykrywanie przemocy ze względu na płeć, wczesne wykrywanie znęcania się nad dziećmi, bioetyka, komunikacja kliniczna, medycyna oparta na dowodach, współpraca z innymi osobami, metody badania, rozwój kompetencji zarządczych kierowników instytucji zdrowia publicznego oraz szkolenie mentorów w zakresie specjalistycznych szkoleń zdrowotnych. Szkolenia były prowadzone w formie szkoleń w klasie, w formie kształcenia online i kształcenia mieszanego, i zostały ukończone przez wykwalifikowanych pracowników służby zdrowia i pracowników służby zdrowia w dziedzinie szkolenia zawodowego.</w:t>
            </w:r>
          </w:p>
        </w:tc>
      </w:tr>
      <w:tr w:rsidR="006578ED" w14:paraId="1FDFAA19"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29DE5D73" w14:textId="4A62D41B" w:rsidR="006578ED" w:rsidRDefault="00A1618E">
            <w:pPr>
              <w:pStyle w:val="P68B1DB1-Normal13"/>
              <w:spacing w:after="0" w:line="240" w:lineRule="auto"/>
              <w:jc w:val="center"/>
              <w:rPr>
                <w:rFonts w:cs="Times New Roman"/>
                <w:noProof/>
              </w:rPr>
            </w:pPr>
            <w:r>
              <w:rPr>
                <w:noProof/>
              </w:rPr>
              <w:t>463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2B3E0B7" w14:textId="77777777" w:rsidR="006578ED" w:rsidRDefault="00A1618E">
            <w:pPr>
              <w:pStyle w:val="P68B1DB1-Normal13"/>
              <w:spacing w:after="0" w:line="240" w:lineRule="auto"/>
              <w:jc w:val="center"/>
              <w:rPr>
                <w:rFonts w:cs="Times New Roman"/>
                <w:noProof/>
              </w:rPr>
            </w:pPr>
            <w:r>
              <w:rPr>
                <w:noProof/>
              </w:rPr>
              <w:t>C18.I4</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9C0A173" w14:textId="019C0091" w:rsidR="006578ED" w:rsidRDefault="00AF6B91">
            <w:pPr>
              <w:pStyle w:val="P68B1DB1-Normal13"/>
              <w:spacing w:after="0" w:line="240" w:lineRule="auto"/>
              <w:jc w:val="center"/>
              <w:rPr>
                <w:rFonts w:cs="Times New Roman"/>
                <w:noProof/>
              </w:rPr>
            </w:pPr>
            <w:r>
              <w:rPr>
                <w:noProof/>
              </w:rPr>
              <w:t>Cel</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4DFE91DE" w14:textId="7E37BC8B" w:rsidR="006578ED" w:rsidRDefault="00A1618E">
            <w:pPr>
              <w:pStyle w:val="P68B1DB1-Normal13"/>
              <w:spacing w:after="0" w:line="240" w:lineRule="auto"/>
              <w:rPr>
                <w:rFonts w:cs="Times New Roman"/>
                <w:noProof/>
              </w:rPr>
            </w:pPr>
            <w:r>
              <w:rPr>
                <w:noProof/>
              </w:rPr>
              <w:t>Szkolenie pracowników służby zdrowia i zasoby umożliwiające dzielenie się wiedzą</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A2ECA5D" w14:textId="77777777" w:rsidR="006578ED" w:rsidRDefault="006578ED">
            <w:pPr>
              <w:spacing w:after="0" w:line="240" w:lineRule="auto"/>
              <w:jc w:val="center"/>
              <w:rPr>
                <w:rFonts w:ascii="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0162E06" w14:textId="77777777" w:rsidR="006578ED" w:rsidRDefault="006578ED">
            <w:pPr>
              <w:spacing w:after="0" w:line="240" w:lineRule="auto"/>
              <w:jc w:val="center"/>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DF066A8" w14:textId="77777777" w:rsidR="006578ED" w:rsidRDefault="006578ED">
            <w:pPr>
              <w:spacing w:after="0"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A9F29FF" w14:textId="77777777" w:rsidR="006578ED" w:rsidRDefault="006578ED">
            <w:pPr>
              <w:spacing w:after="0" w:line="240" w:lineRule="auto"/>
              <w:jc w:val="right"/>
              <w:rPr>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71B1C36" w14:textId="4851BB47" w:rsidR="006578ED" w:rsidRDefault="00EC188C">
            <w:pPr>
              <w:pStyle w:val="P68B1DB1-Normal13"/>
              <w:spacing w:after="0" w:line="240" w:lineRule="auto"/>
              <w:jc w:val="center"/>
              <w:rPr>
                <w:rFonts w:cs="Times New Roman"/>
                <w:noProof/>
              </w:rPr>
            </w:pPr>
            <w:r>
              <w:rPr>
                <w:noProof/>
              </w:rPr>
              <w:t>KW. 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66163821" w14:textId="77777777" w:rsidR="006578ED" w:rsidRDefault="00A1618E">
            <w:pPr>
              <w:pStyle w:val="P68B1DB1-Normal13"/>
              <w:spacing w:after="0" w:line="240" w:lineRule="auto"/>
              <w:jc w:val="center"/>
              <w:rPr>
                <w:rFonts w:cs="Times New Roman"/>
                <w:noProof/>
              </w:rPr>
            </w:pPr>
            <w:r>
              <w:rPr>
                <w:noProof/>
              </w:rPr>
              <w:t>2026</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7D743535" w14:textId="28ED38D2" w:rsidR="006578ED" w:rsidRDefault="00A1618E">
            <w:pPr>
              <w:pStyle w:val="P68B1DB1-Normal13"/>
              <w:spacing w:after="0" w:line="240" w:lineRule="auto"/>
              <w:rPr>
                <w:rFonts w:cs="Times New Roman"/>
                <w:noProof/>
              </w:rPr>
            </w:pPr>
            <w:r>
              <w:rPr>
                <w:noProof/>
              </w:rPr>
              <w:t>Co najmniej 1300 placówek opieki zdrowotnej przeszkolono w zakresie międzynarodowych modeli oceny i akredytacji umiejętności zawodowych służby zdrowia (modele ponownej certyfikacji pracowników służby zdrowia). Do oceny i akredytacji umiejętności nieregulowanych opracowuje się również następujące aplikacje informatyczne:</w:t>
            </w:r>
          </w:p>
          <w:p w14:paraId="6E2A2FAE" w14:textId="77777777" w:rsidR="006578ED" w:rsidRDefault="00A1618E">
            <w:pPr>
              <w:pStyle w:val="P68B1DB1-ListParagraph14"/>
              <w:numPr>
                <w:ilvl w:val="0"/>
                <w:numId w:val="625"/>
              </w:numPr>
              <w:spacing w:after="0" w:line="240" w:lineRule="auto"/>
              <w:rPr>
                <w:rFonts w:eastAsia="Times New Roman" w:cs="Times New Roman"/>
                <w:noProof/>
              </w:rPr>
            </w:pPr>
            <w:r>
              <w:rPr>
                <w:noProof/>
              </w:rPr>
              <w:t xml:space="preserve">Aplikacja internetowa do ponownej certyfikacji </w:t>
            </w:r>
          </w:p>
          <w:p w14:paraId="6374291C" w14:textId="77777777" w:rsidR="006578ED" w:rsidRDefault="00A1618E">
            <w:pPr>
              <w:pStyle w:val="P68B1DB1-ListParagraph14"/>
              <w:numPr>
                <w:ilvl w:val="0"/>
                <w:numId w:val="625"/>
              </w:numPr>
              <w:spacing w:after="0" w:line="240" w:lineRule="auto"/>
              <w:rPr>
                <w:rFonts w:eastAsia="Times New Roman" w:cs="Times New Roman"/>
                <w:noProof/>
              </w:rPr>
            </w:pPr>
            <w:r>
              <w:rPr>
                <w:noProof/>
              </w:rPr>
              <w:t>Włączenie danych dotyczących ponownej certyfikacji zawodowej do portalu REPS</w:t>
            </w:r>
          </w:p>
          <w:p w14:paraId="7A59FD98" w14:textId="77777777" w:rsidR="006578ED" w:rsidRDefault="006578ED">
            <w:pPr>
              <w:spacing w:after="0" w:line="240" w:lineRule="auto"/>
              <w:rPr>
                <w:rFonts w:ascii="Times New Roman" w:eastAsia="Times New Roman" w:hAnsi="Times New Roman" w:cs="Times New Roman"/>
                <w:noProof/>
                <w:sz w:val="18"/>
              </w:rPr>
            </w:pPr>
          </w:p>
          <w:p w14:paraId="6962BC08" w14:textId="3B921B1F" w:rsidR="006578ED" w:rsidRDefault="00A1618E">
            <w:pPr>
              <w:pStyle w:val="P68B1DB1-Normal13"/>
              <w:spacing w:after="0" w:line="240" w:lineRule="auto"/>
              <w:rPr>
                <w:rFonts w:cs="Times New Roman"/>
                <w:noProof/>
              </w:rPr>
            </w:pPr>
            <w:r>
              <w:rPr>
                <w:noProof/>
              </w:rPr>
              <w:t>Należy zakupić lub opracować narzędzia współpracy służące radzeniu sobie z bardzo złożonymi warunkami. Narzędzia współpracy obejmują co najmniej następujące funkcje:</w:t>
            </w:r>
          </w:p>
          <w:p w14:paraId="0BD47D04" w14:textId="2F716CDD" w:rsidR="006578ED" w:rsidRDefault="00A1618E">
            <w:pPr>
              <w:pStyle w:val="P68B1DB1-ListParagraph14"/>
              <w:numPr>
                <w:ilvl w:val="0"/>
                <w:numId w:val="632"/>
              </w:numPr>
              <w:spacing w:after="0" w:line="240" w:lineRule="auto"/>
              <w:rPr>
                <w:rFonts w:cs="Times New Roman"/>
                <w:noProof/>
              </w:rPr>
            </w:pPr>
            <w:r>
              <w:rPr>
                <w:noProof/>
              </w:rPr>
              <w:t>Wspólne procesy kliniczne w zakresie zarządzania pacjentami.</w:t>
            </w:r>
          </w:p>
          <w:p w14:paraId="71CCAA76" w14:textId="77777777" w:rsidR="006578ED" w:rsidRDefault="00A1618E">
            <w:pPr>
              <w:pStyle w:val="P68B1DB1-ListParagraph14"/>
              <w:numPr>
                <w:ilvl w:val="0"/>
                <w:numId w:val="632"/>
              </w:numPr>
              <w:spacing w:after="0" w:line="240" w:lineRule="auto"/>
              <w:rPr>
                <w:rFonts w:cs="Times New Roman"/>
                <w:noProof/>
              </w:rPr>
            </w:pPr>
            <w:r>
              <w:rPr>
                <w:noProof/>
              </w:rPr>
              <w:t xml:space="preserve">Komunikacja między specjalistami. </w:t>
            </w:r>
          </w:p>
          <w:p w14:paraId="53B470EB" w14:textId="77777777" w:rsidR="006578ED" w:rsidRDefault="006578ED">
            <w:pPr>
              <w:spacing w:after="0" w:line="240" w:lineRule="auto"/>
              <w:rPr>
                <w:rFonts w:ascii="Times New Roman" w:hAnsi="Times New Roman" w:cs="Times New Roman"/>
                <w:noProof/>
                <w:sz w:val="18"/>
              </w:rPr>
            </w:pPr>
          </w:p>
          <w:p w14:paraId="4C5CD18B" w14:textId="19F2C101" w:rsidR="006578ED" w:rsidRDefault="00A1618E">
            <w:pPr>
              <w:pStyle w:val="P68B1DB1-Normal13"/>
              <w:spacing w:after="0" w:line="240" w:lineRule="auto"/>
              <w:rPr>
                <w:rFonts w:cs="Times New Roman"/>
                <w:noProof/>
              </w:rPr>
            </w:pPr>
            <w:r>
              <w:rPr>
                <w:noProof/>
              </w:rPr>
              <w:t>Należy ukończyć skomputeryzowane mapowanie w celu wizualizacji wspólnych zasobów i usług w zakresie wczesnej opieki i medycyny genomowej.</w:t>
            </w:r>
          </w:p>
        </w:tc>
      </w:tr>
      <w:tr w:rsidR="006578ED" w14:paraId="7C41C0DC"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16F2368" w14:textId="77777777" w:rsidR="006578ED" w:rsidRDefault="00A1618E">
            <w:pPr>
              <w:pStyle w:val="P68B1DB1-Normal13"/>
              <w:jc w:val="center"/>
              <w:rPr>
                <w:rFonts w:eastAsia="Times New Roman" w:cs="Times New Roman"/>
                <w:noProof/>
              </w:rPr>
            </w:pPr>
            <w:r>
              <w:rPr>
                <w:noProof/>
              </w:rPr>
              <w:t>283</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FADF40C" w14:textId="77777777" w:rsidR="006578ED" w:rsidRDefault="00A1618E">
            <w:pPr>
              <w:pStyle w:val="P68B1DB1-Normal13"/>
              <w:jc w:val="center"/>
              <w:rPr>
                <w:rFonts w:eastAsia="Times New Roman" w:cs="Times New Roman"/>
                <w:noProof/>
              </w:rPr>
            </w:pPr>
            <w:r>
              <w:rPr>
                <w:noProof/>
              </w:rPr>
              <w:t>C18.I5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6F782ABA" w14:textId="0FB91E9C" w:rsidR="006578ED" w:rsidRDefault="00AF6B91">
            <w:pPr>
              <w:pStyle w:val="P68B1DB1-Normal13"/>
              <w:jc w:val="center"/>
              <w:rPr>
                <w:rFonts w:eastAsia="Times New Roman" w:cs="Times New Roman"/>
                <w:noProof/>
              </w:rPr>
            </w:pPr>
            <w:r>
              <w:rPr>
                <w:noProof/>
              </w:rPr>
              <w:t>Kamień milowy</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700C1A04" w14:textId="7110DD15" w:rsidR="006578ED" w:rsidRDefault="00A1618E">
            <w:pPr>
              <w:pStyle w:val="P68B1DB1-Normal13"/>
              <w:rPr>
                <w:rFonts w:eastAsia="Times New Roman" w:cs="Times New Roman"/>
                <w:noProof/>
              </w:rPr>
            </w:pPr>
            <w:r>
              <w:rPr>
                <w:noProof/>
              </w:rPr>
              <w:t>VALTERM ED i platforma oceny technologii medycznych i korzyści krajowego systemu opieki zdrowotnej</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1B4EF807" w14:textId="77777777" w:rsidR="006578ED" w:rsidRDefault="00A1618E">
            <w:pPr>
              <w:pStyle w:val="P68B1DB1-Normal13"/>
              <w:jc w:val="center"/>
              <w:rPr>
                <w:rFonts w:eastAsia="Times New Roman" w:cs="Times New Roman"/>
                <w:noProof/>
              </w:rPr>
            </w:pPr>
            <w:r>
              <w:rPr>
                <w:noProof/>
              </w:rPr>
              <w:t>Świadectwo dopuszczenia do eksploatacji</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3F8DDFA9" w14:textId="77777777" w:rsidR="006578ED" w:rsidRDefault="006578ED">
            <w:pPr>
              <w:jc w:val="center"/>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0CA3C4C" w14:textId="77777777" w:rsidR="006578ED" w:rsidRDefault="006578ED">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9780AA6" w14:textId="77777777" w:rsidR="006578ED" w:rsidRDefault="006578ED">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D3D5060" w14:textId="142B6C61" w:rsidR="006578ED" w:rsidRDefault="00EC188C">
            <w:pPr>
              <w:pStyle w:val="P68B1DB1-Normal13"/>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4417D6B" w14:textId="77777777" w:rsidR="006578ED" w:rsidRDefault="00A1618E">
            <w:pPr>
              <w:pStyle w:val="P68B1DB1-Normal13"/>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4F75462A" w14:textId="05F98439" w:rsidR="006578ED" w:rsidRDefault="00A1618E">
            <w:pPr>
              <w:pStyle w:val="P68B1DB1-Normal13"/>
              <w:rPr>
                <w:rFonts w:eastAsia="Times New Roman" w:cs="Times New Roman"/>
                <w:noProof/>
              </w:rPr>
            </w:pPr>
            <w:r>
              <w:rPr>
                <w:noProof/>
              </w:rPr>
              <w:t>Funkcjonuje sieć między ministerstwem zdrowia a regionami autonomicznymi zajmująca się oceną leków, funkcjonuje system VALTERM ED oraz utworzono platformę dla hiszpańskiej sieci agencji ds. oceny technologii zdrowotnych i korzyści płynących z krajowego systemu opieki zdrowotnej (SNS REDETS).</w:t>
            </w:r>
          </w:p>
          <w:p w14:paraId="6111A05C" w14:textId="77777777" w:rsidR="006578ED" w:rsidRDefault="006578ED">
            <w:pPr>
              <w:rPr>
                <w:rFonts w:ascii="Times New Roman" w:eastAsia="Times New Roman" w:hAnsi="Times New Roman" w:cs="Times New Roman"/>
                <w:noProof/>
                <w:sz w:val="18"/>
              </w:rPr>
            </w:pPr>
          </w:p>
        </w:tc>
      </w:tr>
      <w:tr w:rsidR="006578ED" w14:paraId="2A1543F9"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0190B727" w14:textId="6F94BB42" w:rsidR="006578ED" w:rsidRDefault="00A1618E">
            <w:pPr>
              <w:pStyle w:val="P68B1DB1-Normal13"/>
              <w:jc w:val="center"/>
              <w:rPr>
                <w:rFonts w:eastAsia="Times New Roman" w:cs="Times New Roman"/>
                <w:noProof/>
              </w:rPr>
            </w:pPr>
            <w:r>
              <w:rPr>
                <w:noProof/>
              </w:rPr>
              <w:t>464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27CF1721" w14:textId="77777777" w:rsidR="006578ED" w:rsidRDefault="00A1618E">
            <w:pPr>
              <w:pStyle w:val="P68B1DB1-Normal13"/>
              <w:jc w:val="center"/>
              <w:rPr>
                <w:rFonts w:eastAsia="Times New Roman" w:cs="Times New Roman"/>
                <w:noProof/>
              </w:rPr>
            </w:pPr>
            <w:r>
              <w:rPr>
                <w:noProof/>
              </w:rPr>
              <w:t>C18.I5</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4EB71D2A" w14:textId="7206347A" w:rsidR="006578ED" w:rsidRDefault="00AF6B91">
            <w:pPr>
              <w:pStyle w:val="P68B1DB1-Normal13"/>
              <w:jc w:val="center"/>
              <w:rPr>
                <w:rFonts w:eastAsia="Times New Roman" w:cs="Times New Roman"/>
                <w:noProof/>
              </w:rPr>
            </w:pPr>
            <w:r>
              <w:rPr>
                <w:noProof/>
              </w:rPr>
              <w:t>Cel</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61E6A0DF" w14:textId="26B80CE0" w:rsidR="006578ED" w:rsidRDefault="00A1618E">
            <w:pPr>
              <w:pStyle w:val="P68B1DB1-Normal13"/>
              <w:rPr>
                <w:rFonts w:eastAsia="Times New Roman" w:cs="Times New Roman"/>
                <w:noProof/>
              </w:rPr>
            </w:pPr>
            <w:r>
              <w:rPr>
                <w:noProof/>
              </w:rPr>
              <w:t>Plan racjonalizacji konsumpcji produktów farmaceutycznych i promowania zrównoważonego rozwoju</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67B66D9E" w14:textId="77777777" w:rsidR="006578ED" w:rsidRDefault="006578ED">
            <w:pPr>
              <w:jc w:val="center"/>
              <w:rPr>
                <w:rFonts w:ascii="Times New Roman" w:eastAsia="Times New Roman" w:hAnsi="Times New Roman" w:cs="Times New Roman"/>
                <w:noProof/>
                <w:sz w:val="18"/>
              </w:rPr>
            </w:pP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5C9821BC" w14:textId="77777777" w:rsidR="006578ED" w:rsidRDefault="006578ED">
            <w:pPr>
              <w:jc w:val="center"/>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353133F" w14:textId="77777777" w:rsidR="006578ED" w:rsidRDefault="006578ED">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5162B95" w14:textId="77777777" w:rsidR="006578ED" w:rsidRDefault="006578ED">
            <w:pPr>
              <w:jc w:val="right"/>
              <w:rPr>
                <w:rFonts w:ascii="Times New Roman" w:eastAsia="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E92C8D9" w14:textId="790DBE8A" w:rsidR="006578ED" w:rsidRDefault="00EC188C">
            <w:pPr>
              <w:pStyle w:val="P68B1DB1-Normal13"/>
              <w:jc w:val="center"/>
              <w:rPr>
                <w:rFonts w:eastAsia="Times New Roman" w:cs="Times New Roman"/>
                <w:noProof/>
              </w:rPr>
            </w:pPr>
            <w:r>
              <w:rPr>
                <w:noProof/>
              </w:rPr>
              <w:t>KW. 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502FFEE1" w14:textId="77777777" w:rsidR="006578ED" w:rsidRDefault="00A1618E">
            <w:pPr>
              <w:pStyle w:val="P68B1DB1-Normal13"/>
              <w:jc w:val="center"/>
              <w:rPr>
                <w:rFonts w:eastAsia="Times New Roman" w:cs="Times New Roman"/>
                <w:noProof/>
              </w:rPr>
            </w:pPr>
            <w:r>
              <w:rPr>
                <w:noProof/>
              </w:rPr>
              <w:t>2026</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5C51D39B" w14:textId="39A344FC" w:rsidR="006578ED" w:rsidRDefault="00A1618E">
            <w:pPr>
              <w:pStyle w:val="P68B1DB1-Normal13"/>
              <w:rPr>
                <w:rFonts w:eastAsia="Times New Roman" w:cs="Times New Roman"/>
                <w:noProof/>
              </w:rPr>
            </w:pPr>
            <w:r>
              <w:rPr>
                <w:noProof/>
              </w:rPr>
              <w:t>Należy przeprowadzić kampanię promującą stosowanie leków generycznych i biopodobnych.</w:t>
            </w:r>
          </w:p>
          <w:p w14:paraId="4A2FC14B" w14:textId="58174D57" w:rsidR="006578ED" w:rsidRDefault="00A1618E">
            <w:pPr>
              <w:pStyle w:val="P68B1DB1-Normal13"/>
              <w:rPr>
                <w:rFonts w:eastAsia="Times New Roman" w:cs="Times New Roman"/>
                <w:noProof/>
              </w:rPr>
            </w:pPr>
            <w:r>
              <w:rPr>
                <w:noProof/>
              </w:rPr>
              <w:t>Wprowadza się system informacyjny do zarządzania receptami usług ortopedycznych i protetycznych.</w:t>
            </w:r>
          </w:p>
          <w:p w14:paraId="251727E0" w14:textId="28FE87F3" w:rsidR="006578ED" w:rsidRDefault="00A1618E">
            <w:pPr>
              <w:pStyle w:val="P68B1DB1-Normal13"/>
              <w:rPr>
                <w:rFonts w:eastAsia="Times New Roman" w:cs="Times New Roman"/>
                <w:noProof/>
              </w:rPr>
            </w:pPr>
            <w:r>
              <w:rPr>
                <w:noProof/>
              </w:rPr>
              <w:t>Co najmniej 46300 pracowników służby zdrowia przechodzi szkolenie w zakresie racjonalnego stosowania leków, wykorzystania wiedzy naukowej na potrzeby działań klinicznych oraz rozwoju umiejętności krytycznego czytania literatury naukowej.</w:t>
            </w:r>
          </w:p>
          <w:p w14:paraId="046176C0" w14:textId="3B345310" w:rsidR="006578ED" w:rsidRDefault="00A1618E">
            <w:pPr>
              <w:pStyle w:val="P68B1DB1-Normal13"/>
              <w:rPr>
                <w:rFonts w:eastAsia="Times New Roman" w:cs="Times New Roman"/>
                <w:noProof/>
              </w:rPr>
            </w:pPr>
            <w:r>
              <w:rPr>
                <w:noProof/>
              </w:rPr>
              <w:t>Tworzy się kurs dyplomowy dotyczący oceny produktów leczniczych i technologii medycznych.</w:t>
            </w:r>
          </w:p>
        </w:tc>
      </w:tr>
      <w:tr w:rsidR="006578ED" w14:paraId="69CDC385" w14:textId="77777777">
        <w:trPr>
          <w:trHeight w:val="309"/>
        </w:trPr>
        <w:tc>
          <w:tcPr>
            <w:tcW w:w="708" w:type="dxa"/>
            <w:tcBorders>
              <w:top w:val="single" w:sz="4" w:space="0" w:color="auto"/>
              <w:left w:val="single" w:sz="4" w:space="0" w:color="auto"/>
              <w:bottom w:val="single" w:sz="4" w:space="0" w:color="auto"/>
              <w:right w:val="single" w:sz="4" w:space="0" w:color="auto"/>
            </w:tcBorders>
            <w:shd w:val="clear" w:color="auto" w:fill="C6EFCE"/>
            <w:noWrap/>
          </w:tcPr>
          <w:p w14:paraId="6687D722" w14:textId="77777777" w:rsidR="006578ED" w:rsidRDefault="00A1618E">
            <w:pPr>
              <w:pStyle w:val="P68B1DB1-Normal13"/>
              <w:spacing w:after="0" w:line="240" w:lineRule="auto"/>
              <w:jc w:val="center"/>
              <w:rPr>
                <w:rFonts w:eastAsia="Times New Roman" w:cs="Times New Roman"/>
                <w:noProof/>
              </w:rPr>
            </w:pPr>
            <w:r>
              <w:rPr>
                <w:noProof/>
              </w:rPr>
              <w:t>284</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04552E50" w14:textId="77777777" w:rsidR="006578ED" w:rsidRDefault="00A1618E">
            <w:pPr>
              <w:pStyle w:val="P68B1DB1-Normal13"/>
              <w:spacing w:after="0" w:line="240" w:lineRule="auto"/>
              <w:jc w:val="center"/>
              <w:rPr>
                <w:rFonts w:eastAsia="Times New Roman" w:cs="Times New Roman"/>
                <w:noProof/>
              </w:rPr>
            </w:pPr>
            <w:r>
              <w:rPr>
                <w:noProof/>
              </w:rPr>
              <w:t>C18.I6</w:t>
            </w:r>
          </w:p>
        </w:tc>
        <w:tc>
          <w:tcPr>
            <w:tcW w:w="836" w:type="dxa"/>
            <w:tcBorders>
              <w:top w:val="single" w:sz="4" w:space="0" w:color="auto"/>
              <w:left w:val="single" w:sz="4" w:space="0" w:color="auto"/>
              <w:bottom w:val="single" w:sz="4" w:space="0" w:color="auto"/>
              <w:right w:val="single" w:sz="4" w:space="0" w:color="auto"/>
            </w:tcBorders>
            <w:shd w:val="clear" w:color="auto" w:fill="C6EFCE"/>
            <w:noWrap/>
          </w:tcPr>
          <w:p w14:paraId="52DE694F" w14:textId="4ED50CC7" w:rsidR="006578ED" w:rsidRDefault="00AF6B91">
            <w:pPr>
              <w:pStyle w:val="P68B1DB1-Normal13"/>
              <w:spacing w:after="0" w:line="240" w:lineRule="auto"/>
              <w:jc w:val="center"/>
              <w:rPr>
                <w:rFonts w:eastAsia="Times New Roman" w:cs="Times New Roman"/>
                <w:noProof/>
              </w:rPr>
            </w:pPr>
            <w:r>
              <w:rPr>
                <w:noProof/>
              </w:rPr>
              <w:t>Cel</w:t>
            </w:r>
          </w:p>
        </w:tc>
        <w:tc>
          <w:tcPr>
            <w:tcW w:w="2812" w:type="dxa"/>
            <w:tcBorders>
              <w:top w:val="single" w:sz="4" w:space="0" w:color="auto"/>
              <w:left w:val="single" w:sz="4" w:space="0" w:color="auto"/>
              <w:bottom w:val="single" w:sz="4" w:space="0" w:color="auto"/>
              <w:right w:val="single" w:sz="4" w:space="0" w:color="auto"/>
            </w:tcBorders>
            <w:shd w:val="clear" w:color="auto" w:fill="C6EFCE"/>
            <w:noWrap/>
          </w:tcPr>
          <w:p w14:paraId="397AE905" w14:textId="77777777" w:rsidR="006578ED" w:rsidRDefault="00A1618E">
            <w:pPr>
              <w:pStyle w:val="P68B1DB1-Normal13"/>
              <w:spacing w:after="0" w:line="240" w:lineRule="auto"/>
              <w:rPr>
                <w:rFonts w:eastAsia="Times New Roman" w:cs="Times New Roman"/>
                <w:noProof/>
              </w:rPr>
            </w:pPr>
            <w:r>
              <w:rPr>
                <w:noProof/>
              </w:rPr>
              <w:t xml:space="preserve">Eksploatacja jeziora danych dotyczących zdrowia </w:t>
            </w:r>
          </w:p>
        </w:tc>
        <w:tc>
          <w:tcPr>
            <w:tcW w:w="1276" w:type="dxa"/>
            <w:tcBorders>
              <w:top w:val="single" w:sz="4" w:space="0" w:color="auto"/>
              <w:left w:val="single" w:sz="4" w:space="0" w:color="auto"/>
              <w:bottom w:val="single" w:sz="4" w:space="0" w:color="auto"/>
              <w:right w:val="single" w:sz="4" w:space="0" w:color="auto"/>
            </w:tcBorders>
            <w:shd w:val="clear" w:color="auto" w:fill="C6EFCE"/>
            <w:noWrap/>
          </w:tcPr>
          <w:p w14:paraId="3B4A3F2E"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tcBorders>
              <w:top w:val="single" w:sz="4" w:space="0" w:color="auto"/>
              <w:left w:val="single" w:sz="4" w:space="0" w:color="auto"/>
              <w:bottom w:val="single" w:sz="4" w:space="0" w:color="auto"/>
              <w:right w:val="single" w:sz="4" w:space="0" w:color="auto"/>
            </w:tcBorders>
            <w:shd w:val="clear" w:color="auto" w:fill="C6EFCE"/>
            <w:noWrap/>
          </w:tcPr>
          <w:p w14:paraId="2A66A3CD"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EA6AC04" w14:textId="77777777" w:rsidR="006578ED" w:rsidRDefault="00A1618E">
            <w:pPr>
              <w:pStyle w:val="P68B1DB1-Normal13"/>
              <w:spacing w:after="0" w:line="240" w:lineRule="auto"/>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B21E64E" w14:textId="77777777" w:rsidR="006578ED" w:rsidRDefault="00A1618E">
            <w:pPr>
              <w:pStyle w:val="P68B1DB1-Normal13"/>
              <w:spacing w:after="0" w:line="240" w:lineRule="auto"/>
              <w:jc w:val="right"/>
              <w:rPr>
                <w:rFonts w:eastAsia="Times New Roman" w:cs="Times New Roman"/>
                <w:noProof/>
              </w:rPr>
            </w:pPr>
            <w:r>
              <w:rPr>
                <w:noProof/>
              </w:rPr>
              <w:t>17</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7E8CF16F" w14:textId="6700F298" w:rsidR="006578ED" w:rsidRDefault="00EC188C">
            <w:pPr>
              <w:pStyle w:val="P68B1DB1-Normal13"/>
              <w:spacing w:after="0" w:line="240" w:lineRule="auto"/>
              <w:jc w:val="center"/>
              <w:rPr>
                <w:rFonts w:eastAsia="Times New Roman" w:cs="Times New Roman"/>
                <w:noProof/>
              </w:rPr>
            </w:pPr>
            <w:r>
              <w:rPr>
                <w:noProof/>
              </w:rPr>
              <w:t>KW. 4</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0172AE3"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679" w:type="dxa"/>
            <w:tcBorders>
              <w:top w:val="single" w:sz="4" w:space="0" w:color="auto"/>
              <w:left w:val="single" w:sz="4" w:space="0" w:color="auto"/>
              <w:bottom w:val="single" w:sz="4" w:space="0" w:color="auto"/>
              <w:right w:val="single" w:sz="4" w:space="0" w:color="auto"/>
            </w:tcBorders>
            <w:shd w:val="clear" w:color="auto" w:fill="C6EFCE"/>
            <w:noWrap/>
          </w:tcPr>
          <w:p w14:paraId="13D4E7D0" w14:textId="3698C32E" w:rsidR="006578ED" w:rsidRDefault="00A1618E">
            <w:pPr>
              <w:pStyle w:val="P68B1DB1-Normal13"/>
              <w:spacing w:after="0" w:line="240" w:lineRule="auto"/>
              <w:rPr>
                <w:rFonts w:eastAsia="Times New Roman" w:cs="Times New Roman"/>
                <w:noProof/>
              </w:rPr>
            </w:pPr>
            <w:r>
              <w:rPr>
                <w:noProof/>
              </w:rPr>
              <w:t>Jezioro danych dotyczących zdrowia jest operacyjne dla państwa i obejmuje co najmniej 17 autonomicznych regionów lub miast w celu umożliwienia analizy danych masowych w celu identyfikacji i poprawy diagnostyki i leczenia.</w:t>
            </w:r>
          </w:p>
        </w:tc>
      </w:tr>
      <w:tr w:rsidR="006578ED" w14:paraId="36323961" w14:textId="77777777">
        <w:trPr>
          <w:trHeight w:val="309"/>
        </w:trPr>
        <w:tc>
          <w:tcPr>
            <w:tcW w:w="708" w:type="dxa"/>
            <w:shd w:val="clear" w:color="auto" w:fill="C6EFCE"/>
            <w:noWrap/>
          </w:tcPr>
          <w:p w14:paraId="15D2AC37" w14:textId="5B8A585D" w:rsidR="006578ED" w:rsidRDefault="00A1618E">
            <w:pPr>
              <w:pStyle w:val="P68B1DB1-Normal13"/>
              <w:spacing w:after="0" w:line="240" w:lineRule="auto"/>
              <w:jc w:val="center"/>
              <w:rPr>
                <w:rFonts w:cs="Times New Roman"/>
                <w:noProof/>
              </w:rPr>
            </w:pPr>
            <w:r>
              <w:rPr>
                <w:noProof/>
              </w:rPr>
              <w:t>465</w:t>
            </w:r>
          </w:p>
        </w:tc>
        <w:tc>
          <w:tcPr>
            <w:tcW w:w="850" w:type="dxa"/>
            <w:shd w:val="clear" w:color="auto" w:fill="C6EFCE"/>
            <w:noWrap/>
          </w:tcPr>
          <w:p w14:paraId="4E2574A6" w14:textId="77777777" w:rsidR="006578ED" w:rsidRDefault="00A1618E">
            <w:pPr>
              <w:pStyle w:val="P68B1DB1-Normal13"/>
              <w:spacing w:after="0" w:line="240" w:lineRule="auto"/>
              <w:jc w:val="center"/>
              <w:rPr>
                <w:rFonts w:cs="Times New Roman"/>
                <w:noProof/>
              </w:rPr>
            </w:pPr>
            <w:r>
              <w:rPr>
                <w:noProof/>
              </w:rPr>
              <w:t>C18.I4</w:t>
            </w:r>
          </w:p>
        </w:tc>
        <w:tc>
          <w:tcPr>
            <w:tcW w:w="836" w:type="dxa"/>
            <w:shd w:val="clear" w:color="auto" w:fill="C6EFCE"/>
            <w:noWrap/>
          </w:tcPr>
          <w:p w14:paraId="0DF8E6C4" w14:textId="2A7E8EFF" w:rsidR="006578ED" w:rsidRDefault="00AF6B91">
            <w:pPr>
              <w:pStyle w:val="P68B1DB1-Normal13"/>
              <w:spacing w:after="0" w:line="240" w:lineRule="auto"/>
              <w:jc w:val="center"/>
              <w:rPr>
                <w:rFonts w:cs="Times New Roman"/>
                <w:noProof/>
              </w:rPr>
            </w:pPr>
            <w:r>
              <w:rPr>
                <w:noProof/>
              </w:rPr>
              <w:t>Cel</w:t>
            </w:r>
          </w:p>
        </w:tc>
        <w:tc>
          <w:tcPr>
            <w:tcW w:w="2812" w:type="dxa"/>
            <w:shd w:val="clear" w:color="auto" w:fill="C6EFCE"/>
            <w:noWrap/>
          </w:tcPr>
          <w:p w14:paraId="20B9943E" w14:textId="6C3315D1" w:rsidR="006578ED" w:rsidRDefault="00A1618E">
            <w:pPr>
              <w:pStyle w:val="P68B1DB1-Normal13"/>
              <w:spacing w:after="0" w:line="240" w:lineRule="auto"/>
              <w:rPr>
                <w:rFonts w:eastAsia="Times New Roman" w:cs="Times New Roman"/>
                <w:noProof/>
              </w:rPr>
            </w:pPr>
            <w:r>
              <w:rPr>
                <w:noProof/>
              </w:rPr>
              <w:t xml:space="preserve">Zakończenie projektów mających na celu poprawę opieki zdrowotnej dla pacjentów cierpiących na choroby rzadkie </w:t>
            </w:r>
          </w:p>
        </w:tc>
        <w:tc>
          <w:tcPr>
            <w:tcW w:w="1276" w:type="dxa"/>
            <w:shd w:val="clear" w:color="auto" w:fill="C6EFCE"/>
            <w:noWrap/>
          </w:tcPr>
          <w:p w14:paraId="0A78DA5B" w14:textId="77777777" w:rsidR="006578ED" w:rsidRDefault="006578ED">
            <w:pPr>
              <w:spacing w:after="0" w:line="240" w:lineRule="auto"/>
              <w:jc w:val="center"/>
              <w:rPr>
                <w:rFonts w:ascii="Times New Roman" w:hAnsi="Times New Roman" w:cs="Times New Roman"/>
                <w:noProof/>
                <w:sz w:val="18"/>
              </w:rPr>
            </w:pPr>
          </w:p>
        </w:tc>
        <w:tc>
          <w:tcPr>
            <w:tcW w:w="709" w:type="dxa"/>
            <w:shd w:val="clear" w:color="auto" w:fill="C6EFCE"/>
            <w:noWrap/>
          </w:tcPr>
          <w:p w14:paraId="595D81A4" w14:textId="79DA9C70" w:rsidR="006578ED" w:rsidRDefault="00A1618E">
            <w:pPr>
              <w:pStyle w:val="P68B1DB1-Normal13"/>
              <w:spacing w:after="0" w:line="240" w:lineRule="auto"/>
              <w:jc w:val="center"/>
              <w:rPr>
                <w:rFonts w:cs="Times New Roman"/>
                <w:noProof/>
              </w:rPr>
            </w:pPr>
            <w:r>
              <w:rPr>
                <w:noProof/>
              </w:rPr>
              <w:t xml:space="preserve">Mln EUR </w:t>
            </w:r>
          </w:p>
        </w:tc>
        <w:tc>
          <w:tcPr>
            <w:tcW w:w="567" w:type="dxa"/>
            <w:shd w:val="clear" w:color="auto" w:fill="C6EFCE"/>
            <w:noWrap/>
          </w:tcPr>
          <w:p w14:paraId="73434D56" w14:textId="77777777" w:rsidR="006578ED" w:rsidRDefault="00A1618E">
            <w:pPr>
              <w:pStyle w:val="P68B1DB1-Normal13"/>
              <w:spacing w:after="0" w:line="240" w:lineRule="auto"/>
              <w:jc w:val="right"/>
              <w:rPr>
                <w:rFonts w:cs="Times New Roman"/>
                <w:noProof/>
              </w:rPr>
            </w:pPr>
            <w:r>
              <w:rPr>
                <w:noProof/>
              </w:rPr>
              <w:t>0</w:t>
            </w:r>
          </w:p>
        </w:tc>
        <w:tc>
          <w:tcPr>
            <w:tcW w:w="567" w:type="dxa"/>
            <w:shd w:val="clear" w:color="auto" w:fill="C6EFCE"/>
            <w:noWrap/>
          </w:tcPr>
          <w:p w14:paraId="77FAD77F" w14:textId="77777777" w:rsidR="006578ED" w:rsidRDefault="00A1618E">
            <w:pPr>
              <w:pStyle w:val="P68B1DB1-Normal13"/>
              <w:spacing w:after="0" w:line="240" w:lineRule="auto"/>
              <w:jc w:val="right"/>
              <w:rPr>
                <w:rFonts w:eastAsia="Times New Roman" w:cs="Times New Roman"/>
                <w:noProof/>
              </w:rPr>
            </w:pPr>
            <w:r>
              <w:rPr>
                <w:noProof/>
              </w:rPr>
              <w:t>50</w:t>
            </w:r>
          </w:p>
        </w:tc>
        <w:tc>
          <w:tcPr>
            <w:tcW w:w="567" w:type="dxa"/>
            <w:shd w:val="clear" w:color="auto" w:fill="C6EFCE"/>
            <w:noWrap/>
          </w:tcPr>
          <w:p w14:paraId="6D2A1BB2" w14:textId="63D55305"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03755F8C" w14:textId="743B6E37" w:rsidR="006578ED" w:rsidRDefault="00A1618E">
            <w:pPr>
              <w:pStyle w:val="P68B1DB1-Normal13"/>
              <w:spacing w:after="0" w:line="240" w:lineRule="auto"/>
              <w:jc w:val="center"/>
              <w:rPr>
                <w:rFonts w:cs="Times New Roman"/>
                <w:noProof/>
              </w:rPr>
            </w:pPr>
            <w:r>
              <w:rPr>
                <w:noProof/>
              </w:rPr>
              <w:t>2026</w:t>
            </w:r>
          </w:p>
        </w:tc>
        <w:tc>
          <w:tcPr>
            <w:tcW w:w="5679" w:type="dxa"/>
            <w:shd w:val="clear" w:color="auto" w:fill="C6EFCE"/>
            <w:noWrap/>
          </w:tcPr>
          <w:p w14:paraId="48DF3648" w14:textId="4A64B83A" w:rsidR="006578ED" w:rsidRDefault="00A1618E">
            <w:pPr>
              <w:pStyle w:val="P68B1DB1-Normal13"/>
              <w:spacing w:after="0" w:line="240" w:lineRule="auto"/>
              <w:rPr>
                <w:rFonts w:eastAsia="Times New Roman" w:cs="Times New Roman"/>
                <w:noProof/>
              </w:rPr>
            </w:pPr>
            <w:r>
              <w:rPr>
                <w:noProof/>
              </w:rPr>
              <w:t>Zakończenie projektów pilotażowych o wartości co najmniej 50 mln EUR w celu wyposażenia krajowego systemu opieki zdrowotnej (SNS) w interoperacyjne zdolności, infrastrukturę, sprzęt i systemy informacyjne ułatwiające poprawę opieki zdrowotnej pacjentom cierpiącym na rzadkie choroby</w:t>
            </w:r>
          </w:p>
        </w:tc>
      </w:tr>
      <w:tr w:rsidR="006578ED" w14:paraId="0A1EAE17" w14:textId="77777777">
        <w:trPr>
          <w:trHeight w:val="309"/>
        </w:trPr>
        <w:tc>
          <w:tcPr>
            <w:tcW w:w="708" w:type="dxa"/>
            <w:shd w:val="clear" w:color="auto" w:fill="C6EFCE"/>
            <w:noWrap/>
          </w:tcPr>
          <w:p w14:paraId="48D0ABBD" w14:textId="3408C95B" w:rsidR="006578ED" w:rsidRDefault="00A1618E">
            <w:pPr>
              <w:pStyle w:val="P68B1DB1-Normal13"/>
              <w:spacing w:after="0" w:line="240" w:lineRule="auto"/>
              <w:jc w:val="center"/>
              <w:rPr>
                <w:rFonts w:eastAsia="Times New Roman" w:cs="Times New Roman"/>
                <w:noProof/>
              </w:rPr>
            </w:pPr>
            <w:r>
              <w:rPr>
                <w:noProof/>
              </w:rPr>
              <w:t>466</w:t>
            </w:r>
          </w:p>
        </w:tc>
        <w:tc>
          <w:tcPr>
            <w:tcW w:w="850" w:type="dxa"/>
            <w:shd w:val="clear" w:color="auto" w:fill="C6EFCE"/>
            <w:noWrap/>
          </w:tcPr>
          <w:p w14:paraId="08593F24" w14:textId="50218951" w:rsidR="006578ED" w:rsidRDefault="00A1618E">
            <w:pPr>
              <w:pStyle w:val="P68B1DB1-Normal13"/>
              <w:spacing w:after="0" w:line="240" w:lineRule="auto"/>
              <w:jc w:val="center"/>
              <w:rPr>
                <w:rFonts w:eastAsia="Times New Roman" w:cs="Times New Roman"/>
                <w:noProof/>
              </w:rPr>
            </w:pPr>
            <w:r>
              <w:rPr>
                <w:noProof/>
              </w:rPr>
              <w:t>C18.I5</w:t>
            </w:r>
          </w:p>
        </w:tc>
        <w:tc>
          <w:tcPr>
            <w:tcW w:w="836" w:type="dxa"/>
            <w:shd w:val="clear" w:color="auto" w:fill="C6EFCE"/>
            <w:noWrap/>
          </w:tcPr>
          <w:p w14:paraId="62D7F482" w14:textId="4C58C927" w:rsidR="006578ED" w:rsidRDefault="00AF6B91">
            <w:pPr>
              <w:pStyle w:val="P68B1DB1-Normal13"/>
              <w:spacing w:after="0" w:line="240" w:lineRule="auto"/>
              <w:jc w:val="center"/>
              <w:rPr>
                <w:rFonts w:eastAsia="Times New Roman" w:cs="Times New Roman"/>
                <w:noProof/>
              </w:rPr>
            </w:pPr>
            <w:r>
              <w:rPr>
                <w:noProof/>
              </w:rPr>
              <w:t>Cel</w:t>
            </w:r>
          </w:p>
        </w:tc>
        <w:tc>
          <w:tcPr>
            <w:tcW w:w="2812" w:type="dxa"/>
            <w:shd w:val="clear" w:color="auto" w:fill="C6EFCE"/>
            <w:noWrap/>
          </w:tcPr>
          <w:p w14:paraId="11CC146B" w14:textId="11B192E6" w:rsidR="006578ED" w:rsidRDefault="00A1618E">
            <w:pPr>
              <w:pStyle w:val="P68B1DB1-Normal13"/>
              <w:spacing w:after="0" w:line="240" w:lineRule="auto"/>
              <w:rPr>
                <w:rFonts w:eastAsia="Times New Roman" w:cs="Times New Roman"/>
                <w:noProof/>
              </w:rPr>
            </w:pPr>
            <w:r>
              <w:rPr>
                <w:noProof/>
              </w:rPr>
              <w:t>Rozszerzenie zakresu usług genomowych w Narodowym Systemie Zdrowia</w:t>
            </w:r>
          </w:p>
        </w:tc>
        <w:tc>
          <w:tcPr>
            <w:tcW w:w="1276" w:type="dxa"/>
            <w:shd w:val="clear" w:color="auto" w:fill="C6EFCE"/>
            <w:noWrap/>
          </w:tcPr>
          <w:p w14:paraId="5D3803A4" w14:textId="3365792B" w:rsidR="006578ED" w:rsidRDefault="00A1618E">
            <w:pPr>
              <w:pStyle w:val="P68B1DB1-Normal13"/>
              <w:spacing w:after="0" w:line="240" w:lineRule="auto"/>
              <w:jc w:val="center"/>
              <w:rPr>
                <w:rFonts w:cs="Times New Roman"/>
                <w:noProof/>
              </w:rPr>
            </w:pPr>
            <w:r>
              <w:rPr>
                <w:noProof/>
              </w:rPr>
              <w:t xml:space="preserve"> </w:t>
            </w:r>
          </w:p>
        </w:tc>
        <w:tc>
          <w:tcPr>
            <w:tcW w:w="709" w:type="dxa"/>
            <w:shd w:val="clear" w:color="auto" w:fill="C6EFCE"/>
            <w:noWrap/>
          </w:tcPr>
          <w:p w14:paraId="48F0A250" w14:textId="56E62F00" w:rsidR="006578ED" w:rsidRDefault="00A1618E">
            <w:pPr>
              <w:pStyle w:val="P68B1DB1-Normal13"/>
              <w:spacing w:after="0" w:line="240" w:lineRule="auto"/>
              <w:jc w:val="center"/>
              <w:rPr>
                <w:rFonts w:eastAsia="Times New Roman" w:cs="Times New Roman"/>
                <w:noProof/>
              </w:rPr>
            </w:pPr>
            <w:r>
              <w:rPr>
                <w:noProof/>
              </w:rPr>
              <w:t xml:space="preserve">Mln EUR </w:t>
            </w:r>
          </w:p>
        </w:tc>
        <w:tc>
          <w:tcPr>
            <w:tcW w:w="567" w:type="dxa"/>
            <w:shd w:val="clear" w:color="auto" w:fill="C6EFCE"/>
            <w:noWrap/>
          </w:tcPr>
          <w:p w14:paraId="528FBAF1" w14:textId="153C087C" w:rsidR="006578ED" w:rsidRDefault="00A1618E">
            <w:pPr>
              <w:pStyle w:val="P68B1DB1-Normal13"/>
              <w:spacing w:after="0" w:line="240" w:lineRule="auto"/>
              <w:jc w:val="right"/>
              <w:rPr>
                <w:rFonts w:eastAsia="Times New Roman" w:cs="Times New Roman"/>
                <w:noProof/>
              </w:rPr>
            </w:pPr>
            <w:r>
              <w:rPr>
                <w:noProof/>
              </w:rPr>
              <w:t>0</w:t>
            </w:r>
          </w:p>
        </w:tc>
        <w:tc>
          <w:tcPr>
            <w:tcW w:w="567" w:type="dxa"/>
            <w:shd w:val="clear" w:color="auto" w:fill="C6EFCE"/>
            <w:noWrap/>
          </w:tcPr>
          <w:p w14:paraId="6F038E42" w14:textId="3B1E3DA3" w:rsidR="006578ED" w:rsidRDefault="00A1618E">
            <w:pPr>
              <w:pStyle w:val="P68B1DB1-Normal13"/>
              <w:spacing w:after="0" w:line="240" w:lineRule="auto"/>
              <w:jc w:val="right"/>
              <w:rPr>
                <w:rFonts w:eastAsia="Times New Roman" w:cs="Times New Roman"/>
                <w:noProof/>
              </w:rPr>
            </w:pPr>
            <w:r>
              <w:rPr>
                <w:noProof/>
              </w:rPr>
              <w:t>23</w:t>
            </w:r>
          </w:p>
        </w:tc>
        <w:tc>
          <w:tcPr>
            <w:tcW w:w="567" w:type="dxa"/>
            <w:shd w:val="clear" w:color="auto" w:fill="C6EFCE"/>
            <w:noWrap/>
          </w:tcPr>
          <w:p w14:paraId="76756A97" w14:textId="46462884" w:rsidR="006578ED" w:rsidRDefault="00EC188C">
            <w:pPr>
              <w:pStyle w:val="P68B1DB1-Normal13"/>
              <w:spacing w:after="0" w:line="240" w:lineRule="auto"/>
              <w:jc w:val="center"/>
              <w:rPr>
                <w:rFonts w:eastAsia="Times New Roman" w:cs="Times New Roman"/>
                <w:noProof/>
              </w:rPr>
            </w:pPr>
            <w:r>
              <w:rPr>
                <w:noProof/>
              </w:rPr>
              <w:t>KW. 2</w:t>
            </w:r>
          </w:p>
        </w:tc>
        <w:tc>
          <w:tcPr>
            <w:tcW w:w="567" w:type="dxa"/>
            <w:shd w:val="clear" w:color="auto" w:fill="C6EFCE"/>
            <w:noWrap/>
          </w:tcPr>
          <w:p w14:paraId="1187235C" w14:textId="3E77F6F4" w:rsidR="006578ED" w:rsidRDefault="00A1618E">
            <w:pPr>
              <w:pStyle w:val="P68B1DB1-Normal13"/>
              <w:spacing w:after="0" w:line="240" w:lineRule="auto"/>
              <w:jc w:val="center"/>
              <w:rPr>
                <w:rFonts w:eastAsia="Times New Roman" w:cs="Times New Roman"/>
                <w:noProof/>
              </w:rPr>
            </w:pPr>
            <w:r>
              <w:rPr>
                <w:noProof/>
              </w:rPr>
              <w:t>2026</w:t>
            </w:r>
          </w:p>
        </w:tc>
        <w:tc>
          <w:tcPr>
            <w:tcW w:w="5679" w:type="dxa"/>
            <w:shd w:val="clear" w:color="auto" w:fill="C6EFCE"/>
            <w:noWrap/>
          </w:tcPr>
          <w:p w14:paraId="086447AF" w14:textId="1B196ED3" w:rsidR="006578ED" w:rsidRDefault="00A1618E">
            <w:pPr>
              <w:pStyle w:val="P68B1DB1-Normal13"/>
              <w:spacing w:after="0" w:line="240" w:lineRule="auto"/>
              <w:rPr>
                <w:rFonts w:eastAsia="Times New Roman" w:cs="Times New Roman"/>
                <w:noProof/>
              </w:rPr>
            </w:pPr>
            <w:r>
              <w:rPr>
                <w:noProof/>
              </w:rPr>
              <w:t>Zakupuje się sprzęt niezbędny do wdrożenia rozszerzonego katalogu badań genetycznych o wartości co najmniej 23 000 000 EUR oraz uruchomiony zostanie system informacyjny służący do integracji informacji genomowych na poziomie krajowym.</w:t>
            </w:r>
          </w:p>
        </w:tc>
      </w:tr>
      <w:tr w:rsidR="006578ED" w14:paraId="0BAA2D52" w14:textId="77777777">
        <w:trPr>
          <w:trHeight w:val="309"/>
        </w:trPr>
        <w:tc>
          <w:tcPr>
            <w:tcW w:w="708" w:type="dxa"/>
            <w:shd w:val="clear" w:color="auto" w:fill="C6EFCE"/>
            <w:noWrap/>
          </w:tcPr>
          <w:p w14:paraId="3FD0142E" w14:textId="04899C00" w:rsidR="006578ED" w:rsidRDefault="00A1618E">
            <w:pPr>
              <w:pStyle w:val="P68B1DB1-Normal13"/>
              <w:spacing w:after="0" w:line="240" w:lineRule="auto"/>
              <w:jc w:val="center"/>
              <w:rPr>
                <w:rFonts w:cs="Times New Roman"/>
                <w:noProof/>
              </w:rPr>
            </w:pPr>
            <w:r>
              <w:rPr>
                <w:noProof/>
              </w:rPr>
              <w:t>466a</w:t>
            </w:r>
          </w:p>
        </w:tc>
        <w:tc>
          <w:tcPr>
            <w:tcW w:w="850" w:type="dxa"/>
            <w:shd w:val="clear" w:color="auto" w:fill="C6EFCE"/>
            <w:noWrap/>
          </w:tcPr>
          <w:p w14:paraId="2CA30FAA" w14:textId="667F3C2D" w:rsidR="006578ED" w:rsidRDefault="00A1618E">
            <w:pPr>
              <w:pStyle w:val="P68B1DB1-Normal13"/>
              <w:spacing w:after="0" w:line="240" w:lineRule="auto"/>
              <w:jc w:val="center"/>
              <w:rPr>
                <w:rFonts w:cs="Times New Roman"/>
                <w:noProof/>
              </w:rPr>
            </w:pPr>
            <w:r>
              <w:rPr>
                <w:noProof/>
              </w:rPr>
              <w:t>C18.I6</w:t>
            </w:r>
          </w:p>
        </w:tc>
        <w:tc>
          <w:tcPr>
            <w:tcW w:w="836" w:type="dxa"/>
            <w:shd w:val="clear" w:color="auto" w:fill="C6EFCE"/>
            <w:noWrap/>
          </w:tcPr>
          <w:p w14:paraId="069CB644" w14:textId="179D5005" w:rsidR="006578ED" w:rsidRDefault="00AF6B91">
            <w:pPr>
              <w:pStyle w:val="P68B1DB1-Normal13"/>
              <w:spacing w:after="0" w:line="240" w:lineRule="auto"/>
              <w:jc w:val="center"/>
              <w:rPr>
                <w:rFonts w:cs="Times New Roman"/>
                <w:noProof/>
              </w:rPr>
            </w:pPr>
            <w:r>
              <w:rPr>
                <w:noProof/>
              </w:rPr>
              <w:t>Cel</w:t>
            </w:r>
          </w:p>
        </w:tc>
        <w:tc>
          <w:tcPr>
            <w:tcW w:w="2812" w:type="dxa"/>
            <w:shd w:val="clear" w:color="auto" w:fill="C6EFCE"/>
            <w:noWrap/>
          </w:tcPr>
          <w:p w14:paraId="45090972" w14:textId="2A645477" w:rsidR="006578ED" w:rsidRDefault="00A1618E">
            <w:pPr>
              <w:pStyle w:val="P68B1DB1-Normal13"/>
              <w:spacing w:after="0" w:line="240" w:lineRule="auto"/>
              <w:rPr>
                <w:rFonts w:eastAsia="Times New Roman" w:cs="Times New Roman"/>
                <w:noProof/>
              </w:rPr>
            </w:pPr>
            <w:r>
              <w:rPr>
                <w:noProof/>
              </w:rPr>
              <w:t>Projekty związane z masowym przetwarzaniem danych</w:t>
            </w:r>
          </w:p>
        </w:tc>
        <w:tc>
          <w:tcPr>
            <w:tcW w:w="1276" w:type="dxa"/>
            <w:shd w:val="clear" w:color="auto" w:fill="C6EFCE"/>
            <w:noWrap/>
          </w:tcPr>
          <w:p w14:paraId="06BC43D8" w14:textId="6C040902" w:rsidR="006578ED" w:rsidRDefault="006578ED">
            <w:pPr>
              <w:spacing w:after="0" w:line="240" w:lineRule="auto"/>
              <w:jc w:val="center"/>
              <w:rPr>
                <w:rFonts w:ascii="Times New Roman" w:hAnsi="Times New Roman" w:cs="Times New Roman"/>
                <w:noProof/>
                <w:sz w:val="18"/>
              </w:rPr>
            </w:pPr>
          </w:p>
        </w:tc>
        <w:tc>
          <w:tcPr>
            <w:tcW w:w="709" w:type="dxa"/>
            <w:shd w:val="clear" w:color="auto" w:fill="C6EFCE"/>
            <w:noWrap/>
          </w:tcPr>
          <w:p w14:paraId="7F835862" w14:textId="0F05C931"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noWrap/>
          </w:tcPr>
          <w:p w14:paraId="6CE29A2A" w14:textId="420D3061" w:rsidR="006578ED" w:rsidRDefault="006578ED">
            <w:pPr>
              <w:spacing w:after="0" w:line="240" w:lineRule="auto"/>
              <w:jc w:val="right"/>
              <w:rPr>
                <w:rFonts w:ascii="Times New Roman" w:hAnsi="Times New Roman" w:cs="Times New Roman"/>
                <w:noProof/>
                <w:sz w:val="18"/>
              </w:rPr>
            </w:pPr>
          </w:p>
        </w:tc>
        <w:tc>
          <w:tcPr>
            <w:tcW w:w="567" w:type="dxa"/>
            <w:shd w:val="clear" w:color="auto" w:fill="C6EFCE"/>
            <w:noWrap/>
          </w:tcPr>
          <w:p w14:paraId="4C41331F" w14:textId="4EEBA05E" w:rsidR="006578ED" w:rsidRDefault="00A1618E">
            <w:pPr>
              <w:pStyle w:val="P68B1DB1-Normal13"/>
              <w:spacing w:after="0" w:line="240" w:lineRule="auto"/>
              <w:jc w:val="right"/>
              <w:rPr>
                <w:rFonts w:cs="Times New Roman"/>
                <w:noProof/>
              </w:rPr>
            </w:pPr>
            <w:r>
              <w:rPr>
                <w:noProof/>
              </w:rPr>
              <w:t>2</w:t>
            </w:r>
          </w:p>
        </w:tc>
        <w:tc>
          <w:tcPr>
            <w:tcW w:w="567" w:type="dxa"/>
            <w:shd w:val="clear" w:color="auto" w:fill="C6EFCE"/>
            <w:noWrap/>
          </w:tcPr>
          <w:p w14:paraId="7C52FB75" w14:textId="1E6983D8"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1685B77C" w14:textId="415DF8CE" w:rsidR="006578ED" w:rsidRDefault="00A1618E">
            <w:pPr>
              <w:pStyle w:val="P68B1DB1-Normal13"/>
              <w:spacing w:after="0" w:line="240" w:lineRule="auto"/>
              <w:jc w:val="center"/>
              <w:rPr>
                <w:rFonts w:cs="Times New Roman"/>
                <w:noProof/>
              </w:rPr>
            </w:pPr>
            <w:r>
              <w:rPr>
                <w:noProof/>
              </w:rPr>
              <w:t>2025</w:t>
            </w:r>
          </w:p>
        </w:tc>
        <w:tc>
          <w:tcPr>
            <w:tcW w:w="5679" w:type="dxa"/>
            <w:shd w:val="clear" w:color="auto" w:fill="C6EFCE"/>
            <w:noWrap/>
          </w:tcPr>
          <w:p w14:paraId="22DCCCD1" w14:textId="2ACB4D03" w:rsidR="006578ED" w:rsidRDefault="00A1618E">
            <w:pPr>
              <w:pStyle w:val="P68B1DB1-Normal13"/>
              <w:spacing w:after="0" w:line="240" w:lineRule="auto"/>
              <w:rPr>
                <w:rFonts w:eastAsia="Times New Roman" w:cs="Times New Roman"/>
                <w:noProof/>
              </w:rPr>
            </w:pPr>
            <w:r>
              <w:rPr>
                <w:noProof/>
              </w:rPr>
              <w:t>W ramach inwestycji w jezioro danych dotyczących zdrowia realizowane są co najmniej dwa projekty w zakresie masowego przetwarzania danych.</w:t>
            </w:r>
          </w:p>
        </w:tc>
      </w:tr>
    </w:tbl>
    <w:p w14:paraId="6CEA137B" w14:textId="77777777" w:rsidR="006578ED" w:rsidRDefault="006578ED">
      <w:pPr>
        <w:rPr>
          <w:rFonts w:ascii="Times New Roman" w:hAnsi="Times New Roman" w:cs="Times New Roman"/>
          <w:noProof/>
        </w:rPr>
      </w:pPr>
    </w:p>
    <w:p w14:paraId="6AFA53DC" w14:textId="77777777" w:rsidR="006578ED" w:rsidRDefault="006578ED">
      <w:pPr>
        <w:spacing w:before="120" w:after="120" w:line="240" w:lineRule="auto"/>
        <w:ind w:left="709"/>
        <w:jc w:val="both"/>
        <w:rPr>
          <w:rFonts w:ascii="Times New Roman" w:hAnsi="Times New Roman" w:cs="Times New Roman"/>
          <w:noProof/>
          <w:sz w:val="24"/>
        </w:rPr>
        <w:sectPr w:rsidR="006578ED" w:rsidSect="00C94F66">
          <w:headerReference w:type="even" r:id="rId381"/>
          <w:headerReference w:type="default" r:id="rId382"/>
          <w:footerReference w:type="even" r:id="rId383"/>
          <w:footerReference w:type="default" r:id="rId384"/>
          <w:headerReference w:type="first" r:id="rId385"/>
          <w:footerReference w:type="first" r:id="rId386"/>
          <w:pgSz w:w="16839" w:h="11907" w:orient="landscape"/>
          <w:pgMar w:top="1417" w:right="1134" w:bottom="1417" w:left="1134" w:header="709" w:footer="709" w:gutter="0"/>
          <w:cols w:space="720"/>
          <w:docGrid w:linePitch="360"/>
        </w:sectPr>
      </w:pPr>
    </w:p>
    <w:p w14:paraId="20701AA1" w14:textId="77777777" w:rsidR="006578ED" w:rsidRDefault="00A1618E">
      <w:pPr>
        <w:pStyle w:val="P68B1DB1-Heading12"/>
        <w:rPr>
          <w:rFonts w:cs="Times New Roman"/>
          <w:noProof/>
        </w:rPr>
      </w:pPr>
      <w:r>
        <w:rPr>
          <w:noProof/>
        </w:rPr>
        <w:t>S. KOMPONENT 19: Umiejętności cyfrowe</w:t>
      </w:r>
    </w:p>
    <w:p w14:paraId="07BA6823" w14:textId="785AD9E9" w:rsidR="006578ED" w:rsidRDefault="00A1618E">
      <w:pPr>
        <w:pStyle w:val="P68B1DB1-Normal4"/>
        <w:spacing w:before="120" w:after="120" w:line="240" w:lineRule="auto"/>
        <w:jc w:val="both"/>
        <w:rPr>
          <w:rFonts w:cs="Times New Roman"/>
          <w:noProof/>
        </w:rPr>
      </w:pPr>
      <w:r>
        <w:rPr>
          <w:noProof/>
        </w:rPr>
        <w:t xml:space="preserve">Głównym celem tego komponentu hiszpańskiego planu odbudowy i zwiększania odporności jest podniesienie poziomu umiejętności cyfrowych (podstawowych i zaawansowanych) poprzez działania skierowane do różnych grup ludności. Nabycie tych umiejętności ma kluczowe znaczenie dla Hiszpanii, aby wykorzystać możliwości, jakie stwarza coraz większa cyfryzacja gospodarki i społeczeństwa. </w:t>
      </w:r>
    </w:p>
    <w:p w14:paraId="1539AB6F" w14:textId="162B89CF" w:rsidR="006578ED" w:rsidRDefault="00A1618E">
      <w:pPr>
        <w:pStyle w:val="P68B1DB1-Normal4"/>
        <w:spacing w:before="120" w:after="120" w:line="240" w:lineRule="auto"/>
        <w:jc w:val="both"/>
        <w:rPr>
          <w:rFonts w:cs="Times New Roman"/>
          <w:noProof/>
        </w:rPr>
      </w:pPr>
      <w:r>
        <w:rPr>
          <w:noProof/>
        </w:rPr>
        <w:t xml:space="preserve">Ukierunkowane działania na rzecz cyfryzacji MŚP uzupełniają środki przewidziane w komponencie 13 planu (Wsparcie dla MŚP). Działania mające na celu zwiększenie liczby wysoko wykwalifikowanych osób w dziedzinie ICT uzupełniają działania w ramach komponentu 15 (Łączność cyfrowa). Ponadto działania na rzecz cyfryzacji szkół powinny wzmocnić środki w ramach komponentu 21 (Edukacja) oraz zwiększyć wpływ działań przewidzianych w komponencie 23 (Rynek pracy). </w:t>
      </w:r>
    </w:p>
    <w:p w14:paraId="607274F3" w14:textId="043AE09B" w:rsidR="006578ED" w:rsidRDefault="00A1618E">
      <w:pPr>
        <w:pStyle w:val="P68B1DB1-Normal4"/>
        <w:spacing w:before="120" w:after="120" w:line="240" w:lineRule="auto"/>
        <w:jc w:val="both"/>
        <w:rPr>
          <w:rFonts w:cs="Times New Roman"/>
          <w:noProof/>
        </w:rPr>
      </w:pPr>
      <w:r>
        <w:rPr>
          <w:noProof/>
        </w:rPr>
        <w:t xml:space="preserve">Komponent ten dotyczy zaleceń dla poszczególnych krajów w sprawie wspierania innowacji (zalecenie dla poszczególnych krajów </w:t>
      </w:r>
      <w:r w:rsidRPr="00A1618E">
        <w:rPr>
          <w:noProof/>
          <w:lang w:val="pl-PL"/>
        </w:rPr>
        <w:t>nr 3</w:t>
      </w:r>
      <w:r>
        <w:rPr>
          <w:noProof/>
        </w:rPr>
        <w:t xml:space="preserve"> z 20</w:t>
      </w:r>
      <w:r w:rsidRPr="00A1618E">
        <w:rPr>
          <w:noProof/>
          <w:lang w:val="pl-PL"/>
        </w:rPr>
        <w:t>19 r.</w:t>
      </w:r>
      <w:r>
        <w:rPr>
          <w:noProof/>
        </w:rPr>
        <w:t xml:space="preserve">), dostępu do cyfrowego uczenia się (zalecenie dla poszczególnych krajów </w:t>
      </w:r>
      <w:r w:rsidRPr="00A1618E">
        <w:rPr>
          <w:noProof/>
          <w:lang w:val="pl-PL"/>
        </w:rPr>
        <w:t>nr 2</w:t>
      </w:r>
      <w:r>
        <w:rPr>
          <w:noProof/>
        </w:rPr>
        <w:t xml:space="preserve"> z 20</w:t>
      </w:r>
      <w:r w:rsidRPr="00A1618E">
        <w:rPr>
          <w:noProof/>
          <w:lang w:val="pl-PL"/>
        </w:rPr>
        <w:t>20 r.</w:t>
      </w:r>
      <w:r>
        <w:rPr>
          <w:noProof/>
        </w:rPr>
        <w:t xml:space="preserve">) oraz koncentracji na wstępie gotowych projektów inwestycji publicznych, promowania inwestycji prywatnych w celu wspierania ożywienia gospodarczego oraz skoncentrowania inwestycji na transformacji ekologicznej i cyfrowej (zalecenie dla poszczególnych krajów </w:t>
      </w:r>
      <w:r w:rsidRPr="00A1618E">
        <w:rPr>
          <w:noProof/>
          <w:lang w:val="pl-PL"/>
        </w:rPr>
        <w:t>nr 3</w:t>
      </w:r>
      <w:r>
        <w:rPr>
          <w:noProof/>
        </w:rPr>
        <w:t xml:space="preserve"> z 20</w:t>
      </w:r>
      <w:r w:rsidRPr="00A1618E">
        <w:rPr>
          <w:noProof/>
          <w:lang w:val="pl-PL"/>
        </w:rPr>
        <w:t>20 r.</w:t>
      </w:r>
      <w:r>
        <w:rPr>
          <w:noProof/>
        </w:rPr>
        <w:t>).</w:t>
      </w:r>
    </w:p>
    <w:p w14:paraId="21FD6DE3" w14:textId="7B4A81BE"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126D6E9E" w14:textId="17CF16C5" w:rsidR="006578ED" w:rsidRDefault="00A1618E">
      <w:pPr>
        <w:pStyle w:val="P68B1DB1-Normal5"/>
        <w:spacing w:before="120" w:after="120" w:line="240" w:lineRule="auto"/>
        <w:ind w:left="709"/>
        <w:jc w:val="both"/>
        <w:rPr>
          <w:rFonts w:cs="Times New Roman"/>
          <w:i/>
          <w:noProof/>
        </w:rPr>
      </w:pPr>
      <w:r>
        <w:rPr>
          <w:noProof/>
        </w:rPr>
        <w:t xml:space="preserve">S.1. </w:t>
      </w:r>
      <w:r>
        <w:rPr>
          <w:noProof/>
        </w:rPr>
        <w:tab/>
        <w:t>Opis reform i inwestycji, które mają być finansowane z bezzwrotnego wsparcia finansowego</w:t>
      </w:r>
    </w:p>
    <w:p w14:paraId="0B394C03" w14:textId="77777777" w:rsidR="006578ED" w:rsidRDefault="00A1618E">
      <w:pPr>
        <w:pStyle w:val="P68B1DB1-Normal6"/>
        <w:spacing w:before="120" w:after="120" w:line="240" w:lineRule="auto"/>
        <w:jc w:val="both"/>
        <w:rPr>
          <w:rFonts w:cs="Times New Roman"/>
          <w:noProof/>
        </w:rPr>
      </w:pPr>
      <w:r>
        <w:rPr>
          <w:noProof/>
        </w:rPr>
        <w:t>Reforma 1 (C19.R1) – Krajowy plan kompetencji cyfrowych</w:t>
      </w:r>
    </w:p>
    <w:p w14:paraId="3025D3CD" w14:textId="3324E391" w:rsidR="006578ED" w:rsidRDefault="00A1618E">
      <w:pPr>
        <w:pStyle w:val="P68B1DB1-Normal4"/>
        <w:spacing w:before="120" w:after="120" w:line="240" w:lineRule="auto"/>
        <w:jc w:val="both"/>
        <w:rPr>
          <w:rFonts w:cs="Times New Roman"/>
          <w:noProof/>
        </w:rPr>
      </w:pPr>
      <w:r>
        <w:rPr>
          <w:noProof/>
        </w:rPr>
        <w:t>Środek ten składa się z planu strategicznego, którego celem jest: zapewnianie ogółowi społeczeństwa szkoleń w zakresie umiejętności cyfrowych; niwelowanie przepaści cyfrowej między kobietami a mężczyznami; cyfryzacja systemu edukacji i rozwijanie umiejętności cyfrowych na potrzeby uczenia się; zapewnianie umiejętności cyfrowych w celu zwiększenia szans na zatrudnienie pracowników prywatnych i bezrobotnych, (v) wspieranie umiejętności cyfrowych pracowników sektora publicznego; rozwijanie umiejętności cyfrowych w MŚP; oraz (vii) zwiększenie liczby specjalistów w dziedzinie ICT. Inwestycje w komponent pomagają w realizacji celów planu strategicznego.</w:t>
      </w:r>
    </w:p>
    <w:p w14:paraId="363B289B" w14:textId="320200D9" w:rsidR="006578ED" w:rsidRDefault="00A1618E">
      <w:pPr>
        <w:pStyle w:val="P68B1DB1-Normal4"/>
        <w:spacing w:before="120" w:after="120" w:line="240" w:lineRule="auto"/>
        <w:jc w:val="both"/>
        <w:rPr>
          <w:rFonts w:cs="Times New Roman"/>
          <w:noProof/>
        </w:rPr>
      </w:pPr>
      <w:r>
        <w:rPr>
          <w:noProof/>
        </w:rPr>
        <w:t>Wdrożenie środka należy zakończyć do dnia 31 stycznia 20</w:t>
      </w:r>
      <w:r w:rsidRPr="00A1618E">
        <w:rPr>
          <w:noProof/>
          <w:lang w:val="pl-PL"/>
        </w:rPr>
        <w:t>21 r.</w:t>
      </w:r>
    </w:p>
    <w:p w14:paraId="16918094" w14:textId="77777777" w:rsidR="006578ED" w:rsidRDefault="00A1618E">
      <w:pPr>
        <w:pStyle w:val="P68B1DB1-Normal6"/>
        <w:spacing w:before="120" w:after="120" w:line="240" w:lineRule="auto"/>
        <w:jc w:val="both"/>
        <w:rPr>
          <w:rFonts w:cs="Times New Roman"/>
          <w:noProof/>
        </w:rPr>
      </w:pPr>
      <w:r>
        <w:rPr>
          <w:noProof/>
        </w:rPr>
        <w:t xml:space="preserve">Inwestycja 1 (C19. I1) – Przekrojowe umiejętności cyfrowe </w:t>
      </w:r>
    </w:p>
    <w:p w14:paraId="66FE5F11" w14:textId="7F9D5CFC" w:rsidR="006578ED" w:rsidRDefault="00A1618E">
      <w:pPr>
        <w:pStyle w:val="P68B1DB1-Normal4"/>
        <w:spacing w:before="120" w:after="120" w:line="240" w:lineRule="auto"/>
        <w:jc w:val="both"/>
        <w:rPr>
          <w:rFonts w:cs="Times New Roman"/>
          <w:noProof/>
        </w:rPr>
      </w:pPr>
      <w:r>
        <w:rPr>
          <w:noProof/>
        </w:rPr>
        <w:t xml:space="preserve">Celem tego środka jest poprawa poziomu umiejętności cyfrowych ludności. Środek ten przewiduje: rozwój sieci ośrodków wsparcia w zakresie szkoleń w zakresie podstawowych i zaawansowanych umiejętności cyfrowych, b) działania na rzecz e-integracji mające na celu wzmocnienie pozycji osób starszych lub ułatwienie szkoleń dla dzieci znajdujących się w trudnej sytuacji, c) różne kampanie uświadamiające, d) działania mające na celu zwiększenie zdolności cyfrowych ogółu społeczeństwa oraz e) rozwój zasobów cyfrowych do rozpowszechniania i nauczania języka hiszpańskiego. Środek ten ma również na celu promowanie cyfrowego upodmiotowienia kobiet oraz wspieranie celów naukowych i technologicznych w szkole. </w:t>
      </w:r>
    </w:p>
    <w:p w14:paraId="4791FCF2" w14:textId="6F8D332D" w:rsidR="006578ED" w:rsidRDefault="00A1618E">
      <w:pPr>
        <w:pStyle w:val="P68B1DB1-Normal4"/>
        <w:spacing w:before="120" w:after="120" w:line="240" w:lineRule="auto"/>
        <w:jc w:val="both"/>
        <w:rPr>
          <w:rFonts w:cs="Times New Roman"/>
          <w:noProof/>
          <w:u w:val="single"/>
        </w:rPr>
      </w:pPr>
      <w:r>
        <w:rPr>
          <w:noProof/>
        </w:rPr>
        <w:t>Wdrożenie środka należy zakończyć do dnia 30 czerwca 20</w:t>
      </w:r>
      <w:r w:rsidRPr="00A1618E">
        <w:rPr>
          <w:noProof/>
          <w:lang w:val="pl-PL"/>
        </w:rPr>
        <w:t>26 r.</w:t>
      </w:r>
      <w:r>
        <w:rPr>
          <w:noProof/>
        </w:rPr>
        <w:t xml:space="preserve"> </w:t>
      </w:r>
    </w:p>
    <w:p w14:paraId="46A1ADB9" w14:textId="77777777" w:rsidR="006578ED" w:rsidRDefault="00A1618E">
      <w:pPr>
        <w:pStyle w:val="P68B1DB1-Normal6"/>
        <w:spacing w:before="120" w:after="120" w:line="240" w:lineRule="auto"/>
        <w:jc w:val="both"/>
        <w:rPr>
          <w:rFonts w:cs="Times New Roman"/>
          <w:noProof/>
        </w:rPr>
      </w:pPr>
      <w:r>
        <w:rPr>
          <w:noProof/>
        </w:rPr>
        <w:t>Inwestycja 2 (C19. I2) – Transformacja cyfrowa edukacji</w:t>
      </w:r>
    </w:p>
    <w:p w14:paraId="43927BEE" w14:textId="1F8E92C9" w:rsidR="006578ED" w:rsidRDefault="00A1618E">
      <w:pPr>
        <w:pStyle w:val="P68B1DB1-Normal4"/>
        <w:spacing w:before="120" w:after="120" w:line="240" w:lineRule="auto"/>
        <w:jc w:val="both"/>
        <w:rPr>
          <w:rFonts w:cs="Times New Roman"/>
          <w:noProof/>
        </w:rPr>
      </w:pPr>
      <w:r>
        <w:rPr>
          <w:noProof/>
        </w:rPr>
        <w:t>Celem tego środka jest zwiększenie dostępu do cyfrowego uczenia się poprzez zapewnienie urządzeń przenośnych co najmniej 300000 uczniów ze słabszych grup społecznych w szkołach publicznych lub finansowanych ze środków publicznych. Będzie również instalować, aktualizować i utrzymywać interaktywne systemy cyfrowe (IDS) w co najmniej 240000 klas w szkołach publicznych i finansowanych ze środków publicznych, aby umożliwić nauczanie na odległość i kształcenie mieszane. Środek ten wspiera również przygotowanie lub zmianę strategii cyfrowej w co najmniej 22000 publicznych i finansowanych ze środków publicznych ośrodków szkolnych oraz obejmuje szkolenie cyfrowe 700000 nauczycieli.</w:t>
      </w:r>
    </w:p>
    <w:p w14:paraId="65A93E9D" w14:textId="38A5F0CC" w:rsidR="006578ED" w:rsidRDefault="00A1618E">
      <w:pPr>
        <w:pStyle w:val="P68B1DB1-Normal4"/>
        <w:spacing w:before="120" w:after="120" w:line="240" w:lineRule="auto"/>
        <w:jc w:val="both"/>
        <w:rPr>
          <w:rFonts w:cs="Times New Roman"/>
          <w:noProof/>
        </w:rPr>
      </w:pPr>
      <w:r>
        <w:rPr>
          <w:noProof/>
        </w:rPr>
        <w:t>Środek ten wspiera również realizację planu cyfrowego kształcenia i szkolenia zawodowego. Osiąga się to za pomocą narzędzia zarządzania akredytacją cyfrową w odniesieniu do umiejętności zawodowych nabytych dzięki doświadczeniu zawodowemu oraz poprzez stworzenie cyfrowych narzędzi zarządzania kształceniem i szkoleniem zawodowym na potrzeby zatrudnienia zgodnie z krajowym katalogiem kwalifikacji i rejestrem życia zawodowego. Ponadto środek ten wspiera tworzenie symulatorów, cyfrowych bliźniaków i centrów technologicznych.</w:t>
      </w:r>
    </w:p>
    <w:p w14:paraId="28D3EF1E" w14:textId="413401E7" w:rsidR="006578ED" w:rsidRDefault="00A1618E">
      <w:pPr>
        <w:pStyle w:val="P68B1DB1-Normal4"/>
        <w:spacing w:before="120" w:after="120" w:line="240" w:lineRule="auto"/>
        <w:jc w:val="both"/>
        <w:rPr>
          <w:rFonts w:cs="Times New Roman"/>
          <w:noProof/>
          <w:u w:val="single"/>
        </w:rPr>
      </w:pPr>
      <w:r>
        <w:rPr>
          <w:noProof/>
        </w:rPr>
        <w:t>Wdrażanie środka zostanie zakończone do dnia 31 grudnia 20</w:t>
      </w:r>
      <w:r w:rsidRPr="00A1618E">
        <w:rPr>
          <w:noProof/>
          <w:lang w:val="pl-PL"/>
        </w:rPr>
        <w:t>25 r.</w:t>
      </w:r>
      <w:r>
        <w:rPr>
          <w:noProof/>
        </w:rPr>
        <w:t xml:space="preserve"> </w:t>
      </w:r>
    </w:p>
    <w:p w14:paraId="658922D2" w14:textId="77777777" w:rsidR="006578ED" w:rsidRDefault="00A1618E">
      <w:pPr>
        <w:pStyle w:val="P68B1DB1-Normal6"/>
        <w:spacing w:before="120" w:after="120" w:line="240" w:lineRule="auto"/>
        <w:jc w:val="both"/>
        <w:rPr>
          <w:rFonts w:cs="Times New Roman"/>
          <w:noProof/>
        </w:rPr>
      </w:pPr>
      <w:r>
        <w:rPr>
          <w:noProof/>
        </w:rPr>
        <w:t>Inwestycja 3 (C19. I3) – Umiejętności cyfrowe na potrzeby zatrudnienia</w:t>
      </w:r>
    </w:p>
    <w:p w14:paraId="5909B2B8" w14:textId="7E75E8FB" w:rsidR="006578ED" w:rsidRDefault="00A1618E">
      <w:pPr>
        <w:pStyle w:val="P68B1DB1-Normal4"/>
        <w:spacing w:before="120" w:after="120" w:line="240" w:lineRule="auto"/>
        <w:jc w:val="both"/>
        <w:rPr>
          <w:rFonts w:cs="Times New Roman"/>
          <w:noProof/>
        </w:rPr>
      </w:pPr>
      <w:r>
        <w:rPr>
          <w:noProof/>
        </w:rPr>
        <w:t xml:space="preserve">Celem tego środka jest wzmocnienie umiejętności cyfrowych osób zatrudnionych i bezrobotnych – zwłaszcza młodych – w celu zwiększenia ich szans na zatrudnienie. Szkolenie jest również skierowane do administracji publicznej (m.in. pracowników służby zdrowia, żołnierzy i marynarzy w siłach zbrojnych oraz rezerwantów o specjalnej dostępności, personelu pracującego w dziedzinie zabezpieczenia społecznego i finansów). Ponadto środek ma wspierać cyfryzację MŚP poprzez działania skierowane do konkretnych sektorów gospodarki oraz szkolenia dla osób, które mogą pełnić rolę katalizatora zmian, w tym ekspertów i kierowników przedsiębiorstw. </w:t>
      </w:r>
    </w:p>
    <w:p w14:paraId="5C547629" w14:textId="597C2C7D" w:rsidR="006578ED" w:rsidRDefault="00A1618E">
      <w:pPr>
        <w:pStyle w:val="P68B1DB1-Normal4"/>
        <w:spacing w:before="120" w:after="120" w:line="240" w:lineRule="auto"/>
        <w:jc w:val="both"/>
        <w:rPr>
          <w:rFonts w:cs="Times New Roman"/>
          <w:noProof/>
        </w:rPr>
      </w:pPr>
      <w:r>
        <w:rPr>
          <w:noProof/>
        </w:rPr>
        <w:t>Wdrożenie środka należy zakończyć do dnia 30 czerwca 20</w:t>
      </w:r>
      <w:r w:rsidRPr="00A1618E">
        <w:rPr>
          <w:noProof/>
          <w:lang w:val="pl-PL"/>
        </w:rPr>
        <w:t>26 r.</w:t>
      </w:r>
      <w:r>
        <w:rPr>
          <w:noProof/>
        </w:rPr>
        <w:t xml:space="preserve"> </w:t>
      </w:r>
    </w:p>
    <w:p w14:paraId="2F45F217" w14:textId="7F451688" w:rsidR="006578ED" w:rsidRDefault="00A1618E">
      <w:pPr>
        <w:pStyle w:val="P68B1DB1-Normal6"/>
        <w:spacing w:before="120" w:after="120" w:line="240" w:lineRule="auto"/>
        <w:jc w:val="both"/>
        <w:rPr>
          <w:rFonts w:cs="Times New Roman"/>
          <w:noProof/>
        </w:rPr>
      </w:pPr>
      <w:r>
        <w:rPr>
          <w:noProof/>
        </w:rPr>
        <w:t>Inwestycja 4 (C19. I4) – Specjaliści w dziedzinie technologii cyfrowych</w:t>
      </w:r>
    </w:p>
    <w:p w14:paraId="2965251D" w14:textId="306C334B" w:rsidR="006578ED" w:rsidRDefault="00A1618E">
      <w:pPr>
        <w:pStyle w:val="P68B1DB1-Normal4"/>
        <w:spacing w:before="120" w:after="120" w:line="240" w:lineRule="auto"/>
        <w:jc w:val="both"/>
        <w:rPr>
          <w:rFonts w:cs="Times New Roman"/>
          <w:noProof/>
        </w:rPr>
      </w:pPr>
      <w:r>
        <w:rPr>
          <w:noProof/>
        </w:rPr>
        <w:t>Celem tego środka jest dostosowanie istniejącej oferty szkolenia zawodowego w zakresie zaawansowanych umiejętności cyfrowych oraz przyciągnięcie i zatrzymanie talentów w tych dziedzinach. Tworzy również otwarte zasoby edukacyjne na potrzeby nauczania cyfrowego w dziedzinie sztucznej inteligencji i cyberbezpieczeństwa na różnych poziomach.</w:t>
      </w:r>
    </w:p>
    <w:p w14:paraId="284D8B53" w14:textId="31C3564E" w:rsidR="006578ED" w:rsidRDefault="00A1618E">
      <w:pPr>
        <w:pStyle w:val="P68B1DB1-Normal4"/>
        <w:spacing w:before="120" w:after="120" w:line="240" w:lineRule="auto"/>
        <w:jc w:val="both"/>
        <w:rPr>
          <w:rFonts w:cs="Times New Roman"/>
          <w:noProof/>
        </w:rPr>
      </w:pPr>
      <w:r>
        <w:rPr>
          <w:noProof/>
        </w:rPr>
        <w:t xml:space="preserve">Środek obejmuje specjalne szkolenia dla około 20000 ekspertów w dziedzinie informatyki, ze szczególnym uwzględnieniem cyberbezpieczeństwa, a także finansowanie 4-letnich stypendiów w celu przyciągnięcia i zatrzymania talentów w zakresie zaawansowanych umiejętności cyfrowych. </w:t>
      </w:r>
    </w:p>
    <w:p w14:paraId="41E6B510" w14:textId="69A8016A" w:rsidR="006578ED" w:rsidRDefault="00A1618E">
      <w:pPr>
        <w:pStyle w:val="P68B1DB1-Normal4"/>
        <w:spacing w:before="120" w:after="120" w:line="240" w:lineRule="auto"/>
        <w:jc w:val="both"/>
        <w:rPr>
          <w:rFonts w:cs="Times New Roman"/>
          <w:b/>
          <w:noProof/>
          <w:u w:val="single"/>
        </w:rPr>
      </w:pPr>
      <w:r>
        <w:rPr>
          <w:noProof/>
        </w:rPr>
        <w:t>Wdrażanie środka zostanie zakończone do dnia 31 grudnia 20</w:t>
      </w:r>
      <w:r w:rsidRPr="00A1618E">
        <w:rPr>
          <w:noProof/>
          <w:lang w:val="pl-PL"/>
        </w:rPr>
        <w:t>25 r.</w:t>
      </w:r>
      <w:r>
        <w:rPr>
          <w:noProof/>
        </w:rPr>
        <w:t xml:space="preserve"> </w:t>
      </w:r>
    </w:p>
    <w:p w14:paraId="4ABCEC58" w14:textId="276F0B89" w:rsidR="006578ED" w:rsidRDefault="00A1618E">
      <w:pPr>
        <w:pStyle w:val="P68B1DB1-Normal5"/>
        <w:spacing w:before="120" w:after="120" w:line="240" w:lineRule="auto"/>
        <w:jc w:val="both"/>
        <w:rPr>
          <w:rFonts w:cs="Times New Roman"/>
          <w:noProof/>
        </w:rPr>
      </w:pPr>
      <w:r>
        <w:rPr>
          <w:noProof/>
        </w:rPr>
        <w:t xml:space="preserve">S.2. </w:t>
      </w:r>
      <w:r>
        <w:rPr>
          <w:noProof/>
        </w:rPr>
        <w:tab/>
        <w:t>Kamienie milowe, wartości docelowe, wskaźniki i harmonogram monitorowania i realizacji na potrzeby bezzwrotnego wsparcia finansowego</w:t>
      </w:r>
    </w:p>
    <w:p w14:paraId="4CC3DB63" w14:textId="2BC92740"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rozpoczęcie działania, chyba że w opisie działania wskazano inaczej. Kwoty w tabeli nie obejmują VAT.</w:t>
      </w:r>
    </w:p>
    <w:p w14:paraId="10C442A1" w14:textId="77777777" w:rsidR="006578ED" w:rsidRDefault="006578ED">
      <w:pPr>
        <w:spacing w:before="120" w:after="120" w:line="240" w:lineRule="auto"/>
        <w:jc w:val="both"/>
        <w:rPr>
          <w:rFonts w:ascii="Times New Roman" w:hAnsi="Times New Roman" w:cs="Times New Roman"/>
          <w:b/>
          <w:noProof/>
          <w:sz w:val="24"/>
          <w:u w:val="single"/>
        </w:rPr>
      </w:pPr>
    </w:p>
    <w:p w14:paraId="543CCFE9" w14:textId="77777777" w:rsidR="006578ED" w:rsidRDefault="006578ED">
      <w:pPr>
        <w:spacing w:before="120" w:after="120" w:line="240" w:lineRule="auto"/>
        <w:ind w:left="709"/>
        <w:jc w:val="both"/>
        <w:rPr>
          <w:rFonts w:ascii="Times New Roman" w:hAnsi="Times New Roman" w:cs="Times New Roman"/>
          <w:noProof/>
          <w:sz w:val="24"/>
        </w:rPr>
      </w:pPr>
    </w:p>
    <w:p w14:paraId="3C010B0A" w14:textId="77777777" w:rsidR="006578ED" w:rsidRDefault="006578ED">
      <w:pPr>
        <w:spacing w:before="120" w:after="120" w:line="240" w:lineRule="auto"/>
        <w:ind w:left="709"/>
        <w:jc w:val="both"/>
        <w:rPr>
          <w:rFonts w:ascii="Times New Roman" w:hAnsi="Times New Roman" w:cs="Times New Roman"/>
          <w:noProof/>
          <w:sz w:val="24"/>
        </w:rPr>
        <w:sectPr w:rsidR="006578ED" w:rsidSect="00C94F66">
          <w:headerReference w:type="even" r:id="rId387"/>
          <w:headerReference w:type="default" r:id="rId388"/>
          <w:footerReference w:type="even" r:id="rId389"/>
          <w:footerReference w:type="default" r:id="rId390"/>
          <w:headerReference w:type="first" r:id="rId391"/>
          <w:footerReference w:type="first" r:id="rId392"/>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1"/>
        <w:gridCol w:w="818"/>
        <w:gridCol w:w="852"/>
        <w:gridCol w:w="2700"/>
        <w:gridCol w:w="1420"/>
        <w:gridCol w:w="853"/>
        <w:gridCol w:w="568"/>
        <w:gridCol w:w="710"/>
        <w:gridCol w:w="427"/>
        <w:gridCol w:w="568"/>
        <w:gridCol w:w="5683"/>
      </w:tblGrid>
      <w:tr w:rsidR="006578ED" w14:paraId="77F4444D" w14:textId="77777777">
        <w:trPr>
          <w:trHeight w:val="309"/>
          <w:tblHeader/>
        </w:trPr>
        <w:tc>
          <w:tcPr>
            <w:tcW w:w="711" w:type="dxa"/>
            <w:tcBorders>
              <w:bottom w:val="nil"/>
            </w:tcBorders>
            <w:shd w:val="clear" w:color="auto" w:fill="C6D9F1" w:themeFill="text2" w:themeFillTint="33"/>
            <w:noWrap/>
          </w:tcPr>
          <w:p w14:paraId="0F115FF8" w14:textId="77777777" w:rsidR="006578ED" w:rsidRDefault="00A1618E">
            <w:pPr>
              <w:pStyle w:val="P68B1DB1-Normal12"/>
              <w:spacing w:after="0" w:line="240" w:lineRule="auto"/>
              <w:jc w:val="center"/>
              <w:rPr>
                <w:rFonts w:cs="Times New Roman"/>
                <w:noProof/>
              </w:rPr>
            </w:pPr>
            <w:r>
              <w:rPr>
                <w:noProof/>
              </w:rPr>
              <w:t>Liczba</w:t>
            </w:r>
          </w:p>
        </w:tc>
        <w:tc>
          <w:tcPr>
            <w:tcW w:w="818" w:type="dxa"/>
            <w:tcBorders>
              <w:bottom w:val="nil"/>
            </w:tcBorders>
            <w:shd w:val="clear" w:color="auto" w:fill="C6D9F1" w:themeFill="text2" w:themeFillTint="33"/>
            <w:noWrap/>
          </w:tcPr>
          <w:p w14:paraId="289B5EB3" w14:textId="77777777" w:rsidR="006578ED" w:rsidRDefault="00A1618E">
            <w:pPr>
              <w:pStyle w:val="P68B1DB1-Normal12"/>
              <w:spacing w:after="0" w:line="240" w:lineRule="auto"/>
              <w:jc w:val="center"/>
              <w:rPr>
                <w:rFonts w:cs="Times New Roman"/>
                <w:noProof/>
              </w:rPr>
            </w:pPr>
            <w:r>
              <w:rPr>
                <w:noProof/>
              </w:rPr>
              <w:t>Środek</w:t>
            </w:r>
          </w:p>
        </w:tc>
        <w:tc>
          <w:tcPr>
            <w:tcW w:w="852" w:type="dxa"/>
            <w:tcBorders>
              <w:bottom w:val="nil"/>
            </w:tcBorders>
            <w:shd w:val="clear" w:color="auto" w:fill="C6D9F1" w:themeFill="text2" w:themeFillTint="33"/>
            <w:noWrap/>
          </w:tcPr>
          <w:p w14:paraId="6B8CB5F1" w14:textId="117B1F0A" w:rsidR="006578ED" w:rsidRDefault="00EC188C">
            <w:pPr>
              <w:pStyle w:val="P68B1DB1-Normal13"/>
              <w:spacing w:after="0" w:line="240" w:lineRule="auto"/>
              <w:jc w:val="center"/>
              <w:rPr>
                <w:rFonts w:cs="Times New Roman"/>
                <w:b/>
                <w:noProof/>
              </w:rPr>
            </w:pPr>
            <w:r>
              <w:rPr>
                <w:b/>
                <w:noProof/>
              </w:rPr>
              <w:t>Kamień milowy</w:t>
            </w:r>
            <w:r>
              <w:rPr>
                <w:noProof/>
              </w:rPr>
              <w:br/>
            </w:r>
            <w:r>
              <w:rPr>
                <w:b/>
                <w:noProof/>
              </w:rPr>
              <w:t xml:space="preserve"> /</w:t>
            </w:r>
            <w:r w:rsidR="00AF6B91">
              <w:rPr>
                <w:b/>
                <w:noProof/>
              </w:rPr>
              <w:t>Wartość docelowa</w:t>
            </w:r>
          </w:p>
        </w:tc>
        <w:tc>
          <w:tcPr>
            <w:tcW w:w="2700" w:type="dxa"/>
            <w:tcBorders>
              <w:bottom w:val="nil"/>
            </w:tcBorders>
            <w:shd w:val="clear" w:color="auto" w:fill="C6D9F1" w:themeFill="text2" w:themeFillTint="33"/>
            <w:noWrap/>
          </w:tcPr>
          <w:p w14:paraId="102CD23E" w14:textId="77777777" w:rsidR="006578ED" w:rsidRDefault="00A1618E">
            <w:pPr>
              <w:pStyle w:val="P68B1DB1-Normal12"/>
              <w:spacing w:after="0" w:line="240" w:lineRule="auto"/>
              <w:jc w:val="center"/>
              <w:rPr>
                <w:rFonts w:cs="Times New Roman"/>
                <w:noProof/>
              </w:rPr>
            </w:pPr>
            <w:r>
              <w:rPr>
                <w:noProof/>
              </w:rPr>
              <w:t>Nazwa</w:t>
            </w:r>
          </w:p>
        </w:tc>
        <w:tc>
          <w:tcPr>
            <w:tcW w:w="1420" w:type="dxa"/>
            <w:tcBorders>
              <w:bottom w:val="nil"/>
            </w:tcBorders>
            <w:shd w:val="clear" w:color="auto" w:fill="C6D9F1" w:themeFill="text2" w:themeFillTint="33"/>
            <w:noWrap/>
          </w:tcPr>
          <w:p w14:paraId="228A5962"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131" w:type="dxa"/>
            <w:gridSpan w:val="3"/>
            <w:shd w:val="clear" w:color="auto" w:fill="C6D9F1" w:themeFill="text2" w:themeFillTint="33"/>
            <w:noWrap/>
          </w:tcPr>
          <w:p w14:paraId="3093DBAB"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5" w:type="dxa"/>
            <w:gridSpan w:val="2"/>
            <w:shd w:val="clear" w:color="auto" w:fill="C6D9F1" w:themeFill="text2" w:themeFillTint="33"/>
            <w:noWrap/>
          </w:tcPr>
          <w:p w14:paraId="335F0B82" w14:textId="77777777" w:rsidR="006578ED" w:rsidRDefault="00A1618E">
            <w:pPr>
              <w:pStyle w:val="P68B1DB1-Normal12"/>
              <w:spacing w:after="0" w:line="240" w:lineRule="auto"/>
              <w:jc w:val="center"/>
              <w:rPr>
                <w:rFonts w:cs="Times New Roman"/>
                <w:noProof/>
              </w:rPr>
            </w:pPr>
            <w:r>
              <w:rPr>
                <w:noProof/>
              </w:rPr>
              <w:t>Czas</w:t>
            </w:r>
          </w:p>
        </w:tc>
        <w:tc>
          <w:tcPr>
            <w:tcW w:w="5683" w:type="dxa"/>
            <w:tcBorders>
              <w:bottom w:val="nil"/>
            </w:tcBorders>
            <w:shd w:val="clear" w:color="auto" w:fill="C6D9F1" w:themeFill="text2" w:themeFillTint="33"/>
            <w:noWrap/>
          </w:tcPr>
          <w:p w14:paraId="604952A4" w14:textId="7DB21AD8"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2C9FF982" w14:textId="77777777">
        <w:trPr>
          <w:trHeight w:val="309"/>
          <w:tblHeader/>
        </w:trPr>
        <w:tc>
          <w:tcPr>
            <w:tcW w:w="711" w:type="dxa"/>
            <w:tcBorders>
              <w:top w:val="nil"/>
            </w:tcBorders>
            <w:shd w:val="clear" w:color="auto" w:fill="C6D9F1" w:themeFill="text2" w:themeFillTint="33"/>
            <w:noWrap/>
          </w:tcPr>
          <w:p w14:paraId="70ED3F4C" w14:textId="77777777" w:rsidR="006578ED" w:rsidRDefault="006578ED">
            <w:pPr>
              <w:spacing w:after="0" w:line="240" w:lineRule="auto"/>
              <w:jc w:val="center"/>
              <w:rPr>
                <w:rFonts w:ascii="Times New Roman" w:hAnsi="Times New Roman" w:cs="Times New Roman"/>
                <w:b/>
                <w:noProof/>
                <w:sz w:val="18"/>
              </w:rPr>
            </w:pPr>
          </w:p>
        </w:tc>
        <w:tc>
          <w:tcPr>
            <w:tcW w:w="818" w:type="dxa"/>
            <w:tcBorders>
              <w:top w:val="nil"/>
            </w:tcBorders>
            <w:shd w:val="clear" w:color="auto" w:fill="C6D9F1" w:themeFill="text2" w:themeFillTint="33"/>
            <w:noWrap/>
          </w:tcPr>
          <w:p w14:paraId="58A2343A" w14:textId="77777777" w:rsidR="006578ED" w:rsidRDefault="006578ED">
            <w:pPr>
              <w:spacing w:after="0" w:line="240" w:lineRule="auto"/>
              <w:jc w:val="center"/>
              <w:rPr>
                <w:rFonts w:ascii="Times New Roman" w:hAnsi="Times New Roman" w:cs="Times New Roman"/>
                <w:b/>
                <w:noProof/>
                <w:sz w:val="18"/>
              </w:rPr>
            </w:pPr>
          </w:p>
        </w:tc>
        <w:tc>
          <w:tcPr>
            <w:tcW w:w="852" w:type="dxa"/>
            <w:tcBorders>
              <w:top w:val="nil"/>
            </w:tcBorders>
            <w:shd w:val="clear" w:color="auto" w:fill="C6D9F1" w:themeFill="text2" w:themeFillTint="33"/>
            <w:noWrap/>
          </w:tcPr>
          <w:p w14:paraId="61BA8B61" w14:textId="77777777" w:rsidR="006578ED" w:rsidRDefault="006578ED">
            <w:pPr>
              <w:spacing w:after="0" w:line="240" w:lineRule="auto"/>
              <w:jc w:val="center"/>
              <w:rPr>
                <w:rFonts w:ascii="Times New Roman" w:hAnsi="Times New Roman" w:cs="Times New Roman"/>
                <w:b/>
                <w:noProof/>
                <w:sz w:val="18"/>
              </w:rPr>
            </w:pPr>
          </w:p>
        </w:tc>
        <w:tc>
          <w:tcPr>
            <w:tcW w:w="2700" w:type="dxa"/>
            <w:tcBorders>
              <w:top w:val="nil"/>
            </w:tcBorders>
            <w:shd w:val="clear" w:color="auto" w:fill="C6D9F1" w:themeFill="text2" w:themeFillTint="33"/>
            <w:noWrap/>
          </w:tcPr>
          <w:p w14:paraId="4C82012C" w14:textId="77777777" w:rsidR="006578ED" w:rsidRDefault="006578ED">
            <w:pPr>
              <w:spacing w:after="0" w:line="240" w:lineRule="auto"/>
              <w:rPr>
                <w:rFonts w:ascii="Times New Roman" w:hAnsi="Times New Roman" w:cs="Times New Roman"/>
                <w:b/>
                <w:noProof/>
                <w:sz w:val="18"/>
              </w:rPr>
            </w:pPr>
          </w:p>
        </w:tc>
        <w:tc>
          <w:tcPr>
            <w:tcW w:w="1420" w:type="dxa"/>
            <w:tcBorders>
              <w:top w:val="nil"/>
            </w:tcBorders>
            <w:shd w:val="clear" w:color="auto" w:fill="C6D9F1" w:themeFill="text2" w:themeFillTint="33"/>
            <w:noWrap/>
          </w:tcPr>
          <w:p w14:paraId="3273D545" w14:textId="77777777" w:rsidR="006578ED" w:rsidRDefault="006578ED">
            <w:pPr>
              <w:spacing w:after="0" w:line="240" w:lineRule="auto"/>
              <w:jc w:val="center"/>
              <w:rPr>
                <w:rFonts w:ascii="Times New Roman" w:hAnsi="Times New Roman" w:cs="Times New Roman"/>
                <w:b/>
                <w:noProof/>
                <w:sz w:val="18"/>
              </w:rPr>
            </w:pPr>
          </w:p>
        </w:tc>
        <w:tc>
          <w:tcPr>
            <w:tcW w:w="853" w:type="dxa"/>
            <w:shd w:val="clear" w:color="auto" w:fill="C6D9F1" w:themeFill="text2" w:themeFillTint="33"/>
            <w:noWrap/>
          </w:tcPr>
          <w:p w14:paraId="20C97B34" w14:textId="77777777" w:rsidR="006578ED" w:rsidRDefault="00A1618E">
            <w:pPr>
              <w:pStyle w:val="P68B1DB1-Normal12"/>
              <w:spacing w:after="0" w:line="240" w:lineRule="auto"/>
              <w:jc w:val="center"/>
              <w:rPr>
                <w:rFonts w:cs="Times New Roman"/>
                <w:noProof/>
              </w:rPr>
            </w:pPr>
            <w:r>
              <w:rPr>
                <w:noProof/>
              </w:rPr>
              <w:t>Jednostka</w:t>
            </w:r>
          </w:p>
        </w:tc>
        <w:tc>
          <w:tcPr>
            <w:tcW w:w="568" w:type="dxa"/>
            <w:shd w:val="clear" w:color="auto" w:fill="C6D9F1" w:themeFill="text2" w:themeFillTint="33"/>
            <w:noWrap/>
          </w:tcPr>
          <w:p w14:paraId="6C884A23" w14:textId="77777777" w:rsidR="006578ED" w:rsidRDefault="00A1618E">
            <w:pPr>
              <w:pStyle w:val="P68B1DB1-Normal12"/>
              <w:spacing w:after="0" w:line="240" w:lineRule="auto"/>
              <w:jc w:val="center"/>
              <w:rPr>
                <w:rFonts w:cs="Times New Roman"/>
                <w:noProof/>
              </w:rPr>
            </w:pPr>
            <w:r>
              <w:rPr>
                <w:noProof/>
              </w:rPr>
              <w:t>Wartość wyjściowa</w:t>
            </w:r>
          </w:p>
        </w:tc>
        <w:tc>
          <w:tcPr>
            <w:tcW w:w="710" w:type="dxa"/>
            <w:shd w:val="clear" w:color="auto" w:fill="C6D9F1" w:themeFill="text2" w:themeFillTint="33"/>
            <w:noWrap/>
          </w:tcPr>
          <w:p w14:paraId="43910F29" w14:textId="77777777" w:rsidR="006578ED" w:rsidRDefault="00A1618E">
            <w:pPr>
              <w:pStyle w:val="P68B1DB1-Normal12"/>
              <w:spacing w:after="0" w:line="240" w:lineRule="auto"/>
              <w:jc w:val="center"/>
              <w:rPr>
                <w:rFonts w:cs="Times New Roman"/>
                <w:noProof/>
              </w:rPr>
            </w:pPr>
            <w:r>
              <w:rPr>
                <w:noProof/>
              </w:rPr>
              <w:t>Cel</w:t>
            </w:r>
          </w:p>
        </w:tc>
        <w:tc>
          <w:tcPr>
            <w:tcW w:w="427" w:type="dxa"/>
            <w:shd w:val="clear" w:color="auto" w:fill="C6D9F1" w:themeFill="text2" w:themeFillTint="33"/>
            <w:noWrap/>
          </w:tcPr>
          <w:p w14:paraId="2EFF67D8" w14:textId="77777777" w:rsidR="006578ED" w:rsidRDefault="00A1618E">
            <w:pPr>
              <w:pStyle w:val="P68B1DB1-Normal12"/>
              <w:spacing w:after="0" w:line="240" w:lineRule="auto"/>
              <w:jc w:val="center"/>
              <w:rPr>
                <w:rFonts w:cs="Times New Roman"/>
                <w:noProof/>
              </w:rPr>
            </w:pPr>
            <w:r>
              <w:rPr>
                <w:noProof/>
              </w:rPr>
              <w:t>Q</w:t>
            </w:r>
          </w:p>
        </w:tc>
        <w:tc>
          <w:tcPr>
            <w:tcW w:w="568" w:type="dxa"/>
            <w:shd w:val="clear" w:color="auto" w:fill="C6D9F1" w:themeFill="text2" w:themeFillTint="33"/>
            <w:noWrap/>
          </w:tcPr>
          <w:p w14:paraId="173F9C0B" w14:textId="77777777" w:rsidR="006578ED" w:rsidRDefault="00A1618E">
            <w:pPr>
              <w:pStyle w:val="P68B1DB1-Normal12"/>
              <w:spacing w:after="0" w:line="240" w:lineRule="auto"/>
              <w:jc w:val="center"/>
              <w:rPr>
                <w:rFonts w:cs="Times New Roman"/>
                <w:noProof/>
              </w:rPr>
            </w:pPr>
            <w:r>
              <w:rPr>
                <w:noProof/>
              </w:rPr>
              <w:t>Rok</w:t>
            </w:r>
          </w:p>
        </w:tc>
        <w:tc>
          <w:tcPr>
            <w:tcW w:w="5683" w:type="dxa"/>
            <w:tcBorders>
              <w:top w:val="nil"/>
            </w:tcBorders>
            <w:shd w:val="clear" w:color="auto" w:fill="C6D9F1" w:themeFill="text2" w:themeFillTint="33"/>
            <w:noWrap/>
          </w:tcPr>
          <w:p w14:paraId="7E520BEA" w14:textId="77777777" w:rsidR="006578ED" w:rsidRDefault="006578ED">
            <w:pPr>
              <w:spacing w:after="0" w:line="240" w:lineRule="auto"/>
              <w:rPr>
                <w:rFonts w:ascii="Times New Roman" w:hAnsi="Times New Roman" w:cs="Times New Roman"/>
                <w:b/>
                <w:noProof/>
                <w:sz w:val="18"/>
              </w:rPr>
            </w:pPr>
          </w:p>
        </w:tc>
      </w:tr>
      <w:tr w:rsidR="006578ED" w14:paraId="49645203" w14:textId="77777777">
        <w:trPr>
          <w:trHeight w:val="309"/>
        </w:trPr>
        <w:tc>
          <w:tcPr>
            <w:tcW w:w="711" w:type="dxa"/>
            <w:shd w:val="clear" w:color="auto" w:fill="C6EFCE"/>
            <w:noWrap/>
          </w:tcPr>
          <w:p w14:paraId="1033C07A" w14:textId="77777777" w:rsidR="006578ED" w:rsidRDefault="00A1618E">
            <w:pPr>
              <w:pStyle w:val="P68B1DB1-Normal13"/>
              <w:spacing w:after="0" w:line="240" w:lineRule="auto"/>
              <w:jc w:val="center"/>
              <w:rPr>
                <w:rFonts w:eastAsia="Times New Roman" w:cs="Times New Roman"/>
                <w:noProof/>
              </w:rPr>
            </w:pPr>
            <w:r>
              <w:rPr>
                <w:noProof/>
              </w:rPr>
              <w:t>285</w:t>
            </w:r>
          </w:p>
        </w:tc>
        <w:tc>
          <w:tcPr>
            <w:tcW w:w="818" w:type="dxa"/>
            <w:shd w:val="clear" w:color="auto" w:fill="C6EFCE"/>
            <w:noWrap/>
          </w:tcPr>
          <w:p w14:paraId="2C6BD067" w14:textId="77777777" w:rsidR="006578ED" w:rsidRDefault="00A1618E">
            <w:pPr>
              <w:pStyle w:val="P68B1DB1-Normal13"/>
              <w:spacing w:after="0" w:line="240" w:lineRule="auto"/>
              <w:jc w:val="center"/>
              <w:rPr>
                <w:rFonts w:eastAsia="Times New Roman" w:cs="Times New Roman"/>
                <w:noProof/>
              </w:rPr>
            </w:pPr>
            <w:r>
              <w:rPr>
                <w:noProof/>
              </w:rPr>
              <w:t>C19.R1</w:t>
            </w:r>
          </w:p>
        </w:tc>
        <w:tc>
          <w:tcPr>
            <w:tcW w:w="852" w:type="dxa"/>
            <w:shd w:val="clear" w:color="auto" w:fill="C6EFCE"/>
            <w:noWrap/>
          </w:tcPr>
          <w:p w14:paraId="3F26CF38" w14:textId="20804E9C" w:rsidR="006578ED" w:rsidRDefault="00AF6B91">
            <w:pPr>
              <w:pStyle w:val="P68B1DB1-Normal13"/>
              <w:spacing w:after="0" w:line="240" w:lineRule="auto"/>
              <w:jc w:val="center"/>
              <w:rPr>
                <w:rFonts w:eastAsia="Times New Roman" w:cs="Times New Roman"/>
                <w:noProof/>
              </w:rPr>
            </w:pPr>
            <w:r>
              <w:rPr>
                <w:noProof/>
              </w:rPr>
              <w:t>Kamień milowy</w:t>
            </w:r>
          </w:p>
        </w:tc>
        <w:tc>
          <w:tcPr>
            <w:tcW w:w="2700" w:type="dxa"/>
            <w:shd w:val="clear" w:color="auto" w:fill="C6EFCE"/>
            <w:noWrap/>
          </w:tcPr>
          <w:p w14:paraId="4EE85BFA" w14:textId="77777777" w:rsidR="006578ED" w:rsidRDefault="00A1618E">
            <w:pPr>
              <w:pStyle w:val="P68B1DB1-Normal13"/>
              <w:spacing w:after="0" w:line="240" w:lineRule="auto"/>
              <w:rPr>
                <w:rFonts w:eastAsia="Times New Roman" w:cs="Times New Roman"/>
                <w:noProof/>
              </w:rPr>
            </w:pPr>
            <w:r>
              <w:rPr>
                <w:noProof/>
              </w:rPr>
              <w:t>Zatwierdzenie krajowego planu kompetencji cyfrowych przez Radę Ministrów</w:t>
            </w:r>
          </w:p>
        </w:tc>
        <w:tc>
          <w:tcPr>
            <w:tcW w:w="1420" w:type="dxa"/>
            <w:shd w:val="clear" w:color="auto" w:fill="C6EFCE"/>
            <w:noWrap/>
          </w:tcPr>
          <w:p w14:paraId="431D6E58" w14:textId="77777777" w:rsidR="006578ED" w:rsidRDefault="00A1618E">
            <w:pPr>
              <w:pStyle w:val="P68B1DB1-Normal13"/>
              <w:spacing w:after="0" w:line="240" w:lineRule="auto"/>
              <w:jc w:val="center"/>
              <w:rPr>
                <w:rFonts w:eastAsia="Times New Roman" w:cs="Times New Roman"/>
                <w:noProof/>
              </w:rPr>
            </w:pPr>
            <w:r>
              <w:rPr>
                <w:noProof/>
              </w:rPr>
              <w:t>Odniesienie do Rady Ministrów</w:t>
            </w:r>
          </w:p>
        </w:tc>
        <w:tc>
          <w:tcPr>
            <w:tcW w:w="853" w:type="dxa"/>
            <w:shd w:val="clear" w:color="auto" w:fill="C6EFCE"/>
            <w:noWrap/>
          </w:tcPr>
          <w:p w14:paraId="5B1F0EB8"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8" w:type="dxa"/>
            <w:shd w:val="clear" w:color="auto" w:fill="C6EFCE"/>
            <w:noWrap/>
          </w:tcPr>
          <w:p w14:paraId="51848022"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10" w:type="dxa"/>
            <w:shd w:val="clear" w:color="auto" w:fill="C6EFCE"/>
            <w:noWrap/>
          </w:tcPr>
          <w:p w14:paraId="633489A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27" w:type="dxa"/>
            <w:shd w:val="clear" w:color="auto" w:fill="C6EFCE"/>
            <w:noWrap/>
          </w:tcPr>
          <w:p w14:paraId="71914AFE" w14:textId="2F9F3256" w:rsidR="006578ED" w:rsidRDefault="00EC188C">
            <w:pPr>
              <w:pStyle w:val="P68B1DB1-Normal13"/>
              <w:spacing w:after="0" w:line="240" w:lineRule="auto"/>
              <w:jc w:val="center"/>
              <w:rPr>
                <w:rFonts w:eastAsia="Times New Roman" w:cs="Times New Roman"/>
                <w:noProof/>
              </w:rPr>
            </w:pPr>
            <w:r>
              <w:rPr>
                <w:noProof/>
              </w:rPr>
              <w:t>KW. 1</w:t>
            </w:r>
          </w:p>
        </w:tc>
        <w:tc>
          <w:tcPr>
            <w:tcW w:w="568" w:type="dxa"/>
            <w:shd w:val="clear" w:color="auto" w:fill="C6EFCE"/>
            <w:noWrap/>
          </w:tcPr>
          <w:p w14:paraId="6DF6DA1F"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683" w:type="dxa"/>
            <w:shd w:val="clear" w:color="auto" w:fill="C6EFCE"/>
            <w:noWrap/>
          </w:tcPr>
          <w:p w14:paraId="321ACE2D" w14:textId="28AE26FD" w:rsidR="006578ED" w:rsidRDefault="00A1618E">
            <w:pPr>
              <w:pStyle w:val="P68B1DB1-Normal13"/>
              <w:spacing w:after="0" w:line="240" w:lineRule="auto"/>
              <w:rPr>
                <w:rFonts w:eastAsia="Times New Roman" w:cs="Times New Roman"/>
                <w:noProof/>
              </w:rPr>
            </w:pPr>
            <w:r>
              <w:rPr>
                <w:noProof/>
              </w:rPr>
              <w:t>Zatwierdzenie krajowego planu kompetencji cyfrowych przez Radę Ministrów. Plan ma na celu: Zapewnienie ogółowi społeczeństwa szkoleń w zakresie umiejętności cyfrowych; 2) niwelowanie przepaści cyfrowej między kobietami a mężczyznami; Cyfryzacja systemu edukacji i rozwijanie umiejętności cyfrowych na potrzeby uczenia się; (4, 5) zapewnienie umiejętności cyfrowych w celu zwiększenia szans na zatrudnienie pracowników prywatnych i publicznych; Rozwój umiejętności cyfrowych w MŚP; oraz 7) zwiększenie liczby specjalistów w dziedzinie ICT, które nie są wiążące dla regionów i podmiotów lokalnych.</w:t>
            </w:r>
          </w:p>
        </w:tc>
      </w:tr>
      <w:tr w:rsidR="006578ED" w14:paraId="7F43154E" w14:textId="77777777">
        <w:trPr>
          <w:trHeight w:val="309"/>
        </w:trPr>
        <w:tc>
          <w:tcPr>
            <w:tcW w:w="711" w:type="dxa"/>
            <w:shd w:val="clear" w:color="auto" w:fill="C6EFCE"/>
            <w:noWrap/>
          </w:tcPr>
          <w:p w14:paraId="28AB29BD" w14:textId="77777777" w:rsidR="006578ED" w:rsidRDefault="00A1618E">
            <w:pPr>
              <w:pStyle w:val="P68B1DB1-Normal13"/>
              <w:spacing w:after="0" w:line="240" w:lineRule="auto"/>
              <w:jc w:val="center"/>
              <w:rPr>
                <w:rFonts w:eastAsia="Times New Roman" w:cs="Times New Roman"/>
                <w:noProof/>
              </w:rPr>
            </w:pPr>
            <w:r>
              <w:rPr>
                <w:noProof/>
              </w:rPr>
              <w:t>286</w:t>
            </w:r>
          </w:p>
        </w:tc>
        <w:tc>
          <w:tcPr>
            <w:tcW w:w="818" w:type="dxa"/>
            <w:shd w:val="clear" w:color="auto" w:fill="C6EFCE"/>
            <w:noWrap/>
          </w:tcPr>
          <w:p w14:paraId="496CF9AC" w14:textId="77777777" w:rsidR="006578ED" w:rsidRDefault="00A1618E">
            <w:pPr>
              <w:pStyle w:val="P68B1DB1-Normal13"/>
              <w:spacing w:after="0" w:line="240" w:lineRule="auto"/>
              <w:jc w:val="center"/>
              <w:rPr>
                <w:rFonts w:eastAsia="Times New Roman" w:cs="Times New Roman"/>
                <w:noProof/>
              </w:rPr>
            </w:pPr>
            <w:r>
              <w:rPr>
                <w:noProof/>
              </w:rPr>
              <w:t>C19.I1</w:t>
            </w:r>
          </w:p>
        </w:tc>
        <w:tc>
          <w:tcPr>
            <w:tcW w:w="852" w:type="dxa"/>
            <w:shd w:val="clear" w:color="auto" w:fill="C6EFCE"/>
            <w:noWrap/>
          </w:tcPr>
          <w:p w14:paraId="74B3164B" w14:textId="5BFF420E" w:rsidR="006578ED" w:rsidRDefault="00AF6B91">
            <w:pPr>
              <w:pStyle w:val="P68B1DB1-Normal13"/>
              <w:spacing w:after="0" w:line="240" w:lineRule="auto"/>
              <w:jc w:val="center"/>
              <w:rPr>
                <w:rFonts w:eastAsia="Times New Roman" w:cs="Times New Roman"/>
                <w:noProof/>
              </w:rPr>
            </w:pPr>
            <w:r>
              <w:rPr>
                <w:noProof/>
              </w:rPr>
              <w:t>Cel</w:t>
            </w:r>
          </w:p>
        </w:tc>
        <w:tc>
          <w:tcPr>
            <w:tcW w:w="2700" w:type="dxa"/>
            <w:shd w:val="clear" w:color="auto" w:fill="C6EFCE"/>
            <w:noWrap/>
          </w:tcPr>
          <w:p w14:paraId="156B4125" w14:textId="7C0358B6" w:rsidR="006578ED" w:rsidRDefault="00A1618E">
            <w:pPr>
              <w:pStyle w:val="P68B1DB1-Normal13"/>
              <w:spacing w:after="0" w:line="240" w:lineRule="auto"/>
              <w:rPr>
                <w:rFonts w:eastAsia="Times New Roman" w:cs="Times New Roman"/>
                <w:noProof/>
              </w:rPr>
            </w:pPr>
            <w:r>
              <w:rPr>
                <w:noProof/>
              </w:rPr>
              <w:t>Szkolenie obywateli w zakresie umiejętności cyfrowych.</w:t>
            </w:r>
          </w:p>
        </w:tc>
        <w:tc>
          <w:tcPr>
            <w:tcW w:w="1420" w:type="dxa"/>
            <w:shd w:val="clear" w:color="auto" w:fill="C6EFCE"/>
            <w:noWrap/>
          </w:tcPr>
          <w:p w14:paraId="4EAEF2B2" w14:textId="77777777" w:rsidR="006578ED" w:rsidRDefault="00A1618E">
            <w:pPr>
              <w:pStyle w:val="P68B1DB1-Normal13"/>
              <w:spacing w:after="0" w:line="240" w:lineRule="auto"/>
              <w:jc w:val="center"/>
              <w:rPr>
                <w:rFonts w:eastAsia="Times New Roman" w:cs="Times New Roman"/>
                <w:noProof/>
              </w:rPr>
            </w:pPr>
            <w:r>
              <w:rPr>
                <w:noProof/>
              </w:rPr>
              <w:t>—</w:t>
            </w:r>
          </w:p>
        </w:tc>
        <w:tc>
          <w:tcPr>
            <w:tcW w:w="853" w:type="dxa"/>
            <w:shd w:val="clear" w:color="auto" w:fill="C6EFCE"/>
            <w:noWrap/>
          </w:tcPr>
          <w:p w14:paraId="28A170BB"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8" w:type="dxa"/>
            <w:shd w:val="clear" w:color="auto" w:fill="C6EFCE"/>
            <w:noWrap/>
          </w:tcPr>
          <w:p w14:paraId="546E7625" w14:textId="77777777" w:rsidR="006578ED" w:rsidRDefault="00A1618E">
            <w:pPr>
              <w:pStyle w:val="P68B1DB1-Normal13"/>
              <w:spacing w:after="0" w:line="240" w:lineRule="auto"/>
              <w:jc w:val="right"/>
              <w:rPr>
                <w:rFonts w:eastAsia="Times New Roman" w:cs="Times New Roman"/>
                <w:noProof/>
              </w:rPr>
            </w:pPr>
            <w:r>
              <w:rPr>
                <w:noProof/>
              </w:rPr>
              <w:t>0</w:t>
            </w:r>
          </w:p>
        </w:tc>
        <w:tc>
          <w:tcPr>
            <w:tcW w:w="710" w:type="dxa"/>
            <w:shd w:val="clear" w:color="auto" w:fill="C6EFCE"/>
            <w:noWrap/>
          </w:tcPr>
          <w:p w14:paraId="2CB75CD5" w14:textId="77777777" w:rsidR="006578ED" w:rsidRDefault="00A1618E">
            <w:pPr>
              <w:pStyle w:val="P68B1DB1-Normal13"/>
              <w:spacing w:after="0" w:line="240" w:lineRule="auto"/>
              <w:jc w:val="right"/>
              <w:rPr>
                <w:rFonts w:eastAsia="Times New Roman" w:cs="Times New Roman"/>
                <w:noProof/>
              </w:rPr>
            </w:pPr>
            <w:r>
              <w:rPr>
                <w:noProof/>
              </w:rPr>
              <w:t>75</w:t>
            </w:r>
          </w:p>
        </w:tc>
        <w:tc>
          <w:tcPr>
            <w:tcW w:w="427" w:type="dxa"/>
            <w:shd w:val="clear" w:color="auto" w:fill="C6EFCE"/>
            <w:noWrap/>
          </w:tcPr>
          <w:p w14:paraId="117126BB" w14:textId="7D51D9F7" w:rsidR="006578ED" w:rsidRDefault="00EC188C">
            <w:pPr>
              <w:pStyle w:val="P68B1DB1-Normal13"/>
              <w:spacing w:after="0" w:line="240" w:lineRule="auto"/>
              <w:jc w:val="center"/>
              <w:rPr>
                <w:rFonts w:eastAsia="Times New Roman" w:cs="Times New Roman"/>
                <w:noProof/>
              </w:rPr>
            </w:pPr>
            <w:r>
              <w:rPr>
                <w:noProof/>
              </w:rPr>
              <w:t>KW. 4</w:t>
            </w:r>
          </w:p>
        </w:tc>
        <w:tc>
          <w:tcPr>
            <w:tcW w:w="568" w:type="dxa"/>
            <w:shd w:val="clear" w:color="auto" w:fill="C6EFCE"/>
            <w:noWrap/>
          </w:tcPr>
          <w:p w14:paraId="3CE7951F"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683" w:type="dxa"/>
            <w:shd w:val="clear" w:color="auto" w:fill="C6EFCE"/>
            <w:noWrap/>
          </w:tcPr>
          <w:p w14:paraId="1B50A127" w14:textId="54B76BA8" w:rsidR="006578ED" w:rsidRDefault="00A1618E">
            <w:pPr>
              <w:pStyle w:val="P68B1DB1-Normal13"/>
              <w:spacing w:after="0" w:line="240" w:lineRule="auto"/>
              <w:rPr>
                <w:rFonts w:eastAsia="Times New Roman" w:cs="Times New Roman"/>
                <w:noProof/>
              </w:rPr>
            </w:pPr>
            <w:r>
              <w:rPr>
                <w:noProof/>
              </w:rPr>
              <w:t>Co najmniej 75 % budżetu przeznaczono na działania w ramach inwestycji mające na celu szkolenie obywateli w zakresie umiejętności cyfrowych.</w:t>
            </w:r>
          </w:p>
        </w:tc>
      </w:tr>
      <w:tr w:rsidR="006578ED" w14:paraId="0513FA74" w14:textId="77777777">
        <w:trPr>
          <w:trHeight w:val="309"/>
        </w:trPr>
        <w:tc>
          <w:tcPr>
            <w:tcW w:w="711" w:type="dxa"/>
            <w:shd w:val="clear" w:color="auto" w:fill="C6EFCE"/>
            <w:noWrap/>
          </w:tcPr>
          <w:p w14:paraId="4B953DC2" w14:textId="77777777" w:rsidR="006578ED" w:rsidRDefault="00A1618E">
            <w:pPr>
              <w:pStyle w:val="P68B1DB1-Normal13"/>
              <w:spacing w:after="0"/>
              <w:jc w:val="center"/>
              <w:rPr>
                <w:rFonts w:eastAsia="Times New Roman" w:cs="Times New Roman"/>
                <w:noProof/>
              </w:rPr>
            </w:pPr>
            <w:r>
              <w:rPr>
                <w:noProof/>
              </w:rPr>
              <w:t>287</w:t>
            </w:r>
          </w:p>
        </w:tc>
        <w:tc>
          <w:tcPr>
            <w:tcW w:w="818" w:type="dxa"/>
            <w:shd w:val="clear" w:color="auto" w:fill="C6EFCE"/>
            <w:noWrap/>
          </w:tcPr>
          <w:p w14:paraId="376F0F06" w14:textId="77777777" w:rsidR="006578ED" w:rsidRDefault="00A1618E">
            <w:pPr>
              <w:pStyle w:val="P68B1DB1-Normal13"/>
              <w:spacing w:after="0"/>
              <w:jc w:val="center"/>
              <w:rPr>
                <w:rFonts w:eastAsia="Times New Roman" w:cs="Times New Roman"/>
                <w:noProof/>
              </w:rPr>
            </w:pPr>
            <w:r>
              <w:rPr>
                <w:noProof/>
              </w:rPr>
              <w:t>C19.I1</w:t>
            </w:r>
          </w:p>
        </w:tc>
        <w:tc>
          <w:tcPr>
            <w:tcW w:w="852" w:type="dxa"/>
            <w:shd w:val="clear" w:color="auto" w:fill="C6EFCE"/>
            <w:noWrap/>
          </w:tcPr>
          <w:p w14:paraId="3AA020F6" w14:textId="4547A525" w:rsidR="006578ED" w:rsidRDefault="00AF6B91">
            <w:pPr>
              <w:pStyle w:val="P68B1DB1-Normal13"/>
              <w:spacing w:after="0"/>
              <w:jc w:val="center"/>
              <w:rPr>
                <w:rFonts w:eastAsia="Times New Roman" w:cs="Times New Roman"/>
                <w:noProof/>
              </w:rPr>
            </w:pPr>
            <w:r>
              <w:rPr>
                <w:noProof/>
              </w:rPr>
              <w:t>Kamień milowy</w:t>
            </w:r>
          </w:p>
        </w:tc>
        <w:tc>
          <w:tcPr>
            <w:tcW w:w="2700" w:type="dxa"/>
            <w:shd w:val="clear" w:color="auto" w:fill="C6EFCE"/>
            <w:noWrap/>
          </w:tcPr>
          <w:p w14:paraId="2C1D57A8" w14:textId="77777777" w:rsidR="006578ED" w:rsidRDefault="00A1618E">
            <w:pPr>
              <w:pStyle w:val="P68B1DB1-Normal13"/>
              <w:spacing w:after="0"/>
              <w:rPr>
                <w:rFonts w:eastAsia="Times New Roman" w:cs="Times New Roman"/>
                <w:noProof/>
              </w:rPr>
            </w:pPr>
            <w:r>
              <w:rPr>
                <w:noProof/>
              </w:rPr>
              <w:t>Zakończenie działań mających na celu zwiększenie zdolności cyfrowych</w:t>
            </w:r>
          </w:p>
        </w:tc>
        <w:tc>
          <w:tcPr>
            <w:tcW w:w="1420" w:type="dxa"/>
            <w:shd w:val="clear" w:color="auto" w:fill="C6EFCE"/>
            <w:noWrap/>
          </w:tcPr>
          <w:p w14:paraId="7CB89D25" w14:textId="77777777" w:rsidR="006578ED" w:rsidRDefault="00A1618E">
            <w:pPr>
              <w:pStyle w:val="P68B1DB1-Normal13"/>
              <w:spacing w:after="0"/>
              <w:jc w:val="center"/>
              <w:rPr>
                <w:rFonts w:eastAsia="Times New Roman" w:cs="Times New Roman"/>
                <w:noProof/>
              </w:rPr>
            </w:pPr>
            <w:r>
              <w:rPr>
                <w:noProof/>
              </w:rPr>
              <w:t>Świadectwo kwalifikacji wydane przez krajowe ośrodki szkolenia cyfrowego</w:t>
            </w:r>
          </w:p>
        </w:tc>
        <w:tc>
          <w:tcPr>
            <w:tcW w:w="853" w:type="dxa"/>
            <w:shd w:val="clear" w:color="auto" w:fill="C6EFCE"/>
            <w:noWrap/>
          </w:tcPr>
          <w:p w14:paraId="5171A1D5" w14:textId="77777777" w:rsidR="006578ED" w:rsidRDefault="00A1618E">
            <w:pPr>
              <w:pStyle w:val="P68B1DB1-Normal13"/>
              <w:spacing w:after="0"/>
              <w:jc w:val="center"/>
              <w:rPr>
                <w:rFonts w:eastAsia="Times New Roman" w:cs="Times New Roman"/>
                <w:noProof/>
              </w:rPr>
            </w:pPr>
            <w:r>
              <w:rPr>
                <w:noProof/>
              </w:rPr>
              <w:t> </w:t>
            </w:r>
          </w:p>
        </w:tc>
        <w:tc>
          <w:tcPr>
            <w:tcW w:w="568" w:type="dxa"/>
            <w:shd w:val="clear" w:color="auto" w:fill="C6EFCE"/>
            <w:noWrap/>
          </w:tcPr>
          <w:p w14:paraId="0F5A38EE" w14:textId="77777777" w:rsidR="006578ED" w:rsidRDefault="00A1618E">
            <w:pPr>
              <w:pStyle w:val="P68B1DB1-Normal13"/>
              <w:spacing w:after="0"/>
              <w:jc w:val="right"/>
              <w:rPr>
                <w:rFonts w:eastAsia="Times New Roman" w:cs="Times New Roman"/>
                <w:noProof/>
              </w:rPr>
            </w:pPr>
            <w:r>
              <w:rPr>
                <w:noProof/>
              </w:rPr>
              <w:t> </w:t>
            </w:r>
          </w:p>
        </w:tc>
        <w:tc>
          <w:tcPr>
            <w:tcW w:w="710" w:type="dxa"/>
            <w:shd w:val="clear" w:color="auto" w:fill="C6EFCE"/>
            <w:noWrap/>
          </w:tcPr>
          <w:p w14:paraId="1346C00E" w14:textId="77777777" w:rsidR="006578ED" w:rsidRDefault="00A1618E">
            <w:pPr>
              <w:pStyle w:val="P68B1DB1-Normal13"/>
              <w:spacing w:after="0"/>
              <w:jc w:val="right"/>
              <w:rPr>
                <w:rFonts w:eastAsia="Times New Roman" w:cs="Times New Roman"/>
                <w:noProof/>
              </w:rPr>
            </w:pPr>
            <w:r>
              <w:rPr>
                <w:noProof/>
              </w:rPr>
              <w:t> </w:t>
            </w:r>
          </w:p>
        </w:tc>
        <w:tc>
          <w:tcPr>
            <w:tcW w:w="427" w:type="dxa"/>
            <w:shd w:val="clear" w:color="auto" w:fill="C6EFCE"/>
            <w:noWrap/>
          </w:tcPr>
          <w:p w14:paraId="1C429867" w14:textId="203DD20E" w:rsidR="006578ED" w:rsidRDefault="00EC188C">
            <w:pPr>
              <w:pStyle w:val="P68B1DB1-Normal13"/>
              <w:spacing w:after="0"/>
              <w:jc w:val="center"/>
              <w:rPr>
                <w:rFonts w:eastAsia="Times New Roman" w:cs="Times New Roman"/>
                <w:noProof/>
              </w:rPr>
            </w:pPr>
            <w:r>
              <w:rPr>
                <w:noProof/>
              </w:rPr>
              <w:t>KW. 4</w:t>
            </w:r>
          </w:p>
        </w:tc>
        <w:tc>
          <w:tcPr>
            <w:tcW w:w="568" w:type="dxa"/>
            <w:shd w:val="clear" w:color="auto" w:fill="C6EFCE"/>
            <w:noWrap/>
          </w:tcPr>
          <w:p w14:paraId="41DD6D8D" w14:textId="77777777" w:rsidR="006578ED" w:rsidRDefault="00A1618E">
            <w:pPr>
              <w:pStyle w:val="P68B1DB1-Normal13"/>
              <w:spacing w:after="0"/>
              <w:jc w:val="center"/>
              <w:rPr>
                <w:rFonts w:eastAsia="Times New Roman" w:cs="Times New Roman"/>
                <w:noProof/>
              </w:rPr>
            </w:pPr>
            <w:r>
              <w:rPr>
                <w:noProof/>
              </w:rPr>
              <w:t>2024</w:t>
            </w:r>
          </w:p>
        </w:tc>
        <w:tc>
          <w:tcPr>
            <w:tcW w:w="5683" w:type="dxa"/>
            <w:shd w:val="clear" w:color="auto" w:fill="C6EFCE"/>
            <w:noWrap/>
          </w:tcPr>
          <w:p w14:paraId="66C094A9" w14:textId="77CA59CA" w:rsidR="006578ED" w:rsidRDefault="00A1618E">
            <w:pPr>
              <w:pStyle w:val="P68B1DB1-Normal13"/>
              <w:spacing w:after="0"/>
              <w:rPr>
                <w:rFonts w:eastAsia="Times New Roman" w:cs="Times New Roman"/>
                <w:noProof/>
              </w:rPr>
            </w:pPr>
            <w:r>
              <w:rPr>
                <w:noProof/>
              </w:rPr>
              <w:t>Utworzenie krajowej sieci umiejętności cyfrowych (w tym reforma 1500 ośrodków szkolenia zawodowego) oraz realizacja kampanii uświadamiających i planów komunikacyjnych</w:t>
            </w:r>
          </w:p>
        </w:tc>
      </w:tr>
      <w:tr w:rsidR="006578ED" w14:paraId="48159E20" w14:textId="77777777">
        <w:trPr>
          <w:trHeight w:val="309"/>
        </w:trPr>
        <w:tc>
          <w:tcPr>
            <w:tcW w:w="711" w:type="dxa"/>
            <w:shd w:val="clear" w:color="auto" w:fill="C6EFCE"/>
            <w:noWrap/>
          </w:tcPr>
          <w:p w14:paraId="6A7BEC8F" w14:textId="77777777" w:rsidR="006578ED" w:rsidRDefault="00A1618E">
            <w:pPr>
              <w:pStyle w:val="P68B1DB1-Normal13"/>
              <w:spacing w:after="0" w:line="240" w:lineRule="auto"/>
              <w:jc w:val="center"/>
              <w:rPr>
                <w:rFonts w:eastAsia="Times New Roman" w:cs="Times New Roman"/>
                <w:noProof/>
              </w:rPr>
            </w:pPr>
            <w:r>
              <w:rPr>
                <w:noProof/>
              </w:rPr>
              <w:t>288</w:t>
            </w:r>
          </w:p>
        </w:tc>
        <w:tc>
          <w:tcPr>
            <w:tcW w:w="818" w:type="dxa"/>
            <w:shd w:val="clear" w:color="auto" w:fill="C6EFCE"/>
            <w:noWrap/>
          </w:tcPr>
          <w:p w14:paraId="2F2F2189" w14:textId="77777777" w:rsidR="006578ED" w:rsidRDefault="00A1618E">
            <w:pPr>
              <w:pStyle w:val="P68B1DB1-Normal13"/>
              <w:spacing w:after="0" w:line="240" w:lineRule="auto"/>
              <w:jc w:val="center"/>
              <w:rPr>
                <w:rFonts w:eastAsia="Times New Roman" w:cs="Times New Roman"/>
                <w:noProof/>
              </w:rPr>
            </w:pPr>
            <w:r>
              <w:rPr>
                <w:noProof/>
              </w:rPr>
              <w:t>C19.I1</w:t>
            </w:r>
          </w:p>
        </w:tc>
        <w:tc>
          <w:tcPr>
            <w:tcW w:w="852" w:type="dxa"/>
            <w:shd w:val="clear" w:color="auto" w:fill="C6EFCE"/>
            <w:noWrap/>
          </w:tcPr>
          <w:p w14:paraId="3E265AB6" w14:textId="13A7EAE1" w:rsidR="006578ED" w:rsidRDefault="00AF6B91">
            <w:pPr>
              <w:pStyle w:val="P68B1DB1-Normal13"/>
              <w:spacing w:after="0" w:line="240" w:lineRule="auto"/>
              <w:jc w:val="center"/>
              <w:rPr>
                <w:rFonts w:eastAsia="Times New Roman" w:cs="Times New Roman"/>
                <w:noProof/>
              </w:rPr>
            </w:pPr>
            <w:r>
              <w:rPr>
                <w:noProof/>
              </w:rPr>
              <w:t>Cel</w:t>
            </w:r>
          </w:p>
        </w:tc>
        <w:tc>
          <w:tcPr>
            <w:tcW w:w="2700" w:type="dxa"/>
            <w:shd w:val="clear" w:color="auto" w:fill="C6EFCE"/>
            <w:noWrap/>
          </w:tcPr>
          <w:p w14:paraId="6072DF11" w14:textId="3EB4461A" w:rsidR="006578ED" w:rsidRDefault="00A1618E">
            <w:pPr>
              <w:pStyle w:val="P68B1DB1-Normal13"/>
              <w:spacing w:after="0" w:line="240" w:lineRule="auto"/>
              <w:rPr>
                <w:rFonts w:eastAsia="Times New Roman" w:cs="Times New Roman"/>
                <w:noProof/>
              </w:rPr>
            </w:pPr>
            <w:r>
              <w:rPr>
                <w:noProof/>
              </w:rPr>
              <w:t>Szkolenie obywateli w zakresie umiejętności cyfrowych.</w:t>
            </w:r>
          </w:p>
        </w:tc>
        <w:tc>
          <w:tcPr>
            <w:tcW w:w="1420" w:type="dxa"/>
            <w:shd w:val="clear" w:color="auto" w:fill="C6EFCE"/>
            <w:noWrap/>
          </w:tcPr>
          <w:p w14:paraId="31E47F0B" w14:textId="77777777" w:rsidR="006578ED" w:rsidRDefault="00A1618E">
            <w:pPr>
              <w:pStyle w:val="P68B1DB1-Normal13"/>
              <w:spacing w:after="0" w:line="240" w:lineRule="auto"/>
              <w:jc w:val="center"/>
              <w:rPr>
                <w:rFonts w:eastAsia="Times New Roman" w:cs="Times New Roman"/>
                <w:noProof/>
              </w:rPr>
            </w:pPr>
            <w:r>
              <w:rPr>
                <w:noProof/>
              </w:rPr>
              <w:t>—</w:t>
            </w:r>
          </w:p>
        </w:tc>
        <w:tc>
          <w:tcPr>
            <w:tcW w:w="853" w:type="dxa"/>
            <w:shd w:val="clear" w:color="auto" w:fill="C6EFCE"/>
            <w:noWrap/>
          </w:tcPr>
          <w:p w14:paraId="25EAAA1B"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8" w:type="dxa"/>
            <w:shd w:val="clear" w:color="auto" w:fill="C6EFCE"/>
            <w:noWrap/>
          </w:tcPr>
          <w:p w14:paraId="368C90DF" w14:textId="77777777" w:rsidR="006578ED" w:rsidRDefault="00A1618E">
            <w:pPr>
              <w:pStyle w:val="P68B1DB1-Normal13"/>
              <w:spacing w:after="0" w:line="240" w:lineRule="auto"/>
              <w:jc w:val="right"/>
              <w:rPr>
                <w:rFonts w:eastAsia="Times New Roman" w:cs="Times New Roman"/>
                <w:noProof/>
              </w:rPr>
            </w:pPr>
            <w:r>
              <w:rPr>
                <w:noProof/>
              </w:rPr>
              <w:t>0</w:t>
            </w:r>
          </w:p>
        </w:tc>
        <w:tc>
          <w:tcPr>
            <w:tcW w:w="710" w:type="dxa"/>
            <w:shd w:val="clear" w:color="auto" w:fill="C6EFCE"/>
            <w:noWrap/>
          </w:tcPr>
          <w:p w14:paraId="499E844B" w14:textId="77777777" w:rsidR="006578ED" w:rsidRDefault="00A1618E">
            <w:pPr>
              <w:pStyle w:val="P68B1DB1-Normal13"/>
              <w:spacing w:after="0" w:line="240" w:lineRule="auto"/>
              <w:jc w:val="right"/>
              <w:rPr>
                <w:rFonts w:eastAsia="Times New Roman" w:cs="Times New Roman"/>
                <w:noProof/>
              </w:rPr>
            </w:pPr>
            <w:r>
              <w:rPr>
                <w:noProof/>
              </w:rPr>
              <w:t xml:space="preserve">2 600 000 </w:t>
            </w:r>
          </w:p>
        </w:tc>
        <w:tc>
          <w:tcPr>
            <w:tcW w:w="427" w:type="dxa"/>
            <w:shd w:val="clear" w:color="auto" w:fill="C6EFCE"/>
            <w:noWrap/>
          </w:tcPr>
          <w:p w14:paraId="6145FD72" w14:textId="48F04F59" w:rsidR="006578ED" w:rsidRDefault="00EC188C">
            <w:pPr>
              <w:pStyle w:val="P68B1DB1-Normal13"/>
              <w:rPr>
                <w:rFonts w:cs="Times New Roman"/>
                <w:noProof/>
              </w:rPr>
            </w:pPr>
            <w:r>
              <w:rPr>
                <w:noProof/>
              </w:rPr>
              <w:t>KW. 2</w:t>
            </w:r>
          </w:p>
        </w:tc>
        <w:tc>
          <w:tcPr>
            <w:tcW w:w="568" w:type="dxa"/>
            <w:shd w:val="clear" w:color="auto" w:fill="C6EFCE"/>
            <w:noWrap/>
          </w:tcPr>
          <w:p w14:paraId="5518F433" w14:textId="6E3B8EFA" w:rsidR="006578ED" w:rsidRDefault="00A1618E">
            <w:pPr>
              <w:pStyle w:val="P68B1DB1-Normal13"/>
              <w:spacing w:after="0" w:line="240" w:lineRule="auto"/>
              <w:jc w:val="center"/>
              <w:rPr>
                <w:rFonts w:eastAsia="Times New Roman" w:cs="Times New Roman"/>
                <w:noProof/>
              </w:rPr>
            </w:pPr>
            <w:r>
              <w:rPr>
                <w:noProof/>
              </w:rPr>
              <w:t>2026</w:t>
            </w:r>
          </w:p>
        </w:tc>
        <w:tc>
          <w:tcPr>
            <w:tcW w:w="5683" w:type="dxa"/>
            <w:shd w:val="clear" w:color="auto" w:fill="C6EFCE"/>
            <w:noWrap/>
          </w:tcPr>
          <w:p w14:paraId="395D370C" w14:textId="7BCC9CEA" w:rsidR="006578ED" w:rsidRDefault="00A1618E">
            <w:pPr>
              <w:pStyle w:val="P68B1DB1-Normal13"/>
              <w:spacing w:after="0" w:line="240" w:lineRule="auto"/>
              <w:rPr>
                <w:rFonts w:eastAsia="Times New Roman" w:cs="Times New Roman"/>
                <w:noProof/>
              </w:rPr>
            </w:pPr>
            <w:r>
              <w:rPr>
                <w:noProof/>
              </w:rPr>
              <w:t xml:space="preserve">2600000 obywateli przeszkolono w zakresie umiejętności cyfrowych, zgodnie z działaniami w ramach środka. Szkolenie musi trwać co najmniej 7,5 godziny. </w:t>
            </w:r>
          </w:p>
        </w:tc>
      </w:tr>
      <w:tr w:rsidR="006578ED" w14:paraId="0525C8BE" w14:textId="77777777">
        <w:trPr>
          <w:trHeight w:val="309"/>
        </w:trPr>
        <w:tc>
          <w:tcPr>
            <w:tcW w:w="711" w:type="dxa"/>
            <w:shd w:val="clear" w:color="auto" w:fill="C6EFCE"/>
            <w:noWrap/>
          </w:tcPr>
          <w:p w14:paraId="00601881" w14:textId="77777777" w:rsidR="006578ED" w:rsidRDefault="00A1618E">
            <w:pPr>
              <w:pStyle w:val="P68B1DB1-Normal13"/>
              <w:spacing w:after="0" w:line="240" w:lineRule="auto"/>
              <w:jc w:val="center"/>
              <w:rPr>
                <w:rFonts w:eastAsia="Times New Roman" w:cs="Times New Roman"/>
                <w:noProof/>
              </w:rPr>
            </w:pPr>
            <w:r>
              <w:rPr>
                <w:noProof/>
              </w:rPr>
              <w:t>289</w:t>
            </w:r>
          </w:p>
        </w:tc>
        <w:tc>
          <w:tcPr>
            <w:tcW w:w="818" w:type="dxa"/>
            <w:shd w:val="clear" w:color="auto" w:fill="C6EFCE"/>
            <w:noWrap/>
          </w:tcPr>
          <w:p w14:paraId="0198CF67" w14:textId="77777777" w:rsidR="006578ED" w:rsidRDefault="00A1618E">
            <w:pPr>
              <w:pStyle w:val="P68B1DB1-Normal13"/>
              <w:spacing w:after="0" w:line="240" w:lineRule="auto"/>
              <w:jc w:val="center"/>
              <w:rPr>
                <w:rFonts w:eastAsia="Times New Roman" w:cs="Times New Roman"/>
                <w:noProof/>
              </w:rPr>
            </w:pPr>
            <w:r>
              <w:rPr>
                <w:noProof/>
              </w:rPr>
              <w:t>C19.I2</w:t>
            </w:r>
          </w:p>
        </w:tc>
        <w:tc>
          <w:tcPr>
            <w:tcW w:w="852" w:type="dxa"/>
            <w:shd w:val="clear" w:color="auto" w:fill="C6EFCE"/>
            <w:noWrap/>
          </w:tcPr>
          <w:p w14:paraId="5E596148" w14:textId="11995109" w:rsidR="006578ED" w:rsidRDefault="00AF6B91">
            <w:pPr>
              <w:pStyle w:val="P68B1DB1-Normal13"/>
              <w:spacing w:after="0" w:line="240" w:lineRule="auto"/>
              <w:jc w:val="center"/>
              <w:rPr>
                <w:rFonts w:eastAsia="Times New Roman" w:cs="Times New Roman"/>
                <w:noProof/>
              </w:rPr>
            </w:pPr>
            <w:r>
              <w:rPr>
                <w:noProof/>
              </w:rPr>
              <w:t>Kamień milowy</w:t>
            </w:r>
          </w:p>
        </w:tc>
        <w:tc>
          <w:tcPr>
            <w:tcW w:w="2700" w:type="dxa"/>
            <w:shd w:val="clear" w:color="auto" w:fill="C6EFCE"/>
            <w:noWrap/>
          </w:tcPr>
          <w:p w14:paraId="25F5FE95" w14:textId="1A360BAC" w:rsidR="006578ED" w:rsidRDefault="00A1618E">
            <w:pPr>
              <w:pStyle w:val="P68B1DB1-Normal13"/>
              <w:spacing w:after="0" w:line="240" w:lineRule="auto"/>
              <w:rPr>
                <w:rFonts w:eastAsia="Times New Roman" w:cs="Times New Roman"/>
                <w:noProof/>
              </w:rPr>
            </w:pPr>
            <w:r>
              <w:rPr>
                <w:noProof/>
              </w:rPr>
              <w:t>Program wyposażenia szkół publicznych i finansowanych ze środków publicznych w narzędzia cyfrowe</w:t>
            </w:r>
          </w:p>
        </w:tc>
        <w:tc>
          <w:tcPr>
            <w:tcW w:w="1420" w:type="dxa"/>
            <w:shd w:val="clear" w:color="auto" w:fill="C6EFCE"/>
            <w:noWrap/>
          </w:tcPr>
          <w:p w14:paraId="693456BE" w14:textId="193727A6" w:rsidR="006578ED" w:rsidRDefault="00A1618E">
            <w:pPr>
              <w:pStyle w:val="P68B1DB1-Normal13"/>
              <w:spacing w:after="0" w:line="240" w:lineRule="auto"/>
              <w:jc w:val="center"/>
              <w:rPr>
                <w:rFonts w:eastAsia="Times New Roman" w:cs="Times New Roman"/>
                <w:noProof/>
              </w:rPr>
            </w:pPr>
            <w:r>
              <w:rPr>
                <w:noProof/>
              </w:rPr>
              <w:t>Publikacja w Dzienniku Urzędowym</w:t>
            </w:r>
          </w:p>
        </w:tc>
        <w:tc>
          <w:tcPr>
            <w:tcW w:w="853" w:type="dxa"/>
            <w:shd w:val="clear" w:color="auto" w:fill="C6EFCE"/>
            <w:noWrap/>
          </w:tcPr>
          <w:p w14:paraId="17F0B535"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8" w:type="dxa"/>
            <w:shd w:val="clear" w:color="auto" w:fill="C6EFCE"/>
            <w:noWrap/>
          </w:tcPr>
          <w:p w14:paraId="0864613D"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10" w:type="dxa"/>
            <w:shd w:val="clear" w:color="auto" w:fill="C6EFCE"/>
            <w:noWrap/>
          </w:tcPr>
          <w:p w14:paraId="0DF3105E" w14:textId="77777777" w:rsidR="006578ED" w:rsidRDefault="00A1618E">
            <w:pPr>
              <w:pStyle w:val="P68B1DB1-Normal13"/>
              <w:spacing w:after="0" w:line="240" w:lineRule="auto"/>
              <w:rPr>
                <w:rFonts w:eastAsia="Times New Roman" w:cs="Times New Roman"/>
                <w:noProof/>
              </w:rPr>
            </w:pPr>
            <w:r>
              <w:rPr>
                <w:noProof/>
              </w:rPr>
              <w:t xml:space="preserve"> </w:t>
            </w:r>
          </w:p>
        </w:tc>
        <w:tc>
          <w:tcPr>
            <w:tcW w:w="427" w:type="dxa"/>
            <w:shd w:val="clear" w:color="auto" w:fill="C6EFCE"/>
            <w:noWrap/>
          </w:tcPr>
          <w:p w14:paraId="40C7AA42" w14:textId="78448ECE" w:rsidR="006578ED" w:rsidRDefault="00EC188C">
            <w:pPr>
              <w:pStyle w:val="P68B1DB1-Normal13"/>
              <w:spacing w:after="0" w:line="240" w:lineRule="auto"/>
              <w:jc w:val="center"/>
              <w:rPr>
                <w:rFonts w:eastAsia="Times New Roman" w:cs="Times New Roman"/>
                <w:noProof/>
              </w:rPr>
            </w:pPr>
            <w:r>
              <w:rPr>
                <w:noProof/>
              </w:rPr>
              <w:t>KW. 4</w:t>
            </w:r>
          </w:p>
        </w:tc>
        <w:tc>
          <w:tcPr>
            <w:tcW w:w="568" w:type="dxa"/>
            <w:shd w:val="clear" w:color="auto" w:fill="C6EFCE"/>
            <w:noWrap/>
          </w:tcPr>
          <w:p w14:paraId="46DB8416"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683" w:type="dxa"/>
            <w:shd w:val="clear" w:color="auto" w:fill="C6EFCE"/>
            <w:noWrap/>
          </w:tcPr>
          <w:p w14:paraId="6E671F39" w14:textId="296DCBBD" w:rsidR="006578ED" w:rsidRDefault="00A1618E">
            <w:pPr>
              <w:pStyle w:val="P68B1DB1-Normal13"/>
              <w:spacing w:after="0" w:line="240" w:lineRule="auto"/>
              <w:rPr>
                <w:rFonts w:eastAsia="Times New Roman" w:cs="Times New Roman"/>
                <w:noProof/>
              </w:rPr>
            </w:pPr>
            <w:r>
              <w:rPr>
                <w:noProof/>
              </w:rPr>
              <w:t>Zatwierdzenie programu mającego na celu wyposażenie co najmniej 240000 sal lekcyjnych, przeszkolenie 700000 nauczycieli oraz przygotowanie lub zmianę strategii cyfrowej dla co najmniej 22000 publicznych i finansowanych ze środków publicznych ośrodków szkolnych, a także dostarczenie 300000 podłączonych do sieci urządzeń cyfrowych (laptopów, tabletów) w szkołach publicznych i finansowanych ze środków publicznych, we współpracy ze wspólnotami autonomicznymi. Program jest wiążący dla wspólnot autonomicznych.</w:t>
            </w:r>
          </w:p>
        </w:tc>
      </w:tr>
      <w:tr w:rsidR="006578ED" w14:paraId="035D1F4E" w14:textId="77777777">
        <w:trPr>
          <w:trHeight w:val="309"/>
        </w:trPr>
        <w:tc>
          <w:tcPr>
            <w:tcW w:w="711" w:type="dxa"/>
            <w:shd w:val="clear" w:color="auto" w:fill="C6EFCE"/>
            <w:noWrap/>
          </w:tcPr>
          <w:p w14:paraId="1592DE65" w14:textId="77777777" w:rsidR="006578ED" w:rsidRDefault="00A1618E">
            <w:pPr>
              <w:pStyle w:val="P68B1DB1-Normal13"/>
              <w:spacing w:after="0" w:line="240" w:lineRule="auto"/>
              <w:jc w:val="center"/>
              <w:rPr>
                <w:rFonts w:eastAsia="Times New Roman" w:cs="Times New Roman"/>
                <w:noProof/>
              </w:rPr>
            </w:pPr>
            <w:r>
              <w:rPr>
                <w:noProof/>
              </w:rPr>
              <w:t>290</w:t>
            </w:r>
          </w:p>
        </w:tc>
        <w:tc>
          <w:tcPr>
            <w:tcW w:w="818" w:type="dxa"/>
            <w:shd w:val="clear" w:color="auto" w:fill="C6EFCE"/>
            <w:noWrap/>
          </w:tcPr>
          <w:p w14:paraId="3E6A731A" w14:textId="77777777" w:rsidR="006578ED" w:rsidRDefault="00A1618E">
            <w:pPr>
              <w:pStyle w:val="P68B1DB1-Normal13"/>
              <w:spacing w:after="0" w:line="240" w:lineRule="auto"/>
              <w:jc w:val="center"/>
              <w:rPr>
                <w:rFonts w:eastAsia="Times New Roman" w:cs="Times New Roman"/>
                <w:noProof/>
              </w:rPr>
            </w:pPr>
            <w:r>
              <w:rPr>
                <w:noProof/>
              </w:rPr>
              <w:t>C19.I2</w:t>
            </w:r>
          </w:p>
        </w:tc>
        <w:tc>
          <w:tcPr>
            <w:tcW w:w="852" w:type="dxa"/>
            <w:shd w:val="clear" w:color="auto" w:fill="C6EFCE"/>
            <w:noWrap/>
          </w:tcPr>
          <w:p w14:paraId="14CE7EF2" w14:textId="7A2778CB" w:rsidR="006578ED" w:rsidRDefault="00AF6B91">
            <w:pPr>
              <w:pStyle w:val="P68B1DB1-Normal13"/>
              <w:spacing w:after="0" w:line="240" w:lineRule="auto"/>
              <w:jc w:val="center"/>
              <w:rPr>
                <w:rFonts w:eastAsia="Times New Roman" w:cs="Times New Roman"/>
                <w:noProof/>
              </w:rPr>
            </w:pPr>
            <w:r>
              <w:rPr>
                <w:noProof/>
              </w:rPr>
              <w:t>Kamień milowy</w:t>
            </w:r>
          </w:p>
        </w:tc>
        <w:tc>
          <w:tcPr>
            <w:tcW w:w="2700" w:type="dxa"/>
            <w:shd w:val="clear" w:color="auto" w:fill="C6EFCE"/>
            <w:noWrap/>
          </w:tcPr>
          <w:p w14:paraId="50E8BCDD" w14:textId="77777777" w:rsidR="006578ED" w:rsidRDefault="00A1618E">
            <w:pPr>
              <w:pStyle w:val="P68B1DB1-Normal13"/>
              <w:spacing w:after="0" w:line="240" w:lineRule="auto"/>
              <w:rPr>
                <w:rFonts w:eastAsia="Times New Roman" w:cs="Times New Roman"/>
                <w:noProof/>
              </w:rPr>
            </w:pPr>
            <w:r>
              <w:rPr>
                <w:noProof/>
              </w:rPr>
              <w:t>Zakończenie działań na rzecz transformacji cyfrowej edukacji</w:t>
            </w:r>
          </w:p>
        </w:tc>
        <w:tc>
          <w:tcPr>
            <w:tcW w:w="1420" w:type="dxa"/>
            <w:shd w:val="clear" w:color="auto" w:fill="C6EFCE"/>
            <w:noWrap/>
          </w:tcPr>
          <w:p w14:paraId="0BA257E9" w14:textId="394DB2B4" w:rsidR="006578ED" w:rsidRDefault="00A1618E">
            <w:pPr>
              <w:pStyle w:val="P68B1DB1-Normal13"/>
              <w:spacing w:after="0" w:line="240" w:lineRule="auto"/>
              <w:jc w:val="center"/>
              <w:rPr>
                <w:rFonts w:eastAsia="Times New Roman" w:cs="Times New Roman"/>
                <w:noProof/>
              </w:rPr>
            </w:pPr>
            <w:r>
              <w:rPr>
                <w:noProof/>
              </w:rPr>
              <w:t>Zaświadczenie wydane przez administrację państwową i regionalną</w:t>
            </w:r>
          </w:p>
        </w:tc>
        <w:tc>
          <w:tcPr>
            <w:tcW w:w="853" w:type="dxa"/>
            <w:shd w:val="clear" w:color="auto" w:fill="C6EFCE"/>
            <w:noWrap/>
          </w:tcPr>
          <w:p w14:paraId="6E132F27" w14:textId="77777777" w:rsidR="006578ED" w:rsidRDefault="00A1618E">
            <w:pPr>
              <w:pStyle w:val="P68B1DB1-Normal13"/>
              <w:spacing w:after="0" w:line="240" w:lineRule="auto"/>
              <w:jc w:val="center"/>
              <w:rPr>
                <w:rFonts w:eastAsia="Times New Roman" w:cs="Times New Roman"/>
                <w:noProof/>
              </w:rPr>
            </w:pPr>
            <w:r>
              <w:rPr>
                <w:noProof/>
              </w:rPr>
              <w:t> </w:t>
            </w:r>
          </w:p>
        </w:tc>
        <w:tc>
          <w:tcPr>
            <w:tcW w:w="568" w:type="dxa"/>
            <w:shd w:val="clear" w:color="auto" w:fill="C6EFCE"/>
            <w:noWrap/>
          </w:tcPr>
          <w:p w14:paraId="7104DD22" w14:textId="77777777" w:rsidR="006578ED" w:rsidRDefault="00A1618E">
            <w:pPr>
              <w:pStyle w:val="P68B1DB1-Normal13"/>
              <w:spacing w:after="0" w:line="240" w:lineRule="auto"/>
              <w:jc w:val="right"/>
              <w:rPr>
                <w:rFonts w:eastAsia="Times New Roman" w:cs="Times New Roman"/>
                <w:noProof/>
              </w:rPr>
            </w:pPr>
            <w:r>
              <w:rPr>
                <w:noProof/>
              </w:rPr>
              <w:t> </w:t>
            </w:r>
          </w:p>
        </w:tc>
        <w:tc>
          <w:tcPr>
            <w:tcW w:w="710" w:type="dxa"/>
            <w:shd w:val="clear" w:color="auto" w:fill="C6EFCE"/>
            <w:noWrap/>
          </w:tcPr>
          <w:p w14:paraId="62A445D4" w14:textId="77777777" w:rsidR="006578ED" w:rsidRDefault="00A1618E">
            <w:pPr>
              <w:pStyle w:val="P68B1DB1-Normal13"/>
              <w:spacing w:after="0" w:line="240" w:lineRule="auto"/>
              <w:jc w:val="right"/>
              <w:rPr>
                <w:rFonts w:eastAsia="Times New Roman" w:cs="Times New Roman"/>
                <w:noProof/>
              </w:rPr>
            </w:pPr>
            <w:r>
              <w:rPr>
                <w:noProof/>
              </w:rPr>
              <w:t> </w:t>
            </w:r>
          </w:p>
        </w:tc>
        <w:tc>
          <w:tcPr>
            <w:tcW w:w="427" w:type="dxa"/>
            <w:shd w:val="clear" w:color="auto" w:fill="C6EFCE"/>
            <w:noWrap/>
          </w:tcPr>
          <w:p w14:paraId="5317C62F" w14:textId="7AB34783" w:rsidR="006578ED" w:rsidRDefault="00EC188C">
            <w:pPr>
              <w:pStyle w:val="P68B1DB1-Normal13"/>
              <w:spacing w:after="0" w:line="240" w:lineRule="auto"/>
              <w:jc w:val="center"/>
              <w:rPr>
                <w:rFonts w:eastAsia="Times New Roman" w:cs="Times New Roman"/>
                <w:noProof/>
              </w:rPr>
            </w:pPr>
            <w:r>
              <w:rPr>
                <w:noProof/>
              </w:rPr>
              <w:t>KW. 4</w:t>
            </w:r>
          </w:p>
        </w:tc>
        <w:tc>
          <w:tcPr>
            <w:tcW w:w="568" w:type="dxa"/>
            <w:shd w:val="clear" w:color="auto" w:fill="C6EFCE"/>
            <w:noWrap/>
          </w:tcPr>
          <w:p w14:paraId="521ACFB1" w14:textId="7B0B616B" w:rsidR="006578ED" w:rsidRDefault="00A1618E">
            <w:pPr>
              <w:pStyle w:val="P68B1DB1-Normal13"/>
              <w:spacing w:after="0" w:line="240" w:lineRule="auto"/>
              <w:jc w:val="center"/>
              <w:rPr>
                <w:rFonts w:eastAsia="Times New Roman" w:cs="Times New Roman"/>
                <w:noProof/>
              </w:rPr>
            </w:pPr>
            <w:r>
              <w:rPr>
                <w:noProof/>
              </w:rPr>
              <w:t>2025</w:t>
            </w:r>
          </w:p>
        </w:tc>
        <w:tc>
          <w:tcPr>
            <w:tcW w:w="5683" w:type="dxa"/>
            <w:shd w:val="clear" w:color="auto" w:fill="C6EFCE"/>
            <w:noWrap/>
          </w:tcPr>
          <w:p w14:paraId="699E923D" w14:textId="7FF9930E" w:rsidR="006578ED" w:rsidRDefault="00A1618E">
            <w:pPr>
              <w:pStyle w:val="P68B1DB1-Normal13"/>
              <w:spacing w:after="0" w:line="240" w:lineRule="auto"/>
              <w:rPr>
                <w:rFonts w:eastAsia="Times New Roman" w:cs="Times New Roman"/>
                <w:noProof/>
              </w:rPr>
            </w:pPr>
            <w:r>
              <w:rPr>
                <w:noProof/>
              </w:rPr>
              <w:t xml:space="preserve">Zakończenie działań na rzecz transformacji cyfrowej edukacji, w tym certyfikacji umiejętności cyfrowych co najmniej 80 % z 700000 nauczycieli przeszkolonych w zakresie umiejętności cyfrowych; oraz co najmniej 22000 ośrodków wspieranych w przygotowywaniu i przeglądzie ich strategii cyfrowych. </w:t>
            </w:r>
          </w:p>
        </w:tc>
      </w:tr>
      <w:tr w:rsidR="006578ED" w14:paraId="72B5444C" w14:textId="77777777">
        <w:trPr>
          <w:trHeight w:val="309"/>
        </w:trPr>
        <w:tc>
          <w:tcPr>
            <w:tcW w:w="711" w:type="dxa"/>
            <w:tcBorders>
              <w:top w:val="single" w:sz="4" w:space="0" w:color="auto"/>
              <w:left w:val="single" w:sz="4" w:space="0" w:color="auto"/>
              <w:bottom w:val="single" w:sz="4" w:space="0" w:color="auto"/>
              <w:right w:val="single" w:sz="4" w:space="0" w:color="auto"/>
            </w:tcBorders>
            <w:shd w:val="clear" w:color="auto" w:fill="C6EFCE"/>
            <w:noWrap/>
          </w:tcPr>
          <w:p w14:paraId="2686B174" w14:textId="77777777" w:rsidR="006578ED" w:rsidRDefault="00A1618E">
            <w:pPr>
              <w:pStyle w:val="P68B1DB1-Normal13"/>
              <w:spacing w:after="0" w:line="240" w:lineRule="auto"/>
              <w:jc w:val="center"/>
              <w:rPr>
                <w:rFonts w:cs="Times New Roman"/>
                <w:noProof/>
              </w:rPr>
            </w:pPr>
            <w:r>
              <w:rPr>
                <w:noProof/>
              </w:rPr>
              <w:t>291</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185278DF" w14:textId="77777777" w:rsidR="006578ED" w:rsidRDefault="00A1618E">
            <w:pPr>
              <w:pStyle w:val="P68B1DB1-Normal13"/>
              <w:spacing w:after="0" w:line="240" w:lineRule="auto"/>
              <w:jc w:val="center"/>
              <w:rPr>
                <w:rFonts w:cs="Times New Roman"/>
                <w:noProof/>
              </w:rPr>
            </w:pPr>
            <w:r>
              <w:rPr>
                <w:noProof/>
              </w:rPr>
              <w:t>C19.I2</w:t>
            </w:r>
          </w:p>
        </w:tc>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2EF3D2A9" w14:textId="79576146" w:rsidR="006578ED" w:rsidRDefault="00AF6B91">
            <w:pPr>
              <w:pStyle w:val="P68B1DB1-Normal13"/>
              <w:spacing w:after="0" w:line="240" w:lineRule="auto"/>
              <w:jc w:val="center"/>
              <w:rPr>
                <w:rFonts w:cs="Times New Roman"/>
                <w:noProof/>
              </w:rPr>
            </w:pPr>
            <w:r>
              <w:rPr>
                <w:noProof/>
              </w:rPr>
              <w:t>Cel</w:t>
            </w:r>
          </w:p>
        </w:tc>
        <w:tc>
          <w:tcPr>
            <w:tcW w:w="2700" w:type="dxa"/>
            <w:tcBorders>
              <w:top w:val="single" w:sz="4" w:space="0" w:color="auto"/>
              <w:left w:val="single" w:sz="4" w:space="0" w:color="auto"/>
              <w:bottom w:val="single" w:sz="4" w:space="0" w:color="auto"/>
              <w:right w:val="single" w:sz="4" w:space="0" w:color="auto"/>
            </w:tcBorders>
            <w:shd w:val="clear" w:color="auto" w:fill="C6EFCE"/>
            <w:noWrap/>
          </w:tcPr>
          <w:p w14:paraId="5AE57A74" w14:textId="1F4E2BD7" w:rsidR="006578ED" w:rsidRDefault="00A1618E">
            <w:pPr>
              <w:pStyle w:val="P68B1DB1-Normal13"/>
              <w:spacing w:after="0" w:line="240" w:lineRule="auto"/>
              <w:rPr>
                <w:rFonts w:cs="Times New Roman"/>
                <w:noProof/>
              </w:rPr>
            </w:pPr>
            <w:r>
              <w:rPr>
                <w:noProof/>
              </w:rPr>
              <w:t>Zapewnienie podłączonych do sieci urządzeń cyfrowych w szkołach publicznych i finansowanych ze środków publicznych w celu zniwelowania „przepaści cyfrowej” oraz wyposażenie co najmniej 240000 sal lekcyjnych</w:t>
            </w:r>
          </w:p>
        </w:tc>
        <w:tc>
          <w:tcPr>
            <w:tcW w:w="1420" w:type="dxa"/>
            <w:tcBorders>
              <w:top w:val="single" w:sz="4" w:space="0" w:color="auto"/>
              <w:left w:val="single" w:sz="4" w:space="0" w:color="auto"/>
              <w:bottom w:val="single" w:sz="4" w:space="0" w:color="auto"/>
              <w:right w:val="single" w:sz="4" w:space="0" w:color="auto"/>
            </w:tcBorders>
            <w:shd w:val="clear" w:color="auto" w:fill="C6EFCE"/>
            <w:noWrap/>
          </w:tcPr>
          <w:p w14:paraId="3097A4E9" w14:textId="77777777" w:rsidR="006578ED" w:rsidRDefault="00A1618E">
            <w:pPr>
              <w:pStyle w:val="P68B1DB1-Normal13"/>
              <w:spacing w:after="0" w:line="240" w:lineRule="auto"/>
              <w:jc w:val="center"/>
              <w:rPr>
                <w:rFonts w:cs="Times New Roman"/>
                <w:noProof/>
              </w:rPr>
            </w:pPr>
            <w:r>
              <w:rPr>
                <w:noProof/>
              </w:rPr>
              <w:t>—</w:t>
            </w:r>
          </w:p>
        </w:tc>
        <w:tc>
          <w:tcPr>
            <w:tcW w:w="853" w:type="dxa"/>
            <w:tcBorders>
              <w:top w:val="single" w:sz="4" w:space="0" w:color="auto"/>
              <w:left w:val="single" w:sz="4" w:space="0" w:color="auto"/>
              <w:bottom w:val="single" w:sz="4" w:space="0" w:color="auto"/>
              <w:right w:val="single" w:sz="4" w:space="0" w:color="auto"/>
            </w:tcBorders>
            <w:shd w:val="clear" w:color="auto" w:fill="C6EFCE"/>
            <w:noWrap/>
          </w:tcPr>
          <w:p w14:paraId="449E4048" w14:textId="77777777" w:rsidR="006578ED" w:rsidRDefault="00A1618E">
            <w:pPr>
              <w:pStyle w:val="P68B1DB1-Normal13"/>
              <w:spacing w:after="0" w:line="240" w:lineRule="auto"/>
              <w:jc w:val="center"/>
              <w:rPr>
                <w:rFonts w:cs="Times New Roman"/>
                <w:noProof/>
              </w:rPr>
            </w:pPr>
            <w:r>
              <w:rPr>
                <w:noProof/>
              </w:rPr>
              <w:t>Liczba</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0614E87F" w14:textId="77777777" w:rsidR="006578ED" w:rsidRDefault="00A1618E">
            <w:pPr>
              <w:pStyle w:val="P68B1DB1-Normal13"/>
              <w:spacing w:after="0" w:line="240" w:lineRule="auto"/>
              <w:jc w:val="center"/>
              <w:rPr>
                <w:rFonts w:cs="Times New Roman"/>
                <w:noProof/>
              </w:rPr>
            </w:pPr>
            <w:r>
              <w:rPr>
                <w:noProof/>
              </w:rPr>
              <w:t>0</w:t>
            </w:r>
          </w:p>
        </w:tc>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6B27F78C" w14:textId="77777777" w:rsidR="006578ED" w:rsidRDefault="00A1618E">
            <w:pPr>
              <w:pStyle w:val="P68B1DB1-Normal13"/>
              <w:spacing w:after="0" w:line="240" w:lineRule="auto"/>
              <w:jc w:val="right"/>
              <w:rPr>
                <w:rFonts w:cs="Times New Roman"/>
                <w:noProof/>
              </w:rPr>
            </w:pPr>
            <w:r>
              <w:rPr>
                <w:noProof/>
              </w:rPr>
              <w:t>540 000</w:t>
            </w:r>
          </w:p>
        </w:tc>
        <w:tc>
          <w:tcPr>
            <w:tcW w:w="427" w:type="dxa"/>
            <w:tcBorders>
              <w:top w:val="single" w:sz="4" w:space="0" w:color="auto"/>
              <w:left w:val="single" w:sz="4" w:space="0" w:color="auto"/>
              <w:bottom w:val="single" w:sz="4" w:space="0" w:color="auto"/>
              <w:right w:val="single" w:sz="4" w:space="0" w:color="auto"/>
            </w:tcBorders>
            <w:shd w:val="clear" w:color="auto" w:fill="C6EFCE"/>
            <w:noWrap/>
          </w:tcPr>
          <w:p w14:paraId="7750A487" w14:textId="79F3EFA9" w:rsidR="006578ED" w:rsidRDefault="00EC188C">
            <w:pPr>
              <w:pStyle w:val="P68B1DB1-Normal13"/>
              <w:spacing w:after="0" w:line="240" w:lineRule="auto"/>
              <w:jc w:val="center"/>
              <w:rPr>
                <w:rFonts w:cs="Times New Roman"/>
                <w:noProof/>
              </w:rPr>
            </w:pPr>
            <w:r>
              <w:rPr>
                <w:noProof/>
              </w:rPr>
              <w:t>KW. 4</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6BC4B3D2" w14:textId="77777777" w:rsidR="006578ED" w:rsidRDefault="00A1618E">
            <w:pPr>
              <w:pStyle w:val="P68B1DB1-Normal13"/>
              <w:spacing w:after="0" w:line="240" w:lineRule="auto"/>
              <w:jc w:val="center"/>
              <w:rPr>
                <w:rFonts w:cs="Times New Roman"/>
                <w:noProof/>
              </w:rPr>
            </w:pPr>
            <w:r>
              <w:rPr>
                <w:noProof/>
              </w:rPr>
              <w:t>2025</w:t>
            </w:r>
          </w:p>
        </w:tc>
        <w:tc>
          <w:tcPr>
            <w:tcW w:w="5683" w:type="dxa"/>
            <w:tcBorders>
              <w:top w:val="single" w:sz="4" w:space="0" w:color="auto"/>
              <w:left w:val="single" w:sz="4" w:space="0" w:color="auto"/>
              <w:bottom w:val="single" w:sz="4" w:space="0" w:color="auto"/>
              <w:right w:val="single" w:sz="4" w:space="0" w:color="auto"/>
            </w:tcBorders>
            <w:shd w:val="clear" w:color="auto" w:fill="C6EFCE"/>
            <w:noWrap/>
          </w:tcPr>
          <w:p w14:paraId="743364F7" w14:textId="47D001A9" w:rsidR="006578ED" w:rsidRDefault="00A1618E">
            <w:pPr>
              <w:pStyle w:val="P68B1DB1-Normal13"/>
              <w:spacing w:after="0" w:line="240" w:lineRule="auto"/>
              <w:rPr>
                <w:rFonts w:cs="Times New Roman"/>
                <w:noProof/>
              </w:rPr>
            </w:pPr>
            <w:r>
              <w:rPr>
                <w:noProof/>
              </w:rPr>
              <w:t>Ukończone udostępnienie podłączonych do internetu i interaktywnych urządzeń cyfrowych dla co najmniej 300000 uczniów oraz sprzętu dla co najmniej 240000 klas w szkołach publicznych i finansowanych ze środków publicznych, aby zniwelować „przepaść cyfrową”. Certyfikaty od organów administracji państwowej i regionalnej dotyczące zakupu i dostawy sprzętu.</w:t>
            </w:r>
          </w:p>
        </w:tc>
      </w:tr>
      <w:tr w:rsidR="006578ED" w14:paraId="39A90A99" w14:textId="77777777">
        <w:trPr>
          <w:trHeight w:val="309"/>
        </w:trPr>
        <w:tc>
          <w:tcPr>
            <w:tcW w:w="711" w:type="dxa"/>
            <w:shd w:val="clear" w:color="auto" w:fill="C6EFCE"/>
            <w:noWrap/>
          </w:tcPr>
          <w:p w14:paraId="2F0A1F75" w14:textId="77777777" w:rsidR="006578ED" w:rsidRDefault="00A1618E">
            <w:pPr>
              <w:pStyle w:val="P68B1DB1-Normal13"/>
              <w:spacing w:after="0"/>
              <w:jc w:val="center"/>
              <w:rPr>
                <w:rFonts w:eastAsia="Times New Roman" w:cs="Times New Roman"/>
                <w:noProof/>
              </w:rPr>
            </w:pPr>
            <w:r>
              <w:rPr>
                <w:noProof/>
              </w:rPr>
              <w:t>292</w:t>
            </w:r>
          </w:p>
        </w:tc>
        <w:tc>
          <w:tcPr>
            <w:tcW w:w="818" w:type="dxa"/>
            <w:shd w:val="clear" w:color="auto" w:fill="C6EFCE"/>
            <w:noWrap/>
          </w:tcPr>
          <w:p w14:paraId="32658B1F" w14:textId="77777777" w:rsidR="006578ED" w:rsidRDefault="00A1618E">
            <w:pPr>
              <w:pStyle w:val="P68B1DB1-Normal13"/>
              <w:spacing w:after="0"/>
              <w:jc w:val="center"/>
              <w:rPr>
                <w:rFonts w:eastAsia="Times New Roman" w:cs="Times New Roman"/>
                <w:noProof/>
              </w:rPr>
            </w:pPr>
            <w:r>
              <w:rPr>
                <w:noProof/>
              </w:rPr>
              <w:t>C19.I3</w:t>
            </w:r>
          </w:p>
        </w:tc>
        <w:tc>
          <w:tcPr>
            <w:tcW w:w="852" w:type="dxa"/>
            <w:shd w:val="clear" w:color="auto" w:fill="C6EFCE"/>
            <w:noWrap/>
          </w:tcPr>
          <w:p w14:paraId="7C96DFE7" w14:textId="138D6745" w:rsidR="006578ED" w:rsidRDefault="00AF6B91">
            <w:pPr>
              <w:pStyle w:val="P68B1DB1-Normal13"/>
              <w:spacing w:after="0"/>
              <w:jc w:val="center"/>
              <w:rPr>
                <w:rFonts w:eastAsia="Times New Roman" w:cs="Times New Roman"/>
                <w:noProof/>
              </w:rPr>
            </w:pPr>
            <w:r>
              <w:rPr>
                <w:noProof/>
              </w:rPr>
              <w:t>Cel</w:t>
            </w:r>
          </w:p>
        </w:tc>
        <w:tc>
          <w:tcPr>
            <w:tcW w:w="2700" w:type="dxa"/>
            <w:shd w:val="clear" w:color="auto" w:fill="C6EFCE"/>
            <w:noWrap/>
          </w:tcPr>
          <w:p w14:paraId="4318913C" w14:textId="77777777" w:rsidR="006578ED" w:rsidRDefault="00A1618E">
            <w:pPr>
              <w:pStyle w:val="P68B1DB1-Normal13"/>
              <w:spacing w:after="0"/>
              <w:rPr>
                <w:rFonts w:eastAsia="Times New Roman" w:cs="Times New Roman"/>
                <w:noProof/>
              </w:rPr>
            </w:pPr>
            <w:r>
              <w:rPr>
                <w:noProof/>
              </w:rPr>
              <w:t>Szkolenie cyfrowe na rzecz zatrudnienia</w:t>
            </w:r>
          </w:p>
        </w:tc>
        <w:tc>
          <w:tcPr>
            <w:tcW w:w="1420" w:type="dxa"/>
            <w:shd w:val="clear" w:color="auto" w:fill="C6EFCE"/>
            <w:noWrap/>
          </w:tcPr>
          <w:p w14:paraId="20888F6E" w14:textId="77777777" w:rsidR="006578ED" w:rsidRDefault="00A1618E">
            <w:pPr>
              <w:pStyle w:val="P68B1DB1-Normal13"/>
              <w:spacing w:after="0"/>
              <w:jc w:val="center"/>
              <w:rPr>
                <w:rFonts w:eastAsia="Times New Roman" w:cs="Times New Roman"/>
                <w:noProof/>
              </w:rPr>
            </w:pPr>
            <w:r>
              <w:rPr>
                <w:noProof/>
              </w:rPr>
              <w:t>—</w:t>
            </w:r>
          </w:p>
        </w:tc>
        <w:tc>
          <w:tcPr>
            <w:tcW w:w="853" w:type="dxa"/>
            <w:shd w:val="clear" w:color="auto" w:fill="C6EFCE"/>
            <w:noWrap/>
          </w:tcPr>
          <w:p w14:paraId="31F32044" w14:textId="77777777" w:rsidR="006578ED" w:rsidRDefault="00A1618E">
            <w:pPr>
              <w:pStyle w:val="P68B1DB1-Normal13"/>
              <w:spacing w:after="0"/>
              <w:jc w:val="center"/>
              <w:rPr>
                <w:rFonts w:eastAsia="Times New Roman" w:cs="Times New Roman"/>
                <w:noProof/>
              </w:rPr>
            </w:pPr>
            <w:r>
              <w:rPr>
                <w:noProof/>
              </w:rPr>
              <w:t>Liczba</w:t>
            </w:r>
          </w:p>
        </w:tc>
        <w:tc>
          <w:tcPr>
            <w:tcW w:w="568" w:type="dxa"/>
            <w:shd w:val="clear" w:color="auto" w:fill="C6EFCE"/>
            <w:noWrap/>
          </w:tcPr>
          <w:p w14:paraId="5729981C" w14:textId="77777777" w:rsidR="006578ED" w:rsidRDefault="00A1618E">
            <w:pPr>
              <w:pStyle w:val="P68B1DB1-Normal13"/>
              <w:spacing w:after="0"/>
              <w:jc w:val="center"/>
              <w:rPr>
                <w:rFonts w:eastAsia="Times New Roman" w:cs="Times New Roman"/>
                <w:noProof/>
              </w:rPr>
            </w:pPr>
            <w:r>
              <w:rPr>
                <w:noProof/>
              </w:rPr>
              <w:t>0</w:t>
            </w:r>
          </w:p>
        </w:tc>
        <w:tc>
          <w:tcPr>
            <w:tcW w:w="710" w:type="dxa"/>
            <w:shd w:val="clear" w:color="auto" w:fill="C6EFCE"/>
            <w:noWrap/>
          </w:tcPr>
          <w:p w14:paraId="71BD47FB" w14:textId="3A348229" w:rsidR="006578ED" w:rsidRDefault="00A1618E">
            <w:pPr>
              <w:pStyle w:val="P68B1DB1-Normal13"/>
              <w:spacing w:after="0"/>
              <w:jc w:val="center"/>
              <w:rPr>
                <w:rFonts w:eastAsia="Times New Roman" w:cs="Times New Roman"/>
                <w:noProof/>
              </w:rPr>
            </w:pPr>
            <w:r>
              <w:rPr>
                <w:noProof/>
              </w:rPr>
              <w:t>300 000</w:t>
            </w:r>
          </w:p>
        </w:tc>
        <w:tc>
          <w:tcPr>
            <w:tcW w:w="427" w:type="dxa"/>
            <w:shd w:val="clear" w:color="auto" w:fill="C6EFCE"/>
            <w:noWrap/>
          </w:tcPr>
          <w:p w14:paraId="057F51E9" w14:textId="51642D04" w:rsidR="006578ED" w:rsidRDefault="00EC188C">
            <w:pPr>
              <w:pStyle w:val="P68B1DB1-Normal13"/>
              <w:spacing w:after="0" w:line="240" w:lineRule="auto"/>
              <w:jc w:val="center"/>
              <w:rPr>
                <w:rFonts w:eastAsia="Times New Roman" w:cs="Times New Roman"/>
                <w:noProof/>
              </w:rPr>
            </w:pPr>
            <w:r>
              <w:rPr>
                <w:noProof/>
              </w:rPr>
              <w:t>KW. 2</w:t>
            </w:r>
          </w:p>
        </w:tc>
        <w:tc>
          <w:tcPr>
            <w:tcW w:w="568" w:type="dxa"/>
            <w:shd w:val="clear" w:color="auto" w:fill="C6EFCE"/>
            <w:noWrap/>
          </w:tcPr>
          <w:p w14:paraId="00761683" w14:textId="263050A2" w:rsidR="006578ED" w:rsidRDefault="00A1618E">
            <w:pPr>
              <w:pStyle w:val="P68B1DB1-Normal13"/>
              <w:spacing w:after="0"/>
              <w:jc w:val="center"/>
              <w:rPr>
                <w:rFonts w:eastAsia="Times New Roman" w:cs="Times New Roman"/>
                <w:noProof/>
              </w:rPr>
            </w:pPr>
            <w:r>
              <w:rPr>
                <w:noProof/>
              </w:rPr>
              <w:t>2026</w:t>
            </w:r>
          </w:p>
        </w:tc>
        <w:tc>
          <w:tcPr>
            <w:tcW w:w="5683" w:type="dxa"/>
            <w:shd w:val="clear" w:color="auto" w:fill="C6EFCE"/>
            <w:noWrap/>
          </w:tcPr>
          <w:p w14:paraId="4D4A6247" w14:textId="7AC0BCCB" w:rsidR="006578ED" w:rsidRDefault="00A1618E">
            <w:pPr>
              <w:pStyle w:val="P68B1DB1-Normal13"/>
              <w:spacing w:after="0"/>
              <w:rPr>
                <w:rFonts w:eastAsia="Times New Roman" w:cs="Times New Roman"/>
                <w:noProof/>
              </w:rPr>
            </w:pPr>
            <w:r>
              <w:rPr>
                <w:noProof/>
              </w:rPr>
              <w:t xml:space="preserve">Co najmniej 300000 osób uczestniczyło w szkoleniach w zakresie umiejętności cyfrowych. Każde szkolenie musi trwać co najmniej 150 godzin. </w:t>
            </w:r>
          </w:p>
        </w:tc>
      </w:tr>
      <w:tr w:rsidR="006578ED" w14:paraId="62860367" w14:textId="77777777">
        <w:trPr>
          <w:trHeight w:val="309"/>
        </w:trPr>
        <w:tc>
          <w:tcPr>
            <w:tcW w:w="711" w:type="dxa"/>
            <w:shd w:val="clear" w:color="auto" w:fill="C6EFCE"/>
            <w:noWrap/>
          </w:tcPr>
          <w:p w14:paraId="757A7A19" w14:textId="05E6CA17" w:rsidR="006578ED" w:rsidRDefault="00A1618E">
            <w:pPr>
              <w:pStyle w:val="P68B1DB1-Normal13"/>
              <w:spacing w:after="0"/>
              <w:jc w:val="center"/>
              <w:rPr>
                <w:rFonts w:cs="Times New Roman"/>
                <w:noProof/>
              </w:rPr>
            </w:pPr>
            <w:r>
              <w:rPr>
                <w:noProof/>
              </w:rPr>
              <w:t>292a</w:t>
            </w:r>
          </w:p>
        </w:tc>
        <w:tc>
          <w:tcPr>
            <w:tcW w:w="818" w:type="dxa"/>
            <w:shd w:val="clear" w:color="auto" w:fill="C6EFCE"/>
            <w:noWrap/>
          </w:tcPr>
          <w:p w14:paraId="76AB10C2" w14:textId="4FA785CB" w:rsidR="006578ED" w:rsidRDefault="00A1618E">
            <w:pPr>
              <w:pStyle w:val="P68B1DB1-Normal13"/>
              <w:spacing w:after="0"/>
              <w:jc w:val="center"/>
              <w:rPr>
                <w:rFonts w:cs="Times New Roman"/>
                <w:noProof/>
              </w:rPr>
            </w:pPr>
            <w:r>
              <w:rPr>
                <w:noProof/>
              </w:rPr>
              <w:t>C19.I3</w:t>
            </w:r>
          </w:p>
        </w:tc>
        <w:tc>
          <w:tcPr>
            <w:tcW w:w="852" w:type="dxa"/>
            <w:shd w:val="clear" w:color="auto" w:fill="C6EFCE"/>
            <w:noWrap/>
          </w:tcPr>
          <w:p w14:paraId="1BAED019" w14:textId="2E12F82E" w:rsidR="006578ED" w:rsidRDefault="00AF6B91">
            <w:pPr>
              <w:pStyle w:val="P68B1DB1-Normal13"/>
              <w:spacing w:after="0"/>
              <w:jc w:val="center"/>
              <w:rPr>
                <w:rFonts w:cs="Times New Roman"/>
                <w:noProof/>
              </w:rPr>
            </w:pPr>
            <w:r>
              <w:rPr>
                <w:noProof/>
              </w:rPr>
              <w:t>Cel</w:t>
            </w:r>
          </w:p>
        </w:tc>
        <w:tc>
          <w:tcPr>
            <w:tcW w:w="2700" w:type="dxa"/>
            <w:shd w:val="clear" w:color="auto" w:fill="C6EFCE"/>
            <w:noWrap/>
          </w:tcPr>
          <w:p w14:paraId="1C721F08" w14:textId="1A649019" w:rsidR="006578ED" w:rsidRDefault="00A1618E">
            <w:pPr>
              <w:pStyle w:val="P68B1DB1-Normal13"/>
              <w:spacing w:after="0"/>
              <w:rPr>
                <w:rFonts w:cs="Times New Roman"/>
                <w:noProof/>
              </w:rPr>
            </w:pPr>
            <w:r>
              <w:rPr>
                <w:noProof/>
              </w:rPr>
              <w:t>Szkolenie cyfrowe w środowisku pracy</w:t>
            </w:r>
          </w:p>
        </w:tc>
        <w:tc>
          <w:tcPr>
            <w:tcW w:w="1420" w:type="dxa"/>
            <w:shd w:val="clear" w:color="auto" w:fill="C6EFCE"/>
            <w:noWrap/>
          </w:tcPr>
          <w:p w14:paraId="611D487A" w14:textId="5D31B60C" w:rsidR="006578ED" w:rsidRDefault="00A1618E">
            <w:pPr>
              <w:pStyle w:val="P68B1DB1-Normal13"/>
              <w:spacing w:after="0"/>
              <w:jc w:val="center"/>
              <w:rPr>
                <w:rFonts w:cs="Times New Roman"/>
                <w:noProof/>
              </w:rPr>
            </w:pPr>
            <w:r>
              <w:rPr>
                <w:noProof/>
              </w:rPr>
              <w:t>—</w:t>
            </w:r>
          </w:p>
        </w:tc>
        <w:tc>
          <w:tcPr>
            <w:tcW w:w="853" w:type="dxa"/>
            <w:shd w:val="clear" w:color="auto" w:fill="C6EFCE"/>
            <w:noWrap/>
          </w:tcPr>
          <w:p w14:paraId="3B72509B" w14:textId="4E11529E" w:rsidR="006578ED" w:rsidRDefault="00A1618E">
            <w:pPr>
              <w:pStyle w:val="P68B1DB1-Normal13"/>
              <w:spacing w:after="0"/>
              <w:jc w:val="center"/>
              <w:rPr>
                <w:rFonts w:cs="Times New Roman"/>
                <w:noProof/>
              </w:rPr>
            </w:pPr>
            <w:r>
              <w:rPr>
                <w:noProof/>
              </w:rPr>
              <w:t>W mln EUR</w:t>
            </w:r>
          </w:p>
        </w:tc>
        <w:tc>
          <w:tcPr>
            <w:tcW w:w="568" w:type="dxa"/>
            <w:shd w:val="clear" w:color="auto" w:fill="C6EFCE"/>
            <w:noWrap/>
          </w:tcPr>
          <w:p w14:paraId="2B8B0D72" w14:textId="4CE8B428" w:rsidR="006578ED" w:rsidRDefault="00A1618E">
            <w:pPr>
              <w:pStyle w:val="P68B1DB1-Normal13"/>
              <w:spacing w:after="0"/>
              <w:jc w:val="center"/>
              <w:rPr>
                <w:rFonts w:cs="Times New Roman"/>
                <w:noProof/>
              </w:rPr>
            </w:pPr>
            <w:r>
              <w:rPr>
                <w:noProof/>
              </w:rPr>
              <w:t>0</w:t>
            </w:r>
          </w:p>
        </w:tc>
        <w:tc>
          <w:tcPr>
            <w:tcW w:w="710" w:type="dxa"/>
            <w:shd w:val="clear" w:color="auto" w:fill="C6EFCE"/>
            <w:noWrap/>
          </w:tcPr>
          <w:p w14:paraId="108F9EAA" w14:textId="0DA11FBA" w:rsidR="006578ED" w:rsidRDefault="00A1618E">
            <w:pPr>
              <w:pStyle w:val="P68B1DB1-Normal13"/>
              <w:spacing w:after="0"/>
              <w:jc w:val="center"/>
              <w:rPr>
                <w:rFonts w:cs="Times New Roman"/>
                <w:noProof/>
              </w:rPr>
            </w:pPr>
            <w:r>
              <w:rPr>
                <w:noProof/>
              </w:rPr>
              <w:t>310</w:t>
            </w:r>
          </w:p>
        </w:tc>
        <w:tc>
          <w:tcPr>
            <w:tcW w:w="427" w:type="dxa"/>
            <w:shd w:val="clear" w:color="auto" w:fill="C6EFCE"/>
            <w:noWrap/>
          </w:tcPr>
          <w:p w14:paraId="70C6A7D6" w14:textId="5E1848FA" w:rsidR="006578ED" w:rsidRDefault="00EC188C">
            <w:pPr>
              <w:pStyle w:val="P68B1DB1-Normal13"/>
              <w:spacing w:after="0" w:line="240" w:lineRule="auto"/>
              <w:jc w:val="center"/>
              <w:rPr>
                <w:rFonts w:cs="Times New Roman"/>
                <w:noProof/>
              </w:rPr>
            </w:pPr>
            <w:r>
              <w:rPr>
                <w:noProof/>
              </w:rPr>
              <w:t>KW. 2</w:t>
            </w:r>
          </w:p>
        </w:tc>
        <w:tc>
          <w:tcPr>
            <w:tcW w:w="568" w:type="dxa"/>
            <w:shd w:val="clear" w:color="auto" w:fill="C6EFCE"/>
            <w:noWrap/>
          </w:tcPr>
          <w:p w14:paraId="1021B2E8" w14:textId="0F50FBF7" w:rsidR="006578ED" w:rsidRDefault="00A1618E">
            <w:pPr>
              <w:pStyle w:val="P68B1DB1-Normal13"/>
              <w:spacing w:after="0"/>
              <w:jc w:val="center"/>
              <w:rPr>
                <w:rFonts w:cs="Times New Roman"/>
                <w:noProof/>
              </w:rPr>
            </w:pPr>
            <w:r>
              <w:rPr>
                <w:noProof/>
              </w:rPr>
              <w:t>2026</w:t>
            </w:r>
          </w:p>
        </w:tc>
        <w:tc>
          <w:tcPr>
            <w:tcW w:w="5683" w:type="dxa"/>
            <w:shd w:val="clear" w:color="auto" w:fill="C6EFCE"/>
            <w:noWrap/>
          </w:tcPr>
          <w:p w14:paraId="77D932FD" w14:textId="45F03F5F" w:rsidR="006578ED" w:rsidRDefault="00A1618E">
            <w:pPr>
              <w:pStyle w:val="P68B1DB1-Normal13"/>
              <w:spacing w:after="0"/>
              <w:rPr>
                <w:rFonts w:cs="Times New Roman"/>
                <w:noProof/>
              </w:rPr>
            </w:pPr>
            <w:r>
              <w:rPr>
                <w:noProof/>
              </w:rPr>
              <w:t>Ukończenie szkoleń w zakresie umiejętności cyfrowych w środowisku pracy oraz treści szkoleń wspierających ich realizację, których łączny budżet wynosi co najmniej 310 mln EUR. Każde szkolenie musi trwać co najmniej 25 godzin.</w:t>
            </w:r>
          </w:p>
        </w:tc>
      </w:tr>
      <w:tr w:rsidR="006578ED" w14:paraId="3813BF75" w14:textId="77777777">
        <w:trPr>
          <w:trHeight w:val="309"/>
        </w:trPr>
        <w:tc>
          <w:tcPr>
            <w:tcW w:w="711" w:type="dxa"/>
            <w:tcBorders>
              <w:top w:val="single" w:sz="4" w:space="0" w:color="auto"/>
              <w:left w:val="single" w:sz="4" w:space="0" w:color="auto"/>
              <w:bottom w:val="single" w:sz="4" w:space="0" w:color="auto"/>
              <w:right w:val="single" w:sz="4" w:space="0" w:color="auto"/>
            </w:tcBorders>
            <w:shd w:val="clear" w:color="auto" w:fill="C6EFCE"/>
            <w:noWrap/>
          </w:tcPr>
          <w:p w14:paraId="2508557E" w14:textId="77777777" w:rsidR="006578ED" w:rsidRDefault="00A1618E">
            <w:pPr>
              <w:pStyle w:val="P68B1DB1-Normal13"/>
              <w:spacing w:after="0" w:line="240" w:lineRule="auto"/>
              <w:jc w:val="center"/>
              <w:rPr>
                <w:rFonts w:cs="Times New Roman"/>
                <w:noProof/>
              </w:rPr>
            </w:pPr>
            <w:r>
              <w:rPr>
                <w:noProof/>
              </w:rPr>
              <w:t>293</w:t>
            </w:r>
          </w:p>
        </w:tc>
        <w:tc>
          <w:tcPr>
            <w:tcW w:w="818" w:type="dxa"/>
            <w:tcBorders>
              <w:top w:val="single" w:sz="4" w:space="0" w:color="auto"/>
              <w:left w:val="single" w:sz="4" w:space="0" w:color="auto"/>
              <w:bottom w:val="single" w:sz="4" w:space="0" w:color="auto"/>
              <w:right w:val="single" w:sz="4" w:space="0" w:color="auto"/>
            </w:tcBorders>
            <w:shd w:val="clear" w:color="auto" w:fill="C6EFCE"/>
            <w:noWrap/>
          </w:tcPr>
          <w:p w14:paraId="4BC4884E" w14:textId="77777777" w:rsidR="006578ED" w:rsidRDefault="00A1618E">
            <w:pPr>
              <w:pStyle w:val="P68B1DB1-Normal13"/>
              <w:spacing w:after="0" w:line="240" w:lineRule="auto"/>
              <w:jc w:val="center"/>
              <w:rPr>
                <w:rFonts w:cs="Times New Roman"/>
                <w:noProof/>
              </w:rPr>
            </w:pPr>
            <w:r>
              <w:rPr>
                <w:noProof/>
              </w:rPr>
              <w:t>C19.I4</w:t>
            </w:r>
          </w:p>
        </w:tc>
        <w:tc>
          <w:tcPr>
            <w:tcW w:w="852" w:type="dxa"/>
            <w:tcBorders>
              <w:top w:val="single" w:sz="4" w:space="0" w:color="auto"/>
              <w:left w:val="single" w:sz="4" w:space="0" w:color="auto"/>
              <w:bottom w:val="single" w:sz="4" w:space="0" w:color="auto"/>
              <w:right w:val="single" w:sz="4" w:space="0" w:color="auto"/>
            </w:tcBorders>
            <w:shd w:val="clear" w:color="auto" w:fill="C6EFCE"/>
            <w:noWrap/>
          </w:tcPr>
          <w:p w14:paraId="4DAE07C1" w14:textId="6E2EBC9E" w:rsidR="006578ED" w:rsidRDefault="00AF6B91">
            <w:pPr>
              <w:pStyle w:val="P68B1DB1-Normal13"/>
              <w:spacing w:after="0" w:line="240" w:lineRule="auto"/>
              <w:jc w:val="center"/>
              <w:rPr>
                <w:rFonts w:cs="Times New Roman"/>
                <w:noProof/>
              </w:rPr>
            </w:pPr>
            <w:r>
              <w:rPr>
                <w:noProof/>
              </w:rPr>
              <w:t>Cel</w:t>
            </w:r>
          </w:p>
        </w:tc>
        <w:tc>
          <w:tcPr>
            <w:tcW w:w="2700" w:type="dxa"/>
            <w:tcBorders>
              <w:top w:val="single" w:sz="4" w:space="0" w:color="auto"/>
              <w:left w:val="single" w:sz="4" w:space="0" w:color="auto"/>
              <w:bottom w:val="single" w:sz="4" w:space="0" w:color="auto"/>
              <w:right w:val="single" w:sz="4" w:space="0" w:color="auto"/>
            </w:tcBorders>
            <w:shd w:val="clear" w:color="auto" w:fill="C6EFCE"/>
            <w:noWrap/>
          </w:tcPr>
          <w:p w14:paraId="286C54C7" w14:textId="77777777" w:rsidR="006578ED" w:rsidRDefault="00A1618E">
            <w:pPr>
              <w:pStyle w:val="P68B1DB1-Normal13"/>
              <w:spacing w:after="0" w:line="240" w:lineRule="auto"/>
              <w:rPr>
                <w:rFonts w:cs="Times New Roman"/>
                <w:noProof/>
              </w:rPr>
            </w:pPr>
            <w:r>
              <w:rPr>
                <w:noProof/>
              </w:rPr>
              <w:t xml:space="preserve">Programy stypendialne dla talentów cyfrowych </w:t>
            </w:r>
          </w:p>
        </w:tc>
        <w:tc>
          <w:tcPr>
            <w:tcW w:w="1420" w:type="dxa"/>
            <w:tcBorders>
              <w:top w:val="single" w:sz="4" w:space="0" w:color="auto"/>
              <w:left w:val="single" w:sz="4" w:space="0" w:color="auto"/>
              <w:bottom w:val="single" w:sz="4" w:space="0" w:color="auto"/>
              <w:right w:val="single" w:sz="4" w:space="0" w:color="auto"/>
            </w:tcBorders>
            <w:shd w:val="clear" w:color="auto" w:fill="C6EFCE"/>
            <w:noWrap/>
          </w:tcPr>
          <w:p w14:paraId="5EFD0BB7" w14:textId="77777777" w:rsidR="006578ED" w:rsidRDefault="00A1618E">
            <w:pPr>
              <w:pStyle w:val="P68B1DB1-Normal13"/>
              <w:spacing w:after="0" w:line="240" w:lineRule="auto"/>
              <w:jc w:val="center"/>
              <w:rPr>
                <w:rFonts w:cs="Times New Roman"/>
                <w:noProof/>
              </w:rPr>
            </w:pPr>
            <w:r>
              <w:rPr>
                <w:noProof/>
              </w:rPr>
              <w:t>—</w:t>
            </w:r>
          </w:p>
        </w:tc>
        <w:tc>
          <w:tcPr>
            <w:tcW w:w="853" w:type="dxa"/>
            <w:tcBorders>
              <w:top w:val="single" w:sz="4" w:space="0" w:color="auto"/>
              <w:left w:val="single" w:sz="4" w:space="0" w:color="auto"/>
              <w:bottom w:val="single" w:sz="4" w:space="0" w:color="auto"/>
              <w:right w:val="single" w:sz="4" w:space="0" w:color="auto"/>
            </w:tcBorders>
            <w:shd w:val="clear" w:color="auto" w:fill="C6EFCE"/>
            <w:noWrap/>
          </w:tcPr>
          <w:p w14:paraId="2CB758E1" w14:textId="77777777" w:rsidR="006578ED" w:rsidRDefault="00A1618E">
            <w:pPr>
              <w:pStyle w:val="P68B1DB1-Normal13"/>
              <w:spacing w:after="0" w:line="240" w:lineRule="auto"/>
              <w:jc w:val="center"/>
              <w:rPr>
                <w:rFonts w:cs="Times New Roman"/>
                <w:noProof/>
              </w:rPr>
            </w:pPr>
            <w:r>
              <w:rPr>
                <w:noProof/>
              </w:rPr>
              <w:t>Liczba</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10D96AB6" w14:textId="77777777" w:rsidR="006578ED" w:rsidRDefault="00A1618E">
            <w:pPr>
              <w:pStyle w:val="P68B1DB1-Normal13"/>
              <w:spacing w:after="0" w:line="240" w:lineRule="auto"/>
              <w:jc w:val="center"/>
              <w:rPr>
                <w:rFonts w:cs="Times New Roman"/>
                <w:noProof/>
              </w:rPr>
            </w:pPr>
            <w:r>
              <w:rPr>
                <w:noProof/>
              </w:rPr>
              <w:t>0</w:t>
            </w:r>
          </w:p>
        </w:tc>
        <w:tc>
          <w:tcPr>
            <w:tcW w:w="710" w:type="dxa"/>
            <w:tcBorders>
              <w:top w:val="single" w:sz="4" w:space="0" w:color="auto"/>
              <w:left w:val="single" w:sz="4" w:space="0" w:color="auto"/>
              <w:bottom w:val="single" w:sz="4" w:space="0" w:color="auto"/>
              <w:right w:val="single" w:sz="4" w:space="0" w:color="auto"/>
            </w:tcBorders>
            <w:shd w:val="clear" w:color="auto" w:fill="C6EFCE"/>
            <w:noWrap/>
          </w:tcPr>
          <w:p w14:paraId="7FDF79B7" w14:textId="77777777" w:rsidR="006578ED" w:rsidRDefault="00A1618E">
            <w:pPr>
              <w:pStyle w:val="P68B1DB1-Normal13"/>
              <w:spacing w:after="0" w:line="240" w:lineRule="auto"/>
              <w:jc w:val="center"/>
              <w:rPr>
                <w:rFonts w:cs="Times New Roman"/>
                <w:noProof/>
              </w:rPr>
            </w:pPr>
            <w:r>
              <w:rPr>
                <w:noProof/>
              </w:rPr>
              <w:t>300</w:t>
            </w:r>
          </w:p>
        </w:tc>
        <w:tc>
          <w:tcPr>
            <w:tcW w:w="427" w:type="dxa"/>
            <w:tcBorders>
              <w:top w:val="single" w:sz="4" w:space="0" w:color="auto"/>
              <w:left w:val="single" w:sz="4" w:space="0" w:color="auto"/>
              <w:bottom w:val="single" w:sz="4" w:space="0" w:color="auto"/>
              <w:right w:val="single" w:sz="4" w:space="0" w:color="auto"/>
            </w:tcBorders>
            <w:shd w:val="clear" w:color="auto" w:fill="C6EFCE"/>
            <w:noWrap/>
          </w:tcPr>
          <w:p w14:paraId="3B4D6B20" w14:textId="7CB0841A" w:rsidR="006578ED" w:rsidRDefault="00EC188C">
            <w:pPr>
              <w:pStyle w:val="P68B1DB1-Normal13"/>
              <w:spacing w:after="0" w:line="240" w:lineRule="auto"/>
              <w:jc w:val="center"/>
              <w:rPr>
                <w:rFonts w:cs="Times New Roman"/>
                <w:noProof/>
              </w:rPr>
            </w:pPr>
            <w:r>
              <w:rPr>
                <w:noProof/>
              </w:rPr>
              <w:t>KW. 4</w:t>
            </w:r>
          </w:p>
        </w:tc>
        <w:tc>
          <w:tcPr>
            <w:tcW w:w="568" w:type="dxa"/>
            <w:tcBorders>
              <w:top w:val="single" w:sz="4" w:space="0" w:color="auto"/>
              <w:left w:val="single" w:sz="4" w:space="0" w:color="auto"/>
              <w:bottom w:val="single" w:sz="4" w:space="0" w:color="auto"/>
              <w:right w:val="single" w:sz="4" w:space="0" w:color="auto"/>
            </w:tcBorders>
            <w:shd w:val="clear" w:color="auto" w:fill="C6EFCE"/>
            <w:noWrap/>
          </w:tcPr>
          <w:p w14:paraId="24137807" w14:textId="77777777" w:rsidR="006578ED" w:rsidRDefault="00A1618E">
            <w:pPr>
              <w:pStyle w:val="P68B1DB1-Normal13"/>
              <w:spacing w:after="0" w:line="240" w:lineRule="auto"/>
              <w:jc w:val="center"/>
              <w:rPr>
                <w:rFonts w:cs="Times New Roman"/>
                <w:noProof/>
              </w:rPr>
            </w:pPr>
            <w:r>
              <w:rPr>
                <w:noProof/>
              </w:rPr>
              <w:t>2024</w:t>
            </w:r>
          </w:p>
        </w:tc>
        <w:tc>
          <w:tcPr>
            <w:tcW w:w="5683" w:type="dxa"/>
            <w:tcBorders>
              <w:top w:val="single" w:sz="4" w:space="0" w:color="auto"/>
              <w:left w:val="single" w:sz="4" w:space="0" w:color="auto"/>
              <w:bottom w:val="single" w:sz="4" w:space="0" w:color="auto"/>
              <w:right w:val="single" w:sz="4" w:space="0" w:color="auto"/>
            </w:tcBorders>
            <w:shd w:val="clear" w:color="auto" w:fill="C6EFCE"/>
            <w:noWrap/>
          </w:tcPr>
          <w:p w14:paraId="19F07060" w14:textId="60018501" w:rsidR="006578ED" w:rsidRDefault="00A1618E">
            <w:pPr>
              <w:pStyle w:val="P68B1DB1-Normal13"/>
              <w:spacing w:after="0" w:line="240" w:lineRule="auto"/>
              <w:rPr>
                <w:rFonts w:cs="Times New Roman"/>
                <w:noProof/>
              </w:rPr>
            </w:pPr>
            <w:r>
              <w:rPr>
                <w:noProof/>
              </w:rPr>
              <w:t>Co najmniej 300 beneficjentów otrzymało programy stypendialne na rzecz przyciągania i zatrzymywania talentów cyfrowych (skumulowany okres 2021–2024). Każdy program ma co najmniej 240 ECTS.</w:t>
            </w:r>
          </w:p>
        </w:tc>
      </w:tr>
      <w:tr w:rsidR="006578ED" w14:paraId="3139313E" w14:textId="77777777">
        <w:trPr>
          <w:trHeight w:val="309"/>
        </w:trPr>
        <w:tc>
          <w:tcPr>
            <w:tcW w:w="711" w:type="dxa"/>
            <w:shd w:val="clear" w:color="auto" w:fill="C6EFCE"/>
            <w:noWrap/>
          </w:tcPr>
          <w:p w14:paraId="68A4C843" w14:textId="77777777" w:rsidR="006578ED" w:rsidRDefault="00A1618E">
            <w:pPr>
              <w:pStyle w:val="P68B1DB1-Normal13"/>
              <w:spacing w:after="0" w:line="240" w:lineRule="auto"/>
              <w:jc w:val="center"/>
              <w:rPr>
                <w:rFonts w:cs="Times New Roman"/>
                <w:noProof/>
              </w:rPr>
            </w:pPr>
            <w:r>
              <w:rPr>
                <w:noProof/>
              </w:rPr>
              <w:t>294</w:t>
            </w:r>
          </w:p>
        </w:tc>
        <w:tc>
          <w:tcPr>
            <w:tcW w:w="818" w:type="dxa"/>
            <w:shd w:val="clear" w:color="auto" w:fill="C6EFCE"/>
            <w:noWrap/>
          </w:tcPr>
          <w:p w14:paraId="14A3AD9A" w14:textId="77777777" w:rsidR="006578ED" w:rsidRDefault="00A1618E">
            <w:pPr>
              <w:pStyle w:val="P68B1DB1-Normal13"/>
              <w:spacing w:after="0" w:line="240" w:lineRule="auto"/>
              <w:jc w:val="center"/>
              <w:rPr>
                <w:rFonts w:cs="Times New Roman"/>
                <w:noProof/>
              </w:rPr>
            </w:pPr>
            <w:r>
              <w:rPr>
                <w:noProof/>
              </w:rPr>
              <w:t>C19.I4</w:t>
            </w:r>
          </w:p>
        </w:tc>
        <w:tc>
          <w:tcPr>
            <w:tcW w:w="852" w:type="dxa"/>
            <w:shd w:val="clear" w:color="auto" w:fill="C6EFCE"/>
            <w:noWrap/>
          </w:tcPr>
          <w:p w14:paraId="664798B4" w14:textId="6C43C119" w:rsidR="006578ED" w:rsidRDefault="00AF6B91">
            <w:pPr>
              <w:pStyle w:val="P68B1DB1-Normal13"/>
              <w:spacing w:after="0" w:line="240" w:lineRule="auto"/>
              <w:jc w:val="center"/>
              <w:rPr>
                <w:rFonts w:cs="Times New Roman"/>
                <w:noProof/>
              </w:rPr>
            </w:pPr>
            <w:r>
              <w:rPr>
                <w:noProof/>
              </w:rPr>
              <w:t>Cel</w:t>
            </w:r>
          </w:p>
        </w:tc>
        <w:tc>
          <w:tcPr>
            <w:tcW w:w="2700" w:type="dxa"/>
            <w:shd w:val="clear" w:color="auto" w:fill="C6EFCE"/>
            <w:noWrap/>
          </w:tcPr>
          <w:p w14:paraId="63BA0E3A" w14:textId="4BDF9ABF" w:rsidR="006578ED" w:rsidRDefault="00A1618E">
            <w:pPr>
              <w:pStyle w:val="P68B1DB1-Normal13"/>
              <w:spacing w:after="0" w:line="240" w:lineRule="auto"/>
              <w:rPr>
                <w:rFonts w:cs="Times New Roman"/>
                <w:noProof/>
              </w:rPr>
            </w:pPr>
            <w:r>
              <w:rPr>
                <w:noProof/>
              </w:rPr>
              <w:t>Szkolenie specjalistów w dziedzinie informatyki</w:t>
            </w:r>
          </w:p>
        </w:tc>
        <w:tc>
          <w:tcPr>
            <w:tcW w:w="1420" w:type="dxa"/>
            <w:shd w:val="clear" w:color="auto" w:fill="C6EFCE"/>
            <w:noWrap/>
          </w:tcPr>
          <w:p w14:paraId="73C0A2EE" w14:textId="77777777" w:rsidR="006578ED" w:rsidRDefault="00A1618E">
            <w:pPr>
              <w:pStyle w:val="P68B1DB1-Normal13"/>
              <w:spacing w:after="0" w:line="240" w:lineRule="auto"/>
              <w:jc w:val="center"/>
              <w:rPr>
                <w:rFonts w:cs="Times New Roman"/>
                <w:noProof/>
              </w:rPr>
            </w:pPr>
            <w:r>
              <w:rPr>
                <w:noProof/>
              </w:rPr>
              <w:t> </w:t>
            </w:r>
          </w:p>
        </w:tc>
        <w:tc>
          <w:tcPr>
            <w:tcW w:w="853" w:type="dxa"/>
            <w:shd w:val="clear" w:color="auto" w:fill="C6EFCE"/>
            <w:noWrap/>
          </w:tcPr>
          <w:p w14:paraId="403778D3" w14:textId="77777777" w:rsidR="006578ED" w:rsidRDefault="00A1618E">
            <w:pPr>
              <w:pStyle w:val="P68B1DB1-Normal13"/>
              <w:spacing w:after="0" w:line="240" w:lineRule="auto"/>
              <w:jc w:val="center"/>
              <w:rPr>
                <w:rFonts w:cs="Times New Roman"/>
                <w:noProof/>
              </w:rPr>
            </w:pPr>
            <w:r>
              <w:rPr>
                <w:noProof/>
              </w:rPr>
              <w:t>Liczba</w:t>
            </w:r>
          </w:p>
        </w:tc>
        <w:tc>
          <w:tcPr>
            <w:tcW w:w="568" w:type="dxa"/>
            <w:shd w:val="clear" w:color="auto" w:fill="C6EFCE"/>
            <w:noWrap/>
          </w:tcPr>
          <w:p w14:paraId="2B2313F1" w14:textId="77777777" w:rsidR="006578ED" w:rsidRDefault="00A1618E">
            <w:pPr>
              <w:pStyle w:val="P68B1DB1-Normal13"/>
              <w:spacing w:after="0" w:line="240" w:lineRule="auto"/>
              <w:jc w:val="center"/>
              <w:rPr>
                <w:rFonts w:cs="Times New Roman"/>
                <w:noProof/>
              </w:rPr>
            </w:pPr>
            <w:r>
              <w:rPr>
                <w:noProof/>
              </w:rPr>
              <w:t>0</w:t>
            </w:r>
          </w:p>
        </w:tc>
        <w:tc>
          <w:tcPr>
            <w:tcW w:w="710" w:type="dxa"/>
            <w:shd w:val="clear" w:color="auto" w:fill="C6EFCE"/>
            <w:noWrap/>
          </w:tcPr>
          <w:p w14:paraId="7BC0BD7E" w14:textId="77777777" w:rsidR="006578ED" w:rsidRDefault="00A1618E">
            <w:pPr>
              <w:pStyle w:val="P68B1DB1-Normal13"/>
              <w:spacing w:after="0" w:line="240" w:lineRule="auto"/>
              <w:jc w:val="center"/>
              <w:rPr>
                <w:rFonts w:cs="Times New Roman"/>
                <w:noProof/>
              </w:rPr>
            </w:pPr>
            <w:r>
              <w:rPr>
                <w:noProof/>
              </w:rPr>
              <w:t>18 000</w:t>
            </w:r>
          </w:p>
        </w:tc>
        <w:tc>
          <w:tcPr>
            <w:tcW w:w="427" w:type="dxa"/>
            <w:shd w:val="clear" w:color="auto" w:fill="C6EFCE"/>
            <w:noWrap/>
          </w:tcPr>
          <w:p w14:paraId="2C328CC7" w14:textId="27CB1630" w:rsidR="006578ED" w:rsidRDefault="00EC188C">
            <w:pPr>
              <w:pStyle w:val="P68B1DB1-Normal13"/>
              <w:spacing w:after="0" w:line="240" w:lineRule="auto"/>
              <w:jc w:val="center"/>
              <w:rPr>
                <w:rFonts w:cs="Times New Roman"/>
                <w:noProof/>
              </w:rPr>
            </w:pPr>
            <w:r>
              <w:rPr>
                <w:noProof/>
              </w:rPr>
              <w:t>KW. 4</w:t>
            </w:r>
          </w:p>
        </w:tc>
        <w:tc>
          <w:tcPr>
            <w:tcW w:w="568" w:type="dxa"/>
            <w:shd w:val="clear" w:color="auto" w:fill="C6EFCE"/>
            <w:noWrap/>
          </w:tcPr>
          <w:p w14:paraId="2A4F6777" w14:textId="77777777" w:rsidR="006578ED" w:rsidRDefault="00A1618E">
            <w:pPr>
              <w:pStyle w:val="P68B1DB1-Normal13"/>
              <w:spacing w:after="0" w:line="240" w:lineRule="auto"/>
              <w:jc w:val="center"/>
              <w:rPr>
                <w:rFonts w:cs="Times New Roman"/>
                <w:noProof/>
              </w:rPr>
            </w:pPr>
            <w:r>
              <w:rPr>
                <w:noProof/>
              </w:rPr>
              <w:t>2025</w:t>
            </w:r>
          </w:p>
        </w:tc>
        <w:tc>
          <w:tcPr>
            <w:tcW w:w="5683" w:type="dxa"/>
            <w:shd w:val="clear" w:color="auto" w:fill="C6EFCE"/>
            <w:noWrap/>
          </w:tcPr>
          <w:p w14:paraId="43410A69" w14:textId="721F77B3" w:rsidR="006578ED" w:rsidRDefault="00A1618E">
            <w:pPr>
              <w:pStyle w:val="P68B1DB1-Normal13"/>
              <w:spacing w:after="0" w:line="240" w:lineRule="auto"/>
              <w:rPr>
                <w:rFonts w:cs="Times New Roman"/>
                <w:noProof/>
              </w:rPr>
            </w:pPr>
            <w:r>
              <w:rPr>
                <w:noProof/>
              </w:rPr>
              <w:t xml:space="preserve">Co najmniej 18000 specjalistów w dziedzinie informatyki przeszkolonych w zakresie kursów specjalistycznych trwających co najmniej 250 godzin każdy. </w:t>
            </w:r>
          </w:p>
        </w:tc>
      </w:tr>
    </w:tbl>
    <w:p w14:paraId="7A22DBDB" w14:textId="77777777" w:rsidR="006578ED" w:rsidRDefault="006578ED">
      <w:pPr>
        <w:spacing w:before="120" w:after="120" w:line="240" w:lineRule="auto"/>
        <w:ind w:left="709"/>
        <w:jc w:val="both"/>
        <w:rPr>
          <w:rFonts w:ascii="Times New Roman" w:hAnsi="Times New Roman" w:cs="Times New Roman"/>
          <w:noProof/>
          <w:sz w:val="24"/>
        </w:rPr>
      </w:pPr>
    </w:p>
    <w:p w14:paraId="26595393" w14:textId="77777777" w:rsidR="006578ED" w:rsidRDefault="006578ED">
      <w:pPr>
        <w:spacing w:before="120" w:after="120" w:line="240" w:lineRule="auto"/>
        <w:ind w:left="709"/>
        <w:jc w:val="both"/>
        <w:rPr>
          <w:rFonts w:ascii="Times New Roman" w:hAnsi="Times New Roman" w:cs="Times New Roman"/>
          <w:noProof/>
          <w:sz w:val="24"/>
        </w:rPr>
      </w:pPr>
    </w:p>
    <w:p w14:paraId="4BE80159" w14:textId="77777777" w:rsidR="006578ED" w:rsidRDefault="006578ED">
      <w:pPr>
        <w:spacing w:before="120" w:after="120" w:line="240" w:lineRule="auto"/>
        <w:ind w:left="709"/>
        <w:jc w:val="both"/>
        <w:rPr>
          <w:rFonts w:ascii="Times New Roman" w:hAnsi="Times New Roman" w:cs="Times New Roman"/>
          <w:noProof/>
          <w:sz w:val="24"/>
        </w:rPr>
      </w:pPr>
    </w:p>
    <w:p w14:paraId="1E889018" w14:textId="77777777" w:rsidR="006578ED" w:rsidRDefault="006578ED">
      <w:pPr>
        <w:spacing w:before="120" w:after="120" w:line="240" w:lineRule="auto"/>
        <w:ind w:left="709"/>
        <w:jc w:val="both"/>
        <w:rPr>
          <w:rFonts w:ascii="Times New Roman" w:hAnsi="Times New Roman" w:cs="Times New Roman"/>
          <w:noProof/>
          <w:sz w:val="24"/>
        </w:rPr>
        <w:sectPr w:rsidR="006578ED" w:rsidSect="00C94F66">
          <w:headerReference w:type="even" r:id="rId393"/>
          <w:headerReference w:type="default" r:id="rId394"/>
          <w:footerReference w:type="even" r:id="rId395"/>
          <w:footerReference w:type="default" r:id="rId396"/>
          <w:headerReference w:type="first" r:id="rId397"/>
          <w:footerReference w:type="first" r:id="rId398"/>
          <w:pgSz w:w="16839" w:h="11907" w:orient="landscape"/>
          <w:pgMar w:top="1417" w:right="1134" w:bottom="1417" w:left="1134" w:header="709" w:footer="709" w:gutter="0"/>
          <w:cols w:space="720"/>
          <w:docGrid w:linePitch="360"/>
        </w:sectPr>
      </w:pPr>
    </w:p>
    <w:p w14:paraId="780CBD9C" w14:textId="701A7C42" w:rsidR="006578ED" w:rsidRDefault="00AF6B91">
      <w:pPr>
        <w:pStyle w:val="P68B1DB1-Heading12"/>
        <w:rPr>
          <w:rFonts w:cs="Times New Roman"/>
          <w:noProof/>
        </w:rPr>
      </w:pPr>
      <w:r>
        <w:rPr>
          <w:noProof/>
        </w:rPr>
        <w:t>Cel. KOMPONENT 20: Strategiczny plan wspierania szkolenia zawodowego</w:t>
      </w:r>
    </w:p>
    <w:p w14:paraId="1BD30229" w14:textId="7E386612" w:rsidR="006578ED" w:rsidRDefault="00A1618E">
      <w:pPr>
        <w:pStyle w:val="P68B1DB1-Normal4"/>
        <w:spacing w:before="120" w:after="120" w:line="240" w:lineRule="auto"/>
        <w:jc w:val="both"/>
        <w:rPr>
          <w:rFonts w:cs="Times New Roman"/>
          <w:noProof/>
        </w:rPr>
      </w:pPr>
      <w:r>
        <w:rPr>
          <w:noProof/>
        </w:rPr>
        <w:t xml:space="preserve">Komponent hiszpańskiego planu odbudowy i zwiększania odporności ma na celu przekształcenie i modernizację systemu kształcenia i szkolenia zawodowego oraz dostosowanie go do zmian w produkcyjnych sektorach gospodarki. W tym celu komponent ten ma przyczynić się do zwiększenia szans na zatrudnienie i mobilności zawodowej pracowników, a tym samym do zwiększenia wydajności i konkurencyjności. </w:t>
      </w:r>
    </w:p>
    <w:p w14:paraId="0906955F" w14:textId="54FCC921" w:rsidR="006578ED" w:rsidRDefault="00A1618E">
      <w:pPr>
        <w:pStyle w:val="P68B1DB1-Normal4"/>
        <w:spacing w:before="120" w:after="120" w:line="240" w:lineRule="auto"/>
        <w:jc w:val="both"/>
        <w:rPr>
          <w:rFonts w:cs="Times New Roman"/>
          <w:noProof/>
        </w:rPr>
      </w:pPr>
      <w:r>
        <w:rPr>
          <w:noProof/>
        </w:rPr>
        <w:t>Istniejące niedopasowanie umiejętności jest rozwiązywane w celu poprawy równowagi między poziomem kształcenia i szkolenia ludności a potrzebami rynku pracy, w szczególności poprzez wspieranie podnoszenia kwalifikacji osób o niskich kwalifikacjach w kierunku bardziej średnich umiejętności i przekwalifikowania</w:t>
      </w:r>
      <w:r w:rsidRPr="00A1618E">
        <w:rPr>
          <w:noProof/>
          <w:lang w:val="pl-PL"/>
        </w:rPr>
        <w:t>. S</w:t>
      </w:r>
      <w:r>
        <w:rPr>
          <w:noProof/>
        </w:rPr>
        <w:t xml:space="preserve">zczególną uwagę zwraca się na umiejętności techniczne i cyfrowe, rozwiązując problem luki w umiejętnościach kobiet i mężczyzn oraz zwiększając atrakcyjność wyższych programów kształcenia i szkolenia zawodowego w celu poprawy rekrutacji. Komponent ten przewiduje również uznawanie istniejących umiejętności w celu otwarcia dostępu do nowych możliwości szkolenia i nowych kwalifikacji w ramach bardziej zintegrowanego systemu kształcenia i szkolenia zawodowego, który towarzyszy zarówno osobom uczestniczącym w kształceniu obowiązkowym, co przyczynia się do ograniczenia zjawiska przedwczesnego kończenia nauki, jak i przez całe życie zawodowe. </w:t>
      </w:r>
    </w:p>
    <w:p w14:paraId="5C9D1302" w14:textId="42767889" w:rsidR="006578ED" w:rsidRDefault="00A1618E">
      <w:pPr>
        <w:pStyle w:val="P68B1DB1-Normal4"/>
        <w:spacing w:before="120" w:after="120" w:line="240" w:lineRule="auto"/>
        <w:jc w:val="both"/>
        <w:textAlignment w:val="baseline"/>
        <w:rPr>
          <w:rFonts w:eastAsia="Times New Roman" w:cs="Times New Roman"/>
          <w:noProof/>
        </w:rPr>
      </w:pPr>
      <w:r>
        <w:rPr>
          <w:noProof/>
        </w:rPr>
        <w:t xml:space="preserve">Komponent ten przyczynia się do realizacji zaleceń dla poszczególnych krajów dotyczących ograniczania zjawiska przedwczesnego kończenia nauki (zalecenie dla poszczególnych krajów </w:t>
      </w:r>
      <w:r w:rsidRPr="00A1618E">
        <w:rPr>
          <w:noProof/>
          <w:lang w:val="pl-PL"/>
        </w:rPr>
        <w:t>nr 2</w:t>
      </w:r>
      <w:r>
        <w:rPr>
          <w:noProof/>
        </w:rPr>
        <w:t xml:space="preserve"> z 20</w:t>
      </w:r>
      <w:r w:rsidRPr="00A1618E">
        <w:rPr>
          <w:noProof/>
          <w:lang w:val="pl-PL"/>
        </w:rPr>
        <w:t>19 r.</w:t>
      </w:r>
      <w:r>
        <w:rPr>
          <w:noProof/>
        </w:rPr>
        <w:t xml:space="preserve">); zacieśnienie współpracy między edukacją a przedsiębiorstwami w celu poprawy oferty umiejętności i kwalifikacji istotnych dla rynku pracy, w szczególności w zakresie technologii informacyjno-komunikacyjnych (zalecenie dla poszczególnych krajów </w:t>
      </w:r>
      <w:r w:rsidRPr="00A1618E">
        <w:rPr>
          <w:noProof/>
          <w:lang w:val="pl-PL"/>
        </w:rPr>
        <w:t>nr 2</w:t>
      </w:r>
      <w:r>
        <w:rPr>
          <w:noProof/>
        </w:rPr>
        <w:t xml:space="preserve"> z 20</w:t>
      </w:r>
      <w:r w:rsidRPr="00A1618E">
        <w:rPr>
          <w:noProof/>
          <w:lang w:val="pl-PL"/>
        </w:rPr>
        <w:t>19 r.</w:t>
      </w:r>
      <w:r>
        <w:rPr>
          <w:noProof/>
        </w:rPr>
        <w:t xml:space="preserve">); wspieranie zatrudnienia za pomocą środków służących utrzymaniu miejsc pracy, skutecznych zachęt do rekrutacji i rozwoju umiejętności (zalecenie dla poszczególnych krajów </w:t>
      </w:r>
      <w:r w:rsidRPr="00A1618E">
        <w:rPr>
          <w:noProof/>
          <w:lang w:val="pl-PL"/>
        </w:rPr>
        <w:t>nr 2</w:t>
      </w:r>
      <w:r>
        <w:rPr>
          <w:noProof/>
        </w:rPr>
        <w:t xml:space="preserve"> z 20</w:t>
      </w:r>
      <w:r w:rsidRPr="00A1618E">
        <w:rPr>
          <w:noProof/>
          <w:lang w:val="pl-PL"/>
        </w:rPr>
        <w:t>20 r.</w:t>
      </w:r>
      <w:r>
        <w:rPr>
          <w:noProof/>
        </w:rPr>
        <w:t xml:space="preserve">); poprawa dostępu do cyfrowego uczenia się (zalecenie dla poszczególnych krajów </w:t>
      </w:r>
      <w:r w:rsidRPr="00A1618E">
        <w:rPr>
          <w:noProof/>
          <w:lang w:val="pl-PL"/>
        </w:rPr>
        <w:t>nr 2</w:t>
      </w:r>
      <w:r>
        <w:rPr>
          <w:noProof/>
        </w:rPr>
        <w:t xml:space="preserve"> z 20</w:t>
      </w:r>
      <w:r w:rsidRPr="00A1618E">
        <w:rPr>
          <w:noProof/>
          <w:lang w:val="pl-PL"/>
        </w:rPr>
        <w:t>20 r.</w:t>
      </w:r>
      <w:r>
        <w:rPr>
          <w:noProof/>
        </w:rPr>
        <w:t>).</w:t>
      </w:r>
    </w:p>
    <w:p w14:paraId="10EF2818" w14:textId="7BE09863" w:rsidR="006578ED" w:rsidRDefault="00A1618E">
      <w:pPr>
        <w:pStyle w:val="P68B1DB1-Normal4"/>
        <w:spacing w:before="120" w:after="120" w:line="240" w:lineRule="auto"/>
        <w:jc w:val="both"/>
        <w:textAlignment w:val="baseline"/>
        <w:rPr>
          <w:rFonts w:eastAsia="Times New Roman"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41E1D791" w14:textId="184E9713" w:rsidR="006578ED" w:rsidRDefault="00AF6B91">
      <w:pPr>
        <w:pStyle w:val="P68B1DB1-Normal5"/>
        <w:spacing w:before="120" w:after="120" w:line="240" w:lineRule="auto"/>
        <w:ind w:left="709"/>
        <w:jc w:val="both"/>
        <w:rPr>
          <w:rFonts w:cs="Times New Roman"/>
          <w:i/>
          <w:noProof/>
        </w:rPr>
      </w:pPr>
      <w:r>
        <w:rPr>
          <w:noProof/>
        </w:rPr>
        <w:t xml:space="preserve">Cel.1. </w:t>
      </w:r>
      <w:r>
        <w:rPr>
          <w:noProof/>
        </w:rPr>
        <w:tab/>
        <w:t>Opis reform</w:t>
      </w:r>
      <w:r w:rsidR="00A1618E">
        <w:rPr>
          <w:noProof/>
        </w:rPr>
        <w:t xml:space="preserve"> i inw</w:t>
      </w:r>
      <w:r>
        <w:rPr>
          <w:noProof/>
        </w:rPr>
        <w:t>estycji, które mają być finansowane</w:t>
      </w:r>
      <w:r w:rsidR="00A1618E">
        <w:rPr>
          <w:noProof/>
        </w:rPr>
        <w:t xml:space="preserve"> z bez</w:t>
      </w:r>
      <w:r>
        <w:rPr>
          <w:noProof/>
        </w:rPr>
        <w:t>zwrotnego wsparcia finansowego</w:t>
      </w:r>
    </w:p>
    <w:p w14:paraId="1017AE05" w14:textId="77777777" w:rsidR="006578ED" w:rsidRDefault="00A1618E">
      <w:pPr>
        <w:pStyle w:val="P68B1DB1-Normal23"/>
        <w:spacing w:before="120" w:after="120" w:line="240" w:lineRule="auto"/>
        <w:jc w:val="both"/>
        <w:rPr>
          <w:rFonts w:cs="Times New Roman"/>
          <w:noProof/>
        </w:rPr>
      </w:pPr>
      <w:r>
        <w:rPr>
          <w:noProof/>
        </w:rPr>
        <w:t xml:space="preserve">Reforma 1 (C20.R1) – Plan modernizacji kształcenia zawodowego </w:t>
      </w:r>
    </w:p>
    <w:p w14:paraId="777BAF35" w14:textId="32EB9F65" w:rsidR="006578ED" w:rsidRDefault="00A1618E">
      <w:pPr>
        <w:pStyle w:val="P68B1DB1-Normal4"/>
        <w:spacing w:before="120" w:after="120" w:line="240" w:lineRule="auto"/>
        <w:jc w:val="both"/>
        <w:rPr>
          <w:rFonts w:cs="Times New Roman"/>
          <w:noProof/>
        </w:rPr>
      </w:pPr>
      <w:r>
        <w:rPr>
          <w:noProof/>
        </w:rPr>
        <w:t>Reforma</w:t>
      </w:r>
      <w:r>
        <w:rPr>
          <w:noProof/>
          <w:shd w:val="clear" w:color="auto" w:fill="FFFFFF"/>
        </w:rPr>
        <w:t>ta polega na przyjęciu i wdrożeniu planu modernizacji kształcenia zawodowego. Plan przedstawiono 22 lipca 20</w:t>
      </w:r>
      <w:r w:rsidRPr="00A1618E">
        <w:rPr>
          <w:noProof/>
          <w:shd w:val="clear" w:color="auto" w:fill="FFFFFF"/>
          <w:lang w:val="pl-PL"/>
        </w:rPr>
        <w:t>20 r.</w:t>
      </w:r>
      <w:r>
        <w:rPr>
          <w:noProof/>
          <w:shd w:val="clear" w:color="auto" w:fill="FFFFFF"/>
        </w:rPr>
        <w:t xml:space="preserve"> Jego celem jest zapewnienie, aby system kształcenia zawodowego (VET) </w:t>
      </w:r>
      <w:r>
        <w:rPr>
          <w:noProof/>
        </w:rPr>
        <w:t xml:space="preserve">odpowiadał na rynek pracy wymagający kwalifikacji pośrednich, zaspokajając tym samym potrzeby sektora produkcyjnego (zwłaszcza </w:t>
      </w:r>
      <w:r>
        <w:rPr>
          <w:noProof/>
          <w:shd w:val="clear" w:color="auto" w:fill="FFFFFF"/>
        </w:rPr>
        <w:t xml:space="preserve">techników/starszych techników) </w:t>
      </w:r>
      <w:r>
        <w:rPr>
          <w:noProof/>
        </w:rPr>
        <w:t xml:space="preserve">oraz zapewniając, by szkolenia i kwalifikacje zawodowe poprawiały szanse na zatrudnienie. </w:t>
      </w:r>
      <w:r>
        <w:rPr>
          <w:noProof/>
          <w:shd w:val="clear" w:color="auto" w:fill="FFFFFF"/>
        </w:rPr>
        <w:t>Określa się w nim szkolenie zawodowe jako kluczowy element pobudzania czynników gospodarczych i społecznych w następstwie pandemii.</w:t>
      </w:r>
    </w:p>
    <w:p w14:paraId="5EFD89B3" w14:textId="0D9C3782" w:rsidR="006578ED" w:rsidRDefault="00A1618E">
      <w:pPr>
        <w:pStyle w:val="P68B1DB1-Normal4"/>
        <w:spacing w:before="120" w:after="120" w:line="240" w:lineRule="auto"/>
        <w:jc w:val="both"/>
        <w:rPr>
          <w:rFonts w:cs="Times New Roman"/>
          <w:noProof/>
          <w:shd w:val="clear" w:color="auto" w:fill="FFFFFF"/>
        </w:rPr>
      </w:pPr>
      <w:r>
        <w:rPr>
          <w:noProof/>
          <w:shd w:val="clear" w:color="auto" w:fill="FFFFFF"/>
        </w:rPr>
        <w:t>Plan koncentruje się</w:t>
      </w:r>
      <w:r>
        <w:rPr>
          <w:noProof/>
        </w:rPr>
        <w:t xml:space="preserve"> na ustanowieniu jednego zintegrowanego systemu kształcenia i szkolenia zawodowego, który zapewnia szkolenia i kwalifikacje zawodowe całej ludności, w tym uczestnikom kształcenia i szkolenia zawodowego w systemie kształcenia i szkolenia zawodowego w celu zatrudnienia.</w:t>
      </w:r>
      <w:r>
        <w:rPr>
          <w:noProof/>
          <w:shd w:val="clear" w:color="auto" w:fill="FFFFFF"/>
        </w:rPr>
        <w:t xml:space="preserve"> Kształcenie i szkolenie zawodowe</w:t>
      </w:r>
      <w:r>
        <w:rPr>
          <w:noProof/>
        </w:rPr>
        <w:t>jest standardowym, powtarzającym się elementem rozwoju zawodowego dla wszystkich pracowników przez cały okres ich życia zawodowego.</w:t>
      </w:r>
    </w:p>
    <w:p w14:paraId="3F988533" w14:textId="322BBFC0" w:rsidR="006578ED" w:rsidRDefault="00A1618E">
      <w:pPr>
        <w:pStyle w:val="P68B1DB1-Normal22"/>
        <w:spacing w:before="120" w:after="120" w:line="240" w:lineRule="auto"/>
        <w:jc w:val="both"/>
        <w:rPr>
          <w:rFonts w:cs="Times New Roman"/>
          <w:noProof/>
        </w:rPr>
      </w:pPr>
      <w:r>
        <w:rPr>
          <w:noProof/>
        </w:rPr>
        <w:t>Głównym instrumentem planu jest krajowy katalog kwalifikacji zawodowych, który podlega przeglądowi i aktualizacji, w tym poprzez włączenie stosowania transformacji cyfrowej i ekologicznej. Obejmuje ono opracowanie nowych kwalifikacji w zakresie kształcenia zawodowego we wszystkich sektorach, ze szczególnym uwzględnieniem dwunastu strategicznych sektorów, w których szkolenie zawodowe ma być rozwijane, z uwzględnieniem potrzeb regionalnych.</w:t>
      </w:r>
    </w:p>
    <w:p w14:paraId="593AC1F4" w14:textId="0A88C4F1" w:rsidR="006578ED" w:rsidRDefault="00A1618E">
      <w:pPr>
        <w:pStyle w:val="P68B1DB1-Normal4"/>
        <w:spacing w:before="120" w:after="120" w:line="240" w:lineRule="auto"/>
        <w:jc w:val="both"/>
        <w:rPr>
          <w:rFonts w:cs="Times New Roman"/>
          <w:noProof/>
          <w:shd w:val="clear" w:color="auto" w:fill="FFFFFF"/>
        </w:rPr>
      </w:pPr>
      <w:r>
        <w:rPr>
          <w:noProof/>
          <w:shd w:val="clear" w:color="auto" w:fill="FFFFFF"/>
        </w:rPr>
        <w:t>Plan jest realizowany poprzez przyjęcie kilku dekretów królewskich z </w:t>
      </w:r>
      <w:r>
        <w:rPr>
          <w:noProof/>
        </w:rPr>
        <w:t>mocą ustawy, odpowiadających ustanowieniu nowych programów nauczania.</w:t>
      </w:r>
      <w:r>
        <w:rPr>
          <w:noProof/>
          <w:shd w:val="clear" w:color="auto" w:fill="FFFFFF"/>
        </w:rPr>
        <w:t xml:space="preserve"> Przewiduje się, że w latach 2021–2023 stopniowo ustanawiane będą około 42 nowe stopnie naukowe obejmujące stopnie średnie, wyższe i specjalistyczne. Reforma obejmuje również okresowy przegląd stopni kształcenia zawodowego, opracowywanie nowych stopni szkolenia zawodowego odpowiadających potrzebom sektorów produkcyjnych, ze szczególnym uwzględnieniem sektorów priorytetowych w strategicznym planie szkolenia zawodowego. </w:t>
      </w:r>
    </w:p>
    <w:p w14:paraId="3E2F91F8" w14:textId="09C0FBBB" w:rsidR="006578ED" w:rsidRDefault="00A1618E">
      <w:pPr>
        <w:pStyle w:val="P68B1DB1-Normal4"/>
        <w:spacing w:before="120" w:after="120" w:line="240" w:lineRule="auto"/>
        <w:jc w:val="both"/>
        <w:rPr>
          <w:rFonts w:cs="Times New Roman"/>
          <w:noProof/>
          <w:shd w:val="clear" w:color="auto" w:fill="FFFFFF"/>
        </w:rPr>
      </w:pPr>
      <w:r>
        <w:rPr>
          <w:noProof/>
          <w:shd w:val="clear" w:color="auto" w:fill="FFFFFF"/>
        </w:rPr>
        <w:t xml:space="preserve">Inne priorytety planu obejmują włączenie </w:t>
      </w:r>
      <w:r>
        <w:rPr>
          <w:noProof/>
        </w:rPr>
        <w:t>innowacji, badań stosowanych, przedsiębiorczości, cyfryzacji i zrównoważonego rozwoju jako podstawowych elementów szkolenia zawodowego; oraz umiejscowienie przedsiębiorstw jako integralnej części kształcenia zawodowego i promowanie współpracy publiczno-prywatnej w ramach systemu, w szczególności promowanie podwójnego charakteru kształcenia zawodowego. W tym celu</w:t>
      </w:r>
      <w:r>
        <w:rPr>
          <w:noProof/>
          <w:shd w:val="clear" w:color="auto" w:fill="FFFFFF"/>
        </w:rPr>
        <w:t>reforma opiera się na wspólnych pracach ministerstw, przedsiębiorstw i partnerów społecznych w celu określenia umiejętności potrzebnych w gospodarce.</w:t>
      </w:r>
    </w:p>
    <w:p w14:paraId="41FFB940" w14:textId="3F93EED1" w:rsidR="006578ED" w:rsidRDefault="00A1618E">
      <w:pPr>
        <w:pStyle w:val="P68B1DB1-Normal22"/>
        <w:spacing w:before="120" w:after="120" w:line="240" w:lineRule="auto"/>
        <w:jc w:val="both"/>
        <w:rPr>
          <w:rFonts w:cs="Times New Roman"/>
          <w:noProof/>
        </w:rPr>
      </w:pPr>
      <w:r>
        <w:rPr>
          <w:noProof/>
        </w:rPr>
        <w:t>Wdrożenie środka zostanie zakończone do dnia 31 grudnia 20</w:t>
      </w:r>
      <w:r w:rsidRPr="00A1618E">
        <w:rPr>
          <w:noProof/>
          <w:lang w:val="pl-PL"/>
        </w:rPr>
        <w:t>20 r.</w:t>
      </w:r>
    </w:p>
    <w:p w14:paraId="0A72A425" w14:textId="246851D9" w:rsidR="006578ED" w:rsidRDefault="00A1618E">
      <w:pPr>
        <w:pStyle w:val="P68B1DB1-Normal23"/>
        <w:spacing w:before="120" w:after="120" w:line="240" w:lineRule="auto"/>
        <w:jc w:val="both"/>
        <w:rPr>
          <w:rFonts w:cs="Times New Roman"/>
          <w:noProof/>
        </w:rPr>
      </w:pPr>
      <w:r>
        <w:rPr>
          <w:noProof/>
        </w:rPr>
        <w:t xml:space="preserve">Reforma 2 (C20.R2) – Ustawa regulująca zintegrowany system kształcenia i szkolenia zawodowego powiązany z krajowym systemem kwalifikacji </w:t>
      </w:r>
    </w:p>
    <w:p w14:paraId="6B0FD563" w14:textId="4E7ADC2B" w:rsidR="006578ED" w:rsidRDefault="00A1618E">
      <w:pPr>
        <w:pStyle w:val="P68B1DB1-Normal4"/>
        <w:spacing w:before="120" w:after="120" w:line="240" w:lineRule="auto"/>
        <w:jc w:val="both"/>
        <w:rPr>
          <w:rFonts w:cs="Times New Roman"/>
          <w:noProof/>
          <w:shd w:val="clear" w:color="auto" w:fill="FFFFFF"/>
        </w:rPr>
      </w:pPr>
      <w:r>
        <w:rPr>
          <w:noProof/>
        </w:rPr>
        <w:t xml:space="preserve">Zgodnie z celami planu modernizacji kształcenia zawodowego oraz </w:t>
      </w:r>
      <w:r>
        <w:rPr>
          <w:noProof/>
          <w:shd w:val="clear" w:color="auto" w:fill="FFFFFF"/>
        </w:rPr>
        <w:t>z</w:t>
      </w:r>
      <w:r>
        <w:rPr>
          <w:noProof/>
        </w:rPr>
        <w:t> </w:t>
      </w:r>
      <w:r>
        <w:rPr>
          <w:noProof/>
          <w:shd w:val="clear" w:color="auto" w:fill="FFFFFF"/>
        </w:rPr>
        <w:t xml:space="preserve">ramami krajowego systemu kwalifikacji Hiszpania przedstawi i przyjmie ustawę regulującą zintegrowany system kształcenia i szkolenia zawodowego. Nowa ustawa włącza dwa obecne odrębne systemy kształcenia zawodowego: system kształcenia i szkolenia zawodowego oraz system kształcenia zawodowego, w jeden system. Określa on zintegrowany system uczenia się przez całe życie dla ludności w każdym wieku i w każdej sytuacji osobistej lub zawodowej, oferujący kursy uzupełniające i kumulatywne prowadzące do uzyskania nowych kwalifikacji. </w:t>
      </w:r>
      <w:r>
        <w:rPr>
          <w:noProof/>
        </w:rPr>
        <w:t xml:space="preserve">Towarzyszy mu również proces orientacyjny przez całe życie. </w:t>
      </w:r>
    </w:p>
    <w:p w14:paraId="597A2EC6" w14:textId="2996A2F0" w:rsidR="006578ED" w:rsidRDefault="00A1618E">
      <w:pPr>
        <w:pStyle w:val="P68B1DB1-Normal4"/>
        <w:spacing w:before="120" w:after="120" w:line="240" w:lineRule="auto"/>
        <w:jc w:val="both"/>
        <w:rPr>
          <w:rFonts w:cs="Times New Roman"/>
          <w:noProof/>
          <w:shd w:val="clear" w:color="auto" w:fill="FFFFFF"/>
        </w:rPr>
      </w:pPr>
      <w:r>
        <w:rPr>
          <w:noProof/>
        </w:rPr>
        <w:t xml:space="preserve">W pierwszym etapie przygotowania projekt ustawy zostanie przygotowany przez Ministerstwo Edukacji i Szkolenia Zawodowego za zgodą partnerów społecznych i rządów regionalnych. </w:t>
      </w:r>
      <w:r>
        <w:rPr>
          <w:noProof/>
          <w:shd w:val="clear" w:color="auto" w:fill="FFFFFF"/>
        </w:rPr>
        <w:t>Oczekuje się, że Rada Ministrów zatwierdzi projekt ustawy przed dniem 31 grudnia 20</w:t>
      </w:r>
      <w:r w:rsidRPr="00A1618E">
        <w:rPr>
          <w:noProof/>
          <w:shd w:val="clear" w:color="auto" w:fill="FFFFFF"/>
          <w:lang w:val="pl-PL"/>
        </w:rPr>
        <w:t>21 r.</w:t>
      </w:r>
      <w:r>
        <w:rPr>
          <w:noProof/>
          <w:shd w:val="clear" w:color="auto" w:fill="FFFFFF"/>
        </w:rPr>
        <w:t>, a przyjęcie w parlamencie nastąpi do dnia 30 czerwca 20</w:t>
      </w:r>
      <w:r w:rsidRPr="00A1618E">
        <w:rPr>
          <w:noProof/>
          <w:shd w:val="clear" w:color="auto" w:fill="FFFFFF"/>
          <w:lang w:val="pl-PL"/>
        </w:rPr>
        <w:t>22 r.</w:t>
      </w:r>
    </w:p>
    <w:p w14:paraId="3F614CDA" w14:textId="15AB676E" w:rsidR="006578ED" w:rsidRDefault="00A1618E">
      <w:pPr>
        <w:pStyle w:val="P68B1DB1-Normal4"/>
        <w:spacing w:before="120" w:after="120" w:line="240" w:lineRule="auto"/>
        <w:jc w:val="both"/>
        <w:rPr>
          <w:rFonts w:cs="Times New Roman"/>
          <w:noProof/>
        </w:rPr>
      </w:pPr>
      <w:r>
        <w:rPr>
          <w:noProof/>
        </w:rPr>
        <w:t xml:space="preserve">Ostatecznie zatwierdzona ustawa, ujednolicająca dwa wcześniej istniejące systemy kształcenia zawodowego, ma na celu modernizację systemu, w szczególności poprzez: </w:t>
      </w:r>
    </w:p>
    <w:p w14:paraId="12CE28C1" w14:textId="15224AC4" w:rsidR="006578ED" w:rsidRDefault="00A1618E">
      <w:pPr>
        <w:pStyle w:val="P68B1DB1-Normal4"/>
        <w:numPr>
          <w:ilvl w:val="0"/>
          <w:numId w:val="135"/>
        </w:numPr>
        <w:spacing w:before="120" w:after="160" w:line="259" w:lineRule="auto"/>
        <w:contextualSpacing/>
        <w:jc w:val="both"/>
        <w:rPr>
          <w:rFonts w:cs="Times New Roman"/>
          <w:noProof/>
        </w:rPr>
      </w:pPr>
      <w:r>
        <w:rPr>
          <w:noProof/>
        </w:rPr>
        <w:t xml:space="preserve">skoncentrowanie się na podnoszeniu kwalifikacji osób o niskich kwalifikacjach i poprawie ich szans na zatrudnienie; </w:t>
      </w:r>
    </w:p>
    <w:p w14:paraId="09FE3AA0" w14:textId="77777777" w:rsidR="006578ED" w:rsidRDefault="00A1618E">
      <w:pPr>
        <w:pStyle w:val="P68B1DB1-Normal4"/>
        <w:numPr>
          <w:ilvl w:val="0"/>
          <w:numId w:val="135"/>
        </w:numPr>
        <w:spacing w:before="120" w:after="160" w:line="259" w:lineRule="auto"/>
        <w:contextualSpacing/>
        <w:jc w:val="both"/>
        <w:rPr>
          <w:rFonts w:cs="Times New Roman"/>
          <w:noProof/>
        </w:rPr>
      </w:pPr>
      <w:r>
        <w:rPr>
          <w:noProof/>
        </w:rPr>
        <w:t xml:space="preserve">podejmowaniu kwestii niedopasowania umiejętności; </w:t>
      </w:r>
    </w:p>
    <w:p w14:paraId="791BBCAD" w14:textId="20ED26E7" w:rsidR="006578ED" w:rsidRDefault="00A1618E">
      <w:pPr>
        <w:pStyle w:val="P68B1DB1-Normal4"/>
        <w:numPr>
          <w:ilvl w:val="0"/>
          <w:numId w:val="135"/>
        </w:numPr>
        <w:spacing w:before="120" w:after="160" w:line="259" w:lineRule="auto"/>
        <w:contextualSpacing/>
        <w:jc w:val="both"/>
        <w:rPr>
          <w:rFonts w:cs="Times New Roman"/>
          <w:noProof/>
        </w:rPr>
      </w:pPr>
      <w:r>
        <w:rPr>
          <w:noProof/>
        </w:rPr>
        <w:t>aktualizacja krajowego katalogu kwalifikacji zawodowych, dostosowanie go do przyszłych potrzeb gospodarki, w tym wspieranie transformacji ekologicznej i cyfrowej; oraz</w:t>
      </w:r>
    </w:p>
    <w:p w14:paraId="38222DA9" w14:textId="19C60F54" w:rsidR="006578ED" w:rsidRDefault="00A1618E">
      <w:pPr>
        <w:pStyle w:val="P68B1DB1-Normal4"/>
        <w:numPr>
          <w:ilvl w:val="0"/>
          <w:numId w:val="135"/>
        </w:numPr>
        <w:spacing w:before="120" w:after="160" w:line="259" w:lineRule="auto"/>
        <w:contextualSpacing/>
        <w:jc w:val="both"/>
        <w:rPr>
          <w:rFonts w:cs="Times New Roman"/>
          <w:noProof/>
        </w:rPr>
      </w:pPr>
      <w:r>
        <w:rPr>
          <w:noProof/>
        </w:rPr>
        <w:t>zwiększenie atrakcyjności programów kształcenia i szkolenia zawodowego na poziomie wyższym w celu poprawy rekrutacji.</w:t>
      </w:r>
    </w:p>
    <w:p w14:paraId="123E8D21" w14:textId="5B8587E5" w:rsidR="006578ED" w:rsidRDefault="00A1618E">
      <w:pPr>
        <w:pStyle w:val="P68B1DB1-Normal22"/>
        <w:spacing w:before="120" w:after="120" w:line="240" w:lineRule="auto"/>
        <w:jc w:val="both"/>
        <w:rPr>
          <w:rFonts w:cs="Times New Roman"/>
          <w:noProof/>
          <w:u w:val="single"/>
        </w:rPr>
      </w:pPr>
      <w:r>
        <w:rPr>
          <w:noProof/>
        </w:rPr>
        <w:t>Wdrożenie środka należy zakończyć do dnia 30 czerwca 20</w:t>
      </w:r>
      <w:r w:rsidRPr="00A1618E">
        <w:rPr>
          <w:noProof/>
          <w:lang w:val="pl-PL"/>
        </w:rPr>
        <w:t>22 r.</w:t>
      </w:r>
    </w:p>
    <w:p w14:paraId="04B8F193" w14:textId="22CAC81E" w:rsidR="006578ED" w:rsidRDefault="00A1618E">
      <w:pPr>
        <w:pStyle w:val="P68B1DB1-Normal23"/>
        <w:spacing w:before="120" w:after="120" w:line="240" w:lineRule="auto"/>
        <w:jc w:val="both"/>
        <w:rPr>
          <w:rFonts w:cs="Times New Roman"/>
          <w:noProof/>
        </w:rPr>
      </w:pPr>
      <w:r>
        <w:rPr>
          <w:noProof/>
        </w:rPr>
        <w:t xml:space="preserve">Inwestycja 1 (C20.I1) – Zmiana i podnoszenie kwalifikacji siły roboczej w związku z kwalifikacjami zawodowymi </w:t>
      </w:r>
    </w:p>
    <w:p w14:paraId="46184BED" w14:textId="211687EE" w:rsidR="006578ED" w:rsidRDefault="00A1618E">
      <w:pPr>
        <w:pStyle w:val="P68B1DB1-Normal22"/>
        <w:spacing w:before="120" w:after="120" w:line="240" w:lineRule="auto"/>
        <w:jc w:val="both"/>
        <w:rPr>
          <w:rFonts w:cs="Times New Roman"/>
          <w:noProof/>
        </w:rPr>
      </w:pPr>
      <w:r>
        <w:rPr>
          <w:noProof/>
        </w:rPr>
        <w:t>Inwestycja ta obejmuje cztery działania mające na celu utrzymanie i poprawę umiejętności zawodowych ludności aktywnej zawodowo przez okres 16 lat (zatrudniony lub bezrobotny):</w:t>
      </w:r>
    </w:p>
    <w:p w14:paraId="2D258D6E" w14:textId="6B44656D" w:rsidR="006578ED" w:rsidRPr="00A1618E" w:rsidRDefault="00A1618E">
      <w:pPr>
        <w:pStyle w:val="P68B1DB1-Normal4"/>
        <w:numPr>
          <w:ilvl w:val="0"/>
          <w:numId w:val="136"/>
        </w:numPr>
        <w:spacing w:before="120" w:after="120" w:line="240" w:lineRule="auto"/>
        <w:jc w:val="both"/>
        <w:rPr>
          <w:rFonts w:cs="Times New Roman"/>
          <w:noProof/>
          <w:shd w:val="clear" w:color="auto" w:fill="FFFFFF"/>
          <w:lang w:val="pl-PL"/>
        </w:rPr>
      </w:pPr>
      <w:r>
        <w:rPr>
          <w:noProof/>
          <w:shd w:val="clear" w:color="auto" w:fill="FFFFFF"/>
        </w:rPr>
        <w:t xml:space="preserve">Ocena i formalna akredytacja umiejętności zawodowych nabytych w drodze doświadczenia zawodowego i szkolenia pozaformalnego. W tym celu jej celem jest zapewnienie formalnego uznawania istniejących umiejętności oraz zapewnienie dostępu do dalszego szkolenia i nowych kwalifikacji. W sumie w planie inwestuje się w rejestrację, ocenę i akredytację </w:t>
      </w:r>
      <w:r>
        <w:rPr>
          <w:noProof/>
        </w:rPr>
        <w:t>2000000</w:t>
      </w:r>
      <w:r>
        <w:rPr>
          <w:noProof/>
          <w:shd w:val="clear" w:color="auto" w:fill="FFFFFF"/>
        </w:rPr>
        <w:t xml:space="preserve"> jednostek kompetencji w okresie pięciu </w:t>
      </w:r>
      <w:r>
        <w:rPr>
          <w:noProof/>
        </w:rPr>
        <w:t>lat</w:t>
      </w:r>
      <w:r w:rsidRPr="00A1618E">
        <w:rPr>
          <w:noProof/>
          <w:lang w:val="pl-PL"/>
        </w:rPr>
        <w:t xml:space="preserve">. </w:t>
      </w:r>
    </w:p>
    <w:p w14:paraId="14AF6FA2" w14:textId="5D5CC7B3" w:rsidR="006578ED" w:rsidRPr="00A1618E" w:rsidRDefault="00A1618E">
      <w:pPr>
        <w:pStyle w:val="P68B1DB1-Normal4"/>
        <w:numPr>
          <w:ilvl w:val="0"/>
          <w:numId w:val="136"/>
        </w:numPr>
        <w:spacing w:before="120" w:after="120" w:line="240" w:lineRule="auto"/>
        <w:jc w:val="both"/>
        <w:rPr>
          <w:rFonts w:cs="Times New Roman"/>
          <w:noProof/>
          <w:shd w:val="clear" w:color="auto" w:fill="FFFFFF"/>
          <w:lang w:val="pl-PL"/>
        </w:rPr>
      </w:pPr>
      <w:r>
        <w:rPr>
          <w:noProof/>
          <w:shd w:val="clear" w:color="auto" w:fill="FFFFFF"/>
        </w:rPr>
        <w:t xml:space="preserve">Dwucyfrowa oferta modułowa dla pracowników powiązanych z jednostkami kompetencji krajowego katalogu kwalifikacji zawodowych. Działanie jest </w:t>
      </w:r>
      <w:r>
        <w:rPr>
          <w:noProof/>
        </w:rPr>
        <w:t>skierowane do osób zatrudnionych i zapewnia, aby co najmniej 300000 pracowników uzyskało szkolenie cyfrowe w zakresie awansu zawodowego i umożliwiało im zdobycie wyższych umiejętności</w:t>
      </w:r>
      <w:r w:rsidRPr="00A1618E">
        <w:rPr>
          <w:noProof/>
          <w:lang w:val="pl-PL"/>
        </w:rPr>
        <w:t xml:space="preserve">. </w:t>
      </w:r>
    </w:p>
    <w:p w14:paraId="295A55F2" w14:textId="15A58A01" w:rsidR="006578ED" w:rsidRDefault="00A1618E">
      <w:pPr>
        <w:pStyle w:val="P68B1DB1-Normal22"/>
        <w:numPr>
          <w:ilvl w:val="0"/>
          <w:numId w:val="136"/>
        </w:numPr>
        <w:spacing w:before="120" w:after="120" w:line="240" w:lineRule="auto"/>
        <w:jc w:val="both"/>
        <w:rPr>
          <w:rFonts w:cs="Times New Roman"/>
          <w:noProof/>
        </w:rPr>
      </w:pPr>
      <w:r>
        <w:rPr>
          <w:noProof/>
        </w:rPr>
        <w:t>Zwiększenie elastyczności i dostępności kształcenia zawodowego poprzez utworzenie „Aulas</w:t>
      </w:r>
      <w:r>
        <w:rPr>
          <w:i/>
          <w:noProof/>
        </w:rPr>
        <w:t>Mentor</w:t>
      </w:r>
      <w:r>
        <w:rPr>
          <w:noProof/>
        </w:rPr>
        <w:t xml:space="preserve">”. W ramach działania zapewnia się szkolenia pozaformalne zgodnie z krajowym katalogiem kwalifikacji zawodowych dla osób na obszarach wiejskich lub zagrożonych wyludnieniem. Szczególny nacisk zostanie położony na kobiety w celu stworzenia nowych możliwości uczenia się, tworzenia miejsc pracy i poprawy lokalnej gospodarki. </w:t>
      </w:r>
    </w:p>
    <w:p w14:paraId="099FF252" w14:textId="3E233B8F" w:rsidR="006578ED" w:rsidRDefault="00A1618E">
      <w:pPr>
        <w:pStyle w:val="P68B1DB1-Normal4"/>
        <w:numPr>
          <w:ilvl w:val="0"/>
          <w:numId w:val="136"/>
        </w:numPr>
        <w:spacing w:before="120" w:after="120" w:line="240" w:lineRule="auto"/>
        <w:jc w:val="both"/>
        <w:rPr>
          <w:rFonts w:cs="Times New Roman"/>
          <w:noProof/>
          <w:shd w:val="clear" w:color="auto" w:fill="FFFFFF"/>
        </w:rPr>
      </w:pPr>
      <w:r>
        <w:rPr>
          <w:noProof/>
          <w:shd w:val="clear" w:color="auto" w:fill="FFFFFF"/>
        </w:rPr>
        <w:t xml:space="preserve">Modułowe szkolenia w zakresie podnoszenia i zmiany kwalifikacji dla osób zatrudnionych i bezrobotnych. W ramach działania oferuje się szkolenia w zakresie pojawiających się i szybko rozwijających się umiejętności przyszłościowych, co do których oczekuje się, że będą tworzyć miejsca pracy w przyszłości, w tym transformację ekologiczną, gospodarkę opiekuńczą i inne sektory strategiczne określone w planie modernizacji. Priorytetowo traktuje się te grupy, które znajdują się w najtrudniejszej sytuacji i oferują </w:t>
      </w:r>
      <w:r>
        <w:rPr>
          <w:noProof/>
        </w:rPr>
        <w:t>szkolenia mające na celu zmianę i podnoszenie kwalifikacji co najmniej 700000 osób zatrudnionych i bezrobotnych.</w:t>
      </w:r>
    </w:p>
    <w:p w14:paraId="581FD941" w14:textId="25CF7A2D" w:rsidR="006578ED" w:rsidRDefault="00A1618E">
      <w:pPr>
        <w:pStyle w:val="P68B1DB1-Normal22"/>
        <w:spacing w:before="120" w:after="120" w:line="240" w:lineRule="auto"/>
        <w:jc w:val="both"/>
        <w:rPr>
          <w:rFonts w:cs="Times New Roman"/>
          <w:noProof/>
        </w:rPr>
      </w:pPr>
      <w:r>
        <w:rPr>
          <w:noProof/>
        </w:rPr>
        <w:t>Wdrażanie środka zostanie zakończone do dnia 31 grudnia 20</w:t>
      </w:r>
      <w:r w:rsidRPr="00A1618E">
        <w:rPr>
          <w:noProof/>
          <w:lang w:val="pl-PL"/>
        </w:rPr>
        <w:t>25 r.</w:t>
      </w:r>
    </w:p>
    <w:p w14:paraId="58DE658F" w14:textId="77777777" w:rsidR="006578ED" w:rsidRDefault="00A1618E">
      <w:pPr>
        <w:pStyle w:val="P68B1DB1-Normal23"/>
        <w:spacing w:before="120" w:after="120" w:line="240" w:lineRule="auto"/>
        <w:jc w:val="both"/>
        <w:rPr>
          <w:rFonts w:cs="Times New Roman"/>
          <w:noProof/>
        </w:rPr>
      </w:pPr>
      <w:r>
        <w:rPr>
          <w:noProof/>
        </w:rPr>
        <w:t>Inwestycja 2 (C20.I2): Transformacja cyfrowa szkolenia zawodowego</w:t>
      </w:r>
    </w:p>
    <w:p w14:paraId="66EAFBB5" w14:textId="7086E76E" w:rsidR="006578ED" w:rsidRDefault="00A1618E">
      <w:pPr>
        <w:pStyle w:val="P68B1DB1-Normal22"/>
        <w:spacing w:before="120" w:after="120" w:line="240" w:lineRule="auto"/>
        <w:jc w:val="both"/>
        <w:rPr>
          <w:rFonts w:cs="Times New Roman"/>
          <w:noProof/>
        </w:rPr>
      </w:pPr>
      <w:r>
        <w:rPr>
          <w:noProof/>
        </w:rPr>
        <w:t xml:space="preserve">Inwestycja ta ma na celu przekształcenie i modernizację szkolenia zawodowego, aby wspierać cyfryzację każdego sektora produkcji, ale również nadaje priorytet zrównoważeniu środowiskowemu jako kompetencji kluczowej. Obejmuje on cztery działania: </w:t>
      </w:r>
    </w:p>
    <w:p w14:paraId="5FC74A02" w14:textId="6F595262" w:rsidR="006578ED" w:rsidRDefault="00A1618E">
      <w:pPr>
        <w:pStyle w:val="P68B1DB1-Normal22"/>
        <w:numPr>
          <w:ilvl w:val="0"/>
          <w:numId w:val="137"/>
        </w:numPr>
        <w:spacing w:before="120" w:after="120" w:line="240" w:lineRule="auto"/>
        <w:jc w:val="both"/>
        <w:rPr>
          <w:rFonts w:cs="Times New Roman"/>
          <w:noProof/>
        </w:rPr>
      </w:pPr>
      <w:r>
        <w:rPr>
          <w:noProof/>
        </w:rPr>
        <w:t xml:space="preserve">Cyfrowe i ekologiczne szkolenie nauczycieli szkolenia zawodowego, umożliwiające im działanie jako kluczowy filar procesu szkolenia oraz jako dźwignie transformacji cyfrowej i ekologicznej stosowane w odpowiednich sektorach produkcyjnych w zakresie szkolenia zawodowego. Nacisk kładzie się na zapewnienie nauczycielom umiejętności technicznych, zawodowych i pedagogicznych, aby wzmocnić jakość systemu kształcenia i szkolenia. </w:t>
      </w:r>
    </w:p>
    <w:p w14:paraId="7B6F2735" w14:textId="3480D5A3" w:rsidR="006578ED" w:rsidRDefault="00A1618E">
      <w:pPr>
        <w:pStyle w:val="P68B1DB1-Normal8"/>
        <w:numPr>
          <w:ilvl w:val="0"/>
          <w:numId w:val="137"/>
        </w:numPr>
        <w:spacing w:before="120" w:after="120" w:line="240" w:lineRule="auto"/>
        <w:jc w:val="both"/>
        <w:rPr>
          <w:rFonts w:cs="Times New Roman"/>
          <w:noProof/>
          <w:sz w:val="24"/>
          <w:shd w:val="clear" w:color="auto" w:fill="FFFFFF"/>
        </w:rPr>
      </w:pPr>
      <w:r>
        <w:rPr>
          <w:noProof/>
          <w:sz w:val="24"/>
          <w:shd w:val="clear" w:color="auto" w:fill="FFFFFF"/>
        </w:rPr>
        <w:t>Przekształcenie sal lekcyjnych w stosowane przestrzenie technologiczne</w:t>
      </w:r>
      <w:r>
        <w:rPr>
          <w:noProof/>
          <w:sz w:val="24"/>
        </w:rPr>
        <w:t>, które tworzą środowisko pracy z wykorzystaniem zasobów technologicznych,</w:t>
      </w:r>
      <w:r>
        <w:rPr>
          <w:noProof/>
          <w:sz w:val="24"/>
          <w:shd w:val="clear" w:color="auto" w:fill="FFFFFF" w:themeFill="background1"/>
        </w:rPr>
        <w:t xml:space="preserve">umożliwia </w:t>
      </w:r>
      <w:r>
        <w:rPr>
          <w:noProof/>
          <w:sz w:val="24"/>
        </w:rPr>
        <w:t xml:space="preserve">uczniom zbliżanie się do technologii, które następnie znajdą w przedsiębiorstwach. Inwestycja umożliwia utworzenie co najmniej 1253 sal </w:t>
      </w:r>
      <w:r>
        <w:rPr>
          <w:noProof/>
          <w:sz w:val="24"/>
          <w:shd w:val="clear" w:color="auto" w:fill="FFFFFF"/>
        </w:rPr>
        <w:t>lekcyjnych „</w:t>
      </w:r>
      <w:r>
        <w:rPr>
          <w:noProof/>
        </w:rPr>
        <w:t xml:space="preserve">technologii”. </w:t>
      </w:r>
    </w:p>
    <w:p w14:paraId="72401F73" w14:textId="43D92AEC" w:rsidR="006578ED" w:rsidRDefault="00A1618E">
      <w:pPr>
        <w:pStyle w:val="P68B1DB1-Normal4"/>
        <w:numPr>
          <w:ilvl w:val="0"/>
          <w:numId w:val="137"/>
        </w:numPr>
        <w:spacing w:before="120" w:after="120" w:line="240" w:lineRule="auto"/>
        <w:jc w:val="both"/>
        <w:rPr>
          <w:rFonts w:cs="Times New Roman"/>
          <w:noProof/>
          <w:shd w:val="clear" w:color="auto" w:fill="FFFFFF"/>
        </w:rPr>
      </w:pPr>
      <w:r>
        <w:rPr>
          <w:noProof/>
        </w:rPr>
        <w:t>Tworzenie klas „przedsiębiorczości” w publicznych ośrodkach szkolenia zawodowego, oferujących studentom zrozumienie przedsiębiorczości jako integralnej części kompetencji zawodowych i stworzenie podstaw do podjęcia lub rozpoczęcia działalności gospodarczej. Hiszpania zapewnia stabilność fiskalną działania po zakończeniu Instrumentu na rzecz Odbudowy i Zwiększania Odporności, w tym poprzez poleganie na innych źródłach finansowania unijnego.</w:t>
      </w:r>
    </w:p>
    <w:p w14:paraId="21038114" w14:textId="07FA319D" w:rsidR="006578ED" w:rsidRDefault="00A1618E">
      <w:pPr>
        <w:pStyle w:val="P68B1DB1-Normal4"/>
        <w:numPr>
          <w:ilvl w:val="0"/>
          <w:numId w:val="137"/>
        </w:numPr>
        <w:spacing w:before="120" w:after="120" w:line="240" w:lineRule="auto"/>
        <w:jc w:val="both"/>
        <w:rPr>
          <w:rFonts w:cs="Times New Roman"/>
          <w:noProof/>
          <w:shd w:val="clear" w:color="auto" w:fill="FFFFFF"/>
        </w:rPr>
      </w:pPr>
      <w:r>
        <w:rPr>
          <w:noProof/>
        </w:rPr>
        <w:t>Utworzenie sieci 50 centrów doskonałości, stymulujących badania i innowacje w dziedzinie szkolenia zawodowego.</w:t>
      </w:r>
    </w:p>
    <w:p w14:paraId="1E7BB150" w14:textId="1A8442EE" w:rsidR="006578ED" w:rsidRDefault="00A1618E">
      <w:pPr>
        <w:pStyle w:val="P68B1DB1-Normal22"/>
        <w:spacing w:before="120" w:after="120" w:line="240" w:lineRule="auto"/>
        <w:jc w:val="both"/>
        <w:rPr>
          <w:rFonts w:cs="Times New Roman"/>
          <w:noProof/>
        </w:rPr>
      </w:pPr>
      <w:r>
        <w:rPr>
          <w:noProof/>
        </w:rPr>
        <w:t>Inwestycje w klasę technologii i przedsiębiorczości, wraz z centrami doskonałości skupiającymi się na badaniach naukowych i innowacjach, odgrywają ważną rolę w modernizacji struktury biznesowej, wspieraniu transformacji gospodarki i zwiększaniu konkurencyjności. Ponadto uważa się, że przyczyniają się one do pobudzenia tworzenia przedsiębiorstw w strategicznych sektorach oraz do zwiększenia wielkości i wydajności MŚP.</w:t>
      </w:r>
    </w:p>
    <w:p w14:paraId="0A4E03C3" w14:textId="3703E6F0" w:rsidR="006578ED" w:rsidRDefault="00A1618E">
      <w:pPr>
        <w:pStyle w:val="P68B1DB1-Normal22"/>
        <w:spacing w:before="120" w:after="120" w:line="240" w:lineRule="auto"/>
        <w:jc w:val="both"/>
        <w:rPr>
          <w:rFonts w:cs="Times New Roman"/>
          <w:noProof/>
          <w:u w:val="single"/>
        </w:rPr>
      </w:pPr>
      <w:r>
        <w:rPr>
          <w:noProof/>
        </w:rPr>
        <w:t>Wdrażanie środka zostanie zakończone do dnia 31 grudnia 20</w:t>
      </w:r>
      <w:r w:rsidRPr="00A1618E">
        <w:rPr>
          <w:noProof/>
          <w:lang w:val="pl-PL"/>
        </w:rPr>
        <w:t>25 r.</w:t>
      </w:r>
    </w:p>
    <w:p w14:paraId="6DF2FE11" w14:textId="0B008FB9" w:rsidR="006578ED" w:rsidRDefault="00A1618E">
      <w:pPr>
        <w:pStyle w:val="P68B1DB1-Normal23"/>
        <w:keepNext/>
        <w:spacing w:before="120" w:after="120" w:line="240" w:lineRule="auto"/>
        <w:jc w:val="both"/>
        <w:rPr>
          <w:rFonts w:cs="Times New Roman"/>
          <w:noProof/>
        </w:rPr>
      </w:pPr>
      <w:r>
        <w:rPr>
          <w:noProof/>
        </w:rPr>
        <w:t>Inwestycja 3 (C20.I3): Innowacje i umiędzynarodowienie kształcenia zawodowego</w:t>
      </w:r>
    </w:p>
    <w:p w14:paraId="1E09D527" w14:textId="010D9696" w:rsidR="006578ED" w:rsidRDefault="00A1618E">
      <w:pPr>
        <w:pStyle w:val="P68B1DB1-Normal4"/>
        <w:keepNext/>
        <w:spacing w:before="120" w:after="120" w:line="240" w:lineRule="auto"/>
        <w:jc w:val="both"/>
        <w:rPr>
          <w:rFonts w:cs="Times New Roman"/>
          <w:noProof/>
        </w:rPr>
      </w:pPr>
      <w:r>
        <w:rPr>
          <w:noProof/>
          <w:shd w:val="clear" w:color="auto" w:fill="FFFFFF"/>
        </w:rPr>
        <w:t>Inwestycja ta ma na celu zwiększenie ogólnej podaży szkoleń zawodowych poprzez stworzenie łącznie 247452 nowych miejsc (w porównaniu z końcem 20</w:t>
      </w:r>
      <w:r w:rsidRPr="00A1618E">
        <w:rPr>
          <w:noProof/>
          <w:shd w:val="clear" w:color="auto" w:fill="FFFFFF"/>
          <w:lang w:val="pl-PL"/>
        </w:rPr>
        <w:t>20 r.</w:t>
      </w:r>
      <w:r>
        <w:rPr>
          <w:noProof/>
          <w:shd w:val="clear" w:color="auto" w:fill="FFFFFF"/>
        </w:rPr>
        <w:t xml:space="preserve">) </w:t>
      </w:r>
      <w:r w:rsidRPr="00A1618E">
        <w:rPr>
          <w:noProof/>
          <w:shd w:val="clear" w:color="auto" w:fill="FFFFFF"/>
          <w:lang w:val="pl-PL"/>
        </w:rPr>
        <w:t>do 2</w:t>
      </w:r>
      <w:r>
        <w:rPr>
          <w:noProof/>
          <w:shd w:val="clear" w:color="auto" w:fill="FFFFFF"/>
        </w:rPr>
        <w:t>0</w:t>
      </w:r>
      <w:r w:rsidRPr="00A1618E">
        <w:rPr>
          <w:noProof/>
          <w:shd w:val="clear" w:color="auto" w:fill="FFFFFF"/>
          <w:lang w:val="pl-PL"/>
        </w:rPr>
        <w:t>25 r.</w:t>
      </w:r>
      <w:r>
        <w:rPr>
          <w:noProof/>
          <w:shd w:val="clear" w:color="auto" w:fill="FFFFFF"/>
        </w:rPr>
        <w:t xml:space="preserve">, przywrócenie równowagi między podażą a potrzebami przedsiębiorstw i skuteczne reagowanie na luki regionalne i lokalne. Nacisk kładzie się na zaspokojenie zapotrzebowania rynku pracy na kwalifikacje średnie. </w:t>
      </w:r>
      <w:r>
        <w:rPr>
          <w:noProof/>
        </w:rPr>
        <w:t xml:space="preserve">Podział terytorialny nowych miejsc kształcenia i szkolenia zawodowego opiera się na ocenie potrzeb i jest kontynuacją dyskusji z odpowiednimi zainteresowanymi stronami w celu zapewnienia, aby oferta skutecznie odpowiadała na luki regionalne/lokalne. Oczekuje się, że zostanie on uzgodniony z regionami autonomicznymi w kontekście konferencji sektorowych dotyczących edukacji. </w:t>
      </w:r>
    </w:p>
    <w:p w14:paraId="7A43001F" w14:textId="150A889F" w:rsidR="006578ED" w:rsidRDefault="00A1618E">
      <w:pPr>
        <w:pStyle w:val="P68B1DB1-Normal4"/>
        <w:spacing w:before="120" w:after="120" w:line="240" w:lineRule="auto"/>
        <w:jc w:val="both"/>
        <w:rPr>
          <w:rFonts w:cs="Times New Roman"/>
          <w:noProof/>
        </w:rPr>
      </w:pPr>
      <w:r>
        <w:rPr>
          <w:noProof/>
        </w:rPr>
        <w:t xml:space="preserve">W celu promowania komunikacji w języku obcym jako kluczowego elementu wyników zawodowych, w obszarze kształcenia i szkolenia zawodowego promuje się dwujęzyczność jako cel strategiczny. Nacisk zostanie położony zarówno na nauczanie nauczycieli, jak i uczniów w języku obcym w ramach cyklu kształtującego, poprzez konwersję 3700 cykli w ofertę dwujęzyczną. </w:t>
      </w:r>
    </w:p>
    <w:p w14:paraId="7768A5FC" w14:textId="00ACCC0A" w:rsidR="006578ED" w:rsidRDefault="00A1618E">
      <w:pPr>
        <w:pStyle w:val="P68B1DB1-Normal22"/>
        <w:spacing w:before="120" w:after="120" w:line="240" w:lineRule="auto"/>
        <w:jc w:val="both"/>
        <w:rPr>
          <w:rFonts w:cs="Times New Roman"/>
          <w:noProof/>
        </w:rPr>
      </w:pPr>
      <w:r>
        <w:rPr>
          <w:noProof/>
        </w:rPr>
        <w:t>Ponadto inwestycja ma na celu opracowanie projektów w zakresie innowacji i transferu wiedzy między ośrodkami kształcenia i szkolenia zawodowego a przedsiębiorstwami, tak aby stały się one kluczowym elementem nowego modelu kształcenia zawodowego. Inwestycja ma również na celu przekształcenie średniego i wysokiego poziomu cykli szkoleniowych w cykle dwujęzyczne w odpowiedzi na rosnącą internacjonalizację przedsiębiorstw i globalizację gospodarek.</w:t>
      </w:r>
    </w:p>
    <w:p w14:paraId="04B4B727" w14:textId="79EEF7A5" w:rsidR="006578ED" w:rsidRDefault="00A1618E">
      <w:pPr>
        <w:pStyle w:val="P68B1DB1-Normal4"/>
        <w:spacing w:before="120" w:after="120" w:line="240" w:lineRule="auto"/>
        <w:jc w:val="both"/>
        <w:rPr>
          <w:rFonts w:cs="Times New Roman"/>
          <w:noProof/>
        </w:rPr>
      </w:pPr>
      <w:r>
        <w:rPr>
          <w:noProof/>
        </w:rPr>
        <w:t>Hiszpania zapewnia stabilność fiskalną działania po zakończeniu Instrumentu na rzecz Odbudowy i Zwiększania Odporności, w tym poprzez poleganie na innych źródłach finansowania unijnego.</w:t>
      </w:r>
    </w:p>
    <w:p w14:paraId="23E2F75C" w14:textId="7E007FFF" w:rsidR="006578ED" w:rsidRDefault="00A1618E">
      <w:pPr>
        <w:pStyle w:val="P68B1DB1-Normal22"/>
        <w:spacing w:before="120" w:after="120" w:line="240" w:lineRule="auto"/>
        <w:jc w:val="both"/>
        <w:rPr>
          <w:rFonts w:cs="Times New Roman"/>
          <w:noProof/>
        </w:rPr>
      </w:pPr>
      <w:r>
        <w:rPr>
          <w:noProof/>
        </w:rPr>
        <w:t>Wdrażanie środka zostanie zakończone do dnia 31 grudnia 20</w:t>
      </w:r>
      <w:r w:rsidRPr="00A1618E">
        <w:rPr>
          <w:noProof/>
          <w:lang w:val="pl-PL"/>
        </w:rPr>
        <w:t>25 r.</w:t>
      </w:r>
    </w:p>
    <w:p w14:paraId="553853FF" w14:textId="2FBFA8EC" w:rsidR="006578ED" w:rsidRDefault="00AF6B91">
      <w:pPr>
        <w:pStyle w:val="P68B1DB1-Normal5"/>
        <w:spacing w:before="120" w:after="120" w:line="240" w:lineRule="auto"/>
        <w:ind w:left="709"/>
        <w:jc w:val="both"/>
        <w:rPr>
          <w:rFonts w:cs="Times New Roman"/>
          <w:noProof/>
        </w:rPr>
      </w:pPr>
      <w:r>
        <w:rPr>
          <w:noProof/>
        </w:rPr>
        <w:t xml:space="preserve">Cel.2. </w:t>
      </w:r>
      <w:r>
        <w:rPr>
          <w:noProof/>
        </w:rPr>
        <w:tab/>
        <w:t>Kamienie milowe, wartości docelowe, wskaźniki</w:t>
      </w:r>
      <w:r w:rsidR="00A1618E">
        <w:rPr>
          <w:noProof/>
        </w:rPr>
        <w:t xml:space="preserve"> i har</w:t>
      </w:r>
      <w:r>
        <w:rPr>
          <w:noProof/>
        </w:rPr>
        <w:t>monogram monitorowania</w:t>
      </w:r>
      <w:r w:rsidR="00A1618E">
        <w:rPr>
          <w:noProof/>
        </w:rPr>
        <w:t xml:space="preserve"> i rea</w:t>
      </w:r>
      <w:r>
        <w:rPr>
          <w:noProof/>
        </w:rPr>
        <w:t>lizacji na potrzeby bezzwrotnego wsparcia finansowego</w:t>
      </w:r>
    </w:p>
    <w:p w14:paraId="7418992F" w14:textId="3F95A947" w:rsidR="006578ED" w:rsidRDefault="00A1618E">
      <w:pPr>
        <w:pStyle w:val="P68B1DB1-Normal4"/>
        <w:spacing w:before="120" w:after="120" w:line="240" w:lineRule="auto"/>
        <w:jc w:val="both"/>
        <w:rPr>
          <w:rFonts w:cs="Times New Roman"/>
          <w:noProof/>
        </w:rPr>
        <w:sectPr w:rsidR="006578ED" w:rsidSect="00C94F66">
          <w:headerReference w:type="even" r:id="rId399"/>
          <w:headerReference w:type="default" r:id="rId400"/>
          <w:footerReference w:type="even" r:id="rId401"/>
          <w:footerReference w:type="default" r:id="rId402"/>
          <w:headerReference w:type="first" r:id="rId403"/>
          <w:footerReference w:type="first" r:id="rId404"/>
          <w:pgSz w:w="11907" w:h="16839"/>
          <w:pgMar w:top="1134" w:right="1417" w:bottom="1134" w:left="1417" w:header="709" w:footer="709" w:gutter="0"/>
          <w:cols w:space="720"/>
          <w:docGrid w:linePitch="360"/>
        </w:sect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7BFC5B75" w14:textId="77777777" w:rsidR="006578ED" w:rsidRDefault="006578ED">
      <w:pPr>
        <w:spacing w:before="120" w:after="120" w:line="240" w:lineRule="auto"/>
        <w:jc w:val="both"/>
        <w:rPr>
          <w:rFonts w:ascii="Times New Roman" w:hAnsi="Times New Roman" w:cs="Times New Roman"/>
          <w:b/>
          <w:noProof/>
          <w:sz w:val="24"/>
          <w:u w:val="single"/>
        </w:rPr>
      </w:pPr>
    </w:p>
    <w:p w14:paraId="1B4D7F22" w14:textId="77777777" w:rsidR="006578ED" w:rsidRDefault="006578ED">
      <w:pPr>
        <w:spacing w:before="120" w:after="120" w:line="240" w:lineRule="auto"/>
        <w:jc w:val="both"/>
        <w:rPr>
          <w:rFonts w:ascii="Times New Roman" w:hAnsi="Times New Roman" w:cs="Times New Roman"/>
          <w:noProof/>
          <w:sz w:val="24"/>
        </w:rPr>
      </w:pP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851"/>
        <w:gridCol w:w="858"/>
        <w:gridCol w:w="2685"/>
        <w:gridCol w:w="1418"/>
        <w:gridCol w:w="811"/>
        <w:gridCol w:w="984"/>
        <w:gridCol w:w="1040"/>
        <w:gridCol w:w="365"/>
        <w:gridCol w:w="627"/>
        <w:gridCol w:w="4820"/>
      </w:tblGrid>
      <w:tr w:rsidR="006578ED" w14:paraId="03A88FCA" w14:textId="77777777">
        <w:trPr>
          <w:trHeight w:val="309"/>
          <w:tblHeader/>
        </w:trPr>
        <w:tc>
          <w:tcPr>
            <w:tcW w:w="851" w:type="dxa"/>
            <w:vMerge w:val="restart"/>
            <w:shd w:val="clear" w:color="auto" w:fill="C6D9F1" w:themeFill="text2" w:themeFillTint="33"/>
            <w:noWrap/>
          </w:tcPr>
          <w:p w14:paraId="7D977EB8" w14:textId="08279DD2" w:rsidR="006578ED" w:rsidRDefault="00A1618E">
            <w:pPr>
              <w:pStyle w:val="P68B1DB1-Normal12"/>
              <w:spacing w:after="0" w:line="240" w:lineRule="auto"/>
              <w:jc w:val="center"/>
              <w:rPr>
                <w:rFonts w:cs="Times New Roman"/>
                <w:noProof/>
              </w:rPr>
            </w:pPr>
            <w:r>
              <w:rPr>
                <w:noProof/>
              </w:rPr>
              <w:t>włókno</w:t>
            </w:r>
          </w:p>
        </w:tc>
        <w:tc>
          <w:tcPr>
            <w:tcW w:w="851" w:type="dxa"/>
            <w:vMerge w:val="restart"/>
            <w:shd w:val="clear" w:color="auto" w:fill="C6D9F1" w:themeFill="text2" w:themeFillTint="33"/>
            <w:noWrap/>
          </w:tcPr>
          <w:p w14:paraId="37E54185" w14:textId="77777777" w:rsidR="006578ED" w:rsidRDefault="00A1618E">
            <w:pPr>
              <w:pStyle w:val="P68B1DB1-Normal12"/>
              <w:spacing w:after="0" w:line="240" w:lineRule="auto"/>
              <w:jc w:val="center"/>
              <w:rPr>
                <w:rFonts w:cs="Times New Roman"/>
                <w:noProof/>
              </w:rPr>
            </w:pPr>
            <w:r>
              <w:rPr>
                <w:noProof/>
              </w:rPr>
              <w:t>Środek</w:t>
            </w:r>
          </w:p>
        </w:tc>
        <w:tc>
          <w:tcPr>
            <w:tcW w:w="858" w:type="dxa"/>
            <w:vMerge w:val="restart"/>
            <w:shd w:val="clear" w:color="auto" w:fill="C6D9F1" w:themeFill="text2" w:themeFillTint="33"/>
            <w:noWrap/>
          </w:tcPr>
          <w:p w14:paraId="710F5BB6" w14:textId="4D314CA2"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685" w:type="dxa"/>
            <w:vMerge w:val="restart"/>
            <w:shd w:val="clear" w:color="auto" w:fill="C6D9F1" w:themeFill="text2" w:themeFillTint="33"/>
            <w:noWrap/>
          </w:tcPr>
          <w:p w14:paraId="753E517F" w14:textId="77777777" w:rsidR="006578ED" w:rsidRDefault="00A1618E">
            <w:pPr>
              <w:pStyle w:val="P68B1DB1-Normal12"/>
              <w:spacing w:after="0" w:line="240" w:lineRule="auto"/>
              <w:jc w:val="center"/>
              <w:rPr>
                <w:rFonts w:cs="Times New Roman"/>
                <w:noProof/>
              </w:rPr>
            </w:pPr>
            <w:r>
              <w:rPr>
                <w:noProof/>
              </w:rPr>
              <w:t>Nazwa</w:t>
            </w:r>
          </w:p>
        </w:tc>
        <w:tc>
          <w:tcPr>
            <w:tcW w:w="1418" w:type="dxa"/>
            <w:vMerge w:val="restart"/>
            <w:shd w:val="clear" w:color="auto" w:fill="C6D9F1" w:themeFill="text2" w:themeFillTint="33"/>
            <w:noWrap/>
          </w:tcPr>
          <w:p w14:paraId="72C9630E"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835" w:type="dxa"/>
            <w:gridSpan w:val="3"/>
            <w:shd w:val="clear" w:color="auto" w:fill="C6D9F1" w:themeFill="text2" w:themeFillTint="33"/>
            <w:noWrap/>
          </w:tcPr>
          <w:p w14:paraId="32E9FBE9"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tcPr>
          <w:p w14:paraId="5571DBCE" w14:textId="77777777" w:rsidR="006578ED" w:rsidRDefault="00A1618E">
            <w:pPr>
              <w:pStyle w:val="P68B1DB1-Normal12"/>
              <w:spacing w:after="0" w:line="240" w:lineRule="auto"/>
              <w:jc w:val="center"/>
              <w:rPr>
                <w:rFonts w:cs="Times New Roman"/>
                <w:noProof/>
              </w:rPr>
            </w:pPr>
            <w:r>
              <w:rPr>
                <w:noProof/>
              </w:rPr>
              <w:t>Czas</w:t>
            </w:r>
          </w:p>
        </w:tc>
        <w:tc>
          <w:tcPr>
            <w:tcW w:w="4820" w:type="dxa"/>
            <w:vMerge w:val="restart"/>
            <w:shd w:val="clear" w:color="auto" w:fill="C6D9F1" w:themeFill="text2" w:themeFillTint="33"/>
            <w:noWrap/>
          </w:tcPr>
          <w:p w14:paraId="0C0A5697" w14:textId="42CE000A"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119E1114" w14:textId="77777777">
        <w:trPr>
          <w:trHeight w:val="587"/>
          <w:tblHeader/>
        </w:trPr>
        <w:tc>
          <w:tcPr>
            <w:tcW w:w="851" w:type="dxa"/>
            <w:vMerge/>
            <w:noWrap/>
          </w:tcPr>
          <w:p w14:paraId="74A0DCF2" w14:textId="77777777" w:rsidR="006578ED" w:rsidRDefault="006578ED">
            <w:pPr>
              <w:spacing w:after="0" w:line="240" w:lineRule="auto"/>
              <w:jc w:val="center"/>
              <w:rPr>
                <w:rFonts w:ascii="Times New Roman" w:hAnsi="Times New Roman" w:cs="Times New Roman"/>
                <w:b/>
                <w:noProof/>
                <w:sz w:val="18"/>
              </w:rPr>
            </w:pPr>
          </w:p>
        </w:tc>
        <w:tc>
          <w:tcPr>
            <w:tcW w:w="851" w:type="dxa"/>
            <w:vMerge/>
            <w:noWrap/>
          </w:tcPr>
          <w:p w14:paraId="5A492254" w14:textId="77777777" w:rsidR="006578ED" w:rsidRDefault="006578ED">
            <w:pPr>
              <w:spacing w:after="0" w:line="240" w:lineRule="auto"/>
              <w:jc w:val="center"/>
              <w:rPr>
                <w:rFonts w:ascii="Times New Roman" w:hAnsi="Times New Roman" w:cs="Times New Roman"/>
                <w:b/>
                <w:noProof/>
                <w:sz w:val="18"/>
              </w:rPr>
            </w:pPr>
          </w:p>
        </w:tc>
        <w:tc>
          <w:tcPr>
            <w:tcW w:w="858" w:type="dxa"/>
            <w:vMerge/>
            <w:noWrap/>
          </w:tcPr>
          <w:p w14:paraId="42B6D871" w14:textId="77777777" w:rsidR="006578ED" w:rsidRDefault="006578ED">
            <w:pPr>
              <w:spacing w:after="0" w:line="240" w:lineRule="auto"/>
              <w:jc w:val="center"/>
              <w:rPr>
                <w:rFonts w:ascii="Times New Roman" w:hAnsi="Times New Roman" w:cs="Times New Roman"/>
                <w:b/>
                <w:noProof/>
                <w:sz w:val="18"/>
              </w:rPr>
            </w:pPr>
          </w:p>
        </w:tc>
        <w:tc>
          <w:tcPr>
            <w:tcW w:w="2685" w:type="dxa"/>
            <w:vMerge/>
            <w:noWrap/>
          </w:tcPr>
          <w:p w14:paraId="7B9A3E6A" w14:textId="77777777" w:rsidR="006578ED" w:rsidRDefault="006578ED">
            <w:pPr>
              <w:spacing w:after="0" w:line="240" w:lineRule="auto"/>
              <w:rPr>
                <w:rFonts w:ascii="Times New Roman" w:hAnsi="Times New Roman" w:cs="Times New Roman"/>
                <w:b/>
                <w:noProof/>
                <w:sz w:val="18"/>
              </w:rPr>
            </w:pPr>
          </w:p>
        </w:tc>
        <w:tc>
          <w:tcPr>
            <w:tcW w:w="1418" w:type="dxa"/>
            <w:vMerge/>
            <w:noWrap/>
          </w:tcPr>
          <w:p w14:paraId="675960C4" w14:textId="77777777" w:rsidR="006578ED" w:rsidRDefault="006578ED">
            <w:pPr>
              <w:spacing w:after="0" w:line="240" w:lineRule="auto"/>
              <w:jc w:val="center"/>
              <w:rPr>
                <w:rFonts w:ascii="Times New Roman" w:hAnsi="Times New Roman" w:cs="Times New Roman"/>
                <w:b/>
                <w:noProof/>
                <w:sz w:val="18"/>
              </w:rPr>
            </w:pPr>
          </w:p>
        </w:tc>
        <w:tc>
          <w:tcPr>
            <w:tcW w:w="811" w:type="dxa"/>
            <w:shd w:val="clear" w:color="auto" w:fill="C6D9F1" w:themeFill="text2" w:themeFillTint="33"/>
            <w:noWrap/>
          </w:tcPr>
          <w:p w14:paraId="6AE22D92" w14:textId="77777777" w:rsidR="006578ED" w:rsidRDefault="00A1618E">
            <w:pPr>
              <w:pStyle w:val="P68B1DB1-Normal12"/>
              <w:spacing w:after="0" w:line="240" w:lineRule="auto"/>
              <w:jc w:val="center"/>
              <w:rPr>
                <w:rFonts w:cs="Times New Roman"/>
                <w:noProof/>
              </w:rPr>
            </w:pPr>
            <w:r>
              <w:rPr>
                <w:noProof/>
              </w:rPr>
              <w:t>Jednostka</w:t>
            </w:r>
          </w:p>
        </w:tc>
        <w:tc>
          <w:tcPr>
            <w:tcW w:w="984" w:type="dxa"/>
            <w:shd w:val="clear" w:color="auto" w:fill="C6D9F1" w:themeFill="text2" w:themeFillTint="33"/>
            <w:noWrap/>
          </w:tcPr>
          <w:p w14:paraId="01FB293D" w14:textId="77777777" w:rsidR="006578ED" w:rsidRDefault="00A1618E">
            <w:pPr>
              <w:pStyle w:val="P68B1DB1-Normal12"/>
              <w:spacing w:after="0" w:line="240" w:lineRule="auto"/>
              <w:jc w:val="center"/>
              <w:rPr>
                <w:rFonts w:cs="Times New Roman"/>
                <w:noProof/>
              </w:rPr>
            </w:pPr>
            <w:r>
              <w:rPr>
                <w:noProof/>
              </w:rPr>
              <w:t>Bazowy</w:t>
            </w:r>
          </w:p>
        </w:tc>
        <w:tc>
          <w:tcPr>
            <w:tcW w:w="1040" w:type="dxa"/>
            <w:shd w:val="clear" w:color="auto" w:fill="C6D9F1" w:themeFill="text2" w:themeFillTint="33"/>
            <w:noWrap/>
          </w:tcPr>
          <w:p w14:paraId="1B69AB8E" w14:textId="77777777" w:rsidR="006578ED" w:rsidRDefault="00A1618E">
            <w:pPr>
              <w:pStyle w:val="P68B1DB1-Normal12"/>
              <w:spacing w:after="0" w:line="240" w:lineRule="auto"/>
              <w:jc w:val="center"/>
              <w:rPr>
                <w:rFonts w:cs="Times New Roman"/>
                <w:noProof/>
              </w:rPr>
            </w:pPr>
            <w:r>
              <w:rPr>
                <w:noProof/>
              </w:rPr>
              <w:t>Cel</w:t>
            </w:r>
          </w:p>
        </w:tc>
        <w:tc>
          <w:tcPr>
            <w:tcW w:w="365" w:type="dxa"/>
            <w:shd w:val="clear" w:color="auto" w:fill="C6D9F1" w:themeFill="text2" w:themeFillTint="33"/>
            <w:noWrap/>
          </w:tcPr>
          <w:p w14:paraId="3FE72860" w14:textId="77777777" w:rsidR="006578ED" w:rsidRDefault="00A1618E">
            <w:pPr>
              <w:pStyle w:val="P68B1DB1-Normal12"/>
              <w:spacing w:after="0" w:line="240" w:lineRule="auto"/>
              <w:jc w:val="center"/>
              <w:rPr>
                <w:rFonts w:cs="Times New Roman"/>
                <w:noProof/>
              </w:rPr>
            </w:pPr>
            <w:r>
              <w:rPr>
                <w:noProof/>
              </w:rPr>
              <w:t>Q</w:t>
            </w:r>
          </w:p>
        </w:tc>
        <w:tc>
          <w:tcPr>
            <w:tcW w:w="627" w:type="dxa"/>
            <w:shd w:val="clear" w:color="auto" w:fill="C6D9F1" w:themeFill="text2" w:themeFillTint="33"/>
            <w:noWrap/>
          </w:tcPr>
          <w:p w14:paraId="2204C7CA" w14:textId="77777777" w:rsidR="006578ED" w:rsidRDefault="00A1618E">
            <w:pPr>
              <w:pStyle w:val="P68B1DB1-Normal12"/>
              <w:spacing w:after="0" w:line="240" w:lineRule="auto"/>
              <w:jc w:val="center"/>
              <w:rPr>
                <w:rFonts w:cs="Times New Roman"/>
                <w:noProof/>
              </w:rPr>
            </w:pPr>
            <w:r>
              <w:rPr>
                <w:noProof/>
              </w:rPr>
              <w:t>Rok</w:t>
            </w:r>
          </w:p>
        </w:tc>
        <w:tc>
          <w:tcPr>
            <w:tcW w:w="4820" w:type="dxa"/>
            <w:vMerge/>
            <w:noWrap/>
          </w:tcPr>
          <w:p w14:paraId="2C714CDA" w14:textId="77777777" w:rsidR="006578ED" w:rsidRDefault="006578ED">
            <w:pPr>
              <w:spacing w:after="0" w:line="240" w:lineRule="auto"/>
              <w:rPr>
                <w:rFonts w:ascii="Times New Roman" w:hAnsi="Times New Roman" w:cs="Times New Roman"/>
                <w:b/>
                <w:noProof/>
                <w:sz w:val="18"/>
              </w:rPr>
            </w:pPr>
          </w:p>
        </w:tc>
      </w:tr>
      <w:tr w:rsidR="006578ED" w14:paraId="5F1EAB79" w14:textId="77777777">
        <w:trPr>
          <w:trHeight w:val="309"/>
        </w:trPr>
        <w:tc>
          <w:tcPr>
            <w:tcW w:w="851" w:type="dxa"/>
            <w:shd w:val="clear" w:color="auto" w:fill="C6EFCE"/>
            <w:noWrap/>
          </w:tcPr>
          <w:p w14:paraId="7801E37C" w14:textId="77777777" w:rsidR="006578ED" w:rsidRDefault="00A1618E">
            <w:pPr>
              <w:pStyle w:val="P68B1DB1-Normal13"/>
              <w:spacing w:after="0" w:line="240" w:lineRule="auto"/>
              <w:jc w:val="center"/>
              <w:rPr>
                <w:rFonts w:eastAsia="Times New Roman" w:cs="Times New Roman"/>
                <w:noProof/>
              </w:rPr>
            </w:pPr>
            <w:r>
              <w:rPr>
                <w:noProof/>
              </w:rPr>
              <w:t>295</w:t>
            </w:r>
          </w:p>
        </w:tc>
        <w:tc>
          <w:tcPr>
            <w:tcW w:w="851" w:type="dxa"/>
            <w:shd w:val="clear" w:color="auto" w:fill="C6EFCE"/>
            <w:noWrap/>
          </w:tcPr>
          <w:p w14:paraId="7B81073A" w14:textId="77777777" w:rsidR="006578ED" w:rsidRDefault="00A1618E">
            <w:pPr>
              <w:pStyle w:val="P68B1DB1-Normal13"/>
              <w:spacing w:after="0" w:line="240" w:lineRule="auto"/>
              <w:jc w:val="center"/>
              <w:rPr>
                <w:rFonts w:eastAsia="Times New Roman" w:cs="Times New Roman"/>
                <w:noProof/>
              </w:rPr>
            </w:pPr>
            <w:r>
              <w:rPr>
                <w:noProof/>
              </w:rPr>
              <w:t>C20.R1</w:t>
            </w:r>
          </w:p>
        </w:tc>
        <w:tc>
          <w:tcPr>
            <w:tcW w:w="858" w:type="dxa"/>
            <w:shd w:val="clear" w:color="auto" w:fill="C6EFCE"/>
            <w:noWrap/>
          </w:tcPr>
          <w:p w14:paraId="1FFF2D97" w14:textId="77E6314F" w:rsidR="006578ED" w:rsidRDefault="00AF6B91">
            <w:pPr>
              <w:pStyle w:val="P68B1DB1-Normal13"/>
              <w:spacing w:after="0" w:line="240" w:lineRule="auto"/>
              <w:jc w:val="center"/>
              <w:rPr>
                <w:rFonts w:eastAsia="Times New Roman" w:cs="Times New Roman"/>
                <w:noProof/>
              </w:rPr>
            </w:pPr>
            <w:r>
              <w:rPr>
                <w:noProof/>
              </w:rPr>
              <w:t>Kamień milowy</w:t>
            </w:r>
          </w:p>
        </w:tc>
        <w:tc>
          <w:tcPr>
            <w:tcW w:w="2685" w:type="dxa"/>
            <w:shd w:val="clear" w:color="auto" w:fill="C6EFCE"/>
            <w:noWrap/>
          </w:tcPr>
          <w:p w14:paraId="1B84B487" w14:textId="2346E1BD" w:rsidR="006578ED" w:rsidRDefault="00A1618E">
            <w:pPr>
              <w:pStyle w:val="P68B1DB1-Normal13"/>
              <w:spacing w:after="0" w:line="240" w:lineRule="auto"/>
              <w:rPr>
                <w:rFonts w:eastAsia="Times New Roman" w:cs="Times New Roman"/>
                <w:noProof/>
              </w:rPr>
            </w:pPr>
            <w:r>
              <w:rPr>
                <w:noProof/>
              </w:rPr>
              <w:t>Plan modernizacji kształcenia zawodowego i powiązany dekret królewski z mocą ustawy</w:t>
            </w:r>
          </w:p>
        </w:tc>
        <w:tc>
          <w:tcPr>
            <w:tcW w:w="1418" w:type="dxa"/>
            <w:shd w:val="clear" w:color="auto" w:fill="C6EFCE"/>
            <w:noWrap/>
          </w:tcPr>
          <w:p w14:paraId="4D0E5B23" w14:textId="27F1570C" w:rsidR="006578ED" w:rsidRDefault="00A1618E">
            <w:pPr>
              <w:pStyle w:val="P68B1DB1-Normal13"/>
              <w:spacing w:after="0" w:line="240" w:lineRule="auto"/>
              <w:jc w:val="center"/>
              <w:rPr>
                <w:rFonts w:eastAsia="Times New Roman" w:cs="Times New Roman"/>
                <w:noProof/>
              </w:rPr>
            </w:pPr>
            <w:r>
              <w:rPr>
                <w:noProof/>
              </w:rPr>
              <w:t xml:space="preserve">Publikacja na stronie internetowej MEFP i prezentacja premiera </w:t>
            </w:r>
          </w:p>
        </w:tc>
        <w:tc>
          <w:tcPr>
            <w:tcW w:w="811" w:type="dxa"/>
            <w:shd w:val="clear" w:color="auto" w:fill="C6EFCE"/>
            <w:noWrap/>
          </w:tcPr>
          <w:p w14:paraId="3ACB1B1E"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984" w:type="dxa"/>
            <w:shd w:val="clear" w:color="auto" w:fill="C6EFCE"/>
            <w:noWrap/>
          </w:tcPr>
          <w:p w14:paraId="1CDC19BA"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1040" w:type="dxa"/>
            <w:shd w:val="clear" w:color="auto" w:fill="C6EFCE"/>
            <w:noWrap/>
          </w:tcPr>
          <w:p w14:paraId="42D3C78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365" w:type="dxa"/>
            <w:shd w:val="clear" w:color="auto" w:fill="C6EFCE"/>
            <w:noWrap/>
          </w:tcPr>
          <w:p w14:paraId="5199EFB7" w14:textId="7E8F0A2F" w:rsidR="006578ED" w:rsidRDefault="00EC188C">
            <w:pPr>
              <w:pStyle w:val="P68B1DB1-Normal13"/>
              <w:spacing w:after="0" w:line="240" w:lineRule="auto"/>
              <w:jc w:val="center"/>
              <w:rPr>
                <w:rFonts w:eastAsia="Times New Roman" w:cs="Times New Roman"/>
                <w:noProof/>
              </w:rPr>
            </w:pPr>
            <w:r>
              <w:rPr>
                <w:noProof/>
              </w:rPr>
              <w:t>KW. 4</w:t>
            </w:r>
          </w:p>
        </w:tc>
        <w:tc>
          <w:tcPr>
            <w:tcW w:w="627" w:type="dxa"/>
            <w:shd w:val="clear" w:color="auto" w:fill="C6EFCE"/>
            <w:noWrap/>
          </w:tcPr>
          <w:p w14:paraId="198E1460" w14:textId="77777777" w:rsidR="006578ED" w:rsidRDefault="00A1618E">
            <w:pPr>
              <w:pStyle w:val="P68B1DB1-Normal13"/>
              <w:spacing w:after="0" w:line="240" w:lineRule="auto"/>
              <w:jc w:val="center"/>
              <w:rPr>
                <w:rFonts w:eastAsia="Times New Roman" w:cs="Times New Roman"/>
                <w:noProof/>
              </w:rPr>
            </w:pPr>
            <w:r>
              <w:rPr>
                <w:noProof/>
              </w:rPr>
              <w:t>2020</w:t>
            </w:r>
          </w:p>
        </w:tc>
        <w:tc>
          <w:tcPr>
            <w:tcW w:w="4820" w:type="dxa"/>
            <w:shd w:val="clear" w:color="auto" w:fill="C6EFCE"/>
            <w:noWrap/>
          </w:tcPr>
          <w:p w14:paraId="7AB078FE" w14:textId="385960BE" w:rsidR="006578ED" w:rsidRDefault="00A1618E">
            <w:pPr>
              <w:pStyle w:val="P68B1DB1-Normal13"/>
              <w:spacing w:after="0" w:line="240" w:lineRule="auto"/>
              <w:rPr>
                <w:rFonts w:eastAsia="Times New Roman" w:cs="Times New Roman"/>
                <w:noProof/>
              </w:rPr>
            </w:pPr>
            <w:r>
              <w:rPr>
                <w:noProof/>
              </w:rPr>
              <w:t>Prezentacja przez premiera planu modernizacji kształcenia zawodowego i publikacja w Dzienniku Urzędowym 8 dekretu królewskiego z mocą ustawy w celu wdrożenia planu, odpowiadającego 5 programom studiów specjalistycznych, 2 stopnia średniego i 1 wyższego stopnia</w:t>
            </w:r>
          </w:p>
        </w:tc>
      </w:tr>
      <w:tr w:rsidR="006578ED" w14:paraId="7F18E1AA" w14:textId="77777777">
        <w:trPr>
          <w:trHeight w:val="309"/>
        </w:trPr>
        <w:tc>
          <w:tcPr>
            <w:tcW w:w="851" w:type="dxa"/>
            <w:shd w:val="clear" w:color="auto" w:fill="C6EFCE"/>
            <w:noWrap/>
          </w:tcPr>
          <w:p w14:paraId="36A51CE5" w14:textId="77777777" w:rsidR="006578ED" w:rsidRDefault="00A1618E">
            <w:pPr>
              <w:pStyle w:val="P68B1DB1-Normal13"/>
              <w:spacing w:after="0" w:line="240" w:lineRule="auto"/>
              <w:jc w:val="center"/>
              <w:rPr>
                <w:rFonts w:eastAsia="Times New Roman" w:cs="Times New Roman"/>
                <w:noProof/>
              </w:rPr>
            </w:pPr>
            <w:r>
              <w:rPr>
                <w:noProof/>
              </w:rPr>
              <w:t>296</w:t>
            </w:r>
          </w:p>
        </w:tc>
        <w:tc>
          <w:tcPr>
            <w:tcW w:w="851" w:type="dxa"/>
            <w:shd w:val="clear" w:color="auto" w:fill="C6EFCE"/>
            <w:noWrap/>
          </w:tcPr>
          <w:p w14:paraId="77525228" w14:textId="77777777" w:rsidR="006578ED" w:rsidRDefault="00A1618E">
            <w:pPr>
              <w:pStyle w:val="P68B1DB1-Normal13"/>
              <w:spacing w:after="0" w:line="240" w:lineRule="auto"/>
              <w:jc w:val="center"/>
              <w:rPr>
                <w:rFonts w:eastAsia="Times New Roman" w:cs="Times New Roman"/>
                <w:noProof/>
              </w:rPr>
            </w:pPr>
            <w:r>
              <w:rPr>
                <w:noProof/>
              </w:rPr>
              <w:t>C20.R2</w:t>
            </w:r>
          </w:p>
        </w:tc>
        <w:tc>
          <w:tcPr>
            <w:tcW w:w="858" w:type="dxa"/>
            <w:shd w:val="clear" w:color="auto" w:fill="C6EFCE"/>
            <w:noWrap/>
          </w:tcPr>
          <w:p w14:paraId="2C26C7FC" w14:textId="449E2C39" w:rsidR="006578ED" w:rsidRDefault="00AF6B91">
            <w:pPr>
              <w:pStyle w:val="P68B1DB1-Normal13"/>
              <w:spacing w:after="0" w:line="240" w:lineRule="auto"/>
              <w:jc w:val="center"/>
              <w:rPr>
                <w:rFonts w:eastAsia="Times New Roman" w:cs="Times New Roman"/>
                <w:noProof/>
              </w:rPr>
            </w:pPr>
            <w:r>
              <w:rPr>
                <w:noProof/>
              </w:rPr>
              <w:t>Kamień milowy</w:t>
            </w:r>
          </w:p>
        </w:tc>
        <w:tc>
          <w:tcPr>
            <w:tcW w:w="2685" w:type="dxa"/>
            <w:shd w:val="clear" w:color="auto" w:fill="C6EFCE"/>
            <w:noWrap/>
          </w:tcPr>
          <w:p w14:paraId="66D2E756" w14:textId="329D2E96" w:rsidR="006578ED" w:rsidRDefault="00A1618E">
            <w:pPr>
              <w:pStyle w:val="P68B1DB1-Normal13"/>
              <w:spacing w:after="0" w:line="240" w:lineRule="auto"/>
              <w:rPr>
                <w:rFonts w:eastAsia="Times New Roman" w:cs="Times New Roman"/>
                <w:noProof/>
              </w:rPr>
            </w:pPr>
            <w:r>
              <w:rPr>
                <w:noProof/>
              </w:rPr>
              <w:t>Wejście w życie ustawy o jednolitym zintegrowanym systemie kształcenia zawodowego, której celem jest modernizacja systemu</w:t>
            </w:r>
          </w:p>
        </w:tc>
        <w:tc>
          <w:tcPr>
            <w:tcW w:w="1418" w:type="dxa"/>
            <w:shd w:val="clear" w:color="auto" w:fill="C6EFCE"/>
            <w:noWrap/>
          </w:tcPr>
          <w:p w14:paraId="4401B173" w14:textId="2C0E74EC" w:rsidR="006578ED" w:rsidRDefault="00A1618E">
            <w:pPr>
              <w:pStyle w:val="P68B1DB1-Normal13"/>
              <w:spacing w:after="0" w:line="240" w:lineRule="auto"/>
              <w:jc w:val="center"/>
              <w:rPr>
                <w:rFonts w:eastAsia="Times New Roman" w:cs="Times New Roman"/>
                <w:noProof/>
              </w:rPr>
            </w:pPr>
            <w:r>
              <w:rPr>
                <w:noProof/>
              </w:rPr>
              <w:t>Publikacja w Dzienniku Urzędowym</w:t>
            </w:r>
          </w:p>
        </w:tc>
        <w:tc>
          <w:tcPr>
            <w:tcW w:w="811" w:type="dxa"/>
            <w:shd w:val="clear" w:color="auto" w:fill="C6EFCE"/>
            <w:noWrap/>
          </w:tcPr>
          <w:p w14:paraId="10014F23"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984" w:type="dxa"/>
            <w:shd w:val="clear" w:color="auto" w:fill="C6EFCE"/>
            <w:noWrap/>
          </w:tcPr>
          <w:p w14:paraId="1D45BAB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1040" w:type="dxa"/>
            <w:shd w:val="clear" w:color="auto" w:fill="C6EFCE"/>
            <w:noWrap/>
          </w:tcPr>
          <w:p w14:paraId="1718155C"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365" w:type="dxa"/>
            <w:shd w:val="clear" w:color="auto" w:fill="C6EFCE"/>
            <w:noWrap/>
          </w:tcPr>
          <w:p w14:paraId="11F823F8" w14:textId="578D472A" w:rsidR="006578ED" w:rsidRDefault="00EC188C">
            <w:pPr>
              <w:pStyle w:val="P68B1DB1-Normal13"/>
              <w:spacing w:after="0" w:line="240" w:lineRule="auto"/>
              <w:jc w:val="center"/>
              <w:rPr>
                <w:rFonts w:eastAsia="Times New Roman" w:cs="Times New Roman"/>
                <w:noProof/>
              </w:rPr>
            </w:pPr>
            <w:r>
              <w:rPr>
                <w:noProof/>
              </w:rPr>
              <w:t>KW. 2</w:t>
            </w:r>
          </w:p>
        </w:tc>
        <w:tc>
          <w:tcPr>
            <w:tcW w:w="627" w:type="dxa"/>
            <w:shd w:val="clear" w:color="auto" w:fill="C6EFCE"/>
            <w:noWrap/>
          </w:tcPr>
          <w:p w14:paraId="7788A7C0" w14:textId="77777777" w:rsidR="006578ED" w:rsidRDefault="00A1618E">
            <w:pPr>
              <w:pStyle w:val="P68B1DB1-Normal13"/>
              <w:spacing w:after="0" w:line="240" w:lineRule="auto"/>
              <w:jc w:val="center"/>
              <w:rPr>
                <w:rFonts w:eastAsia="Times New Roman" w:cs="Times New Roman"/>
                <w:noProof/>
              </w:rPr>
            </w:pPr>
            <w:r>
              <w:rPr>
                <w:noProof/>
              </w:rPr>
              <w:t>2022</w:t>
            </w:r>
          </w:p>
        </w:tc>
        <w:tc>
          <w:tcPr>
            <w:tcW w:w="4820" w:type="dxa"/>
            <w:shd w:val="clear" w:color="auto" w:fill="C6EFCE"/>
            <w:noWrap/>
          </w:tcPr>
          <w:p w14:paraId="5098559A" w14:textId="1A5333D9" w:rsidR="006578ED" w:rsidRDefault="00A1618E">
            <w:pPr>
              <w:pStyle w:val="P68B1DB1-Normal13"/>
              <w:spacing w:after="0" w:line="240" w:lineRule="auto"/>
              <w:rPr>
                <w:rFonts w:eastAsia="Times New Roman" w:cs="Times New Roman"/>
                <w:noProof/>
              </w:rPr>
            </w:pPr>
            <w:r>
              <w:rPr>
                <w:noProof/>
              </w:rPr>
              <w:t>Wejście w życie ustawy o jednolitym zintegrowanym systemie kształcenia zawodowego, której celem jest modernizacja systemu. Ustawa ujednolica dwa wcześniej istniejące systemy kształcenia zawodowego i modernizuje je poprzez: skoncentrowanie się na podnoszeniu kwalifikacji osób o niskich kwalifikacjach i poprawie ich szans na zatrudnienie; rozwiązanie problemu niedopasowania umiejętności; aktualizacja krajowego katalogu kwalifikacji zawodowych, dostosowanie go do przyszłych potrzeb gospodarki, w tym wspieranie transformacji ekologicznej i cyfrowej; zwiększenie atrakcyjności programów kształcenia i szkolenia zawodowego na poziomie wyższym w celu poprawy rekrutacji.</w:t>
            </w:r>
          </w:p>
        </w:tc>
      </w:tr>
      <w:tr w:rsidR="006578ED" w14:paraId="45000D6A" w14:textId="77777777">
        <w:trPr>
          <w:trHeight w:val="309"/>
        </w:trPr>
        <w:tc>
          <w:tcPr>
            <w:tcW w:w="851" w:type="dxa"/>
            <w:shd w:val="clear" w:color="auto" w:fill="C6EFCE"/>
            <w:noWrap/>
          </w:tcPr>
          <w:p w14:paraId="78962619" w14:textId="77777777" w:rsidR="006578ED" w:rsidRDefault="00A1618E">
            <w:pPr>
              <w:pStyle w:val="P68B1DB1-Normal13"/>
              <w:spacing w:after="0" w:line="240" w:lineRule="auto"/>
              <w:jc w:val="center"/>
              <w:rPr>
                <w:rFonts w:eastAsia="Times New Roman" w:cs="Times New Roman"/>
                <w:noProof/>
              </w:rPr>
            </w:pPr>
            <w:r>
              <w:rPr>
                <w:noProof/>
              </w:rPr>
              <w:t>297</w:t>
            </w:r>
          </w:p>
        </w:tc>
        <w:tc>
          <w:tcPr>
            <w:tcW w:w="851" w:type="dxa"/>
            <w:shd w:val="clear" w:color="auto" w:fill="C6EFCE"/>
            <w:noWrap/>
          </w:tcPr>
          <w:p w14:paraId="33408A4A" w14:textId="77777777" w:rsidR="006578ED" w:rsidRDefault="00A1618E">
            <w:pPr>
              <w:pStyle w:val="P68B1DB1-Normal13"/>
              <w:spacing w:after="0" w:line="240" w:lineRule="auto"/>
              <w:jc w:val="center"/>
              <w:rPr>
                <w:rFonts w:eastAsia="Times New Roman" w:cs="Times New Roman"/>
                <w:noProof/>
              </w:rPr>
            </w:pPr>
            <w:r>
              <w:rPr>
                <w:noProof/>
              </w:rPr>
              <w:t>C20.I1</w:t>
            </w:r>
          </w:p>
        </w:tc>
        <w:tc>
          <w:tcPr>
            <w:tcW w:w="858" w:type="dxa"/>
            <w:shd w:val="clear" w:color="auto" w:fill="C6EFCE"/>
            <w:noWrap/>
          </w:tcPr>
          <w:p w14:paraId="4E060070" w14:textId="42A93439" w:rsidR="006578ED" w:rsidRDefault="00AF6B91">
            <w:pPr>
              <w:pStyle w:val="P68B1DB1-Normal13"/>
              <w:spacing w:after="0" w:line="240" w:lineRule="auto"/>
              <w:jc w:val="center"/>
              <w:rPr>
                <w:rFonts w:eastAsia="Times New Roman" w:cs="Times New Roman"/>
                <w:noProof/>
              </w:rPr>
            </w:pPr>
            <w:r>
              <w:rPr>
                <w:noProof/>
              </w:rPr>
              <w:t>Cel</w:t>
            </w:r>
          </w:p>
        </w:tc>
        <w:tc>
          <w:tcPr>
            <w:tcW w:w="2685" w:type="dxa"/>
            <w:shd w:val="clear" w:color="auto" w:fill="C6EFCE"/>
            <w:noWrap/>
          </w:tcPr>
          <w:p w14:paraId="574BB46F" w14:textId="77777777" w:rsidR="006578ED" w:rsidRDefault="00A1618E">
            <w:pPr>
              <w:pStyle w:val="P68B1DB1-Normal13"/>
              <w:spacing w:after="0" w:line="240" w:lineRule="auto"/>
              <w:rPr>
                <w:rFonts w:eastAsia="Times New Roman" w:cs="Times New Roman"/>
                <w:noProof/>
              </w:rPr>
            </w:pPr>
            <w:r>
              <w:rPr>
                <w:noProof/>
              </w:rPr>
              <w:t xml:space="preserve">Nowe jednostki kompetencji Krajowego Katalogu Kwalifikacji Zawodowych </w:t>
            </w:r>
          </w:p>
        </w:tc>
        <w:tc>
          <w:tcPr>
            <w:tcW w:w="1418" w:type="dxa"/>
            <w:shd w:val="clear" w:color="auto" w:fill="C6EFCE"/>
            <w:noWrap/>
          </w:tcPr>
          <w:p w14:paraId="0E55E7CF" w14:textId="77777777" w:rsidR="006578ED" w:rsidRDefault="00A1618E">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10AAAFBE"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984" w:type="dxa"/>
            <w:shd w:val="clear" w:color="auto" w:fill="C6EFCE"/>
            <w:noWrap/>
          </w:tcPr>
          <w:p w14:paraId="7F24C0B2" w14:textId="77777777" w:rsidR="006578ED" w:rsidRDefault="00A1618E">
            <w:pPr>
              <w:pStyle w:val="P68B1DB1-Normal13"/>
              <w:spacing w:after="0" w:line="240" w:lineRule="auto"/>
              <w:jc w:val="right"/>
              <w:rPr>
                <w:rFonts w:eastAsia="Times New Roman" w:cs="Times New Roman"/>
                <w:noProof/>
              </w:rPr>
            </w:pPr>
            <w:r>
              <w:rPr>
                <w:noProof/>
              </w:rPr>
              <w:t>0</w:t>
            </w:r>
          </w:p>
        </w:tc>
        <w:tc>
          <w:tcPr>
            <w:tcW w:w="1040" w:type="dxa"/>
            <w:shd w:val="clear" w:color="auto" w:fill="C6EFCE"/>
            <w:noWrap/>
          </w:tcPr>
          <w:p w14:paraId="4001611A" w14:textId="1A2AE673" w:rsidR="006578ED" w:rsidRDefault="00A1618E">
            <w:pPr>
              <w:pStyle w:val="P68B1DB1-Normal13"/>
              <w:spacing w:after="0" w:line="240" w:lineRule="auto"/>
              <w:jc w:val="center"/>
              <w:rPr>
                <w:rFonts w:eastAsia="Times New Roman" w:cs="Times New Roman"/>
                <w:noProof/>
              </w:rPr>
            </w:pPr>
            <w:r>
              <w:rPr>
                <w:noProof/>
              </w:rPr>
              <w:t>2 000 000</w:t>
            </w:r>
          </w:p>
        </w:tc>
        <w:tc>
          <w:tcPr>
            <w:tcW w:w="365" w:type="dxa"/>
            <w:shd w:val="clear" w:color="auto" w:fill="C6EFCE"/>
            <w:noWrap/>
          </w:tcPr>
          <w:p w14:paraId="0FF706C7" w14:textId="4FC33F42" w:rsidR="006578ED" w:rsidRDefault="00EC188C">
            <w:pPr>
              <w:pStyle w:val="P68B1DB1-Normal13"/>
              <w:spacing w:after="0" w:line="240" w:lineRule="auto"/>
              <w:jc w:val="center"/>
              <w:rPr>
                <w:rFonts w:eastAsia="Times New Roman" w:cs="Times New Roman"/>
                <w:noProof/>
              </w:rPr>
            </w:pPr>
            <w:r>
              <w:rPr>
                <w:noProof/>
              </w:rPr>
              <w:t>KW. 4</w:t>
            </w:r>
          </w:p>
        </w:tc>
        <w:tc>
          <w:tcPr>
            <w:tcW w:w="627" w:type="dxa"/>
            <w:shd w:val="clear" w:color="auto" w:fill="C6EFCE"/>
            <w:noWrap/>
          </w:tcPr>
          <w:p w14:paraId="12CBBC17" w14:textId="7AD79860" w:rsidR="006578ED" w:rsidRDefault="00A1618E">
            <w:pPr>
              <w:pStyle w:val="P68B1DB1-Normal13"/>
              <w:spacing w:after="0" w:line="240" w:lineRule="auto"/>
              <w:jc w:val="center"/>
              <w:rPr>
                <w:rFonts w:eastAsia="Times New Roman" w:cs="Times New Roman"/>
                <w:noProof/>
              </w:rPr>
            </w:pPr>
            <w:r>
              <w:rPr>
                <w:noProof/>
              </w:rPr>
              <w:t>202</w:t>
            </w:r>
            <w:r>
              <w:rPr>
                <w:noProof/>
                <w:shd w:val="clear" w:color="auto" w:fill="E6E6E6"/>
              </w:rPr>
              <w:t>5</w:t>
            </w:r>
          </w:p>
        </w:tc>
        <w:tc>
          <w:tcPr>
            <w:tcW w:w="4820" w:type="dxa"/>
            <w:shd w:val="clear" w:color="auto" w:fill="C6EFCE"/>
            <w:noWrap/>
          </w:tcPr>
          <w:p w14:paraId="2CFB6FE2" w14:textId="2C3F6A3E" w:rsidR="006578ED" w:rsidRDefault="00A1618E">
            <w:pPr>
              <w:pStyle w:val="P68B1DB1-Normal13"/>
              <w:spacing w:after="0" w:line="240" w:lineRule="auto"/>
              <w:rPr>
                <w:rFonts w:eastAsia="Times New Roman" w:cs="Times New Roman"/>
                <w:noProof/>
              </w:rPr>
            </w:pPr>
            <w:r>
              <w:rPr>
                <w:noProof/>
              </w:rPr>
              <w:t>Rejestracja (zarejestrowanie), ocena i akredytacja 2000000 jednostek</w:t>
            </w:r>
            <w:r>
              <w:rPr>
                <w:noProof/>
                <w:shd w:val="clear" w:color="auto" w:fill="E6E6E6"/>
              </w:rPr>
              <w:t xml:space="preserve"> </w:t>
            </w:r>
            <w:r>
              <w:rPr>
                <w:noProof/>
              </w:rPr>
              <w:t>kompetencji w Krajowym Katalogu Kwalifikacji Zawodowych uzyskanych dzięki doświadczeniu zawodowemu i pozaformalnym szlakom szkoleniowym.</w:t>
            </w:r>
          </w:p>
        </w:tc>
      </w:tr>
      <w:tr w:rsidR="006578ED" w14:paraId="314FAA92" w14:textId="77777777">
        <w:trPr>
          <w:trHeight w:val="309"/>
        </w:trPr>
        <w:tc>
          <w:tcPr>
            <w:tcW w:w="851" w:type="dxa"/>
            <w:shd w:val="clear" w:color="auto" w:fill="C6EFCE"/>
            <w:noWrap/>
          </w:tcPr>
          <w:p w14:paraId="2E0F6CF5" w14:textId="77777777" w:rsidR="006578ED" w:rsidRDefault="00A1618E">
            <w:pPr>
              <w:pStyle w:val="P68B1DB1-Normal13"/>
              <w:spacing w:after="0" w:line="240" w:lineRule="auto"/>
              <w:jc w:val="center"/>
              <w:rPr>
                <w:rFonts w:eastAsia="Times New Roman" w:cs="Times New Roman"/>
                <w:noProof/>
              </w:rPr>
            </w:pPr>
            <w:r>
              <w:rPr>
                <w:noProof/>
              </w:rPr>
              <w:t>298</w:t>
            </w:r>
          </w:p>
        </w:tc>
        <w:tc>
          <w:tcPr>
            <w:tcW w:w="851" w:type="dxa"/>
            <w:shd w:val="clear" w:color="auto" w:fill="C6EFCE"/>
            <w:noWrap/>
          </w:tcPr>
          <w:p w14:paraId="20D3B77E" w14:textId="77777777" w:rsidR="006578ED" w:rsidRDefault="00A1618E">
            <w:pPr>
              <w:pStyle w:val="P68B1DB1-Normal13"/>
              <w:spacing w:after="0" w:line="240" w:lineRule="auto"/>
              <w:jc w:val="center"/>
              <w:rPr>
                <w:rFonts w:eastAsia="Times New Roman" w:cs="Times New Roman"/>
                <w:noProof/>
              </w:rPr>
            </w:pPr>
            <w:r>
              <w:rPr>
                <w:noProof/>
              </w:rPr>
              <w:t>C20.I1</w:t>
            </w:r>
          </w:p>
        </w:tc>
        <w:tc>
          <w:tcPr>
            <w:tcW w:w="858" w:type="dxa"/>
            <w:shd w:val="clear" w:color="auto" w:fill="C6EFCE"/>
            <w:noWrap/>
          </w:tcPr>
          <w:p w14:paraId="753310FF" w14:textId="41614D3A" w:rsidR="006578ED" w:rsidRDefault="00AF6B91">
            <w:pPr>
              <w:pStyle w:val="P68B1DB1-Normal13"/>
              <w:spacing w:after="0" w:line="240" w:lineRule="auto"/>
              <w:jc w:val="center"/>
              <w:rPr>
                <w:rFonts w:eastAsia="Times New Roman" w:cs="Times New Roman"/>
                <w:noProof/>
              </w:rPr>
            </w:pPr>
            <w:r>
              <w:rPr>
                <w:noProof/>
              </w:rPr>
              <w:t>Cel</w:t>
            </w:r>
          </w:p>
        </w:tc>
        <w:tc>
          <w:tcPr>
            <w:tcW w:w="2685" w:type="dxa"/>
            <w:shd w:val="clear" w:color="auto" w:fill="C6EFCE"/>
            <w:noWrap/>
          </w:tcPr>
          <w:p w14:paraId="431FF7A1" w14:textId="3E6F5893" w:rsidR="006578ED" w:rsidRDefault="00A1618E">
            <w:pPr>
              <w:pStyle w:val="P68B1DB1-Normal13"/>
              <w:spacing w:after="0" w:line="240" w:lineRule="auto"/>
              <w:rPr>
                <w:rFonts w:eastAsia="Times New Roman" w:cs="Times New Roman"/>
                <w:noProof/>
              </w:rPr>
            </w:pPr>
            <w:r>
              <w:rPr>
                <w:noProof/>
              </w:rPr>
              <w:t xml:space="preserve">Szkolenia modułowe w zakresie podnoszenia i zmiany kwalifikacji osób zatrudnionych i bezrobotnych </w:t>
            </w:r>
          </w:p>
        </w:tc>
        <w:tc>
          <w:tcPr>
            <w:tcW w:w="1418" w:type="dxa"/>
            <w:shd w:val="clear" w:color="auto" w:fill="C6EFCE"/>
            <w:noWrap/>
          </w:tcPr>
          <w:p w14:paraId="3C6BB208" w14:textId="77777777" w:rsidR="006578ED" w:rsidRDefault="00A1618E">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0A99AEE2"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984" w:type="dxa"/>
            <w:shd w:val="clear" w:color="auto" w:fill="C6EFCE"/>
            <w:noWrap/>
          </w:tcPr>
          <w:p w14:paraId="44D6BCA3" w14:textId="77777777" w:rsidR="006578ED" w:rsidRDefault="00A1618E">
            <w:pPr>
              <w:pStyle w:val="P68B1DB1-Normal13"/>
              <w:spacing w:after="0" w:line="240" w:lineRule="auto"/>
              <w:jc w:val="right"/>
              <w:rPr>
                <w:rFonts w:eastAsia="Times New Roman" w:cs="Times New Roman"/>
                <w:noProof/>
              </w:rPr>
            </w:pPr>
            <w:r>
              <w:rPr>
                <w:noProof/>
              </w:rPr>
              <w:t>0</w:t>
            </w:r>
          </w:p>
        </w:tc>
        <w:tc>
          <w:tcPr>
            <w:tcW w:w="1040" w:type="dxa"/>
            <w:shd w:val="clear" w:color="auto" w:fill="C6EFCE"/>
            <w:noWrap/>
          </w:tcPr>
          <w:p w14:paraId="7D0F9D51" w14:textId="77777777" w:rsidR="006578ED" w:rsidRDefault="00A1618E">
            <w:pPr>
              <w:pStyle w:val="P68B1DB1-Normal13"/>
              <w:spacing w:after="0" w:line="240" w:lineRule="auto"/>
              <w:jc w:val="center"/>
              <w:rPr>
                <w:rFonts w:eastAsia="Times New Roman" w:cs="Times New Roman"/>
                <w:noProof/>
              </w:rPr>
            </w:pPr>
            <w:r>
              <w:rPr>
                <w:noProof/>
              </w:rPr>
              <w:t>1 000 000</w:t>
            </w:r>
          </w:p>
        </w:tc>
        <w:tc>
          <w:tcPr>
            <w:tcW w:w="365" w:type="dxa"/>
            <w:shd w:val="clear" w:color="auto" w:fill="C6EFCE"/>
            <w:noWrap/>
          </w:tcPr>
          <w:p w14:paraId="5B13200A" w14:textId="1A40989C" w:rsidR="006578ED" w:rsidRDefault="00EC188C">
            <w:pPr>
              <w:pStyle w:val="P68B1DB1-Normal13"/>
              <w:spacing w:after="0" w:line="240" w:lineRule="auto"/>
              <w:jc w:val="center"/>
              <w:rPr>
                <w:rFonts w:eastAsia="Times New Roman" w:cs="Times New Roman"/>
                <w:noProof/>
              </w:rPr>
            </w:pPr>
            <w:r>
              <w:rPr>
                <w:noProof/>
              </w:rPr>
              <w:t>KW. 4</w:t>
            </w:r>
          </w:p>
        </w:tc>
        <w:tc>
          <w:tcPr>
            <w:tcW w:w="627" w:type="dxa"/>
            <w:shd w:val="clear" w:color="auto" w:fill="C6EFCE"/>
            <w:noWrap/>
          </w:tcPr>
          <w:p w14:paraId="07C103F7" w14:textId="77777777" w:rsidR="006578ED" w:rsidRDefault="00A1618E">
            <w:pPr>
              <w:pStyle w:val="P68B1DB1-Normal13"/>
              <w:spacing w:after="0" w:line="240" w:lineRule="auto"/>
              <w:jc w:val="center"/>
              <w:rPr>
                <w:rFonts w:eastAsia="Times New Roman" w:cs="Times New Roman"/>
                <w:noProof/>
              </w:rPr>
            </w:pPr>
            <w:r>
              <w:rPr>
                <w:noProof/>
              </w:rPr>
              <w:t>2024</w:t>
            </w:r>
          </w:p>
        </w:tc>
        <w:tc>
          <w:tcPr>
            <w:tcW w:w="4820" w:type="dxa"/>
            <w:shd w:val="clear" w:color="auto" w:fill="C6EFCE"/>
            <w:noWrap/>
          </w:tcPr>
          <w:p w14:paraId="12C1D687" w14:textId="7C8F6093" w:rsidR="006578ED" w:rsidRDefault="00A1618E">
            <w:pPr>
              <w:pStyle w:val="P68B1DB1-Normal13"/>
              <w:spacing w:after="0" w:line="240" w:lineRule="auto"/>
              <w:rPr>
                <w:rFonts w:eastAsia="Times New Roman" w:cs="Times New Roman"/>
                <w:noProof/>
              </w:rPr>
            </w:pPr>
            <w:r>
              <w:rPr>
                <w:noProof/>
              </w:rPr>
              <w:t>Przeprowadzenie modułowego szkolenia cyfrowego w zakresie podnoszenia i zmiany kwalifikacji (z czego przeszkolono co najmniej 300000 pracowników) oraz szkolenia modułowego mającego na celu zmianę i podnoszenie kwalifikacji osób zatrudnionych i bezrobotnych (co najmniej 700000 przeszkolonych osób).</w:t>
            </w:r>
          </w:p>
        </w:tc>
      </w:tr>
      <w:tr w:rsidR="006578ED" w14:paraId="58765A23" w14:textId="77777777">
        <w:trPr>
          <w:trHeight w:val="309"/>
        </w:trPr>
        <w:tc>
          <w:tcPr>
            <w:tcW w:w="851" w:type="dxa"/>
            <w:shd w:val="clear" w:color="auto" w:fill="C6EFCE"/>
            <w:noWrap/>
          </w:tcPr>
          <w:p w14:paraId="584F7F59" w14:textId="77777777" w:rsidR="006578ED" w:rsidRDefault="00A1618E">
            <w:pPr>
              <w:pStyle w:val="P68B1DB1-Normal13"/>
              <w:spacing w:after="0" w:line="240" w:lineRule="auto"/>
              <w:jc w:val="center"/>
              <w:rPr>
                <w:rFonts w:eastAsia="Times New Roman" w:cs="Times New Roman"/>
                <w:noProof/>
              </w:rPr>
            </w:pPr>
            <w:r>
              <w:rPr>
                <w:noProof/>
              </w:rPr>
              <w:t>299</w:t>
            </w:r>
          </w:p>
        </w:tc>
        <w:tc>
          <w:tcPr>
            <w:tcW w:w="851" w:type="dxa"/>
            <w:shd w:val="clear" w:color="auto" w:fill="C6EFCE"/>
            <w:noWrap/>
          </w:tcPr>
          <w:p w14:paraId="7CD57124" w14:textId="77777777" w:rsidR="006578ED" w:rsidRDefault="00A1618E">
            <w:pPr>
              <w:pStyle w:val="P68B1DB1-Normal13"/>
              <w:spacing w:after="0" w:line="240" w:lineRule="auto"/>
              <w:jc w:val="center"/>
              <w:rPr>
                <w:rFonts w:eastAsia="Times New Roman" w:cs="Times New Roman"/>
                <w:noProof/>
              </w:rPr>
            </w:pPr>
            <w:r>
              <w:rPr>
                <w:noProof/>
              </w:rPr>
              <w:t>C20.I2</w:t>
            </w:r>
          </w:p>
        </w:tc>
        <w:tc>
          <w:tcPr>
            <w:tcW w:w="858" w:type="dxa"/>
            <w:shd w:val="clear" w:color="auto" w:fill="C6EFCE"/>
            <w:noWrap/>
          </w:tcPr>
          <w:p w14:paraId="23625CEE" w14:textId="2F8BAAE5" w:rsidR="006578ED" w:rsidRDefault="00AF6B91">
            <w:pPr>
              <w:pStyle w:val="P68B1DB1-Normal13"/>
              <w:spacing w:after="0" w:line="240" w:lineRule="auto"/>
              <w:jc w:val="center"/>
              <w:rPr>
                <w:rFonts w:eastAsia="Times New Roman" w:cs="Times New Roman"/>
                <w:noProof/>
              </w:rPr>
            </w:pPr>
            <w:r>
              <w:rPr>
                <w:noProof/>
              </w:rPr>
              <w:t>Cel</w:t>
            </w:r>
          </w:p>
        </w:tc>
        <w:tc>
          <w:tcPr>
            <w:tcW w:w="2685" w:type="dxa"/>
            <w:shd w:val="clear" w:color="auto" w:fill="C6EFCE"/>
            <w:noWrap/>
          </w:tcPr>
          <w:p w14:paraId="0F93CAD7" w14:textId="10F80991" w:rsidR="006578ED" w:rsidRDefault="00A1618E">
            <w:pPr>
              <w:pStyle w:val="P68B1DB1-Normal13"/>
              <w:spacing w:after="0" w:line="240" w:lineRule="auto"/>
              <w:rPr>
                <w:rFonts w:eastAsia="Times New Roman" w:cs="Times New Roman"/>
                <w:noProof/>
              </w:rPr>
            </w:pPr>
            <w:r>
              <w:rPr>
                <w:noProof/>
              </w:rPr>
              <w:t>Centra doskonałości i innowacji w dziedzinie szkolenia zawodowego</w:t>
            </w:r>
          </w:p>
        </w:tc>
        <w:tc>
          <w:tcPr>
            <w:tcW w:w="1418" w:type="dxa"/>
            <w:shd w:val="clear" w:color="auto" w:fill="C6EFCE"/>
            <w:noWrap/>
          </w:tcPr>
          <w:p w14:paraId="33D94C4F" w14:textId="77777777" w:rsidR="006578ED" w:rsidRDefault="00A1618E">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32514100"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984" w:type="dxa"/>
            <w:shd w:val="clear" w:color="auto" w:fill="C6EFCE"/>
            <w:noWrap/>
          </w:tcPr>
          <w:p w14:paraId="72376FB8" w14:textId="77777777" w:rsidR="006578ED" w:rsidRDefault="00A1618E">
            <w:pPr>
              <w:pStyle w:val="P68B1DB1-Normal13"/>
              <w:spacing w:after="0" w:line="240" w:lineRule="auto"/>
              <w:jc w:val="right"/>
              <w:rPr>
                <w:rFonts w:eastAsia="Times New Roman" w:cs="Times New Roman"/>
                <w:noProof/>
              </w:rPr>
            </w:pPr>
            <w:r>
              <w:rPr>
                <w:noProof/>
              </w:rPr>
              <w:t>0</w:t>
            </w:r>
          </w:p>
        </w:tc>
        <w:tc>
          <w:tcPr>
            <w:tcW w:w="1040" w:type="dxa"/>
            <w:shd w:val="clear" w:color="auto" w:fill="C6EFCE"/>
            <w:noWrap/>
          </w:tcPr>
          <w:p w14:paraId="53C5D410" w14:textId="77777777" w:rsidR="006578ED" w:rsidRDefault="00A1618E">
            <w:pPr>
              <w:pStyle w:val="P68B1DB1-Normal13"/>
              <w:spacing w:after="0" w:line="240" w:lineRule="auto"/>
              <w:jc w:val="center"/>
              <w:rPr>
                <w:rFonts w:eastAsia="Times New Roman" w:cs="Times New Roman"/>
                <w:noProof/>
              </w:rPr>
            </w:pPr>
            <w:r>
              <w:rPr>
                <w:noProof/>
              </w:rPr>
              <w:t>50</w:t>
            </w:r>
          </w:p>
        </w:tc>
        <w:tc>
          <w:tcPr>
            <w:tcW w:w="365" w:type="dxa"/>
            <w:shd w:val="clear" w:color="auto" w:fill="C6EFCE"/>
            <w:noWrap/>
          </w:tcPr>
          <w:p w14:paraId="67654B24" w14:textId="064348EC" w:rsidR="006578ED" w:rsidRDefault="00EC188C">
            <w:pPr>
              <w:pStyle w:val="P68B1DB1-Normal13"/>
              <w:spacing w:after="0" w:line="240" w:lineRule="auto"/>
              <w:jc w:val="center"/>
              <w:rPr>
                <w:rFonts w:eastAsia="Times New Roman" w:cs="Times New Roman"/>
                <w:noProof/>
              </w:rPr>
            </w:pPr>
            <w:r>
              <w:rPr>
                <w:noProof/>
              </w:rPr>
              <w:t>KW. 4</w:t>
            </w:r>
          </w:p>
        </w:tc>
        <w:tc>
          <w:tcPr>
            <w:tcW w:w="627" w:type="dxa"/>
            <w:shd w:val="clear" w:color="auto" w:fill="C6EFCE"/>
            <w:noWrap/>
          </w:tcPr>
          <w:p w14:paraId="3400A269" w14:textId="34C41AD4" w:rsidR="006578ED" w:rsidRDefault="00A1618E">
            <w:pPr>
              <w:pStyle w:val="P68B1DB1-Normal13"/>
              <w:spacing w:after="0" w:line="240" w:lineRule="auto"/>
              <w:jc w:val="center"/>
              <w:rPr>
                <w:rFonts w:eastAsia="Times New Roman" w:cs="Times New Roman"/>
                <w:noProof/>
              </w:rPr>
            </w:pPr>
            <w:r>
              <w:rPr>
                <w:noProof/>
              </w:rPr>
              <w:t>2024</w:t>
            </w:r>
          </w:p>
        </w:tc>
        <w:tc>
          <w:tcPr>
            <w:tcW w:w="4820" w:type="dxa"/>
            <w:shd w:val="clear" w:color="auto" w:fill="C6EFCE"/>
            <w:noWrap/>
          </w:tcPr>
          <w:p w14:paraId="17635310" w14:textId="12D7EC1F" w:rsidR="006578ED" w:rsidRDefault="00A1618E">
            <w:pPr>
              <w:pStyle w:val="P68B1DB1-Normal13"/>
              <w:spacing w:after="0" w:line="240" w:lineRule="auto"/>
              <w:rPr>
                <w:rFonts w:eastAsia="Times New Roman" w:cs="Times New Roman"/>
                <w:noProof/>
              </w:rPr>
            </w:pPr>
            <w:r>
              <w:rPr>
                <w:noProof/>
              </w:rPr>
              <w:t>Utworzenie co najmniej 50 centrów doskonałości i innowacji w dziedzinie kształcenia zawodowego</w:t>
            </w:r>
          </w:p>
        </w:tc>
      </w:tr>
      <w:tr w:rsidR="006578ED" w14:paraId="73E94D32" w14:textId="77777777">
        <w:trPr>
          <w:trHeight w:val="309"/>
        </w:trPr>
        <w:tc>
          <w:tcPr>
            <w:tcW w:w="851" w:type="dxa"/>
            <w:shd w:val="clear" w:color="auto" w:fill="C6EFCE"/>
            <w:noWrap/>
          </w:tcPr>
          <w:p w14:paraId="4B74BC9C" w14:textId="1FB87736" w:rsidR="006578ED" w:rsidRDefault="00A1618E">
            <w:pPr>
              <w:pStyle w:val="P68B1DB1-Normal13"/>
              <w:spacing w:after="0" w:line="240" w:lineRule="auto"/>
              <w:jc w:val="center"/>
              <w:rPr>
                <w:rFonts w:cs="Times New Roman"/>
                <w:noProof/>
              </w:rPr>
            </w:pPr>
            <w:r>
              <w:rPr>
                <w:noProof/>
              </w:rPr>
              <w:t>467</w:t>
            </w:r>
          </w:p>
        </w:tc>
        <w:tc>
          <w:tcPr>
            <w:tcW w:w="851" w:type="dxa"/>
            <w:shd w:val="clear" w:color="auto" w:fill="C6EFCE"/>
            <w:noWrap/>
          </w:tcPr>
          <w:p w14:paraId="58748948" w14:textId="02C227AA" w:rsidR="006578ED" w:rsidRDefault="00A1618E">
            <w:pPr>
              <w:pStyle w:val="P68B1DB1-Normal13"/>
              <w:spacing w:after="0" w:line="240" w:lineRule="auto"/>
              <w:jc w:val="center"/>
              <w:rPr>
                <w:rFonts w:cs="Times New Roman"/>
                <w:noProof/>
              </w:rPr>
            </w:pPr>
            <w:r>
              <w:rPr>
                <w:noProof/>
              </w:rPr>
              <w:t>C20.I2</w:t>
            </w:r>
          </w:p>
        </w:tc>
        <w:tc>
          <w:tcPr>
            <w:tcW w:w="858" w:type="dxa"/>
            <w:shd w:val="clear" w:color="auto" w:fill="C6EFCE"/>
            <w:noWrap/>
          </w:tcPr>
          <w:p w14:paraId="09C37C7B" w14:textId="63F49610" w:rsidR="006578ED" w:rsidRDefault="00AF6B91">
            <w:pPr>
              <w:pStyle w:val="P68B1DB1-Normal13"/>
              <w:spacing w:after="0" w:line="240" w:lineRule="auto"/>
              <w:jc w:val="center"/>
              <w:rPr>
                <w:rFonts w:cs="Times New Roman"/>
                <w:noProof/>
              </w:rPr>
            </w:pPr>
            <w:r>
              <w:rPr>
                <w:noProof/>
              </w:rPr>
              <w:t>Cel</w:t>
            </w:r>
          </w:p>
        </w:tc>
        <w:tc>
          <w:tcPr>
            <w:tcW w:w="2685" w:type="dxa"/>
            <w:shd w:val="clear" w:color="auto" w:fill="C6EFCE"/>
            <w:noWrap/>
          </w:tcPr>
          <w:p w14:paraId="2B8B2EAF" w14:textId="1395D49F" w:rsidR="006578ED" w:rsidRDefault="00A1618E">
            <w:pPr>
              <w:pStyle w:val="P68B1DB1-Normal13"/>
              <w:spacing w:after="0" w:line="240" w:lineRule="auto"/>
              <w:rPr>
                <w:rFonts w:cs="Times New Roman"/>
                <w:noProof/>
              </w:rPr>
            </w:pPr>
            <w:r>
              <w:rPr>
                <w:noProof/>
              </w:rPr>
              <w:t>Przekształcenie sal lekcyjnych w stosowane przestrzenie technologiczne</w:t>
            </w:r>
          </w:p>
        </w:tc>
        <w:tc>
          <w:tcPr>
            <w:tcW w:w="1418" w:type="dxa"/>
            <w:shd w:val="clear" w:color="auto" w:fill="C6EFCE"/>
            <w:noWrap/>
          </w:tcPr>
          <w:p w14:paraId="158ACBAA" w14:textId="77777777" w:rsidR="006578ED" w:rsidRDefault="006578ED">
            <w:pPr>
              <w:spacing w:after="0" w:line="240" w:lineRule="auto"/>
              <w:jc w:val="center"/>
              <w:rPr>
                <w:rFonts w:ascii="Times New Roman" w:hAnsi="Times New Roman" w:cs="Times New Roman"/>
                <w:noProof/>
                <w:sz w:val="18"/>
              </w:rPr>
            </w:pPr>
          </w:p>
        </w:tc>
        <w:tc>
          <w:tcPr>
            <w:tcW w:w="811" w:type="dxa"/>
            <w:shd w:val="clear" w:color="auto" w:fill="C6EFCE"/>
            <w:noWrap/>
          </w:tcPr>
          <w:p w14:paraId="08B3F54E" w14:textId="640E8BE9" w:rsidR="006578ED" w:rsidRDefault="00A1618E">
            <w:pPr>
              <w:pStyle w:val="P68B1DB1-Normal13"/>
              <w:spacing w:after="0" w:line="240" w:lineRule="auto"/>
              <w:jc w:val="center"/>
              <w:rPr>
                <w:rFonts w:cs="Times New Roman"/>
                <w:noProof/>
              </w:rPr>
            </w:pPr>
            <w:r>
              <w:rPr>
                <w:noProof/>
              </w:rPr>
              <w:t>Liczba</w:t>
            </w:r>
          </w:p>
        </w:tc>
        <w:tc>
          <w:tcPr>
            <w:tcW w:w="984" w:type="dxa"/>
            <w:shd w:val="clear" w:color="auto" w:fill="C6EFCE"/>
            <w:noWrap/>
          </w:tcPr>
          <w:p w14:paraId="7AD65BD1" w14:textId="1D1A4DE7" w:rsidR="006578ED" w:rsidRDefault="00A1618E">
            <w:pPr>
              <w:pStyle w:val="P68B1DB1-Normal13"/>
              <w:spacing w:after="0" w:line="240" w:lineRule="auto"/>
              <w:jc w:val="right"/>
              <w:rPr>
                <w:rFonts w:cs="Times New Roman"/>
                <w:noProof/>
              </w:rPr>
            </w:pPr>
            <w:r>
              <w:rPr>
                <w:noProof/>
              </w:rPr>
              <w:t>0</w:t>
            </w:r>
          </w:p>
        </w:tc>
        <w:tc>
          <w:tcPr>
            <w:tcW w:w="1040" w:type="dxa"/>
            <w:shd w:val="clear" w:color="auto" w:fill="C6EFCE"/>
            <w:noWrap/>
          </w:tcPr>
          <w:p w14:paraId="0C8D60C2" w14:textId="152B4BBF" w:rsidR="006578ED" w:rsidRDefault="00A1618E">
            <w:pPr>
              <w:pStyle w:val="P68B1DB1-Normal13"/>
              <w:spacing w:after="0" w:line="240" w:lineRule="auto"/>
              <w:jc w:val="center"/>
              <w:rPr>
                <w:rFonts w:cs="Times New Roman"/>
                <w:noProof/>
              </w:rPr>
            </w:pPr>
            <w:r>
              <w:rPr>
                <w:noProof/>
              </w:rPr>
              <w:t>1 253</w:t>
            </w:r>
          </w:p>
        </w:tc>
        <w:tc>
          <w:tcPr>
            <w:tcW w:w="365" w:type="dxa"/>
            <w:shd w:val="clear" w:color="auto" w:fill="C6EFCE"/>
            <w:noWrap/>
          </w:tcPr>
          <w:p w14:paraId="26C5A175" w14:textId="6C12898A" w:rsidR="006578ED" w:rsidRDefault="00EC188C">
            <w:pPr>
              <w:pStyle w:val="P68B1DB1-Normal13"/>
              <w:spacing w:after="0" w:line="240" w:lineRule="auto"/>
              <w:jc w:val="center"/>
              <w:rPr>
                <w:rFonts w:cs="Times New Roman"/>
                <w:noProof/>
              </w:rPr>
            </w:pPr>
            <w:r>
              <w:rPr>
                <w:noProof/>
              </w:rPr>
              <w:t>KW. 4</w:t>
            </w:r>
          </w:p>
        </w:tc>
        <w:tc>
          <w:tcPr>
            <w:tcW w:w="627" w:type="dxa"/>
            <w:shd w:val="clear" w:color="auto" w:fill="C6EFCE"/>
            <w:noWrap/>
          </w:tcPr>
          <w:p w14:paraId="06CFDB13" w14:textId="260CF935" w:rsidR="006578ED" w:rsidRDefault="00A1618E">
            <w:pPr>
              <w:pStyle w:val="P68B1DB1-Normal13"/>
              <w:spacing w:after="0" w:line="240" w:lineRule="auto"/>
              <w:jc w:val="center"/>
              <w:rPr>
                <w:rFonts w:cs="Times New Roman"/>
                <w:noProof/>
              </w:rPr>
            </w:pPr>
            <w:r>
              <w:rPr>
                <w:noProof/>
              </w:rPr>
              <w:t>2025</w:t>
            </w:r>
          </w:p>
        </w:tc>
        <w:tc>
          <w:tcPr>
            <w:tcW w:w="4820" w:type="dxa"/>
            <w:shd w:val="clear" w:color="auto" w:fill="C6EFCE"/>
            <w:noWrap/>
          </w:tcPr>
          <w:p w14:paraId="5AC13B39" w14:textId="28F59296" w:rsidR="006578ED" w:rsidRDefault="00A1618E">
            <w:pPr>
              <w:pStyle w:val="P68B1DB1-Normal13"/>
              <w:spacing w:after="0" w:line="240" w:lineRule="auto"/>
              <w:rPr>
                <w:rFonts w:cs="Times New Roman"/>
                <w:noProof/>
              </w:rPr>
            </w:pPr>
            <w:r>
              <w:rPr>
                <w:noProof/>
              </w:rPr>
              <w:t>Co najmniej 1253 sal lekcyjnych przekształconych w klasy technologiczne, które odtworzą środowisko pracy z wykorzystaniem zasobów technologicznych, aby umożliwić studentom korzystanie z technologii, które następnie znajdą w przedsiębiorstwach.</w:t>
            </w:r>
          </w:p>
          <w:p w14:paraId="6F142C02" w14:textId="77777777" w:rsidR="006578ED" w:rsidRDefault="006578ED">
            <w:pPr>
              <w:spacing w:after="0" w:line="240" w:lineRule="auto"/>
              <w:rPr>
                <w:rFonts w:ascii="Times New Roman" w:hAnsi="Times New Roman" w:cs="Times New Roman"/>
                <w:noProof/>
                <w:sz w:val="18"/>
              </w:rPr>
            </w:pPr>
          </w:p>
        </w:tc>
      </w:tr>
      <w:tr w:rsidR="006578ED" w14:paraId="6D54DFE7" w14:textId="77777777">
        <w:trPr>
          <w:trHeight w:val="309"/>
        </w:trPr>
        <w:tc>
          <w:tcPr>
            <w:tcW w:w="851" w:type="dxa"/>
            <w:shd w:val="clear" w:color="auto" w:fill="C6EFCE"/>
            <w:noWrap/>
          </w:tcPr>
          <w:p w14:paraId="611A44EA" w14:textId="0521778E" w:rsidR="006578ED" w:rsidRDefault="00A1618E">
            <w:pPr>
              <w:pStyle w:val="P68B1DB1-Normal13"/>
              <w:spacing w:after="0" w:line="240" w:lineRule="auto"/>
              <w:jc w:val="center"/>
              <w:rPr>
                <w:rFonts w:cs="Times New Roman"/>
                <w:noProof/>
              </w:rPr>
            </w:pPr>
            <w:r>
              <w:rPr>
                <w:noProof/>
              </w:rPr>
              <w:t>467a</w:t>
            </w:r>
          </w:p>
        </w:tc>
        <w:tc>
          <w:tcPr>
            <w:tcW w:w="851" w:type="dxa"/>
            <w:shd w:val="clear" w:color="auto" w:fill="C6EFCE"/>
            <w:noWrap/>
          </w:tcPr>
          <w:p w14:paraId="47D2B553" w14:textId="2878FBC8" w:rsidR="006578ED" w:rsidRDefault="00A1618E">
            <w:pPr>
              <w:pStyle w:val="P68B1DB1-Normal13"/>
              <w:spacing w:after="0" w:line="240" w:lineRule="auto"/>
              <w:jc w:val="center"/>
              <w:rPr>
                <w:rFonts w:cs="Times New Roman"/>
                <w:noProof/>
              </w:rPr>
            </w:pPr>
            <w:r>
              <w:rPr>
                <w:noProof/>
              </w:rPr>
              <w:t>C20.I2</w:t>
            </w:r>
          </w:p>
        </w:tc>
        <w:tc>
          <w:tcPr>
            <w:tcW w:w="858" w:type="dxa"/>
            <w:shd w:val="clear" w:color="auto" w:fill="C6EFCE"/>
            <w:noWrap/>
          </w:tcPr>
          <w:p w14:paraId="798315B4" w14:textId="547AE1B8" w:rsidR="006578ED" w:rsidRDefault="00AF6B91">
            <w:pPr>
              <w:pStyle w:val="P68B1DB1-Normal13"/>
              <w:spacing w:after="0" w:line="240" w:lineRule="auto"/>
              <w:jc w:val="center"/>
              <w:rPr>
                <w:rFonts w:cs="Times New Roman"/>
                <w:noProof/>
              </w:rPr>
            </w:pPr>
            <w:r>
              <w:rPr>
                <w:noProof/>
              </w:rPr>
              <w:t>Cel</w:t>
            </w:r>
          </w:p>
        </w:tc>
        <w:tc>
          <w:tcPr>
            <w:tcW w:w="2685" w:type="dxa"/>
            <w:shd w:val="clear" w:color="auto" w:fill="C6EFCE"/>
            <w:noWrap/>
          </w:tcPr>
          <w:p w14:paraId="34E49174" w14:textId="1EA890C6" w:rsidR="006578ED" w:rsidRDefault="00A1618E">
            <w:pPr>
              <w:pStyle w:val="P68B1DB1-Normal13"/>
              <w:spacing w:after="0" w:line="240" w:lineRule="auto"/>
              <w:rPr>
                <w:rFonts w:cs="Times New Roman"/>
                <w:noProof/>
              </w:rPr>
            </w:pPr>
            <w:r>
              <w:rPr>
                <w:noProof/>
              </w:rPr>
              <w:t>Tworzenie i wspieranie klas „przedsiębiorczości”</w:t>
            </w:r>
          </w:p>
        </w:tc>
        <w:tc>
          <w:tcPr>
            <w:tcW w:w="1418" w:type="dxa"/>
            <w:shd w:val="clear" w:color="auto" w:fill="C6EFCE"/>
            <w:noWrap/>
          </w:tcPr>
          <w:p w14:paraId="3FACDABE" w14:textId="30ECEB38" w:rsidR="006578ED" w:rsidRDefault="00A1618E">
            <w:pPr>
              <w:pStyle w:val="P68B1DB1-Normal13"/>
              <w:spacing w:after="0" w:line="240" w:lineRule="auto"/>
              <w:jc w:val="center"/>
              <w:rPr>
                <w:rFonts w:cs="Times New Roman"/>
                <w:noProof/>
              </w:rPr>
            </w:pPr>
            <w:r>
              <w:rPr>
                <w:noProof/>
              </w:rPr>
              <w:t>—</w:t>
            </w:r>
          </w:p>
        </w:tc>
        <w:tc>
          <w:tcPr>
            <w:tcW w:w="811" w:type="dxa"/>
            <w:shd w:val="clear" w:color="auto" w:fill="C6EFCE"/>
            <w:noWrap/>
          </w:tcPr>
          <w:p w14:paraId="65508F6D" w14:textId="560BA660" w:rsidR="006578ED" w:rsidRDefault="00A1618E">
            <w:pPr>
              <w:pStyle w:val="P68B1DB1-Normal13"/>
              <w:spacing w:after="0" w:line="240" w:lineRule="auto"/>
              <w:jc w:val="center"/>
              <w:rPr>
                <w:rFonts w:cs="Times New Roman"/>
                <w:noProof/>
              </w:rPr>
            </w:pPr>
            <w:r>
              <w:rPr>
                <w:noProof/>
              </w:rPr>
              <w:t>Liczba</w:t>
            </w:r>
          </w:p>
        </w:tc>
        <w:tc>
          <w:tcPr>
            <w:tcW w:w="984" w:type="dxa"/>
            <w:shd w:val="clear" w:color="auto" w:fill="C6EFCE"/>
            <w:noWrap/>
          </w:tcPr>
          <w:p w14:paraId="5E9B31B8" w14:textId="17FA8C84" w:rsidR="006578ED" w:rsidRDefault="00A1618E">
            <w:pPr>
              <w:pStyle w:val="P68B1DB1-Normal13"/>
              <w:spacing w:after="0" w:line="240" w:lineRule="auto"/>
              <w:jc w:val="center"/>
              <w:rPr>
                <w:rFonts w:cs="Times New Roman"/>
                <w:noProof/>
              </w:rPr>
            </w:pPr>
            <w:r>
              <w:rPr>
                <w:noProof/>
              </w:rPr>
              <w:t>0</w:t>
            </w:r>
          </w:p>
        </w:tc>
        <w:tc>
          <w:tcPr>
            <w:tcW w:w="1040" w:type="dxa"/>
            <w:shd w:val="clear" w:color="auto" w:fill="C6EFCE"/>
            <w:noWrap/>
          </w:tcPr>
          <w:p w14:paraId="02CF59FB" w14:textId="22961360" w:rsidR="006578ED" w:rsidRDefault="00A1618E">
            <w:pPr>
              <w:pStyle w:val="P68B1DB1-Normal13"/>
              <w:spacing w:after="0" w:line="240" w:lineRule="auto"/>
              <w:jc w:val="center"/>
              <w:rPr>
                <w:rFonts w:cs="Times New Roman"/>
                <w:noProof/>
              </w:rPr>
            </w:pPr>
            <w:r>
              <w:rPr>
                <w:noProof/>
              </w:rPr>
              <w:t>1 350</w:t>
            </w:r>
          </w:p>
        </w:tc>
        <w:tc>
          <w:tcPr>
            <w:tcW w:w="365" w:type="dxa"/>
            <w:shd w:val="clear" w:color="auto" w:fill="C6EFCE"/>
            <w:noWrap/>
          </w:tcPr>
          <w:p w14:paraId="67BBA881" w14:textId="3308482A" w:rsidR="006578ED" w:rsidRDefault="00EC188C">
            <w:pPr>
              <w:pStyle w:val="P68B1DB1-Normal13"/>
              <w:spacing w:after="0" w:line="240" w:lineRule="auto"/>
              <w:jc w:val="center"/>
              <w:rPr>
                <w:rFonts w:cs="Times New Roman"/>
                <w:noProof/>
              </w:rPr>
            </w:pPr>
            <w:r>
              <w:rPr>
                <w:noProof/>
              </w:rPr>
              <w:t>KW. 4</w:t>
            </w:r>
          </w:p>
        </w:tc>
        <w:tc>
          <w:tcPr>
            <w:tcW w:w="627" w:type="dxa"/>
            <w:shd w:val="clear" w:color="auto" w:fill="C6EFCE"/>
            <w:noWrap/>
          </w:tcPr>
          <w:p w14:paraId="253C5128" w14:textId="35FC6FC5" w:rsidR="006578ED" w:rsidRDefault="00A1618E">
            <w:pPr>
              <w:pStyle w:val="P68B1DB1-Normal13"/>
              <w:spacing w:after="0" w:line="240" w:lineRule="auto"/>
              <w:rPr>
                <w:rFonts w:eastAsia="Times New Roman" w:cs="Times New Roman"/>
                <w:noProof/>
              </w:rPr>
            </w:pPr>
            <w:r>
              <w:rPr>
                <w:noProof/>
              </w:rPr>
              <w:t>2024</w:t>
            </w:r>
          </w:p>
        </w:tc>
        <w:tc>
          <w:tcPr>
            <w:tcW w:w="4820" w:type="dxa"/>
            <w:shd w:val="clear" w:color="auto" w:fill="C6EFCE"/>
            <w:noWrap/>
          </w:tcPr>
          <w:p w14:paraId="1602326B" w14:textId="388F0364" w:rsidR="006578ED" w:rsidRDefault="00A1618E">
            <w:pPr>
              <w:pStyle w:val="P68B1DB1-Normal13"/>
              <w:spacing w:after="0" w:line="240" w:lineRule="auto"/>
              <w:rPr>
                <w:rFonts w:eastAsia="Times New Roman" w:cs="Times New Roman"/>
                <w:noProof/>
              </w:rPr>
            </w:pPr>
            <w:r>
              <w:rPr>
                <w:noProof/>
              </w:rPr>
              <w:t>Utworzenie i wsparcie co najmniej 1350 klas „przedsiębiorczości” w publicznych ośrodkach szkolenia zawodowego.</w:t>
            </w:r>
          </w:p>
        </w:tc>
      </w:tr>
      <w:tr w:rsidR="006578ED" w14:paraId="61A44931" w14:textId="77777777">
        <w:trPr>
          <w:trHeight w:val="309"/>
        </w:trPr>
        <w:tc>
          <w:tcPr>
            <w:tcW w:w="851" w:type="dxa"/>
            <w:shd w:val="clear" w:color="auto" w:fill="C6EFCE"/>
            <w:noWrap/>
          </w:tcPr>
          <w:p w14:paraId="75ADEE7E" w14:textId="13F1DF69" w:rsidR="006578ED" w:rsidRDefault="00A1618E">
            <w:pPr>
              <w:pStyle w:val="P68B1DB1-Normal13"/>
              <w:spacing w:after="0" w:line="240" w:lineRule="auto"/>
              <w:jc w:val="center"/>
              <w:rPr>
                <w:rFonts w:cs="Times New Roman"/>
                <w:noProof/>
              </w:rPr>
            </w:pPr>
            <w:r>
              <w:rPr>
                <w:noProof/>
              </w:rPr>
              <w:t>467b</w:t>
            </w:r>
          </w:p>
        </w:tc>
        <w:tc>
          <w:tcPr>
            <w:tcW w:w="851" w:type="dxa"/>
            <w:shd w:val="clear" w:color="auto" w:fill="C6EFCE"/>
            <w:noWrap/>
          </w:tcPr>
          <w:p w14:paraId="2CA33ECD" w14:textId="5359B3CE" w:rsidR="006578ED" w:rsidRDefault="00A1618E">
            <w:pPr>
              <w:pStyle w:val="P68B1DB1-Normal13"/>
              <w:spacing w:after="0" w:line="240" w:lineRule="auto"/>
              <w:jc w:val="center"/>
              <w:rPr>
                <w:rFonts w:cs="Times New Roman"/>
                <w:noProof/>
              </w:rPr>
            </w:pPr>
            <w:r>
              <w:rPr>
                <w:noProof/>
              </w:rPr>
              <w:t>C20.I2</w:t>
            </w:r>
          </w:p>
        </w:tc>
        <w:tc>
          <w:tcPr>
            <w:tcW w:w="858" w:type="dxa"/>
            <w:shd w:val="clear" w:color="auto" w:fill="C6EFCE"/>
            <w:noWrap/>
          </w:tcPr>
          <w:p w14:paraId="0DAD0F06" w14:textId="6D382107" w:rsidR="006578ED" w:rsidRDefault="00AF6B91">
            <w:pPr>
              <w:pStyle w:val="P68B1DB1-Normal13"/>
              <w:spacing w:after="0" w:line="240" w:lineRule="auto"/>
              <w:jc w:val="center"/>
              <w:rPr>
                <w:rFonts w:cs="Times New Roman"/>
                <w:noProof/>
              </w:rPr>
            </w:pPr>
            <w:r>
              <w:rPr>
                <w:noProof/>
              </w:rPr>
              <w:t>Cel</w:t>
            </w:r>
          </w:p>
        </w:tc>
        <w:tc>
          <w:tcPr>
            <w:tcW w:w="2685" w:type="dxa"/>
            <w:shd w:val="clear" w:color="auto" w:fill="C6EFCE"/>
            <w:noWrap/>
          </w:tcPr>
          <w:p w14:paraId="432616C5" w14:textId="6D860E38" w:rsidR="006578ED" w:rsidRDefault="00A1618E">
            <w:pPr>
              <w:pStyle w:val="P68B1DB1-Normal13"/>
              <w:spacing w:after="0" w:line="240" w:lineRule="auto"/>
              <w:rPr>
                <w:rFonts w:cs="Times New Roman"/>
                <w:noProof/>
              </w:rPr>
            </w:pPr>
            <w:r>
              <w:rPr>
                <w:noProof/>
              </w:rPr>
              <w:t>Ukończenie szkoleń ekologicznych dla nauczycieli kształcenia i szkolenia zawodowego</w:t>
            </w:r>
          </w:p>
        </w:tc>
        <w:tc>
          <w:tcPr>
            <w:tcW w:w="1418" w:type="dxa"/>
            <w:shd w:val="clear" w:color="auto" w:fill="C6EFCE"/>
            <w:noWrap/>
          </w:tcPr>
          <w:p w14:paraId="2744693F" w14:textId="3C8C61C9" w:rsidR="006578ED" w:rsidRDefault="00A1618E">
            <w:pPr>
              <w:pStyle w:val="P68B1DB1-Normal13"/>
              <w:spacing w:after="0" w:line="240" w:lineRule="auto"/>
              <w:jc w:val="center"/>
              <w:rPr>
                <w:rFonts w:cs="Times New Roman"/>
                <w:noProof/>
              </w:rPr>
            </w:pPr>
            <w:r>
              <w:rPr>
                <w:noProof/>
              </w:rPr>
              <w:t>—</w:t>
            </w:r>
          </w:p>
        </w:tc>
        <w:tc>
          <w:tcPr>
            <w:tcW w:w="811" w:type="dxa"/>
            <w:shd w:val="clear" w:color="auto" w:fill="C6EFCE"/>
            <w:noWrap/>
          </w:tcPr>
          <w:p w14:paraId="06865C06" w14:textId="77717ED2" w:rsidR="006578ED" w:rsidRDefault="00A1618E">
            <w:pPr>
              <w:pStyle w:val="P68B1DB1-Normal13"/>
              <w:spacing w:after="0" w:line="240" w:lineRule="auto"/>
              <w:jc w:val="center"/>
              <w:rPr>
                <w:rFonts w:cs="Times New Roman"/>
                <w:noProof/>
              </w:rPr>
            </w:pPr>
            <w:r>
              <w:rPr>
                <w:noProof/>
              </w:rPr>
              <w:t>Liczba</w:t>
            </w:r>
          </w:p>
        </w:tc>
        <w:tc>
          <w:tcPr>
            <w:tcW w:w="984" w:type="dxa"/>
            <w:shd w:val="clear" w:color="auto" w:fill="C6EFCE"/>
            <w:noWrap/>
          </w:tcPr>
          <w:p w14:paraId="6B850641" w14:textId="581B4024" w:rsidR="006578ED" w:rsidRDefault="00A1618E">
            <w:pPr>
              <w:pStyle w:val="P68B1DB1-Normal13"/>
              <w:spacing w:after="0" w:line="240" w:lineRule="auto"/>
              <w:jc w:val="center"/>
              <w:rPr>
                <w:rFonts w:cs="Times New Roman"/>
                <w:noProof/>
              </w:rPr>
            </w:pPr>
            <w:r>
              <w:rPr>
                <w:noProof/>
              </w:rPr>
              <w:t>0</w:t>
            </w:r>
          </w:p>
        </w:tc>
        <w:tc>
          <w:tcPr>
            <w:tcW w:w="1040" w:type="dxa"/>
            <w:shd w:val="clear" w:color="auto" w:fill="C6EFCE"/>
            <w:noWrap/>
          </w:tcPr>
          <w:p w14:paraId="32FF666D" w14:textId="1A1E471A" w:rsidR="006578ED" w:rsidRDefault="00A1618E">
            <w:pPr>
              <w:pStyle w:val="P68B1DB1-Normal13"/>
              <w:spacing w:after="0" w:line="240" w:lineRule="auto"/>
              <w:jc w:val="center"/>
              <w:rPr>
                <w:rFonts w:cs="Times New Roman"/>
                <w:noProof/>
              </w:rPr>
            </w:pPr>
            <w:r>
              <w:rPr>
                <w:noProof/>
              </w:rPr>
              <w:t>25 281</w:t>
            </w:r>
          </w:p>
          <w:p w14:paraId="694DCEAB" w14:textId="31DB3365" w:rsidR="006578ED" w:rsidRDefault="006578ED">
            <w:pPr>
              <w:spacing w:after="0" w:line="240" w:lineRule="auto"/>
              <w:jc w:val="center"/>
              <w:rPr>
                <w:rFonts w:ascii="Times New Roman" w:eastAsia="Times New Roman" w:hAnsi="Times New Roman" w:cs="Times New Roman"/>
                <w:noProof/>
                <w:sz w:val="18"/>
              </w:rPr>
            </w:pPr>
          </w:p>
        </w:tc>
        <w:tc>
          <w:tcPr>
            <w:tcW w:w="365" w:type="dxa"/>
            <w:shd w:val="clear" w:color="auto" w:fill="C6EFCE"/>
            <w:noWrap/>
          </w:tcPr>
          <w:p w14:paraId="68FE550E" w14:textId="2F11AAEB" w:rsidR="006578ED" w:rsidRDefault="00EC188C">
            <w:pPr>
              <w:pStyle w:val="P68B1DB1-Normal13"/>
              <w:spacing w:after="0" w:line="240" w:lineRule="auto"/>
              <w:jc w:val="center"/>
              <w:rPr>
                <w:rFonts w:cs="Times New Roman"/>
                <w:noProof/>
              </w:rPr>
            </w:pPr>
            <w:r>
              <w:rPr>
                <w:noProof/>
              </w:rPr>
              <w:t>KW. 4</w:t>
            </w:r>
          </w:p>
        </w:tc>
        <w:tc>
          <w:tcPr>
            <w:tcW w:w="627" w:type="dxa"/>
            <w:shd w:val="clear" w:color="auto" w:fill="C6EFCE"/>
            <w:noWrap/>
          </w:tcPr>
          <w:p w14:paraId="0011D940" w14:textId="690B5EFB" w:rsidR="006578ED" w:rsidRDefault="00A1618E">
            <w:pPr>
              <w:pStyle w:val="P68B1DB1-Normal13"/>
              <w:spacing w:after="0" w:line="240" w:lineRule="auto"/>
              <w:rPr>
                <w:rFonts w:cs="Times New Roman"/>
                <w:noProof/>
              </w:rPr>
            </w:pPr>
            <w:r>
              <w:rPr>
                <w:noProof/>
              </w:rPr>
              <w:t>2024</w:t>
            </w:r>
          </w:p>
        </w:tc>
        <w:tc>
          <w:tcPr>
            <w:tcW w:w="4820" w:type="dxa"/>
            <w:shd w:val="clear" w:color="auto" w:fill="C6EFCE"/>
            <w:noWrap/>
          </w:tcPr>
          <w:p w14:paraId="47C81396" w14:textId="373339D5" w:rsidR="006578ED" w:rsidRDefault="00A1618E">
            <w:pPr>
              <w:pStyle w:val="P68B1DB1-Normal13"/>
              <w:spacing w:after="0" w:line="240" w:lineRule="auto"/>
              <w:rPr>
                <w:rFonts w:cs="Times New Roman"/>
                <w:noProof/>
              </w:rPr>
            </w:pPr>
            <w:r>
              <w:rPr>
                <w:noProof/>
              </w:rPr>
              <w:t>Ukończenie 30-godzinnych szkoleń cyfrowych i ekologicznych dla co najmniej 25281 nauczycieli kształcenia i szkolenia zawodowego.</w:t>
            </w:r>
          </w:p>
        </w:tc>
      </w:tr>
      <w:tr w:rsidR="006578ED" w14:paraId="4F3035A2" w14:textId="77777777">
        <w:trPr>
          <w:trHeight w:val="309"/>
        </w:trPr>
        <w:tc>
          <w:tcPr>
            <w:tcW w:w="851" w:type="dxa"/>
            <w:shd w:val="clear" w:color="auto" w:fill="C6EFCE"/>
            <w:noWrap/>
          </w:tcPr>
          <w:p w14:paraId="4F6CDBF0" w14:textId="77777777" w:rsidR="006578ED" w:rsidRDefault="00A1618E">
            <w:pPr>
              <w:pStyle w:val="P68B1DB1-Normal13"/>
              <w:spacing w:after="0" w:line="240" w:lineRule="auto"/>
              <w:jc w:val="center"/>
              <w:rPr>
                <w:rFonts w:eastAsia="Times New Roman" w:cs="Times New Roman"/>
                <w:noProof/>
              </w:rPr>
            </w:pPr>
            <w:r>
              <w:rPr>
                <w:noProof/>
              </w:rPr>
              <w:t>300</w:t>
            </w:r>
          </w:p>
        </w:tc>
        <w:tc>
          <w:tcPr>
            <w:tcW w:w="851" w:type="dxa"/>
            <w:shd w:val="clear" w:color="auto" w:fill="C6EFCE"/>
            <w:noWrap/>
          </w:tcPr>
          <w:p w14:paraId="1E3E5D42" w14:textId="77777777" w:rsidR="006578ED" w:rsidRDefault="00A1618E">
            <w:pPr>
              <w:pStyle w:val="P68B1DB1-Normal13"/>
              <w:spacing w:after="0" w:line="240" w:lineRule="auto"/>
              <w:jc w:val="center"/>
              <w:rPr>
                <w:rFonts w:eastAsia="Times New Roman" w:cs="Times New Roman"/>
                <w:noProof/>
              </w:rPr>
            </w:pPr>
            <w:r>
              <w:rPr>
                <w:noProof/>
              </w:rPr>
              <w:t>C20.I3</w:t>
            </w:r>
          </w:p>
        </w:tc>
        <w:tc>
          <w:tcPr>
            <w:tcW w:w="858" w:type="dxa"/>
            <w:shd w:val="clear" w:color="auto" w:fill="C6EFCE"/>
            <w:noWrap/>
          </w:tcPr>
          <w:p w14:paraId="598C6300" w14:textId="48605F63" w:rsidR="006578ED" w:rsidRDefault="00AF6B91">
            <w:pPr>
              <w:pStyle w:val="P68B1DB1-Normal13"/>
              <w:spacing w:after="0" w:line="240" w:lineRule="auto"/>
              <w:jc w:val="center"/>
              <w:rPr>
                <w:rFonts w:eastAsia="Times New Roman" w:cs="Times New Roman"/>
                <w:noProof/>
              </w:rPr>
            </w:pPr>
            <w:r>
              <w:rPr>
                <w:noProof/>
              </w:rPr>
              <w:t>Cel</w:t>
            </w:r>
          </w:p>
        </w:tc>
        <w:tc>
          <w:tcPr>
            <w:tcW w:w="2685" w:type="dxa"/>
            <w:shd w:val="clear" w:color="auto" w:fill="C6EFCE"/>
            <w:noWrap/>
          </w:tcPr>
          <w:p w14:paraId="79BECF6A" w14:textId="736C7AC9" w:rsidR="006578ED" w:rsidRDefault="00A1618E">
            <w:pPr>
              <w:pStyle w:val="P68B1DB1-Normal13"/>
              <w:spacing w:after="0" w:line="240" w:lineRule="auto"/>
              <w:rPr>
                <w:rFonts w:eastAsia="Times New Roman" w:cs="Times New Roman"/>
                <w:noProof/>
              </w:rPr>
            </w:pPr>
            <w:r>
              <w:rPr>
                <w:noProof/>
              </w:rPr>
              <w:t>Co najmniej 50000 nowych miejsc kształcenia i szkolenia zawodowego w porównaniu z końcem 20</w:t>
            </w:r>
            <w:r w:rsidRPr="00A1618E">
              <w:rPr>
                <w:noProof/>
                <w:lang w:val="pl-PL"/>
              </w:rPr>
              <w:t>20 r.</w:t>
            </w:r>
          </w:p>
        </w:tc>
        <w:tc>
          <w:tcPr>
            <w:tcW w:w="1418" w:type="dxa"/>
            <w:shd w:val="clear" w:color="auto" w:fill="C6EFCE"/>
            <w:noWrap/>
          </w:tcPr>
          <w:p w14:paraId="2827FC3C" w14:textId="77777777" w:rsidR="006578ED" w:rsidRDefault="00A1618E">
            <w:pPr>
              <w:pStyle w:val="P68B1DB1-Normal13"/>
              <w:spacing w:after="0" w:line="240" w:lineRule="auto"/>
              <w:jc w:val="center"/>
              <w:rPr>
                <w:rFonts w:eastAsia="Times New Roman" w:cs="Times New Roman"/>
                <w:noProof/>
              </w:rPr>
            </w:pPr>
            <w:r>
              <w:rPr>
                <w:noProof/>
              </w:rPr>
              <w:t>—</w:t>
            </w:r>
          </w:p>
        </w:tc>
        <w:tc>
          <w:tcPr>
            <w:tcW w:w="811" w:type="dxa"/>
            <w:shd w:val="clear" w:color="auto" w:fill="C6EFCE"/>
            <w:noWrap/>
          </w:tcPr>
          <w:p w14:paraId="210464D6"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984" w:type="dxa"/>
            <w:shd w:val="clear" w:color="auto" w:fill="C6EFCE"/>
            <w:noWrap/>
          </w:tcPr>
          <w:p w14:paraId="409D33D1" w14:textId="77777777" w:rsidR="006578ED" w:rsidRDefault="00A1618E">
            <w:pPr>
              <w:pStyle w:val="P68B1DB1-Normal13"/>
              <w:spacing w:after="0" w:line="240" w:lineRule="auto"/>
              <w:jc w:val="center"/>
              <w:rPr>
                <w:rFonts w:eastAsia="Times New Roman" w:cs="Times New Roman"/>
                <w:noProof/>
              </w:rPr>
            </w:pPr>
            <w:r>
              <w:rPr>
                <w:noProof/>
              </w:rPr>
              <w:t>934 204</w:t>
            </w:r>
          </w:p>
        </w:tc>
        <w:tc>
          <w:tcPr>
            <w:tcW w:w="1040" w:type="dxa"/>
            <w:shd w:val="clear" w:color="auto" w:fill="C6EFCE"/>
            <w:noWrap/>
          </w:tcPr>
          <w:p w14:paraId="69D9BD1A" w14:textId="77777777" w:rsidR="006578ED" w:rsidRDefault="00A1618E">
            <w:pPr>
              <w:pStyle w:val="P68B1DB1-Normal13"/>
              <w:spacing w:after="0" w:line="240" w:lineRule="auto"/>
              <w:jc w:val="center"/>
              <w:rPr>
                <w:rFonts w:eastAsia="Times New Roman" w:cs="Times New Roman"/>
                <w:noProof/>
              </w:rPr>
            </w:pPr>
            <w:r>
              <w:rPr>
                <w:noProof/>
              </w:rPr>
              <w:t>984 204</w:t>
            </w:r>
          </w:p>
        </w:tc>
        <w:tc>
          <w:tcPr>
            <w:tcW w:w="365" w:type="dxa"/>
            <w:shd w:val="clear" w:color="auto" w:fill="C6EFCE"/>
            <w:noWrap/>
          </w:tcPr>
          <w:p w14:paraId="61388907" w14:textId="732F7343" w:rsidR="006578ED" w:rsidRDefault="00EC188C">
            <w:pPr>
              <w:pStyle w:val="P68B1DB1-Normal13"/>
              <w:spacing w:after="0" w:line="240" w:lineRule="auto"/>
              <w:jc w:val="center"/>
              <w:rPr>
                <w:rFonts w:eastAsia="Times New Roman" w:cs="Times New Roman"/>
                <w:noProof/>
              </w:rPr>
            </w:pPr>
            <w:r>
              <w:rPr>
                <w:noProof/>
              </w:rPr>
              <w:t>KW. 4</w:t>
            </w:r>
          </w:p>
        </w:tc>
        <w:tc>
          <w:tcPr>
            <w:tcW w:w="627" w:type="dxa"/>
            <w:shd w:val="clear" w:color="auto" w:fill="C6EFCE"/>
            <w:noWrap/>
          </w:tcPr>
          <w:p w14:paraId="50EDB1AD" w14:textId="77777777" w:rsidR="006578ED" w:rsidRDefault="00A1618E">
            <w:pPr>
              <w:pStyle w:val="P68B1DB1-Normal13"/>
              <w:spacing w:after="0" w:line="240" w:lineRule="auto"/>
              <w:jc w:val="center"/>
              <w:rPr>
                <w:rFonts w:eastAsia="Times New Roman" w:cs="Times New Roman"/>
                <w:noProof/>
              </w:rPr>
            </w:pPr>
            <w:r>
              <w:rPr>
                <w:noProof/>
              </w:rPr>
              <w:t>2022</w:t>
            </w:r>
          </w:p>
        </w:tc>
        <w:tc>
          <w:tcPr>
            <w:tcW w:w="4820" w:type="dxa"/>
            <w:shd w:val="clear" w:color="auto" w:fill="C6EFCE"/>
            <w:noWrap/>
          </w:tcPr>
          <w:p w14:paraId="49C61569" w14:textId="5952FDB6" w:rsidR="006578ED" w:rsidRDefault="00A1618E">
            <w:pPr>
              <w:pStyle w:val="P68B1DB1-Normal13"/>
              <w:spacing w:after="0" w:line="240" w:lineRule="auto"/>
              <w:rPr>
                <w:rFonts w:eastAsia="Times New Roman" w:cs="Times New Roman"/>
                <w:noProof/>
              </w:rPr>
            </w:pPr>
            <w:r>
              <w:rPr>
                <w:noProof/>
              </w:rPr>
              <w:t>Skumulowane utworzenie co najmniej 50000 nowych miejsc kształcenia i szkolenia zawodowego w porównaniu z końcem 20</w:t>
            </w:r>
            <w:r w:rsidRPr="00A1618E">
              <w:rPr>
                <w:noProof/>
                <w:lang w:val="pl-PL"/>
              </w:rPr>
              <w:t>20 r.</w:t>
            </w:r>
            <w:r>
              <w:rPr>
                <w:noProof/>
              </w:rPr>
              <w:t xml:space="preserve"> Podział terytorialny nowych miejsc kształcenia i szkolenia zawodowego powinien opierać się na ocenie potrzeb i być kontynuacją dyskusji z odpowiednimi zainteresowanymi stronami w celu zapewnienia, aby oferta skutecznie odpowiadała lukom regionalnym/lokalnym. Data poziomu bazowego: 31 grudnia 20</w:t>
            </w:r>
            <w:r w:rsidRPr="00A1618E">
              <w:rPr>
                <w:noProof/>
                <w:lang w:val="pl-PL"/>
              </w:rPr>
              <w:t>20 r.</w:t>
            </w:r>
          </w:p>
        </w:tc>
      </w:tr>
      <w:tr w:rsidR="006578ED" w14:paraId="08891F03" w14:textId="77777777">
        <w:trPr>
          <w:trHeight w:val="309"/>
        </w:trPr>
        <w:tc>
          <w:tcPr>
            <w:tcW w:w="851" w:type="dxa"/>
            <w:tcBorders>
              <w:bottom w:val="single" w:sz="4" w:space="0" w:color="auto"/>
            </w:tcBorders>
            <w:shd w:val="clear" w:color="auto" w:fill="C6EFCE"/>
            <w:noWrap/>
          </w:tcPr>
          <w:p w14:paraId="0786758D" w14:textId="77777777" w:rsidR="006578ED" w:rsidRDefault="00A1618E">
            <w:pPr>
              <w:pStyle w:val="P68B1DB1-Normal13"/>
              <w:spacing w:after="0" w:line="240" w:lineRule="auto"/>
              <w:jc w:val="center"/>
              <w:rPr>
                <w:rFonts w:eastAsia="Times New Roman" w:cs="Times New Roman"/>
                <w:noProof/>
              </w:rPr>
            </w:pPr>
            <w:r>
              <w:rPr>
                <w:noProof/>
              </w:rPr>
              <w:t>301</w:t>
            </w:r>
          </w:p>
        </w:tc>
        <w:tc>
          <w:tcPr>
            <w:tcW w:w="851" w:type="dxa"/>
            <w:tcBorders>
              <w:bottom w:val="single" w:sz="4" w:space="0" w:color="auto"/>
            </w:tcBorders>
            <w:shd w:val="clear" w:color="auto" w:fill="C6EFCE"/>
            <w:noWrap/>
          </w:tcPr>
          <w:p w14:paraId="4C5852B3" w14:textId="77777777" w:rsidR="006578ED" w:rsidRDefault="00A1618E">
            <w:pPr>
              <w:pStyle w:val="P68B1DB1-Normal13"/>
              <w:spacing w:after="0" w:line="240" w:lineRule="auto"/>
              <w:jc w:val="center"/>
              <w:rPr>
                <w:rFonts w:eastAsia="Times New Roman" w:cs="Times New Roman"/>
                <w:noProof/>
              </w:rPr>
            </w:pPr>
            <w:r>
              <w:rPr>
                <w:noProof/>
              </w:rPr>
              <w:t>C20.I3</w:t>
            </w:r>
          </w:p>
        </w:tc>
        <w:tc>
          <w:tcPr>
            <w:tcW w:w="858" w:type="dxa"/>
            <w:tcBorders>
              <w:bottom w:val="single" w:sz="4" w:space="0" w:color="auto"/>
            </w:tcBorders>
            <w:shd w:val="clear" w:color="auto" w:fill="C6EFCE"/>
            <w:noWrap/>
          </w:tcPr>
          <w:p w14:paraId="73698ADF" w14:textId="4957C67E" w:rsidR="006578ED" w:rsidRDefault="00AF6B91">
            <w:pPr>
              <w:pStyle w:val="P68B1DB1-Normal13"/>
              <w:spacing w:after="0" w:line="240" w:lineRule="auto"/>
              <w:jc w:val="center"/>
              <w:rPr>
                <w:rFonts w:eastAsia="Times New Roman" w:cs="Times New Roman"/>
                <w:noProof/>
              </w:rPr>
            </w:pPr>
            <w:r>
              <w:rPr>
                <w:noProof/>
              </w:rPr>
              <w:t>Cel</w:t>
            </w:r>
          </w:p>
        </w:tc>
        <w:tc>
          <w:tcPr>
            <w:tcW w:w="2685" w:type="dxa"/>
            <w:tcBorders>
              <w:bottom w:val="single" w:sz="4" w:space="0" w:color="auto"/>
            </w:tcBorders>
            <w:shd w:val="clear" w:color="auto" w:fill="C6EFCE"/>
            <w:noWrap/>
          </w:tcPr>
          <w:p w14:paraId="330171CB" w14:textId="77777777" w:rsidR="006578ED" w:rsidRDefault="00A1618E">
            <w:pPr>
              <w:pStyle w:val="P68B1DB1-Normal13"/>
              <w:spacing w:after="0" w:line="240" w:lineRule="auto"/>
              <w:rPr>
                <w:rFonts w:eastAsia="Times New Roman" w:cs="Times New Roman"/>
                <w:noProof/>
              </w:rPr>
            </w:pPr>
            <w:r>
              <w:rPr>
                <w:noProof/>
              </w:rPr>
              <w:t xml:space="preserve">Dwujęzyczne cykle szkolenia zawodowego </w:t>
            </w:r>
          </w:p>
        </w:tc>
        <w:tc>
          <w:tcPr>
            <w:tcW w:w="1418" w:type="dxa"/>
            <w:tcBorders>
              <w:bottom w:val="single" w:sz="4" w:space="0" w:color="auto"/>
            </w:tcBorders>
            <w:shd w:val="clear" w:color="auto" w:fill="C6EFCE"/>
            <w:noWrap/>
          </w:tcPr>
          <w:p w14:paraId="5977380F" w14:textId="77777777" w:rsidR="006578ED" w:rsidRDefault="00A1618E">
            <w:pPr>
              <w:pStyle w:val="P68B1DB1-Normal13"/>
              <w:spacing w:after="0" w:line="240" w:lineRule="auto"/>
              <w:jc w:val="center"/>
              <w:rPr>
                <w:rFonts w:eastAsia="Times New Roman" w:cs="Times New Roman"/>
                <w:noProof/>
              </w:rPr>
            </w:pPr>
            <w:r>
              <w:rPr>
                <w:noProof/>
              </w:rPr>
              <w:t>—</w:t>
            </w:r>
          </w:p>
        </w:tc>
        <w:tc>
          <w:tcPr>
            <w:tcW w:w="811" w:type="dxa"/>
            <w:tcBorders>
              <w:bottom w:val="single" w:sz="4" w:space="0" w:color="auto"/>
            </w:tcBorders>
            <w:shd w:val="clear" w:color="auto" w:fill="C6EFCE"/>
            <w:noWrap/>
          </w:tcPr>
          <w:p w14:paraId="4DAE83F2"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984" w:type="dxa"/>
            <w:tcBorders>
              <w:bottom w:val="single" w:sz="4" w:space="0" w:color="auto"/>
            </w:tcBorders>
            <w:shd w:val="clear" w:color="auto" w:fill="C6EFCE"/>
            <w:noWrap/>
          </w:tcPr>
          <w:p w14:paraId="3B08B55A" w14:textId="77777777" w:rsidR="006578ED" w:rsidRDefault="00A1618E">
            <w:pPr>
              <w:pStyle w:val="P68B1DB1-Normal13"/>
              <w:spacing w:after="0" w:line="240" w:lineRule="auto"/>
              <w:jc w:val="right"/>
              <w:rPr>
                <w:rFonts w:eastAsia="Times New Roman" w:cs="Times New Roman"/>
                <w:noProof/>
              </w:rPr>
            </w:pPr>
            <w:r>
              <w:rPr>
                <w:noProof/>
              </w:rPr>
              <w:t>0</w:t>
            </w:r>
          </w:p>
        </w:tc>
        <w:tc>
          <w:tcPr>
            <w:tcW w:w="1040" w:type="dxa"/>
            <w:tcBorders>
              <w:bottom w:val="single" w:sz="4" w:space="0" w:color="auto"/>
            </w:tcBorders>
            <w:shd w:val="clear" w:color="auto" w:fill="C6EFCE"/>
            <w:noWrap/>
          </w:tcPr>
          <w:p w14:paraId="582220C0" w14:textId="77777777" w:rsidR="006578ED" w:rsidRDefault="00A1618E">
            <w:pPr>
              <w:pStyle w:val="P68B1DB1-Normal13"/>
              <w:spacing w:after="0" w:line="240" w:lineRule="auto"/>
              <w:jc w:val="center"/>
              <w:rPr>
                <w:rFonts w:eastAsia="Times New Roman" w:cs="Times New Roman"/>
                <w:noProof/>
              </w:rPr>
            </w:pPr>
            <w:r>
              <w:rPr>
                <w:noProof/>
              </w:rPr>
              <w:t>3 700</w:t>
            </w:r>
          </w:p>
        </w:tc>
        <w:tc>
          <w:tcPr>
            <w:tcW w:w="365" w:type="dxa"/>
            <w:tcBorders>
              <w:bottom w:val="single" w:sz="4" w:space="0" w:color="auto"/>
            </w:tcBorders>
            <w:shd w:val="clear" w:color="auto" w:fill="C6EFCE"/>
            <w:noWrap/>
          </w:tcPr>
          <w:p w14:paraId="304F4489" w14:textId="20085725" w:rsidR="006578ED" w:rsidRDefault="00EC188C">
            <w:pPr>
              <w:pStyle w:val="P68B1DB1-Normal13"/>
              <w:spacing w:after="0" w:line="240" w:lineRule="auto"/>
              <w:jc w:val="center"/>
              <w:rPr>
                <w:rFonts w:eastAsia="Times New Roman" w:cs="Times New Roman"/>
                <w:noProof/>
              </w:rPr>
            </w:pPr>
            <w:r>
              <w:rPr>
                <w:noProof/>
              </w:rPr>
              <w:t>KW. 4</w:t>
            </w:r>
          </w:p>
        </w:tc>
        <w:tc>
          <w:tcPr>
            <w:tcW w:w="627" w:type="dxa"/>
            <w:tcBorders>
              <w:bottom w:val="single" w:sz="4" w:space="0" w:color="auto"/>
            </w:tcBorders>
            <w:shd w:val="clear" w:color="auto" w:fill="C6EFCE"/>
            <w:noWrap/>
          </w:tcPr>
          <w:p w14:paraId="6C050CFD" w14:textId="77777777" w:rsidR="006578ED" w:rsidRDefault="00A1618E">
            <w:pPr>
              <w:pStyle w:val="P68B1DB1-Normal13"/>
              <w:spacing w:after="0" w:line="240" w:lineRule="auto"/>
              <w:jc w:val="center"/>
              <w:rPr>
                <w:rFonts w:eastAsia="Times New Roman" w:cs="Times New Roman"/>
                <w:noProof/>
              </w:rPr>
            </w:pPr>
            <w:r>
              <w:rPr>
                <w:noProof/>
              </w:rPr>
              <w:t>2024</w:t>
            </w:r>
          </w:p>
        </w:tc>
        <w:tc>
          <w:tcPr>
            <w:tcW w:w="4820" w:type="dxa"/>
            <w:tcBorders>
              <w:bottom w:val="single" w:sz="4" w:space="0" w:color="auto"/>
            </w:tcBorders>
            <w:shd w:val="clear" w:color="auto" w:fill="C6EFCE"/>
            <w:noWrap/>
          </w:tcPr>
          <w:p w14:paraId="18D04238" w14:textId="2C848417" w:rsidR="006578ED" w:rsidRDefault="00A1618E">
            <w:pPr>
              <w:pStyle w:val="P68B1DB1-Normal13"/>
              <w:spacing w:after="0" w:line="240" w:lineRule="auto"/>
              <w:rPr>
                <w:rFonts w:eastAsia="Times New Roman" w:cs="Times New Roman"/>
                <w:noProof/>
              </w:rPr>
            </w:pPr>
            <w:r>
              <w:rPr>
                <w:noProof/>
              </w:rPr>
              <w:t xml:space="preserve">Co najmniej 3700 cykli szkolenia zawodowego (średnich i wysokich) przekształconych w ofertę dwujęzyczną </w:t>
            </w:r>
          </w:p>
        </w:tc>
      </w:tr>
      <w:tr w:rsidR="006578ED" w14:paraId="79E823D9" w14:textId="77777777">
        <w:trPr>
          <w:trHeight w:val="309"/>
        </w:trPr>
        <w:tc>
          <w:tcPr>
            <w:tcW w:w="851" w:type="dxa"/>
            <w:tcBorders>
              <w:bottom w:val="single" w:sz="4" w:space="0" w:color="auto"/>
            </w:tcBorders>
            <w:shd w:val="clear" w:color="auto" w:fill="C6EFCE"/>
            <w:noWrap/>
          </w:tcPr>
          <w:p w14:paraId="0F776034" w14:textId="77777777" w:rsidR="006578ED" w:rsidRDefault="00A1618E">
            <w:pPr>
              <w:pStyle w:val="P68B1DB1-Normal13"/>
              <w:spacing w:after="0" w:line="240" w:lineRule="auto"/>
              <w:jc w:val="center"/>
              <w:rPr>
                <w:rFonts w:eastAsia="Times New Roman" w:cs="Times New Roman"/>
                <w:noProof/>
              </w:rPr>
            </w:pPr>
            <w:r>
              <w:rPr>
                <w:noProof/>
              </w:rPr>
              <w:t>302</w:t>
            </w:r>
          </w:p>
        </w:tc>
        <w:tc>
          <w:tcPr>
            <w:tcW w:w="851" w:type="dxa"/>
            <w:tcBorders>
              <w:bottom w:val="single" w:sz="4" w:space="0" w:color="auto"/>
            </w:tcBorders>
            <w:shd w:val="clear" w:color="auto" w:fill="C6EFCE"/>
            <w:noWrap/>
          </w:tcPr>
          <w:p w14:paraId="71B26183" w14:textId="77777777" w:rsidR="006578ED" w:rsidRDefault="00A1618E">
            <w:pPr>
              <w:pStyle w:val="P68B1DB1-Normal13"/>
              <w:spacing w:after="0" w:line="240" w:lineRule="auto"/>
              <w:jc w:val="center"/>
              <w:rPr>
                <w:rFonts w:eastAsia="Times New Roman" w:cs="Times New Roman"/>
                <w:noProof/>
              </w:rPr>
            </w:pPr>
            <w:r>
              <w:rPr>
                <w:noProof/>
              </w:rPr>
              <w:t>C20.I3</w:t>
            </w:r>
          </w:p>
        </w:tc>
        <w:tc>
          <w:tcPr>
            <w:tcW w:w="858" w:type="dxa"/>
            <w:tcBorders>
              <w:bottom w:val="single" w:sz="4" w:space="0" w:color="auto"/>
            </w:tcBorders>
            <w:shd w:val="clear" w:color="auto" w:fill="C6EFCE"/>
            <w:noWrap/>
          </w:tcPr>
          <w:p w14:paraId="6353C863" w14:textId="45685B43" w:rsidR="006578ED" w:rsidRDefault="00AF6B91">
            <w:pPr>
              <w:pStyle w:val="P68B1DB1-Normal13"/>
              <w:spacing w:after="0" w:line="240" w:lineRule="auto"/>
              <w:jc w:val="center"/>
              <w:rPr>
                <w:rFonts w:eastAsia="Times New Roman" w:cs="Times New Roman"/>
                <w:noProof/>
              </w:rPr>
            </w:pPr>
            <w:r>
              <w:rPr>
                <w:noProof/>
              </w:rPr>
              <w:t>Cel</w:t>
            </w:r>
          </w:p>
        </w:tc>
        <w:tc>
          <w:tcPr>
            <w:tcW w:w="2685" w:type="dxa"/>
            <w:tcBorders>
              <w:bottom w:val="single" w:sz="4" w:space="0" w:color="auto"/>
            </w:tcBorders>
            <w:shd w:val="clear" w:color="auto" w:fill="C6EFCE"/>
            <w:noWrap/>
          </w:tcPr>
          <w:p w14:paraId="203B6A17" w14:textId="63F5036A" w:rsidR="006578ED" w:rsidRDefault="00A1618E">
            <w:pPr>
              <w:pStyle w:val="P68B1DB1-Normal13"/>
              <w:spacing w:after="0" w:line="240" w:lineRule="auto"/>
              <w:rPr>
                <w:rFonts w:eastAsia="Times New Roman" w:cs="Times New Roman"/>
                <w:noProof/>
              </w:rPr>
            </w:pPr>
            <w:r>
              <w:rPr>
                <w:noProof/>
              </w:rPr>
              <w:t>Nowe miejsca kształcenia i szkolenia zawodowego w porównaniu z końcem 20</w:t>
            </w:r>
            <w:r w:rsidRPr="00A1618E">
              <w:rPr>
                <w:noProof/>
                <w:lang w:val="pl-PL"/>
              </w:rPr>
              <w:t>20 r.</w:t>
            </w:r>
          </w:p>
        </w:tc>
        <w:tc>
          <w:tcPr>
            <w:tcW w:w="1418" w:type="dxa"/>
            <w:tcBorders>
              <w:bottom w:val="single" w:sz="4" w:space="0" w:color="auto"/>
            </w:tcBorders>
            <w:shd w:val="clear" w:color="auto" w:fill="C6EFCE"/>
            <w:noWrap/>
          </w:tcPr>
          <w:p w14:paraId="2261ABF4" w14:textId="77777777" w:rsidR="006578ED" w:rsidRDefault="00A1618E">
            <w:pPr>
              <w:pStyle w:val="P68B1DB1-Normal13"/>
              <w:spacing w:after="0" w:line="240" w:lineRule="auto"/>
              <w:jc w:val="center"/>
              <w:rPr>
                <w:rFonts w:eastAsia="Times New Roman" w:cs="Times New Roman"/>
                <w:noProof/>
              </w:rPr>
            </w:pPr>
            <w:r>
              <w:rPr>
                <w:noProof/>
              </w:rPr>
              <w:t>—</w:t>
            </w:r>
          </w:p>
        </w:tc>
        <w:tc>
          <w:tcPr>
            <w:tcW w:w="811" w:type="dxa"/>
            <w:tcBorders>
              <w:bottom w:val="single" w:sz="4" w:space="0" w:color="auto"/>
            </w:tcBorders>
            <w:shd w:val="clear" w:color="auto" w:fill="C6EFCE"/>
            <w:noWrap/>
          </w:tcPr>
          <w:p w14:paraId="180E80F1"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984" w:type="dxa"/>
            <w:tcBorders>
              <w:bottom w:val="single" w:sz="4" w:space="0" w:color="auto"/>
            </w:tcBorders>
            <w:shd w:val="clear" w:color="auto" w:fill="C6EFCE"/>
            <w:noWrap/>
          </w:tcPr>
          <w:p w14:paraId="7F755418" w14:textId="77777777" w:rsidR="006578ED" w:rsidRDefault="00A1618E">
            <w:pPr>
              <w:pStyle w:val="P68B1DB1-Normal13"/>
              <w:spacing w:after="0" w:line="240" w:lineRule="auto"/>
              <w:jc w:val="center"/>
              <w:rPr>
                <w:rFonts w:eastAsia="Times New Roman" w:cs="Times New Roman"/>
                <w:noProof/>
              </w:rPr>
            </w:pPr>
            <w:r>
              <w:rPr>
                <w:noProof/>
              </w:rPr>
              <w:t>934 204</w:t>
            </w:r>
          </w:p>
        </w:tc>
        <w:tc>
          <w:tcPr>
            <w:tcW w:w="1040" w:type="dxa"/>
            <w:tcBorders>
              <w:bottom w:val="single" w:sz="4" w:space="0" w:color="auto"/>
            </w:tcBorders>
            <w:shd w:val="clear" w:color="auto" w:fill="C6EFCE"/>
            <w:noWrap/>
          </w:tcPr>
          <w:p w14:paraId="532825E9" w14:textId="5DB74357" w:rsidR="006578ED" w:rsidRDefault="00A1618E">
            <w:pPr>
              <w:pStyle w:val="P68B1DB1-Normal13"/>
              <w:spacing w:after="0" w:line="240" w:lineRule="auto"/>
              <w:jc w:val="center"/>
              <w:rPr>
                <w:rFonts w:eastAsia="Times New Roman" w:cs="Times New Roman"/>
                <w:noProof/>
              </w:rPr>
            </w:pPr>
            <w:r>
              <w:rPr>
                <w:noProof/>
              </w:rPr>
              <w:t>1 181 656</w:t>
            </w:r>
          </w:p>
        </w:tc>
        <w:tc>
          <w:tcPr>
            <w:tcW w:w="365" w:type="dxa"/>
            <w:tcBorders>
              <w:bottom w:val="single" w:sz="4" w:space="0" w:color="auto"/>
            </w:tcBorders>
            <w:shd w:val="clear" w:color="auto" w:fill="C6EFCE"/>
            <w:noWrap/>
          </w:tcPr>
          <w:p w14:paraId="46434BF6" w14:textId="5E6CD6CD" w:rsidR="006578ED" w:rsidRDefault="00EC188C">
            <w:pPr>
              <w:pStyle w:val="P68B1DB1-Normal13"/>
              <w:spacing w:after="0" w:line="240" w:lineRule="auto"/>
              <w:jc w:val="center"/>
              <w:rPr>
                <w:rFonts w:eastAsia="Times New Roman" w:cs="Times New Roman"/>
                <w:noProof/>
              </w:rPr>
            </w:pPr>
            <w:r>
              <w:rPr>
                <w:noProof/>
              </w:rPr>
              <w:t>KW. 4</w:t>
            </w:r>
          </w:p>
        </w:tc>
        <w:tc>
          <w:tcPr>
            <w:tcW w:w="627" w:type="dxa"/>
            <w:tcBorders>
              <w:bottom w:val="single" w:sz="4" w:space="0" w:color="auto"/>
            </w:tcBorders>
            <w:shd w:val="clear" w:color="auto" w:fill="C6EFCE"/>
            <w:noWrap/>
          </w:tcPr>
          <w:p w14:paraId="1EC600EC" w14:textId="5A9F4250" w:rsidR="006578ED" w:rsidRDefault="00A1618E">
            <w:pPr>
              <w:pStyle w:val="P68B1DB1-Normal13"/>
              <w:spacing w:after="0" w:line="240" w:lineRule="auto"/>
              <w:jc w:val="center"/>
              <w:rPr>
                <w:rFonts w:eastAsia="Times New Roman" w:cs="Times New Roman"/>
                <w:noProof/>
              </w:rPr>
            </w:pPr>
            <w:r>
              <w:rPr>
                <w:noProof/>
              </w:rPr>
              <w:t>2025</w:t>
            </w:r>
          </w:p>
        </w:tc>
        <w:tc>
          <w:tcPr>
            <w:tcW w:w="4820" w:type="dxa"/>
            <w:tcBorders>
              <w:bottom w:val="single" w:sz="4" w:space="0" w:color="auto"/>
            </w:tcBorders>
            <w:shd w:val="clear" w:color="auto" w:fill="C6EFCE"/>
            <w:noWrap/>
          </w:tcPr>
          <w:p w14:paraId="2D1E2E6F" w14:textId="08002EB9" w:rsidR="006578ED" w:rsidRDefault="00A1618E">
            <w:pPr>
              <w:pStyle w:val="P68B1DB1-Normal13"/>
              <w:spacing w:after="0" w:line="240" w:lineRule="auto"/>
              <w:rPr>
                <w:rFonts w:eastAsia="Times New Roman" w:cs="Times New Roman"/>
                <w:noProof/>
              </w:rPr>
            </w:pPr>
            <w:r>
              <w:rPr>
                <w:noProof/>
              </w:rPr>
              <w:t>Co najmniej 247452 nowych miejsc</w:t>
            </w:r>
            <w:r>
              <w:rPr>
                <w:noProof/>
                <w:shd w:val="clear" w:color="auto" w:fill="E6E6E6"/>
              </w:rPr>
              <w:t xml:space="preserve"> </w:t>
            </w:r>
            <w:r>
              <w:rPr>
                <w:noProof/>
              </w:rPr>
              <w:t>kształcenia i szkolenia zawodowego w porównaniu z końcem 20</w:t>
            </w:r>
            <w:r w:rsidRPr="00A1618E">
              <w:rPr>
                <w:noProof/>
                <w:lang w:val="pl-PL"/>
              </w:rPr>
              <w:t>20 r.</w:t>
            </w:r>
            <w:r>
              <w:rPr>
                <w:noProof/>
              </w:rPr>
              <w:t xml:space="preserve"> Data poziomu bazowego: 31 grudnia 20</w:t>
            </w:r>
            <w:r w:rsidRPr="00A1618E">
              <w:rPr>
                <w:noProof/>
                <w:lang w:val="pl-PL"/>
              </w:rPr>
              <w:t>20 r.</w:t>
            </w:r>
          </w:p>
        </w:tc>
      </w:tr>
    </w:tbl>
    <w:p w14:paraId="7083BF8A" w14:textId="77777777" w:rsidR="006578ED" w:rsidRDefault="006578ED">
      <w:pPr>
        <w:pStyle w:val="Text1"/>
        <w:ind w:left="0"/>
        <w:rPr>
          <w:rFonts w:ascii="Times New Roman" w:hAnsi="Times New Roman" w:cs="Times New Roman"/>
          <w:noProof/>
        </w:rPr>
        <w:sectPr w:rsidR="006578ED" w:rsidSect="00C94F66">
          <w:headerReference w:type="even" r:id="rId405"/>
          <w:headerReference w:type="default" r:id="rId406"/>
          <w:footerReference w:type="even" r:id="rId407"/>
          <w:footerReference w:type="default" r:id="rId408"/>
          <w:headerReference w:type="first" r:id="rId409"/>
          <w:footerReference w:type="first" r:id="rId410"/>
          <w:pgSz w:w="16839" w:h="11907" w:orient="landscape"/>
          <w:pgMar w:top="1417" w:right="1134" w:bottom="1417" w:left="1134" w:header="709" w:footer="709" w:gutter="0"/>
          <w:cols w:space="720"/>
          <w:docGrid w:linePitch="360"/>
        </w:sectPr>
      </w:pPr>
    </w:p>
    <w:p w14:paraId="24C8EC4C" w14:textId="77777777" w:rsidR="006578ED" w:rsidRDefault="006578ED">
      <w:pPr>
        <w:pStyle w:val="Text1"/>
        <w:ind w:left="0"/>
        <w:rPr>
          <w:rFonts w:ascii="Times New Roman" w:hAnsi="Times New Roman" w:cs="Times New Roman"/>
          <w:noProof/>
        </w:rPr>
      </w:pPr>
    </w:p>
    <w:p w14:paraId="4232B598" w14:textId="08559802" w:rsidR="006578ED" w:rsidRDefault="00A1618E">
      <w:pPr>
        <w:pStyle w:val="P68B1DB1-Heading12"/>
        <w:ind w:left="426" w:firstLine="294"/>
        <w:rPr>
          <w:rFonts w:cs="Times New Roman"/>
          <w:noProof/>
        </w:rPr>
      </w:pPr>
      <w:r>
        <w:rPr>
          <w:noProof/>
        </w:rPr>
        <w:t>U. KOMPONENT 21: Modernizacja i cyfryzacja edukacji, w tym wczesna edukacja 0-3</w:t>
      </w:r>
    </w:p>
    <w:p w14:paraId="2E6D50AD" w14:textId="1E24A8CB" w:rsidR="006578ED" w:rsidRDefault="00A1618E">
      <w:pPr>
        <w:pStyle w:val="P68B1DB1-Normal4"/>
        <w:spacing w:before="120" w:after="120" w:line="240" w:lineRule="auto"/>
        <w:ind w:left="142"/>
        <w:jc w:val="both"/>
        <w:rPr>
          <w:rFonts w:cs="Times New Roman"/>
          <w:noProof/>
        </w:rPr>
      </w:pPr>
      <w:r>
        <w:rPr>
          <w:noProof/>
        </w:rPr>
        <w:t xml:space="preserve">Ten element hiszpańskiego planu odbudowy i zwiększania odporności koncentruje się na modernizacji systemu edukacji i poprawie infrastruktury edukacyjnej. Jego celem jest bardziej elastyczny i sprzyjający włączeniu społecznemu system lepiej dostosowany do potrzeb każdego ucznia oraz wprowadzenie nowych technik nauczania i uczenia się, w tym cyfrowych. Główne cele na każdym etapie kształcenia to: </w:t>
      </w:r>
    </w:p>
    <w:p w14:paraId="32BCC920" w14:textId="7FC7109B" w:rsidR="006578ED" w:rsidRDefault="00A1618E">
      <w:pPr>
        <w:pStyle w:val="P68B1DB1-Normal4"/>
        <w:numPr>
          <w:ilvl w:val="0"/>
          <w:numId w:val="138"/>
        </w:numPr>
        <w:spacing w:before="120" w:after="160" w:line="259" w:lineRule="auto"/>
        <w:contextualSpacing/>
        <w:jc w:val="both"/>
        <w:rPr>
          <w:rFonts w:cs="Times New Roman"/>
          <w:noProof/>
        </w:rPr>
      </w:pPr>
      <w:r>
        <w:rPr>
          <w:noProof/>
          <w:u w:val="single"/>
        </w:rPr>
        <w:t>Wczesna edukacja i opieka nad dzieckiem.</w:t>
      </w:r>
      <w:r>
        <w:rPr>
          <w:noProof/>
        </w:rPr>
        <w:t xml:space="preserve"> Komponent ten ma na celu stopniowe zwiększanie liczby osób uczęszczających do wczesnej edukacji i opieki nad dzieckiem poprzez priorytetowe traktowanie zapewniania nowych miejsc publicznych dla dzieci na obszarach bardziej zagrożonych ubóstwem lub wykluczeniem społecznym oraz na obszarach wiejskich. Nacisk kładzie się na dzieci w wieku </w:t>
      </w:r>
      <w:r w:rsidRPr="00A1618E">
        <w:rPr>
          <w:noProof/>
          <w:lang w:val="pl-PL"/>
        </w:rPr>
        <w:t>od 0</w:t>
      </w:r>
      <w:r>
        <w:rPr>
          <w:noProof/>
        </w:rPr>
        <w:t xml:space="preserve"> </w:t>
      </w:r>
      <w:r w:rsidRPr="00A1618E">
        <w:rPr>
          <w:noProof/>
          <w:lang w:val="pl-PL"/>
        </w:rPr>
        <w:t>do 3</w:t>
      </w:r>
      <w:r>
        <w:rPr>
          <w:noProof/>
        </w:rPr>
        <w:t xml:space="preserve"> lat, przy czym należy zwrócić uwagę zarówno na dostęp, jak i przystępność cenową, w szczególności na integrację kobiet na rynku pracy i stworzenie podstaw do poprawy wyników kształcenia i zapobiegania wczesnemu kończeniu nauki na późniejszych etapach. </w:t>
      </w:r>
    </w:p>
    <w:p w14:paraId="0F7CA705" w14:textId="763DFF55" w:rsidR="006578ED" w:rsidRDefault="00A1618E">
      <w:pPr>
        <w:pStyle w:val="P68B1DB1-Normal4"/>
        <w:numPr>
          <w:ilvl w:val="0"/>
          <w:numId w:val="138"/>
        </w:numPr>
        <w:spacing w:before="120" w:after="160" w:line="259" w:lineRule="auto"/>
        <w:contextualSpacing/>
        <w:jc w:val="both"/>
        <w:rPr>
          <w:rFonts w:cs="Times New Roman"/>
          <w:noProof/>
        </w:rPr>
      </w:pPr>
      <w:r>
        <w:rPr>
          <w:noProof/>
          <w:u w:val="single"/>
        </w:rPr>
        <w:t>Szkolnictwo podstawowe i średnie.</w:t>
      </w:r>
      <w:r>
        <w:rPr>
          <w:noProof/>
        </w:rPr>
        <w:t xml:space="preserve"> Komponent ten ma na celu poprawę wyników kształcenia poprzez ograniczenie zjawiska przedwczesnego kończenia nauki i wysokiego wskaźnika powtarzania nauki, poprzez dodatkowe wsparcie dla uczniów osiągających słabe wyniki oraz opracowanie nowego programu nauczania w zakresie kompetencji kluczowych (w tym cyfrowych) w ramach obowiązkowego kształcenia podstawowego i średniego oraz matury. </w:t>
      </w:r>
    </w:p>
    <w:p w14:paraId="3C202EDA" w14:textId="2F947259" w:rsidR="006578ED" w:rsidRDefault="00A1618E">
      <w:pPr>
        <w:pStyle w:val="P68B1DB1-Normal4"/>
        <w:numPr>
          <w:ilvl w:val="0"/>
          <w:numId w:val="138"/>
        </w:numPr>
        <w:spacing w:before="120" w:after="160" w:line="259" w:lineRule="auto"/>
        <w:contextualSpacing/>
        <w:jc w:val="both"/>
        <w:rPr>
          <w:rFonts w:cs="Times New Roman"/>
          <w:noProof/>
        </w:rPr>
      </w:pPr>
      <w:r>
        <w:rPr>
          <w:noProof/>
          <w:u w:val="single"/>
        </w:rPr>
        <w:t>System uniwersytecki</w:t>
      </w:r>
      <w:r>
        <w:rPr>
          <w:noProof/>
        </w:rPr>
        <w:t>. Komponent ten ma na celu modernizację systemu szkolnictwa wyższego poprzez dostosowanie organizacji kursów uniwersyteckich do obecnych potrzeb społecznych, poprawę dopasowania szkolnictwa wyższego do potrzeb rynku pracy oraz wspieranie transformacji technologicznej. Jego celem jest również zwiększenie dostępu do szkolnictwa wyższego i poprawa jego przystępności cenowej.</w:t>
      </w:r>
    </w:p>
    <w:p w14:paraId="39B23856" w14:textId="3CC4C713" w:rsidR="006578ED" w:rsidRDefault="00A1618E">
      <w:pPr>
        <w:pStyle w:val="P68B1DB1-Normal4"/>
        <w:spacing w:before="120" w:after="120" w:line="240" w:lineRule="auto"/>
        <w:jc w:val="both"/>
        <w:rPr>
          <w:rFonts w:cs="Times New Roman"/>
          <w:noProof/>
        </w:rPr>
      </w:pPr>
      <w:r>
        <w:rPr>
          <w:noProof/>
        </w:rPr>
        <w:t xml:space="preserve">Komponent ten przyczynia się do realizacji zaleceń dla poszczególnych krajów dotyczących ograniczenia zjawiska przedwczesnego kończenia nauki i poprawy wyników kształcenia, z uwzględnieniem różnic regionalnych (zalecenia dla poszczególnych krajów </w:t>
      </w:r>
      <w:r w:rsidRPr="00A1618E">
        <w:rPr>
          <w:noProof/>
          <w:lang w:val="pl-PL"/>
        </w:rPr>
        <w:t>nr 2</w:t>
      </w:r>
      <w:r>
        <w:rPr>
          <w:noProof/>
        </w:rPr>
        <w:t xml:space="preserve"> z 20</w:t>
      </w:r>
      <w:r w:rsidRPr="00A1618E">
        <w:rPr>
          <w:noProof/>
          <w:lang w:val="pl-PL"/>
        </w:rPr>
        <w:t>19 r.</w:t>
      </w:r>
      <w:r>
        <w:rPr>
          <w:noProof/>
        </w:rPr>
        <w:t xml:space="preserve">) oraz poprawy dostępu do cyfrowego uczenia się (zalecenie dla poszczególnych krajów </w:t>
      </w:r>
      <w:r w:rsidRPr="00A1618E">
        <w:rPr>
          <w:noProof/>
          <w:lang w:val="pl-PL"/>
        </w:rPr>
        <w:t>nr 2</w:t>
      </w:r>
      <w:r>
        <w:rPr>
          <w:noProof/>
        </w:rPr>
        <w:t xml:space="preserve"> z 20</w:t>
      </w:r>
      <w:r w:rsidRPr="00A1618E">
        <w:rPr>
          <w:noProof/>
          <w:lang w:val="pl-PL"/>
        </w:rPr>
        <w:t>20 r.</w:t>
      </w:r>
      <w:r>
        <w:rPr>
          <w:noProof/>
        </w:rPr>
        <w:t xml:space="preserve">). Przyczynia się również do realizacji wcześniejszych zaleceń dla poszczególnych krajów dotyczących lepszego wsparcia dla uczniów i nauczycieli, a także poprawy wsparcia dla rodzin (zalecenia dla poszczególnych krajów </w:t>
      </w:r>
      <w:r w:rsidRPr="00A1618E">
        <w:rPr>
          <w:noProof/>
          <w:lang w:val="pl-PL"/>
        </w:rPr>
        <w:t>nr 2</w:t>
      </w:r>
      <w:r>
        <w:rPr>
          <w:noProof/>
        </w:rPr>
        <w:t xml:space="preserve"> z 20</w:t>
      </w:r>
      <w:r w:rsidRPr="00A1618E">
        <w:rPr>
          <w:noProof/>
          <w:lang w:val="pl-PL"/>
        </w:rPr>
        <w:t>19 r.</w:t>
      </w:r>
      <w:r>
        <w:rPr>
          <w:noProof/>
        </w:rPr>
        <w:t xml:space="preserve">), w tym dostępu do wysokiej jakości opieki nad dziećmi. </w:t>
      </w:r>
    </w:p>
    <w:p w14:paraId="05281E9A" w14:textId="3C3CD084"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6F2AA7E0" w14:textId="3646A6A9" w:rsidR="006578ED" w:rsidRDefault="00A1618E">
      <w:pPr>
        <w:pStyle w:val="P68B1DB1-Normal5"/>
        <w:spacing w:before="120" w:after="120" w:line="240" w:lineRule="auto"/>
        <w:ind w:left="709"/>
        <w:jc w:val="both"/>
        <w:rPr>
          <w:rFonts w:cs="Times New Roman"/>
          <w:i/>
          <w:noProof/>
        </w:rPr>
      </w:pPr>
      <w:r>
        <w:rPr>
          <w:noProof/>
        </w:rPr>
        <w:t xml:space="preserve">U.1. </w:t>
      </w:r>
      <w:r>
        <w:rPr>
          <w:noProof/>
        </w:rPr>
        <w:tab/>
        <w:t>Opis reform i inwestycji, które mają być finansowane z bezzwrotnego wsparcia finansowego</w:t>
      </w:r>
    </w:p>
    <w:p w14:paraId="5277237A" w14:textId="5E01A4E9" w:rsidR="006578ED" w:rsidRPr="00A1618E" w:rsidRDefault="00A1618E">
      <w:pPr>
        <w:pStyle w:val="P68B1DB1-Normal23"/>
        <w:spacing w:before="120" w:after="120" w:line="240" w:lineRule="auto"/>
        <w:jc w:val="both"/>
        <w:rPr>
          <w:rFonts w:cs="Times New Roman"/>
          <w:noProof/>
          <w:lang w:val="pl-PL"/>
        </w:rPr>
      </w:pPr>
      <w:r>
        <w:rPr>
          <w:noProof/>
        </w:rPr>
        <w:t>Reforma 1 (C21.R1) – Nowa ustawa organiczna o edukacj</w:t>
      </w:r>
      <w:r w:rsidRPr="00A1618E">
        <w:rPr>
          <w:noProof/>
          <w:lang w:val="pl-PL"/>
        </w:rPr>
        <w:t xml:space="preserve">i </w:t>
      </w:r>
    </w:p>
    <w:p w14:paraId="3F98D6C3" w14:textId="5206335B" w:rsidR="006578ED" w:rsidRDefault="00A1618E">
      <w:pPr>
        <w:pStyle w:val="P68B1DB1-Normal4"/>
        <w:spacing w:before="120" w:after="120" w:line="240" w:lineRule="auto"/>
        <w:jc w:val="both"/>
        <w:rPr>
          <w:rFonts w:cs="Times New Roman"/>
          <w:noProof/>
        </w:rPr>
      </w:pPr>
      <w:r>
        <w:rPr>
          <w:noProof/>
          <w:shd w:val="clear" w:color="auto" w:fill="FFFFFF"/>
        </w:rPr>
        <w:t xml:space="preserve">Reforma ta pociąga za sobą przyjęcie nowej ustawy o edukacji obejmującej </w:t>
      </w:r>
      <w:r>
        <w:rPr>
          <w:noProof/>
        </w:rPr>
        <w:t>wczesną edukację, obowiązkowe kształcenie podstawowe i średnie oraz maturę. Ustanawia ona podstawy do zwiększenia możliwości kształcenia i szkolenia dla całej populacji, w tym poprzez poprawę wyników kształcenia i wczesne wykrywanie trudności oraz wzmocnienie autonomii szkół. Koncentruje się ona na ograniczaniu segregacji ze względu na pochodzenie uczniów i poprawie włączającego potencjału systemu. Ponadto celem jest wzmocnienie kompetencji cyfrowych na wszystkich poziomach kształcenia, a tym samym reagowanie na coraz bardziej cyfrową gospodarkę</w:t>
      </w:r>
      <w:r w:rsidRPr="00A1618E">
        <w:rPr>
          <w:noProof/>
          <w:lang w:val="pl-PL"/>
        </w:rPr>
        <w:t>. W</w:t>
      </w:r>
      <w:r>
        <w:rPr>
          <w:noProof/>
          <w:lang w:val="pl-PL"/>
        </w:rPr>
        <w:t> </w:t>
      </w:r>
      <w:r>
        <w:rPr>
          <w:noProof/>
        </w:rPr>
        <w:t>dniu 29 grudnia 20</w:t>
      </w:r>
      <w:r w:rsidRPr="00A1618E">
        <w:rPr>
          <w:noProof/>
          <w:lang w:val="pl-PL"/>
        </w:rPr>
        <w:t>20 r.</w:t>
      </w:r>
      <w:r>
        <w:rPr>
          <w:noProof/>
        </w:rPr>
        <w:t xml:space="preserve"> przyjęto nową ustawę (LOMLOE).</w:t>
      </w:r>
    </w:p>
    <w:p w14:paraId="6573CFB4" w14:textId="4DAC6AC7" w:rsidR="006578ED" w:rsidRDefault="00A1618E">
      <w:pPr>
        <w:pStyle w:val="P68B1DB1-Normal4"/>
        <w:spacing w:before="120" w:after="120" w:line="240" w:lineRule="auto"/>
        <w:jc w:val="both"/>
        <w:rPr>
          <w:rFonts w:cs="Times New Roman"/>
          <w:noProof/>
        </w:rPr>
      </w:pPr>
      <w:r>
        <w:rPr>
          <w:noProof/>
        </w:rPr>
        <w:t xml:space="preserve">Rozwój regulacyjny ustawy o edukacji ma zostać wdrożony poprzez: </w:t>
      </w:r>
    </w:p>
    <w:p w14:paraId="26F41691" w14:textId="77777777" w:rsidR="006578ED" w:rsidRDefault="00A1618E">
      <w:pPr>
        <w:pStyle w:val="P68B1DB1-Normal4"/>
        <w:numPr>
          <w:ilvl w:val="0"/>
          <w:numId w:val="139"/>
        </w:numPr>
        <w:spacing w:before="120" w:after="160" w:line="259" w:lineRule="auto"/>
        <w:contextualSpacing/>
        <w:jc w:val="both"/>
        <w:rPr>
          <w:rFonts w:cs="Times New Roman"/>
          <w:noProof/>
        </w:rPr>
      </w:pPr>
      <w:r>
        <w:rPr>
          <w:noProof/>
        </w:rPr>
        <w:t xml:space="preserve">uregulowanie nowego programu nauczania opartego na kompetencjach; </w:t>
      </w:r>
    </w:p>
    <w:p w14:paraId="7D127AE9" w14:textId="1A93BCF7" w:rsidR="006578ED" w:rsidRDefault="00A1618E">
      <w:pPr>
        <w:pStyle w:val="P68B1DB1-Normal4"/>
        <w:numPr>
          <w:ilvl w:val="0"/>
          <w:numId w:val="139"/>
        </w:numPr>
        <w:spacing w:before="120" w:after="160" w:line="259" w:lineRule="auto"/>
        <w:contextualSpacing/>
        <w:jc w:val="both"/>
        <w:rPr>
          <w:rFonts w:cs="Times New Roman"/>
          <w:noProof/>
        </w:rPr>
      </w:pPr>
      <w:r>
        <w:rPr>
          <w:noProof/>
        </w:rPr>
        <w:t xml:space="preserve">oceny, w szczególności ogólnej oceny systemu edukacji oraz ocen diagnostycznych; </w:t>
      </w:r>
    </w:p>
    <w:p w14:paraId="49022C5D" w14:textId="77777777" w:rsidR="006578ED" w:rsidRDefault="00A1618E">
      <w:pPr>
        <w:pStyle w:val="P68B1DB1-Normal4"/>
        <w:numPr>
          <w:ilvl w:val="0"/>
          <w:numId w:val="139"/>
        </w:numPr>
        <w:spacing w:before="120" w:after="160" w:line="259" w:lineRule="auto"/>
        <w:contextualSpacing/>
        <w:jc w:val="both"/>
        <w:rPr>
          <w:rFonts w:cs="Times New Roman"/>
          <w:noProof/>
        </w:rPr>
      </w:pPr>
      <w:r>
        <w:rPr>
          <w:noProof/>
        </w:rPr>
        <w:t>rozwój zawodu nauczyciela; oraz</w:t>
      </w:r>
    </w:p>
    <w:p w14:paraId="736CBF07" w14:textId="555088FC" w:rsidR="006578ED" w:rsidRDefault="00A1618E">
      <w:pPr>
        <w:pStyle w:val="P68B1DB1-Normal4"/>
        <w:numPr>
          <w:ilvl w:val="0"/>
          <w:numId w:val="139"/>
        </w:numPr>
        <w:spacing w:before="120" w:after="160" w:line="259" w:lineRule="auto"/>
        <w:contextualSpacing/>
        <w:jc w:val="both"/>
        <w:rPr>
          <w:rFonts w:cs="Times New Roman"/>
          <w:noProof/>
        </w:rPr>
      </w:pPr>
      <w:r>
        <w:rPr>
          <w:noProof/>
        </w:rPr>
        <w:t xml:space="preserve">uregulowanie uznawania i walidowania zagranicznych świadectw i studiów niebędących uniwersytetami. </w:t>
      </w:r>
    </w:p>
    <w:p w14:paraId="2DE9682E" w14:textId="3F858BA8" w:rsidR="006578ED" w:rsidRDefault="00A1618E">
      <w:pPr>
        <w:pStyle w:val="P68B1DB1-Normal4"/>
        <w:spacing w:before="120" w:after="120" w:line="240" w:lineRule="auto"/>
        <w:jc w:val="both"/>
        <w:rPr>
          <w:rFonts w:cs="Times New Roman"/>
          <w:noProof/>
          <w:shd w:val="clear" w:color="auto" w:fill="FFFFFF"/>
        </w:rPr>
      </w:pPr>
      <w:r>
        <w:rPr>
          <w:noProof/>
        </w:rPr>
        <w:t>W</w:t>
      </w:r>
      <w:r>
        <w:rPr>
          <w:noProof/>
          <w:shd w:val="clear" w:color="auto" w:fill="FFFFFF"/>
        </w:rPr>
        <w:t xml:space="preserve">tym celu stanowi on podstawę reformy 2 i różnych inwestycji wchodzących w skład tego komponentu. </w:t>
      </w:r>
    </w:p>
    <w:p w14:paraId="6E4E7145" w14:textId="017522C9" w:rsidR="006578ED" w:rsidRDefault="00A1618E">
      <w:pPr>
        <w:pStyle w:val="P68B1DB1-Normal4"/>
        <w:spacing w:before="120" w:after="120" w:line="240" w:lineRule="auto"/>
        <w:jc w:val="both"/>
        <w:rPr>
          <w:rFonts w:cs="Times New Roman"/>
          <w:noProof/>
        </w:rPr>
      </w:pPr>
      <w:r>
        <w:rPr>
          <w:noProof/>
        </w:rPr>
        <w:t xml:space="preserve">Ponadto oczekuje się, że reforma przyczyni się do włączenia uczniów o specjalnych potrzebach edukacyjnych do zwykłych szkół i towarzyszyć jej będzie dziesięcioletni plan kroczący uzgodniony z władzami regionalnymi, zapewniający dodatkowe środki na wsparcie szkół przyjmujących uczniów o specjalnych potrzebach. </w:t>
      </w:r>
    </w:p>
    <w:p w14:paraId="525C459F" w14:textId="55B02643" w:rsidR="006578ED" w:rsidRDefault="00A1618E">
      <w:pPr>
        <w:pStyle w:val="P68B1DB1-Normal22"/>
        <w:spacing w:before="120" w:after="120" w:line="240" w:lineRule="auto"/>
        <w:jc w:val="both"/>
        <w:rPr>
          <w:rFonts w:cs="Times New Roman"/>
          <w:noProof/>
        </w:rPr>
      </w:pPr>
      <w:r>
        <w:rPr>
          <w:noProof/>
        </w:rPr>
        <w:t>Wdrożenie środka należy zakończyć do dnia 31 marca 20</w:t>
      </w:r>
      <w:r w:rsidRPr="00A1618E">
        <w:rPr>
          <w:noProof/>
          <w:lang w:val="pl-PL"/>
        </w:rPr>
        <w:t>21 r.</w:t>
      </w:r>
    </w:p>
    <w:p w14:paraId="38E7D1C8" w14:textId="1F4B0978" w:rsidR="006578ED" w:rsidRDefault="00A1618E">
      <w:pPr>
        <w:pStyle w:val="P68B1DB1-Normal22"/>
        <w:spacing w:before="120" w:after="120" w:line="240" w:lineRule="auto"/>
        <w:jc w:val="both"/>
        <w:rPr>
          <w:rFonts w:cs="Times New Roman"/>
          <w:noProof/>
        </w:rPr>
      </w:pPr>
      <w:r>
        <w:rPr>
          <w:noProof/>
          <w:u w:val="single"/>
        </w:rPr>
        <w:t>Reforma 2 (C21.R2) – Nowy model programu nauczania dotyczący kompetencji kluczowych, podstawowego uczenia się i integracyjnego planowania akademickiego</w:t>
      </w:r>
      <w:r>
        <w:rPr>
          <w:noProof/>
        </w:rPr>
        <w:t xml:space="preserve"> </w:t>
      </w:r>
    </w:p>
    <w:p w14:paraId="3067CA83" w14:textId="4D699E1C" w:rsidR="006578ED" w:rsidRDefault="00A1618E">
      <w:pPr>
        <w:pStyle w:val="P68B1DB1-Normal4"/>
        <w:spacing w:before="120" w:after="120" w:line="240" w:lineRule="auto"/>
        <w:jc w:val="both"/>
        <w:rPr>
          <w:rFonts w:cs="Times New Roman"/>
          <w:noProof/>
        </w:rPr>
      </w:pPr>
      <w:r>
        <w:rPr>
          <w:noProof/>
          <w:shd w:val="clear" w:color="auto" w:fill="FFFFFF"/>
        </w:rPr>
        <w:t xml:space="preserve">W związku z przyjęciem nowej ustawy o szkolnictwie (LOMLOE), o której mowa w reformie 1, reforma ta obejmuje przyjęcie dekretu ustawodawczego w sprawie minimalnych wymogów dotyczących kształcenia na poziomie podstawowym i obowiązkowym średnim oraz matury. Obejmuje to również </w:t>
      </w:r>
      <w:r>
        <w:rPr>
          <w:noProof/>
        </w:rPr>
        <w:t>wprowadzenie wytycznych metodologicznych dotyczących nauczania i uczenia się w oparciu o program nauczania oparty na kompetencjach oraz uwzględnienie „umiejętności miękkich”, z uwzględnieniem zalecenia Rady z dnia 22 maja 20</w:t>
      </w:r>
      <w:r w:rsidRPr="00A1618E">
        <w:rPr>
          <w:noProof/>
          <w:lang w:val="pl-PL"/>
        </w:rPr>
        <w:t>18 r.</w:t>
      </w:r>
      <w:r>
        <w:rPr>
          <w:noProof/>
        </w:rPr>
        <w:t xml:space="preserve"> w sprawie kompetencji kluczowych w procesie uczenia się przez całe życie. Dekret z mocą ustawy zawiera ramy oceny opracowane zgodnie z programem nauczania i skoncentrowane na poziomie nabywania kompetencji oraz na ocenie środków sprzyjających postępowi uczniów. Celem jest opracowanie bardziej elastycznego i otwartego modelu edukacji, który będzie promował głębokie uczenie się poprzez stosowanie metod współpracy, przyczyniając się do poprawy wyników kształcenia. W nowym programie nauczania zwraca się uwagę na edukację na rzecz zrównoważonego rozwoju i obywatelstwa. Rozwój kompetencji cyfrowych uwzględnia się na wszystkich szczeblach, zarówno poprzez konkretne treści, jak i w perspektywie przekrojowej.</w:t>
      </w:r>
    </w:p>
    <w:p w14:paraId="18D0C9CD" w14:textId="79954602" w:rsidR="006578ED" w:rsidRDefault="00A1618E">
      <w:pPr>
        <w:pStyle w:val="P68B1DB1-Text119"/>
        <w:ind w:left="0"/>
        <w:rPr>
          <w:rFonts w:cs="Times New Roman"/>
          <w:noProof/>
        </w:rPr>
      </w:pPr>
      <w:r>
        <w:rPr>
          <w:noProof/>
        </w:rPr>
        <w:t>W reformie tej co najmniej 100 ekspertów zewnętrznych uczestniczy w opracowaniu programu nauczania dotyczącego dziedzin i przedmiotów na etapach kształcenia oraz ram oceny, które będą stanowić podstawę do opracowania dekretów królewskich nowego programu nauczania i wspólnych ram oceny.</w:t>
      </w:r>
    </w:p>
    <w:p w14:paraId="1CDA7885" w14:textId="4BBDD56F" w:rsidR="006578ED" w:rsidRDefault="00A1618E">
      <w:pPr>
        <w:pStyle w:val="P68B1DB1-Normal4"/>
        <w:spacing w:before="120" w:after="120" w:line="240" w:lineRule="auto"/>
        <w:jc w:val="both"/>
        <w:rPr>
          <w:rFonts w:cs="Times New Roman"/>
          <w:noProof/>
        </w:rPr>
      </w:pPr>
      <w:r>
        <w:rPr>
          <w:noProof/>
        </w:rPr>
        <w:t xml:space="preserve">Reforma obejmuje również przygotowanie wsparcia, poradnictwa i materiałów dydaktycznych, a także szkolenie nauczycieli, aby zapewnić im możliwość skutecznego wdrożenia nowego programu nauczania. Materiały są publikowane w internecie w celu wykorzystania przez wszystkich nauczycieli wraz z rozpowszechnianiem dobrych praktyk. Co najmniej 4000 specjalistów musi ukończyć szkolenie w zakresie stosowania nowego programu nauczania. </w:t>
      </w:r>
    </w:p>
    <w:p w14:paraId="044E3EE4" w14:textId="40EBFB86" w:rsidR="006578ED" w:rsidRDefault="00A1618E">
      <w:pPr>
        <w:pStyle w:val="P68B1DB1-Normal22"/>
        <w:spacing w:before="120" w:after="120" w:line="240" w:lineRule="auto"/>
        <w:jc w:val="both"/>
        <w:rPr>
          <w:rFonts w:cs="Times New Roman"/>
          <w:noProof/>
        </w:rPr>
      </w:pPr>
      <w:r>
        <w:rPr>
          <w:noProof/>
        </w:rPr>
        <w:t>Opracowanie i wdrożenie reformy odbywa się w porozumieniu z organami doradczymi ds. edukacji i ekspertami oraz ze społecznościami autonomicznymi.</w:t>
      </w:r>
    </w:p>
    <w:p w14:paraId="48CF69A0" w14:textId="7B5D3518" w:rsidR="006578ED" w:rsidRDefault="00A1618E">
      <w:pPr>
        <w:pStyle w:val="P68B1DB1-Normal22"/>
        <w:spacing w:before="120" w:after="120" w:line="240" w:lineRule="auto"/>
        <w:jc w:val="both"/>
        <w:rPr>
          <w:rFonts w:cs="Times New Roman"/>
          <w:noProof/>
        </w:rPr>
      </w:pPr>
      <w:r>
        <w:rPr>
          <w:noProof/>
        </w:rPr>
        <w:t>Wdrożenie środka należy zakończyć do dnia 30 września 20</w:t>
      </w:r>
      <w:r w:rsidRPr="00A1618E">
        <w:rPr>
          <w:noProof/>
          <w:lang w:val="pl-PL"/>
        </w:rPr>
        <w:t>24 r.</w:t>
      </w:r>
    </w:p>
    <w:p w14:paraId="5813ECD3" w14:textId="77777777" w:rsidR="006578ED" w:rsidRDefault="00A1618E">
      <w:pPr>
        <w:pStyle w:val="P68B1DB1-Normal23"/>
        <w:spacing w:before="120" w:after="120" w:line="240" w:lineRule="auto"/>
        <w:jc w:val="both"/>
        <w:rPr>
          <w:rFonts w:cs="Times New Roman"/>
          <w:noProof/>
        </w:rPr>
      </w:pPr>
      <w:r>
        <w:rPr>
          <w:noProof/>
        </w:rPr>
        <w:t xml:space="preserve">Reforma 3 (C21.R3) – Kompleksowa reforma systemu szkolnictwa wyższego </w:t>
      </w:r>
    </w:p>
    <w:p w14:paraId="0F71425B" w14:textId="77777777" w:rsidR="006578ED" w:rsidRDefault="00A1618E">
      <w:pPr>
        <w:pStyle w:val="P68B1DB1-Normal4"/>
        <w:spacing w:before="120" w:after="120" w:line="240" w:lineRule="auto"/>
        <w:jc w:val="both"/>
        <w:rPr>
          <w:rFonts w:cs="Times New Roman"/>
          <w:noProof/>
        </w:rPr>
      </w:pPr>
      <w:r>
        <w:rPr>
          <w:noProof/>
          <w:shd w:val="clear" w:color="auto" w:fill="FFFFFF"/>
        </w:rPr>
        <w:t xml:space="preserve">Reforma koncentruje się na nowych przepisach dotyczących systemu szkolnictwa wyższego, które ma na celu </w:t>
      </w:r>
      <w:r>
        <w:rPr>
          <w:noProof/>
        </w:rPr>
        <w:t xml:space="preserve">kompleksową reformę systemu opartą na </w:t>
      </w:r>
      <w:bookmarkStart w:id="55" w:name="_Hlk65757328"/>
      <w:r>
        <w:rPr>
          <w:noProof/>
        </w:rPr>
        <w:t xml:space="preserve">czterech głównych celach: </w:t>
      </w:r>
    </w:p>
    <w:bookmarkEnd w:id="55"/>
    <w:p w14:paraId="070B5F86" w14:textId="0B69BD99" w:rsidR="006578ED" w:rsidRDefault="00A1618E">
      <w:pPr>
        <w:pStyle w:val="P68B1DB1-Normal22"/>
        <w:numPr>
          <w:ilvl w:val="0"/>
          <w:numId w:val="140"/>
        </w:numPr>
        <w:spacing w:before="120" w:after="120" w:line="240" w:lineRule="auto"/>
        <w:jc w:val="both"/>
        <w:rPr>
          <w:rFonts w:cs="Times New Roman"/>
          <w:noProof/>
        </w:rPr>
      </w:pPr>
      <w:r>
        <w:rPr>
          <w:noProof/>
        </w:rPr>
        <w:t>Promowanie dostępu do szkolnictwa wyższego. Stypendia zwiększa się z uwzględnieniem warunków społeczno-gospodarczych i zapewnia się równe szanse poprzez poprawę stypendiów dla studentów niepełnosprawnych. System stypendiów został zreformowany w 20</w:t>
      </w:r>
      <w:r w:rsidRPr="00A1618E">
        <w:rPr>
          <w:noProof/>
          <w:lang w:val="pl-PL"/>
        </w:rPr>
        <w:t>20 r.</w:t>
      </w:r>
      <w:r>
        <w:rPr>
          <w:noProof/>
        </w:rPr>
        <w:t>, ale będzie dalej rozwijany w latach 2021 i 2022. Obniża się również publiczne opłaty uniwersyteckie, w tym poprzez ustanowienie progów i zmniejszenie dużych dysproporcji regionalnych.</w:t>
      </w:r>
    </w:p>
    <w:p w14:paraId="5A5C4F93" w14:textId="520C92AC" w:rsidR="006578ED" w:rsidRDefault="00A1618E">
      <w:pPr>
        <w:pStyle w:val="P68B1DB1-Normal4"/>
        <w:numPr>
          <w:ilvl w:val="0"/>
          <w:numId w:val="140"/>
        </w:numPr>
        <w:spacing w:before="120" w:after="120" w:line="240" w:lineRule="auto"/>
        <w:jc w:val="both"/>
        <w:rPr>
          <w:rFonts w:cs="Times New Roman"/>
          <w:noProof/>
          <w:shd w:val="clear" w:color="auto" w:fill="FFFFFF"/>
        </w:rPr>
      </w:pPr>
      <w:r>
        <w:rPr>
          <w:noProof/>
          <w:shd w:val="clear" w:color="auto" w:fill="FFFFFF"/>
        </w:rPr>
        <w:t xml:space="preserve">Przyjmowanie organizacji kursów uniwersyteckich. Przyjmuje się dekret z mocą ustawy w celu zreformowania organizacji kursów uniwersyteckich oraz zapewnienia ich jakości i dostosowania do potrzeb rynku pracy. </w:t>
      </w:r>
      <w:r>
        <w:rPr>
          <w:noProof/>
        </w:rPr>
        <w:t>W</w:t>
      </w:r>
      <w:r>
        <w:rPr>
          <w:noProof/>
          <w:shd w:val="clear" w:color="auto" w:fill="FFFFFF"/>
        </w:rPr>
        <w:t> </w:t>
      </w:r>
      <w:r>
        <w:rPr>
          <w:noProof/>
        </w:rPr>
        <w:t>tym celu wspiera się współpracę uczelni z przedsiębiorstwami z sektora szkolnictwa wyższego poprzez uregulowanie dwutorowych studiów licencjackich i magisterskich, w tym programów szkoleniowych w przedsiębiorstwach nadzorowanych przez uniwersytety.</w:t>
      </w:r>
      <w:r>
        <w:rPr>
          <w:noProof/>
          <w:shd w:val="clear" w:color="auto" w:fill="FFFFFF"/>
        </w:rPr>
        <w:t xml:space="preserve"> Zgodnie z celami europejskiego obszaru edukacji należy zapewnić automatyczne uznawanie dyplomów. Wzmocnione zostaną również procesy </w:t>
      </w:r>
      <w:r>
        <w:rPr>
          <w:noProof/>
        </w:rPr>
        <w:t xml:space="preserve">weryfikacji, działań następczych i akredytacji w odniesieniu do nauczania bezpośredniego lub półbezpośredniego, łącząc zapewnienie jakości oferty kształcenia uniwersyteckiego z ograniczeniem biurokracji w stosowanych procedurach. Należy również promować innowacyjne nauczanie. </w:t>
      </w:r>
    </w:p>
    <w:p w14:paraId="2265A793" w14:textId="14428B18" w:rsidR="006578ED" w:rsidRDefault="00A1618E">
      <w:pPr>
        <w:pStyle w:val="P68B1DB1-Normal22"/>
        <w:numPr>
          <w:ilvl w:val="0"/>
          <w:numId w:val="140"/>
        </w:numPr>
        <w:spacing w:before="120" w:after="120" w:line="240" w:lineRule="auto"/>
        <w:jc w:val="both"/>
        <w:rPr>
          <w:rFonts w:cs="Times New Roman"/>
          <w:noProof/>
        </w:rPr>
      </w:pPr>
      <w:r>
        <w:rPr>
          <w:noProof/>
        </w:rPr>
        <w:t>Zapewnienie dobrego zarządzania instytucjami uniwersyteckimi oraz promowanie badań naukowych, transferu i mobilności kadry nauczycielskiej i badawczej. Celem jest zapewnienie skuteczności, wydajności i autonomii uniwersytetów w codziennym zarządzaniu uniwersytetami, zwiększenie udziału zainteresowanych stron w zarządzaniu oraz wspieranie przejrzystości i rozliczalności. Zapewnia on również wyposażenie uniwersytetów w wysoko wykwalifikowanych nauczycieli, aby kariera nauczycielska była bardziej przewidywalna oraz aby zacieśniono powiązanie między nauczaniem a badaniami naukowymi.</w:t>
      </w:r>
    </w:p>
    <w:p w14:paraId="30DA7ED5" w14:textId="1A221686" w:rsidR="006578ED" w:rsidRDefault="00A1618E">
      <w:pPr>
        <w:pStyle w:val="P68B1DB1-Normal4"/>
        <w:numPr>
          <w:ilvl w:val="0"/>
          <w:numId w:val="140"/>
        </w:numPr>
        <w:spacing w:before="120" w:after="120" w:line="240" w:lineRule="auto"/>
        <w:jc w:val="both"/>
        <w:rPr>
          <w:rFonts w:cs="Times New Roman"/>
          <w:noProof/>
          <w:shd w:val="clear" w:color="auto" w:fill="FFFFFF"/>
        </w:rPr>
      </w:pPr>
      <w:r>
        <w:rPr>
          <w:noProof/>
          <w:shd w:val="clear" w:color="auto" w:fill="FFFFFF"/>
        </w:rPr>
        <w:t xml:space="preserve">Zapewnienie jakości instytucji uniwersyteckich. </w:t>
      </w:r>
      <w:r>
        <w:rPr>
          <w:noProof/>
        </w:rPr>
        <w:t>Przyjmuje się dekret z mocą ustawy określający naukowe kryteria jakości dla tworzenia, uznawania, autoryzacji i akredytacji uniwersytetów i ośrodków przyległych, w tym uniwersytetów na odległość i półbezpośrednich.</w:t>
      </w:r>
      <w:r>
        <w:rPr>
          <w:noProof/>
          <w:shd w:val="clear" w:color="auto" w:fill="FFFFFF"/>
        </w:rPr>
        <w:t xml:space="preserve"> Celem jest, aby </w:t>
      </w:r>
      <w:r>
        <w:rPr>
          <w:noProof/>
        </w:rPr>
        <w:t>uniwersytety dysponowały minimalną formacyjną ofertą akademicką, przy jednoczesnym zapewnieniu możliwości specjalizacji uniwersytetów. minimalna liczba studentów studiów pierwszego stopnia; przeznaczyć co najmniej 5 % swojego budżetu na programy badawcze; oraz wewnętrzne systemy zapewniania jakości.</w:t>
      </w:r>
    </w:p>
    <w:p w14:paraId="49406F58" w14:textId="7FAC4EDF" w:rsidR="006578ED" w:rsidRDefault="00A1618E">
      <w:pPr>
        <w:pStyle w:val="P68B1DB1-Normal22"/>
        <w:spacing w:before="120" w:after="120" w:line="240" w:lineRule="auto"/>
        <w:jc w:val="both"/>
        <w:rPr>
          <w:rFonts w:cs="Times New Roman"/>
          <w:noProof/>
        </w:rPr>
      </w:pPr>
      <w:r>
        <w:rPr>
          <w:noProof/>
        </w:rPr>
        <w:t>W tym celu reforma uwzględnia zalecenia Konferencji Rektorów Uniwersytetów Hiszpańskich (CRUE). Przyczynia się ona do lepszego dostosowania szkolnictwa wyższego do potrzeb rynku pracy, w tym poprzez promowanie współpracy z przedsiębiorstwami i wprowadzanie modeli finansowania opartych na wynikach na publicznych uniwersytetach.</w:t>
      </w:r>
    </w:p>
    <w:p w14:paraId="47FC6520" w14:textId="5CC20988" w:rsidR="006578ED" w:rsidRDefault="00A1618E">
      <w:pPr>
        <w:pStyle w:val="P68B1DB1-Normal22"/>
        <w:spacing w:before="120" w:after="120" w:line="240" w:lineRule="auto"/>
        <w:jc w:val="both"/>
        <w:rPr>
          <w:rFonts w:cs="Times New Roman"/>
          <w:noProof/>
        </w:rPr>
      </w:pPr>
      <w:r>
        <w:rPr>
          <w:noProof/>
        </w:rPr>
        <w:t>Wdrożenie środka należy zakończyć do dnia 30 czerwca 20</w:t>
      </w:r>
      <w:r w:rsidRPr="00A1618E">
        <w:rPr>
          <w:noProof/>
          <w:lang w:val="pl-PL"/>
        </w:rPr>
        <w:t>23 r.</w:t>
      </w:r>
    </w:p>
    <w:p w14:paraId="38C05484" w14:textId="1B853F08" w:rsidR="006578ED" w:rsidRDefault="00A1618E">
      <w:pPr>
        <w:pStyle w:val="P68B1DB1-Normal22"/>
        <w:spacing w:before="120" w:after="120" w:line="240" w:lineRule="auto"/>
        <w:jc w:val="both"/>
        <w:rPr>
          <w:rFonts w:cs="Times New Roman"/>
          <w:noProof/>
          <w:u w:val="single"/>
        </w:rPr>
      </w:pPr>
      <w:r>
        <w:rPr>
          <w:noProof/>
          <w:u w:val="single"/>
        </w:rPr>
        <w:t>Inwestycje 1 (C21.I1) – Promowanie wczesnej edukacji i opieki nad dzieckiem</w:t>
      </w:r>
      <w:r>
        <w:rPr>
          <w:noProof/>
        </w:rPr>
        <w:t xml:space="preserve"> </w:t>
      </w:r>
    </w:p>
    <w:p w14:paraId="45772844" w14:textId="4B2EBC0A" w:rsidR="006578ED" w:rsidRDefault="00A1618E">
      <w:pPr>
        <w:pStyle w:val="P68B1DB1-Normal4"/>
        <w:spacing w:before="120" w:after="120" w:line="240" w:lineRule="auto"/>
        <w:jc w:val="both"/>
        <w:rPr>
          <w:rFonts w:cs="Times New Roman"/>
          <w:noProof/>
        </w:rPr>
      </w:pPr>
      <w:r>
        <w:rPr>
          <w:noProof/>
          <w:shd w:val="clear" w:color="auto" w:fill="FFFFFF"/>
        </w:rPr>
        <w:t xml:space="preserve">W ramach tego środka Hiszpania zainwestuje w budowę nowych placówek wczesnej edukacji i opieki nad dzieckiem, renowację i remont istniejących budynków oraz wyposażenie w celu utworzenia co najmniej 60000 nowych publicznych placówek wczesnej edukacji i opieki nad dzieckiem dla dzieci w wieku poniżej 3 lat. Nacisk kładzie się na zapewnienie przystępnych cenowo miejsc w placówkach publicznych </w:t>
      </w:r>
      <w:r>
        <w:rPr>
          <w:noProof/>
        </w:rPr>
        <w:t xml:space="preserve">dla dzieci na obszarach o wyższym stopniu zagrożenia ubóstwem lub wykluczeniem społecznym oraz na obszarach wiejskich, zwłaszcza dla dzieci w grupie wiekowej 1-2 lata. Budynki są własnością władz regionalnych lub lokalnych lub Ministerstwa Edukacji i Szkolenia Zawodowego w przypadku Ceuty i Melilli. </w:t>
      </w:r>
    </w:p>
    <w:p w14:paraId="07508A27" w14:textId="5698D38E" w:rsidR="006578ED" w:rsidRDefault="00A1618E">
      <w:pPr>
        <w:pStyle w:val="P68B1DB1-Normal4"/>
        <w:spacing w:before="120" w:after="120" w:line="240" w:lineRule="auto"/>
        <w:jc w:val="both"/>
        <w:rPr>
          <w:rFonts w:cs="Times New Roman"/>
          <w:noProof/>
        </w:rPr>
      </w:pPr>
      <w:r>
        <w:rPr>
          <w:noProof/>
        </w:rPr>
        <w:t>Inwestycja mogłaby również obejmować wydatki operacyjne, w tym wynagrodzenia nauczycieli w trakcie realizacji inwestycji, aby zachęcić władze regionalne i lokalne do maksymalnie 40000 nowych miejsc nauki szkolnej. Hiszpania zapewnia stabilność fiskalną działania po zakończeniu Instrumentu na rzecz Odbudowy i Zwiększania Odporności, w tym poprzez poleganie na innych źródłach finansowania unijnego.</w:t>
      </w:r>
    </w:p>
    <w:p w14:paraId="37D0BEA7" w14:textId="3404FEBD" w:rsidR="006578ED" w:rsidRDefault="00A1618E">
      <w:pPr>
        <w:pStyle w:val="P68B1DB1-Normal22"/>
        <w:spacing w:before="120" w:after="120" w:line="240" w:lineRule="auto"/>
        <w:jc w:val="both"/>
        <w:rPr>
          <w:rFonts w:cs="Times New Roman"/>
          <w:noProof/>
        </w:rPr>
      </w:pPr>
      <w:r>
        <w:rPr>
          <w:noProof/>
        </w:rPr>
        <w:t>Wdrażanie środka zostanie zakończone do dnia 31 grudnia 20</w:t>
      </w:r>
      <w:r w:rsidRPr="00A1618E">
        <w:rPr>
          <w:noProof/>
          <w:lang w:val="pl-PL"/>
        </w:rPr>
        <w:t>25 r.</w:t>
      </w:r>
    </w:p>
    <w:p w14:paraId="5E2EE741" w14:textId="3C54FB19" w:rsidR="006578ED" w:rsidRDefault="00A1618E">
      <w:pPr>
        <w:pStyle w:val="P68B1DB1-Normal23"/>
        <w:spacing w:before="120" w:after="120" w:line="240" w:lineRule="auto"/>
        <w:jc w:val="both"/>
        <w:rPr>
          <w:rFonts w:cs="Times New Roman"/>
          <w:noProof/>
        </w:rPr>
      </w:pPr>
      <w:r>
        <w:rPr>
          <w:noProof/>
        </w:rPr>
        <w:t xml:space="preserve">Inwestycja 2 (C21.I2): Program orientacji, postępu i wzbogacania edukacyjnego („PROA+”) </w:t>
      </w:r>
    </w:p>
    <w:p w14:paraId="486A999B" w14:textId="52917FD9" w:rsidR="006578ED" w:rsidRDefault="00A1618E">
      <w:pPr>
        <w:pStyle w:val="P68B1DB1-Normal22"/>
        <w:spacing w:before="120" w:after="120" w:line="240" w:lineRule="auto"/>
        <w:jc w:val="both"/>
        <w:rPr>
          <w:rFonts w:cs="Times New Roman"/>
          <w:noProof/>
        </w:rPr>
      </w:pPr>
      <w:r>
        <w:rPr>
          <w:noProof/>
        </w:rPr>
        <w:t xml:space="preserve">W celu zapewnienia wsparcia i poradnictwa uczniom osiągającym słabe wyniki oraz zmniejszenia zarówno odsetka osób przedwcześnie kończących naukę, jak i wczesnego kończenia nauki, Hiszpania zainwestuje w rozszerzenie istniejącego programu na rzecz orientacji, postępu i wzbogacenia edukacyjnego („PROA+”). </w:t>
      </w:r>
    </w:p>
    <w:p w14:paraId="3C93A5DA" w14:textId="110ED0C2" w:rsidR="006578ED" w:rsidRDefault="00A1618E">
      <w:pPr>
        <w:pStyle w:val="P68B1DB1-Normal4"/>
        <w:spacing w:before="120" w:after="120" w:line="240" w:lineRule="auto"/>
        <w:jc w:val="both"/>
        <w:rPr>
          <w:rFonts w:cs="Times New Roman"/>
          <w:noProof/>
        </w:rPr>
      </w:pPr>
      <w:r>
        <w:rPr>
          <w:noProof/>
        </w:rPr>
        <w:t xml:space="preserve">Program ten koncentruje się na działaniach, które zapewniają wszystkim uczniom minimalne warunki kształcenia, wprowadzają środki wzmacniające dla osób, które mają większe trudności w nauce, głównie w zakresie umiejętności podstawowych, poszukują nowych form organizacji i zarządzania w ośrodku edukacyjnym oraz zapewniają dodatkowe wsparcie i szkolenia dla nauczycieli. Działania te powinny mieć na celu poprawę sukcesu wszystkich uczniów w tych szkołach. </w:t>
      </w:r>
    </w:p>
    <w:p w14:paraId="074E6E2C" w14:textId="21788D77" w:rsidR="006578ED" w:rsidRDefault="00A1618E">
      <w:pPr>
        <w:pStyle w:val="P68B1DB1-Normal4"/>
        <w:spacing w:before="120" w:after="120" w:line="240" w:lineRule="auto"/>
        <w:jc w:val="both"/>
        <w:rPr>
          <w:rFonts w:cs="Times New Roman"/>
          <w:noProof/>
          <w:shd w:val="clear" w:color="auto" w:fill="FFFFFF"/>
        </w:rPr>
      </w:pPr>
      <w:r>
        <w:rPr>
          <w:noProof/>
          <w:shd w:val="clear" w:color="auto" w:fill="FFFFFF"/>
        </w:rPr>
        <w:t>Program jest skierowany do szkół o szczególnej złożoności edukacyjnej, w tym na obszarach wiejskich, ze znacznym odsetkiem uczniów znajdujących się w trudnej sytuacji, którzy napotykają trudności w nauce w regularnych klasach.</w:t>
      </w:r>
      <w:r>
        <w:rPr>
          <w:noProof/>
        </w:rPr>
        <w:t xml:space="preserve"> Wyboru ośrodków dokonują administracje edukacyjne. </w:t>
      </w:r>
      <w:r>
        <w:rPr>
          <w:noProof/>
          <w:shd w:val="clear" w:color="auto" w:fill="FFFFFF"/>
        </w:rPr>
        <w:t xml:space="preserve">Szkoły docelowe znajdują się w szczególności na obszarach, w których skład wchodzą uczniowie i rodziny o niskim statusie społeczno-ekonomicznym i edukacyjnym. Wsparcie otrzymuje łącznie co najmniej 2700 szkół. </w:t>
      </w:r>
    </w:p>
    <w:p w14:paraId="66E53685" w14:textId="591496B6" w:rsidR="006578ED" w:rsidRDefault="00A1618E">
      <w:pPr>
        <w:pStyle w:val="P68B1DB1-Normal22"/>
        <w:spacing w:before="120" w:after="120" w:line="240" w:lineRule="auto"/>
        <w:jc w:val="both"/>
        <w:rPr>
          <w:rFonts w:cs="Times New Roman"/>
          <w:noProof/>
        </w:rPr>
      </w:pPr>
      <w:r>
        <w:rPr>
          <w:noProof/>
        </w:rPr>
        <w:t xml:space="preserve">Inwestycje są rozwijane we współpracy ze wspólnotami autonomicznymi w ramach konferencji sektorowych, a terytorialny podział funduszy opiera się na szczegółowych kryteriach uzgodnionych w celu odzwierciedlenia potrzeb i przyczynienia się do zmniejszenia dysproporcji regionalnych. </w:t>
      </w:r>
    </w:p>
    <w:p w14:paraId="0269706D" w14:textId="1AA4BD00" w:rsidR="006578ED" w:rsidRDefault="00A1618E">
      <w:pPr>
        <w:pStyle w:val="P68B1DB1-Normal22"/>
        <w:spacing w:before="120" w:after="120" w:line="240" w:lineRule="auto"/>
        <w:jc w:val="both"/>
        <w:rPr>
          <w:rFonts w:cs="Times New Roman"/>
          <w:noProof/>
        </w:rPr>
      </w:pPr>
      <w:r>
        <w:rPr>
          <w:noProof/>
        </w:rPr>
        <w:t>Wdrożenie środka musi zostać zakończone do dnia 31 grudnia 20</w:t>
      </w:r>
      <w:r w:rsidRPr="00A1618E">
        <w:rPr>
          <w:noProof/>
          <w:lang w:val="pl-PL"/>
        </w:rPr>
        <w:t>24 r.</w:t>
      </w:r>
    </w:p>
    <w:p w14:paraId="220AAC7D" w14:textId="40519B52" w:rsidR="006578ED" w:rsidRDefault="00A1618E">
      <w:pPr>
        <w:pStyle w:val="P68B1DB1-Normal22"/>
        <w:spacing w:before="120" w:after="120" w:line="240" w:lineRule="auto"/>
        <w:jc w:val="both"/>
        <w:rPr>
          <w:rFonts w:cs="Times New Roman"/>
          <w:noProof/>
          <w:u w:val="single"/>
        </w:rPr>
      </w:pPr>
      <w:r>
        <w:rPr>
          <w:noProof/>
          <w:u w:val="single"/>
        </w:rPr>
        <w:t>Inwestycja 3 (C21.I3) – Wsparcie dla studentów i rodzin znajdujących się w trudnej sytuacji</w:t>
      </w:r>
      <w:r>
        <w:rPr>
          <w:noProof/>
        </w:rPr>
        <w:t xml:space="preserve"> </w:t>
      </w:r>
    </w:p>
    <w:p w14:paraId="0E87F54E" w14:textId="1A12B95B" w:rsidR="006578ED" w:rsidRDefault="00A1618E">
      <w:pPr>
        <w:pStyle w:val="P68B1DB1-Normal22"/>
        <w:spacing w:before="120" w:after="120" w:line="240" w:lineRule="auto"/>
        <w:jc w:val="both"/>
        <w:rPr>
          <w:rFonts w:cs="Times New Roman"/>
          <w:noProof/>
        </w:rPr>
      </w:pPr>
      <w:r>
        <w:rPr>
          <w:noProof/>
        </w:rPr>
        <w:t>Hiszpania zainwestuje w utworzenie w okręgach szkolnych co najmniej 1000 jednostek wsparcia, poradnictwa i usług psychoedukacyjnych dla uczniów znajdujących się w trudnej sytuacji. Ułatwia ona wspieranie uczniów i ich rodzin w celu pokonania przeszkód edukacyjnych w celu ograniczenia absencji i przedwczesnego kończenia nauki. Wspiera się współpracę z różnymi ramami uczenia się (zarówno formalnymi, jak i pozaformalnymi), aby zwiększyć rozwój podstawowych umiejętności interpersonalnych, komunikacyjnych i poznawczych. Inwestycje są rozwijane w drodze współpracy terytorialnej ze społecznościami autonomicznymi w kontekście konferencji sektorowych, które określają kryteria terytorialnego podziału funduszy.</w:t>
      </w:r>
    </w:p>
    <w:p w14:paraId="10DA7D2B" w14:textId="605D5869" w:rsidR="006578ED" w:rsidRDefault="00A1618E">
      <w:pPr>
        <w:pStyle w:val="P68B1DB1-Normal22"/>
        <w:spacing w:before="120" w:after="120" w:line="240" w:lineRule="auto"/>
        <w:jc w:val="both"/>
        <w:rPr>
          <w:rFonts w:cs="Times New Roman"/>
          <w:noProof/>
        </w:rPr>
      </w:pPr>
      <w:r>
        <w:rPr>
          <w:noProof/>
        </w:rPr>
        <w:t>Wdrożenie środka musi zostać zakończone do dnia 31 grudnia 20</w:t>
      </w:r>
      <w:r w:rsidRPr="00A1618E">
        <w:rPr>
          <w:noProof/>
          <w:lang w:val="pl-PL"/>
        </w:rPr>
        <w:t>24 r.</w:t>
      </w:r>
    </w:p>
    <w:p w14:paraId="29008735" w14:textId="4CF49240" w:rsidR="006578ED" w:rsidRDefault="00A1618E">
      <w:pPr>
        <w:pStyle w:val="P68B1DB1-Normal22"/>
        <w:spacing w:before="120" w:after="120" w:line="240" w:lineRule="auto"/>
        <w:jc w:val="both"/>
        <w:rPr>
          <w:rFonts w:cs="Times New Roman"/>
          <w:noProof/>
          <w:u w:val="single"/>
        </w:rPr>
      </w:pPr>
      <w:r>
        <w:rPr>
          <w:noProof/>
          <w:u w:val="single"/>
        </w:rPr>
        <w:t>Inwestycja 4 (C21.I4) – Szkolenie personelu dydaktycznego i badawczego</w:t>
      </w:r>
      <w:r>
        <w:rPr>
          <w:noProof/>
        </w:rPr>
        <w:t xml:space="preserve"> </w:t>
      </w:r>
    </w:p>
    <w:p w14:paraId="144FB2A8" w14:textId="485A00B6" w:rsidR="006578ED" w:rsidRDefault="00A1618E">
      <w:pPr>
        <w:pStyle w:val="P68B1DB1-Normal4"/>
        <w:spacing w:before="120" w:after="120" w:line="240" w:lineRule="auto"/>
        <w:jc w:val="both"/>
        <w:rPr>
          <w:rFonts w:cs="Times New Roman"/>
          <w:noProof/>
        </w:rPr>
      </w:pPr>
      <w:r>
        <w:rPr>
          <w:noProof/>
          <w:shd w:val="clear" w:color="auto" w:fill="FFFFFF"/>
        </w:rPr>
        <w:t>Środek ten obejmuje inwestycje w </w:t>
      </w:r>
      <w:r>
        <w:rPr>
          <w:noProof/>
        </w:rPr>
        <w:t>dotacje dla uniwersytetów publicznych, mające na celu promowanie przekwalifikowania hiszpańskiego systemu szkolnictwa wyższego i promowanie rozwoju zawodowego kadry nauczycielskiej, a także zapewnienie nowym absolwentom studiów doktoranckich możliwości włączenia się do systemu szkolnictwa wyższego w przyszłości. Dotacje przeznaczone są na finansowanie postdoktorskich pobytów badawczych prowadzonych przez prestiżowe zagraniczne uniwersytety i ośrodki badawcze, a także na hiszpańskich uniwersytetach i innych przedstawicieli publicznych hiszpańskiego systemu nauki, technologii i innowacji. W tym celu oczekuje się, że dotacje przyczynią się do przyciągnięcia międzynarodowych talentów i do rozwiązania problemu niskiego wskaźnika umiędzynarodowienia hiszpańskich uniwersytetów.</w:t>
      </w:r>
    </w:p>
    <w:p w14:paraId="50858590" w14:textId="1B66FCB6" w:rsidR="006578ED" w:rsidRDefault="00A1618E">
      <w:pPr>
        <w:pStyle w:val="P68B1DB1-Normal4"/>
        <w:spacing w:before="120" w:after="120" w:line="240" w:lineRule="auto"/>
        <w:jc w:val="both"/>
        <w:rPr>
          <w:rFonts w:cs="Times New Roman"/>
          <w:noProof/>
        </w:rPr>
      </w:pPr>
      <w:r>
        <w:rPr>
          <w:noProof/>
        </w:rPr>
        <w:t>Dotacje są przyznawane w ramach trzech różnych programów, z zastosowaniem szczególnych kryteriów w zależności od grupy docelowej, koncentrujących się na (i) szkoleniu młodych doktorantów; stypendia dla wykładowców uniwersyteckich – profesorów stałych i starszych wykładów na ścieżce; oraz (iii) dotacje mające na celu przyciągnięcie międzynarodowych talentów, finansowanie szkoleń podoktorskich prowadzonych przez prestiżowe hiszpańskie uniwersytety i innych przedstawicieli publicznych hiszpańskiego Systemu Nauki, Technologii i Innowacji. Programy trwają od jednego roku do trzech lat, w zależności od programu i grupy docelowej.</w:t>
      </w:r>
    </w:p>
    <w:p w14:paraId="2D61B76F" w14:textId="48ED3E85" w:rsidR="006578ED" w:rsidRDefault="00A1618E">
      <w:pPr>
        <w:pStyle w:val="P68B1DB1-Normal4"/>
        <w:spacing w:after="120" w:line="240" w:lineRule="auto"/>
        <w:jc w:val="both"/>
        <w:rPr>
          <w:rFonts w:cs="Times New Roman"/>
          <w:noProof/>
        </w:rPr>
      </w:pPr>
      <w:r>
        <w:rPr>
          <w:noProof/>
        </w:rPr>
        <w:t xml:space="preserve">Wszystkie te dotacje zostaną zrealizowane w latach 2021–2023 z korzyścią dla co najmniej 2600 kandydatów. Każdy uniwersytet otrzymuje bezpośrednio od Ministerstwa Szkolnictwa Wyższego środki budżetowe w oparciu o obiektywne kryteria, w tym liczbę pracowników dydaktycznych i badawczych oraz wyniki pracy doktoranckiej. Na podstawie zgłoszeń kandydaci są oceniani przez panel ekspertów z międzynarodowym prestiżem, powołany przez każdy uniwersytet, w którego skład wchodzi co najmniej trzech członków i większość ekspertów zewnętrznych. </w:t>
      </w:r>
    </w:p>
    <w:p w14:paraId="18C6FA2A" w14:textId="72083F45" w:rsidR="006578ED" w:rsidRDefault="00A1618E">
      <w:pPr>
        <w:pStyle w:val="P68B1DB1-Normal22"/>
        <w:spacing w:after="120" w:line="240" w:lineRule="auto"/>
        <w:jc w:val="both"/>
        <w:rPr>
          <w:rFonts w:cs="Times New Roman"/>
          <w:noProof/>
        </w:rPr>
      </w:pPr>
      <w:r>
        <w:rPr>
          <w:noProof/>
        </w:rPr>
        <w:t>Wdrożenie środka zostanie zakończone do dnia 31 grudnia 20</w:t>
      </w:r>
      <w:r w:rsidRPr="00A1618E">
        <w:rPr>
          <w:noProof/>
          <w:lang w:val="pl-PL"/>
        </w:rPr>
        <w:t>23 r.</w:t>
      </w:r>
    </w:p>
    <w:p w14:paraId="2477D2C2" w14:textId="3D340324" w:rsidR="006578ED" w:rsidRDefault="00A1618E">
      <w:pPr>
        <w:pStyle w:val="P68B1DB1-Normal22"/>
        <w:spacing w:before="120" w:after="120" w:line="240" w:lineRule="auto"/>
        <w:jc w:val="both"/>
        <w:rPr>
          <w:rFonts w:cs="Times New Roman"/>
          <w:noProof/>
          <w:u w:val="single"/>
        </w:rPr>
      </w:pPr>
      <w:r>
        <w:rPr>
          <w:noProof/>
          <w:u w:val="single"/>
        </w:rPr>
        <w:t>Inwestycje 5 (C21.I5) – Poprawa infrastruktury cyfrowej uniwersytetów, sprzętu, technologii, nauczania i oceny</w:t>
      </w:r>
      <w:r>
        <w:rPr>
          <w:noProof/>
        </w:rPr>
        <w:t xml:space="preserve"> </w:t>
      </w:r>
    </w:p>
    <w:p w14:paraId="23DD2A7B" w14:textId="3A0493E7" w:rsidR="006578ED" w:rsidRDefault="00A1618E">
      <w:pPr>
        <w:pStyle w:val="P68B1DB1-Normal4"/>
        <w:spacing w:before="120" w:after="120" w:line="240" w:lineRule="auto"/>
        <w:jc w:val="both"/>
        <w:rPr>
          <w:rFonts w:cs="Times New Roman"/>
          <w:noProof/>
        </w:rPr>
      </w:pPr>
      <w:r>
        <w:rPr>
          <w:noProof/>
          <w:shd w:val="clear" w:color="auto" w:fill="FFFFFF"/>
        </w:rPr>
        <w:t xml:space="preserve">Inwestycja ta obejmuje </w:t>
      </w:r>
      <w:r>
        <w:rPr>
          <w:noProof/>
        </w:rPr>
        <w:t xml:space="preserve">szereg środków mających na celu poprawę technologicznych i cyfrowych zdolności i umiejętności uniwersytetów. Obejmują one inwestycje w cyfrowe zasoby dydaktyczne i infrastrukturę, taką jak sieci przechowywania danych w chmurze na serwerach, cyberbezpieczeństwo i technologie w klasie na potrzeby kursów internetowych; oraz inwestycje w szkolenia cyfrowe dla kadry akademickiej i studentów. </w:t>
      </w:r>
    </w:p>
    <w:p w14:paraId="76B36787" w14:textId="431F2EA9" w:rsidR="006578ED" w:rsidRDefault="00A1618E">
      <w:pPr>
        <w:pStyle w:val="P68B1DB1-Normal4"/>
        <w:spacing w:before="120" w:after="120" w:line="240" w:lineRule="auto"/>
        <w:jc w:val="both"/>
        <w:rPr>
          <w:rFonts w:cs="Times New Roman"/>
          <w:noProof/>
        </w:rPr>
      </w:pPr>
      <w:r>
        <w:rPr>
          <w:noProof/>
        </w:rPr>
        <w:t>Działania inwestycyjne przyczyniają się do poprawy rozwoju technologicznego i poprawy zasobów cyfrowych w celu wsparcia cyfrowych usług nauczania. Zapewnia się wsparcie scentralizowanej infrastruktury i usług ICT, koncentrując się na sieciach światłowodowych i skutecznie wdrażając usługi ICT w oparciu o korzyści skali i interoperacyjność. Głównym celem jest ukierunkowanie inwestycji na zmniejszenie przepaści cyfrowej między pracownikami akademickimi a studentami w celu poprawy usług i sprzętu do nauczania zdalnego. Inne cele obejmują inwestycje we wspieranie międzyuniwersyteckich projektów innowacji cyfrowych, które mogą być rozszerzane i powielane na większą skalę, oraz zapewnienie wsparcia krajowym uniwersytetom kształcenia na odległość (UNED) w celu zwiększenia możliwości w zakresie szkolnictwa wyższego na obszarach wyludnionych.</w:t>
      </w:r>
    </w:p>
    <w:p w14:paraId="5B97A4BF" w14:textId="1C07144D" w:rsidR="006578ED" w:rsidRDefault="00A1618E">
      <w:pPr>
        <w:pStyle w:val="P68B1DB1-Normal4"/>
        <w:spacing w:before="120" w:after="120" w:line="240" w:lineRule="auto"/>
        <w:jc w:val="both"/>
        <w:rPr>
          <w:rFonts w:cs="Times New Roman"/>
          <w:noProof/>
        </w:rPr>
      </w:pPr>
      <w:r>
        <w:rPr>
          <w:noProof/>
        </w:rPr>
        <w:t>Celem jest monitorowanie i rozpowszechnianie, za pośrednictwem strony internetowej Ministerstwa Uniwersytetów, zmian „cyfrowego wskaźnika dla szkół wyższych”, aby zwiększyć wskaźnik o co najmniej 10 % w całym systemie szkolnictwa wyższego w 20</w:t>
      </w:r>
      <w:r w:rsidRPr="00A1618E">
        <w:rPr>
          <w:noProof/>
          <w:lang w:val="pl-PL"/>
        </w:rPr>
        <w:t>23 r.</w:t>
      </w:r>
      <w:r>
        <w:rPr>
          <w:noProof/>
        </w:rPr>
        <w:t xml:space="preserve"> w porównaniu z 20</w:t>
      </w:r>
      <w:r w:rsidRPr="00A1618E">
        <w:rPr>
          <w:noProof/>
          <w:lang w:val="pl-PL"/>
        </w:rPr>
        <w:t>19 r.</w:t>
      </w:r>
      <w:r>
        <w:rPr>
          <w:noProof/>
        </w:rPr>
        <w:t xml:space="preserve"> Indeks ten obejmuje różne wymiary, w tym zarządzanie (takie jak liczba sal lekcyjnych umożliwiających nauczanie cyfrowe, liczba profesorów korzystających z systemów cyfrowych, liczba procedur online oraz poziom łączności na kampusach itp.); innowacje (takie jak międzyuniwersyteckie porozumienia cyfrowe, działania w zakresie analizy uczenia się, repozytoria multimedialne, kompetencje cyfrowe pracowników dydaktycznych oraz spersonalizowane trasy itp.); oraz zarządzania (takie jak plan transformacji cyfrowej, portfele projektów w zakresie cyfryzacji i plany szkoleniowe w zakresie kompetencji cyfrowych itp.). </w:t>
      </w:r>
    </w:p>
    <w:p w14:paraId="63981338" w14:textId="22EC5408" w:rsidR="006578ED" w:rsidRDefault="00A1618E">
      <w:pPr>
        <w:pStyle w:val="P68B1DB1-Normal4"/>
        <w:spacing w:before="120" w:after="120" w:line="240" w:lineRule="auto"/>
        <w:jc w:val="both"/>
        <w:rPr>
          <w:rFonts w:cs="Times New Roman"/>
          <w:noProof/>
        </w:rPr>
      </w:pPr>
      <w:r>
        <w:rPr>
          <w:noProof/>
        </w:rPr>
        <w:t>Informacje uzupełniające są przekazywane corocznie przez uniwersytety w drodze certyfikacji ich obszaru kontroli wewnętrznej.</w:t>
      </w:r>
    </w:p>
    <w:p w14:paraId="5C263165" w14:textId="72C6E496" w:rsidR="006578ED" w:rsidRDefault="00A1618E">
      <w:pPr>
        <w:pStyle w:val="P68B1DB1-Normal22"/>
        <w:spacing w:before="120" w:after="120" w:line="240" w:lineRule="auto"/>
        <w:jc w:val="both"/>
        <w:rPr>
          <w:rFonts w:cs="Times New Roman"/>
          <w:noProof/>
        </w:rPr>
      </w:pPr>
      <w:r>
        <w:rPr>
          <w:noProof/>
        </w:rPr>
        <w:t>Wdrożenie środka zostanie zakończone do dnia 31 grudnia 20</w:t>
      </w:r>
      <w:r w:rsidRPr="00A1618E">
        <w:rPr>
          <w:noProof/>
          <w:lang w:val="pl-PL"/>
        </w:rPr>
        <w:t>23 r.</w:t>
      </w:r>
    </w:p>
    <w:p w14:paraId="4041D8AB" w14:textId="77777777" w:rsidR="006578ED" w:rsidRDefault="00A1618E">
      <w:pPr>
        <w:pStyle w:val="P68B1DB1-Normal6"/>
        <w:spacing w:before="120" w:after="120" w:line="240" w:lineRule="auto"/>
        <w:jc w:val="both"/>
        <w:rPr>
          <w:rFonts w:cs="Times New Roman"/>
          <w:noProof/>
        </w:rPr>
      </w:pPr>
      <w:r>
        <w:rPr>
          <w:noProof/>
        </w:rPr>
        <w:t>Inwestycja 6 (C21.I6) – Plan rozwoju mikropoświadczeń uniwersyteckich</w:t>
      </w:r>
    </w:p>
    <w:p w14:paraId="3921DDF4" w14:textId="6EF97A8A" w:rsidR="006578ED" w:rsidRDefault="00A1618E">
      <w:pPr>
        <w:pStyle w:val="P68B1DB1-Normal4"/>
        <w:spacing w:before="120" w:after="120" w:line="240" w:lineRule="auto"/>
        <w:jc w:val="both"/>
        <w:rPr>
          <w:rFonts w:cs="Times New Roman"/>
          <w:noProof/>
        </w:rPr>
      </w:pPr>
      <w:r>
        <w:rPr>
          <w:noProof/>
        </w:rPr>
        <w:t>Inwestycja ta ma na celu rozwój zdolności systemu uniwersyteckiego jako instytucji uczenia się przez całe życie oraz przyczynienie się do podnoszenia i zmiany kwalifikacji osób dorosłych zgodnie z zaleceniem Rady przyjętym w czerwcu 20</w:t>
      </w:r>
      <w:r w:rsidRPr="00A1618E">
        <w:rPr>
          <w:noProof/>
          <w:lang w:val="pl-PL"/>
        </w:rPr>
        <w:t>22 r.</w:t>
      </w:r>
      <w:r>
        <w:rPr>
          <w:noProof/>
        </w:rPr>
        <w:t xml:space="preserve"> w sprawie europejskiego podejścia do mikropoświadczeń na potrzeby uczenia się przez całe życie i zdolności do zatrudnienia.</w:t>
      </w:r>
    </w:p>
    <w:p w14:paraId="634CBE91" w14:textId="1359873B" w:rsidR="006578ED" w:rsidRDefault="00A1618E">
      <w:pPr>
        <w:pStyle w:val="P68B1DB1-Normal4"/>
        <w:spacing w:before="120" w:after="120" w:line="240" w:lineRule="auto"/>
        <w:jc w:val="both"/>
        <w:rPr>
          <w:rFonts w:cs="Times New Roman"/>
          <w:noProof/>
        </w:rPr>
      </w:pPr>
      <w:r>
        <w:rPr>
          <w:noProof/>
        </w:rPr>
        <w:t>Pierwszy element tego środka polega na przyjęciu planu działania na rzecz stworzenia ram rozwoju mikropoświadczeń, opracowanego przez Ministerstwo Uniwersytetów po konsultacjach z zainteresowanymi stronami i publikowanego na stronie internetowej ministerstwa. Plan obejmuje działania (i) mające na celu przekształcenie uniwersytetów w instytucje uczenia się przez całe życie; pobudzanie popytu wśród dorosłych i ich pracodawców; promowanie jakości i przydatności mikropoświadczeń; wspieranie równego dostępu; oraz (v) stworzenie zindywidualizowanych i elastycznych ścieżek kształcenia.</w:t>
      </w:r>
    </w:p>
    <w:p w14:paraId="1237B438" w14:textId="5419D274" w:rsidR="006578ED" w:rsidRDefault="00A1618E">
      <w:pPr>
        <w:pStyle w:val="P68B1DB1-Normal4"/>
        <w:spacing w:before="120" w:after="120" w:line="240" w:lineRule="auto"/>
        <w:jc w:val="both"/>
        <w:rPr>
          <w:rFonts w:cs="Times New Roman"/>
          <w:noProof/>
        </w:rPr>
      </w:pPr>
      <w:r>
        <w:rPr>
          <w:noProof/>
        </w:rPr>
        <w:t>Drugi element tego środka polega na zapewnieniu co najmniej 60000 jednostek mikropoświadczeń trwających mniej niż 15 ECTS i odpowiadających co najmniej 1000 różnym działaniom szkoleniowym, w tym możliwości zapewnienia więcej niż jednej jednostki tej samej osobie dorosłej. Działania szkoleniowe zapewniają specyficzną wiedzę i umiejętności potrzebne na rynku pracy. Środek ten obejmuje również publikację na stronie internetowej Ministerstwa Szkolnictwa Wyższego sprawozdania z oceny udzielania mikropoświadczeń do dnia 31 grudnia 20</w:t>
      </w:r>
      <w:r w:rsidRPr="00A1618E">
        <w:rPr>
          <w:noProof/>
          <w:lang w:val="pl-PL"/>
        </w:rPr>
        <w:t>25 r.</w:t>
      </w:r>
    </w:p>
    <w:p w14:paraId="7E097F43" w14:textId="383F73BE" w:rsidR="006578ED" w:rsidRDefault="00A1618E">
      <w:pPr>
        <w:pStyle w:val="P68B1DB1-Normal4"/>
        <w:spacing w:before="120" w:after="120" w:line="240" w:lineRule="auto"/>
        <w:jc w:val="both"/>
        <w:rPr>
          <w:rFonts w:cs="Times New Roman"/>
          <w:noProof/>
        </w:rPr>
      </w:pPr>
      <w:r>
        <w:rPr>
          <w:noProof/>
        </w:rPr>
        <w:t>Wdrożenie środka należy zakończyć do dnia 30 czerwca 20</w:t>
      </w:r>
      <w:r w:rsidRPr="00A1618E">
        <w:rPr>
          <w:noProof/>
          <w:lang w:val="pl-PL"/>
        </w:rPr>
        <w:t>26 r.</w:t>
      </w:r>
    </w:p>
    <w:p w14:paraId="4D643303" w14:textId="5B52A4B9" w:rsidR="006578ED" w:rsidRDefault="00A1618E">
      <w:pPr>
        <w:pStyle w:val="P68B1DB1-Normal5"/>
        <w:spacing w:before="120" w:after="120" w:line="240" w:lineRule="auto"/>
        <w:ind w:left="709"/>
        <w:jc w:val="both"/>
        <w:rPr>
          <w:rFonts w:cs="Times New Roman"/>
          <w:noProof/>
        </w:rPr>
      </w:pPr>
      <w:r>
        <w:rPr>
          <w:noProof/>
        </w:rPr>
        <w:t xml:space="preserve">U.2. </w:t>
      </w:r>
      <w:r>
        <w:rPr>
          <w:noProof/>
        </w:rPr>
        <w:tab/>
        <w:t>Kamienie milowe, wartości docelowe, wskaźniki i harmonogram monitorowania i realizacji na potrzeby bezzwrotnego wsparcia finansowego</w:t>
      </w:r>
    </w:p>
    <w:p w14:paraId="1805D5BB" w14:textId="4FCF8F44"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32E52008" w14:textId="77777777" w:rsidR="006578ED" w:rsidRDefault="006578ED">
      <w:pPr>
        <w:spacing w:before="120" w:after="120" w:line="240" w:lineRule="auto"/>
        <w:jc w:val="both"/>
        <w:rPr>
          <w:rFonts w:ascii="Times New Roman" w:hAnsi="Times New Roman" w:cs="Times New Roman"/>
          <w:noProof/>
          <w:sz w:val="24"/>
        </w:rPr>
        <w:sectPr w:rsidR="006578ED" w:rsidSect="00C94F66">
          <w:headerReference w:type="even" r:id="rId411"/>
          <w:headerReference w:type="default" r:id="rId412"/>
          <w:footerReference w:type="even" r:id="rId413"/>
          <w:footerReference w:type="default" r:id="rId414"/>
          <w:headerReference w:type="first" r:id="rId415"/>
          <w:footerReference w:type="first" r:id="rId416"/>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3119"/>
        <w:gridCol w:w="1134"/>
        <w:gridCol w:w="850"/>
        <w:gridCol w:w="709"/>
        <w:gridCol w:w="851"/>
        <w:gridCol w:w="567"/>
        <w:gridCol w:w="708"/>
        <w:gridCol w:w="4962"/>
      </w:tblGrid>
      <w:tr w:rsidR="006578ED" w14:paraId="5BF40099" w14:textId="77777777">
        <w:trPr>
          <w:trHeight w:val="309"/>
          <w:tblHeader/>
        </w:trPr>
        <w:tc>
          <w:tcPr>
            <w:tcW w:w="709" w:type="dxa"/>
            <w:tcBorders>
              <w:bottom w:val="nil"/>
            </w:tcBorders>
            <w:shd w:val="clear" w:color="auto" w:fill="C6D9F1" w:themeFill="text2" w:themeFillTint="33"/>
            <w:noWrap/>
            <w:vAlign w:val="center"/>
          </w:tcPr>
          <w:p w14:paraId="1B0A961F"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002DD41F"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792F46DB" w14:textId="3156CB67"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3119" w:type="dxa"/>
            <w:tcBorders>
              <w:bottom w:val="nil"/>
            </w:tcBorders>
            <w:shd w:val="clear" w:color="auto" w:fill="C6D9F1" w:themeFill="text2" w:themeFillTint="33"/>
            <w:noWrap/>
            <w:vAlign w:val="center"/>
          </w:tcPr>
          <w:p w14:paraId="25BE3619" w14:textId="77777777" w:rsidR="006578ED" w:rsidRDefault="00A1618E">
            <w:pPr>
              <w:pStyle w:val="P68B1DB1-Normal12"/>
              <w:spacing w:after="0" w:line="240" w:lineRule="auto"/>
              <w:jc w:val="center"/>
              <w:rPr>
                <w:rFonts w:cs="Times New Roman"/>
                <w:noProof/>
              </w:rPr>
            </w:pPr>
            <w:r>
              <w:rPr>
                <w:noProof/>
              </w:rPr>
              <w:t>Nazwa</w:t>
            </w:r>
          </w:p>
        </w:tc>
        <w:tc>
          <w:tcPr>
            <w:tcW w:w="1134" w:type="dxa"/>
            <w:tcBorders>
              <w:bottom w:val="nil"/>
            </w:tcBorders>
            <w:shd w:val="clear" w:color="auto" w:fill="C6D9F1" w:themeFill="text2" w:themeFillTint="33"/>
            <w:noWrap/>
            <w:vAlign w:val="center"/>
          </w:tcPr>
          <w:p w14:paraId="0D2E2C96"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410" w:type="dxa"/>
            <w:gridSpan w:val="3"/>
            <w:shd w:val="clear" w:color="auto" w:fill="C6D9F1" w:themeFill="text2" w:themeFillTint="33"/>
            <w:noWrap/>
          </w:tcPr>
          <w:p w14:paraId="3F711F41"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275" w:type="dxa"/>
            <w:gridSpan w:val="2"/>
            <w:shd w:val="clear" w:color="auto" w:fill="C6D9F1" w:themeFill="text2" w:themeFillTint="33"/>
            <w:noWrap/>
          </w:tcPr>
          <w:p w14:paraId="71C8D342" w14:textId="77777777" w:rsidR="006578ED" w:rsidRDefault="00A1618E">
            <w:pPr>
              <w:pStyle w:val="P68B1DB1-Normal12"/>
              <w:spacing w:after="0" w:line="240" w:lineRule="auto"/>
              <w:jc w:val="center"/>
              <w:rPr>
                <w:rFonts w:cs="Times New Roman"/>
                <w:noProof/>
              </w:rPr>
            </w:pPr>
            <w:r>
              <w:rPr>
                <w:noProof/>
              </w:rPr>
              <w:t>Czas</w:t>
            </w:r>
          </w:p>
        </w:tc>
        <w:tc>
          <w:tcPr>
            <w:tcW w:w="4962" w:type="dxa"/>
            <w:tcBorders>
              <w:bottom w:val="nil"/>
            </w:tcBorders>
            <w:shd w:val="clear" w:color="auto" w:fill="C6D9F1" w:themeFill="text2" w:themeFillTint="33"/>
            <w:noWrap/>
          </w:tcPr>
          <w:p w14:paraId="405D723A" w14:textId="26B100A8"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614FACF3" w14:textId="77777777">
        <w:trPr>
          <w:trHeight w:val="309"/>
          <w:tblHeader/>
        </w:trPr>
        <w:tc>
          <w:tcPr>
            <w:tcW w:w="709" w:type="dxa"/>
            <w:tcBorders>
              <w:top w:val="nil"/>
            </w:tcBorders>
            <w:shd w:val="clear" w:color="auto" w:fill="C6D9F1" w:themeFill="text2" w:themeFillTint="33"/>
            <w:noWrap/>
          </w:tcPr>
          <w:p w14:paraId="3AC7CC24"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1DEF63C3"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3D2EBC9" w14:textId="77777777" w:rsidR="006578ED" w:rsidRDefault="006578ED">
            <w:pPr>
              <w:spacing w:after="0" w:line="240" w:lineRule="auto"/>
              <w:jc w:val="center"/>
              <w:rPr>
                <w:rFonts w:ascii="Times New Roman" w:hAnsi="Times New Roman" w:cs="Times New Roman"/>
                <w:b/>
                <w:noProof/>
                <w:sz w:val="18"/>
              </w:rPr>
            </w:pPr>
          </w:p>
        </w:tc>
        <w:tc>
          <w:tcPr>
            <w:tcW w:w="3119" w:type="dxa"/>
            <w:tcBorders>
              <w:top w:val="nil"/>
            </w:tcBorders>
            <w:shd w:val="clear" w:color="auto" w:fill="C6D9F1" w:themeFill="text2" w:themeFillTint="33"/>
            <w:noWrap/>
          </w:tcPr>
          <w:p w14:paraId="4DAC3D7C" w14:textId="77777777" w:rsidR="006578ED" w:rsidRDefault="006578ED">
            <w:pPr>
              <w:spacing w:after="0" w:line="240" w:lineRule="auto"/>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3BF921D"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47555B18" w14:textId="77777777" w:rsidR="006578ED" w:rsidRDefault="00A1618E">
            <w:pPr>
              <w:pStyle w:val="P68B1DB1-Normal12"/>
              <w:spacing w:after="0" w:line="240" w:lineRule="auto"/>
              <w:jc w:val="center"/>
              <w:rPr>
                <w:rFonts w:cs="Times New Roman"/>
                <w:noProof/>
              </w:rPr>
            </w:pPr>
            <w:r>
              <w:rPr>
                <w:noProof/>
              </w:rPr>
              <w:t>Jednostka</w:t>
            </w:r>
          </w:p>
        </w:tc>
        <w:tc>
          <w:tcPr>
            <w:tcW w:w="709" w:type="dxa"/>
            <w:shd w:val="clear" w:color="auto" w:fill="C6D9F1" w:themeFill="text2" w:themeFillTint="33"/>
            <w:noWrap/>
          </w:tcPr>
          <w:p w14:paraId="30948B86" w14:textId="77777777" w:rsidR="006578ED" w:rsidRDefault="00A1618E">
            <w:pPr>
              <w:pStyle w:val="P68B1DB1-Normal12"/>
              <w:spacing w:after="0" w:line="240" w:lineRule="auto"/>
              <w:jc w:val="center"/>
              <w:rPr>
                <w:rFonts w:cs="Times New Roman"/>
                <w:noProof/>
              </w:rPr>
            </w:pPr>
            <w:r>
              <w:rPr>
                <w:noProof/>
              </w:rPr>
              <w:t>Bazowy</w:t>
            </w:r>
          </w:p>
        </w:tc>
        <w:tc>
          <w:tcPr>
            <w:tcW w:w="851" w:type="dxa"/>
            <w:shd w:val="clear" w:color="auto" w:fill="C6D9F1" w:themeFill="text2" w:themeFillTint="33"/>
            <w:noWrap/>
          </w:tcPr>
          <w:p w14:paraId="4DB96B6C" w14:textId="77777777" w:rsidR="006578ED" w:rsidRDefault="00A1618E">
            <w:pPr>
              <w:pStyle w:val="P68B1DB1-Normal12"/>
              <w:spacing w:after="0" w:line="240" w:lineRule="auto"/>
              <w:jc w:val="center"/>
              <w:rPr>
                <w:rFonts w:cs="Times New Roman"/>
                <w:noProof/>
              </w:rPr>
            </w:pPr>
            <w:r>
              <w:rPr>
                <w:noProof/>
              </w:rPr>
              <w:t>Cel</w:t>
            </w:r>
          </w:p>
        </w:tc>
        <w:tc>
          <w:tcPr>
            <w:tcW w:w="567" w:type="dxa"/>
            <w:shd w:val="clear" w:color="auto" w:fill="C6D9F1" w:themeFill="text2" w:themeFillTint="33"/>
            <w:noWrap/>
          </w:tcPr>
          <w:p w14:paraId="5D5ADC9C" w14:textId="77777777" w:rsidR="006578ED" w:rsidRDefault="00A1618E">
            <w:pPr>
              <w:pStyle w:val="P68B1DB1-Normal12"/>
              <w:spacing w:after="0" w:line="240" w:lineRule="auto"/>
              <w:jc w:val="center"/>
              <w:rPr>
                <w:rFonts w:cs="Times New Roman"/>
                <w:noProof/>
              </w:rPr>
            </w:pPr>
            <w:r>
              <w:rPr>
                <w:noProof/>
              </w:rPr>
              <w:t>Q</w:t>
            </w:r>
          </w:p>
        </w:tc>
        <w:tc>
          <w:tcPr>
            <w:tcW w:w="708" w:type="dxa"/>
            <w:shd w:val="clear" w:color="auto" w:fill="C6D9F1" w:themeFill="text2" w:themeFillTint="33"/>
            <w:noWrap/>
          </w:tcPr>
          <w:p w14:paraId="01CE265D" w14:textId="77777777" w:rsidR="006578ED" w:rsidRDefault="00A1618E">
            <w:pPr>
              <w:pStyle w:val="P68B1DB1-Normal12"/>
              <w:spacing w:after="0" w:line="240" w:lineRule="auto"/>
              <w:jc w:val="center"/>
              <w:rPr>
                <w:rFonts w:cs="Times New Roman"/>
                <w:noProof/>
              </w:rPr>
            </w:pPr>
            <w:r>
              <w:rPr>
                <w:noProof/>
              </w:rPr>
              <w:t>Rok</w:t>
            </w:r>
          </w:p>
        </w:tc>
        <w:tc>
          <w:tcPr>
            <w:tcW w:w="4962" w:type="dxa"/>
            <w:tcBorders>
              <w:top w:val="nil"/>
            </w:tcBorders>
            <w:shd w:val="clear" w:color="auto" w:fill="C6D9F1" w:themeFill="text2" w:themeFillTint="33"/>
            <w:noWrap/>
          </w:tcPr>
          <w:p w14:paraId="5CA28185" w14:textId="77777777" w:rsidR="006578ED" w:rsidRDefault="006578ED">
            <w:pPr>
              <w:spacing w:after="0" w:line="240" w:lineRule="auto"/>
              <w:rPr>
                <w:rFonts w:ascii="Times New Roman" w:hAnsi="Times New Roman" w:cs="Times New Roman"/>
                <w:b/>
                <w:noProof/>
                <w:sz w:val="18"/>
              </w:rPr>
            </w:pPr>
          </w:p>
        </w:tc>
      </w:tr>
      <w:tr w:rsidR="006578ED" w14:paraId="147D6968" w14:textId="77777777">
        <w:trPr>
          <w:trHeight w:val="309"/>
        </w:trPr>
        <w:tc>
          <w:tcPr>
            <w:tcW w:w="709" w:type="dxa"/>
            <w:shd w:val="clear" w:color="auto" w:fill="C6EFCE"/>
            <w:noWrap/>
          </w:tcPr>
          <w:p w14:paraId="48AACAC2" w14:textId="77777777" w:rsidR="006578ED" w:rsidRDefault="00A1618E">
            <w:pPr>
              <w:pStyle w:val="P68B1DB1-Normal13"/>
              <w:spacing w:after="0" w:line="240" w:lineRule="auto"/>
              <w:jc w:val="center"/>
              <w:rPr>
                <w:rFonts w:eastAsia="Times New Roman" w:cs="Times New Roman"/>
                <w:noProof/>
              </w:rPr>
            </w:pPr>
            <w:r>
              <w:rPr>
                <w:noProof/>
              </w:rPr>
              <w:t>303</w:t>
            </w:r>
          </w:p>
        </w:tc>
        <w:tc>
          <w:tcPr>
            <w:tcW w:w="851" w:type="dxa"/>
            <w:shd w:val="clear" w:color="auto" w:fill="C6EFCE"/>
            <w:noWrap/>
          </w:tcPr>
          <w:p w14:paraId="5B313E34" w14:textId="77777777" w:rsidR="006578ED" w:rsidRDefault="00A1618E">
            <w:pPr>
              <w:pStyle w:val="P68B1DB1-Normal13"/>
              <w:spacing w:after="0" w:line="240" w:lineRule="auto"/>
              <w:jc w:val="center"/>
              <w:rPr>
                <w:rFonts w:eastAsia="Times New Roman" w:cs="Times New Roman"/>
                <w:noProof/>
              </w:rPr>
            </w:pPr>
            <w:r>
              <w:rPr>
                <w:noProof/>
              </w:rPr>
              <w:t>C21.R1</w:t>
            </w:r>
          </w:p>
        </w:tc>
        <w:tc>
          <w:tcPr>
            <w:tcW w:w="850" w:type="dxa"/>
            <w:shd w:val="clear" w:color="auto" w:fill="C6EFCE"/>
            <w:noWrap/>
          </w:tcPr>
          <w:p w14:paraId="0B2C46E8" w14:textId="4587542A"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3CA8E8FB" w14:textId="55C2F9A7" w:rsidR="006578ED" w:rsidRDefault="00A1618E">
            <w:pPr>
              <w:pStyle w:val="P68B1DB1-Normal13"/>
              <w:spacing w:after="0" w:line="240" w:lineRule="auto"/>
              <w:rPr>
                <w:rFonts w:eastAsia="Times New Roman" w:cs="Times New Roman"/>
                <w:noProof/>
              </w:rPr>
            </w:pPr>
            <w:r>
              <w:rPr>
                <w:noProof/>
              </w:rPr>
              <w:t xml:space="preserve">Wejście w życie ustawy organicznej o edukacji </w:t>
            </w:r>
          </w:p>
        </w:tc>
        <w:tc>
          <w:tcPr>
            <w:tcW w:w="1134" w:type="dxa"/>
            <w:shd w:val="clear" w:color="auto" w:fill="C6EFCE"/>
            <w:noWrap/>
          </w:tcPr>
          <w:p w14:paraId="36FEAF97" w14:textId="10A63593" w:rsidR="006578ED" w:rsidRDefault="00A1618E">
            <w:pPr>
              <w:pStyle w:val="P68B1DB1-Normal13"/>
              <w:spacing w:after="0" w:line="240" w:lineRule="auto"/>
              <w:jc w:val="center"/>
              <w:rPr>
                <w:rFonts w:eastAsia="Times New Roman" w:cs="Times New Roman"/>
                <w:noProof/>
              </w:rPr>
            </w:pPr>
            <w:r>
              <w:rPr>
                <w:noProof/>
              </w:rPr>
              <w:t xml:space="preserve">Przepis ustawy wskazujący na wejście w życie ustawy organicznej </w:t>
            </w:r>
          </w:p>
        </w:tc>
        <w:tc>
          <w:tcPr>
            <w:tcW w:w="850" w:type="dxa"/>
            <w:shd w:val="clear" w:color="auto" w:fill="C6EFCE"/>
            <w:noWrap/>
          </w:tcPr>
          <w:p w14:paraId="63A2F57E"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7DB0C11B"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00ED1CF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237C5EBC" w14:textId="18E8604A" w:rsidR="006578ED" w:rsidRDefault="00EC188C">
            <w:pPr>
              <w:pStyle w:val="P68B1DB1-Normal13"/>
              <w:spacing w:after="0" w:line="240" w:lineRule="auto"/>
              <w:jc w:val="center"/>
              <w:rPr>
                <w:rFonts w:eastAsia="Times New Roman" w:cs="Times New Roman"/>
                <w:noProof/>
              </w:rPr>
            </w:pPr>
            <w:r>
              <w:rPr>
                <w:noProof/>
              </w:rPr>
              <w:t>KW. 1</w:t>
            </w:r>
          </w:p>
        </w:tc>
        <w:tc>
          <w:tcPr>
            <w:tcW w:w="708" w:type="dxa"/>
            <w:shd w:val="clear" w:color="auto" w:fill="C6EFCE"/>
            <w:noWrap/>
          </w:tcPr>
          <w:p w14:paraId="754B1E92" w14:textId="77777777" w:rsidR="006578ED" w:rsidRDefault="00A1618E">
            <w:pPr>
              <w:pStyle w:val="P68B1DB1-Normal13"/>
              <w:spacing w:after="0" w:line="240" w:lineRule="auto"/>
              <w:jc w:val="center"/>
              <w:rPr>
                <w:rFonts w:eastAsia="Times New Roman" w:cs="Times New Roman"/>
                <w:noProof/>
              </w:rPr>
            </w:pPr>
            <w:r>
              <w:rPr>
                <w:noProof/>
              </w:rPr>
              <w:t>2021</w:t>
            </w:r>
          </w:p>
        </w:tc>
        <w:tc>
          <w:tcPr>
            <w:tcW w:w="4962" w:type="dxa"/>
            <w:shd w:val="clear" w:color="auto" w:fill="C6EFCE"/>
            <w:noWrap/>
          </w:tcPr>
          <w:p w14:paraId="5DE0CF4B" w14:textId="53042AB3" w:rsidR="006578ED" w:rsidRDefault="00A1618E">
            <w:pPr>
              <w:pStyle w:val="P68B1DB1-Normal13"/>
              <w:spacing w:after="0" w:line="240" w:lineRule="auto"/>
              <w:rPr>
                <w:rFonts w:eastAsia="Times New Roman" w:cs="Times New Roman"/>
                <w:noProof/>
              </w:rPr>
            </w:pPr>
            <w:r>
              <w:rPr>
                <w:noProof/>
              </w:rPr>
              <w:t xml:space="preserve">Celem ustawy organicznej oświaty (LOMLOE) jest ustanowienie odnowionego systemu prawnego, który zgodnie z zasadami jakości, sprawiedliwości i włączenia społecznego zwiększa możliwości uczniów w zakresie kształcenia i szkolenia oraz przyczynia się do poprawy efektów kształcenia. </w:t>
            </w:r>
          </w:p>
        </w:tc>
      </w:tr>
      <w:tr w:rsidR="006578ED" w14:paraId="0C0DD3F9" w14:textId="77777777">
        <w:trPr>
          <w:trHeight w:val="309"/>
        </w:trPr>
        <w:tc>
          <w:tcPr>
            <w:tcW w:w="709" w:type="dxa"/>
            <w:shd w:val="clear" w:color="auto" w:fill="C6EFCE"/>
            <w:noWrap/>
          </w:tcPr>
          <w:p w14:paraId="2A41899C" w14:textId="77777777" w:rsidR="006578ED" w:rsidRDefault="00A1618E">
            <w:pPr>
              <w:pStyle w:val="P68B1DB1-Normal13"/>
              <w:spacing w:after="0" w:line="240" w:lineRule="auto"/>
              <w:jc w:val="center"/>
              <w:rPr>
                <w:rFonts w:eastAsia="Times New Roman" w:cs="Times New Roman"/>
                <w:noProof/>
              </w:rPr>
            </w:pPr>
            <w:r>
              <w:rPr>
                <w:noProof/>
              </w:rPr>
              <w:t>304</w:t>
            </w:r>
          </w:p>
        </w:tc>
        <w:tc>
          <w:tcPr>
            <w:tcW w:w="851" w:type="dxa"/>
            <w:shd w:val="clear" w:color="auto" w:fill="C6EFCE"/>
            <w:noWrap/>
          </w:tcPr>
          <w:p w14:paraId="2F48DC72" w14:textId="77777777" w:rsidR="006578ED" w:rsidRDefault="00A1618E">
            <w:pPr>
              <w:pStyle w:val="P68B1DB1-Normal13"/>
              <w:spacing w:after="0" w:line="240" w:lineRule="auto"/>
              <w:jc w:val="center"/>
              <w:rPr>
                <w:rFonts w:eastAsia="Times New Roman" w:cs="Times New Roman"/>
                <w:noProof/>
              </w:rPr>
            </w:pPr>
            <w:r>
              <w:rPr>
                <w:noProof/>
              </w:rPr>
              <w:t>C21.R2</w:t>
            </w:r>
          </w:p>
        </w:tc>
        <w:tc>
          <w:tcPr>
            <w:tcW w:w="850" w:type="dxa"/>
            <w:shd w:val="clear" w:color="auto" w:fill="C6EFCE"/>
            <w:noWrap/>
          </w:tcPr>
          <w:p w14:paraId="193DD2CA" w14:textId="76FB5C67"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73CC4CE5" w14:textId="12567EC3" w:rsidR="006578ED" w:rsidRDefault="00A1618E">
            <w:pPr>
              <w:pStyle w:val="P68B1DB1-Normal13"/>
              <w:spacing w:after="0" w:line="240" w:lineRule="auto"/>
              <w:rPr>
                <w:rFonts w:eastAsia="Times New Roman" w:cs="Times New Roman"/>
                <w:noProof/>
              </w:rPr>
            </w:pPr>
            <w:r>
              <w:rPr>
                <w:noProof/>
              </w:rPr>
              <w:t xml:space="preserve">Wejście w życie dekretu królewskiego w sprawie minimalnych wymogów edukacyjnych </w:t>
            </w:r>
          </w:p>
        </w:tc>
        <w:tc>
          <w:tcPr>
            <w:tcW w:w="1134" w:type="dxa"/>
            <w:shd w:val="clear" w:color="auto" w:fill="C6EFCE"/>
            <w:noWrap/>
          </w:tcPr>
          <w:p w14:paraId="7FAEF243" w14:textId="6B906D12" w:rsidR="006578ED" w:rsidRDefault="00A1618E">
            <w:pPr>
              <w:pStyle w:val="P68B1DB1-Normal13"/>
              <w:spacing w:after="0" w:line="240" w:lineRule="auto"/>
              <w:jc w:val="center"/>
              <w:rPr>
                <w:rFonts w:eastAsia="Times New Roman" w:cs="Times New Roman"/>
                <w:noProof/>
              </w:rPr>
            </w:pPr>
            <w:r>
              <w:rPr>
                <w:noProof/>
              </w:rPr>
              <w:t>Przepis dekretu królewskiego wskazujący na wejście w życie dekretu królewskiego</w:t>
            </w:r>
          </w:p>
        </w:tc>
        <w:tc>
          <w:tcPr>
            <w:tcW w:w="850" w:type="dxa"/>
            <w:shd w:val="clear" w:color="auto" w:fill="C6EFCE"/>
            <w:noWrap/>
          </w:tcPr>
          <w:p w14:paraId="7590E4F4"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52AC652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3AB103B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33E7B9E7" w14:textId="39A68ABB" w:rsidR="006578ED" w:rsidRDefault="00EC188C">
            <w:pPr>
              <w:pStyle w:val="P68B1DB1-Normal13"/>
              <w:spacing w:after="0" w:line="240" w:lineRule="auto"/>
              <w:jc w:val="center"/>
              <w:rPr>
                <w:rFonts w:eastAsia="Times New Roman" w:cs="Times New Roman"/>
                <w:noProof/>
              </w:rPr>
            </w:pPr>
            <w:r>
              <w:rPr>
                <w:noProof/>
              </w:rPr>
              <w:t>KW. 1</w:t>
            </w:r>
          </w:p>
        </w:tc>
        <w:tc>
          <w:tcPr>
            <w:tcW w:w="708" w:type="dxa"/>
            <w:shd w:val="clear" w:color="auto" w:fill="C6EFCE"/>
            <w:noWrap/>
          </w:tcPr>
          <w:p w14:paraId="5BD39E85" w14:textId="77777777" w:rsidR="006578ED" w:rsidRDefault="00A1618E">
            <w:pPr>
              <w:pStyle w:val="P68B1DB1-Normal13"/>
              <w:spacing w:after="0" w:line="240" w:lineRule="auto"/>
              <w:jc w:val="center"/>
              <w:rPr>
                <w:rFonts w:eastAsia="Times New Roman" w:cs="Times New Roman"/>
                <w:noProof/>
              </w:rPr>
            </w:pPr>
            <w:r>
              <w:rPr>
                <w:noProof/>
              </w:rPr>
              <w:t>2022</w:t>
            </w:r>
          </w:p>
        </w:tc>
        <w:tc>
          <w:tcPr>
            <w:tcW w:w="4962" w:type="dxa"/>
            <w:shd w:val="clear" w:color="auto" w:fill="C6EFCE"/>
            <w:noWrap/>
          </w:tcPr>
          <w:p w14:paraId="607538B8" w14:textId="707CBE76" w:rsidR="006578ED" w:rsidRDefault="00A1618E">
            <w:pPr>
              <w:pStyle w:val="P68B1DB1-Normal13"/>
              <w:spacing w:after="0" w:line="240" w:lineRule="auto"/>
              <w:rPr>
                <w:rFonts w:eastAsia="Times New Roman" w:cs="Times New Roman"/>
                <w:noProof/>
              </w:rPr>
            </w:pPr>
            <w:r>
              <w:rPr>
                <w:noProof/>
              </w:rPr>
              <w:t xml:space="preserve">Dekret królewski w sprawie minimalnych wymogów w zakresie nauczania w ramach kształcenia na poziomie podstawowym, obowiązkowego kształcenia średniego i matury obejmuje wprowadzenie wytycznych metodologicznych dotyczących nauczania i uczenia się w oparciu o program nauczania oparty na kompetencjach, w tym „umiejętności miękkich”; ramy oceny nabywania kompetencji; opracowanie bardziej elastycznego i otwartego modelu, promującego pogłębione uczenie się; oraz przygotowanie materiałów dydaktycznych, wsparcia, wytycznych i szkoleń dla nauczycieli, aby zapewnić im możliwość skutecznego wdrożenia nowego programu nauczania. </w:t>
            </w:r>
          </w:p>
        </w:tc>
      </w:tr>
      <w:tr w:rsidR="006578ED" w14:paraId="1C9F393F" w14:textId="77777777">
        <w:trPr>
          <w:trHeight w:val="309"/>
        </w:trPr>
        <w:tc>
          <w:tcPr>
            <w:tcW w:w="709" w:type="dxa"/>
            <w:shd w:val="clear" w:color="auto" w:fill="C6EFCE"/>
            <w:noWrap/>
          </w:tcPr>
          <w:p w14:paraId="0989A4DE" w14:textId="77777777" w:rsidR="006578ED" w:rsidRDefault="00A1618E">
            <w:pPr>
              <w:pStyle w:val="P68B1DB1-Normal13"/>
              <w:spacing w:after="0" w:line="240" w:lineRule="auto"/>
              <w:jc w:val="center"/>
              <w:rPr>
                <w:rFonts w:eastAsia="Times New Roman" w:cs="Times New Roman"/>
                <w:noProof/>
              </w:rPr>
            </w:pPr>
            <w:r>
              <w:rPr>
                <w:noProof/>
              </w:rPr>
              <w:t>305</w:t>
            </w:r>
          </w:p>
        </w:tc>
        <w:tc>
          <w:tcPr>
            <w:tcW w:w="851" w:type="dxa"/>
            <w:shd w:val="clear" w:color="auto" w:fill="C6EFCE"/>
            <w:noWrap/>
          </w:tcPr>
          <w:p w14:paraId="00868EFA" w14:textId="77777777" w:rsidR="006578ED" w:rsidRDefault="00A1618E">
            <w:pPr>
              <w:pStyle w:val="P68B1DB1-Normal13"/>
              <w:spacing w:after="0" w:line="240" w:lineRule="auto"/>
              <w:jc w:val="center"/>
              <w:rPr>
                <w:rFonts w:eastAsia="Times New Roman" w:cs="Times New Roman"/>
                <w:noProof/>
              </w:rPr>
            </w:pPr>
            <w:r>
              <w:rPr>
                <w:noProof/>
              </w:rPr>
              <w:t>C21.R2</w:t>
            </w:r>
          </w:p>
        </w:tc>
        <w:tc>
          <w:tcPr>
            <w:tcW w:w="850" w:type="dxa"/>
            <w:shd w:val="clear" w:color="auto" w:fill="C6EFCE"/>
            <w:noWrap/>
          </w:tcPr>
          <w:p w14:paraId="4527B462" w14:textId="4EDE38A5"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1F3FE9D9" w14:textId="2545C9E7" w:rsidR="006578ED" w:rsidRDefault="00A1618E">
            <w:pPr>
              <w:pStyle w:val="P68B1DB1-Normal13"/>
              <w:spacing w:after="0" w:line="240" w:lineRule="auto"/>
              <w:rPr>
                <w:rFonts w:eastAsia="Times New Roman" w:cs="Times New Roman"/>
                <w:noProof/>
              </w:rPr>
            </w:pPr>
            <w:r>
              <w:rPr>
                <w:noProof/>
              </w:rPr>
              <w:t xml:space="preserve">Materiały służące ukierunkowaniu i wspieraniu nauczycieli w realizacji nowego programu nauczania oraz szkolenia specjalistów </w:t>
            </w:r>
          </w:p>
        </w:tc>
        <w:tc>
          <w:tcPr>
            <w:tcW w:w="1134" w:type="dxa"/>
            <w:shd w:val="clear" w:color="auto" w:fill="C6EFCE"/>
            <w:noWrap/>
          </w:tcPr>
          <w:p w14:paraId="71FAEB64" w14:textId="5FF8F428" w:rsidR="006578ED" w:rsidRDefault="00A1618E">
            <w:pPr>
              <w:pStyle w:val="P68B1DB1-Normal13"/>
              <w:spacing w:after="0" w:line="240" w:lineRule="auto"/>
              <w:jc w:val="center"/>
              <w:rPr>
                <w:rFonts w:eastAsia="Times New Roman" w:cs="Times New Roman"/>
                <w:noProof/>
              </w:rPr>
            </w:pPr>
            <w:r>
              <w:rPr>
                <w:noProof/>
              </w:rPr>
              <w:t>Zaświadczenia o opublikowanych materiałach i przeprowadzonych szkoleniach</w:t>
            </w:r>
          </w:p>
        </w:tc>
        <w:tc>
          <w:tcPr>
            <w:tcW w:w="850" w:type="dxa"/>
            <w:shd w:val="clear" w:color="auto" w:fill="C6EFCE"/>
            <w:noWrap/>
          </w:tcPr>
          <w:p w14:paraId="4225590F" w14:textId="77777777" w:rsidR="006578ED" w:rsidRDefault="00A1618E">
            <w:pPr>
              <w:pStyle w:val="P68B1DB1-Normal13"/>
              <w:spacing w:after="0" w:line="240" w:lineRule="auto"/>
              <w:jc w:val="center"/>
              <w:rPr>
                <w:rFonts w:eastAsia="Times New Roman" w:cs="Times New Roman"/>
                <w:noProof/>
              </w:rPr>
            </w:pPr>
            <w:r>
              <w:rPr>
                <w:noProof/>
              </w:rPr>
              <w:t> </w:t>
            </w:r>
          </w:p>
        </w:tc>
        <w:tc>
          <w:tcPr>
            <w:tcW w:w="709" w:type="dxa"/>
            <w:shd w:val="clear" w:color="auto" w:fill="C6EFCE"/>
            <w:noWrap/>
          </w:tcPr>
          <w:p w14:paraId="2DD6667F" w14:textId="77777777" w:rsidR="006578ED" w:rsidRDefault="00A1618E">
            <w:pPr>
              <w:pStyle w:val="P68B1DB1-Normal13"/>
              <w:spacing w:after="0" w:line="240" w:lineRule="auto"/>
              <w:jc w:val="right"/>
              <w:rPr>
                <w:rFonts w:eastAsia="Times New Roman" w:cs="Times New Roman"/>
                <w:noProof/>
              </w:rPr>
            </w:pPr>
            <w:r>
              <w:rPr>
                <w:noProof/>
              </w:rPr>
              <w:t> </w:t>
            </w:r>
          </w:p>
        </w:tc>
        <w:tc>
          <w:tcPr>
            <w:tcW w:w="851" w:type="dxa"/>
            <w:shd w:val="clear" w:color="auto" w:fill="C6EFCE"/>
            <w:noWrap/>
          </w:tcPr>
          <w:p w14:paraId="1526EC02" w14:textId="77777777" w:rsidR="006578ED" w:rsidRDefault="00A1618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1138C259" w14:textId="363AEC31" w:rsidR="006578ED" w:rsidRDefault="00EC188C">
            <w:pPr>
              <w:pStyle w:val="P68B1DB1-Normal13"/>
              <w:spacing w:after="0" w:line="240" w:lineRule="auto"/>
              <w:jc w:val="center"/>
              <w:rPr>
                <w:rFonts w:eastAsia="Times New Roman" w:cs="Times New Roman"/>
                <w:noProof/>
              </w:rPr>
            </w:pPr>
            <w:r>
              <w:rPr>
                <w:noProof/>
              </w:rPr>
              <w:t>KW. 3</w:t>
            </w:r>
          </w:p>
        </w:tc>
        <w:tc>
          <w:tcPr>
            <w:tcW w:w="708" w:type="dxa"/>
            <w:shd w:val="clear" w:color="auto" w:fill="C6EFCE"/>
            <w:noWrap/>
          </w:tcPr>
          <w:p w14:paraId="49849DF5" w14:textId="77777777" w:rsidR="006578ED" w:rsidRDefault="00A1618E">
            <w:pPr>
              <w:pStyle w:val="P68B1DB1-Normal13"/>
              <w:spacing w:after="0" w:line="240" w:lineRule="auto"/>
              <w:jc w:val="center"/>
              <w:rPr>
                <w:rFonts w:eastAsia="Times New Roman" w:cs="Times New Roman"/>
                <w:noProof/>
              </w:rPr>
            </w:pPr>
            <w:r>
              <w:rPr>
                <w:noProof/>
              </w:rPr>
              <w:t>2024</w:t>
            </w:r>
          </w:p>
        </w:tc>
        <w:tc>
          <w:tcPr>
            <w:tcW w:w="4962" w:type="dxa"/>
            <w:shd w:val="clear" w:color="auto" w:fill="C6EFCE"/>
            <w:noWrap/>
          </w:tcPr>
          <w:p w14:paraId="7FACA0BC" w14:textId="6580287F" w:rsidR="006578ED" w:rsidRDefault="00A1618E">
            <w:pPr>
              <w:pStyle w:val="P68B1DB1-Normal13"/>
              <w:spacing w:after="0" w:line="240" w:lineRule="auto"/>
              <w:rPr>
                <w:rFonts w:eastAsia="Times New Roman" w:cs="Times New Roman"/>
                <w:noProof/>
              </w:rPr>
            </w:pPr>
            <w:r>
              <w:rPr>
                <w:noProof/>
              </w:rPr>
              <w:t xml:space="preserve">Ukończone przygotowanie przewodnika pomocniczego i materiałów dydaktycznych. Wszystkie materiały są publikowane w internecie </w:t>
            </w:r>
            <w:r w:rsidRPr="00A1618E">
              <w:rPr>
                <w:noProof/>
                <w:lang w:val="pl-PL"/>
              </w:rPr>
              <w:t>dla 1</w:t>
            </w:r>
            <w:r>
              <w:rPr>
                <w:noProof/>
              </w:rPr>
              <w:t>00 % nauczycieli</w:t>
            </w:r>
            <w:r w:rsidRPr="00A1618E">
              <w:rPr>
                <w:noProof/>
                <w:lang w:val="pl-PL"/>
              </w:rPr>
              <w:t>. C</w:t>
            </w:r>
            <w:r>
              <w:rPr>
                <w:noProof/>
              </w:rPr>
              <w:t>o najmniej 4000 nauczycieli musi ukończyć szkolenie w zakresie stosowania nowego programu nauczania. Co najmniej 100 ekspertów zewnętrznych ma uczestniczyć w opracowaniu programu nauczania dotyczącego dziedzin i przedmiotów na etapach kształcenia oraz ram oceny, które stanowią podstawę do opracowania dekretów królewskich nowego programu nauczania i wspólnych ram oceny.</w:t>
            </w:r>
          </w:p>
        </w:tc>
      </w:tr>
      <w:tr w:rsidR="006578ED" w14:paraId="49971E8F" w14:textId="77777777">
        <w:trPr>
          <w:trHeight w:val="309"/>
        </w:trPr>
        <w:tc>
          <w:tcPr>
            <w:tcW w:w="709" w:type="dxa"/>
            <w:shd w:val="clear" w:color="auto" w:fill="C6EFCE"/>
            <w:noWrap/>
          </w:tcPr>
          <w:p w14:paraId="2363DD8F" w14:textId="77777777" w:rsidR="006578ED" w:rsidRDefault="00A1618E">
            <w:pPr>
              <w:pStyle w:val="P68B1DB1-Normal13"/>
              <w:spacing w:after="0" w:line="240" w:lineRule="auto"/>
              <w:jc w:val="center"/>
              <w:rPr>
                <w:rFonts w:eastAsia="Times New Roman" w:cs="Times New Roman"/>
                <w:noProof/>
              </w:rPr>
            </w:pPr>
            <w:r>
              <w:rPr>
                <w:noProof/>
              </w:rPr>
              <w:t>306</w:t>
            </w:r>
          </w:p>
        </w:tc>
        <w:tc>
          <w:tcPr>
            <w:tcW w:w="851" w:type="dxa"/>
            <w:shd w:val="clear" w:color="auto" w:fill="C6EFCE"/>
            <w:noWrap/>
          </w:tcPr>
          <w:p w14:paraId="49378F37" w14:textId="77777777" w:rsidR="006578ED" w:rsidRDefault="00A1618E">
            <w:pPr>
              <w:pStyle w:val="P68B1DB1-Normal13"/>
              <w:spacing w:after="0" w:line="240" w:lineRule="auto"/>
              <w:jc w:val="center"/>
              <w:rPr>
                <w:rFonts w:eastAsia="Times New Roman" w:cs="Times New Roman"/>
                <w:noProof/>
              </w:rPr>
            </w:pPr>
            <w:r>
              <w:rPr>
                <w:noProof/>
              </w:rPr>
              <w:t>C21.R3</w:t>
            </w:r>
          </w:p>
        </w:tc>
        <w:tc>
          <w:tcPr>
            <w:tcW w:w="850" w:type="dxa"/>
            <w:shd w:val="clear" w:color="auto" w:fill="C6EFCE"/>
            <w:noWrap/>
          </w:tcPr>
          <w:p w14:paraId="737E09C5" w14:textId="52F3211B"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4549ADC5" w14:textId="340126FD" w:rsidR="006578ED" w:rsidRDefault="00A1618E">
            <w:pPr>
              <w:pStyle w:val="P68B1DB1-Normal13"/>
              <w:spacing w:after="0" w:line="240" w:lineRule="auto"/>
              <w:rPr>
                <w:rFonts w:eastAsia="Times New Roman" w:cs="Times New Roman"/>
                <w:noProof/>
              </w:rPr>
            </w:pPr>
            <w:r>
              <w:rPr>
                <w:noProof/>
              </w:rPr>
              <w:t>Wejście w życie dekretów królewskich w sprawie organizacji uniwersytetów</w:t>
            </w:r>
          </w:p>
        </w:tc>
        <w:tc>
          <w:tcPr>
            <w:tcW w:w="1134" w:type="dxa"/>
            <w:shd w:val="clear" w:color="auto" w:fill="C6EFCE"/>
            <w:noWrap/>
          </w:tcPr>
          <w:p w14:paraId="369C4B4A" w14:textId="4316AEA4" w:rsidR="006578ED" w:rsidRDefault="00A1618E">
            <w:pPr>
              <w:pStyle w:val="P68B1DB1-Normal13"/>
              <w:spacing w:after="0" w:line="240" w:lineRule="auto"/>
              <w:jc w:val="center"/>
              <w:rPr>
                <w:rFonts w:eastAsia="Times New Roman" w:cs="Times New Roman"/>
                <w:noProof/>
              </w:rPr>
            </w:pPr>
            <w:r>
              <w:rPr>
                <w:noProof/>
              </w:rPr>
              <w:t>Przepis w dekretach królewskich wskazujący na wejście w życie dekretów królewskich</w:t>
            </w:r>
          </w:p>
        </w:tc>
        <w:tc>
          <w:tcPr>
            <w:tcW w:w="850" w:type="dxa"/>
            <w:shd w:val="clear" w:color="auto" w:fill="C6EFCE"/>
            <w:noWrap/>
          </w:tcPr>
          <w:p w14:paraId="25011EDD"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3709DAFA"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102288BB"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17E43498" w14:textId="16F058E5" w:rsidR="006578ED" w:rsidRDefault="00EC188C">
            <w:pPr>
              <w:pStyle w:val="P68B1DB1-Normal13"/>
              <w:spacing w:after="0" w:line="240" w:lineRule="auto"/>
              <w:jc w:val="center"/>
              <w:rPr>
                <w:rFonts w:eastAsia="Times New Roman" w:cs="Times New Roman"/>
                <w:noProof/>
              </w:rPr>
            </w:pPr>
            <w:r>
              <w:rPr>
                <w:noProof/>
              </w:rPr>
              <w:t>KW. 3</w:t>
            </w:r>
          </w:p>
        </w:tc>
        <w:tc>
          <w:tcPr>
            <w:tcW w:w="708" w:type="dxa"/>
            <w:shd w:val="clear" w:color="auto" w:fill="C6EFCE"/>
            <w:noWrap/>
          </w:tcPr>
          <w:p w14:paraId="28C269B6" w14:textId="77777777" w:rsidR="006578ED" w:rsidRDefault="00A1618E">
            <w:pPr>
              <w:pStyle w:val="P68B1DB1-Normal13"/>
              <w:spacing w:after="0" w:line="240" w:lineRule="auto"/>
              <w:jc w:val="center"/>
              <w:rPr>
                <w:rFonts w:eastAsia="Times New Roman" w:cs="Times New Roman"/>
                <w:noProof/>
              </w:rPr>
            </w:pPr>
            <w:r>
              <w:rPr>
                <w:noProof/>
              </w:rPr>
              <w:t>2021</w:t>
            </w:r>
          </w:p>
        </w:tc>
        <w:tc>
          <w:tcPr>
            <w:tcW w:w="4962" w:type="dxa"/>
            <w:shd w:val="clear" w:color="auto" w:fill="C6EFCE"/>
            <w:noWrap/>
          </w:tcPr>
          <w:p w14:paraId="455E3153" w14:textId="2059CB93" w:rsidR="006578ED" w:rsidRDefault="00A1618E">
            <w:pPr>
              <w:pStyle w:val="P68B1DB1-Normal13"/>
              <w:spacing w:after="0" w:line="240" w:lineRule="auto"/>
              <w:rPr>
                <w:rFonts w:eastAsia="Times New Roman" w:cs="Times New Roman"/>
                <w:noProof/>
              </w:rPr>
            </w:pPr>
            <w:r>
              <w:rPr>
                <w:noProof/>
              </w:rPr>
              <w:t>Dwa dekrety królewskie dotyczące organizacji uniwersytetów to:</w:t>
            </w:r>
            <w:r>
              <w:rPr>
                <w:noProof/>
              </w:rPr>
              <w:br/>
              <w:t xml:space="preserve">Dekret królewski ustanawiający organizację kursów uniwersyteckich i procedurę zapewnienia ich jakości </w:t>
            </w:r>
            <w:r>
              <w:rPr>
                <w:noProof/>
              </w:rPr>
              <w:br/>
              <w:t>— Dekret królewski w sprawie systemu tworzenia, uznawania, autoryzacji i akredytacji uniwersytetów i ośrodków przyłączonych.</w:t>
            </w:r>
          </w:p>
        </w:tc>
      </w:tr>
      <w:tr w:rsidR="006578ED" w14:paraId="7C45691E" w14:textId="77777777">
        <w:trPr>
          <w:trHeight w:val="309"/>
        </w:trPr>
        <w:tc>
          <w:tcPr>
            <w:tcW w:w="709" w:type="dxa"/>
            <w:shd w:val="clear" w:color="auto" w:fill="C6EFCE"/>
            <w:noWrap/>
          </w:tcPr>
          <w:p w14:paraId="457C32E2" w14:textId="77777777" w:rsidR="006578ED" w:rsidRDefault="00A1618E">
            <w:pPr>
              <w:pStyle w:val="P68B1DB1-Normal13"/>
              <w:spacing w:after="0" w:line="240" w:lineRule="auto"/>
              <w:jc w:val="center"/>
              <w:rPr>
                <w:rFonts w:eastAsia="Times New Roman" w:cs="Times New Roman"/>
                <w:noProof/>
              </w:rPr>
            </w:pPr>
            <w:r>
              <w:rPr>
                <w:noProof/>
              </w:rPr>
              <w:t>307</w:t>
            </w:r>
          </w:p>
        </w:tc>
        <w:tc>
          <w:tcPr>
            <w:tcW w:w="851" w:type="dxa"/>
            <w:shd w:val="clear" w:color="auto" w:fill="C6EFCE"/>
            <w:noWrap/>
          </w:tcPr>
          <w:p w14:paraId="48B8E743" w14:textId="77777777" w:rsidR="006578ED" w:rsidRDefault="00A1618E">
            <w:pPr>
              <w:pStyle w:val="P68B1DB1-Normal13"/>
              <w:spacing w:after="0" w:line="240" w:lineRule="auto"/>
              <w:jc w:val="center"/>
              <w:rPr>
                <w:rFonts w:eastAsia="Times New Roman" w:cs="Times New Roman"/>
                <w:noProof/>
              </w:rPr>
            </w:pPr>
            <w:r>
              <w:rPr>
                <w:noProof/>
              </w:rPr>
              <w:t>C21.R3</w:t>
            </w:r>
          </w:p>
        </w:tc>
        <w:tc>
          <w:tcPr>
            <w:tcW w:w="850" w:type="dxa"/>
            <w:shd w:val="clear" w:color="auto" w:fill="C6EFCE"/>
            <w:noWrap/>
          </w:tcPr>
          <w:p w14:paraId="788CC30A" w14:textId="34DE8591"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4B233E55" w14:textId="4D02EBAF" w:rsidR="006578ED" w:rsidRDefault="00A1618E">
            <w:pPr>
              <w:pStyle w:val="P68B1DB1-Normal13"/>
              <w:spacing w:after="0" w:line="240" w:lineRule="auto"/>
              <w:rPr>
                <w:rFonts w:eastAsia="Times New Roman" w:cs="Times New Roman"/>
                <w:noProof/>
              </w:rPr>
            </w:pPr>
            <w:r>
              <w:rPr>
                <w:noProof/>
              </w:rPr>
              <w:t>Wejście w życie ustawy organicznej o systemie szkolnictwa wyższego</w:t>
            </w:r>
          </w:p>
        </w:tc>
        <w:tc>
          <w:tcPr>
            <w:tcW w:w="1134" w:type="dxa"/>
            <w:shd w:val="clear" w:color="auto" w:fill="C6EFCE"/>
            <w:noWrap/>
          </w:tcPr>
          <w:p w14:paraId="221B2BB5" w14:textId="1AC60FFC" w:rsidR="006578ED" w:rsidRDefault="00A1618E">
            <w:pPr>
              <w:pStyle w:val="P68B1DB1-Normal13"/>
              <w:spacing w:after="0" w:line="240" w:lineRule="auto"/>
              <w:jc w:val="center"/>
              <w:rPr>
                <w:rFonts w:eastAsia="Times New Roman" w:cs="Times New Roman"/>
                <w:noProof/>
              </w:rPr>
            </w:pPr>
            <w:r>
              <w:rPr>
                <w:noProof/>
              </w:rPr>
              <w:t>Przepis ustawy wskazujący na wejście w życie ustawy organicznej</w:t>
            </w:r>
          </w:p>
        </w:tc>
        <w:tc>
          <w:tcPr>
            <w:tcW w:w="850" w:type="dxa"/>
            <w:shd w:val="clear" w:color="auto" w:fill="C6EFCE"/>
            <w:noWrap/>
          </w:tcPr>
          <w:p w14:paraId="076876A7"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4D9CAB7A"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851" w:type="dxa"/>
            <w:shd w:val="clear" w:color="auto" w:fill="C6EFCE"/>
            <w:noWrap/>
          </w:tcPr>
          <w:p w14:paraId="0E6B33C0" w14:textId="77777777" w:rsidR="006578ED" w:rsidRDefault="00A1618E">
            <w:pPr>
              <w:pStyle w:val="P68B1DB1-Normal13"/>
              <w:spacing w:after="0" w:line="240" w:lineRule="auto"/>
              <w:rPr>
                <w:rFonts w:eastAsia="Times New Roman" w:cs="Times New Roman"/>
                <w:noProof/>
              </w:rPr>
            </w:pPr>
            <w:r>
              <w:rPr>
                <w:noProof/>
              </w:rPr>
              <w:t xml:space="preserve"> </w:t>
            </w:r>
          </w:p>
        </w:tc>
        <w:tc>
          <w:tcPr>
            <w:tcW w:w="567" w:type="dxa"/>
            <w:shd w:val="clear" w:color="auto" w:fill="C6EFCE"/>
            <w:noWrap/>
          </w:tcPr>
          <w:p w14:paraId="41AD0AB7" w14:textId="122C7609" w:rsidR="006578ED" w:rsidRDefault="00EC188C">
            <w:pPr>
              <w:pStyle w:val="P68B1DB1-Normal13"/>
              <w:spacing w:after="0" w:line="240" w:lineRule="auto"/>
              <w:jc w:val="center"/>
              <w:rPr>
                <w:rFonts w:eastAsia="Times New Roman" w:cs="Times New Roman"/>
                <w:noProof/>
              </w:rPr>
            </w:pPr>
            <w:r>
              <w:rPr>
                <w:noProof/>
              </w:rPr>
              <w:t>KW. 2</w:t>
            </w:r>
          </w:p>
        </w:tc>
        <w:tc>
          <w:tcPr>
            <w:tcW w:w="708" w:type="dxa"/>
            <w:shd w:val="clear" w:color="auto" w:fill="C6EFCE"/>
            <w:noWrap/>
          </w:tcPr>
          <w:p w14:paraId="2680F0A3" w14:textId="77777777" w:rsidR="006578ED" w:rsidRDefault="00A1618E">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3B9C751B" w14:textId="010EAAC8" w:rsidR="006578ED" w:rsidRDefault="00A1618E">
            <w:pPr>
              <w:pStyle w:val="P68B1DB1-Normal13"/>
              <w:spacing w:after="0" w:line="240" w:lineRule="auto"/>
              <w:rPr>
                <w:rFonts w:eastAsia="Times New Roman" w:cs="Times New Roman"/>
                <w:noProof/>
              </w:rPr>
            </w:pPr>
            <w:r>
              <w:rPr>
                <w:noProof/>
              </w:rPr>
              <w:t>Nowa ustawa organiczna mająca na celu promowanie dostępu do szkolnictwa wyższego, dostosowanie organizacji kursów uniwersyteckich, zapewnienie dobrego zarządzania instytucjami uniwersyteckimi oraz promowanie badań, transferu i mobilności kadry nauczycielskiej i badawczej. Reforma ma na celu lepsze dostosowanie szkolnictwa wyższego do potrzeb rynku pracy, w tym promowanie współpracy z instytucjami sektora prywatnego i trzeciego sektora oraz wprowadzenie opartego na wynikach finansowania publicznych uniwersytetów.</w:t>
            </w:r>
          </w:p>
        </w:tc>
      </w:tr>
      <w:tr w:rsidR="006578ED" w14:paraId="6B8EDAEE" w14:textId="77777777">
        <w:trPr>
          <w:trHeight w:val="309"/>
        </w:trPr>
        <w:tc>
          <w:tcPr>
            <w:tcW w:w="709" w:type="dxa"/>
            <w:shd w:val="clear" w:color="auto" w:fill="C6EFCE"/>
            <w:noWrap/>
          </w:tcPr>
          <w:p w14:paraId="0DDE9BB6" w14:textId="77777777" w:rsidR="006578ED" w:rsidRDefault="00A1618E">
            <w:pPr>
              <w:pStyle w:val="P68B1DB1-Normal13"/>
              <w:spacing w:after="0" w:line="240" w:lineRule="auto"/>
              <w:jc w:val="center"/>
              <w:rPr>
                <w:rFonts w:eastAsia="Times New Roman" w:cs="Times New Roman"/>
                <w:noProof/>
              </w:rPr>
            </w:pPr>
            <w:r>
              <w:rPr>
                <w:noProof/>
              </w:rPr>
              <w:t>308</w:t>
            </w:r>
          </w:p>
        </w:tc>
        <w:tc>
          <w:tcPr>
            <w:tcW w:w="851" w:type="dxa"/>
            <w:shd w:val="clear" w:color="auto" w:fill="C6EFCE"/>
            <w:noWrap/>
          </w:tcPr>
          <w:p w14:paraId="300859AE" w14:textId="77777777" w:rsidR="006578ED" w:rsidRDefault="00A1618E">
            <w:pPr>
              <w:pStyle w:val="P68B1DB1-Normal13"/>
              <w:spacing w:after="0" w:line="240" w:lineRule="auto"/>
              <w:jc w:val="center"/>
              <w:rPr>
                <w:rFonts w:eastAsia="Times New Roman" w:cs="Times New Roman"/>
                <w:noProof/>
              </w:rPr>
            </w:pPr>
            <w:r>
              <w:rPr>
                <w:noProof/>
              </w:rPr>
              <w:t>C21.I1</w:t>
            </w:r>
          </w:p>
        </w:tc>
        <w:tc>
          <w:tcPr>
            <w:tcW w:w="850" w:type="dxa"/>
            <w:shd w:val="clear" w:color="auto" w:fill="C6EFCE"/>
            <w:noWrap/>
          </w:tcPr>
          <w:p w14:paraId="4B652367" w14:textId="0B494622" w:rsidR="006578ED" w:rsidRDefault="00AF6B91">
            <w:pPr>
              <w:pStyle w:val="P68B1DB1-Normal13"/>
              <w:spacing w:after="0" w:line="240" w:lineRule="auto"/>
              <w:jc w:val="center"/>
              <w:rPr>
                <w:rFonts w:eastAsia="Times New Roman" w:cs="Times New Roman"/>
                <w:noProof/>
              </w:rPr>
            </w:pPr>
            <w:r>
              <w:rPr>
                <w:noProof/>
              </w:rPr>
              <w:t>Cel</w:t>
            </w:r>
          </w:p>
        </w:tc>
        <w:tc>
          <w:tcPr>
            <w:tcW w:w="3119" w:type="dxa"/>
            <w:shd w:val="clear" w:color="auto" w:fill="C6EFCE"/>
            <w:noWrap/>
          </w:tcPr>
          <w:p w14:paraId="020C134B" w14:textId="77777777" w:rsidR="006578ED" w:rsidRDefault="00A1618E">
            <w:pPr>
              <w:pStyle w:val="P68B1DB1-Normal13"/>
              <w:spacing w:after="0" w:line="240" w:lineRule="auto"/>
              <w:rPr>
                <w:rFonts w:eastAsia="Times New Roman" w:cs="Times New Roman"/>
                <w:noProof/>
              </w:rPr>
            </w:pPr>
            <w:r>
              <w:rPr>
                <w:noProof/>
              </w:rPr>
              <w:t xml:space="preserve">Nagroda budżetowa za promowanie pierwszego cyklu wczesnej edukacji </w:t>
            </w:r>
          </w:p>
        </w:tc>
        <w:tc>
          <w:tcPr>
            <w:tcW w:w="1134" w:type="dxa"/>
            <w:shd w:val="clear" w:color="auto" w:fill="C6EFCE"/>
            <w:noWrap/>
          </w:tcPr>
          <w:p w14:paraId="244CD4CD" w14:textId="77777777" w:rsidR="006578ED" w:rsidRDefault="00A1618E">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328C8AED" w14:textId="77777777" w:rsidR="006578ED" w:rsidRDefault="00A1618E">
            <w:pPr>
              <w:pStyle w:val="P68B1DB1-Normal13"/>
              <w:spacing w:after="0" w:line="240" w:lineRule="auto"/>
              <w:jc w:val="center"/>
              <w:rPr>
                <w:rFonts w:eastAsia="Times New Roman" w:cs="Times New Roman"/>
                <w:noProof/>
              </w:rPr>
            </w:pPr>
            <w:r>
              <w:rPr>
                <w:noProof/>
              </w:rPr>
              <w:t xml:space="preserve"> EUR</w:t>
            </w:r>
          </w:p>
        </w:tc>
        <w:tc>
          <w:tcPr>
            <w:tcW w:w="709" w:type="dxa"/>
            <w:shd w:val="clear" w:color="auto" w:fill="C6EFCE"/>
            <w:noWrap/>
          </w:tcPr>
          <w:p w14:paraId="54BA7765" w14:textId="77777777" w:rsidR="006578ED" w:rsidRDefault="00A1618E">
            <w:pPr>
              <w:pStyle w:val="P68B1DB1-Normal13"/>
              <w:spacing w:after="0" w:line="240" w:lineRule="auto"/>
              <w:jc w:val="center"/>
              <w:rPr>
                <w:rFonts w:eastAsia="Times New Roman" w:cs="Times New Roman"/>
                <w:noProof/>
              </w:rPr>
            </w:pPr>
            <w:r>
              <w:rPr>
                <w:noProof/>
              </w:rPr>
              <w:t>0</w:t>
            </w:r>
          </w:p>
        </w:tc>
        <w:tc>
          <w:tcPr>
            <w:tcW w:w="851" w:type="dxa"/>
            <w:shd w:val="clear" w:color="auto" w:fill="C6EFCE"/>
            <w:noWrap/>
          </w:tcPr>
          <w:p w14:paraId="10833A9B" w14:textId="77777777" w:rsidR="006578ED" w:rsidRDefault="00A1618E">
            <w:pPr>
              <w:pStyle w:val="P68B1DB1-Normal13"/>
              <w:spacing w:after="0" w:line="240" w:lineRule="auto"/>
              <w:jc w:val="center"/>
              <w:rPr>
                <w:rFonts w:eastAsia="Times New Roman" w:cs="Times New Roman"/>
                <w:noProof/>
              </w:rPr>
            </w:pPr>
            <w:r>
              <w:rPr>
                <w:noProof/>
              </w:rPr>
              <w:t xml:space="preserve">670 990 000 </w:t>
            </w:r>
          </w:p>
        </w:tc>
        <w:tc>
          <w:tcPr>
            <w:tcW w:w="567" w:type="dxa"/>
            <w:shd w:val="clear" w:color="auto" w:fill="C6EFCE"/>
            <w:noWrap/>
          </w:tcPr>
          <w:p w14:paraId="156C08C7" w14:textId="2A318F1C" w:rsidR="006578ED" w:rsidRDefault="00EC188C">
            <w:pPr>
              <w:pStyle w:val="P68B1DB1-Normal13"/>
              <w:spacing w:after="0" w:line="240" w:lineRule="auto"/>
              <w:jc w:val="center"/>
              <w:rPr>
                <w:rFonts w:eastAsia="Times New Roman" w:cs="Times New Roman"/>
                <w:noProof/>
              </w:rPr>
            </w:pPr>
            <w:r>
              <w:rPr>
                <w:noProof/>
              </w:rPr>
              <w:t>KW. 4</w:t>
            </w:r>
          </w:p>
        </w:tc>
        <w:tc>
          <w:tcPr>
            <w:tcW w:w="708" w:type="dxa"/>
            <w:shd w:val="clear" w:color="auto" w:fill="C6EFCE"/>
            <w:noWrap/>
          </w:tcPr>
          <w:p w14:paraId="6C99842B" w14:textId="77777777" w:rsidR="006578ED" w:rsidRDefault="00A1618E">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58706992" w14:textId="2F472243" w:rsidR="006578ED" w:rsidRDefault="00A1618E">
            <w:pPr>
              <w:pStyle w:val="P68B1DB1-Normal13"/>
              <w:spacing w:after="0" w:line="240" w:lineRule="auto"/>
              <w:jc w:val="both"/>
              <w:rPr>
                <w:rFonts w:eastAsia="Times New Roman" w:cs="Times New Roman"/>
                <w:noProof/>
              </w:rPr>
            </w:pPr>
            <w:r>
              <w:rPr>
                <w:noProof/>
              </w:rPr>
              <w:t xml:space="preserve">Przyznanie środków budżetowych podmiotom regionalnym/lokalnym w wysokości 670 990 000 EUR na promowanie pierwszego cyklu wczesnej edukacji poprzez tworzenie nowych miejsc publicznych. </w:t>
            </w:r>
          </w:p>
        </w:tc>
      </w:tr>
      <w:tr w:rsidR="006578ED" w14:paraId="1340EB0B" w14:textId="77777777">
        <w:trPr>
          <w:trHeight w:val="309"/>
        </w:trPr>
        <w:tc>
          <w:tcPr>
            <w:tcW w:w="709" w:type="dxa"/>
            <w:shd w:val="clear" w:color="auto" w:fill="C6EFCE"/>
            <w:noWrap/>
          </w:tcPr>
          <w:p w14:paraId="6271D4F2" w14:textId="77777777" w:rsidR="006578ED" w:rsidRDefault="00A1618E">
            <w:pPr>
              <w:pStyle w:val="P68B1DB1-Normal13"/>
              <w:spacing w:after="0" w:line="240" w:lineRule="auto"/>
              <w:jc w:val="center"/>
              <w:rPr>
                <w:rFonts w:eastAsia="Times New Roman" w:cs="Times New Roman"/>
                <w:noProof/>
              </w:rPr>
            </w:pPr>
            <w:r>
              <w:rPr>
                <w:noProof/>
              </w:rPr>
              <w:t>309</w:t>
            </w:r>
          </w:p>
        </w:tc>
        <w:tc>
          <w:tcPr>
            <w:tcW w:w="851" w:type="dxa"/>
            <w:shd w:val="clear" w:color="auto" w:fill="C6EFCE"/>
            <w:noWrap/>
          </w:tcPr>
          <w:p w14:paraId="440324C0" w14:textId="77777777" w:rsidR="006578ED" w:rsidRDefault="00A1618E">
            <w:pPr>
              <w:pStyle w:val="P68B1DB1-Normal13"/>
              <w:spacing w:after="0" w:line="240" w:lineRule="auto"/>
              <w:jc w:val="center"/>
              <w:rPr>
                <w:rFonts w:eastAsia="Times New Roman" w:cs="Times New Roman"/>
                <w:noProof/>
              </w:rPr>
            </w:pPr>
            <w:r>
              <w:rPr>
                <w:noProof/>
              </w:rPr>
              <w:t>C21.I1</w:t>
            </w:r>
          </w:p>
        </w:tc>
        <w:tc>
          <w:tcPr>
            <w:tcW w:w="850" w:type="dxa"/>
            <w:shd w:val="clear" w:color="auto" w:fill="C6EFCE"/>
            <w:noWrap/>
          </w:tcPr>
          <w:p w14:paraId="47A5B59D" w14:textId="710D5F08" w:rsidR="006578ED" w:rsidRDefault="00AF6B91">
            <w:pPr>
              <w:pStyle w:val="P68B1DB1-Normal13"/>
              <w:spacing w:after="0" w:line="240" w:lineRule="auto"/>
              <w:jc w:val="center"/>
              <w:rPr>
                <w:rFonts w:eastAsia="Times New Roman" w:cs="Times New Roman"/>
                <w:noProof/>
              </w:rPr>
            </w:pPr>
            <w:r>
              <w:rPr>
                <w:noProof/>
              </w:rPr>
              <w:t>Cel</w:t>
            </w:r>
          </w:p>
        </w:tc>
        <w:tc>
          <w:tcPr>
            <w:tcW w:w="3119" w:type="dxa"/>
            <w:shd w:val="clear" w:color="auto" w:fill="C6EFCE"/>
            <w:noWrap/>
          </w:tcPr>
          <w:p w14:paraId="3B351609" w14:textId="77777777" w:rsidR="006578ED" w:rsidRDefault="00A1618E">
            <w:pPr>
              <w:pStyle w:val="P68B1DB1-Normal13"/>
              <w:spacing w:after="0" w:line="240" w:lineRule="auto"/>
              <w:rPr>
                <w:rFonts w:eastAsia="Times New Roman" w:cs="Times New Roman"/>
                <w:noProof/>
              </w:rPr>
            </w:pPr>
            <w:r>
              <w:rPr>
                <w:noProof/>
              </w:rPr>
              <w:t xml:space="preserve">Nowe miejsca dla pierwszego cyklu wczesnej edukacji </w:t>
            </w:r>
          </w:p>
        </w:tc>
        <w:tc>
          <w:tcPr>
            <w:tcW w:w="1134" w:type="dxa"/>
            <w:shd w:val="clear" w:color="auto" w:fill="C6EFCE"/>
            <w:noWrap/>
          </w:tcPr>
          <w:p w14:paraId="7E9B347A"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23392B07"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noWrap/>
          </w:tcPr>
          <w:p w14:paraId="63346503" w14:textId="77777777" w:rsidR="006578ED" w:rsidRDefault="00A1618E">
            <w:pPr>
              <w:pStyle w:val="P68B1DB1-Normal13"/>
              <w:spacing w:after="0" w:line="240" w:lineRule="auto"/>
              <w:jc w:val="center"/>
              <w:rPr>
                <w:rFonts w:eastAsia="Times New Roman" w:cs="Times New Roman"/>
                <w:noProof/>
                <w:highlight w:val="yellow"/>
              </w:rPr>
            </w:pPr>
            <w:r>
              <w:rPr>
                <w:noProof/>
              </w:rPr>
              <w:t>0</w:t>
            </w:r>
          </w:p>
        </w:tc>
        <w:tc>
          <w:tcPr>
            <w:tcW w:w="851" w:type="dxa"/>
            <w:shd w:val="clear" w:color="auto" w:fill="C6EFCE"/>
            <w:noWrap/>
          </w:tcPr>
          <w:p w14:paraId="6C140A24" w14:textId="77777777" w:rsidR="006578ED" w:rsidRDefault="00A1618E">
            <w:pPr>
              <w:pStyle w:val="P68B1DB1-Normal13"/>
              <w:spacing w:after="0" w:line="240" w:lineRule="auto"/>
              <w:jc w:val="center"/>
              <w:rPr>
                <w:rFonts w:eastAsia="Times New Roman" w:cs="Times New Roman"/>
                <w:noProof/>
                <w:highlight w:val="yellow"/>
              </w:rPr>
            </w:pPr>
            <w:r>
              <w:rPr>
                <w:noProof/>
              </w:rPr>
              <w:t>60 000</w:t>
            </w:r>
          </w:p>
        </w:tc>
        <w:tc>
          <w:tcPr>
            <w:tcW w:w="567" w:type="dxa"/>
            <w:shd w:val="clear" w:color="auto" w:fill="C6EFCE"/>
            <w:noWrap/>
          </w:tcPr>
          <w:p w14:paraId="57D5F00D" w14:textId="5B7B21B3" w:rsidR="006578ED" w:rsidRDefault="00EC188C">
            <w:pPr>
              <w:pStyle w:val="P68B1DB1-Normal13"/>
              <w:spacing w:after="0" w:line="240" w:lineRule="auto"/>
              <w:jc w:val="center"/>
              <w:rPr>
                <w:rFonts w:eastAsia="Times New Roman" w:cs="Times New Roman"/>
                <w:noProof/>
              </w:rPr>
            </w:pPr>
            <w:r>
              <w:rPr>
                <w:noProof/>
              </w:rPr>
              <w:t>KW. 4</w:t>
            </w:r>
          </w:p>
        </w:tc>
        <w:tc>
          <w:tcPr>
            <w:tcW w:w="708" w:type="dxa"/>
            <w:shd w:val="clear" w:color="auto" w:fill="C6EFCE"/>
            <w:noWrap/>
          </w:tcPr>
          <w:p w14:paraId="45670EFE" w14:textId="0F1E39B9" w:rsidR="006578ED" w:rsidRDefault="00A1618E">
            <w:pPr>
              <w:pStyle w:val="P68B1DB1-Normal13"/>
              <w:spacing w:after="0" w:line="240" w:lineRule="auto"/>
              <w:jc w:val="center"/>
              <w:rPr>
                <w:rFonts w:eastAsia="Times New Roman" w:cs="Times New Roman"/>
                <w:noProof/>
              </w:rPr>
            </w:pPr>
            <w:r>
              <w:rPr>
                <w:noProof/>
              </w:rPr>
              <w:t>2025</w:t>
            </w:r>
          </w:p>
        </w:tc>
        <w:tc>
          <w:tcPr>
            <w:tcW w:w="4962" w:type="dxa"/>
            <w:shd w:val="clear" w:color="auto" w:fill="C6EFCE"/>
            <w:noWrap/>
          </w:tcPr>
          <w:p w14:paraId="1DB7122C" w14:textId="439747C5" w:rsidR="006578ED" w:rsidRDefault="00A1618E">
            <w:pPr>
              <w:pStyle w:val="P68B1DB1-Normal13"/>
              <w:spacing w:after="0" w:line="240" w:lineRule="auto"/>
              <w:rPr>
                <w:rFonts w:eastAsia="Times New Roman" w:cs="Times New Roman"/>
                <w:noProof/>
              </w:rPr>
            </w:pPr>
            <w:r>
              <w:rPr>
                <w:noProof/>
              </w:rPr>
              <w:t>Promowanie pierwszego cyklu edukacji wczesnoszkolnej poprzez ukończenie tworzenia nowych miejsc publicznych (nowa budowa lub reforma/rehabilitacja i wyposażenie w co najmniej 60000 miejsc w porównaniu z końcem 20</w:t>
            </w:r>
            <w:r w:rsidRPr="00A1618E">
              <w:rPr>
                <w:noProof/>
                <w:lang w:val="pl-PL"/>
              </w:rPr>
              <w:t>20 r.</w:t>
            </w:r>
            <w:r>
              <w:rPr>
                <w:noProof/>
              </w:rPr>
              <w:t xml:space="preserve">, a także wydatki operacyjne na maksymalnie 40000 miejsc </w:t>
            </w:r>
            <w:r w:rsidRPr="00A1618E">
              <w:rPr>
                <w:noProof/>
                <w:lang w:val="pl-PL"/>
              </w:rPr>
              <w:t>do 2</w:t>
            </w:r>
            <w:r>
              <w:rPr>
                <w:noProof/>
              </w:rPr>
              <w:t>0</w:t>
            </w:r>
            <w:r w:rsidRPr="00A1618E">
              <w:rPr>
                <w:noProof/>
                <w:lang w:val="pl-PL"/>
              </w:rPr>
              <w:t>25 r.</w:t>
            </w:r>
            <w:r>
              <w:rPr>
                <w:noProof/>
              </w:rPr>
              <w:t>).</w:t>
            </w:r>
          </w:p>
        </w:tc>
      </w:tr>
      <w:tr w:rsidR="006578ED" w14:paraId="08AED788" w14:textId="77777777">
        <w:trPr>
          <w:trHeight w:val="309"/>
        </w:trPr>
        <w:tc>
          <w:tcPr>
            <w:tcW w:w="709" w:type="dxa"/>
            <w:shd w:val="clear" w:color="auto" w:fill="C6EFCE"/>
            <w:noWrap/>
          </w:tcPr>
          <w:p w14:paraId="3C85BC4B" w14:textId="77777777" w:rsidR="006578ED" w:rsidRDefault="00A1618E">
            <w:pPr>
              <w:pStyle w:val="P68B1DB1-Normal13"/>
              <w:spacing w:after="0" w:line="240" w:lineRule="auto"/>
              <w:jc w:val="center"/>
              <w:rPr>
                <w:rFonts w:eastAsia="Times New Roman" w:cs="Times New Roman"/>
                <w:noProof/>
              </w:rPr>
            </w:pPr>
            <w:r>
              <w:rPr>
                <w:noProof/>
              </w:rPr>
              <w:t>310</w:t>
            </w:r>
          </w:p>
        </w:tc>
        <w:tc>
          <w:tcPr>
            <w:tcW w:w="851" w:type="dxa"/>
            <w:shd w:val="clear" w:color="auto" w:fill="C6EFCE"/>
            <w:noWrap/>
          </w:tcPr>
          <w:p w14:paraId="71956508" w14:textId="77777777" w:rsidR="006578ED" w:rsidRDefault="00A1618E">
            <w:pPr>
              <w:pStyle w:val="P68B1DB1-Normal13"/>
              <w:spacing w:after="0" w:line="240" w:lineRule="auto"/>
              <w:jc w:val="center"/>
              <w:rPr>
                <w:rFonts w:eastAsia="Times New Roman" w:cs="Times New Roman"/>
                <w:noProof/>
              </w:rPr>
            </w:pPr>
            <w:r>
              <w:rPr>
                <w:noProof/>
              </w:rPr>
              <w:t>C21.I2</w:t>
            </w:r>
          </w:p>
        </w:tc>
        <w:tc>
          <w:tcPr>
            <w:tcW w:w="850" w:type="dxa"/>
            <w:shd w:val="clear" w:color="auto" w:fill="C6EFCE"/>
            <w:noWrap/>
          </w:tcPr>
          <w:p w14:paraId="0B51D14E" w14:textId="62DB200E" w:rsidR="006578ED" w:rsidRDefault="00AF6B91">
            <w:pPr>
              <w:pStyle w:val="P68B1DB1-Normal13"/>
              <w:spacing w:after="0" w:line="240" w:lineRule="auto"/>
              <w:jc w:val="center"/>
              <w:rPr>
                <w:rFonts w:eastAsia="Times New Roman" w:cs="Times New Roman"/>
                <w:noProof/>
              </w:rPr>
            </w:pPr>
            <w:r>
              <w:rPr>
                <w:noProof/>
              </w:rPr>
              <w:t>Cel</w:t>
            </w:r>
          </w:p>
        </w:tc>
        <w:tc>
          <w:tcPr>
            <w:tcW w:w="3119" w:type="dxa"/>
            <w:shd w:val="clear" w:color="auto" w:fill="C6EFCE"/>
            <w:noWrap/>
          </w:tcPr>
          <w:p w14:paraId="5CD7584E" w14:textId="21866FF9" w:rsidR="006578ED" w:rsidRDefault="00A1618E">
            <w:pPr>
              <w:pStyle w:val="P68B1DB1-Normal13"/>
              <w:spacing w:after="0" w:line="240" w:lineRule="auto"/>
              <w:rPr>
                <w:rFonts w:eastAsia="Times New Roman" w:cs="Times New Roman"/>
                <w:noProof/>
              </w:rPr>
            </w:pPr>
            <w:r>
              <w:rPr>
                <w:noProof/>
              </w:rPr>
              <w:t xml:space="preserve">Wsparcie dla szkół w ramach programu PROA+ </w:t>
            </w:r>
          </w:p>
        </w:tc>
        <w:tc>
          <w:tcPr>
            <w:tcW w:w="1134" w:type="dxa"/>
            <w:shd w:val="clear" w:color="auto" w:fill="C6EFCE"/>
            <w:noWrap/>
          </w:tcPr>
          <w:p w14:paraId="4C63804D"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203DED41"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noWrap/>
          </w:tcPr>
          <w:p w14:paraId="02C3A3F1" w14:textId="77777777" w:rsidR="006578ED" w:rsidRDefault="00A1618E">
            <w:pPr>
              <w:pStyle w:val="P68B1DB1-Normal13"/>
              <w:spacing w:after="0" w:line="240" w:lineRule="auto"/>
              <w:jc w:val="right"/>
              <w:rPr>
                <w:rFonts w:eastAsia="Times New Roman" w:cs="Times New Roman"/>
                <w:noProof/>
              </w:rPr>
            </w:pPr>
            <w:r>
              <w:rPr>
                <w:noProof/>
              </w:rPr>
              <w:t>0</w:t>
            </w:r>
          </w:p>
        </w:tc>
        <w:tc>
          <w:tcPr>
            <w:tcW w:w="851" w:type="dxa"/>
            <w:shd w:val="clear" w:color="auto" w:fill="C6EFCE"/>
            <w:noWrap/>
          </w:tcPr>
          <w:p w14:paraId="26751969" w14:textId="77777777" w:rsidR="006578ED" w:rsidRDefault="00A1618E">
            <w:pPr>
              <w:pStyle w:val="P68B1DB1-Normal13"/>
              <w:spacing w:after="0" w:line="240" w:lineRule="auto"/>
              <w:jc w:val="right"/>
              <w:rPr>
                <w:rFonts w:eastAsia="Times New Roman" w:cs="Times New Roman"/>
                <w:noProof/>
              </w:rPr>
            </w:pPr>
            <w:r>
              <w:rPr>
                <w:noProof/>
              </w:rPr>
              <w:t>2 700</w:t>
            </w:r>
          </w:p>
        </w:tc>
        <w:tc>
          <w:tcPr>
            <w:tcW w:w="567" w:type="dxa"/>
            <w:shd w:val="clear" w:color="auto" w:fill="C6EFCE"/>
            <w:noWrap/>
          </w:tcPr>
          <w:p w14:paraId="755CA836" w14:textId="36D033D2" w:rsidR="006578ED" w:rsidRDefault="00EC188C">
            <w:pPr>
              <w:pStyle w:val="P68B1DB1-Normal13"/>
              <w:spacing w:after="0" w:line="240" w:lineRule="auto"/>
              <w:jc w:val="center"/>
              <w:rPr>
                <w:rFonts w:eastAsia="Times New Roman" w:cs="Times New Roman"/>
                <w:noProof/>
              </w:rPr>
            </w:pPr>
            <w:r>
              <w:rPr>
                <w:noProof/>
              </w:rPr>
              <w:t>KW. 4</w:t>
            </w:r>
          </w:p>
        </w:tc>
        <w:tc>
          <w:tcPr>
            <w:tcW w:w="708" w:type="dxa"/>
            <w:shd w:val="clear" w:color="auto" w:fill="C6EFCE"/>
            <w:noWrap/>
          </w:tcPr>
          <w:p w14:paraId="7EAE1301" w14:textId="77777777" w:rsidR="006578ED" w:rsidRDefault="00A1618E">
            <w:pPr>
              <w:pStyle w:val="P68B1DB1-Normal13"/>
              <w:spacing w:after="0" w:line="240" w:lineRule="auto"/>
              <w:jc w:val="center"/>
              <w:rPr>
                <w:rFonts w:eastAsia="Times New Roman" w:cs="Times New Roman"/>
                <w:noProof/>
              </w:rPr>
            </w:pPr>
            <w:r>
              <w:rPr>
                <w:noProof/>
              </w:rPr>
              <w:t>2024</w:t>
            </w:r>
          </w:p>
        </w:tc>
        <w:tc>
          <w:tcPr>
            <w:tcW w:w="4962" w:type="dxa"/>
            <w:shd w:val="clear" w:color="auto" w:fill="C6EFCE"/>
            <w:noWrap/>
          </w:tcPr>
          <w:p w14:paraId="771C0313" w14:textId="28AA6C7A" w:rsidR="006578ED" w:rsidRDefault="00A1618E">
            <w:pPr>
              <w:pStyle w:val="P68B1DB1-Normal13"/>
              <w:spacing w:after="0" w:line="240" w:lineRule="auto"/>
              <w:rPr>
                <w:rFonts w:eastAsia="Times New Roman" w:cs="Times New Roman"/>
                <w:noProof/>
              </w:rPr>
            </w:pPr>
            <w:r>
              <w:rPr>
                <w:noProof/>
              </w:rPr>
              <w:t xml:space="preserve">Co najmniej 2700 szkół wspieranych w ramach programu PROA+ w całym kraju, zgodnie z wymogami programu </w:t>
            </w:r>
          </w:p>
        </w:tc>
      </w:tr>
      <w:tr w:rsidR="006578ED" w14:paraId="1AFA8AA7" w14:textId="77777777">
        <w:trPr>
          <w:trHeight w:val="309"/>
        </w:trPr>
        <w:tc>
          <w:tcPr>
            <w:tcW w:w="709" w:type="dxa"/>
            <w:shd w:val="clear" w:color="auto" w:fill="C6EFCE"/>
            <w:noWrap/>
          </w:tcPr>
          <w:p w14:paraId="368F37FA" w14:textId="77777777" w:rsidR="006578ED" w:rsidRDefault="00A1618E">
            <w:pPr>
              <w:pStyle w:val="P68B1DB1-Normal13"/>
              <w:spacing w:after="0" w:line="240" w:lineRule="auto"/>
              <w:jc w:val="center"/>
              <w:rPr>
                <w:rFonts w:eastAsia="Times New Roman" w:cs="Times New Roman"/>
                <w:noProof/>
              </w:rPr>
            </w:pPr>
            <w:r>
              <w:rPr>
                <w:noProof/>
              </w:rPr>
              <w:t>311</w:t>
            </w:r>
          </w:p>
        </w:tc>
        <w:tc>
          <w:tcPr>
            <w:tcW w:w="851" w:type="dxa"/>
            <w:shd w:val="clear" w:color="auto" w:fill="C6EFCE"/>
            <w:noWrap/>
          </w:tcPr>
          <w:p w14:paraId="2F6334CF" w14:textId="77777777" w:rsidR="006578ED" w:rsidRDefault="00A1618E">
            <w:pPr>
              <w:pStyle w:val="P68B1DB1-Normal13"/>
              <w:spacing w:after="0" w:line="240" w:lineRule="auto"/>
              <w:jc w:val="center"/>
              <w:rPr>
                <w:rFonts w:eastAsia="Times New Roman" w:cs="Times New Roman"/>
                <w:noProof/>
              </w:rPr>
            </w:pPr>
            <w:r>
              <w:rPr>
                <w:noProof/>
              </w:rPr>
              <w:t>C21.I3</w:t>
            </w:r>
          </w:p>
        </w:tc>
        <w:tc>
          <w:tcPr>
            <w:tcW w:w="850" w:type="dxa"/>
            <w:shd w:val="clear" w:color="auto" w:fill="C6EFCE"/>
            <w:noWrap/>
          </w:tcPr>
          <w:p w14:paraId="0BEDAB84" w14:textId="7A03E785" w:rsidR="006578ED" w:rsidRDefault="00AF6B91">
            <w:pPr>
              <w:pStyle w:val="P68B1DB1-Normal13"/>
              <w:spacing w:after="0" w:line="240" w:lineRule="auto"/>
              <w:jc w:val="center"/>
              <w:rPr>
                <w:rFonts w:eastAsia="Times New Roman" w:cs="Times New Roman"/>
                <w:noProof/>
              </w:rPr>
            </w:pPr>
            <w:r>
              <w:rPr>
                <w:noProof/>
              </w:rPr>
              <w:t>Cel</w:t>
            </w:r>
          </w:p>
        </w:tc>
        <w:tc>
          <w:tcPr>
            <w:tcW w:w="3119" w:type="dxa"/>
            <w:shd w:val="clear" w:color="auto" w:fill="C6EFCE"/>
            <w:noWrap/>
          </w:tcPr>
          <w:p w14:paraId="37D990EA" w14:textId="29FD0F42" w:rsidR="006578ED" w:rsidRDefault="00A1618E">
            <w:pPr>
              <w:pStyle w:val="P68B1DB1-Normal13"/>
              <w:spacing w:after="0" w:line="240" w:lineRule="auto"/>
              <w:rPr>
                <w:rFonts w:eastAsia="Times New Roman" w:cs="Times New Roman"/>
                <w:noProof/>
              </w:rPr>
            </w:pPr>
            <w:r>
              <w:rPr>
                <w:noProof/>
              </w:rPr>
              <w:t xml:space="preserve">Działy pomocy i poradnictwa dla uczniów znajdujących się w trudnej sytuacji </w:t>
            </w:r>
          </w:p>
        </w:tc>
        <w:tc>
          <w:tcPr>
            <w:tcW w:w="1134" w:type="dxa"/>
            <w:shd w:val="clear" w:color="auto" w:fill="C6EFCE"/>
            <w:noWrap/>
          </w:tcPr>
          <w:p w14:paraId="3099300F"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7FD57B20"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noWrap/>
          </w:tcPr>
          <w:p w14:paraId="3BE165FF" w14:textId="77777777" w:rsidR="006578ED" w:rsidRDefault="00A1618E">
            <w:pPr>
              <w:pStyle w:val="P68B1DB1-Normal13"/>
              <w:spacing w:after="0" w:line="240" w:lineRule="auto"/>
              <w:jc w:val="right"/>
              <w:rPr>
                <w:rFonts w:eastAsia="Times New Roman" w:cs="Times New Roman"/>
                <w:noProof/>
              </w:rPr>
            </w:pPr>
            <w:r>
              <w:rPr>
                <w:noProof/>
              </w:rPr>
              <w:t>0</w:t>
            </w:r>
          </w:p>
        </w:tc>
        <w:tc>
          <w:tcPr>
            <w:tcW w:w="851" w:type="dxa"/>
            <w:shd w:val="clear" w:color="auto" w:fill="C6EFCE"/>
            <w:noWrap/>
          </w:tcPr>
          <w:p w14:paraId="5112CCB7" w14:textId="77777777" w:rsidR="006578ED" w:rsidRDefault="00A1618E">
            <w:pPr>
              <w:pStyle w:val="P68B1DB1-Normal13"/>
              <w:spacing w:after="0" w:line="240" w:lineRule="auto"/>
              <w:jc w:val="right"/>
              <w:rPr>
                <w:rFonts w:eastAsia="Times New Roman" w:cs="Times New Roman"/>
                <w:noProof/>
              </w:rPr>
            </w:pPr>
            <w:r>
              <w:rPr>
                <w:noProof/>
              </w:rPr>
              <w:t>1 000</w:t>
            </w:r>
          </w:p>
        </w:tc>
        <w:tc>
          <w:tcPr>
            <w:tcW w:w="567" w:type="dxa"/>
            <w:shd w:val="clear" w:color="auto" w:fill="C6EFCE"/>
            <w:noWrap/>
          </w:tcPr>
          <w:p w14:paraId="59446398" w14:textId="591228B2" w:rsidR="006578ED" w:rsidRDefault="00EC188C">
            <w:pPr>
              <w:pStyle w:val="P68B1DB1-Normal13"/>
              <w:spacing w:after="0" w:line="240" w:lineRule="auto"/>
              <w:jc w:val="center"/>
              <w:rPr>
                <w:rFonts w:eastAsia="Times New Roman" w:cs="Times New Roman"/>
                <w:noProof/>
              </w:rPr>
            </w:pPr>
            <w:r>
              <w:rPr>
                <w:noProof/>
              </w:rPr>
              <w:t>KW. 4</w:t>
            </w:r>
          </w:p>
        </w:tc>
        <w:tc>
          <w:tcPr>
            <w:tcW w:w="708" w:type="dxa"/>
            <w:shd w:val="clear" w:color="auto" w:fill="C6EFCE"/>
            <w:noWrap/>
          </w:tcPr>
          <w:p w14:paraId="2FAD9344" w14:textId="77777777" w:rsidR="006578ED" w:rsidRDefault="00A1618E">
            <w:pPr>
              <w:pStyle w:val="P68B1DB1-Normal13"/>
              <w:spacing w:after="0" w:line="240" w:lineRule="auto"/>
              <w:jc w:val="center"/>
              <w:rPr>
                <w:rFonts w:eastAsia="Times New Roman" w:cs="Times New Roman"/>
                <w:noProof/>
              </w:rPr>
            </w:pPr>
            <w:r>
              <w:rPr>
                <w:noProof/>
              </w:rPr>
              <w:t>2024</w:t>
            </w:r>
          </w:p>
        </w:tc>
        <w:tc>
          <w:tcPr>
            <w:tcW w:w="4962" w:type="dxa"/>
            <w:shd w:val="clear" w:color="auto" w:fill="C6EFCE"/>
            <w:noWrap/>
          </w:tcPr>
          <w:p w14:paraId="30F75166" w14:textId="1719BEF1" w:rsidR="006578ED" w:rsidRDefault="00A1618E">
            <w:pPr>
              <w:pStyle w:val="P68B1DB1-Normal13"/>
              <w:spacing w:after="0" w:line="240" w:lineRule="auto"/>
              <w:rPr>
                <w:rFonts w:eastAsia="Times New Roman" w:cs="Times New Roman"/>
                <w:noProof/>
              </w:rPr>
            </w:pPr>
            <w:r>
              <w:rPr>
                <w:noProof/>
              </w:rPr>
              <w:t xml:space="preserve">W całym kraju działa co najmniej 1000 jednostek towarzyszących i poradnictwa dla uczniów znajdujących się w trudnej sytuacji. </w:t>
            </w:r>
          </w:p>
        </w:tc>
      </w:tr>
      <w:tr w:rsidR="006578ED" w14:paraId="0F1B7EEB" w14:textId="77777777">
        <w:trPr>
          <w:trHeight w:val="309"/>
        </w:trPr>
        <w:tc>
          <w:tcPr>
            <w:tcW w:w="709" w:type="dxa"/>
            <w:shd w:val="clear" w:color="auto" w:fill="C6EFCE"/>
            <w:noWrap/>
          </w:tcPr>
          <w:p w14:paraId="18A5DEEB" w14:textId="77777777" w:rsidR="006578ED" w:rsidRDefault="00A1618E">
            <w:pPr>
              <w:pStyle w:val="P68B1DB1-Normal13"/>
              <w:spacing w:after="0" w:line="240" w:lineRule="auto"/>
              <w:jc w:val="center"/>
              <w:rPr>
                <w:rFonts w:eastAsia="Times New Roman" w:cs="Times New Roman"/>
                <w:noProof/>
              </w:rPr>
            </w:pPr>
            <w:r>
              <w:rPr>
                <w:noProof/>
              </w:rPr>
              <w:t>312</w:t>
            </w:r>
          </w:p>
        </w:tc>
        <w:tc>
          <w:tcPr>
            <w:tcW w:w="851" w:type="dxa"/>
            <w:shd w:val="clear" w:color="auto" w:fill="C6EFCE"/>
            <w:noWrap/>
          </w:tcPr>
          <w:p w14:paraId="2E65A454" w14:textId="77777777" w:rsidR="006578ED" w:rsidRDefault="00A1618E">
            <w:pPr>
              <w:pStyle w:val="P68B1DB1-Normal13"/>
              <w:spacing w:after="0" w:line="240" w:lineRule="auto"/>
              <w:jc w:val="center"/>
              <w:rPr>
                <w:rFonts w:eastAsia="Times New Roman" w:cs="Times New Roman"/>
                <w:noProof/>
              </w:rPr>
            </w:pPr>
            <w:r>
              <w:rPr>
                <w:noProof/>
              </w:rPr>
              <w:t>C21.I4</w:t>
            </w:r>
          </w:p>
        </w:tc>
        <w:tc>
          <w:tcPr>
            <w:tcW w:w="850" w:type="dxa"/>
            <w:shd w:val="clear" w:color="auto" w:fill="C6EFCE"/>
            <w:noWrap/>
          </w:tcPr>
          <w:p w14:paraId="0C5E04E2" w14:textId="4C789955" w:rsidR="006578ED" w:rsidRDefault="00AF6B91">
            <w:pPr>
              <w:pStyle w:val="P68B1DB1-Normal13"/>
              <w:spacing w:after="0" w:line="240" w:lineRule="auto"/>
              <w:jc w:val="center"/>
              <w:rPr>
                <w:rFonts w:eastAsia="Times New Roman" w:cs="Times New Roman"/>
                <w:noProof/>
              </w:rPr>
            </w:pPr>
            <w:r>
              <w:rPr>
                <w:noProof/>
              </w:rPr>
              <w:t>Cel</w:t>
            </w:r>
          </w:p>
        </w:tc>
        <w:tc>
          <w:tcPr>
            <w:tcW w:w="3119" w:type="dxa"/>
            <w:shd w:val="clear" w:color="auto" w:fill="C6EFCE"/>
            <w:noWrap/>
          </w:tcPr>
          <w:p w14:paraId="0DEE07D4" w14:textId="050155D8" w:rsidR="006578ED" w:rsidRDefault="00A1618E">
            <w:pPr>
              <w:pStyle w:val="P68B1DB1-Normal13"/>
              <w:spacing w:after="0" w:line="240" w:lineRule="auto"/>
              <w:rPr>
                <w:rFonts w:eastAsia="Times New Roman" w:cs="Times New Roman"/>
                <w:noProof/>
              </w:rPr>
            </w:pPr>
            <w:r>
              <w:rPr>
                <w:noProof/>
              </w:rPr>
              <w:t>Stypendia i stypendia dla studentów podoktorskich, profesorów pomocniczych i naukowców</w:t>
            </w:r>
          </w:p>
        </w:tc>
        <w:tc>
          <w:tcPr>
            <w:tcW w:w="1134" w:type="dxa"/>
            <w:shd w:val="clear" w:color="auto" w:fill="C6EFCE"/>
            <w:noWrap/>
          </w:tcPr>
          <w:p w14:paraId="7FAF0C8E" w14:textId="77777777" w:rsidR="006578ED" w:rsidRDefault="00A1618E">
            <w:pPr>
              <w:pStyle w:val="P68B1DB1-Normal13"/>
              <w:spacing w:after="0" w:line="240" w:lineRule="auto"/>
              <w:jc w:val="center"/>
              <w:rPr>
                <w:rFonts w:eastAsia="Times New Roman" w:cs="Times New Roman"/>
                <w:noProof/>
              </w:rPr>
            </w:pPr>
            <w:r>
              <w:rPr>
                <w:noProof/>
              </w:rPr>
              <w:t>—</w:t>
            </w:r>
          </w:p>
        </w:tc>
        <w:tc>
          <w:tcPr>
            <w:tcW w:w="850" w:type="dxa"/>
            <w:shd w:val="clear" w:color="auto" w:fill="C6EFCE"/>
            <w:noWrap/>
          </w:tcPr>
          <w:p w14:paraId="79819ACB"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09" w:type="dxa"/>
            <w:shd w:val="clear" w:color="auto" w:fill="C6EFCE"/>
            <w:noWrap/>
          </w:tcPr>
          <w:p w14:paraId="7C1C5DA5" w14:textId="77777777" w:rsidR="006578ED" w:rsidRDefault="00A1618E">
            <w:pPr>
              <w:pStyle w:val="P68B1DB1-Normal13"/>
              <w:spacing w:after="0" w:line="240" w:lineRule="auto"/>
              <w:jc w:val="right"/>
              <w:rPr>
                <w:rFonts w:eastAsia="Times New Roman" w:cs="Times New Roman"/>
                <w:noProof/>
              </w:rPr>
            </w:pPr>
            <w:r>
              <w:rPr>
                <w:noProof/>
              </w:rPr>
              <w:t>0</w:t>
            </w:r>
          </w:p>
        </w:tc>
        <w:tc>
          <w:tcPr>
            <w:tcW w:w="851" w:type="dxa"/>
            <w:shd w:val="clear" w:color="auto" w:fill="C6EFCE"/>
            <w:noWrap/>
          </w:tcPr>
          <w:p w14:paraId="6741858A" w14:textId="77777777" w:rsidR="006578ED" w:rsidRDefault="00A1618E">
            <w:pPr>
              <w:pStyle w:val="P68B1DB1-Normal13"/>
              <w:spacing w:after="0" w:line="240" w:lineRule="auto"/>
              <w:jc w:val="right"/>
              <w:rPr>
                <w:rFonts w:eastAsia="Times New Roman" w:cs="Times New Roman"/>
                <w:noProof/>
              </w:rPr>
            </w:pPr>
            <w:r>
              <w:rPr>
                <w:noProof/>
              </w:rPr>
              <w:t>2 600</w:t>
            </w:r>
          </w:p>
        </w:tc>
        <w:tc>
          <w:tcPr>
            <w:tcW w:w="567" w:type="dxa"/>
            <w:shd w:val="clear" w:color="auto" w:fill="C6EFCE"/>
            <w:noWrap/>
          </w:tcPr>
          <w:p w14:paraId="57ACF00C" w14:textId="06F527D9" w:rsidR="006578ED" w:rsidRDefault="00EC188C">
            <w:pPr>
              <w:pStyle w:val="P68B1DB1-Normal13"/>
              <w:spacing w:after="0" w:line="240" w:lineRule="auto"/>
              <w:jc w:val="center"/>
              <w:rPr>
                <w:rFonts w:eastAsia="Times New Roman" w:cs="Times New Roman"/>
                <w:noProof/>
              </w:rPr>
            </w:pPr>
            <w:r>
              <w:rPr>
                <w:noProof/>
              </w:rPr>
              <w:t>KW. 4</w:t>
            </w:r>
          </w:p>
        </w:tc>
        <w:tc>
          <w:tcPr>
            <w:tcW w:w="708" w:type="dxa"/>
            <w:shd w:val="clear" w:color="auto" w:fill="C6EFCE"/>
            <w:noWrap/>
          </w:tcPr>
          <w:p w14:paraId="2081F24C" w14:textId="77777777" w:rsidR="006578ED" w:rsidRDefault="00A1618E">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343923B4" w14:textId="2F52E164" w:rsidR="006578ED" w:rsidRDefault="00A1618E">
            <w:pPr>
              <w:pStyle w:val="P68B1DB1-Normal13"/>
              <w:spacing w:after="0" w:line="240" w:lineRule="auto"/>
              <w:rPr>
                <w:rFonts w:eastAsia="Times New Roman" w:cs="Times New Roman"/>
                <w:noProof/>
              </w:rPr>
            </w:pPr>
            <w:r>
              <w:rPr>
                <w:noProof/>
              </w:rPr>
              <w:t>Przyznawanie stypendiów i stypendiów studentom podoktorskim, profesorom pomocniczym i naukowcom co najmniej 2600 kandydatom. Celem tych dotacji jest wspieranie rozwoju zawodowego kadry nauczycielskiej, która może zostać włączona do systemu w przyszłości. Dotacje przeznaczone są na finansowanie pobytów badawczych prowadzonych przez prestiżowe zagraniczne uniwersytety i ośrodki badawcze, a także na hiszpańskich uniwersytetach i innych agentach publicznych. W tym celu dotacje przyczyniają się do przyciągania międzynarodowych talentów. Dotacje są udzielane w ramach trzech różnych programów, z zastosowaniem szczególnych kryteriów w zależności od celu i grupy docelowej; dotacje te trwają od roku do trzech lat, w zależności od programu i grupy docelowej.</w:t>
            </w:r>
          </w:p>
        </w:tc>
      </w:tr>
      <w:tr w:rsidR="006578ED" w14:paraId="386FE0FC" w14:textId="77777777">
        <w:trPr>
          <w:trHeight w:val="309"/>
        </w:trPr>
        <w:tc>
          <w:tcPr>
            <w:tcW w:w="709" w:type="dxa"/>
            <w:shd w:val="clear" w:color="auto" w:fill="C6EFCE"/>
            <w:noWrap/>
          </w:tcPr>
          <w:p w14:paraId="2CE0BEA3" w14:textId="77777777" w:rsidR="006578ED" w:rsidRDefault="00A1618E">
            <w:pPr>
              <w:pStyle w:val="P68B1DB1-Normal13"/>
              <w:spacing w:after="0" w:line="240" w:lineRule="auto"/>
              <w:jc w:val="center"/>
              <w:rPr>
                <w:rFonts w:eastAsia="Times New Roman" w:cs="Times New Roman"/>
                <w:noProof/>
              </w:rPr>
            </w:pPr>
            <w:r>
              <w:rPr>
                <w:noProof/>
              </w:rPr>
              <w:t>313</w:t>
            </w:r>
          </w:p>
        </w:tc>
        <w:tc>
          <w:tcPr>
            <w:tcW w:w="851" w:type="dxa"/>
            <w:shd w:val="clear" w:color="auto" w:fill="C6EFCE"/>
            <w:noWrap/>
          </w:tcPr>
          <w:p w14:paraId="44FE2EB5" w14:textId="77777777" w:rsidR="006578ED" w:rsidRDefault="00A1618E">
            <w:pPr>
              <w:pStyle w:val="P68B1DB1-Normal13"/>
              <w:spacing w:after="0" w:line="240" w:lineRule="auto"/>
              <w:jc w:val="center"/>
              <w:rPr>
                <w:rFonts w:eastAsia="Times New Roman" w:cs="Times New Roman"/>
                <w:noProof/>
              </w:rPr>
            </w:pPr>
            <w:r>
              <w:rPr>
                <w:noProof/>
              </w:rPr>
              <w:t>C21.I5</w:t>
            </w:r>
          </w:p>
        </w:tc>
        <w:tc>
          <w:tcPr>
            <w:tcW w:w="850" w:type="dxa"/>
            <w:shd w:val="clear" w:color="auto" w:fill="C6EFCE"/>
            <w:noWrap/>
          </w:tcPr>
          <w:p w14:paraId="6652B822" w14:textId="1F0B6511"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0E6EDD27" w14:textId="77777777" w:rsidR="006578ED" w:rsidRDefault="00A1618E">
            <w:pPr>
              <w:pStyle w:val="P68B1DB1-Normal13"/>
              <w:spacing w:after="0" w:line="240" w:lineRule="auto"/>
              <w:rPr>
                <w:rFonts w:eastAsia="Times New Roman" w:cs="Times New Roman"/>
                <w:noProof/>
              </w:rPr>
            </w:pPr>
            <w:r>
              <w:rPr>
                <w:noProof/>
              </w:rPr>
              <w:t xml:space="preserve">Zwiększenie wskaźnika cyfrowego dla szkół wyższych </w:t>
            </w:r>
          </w:p>
        </w:tc>
        <w:tc>
          <w:tcPr>
            <w:tcW w:w="1134" w:type="dxa"/>
            <w:shd w:val="clear" w:color="auto" w:fill="C6EFCE"/>
            <w:noWrap/>
          </w:tcPr>
          <w:p w14:paraId="4E26CAC1" w14:textId="77777777" w:rsidR="006578ED" w:rsidRDefault="00A1618E">
            <w:pPr>
              <w:pStyle w:val="P68B1DB1-Normal13"/>
              <w:spacing w:after="0" w:line="240" w:lineRule="auto"/>
              <w:jc w:val="center"/>
              <w:rPr>
                <w:rFonts w:eastAsia="Times New Roman" w:cs="Times New Roman"/>
                <w:noProof/>
              </w:rPr>
            </w:pPr>
            <w:r>
              <w:rPr>
                <w:noProof/>
              </w:rPr>
              <w:t>Publikacja indeksu na stronie internetowej Ministerstwa Uniwersytetów</w:t>
            </w:r>
          </w:p>
        </w:tc>
        <w:tc>
          <w:tcPr>
            <w:tcW w:w="850" w:type="dxa"/>
            <w:shd w:val="clear" w:color="auto" w:fill="C6EFCE"/>
            <w:noWrap/>
          </w:tcPr>
          <w:p w14:paraId="413D20AF" w14:textId="77777777" w:rsidR="006578ED" w:rsidRDefault="00A1618E">
            <w:pPr>
              <w:pStyle w:val="P68B1DB1-Normal13"/>
              <w:spacing w:after="0" w:line="240" w:lineRule="auto"/>
              <w:jc w:val="center"/>
              <w:rPr>
                <w:rFonts w:eastAsia="Times New Roman" w:cs="Times New Roman"/>
                <w:noProof/>
              </w:rPr>
            </w:pPr>
            <w:r>
              <w:rPr>
                <w:noProof/>
              </w:rPr>
              <w:t> </w:t>
            </w:r>
          </w:p>
        </w:tc>
        <w:tc>
          <w:tcPr>
            <w:tcW w:w="709" w:type="dxa"/>
            <w:shd w:val="clear" w:color="auto" w:fill="C6EFCE"/>
            <w:noWrap/>
          </w:tcPr>
          <w:p w14:paraId="611BB9DB" w14:textId="77777777" w:rsidR="006578ED" w:rsidRDefault="00A1618E">
            <w:pPr>
              <w:pStyle w:val="P68B1DB1-Normal13"/>
              <w:spacing w:after="0" w:line="240" w:lineRule="auto"/>
              <w:jc w:val="right"/>
              <w:rPr>
                <w:rFonts w:eastAsia="Times New Roman" w:cs="Times New Roman"/>
                <w:noProof/>
              </w:rPr>
            </w:pPr>
            <w:r>
              <w:rPr>
                <w:noProof/>
              </w:rPr>
              <w:t> </w:t>
            </w:r>
          </w:p>
        </w:tc>
        <w:tc>
          <w:tcPr>
            <w:tcW w:w="851" w:type="dxa"/>
            <w:shd w:val="clear" w:color="auto" w:fill="C6EFCE"/>
            <w:noWrap/>
          </w:tcPr>
          <w:p w14:paraId="7FB5F00E" w14:textId="77777777" w:rsidR="006578ED" w:rsidRDefault="00A1618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01C73FB4" w14:textId="3CF76C90" w:rsidR="006578ED" w:rsidRDefault="00EC188C">
            <w:pPr>
              <w:pStyle w:val="P68B1DB1-Normal13"/>
              <w:spacing w:after="0" w:line="240" w:lineRule="auto"/>
              <w:jc w:val="center"/>
              <w:rPr>
                <w:rFonts w:eastAsia="Times New Roman" w:cs="Times New Roman"/>
                <w:noProof/>
              </w:rPr>
            </w:pPr>
            <w:r>
              <w:rPr>
                <w:noProof/>
              </w:rPr>
              <w:t>KW. 4</w:t>
            </w:r>
          </w:p>
        </w:tc>
        <w:tc>
          <w:tcPr>
            <w:tcW w:w="708" w:type="dxa"/>
            <w:shd w:val="clear" w:color="auto" w:fill="C6EFCE"/>
            <w:noWrap/>
          </w:tcPr>
          <w:p w14:paraId="53E37E2F" w14:textId="77777777" w:rsidR="006578ED" w:rsidRDefault="00A1618E">
            <w:pPr>
              <w:pStyle w:val="P68B1DB1-Normal13"/>
              <w:spacing w:after="0" w:line="240" w:lineRule="auto"/>
              <w:jc w:val="center"/>
              <w:rPr>
                <w:rFonts w:eastAsia="Times New Roman" w:cs="Times New Roman"/>
                <w:noProof/>
              </w:rPr>
            </w:pPr>
            <w:r>
              <w:rPr>
                <w:noProof/>
              </w:rPr>
              <w:t>2023</w:t>
            </w:r>
          </w:p>
        </w:tc>
        <w:tc>
          <w:tcPr>
            <w:tcW w:w="4962" w:type="dxa"/>
            <w:shd w:val="clear" w:color="auto" w:fill="C6EFCE"/>
            <w:noWrap/>
          </w:tcPr>
          <w:p w14:paraId="596CA7D8" w14:textId="45D1CE6C" w:rsidR="006578ED" w:rsidRDefault="00A1618E">
            <w:pPr>
              <w:pStyle w:val="P68B1DB1-Normal13"/>
              <w:spacing w:after="0" w:line="240" w:lineRule="auto"/>
              <w:rPr>
                <w:rFonts w:eastAsia="Times New Roman" w:cs="Times New Roman"/>
                <w:noProof/>
              </w:rPr>
            </w:pPr>
            <w:r>
              <w:rPr>
                <w:noProof/>
              </w:rPr>
              <w:t>Zakończenie inwestycji w (i) zasoby cyfrowe, takie jak rozwój sprzętu cyfrowego i infrastruktury cyfrowej; bezpieczeństwo cybernetyczne i technologie w klasach na potrzeby nauczania online; szkolenia cyfrowe dla kadry akademickiej i studentów; oraz (iv) inwestycje w platformy usług cyfrowych; konieczne jest zwiększenie „cyfrowego wskaźnika dla szkół wyższych” o co najmniej 10 % w porównaniu z poziomem z 20</w:t>
            </w:r>
            <w:r w:rsidRPr="00A1618E">
              <w:rPr>
                <w:noProof/>
                <w:lang w:val="pl-PL"/>
              </w:rPr>
              <w:t>19 r.</w:t>
            </w:r>
            <w:r>
              <w:rPr>
                <w:noProof/>
              </w:rPr>
              <w:t xml:space="preserve"> dla całego systemu szkolnictwa wyższego i obejmującego różne wymiary dojrzałości: Zarządzanie, innowacje i rząd. Kwalifikujące się projekty rozpoczyna się od lutego 20</w:t>
            </w:r>
            <w:r w:rsidRPr="00A1618E">
              <w:rPr>
                <w:noProof/>
                <w:lang w:val="pl-PL"/>
              </w:rPr>
              <w:t>20 r.</w:t>
            </w:r>
            <w:r>
              <w:rPr>
                <w:noProof/>
              </w:rPr>
              <w:t xml:space="preserve"> „Digital Index for Universities” jest skróconą wersją „Digital Maturity Model for Universities” (MD4U) – ram wskaźników stosowanych przez CRUE-TIC (sektorowy sektor informatyczny konferencji kanclerzy hiszpańskich szkół wyższych) do corocznego badania mającego na celu określenie poziomu cyfryzacji hiszpańskich uniwersytetów w dziedzinie zarządzania, innowacji i zarządzania. „Cyfrowy indeks dla szkół wyższych” jest „tablicą wskaźników” służącą do monitorowania rozwoju poziomu cyfrowego uniwersytetów. Punktem odniesienia dla oddziaływania programu są wartości poziomu cyfryzacji systemu uniwersyteckiego w 20</w:t>
            </w:r>
            <w:r w:rsidRPr="00A1618E">
              <w:rPr>
                <w:noProof/>
                <w:lang w:val="pl-PL"/>
              </w:rPr>
              <w:t>19 r.</w:t>
            </w:r>
            <w:r>
              <w:rPr>
                <w:noProof/>
              </w:rPr>
              <w:t>, przy czym data odniesienia przypada na dzień 31 grudnia 20</w:t>
            </w:r>
            <w:r w:rsidRPr="00A1618E">
              <w:rPr>
                <w:noProof/>
                <w:lang w:val="pl-PL"/>
              </w:rPr>
              <w:t>19 r.</w:t>
            </w:r>
          </w:p>
        </w:tc>
      </w:tr>
      <w:tr w:rsidR="006578ED" w14:paraId="7ABB7475" w14:textId="77777777">
        <w:trPr>
          <w:trHeight w:val="309"/>
        </w:trPr>
        <w:tc>
          <w:tcPr>
            <w:tcW w:w="709" w:type="dxa"/>
            <w:shd w:val="clear" w:color="auto" w:fill="C6EFCE"/>
            <w:noWrap/>
          </w:tcPr>
          <w:p w14:paraId="37170362" w14:textId="0BAB28C8" w:rsidR="006578ED" w:rsidRDefault="00A1618E">
            <w:pPr>
              <w:pStyle w:val="P68B1DB1-Normal13"/>
              <w:spacing w:after="0" w:line="240" w:lineRule="auto"/>
              <w:jc w:val="center"/>
              <w:rPr>
                <w:rFonts w:cs="Times New Roman"/>
                <w:noProof/>
              </w:rPr>
            </w:pPr>
            <w:r>
              <w:rPr>
                <w:noProof/>
              </w:rPr>
              <w:t>468</w:t>
            </w:r>
          </w:p>
        </w:tc>
        <w:tc>
          <w:tcPr>
            <w:tcW w:w="851" w:type="dxa"/>
            <w:shd w:val="clear" w:color="auto" w:fill="C6EFCE"/>
            <w:noWrap/>
          </w:tcPr>
          <w:p w14:paraId="08E9864B" w14:textId="77777777" w:rsidR="006578ED" w:rsidRDefault="00A1618E">
            <w:pPr>
              <w:pStyle w:val="P68B1DB1-Normal13"/>
              <w:spacing w:after="0" w:line="240" w:lineRule="auto"/>
              <w:jc w:val="center"/>
              <w:rPr>
                <w:rFonts w:cs="Times New Roman"/>
                <w:noProof/>
              </w:rPr>
            </w:pPr>
            <w:r>
              <w:rPr>
                <w:noProof/>
              </w:rPr>
              <w:t>C21.I6</w:t>
            </w:r>
          </w:p>
        </w:tc>
        <w:tc>
          <w:tcPr>
            <w:tcW w:w="850" w:type="dxa"/>
            <w:shd w:val="clear" w:color="auto" w:fill="C6EFCE"/>
            <w:noWrap/>
          </w:tcPr>
          <w:p w14:paraId="01D1ADDD" w14:textId="59AC4FE5" w:rsidR="006578ED" w:rsidRDefault="00AF6B91">
            <w:pPr>
              <w:pStyle w:val="P68B1DB1-Normal13"/>
              <w:spacing w:after="0" w:line="240" w:lineRule="auto"/>
              <w:jc w:val="center"/>
              <w:rPr>
                <w:rFonts w:cs="Times New Roman"/>
                <w:noProof/>
              </w:rPr>
            </w:pPr>
            <w:r>
              <w:rPr>
                <w:noProof/>
              </w:rPr>
              <w:t>Kamień milowy</w:t>
            </w:r>
          </w:p>
        </w:tc>
        <w:tc>
          <w:tcPr>
            <w:tcW w:w="3119" w:type="dxa"/>
            <w:shd w:val="clear" w:color="auto" w:fill="C6EFCE"/>
            <w:noWrap/>
          </w:tcPr>
          <w:p w14:paraId="640796C1" w14:textId="77777777" w:rsidR="006578ED" w:rsidRDefault="00A1618E">
            <w:pPr>
              <w:pStyle w:val="P68B1DB1-Normal13"/>
              <w:spacing w:after="0" w:line="240" w:lineRule="auto"/>
              <w:rPr>
                <w:rFonts w:cs="Times New Roman"/>
                <w:noProof/>
              </w:rPr>
            </w:pPr>
            <w:r>
              <w:rPr>
                <w:noProof/>
              </w:rPr>
              <w:t>Przyjęcie planu działania na rzecz rozwoju mikropoświadczeń uniwersyteckich</w:t>
            </w:r>
          </w:p>
        </w:tc>
        <w:tc>
          <w:tcPr>
            <w:tcW w:w="1134" w:type="dxa"/>
            <w:shd w:val="clear" w:color="auto" w:fill="C6EFCE"/>
            <w:noWrap/>
          </w:tcPr>
          <w:p w14:paraId="122F4F0C" w14:textId="77777777" w:rsidR="006578ED" w:rsidRDefault="00A1618E">
            <w:pPr>
              <w:pStyle w:val="P68B1DB1-Normal13"/>
              <w:spacing w:after="0" w:line="240" w:lineRule="auto"/>
              <w:jc w:val="center"/>
              <w:rPr>
                <w:rFonts w:cs="Times New Roman"/>
                <w:noProof/>
              </w:rPr>
            </w:pPr>
            <w:r>
              <w:rPr>
                <w:noProof/>
              </w:rPr>
              <w:t>Publikacja na stronie internetowej Ministerstwa Szkolnictwa Wyższego</w:t>
            </w:r>
          </w:p>
        </w:tc>
        <w:tc>
          <w:tcPr>
            <w:tcW w:w="850" w:type="dxa"/>
            <w:shd w:val="clear" w:color="auto" w:fill="C6EFCE"/>
            <w:noWrap/>
          </w:tcPr>
          <w:p w14:paraId="3BF83D2D" w14:textId="77777777" w:rsidR="006578ED" w:rsidRDefault="006578ED">
            <w:pPr>
              <w:spacing w:after="0" w:line="240" w:lineRule="auto"/>
              <w:jc w:val="center"/>
              <w:rPr>
                <w:rFonts w:ascii="Times New Roman" w:hAnsi="Times New Roman" w:cs="Times New Roman"/>
                <w:noProof/>
                <w:sz w:val="18"/>
              </w:rPr>
            </w:pPr>
          </w:p>
        </w:tc>
        <w:tc>
          <w:tcPr>
            <w:tcW w:w="709" w:type="dxa"/>
            <w:shd w:val="clear" w:color="auto" w:fill="C6EFCE"/>
            <w:noWrap/>
          </w:tcPr>
          <w:p w14:paraId="3D4FBB91" w14:textId="77777777" w:rsidR="006578ED" w:rsidRDefault="006578ED">
            <w:pPr>
              <w:spacing w:after="0" w:line="240" w:lineRule="auto"/>
              <w:jc w:val="right"/>
              <w:rPr>
                <w:rFonts w:ascii="Times New Roman" w:hAnsi="Times New Roman" w:cs="Times New Roman"/>
                <w:noProof/>
                <w:sz w:val="18"/>
              </w:rPr>
            </w:pPr>
          </w:p>
        </w:tc>
        <w:tc>
          <w:tcPr>
            <w:tcW w:w="851" w:type="dxa"/>
            <w:shd w:val="clear" w:color="auto" w:fill="C6EFCE"/>
            <w:noWrap/>
          </w:tcPr>
          <w:p w14:paraId="36DB89CF" w14:textId="77777777" w:rsidR="006578ED" w:rsidRDefault="006578ED">
            <w:pPr>
              <w:spacing w:after="0" w:line="240" w:lineRule="auto"/>
              <w:jc w:val="right"/>
              <w:rPr>
                <w:rFonts w:ascii="Times New Roman" w:hAnsi="Times New Roman" w:cs="Times New Roman"/>
                <w:noProof/>
                <w:sz w:val="18"/>
              </w:rPr>
            </w:pPr>
          </w:p>
        </w:tc>
        <w:tc>
          <w:tcPr>
            <w:tcW w:w="567" w:type="dxa"/>
            <w:shd w:val="clear" w:color="auto" w:fill="C6EFCE"/>
            <w:noWrap/>
          </w:tcPr>
          <w:p w14:paraId="1F42A5C4" w14:textId="2F97EF76" w:rsidR="006578ED" w:rsidRDefault="00EC188C">
            <w:pPr>
              <w:pStyle w:val="P68B1DB1-Normal13"/>
              <w:spacing w:after="0" w:line="240" w:lineRule="auto"/>
              <w:jc w:val="center"/>
              <w:rPr>
                <w:rFonts w:cs="Times New Roman"/>
                <w:noProof/>
              </w:rPr>
            </w:pPr>
            <w:r>
              <w:rPr>
                <w:noProof/>
              </w:rPr>
              <w:t>KW. 2</w:t>
            </w:r>
          </w:p>
        </w:tc>
        <w:tc>
          <w:tcPr>
            <w:tcW w:w="708" w:type="dxa"/>
            <w:shd w:val="clear" w:color="auto" w:fill="C6EFCE"/>
            <w:noWrap/>
          </w:tcPr>
          <w:p w14:paraId="5ADE0254" w14:textId="77777777" w:rsidR="006578ED" w:rsidRDefault="00A1618E">
            <w:pPr>
              <w:pStyle w:val="P68B1DB1-Normal13"/>
              <w:spacing w:after="0" w:line="240" w:lineRule="auto"/>
              <w:jc w:val="center"/>
              <w:rPr>
                <w:rFonts w:cs="Times New Roman"/>
                <w:noProof/>
              </w:rPr>
            </w:pPr>
            <w:r>
              <w:rPr>
                <w:noProof/>
              </w:rPr>
              <w:t>2023</w:t>
            </w:r>
          </w:p>
        </w:tc>
        <w:tc>
          <w:tcPr>
            <w:tcW w:w="4962" w:type="dxa"/>
            <w:shd w:val="clear" w:color="auto" w:fill="C6EFCE"/>
            <w:noWrap/>
          </w:tcPr>
          <w:p w14:paraId="120C3E37" w14:textId="128D6016" w:rsidR="006578ED" w:rsidRDefault="00A1618E">
            <w:pPr>
              <w:pStyle w:val="P68B1DB1-Normal13"/>
              <w:spacing w:after="0" w:line="240" w:lineRule="auto"/>
              <w:rPr>
                <w:rFonts w:cs="Times New Roman"/>
                <w:noProof/>
              </w:rPr>
            </w:pPr>
            <w:r>
              <w:rPr>
                <w:noProof/>
              </w:rPr>
              <w:t>Przyjęcie planu działania na rzecz stworzenia ram rozwoju mikropoświadczeń opracowanych przez Ministerstwo Uniwersytetów po konsultacjach z zainteresowanymi stronami. Plan obejmuje działania (i) mające na celu przekształcenie uniwersytetów w instytucje uczenia się przez całe życie; pobudzanie popytu wśród dorosłych i ich pracodawców; promowanie jakości i przydatności mikropoświadczeń; wspieranie równego dostępu; oraz (v) stworzenie zindywidualizowanych i elastycznych ścieżek kształcenia.</w:t>
            </w:r>
          </w:p>
        </w:tc>
      </w:tr>
      <w:tr w:rsidR="006578ED" w14:paraId="14D987CC" w14:textId="77777777">
        <w:trPr>
          <w:trHeight w:val="309"/>
        </w:trPr>
        <w:tc>
          <w:tcPr>
            <w:tcW w:w="709" w:type="dxa"/>
            <w:shd w:val="clear" w:color="auto" w:fill="C6EFCE"/>
            <w:noWrap/>
          </w:tcPr>
          <w:p w14:paraId="046F9A5A" w14:textId="15ABE94F" w:rsidR="006578ED" w:rsidRDefault="00A1618E">
            <w:pPr>
              <w:pStyle w:val="P68B1DB1-Normal13"/>
              <w:spacing w:after="0" w:line="240" w:lineRule="auto"/>
              <w:jc w:val="center"/>
              <w:rPr>
                <w:rFonts w:cs="Times New Roman"/>
                <w:noProof/>
              </w:rPr>
            </w:pPr>
            <w:r>
              <w:rPr>
                <w:noProof/>
              </w:rPr>
              <w:t>469</w:t>
            </w:r>
          </w:p>
        </w:tc>
        <w:tc>
          <w:tcPr>
            <w:tcW w:w="851" w:type="dxa"/>
            <w:shd w:val="clear" w:color="auto" w:fill="C6EFCE"/>
            <w:noWrap/>
          </w:tcPr>
          <w:p w14:paraId="48812D43" w14:textId="77777777" w:rsidR="006578ED" w:rsidRDefault="00A1618E">
            <w:pPr>
              <w:pStyle w:val="P68B1DB1-Normal13"/>
              <w:spacing w:after="0" w:line="240" w:lineRule="auto"/>
              <w:jc w:val="center"/>
              <w:rPr>
                <w:rFonts w:cs="Times New Roman"/>
                <w:noProof/>
              </w:rPr>
            </w:pPr>
            <w:r>
              <w:rPr>
                <w:noProof/>
              </w:rPr>
              <w:t>C21.I6</w:t>
            </w:r>
          </w:p>
        </w:tc>
        <w:tc>
          <w:tcPr>
            <w:tcW w:w="850" w:type="dxa"/>
            <w:shd w:val="clear" w:color="auto" w:fill="C6EFCE"/>
            <w:noWrap/>
          </w:tcPr>
          <w:p w14:paraId="1EB23085" w14:textId="56204492" w:rsidR="006578ED" w:rsidRDefault="00AF6B91">
            <w:pPr>
              <w:pStyle w:val="P68B1DB1-Normal13"/>
              <w:spacing w:after="0" w:line="240" w:lineRule="auto"/>
              <w:jc w:val="center"/>
              <w:rPr>
                <w:rFonts w:cs="Times New Roman"/>
                <w:noProof/>
              </w:rPr>
            </w:pPr>
            <w:r>
              <w:rPr>
                <w:noProof/>
              </w:rPr>
              <w:t>Cel</w:t>
            </w:r>
          </w:p>
        </w:tc>
        <w:tc>
          <w:tcPr>
            <w:tcW w:w="3119" w:type="dxa"/>
            <w:shd w:val="clear" w:color="auto" w:fill="C6EFCE"/>
            <w:noWrap/>
          </w:tcPr>
          <w:p w14:paraId="34FC153D" w14:textId="77777777" w:rsidR="006578ED" w:rsidRDefault="00A1618E">
            <w:pPr>
              <w:pStyle w:val="P68B1DB1-Normal13"/>
              <w:spacing w:after="0" w:line="240" w:lineRule="auto"/>
              <w:rPr>
                <w:rFonts w:cs="Times New Roman"/>
                <w:noProof/>
              </w:rPr>
            </w:pPr>
            <w:r>
              <w:rPr>
                <w:noProof/>
              </w:rPr>
              <w:t>Mikropoświadczenia wydawane osobom dorosłym</w:t>
            </w:r>
          </w:p>
        </w:tc>
        <w:tc>
          <w:tcPr>
            <w:tcW w:w="1134" w:type="dxa"/>
            <w:shd w:val="clear" w:color="auto" w:fill="C6EFCE"/>
            <w:noWrap/>
          </w:tcPr>
          <w:p w14:paraId="45C7A478"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16FD6B3C" w14:textId="77777777" w:rsidR="006578ED" w:rsidRDefault="00A1618E">
            <w:pPr>
              <w:pStyle w:val="P68B1DB1-Normal13"/>
              <w:spacing w:after="0" w:line="240" w:lineRule="auto"/>
              <w:jc w:val="center"/>
              <w:rPr>
                <w:rFonts w:cs="Times New Roman"/>
                <w:noProof/>
              </w:rPr>
            </w:pPr>
            <w:r>
              <w:rPr>
                <w:noProof/>
              </w:rPr>
              <w:t>Liczba</w:t>
            </w:r>
          </w:p>
        </w:tc>
        <w:tc>
          <w:tcPr>
            <w:tcW w:w="709" w:type="dxa"/>
            <w:shd w:val="clear" w:color="auto" w:fill="C6EFCE"/>
            <w:noWrap/>
          </w:tcPr>
          <w:p w14:paraId="130795E5" w14:textId="77777777" w:rsidR="006578ED" w:rsidRDefault="00A1618E">
            <w:pPr>
              <w:pStyle w:val="P68B1DB1-Normal13"/>
              <w:spacing w:after="0" w:line="240" w:lineRule="auto"/>
              <w:jc w:val="right"/>
              <w:rPr>
                <w:rFonts w:cs="Times New Roman"/>
                <w:noProof/>
              </w:rPr>
            </w:pPr>
            <w:r>
              <w:rPr>
                <w:noProof/>
              </w:rPr>
              <w:t>0</w:t>
            </w:r>
          </w:p>
        </w:tc>
        <w:tc>
          <w:tcPr>
            <w:tcW w:w="851" w:type="dxa"/>
            <w:shd w:val="clear" w:color="auto" w:fill="C6EFCE"/>
            <w:noWrap/>
          </w:tcPr>
          <w:p w14:paraId="250E3567" w14:textId="77777777" w:rsidR="006578ED" w:rsidRDefault="00A1618E">
            <w:pPr>
              <w:pStyle w:val="P68B1DB1-Normal13"/>
              <w:spacing w:after="0" w:line="240" w:lineRule="auto"/>
              <w:jc w:val="right"/>
              <w:rPr>
                <w:rFonts w:cs="Times New Roman"/>
                <w:noProof/>
              </w:rPr>
            </w:pPr>
            <w:r>
              <w:rPr>
                <w:noProof/>
              </w:rPr>
              <w:t>60.000</w:t>
            </w:r>
          </w:p>
        </w:tc>
        <w:tc>
          <w:tcPr>
            <w:tcW w:w="567" w:type="dxa"/>
            <w:shd w:val="clear" w:color="auto" w:fill="C6EFCE"/>
            <w:noWrap/>
          </w:tcPr>
          <w:p w14:paraId="2D2387A3" w14:textId="582D006D" w:rsidR="006578ED" w:rsidRDefault="00EC188C">
            <w:pPr>
              <w:pStyle w:val="P68B1DB1-Normal13"/>
              <w:spacing w:after="0" w:line="240" w:lineRule="auto"/>
              <w:jc w:val="center"/>
              <w:rPr>
                <w:rFonts w:cs="Times New Roman"/>
                <w:noProof/>
              </w:rPr>
            </w:pPr>
            <w:r>
              <w:rPr>
                <w:noProof/>
              </w:rPr>
              <w:t>KW. 2</w:t>
            </w:r>
          </w:p>
        </w:tc>
        <w:tc>
          <w:tcPr>
            <w:tcW w:w="708" w:type="dxa"/>
            <w:shd w:val="clear" w:color="auto" w:fill="C6EFCE"/>
            <w:noWrap/>
          </w:tcPr>
          <w:p w14:paraId="47173C2D" w14:textId="0C63013D" w:rsidR="006578ED" w:rsidRDefault="00A1618E">
            <w:pPr>
              <w:pStyle w:val="P68B1DB1-Normal13"/>
              <w:spacing w:after="0" w:line="240" w:lineRule="auto"/>
              <w:jc w:val="center"/>
              <w:rPr>
                <w:rFonts w:cs="Times New Roman"/>
                <w:noProof/>
              </w:rPr>
            </w:pPr>
            <w:r>
              <w:rPr>
                <w:noProof/>
              </w:rPr>
              <w:t>2026</w:t>
            </w:r>
          </w:p>
        </w:tc>
        <w:tc>
          <w:tcPr>
            <w:tcW w:w="4962" w:type="dxa"/>
            <w:shd w:val="clear" w:color="auto" w:fill="C6EFCE"/>
            <w:noWrap/>
          </w:tcPr>
          <w:p w14:paraId="616C5A85" w14:textId="22EA3DAC" w:rsidR="006578ED" w:rsidRDefault="00A1618E">
            <w:pPr>
              <w:pStyle w:val="P68B1DB1-Normal8"/>
              <w:spacing w:after="0" w:line="240" w:lineRule="auto"/>
              <w:rPr>
                <w:rFonts w:cs="Times New Roman"/>
                <w:noProof/>
                <w:sz w:val="18"/>
              </w:rPr>
            </w:pPr>
            <w:r>
              <w:rPr>
                <w:noProof/>
                <w:sz w:val="18"/>
              </w:rPr>
              <w:t>Zapewnienie co najmniej 60000 jednostek mikropoświadczeń trwających mniej niż 15 ECTS i odpowiadających co najmniej 1000 różnym działaniom szkoleniowym, w tym możliwość zapewnienia więcej niż jednej jednostki tej samej osobie dorosłej. Działania szkoleniowe zapewniają specyficzną wiedzę i umiejętności potrzebne na rynku pracy.</w:t>
            </w:r>
            <w:r>
              <w:rPr>
                <w:noProof/>
              </w:rPr>
              <w:t xml:space="preserve"> </w:t>
            </w:r>
            <w:r>
              <w:rPr>
                <w:noProof/>
                <w:sz w:val="18"/>
              </w:rPr>
              <w:t>Środek ten obejmuje również publikację na stronie internetowej Ministerstwa Szkolnictwa Wyższego sprawozdania z oceny udzielania mikropoświadczeń do dnia 31 grudnia 20</w:t>
            </w:r>
            <w:r w:rsidRPr="00A1618E">
              <w:rPr>
                <w:noProof/>
                <w:sz w:val="18"/>
                <w:lang w:val="pl-PL"/>
              </w:rPr>
              <w:t>25 r.</w:t>
            </w:r>
          </w:p>
        </w:tc>
      </w:tr>
    </w:tbl>
    <w:p w14:paraId="783B4AAA" w14:textId="77777777" w:rsidR="006578ED" w:rsidRDefault="006578ED">
      <w:pPr>
        <w:spacing w:before="120" w:after="120" w:line="240" w:lineRule="auto"/>
        <w:jc w:val="both"/>
        <w:rPr>
          <w:rFonts w:ascii="Times New Roman" w:hAnsi="Times New Roman" w:cs="Times New Roman"/>
          <w:noProof/>
          <w:sz w:val="24"/>
          <w:highlight w:val="yellow"/>
          <w:u w:val="single"/>
        </w:rPr>
      </w:pPr>
    </w:p>
    <w:p w14:paraId="15AC4662" w14:textId="77777777" w:rsidR="006578ED" w:rsidRDefault="006578ED">
      <w:pPr>
        <w:spacing w:before="120" w:after="120" w:line="240" w:lineRule="auto"/>
        <w:ind w:left="709"/>
        <w:jc w:val="both"/>
        <w:rPr>
          <w:rFonts w:ascii="Times New Roman" w:hAnsi="Times New Roman" w:cs="Times New Roman"/>
          <w:noProof/>
          <w:sz w:val="24"/>
        </w:rPr>
        <w:sectPr w:rsidR="006578ED" w:rsidSect="00C94F66">
          <w:headerReference w:type="even" r:id="rId417"/>
          <w:headerReference w:type="default" r:id="rId418"/>
          <w:footerReference w:type="even" r:id="rId419"/>
          <w:footerReference w:type="default" r:id="rId420"/>
          <w:headerReference w:type="first" r:id="rId421"/>
          <w:footerReference w:type="first" r:id="rId422"/>
          <w:pgSz w:w="16839" w:h="11907" w:orient="landscape"/>
          <w:pgMar w:top="1417" w:right="1134" w:bottom="1417" w:left="1134" w:header="709" w:footer="709" w:gutter="0"/>
          <w:cols w:space="720"/>
          <w:docGrid w:linePitch="360"/>
        </w:sectPr>
      </w:pPr>
    </w:p>
    <w:p w14:paraId="0D14E35D" w14:textId="4DD26D98" w:rsidR="006578ED" w:rsidRDefault="00A1618E">
      <w:pPr>
        <w:pStyle w:val="P68B1DB1-Heading12"/>
        <w:rPr>
          <w:rFonts w:cs="Times New Roman"/>
          <w:noProof/>
        </w:rPr>
      </w:pPr>
      <w:r>
        <w:rPr>
          <w:noProof/>
        </w:rPr>
        <w:t>V. KOMPONENT 22: Plan działania na rzecz gospodarki opiekuńczej, wzmocnienia polityki równości i włączenia społecznego</w:t>
      </w:r>
    </w:p>
    <w:p w14:paraId="75631E61" w14:textId="67102A82" w:rsidR="006578ED" w:rsidRDefault="00A1618E">
      <w:pPr>
        <w:pStyle w:val="P68B1DB1-Normal4"/>
        <w:spacing w:before="120" w:after="0" w:line="240" w:lineRule="auto"/>
        <w:jc w:val="both"/>
        <w:textAlignment w:val="baseline"/>
        <w:rPr>
          <w:rFonts w:eastAsia="Times New Roman" w:cs="Times New Roman"/>
          <w:noProof/>
        </w:rPr>
      </w:pPr>
      <w:r>
        <w:rPr>
          <w:noProof/>
        </w:rPr>
        <w:t xml:space="preserve">Głównym celem tego komponentu hiszpańskiego planu odbudowy i zwiększania odporności jest modernizacja i wzmocnienie usług społecznych i polityki włączenia społecznego. Kładzie się w nim szczególny nacisk na model opieki długoterminowej (LTC), którego celem jest reagowanie na rosnące zapotrzebowanie na różne usługi opieki długoterminowej ze względu na starzenie się społeczeństwa, promowanie innowacji i modelu opieki skoncentrowanego na ludziach, skoncentrowanego na strategii deinstytucjonalizacji. </w:t>
      </w:r>
    </w:p>
    <w:p w14:paraId="769166E5" w14:textId="4A7E09DA" w:rsidR="006578ED" w:rsidRDefault="00A1618E">
      <w:pPr>
        <w:pStyle w:val="P68B1DB1-Normal8"/>
        <w:spacing w:before="120" w:after="0" w:line="240" w:lineRule="auto"/>
        <w:jc w:val="both"/>
        <w:rPr>
          <w:rFonts w:eastAsia="Times New Roman" w:cs="Times New Roman"/>
          <w:noProof/>
          <w:sz w:val="24"/>
        </w:rPr>
      </w:pPr>
      <w:r>
        <w:rPr>
          <w:noProof/>
          <w:sz w:val="24"/>
        </w:rPr>
        <w:t>W dziedzinie innych usług społecznych i włączenia społecznego cele obejmują modernizację i wzmocnienie usług społecznych poprzez promowanie innowacji i nowych technologii w celu zapewnienia świadczenia usług na całym terytorium, lepszej identyfikacji potrzeb i poprawy ich jakości. W obszarze wsparcia dla rodzin działania mają na celu poprawę ochrony prawnej i wsparcia materialnego (pieniężnego i rzeczowego) dla rodzin w celu zmniejszenia ubóstwa dzieci</w:t>
      </w:r>
      <w:r w:rsidRPr="00A1618E">
        <w:rPr>
          <w:noProof/>
          <w:sz w:val="24"/>
          <w:lang w:val="pl-PL"/>
        </w:rPr>
        <w:t>. K</w:t>
      </w:r>
      <w:r>
        <w:rPr>
          <w:noProof/>
          <w:sz w:val="24"/>
        </w:rPr>
        <w:t>olejnym celem komponentu jest modernizacja innych nieskładkowych świadczeń społecznych w celu poprawy ich roli w zakresie ochrony i aktywizacji.</w:t>
      </w:r>
      <w:r>
        <w:rPr>
          <w:noProof/>
        </w:rPr>
        <w:t xml:space="preserve"> </w:t>
      </w:r>
      <w:r>
        <w:rPr>
          <w:noProof/>
          <w:sz w:val="24"/>
        </w:rPr>
        <w:t>Konkretne ukierunkowane działania mają na celu wspieranie ofiar przemocy ze względu na płeć, promowanie dostępności usług publicznych oraz poprawę zdolności systemu przyjmowania osób ubiegających się o ochronę międzynarodową.</w:t>
      </w:r>
    </w:p>
    <w:p w14:paraId="4325628A" w14:textId="577DC79C" w:rsidR="006578ED" w:rsidRDefault="00A1618E">
      <w:pPr>
        <w:pStyle w:val="P68B1DB1-Normal4"/>
        <w:spacing w:before="120" w:after="120" w:line="240" w:lineRule="auto"/>
        <w:jc w:val="both"/>
        <w:rPr>
          <w:rFonts w:cs="Times New Roman"/>
          <w:noProof/>
        </w:rPr>
      </w:pPr>
      <w:r>
        <w:rPr>
          <w:noProof/>
        </w:rPr>
        <w:t xml:space="preserve">Komponent ten przyczynia się do realizacji zaleceń dla poszczególnych krajów związanych z zapewnieniem, aby służby zatrudnienia i służby socjalne były w stanie zapewnić skuteczne wsparcie (zalecenie dla poszczególnych krajów </w:t>
      </w:r>
      <w:r w:rsidRPr="00A1618E">
        <w:rPr>
          <w:noProof/>
          <w:lang w:val="pl-PL"/>
        </w:rPr>
        <w:t>nr 2</w:t>
      </w:r>
      <w:r>
        <w:rPr>
          <w:noProof/>
        </w:rPr>
        <w:t xml:space="preserve"> z 20</w:t>
      </w:r>
      <w:r w:rsidRPr="00A1618E">
        <w:rPr>
          <w:noProof/>
          <w:lang w:val="pl-PL"/>
        </w:rPr>
        <w:t>19 r.</w:t>
      </w:r>
      <w:r>
        <w:rPr>
          <w:noProof/>
        </w:rPr>
        <w:t xml:space="preserve">); poprawa wsparcia dla rodzin (zalecenie dla poszczególnych krajów </w:t>
      </w:r>
      <w:r w:rsidRPr="00A1618E">
        <w:rPr>
          <w:noProof/>
          <w:lang w:val="pl-PL"/>
        </w:rPr>
        <w:t>nr 2</w:t>
      </w:r>
      <w:r>
        <w:rPr>
          <w:noProof/>
        </w:rPr>
        <w:t xml:space="preserve"> z 20</w:t>
      </w:r>
      <w:r w:rsidRPr="00A1618E">
        <w:rPr>
          <w:noProof/>
          <w:lang w:val="pl-PL"/>
        </w:rPr>
        <w:t>19 r.</w:t>
      </w:r>
      <w:r>
        <w:rPr>
          <w:noProof/>
        </w:rPr>
        <w:t xml:space="preserve">); zmniejszenie rozdrobnienia krajowego systemu pomocy dla bezrobotnych i wyeliminowanie luk w zakresie regionalnych systemów dochodu minimalnego (zalecenie dla poszczególnych krajów </w:t>
      </w:r>
      <w:r w:rsidRPr="00A1618E">
        <w:rPr>
          <w:noProof/>
          <w:lang w:val="pl-PL"/>
        </w:rPr>
        <w:t>nr 2</w:t>
      </w:r>
      <w:r>
        <w:rPr>
          <w:noProof/>
        </w:rPr>
        <w:t xml:space="preserve"> z 20</w:t>
      </w:r>
      <w:r w:rsidRPr="00A1618E">
        <w:rPr>
          <w:noProof/>
          <w:lang w:val="pl-PL"/>
        </w:rPr>
        <w:t>19 r.</w:t>
      </w:r>
      <w:r>
        <w:rPr>
          <w:noProof/>
        </w:rPr>
        <w:t xml:space="preserve">); oraz zwiększenie zasięgu i adekwatności systemów dochodu minimalnego i wsparcia rodziny (zalecenie dla poszczególnych krajów </w:t>
      </w:r>
      <w:r w:rsidRPr="00A1618E">
        <w:rPr>
          <w:noProof/>
          <w:lang w:val="pl-PL"/>
        </w:rPr>
        <w:t>nr 2</w:t>
      </w:r>
      <w:r>
        <w:rPr>
          <w:noProof/>
        </w:rPr>
        <w:t xml:space="preserve"> z 20</w:t>
      </w:r>
      <w:r w:rsidRPr="00A1618E">
        <w:rPr>
          <w:noProof/>
          <w:lang w:val="pl-PL"/>
        </w:rPr>
        <w:t>20 r.</w:t>
      </w:r>
      <w:r>
        <w:rPr>
          <w:noProof/>
        </w:rPr>
        <w:t>).</w:t>
      </w:r>
    </w:p>
    <w:p w14:paraId="0C423203" w14:textId="31918143"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62854374" w14:textId="7F904559" w:rsidR="006578ED" w:rsidRDefault="00A1618E">
      <w:pPr>
        <w:pStyle w:val="P68B1DB1-Normal5"/>
        <w:spacing w:before="120" w:after="120" w:line="240" w:lineRule="auto"/>
        <w:ind w:left="709"/>
        <w:jc w:val="both"/>
        <w:rPr>
          <w:rFonts w:cs="Times New Roman"/>
          <w:i/>
          <w:noProof/>
        </w:rPr>
      </w:pPr>
      <w:r>
        <w:rPr>
          <w:noProof/>
        </w:rPr>
        <w:t xml:space="preserve">V.1. </w:t>
      </w:r>
      <w:r>
        <w:rPr>
          <w:noProof/>
        </w:rPr>
        <w:tab/>
        <w:t>Opis reform i inwestycji, które mają być finansowane z bezzwrotnego wsparcia finansowego</w:t>
      </w:r>
    </w:p>
    <w:p w14:paraId="2D7992FB" w14:textId="704ED633" w:rsidR="006578ED" w:rsidRDefault="00A1618E">
      <w:pPr>
        <w:pStyle w:val="P68B1DB1-Normal6"/>
        <w:spacing w:before="120" w:after="120" w:line="240" w:lineRule="auto"/>
        <w:jc w:val="both"/>
        <w:rPr>
          <w:rFonts w:cs="Times New Roman"/>
          <w:noProof/>
        </w:rPr>
      </w:pPr>
      <w:r>
        <w:rPr>
          <w:noProof/>
          <w:shd w:val="clear" w:color="auto" w:fill="FFFFFF"/>
        </w:rPr>
        <w:t>Reforma 1 (C22.R1) –</w:t>
      </w:r>
      <w:r>
        <w:rPr>
          <w:noProof/>
        </w:rPr>
        <w:t xml:space="preserve"> Wzmocnienie opieki długoterminowej i promowanie zmiany modelu wsparcia i opieki długoterminowej</w:t>
      </w:r>
    </w:p>
    <w:p w14:paraId="2C0878DB" w14:textId="7EFE623B" w:rsidR="006578ED" w:rsidRDefault="00A1618E">
      <w:pPr>
        <w:pStyle w:val="P68B1DB1-Normal4"/>
        <w:spacing w:before="120" w:after="120" w:line="240" w:lineRule="auto"/>
        <w:jc w:val="both"/>
        <w:rPr>
          <w:rFonts w:cs="Times New Roman"/>
          <w:noProof/>
        </w:rPr>
      </w:pPr>
      <w:r>
        <w:rPr>
          <w:noProof/>
        </w:rPr>
        <w:t xml:space="preserve">Reforma ma na celu stworzenie modelu wsparcia ukierunkowanego na ludzi i opartego na prawach człowieka. Oczekuje się, że system autonomicznej opieki i opieki nad osobami zależnymi (SAAD) zostanie ulepszony poprzez wprowadzenie reform, które uprością procedury administracyjne, przyspieszą rozpatrywanie wniosków i zmniejszą liczbę list oczekujących dla osób pozostających na utrzymaniu, które nie korzystają z usług, do których są uprawnione, a także zmniejszą różnice na całym terytorium. Koncentruje się również na poprawie jakości usług świadczonych w ramach wolnych zawodów, poprawie warunków pracy i zwiększeniu zakresu różnych rodzajów świadczeń finansowych. W perspektywie średnioterminowej reforma koncentruje się na wdrożeniu krajowej strategii deinstytucjonalizacji, modelu ukierunkowanego na opiekę środowiskową, która odpowiada potrzebom i preferencjom osób potrzebujących wsparcia, przy jednoczesnym zapewnieniu opłacalności i wspieraniu rodzin opiekujących się nimi. </w:t>
      </w:r>
    </w:p>
    <w:p w14:paraId="5C1142F2" w14:textId="72797444" w:rsidR="006578ED" w:rsidRDefault="00A1618E">
      <w:pPr>
        <w:pStyle w:val="P68B1DB1-Normal4"/>
        <w:spacing w:before="120" w:after="120" w:line="240" w:lineRule="auto"/>
        <w:jc w:val="both"/>
        <w:rPr>
          <w:rFonts w:cs="Times New Roman"/>
          <w:noProof/>
        </w:rPr>
      </w:pPr>
      <w:r>
        <w:rPr>
          <w:noProof/>
        </w:rPr>
        <w:t>Podstawę reformy opieki długoterminowej stanowi ocena SAAD w 20</w:t>
      </w:r>
      <w:r w:rsidRPr="00A1618E">
        <w:rPr>
          <w:noProof/>
          <w:lang w:val="pl-PL"/>
        </w:rPr>
        <w:t>21 r.</w:t>
      </w:r>
      <w:r>
        <w:rPr>
          <w:noProof/>
        </w:rPr>
        <w:t xml:space="preserve"> w celu dogłębnego zrozumienia postępów w procesie reformy opieki długoterminowej rozpoczętej w 20</w:t>
      </w:r>
      <w:r w:rsidRPr="00A1618E">
        <w:rPr>
          <w:noProof/>
          <w:lang w:val="pl-PL"/>
        </w:rPr>
        <w:t>20 r.</w:t>
      </w:r>
      <w:r>
        <w:rPr>
          <w:noProof/>
        </w:rPr>
        <w:t xml:space="preserve"> i jej skutków. Wnioski z tej oceny zostaną przedstawione radzie terytorialnej w pierwszej połowie 20</w:t>
      </w:r>
      <w:r w:rsidRPr="00A1618E">
        <w:rPr>
          <w:noProof/>
          <w:lang w:val="pl-PL"/>
        </w:rPr>
        <w:t>22 r.</w:t>
      </w:r>
      <w:r>
        <w:rPr>
          <w:noProof/>
        </w:rPr>
        <w:t xml:space="preserve"> </w:t>
      </w:r>
    </w:p>
    <w:p w14:paraId="1D423281" w14:textId="14AFFD91" w:rsidR="006578ED" w:rsidRDefault="00A1618E">
      <w:pPr>
        <w:pStyle w:val="P68B1DB1-Normal22"/>
        <w:spacing w:before="120" w:after="120" w:line="240" w:lineRule="auto"/>
        <w:jc w:val="both"/>
        <w:rPr>
          <w:rFonts w:cs="Times New Roman"/>
          <w:noProof/>
        </w:rPr>
      </w:pPr>
      <w:r>
        <w:rPr>
          <w:noProof/>
        </w:rPr>
        <w:t>Wdrożenie środka należy zakończyć do dnia 30 czerwca 20</w:t>
      </w:r>
      <w:r w:rsidRPr="00A1618E">
        <w:rPr>
          <w:noProof/>
          <w:lang w:val="pl-PL"/>
        </w:rPr>
        <w:t>22 r.</w:t>
      </w:r>
    </w:p>
    <w:p w14:paraId="0F984A9E" w14:textId="18C58110" w:rsidR="006578ED" w:rsidRDefault="00A1618E">
      <w:pPr>
        <w:pStyle w:val="P68B1DB1-Normal6"/>
        <w:spacing w:before="120" w:after="120" w:line="240" w:lineRule="auto"/>
        <w:jc w:val="both"/>
        <w:rPr>
          <w:rFonts w:cs="Times New Roman"/>
          <w:noProof/>
        </w:rPr>
      </w:pPr>
      <w:r>
        <w:rPr>
          <w:noProof/>
          <w:shd w:val="clear" w:color="auto" w:fill="FFFFFF"/>
        </w:rPr>
        <w:t xml:space="preserve">Reforma 2 (C22.R2) – </w:t>
      </w:r>
      <w:r>
        <w:rPr>
          <w:noProof/>
        </w:rPr>
        <w:t>Modernizacja publicznych usług społecznych i zapewnienie im nowych ram regulacyjnych</w:t>
      </w:r>
    </w:p>
    <w:p w14:paraId="60735B60" w14:textId="08970851" w:rsidR="006578ED" w:rsidRDefault="00A1618E">
      <w:pPr>
        <w:pStyle w:val="P68B1DB1-Normal4"/>
        <w:spacing w:before="120" w:after="120" w:line="240" w:lineRule="auto"/>
        <w:jc w:val="both"/>
        <w:rPr>
          <w:rFonts w:cs="Times New Roman"/>
          <w:noProof/>
        </w:rPr>
      </w:pPr>
      <w:r>
        <w:rPr>
          <w:noProof/>
        </w:rPr>
        <w:t>Reforma ma na celu wzmocnienie publicznego systemu usług socjalnych poprzez przyjęcie przepisów gwarantujących minimalny wspólny zestaw usług i wspólne standardy ich świadczenia na całym terytorium, gwarantując równość wszystkich Hiszpanów w wykonywaniu ich praw, zgodnie z </w:t>
      </w:r>
      <w:r w:rsidRPr="00A1618E">
        <w:rPr>
          <w:noProof/>
          <w:lang w:val="pl-PL"/>
        </w:rPr>
        <w:t>art. 1</w:t>
      </w:r>
      <w:r>
        <w:rPr>
          <w:noProof/>
        </w:rPr>
        <w:t xml:space="preserve">49 </w:t>
      </w:r>
      <w:r w:rsidRPr="00A1618E">
        <w:rPr>
          <w:noProof/>
          <w:lang w:val="pl-PL"/>
        </w:rPr>
        <w:t>ust. 1</w:t>
      </w:r>
      <w:r>
        <w:rPr>
          <w:noProof/>
        </w:rPr>
        <w:t xml:space="preserve"> konstytucji hiszpańskiej. W tym celu przyczynia się do zmniejszania dysproporcji i nierówności związanych z rodzajem, poziomem i jakością świadczonych usług. Ramy regulacyjne są uzgadniane z regionami i przedsiębiorstwami lokalnymi i obejmują również organizację systemu publicznego, w tym jego wewnętrzną koordynację i koordynację z innymi systemami zabezpieczenia społecznego (edukacja, zdrowie, wymiar sprawiedliwości, mieszkalnictwo i urbanistyka, zatrudnienie itp.); udział przedsiębiorstw społecznych w świadczeniu usług społecznych; system uprawnień i finansowania. Ponadto jego celem jest promowanie innowacji, podnoszenie kwalifikacji pracowników służby socjalnej oraz stworzenie nowego systemu informacji o usługach społecznych. </w:t>
      </w:r>
    </w:p>
    <w:p w14:paraId="448552C2" w14:textId="7221B48B" w:rsidR="006578ED" w:rsidRDefault="00A1618E">
      <w:pPr>
        <w:pStyle w:val="P68B1DB1-Normal22"/>
        <w:spacing w:before="120" w:after="120" w:line="240" w:lineRule="auto"/>
        <w:jc w:val="both"/>
        <w:rPr>
          <w:rFonts w:cs="Times New Roman"/>
          <w:noProof/>
        </w:rPr>
      </w:pPr>
      <w:r>
        <w:rPr>
          <w:noProof/>
        </w:rPr>
        <w:t>Wdrożenie środka należy zakończyć do dnia 30 czerwca 20</w:t>
      </w:r>
      <w:r w:rsidRPr="00A1618E">
        <w:rPr>
          <w:noProof/>
          <w:lang w:val="pl-PL"/>
        </w:rPr>
        <w:t>23 r.</w:t>
      </w:r>
    </w:p>
    <w:p w14:paraId="49C4B0FF" w14:textId="46B8F002" w:rsidR="006578ED" w:rsidRDefault="00A1618E">
      <w:pPr>
        <w:pStyle w:val="P68B1DB1-Normal4"/>
        <w:spacing w:before="120" w:after="120" w:line="240" w:lineRule="auto"/>
        <w:jc w:val="both"/>
        <w:rPr>
          <w:rFonts w:cs="Times New Roman"/>
          <w:noProof/>
        </w:rPr>
      </w:pPr>
      <w:r>
        <w:rPr>
          <w:noProof/>
          <w:u w:val="single"/>
          <w:shd w:val="clear" w:color="auto" w:fill="FFFFFF"/>
        </w:rPr>
        <w:t xml:space="preserve">Reforma 3 (C22.R3) – </w:t>
      </w:r>
      <w:r>
        <w:rPr>
          <w:noProof/>
          <w:u w:val="single"/>
        </w:rPr>
        <w:t>Przyjęcie nowej ustawy o ochronie rodzin i uznaniu ich</w:t>
      </w:r>
      <w:r>
        <w:rPr>
          <w:noProof/>
        </w:rPr>
        <w:t>różnorodności</w:t>
      </w:r>
    </w:p>
    <w:p w14:paraId="19C6FC48" w14:textId="2C1EF264" w:rsidR="006578ED" w:rsidRDefault="00A1618E">
      <w:pPr>
        <w:pStyle w:val="P68B1DB1-Normal4"/>
        <w:spacing w:before="120" w:after="120" w:line="240" w:lineRule="auto"/>
        <w:jc w:val="both"/>
        <w:rPr>
          <w:rFonts w:cs="Times New Roman"/>
          <w:noProof/>
        </w:rPr>
      </w:pPr>
      <w:r>
        <w:rPr>
          <w:noProof/>
        </w:rPr>
        <w:t>Należy przyjąć</w:t>
      </w:r>
      <w:r>
        <w:rPr>
          <w:noProof/>
          <w:shd w:val="clear" w:color="auto" w:fill="FFFFFF"/>
        </w:rPr>
        <w:t xml:space="preserve">nową ustawę o ochronie rodzin i uznaniu ich różnorodności, aby zareagować na przemiany demograficzne i społeczne, które miały miejsce w ostatnich dziesięcioleciach. Celem tej nowej ustawy jest prawne uznanie różnych rodzajów struktur rodzinnych oraz określenie świadczeń i usług, do których osoby te są uprawnione w zależności od ich cech i poziomu dochodów. </w:t>
      </w:r>
      <w:r>
        <w:rPr>
          <w:noProof/>
        </w:rPr>
        <w:t>W</w:t>
      </w:r>
      <w:r>
        <w:rPr>
          <w:noProof/>
          <w:shd w:val="clear" w:color="auto" w:fill="FFFFFF"/>
        </w:rPr>
        <w:t> </w:t>
      </w:r>
      <w:r>
        <w:rPr>
          <w:noProof/>
        </w:rPr>
        <w:t xml:space="preserve">tym celu reformy obejmują systematyzację, aktualizację i poprawę ram prawnych oraz działania ochronne, które Powszechna Administracja Państwowa uznaje w odniesieniu do rodzin, z uwzględnieniem ich różnorodności, zarówno pod względem ochrony socjalnej (świadczenia, usługi socjalne), jak i prawnej (reformy w prawie cywilnym dla niektórych grup: pary niepozostające w związku małżeńskim, rodziny odbudowane) i ekonomiczne (opodatkowanie, stypendia itp.). </w:t>
      </w:r>
      <w:r>
        <w:rPr>
          <w:noProof/>
          <w:shd w:val="clear" w:color="auto" w:fill="FFFFFF"/>
        </w:rPr>
        <w:t>Obejmuje ona również przegląd ustawy o rodzinach dużych</w:t>
      </w:r>
      <w:r>
        <w:rPr>
          <w:noProof/>
        </w:rPr>
        <w:t xml:space="preserve">. </w:t>
      </w:r>
    </w:p>
    <w:p w14:paraId="01C9213D" w14:textId="34E9657E" w:rsidR="006578ED" w:rsidRDefault="00A1618E">
      <w:pPr>
        <w:pStyle w:val="P68B1DB1-Normal22"/>
        <w:spacing w:before="120" w:after="120" w:line="240" w:lineRule="auto"/>
        <w:jc w:val="both"/>
        <w:rPr>
          <w:rFonts w:cs="Times New Roman"/>
          <w:noProof/>
        </w:rPr>
      </w:pPr>
      <w:r>
        <w:rPr>
          <w:noProof/>
        </w:rPr>
        <w:t xml:space="preserve">Nadrzędnym celem reformy jest ograniczenie ubóstwa dzieci. Szczególny nacisk należy zatem położyć na zmniejszanie nierówności poprzez zapewnienie ochrony rodzinom o specjalnych potrzebach lub znajdującym się w trudnej sytuacji, takim jak gospodarstwa domowe samotnie wychowujące dzieci, lub rodzinom zagrożonym ubóstwem lub wykluczeniem społecznym. Ponadto ustawa ustanawia wspólne zasady i cele w celu zapewnienia spójności i komplementarności z innymi politykami publicznymi, w tym z opodatkowaniem, oraz poprawy ochrony opartej na prawach podmiotowych. </w:t>
      </w:r>
    </w:p>
    <w:p w14:paraId="1C0CD4CA" w14:textId="41EB8EC0" w:rsidR="006578ED" w:rsidRDefault="00A1618E">
      <w:pPr>
        <w:pStyle w:val="P68B1DB1-Normal22"/>
        <w:spacing w:before="120" w:after="120" w:line="240" w:lineRule="auto"/>
        <w:jc w:val="both"/>
        <w:rPr>
          <w:rFonts w:cs="Times New Roman"/>
          <w:noProof/>
        </w:rPr>
      </w:pPr>
      <w:r>
        <w:rPr>
          <w:noProof/>
        </w:rPr>
        <w:t>Wdrożenie środka należy zakończyć do dnia 30 czerwca 20</w:t>
      </w:r>
      <w:r w:rsidRPr="00A1618E">
        <w:rPr>
          <w:noProof/>
          <w:lang w:val="pl-PL"/>
        </w:rPr>
        <w:t>23 r.</w:t>
      </w:r>
    </w:p>
    <w:p w14:paraId="334C02A2" w14:textId="21CE1E29" w:rsidR="006578ED" w:rsidRDefault="00A1618E">
      <w:pPr>
        <w:pStyle w:val="P68B1DB1-Normal6"/>
        <w:spacing w:before="120" w:after="120" w:line="240" w:lineRule="auto"/>
        <w:jc w:val="both"/>
        <w:rPr>
          <w:rFonts w:cs="Times New Roman"/>
          <w:noProof/>
        </w:rPr>
      </w:pPr>
      <w:r>
        <w:rPr>
          <w:noProof/>
          <w:shd w:val="clear" w:color="auto" w:fill="FFFFFF"/>
        </w:rPr>
        <w:t xml:space="preserve">Reforma 4 (C22.R4) – </w:t>
      </w:r>
      <w:r>
        <w:rPr>
          <w:noProof/>
        </w:rPr>
        <w:t xml:space="preserve">Reforma systemu przyjmowania migrantów i osób ubiegających się o ochronę międzynarodową </w:t>
      </w:r>
    </w:p>
    <w:p w14:paraId="060DC2A4" w14:textId="6492B9C1" w:rsidR="006578ED" w:rsidRDefault="00A1618E">
      <w:pPr>
        <w:pStyle w:val="P68B1DB1-Normal4"/>
        <w:spacing w:before="120" w:after="120" w:line="240" w:lineRule="auto"/>
        <w:jc w:val="both"/>
        <w:rPr>
          <w:rFonts w:cs="Times New Roman"/>
          <w:noProof/>
        </w:rPr>
      </w:pPr>
      <w:r>
        <w:rPr>
          <w:noProof/>
        </w:rPr>
        <w:t>Należy wzmocnić obecny system przyjmowania migrantów i osób ubiegających się o ochronę międzynarodową w Hiszpanii w celu poprawy jego zdolności, dostosowania go do obecnych i szacowanych przyszłych potrzeb oraz przyczynienia się do zwiększenia jego skuteczności. Nacisk kładzie się w szczególności na skrócenie długiego czasu oczekiwania i niski wskaźnik przyznawania azylu osobom ubiegającym się o ochronę międzynarodową. Oczekuje się, że dzięki solidniejszemu i lepiej funkcjonującemu systemowi zarządzanie przyszłymi kryzysami migracyjnymi będzie sprawniejsze.</w:t>
      </w:r>
    </w:p>
    <w:p w14:paraId="58F0D37C" w14:textId="7E8EDE55" w:rsidR="006578ED" w:rsidRDefault="00A1618E">
      <w:pPr>
        <w:pStyle w:val="P68B1DB1-Normal4"/>
        <w:spacing w:before="120" w:after="120" w:line="240" w:lineRule="auto"/>
        <w:jc w:val="both"/>
        <w:rPr>
          <w:rFonts w:cs="Times New Roman"/>
          <w:noProof/>
        </w:rPr>
      </w:pPr>
      <w:r>
        <w:rPr>
          <w:noProof/>
        </w:rPr>
        <w:t xml:space="preserve">Polityka przyjmowania powinna być dostosowana do potrzeb osób wymagających szczególnego traktowania i osób ubiegających się o azyl oraz do celów integracji UE, zwiększając odporność całego systemu. Określa ona również poziom świadczeń dla osób ubiegających się o ochronę międzynarodową pozbawionych środków finansowych oraz dla osób o słabszej pozycji wymagających zwiększonej ochrony, w celu zminimalizowania zapewniania warunków przyjmowania w formie świadczeń finansowych. Ponadto należy dostosować system obejmujący usługi i ścieżki towarzyszące. Zajmuje się organizacją systemu przyjmowania z terytorialnego punktu widzenia, którego celem jest przyspieszenie przejęcia uprawnień przez wspólnoty autonomiczne, zgodnie z orzecznictwem, poprzez kilka projektów pilotażowych. Wreszcie parametry podziału terytorialnego dla wnioskodawców we współpracy są uzgadniane ze wspólnotami autonomicznymi. </w:t>
      </w:r>
    </w:p>
    <w:p w14:paraId="29EE27F2" w14:textId="688E28E0" w:rsidR="006578ED" w:rsidRDefault="00A1618E">
      <w:pPr>
        <w:pStyle w:val="P68B1DB1-Normal8"/>
        <w:spacing w:before="120" w:after="120" w:line="240" w:lineRule="auto"/>
        <w:jc w:val="both"/>
        <w:rPr>
          <w:rFonts w:cs="Times New Roman"/>
          <w:noProof/>
          <w:sz w:val="24"/>
        </w:rPr>
      </w:pPr>
      <w:r>
        <w:rPr>
          <w:noProof/>
          <w:sz w:val="24"/>
        </w:rPr>
        <w:t>Aby zapewnić wdrożenie, we wzorze ważonym należy zastosować system wskaźników obejmujący takie elementy jak narodowość, płeć, pochodzenie etniczne, podatność na zagrożenia, warunki w kraju pochodzenia itp., który umożliwia obiektywne obliczenie prawdopodobieństwa uzyskania ochrony. Podczas rozpatrywania wniosków wynik formuły umożliwia organom odpowiedzialnym za przyjmowanie kierowanie osób ubiegających się</w:t>
      </w:r>
      <w:r>
        <w:rPr>
          <w:noProof/>
        </w:rPr>
        <w:t xml:space="preserve"> </w:t>
      </w:r>
      <w:r>
        <w:rPr>
          <w:noProof/>
          <w:sz w:val="24"/>
        </w:rPr>
        <w:t>o</w:t>
      </w:r>
      <w:r>
        <w:rPr>
          <w:noProof/>
        </w:rPr>
        <w:t> </w:t>
      </w:r>
      <w:r>
        <w:rPr>
          <w:noProof/>
          <w:sz w:val="24"/>
        </w:rPr>
        <w:t>ochronę międzynarodową na podstawową lub ulepszoną ścieżkę przyjmowania. Dotyczy to również odpowiednich świadczeń. Umożliwia to stosowanie podstawowych warunków przyjmowania wszystkich osób ubiegających się o azyl oraz ulepszonych warunków przyjmowania osób z dużym prawdopodobieństwem uznania.</w:t>
      </w:r>
    </w:p>
    <w:p w14:paraId="307F37F8" w14:textId="401DF0A0" w:rsidR="006578ED" w:rsidRDefault="00A1618E">
      <w:pPr>
        <w:pStyle w:val="P68B1DB1-Normal22"/>
        <w:spacing w:before="120" w:after="120" w:line="240" w:lineRule="auto"/>
        <w:jc w:val="both"/>
        <w:rPr>
          <w:rFonts w:cs="Times New Roman"/>
          <w:noProof/>
        </w:rPr>
      </w:pPr>
      <w:r>
        <w:rPr>
          <w:noProof/>
        </w:rPr>
        <w:t>Wdrożenie środka należy zakończyć do dnia 31 marca 20</w:t>
      </w:r>
      <w:r w:rsidRPr="00A1618E">
        <w:rPr>
          <w:noProof/>
          <w:lang w:val="pl-PL"/>
        </w:rPr>
        <w:t>22 r.</w:t>
      </w:r>
    </w:p>
    <w:p w14:paraId="1B9302C2" w14:textId="77777777" w:rsidR="006578ED" w:rsidRDefault="00A1618E">
      <w:pPr>
        <w:pStyle w:val="P68B1DB1-Normal6"/>
        <w:spacing w:before="120" w:after="120" w:line="240" w:lineRule="auto"/>
        <w:jc w:val="both"/>
        <w:rPr>
          <w:rFonts w:cs="Times New Roman"/>
          <w:noProof/>
        </w:rPr>
      </w:pPr>
      <w:r>
        <w:rPr>
          <w:noProof/>
          <w:shd w:val="clear" w:color="auto" w:fill="FFFFFF"/>
        </w:rPr>
        <w:t xml:space="preserve">Reforma 5 (C22.R5) – </w:t>
      </w:r>
      <w:r>
        <w:rPr>
          <w:noProof/>
        </w:rPr>
        <w:t>Poprawa systemu nieskładkowych świadczeń finansowych Generalnej Administracji Państwa</w:t>
      </w:r>
    </w:p>
    <w:p w14:paraId="71DD81E6" w14:textId="6A1447D3" w:rsidR="006578ED" w:rsidRDefault="00A1618E">
      <w:pPr>
        <w:pStyle w:val="P68B1DB1-Normal4"/>
        <w:spacing w:before="120" w:after="120" w:line="240" w:lineRule="auto"/>
        <w:jc w:val="both"/>
        <w:rPr>
          <w:rFonts w:cs="Times New Roman"/>
          <w:noProof/>
        </w:rPr>
      </w:pPr>
      <w:r>
        <w:rPr>
          <w:noProof/>
        </w:rPr>
        <w:t>Reforma ta obejmuje zatwierdzenie nowego systemu dochodu minimalnego (MVI) w maju 20</w:t>
      </w:r>
      <w:r w:rsidRPr="00A1618E">
        <w:rPr>
          <w:noProof/>
          <w:lang w:val="pl-PL"/>
        </w:rPr>
        <w:t>20 r.</w:t>
      </w:r>
      <w:r>
        <w:rPr>
          <w:noProof/>
        </w:rPr>
        <w:t xml:space="preserve">, ustanowienie jednego krajowego systemu nieskładkowych świadczeń finansowych oraz minimalny poziom nieskładkowych świadczeń finansowych dla gospodarstw domowych znajdujących się w najtrudniejszej sytuacji. </w:t>
      </w:r>
    </w:p>
    <w:p w14:paraId="59CD41F3" w14:textId="6142E512" w:rsidR="006578ED" w:rsidRDefault="00A1618E">
      <w:pPr>
        <w:pStyle w:val="P68B1DB1-Normal4"/>
        <w:spacing w:before="120" w:after="120" w:line="240" w:lineRule="auto"/>
        <w:jc w:val="both"/>
        <w:rPr>
          <w:rFonts w:cs="Times New Roman"/>
          <w:noProof/>
        </w:rPr>
      </w:pPr>
      <w:r>
        <w:rPr>
          <w:noProof/>
        </w:rPr>
        <w:t xml:space="preserve">Przyjmując za punkt wyjścia system MVI, należy przyjąć plan reorganizacji i uproszczenia systemu nieskładkowych korzyści finansowych Generalnej Administracji Państwa. Plan ma na celu integrację i racjonalizację świadczeń o charakterze nieskładkowym w oparciu o system MVI w celu poprawy skuteczności i efektywności zasobów publicznych oraz skoncentrowania ich na osobach znajdujących się w trudnej sytuacji i zagrożonych ubóstwem lub wykluczeniem społecznym. Nacisk kładzie się na zapewnienie odpowiedniego zakresu w zależności od okoliczności prowadzących do podatności na zagrożenia i zapewnienie odpowiedniego wsparcia dochodu, przyczyniając się tym samym do ograniczenia ubóstwa. W tym celu uwzględnia ona potrzeby strukturalne gospodarstw domowych, zwłaszcza rodzin z dziećmi i osób niepełnosprawnych. Ma on również na celu powiązanie wsparcia dochodu z aktywnym poszukiwaniem pracy, aby wspierać integrację społeczno-gospodarczą i uniknąć pułapek ubóstwa. </w:t>
      </w:r>
    </w:p>
    <w:p w14:paraId="3267E89C" w14:textId="5B39A7FF" w:rsidR="006578ED" w:rsidRDefault="00A1618E">
      <w:pPr>
        <w:pStyle w:val="P68B1DB1-Normal22"/>
        <w:spacing w:before="120" w:after="120" w:line="240" w:lineRule="auto"/>
        <w:jc w:val="both"/>
        <w:rPr>
          <w:rFonts w:cs="Times New Roman"/>
          <w:noProof/>
        </w:rPr>
      </w:pPr>
      <w:r>
        <w:rPr>
          <w:noProof/>
        </w:rPr>
        <w:t>Wdrożenie środka zostanie zakończone do dnia 31 grudnia 20</w:t>
      </w:r>
      <w:r w:rsidRPr="00A1618E">
        <w:rPr>
          <w:noProof/>
          <w:lang w:val="pl-PL"/>
        </w:rPr>
        <w:t>23 r.</w:t>
      </w:r>
    </w:p>
    <w:p w14:paraId="397AD07F" w14:textId="4CC14C8C" w:rsidR="006578ED" w:rsidRDefault="00A1618E">
      <w:pPr>
        <w:pStyle w:val="P68B1DB1-Normal4"/>
        <w:spacing w:before="120" w:after="120" w:line="240" w:lineRule="auto"/>
        <w:jc w:val="both"/>
        <w:rPr>
          <w:rFonts w:cs="Times New Roman"/>
          <w:noProof/>
          <w:u w:val="single"/>
        </w:rPr>
      </w:pPr>
      <w:r>
        <w:rPr>
          <w:noProof/>
          <w:u w:val="single"/>
        </w:rPr>
        <w:t xml:space="preserve">Inwestycja 1 </w:t>
      </w:r>
      <w:r>
        <w:rPr>
          <w:noProof/>
          <w:u w:val="single"/>
          <w:shd w:val="clear" w:color="auto" w:fill="FFFFFF"/>
        </w:rPr>
        <w:t>(C22.I1)</w:t>
      </w:r>
      <w:r>
        <w:rPr>
          <w:noProof/>
          <w:u w:val="single"/>
        </w:rPr>
        <w:t>: Plan opieki długoterminowej i wsparcia: deinstytucjonalizacja, sprzęt i technologia</w:t>
      </w:r>
      <w:r>
        <w:rPr>
          <w:noProof/>
        </w:rPr>
        <w:t xml:space="preserve"> </w:t>
      </w:r>
    </w:p>
    <w:p w14:paraId="379D6577" w14:textId="7FA6C533" w:rsidR="006578ED" w:rsidRDefault="00A1618E">
      <w:pPr>
        <w:pStyle w:val="P68B1DB1-Normal4"/>
        <w:spacing w:before="120" w:after="120" w:line="240" w:lineRule="auto"/>
        <w:jc w:val="both"/>
        <w:rPr>
          <w:rFonts w:cs="Times New Roman"/>
          <w:noProof/>
        </w:rPr>
      </w:pPr>
      <w:r>
        <w:rPr>
          <w:noProof/>
        </w:rPr>
        <w:t xml:space="preserve">Zgodnie z reformą 1 tego komponentu Hiszpania zainwestuje w sześć obszarów działania. </w:t>
      </w:r>
    </w:p>
    <w:p w14:paraId="2C4A4B17" w14:textId="62A361DE" w:rsidR="006578ED" w:rsidRDefault="00A1618E">
      <w:pPr>
        <w:pStyle w:val="P68B1DB1-Normal4"/>
        <w:numPr>
          <w:ilvl w:val="0"/>
          <w:numId w:val="141"/>
        </w:numPr>
        <w:spacing w:before="120" w:after="160" w:line="240" w:lineRule="auto"/>
        <w:contextualSpacing/>
        <w:jc w:val="both"/>
        <w:rPr>
          <w:rFonts w:cs="Times New Roman"/>
          <w:noProof/>
        </w:rPr>
      </w:pPr>
      <w:r>
        <w:rPr>
          <w:noProof/>
        </w:rPr>
        <w:t xml:space="preserve">W długoterminowym planie wsparcia zawierającym analizę obecnej sytuacji w zakresie polityki w zakresie opieki, którego celem jest określenie potrzeb w zakresie poprawy i przedstawienie wniosku w sprawie reformy obecnej ustawy o autonomii osobistej i opiece nad osobami w sytuacji zależności. Ocenia również sytuację i bieżące projekty na różnych terytoriach; </w:t>
      </w:r>
    </w:p>
    <w:p w14:paraId="392F886C" w14:textId="5709BA5F" w:rsidR="006578ED" w:rsidRDefault="00A1618E">
      <w:pPr>
        <w:pStyle w:val="P68B1DB1-Normal4"/>
        <w:numPr>
          <w:ilvl w:val="0"/>
          <w:numId w:val="141"/>
        </w:numPr>
        <w:spacing w:before="120" w:after="160" w:line="240" w:lineRule="auto"/>
        <w:contextualSpacing/>
        <w:jc w:val="both"/>
        <w:rPr>
          <w:rFonts w:cs="Times New Roman"/>
          <w:noProof/>
        </w:rPr>
      </w:pPr>
      <w:r>
        <w:rPr>
          <w:noProof/>
        </w:rPr>
        <w:t xml:space="preserve">Krajową strategię deinstytucjonalizacji, w tym realizację kampanii uświadamiających i upowszechniających; </w:t>
      </w:r>
    </w:p>
    <w:p w14:paraId="6F91739E" w14:textId="2EE6A4DB" w:rsidR="006578ED" w:rsidRDefault="00A1618E">
      <w:pPr>
        <w:pStyle w:val="P68B1DB1-Normal8"/>
        <w:numPr>
          <w:ilvl w:val="0"/>
          <w:numId w:val="141"/>
        </w:numPr>
        <w:spacing w:before="120" w:after="160" w:line="240" w:lineRule="auto"/>
        <w:contextualSpacing/>
        <w:jc w:val="both"/>
        <w:rPr>
          <w:rFonts w:cs="Times New Roman"/>
          <w:noProof/>
          <w:sz w:val="24"/>
        </w:rPr>
      </w:pPr>
      <w:r>
        <w:rPr>
          <w:noProof/>
          <w:sz w:val="24"/>
        </w:rPr>
        <w:t>Cztery projekty pilotażowe mające na celu pobudzenie deinstytucjonalizacji oraz wyciągnięcie wniosków w celu przekształcenia wsparcia i opieki długoterminowej, w tym wsparcia i opieki długoterminowej dla osób z niepełnosprawnością intelektualną;</w:t>
      </w:r>
      <w:r>
        <w:rPr>
          <w:noProof/>
        </w:rPr>
        <w:t xml:space="preserve"> </w:t>
      </w:r>
    </w:p>
    <w:p w14:paraId="3A0D732E" w14:textId="13128F9A" w:rsidR="006578ED" w:rsidRDefault="00A1618E">
      <w:pPr>
        <w:pStyle w:val="P68B1DB1-Normal4"/>
        <w:numPr>
          <w:ilvl w:val="0"/>
          <w:numId w:val="141"/>
        </w:numPr>
        <w:spacing w:before="120" w:after="160" w:line="240" w:lineRule="auto"/>
        <w:contextualSpacing/>
        <w:jc w:val="both"/>
        <w:rPr>
          <w:rFonts w:cs="Times New Roman"/>
          <w:noProof/>
        </w:rPr>
      </w:pPr>
      <w:r>
        <w:rPr>
          <w:noProof/>
        </w:rPr>
        <w:t>Budowa i modernizacja ośrodków opieki mieszkaniowej, niemieszkalnej i dziennej oraz sprzętu inwestycyjnego w celu poprawy jakości usług opiekuńczych. Te projekty inwestycyjne są realizowane przez wspólnoty autonomiczne w oparciu o ocenę potrzeb terytorialnych; oraz zapewnienie dostosowania nowych i odnowionych miejsc zamieszkania do Konwencji ONZ o prawach osób niepełnosprawnych.</w:t>
      </w:r>
    </w:p>
    <w:p w14:paraId="31086C13" w14:textId="70D551AE" w:rsidR="006578ED" w:rsidRDefault="00A1618E">
      <w:pPr>
        <w:pStyle w:val="P68B1DB1-Normal4"/>
        <w:numPr>
          <w:ilvl w:val="0"/>
          <w:numId w:val="141"/>
        </w:numPr>
        <w:spacing w:before="120" w:after="160" w:line="240" w:lineRule="auto"/>
        <w:contextualSpacing/>
        <w:jc w:val="both"/>
        <w:rPr>
          <w:rFonts w:cs="Times New Roman"/>
          <w:noProof/>
        </w:rPr>
      </w:pPr>
      <w:r>
        <w:rPr>
          <w:noProof/>
        </w:rPr>
        <w:t>Reforma ośrodków opieki dziennej zintegrowanych ze społecznością lokalną, w tym na obszarach wiejskich, prowadzona przez IMSERSO (</w:t>
      </w:r>
      <w:r>
        <w:rPr>
          <w:i/>
          <w:noProof/>
        </w:rPr>
        <w:t>Instituto de Mayores y Servicios Social</w:t>
      </w:r>
      <w:r>
        <w:rPr>
          <w:noProof/>
        </w:rPr>
        <w:t xml:space="preserve">, Ministerstwo Praw Społecznych i Agendy 2030). Należy zreformować jedenaście ośrodków i dostosować je do nowego modelu </w:t>
      </w:r>
      <w:bookmarkStart w:id="56" w:name="_Hlk141885579"/>
      <w:r>
        <w:rPr>
          <w:noProof/>
        </w:rPr>
        <w:t>opieki długoterminowej, koncentrując się na osobach z niepełnosprawnością fizyczną, co odpowiada 1100 miejscom. Inwestycje są również przeznaczone na innowacyjne projekty w tych samych ośrodkach; oraz</w:t>
      </w:r>
    </w:p>
    <w:p w14:paraId="2B26EFDE" w14:textId="58919909" w:rsidR="006578ED" w:rsidRDefault="00A1618E">
      <w:pPr>
        <w:pStyle w:val="P68B1DB1-Normal4"/>
        <w:numPr>
          <w:ilvl w:val="0"/>
          <w:numId w:val="141"/>
        </w:numPr>
        <w:shd w:val="clear" w:color="auto" w:fill="FFFFFF" w:themeFill="background1"/>
        <w:spacing w:before="120" w:after="120" w:line="240" w:lineRule="auto"/>
        <w:ind w:left="714" w:hanging="357"/>
        <w:jc w:val="both"/>
        <w:rPr>
          <w:rFonts w:cs="Times New Roman"/>
          <w:noProof/>
        </w:rPr>
      </w:pPr>
      <w:r>
        <w:rPr>
          <w:noProof/>
        </w:rPr>
        <w:t>Nowe usługi teleopieki mające na celu przejście na proaktywną i zindywidualizowaną opiekę, która przyczynia się do osobistej autonomii i utrzymania osób wymagających opieki w ich domach</w:t>
      </w:r>
      <w:r>
        <w:rPr>
          <w:noProof/>
          <w:shd w:val="clear" w:color="auto" w:fill="E6E6E6"/>
        </w:rPr>
        <w:t>.</w:t>
      </w:r>
    </w:p>
    <w:p w14:paraId="0FCCDEC2" w14:textId="5DD403E0" w:rsidR="006578ED" w:rsidRDefault="00A1618E">
      <w:pPr>
        <w:pStyle w:val="P68B1DB1-Normal22"/>
        <w:keepNext/>
        <w:tabs>
          <w:tab w:val="left" w:pos="709"/>
        </w:tabs>
        <w:spacing w:before="120" w:after="120" w:line="240" w:lineRule="auto"/>
        <w:jc w:val="both"/>
        <w:rPr>
          <w:rFonts w:cs="Times New Roman"/>
          <w:noProof/>
          <w:u w:val="single"/>
        </w:rPr>
      </w:pPr>
      <w:r>
        <w:rPr>
          <w:noProof/>
        </w:rPr>
        <w:t>Wdrożenie środka należy zakończyć do dnia 30 czerwca 20</w:t>
      </w:r>
      <w:r w:rsidRPr="00A1618E">
        <w:rPr>
          <w:noProof/>
          <w:lang w:val="pl-PL"/>
        </w:rPr>
        <w:t>26 r.</w:t>
      </w:r>
    </w:p>
    <w:bookmarkEnd w:id="56"/>
    <w:p w14:paraId="418A7A6A" w14:textId="5D0AF57A" w:rsidR="006578ED" w:rsidRDefault="00A1618E">
      <w:pPr>
        <w:pStyle w:val="P68B1DB1-Normal4"/>
        <w:keepNext/>
        <w:tabs>
          <w:tab w:val="left" w:pos="709"/>
        </w:tabs>
        <w:spacing w:before="120" w:after="120" w:line="240" w:lineRule="auto"/>
        <w:jc w:val="both"/>
        <w:rPr>
          <w:rFonts w:cs="Times New Roman"/>
          <w:noProof/>
          <w:u w:val="single"/>
        </w:rPr>
      </w:pPr>
      <w:r>
        <w:rPr>
          <w:noProof/>
          <w:u w:val="single"/>
        </w:rPr>
        <w:t xml:space="preserve">Inwestycja 2 </w:t>
      </w:r>
      <w:r>
        <w:rPr>
          <w:noProof/>
          <w:u w:val="single"/>
          <w:shd w:val="clear" w:color="auto" w:fill="FFFFFF"/>
        </w:rPr>
        <w:t>(C22.I2)</w:t>
      </w:r>
      <w:r>
        <w:rPr>
          <w:noProof/>
          <w:u w:val="single"/>
        </w:rPr>
        <w:t>: Plan modernizacji usług społecznych – transformacja technologiczna, innowacje, szkolenia i wzmocnienie opieki nad dziećmi</w:t>
      </w:r>
      <w:r>
        <w:rPr>
          <w:noProof/>
        </w:rPr>
        <w:t xml:space="preserve"> </w:t>
      </w:r>
    </w:p>
    <w:p w14:paraId="78870859" w14:textId="1BEA4E34" w:rsidR="006578ED" w:rsidRDefault="00A1618E">
      <w:pPr>
        <w:pStyle w:val="P68B1DB1-Normal4"/>
        <w:keepNext/>
        <w:spacing w:before="120" w:after="120" w:line="240" w:lineRule="auto"/>
        <w:jc w:val="both"/>
        <w:rPr>
          <w:rFonts w:cs="Times New Roman"/>
          <w:noProof/>
        </w:rPr>
      </w:pPr>
      <w:r>
        <w:rPr>
          <w:noProof/>
        </w:rPr>
        <w:t xml:space="preserve">Zgodnie z reformą 2 tego komponentu Hiszpania zainwestuje w pięć obszarów działania. </w:t>
      </w:r>
    </w:p>
    <w:p w14:paraId="6F584859" w14:textId="6E06B984" w:rsidR="006578ED" w:rsidRDefault="00A1618E">
      <w:pPr>
        <w:pStyle w:val="P68B1DB1-Normal4"/>
        <w:keepNext/>
        <w:numPr>
          <w:ilvl w:val="0"/>
          <w:numId w:val="142"/>
        </w:numPr>
        <w:spacing w:before="120" w:after="160" w:line="240" w:lineRule="auto"/>
        <w:contextualSpacing/>
        <w:jc w:val="both"/>
        <w:rPr>
          <w:rFonts w:cs="Times New Roman"/>
          <w:noProof/>
        </w:rPr>
      </w:pPr>
      <w:r>
        <w:rPr>
          <w:noProof/>
        </w:rPr>
        <w:t xml:space="preserve">Nowe technologie służące poprawie zarówno skuteczności usług socjalnych (krótszy czas oczekiwania), jak i ich jakości (lepsze wyniki interwencji społecznych), w tym promowanie zintegrowanej opieki. </w:t>
      </w:r>
    </w:p>
    <w:p w14:paraId="28DC6EA7" w14:textId="7023524E" w:rsidR="006578ED" w:rsidRDefault="00A1618E">
      <w:pPr>
        <w:pStyle w:val="P68B1DB1-Normal4"/>
        <w:numPr>
          <w:ilvl w:val="0"/>
          <w:numId w:val="142"/>
        </w:numPr>
        <w:spacing w:before="120" w:after="160" w:line="240" w:lineRule="auto"/>
        <w:contextualSpacing/>
        <w:jc w:val="both"/>
        <w:rPr>
          <w:rFonts w:cs="Times New Roman"/>
          <w:noProof/>
        </w:rPr>
      </w:pPr>
      <w:r>
        <w:rPr>
          <w:noProof/>
        </w:rPr>
        <w:t>Narzędzia technologiczne służące udoskonaleniu systemów zarządzania usługami socjalnymi i systemów informacyjnych, w tym platforma internetowa służąca centralizacji informacji dostępnych w administracji krajowej i regionalnej. Obejmuje to w szczególności pełne wdrożenie hiszpańskiego systemu informacji o usługach społecznych (Siess)</w:t>
      </w:r>
      <w:r w:rsidRPr="00A1618E">
        <w:rPr>
          <w:noProof/>
          <w:lang w:val="pl-PL"/>
        </w:rPr>
        <w:t>. O</w:t>
      </w:r>
      <w:r>
        <w:rPr>
          <w:noProof/>
        </w:rPr>
        <w:t>czekuje się, że ten nowy system informacyjny umożliwi również interoperacyjność z innymi systemami (zatrudnienie, zdrowie, trzeci sektor). Obejmuje ono również internetowe narzędzie do analizy projektów opracowanych przez organizacje trzeciego sektora do zarządzania różnymi programami budżetowymi związanymi z usługami socjalnymi i opieką nad rodzinami, dziećmi i niektórymi słabszymi grupami społecznymi oraz platformę internetową służącą centralizacji informacji na temat opieki dostępnych w administracji państwowej i wspólnotach autonomicznych.</w:t>
      </w:r>
    </w:p>
    <w:p w14:paraId="2B8DBAEF" w14:textId="63517CAC" w:rsidR="006578ED" w:rsidRDefault="00A1618E">
      <w:pPr>
        <w:pStyle w:val="P68B1DB1-Normal4"/>
        <w:numPr>
          <w:ilvl w:val="0"/>
          <w:numId w:val="142"/>
        </w:numPr>
        <w:spacing w:before="120" w:after="160" w:line="240" w:lineRule="auto"/>
        <w:contextualSpacing/>
        <w:jc w:val="both"/>
        <w:rPr>
          <w:rFonts w:cs="Times New Roman"/>
          <w:noProof/>
        </w:rPr>
      </w:pPr>
      <w:r>
        <w:rPr>
          <w:noProof/>
        </w:rPr>
        <w:t xml:space="preserve">Projekty pilotażowe mające na celu promowanie innowacji w usługach społecznych. </w:t>
      </w:r>
    </w:p>
    <w:p w14:paraId="77493A7D" w14:textId="02D45145" w:rsidR="006578ED" w:rsidRDefault="00A1618E">
      <w:pPr>
        <w:pStyle w:val="P68B1DB1-Normal4"/>
        <w:numPr>
          <w:ilvl w:val="0"/>
          <w:numId w:val="142"/>
        </w:numPr>
        <w:spacing w:before="120" w:after="160" w:line="240" w:lineRule="auto"/>
        <w:contextualSpacing/>
        <w:jc w:val="both"/>
        <w:rPr>
          <w:rFonts w:cs="Times New Roman"/>
          <w:noProof/>
        </w:rPr>
      </w:pPr>
      <w:r>
        <w:rPr>
          <w:noProof/>
        </w:rPr>
        <w:t>Szkolenie pracowników systemu publicznych usług socjalnych zaangażowanych we wdrażanie i wspieranie nowego modelu opieki długoterminowej</w:t>
      </w:r>
      <w:r>
        <w:rPr>
          <w:noProof/>
          <w:shd w:val="clear" w:color="auto" w:fill="E6E6E6"/>
        </w:rPr>
        <w:t>.</w:t>
      </w:r>
    </w:p>
    <w:p w14:paraId="4F55BB2E" w14:textId="715A8953" w:rsidR="006578ED" w:rsidRDefault="00A1618E">
      <w:pPr>
        <w:pStyle w:val="P68B1DB1-Normal4"/>
        <w:numPr>
          <w:ilvl w:val="0"/>
          <w:numId w:val="142"/>
        </w:numPr>
        <w:spacing w:before="120" w:after="160" w:line="240" w:lineRule="auto"/>
        <w:contextualSpacing/>
        <w:jc w:val="both"/>
        <w:rPr>
          <w:rFonts w:cs="Times New Roman"/>
          <w:noProof/>
        </w:rPr>
      </w:pPr>
      <w:r>
        <w:rPr>
          <w:noProof/>
        </w:rPr>
        <w:t xml:space="preserve">Poprawa infrastruktury mieszkaniowej i innych aspektów związanych z placówkami opieki nad dziećmi i nastolatkami, lepsze uwzględnienie potrzeb emocjonalnych, osobistych i edukacyjnych/zawodowych. </w:t>
      </w:r>
    </w:p>
    <w:p w14:paraId="26FAB199" w14:textId="6B23322B" w:rsidR="006578ED" w:rsidRPr="00A1618E" w:rsidRDefault="00A1618E">
      <w:pPr>
        <w:pStyle w:val="P68B1DB1-Normal4"/>
        <w:spacing w:before="120" w:after="120" w:line="240" w:lineRule="auto"/>
        <w:jc w:val="both"/>
        <w:rPr>
          <w:rFonts w:cs="Times New Roman"/>
          <w:noProof/>
          <w:lang w:val="pl-PL"/>
        </w:rPr>
      </w:pPr>
      <w:r>
        <w:rPr>
          <w:noProof/>
        </w:rPr>
        <w:t>Większość inwestycji stanowią projekty realizowane przez samorządy regionalne w celu transformacji technologicznej usług społecznych oraz modernizacji infrastruktury i usług związanych z ochroną mieszkaniową i rodzinami zastępczymi</w:t>
      </w:r>
      <w:r w:rsidRPr="00A1618E">
        <w:rPr>
          <w:noProof/>
          <w:lang w:val="pl-PL"/>
        </w:rPr>
        <w:t xml:space="preserve">. </w:t>
      </w:r>
    </w:p>
    <w:p w14:paraId="7A7C04E8" w14:textId="4755B8A2" w:rsidR="006578ED" w:rsidRDefault="00A1618E">
      <w:pPr>
        <w:pStyle w:val="P68B1DB1-Normal22"/>
        <w:spacing w:before="120" w:after="120" w:line="240" w:lineRule="auto"/>
        <w:jc w:val="both"/>
        <w:rPr>
          <w:rFonts w:cs="Times New Roman"/>
          <w:noProof/>
        </w:rPr>
      </w:pPr>
      <w:r>
        <w:rPr>
          <w:noProof/>
        </w:rPr>
        <w:t>Wdrażanie środka zostanie zakończone do dnia 31 grudnia 20</w:t>
      </w:r>
      <w:r w:rsidRPr="00A1618E">
        <w:rPr>
          <w:noProof/>
          <w:lang w:val="pl-PL"/>
        </w:rPr>
        <w:t>25 r.</w:t>
      </w:r>
    </w:p>
    <w:p w14:paraId="02D53FAE" w14:textId="77777777" w:rsidR="006578ED" w:rsidRDefault="00A1618E">
      <w:pPr>
        <w:pStyle w:val="P68B1DB1-Normal6"/>
        <w:spacing w:before="120" w:after="120" w:line="240" w:lineRule="auto"/>
        <w:jc w:val="both"/>
        <w:rPr>
          <w:rFonts w:cs="Times New Roman"/>
          <w:noProof/>
        </w:rPr>
      </w:pPr>
      <w:r>
        <w:rPr>
          <w:noProof/>
        </w:rPr>
        <w:t xml:space="preserve">Inwestycja 3 </w:t>
      </w:r>
      <w:r>
        <w:rPr>
          <w:noProof/>
          <w:shd w:val="clear" w:color="auto" w:fill="FFFFFF"/>
        </w:rPr>
        <w:t>(C22.I3)</w:t>
      </w:r>
      <w:r>
        <w:rPr>
          <w:noProof/>
        </w:rPr>
        <w:t xml:space="preserve">: Plan krajowy dostępny dla Hiszpanii </w:t>
      </w:r>
    </w:p>
    <w:p w14:paraId="49F8B261" w14:textId="11C81926" w:rsidR="006578ED" w:rsidRDefault="00A1618E">
      <w:pPr>
        <w:pStyle w:val="P68B1DB1-Normal4"/>
        <w:spacing w:before="120" w:after="120" w:line="240" w:lineRule="auto"/>
        <w:jc w:val="both"/>
        <w:rPr>
          <w:rFonts w:cs="Times New Roman"/>
          <w:noProof/>
        </w:rPr>
      </w:pPr>
      <w:r>
        <w:rPr>
          <w:noProof/>
        </w:rPr>
        <w:t>Hiszpania powinna inwestować w poprawę dostępności usług publicznych dla osób niepełnosprawnych, koncentrując się na poprawie dostępności poznawczej w komunikacji z organami publicznymi (w tym na stronach internetowych) oraz fizycznego dostępu do budynków publicznych i przestrzeni publicznych; odpowiedniość przestrzeni fizycznej służby zdrowia; dostępność w ośrodkach edukacyjnych; oraz zakwaterowania transportu publicznego, w tym dostępności między obszarami miejskimi i wiejskimi. Gminom udziela się wsparcia finansowego na wykonanie prac i zakup sprzętu, zwłaszcza na obszarach wiejskich. Inwestycje są również przeznaczone na kampanie komunikacyjne i uświadamiające, a także na projekty badawcze w dziedzinie dostępności kognitywnej.</w:t>
      </w:r>
    </w:p>
    <w:p w14:paraId="64E0079C" w14:textId="0EC2C1E1" w:rsidR="006578ED" w:rsidRDefault="00A1618E">
      <w:pPr>
        <w:pStyle w:val="P68B1DB1-Normal22"/>
        <w:spacing w:before="120" w:after="120" w:line="240" w:lineRule="auto"/>
        <w:jc w:val="both"/>
        <w:rPr>
          <w:rFonts w:cs="Times New Roman"/>
          <w:noProof/>
        </w:rPr>
      </w:pPr>
      <w:r>
        <w:rPr>
          <w:noProof/>
        </w:rPr>
        <w:t>Wdrożenie środka należy zakończyć do dnia 31 marca 20</w:t>
      </w:r>
      <w:r w:rsidRPr="00A1618E">
        <w:rPr>
          <w:noProof/>
          <w:lang w:val="pl-PL"/>
        </w:rPr>
        <w:t>24 r.</w:t>
      </w:r>
    </w:p>
    <w:p w14:paraId="2AB0DBDB" w14:textId="77777777" w:rsidR="006578ED" w:rsidRDefault="00A1618E">
      <w:pPr>
        <w:pStyle w:val="P68B1DB1-Normal4"/>
        <w:spacing w:before="120" w:after="120" w:line="240" w:lineRule="auto"/>
        <w:jc w:val="both"/>
        <w:rPr>
          <w:rFonts w:cs="Times New Roman"/>
          <w:noProof/>
          <w:u w:val="single"/>
        </w:rPr>
      </w:pPr>
      <w:r>
        <w:rPr>
          <w:noProof/>
          <w:u w:val="single"/>
        </w:rPr>
        <w:t xml:space="preserve">Inwestycja 4 </w:t>
      </w:r>
      <w:r>
        <w:rPr>
          <w:noProof/>
          <w:u w:val="single"/>
          <w:shd w:val="clear" w:color="auto" w:fill="FFFFFF"/>
        </w:rPr>
        <w:t>(C22.I4)</w:t>
      </w:r>
      <w:r>
        <w:rPr>
          <w:noProof/>
          <w:u w:val="single"/>
        </w:rPr>
        <w:t>: Zaplanuj Hiszpanię chroni Cię przed przemocą ze względu na płeć</w:t>
      </w:r>
      <w:r>
        <w:rPr>
          <w:noProof/>
        </w:rPr>
        <w:t xml:space="preserve"> </w:t>
      </w:r>
    </w:p>
    <w:p w14:paraId="5DEF3A9F" w14:textId="10215513" w:rsidR="006578ED" w:rsidRDefault="00A1618E">
      <w:pPr>
        <w:pStyle w:val="P68B1DB1-Normal4"/>
        <w:spacing w:before="120" w:after="120" w:line="240" w:lineRule="auto"/>
        <w:jc w:val="both"/>
        <w:rPr>
          <w:rFonts w:cs="Times New Roman"/>
          <w:noProof/>
        </w:rPr>
      </w:pPr>
      <w:r>
        <w:rPr>
          <w:noProof/>
        </w:rPr>
        <w:t>Hiszpania będzie inwestować w usługi telefoniczne i internetowe w celu wsparcia ofiar przemocy wobec kobiet, w tym ofiar handlu ludźmi i wykorzystywania seksualnego. Obejmuje on całodobowe ośrodki pomocy kryzysowej we wszystkich prowincjach, w tym w Ceucie i Melilli, z uwzględnieniem wyzwań związanych z zapewnieniem anonimowości i aspektów demograficznych. Utworzenie tych ośrodków jest częścią zaangażowania Hiszpanii w realizację Konwencji Rady Europy o zapobieganiu i zwalczaniu przemocy wobec kobiet i przemocy domowej, która została ratyfikowana przez Hiszpanię w 20</w:t>
      </w:r>
      <w:r w:rsidRPr="00A1618E">
        <w:rPr>
          <w:noProof/>
          <w:lang w:val="pl-PL"/>
        </w:rPr>
        <w:t>14 r.</w:t>
      </w:r>
      <w:r>
        <w:rPr>
          <w:noProof/>
        </w:rPr>
        <w:t xml:space="preserve"> W</w:t>
      </w:r>
      <w:r>
        <w:rPr>
          <w:noProof/>
          <w:lang w:val="pl-PL"/>
        </w:rPr>
        <w:t> </w:t>
      </w:r>
      <w:r>
        <w:rPr>
          <w:noProof/>
        </w:rPr>
        <w:t xml:space="preserve">ramach inwestycji </w:t>
      </w:r>
      <w:r>
        <w:rPr>
          <w:noProof/>
          <w:shd w:val="clear" w:color="auto" w:fill="FFFFFF"/>
        </w:rPr>
        <w:t>powstanie również nowa służba poradnictwa społecznego i poradnictwa w zakresie zatrudnienia</w:t>
      </w:r>
      <w:r>
        <w:rPr>
          <w:noProof/>
        </w:rPr>
        <w:t xml:space="preserve"> oferująca różnego rodzaju usługi, w tym doradztwo prawne, wsparcie psychologiczne i emocjonalne oraz </w:t>
      </w:r>
      <w:r>
        <w:rPr>
          <w:noProof/>
          <w:shd w:val="clear" w:color="auto" w:fill="FFFFFF"/>
        </w:rPr>
        <w:t>pomoc w integracji na</w:t>
      </w:r>
      <w:r>
        <w:rPr>
          <w:noProof/>
        </w:rPr>
        <w:t xml:space="preserve"> rynku pracy. Pomoc telefinansowa obejmuje również ochronę ofiar, w tym urządzenia do monitorowania środków ograniczających dystans. </w:t>
      </w:r>
    </w:p>
    <w:p w14:paraId="3DA8D7D7" w14:textId="7474A9AB" w:rsidR="006578ED" w:rsidRDefault="00A1618E">
      <w:pPr>
        <w:pStyle w:val="P68B1DB1-Normal22"/>
        <w:spacing w:before="120" w:after="120" w:line="240" w:lineRule="auto"/>
        <w:jc w:val="both"/>
        <w:rPr>
          <w:rFonts w:cs="Times New Roman"/>
          <w:noProof/>
        </w:rPr>
      </w:pPr>
      <w:r>
        <w:rPr>
          <w:noProof/>
        </w:rPr>
        <w:t>Wdrażanie środka zostanie zakończone do dnia 31 grudnia 20</w:t>
      </w:r>
      <w:r w:rsidRPr="00A1618E">
        <w:rPr>
          <w:noProof/>
          <w:lang w:val="pl-PL"/>
        </w:rPr>
        <w:t>25 r.</w:t>
      </w:r>
    </w:p>
    <w:p w14:paraId="116D2ED2" w14:textId="68ABCD20" w:rsidR="006578ED" w:rsidRDefault="00A1618E">
      <w:pPr>
        <w:pStyle w:val="P68B1DB1-Normal4"/>
        <w:spacing w:before="120" w:after="120" w:line="240" w:lineRule="auto"/>
        <w:jc w:val="both"/>
        <w:rPr>
          <w:rFonts w:cs="Times New Roman"/>
          <w:noProof/>
        </w:rPr>
      </w:pPr>
      <w:r>
        <w:rPr>
          <w:noProof/>
          <w:u w:val="single"/>
        </w:rPr>
        <w:t xml:space="preserve">Inwestycja 5 </w:t>
      </w:r>
      <w:r>
        <w:rPr>
          <w:noProof/>
          <w:u w:val="single"/>
          <w:shd w:val="clear" w:color="auto" w:fill="FFFFFF"/>
        </w:rPr>
        <w:t>(C22.I5)</w:t>
      </w:r>
      <w:r>
        <w:rPr>
          <w:noProof/>
          <w:u w:val="single"/>
        </w:rPr>
        <w:t>: Zwiększenie zdolności i skuteczności systemu przyjmowania migrantów i osób ubiegających się o ochronę międzynarodową</w:t>
      </w:r>
      <w:r>
        <w:rPr>
          <w:noProof/>
        </w:rPr>
        <w:t xml:space="preserve"> </w:t>
      </w:r>
    </w:p>
    <w:p w14:paraId="24A9EE5B" w14:textId="2E39EA43" w:rsidR="006578ED" w:rsidRDefault="00A1618E">
      <w:pPr>
        <w:pStyle w:val="P68B1DB1-Normal4"/>
        <w:spacing w:before="120" w:after="120" w:line="240" w:lineRule="auto"/>
        <w:jc w:val="both"/>
        <w:rPr>
          <w:rFonts w:cs="Times New Roman"/>
          <w:noProof/>
        </w:rPr>
      </w:pPr>
      <w:r>
        <w:rPr>
          <w:noProof/>
        </w:rPr>
        <w:t xml:space="preserve">Hiszpania inwestuje w zwiększenie zdolności systemu przyjmowania poprzez zwiększenie bezpośredniego udziału państwa w zasobach sieci recepcyjnej. Przyczyni się to do zapewnienia większej stabilności świadczonych usług zakwaterowania i przyjmowania. Inwestycja obejmuje ocenę potrzeb systemu w ciągu najbliższych trzech lat, wsparcie na renowację i renowację istniejących ośrodków oraz procedury administracyjne dotyczące nabywania, budowy nowego budynku i ewentualnej modernizacji istniejących budynków, przy zapewnieniu efektywności energetycznej. Na podstawie oceny dobrych praktyk Hiszpania określa również sposób zarządzania ośrodkami recepcyjnymi przez osoby trzecie. Ponadto inwestycje obejmują cyfryzację ośrodków i rozwój nowej architektury cyfrowej w celu poprawy zarządzania nimi i ułatwienia przydziału miejsc dla wnioskodawców między społecznościami autonomicznymi. </w:t>
      </w:r>
    </w:p>
    <w:p w14:paraId="2629D826" w14:textId="5867D3B1" w:rsidR="006578ED" w:rsidRDefault="00A1618E">
      <w:pPr>
        <w:pStyle w:val="P68B1DB1-Normal22"/>
        <w:spacing w:before="120" w:after="120" w:line="240" w:lineRule="auto"/>
        <w:jc w:val="both"/>
        <w:rPr>
          <w:rFonts w:cs="Times New Roman"/>
          <w:noProof/>
        </w:rPr>
      </w:pPr>
      <w:r>
        <w:rPr>
          <w:noProof/>
        </w:rPr>
        <w:t>Wdrożenie środka należy zakończyć do dnia 30 czerwca 20</w:t>
      </w:r>
      <w:r w:rsidRPr="00A1618E">
        <w:rPr>
          <w:noProof/>
          <w:lang w:val="pl-PL"/>
        </w:rPr>
        <w:t>26 r.</w:t>
      </w:r>
    </w:p>
    <w:p w14:paraId="2E560166" w14:textId="3D4645DE" w:rsidR="006578ED" w:rsidRDefault="00A1618E">
      <w:pPr>
        <w:pStyle w:val="P68B1DB1-Normal5"/>
        <w:spacing w:before="120" w:after="120" w:line="240" w:lineRule="auto"/>
        <w:ind w:left="709"/>
        <w:jc w:val="both"/>
        <w:rPr>
          <w:rFonts w:cs="Times New Roman"/>
          <w:noProof/>
        </w:rPr>
      </w:pPr>
      <w:r>
        <w:rPr>
          <w:noProof/>
        </w:rPr>
        <w:t xml:space="preserve">V.2. </w:t>
      </w:r>
      <w:r>
        <w:rPr>
          <w:noProof/>
        </w:rPr>
        <w:tab/>
        <w:t>Kamienie milowe, wartości docelowe, wskaźniki i harmonogram monitorowania i realizacji na potrzeby bezzwrotnego wsparcia finansowego</w:t>
      </w:r>
    </w:p>
    <w:p w14:paraId="3480667E" w14:textId="5E911FEB"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3CE8D1B5" w14:textId="77777777" w:rsidR="006578ED" w:rsidRDefault="006578ED">
      <w:pPr>
        <w:spacing w:before="120" w:after="120" w:line="240" w:lineRule="auto"/>
        <w:ind w:left="709"/>
        <w:jc w:val="both"/>
        <w:rPr>
          <w:rFonts w:ascii="Times New Roman" w:hAnsi="Times New Roman" w:cs="Times New Roman"/>
          <w:noProof/>
          <w:sz w:val="24"/>
        </w:rPr>
        <w:sectPr w:rsidR="006578ED" w:rsidSect="00C94F66">
          <w:headerReference w:type="even" r:id="rId423"/>
          <w:headerReference w:type="default" r:id="rId424"/>
          <w:footerReference w:type="even" r:id="rId425"/>
          <w:footerReference w:type="default" r:id="rId426"/>
          <w:headerReference w:type="first" r:id="rId427"/>
          <w:footerReference w:type="first" r:id="rId428"/>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992"/>
        <w:gridCol w:w="3119"/>
        <w:gridCol w:w="992"/>
        <w:gridCol w:w="850"/>
        <w:gridCol w:w="851"/>
        <w:gridCol w:w="709"/>
        <w:gridCol w:w="567"/>
        <w:gridCol w:w="810"/>
        <w:gridCol w:w="4860"/>
      </w:tblGrid>
      <w:tr w:rsidR="006578ED" w14:paraId="18B741AF" w14:textId="77777777">
        <w:trPr>
          <w:trHeight w:val="309"/>
          <w:tblHeader/>
        </w:trPr>
        <w:tc>
          <w:tcPr>
            <w:tcW w:w="709" w:type="dxa"/>
            <w:tcBorders>
              <w:bottom w:val="nil"/>
            </w:tcBorders>
            <w:shd w:val="clear" w:color="auto" w:fill="C6D9F1" w:themeFill="text2" w:themeFillTint="33"/>
            <w:noWrap/>
            <w:vAlign w:val="center"/>
          </w:tcPr>
          <w:p w14:paraId="4AC1CFBD" w14:textId="77777777" w:rsidR="006578ED" w:rsidRDefault="00A1618E">
            <w:pPr>
              <w:pStyle w:val="P68B1DB1-Normal12"/>
              <w:spacing w:after="0" w:line="240" w:lineRule="auto"/>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084B6E57" w14:textId="77777777" w:rsidR="006578ED" w:rsidRDefault="00A1618E">
            <w:pPr>
              <w:pStyle w:val="P68B1DB1-Normal12"/>
              <w:spacing w:after="0" w:line="240" w:lineRule="auto"/>
              <w:jc w:val="center"/>
              <w:rPr>
                <w:rFonts w:cs="Times New Roman"/>
                <w:noProof/>
              </w:rPr>
            </w:pPr>
            <w:r>
              <w:rPr>
                <w:noProof/>
              </w:rPr>
              <w:t>Środek</w:t>
            </w:r>
          </w:p>
        </w:tc>
        <w:tc>
          <w:tcPr>
            <w:tcW w:w="992" w:type="dxa"/>
            <w:tcBorders>
              <w:bottom w:val="nil"/>
            </w:tcBorders>
            <w:shd w:val="clear" w:color="auto" w:fill="C6D9F1" w:themeFill="text2" w:themeFillTint="33"/>
            <w:noWrap/>
            <w:vAlign w:val="center"/>
          </w:tcPr>
          <w:p w14:paraId="50D4A991" w14:textId="6ACAB995"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3119" w:type="dxa"/>
            <w:tcBorders>
              <w:bottom w:val="nil"/>
            </w:tcBorders>
            <w:shd w:val="clear" w:color="auto" w:fill="C6D9F1" w:themeFill="text2" w:themeFillTint="33"/>
            <w:noWrap/>
            <w:vAlign w:val="center"/>
          </w:tcPr>
          <w:p w14:paraId="0979EEBB" w14:textId="77777777" w:rsidR="006578ED" w:rsidRDefault="00A1618E">
            <w:pPr>
              <w:pStyle w:val="P68B1DB1-Normal12"/>
              <w:spacing w:after="0" w:line="240" w:lineRule="auto"/>
              <w:jc w:val="center"/>
              <w:rPr>
                <w:rFonts w:cs="Times New Roman"/>
                <w:noProof/>
              </w:rPr>
            </w:pPr>
            <w:r>
              <w:rPr>
                <w:noProof/>
              </w:rPr>
              <w:t>Nazwa</w:t>
            </w:r>
          </w:p>
        </w:tc>
        <w:tc>
          <w:tcPr>
            <w:tcW w:w="992" w:type="dxa"/>
            <w:tcBorders>
              <w:bottom w:val="nil"/>
            </w:tcBorders>
            <w:shd w:val="clear" w:color="auto" w:fill="C6D9F1" w:themeFill="text2" w:themeFillTint="33"/>
            <w:noWrap/>
            <w:vAlign w:val="center"/>
          </w:tcPr>
          <w:p w14:paraId="25C82140"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410" w:type="dxa"/>
            <w:gridSpan w:val="3"/>
            <w:shd w:val="clear" w:color="auto" w:fill="C6D9F1" w:themeFill="text2" w:themeFillTint="33"/>
            <w:noWrap/>
            <w:vAlign w:val="center"/>
          </w:tcPr>
          <w:p w14:paraId="09B05943"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377" w:type="dxa"/>
            <w:gridSpan w:val="2"/>
            <w:shd w:val="clear" w:color="auto" w:fill="C6D9F1" w:themeFill="text2" w:themeFillTint="33"/>
            <w:noWrap/>
            <w:vAlign w:val="center"/>
          </w:tcPr>
          <w:p w14:paraId="4D5D1DFB" w14:textId="77777777" w:rsidR="006578ED" w:rsidRDefault="00A1618E">
            <w:pPr>
              <w:pStyle w:val="P68B1DB1-Normal12"/>
              <w:spacing w:after="0" w:line="240" w:lineRule="auto"/>
              <w:jc w:val="center"/>
              <w:rPr>
                <w:rFonts w:cs="Times New Roman"/>
                <w:noProof/>
              </w:rPr>
            </w:pPr>
            <w:r>
              <w:rPr>
                <w:noProof/>
              </w:rPr>
              <w:t>Czas</w:t>
            </w:r>
          </w:p>
        </w:tc>
        <w:tc>
          <w:tcPr>
            <w:tcW w:w="4860" w:type="dxa"/>
            <w:tcBorders>
              <w:bottom w:val="nil"/>
            </w:tcBorders>
            <w:shd w:val="clear" w:color="auto" w:fill="C6D9F1" w:themeFill="text2" w:themeFillTint="33"/>
            <w:noWrap/>
            <w:vAlign w:val="center"/>
          </w:tcPr>
          <w:p w14:paraId="0853FA55" w14:textId="6CA55074"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10375DAF" w14:textId="77777777">
        <w:trPr>
          <w:trHeight w:val="309"/>
          <w:tblHeader/>
        </w:trPr>
        <w:tc>
          <w:tcPr>
            <w:tcW w:w="709" w:type="dxa"/>
            <w:tcBorders>
              <w:top w:val="nil"/>
            </w:tcBorders>
            <w:shd w:val="clear" w:color="auto" w:fill="C6D9F1" w:themeFill="text2" w:themeFillTint="33"/>
            <w:noWrap/>
          </w:tcPr>
          <w:p w14:paraId="495F8FE5"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72201C4E" w14:textId="77777777" w:rsidR="006578ED" w:rsidRDefault="006578ED">
            <w:pPr>
              <w:spacing w:after="0" w:line="240" w:lineRule="auto"/>
              <w:jc w:val="center"/>
              <w:rPr>
                <w:rFonts w:ascii="Times New Roman" w:hAnsi="Times New Roman" w:cs="Times New Roman"/>
                <w:b/>
                <w:noProof/>
                <w:sz w:val="18"/>
              </w:rPr>
            </w:pPr>
          </w:p>
        </w:tc>
        <w:tc>
          <w:tcPr>
            <w:tcW w:w="992" w:type="dxa"/>
            <w:tcBorders>
              <w:top w:val="nil"/>
            </w:tcBorders>
            <w:shd w:val="clear" w:color="auto" w:fill="C6D9F1" w:themeFill="text2" w:themeFillTint="33"/>
            <w:noWrap/>
          </w:tcPr>
          <w:p w14:paraId="54EACD8D" w14:textId="77777777" w:rsidR="006578ED" w:rsidRDefault="006578ED">
            <w:pPr>
              <w:spacing w:after="0" w:line="240" w:lineRule="auto"/>
              <w:jc w:val="center"/>
              <w:rPr>
                <w:rFonts w:ascii="Times New Roman" w:hAnsi="Times New Roman" w:cs="Times New Roman"/>
                <w:b/>
                <w:noProof/>
                <w:sz w:val="18"/>
              </w:rPr>
            </w:pPr>
          </w:p>
        </w:tc>
        <w:tc>
          <w:tcPr>
            <w:tcW w:w="3119" w:type="dxa"/>
            <w:tcBorders>
              <w:top w:val="nil"/>
            </w:tcBorders>
            <w:shd w:val="clear" w:color="auto" w:fill="C6D9F1" w:themeFill="text2" w:themeFillTint="33"/>
            <w:noWrap/>
          </w:tcPr>
          <w:p w14:paraId="4EDC85BF" w14:textId="77777777" w:rsidR="006578ED" w:rsidRDefault="006578ED">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7D03BCF6" w14:textId="77777777" w:rsidR="006578ED" w:rsidRDefault="006578ED">
            <w:pPr>
              <w:spacing w:after="0" w:line="240" w:lineRule="auto"/>
              <w:jc w:val="center"/>
              <w:rPr>
                <w:rFonts w:ascii="Times New Roman" w:hAnsi="Times New Roman" w:cs="Times New Roman"/>
                <w:b/>
                <w:noProof/>
                <w:sz w:val="18"/>
              </w:rPr>
            </w:pPr>
          </w:p>
        </w:tc>
        <w:tc>
          <w:tcPr>
            <w:tcW w:w="850" w:type="dxa"/>
            <w:shd w:val="clear" w:color="auto" w:fill="C6D9F1" w:themeFill="text2" w:themeFillTint="33"/>
            <w:noWrap/>
          </w:tcPr>
          <w:p w14:paraId="13751BA3" w14:textId="77777777" w:rsidR="006578ED" w:rsidRDefault="00A1618E">
            <w:pPr>
              <w:pStyle w:val="P68B1DB1-Normal12"/>
              <w:spacing w:after="0" w:line="240" w:lineRule="auto"/>
              <w:jc w:val="center"/>
              <w:rPr>
                <w:rFonts w:cs="Times New Roman"/>
                <w:noProof/>
              </w:rPr>
            </w:pPr>
            <w:r>
              <w:rPr>
                <w:noProof/>
              </w:rPr>
              <w:t>Jednostka</w:t>
            </w:r>
          </w:p>
        </w:tc>
        <w:tc>
          <w:tcPr>
            <w:tcW w:w="851" w:type="dxa"/>
            <w:shd w:val="clear" w:color="auto" w:fill="C6D9F1" w:themeFill="text2" w:themeFillTint="33"/>
            <w:noWrap/>
          </w:tcPr>
          <w:p w14:paraId="0EB1EFD8" w14:textId="77777777" w:rsidR="006578ED" w:rsidRDefault="00A1618E">
            <w:pPr>
              <w:pStyle w:val="P68B1DB1-Normal12"/>
              <w:spacing w:after="0" w:line="240" w:lineRule="auto"/>
              <w:jc w:val="center"/>
              <w:rPr>
                <w:rFonts w:cs="Times New Roman"/>
                <w:noProof/>
              </w:rPr>
            </w:pPr>
            <w:r>
              <w:rPr>
                <w:noProof/>
              </w:rPr>
              <w:t>Bazowy</w:t>
            </w:r>
          </w:p>
        </w:tc>
        <w:tc>
          <w:tcPr>
            <w:tcW w:w="709" w:type="dxa"/>
            <w:shd w:val="clear" w:color="auto" w:fill="C6D9F1" w:themeFill="text2" w:themeFillTint="33"/>
            <w:noWrap/>
          </w:tcPr>
          <w:p w14:paraId="5B4AEAB6" w14:textId="77777777" w:rsidR="006578ED" w:rsidRDefault="00A1618E">
            <w:pPr>
              <w:pStyle w:val="P68B1DB1-Normal12"/>
              <w:spacing w:after="0" w:line="240" w:lineRule="auto"/>
              <w:jc w:val="center"/>
              <w:rPr>
                <w:rFonts w:cs="Times New Roman"/>
                <w:noProof/>
              </w:rPr>
            </w:pPr>
            <w:r>
              <w:rPr>
                <w:noProof/>
              </w:rPr>
              <w:t>Cel</w:t>
            </w:r>
          </w:p>
        </w:tc>
        <w:tc>
          <w:tcPr>
            <w:tcW w:w="567" w:type="dxa"/>
            <w:shd w:val="clear" w:color="auto" w:fill="C6D9F1" w:themeFill="text2" w:themeFillTint="33"/>
            <w:noWrap/>
          </w:tcPr>
          <w:p w14:paraId="641B3FA0" w14:textId="77777777" w:rsidR="006578ED" w:rsidRDefault="00A1618E">
            <w:pPr>
              <w:pStyle w:val="P68B1DB1-Normal12"/>
              <w:spacing w:after="0" w:line="240" w:lineRule="auto"/>
              <w:jc w:val="center"/>
              <w:rPr>
                <w:rFonts w:cs="Times New Roman"/>
                <w:noProof/>
              </w:rPr>
            </w:pPr>
            <w:r>
              <w:rPr>
                <w:noProof/>
              </w:rPr>
              <w:t>Q</w:t>
            </w:r>
          </w:p>
        </w:tc>
        <w:tc>
          <w:tcPr>
            <w:tcW w:w="810" w:type="dxa"/>
            <w:shd w:val="clear" w:color="auto" w:fill="C6D9F1" w:themeFill="text2" w:themeFillTint="33"/>
            <w:noWrap/>
          </w:tcPr>
          <w:p w14:paraId="0464D277" w14:textId="77777777" w:rsidR="006578ED" w:rsidRDefault="00A1618E">
            <w:pPr>
              <w:pStyle w:val="P68B1DB1-Normal12"/>
              <w:spacing w:after="0" w:line="240" w:lineRule="auto"/>
              <w:jc w:val="center"/>
              <w:rPr>
                <w:rFonts w:cs="Times New Roman"/>
                <w:noProof/>
              </w:rPr>
            </w:pPr>
            <w:r>
              <w:rPr>
                <w:noProof/>
              </w:rPr>
              <w:t>Rok</w:t>
            </w:r>
          </w:p>
        </w:tc>
        <w:tc>
          <w:tcPr>
            <w:tcW w:w="4860" w:type="dxa"/>
            <w:tcBorders>
              <w:top w:val="nil"/>
            </w:tcBorders>
            <w:shd w:val="clear" w:color="auto" w:fill="C6D9F1" w:themeFill="text2" w:themeFillTint="33"/>
            <w:noWrap/>
            <w:vAlign w:val="center"/>
          </w:tcPr>
          <w:p w14:paraId="2AEAE3F1" w14:textId="77777777" w:rsidR="006578ED" w:rsidRDefault="006578ED">
            <w:pPr>
              <w:spacing w:after="0" w:line="240" w:lineRule="auto"/>
              <w:rPr>
                <w:rFonts w:ascii="Times New Roman" w:hAnsi="Times New Roman" w:cs="Times New Roman"/>
                <w:b/>
                <w:noProof/>
                <w:sz w:val="18"/>
              </w:rPr>
            </w:pPr>
          </w:p>
        </w:tc>
      </w:tr>
      <w:tr w:rsidR="006578ED" w14:paraId="3AA48DBB" w14:textId="77777777">
        <w:trPr>
          <w:trHeight w:val="309"/>
        </w:trPr>
        <w:tc>
          <w:tcPr>
            <w:tcW w:w="709" w:type="dxa"/>
            <w:shd w:val="clear" w:color="auto" w:fill="C6EFCE"/>
            <w:noWrap/>
          </w:tcPr>
          <w:p w14:paraId="3711C0D7" w14:textId="77777777" w:rsidR="006578ED" w:rsidRDefault="00A1618E">
            <w:pPr>
              <w:pStyle w:val="P68B1DB1-Normal13"/>
              <w:spacing w:after="0" w:line="240" w:lineRule="auto"/>
              <w:jc w:val="center"/>
              <w:rPr>
                <w:rFonts w:eastAsia="Times New Roman" w:cs="Times New Roman"/>
                <w:noProof/>
              </w:rPr>
            </w:pPr>
            <w:r>
              <w:rPr>
                <w:noProof/>
              </w:rPr>
              <w:t>314</w:t>
            </w:r>
          </w:p>
        </w:tc>
        <w:tc>
          <w:tcPr>
            <w:tcW w:w="851" w:type="dxa"/>
            <w:shd w:val="clear" w:color="auto" w:fill="C6EFCE"/>
            <w:noWrap/>
          </w:tcPr>
          <w:p w14:paraId="3F1FCFC6" w14:textId="77777777" w:rsidR="006578ED" w:rsidRDefault="00A1618E">
            <w:pPr>
              <w:pStyle w:val="P68B1DB1-Normal13"/>
              <w:spacing w:after="0" w:line="240" w:lineRule="auto"/>
              <w:jc w:val="center"/>
              <w:rPr>
                <w:rFonts w:eastAsia="Times New Roman" w:cs="Times New Roman"/>
                <w:noProof/>
              </w:rPr>
            </w:pPr>
            <w:r>
              <w:rPr>
                <w:noProof/>
              </w:rPr>
              <w:t>C22.R1</w:t>
            </w:r>
          </w:p>
        </w:tc>
        <w:tc>
          <w:tcPr>
            <w:tcW w:w="992" w:type="dxa"/>
            <w:shd w:val="clear" w:color="auto" w:fill="C6EFCE"/>
            <w:noWrap/>
          </w:tcPr>
          <w:p w14:paraId="4272A656" w14:textId="044CFE85"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43640F0D" w14:textId="7C41B3C2" w:rsidR="006578ED" w:rsidRDefault="00A1618E">
            <w:pPr>
              <w:pStyle w:val="P68B1DB1-Normal13"/>
              <w:spacing w:after="0" w:line="240" w:lineRule="auto"/>
              <w:rPr>
                <w:rFonts w:eastAsia="Times New Roman" w:cs="Times New Roman"/>
                <w:noProof/>
              </w:rPr>
            </w:pPr>
            <w:r>
              <w:rPr>
                <w:noProof/>
              </w:rPr>
              <w:t xml:space="preserve">Zatwierdzenie przez Radę Terytorialną oceny systemu autonomii i opieki nad osobami zależnymi (SAAD). </w:t>
            </w:r>
          </w:p>
        </w:tc>
        <w:tc>
          <w:tcPr>
            <w:tcW w:w="992" w:type="dxa"/>
            <w:shd w:val="clear" w:color="auto" w:fill="C6EFCE"/>
            <w:noWrap/>
          </w:tcPr>
          <w:p w14:paraId="70A24F72" w14:textId="77777777" w:rsidR="006578ED" w:rsidRDefault="00A1618E">
            <w:pPr>
              <w:pStyle w:val="P68B1DB1-Normal13"/>
              <w:spacing w:after="0" w:line="240" w:lineRule="auto"/>
              <w:jc w:val="center"/>
              <w:rPr>
                <w:rFonts w:eastAsia="Times New Roman" w:cs="Times New Roman"/>
                <w:noProof/>
              </w:rPr>
            </w:pPr>
            <w:r>
              <w:rPr>
                <w:noProof/>
              </w:rPr>
              <w:t xml:space="preserve">Publikacja oceny </w:t>
            </w:r>
          </w:p>
        </w:tc>
        <w:tc>
          <w:tcPr>
            <w:tcW w:w="850" w:type="dxa"/>
            <w:shd w:val="clear" w:color="auto" w:fill="C6EFCE"/>
            <w:noWrap/>
          </w:tcPr>
          <w:p w14:paraId="1DCEAD92" w14:textId="77777777" w:rsidR="006578ED" w:rsidRDefault="00A1618E">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1CE575E9" w14:textId="77777777" w:rsidR="006578ED" w:rsidRDefault="00A1618E">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29E92424" w14:textId="77777777" w:rsidR="006578ED" w:rsidRDefault="00A1618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701C5144" w14:textId="3DFB2DE1" w:rsidR="006578ED" w:rsidRDefault="00EC188C">
            <w:pPr>
              <w:pStyle w:val="P68B1DB1-Normal13"/>
              <w:spacing w:after="0" w:line="240" w:lineRule="auto"/>
              <w:jc w:val="center"/>
              <w:rPr>
                <w:rFonts w:eastAsia="Times New Roman" w:cs="Times New Roman"/>
                <w:noProof/>
              </w:rPr>
            </w:pPr>
            <w:r>
              <w:rPr>
                <w:noProof/>
              </w:rPr>
              <w:t>KW. 2</w:t>
            </w:r>
          </w:p>
        </w:tc>
        <w:tc>
          <w:tcPr>
            <w:tcW w:w="810" w:type="dxa"/>
            <w:shd w:val="clear" w:color="auto" w:fill="C6EFCE"/>
            <w:noWrap/>
          </w:tcPr>
          <w:p w14:paraId="096695E4" w14:textId="77777777" w:rsidR="006578ED" w:rsidRDefault="00A1618E">
            <w:pPr>
              <w:pStyle w:val="P68B1DB1-Normal13"/>
              <w:spacing w:after="0" w:line="240" w:lineRule="auto"/>
              <w:jc w:val="center"/>
              <w:rPr>
                <w:rFonts w:eastAsia="Times New Roman" w:cs="Times New Roman"/>
                <w:noProof/>
              </w:rPr>
            </w:pPr>
            <w:r>
              <w:rPr>
                <w:noProof/>
              </w:rPr>
              <w:t>2022</w:t>
            </w:r>
          </w:p>
        </w:tc>
        <w:tc>
          <w:tcPr>
            <w:tcW w:w="4860" w:type="dxa"/>
            <w:shd w:val="clear" w:color="auto" w:fill="C6EFCE"/>
            <w:noWrap/>
          </w:tcPr>
          <w:p w14:paraId="3F910CCB" w14:textId="20CEC25D" w:rsidR="006578ED" w:rsidRDefault="00A1618E">
            <w:pPr>
              <w:pStyle w:val="P68B1DB1-Normal13"/>
              <w:spacing w:after="0" w:line="240" w:lineRule="auto"/>
              <w:rPr>
                <w:rFonts w:eastAsia="Times New Roman" w:cs="Times New Roman"/>
                <w:noProof/>
              </w:rPr>
            </w:pPr>
            <w:r>
              <w:rPr>
                <w:noProof/>
              </w:rPr>
              <w:t>Ocena zostanie przeprowadzona w 20</w:t>
            </w:r>
            <w:r w:rsidRPr="00A1618E">
              <w:rPr>
                <w:noProof/>
                <w:lang w:val="pl-PL"/>
              </w:rPr>
              <w:t>21 r.</w:t>
            </w:r>
            <w:r>
              <w:rPr>
                <w:noProof/>
              </w:rPr>
              <w:t>, aby uzyskać dogłębną wiedzę na temat postępów w procesie reformy opieki długoterminowej rozpoczętej w 20</w:t>
            </w:r>
            <w:r w:rsidRPr="00A1618E">
              <w:rPr>
                <w:noProof/>
                <w:lang w:val="pl-PL"/>
              </w:rPr>
              <w:t>20 r.</w:t>
            </w:r>
            <w:r>
              <w:rPr>
                <w:noProof/>
              </w:rPr>
              <w:t xml:space="preserve"> i jej skutków. Wnioski z tej oceny zostaną przedstawione radzie terytorialnej w pierwszej połowie 20</w:t>
            </w:r>
            <w:r w:rsidRPr="00A1618E">
              <w:rPr>
                <w:noProof/>
                <w:lang w:val="pl-PL"/>
              </w:rPr>
              <w:t>22 r.</w:t>
            </w:r>
            <w:r>
              <w:rPr>
                <w:noProof/>
              </w:rPr>
              <w:t xml:space="preserve"> </w:t>
            </w:r>
          </w:p>
        </w:tc>
      </w:tr>
      <w:tr w:rsidR="006578ED" w14:paraId="09934F86" w14:textId="77777777">
        <w:trPr>
          <w:trHeight w:val="309"/>
        </w:trPr>
        <w:tc>
          <w:tcPr>
            <w:tcW w:w="709" w:type="dxa"/>
            <w:shd w:val="clear" w:color="auto" w:fill="C6EFCE"/>
            <w:noWrap/>
          </w:tcPr>
          <w:p w14:paraId="55DE0B6F" w14:textId="77777777" w:rsidR="006578ED" w:rsidRDefault="00A1618E">
            <w:pPr>
              <w:pStyle w:val="P68B1DB1-Normal13"/>
              <w:spacing w:after="0" w:line="240" w:lineRule="auto"/>
              <w:jc w:val="center"/>
              <w:rPr>
                <w:rFonts w:eastAsia="Times New Roman" w:cs="Times New Roman"/>
                <w:noProof/>
              </w:rPr>
            </w:pPr>
            <w:r>
              <w:rPr>
                <w:noProof/>
              </w:rPr>
              <w:t>315</w:t>
            </w:r>
          </w:p>
        </w:tc>
        <w:tc>
          <w:tcPr>
            <w:tcW w:w="851" w:type="dxa"/>
            <w:shd w:val="clear" w:color="auto" w:fill="C6EFCE"/>
            <w:noWrap/>
          </w:tcPr>
          <w:p w14:paraId="42698C9F" w14:textId="77777777" w:rsidR="006578ED" w:rsidRDefault="00A1618E">
            <w:pPr>
              <w:pStyle w:val="P68B1DB1-Normal13"/>
              <w:spacing w:after="0" w:line="240" w:lineRule="auto"/>
              <w:jc w:val="center"/>
              <w:rPr>
                <w:rFonts w:eastAsia="Times New Roman" w:cs="Times New Roman"/>
                <w:noProof/>
              </w:rPr>
            </w:pPr>
            <w:r>
              <w:rPr>
                <w:noProof/>
              </w:rPr>
              <w:t>C22.R2</w:t>
            </w:r>
          </w:p>
        </w:tc>
        <w:tc>
          <w:tcPr>
            <w:tcW w:w="992" w:type="dxa"/>
            <w:shd w:val="clear" w:color="auto" w:fill="C6EFCE"/>
            <w:noWrap/>
          </w:tcPr>
          <w:p w14:paraId="66448DCB" w14:textId="0A2CAE2B"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6F00A35F" w14:textId="6689E9F9" w:rsidR="006578ED" w:rsidRDefault="00A1618E">
            <w:pPr>
              <w:pStyle w:val="P68B1DB1-Normal13"/>
              <w:spacing w:after="0" w:line="240" w:lineRule="auto"/>
              <w:rPr>
                <w:rFonts w:eastAsia="Times New Roman" w:cs="Times New Roman"/>
                <w:noProof/>
              </w:rPr>
            </w:pPr>
            <w:r>
              <w:rPr>
                <w:noProof/>
              </w:rPr>
              <w:t>Wejście w życie ustawy o usługach socjalnych i rozporządzeń ministerialnych</w:t>
            </w:r>
          </w:p>
        </w:tc>
        <w:tc>
          <w:tcPr>
            <w:tcW w:w="992" w:type="dxa"/>
            <w:shd w:val="clear" w:color="auto" w:fill="C6EFCE"/>
            <w:noWrap/>
          </w:tcPr>
          <w:p w14:paraId="068872AB" w14:textId="3CB36787" w:rsidR="006578ED" w:rsidRDefault="00A1618E">
            <w:pPr>
              <w:pStyle w:val="P68B1DB1-Normal13"/>
              <w:spacing w:after="0" w:line="240" w:lineRule="auto"/>
              <w:jc w:val="center"/>
              <w:rPr>
                <w:rFonts w:eastAsia="Times New Roman" w:cs="Times New Roman"/>
                <w:noProof/>
              </w:rPr>
            </w:pPr>
            <w:r>
              <w:rPr>
                <w:noProof/>
              </w:rPr>
              <w:t>Przepis ustawy i rozporządzeń ministerialnych</w:t>
            </w:r>
            <w:r>
              <w:rPr>
                <w:noProof/>
                <w:highlight w:val="cyan"/>
              </w:rPr>
              <w:t xml:space="preserve"> </w:t>
            </w:r>
            <w:r>
              <w:rPr>
                <w:noProof/>
              </w:rPr>
              <w:t xml:space="preserve">wskazujący na ich wejście w życie </w:t>
            </w:r>
          </w:p>
        </w:tc>
        <w:tc>
          <w:tcPr>
            <w:tcW w:w="850" w:type="dxa"/>
            <w:shd w:val="clear" w:color="auto" w:fill="C6EFCE"/>
            <w:noWrap/>
          </w:tcPr>
          <w:p w14:paraId="3BA3C70A"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151797F6"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452D7D3A"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D29F122" w14:textId="0EAA67FB" w:rsidR="006578ED" w:rsidRDefault="00EC188C">
            <w:pPr>
              <w:pStyle w:val="P68B1DB1-Normal13"/>
              <w:spacing w:after="0" w:line="240" w:lineRule="auto"/>
              <w:jc w:val="center"/>
              <w:rPr>
                <w:rFonts w:eastAsia="Times New Roman" w:cs="Times New Roman"/>
                <w:noProof/>
              </w:rPr>
            </w:pPr>
            <w:r>
              <w:rPr>
                <w:noProof/>
              </w:rPr>
              <w:t>KW. 2</w:t>
            </w:r>
          </w:p>
        </w:tc>
        <w:tc>
          <w:tcPr>
            <w:tcW w:w="810" w:type="dxa"/>
            <w:shd w:val="clear" w:color="auto" w:fill="C6EFCE"/>
            <w:noWrap/>
          </w:tcPr>
          <w:p w14:paraId="4D14A81A" w14:textId="77777777" w:rsidR="006578ED" w:rsidRDefault="00A1618E">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2C81C5F0" w14:textId="6D2F8EDF" w:rsidR="006578ED" w:rsidRDefault="00A1618E">
            <w:pPr>
              <w:pStyle w:val="P68B1DB1-Normal13"/>
              <w:spacing w:after="0" w:line="240" w:lineRule="auto"/>
              <w:rPr>
                <w:rFonts w:eastAsia="Times New Roman" w:cs="Times New Roman"/>
                <w:noProof/>
              </w:rPr>
            </w:pPr>
            <w:r>
              <w:rPr>
                <w:noProof/>
              </w:rPr>
              <w:t xml:space="preserve">Po przyjęciu ustawy o usługach socjalnych następuje przyjęcie niezbędnych rozporządzeń ministerialnych. Celem ustawy jest poprawa obecnego systemu świadczenia usług oraz uregulowanie podstawowych warunków świadczenia usług socjalnych w Hiszpanii. </w:t>
            </w:r>
          </w:p>
        </w:tc>
      </w:tr>
      <w:tr w:rsidR="006578ED" w14:paraId="1E7CFC65" w14:textId="77777777">
        <w:trPr>
          <w:trHeight w:val="309"/>
        </w:trPr>
        <w:tc>
          <w:tcPr>
            <w:tcW w:w="709" w:type="dxa"/>
            <w:shd w:val="clear" w:color="auto" w:fill="C6EFCE"/>
            <w:noWrap/>
          </w:tcPr>
          <w:p w14:paraId="735E7828" w14:textId="77777777" w:rsidR="006578ED" w:rsidRDefault="00A1618E">
            <w:pPr>
              <w:pStyle w:val="P68B1DB1-Normal13"/>
              <w:spacing w:after="0" w:line="240" w:lineRule="auto"/>
              <w:jc w:val="center"/>
              <w:rPr>
                <w:rFonts w:eastAsia="Times New Roman" w:cs="Times New Roman"/>
                <w:noProof/>
              </w:rPr>
            </w:pPr>
            <w:r>
              <w:rPr>
                <w:noProof/>
              </w:rPr>
              <w:t>316</w:t>
            </w:r>
          </w:p>
        </w:tc>
        <w:tc>
          <w:tcPr>
            <w:tcW w:w="851" w:type="dxa"/>
            <w:shd w:val="clear" w:color="auto" w:fill="C6EFCE"/>
            <w:noWrap/>
          </w:tcPr>
          <w:p w14:paraId="0A348461" w14:textId="77777777" w:rsidR="006578ED" w:rsidRDefault="00A1618E">
            <w:pPr>
              <w:pStyle w:val="P68B1DB1-Normal13"/>
              <w:spacing w:after="0" w:line="240" w:lineRule="auto"/>
              <w:jc w:val="center"/>
              <w:rPr>
                <w:rFonts w:eastAsia="Times New Roman" w:cs="Times New Roman"/>
                <w:noProof/>
              </w:rPr>
            </w:pPr>
            <w:r>
              <w:rPr>
                <w:noProof/>
              </w:rPr>
              <w:t>C22.R3</w:t>
            </w:r>
          </w:p>
        </w:tc>
        <w:tc>
          <w:tcPr>
            <w:tcW w:w="992" w:type="dxa"/>
            <w:shd w:val="clear" w:color="auto" w:fill="C6EFCE"/>
            <w:noWrap/>
          </w:tcPr>
          <w:p w14:paraId="1BC73BCE" w14:textId="1518F3BB"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454E1B03" w14:textId="44515276" w:rsidR="006578ED" w:rsidRDefault="00A1618E">
            <w:pPr>
              <w:pStyle w:val="P68B1DB1-Normal13"/>
              <w:spacing w:after="0" w:line="240" w:lineRule="auto"/>
              <w:rPr>
                <w:rFonts w:eastAsia="Times New Roman" w:cs="Times New Roman"/>
                <w:noProof/>
              </w:rPr>
            </w:pPr>
            <w:r>
              <w:rPr>
                <w:noProof/>
              </w:rPr>
              <w:t>Wejście w życie ustawy o różnorodności rodzin</w:t>
            </w:r>
          </w:p>
        </w:tc>
        <w:tc>
          <w:tcPr>
            <w:tcW w:w="992" w:type="dxa"/>
            <w:shd w:val="clear" w:color="auto" w:fill="C6EFCE"/>
            <w:noWrap/>
          </w:tcPr>
          <w:p w14:paraId="606F1F60" w14:textId="511EB683" w:rsidR="006578ED" w:rsidRDefault="00A1618E">
            <w:pPr>
              <w:pStyle w:val="P68B1DB1-Normal13"/>
              <w:spacing w:after="0" w:line="240" w:lineRule="auto"/>
              <w:jc w:val="center"/>
              <w:rPr>
                <w:rFonts w:eastAsia="Times New Roman" w:cs="Times New Roman"/>
                <w:noProof/>
              </w:rPr>
            </w:pPr>
            <w:r>
              <w:rPr>
                <w:noProof/>
              </w:rPr>
              <w:t>Przepis ustawy wskazujący na wejście w życie ustawy</w:t>
            </w:r>
          </w:p>
        </w:tc>
        <w:tc>
          <w:tcPr>
            <w:tcW w:w="850" w:type="dxa"/>
            <w:shd w:val="clear" w:color="auto" w:fill="C6EFCE"/>
            <w:noWrap/>
          </w:tcPr>
          <w:p w14:paraId="22138530"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61E937B6"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4B0B209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04ED90FB" w14:textId="1F231412" w:rsidR="006578ED" w:rsidRDefault="00EC188C">
            <w:pPr>
              <w:pStyle w:val="P68B1DB1-Normal13"/>
              <w:spacing w:after="0" w:line="240" w:lineRule="auto"/>
              <w:jc w:val="center"/>
              <w:rPr>
                <w:rFonts w:eastAsia="Times New Roman" w:cs="Times New Roman"/>
                <w:noProof/>
              </w:rPr>
            </w:pPr>
            <w:r>
              <w:rPr>
                <w:noProof/>
              </w:rPr>
              <w:t>KW. 2</w:t>
            </w:r>
          </w:p>
        </w:tc>
        <w:tc>
          <w:tcPr>
            <w:tcW w:w="810" w:type="dxa"/>
            <w:shd w:val="clear" w:color="auto" w:fill="C6EFCE"/>
            <w:noWrap/>
          </w:tcPr>
          <w:p w14:paraId="28DF9E0A" w14:textId="77777777" w:rsidR="006578ED" w:rsidRDefault="00A1618E">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25BEA998" w14:textId="43AB3F7F" w:rsidR="006578ED" w:rsidRDefault="00A1618E">
            <w:pPr>
              <w:pStyle w:val="P68B1DB1-Normal13"/>
              <w:spacing w:after="0" w:line="240" w:lineRule="auto"/>
              <w:rPr>
                <w:rFonts w:eastAsia="Times New Roman" w:cs="Times New Roman"/>
                <w:noProof/>
              </w:rPr>
            </w:pPr>
            <w:r>
              <w:rPr>
                <w:noProof/>
              </w:rPr>
              <w:t>Celem ustawy o różnorodności rodzin jest: (i) prawne uznanie różnych rodzajów istniejących struktur rodzinnych; określenie świadczeń i usług, do których są uprawnieni, zgodnie z ich cechami i poziomami dochodów; oraz (iii) ograniczenia ubóstwa dzieci z uwzględnieniem ustaleń wynikających z redystrybucyjnej oceny skutków.</w:t>
            </w:r>
          </w:p>
        </w:tc>
      </w:tr>
      <w:tr w:rsidR="006578ED" w14:paraId="5411D44F" w14:textId="77777777">
        <w:trPr>
          <w:trHeight w:val="309"/>
        </w:trPr>
        <w:tc>
          <w:tcPr>
            <w:tcW w:w="709" w:type="dxa"/>
            <w:shd w:val="clear" w:color="auto" w:fill="C6EFCE"/>
            <w:noWrap/>
          </w:tcPr>
          <w:p w14:paraId="3BEB6FCE" w14:textId="77777777" w:rsidR="006578ED" w:rsidRDefault="00A1618E">
            <w:pPr>
              <w:pStyle w:val="P68B1DB1-Normal13"/>
              <w:spacing w:after="0" w:line="240" w:lineRule="auto"/>
              <w:jc w:val="center"/>
              <w:rPr>
                <w:rFonts w:eastAsia="Times New Roman" w:cs="Times New Roman"/>
                <w:noProof/>
              </w:rPr>
            </w:pPr>
            <w:r>
              <w:rPr>
                <w:noProof/>
              </w:rPr>
              <w:t>317</w:t>
            </w:r>
          </w:p>
        </w:tc>
        <w:tc>
          <w:tcPr>
            <w:tcW w:w="851" w:type="dxa"/>
            <w:shd w:val="clear" w:color="auto" w:fill="C6EFCE"/>
            <w:noWrap/>
          </w:tcPr>
          <w:p w14:paraId="522D05C1" w14:textId="77777777" w:rsidR="006578ED" w:rsidRDefault="00A1618E">
            <w:pPr>
              <w:pStyle w:val="P68B1DB1-Normal13"/>
              <w:spacing w:after="0" w:line="240" w:lineRule="auto"/>
              <w:jc w:val="center"/>
              <w:rPr>
                <w:rFonts w:eastAsia="Times New Roman" w:cs="Times New Roman"/>
                <w:noProof/>
              </w:rPr>
            </w:pPr>
            <w:r>
              <w:rPr>
                <w:noProof/>
              </w:rPr>
              <w:t>C22.R4</w:t>
            </w:r>
          </w:p>
        </w:tc>
        <w:tc>
          <w:tcPr>
            <w:tcW w:w="992" w:type="dxa"/>
            <w:shd w:val="clear" w:color="auto" w:fill="C6EFCE"/>
            <w:noWrap/>
          </w:tcPr>
          <w:p w14:paraId="2442A7BD" w14:textId="4D5B8DD1"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2C29C358" w14:textId="73CCB3B1" w:rsidR="006578ED" w:rsidRDefault="00A1618E">
            <w:pPr>
              <w:pStyle w:val="P68B1DB1-Normal13"/>
              <w:spacing w:after="0" w:line="240" w:lineRule="auto"/>
              <w:rPr>
                <w:rFonts w:eastAsia="Times New Roman" w:cs="Times New Roman"/>
                <w:noProof/>
              </w:rPr>
            </w:pPr>
            <w:r>
              <w:rPr>
                <w:noProof/>
              </w:rPr>
              <w:t xml:space="preserve">Wejście w życie reformy ustawodawczej systemu przyjmowania migrantów i osób ubiegających się o ochronę międzynarodową w Hiszpanii </w:t>
            </w:r>
          </w:p>
        </w:tc>
        <w:tc>
          <w:tcPr>
            <w:tcW w:w="992" w:type="dxa"/>
            <w:shd w:val="clear" w:color="auto" w:fill="C6EFCE"/>
            <w:noWrap/>
          </w:tcPr>
          <w:p w14:paraId="5937DDF6" w14:textId="7DBCCF20" w:rsidR="006578ED" w:rsidRDefault="00A1618E">
            <w:pPr>
              <w:pStyle w:val="P68B1DB1-Normal13"/>
              <w:spacing w:after="0" w:line="240" w:lineRule="auto"/>
              <w:jc w:val="center"/>
              <w:rPr>
                <w:rFonts w:eastAsia="Times New Roman" w:cs="Times New Roman"/>
                <w:noProof/>
              </w:rPr>
            </w:pPr>
            <w:r>
              <w:rPr>
                <w:noProof/>
              </w:rPr>
              <w:t>Przepis w postanowieniu wskazujący na wejście w życie zarządzenia</w:t>
            </w:r>
          </w:p>
        </w:tc>
        <w:tc>
          <w:tcPr>
            <w:tcW w:w="850" w:type="dxa"/>
            <w:shd w:val="clear" w:color="auto" w:fill="C6EFCE"/>
            <w:noWrap/>
          </w:tcPr>
          <w:p w14:paraId="4F4AFBC9"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0AAA2A8F"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3D2F6FF0"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5FE628AC" w14:textId="7D06EDE6" w:rsidR="006578ED" w:rsidRDefault="00EC188C">
            <w:pPr>
              <w:pStyle w:val="P68B1DB1-Normal13"/>
              <w:spacing w:after="0" w:line="240" w:lineRule="auto"/>
              <w:jc w:val="center"/>
              <w:rPr>
                <w:rFonts w:eastAsia="Times New Roman" w:cs="Times New Roman"/>
                <w:noProof/>
              </w:rPr>
            </w:pPr>
            <w:r>
              <w:rPr>
                <w:noProof/>
              </w:rPr>
              <w:t>KW. 1</w:t>
            </w:r>
          </w:p>
        </w:tc>
        <w:tc>
          <w:tcPr>
            <w:tcW w:w="810" w:type="dxa"/>
            <w:shd w:val="clear" w:color="auto" w:fill="C6EFCE"/>
            <w:noWrap/>
          </w:tcPr>
          <w:p w14:paraId="1BB32A33" w14:textId="77777777" w:rsidR="006578ED" w:rsidRDefault="00A1618E">
            <w:pPr>
              <w:pStyle w:val="P68B1DB1-Normal13"/>
              <w:spacing w:after="0" w:line="240" w:lineRule="auto"/>
              <w:jc w:val="center"/>
              <w:rPr>
                <w:rFonts w:eastAsia="Times New Roman" w:cs="Times New Roman"/>
                <w:noProof/>
              </w:rPr>
            </w:pPr>
            <w:r>
              <w:rPr>
                <w:noProof/>
              </w:rPr>
              <w:t>2022</w:t>
            </w:r>
          </w:p>
        </w:tc>
        <w:tc>
          <w:tcPr>
            <w:tcW w:w="4860" w:type="dxa"/>
            <w:shd w:val="clear" w:color="auto" w:fill="C6EFCE"/>
            <w:noWrap/>
          </w:tcPr>
          <w:p w14:paraId="4366A697" w14:textId="06CFFFD8" w:rsidR="006578ED" w:rsidRDefault="00A1618E">
            <w:pPr>
              <w:pStyle w:val="P68B1DB1-Normal13"/>
              <w:spacing w:after="0" w:line="240" w:lineRule="auto"/>
              <w:rPr>
                <w:rFonts w:eastAsia="Times New Roman" w:cs="Times New Roman"/>
                <w:noProof/>
              </w:rPr>
            </w:pPr>
            <w:r>
              <w:rPr>
                <w:noProof/>
              </w:rPr>
              <w:t>Centralne rozporządzenie ministerialne reformuje system przyjmowania migrantów i osób ubiegających się o ochronę międzynarodową w Hiszpanii przyjęty przez Ministerstwo ds. Włączenia Społecznego, Zabezpieczenia Społecznego i Migracji. Celem reformy jest opracowanie nowych procedur przyjmowania dla wszystkich ośrodków należących do sieci przyjmowania oraz uznawanie podstawowych warunków przyjmowania wszystkich osób ubiegających się o azyl oraz lepszych warunków przyjmowania osób z dużym prawdopodobieństwem uznania.</w:t>
            </w:r>
          </w:p>
        </w:tc>
      </w:tr>
      <w:tr w:rsidR="006578ED" w14:paraId="327E6794" w14:textId="77777777">
        <w:trPr>
          <w:trHeight w:val="309"/>
        </w:trPr>
        <w:tc>
          <w:tcPr>
            <w:tcW w:w="709" w:type="dxa"/>
            <w:shd w:val="clear" w:color="auto" w:fill="C6EFCE"/>
            <w:noWrap/>
          </w:tcPr>
          <w:p w14:paraId="4B0AB24A" w14:textId="77777777" w:rsidR="006578ED" w:rsidRDefault="00A1618E">
            <w:pPr>
              <w:pStyle w:val="P68B1DB1-Normal13"/>
              <w:spacing w:after="0" w:line="240" w:lineRule="auto"/>
              <w:jc w:val="center"/>
              <w:rPr>
                <w:rFonts w:eastAsia="Times New Roman" w:cs="Times New Roman"/>
                <w:noProof/>
              </w:rPr>
            </w:pPr>
            <w:r>
              <w:rPr>
                <w:noProof/>
              </w:rPr>
              <w:t>318</w:t>
            </w:r>
          </w:p>
        </w:tc>
        <w:tc>
          <w:tcPr>
            <w:tcW w:w="851" w:type="dxa"/>
            <w:shd w:val="clear" w:color="auto" w:fill="C6EFCE"/>
            <w:noWrap/>
          </w:tcPr>
          <w:p w14:paraId="7466A7AE" w14:textId="77777777" w:rsidR="006578ED" w:rsidRDefault="00A1618E">
            <w:pPr>
              <w:pStyle w:val="P68B1DB1-Normal13"/>
              <w:spacing w:after="0" w:line="240" w:lineRule="auto"/>
              <w:jc w:val="center"/>
              <w:rPr>
                <w:rFonts w:eastAsia="Times New Roman" w:cs="Times New Roman"/>
                <w:noProof/>
              </w:rPr>
            </w:pPr>
            <w:r>
              <w:rPr>
                <w:noProof/>
              </w:rPr>
              <w:t>C22.R5</w:t>
            </w:r>
          </w:p>
        </w:tc>
        <w:tc>
          <w:tcPr>
            <w:tcW w:w="992" w:type="dxa"/>
            <w:shd w:val="clear" w:color="auto" w:fill="C6EFCE"/>
            <w:noWrap/>
          </w:tcPr>
          <w:p w14:paraId="213BC682" w14:textId="0F870565"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0D3B2C4A" w14:textId="5ECEB43C" w:rsidR="006578ED" w:rsidRDefault="00A1618E">
            <w:pPr>
              <w:pStyle w:val="P68B1DB1-Normal13"/>
              <w:spacing w:after="0" w:line="240" w:lineRule="auto"/>
              <w:rPr>
                <w:rFonts w:eastAsia="Times New Roman" w:cs="Times New Roman"/>
                <w:noProof/>
              </w:rPr>
            </w:pPr>
            <w:r>
              <w:rPr>
                <w:noProof/>
              </w:rPr>
              <w:t>Wejście w życie dekretu królewskiego z mocą ustawy 20/2020 z dnia 29 maja w sprawie zatwierdzenia minimalnego dochodu niezbędnego</w:t>
            </w:r>
          </w:p>
        </w:tc>
        <w:tc>
          <w:tcPr>
            <w:tcW w:w="992" w:type="dxa"/>
            <w:shd w:val="clear" w:color="auto" w:fill="C6EFCE"/>
            <w:noWrap/>
          </w:tcPr>
          <w:p w14:paraId="321EDC2A" w14:textId="02488D10" w:rsidR="006578ED" w:rsidRDefault="00A1618E">
            <w:pPr>
              <w:pStyle w:val="P68B1DB1-Normal13"/>
              <w:spacing w:after="0" w:line="240" w:lineRule="auto"/>
              <w:jc w:val="center"/>
              <w:rPr>
                <w:rFonts w:eastAsia="Times New Roman" w:cs="Times New Roman"/>
                <w:noProof/>
              </w:rPr>
            </w:pPr>
            <w:r>
              <w:rPr>
                <w:noProof/>
              </w:rPr>
              <w:t xml:space="preserve">Przepis ustawy wskazujący na wejście w życie ustawy </w:t>
            </w:r>
          </w:p>
        </w:tc>
        <w:tc>
          <w:tcPr>
            <w:tcW w:w="850" w:type="dxa"/>
            <w:shd w:val="clear" w:color="auto" w:fill="C6EFCE"/>
            <w:noWrap/>
          </w:tcPr>
          <w:p w14:paraId="64F10375"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0D1E954B"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69522666" w14:textId="77777777" w:rsidR="006578ED" w:rsidRDefault="00A1618E">
            <w:pPr>
              <w:pStyle w:val="P68B1DB1-Normal13"/>
              <w:spacing w:after="0" w:line="240" w:lineRule="auto"/>
              <w:rPr>
                <w:rFonts w:eastAsia="Times New Roman" w:cs="Times New Roman"/>
                <w:noProof/>
              </w:rPr>
            </w:pPr>
            <w:r>
              <w:rPr>
                <w:noProof/>
              </w:rPr>
              <w:t xml:space="preserve"> </w:t>
            </w:r>
          </w:p>
        </w:tc>
        <w:tc>
          <w:tcPr>
            <w:tcW w:w="567" w:type="dxa"/>
            <w:shd w:val="clear" w:color="auto" w:fill="C6EFCE"/>
            <w:noWrap/>
          </w:tcPr>
          <w:p w14:paraId="0F981430" w14:textId="1F5ECC8A" w:rsidR="006578ED" w:rsidRDefault="00EC188C">
            <w:pPr>
              <w:pStyle w:val="P68B1DB1-Normal13"/>
              <w:spacing w:after="0" w:line="240" w:lineRule="auto"/>
              <w:jc w:val="center"/>
              <w:rPr>
                <w:rFonts w:eastAsia="Times New Roman" w:cs="Times New Roman"/>
                <w:noProof/>
              </w:rPr>
            </w:pPr>
            <w:r>
              <w:rPr>
                <w:noProof/>
              </w:rPr>
              <w:t>KW. 2</w:t>
            </w:r>
          </w:p>
        </w:tc>
        <w:tc>
          <w:tcPr>
            <w:tcW w:w="810" w:type="dxa"/>
            <w:shd w:val="clear" w:color="auto" w:fill="C6EFCE"/>
            <w:noWrap/>
          </w:tcPr>
          <w:p w14:paraId="584B35F3" w14:textId="77777777" w:rsidR="006578ED" w:rsidRDefault="00A1618E">
            <w:pPr>
              <w:pStyle w:val="P68B1DB1-Normal13"/>
              <w:spacing w:after="0" w:line="240" w:lineRule="auto"/>
              <w:jc w:val="center"/>
              <w:rPr>
                <w:rFonts w:eastAsia="Times New Roman" w:cs="Times New Roman"/>
                <w:noProof/>
              </w:rPr>
            </w:pPr>
            <w:r>
              <w:rPr>
                <w:noProof/>
              </w:rPr>
              <w:t>2020</w:t>
            </w:r>
          </w:p>
        </w:tc>
        <w:tc>
          <w:tcPr>
            <w:tcW w:w="4860" w:type="dxa"/>
            <w:shd w:val="clear" w:color="auto" w:fill="C6EFCE"/>
            <w:noWrap/>
          </w:tcPr>
          <w:p w14:paraId="5861942D" w14:textId="582A1AC5" w:rsidR="006578ED" w:rsidRDefault="00A1618E">
            <w:pPr>
              <w:pStyle w:val="P68B1DB1-Normal13"/>
              <w:spacing w:after="0" w:line="240" w:lineRule="auto"/>
              <w:rPr>
                <w:rFonts w:eastAsia="Times New Roman" w:cs="Times New Roman"/>
                <w:noProof/>
              </w:rPr>
            </w:pPr>
            <w:r>
              <w:rPr>
                <w:noProof/>
              </w:rPr>
              <w:t>Wejście w życie minimalnego dochodu fizycznego (dekret królewski z mocą ustawy 20/2020 z dnia 29 maja).</w:t>
            </w:r>
          </w:p>
        </w:tc>
      </w:tr>
      <w:tr w:rsidR="006578ED" w14:paraId="3DF3AD97" w14:textId="77777777">
        <w:trPr>
          <w:trHeight w:val="309"/>
        </w:trPr>
        <w:tc>
          <w:tcPr>
            <w:tcW w:w="709" w:type="dxa"/>
            <w:shd w:val="clear" w:color="auto" w:fill="C6EFCE"/>
            <w:noWrap/>
          </w:tcPr>
          <w:p w14:paraId="36585B74" w14:textId="77777777" w:rsidR="006578ED" w:rsidRDefault="00A1618E">
            <w:pPr>
              <w:pStyle w:val="P68B1DB1-Normal13"/>
              <w:spacing w:after="0" w:line="240" w:lineRule="auto"/>
              <w:jc w:val="center"/>
              <w:rPr>
                <w:rFonts w:eastAsia="Times New Roman" w:cs="Times New Roman"/>
                <w:noProof/>
              </w:rPr>
            </w:pPr>
            <w:r>
              <w:rPr>
                <w:noProof/>
              </w:rPr>
              <w:t>319</w:t>
            </w:r>
          </w:p>
        </w:tc>
        <w:tc>
          <w:tcPr>
            <w:tcW w:w="851" w:type="dxa"/>
            <w:shd w:val="clear" w:color="auto" w:fill="C6EFCE"/>
            <w:noWrap/>
          </w:tcPr>
          <w:p w14:paraId="76B93DF0" w14:textId="77777777" w:rsidR="006578ED" w:rsidRDefault="00A1618E">
            <w:pPr>
              <w:pStyle w:val="P68B1DB1-Normal13"/>
              <w:spacing w:after="0" w:line="240" w:lineRule="auto"/>
              <w:jc w:val="center"/>
              <w:rPr>
                <w:rFonts w:eastAsia="Times New Roman" w:cs="Times New Roman"/>
                <w:noProof/>
              </w:rPr>
            </w:pPr>
            <w:r>
              <w:rPr>
                <w:noProof/>
              </w:rPr>
              <w:t>C22.R5</w:t>
            </w:r>
          </w:p>
        </w:tc>
        <w:tc>
          <w:tcPr>
            <w:tcW w:w="992" w:type="dxa"/>
            <w:shd w:val="clear" w:color="auto" w:fill="C6EFCE"/>
            <w:noWrap/>
          </w:tcPr>
          <w:p w14:paraId="3B8A275C" w14:textId="330F129E"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3E14C1F9" w14:textId="53B2C9FB" w:rsidR="006578ED" w:rsidRDefault="00A1618E">
            <w:pPr>
              <w:pStyle w:val="P68B1DB1-Normal13"/>
              <w:spacing w:after="0" w:line="240" w:lineRule="auto"/>
              <w:rPr>
                <w:rFonts w:eastAsia="Times New Roman" w:cs="Times New Roman"/>
                <w:noProof/>
              </w:rPr>
            </w:pPr>
            <w:r>
              <w:rPr>
                <w:noProof/>
              </w:rPr>
              <w:t>Publikacja „Planu reorganizacji i uproszczenia systemu nieskładkowych korzyści finansowych Generalnej Administracji Państwa”.</w:t>
            </w:r>
          </w:p>
        </w:tc>
        <w:tc>
          <w:tcPr>
            <w:tcW w:w="992" w:type="dxa"/>
            <w:shd w:val="clear" w:color="auto" w:fill="C6EFCE"/>
            <w:noWrap/>
          </w:tcPr>
          <w:p w14:paraId="3D624739" w14:textId="6CBB8418" w:rsidR="006578ED" w:rsidRDefault="00A1618E">
            <w:pPr>
              <w:pStyle w:val="P68B1DB1-Normal13"/>
              <w:spacing w:after="0" w:line="240" w:lineRule="auto"/>
              <w:jc w:val="center"/>
              <w:rPr>
                <w:rFonts w:eastAsia="Times New Roman" w:cs="Times New Roman"/>
                <w:noProof/>
              </w:rPr>
            </w:pPr>
            <w:r>
              <w:rPr>
                <w:noProof/>
              </w:rPr>
              <w:t>Publikacja planu w Dzienniku Urzędowym</w:t>
            </w:r>
          </w:p>
        </w:tc>
        <w:tc>
          <w:tcPr>
            <w:tcW w:w="850" w:type="dxa"/>
            <w:shd w:val="clear" w:color="auto" w:fill="C6EFCE"/>
            <w:noWrap/>
          </w:tcPr>
          <w:p w14:paraId="7E532068" w14:textId="77777777" w:rsidR="006578ED" w:rsidRDefault="00A1618E">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560F39A7" w14:textId="77777777" w:rsidR="006578ED" w:rsidRDefault="00A1618E">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2123AFE2" w14:textId="77777777" w:rsidR="006578ED" w:rsidRDefault="00A1618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711F405F" w14:textId="3ECE2329" w:rsidR="006578ED" w:rsidRDefault="00EC188C">
            <w:pPr>
              <w:pStyle w:val="P68B1DB1-Normal13"/>
              <w:spacing w:after="0" w:line="240" w:lineRule="auto"/>
              <w:jc w:val="center"/>
              <w:rPr>
                <w:rFonts w:eastAsia="Times New Roman" w:cs="Times New Roman"/>
                <w:noProof/>
              </w:rPr>
            </w:pPr>
            <w:r>
              <w:rPr>
                <w:noProof/>
              </w:rPr>
              <w:t>KW. 3</w:t>
            </w:r>
          </w:p>
        </w:tc>
        <w:tc>
          <w:tcPr>
            <w:tcW w:w="810" w:type="dxa"/>
            <w:shd w:val="clear" w:color="auto" w:fill="C6EFCE"/>
            <w:noWrap/>
          </w:tcPr>
          <w:p w14:paraId="56F58375" w14:textId="77777777" w:rsidR="006578ED" w:rsidRDefault="00A1618E">
            <w:pPr>
              <w:pStyle w:val="P68B1DB1-Normal13"/>
              <w:spacing w:after="0" w:line="240" w:lineRule="auto"/>
              <w:jc w:val="center"/>
              <w:rPr>
                <w:rFonts w:eastAsia="Times New Roman" w:cs="Times New Roman"/>
                <w:noProof/>
              </w:rPr>
            </w:pPr>
            <w:r>
              <w:rPr>
                <w:noProof/>
              </w:rPr>
              <w:t>2022</w:t>
            </w:r>
          </w:p>
        </w:tc>
        <w:tc>
          <w:tcPr>
            <w:tcW w:w="4860" w:type="dxa"/>
            <w:shd w:val="clear" w:color="auto" w:fill="C6EFCE"/>
            <w:noWrap/>
          </w:tcPr>
          <w:p w14:paraId="23C0FE97" w14:textId="24D79B3A" w:rsidR="006578ED" w:rsidRDefault="00A1618E">
            <w:pPr>
              <w:pStyle w:val="P68B1DB1-Normal13"/>
              <w:spacing w:after="0" w:line="240" w:lineRule="auto"/>
              <w:rPr>
                <w:rFonts w:eastAsia="Times New Roman" w:cs="Times New Roman"/>
                <w:noProof/>
              </w:rPr>
            </w:pPr>
            <w:r>
              <w:rPr>
                <w:noProof/>
              </w:rPr>
              <w:t xml:space="preserve">Przyjęcie „Planu reorganizacji i uproszczenia systemu nieskładkowych korzyści finansowych ogólnej administracji państwowej” (opublikacja w Dzienniku Urzędowym). Plan ma na celu integrację świadczeń o charakterze nieskładkowym wokół instrumentu pokrycia dochodów w celu poprawy skuteczności i efektywności zasobów publicznych oraz skoncentrowania ich na osobach zagrożonych podatnością na zagrożenia lub wykluczeniem społecznym. Plan ten koncentruje się na odpowiednim uwzględnieniu różnych okoliczności, które powodują, że ludzie znajdują się w trudnej sytuacji, a także na adekwatności wsparcia dochodu. W tym celu bierze pod uwagę, z jednej strony, potrzeby strukturalne, takie jak gospodarstwa domowe z dziećmi i osobami niepełnosprawnymi, a z drugiej strony, powiązanie wsparcia dochodu z aktywnym poszukiwaniem pracy w celu włączenia społecznego i unikanie pułapek ubóstwa. W planie uwzględnia się wszystkie istniejące elementy nieskładkowe z myślą o ich stopniowej i stopniowej integracji w jednym systemie krajowym, aby zapewnić pełną realizację celu planu. </w:t>
            </w:r>
          </w:p>
        </w:tc>
      </w:tr>
      <w:tr w:rsidR="006578ED" w14:paraId="6C6E9BC7" w14:textId="77777777">
        <w:trPr>
          <w:trHeight w:val="309"/>
        </w:trPr>
        <w:tc>
          <w:tcPr>
            <w:tcW w:w="709" w:type="dxa"/>
            <w:shd w:val="clear" w:color="auto" w:fill="C6EFCE"/>
            <w:noWrap/>
          </w:tcPr>
          <w:p w14:paraId="48573F50" w14:textId="77777777" w:rsidR="006578ED" w:rsidRDefault="00A1618E">
            <w:pPr>
              <w:pStyle w:val="P68B1DB1-Normal13"/>
              <w:spacing w:after="0" w:line="240" w:lineRule="auto"/>
              <w:jc w:val="center"/>
              <w:rPr>
                <w:rFonts w:eastAsia="Times New Roman" w:cs="Times New Roman"/>
                <w:noProof/>
              </w:rPr>
            </w:pPr>
            <w:r>
              <w:rPr>
                <w:noProof/>
              </w:rPr>
              <w:t>320</w:t>
            </w:r>
          </w:p>
        </w:tc>
        <w:tc>
          <w:tcPr>
            <w:tcW w:w="851" w:type="dxa"/>
            <w:shd w:val="clear" w:color="auto" w:fill="C6EFCE"/>
            <w:noWrap/>
          </w:tcPr>
          <w:p w14:paraId="5624C883" w14:textId="77777777" w:rsidR="006578ED" w:rsidRDefault="00A1618E">
            <w:pPr>
              <w:pStyle w:val="P68B1DB1-Normal13"/>
              <w:spacing w:after="0" w:line="240" w:lineRule="auto"/>
              <w:jc w:val="center"/>
              <w:rPr>
                <w:rFonts w:eastAsia="Times New Roman" w:cs="Times New Roman"/>
                <w:noProof/>
              </w:rPr>
            </w:pPr>
            <w:r>
              <w:rPr>
                <w:noProof/>
              </w:rPr>
              <w:t>C22.R5</w:t>
            </w:r>
          </w:p>
        </w:tc>
        <w:tc>
          <w:tcPr>
            <w:tcW w:w="992" w:type="dxa"/>
            <w:shd w:val="clear" w:color="auto" w:fill="C6EFCE"/>
            <w:noWrap/>
          </w:tcPr>
          <w:p w14:paraId="5C2D2B5F" w14:textId="088422D6"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4BE5B6ED" w14:textId="0D4E0958" w:rsidR="006578ED" w:rsidRDefault="00A1618E">
            <w:pPr>
              <w:pStyle w:val="P68B1DB1-Normal13"/>
              <w:spacing w:after="0" w:line="240" w:lineRule="auto"/>
              <w:rPr>
                <w:rFonts w:eastAsia="Times New Roman" w:cs="Times New Roman"/>
                <w:noProof/>
              </w:rPr>
            </w:pPr>
            <w:r>
              <w:rPr>
                <w:noProof/>
              </w:rPr>
              <w:t>Wejście w życie przepisów mających na celu reorganizację i uproszczenie systemu nieskładkowych świadczeń finansowych</w:t>
            </w:r>
          </w:p>
        </w:tc>
        <w:tc>
          <w:tcPr>
            <w:tcW w:w="992" w:type="dxa"/>
            <w:shd w:val="clear" w:color="auto" w:fill="C6EFCE"/>
            <w:noWrap/>
          </w:tcPr>
          <w:p w14:paraId="46A76CA7" w14:textId="6CEA5870" w:rsidR="006578ED" w:rsidRDefault="00A1618E">
            <w:pPr>
              <w:pStyle w:val="P68B1DB1-Normal13"/>
              <w:spacing w:after="0" w:line="240" w:lineRule="auto"/>
              <w:jc w:val="center"/>
              <w:rPr>
                <w:rFonts w:eastAsia="Times New Roman" w:cs="Times New Roman"/>
                <w:noProof/>
              </w:rPr>
            </w:pPr>
            <w:r>
              <w:rPr>
                <w:noProof/>
              </w:rPr>
              <w:t xml:space="preserve">Przepis ustawy wskazujący na wejście w życie ustawy </w:t>
            </w:r>
          </w:p>
        </w:tc>
        <w:tc>
          <w:tcPr>
            <w:tcW w:w="850" w:type="dxa"/>
            <w:shd w:val="clear" w:color="auto" w:fill="C6EFCE"/>
            <w:noWrap/>
          </w:tcPr>
          <w:p w14:paraId="2000123E"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851" w:type="dxa"/>
            <w:shd w:val="clear" w:color="auto" w:fill="C6EFCE"/>
            <w:noWrap/>
          </w:tcPr>
          <w:p w14:paraId="3DC8AA9E"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56463DEC"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5FC26E5C" w14:textId="5EE12590" w:rsidR="006578ED" w:rsidRDefault="00EC188C">
            <w:pPr>
              <w:pStyle w:val="P68B1DB1-Normal13"/>
              <w:spacing w:after="0" w:line="240" w:lineRule="auto"/>
              <w:jc w:val="center"/>
              <w:rPr>
                <w:rFonts w:eastAsia="Times New Roman" w:cs="Times New Roman"/>
                <w:noProof/>
              </w:rPr>
            </w:pPr>
            <w:r>
              <w:rPr>
                <w:noProof/>
              </w:rPr>
              <w:t>KW. 4</w:t>
            </w:r>
          </w:p>
        </w:tc>
        <w:tc>
          <w:tcPr>
            <w:tcW w:w="810" w:type="dxa"/>
            <w:shd w:val="clear" w:color="auto" w:fill="C6EFCE"/>
            <w:noWrap/>
          </w:tcPr>
          <w:p w14:paraId="4110A147" w14:textId="77777777" w:rsidR="006578ED" w:rsidRDefault="00A1618E">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3608032D" w14:textId="1FC5FC87" w:rsidR="006578ED" w:rsidRDefault="00A1618E">
            <w:pPr>
              <w:pStyle w:val="P68B1DB1-Normal13"/>
              <w:spacing w:after="0" w:line="240" w:lineRule="auto"/>
              <w:rPr>
                <w:rFonts w:eastAsia="Times New Roman" w:cs="Times New Roman"/>
                <w:noProof/>
              </w:rPr>
            </w:pPr>
            <w:r>
              <w:rPr>
                <w:noProof/>
              </w:rPr>
              <w:t>Reforma ma na celu reorganizację i uproszczenie systemu nieskładkowych świadczeń pieniężnych. Celem reformy jest włączenie do instrumentu pokrycia opartego na systemie minimalnego dochodu podstawowego (IMV) głównych świadczeń nieskładkowych zapewnianych przez Generalną Administrację Państwa, reorganizacja i uproszczenie systemu nieskładkowych świadczeń finansowych zgodnie z celami „Planu reorganizacji i uproszczenia systemu nieskładkowych korzyści finansowych Generalnej Administracji Państwa”.</w:t>
            </w:r>
          </w:p>
        </w:tc>
      </w:tr>
      <w:tr w:rsidR="006578ED" w14:paraId="26922172" w14:textId="77777777">
        <w:trPr>
          <w:trHeight w:val="309"/>
        </w:trPr>
        <w:tc>
          <w:tcPr>
            <w:tcW w:w="709" w:type="dxa"/>
            <w:shd w:val="clear" w:color="auto" w:fill="C6EFCE"/>
            <w:noWrap/>
          </w:tcPr>
          <w:p w14:paraId="6A5B179A" w14:textId="77777777" w:rsidR="006578ED" w:rsidRDefault="00A1618E">
            <w:pPr>
              <w:pStyle w:val="P68B1DB1-Normal13"/>
              <w:spacing w:after="0" w:line="240" w:lineRule="auto"/>
              <w:jc w:val="center"/>
              <w:rPr>
                <w:rFonts w:cs="Times New Roman"/>
                <w:noProof/>
              </w:rPr>
            </w:pPr>
            <w:r>
              <w:rPr>
                <w:noProof/>
              </w:rPr>
              <w:t>321</w:t>
            </w:r>
          </w:p>
        </w:tc>
        <w:tc>
          <w:tcPr>
            <w:tcW w:w="851" w:type="dxa"/>
            <w:shd w:val="clear" w:color="auto" w:fill="C6EFCE"/>
            <w:noWrap/>
          </w:tcPr>
          <w:p w14:paraId="43A567F4" w14:textId="77777777" w:rsidR="006578ED" w:rsidRDefault="00A1618E">
            <w:pPr>
              <w:pStyle w:val="P68B1DB1-Normal13"/>
              <w:spacing w:after="0" w:line="240" w:lineRule="auto"/>
              <w:jc w:val="center"/>
              <w:rPr>
                <w:rFonts w:cs="Times New Roman"/>
                <w:noProof/>
              </w:rPr>
            </w:pPr>
            <w:r>
              <w:rPr>
                <w:noProof/>
              </w:rPr>
              <w:t>C22.I1</w:t>
            </w:r>
          </w:p>
        </w:tc>
        <w:tc>
          <w:tcPr>
            <w:tcW w:w="992" w:type="dxa"/>
            <w:shd w:val="clear" w:color="auto" w:fill="C6EFCE"/>
            <w:noWrap/>
          </w:tcPr>
          <w:p w14:paraId="3B91E2E4" w14:textId="35C38A6E" w:rsidR="006578ED" w:rsidRDefault="00AF6B91">
            <w:pPr>
              <w:pStyle w:val="P68B1DB1-Normal13"/>
              <w:spacing w:after="0" w:line="240" w:lineRule="auto"/>
              <w:jc w:val="center"/>
              <w:rPr>
                <w:rFonts w:cs="Times New Roman"/>
                <w:noProof/>
              </w:rPr>
            </w:pPr>
            <w:r>
              <w:rPr>
                <w:noProof/>
              </w:rPr>
              <w:t>Cel</w:t>
            </w:r>
          </w:p>
        </w:tc>
        <w:tc>
          <w:tcPr>
            <w:tcW w:w="3119" w:type="dxa"/>
            <w:shd w:val="clear" w:color="auto" w:fill="C6EFCE"/>
            <w:noWrap/>
          </w:tcPr>
          <w:p w14:paraId="66BA2A34" w14:textId="1E31E967" w:rsidR="006578ED" w:rsidRDefault="00A1618E">
            <w:pPr>
              <w:pStyle w:val="P68B1DB1-Normal13"/>
              <w:spacing w:after="0" w:line="240" w:lineRule="auto"/>
              <w:rPr>
                <w:rFonts w:cs="Times New Roman"/>
                <w:noProof/>
              </w:rPr>
            </w:pPr>
            <w:r>
              <w:rPr>
                <w:noProof/>
              </w:rPr>
              <w:t>Projekty realizowane przez Ministerstwo Praw Społecznych i Agendy 2030</w:t>
            </w:r>
          </w:p>
        </w:tc>
        <w:tc>
          <w:tcPr>
            <w:tcW w:w="992" w:type="dxa"/>
            <w:shd w:val="clear" w:color="auto" w:fill="C6EFCE"/>
            <w:noWrap/>
          </w:tcPr>
          <w:p w14:paraId="0EF203E1" w14:textId="77777777" w:rsidR="006578ED" w:rsidRDefault="00A1618E">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758B934B" w14:textId="77777777" w:rsidR="006578ED" w:rsidRDefault="00A1618E">
            <w:pPr>
              <w:pStyle w:val="P68B1DB1-Normal13"/>
              <w:spacing w:after="0" w:line="240" w:lineRule="auto"/>
              <w:jc w:val="center"/>
              <w:rPr>
                <w:rFonts w:cs="Times New Roman"/>
                <w:noProof/>
              </w:rPr>
            </w:pPr>
            <w:r>
              <w:rPr>
                <w:noProof/>
              </w:rPr>
              <w:t>Liczba</w:t>
            </w:r>
          </w:p>
        </w:tc>
        <w:tc>
          <w:tcPr>
            <w:tcW w:w="851" w:type="dxa"/>
            <w:shd w:val="clear" w:color="auto" w:fill="C6EFCE"/>
            <w:noWrap/>
          </w:tcPr>
          <w:p w14:paraId="069EAC2B" w14:textId="77777777" w:rsidR="006578ED" w:rsidRDefault="00A1618E">
            <w:pPr>
              <w:pStyle w:val="P68B1DB1-Normal13"/>
              <w:spacing w:after="0" w:line="240" w:lineRule="auto"/>
              <w:jc w:val="center"/>
              <w:rPr>
                <w:rFonts w:cs="Times New Roman"/>
                <w:noProof/>
              </w:rPr>
            </w:pPr>
            <w:r>
              <w:rPr>
                <w:noProof/>
              </w:rPr>
              <w:t>0</w:t>
            </w:r>
          </w:p>
        </w:tc>
        <w:tc>
          <w:tcPr>
            <w:tcW w:w="709" w:type="dxa"/>
            <w:shd w:val="clear" w:color="auto" w:fill="C6EFCE"/>
            <w:noWrap/>
          </w:tcPr>
          <w:p w14:paraId="103FB448" w14:textId="77777777" w:rsidR="006578ED" w:rsidRDefault="00A1618E">
            <w:pPr>
              <w:pStyle w:val="P68B1DB1-Normal13"/>
              <w:spacing w:after="0" w:line="240" w:lineRule="auto"/>
              <w:jc w:val="center"/>
              <w:rPr>
                <w:rFonts w:cs="Times New Roman"/>
                <w:noProof/>
              </w:rPr>
            </w:pPr>
            <w:r>
              <w:rPr>
                <w:noProof/>
              </w:rPr>
              <w:t>4</w:t>
            </w:r>
          </w:p>
        </w:tc>
        <w:tc>
          <w:tcPr>
            <w:tcW w:w="567" w:type="dxa"/>
            <w:shd w:val="clear" w:color="auto" w:fill="C6EFCE"/>
            <w:noWrap/>
          </w:tcPr>
          <w:p w14:paraId="76F3ECA5" w14:textId="67AEADEE" w:rsidR="006578ED" w:rsidRDefault="00EC188C">
            <w:pPr>
              <w:pStyle w:val="P68B1DB1-Normal13"/>
              <w:spacing w:after="0" w:line="240" w:lineRule="auto"/>
              <w:jc w:val="center"/>
              <w:rPr>
                <w:rFonts w:cs="Times New Roman"/>
                <w:noProof/>
              </w:rPr>
            </w:pPr>
            <w:r>
              <w:rPr>
                <w:noProof/>
              </w:rPr>
              <w:t>KW. 2</w:t>
            </w:r>
          </w:p>
        </w:tc>
        <w:tc>
          <w:tcPr>
            <w:tcW w:w="810" w:type="dxa"/>
            <w:shd w:val="clear" w:color="auto" w:fill="C6EFCE"/>
            <w:noWrap/>
          </w:tcPr>
          <w:p w14:paraId="06CA6284" w14:textId="77777777" w:rsidR="006578ED" w:rsidRDefault="00A1618E">
            <w:pPr>
              <w:pStyle w:val="P68B1DB1-Normal13"/>
              <w:spacing w:after="0" w:line="240" w:lineRule="auto"/>
              <w:jc w:val="center"/>
              <w:rPr>
                <w:rFonts w:cs="Times New Roman"/>
                <w:noProof/>
              </w:rPr>
            </w:pPr>
            <w:r>
              <w:rPr>
                <w:noProof/>
              </w:rPr>
              <w:t>2023</w:t>
            </w:r>
          </w:p>
        </w:tc>
        <w:tc>
          <w:tcPr>
            <w:tcW w:w="4860" w:type="dxa"/>
            <w:shd w:val="clear" w:color="auto" w:fill="C6EFCE"/>
            <w:noWrap/>
          </w:tcPr>
          <w:p w14:paraId="1D321D13" w14:textId="3A8D24F9" w:rsidR="006578ED" w:rsidRDefault="00A1618E">
            <w:pPr>
              <w:pStyle w:val="P68B1DB1-Normal13"/>
              <w:spacing w:after="0" w:line="240" w:lineRule="auto"/>
              <w:rPr>
                <w:rFonts w:cs="Times New Roman"/>
                <w:noProof/>
              </w:rPr>
            </w:pPr>
            <w:r>
              <w:rPr>
                <w:noProof/>
              </w:rPr>
              <w:t>Zakończenie 4 projektów pilotażowych dotyczących opieki zinstytucjonalizowanej, z których jeden dotyczy wsparcia i opieki nad osobami z niepełnosprawnością intelektualną, oraz reformy ośrodków odpowiadających co najmniej 1100 miejscom IMSERSO.</w:t>
            </w:r>
          </w:p>
        </w:tc>
      </w:tr>
      <w:tr w:rsidR="006578ED" w14:paraId="20858E97" w14:textId="77777777">
        <w:trPr>
          <w:trHeight w:val="309"/>
        </w:trPr>
        <w:tc>
          <w:tcPr>
            <w:tcW w:w="709" w:type="dxa"/>
            <w:shd w:val="clear" w:color="auto" w:fill="C6EFCE"/>
            <w:noWrap/>
          </w:tcPr>
          <w:p w14:paraId="5D7EDB91" w14:textId="78295F2D" w:rsidR="006578ED" w:rsidRDefault="00A1618E">
            <w:pPr>
              <w:pStyle w:val="P68B1DB1-Normal13"/>
              <w:spacing w:after="0" w:line="240" w:lineRule="auto"/>
              <w:jc w:val="center"/>
              <w:rPr>
                <w:rFonts w:cs="Times New Roman"/>
                <w:noProof/>
              </w:rPr>
            </w:pPr>
            <w:r>
              <w:rPr>
                <w:noProof/>
              </w:rPr>
              <w:t>470</w:t>
            </w:r>
          </w:p>
        </w:tc>
        <w:tc>
          <w:tcPr>
            <w:tcW w:w="851" w:type="dxa"/>
            <w:shd w:val="clear" w:color="auto" w:fill="C6EFCE"/>
            <w:noWrap/>
          </w:tcPr>
          <w:p w14:paraId="66BA266F" w14:textId="66352BF8" w:rsidR="006578ED" w:rsidRDefault="00A1618E">
            <w:pPr>
              <w:pStyle w:val="P68B1DB1-Normal13"/>
              <w:spacing w:after="0" w:line="240" w:lineRule="auto"/>
              <w:jc w:val="center"/>
              <w:rPr>
                <w:rFonts w:cs="Times New Roman"/>
                <w:noProof/>
              </w:rPr>
            </w:pPr>
            <w:r>
              <w:rPr>
                <w:noProof/>
              </w:rPr>
              <w:t>C22.I1</w:t>
            </w:r>
          </w:p>
        </w:tc>
        <w:tc>
          <w:tcPr>
            <w:tcW w:w="992" w:type="dxa"/>
            <w:shd w:val="clear" w:color="auto" w:fill="C6EFCE"/>
            <w:noWrap/>
          </w:tcPr>
          <w:p w14:paraId="0E616B96" w14:textId="69E81F78" w:rsidR="006578ED" w:rsidRDefault="00AF6B91">
            <w:pPr>
              <w:pStyle w:val="P68B1DB1-Normal13"/>
              <w:spacing w:after="0" w:line="240" w:lineRule="auto"/>
              <w:jc w:val="center"/>
              <w:rPr>
                <w:rFonts w:cs="Times New Roman"/>
                <w:noProof/>
              </w:rPr>
            </w:pPr>
            <w:r>
              <w:rPr>
                <w:noProof/>
              </w:rPr>
              <w:t>Cel</w:t>
            </w:r>
          </w:p>
        </w:tc>
        <w:tc>
          <w:tcPr>
            <w:tcW w:w="3119" w:type="dxa"/>
            <w:shd w:val="clear" w:color="auto" w:fill="C6EFCE"/>
            <w:noWrap/>
          </w:tcPr>
          <w:p w14:paraId="4A690540" w14:textId="78E76F02" w:rsidR="006578ED" w:rsidRDefault="00A1618E">
            <w:pPr>
              <w:pStyle w:val="P68B1DB1-Normal13"/>
              <w:spacing w:after="0" w:line="240" w:lineRule="auto"/>
              <w:rPr>
                <w:rFonts w:cs="Times New Roman"/>
                <w:noProof/>
              </w:rPr>
            </w:pPr>
            <w:r>
              <w:rPr>
                <w:noProof/>
              </w:rPr>
              <w:t xml:space="preserve">Miejsca zamieszkania, opieki niemieszkalnej i dziennej. </w:t>
            </w:r>
          </w:p>
        </w:tc>
        <w:tc>
          <w:tcPr>
            <w:tcW w:w="992" w:type="dxa"/>
            <w:shd w:val="clear" w:color="auto" w:fill="C6EFCE"/>
            <w:noWrap/>
          </w:tcPr>
          <w:p w14:paraId="39FB4516"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779638DA" w14:textId="4C10DAD9" w:rsidR="006578ED" w:rsidRDefault="00A1618E">
            <w:pPr>
              <w:pStyle w:val="P68B1DB1-Normal13"/>
              <w:spacing w:after="0" w:line="240" w:lineRule="auto"/>
              <w:jc w:val="center"/>
              <w:rPr>
                <w:rFonts w:cs="Times New Roman"/>
                <w:noProof/>
              </w:rPr>
            </w:pPr>
            <w:r>
              <w:rPr>
                <w:noProof/>
              </w:rPr>
              <w:t>W mln EUR</w:t>
            </w:r>
          </w:p>
        </w:tc>
        <w:tc>
          <w:tcPr>
            <w:tcW w:w="851" w:type="dxa"/>
            <w:shd w:val="clear" w:color="auto" w:fill="C6EFCE"/>
            <w:noWrap/>
          </w:tcPr>
          <w:p w14:paraId="590FF78F" w14:textId="3DA893BF" w:rsidR="006578ED" w:rsidRDefault="00A1618E">
            <w:pPr>
              <w:pStyle w:val="P68B1DB1-Normal13"/>
              <w:spacing w:after="0" w:line="240" w:lineRule="auto"/>
              <w:jc w:val="center"/>
              <w:rPr>
                <w:rFonts w:cs="Times New Roman"/>
                <w:noProof/>
              </w:rPr>
            </w:pPr>
            <w:r>
              <w:rPr>
                <w:noProof/>
              </w:rPr>
              <w:t>0</w:t>
            </w:r>
          </w:p>
        </w:tc>
        <w:tc>
          <w:tcPr>
            <w:tcW w:w="709" w:type="dxa"/>
            <w:shd w:val="clear" w:color="auto" w:fill="C6EFCE"/>
            <w:noWrap/>
          </w:tcPr>
          <w:p w14:paraId="5499063C" w14:textId="0738CE52" w:rsidR="006578ED" w:rsidRDefault="00A1618E">
            <w:pPr>
              <w:pStyle w:val="P68B1DB1-Normal13"/>
              <w:spacing w:after="0" w:line="240" w:lineRule="auto"/>
              <w:jc w:val="center"/>
              <w:rPr>
                <w:rFonts w:cs="Times New Roman"/>
                <w:noProof/>
              </w:rPr>
            </w:pPr>
            <w:r>
              <w:rPr>
                <w:noProof/>
              </w:rPr>
              <w:t>1 355</w:t>
            </w:r>
          </w:p>
        </w:tc>
        <w:tc>
          <w:tcPr>
            <w:tcW w:w="567" w:type="dxa"/>
            <w:shd w:val="clear" w:color="auto" w:fill="C6EFCE"/>
            <w:noWrap/>
          </w:tcPr>
          <w:p w14:paraId="0D910B1C" w14:textId="2200CFB2" w:rsidR="006578ED" w:rsidRDefault="00EC188C">
            <w:pPr>
              <w:pStyle w:val="P68B1DB1-Normal13"/>
              <w:spacing w:after="0" w:line="240" w:lineRule="auto"/>
              <w:jc w:val="center"/>
              <w:rPr>
                <w:rFonts w:cs="Times New Roman"/>
                <w:noProof/>
              </w:rPr>
            </w:pPr>
            <w:r>
              <w:rPr>
                <w:noProof/>
              </w:rPr>
              <w:t>KW. 2</w:t>
            </w:r>
          </w:p>
        </w:tc>
        <w:tc>
          <w:tcPr>
            <w:tcW w:w="810" w:type="dxa"/>
            <w:shd w:val="clear" w:color="auto" w:fill="C6EFCE"/>
            <w:noWrap/>
          </w:tcPr>
          <w:p w14:paraId="1063E673" w14:textId="7890908B" w:rsidR="006578ED" w:rsidRDefault="00A1618E">
            <w:pPr>
              <w:pStyle w:val="P68B1DB1-Normal13"/>
              <w:spacing w:after="0" w:line="240" w:lineRule="auto"/>
              <w:jc w:val="center"/>
              <w:rPr>
                <w:rFonts w:cs="Times New Roman"/>
                <w:noProof/>
              </w:rPr>
            </w:pPr>
            <w:r>
              <w:rPr>
                <w:noProof/>
              </w:rPr>
              <w:t>2024</w:t>
            </w:r>
          </w:p>
        </w:tc>
        <w:tc>
          <w:tcPr>
            <w:tcW w:w="4860" w:type="dxa"/>
            <w:shd w:val="clear" w:color="auto" w:fill="C6EFCE"/>
            <w:noWrap/>
          </w:tcPr>
          <w:p w14:paraId="638C82DF" w14:textId="1392B8B3" w:rsidR="006578ED" w:rsidRDefault="00A1618E">
            <w:pPr>
              <w:pStyle w:val="P68B1DB1-Normal13"/>
              <w:spacing w:after="0" w:line="240" w:lineRule="auto"/>
              <w:rPr>
                <w:rFonts w:cs="Times New Roman"/>
                <w:noProof/>
              </w:rPr>
            </w:pPr>
            <w:r>
              <w:rPr>
                <w:noProof/>
              </w:rPr>
              <w:t xml:space="preserve">Publikacja w Dzienniku Urzędowym lub platformie zamówień publicznych przyznania co najmniej 1 355 000 000 EUR na remonty i budowę ośrodków mieszkalnych, niemieszkalnych i ośrodków opieki dziennej w celu dostosowania ich do nowego modelu opieki długoterminowej. </w:t>
            </w:r>
          </w:p>
        </w:tc>
      </w:tr>
      <w:tr w:rsidR="006578ED" w14:paraId="008805E7" w14:textId="77777777">
        <w:trPr>
          <w:trHeight w:val="309"/>
        </w:trPr>
        <w:tc>
          <w:tcPr>
            <w:tcW w:w="709" w:type="dxa"/>
            <w:shd w:val="clear" w:color="auto" w:fill="C6EFCE"/>
            <w:noWrap/>
          </w:tcPr>
          <w:p w14:paraId="4F19C717" w14:textId="77777777" w:rsidR="006578ED" w:rsidRDefault="00A1618E">
            <w:pPr>
              <w:pStyle w:val="P68B1DB1-Normal13"/>
              <w:spacing w:after="0" w:line="240" w:lineRule="auto"/>
              <w:jc w:val="center"/>
              <w:rPr>
                <w:rFonts w:cs="Times New Roman"/>
                <w:noProof/>
              </w:rPr>
            </w:pPr>
            <w:r>
              <w:rPr>
                <w:noProof/>
              </w:rPr>
              <w:t>322</w:t>
            </w:r>
          </w:p>
        </w:tc>
        <w:tc>
          <w:tcPr>
            <w:tcW w:w="851" w:type="dxa"/>
            <w:shd w:val="clear" w:color="auto" w:fill="C6EFCE"/>
            <w:noWrap/>
          </w:tcPr>
          <w:p w14:paraId="2AF78B6F" w14:textId="77777777" w:rsidR="006578ED" w:rsidRDefault="00A1618E">
            <w:pPr>
              <w:pStyle w:val="P68B1DB1-Normal13"/>
              <w:spacing w:after="0" w:line="240" w:lineRule="auto"/>
              <w:jc w:val="center"/>
              <w:rPr>
                <w:rFonts w:cs="Times New Roman"/>
                <w:noProof/>
              </w:rPr>
            </w:pPr>
            <w:r>
              <w:rPr>
                <w:noProof/>
              </w:rPr>
              <w:t>C22.I1</w:t>
            </w:r>
          </w:p>
        </w:tc>
        <w:tc>
          <w:tcPr>
            <w:tcW w:w="992" w:type="dxa"/>
            <w:shd w:val="clear" w:color="auto" w:fill="C6EFCE"/>
            <w:noWrap/>
          </w:tcPr>
          <w:p w14:paraId="75ACDF23" w14:textId="25443999" w:rsidR="006578ED" w:rsidRDefault="00AF6B91">
            <w:pPr>
              <w:pStyle w:val="P68B1DB1-Normal13"/>
              <w:spacing w:after="0" w:line="240" w:lineRule="auto"/>
              <w:jc w:val="center"/>
              <w:rPr>
                <w:rFonts w:cs="Times New Roman"/>
                <w:noProof/>
              </w:rPr>
            </w:pPr>
            <w:r>
              <w:rPr>
                <w:noProof/>
              </w:rPr>
              <w:t>Cel</w:t>
            </w:r>
          </w:p>
        </w:tc>
        <w:tc>
          <w:tcPr>
            <w:tcW w:w="3119" w:type="dxa"/>
            <w:shd w:val="clear" w:color="auto" w:fill="C6EFCE"/>
            <w:noWrap/>
          </w:tcPr>
          <w:p w14:paraId="03F93C4D" w14:textId="00BDFDFA" w:rsidR="006578ED" w:rsidRDefault="00A1618E">
            <w:pPr>
              <w:pStyle w:val="P68B1DB1-Normal13"/>
              <w:spacing w:after="0" w:line="240" w:lineRule="auto"/>
              <w:rPr>
                <w:rFonts w:cs="Times New Roman"/>
                <w:noProof/>
              </w:rPr>
            </w:pPr>
            <w:r>
              <w:rPr>
                <w:noProof/>
              </w:rPr>
              <w:t xml:space="preserve">Usługi teleopieki domowej w systemie autonomii i opieki nad osobami zależnymi (SAAD) </w:t>
            </w:r>
          </w:p>
        </w:tc>
        <w:tc>
          <w:tcPr>
            <w:tcW w:w="992" w:type="dxa"/>
            <w:shd w:val="clear" w:color="auto" w:fill="C6EFCE"/>
            <w:noWrap/>
          </w:tcPr>
          <w:p w14:paraId="0B8B0FBF" w14:textId="77777777" w:rsidR="006578ED" w:rsidRDefault="00A1618E">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70E7C795" w14:textId="18C9BE08" w:rsidR="006578ED" w:rsidRDefault="00A1618E">
            <w:pPr>
              <w:pStyle w:val="P68B1DB1-Normal13"/>
              <w:spacing w:after="0" w:line="240" w:lineRule="auto"/>
              <w:jc w:val="center"/>
              <w:rPr>
                <w:rFonts w:cs="Times New Roman"/>
                <w:noProof/>
              </w:rPr>
            </w:pPr>
            <w:r>
              <w:rPr>
                <w:noProof/>
              </w:rPr>
              <w:t>W mln EUR</w:t>
            </w:r>
          </w:p>
        </w:tc>
        <w:tc>
          <w:tcPr>
            <w:tcW w:w="851" w:type="dxa"/>
            <w:shd w:val="clear" w:color="auto" w:fill="C6EFCE"/>
            <w:noWrap/>
          </w:tcPr>
          <w:p w14:paraId="06E09DFC" w14:textId="0E8BE617" w:rsidR="006578ED" w:rsidRDefault="00A1618E">
            <w:pPr>
              <w:pStyle w:val="P68B1DB1-Normal13"/>
              <w:spacing w:after="0" w:line="240" w:lineRule="auto"/>
              <w:jc w:val="center"/>
              <w:rPr>
                <w:rFonts w:cs="Times New Roman"/>
                <w:noProof/>
              </w:rPr>
            </w:pPr>
            <w:r>
              <w:rPr>
                <w:noProof/>
              </w:rPr>
              <w:t>0</w:t>
            </w:r>
          </w:p>
        </w:tc>
        <w:tc>
          <w:tcPr>
            <w:tcW w:w="709" w:type="dxa"/>
            <w:shd w:val="clear" w:color="auto" w:fill="C6EFCE"/>
            <w:noWrap/>
          </w:tcPr>
          <w:p w14:paraId="721993F3" w14:textId="4751187B" w:rsidR="006578ED" w:rsidRDefault="00A1618E">
            <w:pPr>
              <w:pStyle w:val="P68B1DB1-Normal13"/>
              <w:spacing w:after="0" w:line="240" w:lineRule="auto"/>
              <w:jc w:val="center"/>
              <w:rPr>
                <w:rFonts w:cs="Times New Roman"/>
                <w:noProof/>
              </w:rPr>
            </w:pPr>
            <w:r>
              <w:rPr>
                <w:noProof/>
              </w:rPr>
              <w:t>304</w:t>
            </w:r>
          </w:p>
        </w:tc>
        <w:tc>
          <w:tcPr>
            <w:tcW w:w="567" w:type="dxa"/>
            <w:shd w:val="clear" w:color="auto" w:fill="C6EFCE"/>
            <w:noWrap/>
          </w:tcPr>
          <w:p w14:paraId="5A4DD573" w14:textId="1073F6F5" w:rsidR="006578ED" w:rsidRDefault="00EC188C">
            <w:pPr>
              <w:pStyle w:val="P68B1DB1-Normal13"/>
              <w:spacing w:after="0" w:line="240" w:lineRule="auto"/>
              <w:jc w:val="center"/>
              <w:rPr>
                <w:rFonts w:cs="Times New Roman"/>
                <w:noProof/>
              </w:rPr>
            </w:pPr>
            <w:r>
              <w:rPr>
                <w:noProof/>
              </w:rPr>
              <w:t>KW. 1</w:t>
            </w:r>
          </w:p>
        </w:tc>
        <w:tc>
          <w:tcPr>
            <w:tcW w:w="810" w:type="dxa"/>
            <w:shd w:val="clear" w:color="auto" w:fill="C6EFCE"/>
            <w:noWrap/>
          </w:tcPr>
          <w:p w14:paraId="77028680" w14:textId="618BCF97" w:rsidR="006578ED" w:rsidRDefault="00A1618E">
            <w:pPr>
              <w:pStyle w:val="P68B1DB1-Normal13"/>
              <w:spacing w:after="0" w:line="240" w:lineRule="auto"/>
              <w:jc w:val="center"/>
              <w:rPr>
                <w:rFonts w:cs="Times New Roman"/>
                <w:noProof/>
              </w:rPr>
            </w:pPr>
            <w:r>
              <w:rPr>
                <w:noProof/>
              </w:rPr>
              <w:t>2025</w:t>
            </w:r>
          </w:p>
        </w:tc>
        <w:tc>
          <w:tcPr>
            <w:tcW w:w="4860" w:type="dxa"/>
            <w:shd w:val="clear" w:color="auto" w:fill="C6EFCE"/>
            <w:noWrap/>
          </w:tcPr>
          <w:p w14:paraId="36EEC1A7" w14:textId="213DFC68" w:rsidR="006578ED" w:rsidRDefault="00A1618E">
            <w:pPr>
              <w:pStyle w:val="P68B1DB1-Normal13"/>
              <w:spacing w:after="0" w:line="240" w:lineRule="auto"/>
              <w:rPr>
                <w:rFonts w:cs="Times New Roman"/>
                <w:noProof/>
              </w:rPr>
            </w:pPr>
            <w:r>
              <w:rPr>
                <w:noProof/>
              </w:rPr>
              <w:t>Wdrożenie nowych usług teleopieki za co najmniej 304 000 000 EUR Data odniesienia: 31 marca 20</w:t>
            </w:r>
            <w:r w:rsidRPr="00A1618E">
              <w:rPr>
                <w:noProof/>
                <w:lang w:val="pl-PL"/>
              </w:rPr>
              <w:t>20 r.</w:t>
            </w:r>
          </w:p>
        </w:tc>
      </w:tr>
      <w:tr w:rsidR="006578ED" w14:paraId="05E33DE8" w14:textId="77777777">
        <w:trPr>
          <w:trHeight w:val="309"/>
        </w:trPr>
        <w:tc>
          <w:tcPr>
            <w:tcW w:w="709" w:type="dxa"/>
            <w:shd w:val="clear" w:color="auto" w:fill="C6EFCE"/>
            <w:noWrap/>
          </w:tcPr>
          <w:p w14:paraId="2FD3EAD3" w14:textId="77777777" w:rsidR="006578ED" w:rsidRDefault="00A1618E">
            <w:pPr>
              <w:pStyle w:val="P68B1DB1-Normal13"/>
              <w:spacing w:after="0" w:line="240" w:lineRule="auto"/>
              <w:jc w:val="center"/>
              <w:rPr>
                <w:rFonts w:cs="Times New Roman"/>
                <w:noProof/>
              </w:rPr>
            </w:pPr>
            <w:r>
              <w:rPr>
                <w:noProof/>
              </w:rPr>
              <w:t>323</w:t>
            </w:r>
          </w:p>
        </w:tc>
        <w:tc>
          <w:tcPr>
            <w:tcW w:w="851" w:type="dxa"/>
            <w:shd w:val="clear" w:color="auto" w:fill="C6EFCE"/>
            <w:noWrap/>
          </w:tcPr>
          <w:p w14:paraId="6FE46AD4" w14:textId="77777777" w:rsidR="006578ED" w:rsidRDefault="00A1618E">
            <w:pPr>
              <w:pStyle w:val="P68B1DB1-Normal13"/>
              <w:spacing w:after="0" w:line="240" w:lineRule="auto"/>
              <w:jc w:val="center"/>
              <w:rPr>
                <w:rFonts w:cs="Times New Roman"/>
                <w:noProof/>
              </w:rPr>
            </w:pPr>
            <w:r>
              <w:rPr>
                <w:noProof/>
              </w:rPr>
              <w:t>C22.I1</w:t>
            </w:r>
          </w:p>
        </w:tc>
        <w:tc>
          <w:tcPr>
            <w:tcW w:w="992" w:type="dxa"/>
            <w:shd w:val="clear" w:color="auto" w:fill="C6EFCE"/>
            <w:noWrap/>
          </w:tcPr>
          <w:p w14:paraId="28E3407A" w14:textId="5D06C671" w:rsidR="006578ED" w:rsidRDefault="00AF6B91">
            <w:pPr>
              <w:pStyle w:val="P68B1DB1-Normal13"/>
              <w:spacing w:after="0" w:line="240" w:lineRule="auto"/>
              <w:jc w:val="center"/>
              <w:rPr>
                <w:rFonts w:cs="Times New Roman"/>
                <w:noProof/>
              </w:rPr>
            </w:pPr>
            <w:r>
              <w:rPr>
                <w:noProof/>
              </w:rPr>
              <w:t>Cel</w:t>
            </w:r>
          </w:p>
        </w:tc>
        <w:tc>
          <w:tcPr>
            <w:tcW w:w="3119" w:type="dxa"/>
            <w:shd w:val="clear" w:color="auto" w:fill="C6EFCE"/>
            <w:noWrap/>
          </w:tcPr>
          <w:p w14:paraId="312D4CBB" w14:textId="619A9091" w:rsidR="006578ED" w:rsidRDefault="00A1618E">
            <w:pPr>
              <w:pStyle w:val="P68B1DB1-Normal13"/>
              <w:spacing w:after="0" w:line="240" w:lineRule="auto"/>
              <w:rPr>
                <w:rFonts w:cs="Times New Roman"/>
                <w:noProof/>
              </w:rPr>
            </w:pPr>
            <w:r>
              <w:rPr>
                <w:noProof/>
              </w:rPr>
              <w:t xml:space="preserve">Miejsca zamieszkania, opieki niemieszkalnej i dziennej. </w:t>
            </w:r>
          </w:p>
        </w:tc>
        <w:tc>
          <w:tcPr>
            <w:tcW w:w="992" w:type="dxa"/>
            <w:shd w:val="clear" w:color="auto" w:fill="C6EFCE"/>
            <w:noWrap/>
          </w:tcPr>
          <w:p w14:paraId="31E5758E" w14:textId="77777777" w:rsidR="006578ED" w:rsidRDefault="00A1618E">
            <w:pPr>
              <w:pStyle w:val="P68B1DB1-Normal13"/>
              <w:spacing w:after="0" w:line="240" w:lineRule="auto"/>
              <w:jc w:val="center"/>
              <w:rPr>
                <w:rFonts w:eastAsia="Times New Roman" w:cs="Times New Roman"/>
                <w:noProof/>
              </w:rPr>
            </w:pPr>
            <w:r>
              <w:rPr>
                <w:noProof/>
              </w:rPr>
              <w:t> </w:t>
            </w:r>
          </w:p>
        </w:tc>
        <w:tc>
          <w:tcPr>
            <w:tcW w:w="850" w:type="dxa"/>
            <w:shd w:val="clear" w:color="auto" w:fill="C6EFCE"/>
            <w:noWrap/>
          </w:tcPr>
          <w:p w14:paraId="4ADB9756" w14:textId="77777777" w:rsidR="006578ED" w:rsidRDefault="00A1618E">
            <w:pPr>
              <w:pStyle w:val="P68B1DB1-Normal13"/>
              <w:spacing w:after="0" w:line="240" w:lineRule="auto"/>
              <w:jc w:val="center"/>
              <w:rPr>
                <w:rFonts w:cs="Times New Roman"/>
                <w:noProof/>
              </w:rPr>
            </w:pPr>
            <w:r>
              <w:rPr>
                <w:noProof/>
              </w:rPr>
              <w:t>Liczba</w:t>
            </w:r>
          </w:p>
        </w:tc>
        <w:tc>
          <w:tcPr>
            <w:tcW w:w="851" w:type="dxa"/>
            <w:shd w:val="clear" w:color="auto" w:fill="C6EFCE"/>
            <w:noWrap/>
          </w:tcPr>
          <w:p w14:paraId="65499468" w14:textId="77777777" w:rsidR="006578ED" w:rsidRDefault="00A1618E">
            <w:pPr>
              <w:pStyle w:val="P68B1DB1-Normal13"/>
              <w:spacing w:after="0" w:line="240" w:lineRule="auto"/>
              <w:jc w:val="right"/>
              <w:rPr>
                <w:rFonts w:cs="Times New Roman"/>
                <w:noProof/>
              </w:rPr>
            </w:pPr>
            <w:r>
              <w:rPr>
                <w:noProof/>
              </w:rPr>
              <w:t> </w:t>
            </w:r>
          </w:p>
        </w:tc>
        <w:tc>
          <w:tcPr>
            <w:tcW w:w="709" w:type="dxa"/>
            <w:shd w:val="clear" w:color="auto" w:fill="C6EFCE"/>
            <w:noWrap/>
          </w:tcPr>
          <w:p w14:paraId="52CF55A3" w14:textId="277B85C5" w:rsidR="006578ED" w:rsidRDefault="00A1618E">
            <w:pPr>
              <w:pStyle w:val="P68B1DB1-Normal13"/>
              <w:spacing w:after="0" w:line="240" w:lineRule="auto"/>
              <w:jc w:val="center"/>
              <w:rPr>
                <w:rFonts w:cs="Times New Roman"/>
                <w:noProof/>
              </w:rPr>
            </w:pPr>
            <w:r>
              <w:rPr>
                <w:noProof/>
              </w:rPr>
              <w:t>15 200</w:t>
            </w:r>
          </w:p>
        </w:tc>
        <w:tc>
          <w:tcPr>
            <w:tcW w:w="567" w:type="dxa"/>
            <w:shd w:val="clear" w:color="auto" w:fill="C6EFCE"/>
            <w:noWrap/>
          </w:tcPr>
          <w:p w14:paraId="771531B7" w14:textId="621A3822" w:rsidR="006578ED" w:rsidRDefault="00EC188C">
            <w:pPr>
              <w:pStyle w:val="P68B1DB1-Normal13"/>
              <w:spacing w:after="0" w:line="240" w:lineRule="auto"/>
              <w:jc w:val="center"/>
              <w:rPr>
                <w:rFonts w:cs="Times New Roman"/>
                <w:noProof/>
              </w:rPr>
            </w:pPr>
            <w:r>
              <w:rPr>
                <w:noProof/>
              </w:rPr>
              <w:t>KW. 2</w:t>
            </w:r>
          </w:p>
        </w:tc>
        <w:tc>
          <w:tcPr>
            <w:tcW w:w="810" w:type="dxa"/>
            <w:shd w:val="clear" w:color="auto" w:fill="C6EFCE"/>
            <w:noWrap/>
          </w:tcPr>
          <w:p w14:paraId="03214214" w14:textId="2BAB46CA" w:rsidR="006578ED" w:rsidRDefault="00A1618E">
            <w:pPr>
              <w:pStyle w:val="P68B1DB1-Normal13"/>
              <w:spacing w:after="0" w:line="240" w:lineRule="auto"/>
              <w:jc w:val="center"/>
              <w:rPr>
                <w:rFonts w:cs="Times New Roman"/>
                <w:noProof/>
              </w:rPr>
            </w:pPr>
            <w:r>
              <w:rPr>
                <w:noProof/>
              </w:rPr>
              <w:t>2026</w:t>
            </w:r>
          </w:p>
        </w:tc>
        <w:tc>
          <w:tcPr>
            <w:tcW w:w="4860" w:type="dxa"/>
            <w:shd w:val="clear" w:color="auto" w:fill="C6EFCE"/>
            <w:noWrap/>
          </w:tcPr>
          <w:p w14:paraId="2DF0B1D7" w14:textId="0B83FC96" w:rsidR="006578ED" w:rsidRDefault="00A1618E">
            <w:pPr>
              <w:pStyle w:val="P68B1DB1-Normal13"/>
              <w:spacing w:after="0" w:line="240" w:lineRule="auto"/>
              <w:rPr>
                <w:rFonts w:cs="Times New Roman"/>
                <w:noProof/>
                <w:highlight w:val="yellow"/>
              </w:rPr>
            </w:pPr>
            <w:r>
              <w:rPr>
                <w:noProof/>
              </w:rPr>
              <w:t xml:space="preserve">Wyremontowane lub zbudowane ośrodki rezydencjalne, niemieszkalne i ośrodki opieki dziennej w celu dostosowania co najmniej 15200 miejsc do nowego modelu opieki długoterminowej. </w:t>
            </w:r>
          </w:p>
        </w:tc>
      </w:tr>
      <w:tr w:rsidR="006578ED" w14:paraId="0D5EA232" w14:textId="77777777">
        <w:trPr>
          <w:trHeight w:val="309"/>
        </w:trPr>
        <w:tc>
          <w:tcPr>
            <w:tcW w:w="709" w:type="dxa"/>
            <w:shd w:val="clear" w:color="auto" w:fill="C6EFCE"/>
            <w:noWrap/>
          </w:tcPr>
          <w:p w14:paraId="79CAAB9E" w14:textId="77777777" w:rsidR="006578ED" w:rsidRDefault="00A1618E">
            <w:pPr>
              <w:pStyle w:val="P68B1DB1-Normal13"/>
              <w:spacing w:after="0" w:line="240" w:lineRule="auto"/>
              <w:jc w:val="center"/>
              <w:rPr>
                <w:rFonts w:eastAsia="Times New Roman" w:cs="Times New Roman"/>
                <w:noProof/>
              </w:rPr>
            </w:pPr>
            <w:r>
              <w:rPr>
                <w:noProof/>
              </w:rPr>
              <w:t>324</w:t>
            </w:r>
          </w:p>
        </w:tc>
        <w:tc>
          <w:tcPr>
            <w:tcW w:w="851" w:type="dxa"/>
            <w:shd w:val="clear" w:color="auto" w:fill="C6EFCE"/>
            <w:noWrap/>
          </w:tcPr>
          <w:p w14:paraId="6F26D165" w14:textId="77777777" w:rsidR="006578ED" w:rsidRDefault="00A1618E">
            <w:pPr>
              <w:pStyle w:val="P68B1DB1-Normal13"/>
              <w:spacing w:after="0" w:line="240" w:lineRule="auto"/>
              <w:jc w:val="center"/>
              <w:rPr>
                <w:rFonts w:eastAsia="Times New Roman" w:cs="Times New Roman"/>
                <w:noProof/>
              </w:rPr>
            </w:pPr>
            <w:r>
              <w:rPr>
                <w:noProof/>
              </w:rPr>
              <w:t>C22.I2</w:t>
            </w:r>
          </w:p>
        </w:tc>
        <w:tc>
          <w:tcPr>
            <w:tcW w:w="992" w:type="dxa"/>
            <w:shd w:val="clear" w:color="auto" w:fill="C6EFCE"/>
            <w:noWrap/>
          </w:tcPr>
          <w:p w14:paraId="3F3BF96A" w14:textId="3A5E39CB"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7ADC3CBC" w14:textId="6079151F" w:rsidR="006578ED" w:rsidRDefault="00A1618E">
            <w:pPr>
              <w:pStyle w:val="P68B1DB1-Normal13"/>
              <w:spacing w:after="0" w:line="240" w:lineRule="auto"/>
              <w:rPr>
                <w:rFonts w:eastAsia="Times New Roman" w:cs="Times New Roman"/>
                <w:noProof/>
              </w:rPr>
            </w:pPr>
            <w:r>
              <w:rPr>
                <w:noProof/>
              </w:rPr>
              <w:t>Wdrożenie specjalnych narzędzi technologicznych w celu poprawy systemów informacji i zarządzania usługami socjalnymi.</w:t>
            </w:r>
          </w:p>
        </w:tc>
        <w:tc>
          <w:tcPr>
            <w:tcW w:w="992" w:type="dxa"/>
            <w:shd w:val="clear" w:color="auto" w:fill="C6EFCE"/>
            <w:noWrap/>
          </w:tcPr>
          <w:p w14:paraId="6E12E158" w14:textId="26A62ADC" w:rsidR="006578ED" w:rsidRDefault="00A1618E">
            <w:pPr>
              <w:pStyle w:val="P68B1DB1-Normal13"/>
              <w:spacing w:after="0" w:line="240" w:lineRule="auto"/>
              <w:jc w:val="center"/>
              <w:rPr>
                <w:rFonts w:eastAsia="Times New Roman" w:cs="Times New Roman"/>
                <w:noProof/>
              </w:rPr>
            </w:pPr>
            <w:r>
              <w:rPr>
                <w:noProof/>
              </w:rPr>
              <w:t>Zewnętrzna ocena wszystkich etapów i ostatecznych wyników projektu.</w:t>
            </w:r>
          </w:p>
        </w:tc>
        <w:tc>
          <w:tcPr>
            <w:tcW w:w="850" w:type="dxa"/>
            <w:shd w:val="clear" w:color="auto" w:fill="C6EFCE"/>
            <w:noWrap/>
          </w:tcPr>
          <w:p w14:paraId="655BE048" w14:textId="77777777" w:rsidR="006578ED" w:rsidRDefault="00A1618E">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10B818FA" w14:textId="77777777" w:rsidR="006578ED" w:rsidRDefault="00A1618E">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01A2FB1A" w14:textId="77777777" w:rsidR="006578ED" w:rsidRDefault="00A1618E">
            <w:pPr>
              <w:pStyle w:val="P68B1DB1-Normal13"/>
              <w:spacing w:after="0" w:line="240" w:lineRule="auto"/>
              <w:jc w:val="right"/>
              <w:rPr>
                <w:rFonts w:eastAsia="Times New Roman" w:cs="Times New Roman"/>
                <w:noProof/>
              </w:rPr>
            </w:pPr>
            <w:r>
              <w:rPr>
                <w:noProof/>
              </w:rPr>
              <w:t> </w:t>
            </w:r>
          </w:p>
        </w:tc>
        <w:tc>
          <w:tcPr>
            <w:tcW w:w="567" w:type="dxa"/>
            <w:shd w:val="clear" w:color="auto" w:fill="C6EFCE"/>
            <w:noWrap/>
          </w:tcPr>
          <w:p w14:paraId="6487C479" w14:textId="44FD0544" w:rsidR="006578ED" w:rsidRDefault="00EC188C">
            <w:pPr>
              <w:pStyle w:val="P68B1DB1-Normal13"/>
              <w:spacing w:after="0" w:line="240" w:lineRule="auto"/>
              <w:jc w:val="center"/>
              <w:rPr>
                <w:rFonts w:eastAsia="Times New Roman" w:cs="Times New Roman"/>
                <w:noProof/>
              </w:rPr>
            </w:pPr>
            <w:r>
              <w:rPr>
                <w:noProof/>
              </w:rPr>
              <w:t xml:space="preserve">KW. 3 </w:t>
            </w:r>
          </w:p>
        </w:tc>
        <w:tc>
          <w:tcPr>
            <w:tcW w:w="810" w:type="dxa"/>
            <w:shd w:val="clear" w:color="auto" w:fill="C6EFCE"/>
            <w:noWrap/>
          </w:tcPr>
          <w:p w14:paraId="4789405B" w14:textId="77777777" w:rsidR="006578ED" w:rsidRDefault="00A1618E">
            <w:pPr>
              <w:pStyle w:val="P68B1DB1-Normal13"/>
              <w:spacing w:after="0" w:line="240" w:lineRule="auto"/>
              <w:jc w:val="center"/>
              <w:rPr>
                <w:rFonts w:eastAsia="Times New Roman" w:cs="Times New Roman"/>
                <w:noProof/>
              </w:rPr>
            </w:pPr>
            <w:r>
              <w:rPr>
                <w:noProof/>
              </w:rPr>
              <w:t>2023</w:t>
            </w:r>
          </w:p>
        </w:tc>
        <w:tc>
          <w:tcPr>
            <w:tcW w:w="4860" w:type="dxa"/>
            <w:shd w:val="clear" w:color="auto" w:fill="C6EFCE"/>
            <w:noWrap/>
          </w:tcPr>
          <w:p w14:paraId="7776C5A9" w14:textId="7D171ADA" w:rsidR="006578ED" w:rsidRDefault="00A1618E">
            <w:pPr>
              <w:pStyle w:val="P68B1DB1-Normal13"/>
              <w:spacing w:after="0" w:line="240" w:lineRule="auto"/>
              <w:rPr>
                <w:rFonts w:cs="Times New Roman"/>
                <w:noProof/>
              </w:rPr>
            </w:pPr>
            <w:r>
              <w:rPr>
                <w:noProof/>
              </w:rPr>
              <w:t xml:space="preserve">Opracowanie i wdrożenie specjalnych narzędzi technologicznych w celu poprawy systemów informacyjnych i systemów zarządzania usługami socjalnymi obejmuje: </w:t>
            </w:r>
          </w:p>
          <w:p w14:paraId="2289E619" w14:textId="1468E02E" w:rsidR="006578ED" w:rsidRDefault="00A1618E">
            <w:pPr>
              <w:pStyle w:val="P68B1DB1-ListParagraph14"/>
              <w:numPr>
                <w:ilvl w:val="0"/>
                <w:numId w:val="715"/>
              </w:numPr>
              <w:spacing w:after="0" w:line="240" w:lineRule="auto"/>
              <w:rPr>
                <w:rFonts w:cs="Times New Roman"/>
                <w:noProof/>
              </w:rPr>
            </w:pPr>
            <w:r>
              <w:rPr>
                <w:noProof/>
              </w:rPr>
              <w:t xml:space="preserve">hiszpański system informacji o usługach socjalnych (Siess); </w:t>
            </w:r>
          </w:p>
          <w:p w14:paraId="1F4D10BF" w14:textId="7D588414" w:rsidR="006578ED" w:rsidRDefault="00A1618E">
            <w:pPr>
              <w:pStyle w:val="P68B1DB1-ListParagraph14"/>
              <w:numPr>
                <w:ilvl w:val="0"/>
                <w:numId w:val="715"/>
              </w:numPr>
              <w:spacing w:after="0" w:line="240" w:lineRule="auto"/>
              <w:rPr>
                <w:rFonts w:cs="Times New Roman"/>
                <w:noProof/>
              </w:rPr>
            </w:pPr>
            <w:r>
              <w:rPr>
                <w:noProof/>
              </w:rPr>
              <w:t xml:space="preserve">narzędzie on-line do analizy projektów opracowanych przez podmioty trzeciego sektora; </w:t>
            </w:r>
          </w:p>
          <w:p w14:paraId="6A8823AF" w14:textId="71F1324D" w:rsidR="006578ED" w:rsidRDefault="00A1618E">
            <w:pPr>
              <w:pStyle w:val="P68B1DB1-ListParagraph14"/>
              <w:numPr>
                <w:ilvl w:val="0"/>
                <w:numId w:val="715"/>
              </w:numPr>
              <w:spacing w:after="0" w:line="240" w:lineRule="auto"/>
              <w:rPr>
                <w:rFonts w:cs="Times New Roman"/>
                <w:noProof/>
              </w:rPr>
            </w:pPr>
            <w:r>
              <w:rPr>
                <w:noProof/>
              </w:rPr>
              <w:t xml:space="preserve">narzędzia komputerowe do zarządzania różnymi programami budżetowymi związanymi z usługami socjalnymi i opieką nad rodziną, dziećmi i niektórymi słabszymi grupami społecznymi; oraz </w:t>
            </w:r>
          </w:p>
          <w:p w14:paraId="03CDE88A" w14:textId="3811F9B3" w:rsidR="006578ED" w:rsidRDefault="00A1618E">
            <w:pPr>
              <w:pStyle w:val="P68B1DB1-ListParagraph14"/>
              <w:numPr>
                <w:ilvl w:val="0"/>
                <w:numId w:val="715"/>
              </w:numPr>
              <w:spacing w:after="0" w:line="240" w:lineRule="auto"/>
              <w:rPr>
                <w:rFonts w:cs="Times New Roman"/>
                <w:noProof/>
              </w:rPr>
            </w:pPr>
            <w:r>
              <w:rPr>
                <w:noProof/>
              </w:rPr>
              <w:t>platforma internetowa służąca do centralizacji informacji na temat opieki dostępnej w danym kraju.</w:t>
            </w:r>
            <w:r>
              <w:rPr>
                <w:noProof/>
                <w:shd w:val="clear" w:color="auto" w:fill="E6E6E6"/>
              </w:rPr>
              <w:t xml:space="preserve"> </w:t>
            </w:r>
          </w:p>
        </w:tc>
      </w:tr>
      <w:tr w:rsidR="006578ED" w14:paraId="40273E43" w14:textId="77777777">
        <w:trPr>
          <w:trHeight w:val="309"/>
        </w:trPr>
        <w:tc>
          <w:tcPr>
            <w:tcW w:w="709" w:type="dxa"/>
            <w:shd w:val="clear" w:color="auto" w:fill="C6EFCE"/>
            <w:noWrap/>
          </w:tcPr>
          <w:p w14:paraId="02810427" w14:textId="77777777" w:rsidR="006578ED" w:rsidRDefault="00A1618E">
            <w:pPr>
              <w:pStyle w:val="P68B1DB1-Normal13"/>
              <w:spacing w:after="0" w:line="240" w:lineRule="auto"/>
              <w:jc w:val="center"/>
              <w:rPr>
                <w:rFonts w:eastAsia="Times New Roman" w:cs="Times New Roman"/>
                <w:noProof/>
              </w:rPr>
            </w:pPr>
            <w:r>
              <w:rPr>
                <w:noProof/>
              </w:rPr>
              <w:t>325</w:t>
            </w:r>
          </w:p>
        </w:tc>
        <w:tc>
          <w:tcPr>
            <w:tcW w:w="851" w:type="dxa"/>
            <w:shd w:val="clear" w:color="auto" w:fill="C6EFCE"/>
            <w:noWrap/>
          </w:tcPr>
          <w:p w14:paraId="2A88F12F" w14:textId="77777777" w:rsidR="006578ED" w:rsidRDefault="00A1618E">
            <w:pPr>
              <w:pStyle w:val="P68B1DB1-Normal13"/>
              <w:spacing w:after="0" w:line="240" w:lineRule="auto"/>
              <w:jc w:val="center"/>
              <w:rPr>
                <w:rFonts w:eastAsia="Times New Roman" w:cs="Times New Roman"/>
                <w:noProof/>
              </w:rPr>
            </w:pPr>
            <w:r>
              <w:rPr>
                <w:noProof/>
              </w:rPr>
              <w:t>C22.I2</w:t>
            </w:r>
          </w:p>
        </w:tc>
        <w:tc>
          <w:tcPr>
            <w:tcW w:w="992" w:type="dxa"/>
            <w:shd w:val="clear" w:color="auto" w:fill="C6EFCE"/>
            <w:noWrap/>
          </w:tcPr>
          <w:p w14:paraId="62996793" w14:textId="4F0CB67A" w:rsidR="006578ED" w:rsidRDefault="00AF6B91">
            <w:pPr>
              <w:pStyle w:val="P68B1DB1-Normal13"/>
              <w:spacing w:after="0" w:line="240" w:lineRule="auto"/>
              <w:jc w:val="center"/>
              <w:rPr>
                <w:rFonts w:eastAsia="Times New Roman" w:cs="Times New Roman"/>
                <w:noProof/>
              </w:rPr>
            </w:pPr>
            <w:r>
              <w:rPr>
                <w:noProof/>
              </w:rPr>
              <w:t>Kamień milowy</w:t>
            </w:r>
          </w:p>
        </w:tc>
        <w:tc>
          <w:tcPr>
            <w:tcW w:w="3119" w:type="dxa"/>
            <w:shd w:val="clear" w:color="auto" w:fill="C6EFCE"/>
            <w:noWrap/>
          </w:tcPr>
          <w:p w14:paraId="32275888" w14:textId="4D3EAF4C" w:rsidR="006578ED" w:rsidRDefault="00A1618E">
            <w:pPr>
              <w:pStyle w:val="P68B1DB1-Normal13"/>
              <w:spacing w:after="0" w:line="240" w:lineRule="auto"/>
              <w:rPr>
                <w:rFonts w:eastAsia="Times New Roman" w:cs="Times New Roman"/>
                <w:noProof/>
              </w:rPr>
            </w:pPr>
            <w:r>
              <w:rPr>
                <w:noProof/>
              </w:rPr>
              <w:t xml:space="preserve">Zakończenie projektów transformacji technologicznej usług socjalnych oraz modernizacji infrastruktury i usług związanych z ochroną mieszkaniową i rodzinami zastępczymi </w:t>
            </w:r>
          </w:p>
        </w:tc>
        <w:tc>
          <w:tcPr>
            <w:tcW w:w="992" w:type="dxa"/>
            <w:shd w:val="clear" w:color="auto" w:fill="C6EFCE"/>
            <w:noWrap/>
          </w:tcPr>
          <w:p w14:paraId="2A7C22FD" w14:textId="20017F46" w:rsidR="006578ED" w:rsidRDefault="00A1618E">
            <w:pPr>
              <w:pStyle w:val="P68B1DB1-Normal13"/>
              <w:spacing w:after="0" w:line="240" w:lineRule="auto"/>
              <w:jc w:val="center"/>
              <w:rPr>
                <w:rFonts w:eastAsia="Times New Roman" w:cs="Times New Roman"/>
                <w:noProof/>
              </w:rPr>
            </w:pPr>
            <w:r>
              <w:rPr>
                <w:noProof/>
              </w:rPr>
              <w:t>Kontrola umów podpisanych z każdym z regionów autonomicznych</w:t>
            </w:r>
          </w:p>
        </w:tc>
        <w:tc>
          <w:tcPr>
            <w:tcW w:w="850" w:type="dxa"/>
            <w:shd w:val="clear" w:color="auto" w:fill="C6EFCE"/>
            <w:noWrap/>
          </w:tcPr>
          <w:p w14:paraId="7757059F" w14:textId="77777777" w:rsidR="006578ED" w:rsidRDefault="00A1618E">
            <w:pPr>
              <w:pStyle w:val="P68B1DB1-Normal13"/>
              <w:spacing w:after="0" w:line="240" w:lineRule="auto"/>
              <w:jc w:val="center"/>
              <w:rPr>
                <w:rFonts w:eastAsia="Times New Roman" w:cs="Times New Roman"/>
                <w:noProof/>
              </w:rPr>
            </w:pPr>
            <w:r>
              <w:rPr>
                <w:noProof/>
              </w:rPr>
              <w:t> </w:t>
            </w:r>
          </w:p>
        </w:tc>
        <w:tc>
          <w:tcPr>
            <w:tcW w:w="851" w:type="dxa"/>
            <w:shd w:val="clear" w:color="auto" w:fill="C6EFCE"/>
            <w:noWrap/>
          </w:tcPr>
          <w:p w14:paraId="607F8A10" w14:textId="77777777" w:rsidR="006578ED" w:rsidRDefault="00A1618E">
            <w:pPr>
              <w:pStyle w:val="P68B1DB1-Normal13"/>
              <w:spacing w:after="0" w:line="240" w:lineRule="auto"/>
              <w:jc w:val="right"/>
              <w:rPr>
                <w:rFonts w:eastAsia="Times New Roman" w:cs="Times New Roman"/>
                <w:noProof/>
              </w:rPr>
            </w:pPr>
            <w:r>
              <w:rPr>
                <w:noProof/>
              </w:rPr>
              <w:t> </w:t>
            </w:r>
          </w:p>
        </w:tc>
        <w:tc>
          <w:tcPr>
            <w:tcW w:w="709" w:type="dxa"/>
            <w:shd w:val="clear" w:color="auto" w:fill="C6EFCE"/>
            <w:noWrap/>
          </w:tcPr>
          <w:p w14:paraId="17E077D5" w14:textId="77777777" w:rsidR="006578ED" w:rsidRDefault="006578ED">
            <w:pPr>
              <w:spacing w:after="0" w:line="240" w:lineRule="auto"/>
              <w:jc w:val="center"/>
              <w:rPr>
                <w:rFonts w:ascii="Times New Roman" w:eastAsia="Times New Roman" w:hAnsi="Times New Roman" w:cs="Times New Roman"/>
                <w:noProof/>
                <w:sz w:val="18"/>
              </w:rPr>
            </w:pPr>
          </w:p>
        </w:tc>
        <w:tc>
          <w:tcPr>
            <w:tcW w:w="567" w:type="dxa"/>
            <w:shd w:val="clear" w:color="auto" w:fill="C6EFCE"/>
            <w:noWrap/>
          </w:tcPr>
          <w:p w14:paraId="1961EF10" w14:textId="0F5F004B" w:rsidR="006578ED" w:rsidRDefault="00EC188C">
            <w:pPr>
              <w:pStyle w:val="P68B1DB1-Normal13"/>
              <w:spacing w:after="0" w:line="240" w:lineRule="auto"/>
              <w:jc w:val="center"/>
              <w:rPr>
                <w:rFonts w:eastAsia="Times New Roman" w:cs="Times New Roman"/>
                <w:noProof/>
              </w:rPr>
            </w:pPr>
            <w:r>
              <w:rPr>
                <w:noProof/>
              </w:rPr>
              <w:t>KW. 4</w:t>
            </w:r>
          </w:p>
        </w:tc>
        <w:tc>
          <w:tcPr>
            <w:tcW w:w="810" w:type="dxa"/>
            <w:shd w:val="clear" w:color="auto" w:fill="C6EFCE"/>
            <w:noWrap/>
          </w:tcPr>
          <w:p w14:paraId="5D1CF3A1" w14:textId="4D56FD1D" w:rsidR="006578ED" w:rsidRDefault="00A1618E">
            <w:pPr>
              <w:pStyle w:val="P68B1DB1-Normal13"/>
              <w:spacing w:after="0" w:line="240" w:lineRule="auto"/>
              <w:jc w:val="center"/>
              <w:rPr>
                <w:rFonts w:cs="Times New Roman"/>
                <w:noProof/>
              </w:rPr>
            </w:pPr>
            <w:r>
              <w:rPr>
                <w:noProof/>
              </w:rPr>
              <w:t>2025</w:t>
            </w:r>
          </w:p>
        </w:tc>
        <w:tc>
          <w:tcPr>
            <w:tcW w:w="4860" w:type="dxa"/>
            <w:shd w:val="clear" w:color="auto" w:fill="C6EFCE"/>
            <w:noWrap/>
          </w:tcPr>
          <w:p w14:paraId="3ABB57E2" w14:textId="015A94BE" w:rsidR="006578ED" w:rsidRDefault="00A1618E">
            <w:pPr>
              <w:pStyle w:val="P68B1DB1-Normal13"/>
              <w:spacing w:after="0" w:line="240" w:lineRule="auto"/>
              <w:rPr>
                <w:rFonts w:eastAsia="Times New Roman" w:cs="Times New Roman"/>
                <w:noProof/>
              </w:rPr>
            </w:pPr>
            <w:r>
              <w:rPr>
                <w:noProof/>
              </w:rPr>
              <w:t xml:space="preserve">Zakończenie przez samorządy regionalne transformacji technologicznej usług socjalnych, umożliwiającej interoperacyjność z innymi systemami wchodzącymi w interakcję z usługami socjalnymi (zatrudnienie, opieka zdrowotna, trzeci sektor) oraz modernizacja infrastruktury i usług związanych z ochroną mieszkaniową ośrodków opieki nad dziećmi i nastolatkami, w tym poprzez lepsze zaspokojenie potrzeb w zakresie zindywidualizowanego wsparcia (w tym emocjonalnego i edukacyjnego/zawodowego) oraz szkolenia rodzin zastępczych, przy całkowitym budżecie wynoszącym co najmniej 450 000 000 EUR. </w:t>
            </w:r>
          </w:p>
        </w:tc>
      </w:tr>
      <w:tr w:rsidR="006578ED" w14:paraId="57CF3CD7" w14:textId="77777777">
        <w:trPr>
          <w:trHeight w:val="309"/>
        </w:trPr>
        <w:tc>
          <w:tcPr>
            <w:tcW w:w="709" w:type="dxa"/>
            <w:shd w:val="clear" w:color="auto" w:fill="C6EFCE"/>
            <w:noWrap/>
          </w:tcPr>
          <w:p w14:paraId="3C8C5CEB" w14:textId="78E55719" w:rsidR="006578ED" w:rsidRDefault="00A1618E">
            <w:pPr>
              <w:pStyle w:val="P68B1DB1-Normal13"/>
              <w:spacing w:after="0" w:line="240" w:lineRule="auto"/>
              <w:jc w:val="center"/>
              <w:rPr>
                <w:rFonts w:cs="Times New Roman"/>
                <w:noProof/>
              </w:rPr>
            </w:pPr>
            <w:r>
              <w:rPr>
                <w:noProof/>
              </w:rPr>
              <w:t>471</w:t>
            </w:r>
          </w:p>
        </w:tc>
        <w:tc>
          <w:tcPr>
            <w:tcW w:w="851" w:type="dxa"/>
            <w:shd w:val="clear" w:color="auto" w:fill="C6EFCE"/>
            <w:noWrap/>
          </w:tcPr>
          <w:p w14:paraId="6FD56F45" w14:textId="77777777" w:rsidR="006578ED" w:rsidRDefault="00A1618E">
            <w:pPr>
              <w:pStyle w:val="P68B1DB1-Normal13"/>
              <w:spacing w:after="0" w:line="240" w:lineRule="auto"/>
              <w:jc w:val="center"/>
              <w:rPr>
                <w:rFonts w:cs="Times New Roman"/>
                <w:noProof/>
              </w:rPr>
            </w:pPr>
            <w:r>
              <w:rPr>
                <w:noProof/>
              </w:rPr>
              <w:t>C22.I2</w:t>
            </w:r>
          </w:p>
        </w:tc>
        <w:tc>
          <w:tcPr>
            <w:tcW w:w="992" w:type="dxa"/>
            <w:shd w:val="clear" w:color="auto" w:fill="C6EFCE"/>
            <w:noWrap/>
          </w:tcPr>
          <w:p w14:paraId="6A1AAA57" w14:textId="6C34847D" w:rsidR="006578ED" w:rsidRDefault="00AF6B91">
            <w:pPr>
              <w:pStyle w:val="P68B1DB1-Normal13"/>
              <w:spacing w:after="0" w:line="240" w:lineRule="auto"/>
              <w:jc w:val="center"/>
              <w:rPr>
                <w:rFonts w:cs="Times New Roman"/>
                <w:noProof/>
              </w:rPr>
            </w:pPr>
            <w:r>
              <w:rPr>
                <w:noProof/>
              </w:rPr>
              <w:t>Cel</w:t>
            </w:r>
          </w:p>
        </w:tc>
        <w:tc>
          <w:tcPr>
            <w:tcW w:w="3119" w:type="dxa"/>
            <w:shd w:val="clear" w:color="auto" w:fill="C6EFCE"/>
            <w:noWrap/>
          </w:tcPr>
          <w:p w14:paraId="1C05CA9D" w14:textId="77777777" w:rsidR="006578ED" w:rsidRDefault="00A1618E">
            <w:pPr>
              <w:pStyle w:val="P68B1DB1-Normal13"/>
              <w:spacing w:after="0" w:line="240" w:lineRule="auto"/>
              <w:rPr>
                <w:rFonts w:cs="Times New Roman"/>
                <w:noProof/>
              </w:rPr>
            </w:pPr>
            <w:r>
              <w:rPr>
                <w:noProof/>
              </w:rPr>
              <w:t>Realizacja projektów pilotażowych</w:t>
            </w:r>
          </w:p>
        </w:tc>
        <w:tc>
          <w:tcPr>
            <w:tcW w:w="992" w:type="dxa"/>
            <w:shd w:val="clear" w:color="auto" w:fill="C6EFCE"/>
            <w:noWrap/>
          </w:tcPr>
          <w:p w14:paraId="253A97F1"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53E3C726" w14:textId="77777777" w:rsidR="006578ED" w:rsidRDefault="00A1618E">
            <w:pPr>
              <w:pStyle w:val="P68B1DB1-Normal13"/>
              <w:spacing w:after="0" w:line="240" w:lineRule="auto"/>
              <w:jc w:val="center"/>
              <w:rPr>
                <w:rFonts w:cs="Times New Roman"/>
                <w:noProof/>
              </w:rPr>
            </w:pPr>
            <w:r>
              <w:rPr>
                <w:noProof/>
              </w:rPr>
              <w:t>Liczba</w:t>
            </w:r>
          </w:p>
        </w:tc>
        <w:tc>
          <w:tcPr>
            <w:tcW w:w="851" w:type="dxa"/>
            <w:shd w:val="clear" w:color="auto" w:fill="C6EFCE"/>
            <w:noWrap/>
          </w:tcPr>
          <w:p w14:paraId="645BEB66" w14:textId="77777777"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356285CA" w14:textId="77777777" w:rsidR="006578ED" w:rsidRDefault="00A1618E">
            <w:pPr>
              <w:pStyle w:val="P68B1DB1-Normal13"/>
              <w:spacing w:after="0" w:line="240" w:lineRule="auto"/>
              <w:jc w:val="center"/>
              <w:rPr>
                <w:rFonts w:cs="Times New Roman"/>
                <w:noProof/>
              </w:rPr>
            </w:pPr>
            <w:r>
              <w:rPr>
                <w:noProof/>
              </w:rPr>
              <w:t>19</w:t>
            </w:r>
          </w:p>
        </w:tc>
        <w:tc>
          <w:tcPr>
            <w:tcW w:w="567" w:type="dxa"/>
            <w:shd w:val="clear" w:color="auto" w:fill="C6EFCE"/>
            <w:noWrap/>
          </w:tcPr>
          <w:p w14:paraId="1FB37924" w14:textId="365F2BE1" w:rsidR="006578ED" w:rsidRDefault="00EC188C">
            <w:pPr>
              <w:pStyle w:val="P68B1DB1-Normal13"/>
              <w:spacing w:after="0" w:line="240" w:lineRule="auto"/>
              <w:jc w:val="center"/>
              <w:rPr>
                <w:rFonts w:cs="Times New Roman"/>
                <w:noProof/>
              </w:rPr>
            </w:pPr>
            <w:r>
              <w:rPr>
                <w:noProof/>
              </w:rPr>
              <w:t>KW. 4</w:t>
            </w:r>
          </w:p>
        </w:tc>
        <w:tc>
          <w:tcPr>
            <w:tcW w:w="810" w:type="dxa"/>
            <w:shd w:val="clear" w:color="auto" w:fill="C6EFCE"/>
            <w:noWrap/>
          </w:tcPr>
          <w:p w14:paraId="433B1CFD" w14:textId="77777777" w:rsidR="006578ED" w:rsidRDefault="00A1618E">
            <w:pPr>
              <w:pStyle w:val="P68B1DB1-Normal13"/>
              <w:spacing w:after="0" w:line="240" w:lineRule="auto"/>
              <w:jc w:val="center"/>
              <w:rPr>
                <w:rFonts w:cs="Times New Roman"/>
                <w:noProof/>
              </w:rPr>
            </w:pPr>
            <w:r>
              <w:rPr>
                <w:noProof/>
              </w:rPr>
              <w:t>2025</w:t>
            </w:r>
          </w:p>
        </w:tc>
        <w:tc>
          <w:tcPr>
            <w:tcW w:w="4860" w:type="dxa"/>
            <w:shd w:val="clear" w:color="auto" w:fill="C6EFCE"/>
            <w:noWrap/>
          </w:tcPr>
          <w:p w14:paraId="4DD3F79E" w14:textId="15A9696B" w:rsidR="006578ED" w:rsidRDefault="00A1618E">
            <w:pPr>
              <w:pStyle w:val="P68B1DB1-Normal13"/>
              <w:spacing w:after="0" w:line="240" w:lineRule="auto"/>
              <w:rPr>
                <w:rFonts w:cs="Times New Roman"/>
                <w:noProof/>
              </w:rPr>
            </w:pPr>
            <w:r>
              <w:rPr>
                <w:noProof/>
              </w:rPr>
              <w:t>Ukończenie co najmniej 19 projektów pilotażowych mających na celu promowanie innowacji w usługach społecznych.</w:t>
            </w:r>
          </w:p>
        </w:tc>
      </w:tr>
      <w:tr w:rsidR="006578ED" w14:paraId="6F8A3C56" w14:textId="77777777">
        <w:trPr>
          <w:trHeight w:val="309"/>
        </w:trPr>
        <w:tc>
          <w:tcPr>
            <w:tcW w:w="709" w:type="dxa"/>
            <w:shd w:val="clear" w:color="auto" w:fill="C6EFCE"/>
            <w:noWrap/>
          </w:tcPr>
          <w:p w14:paraId="445DF925" w14:textId="77777777" w:rsidR="006578ED" w:rsidRDefault="00A1618E">
            <w:pPr>
              <w:pStyle w:val="P68B1DB1-Normal13"/>
              <w:spacing w:after="0" w:line="240" w:lineRule="auto"/>
              <w:jc w:val="center"/>
              <w:rPr>
                <w:rFonts w:cs="Times New Roman"/>
                <w:noProof/>
              </w:rPr>
            </w:pPr>
            <w:r>
              <w:rPr>
                <w:noProof/>
              </w:rPr>
              <w:t>326</w:t>
            </w:r>
          </w:p>
        </w:tc>
        <w:tc>
          <w:tcPr>
            <w:tcW w:w="851" w:type="dxa"/>
            <w:shd w:val="clear" w:color="auto" w:fill="C6EFCE"/>
            <w:noWrap/>
          </w:tcPr>
          <w:p w14:paraId="642BCFA4" w14:textId="77777777" w:rsidR="006578ED" w:rsidRDefault="00A1618E">
            <w:pPr>
              <w:pStyle w:val="P68B1DB1-Normal13"/>
              <w:spacing w:after="0" w:line="240" w:lineRule="auto"/>
              <w:jc w:val="center"/>
              <w:rPr>
                <w:rFonts w:cs="Times New Roman"/>
                <w:noProof/>
              </w:rPr>
            </w:pPr>
            <w:r>
              <w:rPr>
                <w:noProof/>
              </w:rPr>
              <w:t>C22.I3</w:t>
            </w:r>
          </w:p>
        </w:tc>
        <w:tc>
          <w:tcPr>
            <w:tcW w:w="992" w:type="dxa"/>
            <w:shd w:val="clear" w:color="auto" w:fill="C6EFCE"/>
            <w:noWrap/>
          </w:tcPr>
          <w:p w14:paraId="7FC9A030" w14:textId="7CA1151C" w:rsidR="006578ED" w:rsidRDefault="00AF6B91">
            <w:pPr>
              <w:pStyle w:val="P68B1DB1-Normal13"/>
              <w:spacing w:after="0" w:line="240" w:lineRule="auto"/>
              <w:jc w:val="center"/>
              <w:rPr>
                <w:rFonts w:cs="Times New Roman"/>
                <w:noProof/>
              </w:rPr>
            </w:pPr>
            <w:r>
              <w:rPr>
                <w:noProof/>
              </w:rPr>
              <w:t>Cel</w:t>
            </w:r>
          </w:p>
        </w:tc>
        <w:tc>
          <w:tcPr>
            <w:tcW w:w="3119" w:type="dxa"/>
            <w:shd w:val="clear" w:color="auto" w:fill="C6EFCE"/>
            <w:noWrap/>
          </w:tcPr>
          <w:p w14:paraId="75135AEE" w14:textId="77777777" w:rsidR="006578ED" w:rsidRDefault="00A1618E">
            <w:pPr>
              <w:pStyle w:val="P68B1DB1-Normal13"/>
              <w:spacing w:after="0" w:line="240" w:lineRule="auto"/>
              <w:rPr>
                <w:rFonts w:cs="Times New Roman"/>
                <w:noProof/>
              </w:rPr>
            </w:pPr>
            <w:r>
              <w:rPr>
                <w:noProof/>
              </w:rPr>
              <w:t>Projekty dotyczące poprawy dostępności</w:t>
            </w:r>
          </w:p>
        </w:tc>
        <w:tc>
          <w:tcPr>
            <w:tcW w:w="992" w:type="dxa"/>
            <w:shd w:val="clear" w:color="auto" w:fill="C6EFCE"/>
            <w:noWrap/>
          </w:tcPr>
          <w:p w14:paraId="0294424B" w14:textId="77777777"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38C216B6" w14:textId="77777777" w:rsidR="006578ED" w:rsidRDefault="00A1618E">
            <w:pPr>
              <w:pStyle w:val="P68B1DB1-Normal13"/>
              <w:spacing w:after="0" w:line="240" w:lineRule="auto"/>
              <w:jc w:val="center"/>
              <w:rPr>
                <w:rFonts w:cs="Times New Roman"/>
                <w:noProof/>
              </w:rPr>
            </w:pPr>
            <w:r>
              <w:rPr>
                <w:noProof/>
              </w:rPr>
              <w:t>W mln EUR</w:t>
            </w:r>
          </w:p>
        </w:tc>
        <w:tc>
          <w:tcPr>
            <w:tcW w:w="851" w:type="dxa"/>
            <w:shd w:val="clear" w:color="auto" w:fill="C6EFCE"/>
            <w:noWrap/>
          </w:tcPr>
          <w:p w14:paraId="08EE146F" w14:textId="77777777"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3092A617" w14:textId="311EAA03" w:rsidR="006578ED" w:rsidRDefault="00A1618E">
            <w:pPr>
              <w:pStyle w:val="P68B1DB1-Normal13"/>
              <w:spacing w:after="0" w:line="240" w:lineRule="auto"/>
              <w:jc w:val="center"/>
              <w:rPr>
                <w:rFonts w:cs="Times New Roman"/>
                <w:noProof/>
              </w:rPr>
            </w:pPr>
            <w:r>
              <w:rPr>
                <w:noProof/>
              </w:rPr>
              <w:t>178</w:t>
            </w:r>
          </w:p>
        </w:tc>
        <w:tc>
          <w:tcPr>
            <w:tcW w:w="567" w:type="dxa"/>
            <w:shd w:val="clear" w:color="auto" w:fill="C6EFCE"/>
            <w:noWrap/>
          </w:tcPr>
          <w:p w14:paraId="04FA89F0" w14:textId="6A53CEBB" w:rsidR="006578ED" w:rsidRDefault="00EC188C">
            <w:pPr>
              <w:pStyle w:val="P68B1DB1-Normal13"/>
              <w:spacing w:after="0" w:line="240" w:lineRule="auto"/>
              <w:jc w:val="center"/>
              <w:rPr>
                <w:rFonts w:cs="Times New Roman"/>
                <w:noProof/>
              </w:rPr>
            </w:pPr>
            <w:r>
              <w:rPr>
                <w:noProof/>
              </w:rPr>
              <w:t>KW. 1</w:t>
            </w:r>
          </w:p>
        </w:tc>
        <w:tc>
          <w:tcPr>
            <w:tcW w:w="810" w:type="dxa"/>
            <w:shd w:val="clear" w:color="auto" w:fill="C6EFCE"/>
            <w:noWrap/>
          </w:tcPr>
          <w:p w14:paraId="1A8A7DE7" w14:textId="006D021F" w:rsidR="006578ED" w:rsidRDefault="00A1618E">
            <w:pPr>
              <w:pStyle w:val="P68B1DB1-Normal13"/>
              <w:spacing w:after="0" w:line="240" w:lineRule="auto"/>
              <w:jc w:val="center"/>
              <w:rPr>
                <w:rFonts w:cs="Times New Roman"/>
                <w:noProof/>
              </w:rPr>
            </w:pPr>
            <w:r>
              <w:rPr>
                <w:noProof/>
              </w:rPr>
              <w:t>2024</w:t>
            </w:r>
          </w:p>
        </w:tc>
        <w:tc>
          <w:tcPr>
            <w:tcW w:w="4860" w:type="dxa"/>
            <w:shd w:val="clear" w:color="auto" w:fill="C6EFCE"/>
            <w:noWrap/>
          </w:tcPr>
          <w:p w14:paraId="4E0CC5DB" w14:textId="7759A387" w:rsidR="006578ED" w:rsidRDefault="00A1618E">
            <w:pPr>
              <w:pStyle w:val="P68B1DB1-Normal13"/>
              <w:rPr>
                <w:rFonts w:cs="Times New Roman"/>
                <w:noProof/>
              </w:rPr>
            </w:pPr>
            <w:r>
              <w:rPr>
                <w:noProof/>
              </w:rPr>
              <w:t>Zakończenie inwestycji gmin, samorządów regionalnych i instytucji rządowych na szczeblu centralnym w celu poprawy dostępności i usunięcia barier przy całkowitym budżecie wynoszącym co najmniej 178 mln EUR, które powinny być ukierunkowane na:</w:t>
            </w:r>
          </w:p>
          <w:p w14:paraId="5B0F5293" w14:textId="0235C41A" w:rsidR="006578ED" w:rsidRDefault="00A1618E">
            <w:pPr>
              <w:pStyle w:val="P68B1DB1-Normal13"/>
              <w:numPr>
                <w:ilvl w:val="0"/>
                <w:numId w:val="633"/>
              </w:numPr>
              <w:spacing w:after="0" w:line="240" w:lineRule="auto"/>
              <w:contextualSpacing/>
              <w:rPr>
                <w:rFonts w:cs="Times New Roman"/>
                <w:noProof/>
              </w:rPr>
            </w:pPr>
            <w:r>
              <w:rPr>
                <w:noProof/>
              </w:rPr>
              <w:t>poprawa dostępności poznawczej w komunikacji z organami publicznymi (w tym na stronach internetowych);</w:t>
            </w:r>
          </w:p>
          <w:p w14:paraId="75DFC071" w14:textId="773D85A3" w:rsidR="006578ED" w:rsidRDefault="00A1618E">
            <w:pPr>
              <w:pStyle w:val="P68B1DB1-Normal13"/>
              <w:numPr>
                <w:ilvl w:val="0"/>
                <w:numId w:val="633"/>
              </w:numPr>
              <w:spacing w:after="0" w:line="240" w:lineRule="auto"/>
              <w:contextualSpacing/>
              <w:rPr>
                <w:rFonts w:cs="Times New Roman"/>
                <w:noProof/>
              </w:rPr>
            </w:pPr>
            <w:r>
              <w:rPr>
                <w:noProof/>
              </w:rPr>
              <w:t>poprawa fizycznego dostępu do budynków publicznych i przestrzeni publicznych, w tym do usług zdrowotnych i ośrodków edukacyjnych;</w:t>
            </w:r>
          </w:p>
          <w:p w14:paraId="23E6B699" w14:textId="77777777" w:rsidR="006578ED" w:rsidRDefault="00A1618E">
            <w:pPr>
              <w:pStyle w:val="P68B1DB1-Normal13"/>
              <w:numPr>
                <w:ilvl w:val="0"/>
                <w:numId w:val="633"/>
              </w:numPr>
              <w:spacing w:after="0" w:line="240" w:lineRule="auto"/>
              <w:contextualSpacing/>
              <w:rPr>
                <w:rFonts w:cs="Times New Roman"/>
                <w:noProof/>
              </w:rPr>
            </w:pPr>
            <w:r>
              <w:rPr>
                <w:noProof/>
              </w:rPr>
              <w:t>poprawa dostępności transportu publicznego;</w:t>
            </w:r>
          </w:p>
          <w:p w14:paraId="12CD8D11" w14:textId="5CFA5DBF" w:rsidR="006578ED" w:rsidRDefault="00A1618E">
            <w:pPr>
              <w:pStyle w:val="P68B1DB1-Normal13"/>
              <w:numPr>
                <w:ilvl w:val="0"/>
                <w:numId w:val="633"/>
              </w:numPr>
              <w:spacing w:after="0" w:line="240" w:lineRule="auto"/>
              <w:contextualSpacing/>
              <w:rPr>
                <w:rFonts w:cs="Times New Roman"/>
                <w:noProof/>
              </w:rPr>
            </w:pPr>
            <w:r>
              <w:rPr>
                <w:noProof/>
              </w:rPr>
              <w:t>wykonywanie prac adaptacyjnych i zakup sprzętu przez gminy, zwłaszcza na obszarach wiejskich.</w:t>
            </w:r>
          </w:p>
          <w:p w14:paraId="6DAB4C20" w14:textId="7BAB2A87" w:rsidR="006578ED" w:rsidRDefault="00A1618E">
            <w:pPr>
              <w:pStyle w:val="P68B1DB1-Normal13"/>
              <w:numPr>
                <w:ilvl w:val="0"/>
                <w:numId w:val="633"/>
              </w:numPr>
              <w:spacing w:after="0" w:line="240" w:lineRule="auto"/>
              <w:contextualSpacing/>
              <w:rPr>
                <w:rFonts w:cs="Times New Roman"/>
                <w:noProof/>
              </w:rPr>
            </w:pPr>
            <w:r>
              <w:rPr>
                <w:noProof/>
              </w:rPr>
              <w:t>Kampanie informacyjne i uświadamiające,</w:t>
            </w:r>
          </w:p>
          <w:p w14:paraId="17A6A810" w14:textId="71D225D2" w:rsidR="006578ED" w:rsidRDefault="00A1618E">
            <w:pPr>
              <w:pStyle w:val="P68B1DB1-Normal13"/>
              <w:numPr>
                <w:ilvl w:val="0"/>
                <w:numId w:val="633"/>
              </w:numPr>
              <w:spacing w:after="0" w:line="240" w:lineRule="auto"/>
              <w:contextualSpacing/>
              <w:rPr>
                <w:rFonts w:cs="Times New Roman"/>
                <w:noProof/>
              </w:rPr>
            </w:pPr>
            <w:r>
              <w:rPr>
                <w:noProof/>
              </w:rPr>
              <w:t>Projekty badawcze w dziedzinie badań, rozwoju i innowacji w dziedzinie dostępności kognitywnej.</w:t>
            </w:r>
          </w:p>
        </w:tc>
      </w:tr>
      <w:tr w:rsidR="006578ED" w14:paraId="02D47B8A" w14:textId="77777777">
        <w:trPr>
          <w:trHeight w:val="309"/>
        </w:trPr>
        <w:tc>
          <w:tcPr>
            <w:tcW w:w="709" w:type="dxa"/>
            <w:shd w:val="clear" w:color="auto" w:fill="C6EFCE"/>
            <w:noWrap/>
          </w:tcPr>
          <w:p w14:paraId="7F60B7F6" w14:textId="4090B231" w:rsidR="006578ED" w:rsidRDefault="00A1618E">
            <w:pPr>
              <w:pStyle w:val="P68B1DB1-Normal13"/>
              <w:spacing w:after="0" w:line="240" w:lineRule="auto"/>
              <w:jc w:val="center"/>
              <w:rPr>
                <w:rFonts w:cs="Times New Roman"/>
                <w:noProof/>
              </w:rPr>
            </w:pPr>
            <w:r>
              <w:rPr>
                <w:noProof/>
              </w:rPr>
              <w:t>473</w:t>
            </w:r>
          </w:p>
        </w:tc>
        <w:tc>
          <w:tcPr>
            <w:tcW w:w="851" w:type="dxa"/>
            <w:shd w:val="clear" w:color="auto" w:fill="C6EFCE"/>
            <w:noWrap/>
          </w:tcPr>
          <w:p w14:paraId="3C7E4AB5" w14:textId="0A10C876" w:rsidR="006578ED" w:rsidRDefault="00A1618E">
            <w:pPr>
              <w:pStyle w:val="P68B1DB1-Normal13"/>
              <w:spacing w:after="0" w:line="240" w:lineRule="auto"/>
              <w:jc w:val="center"/>
              <w:rPr>
                <w:rFonts w:cs="Times New Roman"/>
                <w:noProof/>
              </w:rPr>
            </w:pPr>
            <w:r>
              <w:rPr>
                <w:noProof/>
              </w:rPr>
              <w:t>C22.I4</w:t>
            </w:r>
          </w:p>
        </w:tc>
        <w:tc>
          <w:tcPr>
            <w:tcW w:w="992" w:type="dxa"/>
            <w:shd w:val="clear" w:color="auto" w:fill="C6EFCE"/>
            <w:noWrap/>
          </w:tcPr>
          <w:p w14:paraId="5404E2C9" w14:textId="52D56A69" w:rsidR="006578ED" w:rsidRDefault="00AF6B91">
            <w:pPr>
              <w:pStyle w:val="P68B1DB1-Normal13"/>
              <w:spacing w:after="0" w:line="240" w:lineRule="auto"/>
              <w:jc w:val="center"/>
              <w:rPr>
                <w:rFonts w:cs="Times New Roman"/>
                <w:noProof/>
              </w:rPr>
            </w:pPr>
            <w:r>
              <w:rPr>
                <w:noProof/>
              </w:rPr>
              <w:t>Kamień milowy</w:t>
            </w:r>
          </w:p>
        </w:tc>
        <w:tc>
          <w:tcPr>
            <w:tcW w:w="3119" w:type="dxa"/>
            <w:shd w:val="clear" w:color="auto" w:fill="C6EFCE"/>
            <w:noWrap/>
          </w:tcPr>
          <w:p w14:paraId="5A7D1B79" w14:textId="777D9292" w:rsidR="006578ED" w:rsidRDefault="00A1618E">
            <w:pPr>
              <w:pStyle w:val="P68B1DB1-Normal13"/>
              <w:spacing w:after="0" w:line="240" w:lineRule="auto"/>
              <w:rPr>
                <w:rFonts w:cs="Times New Roman"/>
                <w:noProof/>
              </w:rPr>
            </w:pPr>
            <w:r>
              <w:rPr>
                <w:noProof/>
              </w:rPr>
              <w:t>Ustanowienie różnych rodzajów usług dla ofiar przemocy seksualnej.</w:t>
            </w:r>
          </w:p>
        </w:tc>
        <w:tc>
          <w:tcPr>
            <w:tcW w:w="992" w:type="dxa"/>
            <w:shd w:val="clear" w:color="auto" w:fill="C6EFCE"/>
            <w:noWrap/>
          </w:tcPr>
          <w:p w14:paraId="0C93E4BA" w14:textId="466F3809" w:rsidR="006578ED" w:rsidRDefault="00A1618E">
            <w:pPr>
              <w:pStyle w:val="P68B1DB1-Normal13"/>
              <w:spacing w:after="0" w:line="240" w:lineRule="auto"/>
              <w:jc w:val="center"/>
              <w:rPr>
                <w:rFonts w:cs="Times New Roman"/>
                <w:noProof/>
              </w:rPr>
            </w:pPr>
            <w:r>
              <w:rPr>
                <w:noProof/>
              </w:rPr>
              <w:t>Wejście w życie prawodawstwa</w:t>
            </w:r>
          </w:p>
        </w:tc>
        <w:tc>
          <w:tcPr>
            <w:tcW w:w="850" w:type="dxa"/>
            <w:shd w:val="clear" w:color="auto" w:fill="C6EFCE"/>
            <w:noWrap/>
          </w:tcPr>
          <w:p w14:paraId="20BA5909" w14:textId="77777777" w:rsidR="006578ED" w:rsidRDefault="006578ED">
            <w:pPr>
              <w:spacing w:after="0" w:line="240" w:lineRule="auto"/>
              <w:jc w:val="center"/>
              <w:rPr>
                <w:rFonts w:ascii="Times New Roman" w:hAnsi="Times New Roman" w:cs="Times New Roman"/>
                <w:noProof/>
                <w:sz w:val="18"/>
              </w:rPr>
            </w:pPr>
          </w:p>
        </w:tc>
        <w:tc>
          <w:tcPr>
            <w:tcW w:w="851" w:type="dxa"/>
            <w:shd w:val="clear" w:color="auto" w:fill="C6EFCE"/>
            <w:noWrap/>
          </w:tcPr>
          <w:p w14:paraId="27F68138"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36C7F7BE" w14:textId="77777777"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noWrap/>
          </w:tcPr>
          <w:p w14:paraId="307808EB" w14:textId="1CA8FD6C" w:rsidR="006578ED" w:rsidRDefault="00EC188C">
            <w:pPr>
              <w:pStyle w:val="P68B1DB1-Normal13"/>
              <w:spacing w:after="0" w:line="240" w:lineRule="auto"/>
              <w:jc w:val="center"/>
              <w:rPr>
                <w:rFonts w:cs="Times New Roman"/>
                <w:noProof/>
              </w:rPr>
            </w:pPr>
            <w:r>
              <w:rPr>
                <w:noProof/>
              </w:rPr>
              <w:t>KW. 1</w:t>
            </w:r>
          </w:p>
        </w:tc>
        <w:tc>
          <w:tcPr>
            <w:tcW w:w="810" w:type="dxa"/>
            <w:shd w:val="clear" w:color="auto" w:fill="C6EFCE"/>
            <w:noWrap/>
          </w:tcPr>
          <w:p w14:paraId="07FAF17F" w14:textId="1778D3C9" w:rsidR="006578ED" w:rsidRDefault="00A1618E">
            <w:pPr>
              <w:pStyle w:val="P68B1DB1-Normal13"/>
              <w:spacing w:after="0" w:line="240" w:lineRule="auto"/>
              <w:jc w:val="center"/>
              <w:rPr>
                <w:rFonts w:cs="Times New Roman"/>
                <w:noProof/>
              </w:rPr>
            </w:pPr>
            <w:r>
              <w:rPr>
                <w:noProof/>
              </w:rPr>
              <w:t>2023</w:t>
            </w:r>
          </w:p>
        </w:tc>
        <w:tc>
          <w:tcPr>
            <w:tcW w:w="4860" w:type="dxa"/>
            <w:shd w:val="clear" w:color="auto" w:fill="C6EFCE"/>
            <w:noWrap/>
          </w:tcPr>
          <w:p w14:paraId="410F4B9C" w14:textId="7E8DC115" w:rsidR="006578ED" w:rsidRDefault="00A1618E">
            <w:pPr>
              <w:pStyle w:val="P68B1DB1-Normal13"/>
              <w:rPr>
                <w:rFonts w:cs="Times New Roman"/>
                <w:noProof/>
              </w:rPr>
            </w:pPr>
            <w:r>
              <w:rPr>
                <w:noProof/>
              </w:rPr>
              <w:t>Wejście w życie przepisów ustanawiających nowe służby poradnictwa społecznego i poradnictwa w zakresie zatrudnienia dla ofiar przemocy seksualnej, oferujące różnego rodzaju usługi, w tym doradztwo prawne, wsparcie psychologiczne i emocjonalne oraz pomoc w integracji na rynku pracy.</w:t>
            </w:r>
          </w:p>
        </w:tc>
      </w:tr>
      <w:tr w:rsidR="006578ED" w14:paraId="247C6EA5" w14:textId="77777777">
        <w:trPr>
          <w:trHeight w:val="309"/>
        </w:trPr>
        <w:tc>
          <w:tcPr>
            <w:tcW w:w="709" w:type="dxa"/>
            <w:shd w:val="clear" w:color="auto" w:fill="C6EFCE"/>
            <w:noWrap/>
          </w:tcPr>
          <w:p w14:paraId="480918FD" w14:textId="6F4DAF9F" w:rsidR="006578ED" w:rsidRDefault="00A1618E">
            <w:pPr>
              <w:pStyle w:val="P68B1DB1-Normal13"/>
              <w:spacing w:after="0" w:line="240" w:lineRule="auto"/>
              <w:jc w:val="center"/>
              <w:rPr>
                <w:rFonts w:cs="Times New Roman"/>
                <w:noProof/>
              </w:rPr>
            </w:pPr>
            <w:r>
              <w:rPr>
                <w:noProof/>
              </w:rPr>
              <w:t>472</w:t>
            </w:r>
          </w:p>
        </w:tc>
        <w:tc>
          <w:tcPr>
            <w:tcW w:w="851" w:type="dxa"/>
            <w:shd w:val="clear" w:color="auto" w:fill="C6EFCE"/>
            <w:noWrap/>
          </w:tcPr>
          <w:p w14:paraId="20107D1A" w14:textId="77777777" w:rsidR="006578ED" w:rsidRDefault="00A1618E">
            <w:pPr>
              <w:pStyle w:val="P68B1DB1-Normal13"/>
              <w:spacing w:after="0" w:line="240" w:lineRule="auto"/>
              <w:jc w:val="center"/>
              <w:rPr>
                <w:rFonts w:cs="Times New Roman"/>
                <w:noProof/>
              </w:rPr>
            </w:pPr>
            <w:r>
              <w:rPr>
                <w:noProof/>
              </w:rPr>
              <w:t>C22.I4</w:t>
            </w:r>
          </w:p>
        </w:tc>
        <w:tc>
          <w:tcPr>
            <w:tcW w:w="992" w:type="dxa"/>
            <w:shd w:val="clear" w:color="auto" w:fill="C6EFCE"/>
            <w:noWrap/>
          </w:tcPr>
          <w:p w14:paraId="339C0418" w14:textId="60E3F776" w:rsidR="006578ED" w:rsidRDefault="00AF6B91">
            <w:pPr>
              <w:pStyle w:val="P68B1DB1-Normal13"/>
              <w:spacing w:after="0" w:line="240" w:lineRule="auto"/>
              <w:jc w:val="center"/>
              <w:rPr>
                <w:rFonts w:cs="Times New Roman"/>
                <w:noProof/>
              </w:rPr>
            </w:pPr>
            <w:r>
              <w:rPr>
                <w:noProof/>
              </w:rPr>
              <w:t>Kamień milowy</w:t>
            </w:r>
          </w:p>
        </w:tc>
        <w:tc>
          <w:tcPr>
            <w:tcW w:w="3119" w:type="dxa"/>
            <w:shd w:val="clear" w:color="auto" w:fill="C6EFCE"/>
            <w:noWrap/>
          </w:tcPr>
          <w:p w14:paraId="0355E8A9" w14:textId="7811777A" w:rsidR="006578ED" w:rsidRDefault="00A1618E">
            <w:pPr>
              <w:pStyle w:val="P68B1DB1-Normal13"/>
              <w:spacing w:after="0" w:line="240" w:lineRule="auto"/>
              <w:rPr>
                <w:rFonts w:cs="Times New Roman"/>
                <w:noProof/>
              </w:rPr>
            </w:pPr>
            <w:r>
              <w:rPr>
                <w:noProof/>
              </w:rPr>
              <w:t>Inwestycje w usługi telefoniczne i usługi online wspierające ofiary przemocy wobec kobiet</w:t>
            </w:r>
          </w:p>
        </w:tc>
        <w:tc>
          <w:tcPr>
            <w:tcW w:w="992" w:type="dxa"/>
            <w:shd w:val="clear" w:color="auto" w:fill="C6EFCE"/>
            <w:noWrap/>
          </w:tcPr>
          <w:p w14:paraId="11CB4A01"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tcPr>
          <w:p w14:paraId="3EE2BB17" w14:textId="4360516B" w:rsidR="006578ED" w:rsidRDefault="006578ED">
            <w:pPr>
              <w:spacing w:after="0" w:line="240" w:lineRule="auto"/>
              <w:jc w:val="center"/>
              <w:rPr>
                <w:rFonts w:ascii="Times New Roman" w:hAnsi="Times New Roman" w:cs="Times New Roman"/>
                <w:noProof/>
                <w:sz w:val="18"/>
              </w:rPr>
            </w:pPr>
          </w:p>
        </w:tc>
        <w:tc>
          <w:tcPr>
            <w:tcW w:w="851" w:type="dxa"/>
            <w:shd w:val="clear" w:color="auto" w:fill="C6EFCE"/>
            <w:noWrap/>
          </w:tcPr>
          <w:p w14:paraId="1B303A13" w14:textId="2F906B70"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2430A0C7" w14:textId="24996925" w:rsidR="006578ED" w:rsidRDefault="00A1618E">
            <w:pPr>
              <w:pStyle w:val="P68B1DB1-Normal13"/>
              <w:spacing w:after="0" w:line="240" w:lineRule="auto"/>
              <w:jc w:val="center"/>
              <w:rPr>
                <w:rFonts w:cs="Times New Roman"/>
                <w:noProof/>
              </w:rPr>
            </w:pPr>
            <w:r>
              <w:rPr>
                <w:noProof/>
              </w:rPr>
              <w:t xml:space="preserve"> </w:t>
            </w:r>
          </w:p>
        </w:tc>
        <w:tc>
          <w:tcPr>
            <w:tcW w:w="567" w:type="dxa"/>
            <w:shd w:val="clear" w:color="auto" w:fill="C6EFCE"/>
            <w:noWrap/>
          </w:tcPr>
          <w:p w14:paraId="7894BCC5" w14:textId="49895EA9" w:rsidR="006578ED" w:rsidRDefault="00EC188C">
            <w:pPr>
              <w:pStyle w:val="P68B1DB1-Normal13"/>
              <w:spacing w:after="0" w:line="240" w:lineRule="auto"/>
              <w:jc w:val="center"/>
              <w:rPr>
                <w:rFonts w:cs="Times New Roman"/>
                <w:noProof/>
              </w:rPr>
            </w:pPr>
            <w:r>
              <w:rPr>
                <w:noProof/>
              </w:rPr>
              <w:t>KW. 4</w:t>
            </w:r>
          </w:p>
        </w:tc>
        <w:tc>
          <w:tcPr>
            <w:tcW w:w="810" w:type="dxa"/>
            <w:shd w:val="clear" w:color="auto" w:fill="C6EFCE"/>
            <w:noWrap/>
          </w:tcPr>
          <w:p w14:paraId="7D1AC088" w14:textId="72E4F03E" w:rsidR="006578ED" w:rsidRDefault="00A1618E">
            <w:pPr>
              <w:pStyle w:val="P68B1DB1-Normal13"/>
              <w:spacing w:after="0" w:line="240" w:lineRule="auto"/>
              <w:jc w:val="center"/>
              <w:rPr>
                <w:rFonts w:cs="Times New Roman"/>
                <w:noProof/>
              </w:rPr>
            </w:pPr>
            <w:r>
              <w:rPr>
                <w:noProof/>
              </w:rPr>
              <w:t>2025</w:t>
            </w:r>
          </w:p>
        </w:tc>
        <w:tc>
          <w:tcPr>
            <w:tcW w:w="4860" w:type="dxa"/>
            <w:shd w:val="clear" w:color="auto" w:fill="C6EFCE"/>
            <w:noWrap/>
          </w:tcPr>
          <w:p w14:paraId="06592210" w14:textId="210A5855" w:rsidR="006578ED" w:rsidRDefault="00A1618E">
            <w:pPr>
              <w:pStyle w:val="P68B1DB1-Normal13"/>
              <w:spacing w:after="0" w:line="240" w:lineRule="auto"/>
              <w:jc w:val="both"/>
              <w:rPr>
                <w:rFonts w:cs="Times New Roman"/>
                <w:noProof/>
              </w:rPr>
            </w:pPr>
            <w:r>
              <w:rPr>
                <w:noProof/>
              </w:rPr>
              <w:t>Zapewnienie co najmniej 30.000 urządzeń do monitorowania dystansu, nowej aplikacji dla ofiar oraz nowej platformy dużych zbiorów danych i sztucznej inteligencji w celu wsparcia ofiar przemocy wobec kobiet, w tym ofiar handlu ludźmi i wykorzystywania seksualnego. Data poziomu bazowego: 1 lutego 20</w:t>
            </w:r>
            <w:r w:rsidRPr="00A1618E">
              <w:rPr>
                <w:noProof/>
                <w:lang w:val="pl-PL"/>
              </w:rPr>
              <w:t>20 r.</w:t>
            </w:r>
            <w:r>
              <w:rPr>
                <w:noProof/>
              </w:rPr>
              <w:t xml:space="preserve"> </w:t>
            </w:r>
          </w:p>
        </w:tc>
      </w:tr>
      <w:tr w:rsidR="006578ED" w14:paraId="6D94727D" w14:textId="77777777">
        <w:trPr>
          <w:trHeight w:val="309"/>
        </w:trPr>
        <w:tc>
          <w:tcPr>
            <w:tcW w:w="709" w:type="dxa"/>
            <w:shd w:val="clear" w:color="auto" w:fill="C6EFCE"/>
            <w:noWrap/>
          </w:tcPr>
          <w:p w14:paraId="54AD7792" w14:textId="49F5FF86" w:rsidR="006578ED" w:rsidRDefault="00A1618E">
            <w:pPr>
              <w:pStyle w:val="P68B1DB1-Normal13"/>
              <w:spacing w:after="0" w:line="240" w:lineRule="auto"/>
              <w:jc w:val="center"/>
              <w:rPr>
                <w:rFonts w:cs="Times New Roman"/>
                <w:noProof/>
              </w:rPr>
            </w:pPr>
            <w:r>
              <w:rPr>
                <w:noProof/>
              </w:rPr>
              <w:t>327</w:t>
            </w:r>
          </w:p>
        </w:tc>
        <w:tc>
          <w:tcPr>
            <w:tcW w:w="851" w:type="dxa"/>
            <w:shd w:val="clear" w:color="auto" w:fill="C6EFCE"/>
            <w:noWrap/>
          </w:tcPr>
          <w:p w14:paraId="1DD10EC2" w14:textId="7D588441" w:rsidR="006578ED" w:rsidRDefault="00A1618E">
            <w:pPr>
              <w:pStyle w:val="P68B1DB1-Normal13"/>
              <w:spacing w:after="0" w:line="240" w:lineRule="auto"/>
              <w:jc w:val="center"/>
              <w:rPr>
                <w:rFonts w:cs="Times New Roman"/>
                <w:noProof/>
              </w:rPr>
            </w:pPr>
            <w:r>
              <w:rPr>
                <w:noProof/>
              </w:rPr>
              <w:t>C22.I4</w:t>
            </w:r>
          </w:p>
        </w:tc>
        <w:tc>
          <w:tcPr>
            <w:tcW w:w="992" w:type="dxa"/>
            <w:shd w:val="clear" w:color="auto" w:fill="C6EFCE"/>
            <w:noWrap/>
          </w:tcPr>
          <w:p w14:paraId="782FDF79" w14:textId="1E138E8D" w:rsidR="006578ED" w:rsidRDefault="00AF6B91">
            <w:pPr>
              <w:pStyle w:val="P68B1DB1-Normal13"/>
              <w:spacing w:after="0" w:line="240" w:lineRule="auto"/>
              <w:jc w:val="center"/>
              <w:rPr>
                <w:rFonts w:cs="Times New Roman"/>
                <w:noProof/>
              </w:rPr>
            </w:pPr>
            <w:r>
              <w:rPr>
                <w:noProof/>
              </w:rPr>
              <w:t>Cel</w:t>
            </w:r>
          </w:p>
        </w:tc>
        <w:tc>
          <w:tcPr>
            <w:tcW w:w="3119" w:type="dxa"/>
            <w:shd w:val="clear" w:color="auto" w:fill="C6EFCE"/>
            <w:noWrap/>
          </w:tcPr>
          <w:p w14:paraId="5F9D0B3C" w14:textId="1059C8BB" w:rsidR="006578ED" w:rsidRDefault="00A1618E">
            <w:pPr>
              <w:pStyle w:val="P68B1DB1-Normal13"/>
              <w:spacing w:after="0" w:line="240" w:lineRule="auto"/>
              <w:rPr>
                <w:rFonts w:cs="Times New Roman"/>
                <w:noProof/>
              </w:rPr>
            </w:pPr>
            <w:r>
              <w:rPr>
                <w:noProof/>
              </w:rPr>
              <w:t>Ośrodki dla ofiar przemocy seksualnej.</w:t>
            </w:r>
          </w:p>
        </w:tc>
        <w:tc>
          <w:tcPr>
            <w:tcW w:w="992" w:type="dxa"/>
            <w:shd w:val="clear" w:color="auto" w:fill="C6EFCE"/>
            <w:noWrap/>
          </w:tcPr>
          <w:p w14:paraId="26C4D464" w14:textId="5F76672D" w:rsidR="006578ED" w:rsidRDefault="00A1618E">
            <w:pPr>
              <w:pStyle w:val="P68B1DB1-Normal13"/>
              <w:spacing w:after="0" w:line="240" w:lineRule="auto"/>
              <w:jc w:val="center"/>
              <w:rPr>
                <w:rFonts w:cs="Times New Roman"/>
                <w:noProof/>
              </w:rPr>
            </w:pPr>
            <w:r>
              <w:rPr>
                <w:noProof/>
              </w:rPr>
              <w:t> </w:t>
            </w:r>
          </w:p>
        </w:tc>
        <w:tc>
          <w:tcPr>
            <w:tcW w:w="850" w:type="dxa"/>
            <w:shd w:val="clear" w:color="auto" w:fill="C6EFCE"/>
            <w:noWrap/>
          </w:tcPr>
          <w:p w14:paraId="6814C0C4" w14:textId="5C6120DB" w:rsidR="006578ED" w:rsidRDefault="00A1618E">
            <w:pPr>
              <w:pStyle w:val="P68B1DB1-Normal13"/>
              <w:spacing w:after="0" w:line="240" w:lineRule="auto"/>
              <w:jc w:val="center"/>
              <w:rPr>
                <w:rFonts w:cs="Times New Roman"/>
                <w:noProof/>
              </w:rPr>
            </w:pPr>
            <w:r>
              <w:rPr>
                <w:noProof/>
              </w:rPr>
              <w:t>Liczba</w:t>
            </w:r>
          </w:p>
        </w:tc>
        <w:tc>
          <w:tcPr>
            <w:tcW w:w="851" w:type="dxa"/>
            <w:shd w:val="clear" w:color="auto" w:fill="C6EFCE"/>
            <w:noWrap/>
          </w:tcPr>
          <w:p w14:paraId="7F340122" w14:textId="153666E6" w:rsidR="006578ED" w:rsidRDefault="00A1618E">
            <w:pPr>
              <w:pStyle w:val="P68B1DB1-Normal13"/>
              <w:spacing w:after="0" w:line="240" w:lineRule="auto"/>
              <w:jc w:val="right"/>
              <w:rPr>
                <w:rFonts w:cs="Times New Roman"/>
                <w:noProof/>
              </w:rPr>
            </w:pPr>
            <w:r>
              <w:rPr>
                <w:noProof/>
              </w:rPr>
              <w:t>19</w:t>
            </w:r>
          </w:p>
        </w:tc>
        <w:tc>
          <w:tcPr>
            <w:tcW w:w="709" w:type="dxa"/>
            <w:shd w:val="clear" w:color="auto" w:fill="C6EFCE"/>
            <w:noWrap/>
          </w:tcPr>
          <w:p w14:paraId="091C5EB4" w14:textId="63164A43" w:rsidR="006578ED" w:rsidRDefault="00A1618E">
            <w:pPr>
              <w:pStyle w:val="P68B1DB1-Normal13"/>
              <w:spacing w:after="0" w:line="240" w:lineRule="auto"/>
              <w:jc w:val="center"/>
              <w:rPr>
                <w:rFonts w:cs="Times New Roman"/>
                <w:noProof/>
              </w:rPr>
            </w:pPr>
            <w:r>
              <w:rPr>
                <w:noProof/>
              </w:rPr>
              <w:t>52</w:t>
            </w:r>
          </w:p>
        </w:tc>
        <w:tc>
          <w:tcPr>
            <w:tcW w:w="567" w:type="dxa"/>
            <w:shd w:val="clear" w:color="auto" w:fill="C6EFCE"/>
            <w:noWrap/>
          </w:tcPr>
          <w:p w14:paraId="2069E1DB" w14:textId="6DFF5E27" w:rsidR="006578ED" w:rsidRDefault="00EC188C">
            <w:pPr>
              <w:pStyle w:val="P68B1DB1-Normal13"/>
              <w:spacing w:after="0" w:line="240" w:lineRule="auto"/>
              <w:jc w:val="center"/>
              <w:rPr>
                <w:rFonts w:cs="Times New Roman"/>
                <w:noProof/>
              </w:rPr>
            </w:pPr>
            <w:r>
              <w:rPr>
                <w:noProof/>
              </w:rPr>
              <w:t>KW. 4</w:t>
            </w:r>
          </w:p>
        </w:tc>
        <w:tc>
          <w:tcPr>
            <w:tcW w:w="810" w:type="dxa"/>
            <w:shd w:val="clear" w:color="auto" w:fill="C6EFCE"/>
            <w:noWrap/>
          </w:tcPr>
          <w:p w14:paraId="190A4675" w14:textId="529D5F02" w:rsidR="006578ED" w:rsidRDefault="00A1618E">
            <w:pPr>
              <w:pStyle w:val="P68B1DB1-Normal13"/>
              <w:spacing w:after="0" w:line="240" w:lineRule="auto"/>
              <w:jc w:val="center"/>
              <w:rPr>
                <w:rFonts w:cs="Times New Roman"/>
                <w:noProof/>
              </w:rPr>
            </w:pPr>
            <w:r>
              <w:rPr>
                <w:noProof/>
              </w:rPr>
              <w:t>2024</w:t>
            </w:r>
          </w:p>
        </w:tc>
        <w:tc>
          <w:tcPr>
            <w:tcW w:w="4860" w:type="dxa"/>
            <w:shd w:val="clear" w:color="auto" w:fill="C6EFCE"/>
            <w:noWrap/>
          </w:tcPr>
          <w:p w14:paraId="3A3DBD50" w14:textId="5B5FFD1B" w:rsidR="006578ED" w:rsidRDefault="00A1618E">
            <w:pPr>
              <w:pStyle w:val="P68B1DB1-Normal13"/>
              <w:spacing w:after="0" w:line="240" w:lineRule="auto"/>
              <w:rPr>
                <w:rFonts w:cs="Times New Roman"/>
                <w:noProof/>
              </w:rPr>
            </w:pPr>
            <w:r>
              <w:rPr>
                <w:noProof/>
              </w:rPr>
              <w:t>Co najmniej jeden kompleksowy ośrodek opieki dla ofiar przemocy seksualnej działający w każdej prowincji, a także jeden ośrodek w autonomicznych hiszpańskich miastach Ceuta i Melilla. Data poziomu bazowego: 1 lutego 20</w:t>
            </w:r>
            <w:r w:rsidRPr="00A1618E">
              <w:rPr>
                <w:noProof/>
                <w:lang w:val="pl-PL"/>
              </w:rPr>
              <w:t>20 r.</w:t>
            </w:r>
          </w:p>
        </w:tc>
      </w:tr>
      <w:tr w:rsidR="006578ED" w14:paraId="2D552F17" w14:textId="77777777">
        <w:trPr>
          <w:trHeight w:val="309"/>
        </w:trPr>
        <w:tc>
          <w:tcPr>
            <w:tcW w:w="709" w:type="dxa"/>
            <w:shd w:val="clear" w:color="auto" w:fill="C6EFCE"/>
            <w:noWrap/>
          </w:tcPr>
          <w:p w14:paraId="72F909BD" w14:textId="77777777" w:rsidR="006578ED" w:rsidRDefault="00A1618E">
            <w:pPr>
              <w:pStyle w:val="P68B1DB1-Normal13"/>
              <w:spacing w:after="0" w:line="240" w:lineRule="auto"/>
              <w:jc w:val="center"/>
              <w:rPr>
                <w:rFonts w:cs="Times New Roman"/>
                <w:noProof/>
              </w:rPr>
            </w:pPr>
            <w:r>
              <w:rPr>
                <w:noProof/>
              </w:rPr>
              <w:t>328</w:t>
            </w:r>
          </w:p>
        </w:tc>
        <w:tc>
          <w:tcPr>
            <w:tcW w:w="851" w:type="dxa"/>
            <w:shd w:val="clear" w:color="auto" w:fill="C6EFCE"/>
            <w:noWrap/>
          </w:tcPr>
          <w:p w14:paraId="56F779E4" w14:textId="77777777" w:rsidR="006578ED" w:rsidRDefault="00A1618E">
            <w:pPr>
              <w:pStyle w:val="P68B1DB1-Normal13"/>
              <w:spacing w:after="0" w:line="240" w:lineRule="auto"/>
              <w:jc w:val="center"/>
              <w:rPr>
                <w:rFonts w:cs="Times New Roman"/>
                <w:noProof/>
              </w:rPr>
            </w:pPr>
            <w:r>
              <w:rPr>
                <w:noProof/>
              </w:rPr>
              <w:t>C22.I5</w:t>
            </w:r>
          </w:p>
        </w:tc>
        <w:tc>
          <w:tcPr>
            <w:tcW w:w="992" w:type="dxa"/>
            <w:shd w:val="clear" w:color="auto" w:fill="C6EFCE"/>
            <w:noWrap/>
          </w:tcPr>
          <w:p w14:paraId="6F0BFEC2" w14:textId="53F427B2" w:rsidR="006578ED" w:rsidRDefault="00AF6B91">
            <w:pPr>
              <w:pStyle w:val="P68B1DB1-Normal13"/>
              <w:spacing w:after="0" w:line="240" w:lineRule="auto"/>
              <w:jc w:val="center"/>
              <w:rPr>
                <w:rFonts w:cs="Times New Roman"/>
                <w:noProof/>
              </w:rPr>
            </w:pPr>
            <w:r>
              <w:rPr>
                <w:noProof/>
              </w:rPr>
              <w:t>Cel</w:t>
            </w:r>
          </w:p>
        </w:tc>
        <w:tc>
          <w:tcPr>
            <w:tcW w:w="3119" w:type="dxa"/>
            <w:shd w:val="clear" w:color="auto" w:fill="C6EFCE"/>
            <w:noWrap/>
          </w:tcPr>
          <w:p w14:paraId="3A395E00" w14:textId="17EE1AC0" w:rsidR="006578ED" w:rsidRDefault="00A1618E">
            <w:pPr>
              <w:pStyle w:val="P68B1DB1-Normal13"/>
              <w:spacing w:after="0" w:line="240" w:lineRule="auto"/>
              <w:rPr>
                <w:rFonts w:cs="Times New Roman"/>
                <w:noProof/>
              </w:rPr>
            </w:pPr>
            <w:r>
              <w:rPr>
                <w:noProof/>
              </w:rPr>
              <w:t xml:space="preserve">Potencjał systemu przyjmowania migrantów i osób ubiegających się o ochronę międzynarodową </w:t>
            </w:r>
          </w:p>
        </w:tc>
        <w:tc>
          <w:tcPr>
            <w:tcW w:w="992" w:type="dxa"/>
            <w:shd w:val="clear" w:color="auto" w:fill="C6EFCE"/>
            <w:noWrap/>
          </w:tcPr>
          <w:p w14:paraId="45D7F3DA" w14:textId="77777777" w:rsidR="006578ED" w:rsidRDefault="00A1618E">
            <w:pPr>
              <w:pStyle w:val="P68B1DB1-Normal13"/>
              <w:spacing w:after="0" w:line="240" w:lineRule="auto"/>
              <w:jc w:val="center"/>
              <w:rPr>
                <w:rFonts w:cs="Times New Roman"/>
                <w:noProof/>
              </w:rPr>
            </w:pPr>
            <w:r>
              <w:rPr>
                <w:noProof/>
              </w:rPr>
              <w:t xml:space="preserve"> </w:t>
            </w:r>
          </w:p>
        </w:tc>
        <w:tc>
          <w:tcPr>
            <w:tcW w:w="850" w:type="dxa"/>
            <w:shd w:val="clear" w:color="auto" w:fill="C6EFCE"/>
            <w:noWrap/>
          </w:tcPr>
          <w:p w14:paraId="08B2C179" w14:textId="77777777" w:rsidR="006578ED" w:rsidRDefault="00A1618E">
            <w:pPr>
              <w:pStyle w:val="P68B1DB1-Normal13"/>
              <w:spacing w:after="0" w:line="240" w:lineRule="auto"/>
              <w:jc w:val="center"/>
              <w:rPr>
                <w:rFonts w:cs="Times New Roman"/>
                <w:noProof/>
              </w:rPr>
            </w:pPr>
            <w:r>
              <w:rPr>
                <w:noProof/>
              </w:rPr>
              <w:t>Liczba</w:t>
            </w:r>
          </w:p>
        </w:tc>
        <w:tc>
          <w:tcPr>
            <w:tcW w:w="851" w:type="dxa"/>
            <w:shd w:val="clear" w:color="auto" w:fill="C6EFCE"/>
            <w:noWrap/>
          </w:tcPr>
          <w:p w14:paraId="4CB4F92D" w14:textId="77777777" w:rsidR="006578ED" w:rsidRDefault="00A1618E">
            <w:pPr>
              <w:pStyle w:val="P68B1DB1-Normal13"/>
              <w:spacing w:after="0" w:line="240" w:lineRule="auto"/>
              <w:jc w:val="right"/>
              <w:rPr>
                <w:rFonts w:cs="Times New Roman"/>
                <w:noProof/>
              </w:rPr>
            </w:pPr>
            <w:r>
              <w:rPr>
                <w:noProof/>
              </w:rPr>
              <w:t>400</w:t>
            </w:r>
          </w:p>
        </w:tc>
        <w:tc>
          <w:tcPr>
            <w:tcW w:w="709" w:type="dxa"/>
            <w:shd w:val="clear" w:color="auto" w:fill="C6EFCE"/>
            <w:noWrap/>
          </w:tcPr>
          <w:p w14:paraId="55C8125B" w14:textId="77777777" w:rsidR="006578ED" w:rsidRDefault="00A1618E">
            <w:pPr>
              <w:pStyle w:val="P68B1DB1-Normal13"/>
              <w:spacing w:after="0" w:line="240" w:lineRule="auto"/>
              <w:jc w:val="center"/>
              <w:rPr>
                <w:rFonts w:cs="Times New Roman"/>
                <w:noProof/>
              </w:rPr>
            </w:pPr>
            <w:r>
              <w:rPr>
                <w:noProof/>
              </w:rPr>
              <w:t>6 100</w:t>
            </w:r>
          </w:p>
        </w:tc>
        <w:tc>
          <w:tcPr>
            <w:tcW w:w="567" w:type="dxa"/>
            <w:shd w:val="clear" w:color="auto" w:fill="C6EFCE"/>
            <w:noWrap/>
          </w:tcPr>
          <w:p w14:paraId="7775132F" w14:textId="43B9A1F8" w:rsidR="006578ED" w:rsidRDefault="00EC188C">
            <w:pPr>
              <w:pStyle w:val="P68B1DB1-Normal13"/>
              <w:spacing w:after="0" w:line="240" w:lineRule="auto"/>
              <w:jc w:val="center"/>
              <w:rPr>
                <w:rFonts w:cs="Times New Roman"/>
                <w:noProof/>
              </w:rPr>
            </w:pPr>
            <w:r>
              <w:rPr>
                <w:noProof/>
              </w:rPr>
              <w:t>KW. 2</w:t>
            </w:r>
          </w:p>
        </w:tc>
        <w:tc>
          <w:tcPr>
            <w:tcW w:w="810" w:type="dxa"/>
            <w:shd w:val="clear" w:color="auto" w:fill="C6EFCE"/>
            <w:noWrap/>
          </w:tcPr>
          <w:p w14:paraId="616DE204" w14:textId="5311080C" w:rsidR="006578ED" w:rsidRDefault="00A1618E">
            <w:pPr>
              <w:pStyle w:val="P68B1DB1-Normal13"/>
              <w:spacing w:after="0" w:line="240" w:lineRule="auto"/>
              <w:jc w:val="center"/>
              <w:rPr>
                <w:rFonts w:cs="Times New Roman"/>
                <w:noProof/>
              </w:rPr>
            </w:pPr>
            <w:r>
              <w:rPr>
                <w:noProof/>
              </w:rPr>
              <w:t>2026</w:t>
            </w:r>
          </w:p>
        </w:tc>
        <w:tc>
          <w:tcPr>
            <w:tcW w:w="4860" w:type="dxa"/>
            <w:shd w:val="clear" w:color="auto" w:fill="C6EFCE"/>
            <w:noWrap/>
          </w:tcPr>
          <w:p w14:paraId="4F849BAE" w14:textId="6A78BA38" w:rsidR="006578ED" w:rsidRDefault="00A1618E">
            <w:pPr>
              <w:pStyle w:val="P68B1DB1-Normal13"/>
              <w:spacing w:after="0" w:line="240" w:lineRule="auto"/>
              <w:rPr>
                <w:rFonts w:cs="Times New Roman"/>
                <w:noProof/>
              </w:rPr>
            </w:pPr>
            <w:r>
              <w:rPr>
                <w:noProof/>
              </w:rPr>
              <w:t>Zwiększenie zdolności systemu przyjmowania osób ubiegających się o ochronę międzynarodową ubiegających się o azyl w ośrodkach Ministerstwa ds. Włączenia Społecznego, Zabezpieczenia Społecznego i Migracji o co najmniej 5700 miejsc w porównaniu z 20</w:t>
            </w:r>
            <w:r w:rsidRPr="00A1618E">
              <w:rPr>
                <w:noProof/>
                <w:lang w:val="pl-PL"/>
              </w:rPr>
              <w:t>19 r.</w:t>
            </w:r>
            <w:r>
              <w:rPr>
                <w:noProof/>
              </w:rPr>
              <w:t xml:space="preserve"> Co najmniej 176 000 000 EUR wydaje się na budowę i renowację budynków, zapewniając efektywność energetyczną. Data poziomu bazowego: 31 grudnia 20</w:t>
            </w:r>
            <w:r w:rsidRPr="00A1618E">
              <w:rPr>
                <w:noProof/>
                <w:lang w:val="pl-PL"/>
              </w:rPr>
              <w:t>19 r.</w:t>
            </w:r>
          </w:p>
        </w:tc>
      </w:tr>
    </w:tbl>
    <w:p w14:paraId="37FC46C5" w14:textId="77777777" w:rsidR="006578ED" w:rsidRDefault="006578ED">
      <w:pPr>
        <w:spacing w:before="120" w:after="120" w:line="240" w:lineRule="auto"/>
        <w:ind w:left="709"/>
        <w:jc w:val="both"/>
        <w:rPr>
          <w:rFonts w:ascii="Times New Roman" w:hAnsi="Times New Roman" w:cs="Times New Roman"/>
          <w:noProof/>
          <w:sz w:val="24"/>
        </w:rPr>
        <w:sectPr w:rsidR="006578ED" w:rsidSect="00C94F66">
          <w:headerReference w:type="even" r:id="rId429"/>
          <w:headerReference w:type="default" r:id="rId430"/>
          <w:footerReference w:type="even" r:id="rId431"/>
          <w:footerReference w:type="default" r:id="rId432"/>
          <w:headerReference w:type="first" r:id="rId433"/>
          <w:footerReference w:type="first" r:id="rId434"/>
          <w:pgSz w:w="16839" w:h="11907" w:orient="landscape"/>
          <w:pgMar w:top="1417" w:right="1134" w:bottom="1417" w:left="1134" w:header="709" w:footer="709" w:gutter="0"/>
          <w:cols w:space="720"/>
          <w:docGrid w:linePitch="360"/>
        </w:sectPr>
      </w:pPr>
    </w:p>
    <w:p w14:paraId="2FE65CC7" w14:textId="1DC0D665" w:rsidR="006578ED" w:rsidRDefault="00A1618E">
      <w:pPr>
        <w:pStyle w:val="P68B1DB1-Text138"/>
        <w:ind w:left="709"/>
        <w:rPr>
          <w:rFonts w:cs="Times New Roman"/>
          <w:noProof/>
        </w:rPr>
      </w:pPr>
      <w:r>
        <w:rPr>
          <w:noProof/>
        </w:rPr>
        <w:t xml:space="preserve">V.3. </w:t>
      </w:r>
      <w:r>
        <w:rPr>
          <w:noProof/>
        </w:rPr>
        <w:tab/>
        <w:t>Opis reform i inwestycji na potrzeby wsparcia w formie pożyczki</w:t>
      </w:r>
    </w:p>
    <w:p w14:paraId="1E18E23A" w14:textId="0ACFEABB" w:rsidR="006578ED" w:rsidRDefault="00A1618E">
      <w:pPr>
        <w:pStyle w:val="P68B1DB1-P68B1DB1-Normal339"/>
        <w:spacing w:line="240" w:lineRule="auto"/>
        <w:jc w:val="both"/>
        <w:rPr>
          <w:b/>
          <w:noProof/>
        </w:rPr>
      </w:pPr>
      <w:r>
        <w:rPr>
          <w:noProof/>
          <w:u w:val="single"/>
        </w:rPr>
        <w:t>Reforma 6 (C22.R6): Wzmocnienie mechanizmów gwarancyjnych w celu zapewnienia wyższego poziomu ochrony praw w niektórych przypadkach, gdy konsument jest dotknięty szczególną podatnością na zagrożenia społeczne i ekonomiczne</w:t>
      </w:r>
      <w:r>
        <w:rPr>
          <w:b/>
          <w:noProof/>
        </w:rPr>
        <w:t xml:space="preserve">. </w:t>
      </w:r>
    </w:p>
    <w:p w14:paraId="3BAB9ACB" w14:textId="03EF0E77" w:rsidR="006578ED" w:rsidRPr="00A1618E" w:rsidRDefault="00A1618E">
      <w:pPr>
        <w:pStyle w:val="P68B1DB1-P68B1DB1-Normal339"/>
        <w:spacing w:line="240" w:lineRule="auto"/>
        <w:jc w:val="both"/>
        <w:rPr>
          <w:noProof/>
          <w:lang w:val="pl-PL"/>
        </w:rPr>
      </w:pPr>
      <w:r>
        <w:rPr>
          <w:noProof/>
        </w:rPr>
        <w:t>Celem reformy jest przyjęcie różnych środków mających na celu ochronę konsumentów i użytkowników przed trudną sytuacją społeczną i gospodarczą</w:t>
      </w:r>
      <w:r w:rsidRPr="00A1618E">
        <w:rPr>
          <w:noProof/>
          <w:lang w:val="pl-PL"/>
        </w:rPr>
        <w:t>.</w:t>
      </w:r>
      <w:r w:rsidRPr="00A1618E">
        <w:rPr>
          <w:noProof/>
          <w:shd w:val="clear" w:color="auto" w:fill="E6E6E6"/>
          <w:lang w:val="pl-PL"/>
        </w:rPr>
        <w:t xml:space="preserve"> </w:t>
      </w:r>
    </w:p>
    <w:p w14:paraId="415E41C7" w14:textId="3B38BBAF" w:rsidR="006578ED" w:rsidRDefault="00A1618E">
      <w:pPr>
        <w:pStyle w:val="P68B1DB1-P68B1DB1-Normal339"/>
        <w:spacing w:line="240" w:lineRule="auto"/>
        <w:jc w:val="both"/>
        <w:rPr>
          <w:noProof/>
        </w:rPr>
      </w:pPr>
      <w:r>
        <w:rPr>
          <w:noProof/>
        </w:rPr>
        <w:t>Reforma obejmuje co najmniej przyjęcie przepisów dotyczących etykietowania w alfabecie Braille’a, jak również w innych formatach, aby zagwarantować powszechną dostępność towarów konsumpcyjnych i produktów o szczególnym znaczeniu dla ochrony bezpieczeństwa, integralności i jakości życia, zwłaszcza dla osób niewidomych i niedowidzących jako konsumentów podatnych na zagrożenia. Ponadto reforma ma na celu zmianę przepisów w celu zapewnienia zindywidualizowanego traktowania usług płatniczych na żądanie konsumentów i użytkowników znajdujących się w trudnej sytuacji, aby uniknąć dyskryminacji ze względu na „przepaść cyfrową”.</w:t>
      </w:r>
    </w:p>
    <w:p w14:paraId="580E3593" w14:textId="4F363396" w:rsidR="006578ED" w:rsidRDefault="00A1618E">
      <w:pPr>
        <w:pStyle w:val="P68B1DB1-P68B1DB1-Normal339"/>
        <w:spacing w:line="240" w:lineRule="auto"/>
        <w:jc w:val="both"/>
        <w:rPr>
          <w:noProof/>
        </w:rPr>
      </w:pPr>
      <w:r>
        <w:rPr>
          <w:noProof/>
        </w:rPr>
        <w:t>Wdrażanie środka zostanie zakończone do dnia 31 grudnia 20</w:t>
      </w:r>
      <w:r w:rsidRPr="00A1618E">
        <w:rPr>
          <w:noProof/>
          <w:lang w:val="pl-PL"/>
        </w:rPr>
        <w:t>25 r.</w:t>
      </w:r>
      <w:r>
        <w:rPr>
          <w:noProof/>
        </w:rPr>
        <w:t xml:space="preserve"> </w:t>
      </w:r>
    </w:p>
    <w:p w14:paraId="6FDD9A91" w14:textId="3630CAD4" w:rsidR="006578ED" w:rsidRDefault="00A1618E">
      <w:pPr>
        <w:pStyle w:val="P68B1DB1-Normal6"/>
        <w:rPr>
          <w:rFonts w:eastAsiaTheme="minorEastAsia" w:cs="Times New Roman"/>
          <w:noProof/>
        </w:rPr>
      </w:pPr>
      <w:r>
        <w:rPr>
          <w:noProof/>
        </w:rPr>
        <w:t>Inwestycja 6 (C22.I6): Fundusz Skutków Społecznych (FIS)</w:t>
      </w:r>
    </w:p>
    <w:p w14:paraId="237F961A" w14:textId="24355489" w:rsidR="006578ED" w:rsidRPr="00A1618E" w:rsidRDefault="00A1618E">
      <w:pPr>
        <w:spacing w:line="240" w:lineRule="auto"/>
        <w:jc w:val="both"/>
        <w:rPr>
          <w:rStyle w:val="normaltextrun"/>
          <w:rFonts w:ascii="Times New Roman" w:eastAsia="Times New Roman" w:hAnsi="Times New Roman" w:cs="Times New Roman"/>
          <w:noProof/>
          <w:sz w:val="24"/>
          <w:shd w:val="clear" w:color="auto" w:fill="FFFFFF"/>
          <w:lang w:val="pl-PL"/>
        </w:rPr>
      </w:pPr>
      <w:r>
        <w:rPr>
          <w:rStyle w:val="normaltextrun"/>
          <w:rFonts w:ascii="Times New Roman" w:hAnsi="Times New Roman"/>
          <w:noProof/>
          <w:sz w:val="24"/>
        </w:rPr>
        <w:t>Środek ten obejmuje inwestycje publiczne w instrument – Fundusz na rzecz Skutków Społecznych – w celu zachęcenia do inwestycji prywatnych i </w:t>
      </w:r>
      <w:r>
        <w:rPr>
          <w:rStyle w:val="normaltextrun"/>
          <w:rFonts w:ascii="Times New Roman" w:hAnsi="Times New Roman"/>
          <w:noProof/>
          <w:sz w:val="24"/>
          <w:shd w:val="clear" w:color="auto" w:fill="FFFFFF"/>
        </w:rPr>
        <w:t>poprawy dostępu do finansowania w hiszpańskim sektorze oddziaływania społecznego</w:t>
      </w:r>
      <w:r>
        <w:rPr>
          <w:rFonts w:ascii="Times New Roman" w:hAnsi="Times New Roman"/>
          <w:noProof/>
          <w:sz w:val="24"/>
        </w:rPr>
        <w:t>, w szczególności projektów, które przyczyniają się do rozwiązań społecznych i środowiskowych, z uwzględnieniem procedur pomiaru skutków i zarządzania ustanowionych przez najlepsze praktyki branżowe (GIIN i inne), oraz w celu rozwoju rynków kapitałowych w tych obszarach. Instrument ten działa poprzez udzielanie</w:t>
      </w:r>
      <w:r>
        <w:rPr>
          <w:rStyle w:val="normaltextrun"/>
          <w:rFonts w:ascii="Times New Roman" w:hAnsi="Times New Roman"/>
          <w:noProof/>
          <w:sz w:val="24"/>
          <w:shd w:val="clear" w:color="auto" w:fill="FFFFFF"/>
        </w:rPr>
        <w:t xml:space="preserve"> </w:t>
      </w:r>
      <w:r>
        <w:rPr>
          <w:rStyle w:val="normaltextrun"/>
          <w:rFonts w:ascii="Times New Roman" w:hAnsi="Times New Roman"/>
          <w:noProof/>
          <w:sz w:val="24"/>
        </w:rPr>
        <w:t>pożyczek,</w:t>
      </w:r>
      <w:r>
        <w:rPr>
          <w:rStyle w:val="normaltextrun"/>
          <w:rFonts w:ascii="Times New Roman" w:hAnsi="Times New Roman"/>
          <w:noProof/>
          <w:sz w:val="24"/>
          <w:shd w:val="clear" w:color="auto" w:fill="FFFFFF"/>
        </w:rPr>
        <w:t>inwestycji kapitałowych i quasi-kapitałowych, bezpośrednio lub przez pośredników,</w:t>
      </w:r>
      <w:r>
        <w:rPr>
          <w:rStyle w:val="normaltextrun"/>
          <w:rFonts w:ascii="Times New Roman" w:hAnsi="Times New Roman"/>
          <w:noProof/>
          <w:sz w:val="24"/>
        </w:rPr>
        <w:t xml:space="preserve"> sektorowi prywatnemu, a także podmiotom sektora publicznego prowadzącym podobną działalność.</w:t>
      </w:r>
      <w:r>
        <w:rPr>
          <w:rStyle w:val="normaltextrun"/>
          <w:rFonts w:ascii="Times New Roman" w:hAnsi="Times New Roman"/>
          <w:noProof/>
          <w:sz w:val="24"/>
          <w:shd w:val="clear" w:color="auto" w:fill="FFFFFF"/>
        </w:rPr>
        <w:t xml:space="preserve"> Na podstawie inwestycji w ramach RRF instrument ma początkowo zapewnić finansowanie w wysokości co najmniej 400 000 000 EUR</w:t>
      </w:r>
      <w:r w:rsidRPr="00A1618E">
        <w:rPr>
          <w:rStyle w:val="normaltextrun"/>
          <w:rFonts w:ascii="Times New Roman" w:hAnsi="Times New Roman"/>
          <w:noProof/>
          <w:sz w:val="24"/>
          <w:shd w:val="clear" w:color="auto" w:fill="FFFFFF"/>
          <w:lang w:val="pl-PL"/>
        </w:rPr>
        <w:t xml:space="preserve">. </w:t>
      </w:r>
    </w:p>
    <w:p w14:paraId="70AE2CCC" w14:textId="6DF9170E" w:rsidR="006578ED" w:rsidRDefault="00A1618E">
      <w:pPr>
        <w:spacing w:line="240" w:lineRule="auto"/>
        <w:jc w:val="both"/>
        <w:rPr>
          <w:rFonts w:ascii="Times New Roman" w:eastAsiaTheme="minorEastAsia" w:hAnsi="Times New Roman" w:cs="Times New Roman"/>
          <w:noProof/>
          <w:sz w:val="24"/>
        </w:rPr>
      </w:pPr>
      <w:r>
        <w:rPr>
          <w:rStyle w:val="normaltextrun"/>
          <w:rFonts w:ascii="Times New Roman" w:hAnsi="Times New Roman"/>
          <w:noProof/>
          <w:sz w:val="24"/>
          <w:shd w:val="clear" w:color="auto" w:fill="FFFFFF"/>
        </w:rPr>
        <w:t xml:space="preserve">Instrumentem zarządza Compañía Española de Financiación del Desarrollo (COFIDES) jako partner wykonawczy. Instrument obejmuje następujące trzy linie produktowe: </w:t>
      </w:r>
    </w:p>
    <w:p w14:paraId="64F987A4" w14:textId="74A7F139" w:rsidR="006578ED" w:rsidRDefault="00A1618E">
      <w:pPr>
        <w:pStyle w:val="P68B1DB1-ListParagraph7"/>
        <w:numPr>
          <w:ilvl w:val="0"/>
          <w:numId w:val="690"/>
        </w:numPr>
        <w:jc w:val="both"/>
        <w:rPr>
          <w:rFonts w:eastAsiaTheme="minorEastAsia" w:cs="Times New Roman"/>
          <w:noProof/>
        </w:rPr>
      </w:pPr>
      <w:r>
        <w:rPr>
          <w:noProof/>
        </w:rPr>
        <w:t xml:space="preserve">Subskrypcja udziałów w funduszach inwestycyjnych o wpływie społecznym. W pozycji tej nabywa się udziały w instrumentach inwestycyjnych zarządzanych przez prywatnych zarządzających finansami, mających na celu inwestowanie w projekty społeczne i środowiskowe na wszystkich etapach dojrzałości. Zakup jest ograniczony </w:t>
      </w:r>
      <w:r w:rsidRPr="00A1618E">
        <w:rPr>
          <w:noProof/>
          <w:lang w:val="pl-PL"/>
        </w:rPr>
        <w:t>do 2</w:t>
      </w:r>
      <w:r>
        <w:rPr>
          <w:noProof/>
        </w:rPr>
        <w:t xml:space="preserve">5 % całkowitej wartości udziałów w każdym funduszu, z wyjątkiem należycie uzasadnionych przypadków, w których odsetek ten może wzrosnąć, ale nie przekracza 49 %. Ponadto instrument nie może nabywać udziałów w więcej niż dwóch funduszach zarządzanych przez tego samego zarządzającego finansami, chyba że jeden z tych funduszy znajduje się w okresie zbycia i zdezinwestował co najmniej 50 % zarządzanych aktywów. </w:t>
      </w:r>
    </w:p>
    <w:p w14:paraId="53D59065" w14:textId="74EF5EC8" w:rsidR="006578ED" w:rsidRDefault="00A1618E">
      <w:pPr>
        <w:pStyle w:val="P68B1DB1-ListParagraph7"/>
        <w:numPr>
          <w:ilvl w:val="0"/>
          <w:numId w:val="690"/>
        </w:numPr>
        <w:jc w:val="both"/>
        <w:rPr>
          <w:rFonts w:eastAsiaTheme="minorEastAsia" w:cs="Times New Roman"/>
          <w:noProof/>
        </w:rPr>
      </w:pPr>
      <w:r>
        <w:rPr>
          <w:noProof/>
        </w:rPr>
        <w:t>Współinwestowanie lub współfinansowanie, poprzez instrumenty kapitałowe lub inne instrumenty dłużne, w projekty o wymiernym wpływie społecznym lub środowiskowym lub w przedsiębiorstwach, które zobowiązały się do realizacji nowych projektów o tych cechach</w:t>
      </w:r>
      <w:r w:rsidRPr="00A1618E">
        <w:rPr>
          <w:noProof/>
          <w:lang w:val="pl-PL"/>
        </w:rPr>
        <w:t>. P</w:t>
      </w:r>
      <w:r>
        <w:rPr>
          <w:noProof/>
        </w:rPr>
        <w:t xml:space="preserve">ozycja ta współinwestuje lub współfinansuje projekty z innymi funduszami publicznymi lub prywatnymi, w tym ewentualnie tymi, w których instrument nabył udziały. </w:t>
      </w:r>
    </w:p>
    <w:p w14:paraId="43114929" w14:textId="7C8A0022" w:rsidR="006578ED" w:rsidRDefault="00A1618E">
      <w:pPr>
        <w:pStyle w:val="P68B1DB1-ListParagraph7"/>
        <w:numPr>
          <w:ilvl w:val="0"/>
          <w:numId w:val="690"/>
        </w:numPr>
        <w:jc w:val="both"/>
        <w:rPr>
          <w:rFonts w:eastAsiaTheme="minorEastAsia" w:cs="Times New Roman"/>
          <w:noProof/>
        </w:rPr>
      </w:pPr>
      <w:r>
        <w:rPr>
          <w:noProof/>
        </w:rPr>
        <w:t>Pożyczki bezpośrednie i pożyczki partycypacyjne w przedsiębiorstwach, które realizują projekty o mierzalnym wpływie społecznym lub środowiskowym.</w:t>
      </w:r>
    </w:p>
    <w:p w14:paraId="093074E7" w14:textId="7ACEECCA" w:rsidR="006578ED" w:rsidRDefault="00A1618E">
      <w:pPr>
        <w:pStyle w:val="P68B1DB1-Normal4"/>
        <w:jc w:val="both"/>
        <w:rPr>
          <w:rFonts w:eastAsia="Times New Roman" w:cs="Times New Roman"/>
          <w:noProof/>
          <w:u w:val="single"/>
        </w:rPr>
      </w:pPr>
      <w:r>
        <w:rPr>
          <w:noProof/>
        </w:rPr>
        <w:t xml:space="preserve">Inwestycja ta obejmuje również instrument pomocy technicznej (TAF), którego celem jest poprawa zdolności beneficjentów do zarządzania ich oddziaływaniem i pomiaru ich wpływu na ich projekty inwestycyjne. Wspiera on również należyte zarządzanie finansami Instrumentu. TAF będzie zarządzany przez COFIDES i otrzyma wstępny przydział w wysokości </w:t>
      </w:r>
      <w:r w:rsidRPr="00A1618E">
        <w:rPr>
          <w:noProof/>
          <w:lang w:val="pl-PL"/>
        </w:rPr>
        <w:t>do 8</w:t>
      </w:r>
      <w:r>
        <w:rPr>
          <w:noProof/>
        </w:rPr>
        <w:t xml:space="preserve"> mln EUR.</w:t>
      </w:r>
    </w:p>
    <w:p w14:paraId="00E54E3E" w14:textId="7C0B5C12" w:rsidR="006578ED" w:rsidRDefault="00A1618E">
      <w:pPr>
        <w:pStyle w:val="P68B1DB1-Normal4"/>
        <w:spacing w:line="240" w:lineRule="auto"/>
        <w:jc w:val="both"/>
        <w:rPr>
          <w:rFonts w:eastAsia="Times New Roman" w:cs="Times New Roman"/>
          <w:noProof/>
        </w:rPr>
      </w:pPr>
      <w:r>
        <w:rPr>
          <w:noProof/>
        </w:rPr>
        <w:t xml:space="preserve">W celu realizacji inwestycji w instrument Hiszpania zatwierdza rozporządzenie i wszelkie powiązane dokumenty dotyczące utworzenia Instrumentu i zarządzania nim, które zawierają następującą treść: </w:t>
      </w:r>
    </w:p>
    <w:p w14:paraId="77F76082" w14:textId="1643509B" w:rsidR="006578ED" w:rsidRDefault="00A1618E">
      <w:pPr>
        <w:pStyle w:val="P68B1DB1-ListParagraph7"/>
        <w:numPr>
          <w:ilvl w:val="0"/>
          <w:numId w:val="764"/>
        </w:numPr>
        <w:spacing w:line="240" w:lineRule="auto"/>
        <w:contextualSpacing w:val="0"/>
        <w:jc w:val="both"/>
        <w:rPr>
          <w:rFonts w:eastAsia="Times New Roman" w:cs="Times New Roman"/>
          <w:noProof/>
        </w:rPr>
      </w:pPr>
      <w:r>
        <w:rPr>
          <w:noProof/>
        </w:rPr>
        <w:t>Opis procesu decyzyjnego w ramach Instrumentu</w:t>
      </w:r>
      <w:r w:rsidRPr="00A1618E">
        <w:rPr>
          <w:noProof/>
          <w:lang w:val="pl-PL"/>
        </w:rPr>
        <w:t>: D</w:t>
      </w:r>
      <w:r>
        <w:rPr>
          <w:noProof/>
        </w:rPr>
        <w:t>ecyzję o początkowej inwestycji instrumentu podejmuje komitet inwestycyjny lub inny odpowiedni równoważny organ zarządzający i zatwierdzana większością głosów członków niezależnych od rządu hiszpańskiego. Ostateczna decyzja inwestycyjna Instrumentu ogranicza się do zatwierdzenia (bez zmian) lub korzystania z prawa weta w odniesieniu do decyzji inwestycyjnej zaproponowanej przez komitet inwestycyjny lub odpowiedni równoważny organ zarządzający. W przypadku inwestycji przez pośredników ostateczną decyzję inwestycyjną podejmują pośrednicy.</w:t>
      </w:r>
    </w:p>
    <w:p w14:paraId="683E6013" w14:textId="77777777" w:rsidR="006578ED" w:rsidRDefault="00A1618E">
      <w:pPr>
        <w:pStyle w:val="P68B1DB1-ListParagraph7"/>
        <w:numPr>
          <w:ilvl w:val="0"/>
          <w:numId w:val="764"/>
        </w:numPr>
        <w:spacing w:line="240" w:lineRule="auto"/>
        <w:jc w:val="both"/>
        <w:rPr>
          <w:rFonts w:eastAsia="Times New Roman" w:cs="Times New Roman"/>
          <w:noProof/>
        </w:rPr>
      </w:pPr>
      <w:r>
        <w:rPr>
          <w:noProof/>
        </w:rPr>
        <w:t>Kluczowe wymogi powiązanej polityki inwestycyjnej, które obejmują:</w:t>
      </w:r>
    </w:p>
    <w:p w14:paraId="3BF8A03B" w14:textId="2E404E89" w:rsidR="006578ED" w:rsidRDefault="00A1618E">
      <w:pPr>
        <w:pStyle w:val="P68B1DB1-ListParagraph7"/>
        <w:numPr>
          <w:ilvl w:val="1"/>
          <w:numId w:val="764"/>
        </w:numPr>
        <w:spacing w:line="240" w:lineRule="auto"/>
        <w:jc w:val="both"/>
        <w:rPr>
          <w:rFonts w:eastAsia="Times New Roman" w:cs="Times New Roman"/>
          <w:noProof/>
        </w:rPr>
      </w:pPr>
      <w:r>
        <w:rPr>
          <w:noProof/>
        </w:rPr>
        <w:t>Opis produktów finansowych i kwalifikujących się beneficjentów końcowych zgodnie z opisem środka.</w:t>
      </w:r>
    </w:p>
    <w:p w14:paraId="4C27BD6B" w14:textId="77777777" w:rsidR="006578ED" w:rsidRDefault="00A1618E">
      <w:pPr>
        <w:pStyle w:val="P68B1DB1-ListParagraph7"/>
        <w:numPr>
          <w:ilvl w:val="1"/>
          <w:numId w:val="764"/>
        </w:numPr>
        <w:spacing w:line="240" w:lineRule="auto"/>
        <w:jc w:val="both"/>
        <w:rPr>
          <w:rFonts w:eastAsia="Times New Roman" w:cs="Times New Roman"/>
          <w:noProof/>
        </w:rPr>
      </w:pPr>
      <w:r>
        <w:rPr>
          <w:noProof/>
        </w:rPr>
        <w:t>Wymóg, aby wszystkie wspierane inwestycje były ekonomicznie opłacalne.</w:t>
      </w:r>
    </w:p>
    <w:p w14:paraId="2B9A7E60" w14:textId="28EB3842" w:rsidR="006578ED" w:rsidRPr="00A1618E" w:rsidRDefault="00A1618E">
      <w:pPr>
        <w:pStyle w:val="P68B1DB1-ListParagraph7"/>
        <w:numPr>
          <w:ilvl w:val="1"/>
          <w:numId w:val="764"/>
        </w:numPr>
        <w:spacing w:line="240" w:lineRule="auto"/>
        <w:jc w:val="both"/>
        <w:rPr>
          <w:rFonts w:eastAsia="Times New Roman" w:cs="Times New Roman"/>
          <w:noProof/>
          <w:lang w:val="pl-PL"/>
        </w:rPr>
      </w:pPr>
      <w:r>
        <w:rPr>
          <w:noProof/>
        </w:rPr>
        <w:t>Zakaz refinansowania wszelkich niespłaconych pożyczek</w:t>
      </w:r>
      <w:r w:rsidRPr="00A1618E">
        <w:rPr>
          <w:noProof/>
          <w:lang w:val="pl-PL"/>
        </w:rPr>
        <w:t xml:space="preserve">. </w:t>
      </w:r>
    </w:p>
    <w:p w14:paraId="60EEEDCF" w14:textId="4FFDAFFC" w:rsidR="006578ED" w:rsidRDefault="00A1618E">
      <w:pPr>
        <w:pStyle w:val="P68B1DB1-ListParagraph7"/>
        <w:numPr>
          <w:ilvl w:val="1"/>
          <w:numId w:val="764"/>
        </w:numPr>
        <w:spacing w:line="240" w:lineRule="auto"/>
        <w:jc w:val="both"/>
        <w:rPr>
          <w:rFonts w:eastAsia="Times New Roman" w:cs="Times New Roman"/>
          <w:noProof/>
        </w:rPr>
      </w:pPr>
      <w:r>
        <w:rPr>
          <w:noProof/>
        </w:rPr>
        <w:t xml:space="preserve">Wymóg zgodności z zasadą „nie czyń poważnych szkód” (DNSH) określoną w wytycznych technicznych dotyczących zasady „nie czyń poważnych szkód” (2021/C58/01), w szczególności: </w:t>
      </w:r>
    </w:p>
    <w:p w14:paraId="4925FC3C" w14:textId="2FFF1101" w:rsidR="006578ED" w:rsidRDefault="00A1618E">
      <w:pPr>
        <w:pStyle w:val="ListParagraph"/>
        <w:numPr>
          <w:ilvl w:val="2"/>
          <w:numId w:val="764"/>
        </w:numPr>
        <w:jc w:val="both"/>
        <w:rPr>
          <w:rFonts w:ascii="Times New Roman" w:eastAsia="Times New Roman" w:hAnsi="Times New Roman" w:cs="Times New Roman"/>
          <w:noProof/>
          <w:sz w:val="24"/>
        </w:rPr>
      </w:pPr>
      <w:r>
        <w:rPr>
          <w:rFonts w:ascii="Times New Roman" w:hAnsi="Times New Roman"/>
          <w:noProof/>
          <w:sz w:val="24"/>
        </w:rPr>
        <w:t>W przypadku pożyczek, obligacji projektowych lub równoważnych instrumentów: polityka inwestycyjna wyłącza z kwalifikowalności następujący wykaz działań i aktywów: działania i aktywa związane z paliwami kopalnymi, w tym wykorzystanie niższego szczebla,</w:t>
      </w:r>
      <w:r>
        <w:rPr>
          <w:rStyle w:val="FootnoteReference"/>
          <w:rFonts w:ascii="Times New Roman" w:eastAsia="Times New Roman" w:hAnsi="Times New Roman" w:cs="Times New Roman"/>
          <w:noProof/>
          <w:sz w:val="24"/>
        </w:rPr>
        <w:footnoteReference w:id="191"/>
      </w:r>
      <w:r>
        <w:rPr>
          <w:rFonts w:ascii="Times New Roman" w:hAnsi="Times New Roman"/>
          <w:noProof/>
          <w:sz w:val="24"/>
        </w:rPr>
        <w:t>(ii) działania i aktywa w ramach unijnego systemu handlu uprawnieniami do emisji (ETS) zapewniające prognozowane emisje gazów cieplarnianych, które nie są niższe od odpowiednich poziomów odniesienia</w:t>
      </w:r>
      <w:r>
        <w:rPr>
          <w:rStyle w:val="FootnoteReference"/>
          <w:rFonts w:ascii="Times New Roman" w:eastAsia="Times New Roman" w:hAnsi="Times New Roman" w:cs="Times New Roman"/>
          <w:noProof/>
          <w:sz w:val="24"/>
        </w:rPr>
        <w:footnoteReference w:id="192"/>
      </w:r>
      <w:r>
        <w:rPr>
          <w:rFonts w:ascii="Times New Roman" w:hAnsi="Times New Roman"/>
          <w:noProof/>
          <w:sz w:val="24"/>
        </w:rPr>
        <w:t xml:space="preserve">, (iii) działania i aktywa związane ze składowiskami odpadów, spalarniami i zakładami mechaniczno-biologicznego przetwarzania odpadów. </w:t>
      </w:r>
    </w:p>
    <w:p w14:paraId="514A6210" w14:textId="3FA53710" w:rsidR="006578ED" w:rsidRDefault="00A1618E">
      <w:pPr>
        <w:pStyle w:val="ListParagraph"/>
        <w:numPr>
          <w:ilvl w:val="2"/>
          <w:numId w:val="764"/>
        </w:numPr>
        <w:jc w:val="both"/>
        <w:rPr>
          <w:rFonts w:ascii="Times New Roman" w:eastAsia="Times New Roman" w:hAnsi="Times New Roman" w:cs="Times New Roman"/>
          <w:noProof/>
          <w:sz w:val="24"/>
        </w:rPr>
      </w:pPr>
      <w:r>
        <w:rPr>
          <w:rFonts w:ascii="Times New Roman" w:hAnsi="Times New Roman"/>
          <w:noProof/>
          <w:sz w:val="24"/>
        </w:rPr>
        <w:t>W przypadku instrumentów kapitałowych, quasi-kapitałowych, korporacyjnych lub równoważnych instrumentów</w:t>
      </w:r>
      <w:r w:rsidRPr="00A1618E">
        <w:rPr>
          <w:rFonts w:ascii="Times New Roman" w:hAnsi="Times New Roman"/>
          <w:noProof/>
          <w:sz w:val="24"/>
          <w:lang w:val="pl-PL"/>
        </w:rPr>
        <w:t>: p</w:t>
      </w:r>
      <w:r>
        <w:rPr>
          <w:rFonts w:ascii="Times New Roman" w:hAnsi="Times New Roman"/>
          <w:noProof/>
          <w:sz w:val="24"/>
        </w:rPr>
        <w:t>olityka inwestycyjna wyklucza przedsiębiorstwa, które w znacznym stopniu koncentrują</w:t>
      </w:r>
      <w:r>
        <w:rPr>
          <w:rStyle w:val="FootnoteReference"/>
          <w:rFonts w:ascii="Times New Roman" w:eastAsia="Times New Roman" w:hAnsi="Times New Roman" w:cs="Times New Roman"/>
          <w:noProof/>
          <w:sz w:val="24"/>
        </w:rPr>
        <w:footnoteReference w:id="193"/>
      </w:r>
      <w:r>
        <w:rPr>
          <w:rFonts w:ascii="Times New Roman" w:hAnsi="Times New Roman"/>
          <w:noProof/>
          <w:sz w:val="24"/>
        </w:rPr>
        <w:t xml:space="preserve"> się na następujących sektorach: produkcja energii z paliw kopalnych i działalność pokrewna</w:t>
      </w:r>
      <w:r>
        <w:rPr>
          <w:rStyle w:val="FootnoteReference"/>
          <w:rFonts w:ascii="Times New Roman" w:eastAsia="Times New Roman" w:hAnsi="Times New Roman" w:cs="Times New Roman"/>
          <w:noProof/>
          <w:sz w:val="24"/>
        </w:rPr>
        <w:footnoteReference w:id="194"/>
      </w:r>
      <w:r>
        <w:rPr>
          <w:rFonts w:ascii="Times New Roman" w:hAnsi="Times New Roman"/>
          <w:noProof/>
          <w:sz w:val="24"/>
        </w:rPr>
        <w:t>; energochłonne i/lub wysokoemisyjne gałęzie przemysłu</w:t>
      </w:r>
      <w:r>
        <w:rPr>
          <w:rStyle w:val="FootnoteReference"/>
          <w:rFonts w:ascii="Times New Roman" w:eastAsia="Times New Roman" w:hAnsi="Times New Roman" w:cs="Times New Roman"/>
          <w:noProof/>
          <w:sz w:val="24"/>
        </w:rPr>
        <w:footnoteReference w:id="195"/>
      </w:r>
      <w:r>
        <w:rPr>
          <w:rFonts w:ascii="Times New Roman" w:hAnsi="Times New Roman"/>
          <w:noProof/>
          <w:sz w:val="24"/>
        </w:rPr>
        <w:t>; produkcja, wynajem lub sprzedaż pojazdów zanieczyszczających środowisko</w:t>
      </w:r>
      <w:r>
        <w:rPr>
          <w:rStyle w:val="FootnoteReference"/>
          <w:rFonts w:ascii="Times New Roman" w:eastAsia="Times New Roman" w:hAnsi="Times New Roman" w:cs="Times New Roman"/>
          <w:noProof/>
          <w:sz w:val="24"/>
        </w:rPr>
        <w:footnoteReference w:id="196"/>
      </w:r>
      <w:r>
        <w:rPr>
          <w:rFonts w:ascii="Times New Roman" w:hAnsi="Times New Roman"/>
          <w:noProof/>
          <w:sz w:val="24"/>
        </w:rPr>
        <w:t>; zbieranie odpadów, przetwarzanie i unieszkodliwianie odpadów</w:t>
      </w:r>
      <w:r>
        <w:rPr>
          <w:rStyle w:val="FootnoteReference"/>
          <w:rFonts w:ascii="Times New Roman" w:eastAsia="Times New Roman" w:hAnsi="Times New Roman" w:cs="Times New Roman"/>
          <w:noProof/>
          <w:sz w:val="24"/>
        </w:rPr>
        <w:footnoteReference w:id="197"/>
      </w:r>
      <w:r>
        <w:rPr>
          <w:rFonts w:ascii="Times New Roman" w:hAnsi="Times New Roman"/>
          <w:noProof/>
          <w:sz w:val="24"/>
        </w:rPr>
        <w:t>, (v) przetwarzanie paliwa jądrowego, produkcja energii jądrowej</w:t>
      </w:r>
    </w:p>
    <w:p w14:paraId="2DA0D89B" w14:textId="6A5290AE" w:rsidR="006578ED" w:rsidRDefault="00A1618E">
      <w:pPr>
        <w:pStyle w:val="P68B1DB1-ListParagraph7"/>
        <w:numPr>
          <w:ilvl w:val="2"/>
          <w:numId w:val="764"/>
        </w:numPr>
        <w:jc w:val="both"/>
        <w:rPr>
          <w:rFonts w:eastAsia="Times New Roman" w:cs="Times New Roman"/>
          <w:noProof/>
        </w:rPr>
      </w:pPr>
      <w:r>
        <w:rPr>
          <w:noProof/>
        </w:rPr>
        <w:t>Ponadto polityka inwestycyjna wymaga zgodności z odpowiednimi unijnymi i krajowymi przepisami w zakresie ochrony środowiska beneficjentów końcowych Instrumentu.</w:t>
      </w:r>
    </w:p>
    <w:p w14:paraId="0EA26F27" w14:textId="17314980" w:rsidR="006578ED" w:rsidRDefault="00A1618E">
      <w:pPr>
        <w:pStyle w:val="P68B1DB1-ListParagraph7"/>
        <w:numPr>
          <w:ilvl w:val="1"/>
          <w:numId w:val="764"/>
        </w:numPr>
        <w:jc w:val="both"/>
        <w:rPr>
          <w:rFonts w:eastAsia="Times New Roman" w:cs="Times New Roman"/>
          <w:noProof/>
        </w:rPr>
      </w:pPr>
      <w:r>
        <w:rPr>
          <w:noProof/>
        </w:rPr>
        <w:t>Wymóg, zgodnie z którym beneficjenci końcowi Instrumentu nie mogą otrzymywać wsparcia z innych instrumentów unijnych w celu pokrycia tych samych kosztów.</w:t>
      </w:r>
    </w:p>
    <w:p w14:paraId="088EF188" w14:textId="1380BFDE" w:rsidR="006578ED" w:rsidRDefault="00A1618E">
      <w:pPr>
        <w:pStyle w:val="P68B1DB1-ListParagraph7"/>
        <w:numPr>
          <w:ilvl w:val="0"/>
          <w:numId w:val="764"/>
        </w:numPr>
        <w:jc w:val="both"/>
        <w:rPr>
          <w:rFonts w:eastAsia="Times New Roman" w:cs="Times New Roman"/>
          <w:noProof/>
        </w:rPr>
      </w:pPr>
      <w:r>
        <w:rPr>
          <w:noProof/>
        </w:rPr>
        <w:t>Kwotę objętą rozporządzeniami i wszelkimi powiązanymi dokumentami ustanawiającymi Instrument, strukturę opłat dla partnera wykonawczego oraz wymóg reinwestowania wszelkich środków powracających zgodnie z polityką inwestycyjną Instrumentu, chyba że są one wykorzystywane do obsługi spłat pożyczek w ramach Instrumentu na rzecz Odbudowy i Zwiększania Odporności.</w:t>
      </w:r>
    </w:p>
    <w:p w14:paraId="6ED49105" w14:textId="78A1E2D5" w:rsidR="006578ED" w:rsidRDefault="00A1618E">
      <w:pPr>
        <w:pStyle w:val="P68B1DB1-ListParagraph7"/>
        <w:numPr>
          <w:ilvl w:val="0"/>
          <w:numId w:val="764"/>
        </w:numPr>
        <w:jc w:val="both"/>
        <w:rPr>
          <w:rFonts w:eastAsia="Times New Roman" w:cs="Times New Roman"/>
          <w:noProof/>
        </w:rPr>
      </w:pPr>
      <w:r>
        <w:rPr>
          <w:noProof/>
        </w:rPr>
        <w:t>Wymogi w zakresie monitorowania, audytu i kontroli, w tym:</w:t>
      </w:r>
    </w:p>
    <w:p w14:paraId="6BCC69DF" w14:textId="77777777" w:rsidR="006578ED" w:rsidRDefault="00A1618E">
      <w:pPr>
        <w:pStyle w:val="P68B1DB1-ListParagraph7"/>
        <w:numPr>
          <w:ilvl w:val="1"/>
          <w:numId w:val="764"/>
        </w:numPr>
        <w:jc w:val="both"/>
        <w:rPr>
          <w:rFonts w:eastAsia="Times New Roman" w:cs="Times New Roman"/>
          <w:noProof/>
        </w:rPr>
      </w:pPr>
      <w:r>
        <w:rPr>
          <w:noProof/>
        </w:rPr>
        <w:t>Opis stosowanego przez partnera wykonawczego systemu monitorowania służącego do sprawozdawczości na temat uruchomionych inwestycji.</w:t>
      </w:r>
    </w:p>
    <w:p w14:paraId="1C066FFF" w14:textId="1F0E6F46" w:rsidR="006578ED" w:rsidRDefault="00A1618E">
      <w:pPr>
        <w:pStyle w:val="P68B1DB1-ListParagraph7"/>
        <w:numPr>
          <w:ilvl w:val="1"/>
          <w:numId w:val="764"/>
        </w:numPr>
        <w:jc w:val="both"/>
        <w:rPr>
          <w:rFonts w:eastAsia="Times New Roman" w:cs="Times New Roman"/>
          <w:noProof/>
        </w:rPr>
      </w:pPr>
      <w:r>
        <w:rPr>
          <w:noProof/>
        </w:rPr>
        <w:t xml:space="preserve">Opis procedur partnera wykonawczego, które zapewnią zapobieganie nadużyciom finansowym, korupcji i konfliktom interesów oraz ich wykrywanie i korygowanie. </w:t>
      </w:r>
    </w:p>
    <w:p w14:paraId="3E035756" w14:textId="4D592960" w:rsidR="006578ED" w:rsidRDefault="00A1618E">
      <w:pPr>
        <w:pStyle w:val="P68B1DB1-ListParagraph7"/>
        <w:numPr>
          <w:ilvl w:val="1"/>
          <w:numId w:val="764"/>
        </w:numPr>
        <w:jc w:val="both"/>
        <w:rPr>
          <w:rFonts w:eastAsia="Times New Roman" w:cs="Times New Roman"/>
          <w:noProof/>
        </w:rPr>
      </w:pPr>
      <w:r>
        <w:rPr>
          <w:noProof/>
        </w:rPr>
        <w:t xml:space="preserve">Obowiązek weryfikacji kwalifikowalności każdej operacji zgodnie z wymogami określonymi w rozporządzeniach ustanawiających Instrument przed zobowiązaniem się do finansowania danej operacji. </w:t>
      </w:r>
    </w:p>
    <w:p w14:paraId="213A65F2" w14:textId="2500EF92" w:rsidR="006578ED" w:rsidRDefault="00A1618E">
      <w:pPr>
        <w:pStyle w:val="P68B1DB1-ListParagraph7"/>
        <w:numPr>
          <w:ilvl w:val="1"/>
          <w:numId w:val="764"/>
        </w:numPr>
        <w:jc w:val="both"/>
        <w:rPr>
          <w:rFonts w:eastAsia="Times New Roman" w:cs="Times New Roman"/>
          <w:noProof/>
        </w:rPr>
      </w:pPr>
      <w:r>
        <w:rPr>
          <w:noProof/>
        </w:rPr>
        <w:t xml:space="preserve">Obowiązek przeprowadzania opartych na analizie ryzyka audytów ex post zgodnie z planem audytu COFIDES. Audyty te mają na celu sprawdzenie (i) skuteczności systemów kontroli, w tym wykrywania nadużyć finansowych, korupcji i konfliktu interesów; zgodność z zasadą „nie czyń poważnych szkód”, zasadami pomocy państwa, wymogami dotyczącymi celów klimatycznych i cyfrowych; oraz (iii) wymóg weryfikacji przez pośrednika, czy beneficjent końcowy przedstawia odpowiedzialne oświadczenie w celu sprawdzenia, czy te same koszty są pokrywane z innego instrumentu unijnego, jest przestrzegany. W ramach audytów sprawdza się również legalność transakcji oraz przestrzeganie warunków określonych w mającym zastosowanie rozporządzeniu i powiązanych dokumentach ustanawiających Instrument i umowy o finansowaniu. </w:t>
      </w:r>
    </w:p>
    <w:p w14:paraId="5865B760" w14:textId="41AEE7F6" w:rsidR="006578ED" w:rsidRPr="00A1618E" w:rsidRDefault="00A1618E">
      <w:pPr>
        <w:pStyle w:val="P68B1DB1-ListParagraph7"/>
        <w:numPr>
          <w:ilvl w:val="0"/>
          <w:numId w:val="764"/>
        </w:numPr>
        <w:jc w:val="both"/>
        <w:rPr>
          <w:rFonts w:eastAsia="Times New Roman" w:cs="Times New Roman"/>
          <w:noProof/>
          <w:lang w:val="pl-PL"/>
        </w:rPr>
      </w:pPr>
      <w:r>
        <w:rPr>
          <w:noProof/>
        </w:rPr>
        <w:t>Wymogi dotyczące wyboru pośredników finansowych: COFIDES wybierają pośredników finansowych w sposób otwarty, przejrzysty i niedyskryminacyjny. Kontrole dotyczące braku konfliktu interesów w odniesieniu do pośredników finansowych przeprowadza się i przeprowadza ex ante za pośrednictwem systemu informatycznego, takiego jak Minerva, w odniesieniu do wszystkich zaangażowanych podmiotów finansowych</w:t>
      </w:r>
      <w:r w:rsidRPr="00A1618E">
        <w:rPr>
          <w:noProof/>
          <w:lang w:val="pl-PL"/>
        </w:rPr>
        <w:t xml:space="preserve">. </w:t>
      </w:r>
    </w:p>
    <w:p w14:paraId="5138BC22" w14:textId="479BE35A" w:rsidR="006578ED" w:rsidRPr="00A1618E" w:rsidRDefault="00A1618E">
      <w:pPr>
        <w:pStyle w:val="P68B1DB1-ListParagraph7"/>
        <w:numPr>
          <w:ilvl w:val="0"/>
          <w:numId w:val="764"/>
        </w:numPr>
        <w:jc w:val="both"/>
        <w:rPr>
          <w:rFonts w:eastAsia="Times New Roman" w:cs="Times New Roman"/>
          <w:noProof/>
          <w:lang w:val="pl-PL"/>
        </w:rPr>
      </w:pPr>
      <w:r>
        <w:rPr>
          <w:noProof/>
        </w:rPr>
        <w:t>Wymóg podpisania umów o finansowaniu: COFIDES podpisują umowy o finansowaniu z pośrednikami finansowymi zgodnie z kluczowymi wymogami, które należy przedstawić w ramach powiązanych dokumentów ustanawiających instrument. Kluczowe wymogi umowy o finansowaniu obejmują wszystkie wymogi, na podstawie których działa Instrument, w tym</w:t>
      </w:r>
      <w:r w:rsidRPr="00A1618E">
        <w:rPr>
          <w:noProof/>
          <w:lang w:val="pl-PL"/>
        </w:rPr>
        <w:t xml:space="preserve">: </w:t>
      </w:r>
    </w:p>
    <w:p w14:paraId="09C24E1C" w14:textId="633C1141" w:rsidR="006578ED" w:rsidRDefault="00A1618E">
      <w:pPr>
        <w:pStyle w:val="P68B1DB1-ListParagraph7"/>
        <w:numPr>
          <w:ilvl w:val="1"/>
          <w:numId w:val="764"/>
        </w:numPr>
        <w:jc w:val="both"/>
        <w:rPr>
          <w:rFonts w:cs="Times New Roman"/>
          <w:noProof/>
        </w:rPr>
      </w:pPr>
      <w:r>
        <w:rPr>
          <w:noProof/>
        </w:rPr>
        <w:t xml:space="preserve">Spoczywający na pośredniku finansowym obowiązek podejmowania decyzji </w:t>
      </w:r>
      <w:r>
        <w:rPr>
          <w:i/>
          <w:noProof/>
        </w:rPr>
        <w:t>odpowiednio</w:t>
      </w:r>
      <w:r>
        <w:rPr>
          <w:noProof/>
        </w:rPr>
        <w:t xml:space="preserve"> zgodnie z określonymi powyżej wymogami w zakresie podejmowania decyzji i polityki inwestycyjnej, w tym dotyczącymi przestrzegania zasady „nie czyń poważnych szkód”. </w:t>
      </w:r>
    </w:p>
    <w:p w14:paraId="7E3B4622" w14:textId="1C0D2626" w:rsidR="006578ED" w:rsidRPr="00A1618E" w:rsidRDefault="00A1618E">
      <w:pPr>
        <w:pStyle w:val="P68B1DB1-ListParagraph7"/>
        <w:numPr>
          <w:ilvl w:val="1"/>
          <w:numId w:val="764"/>
        </w:numPr>
        <w:jc w:val="both"/>
        <w:rPr>
          <w:rFonts w:cs="Times New Roman"/>
          <w:noProof/>
          <w:lang w:val="pl-PL"/>
        </w:rPr>
      </w:pPr>
      <w:r>
        <w:rPr>
          <w:noProof/>
        </w:rPr>
        <w:t xml:space="preserve">Opis ram monitorowania oraz audytu i kontroli, które pośrednik finansowy wprowadza, które </w:t>
      </w:r>
      <w:r>
        <w:rPr>
          <w:i/>
          <w:noProof/>
        </w:rPr>
        <w:t>odpowiednio</w:t>
      </w:r>
      <w:r>
        <w:rPr>
          <w:noProof/>
        </w:rPr>
        <w:t xml:space="preserve"> podlegają wszystkim wymogom w zakresie monitorowania, audytu i kontroli określonym powyżej</w:t>
      </w:r>
      <w:r w:rsidRPr="00A1618E">
        <w:rPr>
          <w:noProof/>
          <w:lang w:val="pl-PL"/>
        </w:rPr>
        <w:t xml:space="preserve">. </w:t>
      </w:r>
    </w:p>
    <w:p w14:paraId="42FE8EDF" w14:textId="4D595A9B" w:rsidR="006578ED" w:rsidRDefault="00A1618E">
      <w:pPr>
        <w:pStyle w:val="P68B1DB1-Normal4"/>
        <w:spacing w:line="240" w:lineRule="auto"/>
        <w:jc w:val="both"/>
        <w:rPr>
          <w:rFonts w:eastAsia="Times New Roman" w:cs="Times New Roman"/>
          <w:noProof/>
        </w:rPr>
      </w:pPr>
      <w:r>
        <w:rPr>
          <w:noProof/>
        </w:rPr>
        <w:t>Wdrożenie środka należy zakończyć do dnia 31 sierpnia 20</w:t>
      </w:r>
      <w:r w:rsidRPr="00A1618E">
        <w:rPr>
          <w:noProof/>
          <w:lang w:val="pl-PL"/>
        </w:rPr>
        <w:t>26 r.</w:t>
      </w:r>
    </w:p>
    <w:p w14:paraId="5E053EF4" w14:textId="5FFB2B52" w:rsidR="006578ED" w:rsidRDefault="00A1618E">
      <w:pPr>
        <w:pStyle w:val="P68B1DB1-Normal5"/>
        <w:spacing w:before="120" w:after="120" w:line="240" w:lineRule="auto"/>
        <w:ind w:left="709"/>
        <w:jc w:val="both"/>
        <w:rPr>
          <w:rFonts w:cs="Times New Roman"/>
          <w:noProof/>
        </w:rPr>
      </w:pPr>
      <w:r>
        <w:rPr>
          <w:noProof/>
        </w:rPr>
        <w:t xml:space="preserve">V.4. </w:t>
      </w:r>
      <w:r>
        <w:rPr>
          <w:noProof/>
        </w:rPr>
        <w:tab/>
        <w:t>Cele pośrednie, wartości docelowe, wskaźniki oraz harmonogram monitorowania i wdrażania wsparcia w formie pożyczek</w:t>
      </w:r>
    </w:p>
    <w:p w14:paraId="0A4CEC96" w14:textId="7DA2D13A"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w:t>
      </w:r>
    </w:p>
    <w:p w14:paraId="7DAC8207" w14:textId="77777777" w:rsidR="006578ED" w:rsidRDefault="006578ED">
      <w:pPr>
        <w:spacing w:line="240" w:lineRule="auto"/>
        <w:jc w:val="both"/>
        <w:rPr>
          <w:rFonts w:ascii="Times New Roman" w:eastAsia="Times New Roman" w:hAnsi="Times New Roman" w:cs="Times New Roman"/>
          <w:noProof/>
          <w:sz w:val="24"/>
        </w:rPr>
      </w:pPr>
    </w:p>
    <w:p w14:paraId="0A7FA34A" w14:textId="77777777" w:rsidR="006578ED" w:rsidRDefault="006578ED">
      <w:pPr>
        <w:spacing w:line="240" w:lineRule="auto"/>
        <w:jc w:val="both"/>
        <w:rPr>
          <w:rFonts w:ascii="Times New Roman" w:eastAsia="Times New Roman" w:hAnsi="Times New Roman" w:cs="Times New Roman"/>
          <w:noProof/>
          <w:sz w:val="24"/>
        </w:rPr>
      </w:pPr>
    </w:p>
    <w:p w14:paraId="5DA8070D" w14:textId="77777777" w:rsidR="006578ED" w:rsidRDefault="006578ED">
      <w:pPr>
        <w:jc w:val="both"/>
        <w:rPr>
          <w:rFonts w:ascii="Times New Roman" w:eastAsiaTheme="minorEastAsia" w:hAnsi="Times New Roman" w:cs="Times New Roman"/>
          <w:noProof/>
          <w:sz w:val="24"/>
        </w:rPr>
        <w:sectPr w:rsidR="006578ED" w:rsidSect="00C94F66">
          <w:headerReference w:type="even" r:id="rId435"/>
          <w:headerReference w:type="default" r:id="rId436"/>
          <w:footerReference w:type="even" r:id="rId437"/>
          <w:footerReference w:type="default" r:id="rId438"/>
          <w:headerReference w:type="first" r:id="rId439"/>
          <w:footerReference w:type="first" r:id="rId440"/>
          <w:pgSz w:w="11907" w:h="16839"/>
          <w:pgMar w:top="1134" w:right="1417" w:bottom="1134" w:left="1417" w:header="709" w:footer="709" w:gutter="0"/>
          <w:cols w:space="720"/>
          <w:docGrid w:linePitch="360"/>
        </w:sectPr>
      </w:pPr>
    </w:p>
    <w:p w14:paraId="12236E45" w14:textId="77777777" w:rsidR="006578ED" w:rsidRDefault="006578ED">
      <w:pPr>
        <w:rPr>
          <w:rFonts w:ascii="Times New Roman" w:hAnsi="Times New Roman" w:cs="Times New Roman"/>
          <w:noProof/>
        </w:rPr>
      </w:pPr>
    </w:p>
    <w:tbl>
      <w:tblPr>
        <w:tblpPr w:leftFromText="141" w:rightFromText="141" w:vertAnchor="text" w:horzAnchor="margin" w:tblpY="507"/>
        <w:tblW w:w="14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4A0" w:firstRow="1" w:lastRow="0" w:firstColumn="1" w:lastColumn="0" w:noHBand="0" w:noVBand="1"/>
      </w:tblPr>
      <w:tblGrid>
        <w:gridCol w:w="618"/>
        <w:gridCol w:w="850"/>
        <w:gridCol w:w="851"/>
        <w:gridCol w:w="1417"/>
        <w:gridCol w:w="1560"/>
        <w:gridCol w:w="879"/>
        <w:gridCol w:w="888"/>
        <w:gridCol w:w="850"/>
        <w:gridCol w:w="567"/>
        <w:gridCol w:w="709"/>
        <w:gridCol w:w="5953"/>
      </w:tblGrid>
      <w:tr w:rsidR="006578ED" w14:paraId="2C8BFD81" w14:textId="77777777">
        <w:trPr>
          <w:trHeight w:val="524"/>
        </w:trPr>
        <w:tc>
          <w:tcPr>
            <w:tcW w:w="850" w:type="dxa"/>
            <w:vMerge w:val="restart"/>
            <w:shd w:val="clear" w:color="auto" w:fill="C6D9F1" w:themeFill="text2" w:themeFillTint="33"/>
            <w:vAlign w:val="center"/>
          </w:tcPr>
          <w:p w14:paraId="3B8DBAD9" w14:textId="5CFB30F8" w:rsidR="006578ED" w:rsidRDefault="00A1618E">
            <w:pPr>
              <w:pStyle w:val="P68B1DB1-Normal12"/>
              <w:spacing w:after="0" w:line="240" w:lineRule="auto"/>
              <w:jc w:val="center"/>
              <w:rPr>
                <w:rFonts w:cs="Times New Roman"/>
                <w:noProof/>
              </w:rPr>
            </w:pPr>
            <w:r>
              <w:rPr>
                <w:noProof/>
              </w:rPr>
              <w:t>Liczba</w:t>
            </w:r>
          </w:p>
        </w:tc>
        <w:tc>
          <w:tcPr>
            <w:tcW w:w="850" w:type="dxa"/>
            <w:vMerge w:val="restart"/>
            <w:shd w:val="clear" w:color="auto" w:fill="C6D9F1" w:themeFill="text2" w:themeFillTint="33"/>
            <w:vAlign w:val="center"/>
            <w:hideMark/>
          </w:tcPr>
          <w:p w14:paraId="2E1D7C96" w14:textId="77777777" w:rsidR="006578ED" w:rsidRDefault="00A1618E">
            <w:pPr>
              <w:pStyle w:val="P68B1DB1-Normal12"/>
              <w:spacing w:after="0" w:line="240" w:lineRule="auto"/>
              <w:jc w:val="center"/>
              <w:rPr>
                <w:rFonts w:cs="Times New Roman"/>
                <w:noProof/>
              </w:rPr>
            </w:pPr>
            <w:r>
              <w:rPr>
                <w:noProof/>
              </w:rPr>
              <w:t xml:space="preserve">Środek </w:t>
            </w:r>
          </w:p>
          <w:p w14:paraId="5500F1CE" w14:textId="3C415CA9" w:rsidR="006578ED" w:rsidRDefault="00A1618E">
            <w:pPr>
              <w:pStyle w:val="P68B1DB1-Normal12"/>
              <w:spacing w:after="0" w:line="240" w:lineRule="auto"/>
              <w:jc w:val="center"/>
              <w:rPr>
                <w:rFonts w:cs="Times New Roman"/>
                <w:noProof/>
              </w:rPr>
            </w:pPr>
            <w:r>
              <w:rPr>
                <w:noProof/>
              </w:rPr>
              <w:t> </w:t>
            </w:r>
          </w:p>
        </w:tc>
        <w:tc>
          <w:tcPr>
            <w:tcW w:w="851" w:type="dxa"/>
            <w:vMerge w:val="restart"/>
            <w:shd w:val="clear" w:color="auto" w:fill="C6D9F1" w:themeFill="text2" w:themeFillTint="33"/>
            <w:vAlign w:val="center"/>
            <w:hideMark/>
          </w:tcPr>
          <w:p w14:paraId="20495EDA" w14:textId="37C3F123" w:rsidR="006578ED" w:rsidRDefault="00EC188C">
            <w:pPr>
              <w:pStyle w:val="P68B1DB1-Normal12"/>
              <w:spacing w:after="0" w:line="240" w:lineRule="auto"/>
              <w:jc w:val="center"/>
              <w:rPr>
                <w:rFonts w:cs="Times New Roman"/>
                <w:noProof/>
              </w:rPr>
            </w:pPr>
            <w:r>
              <w:rPr>
                <w:noProof/>
              </w:rPr>
              <w:t>Kamień milowy</w:t>
            </w:r>
          </w:p>
          <w:p w14:paraId="3B22CAB3" w14:textId="3B81492B" w:rsidR="006578ED" w:rsidRDefault="00A1618E">
            <w:pPr>
              <w:pStyle w:val="P68B1DB1-Normal12"/>
              <w:spacing w:after="0" w:line="240" w:lineRule="auto"/>
              <w:jc w:val="center"/>
              <w:rPr>
                <w:rFonts w:cs="Times New Roman"/>
                <w:noProof/>
              </w:rPr>
            </w:pPr>
            <w:r>
              <w:rPr>
                <w:noProof/>
              </w:rPr>
              <w:t>/</w:t>
            </w:r>
            <w:r w:rsidR="00AF6B91">
              <w:rPr>
                <w:noProof/>
              </w:rPr>
              <w:t>Wartość docelowa</w:t>
            </w:r>
          </w:p>
          <w:p w14:paraId="39C8A411" w14:textId="40C6FF22" w:rsidR="006578ED" w:rsidRDefault="00A1618E">
            <w:pPr>
              <w:pStyle w:val="P68B1DB1-Normal12"/>
              <w:spacing w:after="0" w:line="240" w:lineRule="auto"/>
              <w:jc w:val="center"/>
              <w:rPr>
                <w:rFonts w:cs="Times New Roman"/>
                <w:noProof/>
              </w:rPr>
            </w:pPr>
            <w:r>
              <w:rPr>
                <w:noProof/>
              </w:rPr>
              <w:t> </w:t>
            </w:r>
          </w:p>
        </w:tc>
        <w:tc>
          <w:tcPr>
            <w:tcW w:w="1417" w:type="dxa"/>
            <w:vMerge w:val="restart"/>
            <w:shd w:val="clear" w:color="auto" w:fill="C6D9F1" w:themeFill="text2" w:themeFillTint="33"/>
            <w:vAlign w:val="center"/>
            <w:hideMark/>
          </w:tcPr>
          <w:p w14:paraId="51B81471" w14:textId="77777777" w:rsidR="006578ED" w:rsidRDefault="00A1618E">
            <w:pPr>
              <w:pStyle w:val="P68B1DB1-Normal12"/>
              <w:spacing w:after="0" w:line="240" w:lineRule="auto"/>
              <w:jc w:val="center"/>
              <w:rPr>
                <w:rFonts w:cs="Times New Roman"/>
                <w:noProof/>
              </w:rPr>
            </w:pPr>
            <w:r>
              <w:rPr>
                <w:noProof/>
              </w:rPr>
              <w:t>Nazwa</w:t>
            </w:r>
          </w:p>
          <w:p w14:paraId="614AF5F8" w14:textId="1DF51E80" w:rsidR="006578ED" w:rsidRDefault="00A1618E">
            <w:pPr>
              <w:pStyle w:val="P68B1DB1-Normal12"/>
              <w:spacing w:after="0" w:line="240" w:lineRule="auto"/>
              <w:jc w:val="center"/>
              <w:rPr>
                <w:rFonts w:cs="Times New Roman"/>
                <w:noProof/>
              </w:rPr>
            </w:pPr>
            <w:r>
              <w:rPr>
                <w:noProof/>
              </w:rPr>
              <w:t> </w:t>
            </w:r>
          </w:p>
        </w:tc>
        <w:tc>
          <w:tcPr>
            <w:tcW w:w="1560" w:type="dxa"/>
            <w:vMerge w:val="restart"/>
            <w:shd w:val="clear" w:color="auto" w:fill="C6D9F1" w:themeFill="text2" w:themeFillTint="33"/>
            <w:vAlign w:val="center"/>
            <w:hideMark/>
          </w:tcPr>
          <w:p w14:paraId="1ACE322D" w14:textId="77777777" w:rsidR="006578ED" w:rsidRDefault="00A1618E">
            <w:pPr>
              <w:pStyle w:val="P68B1DB1-Normal12"/>
              <w:spacing w:after="0" w:line="240" w:lineRule="auto"/>
              <w:jc w:val="center"/>
              <w:rPr>
                <w:rFonts w:cs="Times New Roman"/>
                <w:noProof/>
              </w:rPr>
            </w:pPr>
            <w:r>
              <w:rPr>
                <w:noProof/>
              </w:rPr>
              <w:t xml:space="preserve">Wskaźniki jakościowe (dla kamieni milowych) </w:t>
            </w:r>
          </w:p>
          <w:p w14:paraId="13CB041D" w14:textId="7367A5A3" w:rsidR="006578ED" w:rsidRDefault="00A1618E">
            <w:pPr>
              <w:pStyle w:val="P68B1DB1-Normal12"/>
              <w:spacing w:after="0" w:line="240" w:lineRule="auto"/>
              <w:jc w:val="center"/>
              <w:rPr>
                <w:rFonts w:cs="Times New Roman"/>
                <w:noProof/>
              </w:rPr>
            </w:pPr>
            <w:r>
              <w:rPr>
                <w:noProof/>
              </w:rPr>
              <w:t> </w:t>
            </w:r>
          </w:p>
        </w:tc>
        <w:tc>
          <w:tcPr>
            <w:tcW w:w="1984" w:type="dxa"/>
            <w:gridSpan w:val="3"/>
            <w:shd w:val="clear" w:color="auto" w:fill="C6D9F1" w:themeFill="text2" w:themeFillTint="33"/>
            <w:vAlign w:val="center"/>
            <w:hideMark/>
          </w:tcPr>
          <w:p w14:paraId="6E6977EB" w14:textId="4486EAF7" w:rsidR="006578ED" w:rsidRDefault="00A1618E">
            <w:pPr>
              <w:pStyle w:val="P68B1DB1-Normal12"/>
              <w:spacing w:after="0" w:line="240" w:lineRule="auto"/>
              <w:jc w:val="center"/>
              <w:rPr>
                <w:rFonts w:cs="Times New Roman"/>
                <w:noProof/>
              </w:rPr>
            </w:pPr>
            <w:r>
              <w:rPr>
                <w:noProof/>
              </w:rPr>
              <w:t xml:space="preserve">Wskaźniki ilościowe (dla celu końcowego) </w:t>
            </w:r>
          </w:p>
        </w:tc>
        <w:tc>
          <w:tcPr>
            <w:tcW w:w="1276" w:type="dxa"/>
            <w:gridSpan w:val="2"/>
            <w:shd w:val="clear" w:color="auto" w:fill="C6D9F1" w:themeFill="text2" w:themeFillTint="33"/>
            <w:vAlign w:val="center"/>
            <w:hideMark/>
          </w:tcPr>
          <w:p w14:paraId="5F2A52BA" w14:textId="77777777" w:rsidR="006578ED" w:rsidRDefault="00A1618E">
            <w:pPr>
              <w:pStyle w:val="P68B1DB1-Normal12"/>
              <w:spacing w:after="0" w:line="240" w:lineRule="auto"/>
              <w:jc w:val="center"/>
              <w:rPr>
                <w:rFonts w:cs="Times New Roman"/>
                <w:noProof/>
              </w:rPr>
            </w:pPr>
            <w:r>
              <w:rPr>
                <w:noProof/>
              </w:rPr>
              <w:t xml:space="preserve">Czas </w:t>
            </w:r>
          </w:p>
        </w:tc>
        <w:tc>
          <w:tcPr>
            <w:tcW w:w="5953" w:type="dxa"/>
            <w:vMerge w:val="restart"/>
            <w:shd w:val="clear" w:color="auto" w:fill="C6D9F1" w:themeFill="text2" w:themeFillTint="33"/>
            <w:vAlign w:val="center"/>
            <w:hideMark/>
          </w:tcPr>
          <w:p w14:paraId="7416F018" w14:textId="1C4C45BD" w:rsidR="006578ED" w:rsidRDefault="00A1618E">
            <w:pPr>
              <w:pStyle w:val="P68B1DB1-Normal12"/>
              <w:spacing w:after="0" w:line="240" w:lineRule="auto"/>
              <w:jc w:val="center"/>
              <w:rPr>
                <w:rFonts w:cs="Times New Roman"/>
                <w:noProof/>
              </w:rPr>
            </w:pPr>
            <w:r>
              <w:rPr>
                <w:noProof/>
              </w:rPr>
              <w:t xml:space="preserve">Opis każdego kamienia milowego i każdego celu </w:t>
            </w:r>
          </w:p>
          <w:p w14:paraId="75B49A2F" w14:textId="2F05C254" w:rsidR="006578ED" w:rsidRDefault="00A1618E">
            <w:pPr>
              <w:pStyle w:val="P68B1DB1-Normal12"/>
              <w:spacing w:after="0" w:line="240" w:lineRule="auto"/>
              <w:jc w:val="center"/>
              <w:rPr>
                <w:rFonts w:cs="Times New Roman"/>
                <w:noProof/>
              </w:rPr>
            </w:pPr>
            <w:r>
              <w:rPr>
                <w:noProof/>
              </w:rPr>
              <w:t> </w:t>
            </w:r>
          </w:p>
        </w:tc>
      </w:tr>
      <w:tr w:rsidR="006578ED" w14:paraId="17E2B9AE" w14:textId="77777777">
        <w:trPr>
          <w:trHeight w:val="387"/>
        </w:trPr>
        <w:tc>
          <w:tcPr>
            <w:tcW w:w="850" w:type="dxa"/>
            <w:vMerge/>
            <w:shd w:val="clear" w:color="auto" w:fill="C6D9F1" w:themeFill="text2" w:themeFillTint="33"/>
          </w:tcPr>
          <w:p w14:paraId="67834127" w14:textId="77777777" w:rsidR="006578ED" w:rsidRDefault="006578ED">
            <w:pPr>
              <w:spacing w:after="0" w:line="240" w:lineRule="auto"/>
              <w:jc w:val="center"/>
              <w:rPr>
                <w:rFonts w:ascii="Times New Roman" w:hAnsi="Times New Roman" w:cs="Times New Roman"/>
                <w:b/>
                <w:noProof/>
                <w:sz w:val="18"/>
              </w:rPr>
            </w:pPr>
          </w:p>
        </w:tc>
        <w:tc>
          <w:tcPr>
            <w:tcW w:w="850" w:type="dxa"/>
            <w:vMerge/>
            <w:shd w:val="clear" w:color="auto" w:fill="C6D9F1" w:themeFill="text2" w:themeFillTint="33"/>
            <w:noWrap/>
            <w:vAlign w:val="bottom"/>
            <w:hideMark/>
          </w:tcPr>
          <w:p w14:paraId="4F8DD208" w14:textId="501E1BCE" w:rsidR="006578ED" w:rsidRDefault="006578ED">
            <w:pPr>
              <w:spacing w:after="0" w:line="240" w:lineRule="auto"/>
              <w:jc w:val="center"/>
              <w:rPr>
                <w:rFonts w:ascii="Times New Roman" w:hAnsi="Times New Roman" w:cs="Times New Roman"/>
                <w:b/>
                <w:noProof/>
                <w:sz w:val="18"/>
              </w:rPr>
            </w:pPr>
          </w:p>
        </w:tc>
        <w:tc>
          <w:tcPr>
            <w:tcW w:w="851" w:type="dxa"/>
            <w:vMerge/>
            <w:shd w:val="clear" w:color="auto" w:fill="C6D9F1" w:themeFill="text2" w:themeFillTint="33"/>
            <w:noWrap/>
            <w:vAlign w:val="bottom"/>
            <w:hideMark/>
          </w:tcPr>
          <w:p w14:paraId="0EBF6A61" w14:textId="4BBD6043" w:rsidR="006578ED" w:rsidRDefault="006578ED">
            <w:pPr>
              <w:spacing w:after="0" w:line="240" w:lineRule="auto"/>
              <w:jc w:val="center"/>
              <w:rPr>
                <w:rFonts w:ascii="Times New Roman" w:hAnsi="Times New Roman" w:cs="Times New Roman"/>
                <w:b/>
                <w:noProof/>
                <w:sz w:val="18"/>
              </w:rPr>
            </w:pPr>
          </w:p>
        </w:tc>
        <w:tc>
          <w:tcPr>
            <w:tcW w:w="1417" w:type="dxa"/>
            <w:vMerge/>
            <w:shd w:val="clear" w:color="auto" w:fill="C6D9F1" w:themeFill="text2" w:themeFillTint="33"/>
            <w:noWrap/>
            <w:vAlign w:val="bottom"/>
            <w:hideMark/>
          </w:tcPr>
          <w:p w14:paraId="6060CD2C" w14:textId="532BC882" w:rsidR="006578ED" w:rsidRDefault="006578ED">
            <w:pPr>
              <w:spacing w:after="0" w:line="240" w:lineRule="auto"/>
              <w:jc w:val="center"/>
              <w:rPr>
                <w:rFonts w:ascii="Times New Roman" w:hAnsi="Times New Roman" w:cs="Times New Roman"/>
                <w:b/>
                <w:noProof/>
                <w:sz w:val="18"/>
              </w:rPr>
            </w:pPr>
          </w:p>
        </w:tc>
        <w:tc>
          <w:tcPr>
            <w:tcW w:w="1560" w:type="dxa"/>
            <w:vMerge/>
            <w:shd w:val="clear" w:color="auto" w:fill="C6D9F1" w:themeFill="text2" w:themeFillTint="33"/>
            <w:noWrap/>
            <w:vAlign w:val="bottom"/>
            <w:hideMark/>
          </w:tcPr>
          <w:p w14:paraId="7CAC0B30" w14:textId="5651CA64" w:rsidR="006578ED" w:rsidRDefault="006578ED">
            <w:pPr>
              <w:spacing w:after="0" w:line="240" w:lineRule="auto"/>
              <w:jc w:val="center"/>
              <w:rPr>
                <w:rFonts w:ascii="Times New Roman" w:hAnsi="Times New Roman" w:cs="Times New Roman"/>
                <w:b/>
                <w:noProof/>
                <w:sz w:val="18"/>
              </w:rPr>
            </w:pPr>
          </w:p>
        </w:tc>
        <w:tc>
          <w:tcPr>
            <w:tcW w:w="567" w:type="dxa"/>
            <w:shd w:val="clear" w:color="auto" w:fill="C6D9F1" w:themeFill="text2" w:themeFillTint="33"/>
            <w:vAlign w:val="center"/>
            <w:hideMark/>
          </w:tcPr>
          <w:p w14:paraId="6F363A74"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vAlign w:val="center"/>
            <w:hideMark/>
          </w:tcPr>
          <w:p w14:paraId="0E6D6476" w14:textId="1DDEACE6" w:rsidR="006578ED" w:rsidRDefault="00A1618E">
            <w:pPr>
              <w:pStyle w:val="P68B1DB1-Normal12"/>
              <w:spacing w:after="0" w:line="240" w:lineRule="auto"/>
              <w:jc w:val="center"/>
              <w:rPr>
                <w:rFonts w:cs="Times New Roman"/>
                <w:noProof/>
              </w:rPr>
            </w:pPr>
            <w:r>
              <w:rPr>
                <w:noProof/>
              </w:rPr>
              <w:t>Wartość wyjściowa</w:t>
            </w:r>
          </w:p>
        </w:tc>
        <w:tc>
          <w:tcPr>
            <w:tcW w:w="850" w:type="dxa"/>
            <w:shd w:val="clear" w:color="auto" w:fill="C6D9F1" w:themeFill="text2" w:themeFillTint="33"/>
            <w:vAlign w:val="center"/>
            <w:hideMark/>
          </w:tcPr>
          <w:p w14:paraId="15B3C123" w14:textId="77777777" w:rsidR="006578ED" w:rsidRDefault="00A1618E">
            <w:pPr>
              <w:pStyle w:val="P68B1DB1-Normal12"/>
              <w:spacing w:after="0" w:line="240" w:lineRule="auto"/>
              <w:jc w:val="center"/>
              <w:rPr>
                <w:rFonts w:cs="Times New Roman"/>
                <w:noProof/>
              </w:rPr>
            </w:pPr>
            <w:r>
              <w:rPr>
                <w:noProof/>
              </w:rPr>
              <w:t>Cel</w:t>
            </w:r>
          </w:p>
        </w:tc>
        <w:tc>
          <w:tcPr>
            <w:tcW w:w="567" w:type="dxa"/>
            <w:shd w:val="clear" w:color="auto" w:fill="C6D9F1" w:themeFill="text2" w:themeFillTint="33"/>
            <w:vAlign w:val="center"/>
            <w:hideMark/>
          </w:tcPr>
          <w:p w14:paraId="2C050D05" w14:textId="77777777" w:rsidR="006578ED" w:rsidRDefault="00A1618E">
            <w:pPr>
              <w:pStyle w:val="P68B1DB1-Normal12"/>
              <w:spacing w:after="0" w:line="240" w:lineRule="auto"/>
              <w:jc w:val="center"/>
              <w:rPr>
                <w:rFonts w:cs="Times New Roman"/>
                <w:noProof/>
              </w:rPr>
            </w:pPr>
            <w:r>
              <w:rPr>
                <w:noProof/>
              </w:rPr>
              <w:t>Q</w:t>
            </w:r>
          </w:p>
        </w:tc>
        <w:tc>
          <w:tcPr>
            <w:tcW w:w="709" w:type="dxa"/>
            <w:shd w:val="clear" w:color="auto" w:fill="C6D9F1" w:themeFill="text2" w:themeFillTint="33"/>
            <w:vAlign w:val="center"/>
            <w:hideMark/>
          </w:tcPr>
          <w:p w14:paraId="58D14039" w14:textId="77777777" w:rsidR="006578ED" w:rsidRDefault="00A1618E">
            <w:pPr>
              <w:pStyle w:val="P68B1DB1-Normal12"/>
              <w:spacing w:after="0" w:line="240" w:lineRule="auto"/>
              <w:jc w:val="center"/>
              <w:rPr>
                <w:rFonts w:cs="Times New Roman"/>
                <w:noProof/>
              </w:rPr>
            </w:pPr>
            <w:r>
              <w:rPr>
                <w:noProof/>
              </w:rPr>
              <w:t>Rok</w:t>
            </w:r>
          </w:p>
        </w:tc>
        <w:tc>
          <w:tcPr>
            <w:tcW w:w="5953" w:type="dxa"/>
            <w:vMerge/>
            <w:shd w:val="clear" w:color="auto" w:fill="C6D9F1" w:themeFill="text2" w:themeFillTint="33"/>
            <w:noWrap/>
            <w:vAlign w:val="bottom"/>
            <w:hideMark/>
          </w:tcPr>
          <w:p w14:paraId="6E99A884" w14:textId="79EC2A12" w:rsidR="006578ED" w:rsidRDefault="006578ED">
            <w:pPr>
              <w:spacing w:after="0" w:line="240" w:lineRule="auto"/>
              <w:jc w:val="center"/>
              <w:rPr>
                <w:rFonts w:ascii="Times New Roman" w:hAnsi="Times New Roman" w:cs="Times New Roman"/>
                <w:b/>
                <w:noProof/>
                <w:sz w:val="18"/>
              </w:rPr>
            </w:pPr>
          </w:p>
        </w:tc>
      </w:tr>
      <w:tr w:rsidR="006578ED" w14:paraId="034BC744" w14:textId="77777777">
        <w:trPr>
          <w:trHeight w:val="284"/>
        </w:trPr>
        <w:tc>
          <w:tcPr>
            <w:tcW w:w="850" w:type="dxa"/>
            <w:shd w:val="clear" w:color="auto" w:fill="C6EFCE"/>
            <w:vAlign w:val="center"/>
          </w:tcPr>
          <w:p w14:paraId="0FF1B3D3" w14:textId="79E9E935" w:rsidR="006578ED" w:rsidRDefault="00A1618E">
            <w:pPr>
              <w:pStyle w:val="P68B1DB1-Normal13"/>
              <w:spacing w:line="240" w:lineRule="auto"/>
              <w:jc w:val="center"/>
              <w:rPr>
                <w:rFonts w:cs="Times New Roman"/>
                <w:noProof/>
              </w:rPr>
            </w:pPr>
            <w:r>
              <w:rPr>
                <w:noProof/>
              </w:rPr>
              <w:t>L71</w:t>
            </w:r>
          </w:p>
        </w:tc>
        <w:tc>
          <w:tcPr>
            <w:tcW w:w="850" w:type="dxa"/>
            <w:shd w:val="clear" w:color="auto" w:fill="C6EFCE"/>
            <w:noWrap/>
            <w:vAlign w:val="center"/>
            <w:hideMark/>
          </w:tcPr>
          <w:p w14:paraId="65EE4CF3" w14:textId="06F0DE26" w:rsidR="006578ED" w:rsidRDefault="00A1618E">
            <w:pPr>
              <w:pStyle w:val="P68B1DB1-Normal13"/>
              <w:spacing w:line="240" w:lineRule="auto"/>
              <w:jc w:val="center"/>
              <w:rPr>
                <w:rFonts w:cs="Times New Roman"/>
                <w:noProof/>
              </w:rPr>
            </w:pPr>
            <w:r>
              <w:rPr>
                <w:noProof/>
              </w:rPr>
              <w:t>C22.R6</w:t>
            </w:r>
          </w:p>
        </w:tc>
        <w:tc>
          <w:tcPr>
            <w:tcW w:w="851" w:type="dxa"/>
            <w:shd w:val="clear" w:color="auto" w:fill="C6EFCE"/>
            <w:noWrap/>
            <w:vAlign w:val="center"/>
            <w:hideMark/>
          </w:tcPr>
          <w:p w14:paraId="020AF999" w14:textId="57CB1562" w:rsidR="006578ED" w:rsidRDefault="00AF6B91">
            <w:pPr>
              <w:pStyle w:val="P68B1DB1-Normal13"/>
              <w:spacing w:line="240" w:lineRule="auto"/>
              <w:jc w:val="center"/>
              <w:rPr>
                <w:rFonts w:cs="Times New Roman"/>
                <w:noProof/>
              </w:rPr>
            </w:pPr>
            <w:r>
              <w:rPr>
                <w:noProof/>
              </w:rPr>
              <w:t>Kamień milowy</w:t>
            </w:r>
          </w:p>
        </w:tc>
        <w:tc>
          <w:tcPr>
            <w:tcW w:w="1417" w:type="dxa"/>
            <w:shd w:val="clear" w:color="auto" w:fill="C6EFCE"/>
            <w:noWrap/>
            <w:vAlign w:val="center"/>
            <w:hideMark/>
          </w:tcPr>
          <w:p w14:paraId="7A160499" w14:textId="472B9943" w:rsidR="006578ED" w:rsidRDefault="00A1618E">
            <w:pPr>
              <w:pStyle w:val="P68B1DB1-Normal13"/>
              <w:spacing w:after="0" w:line="240" w:lineRule="auto"/>
              <w:rPr>
                <w:rFonts w:cs="Times New Roman"/>
                <w:noProof/>
              </w:rPr>
            </w:pPr>
            <w:r>
              <w:rPr>
                <w:noProof/>
              </w:rPr>
              <w:t>Wejście w życie odpowiednich przepisów</w:t>
            </w:r>
          </w:p>
        </w:tc>
        <w:tc>
          <w:tcPr>
            <w:tcW w:w="1560" w:type="dxa"/>
            <w:shd w:val="clear" w:color="auto" w:fill="C6EFCE"/>
            <w:noWrap/>
            <w:vAlign w:val="center"/>
          </w:tcPr>
          <w:p w14:paraId="39BB4D42" w14:textId="3F740583" w:rsidR="006578ED" w:rsidRDefault="00A1618E">
            <w:pPr>
              <w:pStyle w:val="P68B1DB1-Normal13"/>
              <w:spacing w:after="0" w:line="240" w:lineRule="auto"/>
              <w:rPr>
                <w:rFonts w:cs="Times New Roman"/>
                <w:noProof/>
              </w:rPr>
            </w:pPr>
            <w:r>
              <w:rPr>
                <w:noProof/>
              </w:rPr>
              <w:t>Przepis ustawowy przewidujący wejście w życie ustawy</w:t>
            </w:r>
          </w:p>
        </w:tc>
        <w:tc>
          <w:tcPr>
            <w:tcW w:w="567" w:type="dxa"/>
            <w:shd w:val="clear" w:color="auto" w:fill="C6EFCE"/>
            <w:noWrap/>
            <w:vAlign w:val="center"/>
            <w:hideMark/>
          </w:tcPr>
          <w:p w14:paraId="618FA821" w14:textId="77777777" w:rsidR="006578ED" w:rsidRDefault="00A1618E">
            <w:pPr>
              <w:pStyle w:val="P68B1DB1-Normal13"/>
              <w:spacing w:after="0" w:line="240" w:lineRule="auto"/>
              <w:rPr>
                <w:rFonts w:cs="Times New Roman"/>
                <w:noProof/>
              </w:rPr>
            </w:pPr>
            <w:r>
              <w:rPr>
                <w:noProof/>
              </w:rPr>
              <w:t> </w:t>
            </w:r>
          </w:p>
        </w:tc>
        <w:tc>
          <w:tcPr>
            <w:tcW w:w="567" w:type="dxa"/>
            <w:shd w:val="clear" w:color="auto" w:fill="C6EFCE"/>
            <w:noWrap/>
            <w:vAlign w:val="center"/>
            <w:hideMark/>
          </w:tcPr>
          <w:p w14:paraId="5F31DAF2" w14:textId="69E958AE" w:rsidR="006578ED" w:rsidRDefault="006578ED">
            <w:pPr>
              <w:spacing w:after="0" w:line="240" w:lineRule="auto"/>
              <w:ind w:left="-483" w:right="383"/>
              <w:jc w:val="center"/>
              <w:rPr>
                <w:rFonts w:ascii="Times New Roman" w:hAnsi="Times New Roman" w:cs="Times New Roman"/>
                <w:noProof/>
                <w:sz w:val="18"/>
              </w:rPr>
            </w:pPr>
          </w:p>
        </w:tc>
        <w:tc>
          <w:tcPr>
            <w:tcW w:w="850" w:type="dxa"/>
            <w:shd w:val="clear" w:color="auto" w:fill="C6EFCE"/>
            <w:noWrap/>
            <w:vAlign w:val="center"/>
            <w:hideMark/>
          </w:tcPr>
          <w:p w14:paraId="16A95168" w14:textId="37FC069E"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noWrap/>
            <w:vAlign w:val="center"/>
            <w:hideMark/>
          </w:tcPr>
          <w:p w14:paraId="78A4ADF0" w14:textId="3DE07FB9" w:rsidR="006578ED" w:rsidRDefault="00EC188C">
            <w:pPr>
              <w:pStyle w:val="P68B1DB1-Normal13"/>
              <w:spacing w:after="0" w:line="240" w:lineRule="auto"/>
              <w:jc w:val="center"/>
              <w:rPr>
                <w:rFonts w:cs="Times New Roman"/>
                <w:noProof/>
              </w:rPr>
            </w:pPr>
            <w:r>
              <w:rPr>
                <w:noProof/>
              </w:rPr>
              <w:t>KW. 4</w:t>
            </w:r>
          </w:p>
        </w:tc>
        <w:tc>
          <w:tcPr>
            <w:tcW w:w="709" w:type="dxa"/>
            <w:shd w:val="clear" w:color="auto" w:fill="C6EFCE"/>
            <w:noWrap/>
            <w:vAlign w:val="center"/>
            <w:hideMark/>
          </w:tcPr>
          <w:p w14:paraId="60B1C200" w14:textId="77777777" w:rsidR="006578ED" w:rsidRDefault="00A1618E">
            <w:pPr>
              <w:pStyle w:val="P68B1DB1-Normal13"/>
              <w:spacing w:after="0" w:line="240" w:lineRule="auto"/>
              <w:jc w:val="center"/>
              <w:rPr>
                <w:rFonts w:cs="Times New Roman"/>
                <w:noProof/>
              </w:rPr>
            </w:pPr>
            <w:r>
              <w:rPr>
                <w:noProof/>
              </w:rPr>
              <w:t>2025</w:t>
            </w:r>
          </w:p>
        </w:tc>
        <w:tc>
          <w:tcPr>
            <w:tcW w:w="5953" w:type="dxa"/>
            <w:shd w:val="clear" w:color="auto" w:fill="C6EFCE"/>
            <w:noWrap/>
            <w:vAlign w:val="center"/>
            <w:hideMark/>
          </w:tcPr>
          <w:p w14:paraId="38E9FAEA" w14:textId="3C8C8D1D" w:rsidR="006578ED" w:rsidRDefault="00A1618E">
            <w:pPr>
              <w:pStyle w:val="P68B1DB1-Normal13"/>
              <w:spacing w:after="0" w:line="240" w:lineRule="auto"/>
              <w:rPr>
                <w:rFonts w:cs="Times New Roman"/>
                <w:noProof/>
              </w:rPr>
            </w:pPr>
            <w:r>
              <w:rPr>
                <w:noProof/>
              </w:rPr>
              <w:t xml:space="preserve">Wejście w życie odpowiednich przepisów dotyczących ochrony konsumentów i użytkowników przed trudnościami społecznymi i ekonomicznymi, w szczególności: ustawa </w:t>
            </w:r>
            <w:r w:rsidRPr="00A1618E">
              <w:rPr>
                <w:noProof/>
                <w:lang w:val="pl-PL"/>
              </w:rPr>
              <w:t>nr 4</w:t>
            </w:r>
            <w:r>
              <w:rPr>
                <w:noProof/>
              </w:rPr>
              <w:t>/2022 o ochronie konsumentów i użytkowników przed sytuacjami podatności na zagrożenia społeczne i gospodarcze oraz dekret królewski regulujący znakowanie Braille Alphabet i inne formy w celu zagwarantowania powszechnej dostępności towarów i produktów konsumpcyjnych o szczególnym znaczeniu.</w:t>
            </w:r>
          </w:p>
        </w:tc>
      </w:tr>
      <w:tr w:rsidR="006578ED" w14:paraId="73C58FD5" w14:textId="77777777">
        <w:trPr>
          <w:trHeight w:val="284"/>
        </w:trPr>
        <w:tc>
          <w:tcPr>
            <w:tcW w:w="850" w:type="dxa"/>
            <w:shd w:val="clear" w:color="auto" w:fill="C6EFCE"/>
            <w:vAlign w:val="center"/>
          </w:tcPr>
          <w:p w14:paraId="2AC62E93" w14:textId="44C03A15" w:rsidR="006578ED" w:rsidRDefault="00A1618E">
            <w:pPr>
              <w:pStyle w:val="P68B1DB1-Normal13"/>
              <w:spacing w:line="240" w:lineRule="auto"/>
              <w:jc w:val="center"/>
              <w:rPr>
                <w:rFonts w:cs="Times New Roman"/>
                <w:noProof/>
              </w:rPr>
            </w:pPr>
            <w:r>
              <w:rPr>
                <w:noProof/>
              </w:rPr>
              <w:t>L72</w:t>
            </w:r>
          </w:p>
        </w:tc>
        <w:tc>
          <w:tcPr>
            <w:tcW w:w="850" w:type="dxa"/>
            <w:shd w:val="clear" w:color="auto" w:fill="C6EFCE"/>
            <w:noWrap/>
            <w:vAlign w:val="center"/>
          </w:tcPr>
          <w:p w14:paraId="59DA870E" w14:textId="4DD4284E" w:rsidR="006578ED" w:rsidRDefault="00A1618E">
            <w:pPr>
              <w:pStyle w:val="P68B1DB1-Normal13"/>
              <w:spacing w:line="240" w:lineRule="auto"/>
              <w:jc w:val="center"/>
              <w:rPr>
                <w:rFonts w:cs="Times New Roman"/>
                <w:noProof/>
              </w:rPr>
            </w:pPr>
            <w:r>
              <w:rPr>
                <w:noProof/>
              </w:rPr>
              <w:t>C22.I6</w:t>
            </w:r>
          </w:p>
        </w:tc>
        <w:tc>
          <w:tcPr>
            <w:tcW w:w="851" w:type="dxa"/>
            <w:shd w:val="clear" w:color="auto" w:fill="C6EFCE"/>
            <w:noWrap/>
            <w:vAlign w:val="center"/>
          </w:tcPr>
          <w:p w14:paraId="2F7C1705" w14:textId="1407071B" w:rsidR="006578ED" w:rsidRDefault="00AF6B91">
            <w:pPr>
              <w:pStyle w:val="P68B1DB1-Normal13"/>
              <w:spacing w:line="240" w:lineRule="auto"/>
              <w:jc w:val="center"/>
              <w:rPr>
                <w:rFonts w:cs="Times New Roman"/>
                <w:noProof/>
              </w:rPr>
            </w:pPr>
            <w:r>
              <w:rPr>
                <w:noProof/>
              </w:rPr>
              <w:t>Kamień milowy</w:t>
            </w:r>
          </w:p>
        </w:tc>
        <w:tc>
          <w:tcPr>
            <w:tcW w:w="1417" w:type="dxa"/>
            <w:shd w:val="clear" w:color="auto" w:fill="C6EFCE"/>
            <w:noWrap/>
            <w:vAlign w:val="center"/>
          </w:tcPr>
          <w:p w14:paraId="468BD76F" w14:textId="19C75DB4" w:rsidR="006578ED" w:rsidRDefault="00A1618E">
            <w:pPr>
              <w:pStyle w:val="P68B1DB1-Normal13"/>
              <w:spacing w:after="0" w:line="240" w:lineRule="auto"/>
              <w:rPr>
                <w:rFonts w:cs="Times New Roman"/>
                <w:noProof/>
              </w:rPr>
            </w:pPr>
            <w:r>
              <w:rPr>
                <w:noProof/>
              </w:rPr>
              <w:t>Fundusz Skutków Społecznych: Rozporządzenie ustanawiające Instrument</w:t>
            </w:r>
          </w:p>
        </w:tc>
        <w:tc>
          <w:tcPr>
            <w:tcW w:w="1560" w:type="dxa"/>
            <w:shd w:val="clear" w:color="auto" w:fill="C6EFCE"/>
            <w:noWrap/>
            <w:vAlign w:val="center"/>
          </w:tcPr>
          <w:p w14:paraId="7DD49523" w14:textId="4238F029" w:rsidR="006578ED" w:rsidRDefault="00A1618E">
            <w:pPr>
              <w:pStyle w:val="P68B1DB1-Normal13"/>
              <w:spacing w:after="0" w:line="240" w:lineRule="auto"/>
              <w:rPr>
                <w:rFonts w:cs="Times New Roman"/>
                <w:noProof/>
              </w:rPr>
            </w:pPr>
            <w:r>
              <w:rPr>
                <w:noProof/>
              </w:rPr>
              <w:t>Wejście w życie rozporządzenia ustanawiającego Instrument</w:t>
            </w:r>
          </w:p>
        </w:tc>
        <w:tc>
          <w:tcPr>
            <w:tcW w:w="567" w:type="dxa"/>
            <w:shd w:val="clear" w:color="auto" w:fill="C6EFCE"/>
            <w:noWrap/>
            <w:vAlign w:val="center"/>
          </w:tcPr>
          <w:p w14:paraId="5F6A5B6B" w14:textId="77777777" w:rsidR="006578ED" w:rsidRDefault="006578ED">
            <w:pPr>
              <w:spacing w:after="0" w:line="240" w:lineRule="auto"/>
              <w:rPr>
                <w:rFonts w:ascii="Times New Roman" w:hAnsi="Times New Roman" w:cs="Times New Roman"/>
                <w:noProof/>
                <w:sz w:val="18"/>
              </w:rPr>
            </w:pPr>
          </w:p>
        </w:tc>
        <w:tc>
          <w:tcPr>
            <w:tcW w:w="567" w:type="dxa"/>
            <w:shd w:val="clear" w:color="auto" w:fill="C6EFCE"/>
            <w:noWrap/>
            <w:vAlign w:val="center"/>
          </w:tcPr>
          <w:p w14:paraId="0E4213E1" w14:textId="777777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vAlign w:val="center"/>
          </w:tcPr>
          <w:p w14:paraId="180169D2" w14:textId="77777777"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noWrap/>
            <w:vAlign w:val="center"/>
          </w:tcPr>
          <w:p w14:paraId="094550EB" w14:textId="142BAA72" w:rsidR="006578ED" w:rsidRDefault="00EC188C">
            <w:pPr>
              <w:pStyle w:val="P68B1DB1-Normal13"/>
              <w:spacing w:after="0" w:line="240" w:lineRule="auto"/>
              <w:jc w:val="center"/>
              <w:rPr>
                <w:rFonts w:cs="Times New Roman"/>
                <w:noProof/>
              </w:rPr>
            </w:pPr>
            <w:r>
              <w:rPr>
                <w:noProof/>
              </w:rPr>
              <w:t>KW. 1</w:t>
            </w:r>
          </w:p>
        </w:tc>
        <w:tc>
          <w:tcPr>
            <w:tcW w:w="709" w:type="dxa"/>
            <w:shd w:val="clear" w:color="auto" w:fill="C6EFCE"/>
            <w:noWrap/>
            <w:vAlign w:val="center"/>
          </w:tcPr>
          <w:p w14:paraId="433E009E" w14:textId="77777777" w:rsidR="006578ED" w:rsidRDefault="00A1618E">
            <w:pPr>
              <w:pStyle w:val="P68B1DB1-Normal13"/>
              <w:spacing w:after="0" w:line="240" w:lineRule="auto"/>
              <w:jc w:val="center"/>
              <w:rPr>
                <w:rFonts w:cs="Times New Roman"/>
                <w:noProof/>
              </w:rPr>
            </w:pPr>
            <w:r>
              <w:rPr>
                <w:noProof/>
              </w:rPr>
              <w:t>2024</w:t>
            </w:r>
          </w:p>
        </w:tc>
        <w:tc>
          <w:tcPr>
            <w:tcW w:w="5953" w:type="dxa"/>
            <w:shd w:val="clear" w:color="auto" w:fill="C6EFCE"/>
            <w:noWrap/>
            <w:vAlign w:val="center"/>
          </w:tcPr>
          <w:p w14:paraId="3CAA7E8C" w14:textId="3C7DE79F" w:rsidR="006578ED" w:rsidRDefault="00A1618E">
            <w:pPr>
              <w:pStyle w:val="P68B1DB1-Normal13"/>
              <w:spacing w:after="0" w:line="240" w:lineRule="auto"/>
              <w:rPr>
                <w:rFonts w:cs="Times New Roman"/>
                <w:noProof/>
              </w:rPr>
            </w:pPr>
            <w:r>
              <w:rPr>
                <w:noProof/>
              </w:rPr>
              <w:t>Wejście w życie rozporządzenia i wszelkich związanych z nim dokumentów ustanawiających Instrument</w:t>
            </w:r>
          </w:p>
        </w:tc>
      </w:tr>
      <w:tr w:rsidR="006578ED" w14:paraId="4A6E8766" w14:textId="77777777">
        <w:trPr>
          <w:trHeight w:val="284"/>
        </w:trPr>
        <w:tc>
          <w:tcPr>
            <w:tcW w:w="850" w:type="dxa"/>
            <w:shd w:val="clear" w:color="auto" w:fill="C6EFCE"/>
            <w:vAlign w:val="center"/>
          </w:tcPr>
          <w:p w14:paraId="28FC2A44" w14:textId="67F29735" w:rsidR="006578ED" w:rsidRDefault="00A1618E">
            <w:pPr>
              <w:pStyle w:val="P68B1DB1-Normal13"/>
              <w:spacing w:line="240" w:lineRule="auto"/>
              <w:jc w:val="center"/>
              <w:rPr>
                <w:rFonts w:cs="Times New Roman"/>
                <w:noProof/>
              </w:rPr>
            </w:pPr>
            <w:r>
              <w:rPr>
                <w:noProof/>
              </w:rPr>
              <w:t>L73</w:t>
            </w:r>
          </w:p>
        </w:tc>
        <w:tc>
          <w:tcPr>
            <w:tcW w:w="850" w:type="dxa"/>
            <w:shd w:val="clear" w:color="auto" w:fill="C6EFCE"/>
            <w:noWrap/>
            <w:vAlign w:val="center"/>
          </w:tcPr>
          <w:p w14:paraId="13DC3059" w14:textId="5A6F170C" w:rsidR="006578ED" w:rsidRDefault="00A1618E">
            <w:pPr>
              <w:pStyle w:val="P68B1DB1-Normal13"/>
              <w:spacing w:line="240" w:lineRule="auto"/>
              <w:jc w:val="center"/>
              <w:rPr>
                <w:rFonts w:cs="Times New Roman"/>
                <w:noProof/>
              </w:rPr>
            </w:pPr>
            <w:r>
              <w:rPr>
                <w:noProof/>
              </w:rPr>
              <w:t>C22.I6</w:t>
            </w:r>
          </w:p>
        </w:tc>
        <w:tc>
          <w:tcPr>
            <w:tcW w:w="851" w:type="dxa"/>
            <w:shd w:val="clear" w:color="auto" w:fill="C6EFCE"/>
            <w:noWrap/>
            <w:vAlign w:val="center"/>
          </w:tcPr>
          <w:p w14:paraId="01378BA5" w14:textId="0F30875A" w:rsidR="006578ED" w:rsidRDefault="00AF6B91">
            <w:pPr>
              <w:pStyle w:val="P68B1DB1-Normal13"/>
              <w:spacing w:line="240" w:lineRule="auto"/>
              <w:jc w:val="center"/>
              <w:rPr>
                <w:rFonts w:cs="Times New Roman"/>
                <w:noProof/>
              </w:rPr>
            </w:pPr>
            <w:r>
              <w:rPr>
                <w:noProof/>
              </w:rPr>
              <w:t>Cel</w:t>
            </w:r>
          </w:p>
        </w:tc>
        <w:tc>
          <w:tcPr>
            <w:tcW w:w="1417" w:type="dxa"/>
            <w:shd w:val="clear" w:color="auto" w:fill="C6EFCE"/>
            <w:noWrap/>
            <w:vAlign w:val="center"/>
          </w:tcPr>
          <w:p w14:paraId="4AF4ED17" w14:textId="2FC2AB39" w:rsidR="006578ED" w:rsidRDefault="00A1618E">
            <w:pPr>
              <w:pStyle w:val="P68B1DB1-Normal13"/>
              <w:spacing w:after="0" w:line="240" w:lineRule="auto"/>
              <w:rPr>
                <w:rFonts w:cs="Times New Roman"/>
                <w:noProof/>
              </w:rPr>
            </w:pPr>
            <w:r>
              <w:rPr>
                <w:noProof/>
              </w:rPr>
              <w:t>Fundusz Skutków Społecznych: Prawne umowy o finansowaniu podpisane z beneficjentami końcowymi (w tym z funduszami kapitałowymi)</w:t>
            </w:r>
          </w:p>
        </w:tc>
        <w:tc>
          <w:tcPr>
            <w:tcW w:w="1560" w:type="dxa"/>
            <w:shd w:val="clear" w:color="auto" w:fill="C6EFCE"/>
            <w:noWrap/>
            <w:vAlign w:val="center"/>
          </w:tcPr>
          <w:p w14:paraId="31387562" w14:textId="0191532F" w:rsidR="006578ED" w:rsidRDefault="006578ED">
            <w:pPr>
              <w:spacing w:after="0" w:line="240" w:lineRule="auto"/>
              <w:rPr>
                <w:rFonts w:ascii="Times New Roman" w:hAnsi="Times New Roman" w:cs="Times New Roman"/>
                <w:noProof/>
                <w:sz w:val="18"/>
              </w:rPr>
            </w:pPr>
          </w:p>
        </w:tc>
        <w:tc>
          <w:tcPr>
            <w:tcW w:w="567" w:type="dxa"/>
            <w:shd w:val="clear" w:color="auto" w:fill="C6EFCE"/>
            <w:noWrap/>
            <w:vAlign w:val="center"/>
          </w:tcPr>
          <w:p w14:paraId="5DFBF05D" w14:textId="2B1DA314" w:rsidR="006578ED" w:rsidRDefault="00A1618E">
            <w:pPr>
              <w:pStyle w:val="P68B1DB1-Normal13"/>
              <w:spacing w:after="0" w:line="240" w:lineRule="auto"/>
              <w:rPr>
                <w:rFonts w:cs="Times New Roman"/>
                <w:noProof/>
              </w:rPr>
            </w:pPr>
            <w:r>
              <w:rPr>
                <w:noProof/>
              </w:rPr>
              <w:t>%</w:t>
            </w:r>
          </w:p>
        </w:tc>
        <w:tc>
          <w:tcPr>
            <w:tcW w:w="567" w:type="dxa"/>
            <w:shd w:val="clear" w:color="auto" w:fill="C6EFCE"/>
            <w:noWrap/>
            <w:vAlign w:val="center"/>
          </w:tcPr>
          <w:p w14:paraId="25410FBB" w14:textId="77777777" w:rsidR="006578ED" w:rsidRDefault="00A1618E">
            <w:pPr>
              <w:pStyle w:val="P68B1DB1-Normal13"/>
              <w:spacing w:after="0" w:line="240" w:lineRule="auto"/>
              <w:jc w:val="center"/>
              <w:rPr>
                <w:rFonts w:cs="Times New Roman"/>
                <w:noProof/>
              </w:rPr>
            </w:pPr>
            <w:r>
              <w:rPr>
                <w:noProof/>
              </w:rPr>
              <w:t>0</w:t>
            </w:r>
          </w:p>
        </w:tc>
        <w:tc>
          <w:tcPr>
            <w:tcW w:w="850" w:type="dxa"/>
            <w:shd w:val="clear" w:color="auto" w:fill="C6EFCE"/>
            <w:noWrap/>
            <w:vAlign w:val="center"/>
          </w:tcPr>
          <w:p w14:paraId="4C053AA5" w14:textId="61855166" w:rsidR="006578ED" w:rsidRDefault="00A1618E">
            <w:pPr>
              <w:pStyle w:val="P68B1DB1-Normal13"/>
              <w:spacing w:after="0" w:line="240" w:lineRule="auto"/>
              <w:jc w:val="center"/>
              <w:rPr>
                <w:rFonts w:cs="Times New Roman"/>
                <w:noProof/>
              </w:rPr>
            </w:pPr>
            <w:r>
              <w:rPr>
                <w:noProof/>
              </w:rPr>
              <w:t>100 %</w:t>
            </w:r>
          </w:p>
        </w:tc>
        <w:tc>
          <w:tcPr>
            <w:tcW w:w="567" w:type="dxa"/>
            <w:shd w:val="clear" w:color="auto" w:fill="C6EFCE"/>
            <w:noWrap/>
            <w:vAlign w:val="center"/>
          </w:tcPr>
          <w:p w14:paraId="7FA7B13E" w14:textId="4BA8C569" w:rsidR="006578ED" w:rsidRDefault="00EC188C">
            <w:pPr>
              <w:pStyle w:val="P68B1DB1-Normal13"/>
              <w:spacing w:after="0" w:line="240" w:lineRule="auto"/>
              <w:jc w:val="center"/>
              <w:rPr>
                <w:rFonts w:cs="Times New Roman"/>
                <w:noProof/>
              </w:rPr>
            </w:pPr>
            <w:r>
              <w:rPr>
                <w:noProof/>
              </w:rPr>
              <w:t>KW. 3</w:t>
            </w:r>
          </w:p>
        </w:tc>
        <w:tc>
          <w:tcPr>
            <w:tcW w:w="709" w:type="dxa"/>
            <w:shd w:val="clear" w:color="auto" w:fill="C6EFCE"/>
            <w:noWrap/>
            <w:vAlign w:val="center"/>
          </w:tcPr>
          <w:p w14:paraId="5F47878A" w14:textId="77777777" w:rsidR="006578ED" w:rsidRDefault="00A1618E">
            <w:pPr>
              <w:pStyle w:val="P68B1DB1-Normal13"/>
              <w:spacing w:after="0" w:line="240" w:lineRule="auto"/>
              <w:jc w:val="center"/>
              <w:rPr>
                <w:rFonts w:cs="Times New Roman"/>
                <w:noProof/>
              </w:rPr>
            </w:pPr>
            <w:r>
              <w:rPr>
                <w:noProof/>
              </w:rPr>
              <w:t>2026</w:t>
            </w:r>
          </w:p>
        </w:tc>
        <w:tc>
          <w:tcPr>
            <w:tcW w:w="5953" w:type="dxa"/>
            <w:shd w:val="clear" w:color="auto" w:fill="C6EFCE"/>
            <w:noWrap/>
            <w:vAlign w:val="center"/>
          </w:tcPr>
          <w:p w14:paraId="5627A840" w14:textId="57ECB4D4" w:rsidR="006578ED" w:rsidRDefault="00A1618E">
            <w:pPr>
              <w:pStyle w:val="P68B1DB1-Normal13"/>
              <w:spacing w:after="0" w:line="240" w:lineRule="auto"/>
              <w:rPr>
                <w:rFonts w:cs="Times New Roman"/>
                <w:noProof/>
              </w:rPr>
            </w:pPr>
            <w:r>
              <w:rPr>
                <w:noProof/>
              </w:rPr>
              <w:t>Instrument i pośrednicy wybrani przez COFIDES zawierają prawne umowy o finansowaniu z beneficjentami końcowymi (w tym funduszami kapitałowymi) na kwotę niezbędną do wykorzystania 100 % inwestycji RRF w instrument (z uwzględnieniem opłat za zarządzanie). Co najmniej 40 % finansowania odpowiada umowom finansowym podpisanym z funduszami kapitałowymi, a co najmniej 10 % – umowami w sprawie finansowania podpisanymi z beneficjentami końcowymi w odniesieniu do wszystkich innych produktów inwestycyjnych (w tym bezpośrednich inwestycji kapitałowych w ramach Instrumentu).</w:t>
            </w:r>
          </w:p>
        </w:tc>
      </w:tr>
      <w:tr w:rsidR="006578ED" w14:paraId="4D6F2258" w14:textId="77777777">
        <w:trPr>
          <w:trHeight w:val="284"/>
        </w:trPr>
        <w:tc>
          <w:tcPr>
            <w:tcW w:w="850" w:type="dxa"/>
            <w:shd w:val="clear" w:color="auto" w:fill="C6EFCE"/>
            <w:vAlign w:val="center"/>
          </w:tcPr>
          <w:p w14:paraId="710D5711" w14:textId="2A0C0187" w:rsidR="006578ED" w:rsidRDefault="00A1618E">
            <w:pPr>
              <w:pStyle w:val="P68B1DB1-Normal13"/>
              <w:spacing w:line="240" w:lineRule="auto"/>
              <w:jc w:val="center"/>
              <w:rPr>
                <w:rFonts w:cs="Times New Roman"/>
                <w:noProof/>
              </w:rPr>
            </w:pPr>
            <w:r>
              <w:rPr>
                <w:noProof/>
              </w:rPr>
              <w:t>L74</w:t>
            </w:r>
          </w:p>
        </w:tc>
        <w:tc>
          <w:tcPr>
            <w:tcW w:w="850" w:type="dxa"/>
            <w:shd w:val="clear" w:color="auto" w:fill="C6EFCE"/>
            <w:noWrap/>
            <w:vAlign w:val="center"/>
          </w:tcPr>
          <w:p w14:paraId="67A99C0C" w14:textId="107E0B08" w:rsidR="006578ED" w:rsidRDefault="00A1618E">
            <w:pPr>
              <w:pStyle w:val="P68B1DB1-Normal13"/>
              <w:spacing w:line="240" w:lineRule="auto"/>
              <w:jc w:val="center"/>
              <w:rPr>
                <w:rFonts w:cs="Times New Roman"/>
                <w:noProof/>
              </w:rPr>
            </w:pPr>
            <w:r>
              <w:rPr>
                <w:noProof/>
              </w:rPr>
              <w:t>C22.I6</w:t>
            </w:r>
          </w:p>
        </w:tc>
        <w:tc>
          <w:tcPr>
            <w:tcW w:w="851" w:type="dxa"/>
            <w:shd w:val="clear" w:color="auto" w:fill="C6EFCE"/>
            <w:noWrap/>
            <w:vAlign w:val="center"/>
          </w:tcPr>
          <w:p w14:paraId="70D467C6" w14:textId="10D77171" w:rsidR="006578ED" w:rsidRDefault="00AF6B91">
            <w:pPr>
              <w:pStyle w:val="P68B1DB1-Normal13"/>
              <w:spacing w:line="240" w:lineRule="auto"/>
              <w:jc w:val="center"/>
              <w:rPr>
                <w:rFonts w:cs="Times New Roman"/>
                <w:noProof/>
              </w:rPr>
            </w:pPr>
            <w:r>
              <w:rPr>
                <w:noProof/>
              </w:rPr>
              <w:t>Kamień milowy</w:t>
            </w:r>
          </w:p>
        </w:tc>
        <w:tc>
          <w:tcPr>
            <w:tcW w:w="1417" w:type="dxa"/>
            <w:shd w:val="clear" w:color="auto" w:fill="C6EFCE"/>
            <w:noWrap/>
            <w:vAlign w:val="center"/>
          </w:tcPr>
          <w:p w14:paraId="1F9E1AF5" w14:textId="4FD2CA22" w:rsidR="006578ED" w:rsidRDefault="00A1618E">
            <w:pPr>
              <w:pStyle w:val="P68B1DB1-Normal13"/>
              <w:spacing w:after="0" w:line="240" w:lineRule="auto"/>
              <w:rPr>
                <w:rFonts w:cs="Times New Roman"/>
                <w:noProof/>
              </w:rPr>
            </w:pPr>
            <w:r>
              <w:rPr>
                <w:noProof/>
              </w:rPr>
              <w:t>Fundusz Skutków Społecznych: Ministerstwo zakończyło inwestycję</w:t>
            </w:r>
          </w:p>
        </w:tc>
        <w:tc>
          <w:tcPr>
            <w:tcW w:w="1560" w:type="dxa"/>
            <w:shd w:val="clear" w:color="auto" w:fill="C6EFCE"/>
            <w:noWrap/>
            <w:vAlign w:val="center"/>
          </w:tcPr>
          <w:p w14:paraId="0F7CDE95" w14:textId="5A1EA4C7" w:rsidR="006578ED" w:rsidRDefault="00A1618E">
            <w:pPr>
              <w:pStyle w:val="P68B1DB1-Normal13"/>
              <w:spacing w:after="0" w:line="240" w:lineRule="auto"/>
              <w:rPr>
                <w:rFonts w:cs="Times New Roman"/>
                <w:noProof/>
              </w:rPr>
            </w:pPr>
            <w:r>
              <w:rPr>
                <w:noProof/>
              </w:rPr>
              <w:t>Świadectwo transferu</w:t>
            </w:r>
          </w:p>
        </w:tc>
        <w:tc>
          <w:tcPr>
            <w:tcW w:w="567" w:type="dxa"/>
            <w:shd w:val="clear" w:color="auto" w:fill="C6EFCE"/>
            <w:noWrap/>
            <w:vAlign w:val="center"/>
          </w:tcPr>
          <w:p w14:paraId="4473A8BC" w14:textId="7B1CEAD0" w:rsidR="006578ED" w:rsidRDefault="006578ED">
            <w:pPr>
              <w:spacing w:after="0" w:line="240" w:lineRule="auto"/>
              <w:rPr>
                <w:rFonts w:ascii="Times New Roman" w:hAnsi="Times New Roman" w:cs="Times New Roman"/>
                <w:noProof/>
                <w:sz w:val="18"/>
              </w:rPr>
            </w:pPr>
          </w:p>
        </w:tc>
        <w:tc>
          <w:tcPr>
            <w:tcW w:w="567" w:type="dxa"/>
            <w:shd w:val="clear" w:color="auto" w:fill="C6EFCE"/>
            <w:noWrap/>
            <w:vAlign w:val="center"/>
          </w:tcPr>
          <w:p w14:paraId="241D0D63" w14:textId="28B82077" w:rsidR="006578ED" w:rsidRDefault="006578ED">
            <w:pPr>
              <w:spacing w:after="0" w:line="240" w:lineRule="auto"/>
              <w:jc w:val="center"/>
              <w:rPr>
                <w:rFonts w:ascii="Times New Roman" w:hAnsi="Times New Roman" w:cs="Times New Roman"/>
                <w:noProof/>
                <w:sz w:val="18"/>
              </w:rPr>
            </w:pPr>
          </w:p>
        </w:tc>
        <w:tc>
          <w:tcPr>
            <w:tcW w:w="850" w:type="dxa"/>
            <w:shd w:val="clear" w:color="auto" w:fill="C6EFCE"/>
            <w:noWrap/>
            <w:vAlign w:val="center"/>
          </w:tcPr>
          <w:p w14:paraId="099767AF" w14:textId="63A24C19"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noWrap/>
            <w:vAlign w:val="center"/>
          </w:tcPr>
          <w:p w14:paraId="10715A73" w14:textId="2F80D964" w:rsidR="006578ED" w:rsidRDefault="00EC188C">
            <w:pPr>
              <w:pStyle w:val="P68B1DB1-Normal13"/>
              <w:spacing w:after="0" w:line="240" w:lineRule="auto"/>
              <w:jc w:val="center"/>
              <w:rPr>
                <w:rFonts w:cs="Times New Roman"/>
                <w:noProof/>
              </w:rPr>
            </w:pPr>
            <w:r>
              <w:rPr>
                <w:noProof/>
              </w:rPr>
              <w:t>KW. 3</w:t>
            </w:r>
          </w:p>
        </w:tc>
        <w:tc>
          <w:tcPr>
            <w:tcW w:w="709" w:type="dxa"/>
            <w:shd w:val="clear" w:color="auto" w:fill="C6EFCE"/>
            <w:noWrap/>
            <w:vAlign w:val="center"/>
          </w:tcPr>
          <w:p w14:paraId="67A7B841" w14:textId="77777777" w:rsidR="006578ED" w:rsidRDefault="00A1618E">
            <w:pPr>
              <w:pStyle w:val="P68B1DB1-Normal13"/>
              <w:spacing w:after="0" w:line="240" w:lineRule="auto"/>
              <w:jc w:val="center"/>
              <w:rPr>
                <w:rFonts w:cs="Times New Roman"/>
                <w:noProof/>
              </w:rPr>
            </w:pPr>
            <w:r>
              <w:rPr>
                <w:noProof/>
              </w:rPr>
              <w:t>2026</w:t>
            </w:r>
          </w:p>
        </w:tc>
        <w:tc>
          <w:tcPr>
            <w:tcW w:w="5953" w:type="dxa"/>
            <w:shd w:val="clear" w:color="auto" w:fill="C6EFCE"/>
            <w:noWrap/>
            <w:vAlign w:val="center"/>
          </w:tcPr>
          <w:p w14:paraId="28548495" w14:textId="05A4816C" w:rsidR="006578ED" w:rsidRDefault="00A1618E">
            <w:pPr>
              <w:pStyle w:val="P68B1DB1-Normal13"/>
              <w:spacing w:after="0" w:line="240" w:lineRule="auto"/>
              <w:rPr>
                <w:rFonts w:cs="Times New Roman"/>
                <w:noProof/>
              </w:rPr>
            </w:pPr>
            <w:r>
              <w:rPr>
                <w:noProof/>
              </w:rPr>
              <w:t>Hiszpania przesunie 400 000 000 EUR do Instrumentu.</w:t>
            </w:r>
          </w:p>
        </w:tc>
      </w:tr>
    </w:tbl>
    <w:p w14:paraId="3B85581F" w14:textId="6F55F11A" w:rsidR="006578ED" w:rsidRDefault="006578ED">
      <w:pPr>
        <w:pStyle w:val="Text1"/>
        <w:rPr>
          <w:rFonts w:ascii="Times New Roman" w:hAnsi="Times New Roman" w:cs="Times New Roman"/>
          <w:noProof/>
        </w:rPr>
      </w:pPr>
    </w:p>
    <w:p w14:paraId="0592620D" w14:textId="77777777" w:rsidR="006578ED" w:rsidRDefault="006578ED">
      <w:pPr>
        <w:pStyle w:val="Text1"/>
        <w:rPr>
          <w:rFonts w:ascii="Times New Roman" w:hAnsi="Times New Roman" w:cs="Times New Roman"/>
          <w:noProof/>
        </w:rPr>
      </w:pPr>
    </w:p>
    <w:p w14:paraId="5BC83675" w14:textId="77777777" w:rsidR="006578ED" w:rsidRDefault="006578ED">
      <w:pPr>
        <w:pStyle w:val="Text1"/>
        <w:rPr>
          <w:rFonts w:ascii="Times New Roman" w:hAnsi="Times New Roman" w:cs="Times New Roman"/>
          <w:noProof/>
        </w:rPr>
      </w:pPr>
    </w:p>
    <w:p w14:paraId="2ADE0703" w14:textId="77777777" w:rsidR="006578ED" w:rsidRDefault="006578ED">
      <w:pPr>
        <w:rPr>
          <w:rFonts w:ascii="Times New Roman" w:hAnsi="Times New Roman" w:cs="Times New Roman"/>
          <w:noProof/>
        </w:rPr>
        <w:sectPr w:rsidR="006578ED" w:rsidSect="00C94F66">
          <w:headerReference w:type="even" r:id="rId441"/>
          <w:headerReference w:type="default" r:id="rId442"/>
          <w:footerReference w:type="even" r:id="rId443"/>
          <w:footerReference w:type="default" r:id="rId444"/>
          <w:headerReference w:type="first" r:id="rId445"/>
          <w:footerReference w:type="first" r:id="rId446"/>
          <w:pgSz w:w="16839" w:h="11907" w:orient="landscape"/>
          <w:pgMar w:top="1417" w:right="1134" w:bottom="1417" w:left="1134" w:header="709" w:footer="709" w:gutter="0"/>
          <w:cols w:space="720"/>
          <w:docGrid w:linePitch="360"/>
        </w:sectPr>
      </w:pPr>
    </w:p>
    <w:p w14:paraId="2AD7DF5E" w14:textId="4701534E" w:rsidR="006578ED" w:rsidRDefault="00A1618E">
      <w:pPr>
        <w:pStyle w:val="P68B1DB1-Heading12"/>
        <w:rPr>
          <w:rFonts w:cs="Times New Roman"/>
          <w:noProof/>
        </w:rPr>
      </w:pPr>
      <w:r>
        <w:rPr>
          <w:noProof/>
        </w:rPr>
        <w:t>W. KOMPONENT 23: Nowe polityki publiczne na rzecz dynamicznego, odpornego i sprzyjającego włączeniu społecznemu rynku pracy</w:t>
      </w:r>
    </w:p>
    <w:p w14:paraId="36A0DE62" w14:textId="2838FB4D" w:rsidR="006578ED" w:rsidRDefault="00A1618E">
      <w:pPr>
        <w:pStyle w:val="P68B1DB1-Normal8"/>
        <w:spacing w:before="120" w:after="120" w:line="240" w:lineRule="auto"/>
        <w:jc w:val="both"/>
        <w:rPr>
          <w:rFonts w:cs="Times New Roman"/>
          <w:noProof/>
          <w:sz w:val="24"/>
        </w:rPr>
      </w:pPr>
      <w:r>
        <w:rPr>
          <w:noProof/>
          <w:sz w:val="24"/>
        </w:rPr>
        <w:t>Komponent</w:t>
      </w:r>
      <w:r>
        <w:rPr>
          <w:noProof/>
        </w:rPr>
        <w:t xml:space="preserve"> </w:t>
      </w:r>
      <w:r>
        <w:rPr>
          <w:noProof/>
          <w:sz w:val="24"/>
        </w:rPr>
        <w:t xml:space="preserve">hiszpańskiego planu odbudowy i zwiększania odporności odnosi się do istotnych wyzwań strukturalnych na hiszpańskim rynku pracy. Jego główne cele to zmniejszenie bezrobocia strukturalnego i bezrobocia młodzieży, ograniczenie powszechnego stosowania umów o pracę na czas określony i korekta dualizmu na rynku pracy, zwiększenie inwestycji w kapitał ludzki, modernizacja instrumentów rokowań zbiorowych oraz zwiększenie skuteczności i efektywności aktywnej polityki rynku pracy. </w:t>
      </w:r>
    </w:p>
    <w:p w14:paraId="54802925" w14:textId="69A1A9C9" w:rsidR="006578ED" w:rsidRDefault="00A1618E">
      <w:pPr>
        <w:pStyle w:val="P68B1DB1-Normal4"/>
        <w:spacing w:before="120" w:after="120" w:line="240" w:lineRule="auto"/>
        <w:jc w:val="both"/>
        <w:rPr>
          <w:rFonts w:cs="Times New Roman"/>
          <w:noProof/>
        </w:rPr>
      </w:pPr>
      <w:r>
        <w:rPr>
          <w:noProof/>
        </w:rPr>
        <w:t xml:space="preserve">Komponent ten obejmuje odpowiednie inwestycje, uzupełniające inwestycje finansowane z funduszy strukturalnych (w szczególności Europejskiego Funduszu Społecznego), które mają na celu maksymalizację wpływu reform na tworzenie wysokiej jakości miejsc pracy, wzrost wydajności oraz zmniejszenie różnic społecznych, terytorialnych i różnic w traktowaniu kobiet i mężczyzn. </w:t>
      </w:r>
    </w:p>
    <w:p w14:paraId="53B75E96" w14:textId="36727BC4" w:rsidR="006578ED" w:rsidRDefault="00A1618E">
      <w:pPr>
        <w:pStyle w:val="P68B1DB1-Normal4"/>
        <w:spacing w:before="120" w:after="120" w:line="240" w:lineRule="auto"/>
        <w:jc w:val="both"/>
        <w:rPr>
          <w:rFonts w:cs="Times New Roman"/>
          <w:noProof/>
        </w:rPr>
      </w:pPr>
      <w:r>
        <w:rPr>
          <w:noProof/>
        </w:rPr>
        <w:t>Ogólnie rzecz biorąc, środki uwzględnione w tym komponencie mają na celu sprostanie utrzymującym się od dawna wyzwaniom hiszpańskiego rynku pracy i przedstawienie zestawu ambitnych i spójnych reform, z których większość ma zostać przeprowadzona do końca 20</w:t>
      </w:r>
      <w:r w:rsidRPr="00A1618E">
        <w:rPr>
          <w:noProof/>
          <w:lang w:val="pl-PL"/>
        </w:rPr>
        <w:t>21 r.</w:t>
      </w:r>
      <w:r>
        <w:rPr>
          <w:noProof/>
        </w:rPr>
        <w:t xml:space="preserve"> Niektóre propozycje reform są obecnie omawiane z partnerami społecznymi w ramach dialogu społecznego. W związku z tym pewne szczegóły zostały wyraźnie pozostawione do rozstrzygnięcia, aby pozostawić wystarczająco dużo miejsca na porozumienie i zatwierdzenie przez partnerów społecznych. </w:t>
      </w:r>
    </w:p>
    <w:p w14:paraId="3CB47AC8" w14:textId="2F08711B" w:rsidR="006578ED" w:rsidRDefault="00A1618E">
      <w:pPr>
        <w:pStyle w:val="P68B1DB1-Normal4"/>
        <w:spacing w:before="120" w:after="120" w:line="240" w:lineRule="auto"/>
        <w:jc w:val="both"/>
        <w:rPr>
          <w:rFonts w:cs="Times New Roman"/>
          <w:noProof/>
        </w:rPr>
      </w:pPr>
      <w:r>
        <w:rPr>
          <w:noProof/>
        </w:rPr>
        <w:t xml:space="preserve">Komponent ten dotyczy zaleceń dla poszczególnych krajów dotyczących przechodzenia na umowy na czas nieokreślony oraz zachęt do zatrudniania, publicznych służb zatrudnienia, aktywnej polityki rynku pracy i kształcenia dorosłych, ochrony bezrobotnych, systemów dochodu minimalnego oraz utrzymania miejsc pracy (zalecenia dla poszczególnych krajów </w:t>
      </w:r>
      <w:r w:rsidRPr="00A1618E">
        <w:rPr>
          <w:noProof/>
          <w:lang w:val="pl-PL"/>
        </w:rPr>
        <w:t>nr 2</w:t>
      </w:r>
      <w:r>
        <w:rPr>
          <w:noProof/>
        </w:rPr>
        <w:t> 2019 i 2 2020).</w:t>
      </w:r>
    </w:p>
    <w:p w14:paraId="72D71FC6" w14:textId="30F51C0F"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41EAD5F5" w14:textId="0A5D20C7" w:rsidR="006578ED" w:rsidRDefault="00A1618E">
      <w:pPr>
        <w:pStyle w:val="P68B1DB1-Normal5"/>
        <w:spacing w:before="120" w:after="120" w:line="240" w:lineRule="auto"/>
        <w:ind w:left="709"/>
        <w:jc w:val="both"/>
        <w:rPr>
          <w:rFonts w:cs="Times New Roman"/>
          <w:i/>
          <w:noProof/>
        </w:rPr>
      </w:pPr>
      <w:r>
        <w:rPr>
          <w:noProof/>
        </w:rPr>
        <w:t xml:space="preserve">W.1. </w:t>
      </w:r>
      <w:r>
        <w:rPr>
          <w:noProof/>
        </w:rPr>
        <w:tab/>
        <w:t>Opis reform i inwestycji, które mają być finansowane z bezzwrotnego wsparcia finansowego</w:t>
      </w:r>
    </w:p>
    <w:p w14:paraId="691EE88D" w14:textId="77777777" w:rsidR="006578ED" w:rsidRDefault="00A1618E">
      <w:pPr>
        <w:pStyle w:val="P68B1DB1-Normal6"/>
        <w:spacing w:before="120" w:after="120" w:line="240" w:lineRule="auto"/>
        <w:jc w:val="both"/>
        <w:rPr>
          <w:rFonts w:cs="Times New Roman"/>
          <w:noProof/>
        </w:rPr>
      </w:pPr>
      <w:r>
        <w:rPr>
          <w:noProof/>
        </w:rPr>
        <w:t>Reforma 1 (C23.R1) – Regulacja telepracy</w:t>
      </w:r>
    </w:p>
    <w:p w14:paraId="61CC4D2D" w14:textId="4ED4FA5F" w:rsidR="006578ED" w:rsidRDefault="00A1618E">
      <w:pPr>
        <w:pStyle w:val="P68B1DB1-Normal4"/>
        <w:spacing w:before="120" w:after="120" w:line="240" w:lineRule="auto"/>
        <w:jc w:val="both"/>
        <w:rPr>
          <w:rFonts w:cs="Times New Roman"/>
          <w:noProof/>
        </w:rPr>
      </w:pPr>
      <w:r>
        <w:rPr>
          <w:noProof/>
        </w:rPr>
        <w:t>Reforma ta ustanawia ramy regulacyjne dotyczące świadczenia pracy zdalnej w celu poprawy ochrony i elastyczności pracowników przy jednoczesnym zachowaniu wydajności przedsiębiorstw. Polega ona na zatwierdzeniu dwóch dekretów królewskich z mocą ustawy:</w:t>
      </w:r>
    </w:p>
    <w:p w14:paraId="75B99D06" w14:textId="239D2AB5" w:rsidR="006578ED" w:rsidRDefault="00A1618E">
      <w:pPr>
        <w:pStyle w:val="P68B1DB1-Normal4"/>
        <w:numPr>
          <w:ilvl w:val="0"/>
          <w:numId w:val="143"/>
        </w:numPr>
        <w:spacing w:before="120" w:after="160" w:line="259" w:lineRule="auto"/>
        <w:contextualSpacing/>
        <w:jc w:val="both"/>
        <w:rPr>
          <w:rFonts w:cs="Times New Roman"/>
          <w:noProof/>
        </w:rPr>
      </w:pPr>
      <w:r>
        <w:rPr>
          <w:noProof/>
        </w:rPr>
        <w:t xml:space="preserve">Dekret królewski z mocą ustawy 28/2020 z dnia 22 września ustanawia ramy regulacyjne sprzyjające wprowadzaniu pracy zdalnej w sektorze prywatnym, przy jednoczesnym zachowaniu wydajności przedsiębiorstw oraz zapewnieniu ochrony i elastyczności pracownikom. Gwarantuje ona takie same warunki pracy osobom pracującym zdalnie i na miejscu, jak również dobrowolny charakter telepracy, zarówno dla pracownika, jak i dla pracodawcy. Ustanowione ramy sprzyjają mieszanym formom zdalnym i pracom na miejscu. </w:t>
      </w:r>
    </w:p>
    <w:p w14:paraId="6CC9DBAC" w14:textId="47671749" w:rsidR="006578ED" w:rsidRDefault="00A1618E">
      <w:pPr>
        <w:pStyle w:val="P68B1DB1-Normal4"/>
        <w:numPr>
          <w:ilvl w:val="0"/>
          <w:numId w:val="143"/>
        </w:numPr>
        <w:spacing w:before="120" w:after="160" w:line="259" w:lineRule="auto"/>
        <w:contextualSpacing/>
        <w:jc w:val="both"/>
        <w:rPr>
          <w:rFonts w:cs="Times New Roman"/>
          <w:noProof/>
        </w:rPr>
      </w:pPr>
      <w:r>
        <w:rPr>
          <w:noProof/>
        </w:rPr>
        <w:t>Dekret królewski z mocą ustawy 29/2020 z dnia 29 września w sprawie telepracy w administracji publicznej ustanawia ramy regulacyjne dla pracowników sektora publicznego, w których uznaje się możliwość dobrowolnego i odwracalnego świadczenia tego rodzaju pracy za uprzednią zgodą.</w:t>
      </w:r>
    </w:p>
    <w:p w14:paraId="16FD564A" w14:textId="679FC1AC" w:rsidR="006578ED" w:rsidRDefault="00A1618E">
      <w:pPr>
        <w:pStyle w:val="P68B1DB1-Normal4"/>
        <w:spacing w:before="240" w:after="120" w:line="240" w:lineRule="auto"/>
        <w:jc w:val="both"/>
        <w:rPr>
          <w:rFonts w:cs="Times New Roman"/>
          <w:noProof/>
        </w:rPr>
      </w:pPr>
      <w:r>
        <w:rPr>
          <w:noProof/>
        </w:rPr>
        <w:t>Reforma ta jest powiązana z reformą 1 w komponencie 11 dotyczącym administracji publicznej.</w:t>
      </w:r>
    </w:p>
    <w:p w14:paraId="0FE411A7" w14:textId="48F5C651" w:rsidR="006578ED" w:rsidRDefault="00A1618E">
      <w:pPr>
        <w:pStyle w:val="P68B1DB1-Normal4"/>
        <w:spacing w:before="240" w:after="120" w:line="240" w:lineRule="auto"/>
        <w:jc w:val="both"/>
        <w:rPr>
          <w:rFonts w:cs="Times New Roman"/>
          <w:noProof/>
        </w:rPr>
      </w:pPr>
      <w:r>
        <w:rPr>
          <w:noProof/>
        </w:rPr>
        <w:t>Wdrożenie środka zostanie zakończone do dnia 31 grudnia 20</w:t>
      </w:r>
      <w:r w:rsidRPr="00A1618E">
        <w:rPr>
          <w:noProof/>
          <w:lang w:val="pl-PL"/>
        </w:rPr>
        <w:t>20 r.</w:t>
      </w:r>
    </w:p>
    <w:p w14:paraId="3B85F30F" w14:textId="0701B7D8" w:rsidR="006578ED" w:rsidRDefault="00A1618E">
      <w:pPr>
        <w:pStyle w:val="P68B1DB1-Normal6"/>
        <w:keepNext/>
        <w:spacing w:before="120" w:after="120" w:line="240" w:lineRule="auto"/>
        <w:jc w:val="both"/>
        <w:rPr>
          <w:rFonts w:cs="Times New Roman"/>
          <w:noProof/>
        </w:rPr>
      </w:pPr>
      <w:r>
        <w:rPr>
          <w:noProof/>
        </w:rPr>
        <w:t>Reforma 2 (C23.R2) – Środki służące zniwelowaniu różnic w traktowaniu kobiet i mężczyzn</w:t>
      </w:r>
    </w:p>
    <w:p w14:paraId="1CCA538E" w14:textId="2592C0F9" w:rsidR="006578ED" w:rsidRDefault="00A1618E">
      <w:pPr>
        <w:pStyle w:val="P68B1DB1-Normal4"/>
        <w:keepNext/>
        <w:spacing w:before="120" w:after="120" w:line="240" w:lineRule="auto"/>
        <w:jc w:val="both"/>
        <w:rPr>
          <w:rFonts w:cs="Times New Roman"/>
          <w:noProof/>
        </w:rPr>
      </w:pPr>
      <w:r>
        <w:rPr>
          <w:noProof/>
        </w:rPr>
        <w:t>Celem tej reformy jest zlikwidowanie zróżnicowania wynagrodzenia ze względu na płeć. Składa się on z dwóch regulaminów:</w:t>
      </w:r>
    </w:p>
    <w:p w14:paraId="18F41E8B" w14:textId="174121CB" w:rsidR="006578ED" w:rsidRDefault="00A1618E">
      <w:pPr>
        <w:pStyle w:val="P68B1DB1-Normal4"/>
        <w:numPr>
          <w:ilvl w:val="0"/>
          <w:numId w:val="143"/>
        </w:numPr>
        <w:spacing w:before="120" w:after="160" w:line="259" w:lineRule="auto"/>
        <w:contextualSpacing/>
        <w:jc w:val="both"/>
        <w:rPr>
          <w:rFonts w:cs="Times New Roman"/>
          <w:noProof/>
        </w:rPr>
      </w:pPr>
      <w:r>
        <w:rPr>
          <w:noProof/>
        </w:rPr>
        <w:t>Dekret królewski 901/2020 z dnia 13 października reguluje spoczywający na pracodawcach obowiązek sporządzania i rejestrowania planów równości w celu zapewnienia przejrzystości wynagrodzeń. Wszystkie przedsiębiorstwa zatrudniające ponad 150 pracowników są zobowiązane do opracowania i zarejestrowania takich planów, a w 20</w:t>
      </w:r>
      <w:r w:rsidRPr="00A1618E">
        <w:rPr>
          <w:noProof/>
          <w:lang w:val="pl-PL"/>
        </w:rPr>
        <w:t>22 r.</w:t>
      </w:r>
      <w:r>
        <w:rPr>
          <w:noProof/>
        </w:rPr>
        <w:t xml:space="preserve"> wszystkie przedsiębiorstwa zatrudniające ponad 50 pracowników będą również zobowiązane. Dekret królewski określa procedurę negocjowania planów, wymogi, których należy przestrzegać, oraz cechy ich oceny i monitorowania. </w:t>
      </w:r>
    </w:p>
    <w:p w14:paraId="6844778F" w14:textId="1B556B5D" w:rsidR="006578ED" w:rsidRDefault="00A1618E">
      <w:pPr>
        <w:pStyle w:val="P68B1DB1-Normal4"/>
        <w:numPr>
          <w:ilvl w:val="0"/>
          <w:numId w:val="143"/>
        </w:numPr>
        <w:spacing w:before="120" w:after="160" w:line="259" w:lineRule="auto"/>
        <w:contextualSpacing/>
        <w:jc w:val="both"/>
        <w:rPr>
          <w:rFonts w:cs="Times New Roman"/>
          <w:noProof/>
        </w:rPr>
      </w:pPr>
      <w:r>
        <w:rPr>
          <w:noProof/>
        </w:rPr>
        <w:t>Dekret królewski 902/2020 z dnia 13 października w sprawie równości wynagrodzeń dla mężczyzn i kobiet gwarantuje zasadę przejrzystości wynagrodzeń w celu zidentyfikowania sytuacji dyskryminujących ze względu na nieprawidłową ocenę stanowiska pracy (tj. niższe wynagrodzenie za pracę o takiej samej wartości). Dekret określa sytuacje, w których utwór jest uważany za taki sam. Obowiązuje ona od kwietnia 20</w:t>
      </w:r>
      <w:r w:rsidRPr="00A1618E">
        <w:rPr>
          <w:noProof/>
          <w:lang w:val="pl-PL"/>
        </w:rPr>
        <w:t>21 r.</w:t>
      </w:r>
      <w:r>
        <w:rPr>
          <w:noProof/>
        </w:rPr>
        <w:t xml:space="preserve">, </w:t>
      </w:r>
      <w:r w:rsidRPr="00A1618E">
        <w:rPr>
          <w:noProof/>
          <w:lang w:val="pl-PL"/>
        </w:rPr>
        <w:t>po 6</w:t>
      </w:r>
      <w:r>
        <w:rPr>
          <w:noProof/>
        </w:rPr>
        <w:t>-miesięcznym okresie przyznanym pracodawcom na ustanowienie wymaganych mechanizmów wdrażania.</w:t>
      </w:r>
    </w:p>
    <w:p w14:paraId="25ABAA94" w14:textId="33954592" w:rsidR="006578ED" w:rsidRDefault="00A1618E">
      <w:pPr>
        <w:pStyle w:val="P68B1DB1-Normal4"/>
        <w:spacing w:before="240" w:after="120" w:line="240" w:lineRule="auto"/>
        <w:jc w:val="both"/>
        <w:rPr>
          <w:rFonts w:cs="Times New Roman"/>
          <w:noProof/>
        </w:rPr>
      </w:pPr>
      <w:r>
        <w:rPr>
          <w:noProof/>
        </w:rPr>
        <w:t>Wdrożenie środka należy zakończyć do dnia 30 czerwca 20</w:t>
      </w:r>
      <w:r w:rsidRPr="00A1618E">
        <w:rPr>
          <w:noProof/>
          <w:lang w:val="pl-PL"/>
        </w:rPr>
        <w:t>21 r.</w:t>
      </w:r>
    </w:p>
    <w:p w14:paraId="45BBAC62" w14:textId="77777777" w:rsidR="006578ED" w:rsidRDefault="00A1618E">
      <w:pPr>
        <w:pStyle w:val="P68B1DB1-Normal6"/>
        <w:spacing w:before="120" w:after="120" w:line="240" w:lineRule="auto"/>
        <w:jc w:val="both"/>
        <w:rPr>
          <w:rFonts w:cs="Times New Roman"/>
          <w:noProof/>
        </w:rPr>
      </w:pPr>
      <w:r>
        <w:rPr>
          <w:noProof/>
        </w:rPr>
        <w:t>Reforma 3 (C23.R3) – regulowanie pracy dystrybutorów domów przez platformy cyfrowe (</w:t>
      </w:r>
      <w:r>
        <w:rPr>
          <w:i/>
          <w:noProof/>
        </w:rPr>
        <w:t>kierowcy</w:t>
      </w:r>
      <w:r>
        <w:rPr>
          <w:noProof/>
        </w:rPr>
        <w:t>)</w:t>
      </w:r>
    </w:p>
    <w:p w14:paraId="4BD1036B" w14:textId="0CDE8842" w:rsidR="006578ED" w:rsidRDefault="00A1618E">
      <w:pPr>
        <w:pStyle w:val="P68B1DB1-Normal4"/>
        <w:spacing w:before="120" w:after="120" w:line="240" w:lineRule="auto"/>
        <w:jc w:val="both"/>
        <w:rPr>
          <w:rFonts w:cs="Times New Roman"/>
          <w:noProof/>
        </w:rPr>
      </w:pPr>
      <w:r>
        <w:rPr>
          <w:noProof/>
        </w:rPr>
        <w:t xml:space="preserve">Celem reformy jest uregulowanie warunków pracy tak zwanych kierowników, którzy </w:t>
      </w:r>
      <w:r>
        <w:rPr>
          <w:i/>
          <w:noProof/>
        </w:rPr>
        <w:t>prowadzą</w:t>
      </w:r>
      <w:r>
        <w:rPr>
          <w:noProof/>
        </w:rPr>
        <w:t xml:space="preserve"> działalność dystrybucyjną wśród osób trzecich przy użyciu środków technologicznych. Królewski dekret z mocą ustawy gwarantuje tym pracownikom prawo do sprawiedliwego i równego traktowania w zakresie warunków pracy oraz prawo dostępu do ochrony socjalnej i szkoleń poprzez prawne domniemanie stosunku pracy między przedsiębiorstwem a osobą kierującą. Umożliwia ona również informowanie pracowników o przepisach zawartych w algorytmach i systemach sztucznej inteligencji, które mogą mieć wpływ na warunki pracy, w tym dostęp do zatrudnienia i profilowanie oraz jego utrzymanie. </w:t>
      </w:r>
    </w:p>
    <w:p w14:paraId="2C7CF537" w14:textId="4CD450B0" w:rsidR="006578ED" w:rsidRDefault="00A1618E">
      <w:pPr>
        <w:pStyle w:val="P68B1DB1-Normal4"/>
        <w:spacing w:before="120" w:after="120" w:line="240" w:lineRule="auto"/>
        <w:jc w:val="both"/>
        <w:rPr>
          <w:rFonts w:cs="Times New Roman"/>
          <w:noProof/>
        </w:rPr>
      </w:pPr>
      <w:r>
        <w:rPr>
          <w:noProof/>
        </w:rPr>
        <w:t>Wdrożenie środka należy zakończyć do dnia 30 września 20</w:t>
      </w:r>
      <w:r w:rsidRPr="00A1618E">
        <w:rPr>
          <w:noProof/>
          <w:lang w:val="pl-PL"/>
        </w:rPr>
        <w:t>21 r.</w:t>
      </w:r>
    </w:p>
    <w:p w14:paraId="50D8148C" w14:textId="2FFBC5C2" w:rsidR="006578ED" w:rsidRDefault="00A1618E">
      <w:pPr>
        <w:pStyle w:val="P68B1DB1-Normal6"/>
        <w:spacing w:before="120" w:after="120" w:line="240" w:lineRule="auto"/>
        <w:jc w:val="both"/>
        <w:rPr>
          <w:rFonts w:cs="Times New Roman"/>
          <w:noProof/>
        </w:rPr>
      </w:pPr>
      <w:r>
        <w:rPr>
          <w:noProof/>
        </w:rPr>
        <w:t>Reforma 4 (C23.R4) – Uproszczenie umów: uogólnienie umowy na czas nieokreślony, powody korzystania z umów o pracę na czas określony oraz uregulowanie umowy o szkolenie/przyuczanie do zawodu.</w:t>
      </w:r>
    </w:p>
    <w:p w14:paraId="0C992956" w14:textId="1646102A" w:rsidR="006578ED" w:rsidRDefault="00A1618E">
      <w:pPr>
        <w:pStyle w:val="P68B1DB1-Normal4"/>
        <w:spacing w:before="120" w:after="120" w:line="240" w:lineRule="auto"/>
        <w:jc w:val="both"/>
        <w:rPr>
          <w:rFonts w:cs="Times New Roman"/>
          <w:noProof/>
        </w:rPr>
      </w:pPr>
      <w:r>
        <w:rPr>
          <w:noProof/>
        </w:rPr>
        <w:t xml:space="preserve">Reforma ta polega na zmianie rozporządzenia w sprawie umów zawartych w statucie pracowników (dekret ustawodawczy </w:t>
      </w:r>
      <w:r w:rsidRPr="00A1618E">
        <w:rPr>
          <w:noProof/>
          <w:lang w:val="pl-PL"/>
        </w:rPr>
        <w:t>nr 2</w:t>
      </w:r>
      <w:r>
        <w:rPr>
          <w:noProof/>
        </w:rPr>
        <w:t>/2015) w celu uregulowania stosowania umów o pracę na czas określony jako wyłącznie przyczynowo-skutkowego oraz upowszechnienia stosowania umów na czas nieokreślony. Reforma obejmuje następujące elementy:</w:t>
      </w:r>
    </w:p>
    <w:p w14:paraId="6AD37FFD" w14:textId="64989EE1" w:rsidR="006578ED" w:rsidRDefault="00A1618E">
      <w:pPr>
        <w:pStyle w:val="P68B1DB1-Normal4"/>
        <w:numPr>
          <w:ilvl w:val="0"/>
          <w:numId w:val="144"/>
        </w:numPr>
        <w:spacing w:before="120" w:after="160" w:line="259" w:lineRule="auto"/>
        <w:contextualSpacing/>
        <w:jc w:val="both"/>
        <w:rPr>
          <w:rFonts w:cs="Times New Roman"/>
          <w:noProof/>
        </w:rPr>
      </w:pPr>
      <w:r>
        <w:rPr>
          <w:noProof/>
        </w:rPr>
        <w:t xml:space="preserve">Uproszczenie i reorganizacja menu umów, z trzema głównymi rodzajami: nieograniczone, tymczasowe i szkolenie/przyuczanie do zawodu. Projekt nowych rodzajów umów ma na celu ograniczenie uzasadnionych przyczyn korzystania z umów na czas określony, a tym samym uczynienie umów na czas nieokreślony ogólną zasadą. </w:t>
      </w:r>
    </w:p>
    <w:p w14:paraId="4EE1EC25" w14:textId="54C5FE1B" w:rsidR="006578ED" w:rsidRDefault="00A1618E">
      <w:pPr>
        <w:pStyle w:val="P68B1DB1-Normal4"/>
        <w:numPr>
          <w:ilvl w:val="0"/>
          <w:numId w:val="144"/>
        </w:numPr>
        <w:spacing w:before="120" w:after="160" w:line="259" w:lineRule="auto"/>
        <w:contextualSpacing/>
        <w:jc w:val="both"/>
        <w:rPr>
          <w:rFonts w:cs="Times New Roman"/>
          <w:noProof/>
        </w:rPr>
      </w:pPr>
      <w:r>
        <w:rPr>
          <w:noProof/>
        </w:rPr>
        <w:t xml:space="preserve">Przegląd stosowania umowy o szkolenie/przyuczanie do zawodu w celu zapewnienia młodym ludziom odpowiednich ram wejścia na rynek pracy. </w:t>
      </w:r>
    </w:p>
    <w:p w14:paraId="4C2D1C2F" w14:textId="0D0EFF3C" w:rsidR="006578ED" w:rsidRDefault="00A1618E">
      <w:pPr>
        <w:pStyle w:val="P68B1DB1-Normal4"/>
        <w:numPr>
          <w:ilvl w:val="0"/>
          <w:numId w:val="144"/>
        </w:numPr>
        <w:spacing w:before="120" w:after="160" w:line="259" w:lineRule="auto"/>
        <w:contextualSpacing/>
        <w:jc w:val="both"/>
        <w:rPr>
          <w:rFonts w:cs="Times New Roman"/>
          <w:noProof/>
        </w:rPr>
      </w:pPr>
      <w:r>
        <w:rPr>
          <w:noProof/>
        </w:rPr>
        <w:t>Wzmocnienie stosowania umowy sezonowej, która jest szczególnym rodzajem umowy na czas nieokreślony stosowanej w działalności sezonowej.</w:t>
      </w:r>
    </w:p>
    <w:p w14:paraId="799F219E" w14:textId="4CDFD948" w:rsidR="006578ED" w:rsidRDefault="00A1618E">
      <w:pPr>
        <w:pStyle w:val="P68B1DB1-Normal4"/>
        <w:numPr>
          <w:ilvl w:val="0"/>
          <w:numId w:val="144"/>
        </w:numPr>
        <w:spacing w:before="120" w:after="160" w:line="259" w:lineRule="auto"/>
        <w:contextualSpacing/>
        <w:jc w:val="both"/>
        <w:rPr>
          <w:rFonts w:cs="Times New Roman"/>
          <w:noProof/>
        </w:rPr>
      </w:pPr>
      <w:r>
        <w:rPr>
          <w:noProof/>
        </w:rPr>
        <w:t>Reforma ma na celu wzmocnienie kontroli korzystania z umów o pracę w niepełnym wymiarze czasu pracy, aby zapobiec nieregularnemu wymiarowi czasu pracy.</w:t>
      </w:r>
    </w:p>
    <w:p w14:paraId="68D9B5D6" w14:textId="0751B318" w:rsidR="006578ED" w:rsidRDefault="00A1618E">
      <w:pPr>
        <w:pStyle w:val="P68B1DB1-Normal4"/>
        <w:numPr>
          <w:ilvl w:val="0"/>
          <w:numId w:val="144"/>
        </w:numPr>
        <w:spacing w:before="120" w:after="160" w:line="259" w:lineRule="auto"/>
        <w:contextualSpacing/>
        <w:jc w:val="both"/>
        <w:rPr>
          <w:rFonts w:cs="Times New Roman"/>
          <w:noProof/>
        </w:rPr>
      </w:pPr>
      <w:r>
        <w:rPr>
          <w:noProof/>
        </w:rPr>
        <w:t>Wzmocnienie walki z oszustwami związanymi z zatrudnieniem, w tym poprzez aktualizację systemu sankcji.</w:t>
      </w:r>
    </w:p>
    <w:p w14:paraId="0321D44C" w14:textId="27C42B35" w:rsidR="006578ED" w:rsidRDefault="00A1618E">
      <w:pPr>
        <w:pStyle w:val="P68B1DB1-Normal4"/>
        <w:spacing w:before="240" w:after="120" w:line="240" w:lineRule="auto"/>
        <w:jc w:val="both"/>
        <w:rPr>
          <w:rFonts w:cs="Times New Roman"/>
          <w:noProof/>
        </w:rPr>
      </w:pPr>
      <w:r>
        <w:rPr>
          <w:noProof/>
        </w:rPr>
        <w:t>Reforma ta jest ściśle powiązana z reformą 1 w komponencie 11, która wprowadza inne zmiany prawne do statutu pracowników sektora publicznego w celu ograniczenia korzystania z umów o pracę na czas określony w sektorze publicznym. Jest on również związany z reformą 6 (mechanizm elastyczności i stabilności) w ramach tego komponentu.</w:t>
      </w:r>
    </w:p>
    <w:p w14:paraId="43DA1D42" w14:textId="1CD67F91" w:rsidR="006578ED" w:rsidRDefault="00A1618E">
      <w:pPr>
        <w:pStyle w:val="P68B1DB1-Normal4"/>
        <w:spacing w:before="240" w:after="120" w:line="240" w:lineRule="auto"/>
        <w:jc w:val="both"/>
        <w:rPr>
          <w:rFonts w:cs="Times New Roman"/>
          <w:noProof/>
        </w:rPr>
      </w:pPr>
      <w:r>
        <w:rPr>
          <w:noProof/>
        </w:rPr>
        <w:t>Wdrożenie środka zostanie zakończone do dnia 31 grudnia 20</w:t>
      </w:r>
      <w:r w:rsidRPr="00A1618E">
        <w:rPr>
          <w:noProof/>
          <w:lang w:val="pl-PL"/>
        </w:rPr>
        <w:t>21 r.</w:t>
      </w:r>
    </w:p>
    <w:p w14:paraId="21A148EB" w14:textId="77777777" w:rsidR="006578ED" w:rsidRDefault="00A1618E">
      <w:pPr>
        <w:pStyle w:val="P68B1DB1-Normal6"/>
        <w:spacing w:before="120" w:after="120" w:line="240" w:lineRule="auto"/>
        <w:jc w:val="both"/>
        <w:rPr>
          <w:rFonts w:cs="Times New Roman"/>
          <w:noProof/>
        </w:rPr>
      </w:pPr>
      <w:r>
        <w:rPr>
          <w:noProof/>
        </w:rPr>
        <w:t>Reforma 5 (C23.R5) – Modernizacja aktywnej polityki rynku pracy (ALMP)</w:t>
      </w:r>
    </w:p>
    <w:p w14:paraId="437724FB" w14:textId="336401F5" w:rsidR="006578ED" w:rsidRDefault="00A1618E">
      <w:pPr>
        <w:pStyle w:val="P68B1DB1-Normal4"/>
        <w:spacing w:before="120" w:after="120" w:line="240" w:lineRule="auto"/>
        <w:jc w:val="both"/>
        <w:rPr>
          <w:rFonts w:cs="Times New Roman"/>
          <w:noProof/>
        </w:rPr>
      </w:pPr>
      <w:r>
        <w:rPr>
          <w:noProof/>
        </w:rPr>
        <w:t>Celem tej reformy jest modernizacja realizacji aktywnej polityki rynku pracy w Hiszpanii, z uwzględnieniem wniosków z przeglądów wydatków dokonanych przez niezależny organ podatkowy („AIReF”). Reforma składa się z wielu elementów, takich jak opracowanie indywidualnych ścieżek doradztwa, zapobieganie nadużyciom w szkoleniach opartych na pracy (takich jak staże i umowy szkoleniowe), wzmocnienie systemu uczenia się dorosłych i uznawania kompetencji, utworzenie punktu kompleksowej obsługi dla młodych ludzi, poprawa koordynacji między służbami zatrudnienia i służbami socjalnymi oraz z regionami, a także poprawa współpracy z sektorem prywatnym.</w:t>
      </w:r>
    </w:p>
    <w:p w14:paraId="4CD28135" w14:textId="20B59B19" w:rsidR="006578ED" w:rsidRDefault="00A1618E">
      <w:pPr>
        <w:pStyle w:val="P68B1DB1-Normal4"/>
        <w:spacing w:before="120" w:after="120" w:line="240" w:lineRule="auto"/>
        <w:jc w:val="both"/>
        <w:rPr>
          <w:rFonts w:cs="Times New Roman"/>
          <w:noProof/>
        </w:rPr>
      </w:pPr>
      <w:r>
        <w:rPr>
          <w:noProof/>
        </w:rPr>
        <w:t>Reforma ta zostanie uzupełniona dwoma innymi reformami w ramach tego komponentu, a mianowicie reformą 7 (zachęty do zatrudniania) i reformą 11 (cyfryzacja publicznych służb zatrudnienia). Niektóre elementy reformy (takie jak wzmocnienie programu przekwalifikowania i pomocy dla starszych pracowników) stanowią synergię z reformą 2 w ramach komponentu 30 (dostosowanie rzeczywistego wieku przejścia na emeryturę z ustawowym wiekiem emerytalnym).</w:t>
      </w:r>
    </w:p>
    <w:p w14:paraId="42B3A7CB" w14:textId="0C7E949D" w:rsidR="006578ED" w:rsidRDefault="00A1618E">
      <w:pPr>
        <w:pStyle w:val="P68B1DB1-Normal4"/>
        <w:spacing w:before="120" w:after="120" w:line="240" w:lineRule="auto"/>
        <w:jc w:val="both"/>
        <w:rPr>
          <w:rFonts w:cs="Times New Roman"/>
          <w:noProof/>
        </w:rPr>
      </w:pPr>
      <w:r>
        <w:rPr>
          <w:noProof/>
        </w:rPr>
        <w:t>Reforma obejmuje szereg kroków ustawodawczych w latach 2021 i 2022:</w:t>
      </w:r>
    </w:p>
    <w:p w14:paraId="0138F2E9" w14:textId="12374574" w:rsidR="006578ED" w:rsidRDefault="00A1618E">
      <w:pPr>
        <w:pStyle w:val="P68B1DB1-Normal4"/>
        <w:numPr>
          <w:ilvl w:val="0"/>
          <w:numId w:val="145"/>
        </w:numPr>
        <w:spacing w:before="120" w:after="160" w:line="240" w:lineRule="auto"/>
        <w:contextualSpacing/>
        <w:jc w:val="both"/>
        <w:rPr>
          <w:rFonts w:cs="Times New Roman"/>
          <w:noProof/>
        </w:rPr>
      </w:pPr>
      <w:r>
        <w:rPr>
          <w:noProof/>
        </w:rPr>
        <w:t>Plan działania na lata 2021–2027 na rzecz zwalczania bezrobocia młodzieży przy okazji wdrażania unijnej gwarancji dla młodzieży Plus. Plan działania obejmuje przegląd umów o staż/przyuczanie do zawodu oraz zatwierdzenie statutu stażystów. Środki te muszą być spójne z polityką edukacyjną mającą na celu przeciwdziałanie zjawisku przedwczesnego kończenia nauki (jak określono w komponencie 21). Wdrożenie tego elementu środka należy zakończyć do dnia 30 czerwca 20</w:t>
      </w:r>
      <w:r w:rsidRPr="00A1618E">
        <w:rPr>
          <w:noProof/>
          <w:lang w:val="pl-PL"/>
        </w:rPr>
        <w:t>21 r.</w:t>
      </w:r>
    </w:p>
    <w:p w14:paraId="00CB9829" w14:textId="36BD6751" w:rsidR="006578ED" w:rsidRDefault="00A1618E">
      <w:pPr>
        <w:pStyle w:val="P68B1DB1-Normal4"/>
        <w:numPr>
          <w:ilvl w:val="0"/>
          <w:numId w:val="145"/>
        </w:numPr>
        <w:spacing w:before="120" w:after="160" w:line="240" w:lineRule="auto"/>
        <w:contextualSpacing/>
        <w:jc w:val="both"/>
        <w:rPr>
          <w:rFonts w:cs="Times New Roman"/>
          <w:noProof/>
        </w:rPr>
      </w:pPr>
      <w:r>
        <w:rPr>
          <w:noProof/>
        </w:rPr>
        <w:t xml:space="preserve">Hiszpańska strategia aktywizacji zatrudnienia na lata 2021–2024 w następstwie procesu dialogu społecznego. Główne cele nowej strategii są następujące: </w:t>
      </w:r>
    </w:p>
    <w:p w14:paraId="1D990343" w14:textId="4F9CEB7E" w:rsidR="006578ED" w:rsidRDefault="00A1618E">
      <w:pPr>
        <w:pStyle w:val="P68B1DB1-Normal4"/>
        <w:numPr>
          <w:ilvl w:val="1"/>
          <w:numId w:val="146"/>
        </w:numPr>
        <w:spacing w:before="120" w:after="160" w:line="240" w:lineRule="auto"/>
        <w:contextualSpacing/>
        <w:jc w:val="both"/>
        <w:rPr>
          <w:rFonts w:cs="Times New Roman"/>
          <w:noProof/>
        </w:rPr>
      </w:pPr>
      <w:r>
        <w:rPr>
          <w:noProof/>
        </w:rPr>
        <w:t>Podejście skoncentrowane na ludziach i przedsiębiorstwach: oczekuje się, że struktura aktywnej polityki rynku pracy będzie koncentrować się na szczególnych uwarunkowaniach każdej osoby i każdego przedsiębiorstwa.</w:t>
      </w:r>
    </w:p>
    <w:p w14:paraId="121EE051" w14:textId="2B1722D6" w:rsidR="006578ED" w:rsidRDefault="00A1618E">
      <w:pPr>
        <w:pStyle w:val="P68B1DB1-Normal4"/>
        <w:numPr>
          <w:ilvl w:val="1"/>
          <w:numId w:val="146"/>
        </w:numPr>
        <w:spacing w:before="120" w:after="160" w:line="240" w:lineRule="auto"/>
        <w:contextualSpacing/>
        <w:jc w:val="both"/>
        <w:rPr>
          <w:rFonts w:cs="Times New Roman"/>
          <w:noProof/>
        </w:rPr>
      </w:pPr>
      <w:r>
        <w:rPr>
          <w:noProof/>
        </w:rPr>
        <w:t>Spójność z transformacją produkcyjną: Aktywna polityka rynku pracy powinna umożliwiać przekwalifikowanie zawodowe towarzyszące przechodzeniu modelu produkcji w kierunku gospodarki ekologicznej i cyfrowej.</w:t>
      </w:r>
    </w:p>
    <w:p w14:paraId="45904CBE" w14:textId="1C9FDDF8" w:rsidR="006578ED" w:rsidRDefault="00A1618E">
      <w:pPr>
        <w:pStyle w:val="P68B1DB1-Normal4"/>
        <w:numPr>
          <w:ilvl w:val="1"/>
          <w:numId w:val="146"/>
        </w:numPr>
        <w:spacing w:before="120" w:after="160" w:line="240" w:lineRule="auto"/>
        <w:contextualSpacing/>
        <w:jc w:val="both"/>
        <w:rPr>
          <w:rFonts w:cs="Times New Roman"/>
          <w:noProof/>
        </w:rPr>
      </w:pPr>
      <w:r>
        <w:rPr>
          <w:noProof/>
        </w:rPr>
        <w:t>Ukierunkowanie na wyniki: Oczekuje się, że aktywna polityka rynku pracy będzie przedmiotem oceny, monitorowania i wspierania osiągania rezultatów.</w:t>
      </w:r>
    </w:p>
    <w:p w14:paraId="4BDCF7E4" w14:textId="2AD82711" w:rsidR="006578ED" w:rsidRDefault="00A1618E">
      <w:pPr>
        <w:pStyle w:val="P68B1DB1-Normal4"/>
        <w:numPr>
          <w:ilvl w:val="1"/>
          <w:numId w:val="146"/>
        </w:numPr>
        <w:spacing w:before="120" w:after="160" w:line="240" w:lineRule="auto"/>
        <w:contextualSpacing/>
        <w:jc w:val="both"/>
        <w:rPr>
          <w:rFonts w:cs="Times New Roman"/>
          <w:noProof/>
        </w:rPr>
      </w:pPr>
      <w:r>
        <w:rPr>
          <w:noProof/>
        </w:rPr>
        <w:t xml:space="preserve">Poprawa zdolności publicznych służb zatrudnienia poprzez ich cyfryzację i modernizację. </w:t>
      </w:r>
    </w:p>
    <w:p w14:paraId="771EC655" w14:textId="37DA3501" w:rsidR="006578ED" w:rsidRDefault="00A1618E">
      <w:pPr>
        <w:pStyle w:val="P68B1DB1-Normal4"/>
        <w:numPr>
          <w:ilvl w:val="1"/>
          <w:numId w:val="146"/>
        </w:numPr>
        <w:spacing w:before="120" w:after="160" w:line="240" w:lineRule="auto"/>
        <w:contextualSpacing/>
        <w:jc w:val="both"/>
        <w:rPr>
          <w:rFonts w:cs="Times New Roman"/>
          <w:noProof/>
        </w:rPr>
      </w:pPr>
      <w:r>
        <w:rPr>
          <w:noProof/>
        </w:rPr>
        <w:t>Zarządzanie krajowym systemem zatrudnienia i jego spójność w celu poprawy koordynacji na szczeblu krajowym i regionalnym oraz zainteresowanych stron zaangażowanych w aktywną politykę rynku pracy.</w:t>
      </w:r>
    </w:p>
    <w:p w14:paraId="72ABA948" w14:textId="3FA3129E" w:rsidR="006578ED" w:rsidRDefault="00A1618E">
      <w:pPr>
        <w:pStyle w:val="P68B1DB1-Normal4"/>
        <w:spacing w:before="120" w:after="160" w:line="240" w:lineRule="auto"/>
        <w:ind w:left="709"/>
        <w:contextualSpacing/>
        <w:jc w:val="both"/>
        <w:rPr>
          <w:rFonts w:cs="Times New Roman"/>
          <w:noProof/>
        </w:rPr>
      </w:pPr>
      <w:r>
        <w:rPr>
          <w:noProof/>
        </w:rPr>
        <w:t>Wdrożenie tego elementu środka należy zakończyć do dnia 31 grudnia 20</w:t>
      </w:r>
      <w:r w:rsidRPr="00A1618E">
        <w:rPr>
          <w:noProof/>
          <w:lang w:val="pl-PL"/>
        </w:rPr>
        <w:t>21 r.</w:t>
      </w:r>
    </w:p>
    <w:p w14:paraId="3E8A197B" w14:textId="141D4D89" w:rsidR="006578ED" w:rsidRDefault="00A1618E">
      <w:pPr>
        <w:pStyle w:val="P68B1DB1-Normal4"/>
        <w:numPr>
          <w:ilvl w:val="0"/>
          <w:numId w:val="145"/>
        </w:numPr>
        <w:spacing w:before="120" w:after="160" w:line="240" w:lineRule="auto"/>
        <w:contextualSpacing/>
        <w:jc w:val="both"/>
        <w:rPr>
          <w:rFonts w:cs="Times New Roman"/>
          <w:noProof/>
        </w:rPr>
      </w:pPr>
      <w:r>
        <w:rPr>
          <w:noProof/>
        </w:rPr>
        <w:t>Reforma ustawy o zatrudnieniu, której celem jest: wzmocnienie instrumentów polityki i koordynacji krajowego systemu zatrudnienia; zreformowanie aktywnej polityki rynku pracy; (III) dokonanie przeglądu zarządzania systemem; wzmocnienie lokalnego wymiaru polityki zatrudnienia; oraz (v) spełnienia wymogów dotyczących wdrożenia różnych środków przewidzianych w ramach krajowego planu aktywnej polityki zatrudnienia. W tym kontekście główne elementy zmian legislacyjnych obejmują:</w:t>
      </w:r>
    </w:p>
    <w:p w14:paraId="530053EE" w14:textId="2723CABE" w:rsidR="006578ED" w:rsidRDefault="00A1618E">
      <w:pPr>
        <w:pStyle w:val="P68B1DB1-Normal4"/>
        <w:numPr>
          <w:ilvl w:val="1"/>
          <w:numId w:val="146"/>
        </w:numPr>
        <w:spacing w:before="120" w:after="160" w:line="240" w:lineRule="auto"/>
        <w:contextualSpacing/>
        <w:jc w:val="both"/>
        <w:rPr>
          <w:rFonts w:cs="Times New Roman"/>
          <w:noProof/>
        </w:rPr>
      </w:pPr>
      <w:r>
        <w:rPr>
          <w:noProof/>
        </w:rPr>
        <w:t>Wzmocnienie aktywnej i pasywnej polityki zatrudnienia z uwzględnieniem podziału kompetencji między państwem a wspólnotami autonomicznymi.</w:t>
      </w:r>
    </w:p>
    <w:p w14:paraId="4EA0BFE8" w14:textId="1C27D0BF" w:rsidR="006578ED" w:rsidRDefault="00A1618E">
      <w:pPr>
        <w:pStyle w:val="P68B1DB1-Normal4"/>
        <w:numPr>
          <w:ilvl w:val="1"/>
          <w:numId w:val="146"/>
        </w:numPr>
        <w:spacing w:before="120" w:after="160" w:line="240" w:lineRule="auto"/>
        <w:contextualSpacing/>
        <w:jc w:val="both"/>
        <w:rPr>
          <w:rFonts w:cs="Times New Roman"/>
          <w:noProof/>
        </w:rPr>
      </w:pPr>
      <w:r>
        <w:rPr>
          <w:noProof/>
        </w:rPr>
        <w:t xml:space="preserve">Wzmocnienie systemu pośrednictwa i partnerstw publiczno-prywatnych. </w:t>
      </w:r>
    </w:p>
    <w:p w14:paraId="07EEF715" w14:textId="4402BBFE" w:rsidR="006578ED" w:rsidRDefault="00A1618E">
      <w:pPr>
        <w:pStyle w:val="P68B1DB1-Normal4"/>
        <w:numPr>
          <w:ilvl w:val="1"/>
          <w:numId w:val="146"/>
        </w:numPr>
        <w:spacing w:before="120" w:after="160" w:line="240" w:lineRule="auto"/>
        <w:contextualSpacing/>
        <w:jc w:val="both"/>
        <w:rPr>
          <w:rFonts w:cs="Times New Roman"/>
          <w:noProof/>
        </w:rPr>
      </w:pPr>
      <w:r>
        <w:rPr>
          <w:noProof/>
        </w:rPr>
        <w:t>Wspólny portfel usług w krajowym systemie zatrudnienia.</w:t>
      </w:r>
    </w:p>
    <w:p w14:paraId="7589A543" w14:textId="77777777" w:rsidR="006578ED" w:rsidRDefault="00A1618E">
      <w:pPr>
        <w:pStyle w:val="P68B1DB1-Normal4"/>
        <w:numPr>
          <w:ilvl w:val="1"/>
          <w:numId w:val="146"/>
        </w:numPr>
        <w:spacing w:before="120" w:after="160" w:line="240" w:lineRule="auto"/>
        <w:contextualSpacing/>
        <w:jc w:val="both"/>
        <w:rPr>
          <w:rFonts w:cs="Times New Roman"/>
          <w:noProof/>
        </w:rPr>
      </w:pPr>
      <w:r>
        <w:rPr>
          <w:noProof/>
        </w:rPr>
        <w:t xml:space="preserve">Przegląd modelu finansowania. </w:t>
      </w:r>
    </w:p>
    <w:p w14:paraId="3C95E3DE" w14:textId="77777777" w:rsidR="006578ED" w:rsidRDefault="00A1618E">
      <w:pPr>
        <w:pStyle w:val="P68B1DB1-Normal4"/>
        <w:numPr>
          <w:ilvl w:val="1"/>
          <w:numId w:val="146"/>
        </w:numPr>
        <w:spacing w:before="120" w:after="160" w:line="240" w:lineRule="auto"/>
        <w:contextualSpacing/>
        <w:jc w:val="both"/>
        <w:rPr>
          <w:rFonts w:cs="Times New Roman"/>
          <w:noProof/>
        </w:rPr>
      </w:pPr>
      <w:r>
        <w:rPr>
          <w:noProof/>
        </w:rPr>
        <w:t>Współpraca ze służbami socjalnymi.</w:t>
      </w:r>
    </w:p>
    <w:p w14:paraId="5D537E1C" w14:textId="258ECD64" w:rsidR="006578ED" w:rsidRDefault="00A1618E">
      <w:pPr>
        <w:pStyle w:val="P68B1DB1-Normal4"/>
        <w:numPr>
          <w:ilvl w:val="1"/>
          <w:numId w:val="146"/>
        </w:numPr>
        <w:spacing w:before="120" w:after="160" w:line="240" w:lineRule="auto"/>
        <w:contextualSpacing/>
        <w:jc w:val="both"/>
        <w:rPr>
          <w:rFonts w:cs="Times New Roman"/>
          <w:noProof/>
        </w:rPr>
      </w:pPr>
      <w:r>
        <w:rPr>
          <w:noProof/>
        </w:rPr>
        <w:t>Wymiar lokalny i europejski.</w:t>
      </w:r>
    </w:p>
    <w:p w14:paraId="6719D66E" w14:textId="77777777" w:rsidR="006578ED" w:rsidRDefault="00A1618E">
      <w:pPr>
        <w:pStyle w:val="P68B1DB1-Normal4"/>
        <w:numPr>
          <w:ilvl w:val="1"/>
          <w:numId w:val="146"/>
        </w:numPr>
        <w:spacing w:before="120" w:after="160" w:line="240" w:lineRule="auto"/>
        <w:contextualSpacing/>
        <w:jc w:val="both"/>
        <w:rPr>
          <w:rFonts w:cs="Times New Roman"/>
          <w:noProof/>
        </w:rPr>
      </w:pPr>
      <w:r>
        <w:rPr>
          <w:noProof/>
        </w:rPr>
        <w:t>Rozwój technologiczny na rzecz zdolności do zatrudnienia.</w:t>
      </w:r>
    </w:p>
    <w:p w14:paraId="65442721" w14:textId="42C5EF29" w:rsidR="006578ED" w:rsidRDefault="00A1618E">
      <w:pPr>
        <w:pStyle w:val="P68B1DB1-Normal4"/>
        <w:numPr>
          <w:ilvl w:val="1"/>
          <w:numId w:val="146"/>
        </w:numPr>
        <w:spacing w:before="120" w:after="160" w:line="240" w:lineRule="auto"/>
        <w:contextualSpacing/>
        <w:jc w:val="both"/>
        <w:rPr>
          <w:rFonts w:cs="Times New Roman"/>
          <w:noProof/>
        </w:rPr>
      </w:pPr>
      <w:r>
        <w:rPr>
          <w:noProof/>
        </w:rPr>
        <w:t>Wykorzystanie technologii informacyjno-komunikacyjnych i dużych zbiorów danych.</w:t>
      </w:r>
    </w:p>
    <w:p w14:paraId="029E0FC8" w14:textId="77777777" w:rsidR="006578ED" w:rsidRDefault="00A1618E">
      <w:pPr>
        <w:pStyle w:val="P68B1DB1-Normal4"/>
        <w:numPr>
          <w:ilvl w:val="1"/>
          <w:numId w:val="146"/>
        </w:numPr>
        <w:spacing w:before="120" w:after="160" w:line="240" w:lineRule="auto"/>
        <w:contextualSpacing/>
        <w:jc w:val="both"/>
        <w:rPr>
          <w:rFonts w:cs="Times New Roman"/>
          <w:noProof/>
        </w:rPr>
      </w:pPr>
      <w:r>
        <w:rPr>
          <w:noProof/>
        </w:rPr>
        <w:t>Poprawa zdolności do zatrudnienia.</w:t>
      </w:r>
    </w:p>
    <w:p w14:paraId="04D029A0" w14:textId="2A1D40D6" w:rsidR="006578ED" w:rsidRDefault="00A1618E">
      <w:pPr>
        <w:pStyle w:val="P68B1DB1-Normal4"/>
        <w:spacing w:before="120" w:after="160" w:line="240" w:lineRule="auto"/>
        <w:ind w:left="709"/>
        <w:contextualSpacing/>
        <w:jc w:val="both"/>
        <w:rPr>
          <w:rFonts w:cs="Times New Roman"/>
          <w:noProof/>
        </w:rPr>
      </w:pPr>
      <w:r>
        <w:rPr>
          <w:noProof/>
        </w:rPr>
        <w:t>Wdrożenie tego elementu środka należy zakończyć do dnia 31 grudnia 20</w:t>
      </w:r>
      <w:r w:rsidRPr="00A1618E">
        <w:rPr>
          <w:noProof/>
          <w:lang w:val="pl-PL"/>
        </w:rPr>
        <w:t>22 r.</w:t>
      </w:r>
    </w:p>
    <w:p w14:paraId="40D99AEC" w14:textId="20E7FD92" w:rsidR="006578ED" w:rsidRDefault="00A1618E">
      <w:pPr>
        <w:pStyle w:val="P68B1DB1-Normal6"/>
        <w:spacing w:before="240" w:after="120" w:line="240" w:lineRule="auto"/>
        <w:jc w:val="both"/>
        <w:rPr>
          <w:rFonts w:cs="Times New Roman"/>
          <w:noProof/>
        </w:rPr>
      </w:pPr>
      <w:r>
        <w:rPr>
          <w:noProof/>
        </w:rPr>
        <w:t>Reforma 6 (C23.R6) – Stały mechanizm elastyczności wewnętrznej, stabilności zatrudnienia i przekwalifikowania pracowników w okresie transformacji.</w:t>
      </w:r>
    </w:p>
    <w:p w14:paraId="77191841" w14:textId="4EDB42FB" w:rsidR="006578ED" w:rsidRDefault="00A1618E">
      <w:pPr>
        <w:pStyle w:val="P68B1DB1-Normal4"/>
        <w:spacing w:before="120" w:after="120" w:line="240" w:lineRule="auto"/>
        <w:jc w:val="both"/>
        <w:rPr>
          <w:rFonts w:cs="Times New Roman"/>
          <w:noProof/>
        </w:rPr>
      </w:pPr>
      <w:r>
        <w:rPr>
          <w:noProof/>
        </w:rPr>
        <w:t xml:space="preserve">Celem tej reformy jest ustanowienie stałego systemu dostosowywania się do wstrząsów cyklicznych i strukturalnych, obejmującego zawieszenie lub skrócenie czasu pracy za pomocą planu regulacji zatrudnienia, który obejmuje wymóg poprawy lub przekwalifikowania pracowników w zakresie umiejętności określonych jako potrzebne. Program opiera się na doświadczeniach związanych z mechanizmami zmniejszonego wymiaru czasu pracy (tzw. „ERTE”) wdrożonymi podczas kryzysu związanego z COVID-19 w celu zachowania miejsc pracy podczas lockdownu i innych ograniczeń działalności spowodowanych pandemią. </w:t>
      </w:r>
    </w:p>
    <w:p w14:paraId="18C45FF0" w14:textId="15111344" w:rsidR="006578ED" w:rsidRDefault="00A1618E">
      <w:pPr>
        <w:pStyle w:val="P68B1DB1-Normal4"/>
        <w:spacing w:before="120" w:after="120" w:line="240" w:lineRule="auto"/>
        <w:jc w:val="both"/>
        <w:rPr>
          <w:rFonts w:cs="Times New Roman"/>
          <w:noProof/>
        </w:rPr>
      </w:pPr>
      <w:r>
        <w:rPr>
          <w:noProof/>
        </w:rPr>
        <w:t>Reforma składa się z dwóch nowych mechanizmów dostosowawczych:</w:t>
      </w:r>
    </w:p>
    <w:p w14:paraId="40A14A70" w14:textId="1187BE73" w:rsidR="006578ED" w:rsidRDefault="00A1618E">
      <w:pPr>
        <w:pStyle w:val="P68B1DB1-Normal4"/>
        <w:numPr>
          <w:ilvl w:val="0"/>
          <w:numId w:val="147"/>
        </w:numPr>
        <w:spacing w:before="120" w:after="160" w:line="240" w:lineRule="auto"/>
        <w:contextualSpacing/>
        <w:jc w:val="both"/>
        <w:rPr>
          <w:rFonts w:cs="Times New Roman"/>
          <w:noProof/>
        </w:rPr>
      </w:pPr>
      <w:r>
        <w:rPr>
          <w:noProof/>
        </w:rPr>
        <w:t>Mechanizm stabilizacji gospodarczej, który zapewnia przedsiębiorstwom wewnętrzną elastyczność i stabilność pracownikom w obliczu przejściowych lub cyklicznych wstrząsów, ze szczególnym uwzględnieniem szkolenia pracowników.</w:t>
      </w:r>
    </w:p>
    <w:p w14:paraId="06B172C6" w14:textId="4912B55A" w:rsidR="006578ED" w:rsidRDefault="00A1618E">
      <w:pPr>
        <w:pStyle w:val="P68B1DB1-Normal4"/>
        <w:numPr>
          <w:ilvl w:val="0"/>
          <w:numId w:val="147"/>
        </w:numPr>
        <w:spacing w:before="120" w:after="160" w:line="240" w:lineRule="auto"/>
        <w:contextualSpacing/>
        <w:jc w:val="both"/>
        <w:rPr>
          <w:rFonts w:cs="Times New Roman"/>
          <w:noProof/>
        </w:rPr>
      </w:pPr>
      <w:r>
        <w:rPr>
          <w:noProof/>
        </w:rPr>
        <w:t>Mechanizm, który wspiera przekwalifikowanie i podnoszenie kwalifikacji pracowników i przedsiębiorstw w okresie transformacji, aby pomóc im w radzeniu sobie z innowacjami technologicznymi lub innowacjami w zakresie popytu i który ułatwia dobrowolną mobilność pracowników w przedsiębiorstwach i między przedsiębiorstwami.</w:t>
      </w:r>
    </w:p>
    <w:p w14:paraId="608CBF5D" w14:textId="4364671E" w:rsidR="006578ED" w:rsidRDefault="00A1618E">
      <w:pPr>
        <w:pStyle w:val="P68B1DB1-Normal4"/>
        <w:spacing w:before="240" w:after="120" w:line="240" w:lineRule="auto"/>
        <w:jc w:val="both"/>
        <w:rPr>
          <w:rFonts w:cs="Times New Roman"/>
          <w:noProof/>
        </w:rPr>
      </w:pPr>
      <w:r>
        <w:rPr>
          <w:noProof/>
        </w:rPr>
        <w:t xml:space="preserve">Środek ten wprowadza się w życie poprzez zmianę statutu pracowników. Obejmuje to utworzenie trójstronnego funduszu finansowanego ze składek na ubezpieczenie społeczne płaconych przez pracodawców i pracowników oraz uzupełnianego przez państwo. Zapewnia stabilność budżetową w perspektywie średnio- i długoterminowej, biorąc pod uwagę różne warianty i scenariusze. Konkretne funkcjonowanie tego funduszu jest negocjowane z partnerami społecznymi. </w:t>
      </w:r>
    </w:p>
    <w:p w14:paraId="12963DC9" w14:textId="0E0F4A7F" w:rsidR="006578ED" w:rsidRDefault="00A1618E">
      <w:pPr>
        <w:pStyle w:val="P68B1DB1-Normal4"/>
        <w:spacing w:before="240" w:after="120" w:line="240" w:lineRule="auto"/>
        <w:jc w:val="both"/>
        <w:rPr>
          <w:rFonts w:cs="Times New Roman"/>
          <w:noProof/>
        </w:rPr>
      </w:pPr>
      <w:r>
        <w:rPr>
          <w:noProof/>
        </w:rPr>
        <w:t>Wdrożenie środka zostanie zakończone do dnia 31 grudnia 20</w:t>
      </w:r>
      <w:r w:rsidRPr="00A1618E">
        <w:rPr>
          <w:noProof/>
          <w:lang w:val="pl-PL"/>
        </w:rPr>
        <w:t>21 r.</w:t>
      </w:r>
    </w:p>
    <w:p w14:paraId="28CD0A2F" w14:textId="77777777" w:rsidR="006578ED" w:rsidRDefault="00A1618E">
      <w:pPr>
        <w:pStyle w:val="P68B1DB1-Normal6"/>
        <w:spacing w:before="120" w:after="120" w:line="240" w:lineRule="auto"/>
        <w:jc w:val="both"/>
        <w:rPr>
          <w:rFonts w:cs="Times New Roman"/>
          <w:noProof/>
        </w:rPr>
      </w:pPr>
      <w:r>
        <w:rPr>
          <w:noProof/>
        </w:rPr>
        <w:t>Reforma 7 (C23.R7) – Przegląd zachęt do zatrudniania</w:t>
      </w:r>
    </w:p>
    <w:p w14:paraId="5D0C6F76" w14:textId="415354A8" w:rsidR="006578ED" w:rsidRDefault="00A1618E">
      <w:pPr>
        <w:pStyle w:val="P68B1DB1-Normal4"/>
        <w:spacing w:before="120" w:after="120" w:line="240" w:lineRule="auto"/>
        <w:jc w:val="both"/>
        <w:rPr>
          <w:rFonts w:cs="Times New Roman"/>
          <w:noProof/>
        </w:rPr>
      </w:pPr>
      <w:r>
        <w:rPr>
          <w:noProof/>
        </w:rPr>
        <w:t>Celem reformy jest uproszczenie systemu zachęt do zatrudniania i zwiększenie jego skuteczności dzięki lepszemu ukierunkowaniu, poprzez uwzględnienie przeglądu wydatków przeprowadzonego przez niezależny organ podatkowy („AIReF”). W szczególności ma on na celu zwiększenie szans na zatrudnienie bardzo konkretnych grup o niskim udziale w rynku pracy poprzez promowanie wysokiej jakości miejsc pracy i umów na czas nieokreślony. Zmniejsza się liczbę zachęt i ustandaryzuje wymogi dla przedsiębiorstw będących beneficjentami. Przewiduje się stałe monitorowanie i ocenę systemu zachęt do zatrudniania.</w:t>
      </w:r>
    </w:p>
    <w:p w14:paraId="411CD929" w14:textId="0A9BE50A" w:rsidR="006578ED" w:rsidRDefault="00A1618E">
      <w:pPr>
        <w:pStyle w:val="P68B1DB1-Normal4"/>
        <w:spacing w:before="120" w:after="120" w:line="240" w:lineRule="auto"/>
        <w:jc w:val="both"/>
        <w:rPr>
          <w:rFonts w:cs="Times New Roman"/>
          <w:noProof/>
        </w:rPr>
      </w:pPr>
      <w:r>
        <w:rPr>
          <w:noProof/>
        </w:rPr>
        <w:t>Reforma zostanie wdrożona w drodze zmiany ustawy 43/2006. Jest on ściśle związany z innymi środkami w ramach tego komponentu, takimi jak reforma 5 (ogólna reforma aktywnej polityki rynku pracy) i inwestycje 7 (ścieżki aktywizacji beneficjentów systemu dochodu minimalnego).</w:t>
      </w:r>
    </w:p>
    <w:p w14:paraId="0AC3C4D4" w14:textId="336CB497" w:rsidR="006578ED" w:rsidRDefault="00A1618E">
      <w:pPr>
        <w:pStyle w:val="P68B1DB1-Normal4"/>
        <w:spacing w:before="120" w:after="120" w:line="240" w:lineRule="auto"/>
        <w:jc w:val="both"/>
        <w:rPr>
          <w:rFonts w:cs="Times New Roman"/>
          <w:noProof/>
        </w:rPr>
      </w:pPr>
      <w:r>
        <w:rPr>
          <w:noProof/>
        </w:rPr>
        <w:t>Wdrożenie środka należy zakończyć do dnia 31 grudnia 20</w:t>
      </w:r>
      <w:r w:rsidRPr="00A1618E">
        <w:rPr>
          <w:noProof/>
          <w:lang w:val="pl-PL"/>
        </w:rPr>
        <w:t>22 r.</w:t>
      </w:r>
    </w:p>
    <w:p w14:paraId="13629EB5" w14:textId="77777777" w:rsidR="006578ED" w:rsidRDefault="00A1618E">
      <w:pPr>
        <w:pStyle w:val="P68B1DB1-Normal6"/>
        <w:keepNext/>
        <w:spacing w:before="120" w:after="120" w:line="240" w:lineRule="auto"/>
        <w:jc w:val="both"/>
        <w:rPr>
          <w:rFonts w:cs="Times New Roman"/>
          <w:noProof/>
        </w:rPr>
      </w:pPr>
      <w:r>
        <w:rPr>
          <w:noProof/>
        </w:rPr>
        <w:t>Reforma 8 (C23.R8) – Modernizacja rokowań zbiorowych</w:t>
      </w:r>
    </w:p>
    <w:p w14:paraId="496F473E" w14:textId="77699837" w:rsidR="006578ED" w:rsidRDefault="00A1618E">
      <w:pPr>
        <w:pStyle w:val="P68B1DB1-Normal4"/>
        <w:keepNext/>
        <w:spacing w:before="120" w:after="120" w:line="240" w:lineRule="auto"/>
        <w:jc w:val="both"/>
        <w:rPr>
          <w:rFonts w:cs="Times New Roman"/>
          <w:noProof/>
        </w:rPr>
      </w:pPr>
      <w:r>
        <w:rPr>
          <w:noProof/>
        </w:rPr>
        <w:t xml:space="preserve">Celem tej reformy jest poprawa funkcjonowania rokowań zbiorowych poprzez zmianę odpowiednich przepisów prawnych zawartych w statucie pracowników (tytuł III dekretu ustawodawczego </w:t>
      </w:r>
      <w:r w:rsidRPr="00A1618E">
        <w:rPr>
          <w:noProof/>
          <w:lang w:val="pl-PL"/>
        </w:rPr>
        <w:t>nr 2</w:t>
      </w:r>
      <w:r>
        <w:rPr>
          <w:noProof/>
        </w:rPr>
        <w:t>/2015) w następstwie procesu dialogu społecznego. W związku z tym planowane zmiany regulacyjne nie są w pełni wyszczególnione w planie. Zmiany poprawiają przepisy prawne regulujące rokowania zbiorowe.</w:t>
      </w:r>
    </w:p>
    <w:p w14:paraId="4D0CE5EC" w14:textId="16BD84B5" w:rsidR="006578ED" w:rsidRDefault="00A1618E">
      <w:pPr>
        <w:pStyle w:val="P68B1DB1-Normal4"/>
        <w:spacing w:before="120" w:after="120" w:line="240" w:lineRule="auto"/>
        <w:jc w:val="both"/>
        <w:rPr>
          <w:rFonts w:cs="Times New Roman"/>
          <w:noProof/>
        </w:rPr>
      </w:pPr>
      <w:r>
        <w:rPr>
          <w:noProof/>
        </w:rPr>
        <w:t>Modernizacja rokowań zbiorowych obejmuje zmiany w samej strukturze negocjacyjnej w celu wzmocnienia reprezentatywności stron negocjacji, wzbogacenia treści dialogu oraz zwiększenia pewności prawa w zakresie jego wdrażania i skutków. Zmiany nie mogą powodować nieproporcjonalnych przeszkód dla przedsiębiorstw w dostosowaniu się do cyklu koniunkturalnego i reagowaniu na zmiany wydajności.</w:t>
      </w:r>
    </w:p>
    <w:p w14:paraId="02DD64C2" w14:textId="1C8BC2C1" w:rsidR="006578ED" w:rsidRDefault="00A1618E">
      <w:pPr>
        <w:pStyle w:val="P68B1DB1-Normal4"/>
        <w:spacing w:before="120" w:after="120" w:line="240" w:lineRule="auto"/>
        <w:jc w:val="both"/>
        <w:rPr>
          <w:rFonts w:cs="Times New Roman"/>
          <w:noProof/>
        </w:rPr>
      </w:pPr>
      <w:r>
        <w:rPr>
          <w:noProof/>
        </w:rPr>
        <w:t>Realizacja reformy zakończy się do dnia 31 grudnia 20</w:t>
      </w:r>
      <w:r w:rsidRPr="00A1618E">
        <w:rPr>
          <w:noProof/>
          <w:lang w:val="pl-PL"/>
        </w:rPr>
        <w:t>21 r.</w:t>
      </w:r>
      <w:r>
        <w:rPr>
          <w:noProof/>
        </w:rPr>
        <w:t xml:space="preserve"> </w:t>
      </w:r>
    </w:p>
    <w:p w14:paraId="026F07AD" w14:textId="77777777" w:rsidR="006578ED" w:rsidRDefault="00A1618E">
      <w:pPr>
        <w:pStyle w:val="P68B1DB1-Normal6"/>
        <w:spacing w:before="120" w:after="120" w:line="240" w:lineRule="auto"/>
        <w:jc w:val="both"/>
        <w:rPr>
          <w:rFonts w:cs="Times New Roman"/>
          <w:noProof/>
        </w:rPr>
      </w:pPr>
      <w:r>
        <w:rPr>
          <w:noProof/>
        </w:rPr>
        <w:t>Reforma 9 (C23.R9) – Modernizacja działalności podwykonawczej</w:t>
      </w:r>
    </w:p>
    <w:p w14:paraId="788616DE" w14:textId="0B53EAA0" w:rsidR="006578ED" w:rsidRDefault="00A1618E">
      <w:pPr>
        <w:pStyle w:val="P68B1DB1-Normal4"/>
        <w:spacing w:before="120" w:after="120" w:line="240" w:lineRule="auto"/>
        <w:jc w:val="both"/>
        <w:rPr>
          <w:rFonts w:cs="Times New Roman"/>
          <w:noProof/>
        </w:rPr>
      </w:pPr>
      <w:r>
        <w:rPr>
          <w:noProof/>
        </w:rPr>
        <w:t xml:space="preserve">Celem tej reformy jest poprawa warunków pracy i praw osób pracujących w przedsiębiorstwach będących podwykonawcami poprzez zmianę </w:t>
      </w:r>
      <w:r w:rsidRPr="00A1618E">
        <w:rPr>
          <w:noProof/>
          <w:lang w:val="pl-PL"/>
        </w:rPr>
        <w:t>art. 4</w:t>
      </w:r>
      <w:r>
        <w:rPr>
          <w:noProof/>
        </w:rPr>
        <w:t xml:space="preserve">2 kodeksu pracy (dekret ustawodawczy </w:t>
      </w:r>
      <w:r w:rsidRPr="00A1618E">
        <w:rPr>
          <w:noProof/>
          <w:lang w:val="pl-PL"/>
        </w:rPr>
        <w:t>nr 2</w:t>
      </w:r>
      <w:r>
        <w:rPr>
          <w:noProof/>
        </w:rPr>
        <w:t xml:space="preserve">/2015) w celu zapewnienia jego właściwego stosowania w przypadkach, gdy poprawia ona działalność produkcyjną i zniechęca ją do działalności, w której jest ona jedynie środkiem obniżania kosztów. </w:t>
      </w:r>
    </w:p>
    <w:p w14:paraId="4B283B21" w14:textId="514CC0E5" w:rsidR="006578ED" w:rsidRDefault="00A1618E">
      <w:pPr>
        <w:pStyle w:val="P68B1DB1-Normal4"/>
        <w:spacing w:before="120" w:after="120" w:line="240" w:lineRule="auto"/>
        <w:jc w:val="both"/>
        <w:rPr>
          <w:rFonts w:cs="Times New Roman"/>
          <w:noProof/>
        </w:rPr>
      </w:pPr>
      <w:r>
        <w:rPr>
          <w:noProof/>
        </w:rPr>
        <w:t>Reforma ta zapewnia odpowiedni poziom ochrony pracownikom będącym podwykonawcami i zmierza w kierunku równych warunków działania dla pracowników podwykonawców i pracowników przedsiębiorstwa. Wzmacnia ona również odpowiedzialność wykonawców lub podwykonawców oraz zapobiega zlecaniu usług outsourcingowi poprzez podwykonawstwo w przypadkach, w których wykonano je w celu obniżenia standardów pracy osób pracujących dla podwykonawców.</w:t>
      </w:r>
    </w:p>
    <w:p w14:paraId="61713654" w14:textId="227BB7C8" w:rsidR="006578ED" w:rsidRDefault="00A1618E">
      <w:pPr>
        <w:pStyle w:val="P68B1DB1-Normal4"/>
        <w:spacing w:before="120" w:after="120" w:line="240" w:lineRule="auto"/>
        <w:jc w:val="both"/>
        <w:rPr>
          <w:rFonts w:cs="Times New Roman"/>
          <w:noProof/>
        </w:rPr>
      </w:pPr>
      <w:r>
        <w:rPr>
          <w:noProof/>
        </w:rPr>
        <w:t>Realizacja reformy zakończy się do dnia 31 grudnia 20</w:t>
      </w:r>
      <w:r w:rsidRPr="00A1618E">
        <w:rPr>
          <w:noProof/>
          <w:lang w:val="pl-PL"/>
        </w:rPr>
        <w:t>21 r.</w:t>
      </w:r>
    </w:p>
    <w:p w14:paraId="4F3E3072" w14:textId="090F8233" w:rsidR="006578ED" w:rsidRDefault="00A1618E">
      <w:pPr>
        <w:pStyle w:val="P68B1DB1-Normal6"/>
        <w:spacing w:before="120" w:after="120" w:line="240" w:lineRule="auto"/>
        <w:jc w:val="both"/>
        <w:rPr>
          <w:rFonts w:cs="Times New Roman"/>
          <w:noProof/>
        </w:rPr>
      </w:pPr>
      <w:r>
        <w:rPr>
          <w:noProof/>
        </w:rPr>
        <w:t>Reforma 10 (C23.R10) – Uproszczenie i poprawa pomocy dla bezrobotnych</w:t>
      </w:r>
    </w:p>
    <w:p w14:paraId="1FD56FE4" w14:textId="63A6035E" w:rsidR="006578ED" w:rsidRDefault="00A1618E">
      <w:pPr>
        <w:pStyle w:val="P68B1DB1-Normal4"/>
        <w:spacing w:before="120" w:after="120" w:line="240" w:lineRule="auto"/>
        <w:jc w:val="both"/>
        <w:rPr>
          <w:rFonts w:cs="Times New Roman"/>
          <w:noProof/>
        </w:rPr>
      </w:pPr>
      <w:r>
        <w:rPr>
          <w:noProof/>
        </w:rPr>
        <w:t xml:space="preserve">Ta reforma legislacyjna dotyczy nieskładkowej pomocy dla bezrobotnych i zostanie przeprowadzona w drodze zmiany królewskiego dekretu ustawodawczego </w:t>
      </w:r>
      <w:r w:rsidRPr="00A1618E">
        <w:rPr>
          <w:noProof/>
          <w:lang w:val="pl-PL"/>
        </w:rPr>
        <w:t>nr 8</w:t>
      </w:r>
      <w:r>
        <w:rPr>
          <w:noProof/>
        </w:rPr>
        <w:t xml:space="preserve">/2015. Jest on ściśle związany z reformą 5 komponentu 22, który przedstawia bardziej ogólną reformę nieskładkowych świadczeń społecznych. </w:t>
      </w:r>
    </w:p>
    <w:p w14:paraId="5A323593" w14:textId="77777777" w:rsidR="006578ED" w:rsidRDefault="00A1618E">
      <w:pPr>
        <w:pStyle w:val="P68B1DB1-Normal4"/>
        <w:spacing w:before="120" w:after="120" w:line="240" w:lineRule="auto"/>
        <w:jc w:val="both"/>
        <w:rPr>
          <w:rFonts w:cs="Times New Roman"/>
          <w:noProof/>
        </w:rPr>
      </w:pPr>
      <w:r>
        <w:rPr>
          <w:noProof/>
        </w:rPr>
        <w:t>Reforma obejmuje następujące cele:</w:t>
      </w:r>
    </w:p>
    <w:p w14:paraId="533E27A3" w14:textId="1F16D02A" w:rsidR="006578ED" w:rsidRDefault="00A1618E">
      <w:pPr>
        <w:pStyle w:val="P68B1DB1-Normal4"/>
        <w:numPr>
          <w:ilvl w:val="2"/>
          <w:numId w:val="148"/>
        </w:numPr>
        <w:spacing w:before="120" w:after="160" w:line="240" w:lineRule="auto"/>
        <w:ind w:left="709"/>
        <w:contextualSpacing/>
        <w:jc w:val="both"/>
        <w:rPr>
          <w:rFonts w:cs="Times New Roman"/>
          <w:noProof/>
        </w:rPr>
      </w:pPr>
      <w:r>
        <w:rPr>
          <w:noProof/>
        </w:rPr>
        <w:t xml:space="preserve">rozszerzenie ochrony przed bezrobociem poprzez wypełnienie niektórych luk w zakresie obecnego systemu i wydłużenie maksymalnego okresu obowiązywania; </w:t>
      </w:r>
    </w:p>
    <w:p w14:paraId="12836CE3" w14:textId="77777777" w:rsidR="006578ED" w:rsidRDefault="00A1618E">
      <w:pPr>
        <w:pStyle w:val="P68B1DB1-Normal4"/>
        <w:numPr>
          <w:ilvl w:val="2"/>
          <w:numId w:val="148"/>
        </w:numPr>
        <w:spacing w:before="120" w:after="160" w:line="240" w:lineRule="auto"/>
        <w:ind w:left="709"/>
        <w:contextualSpacing/>
        <w:jc w:val="both"/>
        <w:rPr>
          <w:rFonts w:cs="Times New Roman"/>
          <w:noProof/>
        </w:rPr>
      </w:pPr>
      <w:r>
        <w:rPr>
          <w:noProof/>
        </w:rPr>
        <w:t xml:space="preserve">uproszczenie systemu, obecnie podzielonego na kilka systemów; </w:t>
      </w:r>
    </w:p>
    <w:p w14:paraId="56F4FDAE" w14:textId="3D68F49F" w:rsidR="006578ED" w:rsidRDefault="00A1618E">
      <w:pPr>
        <w:pStyle w:val="P68B1DB1-Normal4"/>
        <w:numPr>
          <w:ilvl w:val="2"/>
          <w:numId w:val="148"/>
        </w:numPr>
        <w:spacing w:before="120" w:after="160" w:line="240" w:lineRule="auto"/>
        <w:ind w:left="709"/>
        <w:contextualSpacing/>
        <w:jc w:val="both"/>
        <w:rPr>
          <w:rFonts w:cs="Times New Roman"/>
          <w:noProof/>
        </w:rPr>
      </w:pPr>
      <w:r>
        <w:rPr>
          <w:noProof/>
        </w:rPr>
        <w:t xml:space="preserve">powiązanie korzyści z spersonalizowaną trasą aktywacji; </w:t>
      </w:r>
    </w:p>
    <w:p w14:paraId="0FB4E56A" w14:textId="24206E93" w:rsidR="006578ED" w:rsidRDefault="00A1618E">
      <w:pPr>
        <w:pStyle w:val="P68B1DB1-Normal4"/>
        <w:numPr>
          <w:ilvl w:val="2"/>
          <w:numId w:val="148"/>
        </w:numPr>
        <w:spacing w:before="120" w:after="160" w:line="240" w:lineRule="auto"/>
        <w:ind w:left="709"/>
        <w:contextualSpacing/>
        <w:jc w:val="both"/>
        <w:rPr>
          <w:rFonts w:cs="Times New Roman"/>
          <w:noProof/>
        </w:rPr>
      </w:pPr>
      <w:r>
        <w:rPr>
          <w:noProof/>
        </w:rPr>
        <w:t>ułatwienie przejścia do ochrony socjalnej, gdy beneficjent nie powróci do pracy i znajduje się w trudnej sytuacji.</w:t>
      </w:r>
    </w:p>
    <w:p w14:paraId="29D1C7E2" w14:textId="678F4E4B" w:rsidR="006578ED" w:rsidRDefault="00A1618E">
      <w:pPr>
        <w:pStyle w:val="P68B1DB1-Normal4"/>
        <w:spacing w:before="240" w:after="120" w:line="240" w:lineRule="auto"/>
        <w:jc w:val="both"/>
        <w:rPr>
          <w:rFonts w:cs="Times New Roman"/>
          <w:noProof/>
        </w:rPr>
      </w:pPr>
      <w:r>
        <w:rPr>
          <w:noProof/>
        </w:rPr>
        <w:t>Co do zasady grupa docelowa nowego systemu powinna być taka sama jak w obecnym systemie, tj. bezrobotni pracownicy, którzy nie kwalifikują się do składkowych świadczeń dla bezrobotnych, ponieważ byli bezrobotni zbyt długo i wyczerpali swoje prawa, albo dlatego, że ich historia składkowa jest zbyt krótka (mniej niż 12 miesięcy, ale ponad sześć). Miesięczna kwota świadczenia pozostaje na poziomie 80 % „IPREM” (wskaźnik wielorakich efektów dochodu publicznego).</w:t>
      </w:r>
    </w:p>
    <w:p w14:paraId="6FEE01AA" w14:textId="01F4BA8C" w:rsidR="006578ED" w:rsidRDefault="00A1618E">
      <w:pPr>
        <w:pStyle w:val="P68B1DB1-Normal4"/>
        <w:spacing w:before="120" w:after="120" w:line="240" w:lineRule="auto"/>
        <w:jc w:val="both"/>
        <w:rPr>
          <w:rFonts w:cs="Times New Roman"/>
          <w:noProof/>
        </w:rPr>
      </w:pPr>
      <w:r>
        <w:rPr>
          <w:noProof/>
        </w:rPr>
        <w:t>Wdrożenie środka należy zakończyć do dnia 31 grudnia 20</w:t>
      </w:r>
      <w:r w:rsidRPr="00A1618E">
        <w:rPr>
          <w:noProof/>
          <w:lang w:val="pl-PL"/>
        </w:rPr>
        <w:t>22 r.</w:t>
      </w:r>
    </w:p>
    <w:p w14:paraId="18C2CB6D" w14:textId="37EE13B6" w:rsidR="006578ED" w:rsidRDefault="00A1618E">
      <w:pPr>
        <w:pStyle w:val="P68B1DB1-Normal6"/>
        <w:keepNext/>
        <w:spacing w:before="120" w:after="120" w:line="240" w:lineRule="auto"/>
        <w:jc w:val="both"/>
        <w:rPr>
          <w:rFonts w:cs="Times New Roman"/>
          <w:noProof/>
        </w:rPr>
      </w:pPr>
      <w:r>
        <w:rPr>
          <w:noProof/>
        </w:rPr>
        <w:t xml:space="preserve">Reforma 11 (C23.R11) – Cyfryzacja publicznych służb zatrudnienia w celu ich modernizacji i efektywności. </w:t>
      </w:r>
    </w:p>
    <w:p w14:paraId="0402C109" w14:textId="25EF60A2" w:rsidR="006578ED" w:rsidRDefault="00A1618E">
      <w:pPr>
        <w:pStyle w:val="P68B1DB1-Normal4"/>
        <w:keepNext/>
        <w:spacing w:before="120" w:after="120" w:line="240" w:lineRule="auto"/>
        <w:jc w:val="both"/>
        <w:rPr>
          <w:rFonts w:cs="Times New Roman"/>
          <w:noProof/>
        </w:rPr>
      </w:pPr>
      <w:r>
        <w:rPr>
          <w:noProof/>
        </w:rPr>
        <w:t>Celem tej reformy jest przekształcenie świadczenia publicznych służb zatrudnienia oraz poprawa ich efektywności z korzyścią dla obywateli i przedsiębiorstw. Reforma składa się z następujących elementów:</w:t>
      </w:r>
    </w:p>
    <w:p w14:paraId="78B41EBA" w14:textId="3175AE7E" w:rsidR="006578ED" w:rsidRDefault="00A1618E">
      <w:pPr>
        <w:pStyle w:val="P68B1DB1-Normal4"/>
        <w:numPr>
          <w:ilvl w:val="0"/>
          <w:numId w:val="149"/>
        </w:numPr>
        <w:spacing w:before="120" w:after="160" w:line="240" w:lineRule="auto"/>
        <w:contextualSpacing/>
        <w:jc w:val="both"/>
        <w:rPr>
          <w:rFonts w:cs="Times New Roman"/>
          <w:noProof/>
        </w:rPr>
      </w:pPr>
      <w:r>
        <w:rPr>
          <w:noProof/>
        </w:rPr>
        <w:t>Poprawa zarządzania wewnętrznego: modernizacja systemów informacyjnych wspierających system zasiłków dla bezrobotnych, a także systemów wspierających aktywną politykę rynku pracy.</w:t>
      </w:r>
    </w:p>
    <w:p w14:paraId="310BC912" w14:textId="6F7BDFDF" w:rsidR="006578ED" w:rsidRDefault="00A1618E">
      <w:pPr>
        <w:pStyle w:val="P68B1DB1-Normal4"/>
        <w:numPr>
          <w:ilvl w:val="0"/>
          <w:numId w:val="149"/>
        </w:numPr>
        <w:spacing w:before="120" w:after="160" w:line="240" w:lineRule="auto"/>
        <w:contextualSpacing/>
        <w:jc w:val="both"/>
        <w:rPr>
          <w:rFonts w:cs="Times New Roman"/>
          <w:noProof/>
        </w:rPr>
      </w:pPr>
      <w:r>
        <w:rPr>
          <w:noProof/>
        </w:rPr>
        <w:t>Cyfryzacja wszystkich usług publicznych dla obywateli i przedsiębiorstw oraz poprawa obsługi klienta, w tym oferowanie nowych usług (aplikacja mobilna i ulepszony system premiowania i usługi on-line).</w:t>
      </w:r>
    </w:p>
    <w:p w14:paraId="2C2D88FD" w14:textId="75BC057D" w:rsidR="006578ED" w:rsidRDefault="00A1618E">
      <w:pPr>
        <w:pStyle w:val="P68B1DB1-Normal4"/>
        <w:numPr>
          <w:ilvl w:val="0"/>
          <w:numId w:val="149"/>
        </w:numPr>
        <w:spacing w:before="120" w:after="160" w:line="240" w:lineRule="auto"/>
        <w:contextualSpacing/>
        <w:jc w:val="both"/>
        <w:rPr>
          <w:rFonts w:cs="Times New Roman"/>
          <w:noProof/>
        </w:rPr>
      </w:pPr>
      <w:r>
        <w:rPr>
          <w:noProof/>
        </w:rPr>
        <w:t>Statystyki i zarządzanie danymi: Włączenie odpowiedniego zarządzania danymi, co sprzyja podejmowaniu decyzji, a także publikowanie informacji o wysokiej wartości dla społeczeństwa.</w:t>
      </w:r>
    </w:p>
    <w:p w14:paraId="69ED1664" w14:textId="5DE5DD17" w:rsidR="006578ED" w:rsidRDefault="00A1618E">
      <w:pPr>
        <w:pStyle w:val="P68B1DB1-Normal4"/>
        <w:numPr>
          <w:ilvl w:val="0"/>
          <w:numId w:val="149"/>
        </w:numPr>
        <w:spacing w:before="120" w:after="160" w:line="240" w:lineRule="auto"/>
        <w:contextualSpacing/>
        <w:jc w:val="both"/>
        <w:rPr>
          <w:rFonts w:cs="Times New Roman"/>
          <w:noProof/>
        </w:rPr>
      </w:pPr>
      <w:r>
        <w:rPr>
          <w:noProof/>
        </w:rPr>
        <w:t>Usprawnienie systemów zwalczania nadużyć finansowych za pomocą systemów sztucznej inteligencji i dużych zbiorów danych.</w:t>
      </w:r>
    </w:p>
    <w:p w14:paraId="4780FB48" w14:textId="5C75AEBA" w:rsidR="006578ED" w:rsidRDefault="00A1618E">
      <w:pPr>
        <w:pStyle w:val="P68B1DB1-Normal4"/>
        <w:numPr>
          <w:ilvl w:val="0"/>
          <w:numId w:val="149"/>
        </w:numPr>
        <w:spacing w:before="120" w:after="160" w:line="240" w:lineRule="auto"/>
        <w:contextualSpacing/>
        <w:jc w:val="both"/>
        <w:rPr>
          <w:rFonts w:cs="Times New Roman"/>
          <w:noProof/>
        </w:rPr>
      </w:pPr>
      <w:r>
        <w:rPr>
          <w:noProof/>
        </w:rPr>
        <w:t>Modernizacja miejsc pracy i infrastruktury w celu ułatwienia pracownikom publicznych służb zatrudnienia rozwiązań w zakresie telepracy.</w:t>
      </w:r>
    </w:p>
    <w:p w14:paraId="3A34C3C9" w14:textId="0058B0FB" w:rsidR="006578ED" w:rsidRDefault="00A1618E">
      <w:pPr>
        <w:pStyle w:val="P68B1DB1-Normal4"/>
        <w:spacing w:before="240" w:after="120" w:line="240" w:lineRule="auto"/>
        <w:jc w:val="both"/>
        <w:rPr>
          <w:rFonts w:cs="Times New Roman"/>
          <w:noProof/>
        </w:rPr>
      </w:pPr>
      <w:r>
        <w:rPr>
          <w:noProof/>
        </w:rPr>
        <w:t xml:space="preserve">Reforma publicznych służb zatrudnienia obejmuje bardziej ogólne wysiłki na rzecz modernizacji i cyfryzacji administracji publicznej (komponent 11 RRP). Reforma publicznych służb zatrudnienia jest finansowana poprzez zawieranie umów i realizację inwestycji 2 w ramach komponentu 11. </w:t>
      </w:r>
    </w:p>
    <w:p w14:paraId="1547CC91" w14:textId="6FBC5648" w:rsidR="006578ED" w:rsidRDefault="00A1618E">
      <w:pPr>
        <w:pStyle w:val="P68B1DB1-Normal4"/>
        <w:spacing w:before="120" w:after="120" w:line="240" w:lineRule="auto"/>
        <w:jc w:val="both"/>
        <w:rPr>
          <w:rFonts w:cs="Times New Roman"/>
          <w:noProof/>
        </w:rPr>
      </w:pPr>
      <w:r>
        <w:rPr>
          <w:noProof/>
        </w:rPr>
        <w:t>Realizacja reformy zakończy się do dnia 31 grudnia 20</w:t>
      </w:r>
      <w:r w:rsidRPr="00A1618E">
        <w:rPr>
          <w:noProof/>
          <w:lang w:val="pl-PL"/>
        </w:rPr>
        <w:t>23 r.</w:t>
      </w:r>
    </w:p>
    <w:p w14:paraId="7E7F8248" w14:textId="77777777" w:rsidR="006578ED" w:rsidRDefault="00A1618E">
      <w:pPr>
        <w:pStyle w:val="P68B1DB1-Normal6"/>
        <w:spacing w:before="120" w:after="120" w:line="240" w:lineRule="auto"/>
        <w:jc w:val="both"/>
        <w:rPr>
          <w:rFonts w:cs="Times New Roman"/>
          <w:noProof/>
        </w:rPr>
      </w:pPr>
      <w:r>
        <w:rPr>
          <w:noProof/>
        </w:rPr>
        <w:t>Inwestycje 1 (C23.I1) – Zatrudnienie ludzi młodych</w:t>
      </w:r>
    </w:p>
    <w:p w14:paraId="7CB5F96A" w14:textId="77FF7427" w:rsidR="006578ED" w:rsidRDefault="00A1618E">
      <w:pPr>
        <w:pStyle w:val="P68B1DB1-Normal4"/>
        <w:spacing w:before="120" w:after="120" w:line="240" w:lineRule="auto"/>
        <w:jc w:val="both"/>
        <w:rPr>
          <w:rFonts w:cs="Times New Roman"/>
          <w:noProof/>
        </w:rPr>
      </w:pPr>
      <w:r>
        <w:rPr>
          <w:noProof/>
        </w:rPr>
        <w:t>Inwestycja ta obejmuje zestaw programów aktywizacji i szkoleń dla młodych osób poszukujących pracy (16–29 lat), których celem jest wspieranie ich integracji na rynku pracy. Obejmuje ona następujące działania:</w:t>
      </w:r>
    </w:p>
    <w:p w14:paraId="6C2E620C" w14:textId="5E4A83DC" w:rsidR="006578ED" w:rsidRDefault="00A1618E">
      <w:pPr>
        <w:pStyle w:val="P68B1DB1-Normal4"/>
        <w:numPr>
          <w:ilvl w:val="0"/>
          <w:numId w:val="150"/>
        </w:numPr>
        <w:spacing w:before="120" w:after="160" w:line="240" w:lineRule="auto"/>
        <w:contextualSpacing/>
        <w:jc w:val="both"/>
        <w:rPr>
          <w:rFonts w:cs="Times New Roman"/>
          <w:noProof/>
        </w:rPr>
      </w:pPr>
      <w:r>
        <w:rPr>
          <w:noProof/>
        </w:rPr>
        <w:t xml:space="preserve">Program „tandem”. Zapewnia on szkolenia w miejscu pracy dla młodych ludzi w wieku </w:t>
      </w:r>
      <w:r w:rsidRPr="00A1618E">
        <w:rPr>
          <w:noProof/>
          <w:lang w:val="pl-PL"/>
        </w:rPr>
        <w:t>od 1</w:t>
      </w:r>
      <w:r>
        <w:rPr>
          <w:noProof/>
        </w:rPr>
        <w:t xml:space="preserve">6 </w:t>
      </w:r>
      <w:r w:rsidRPr="00A1618E">
        <w:rPr>
          <w:noProof/>
          <w:lang w:val="pl-PL"/>
        </w:rPr>
        <w:t>do 2</w:t>
      </w:r>
      <w:r>
        <w:rPr>
          <w:noProof/>
        </w:rPr>
        <w:t xml:space="preserve">9 lat w publicznych warsztatach szkolnych, ze szczególnym uwzględnieniem umiejętności potrzebnych do dwojakiej transformacji, opieki społecznej i spójności terytorialnej. Dotacje otrzymują organy publiczne administracji centralnej i inne podmioty sektora publicznego państwa, a także stowarzyszenia, fundacje i inne podmioty nienastawione na zysk odpowiedzialne za realizację. </w:t>
      </w:r>
    </w:p>
    <w:p w14:paraId="4A746104" w14:textId="4A0106ED" w:rsidR="006578ED" w:rsidRDefault="00A1618E">
      <w:pPr>
        <w:pStyle w:val="P68B1DB1-Normal4"/>
        <w:numPr>
          <w:ilvl w:val="0"/>
          <w:numId w:val="150"/>
        </w:numPr>
        <w:spacing w:before="120" w:after="160" w:line="240" w:lineRule="auto"/>
        <w:contextualSpacing/>
        <w:jc w:val="both"/>
        <w:rPr>
          <w:rFonts w:cs="Times New Roman"/>
          <w:noProof/>
        </w:rPr>
      </w:pPr>
      <w:r>
        <w:rPr>
          <w:noProof/>
        </w:rPr>
        <w:t xml:space="preserve">Program „Pierwsze doświadczenie zawodowe” w administracji publicznej. Oferuje ona pierwsze doświadczenie zawodowe w sektorze publicznym (zarówno administracji centralnej, jak i terytorialnej) bezrobotnym młodym ludziom, którzy ukończyli formalne kształcenie. Nabywają umiejętności miękkie poprzez pracę w miejscach pracy związanych z dwojaką transformacją, opieką społeczną i spójnością terytorialną. Dotacje są przyznawane organom publicznym administracji centralnej i terytorialnej odpowiedzialnym za wdrażanie. </w:t>
      </w:r>
    </w:p>
    <w:p w14:paraId="6DBABDA0" w14:textId="1E808F05" w:rsidR="006578ED" w:rsidRDefault="00A1618E">
      <w:pPr>
        <w:pStyle w:val="P68B1DB1-Normal4"/>
        <w:numPr>
          <w:ilvl w:val="0"/>
          <w:numId w:val="150"/>
        </w:numPr>
        <w:spacing w:before="120" w:after="160" w:line="240" w:lineRule="auto"/>
        <w:contextualSpacing/>
        <w:jc w:val="both"/>
        <w:rPr>
          <w:rFonts w:cs="Times New Roman"/>
          <w:noProof/>
        </w:rPr>
      </w:pPr>
      <w:r>
        <w:rPr>
          <w:noProof/>
        </w:rPr>
        <w:t>Program</w:t>
      </w:r>
      <w:r>
        <w:rPr>
          <w:i/>
          <w:noProof/>
        </w:rPr>
        <w:t>Investigo</w:t>
      </w:r>
      <w:r>
        <w:rPr>
          <w:noProof/>
        </w:rPr>
        <w:t xml:space="preserve">. Obejmuje on rekrutację młodych naukowców przez publiczne instytucje badawcze, publiczne uniwersytety, ośrodki technologiczne oraz inne podmioty publiczne i prywatne realizujące projekt badawczy. </w:t>
      </w:r>
    </w:p>
    <w:p w14:paraId="3009A7E6" w14:textId="0570A352" w:rsidR="006578ED" w:rsidRDefault="00A1618E">
      <w:pPr>
        <w:pStyle w:val="P68B1DB1-Normal4"/>
        <w:spacing w:before="240" w:after="120" w:line="240" w:lineRule="auto"/>
        <w:jc w:val="both"/>
        <w:rPr>
          <w:rFonts w:cs="Times New Roman"/>
          <w:noProof/>
          <w:u w:val="single"/>
        </w:rPr>
      </w:pPr>
      <w:r>
        <w:rPr>
          <w:noProof/>
        </w:rPr>
        <w:t>Realizacja inwestycji zostanie zakończona do dnia 31 grudnia 20</w:t>
      </w:r>
      <w:r w:rsidRPr="00A1618E">
        <w:rPr>
          <w:noProof/>
          <w:lang w:val="pl-PL"/>
        </w:rPr>
        <w:t>25 r.</w:t>
      </w:r>
    </w:p>
    <w:p w14:paraId="7D7AF74C" w14:textId="11581445" w:rsidR="006578ED" w:rsidRDefault="00A1618E">
      <w:pPr>
        <w:pStyle w:val="P68B1DB1-Normal6"/>
        <w:spacing w:before="120" w:after="120" w:line="240" w:lineRule="auto"/>
        <w:jc w:val="both"/>
        <w:rPr>
          <w:rFonts w:cs="Times New Roman"/>
          <w:noProof/>
        </w:rPr>
      </w:pPr>
      <w:r>
        <w:rPr>
          <w:noProof/>
        </w:rPr>
        <w:t>Inwestycje 2 (C23.I2) – Zatrudnienie kobiet i uwzględnianie aspektu płci w aktywnej polityce rynku pracy</w:t>
      </w:r>
    </w:p>
    <w:p w14:paraId="716E0928" w14:textId="0F6EF36E" w:rsidR="006578ED" w:rsidRDefault="00A1618E">
      <w:pPr>
        <w:pStyle w:val="P68B1DB1-Normal4"/>
        <w:spacing w:before="120" w:after="120" w:line="240" w:lineRule="auto"/>
        <w:jc w:val="both"/>
        <w:rPr>
          <w:rFonts w:cs="Times New Roman"/>
          <w:noProof/>
        </w:rPr>
      </w:pPr>
      <w:r>
        <w:rPr>
          <w:noProof/>
        </w:rPr>
        <w:t>Celem tej inwestycji jest poprawa integracji kobiet na rynku pracy, co jest zgodne z wieloma innymi środkami planu na rzecz promowania równowagi płci. Obejmuje ona następujące działania:</w:t>
      </w:r>
    </w:p>
    <w:p w14:paraId="256228C3" w14:textId="6429F19A" w:rsidR="006578ED" w:rsidRDefault="00A1618E">
      <w:pPr>
        <w:pStyle w:val="P68B1DB1-Normal4"/>
        <w:numPr>
          <w:ilvl w:val="0"/>
          <w:numId w:val="151"/>
        </w:numPr>
        <w:spacing w:before="120" w:after="160" w:line="240" w:lineRule="auto"/>
        <w:contextualSpacing/>
        <w:jc w:val="both"/>
        <w:rPr>
          <w:rFonts w:cs="Times New Roman"/>
          <w:noProof/>
        </w:rPr>
      </w:pPr>
      <w:r>
        <w:rPr>
          <w:noProof/>
        </w:rPr>
        <w:t xml:space="preserve">Linia wsparcia dla kobiet na obszarach wiejskich i miejskich. Obejmuje on działania szkoleniowe w dziedzinie cyfrowej, ekologicznej, opieki długoterminowej, przedsiębiorczości i gospodarki społecznej. Zaproszenia do składania wniosków o dotacje są organizowane dla podmiotów publicznych i prywatnych odpowiedzialnych za organizację szkoleń. </w:t>
      </w:r>
    </w:p>
    <w:p w14:paraId="41C2839A" w14:textId="297813FD" w:rsidR="006578ED" w:rsidRDefault="00A1618E">
      <w:pPr>
        <w:pStyle w:val="P68B1DB1-Normal4"/>
        <w:numPr>
          <w:ilvl w:val="0"/>
          <w:numId w:val="151"/>
        </w:numPr>
        <w:spacing w:before="120" w:after="160" w:line="240" w:lineRule="auto"/>
        <w:contextualSpacing/>
        <w:jc w:val="both"/>
        <w:rPr>
          <w:rFonts w:cs="Times New Roman"/>
          <w:noProof/>
        </w:rPr>
      </w:pPr>
      <w:r>
        <w:rPr>
          <w:noProof/>
        </w:rPr>
        <w:t xml:space="preserve">Linia wsparcia dla kobiet będących ofiarami przemocy lub handlu ludźmi. Obejmuje ona dwuetapowe ścieżki integracji tych kobiet. W ciągu pierwszych sześciu miesięcy uczestnicy przechodzą zindywidualizowane ścieżki włączenia społecznego, a kolejne sześć miesięcy odbywa szkolenie w miejscu pracy, w którym pracodawcy zobowiązali się następnie do ich rekrutacji. </w:t>
      </w:r>
    </w:p>
    <w:p w14:paraId="5E3F7EB7" w14:textId="77717F9D" w:rsidR="006578ED" w:rsidRDefault="00A1618E">
      <w:pPr>
        <w:pStyle w:val="P68B1DB1-Normal4"/>
        <w:numPr>
          <w:ilvl w:val="0"/>
          <w:numId w:val="151"/>
        </w:numPr>
        <w:spacing w:before="120" w:after="160" w:line="240" w:lineRule="auto"/>
        <w:contextualSpacing/>
        <w:jc w:val="both"/>
        <w:rPr>
          <w:rFonts w:cs="Times New Roman"/>
          <w:noProof/>
        </w:rPr>
      </w:pPr>
      <w:r>
        <w:rPr>
          <w:noProof/>
        </w:rPr>
        <w:t>Uwzględnianie aspektu płci w aktywnej polityce rynku pracy. Dotyczy to uwzględniania aspektu płci we wszystkich elementach rocznych planów zatrudnienia publicznych służb zatrudnienia (zarówno na szczeblu centralnym, jak i regionalnym) w latach 2021–2023. W tym celu wynajęte są usługi doradcze.</w:t>
      </w:r>
    </w:p>
    <w:p w14:paraId="44ED0F2B" w14:textId="31A59BB7" w:rsidR="006578ED" w:rsidRDefault="00A1618E">
      <w:pPr>
        <w:pStyle w:val="P68B1DB1-Normal4"/>
        <w:spacing w:before="240" w:after="120" w:line="240" w:lineRule="auto"/>
        <w:jc w:val="both"/>
        <w:rPr>
          <w:rFonts w:cs="Times New Roman"/>
          <w:noProof/>
        </w:rPr>
      </w:pPr>
      <w:r>
        <w:rPr>
          <w:noProof/>
        </w:rPr>
        <w:t>Realizacja inwestycji zostanie zakończona do dnia 31 grudnia 20</w:t>
      </w:r>
      <w:r w:rsidRPr="00A1618E">
        <w:rPr>
          <w:noProof/>
          <w:lang w:val="pl-PL"/>
        </w:rPr>
        <w:t>25 r.</w:t>
      </w:r>
    </w:p>
    <w:p w14:paraId="556BB28C" w14:textId="0AFAE696" w:rsidR="006578ED" w:rsidRDefault="00A1618E">
      <w:pPr>
        <w:pStyle w:val="P68B1DB1-Normal6"/>
        <w:spacing w:before="120" w:after="120" w:line="240" w:lineRule="auto"/>
        <w:jc w:val="both"/>
        <w:rPr>
          <w:rFonts w:cs="Times New Roman"/>
          <w:noProof/>
        </w:rPr>
      </w:pPr>
      <w:r>
        <w:rPr>
          <w:noProof/>
        </w:rPr>
        <w:t>Inwestycje 3 (C23.I3) – Nowe umiejętności na rzecz transformacji ekologicznej, cyfrowej i produkcyjnej</w:t>
      </w:r>
    </w:p>
    <w:p w14:paraId="1FAD7B1B" w14:textId="07588500" w:rsidR="006578ED" w:rsidRDefault="00A1618E">
      <w:pPr>
        <w:pStyle w:val="P68B1DB1-Normal4"/>
        <w:spacing w:before="120" w:after="120" w:line="240" w:lineRule="auto"/>
        <w:jc w:val="both"/>
        <w:rPr>
          <w:rFonts w:cs="Times New Roman"/>
          <w:noProof/>
        </w:rPr>
      </w:pPr>
      <w:r>
        <w:rPr>
          <w:noProof/>
        </w:rPr>
        <w:t>Inwestycja ta obejmuje różne inicjatywy szkoleniowe mające na celu przekwalifikowanie pracowników zagrożonych zwolnieniem. Składa się on z następujących kierunków działań:</w:t>
      </w:r>
    </w:p>
    <w:p w14:paraId="5D5870E8" w14:textId="474C8B47" w:rsidR="006578ED" w:rsidRDefault="00A1618E">
      <w:pPr>
        <w:pStyle w:val="P68B1DB1-Normal4"/>
        <w:numPr>
          <w:ilvl w:val="0"/>
          <w:numId w:val="152"/>
        </w:numPr>
        <w:spacing w:before="120" w:after="160" w:line="240" w:lineRule="auto"/>
        <w:contextualSpacing/>
        <w:jc w:val="both"/>
        <w:rPr>
          <w:rFonts w:cs="Times New Roman"/>
          <w:noProof/>
        </w:rPr>
      </w:pPr>
      <w:r>
        <w:rPr>
          <w:noProof/>
        </w:rPr>
        <w:t>Zaproszenia do składania wniosków o dotacje i przetargi na nabycie nowych umiejętności na potrzeby transformacji cyfrowej, ekologicznej i produkcyjnej. Jest on skierowany do pracowników sektora turystyki, bezrobotnych, pracowników zajętych</w:t>
      </w:r>
      <w:r>
        <w:rPr>
          <w:noProof/>
          <w:shd w:val="clear" w:color="auto" w:fill="FFFFFF" w:themeFill="background1"/>
        </w:rPr>
        <w:t xml:space="preserve"> i </w:t>
      </w:r>
      <w:r>
        <w:rPr>
          <w:noProof/>
        </w:rPr>
        <w:t>osób objętych ERTE. Czas trwania działań szkoleniowych jest wymagany przez sektor produkcyjny.</w:t>
      </w:r>
    </w:p>
    <w:p w14:paraId="24F053AB" w14:textId="339D7956" w:rsidR="006578ED" w:rsidRDefault="00A1618E">
      <w:pPr>
        <w:pStyle w:val="P68B1DB1-Normal4"/>
        <w:numPr>
          <w:ilvl w:val="0"/>
          <w:numId w:val="152"/>
        </w:numPr>
        <w:spacing w:before="120" w:after="160" w:line="240" w:lineRule="auto"/>
        <w:contextualSpacing/>
        <w:jc w:val="both"/>
        <w:rPr>
          <w:rFonts w:cs="Times New Roman"/>
          <w:noProof/>
        </w:rPr>
      </w:pPr>
      <w:r>
        <w:rPr>
          <w:noProof/>
        </w:rPr>
        <w:t>Bony szkoleniowe na nabycie nowych umiejętności na potrzeby transformacji cyfrowej, ekologicznej i produkcyjnej. Jest on skierowany do tych samych rodzajów pracowników co poprzedni plan działania, ale w tym przypadku beneficjent otrzymuje bezpośrednią dotację na szkolenia w zakresie umiejętności istotnych dla sektora ekologicznego, cyfrowego i innych sektorów strategicznych.</w:t>
      </w:r>
    </w:p>
    <w:p w14:paraId="32C6835D" w14:textId="536334FD" w:rsidR="006578ED" w:rsidRDefault="00A1618E">
      <w:pPr>
        <w:pStyle w:val="P68B1DB1-Normal4"/>
        <w:numPr>
          <w:ilvl w:val="0"/>
          <w:numId w:val="152"/>
        </w:numPr>
        <w:spacing w:before="120" w:after="160" w:line="240" w:lineRule="auto"/>
        <w:contextualSpacing/>
        <w:jc w:val="both"/>
        <w:rPr>
          <w:rFonts w:cs="Times New Roman"/>
          <w:noProof/>
        </w:rPr>
      </w:pPr>
      <w:r>
        <w:rPr>
          <w:noProof/>
        </w:rPr>
        <w:t>Wykrywanie potrzeb w zakresie umiejętności. Badanie oparte na badaniu przeprowadzonym w co najmniej 23 sektorach produkcyjnych zapewnia skuteczną odpowiedź na zapotrzebowanie na szkolenie i zmianę kwalifikacji na rynku pracy, w tym umiejętności w ramach transformacji cyfrowej i transformacji ekologicznej. Powinna również przewidywać zmiany i reagować na potencjalne zapotrzebowanie na wykwalifikowanych pracowników.</w:t>
      </w:r>
    </w:p>
    <w:p w14:paraId="04AA6220" w14:textId="54EDAF79" w:rsidR="006578ED" w:rsidRDefault="00A1618E">
      <w:pPr>
        <w:pStyle w:val="P68B1DB1-Normal4"/>
        <w:spacing w:before="240" w:after="120" w:line="240" w:lineRule="auto"/>
        <w:jc w:val="both"/>
        <w:rPr>
          <w:rFonts w:cs="Times New Roman"/>
          <w:noProof/>
        </w:rPr>
      </w:pPr>
      <w:r>
        <w:rPr>
          <w:noProof/>
        </w:rPr>
        <w:t>Realizacja inwestycji zostanie zakończona do dnia 31 grudnia 20</w:t>
      </w:r>
      <w:r w:rsidRPr="00A1618E">
        <w:rPr>
          <w:noProof/>
          <w:lang w:val="pl-PL"/>
        </w:rPr>
        <w:t>25 r.</w:t>
      </w:r>
    </w:p>
    <w:p w14:paraId="17832937" w14:textId="788CF338" w:rsidR="006578ED" w:rsidRDefault="00A1618E">
      <w:pPr>
        <w:pStyle w:val="P68B1DB1-Normal6"/>
        <w:spacing w:before="120" w:after="120" w:line="240" w:lineRule="auto"/>
        <w:jc w:val="both"/>
        <w:rPr>
          <w:rFonts w:cs="Times New Roman"/>
          <w:noProof/>
        </w:rPr>
      </w:pPr>
      <w:r>
        <w:rPr>
          <w:noProof/>
        </w:rPr>
        <w:t>Inwestycje 4 (C23.I4) – Nowe projekty terytorialne na rzecz przywrócenia równowagi i kapitału własnego</w:t>
      </w:r>
    </w:p>
    <w:p w14:paraId="1DD0D051" w14:textId="1DC27360" w:rsidR="006578ED" w:rsidRDefault="00A1618E">
      <w:pPr>
        <w:pStyle w:val="P68B1DB1-Normal4"/>
        <w:spacing w:before="120" w:after="120" w:line="240" w:lineRule="auto"/>
        <w:jc w:val="both"/>
        <w:rPr>
          <w:rFonts w:cs="Times New Roman"/>
          <w:noProof/>
        </w:rPr>
      </w:pPr>
      <w:r>
        <w:rPr>
          <w:noProof/>
        </w:rPr>
        <w:t xml:space="preserve">W ramach tej inwestycji finansuje się co najmniej 68 nowych projektów terytorialnych w celu sprostania wyzwaniom demograficznym i ułatwienia transformacji produkcyjnej, w szczególności w kierunku zielonej i cyfrowej gospodarki. W każdym autonomicznym regionie kraju realizowane są co najmniej cztery projekty. </w:t>
      </w:r>
    </w:p>
    <w:p w14:paraId="6ED462C7" w14:textId="2EB5DE50" w:rsidR="006578ED" w:rsidRDefault="00A1618E">
      <w:pPr>
        <w:pStyle w:val="P68B1DB1-Normal4"/>
        <w:spacing w:before="120" w:after="120" w:line="240" w:lineRule="auto"/>
        <w:jc w:val="both"/>
        <w:rPr>
          <w:rFonts w:cs="Times New Roman"/>
          <w:noProof/>
        </w:rPr>
      </w:pPr>
      <w:r>
        <w:rPr>
          <w:noProof/>
        </w:rPr>
        <w:t>Składa się on z dwóch rodzajów projektów:</w:t>
      </w:r>
    </w:p>
    <w:p w14:paraId="64DE64B3" w14:textId="2E603D63" w:rsidR="006578ED" w:rsidRDefault="00A1618E">
      <w:pPr>
        <w:pStyle w:val="P68B1DB1-Normal4"/>
        <w:numPr>
          <w:ilvl w:val="0"/>
          <w:numId w:val="153"/>
        </w:numPr>
        <w:spacing w:before="120" w:after="160" w:line="240" w:lineRule="auto"/>
        <w:contextualSpacing/>
        <w:jc w:val="both"/>
        <w:rPr>
          <w:rFonts w:cs="Times New Roman"/>
          <w:noProof/>
        </w:rPr>
      </w:pPr>
      <w:r>
        <w:rPr>
          <w:noProof/>
        </w:rPr>
        <w:t xml:space="preserve">Projekty terytorialne dla słabszych grup społecznych. Projekty te są skierowane do osób długotrwale bezrobotnych, które przestrzegają zindywidualizowanych i zindywidualizowanych tras, w których należy uwzględnić różne działania, takie jak: poradnictwo i pomoc, programy orientacyjne, opieka ze strony zespołów poszukiwania pracy, stypendia szkoleniowe i pojednawcze, pomoc w zatrudnianiu i monitorowaniu działań. </w:t>
      </w:r>
    </w:p>
    <w:p w14:paraId="42CA2355" w14:textId="6D0E195A" w:rsidR="006578ED" w:rsidRDefault="00A1618E">
      <w:pPr>
        <w:pStyle w:val="P68B1DB1-Normal4"/>
        <w:numPr>
          <w:ilvl w:val="0"/>
          <w:numId w:val="153"/>
        </w:numPr>
        <w:spacing w:before="120" w:after="160" w:line="240" w:lineRule="auto"/>
        <w:contextualSpacing/>
        <w:jc w:val="both"/>
        <w:rPr>
          <w:rFonts w:cs="Times New Roman"/>
          <w:noProof/>
        </w:rPr>
      </w:pPr>
      <w:r>
        <w:rPr>
          <w:noProof/>
        </w:rPr>
        <w:t xml:space="preserve">Projekty w zakresie przedsiębiorczości i mikroprzedsiębiorstw. Projekty te dotyczą wyzwań demograficznych i ułatwiają transformację produkcyjną, w szczególności w kierunku zielonej i cyfrowej gospodarki. Do finansowanych inicjatyw należą m.in. projekty szkoleniowe dla rolnictwa, zrównoważony rozwój lokalny, inicjatywy gospodarki społecznej na rzecz działań kulturalnych i artystycznych, transformacja ekologiczna, inicjatywy na rzecz rozwoju lokalnego, turystyka wiejska i dziedzictwo artystyczne. W ramach projektu można finansować takie działania jak: przedsiębiorczość społeczna i freelancerzy, badania rynku pracy, agenci ds. promocji i rozwoju na szczeblu lokalnym, pomoc w zakładaniu spółdzielni lub mikroprzedsiębiorstw, tworzenie sieci kontaktów, udział w konferencjach i działania upowszechniające. </w:t>
      </w:r>
    </w:p>
    <w:p w14:paraId="5FBA5AD4" w14:textId="473B2865" w:rsidR="006578ED" w:rsidRDefault="00A1618E">
      <w:pPr>
        <w:pStyle w:val="P68B1DB1-Normal4"/>
        <w:spacing w:before="240" w:after="120" w:line="240" w:lineRule="auto"/>
        <w:jc w:val="both"/>
        <w:rPr>
          <w:rFonts w:cs="Times New Roman"/>
          <w:noProof/>
        </w:rPr>
      </w:pPr>
      <w:r>
        <w:rPr>
          <w:noProof/>
        </w:rPr>
        <w:t>Realizacja inwestycji zostanie zakończona do dnia 31 grudnia 20</w:t>
      </w:r>
      <w:r w:rsidRPr="00A1618E">
        <w:rPr>
          <w:noProof/>
          <w:lang w:val="pl-PL"/>
        </w:rPr>
        <w:t>23 r.</w:t>
      </w:r>
      <w:r>
        <w:rPr>
          <w:noProof/>
        </w:rPr>
        <w:t xml:space="preserve"> </w:t>
      </w:r>
    </w:p>
    <w:p w14:paraId="0B3B66E3" w14:textId="238CD38C" w:rsidR="006578ED" w:rsidRDefault="00A1618E">
      <w:pPr>
        <w:pStyle w:val="P68B1DB1-Normal6"/>
        <w:spacing w:before="120" w:after="120" w:line="240" w:lineRule="auto"/>
        <w:jc w:val="both"/>
        <w:rPr>
          <w:rFonts w:cs="Times New Roman"/>
          <w:noProof/>
        </w:rPr>
      </w:pPr>
      <w:r>
        <w:rPr>
          <w:noProof/>
        </w:rPr>
        <w:t>Inwestycje 5 (C23.I5) – Zarządzanie i pobudzanie polityki wspierającej aktywizację</w:t>
      </w:r>
    </w:p>
    <w:p w14:paraId="00E6CD36" w14:textId="27934F9C" w:rsidR="006578ED" w:rsidRDefault="00A1618E">
      <w:pPr>
        <w:pStyle w:val="P68B1DB1-Normal4"/>
        <w:spacing w:before="120" w:after="120" w:line="240" w:lineRule="auto"/>
        <w:jc w:val="both"/>
        <w:rPr>
          <w:rFonts w:cs="Times New Roman"/>
          <w:noProof/>
        </w:rPr>
      </w:pPr>
      <w:r>
        <w:rPr>
          <w:noProof/>
        </w:rPr>
        <w:t xml:space="preserve">Środek ten ma na celu wzmocnienie publicznych służb zatrudnienia i poprawę skuteczności aktywnej polityki rynku pracy. W tym celu przewiduje utworzenie sieci 20 ośrodków orientacji, przedsiębiorczości i innowacji na rzecz zatrudnienia. Będą one rozproszone w całym kraju (jeden ośrodek na szczeblu administracji centralnej i jeden na każdym terytorium autonomicznym, w tym w Ceucie i Melilli), co będzie miało na celu poprawę koordynacji publicznych służb zatrudnienia w regionach. </w:t>
      </w:r>
    </w:p>
    <w:p w14:paraId="315B53AE" w14:textId="7FA48EBF" w:rsidR="006578ED" w:rsidRDefault="00A1618E">
      <w:pPr>
        <w:pStyle w:val="P68B1DB1-Normal4"/>
        <w:spacing w:before="120" w:after="120" w:line="240" w:lineRule="auto"/>
        <w:jc w:val="both"/>
        <w:rPr>
          <w:rFonts w:cs="Times New Roman"/>
          <w:noProof/>
        </w:rPr>
      </w:pPr>
      <w:r>
        <w:rPr>
          <w:noProof/>
        </w:rPr>
        <w:t>Ponadto przewiduje się szereg działań w zakresie szkolenia ustawicznego dla pracowników publicznych służb zatrudnienia, które zapewnią im średnio 14000 działań szkoleniowych rocznie. Szkolenie ma być zorganizowane w modułach trwających średnio 30 godzin i średnio każdy pracownik uczestniczy w module rocznie w latach 2021–2023.</w:t>
      </w:r>
    </w:p>
    <w:p w14:paraId="17A6037F" w14:textId="0E68FEAD" w:rsidR="006578ED" w:rsidRDefault="00A1618E">
      <w:pPr>
        <w:pStyle w:val="P68B1DB1-Normal4"/>
        <w:spacing w:before="120" w:after="120" w:line="240" w:lineRule="auto"/>
        <w:jc w:val="both"/>
        <w:rPr>
          <w:rFonts w:cs="Times New Roman"/>
          <w:noProof/>
        </w:rPr>
      </w:pPr>
      <w:r>
        <w:rPr>
          <w:noProof/>
        </w:rPr>
        <w:t>Realizacja inwestycji zakończy się do dnia 31 grudnia 20</w:t>
      </w:r>
      <w:r w:rsidRPr="00A1618E">
        <w:rPr>
          <w:noProof/>
          <w:lang w:val="pl-PL"/>
        </w:rPr>
        <w:t>24 r.</w:t>
      </w:r>
      <w:r>
        <w:rPr>
          <w:noProof/>
        </w:rPr>
        <w:t xml:space="preserve"> </w:t>
      </w:r>
    </w:p>
    <w:p w14:paraId="56E0D07A" w14:textId="77777777" w:rsidR="006578ED" w:rsidRDefault="00A1618E">
      <w:pPr>
        <w:pStyle w:val="P68B1DB1-Normal6"/>
        <w:spacing w:before="120" w:after="120" w:line="240" w:lineRule="auto"/>
        <w:jc w:val="both"/>
        <w:rPr>
          <w:rFonts w:cs="Times New Roman"/>
          <w:noProof/>
        </w:rPr>
      </w:pPr>
      <w:r>
        <w:rPr>
          <w:noProof/>
        </w:rPr>
        <w:t>Inwestycje 6 (C23.I6) – Kompleksowy plan pobudzenia gospodarki społecznej</w:t>
      </w:r>
    </w:p>
    <w:p w14:paraId="09AAB665" w14:textId="08F63E68" w:rsidR="006578ED" w:rsidRDefault="00A1618E">
      <w:pPr>
        <w:pStyle w:val="P68B1DB1-Normal4"/>
        <w:spacing w:before="120" w:after="120" w:line="240" w:lineRule="auto"/>
        <w:jc w:val="both"/>
        <w:rPr>
          <w:rFonts w:cs="Times New Roman"/>
          <w:noProof/>
        </w:rPr>
      </w:pPr>
      <w:r>
        <w:rPr>
          <w:noProof/>
        </w:rPr>
        <w:t xml:space="preserve">Środek ten wspiera innowacyjne projekty gospodarki społecznej mające na celu stworzenie bardziej sprzyjającej włączeniu społecznemu i zrównoważonej struktury gospodarczej. </w:t>
      </w:r>
    </w:p>
    <w:p w14:paraId="75240938" w14:textId="59185EB2" w:rsidR="006578ED" w:rsidRDefault="00A1618E">
      <w:pPr>
        <w:pStyle w:val="P68B1DB1-Normal4"/>
        <w:spacing w:before="120" w:after="120" w:line="240" w:lineRule="auto"/>
        <w:jc w:val="both"/>
        <w:rPr>
          <w:rFonts w:cs="Times New Roman"/>
          <w:noProof/>
        </w:rPr>
      </w:pPr>
      <w:r>
        <w:rPr>
          <w:noProof/>
        </w:rPr>
        <w:t>Obejmuje on opracowanie co najmniej 30 projektów gospodarki społecznej w latach 2021–</w:t>
      </w:r>
      <w:r>
        <w:rPr>
          <w:noProof/>
          <w:shd w:val="clear" w:color="auto" w:fill="FFFFFF" w:themeFill="background1"/>
        </w:rPr>
        <w:t>2025 w </w:t>
      </w:r>
      <w:r>
        <w:rPr>
          <w:noProof/>
        </w:rPr>
        <w:t>następujących obszarach:</w:t>
      </w:r>
    </w:p>
    <w:p w14:paraId="0282A2F5" w14:textId="6D2B957D" w:rsidR="006578ED" w:rsidRDefault="00A1618E">
      <w:pPr>
        <w:pStyle w:val="P68B1DB1-Normal4"/>
        <w:numPr>
          <w:ilvl w:val="0"/>
          <w:numId w:val="154"/>
        </w:numPr>
        <w:spacing w:before="120" w:after="160" w:line="240" w:lineRule="auto"/>
        <w:contextualSpacing/>
        <w:jc w:val="both"/>
        <w:rPr>
          <w:rFonts w:cs="Times New Roman"/>
          <w:noProof/>
        </w:rPr>
      </w:pPr>
      <w:r>
        <w:rPr>
          <w:noProof/>
        </w:rPr>
        <w:t>Tworzenie i utrzymywanie miejsc pracy w rentownych przedsiębiorstwach znajdujących się w trudnej sytuacji lub nieposiadających wymiany pokoleń poprzez przekształcenie ich w modele przedsiębiorstw gospodarki społecznej (spółdzielnie i przedsiębiorstwa pracy), zarządzane przez ich pracowników.</w:t>
      </w:r>
    </w:p>
    <w:p w14:paraId="68B23CFC" w14:textId="6CF4DA32" w:rsidR="006578ED" w:rsidRDefault="00A1618E">
      <w:pPr>
        <w:pStyle w:val="P68B1DB1-Normal4"/>
        <w:numPr>
          <w:ilvl w:val="0"/>
          <w:numId w:val="154"/>
        </w:numPr>
        <w:spacing w:before="120" w:after="160" w:line="240" w:lineRule="auto"/>
        <w:contextualSpacing/>
        <w:jc w:val="both"/>
        <w:rPr>
          <w:rFonts w:cs="Times New Roman"/>
          <w:noProof/>
        </w:rPr>
      </w:pPr>
      <w:r>
        <w:rPr>
          <w:noProof/>
        </w:rPr>
        <w:t>Tworzenie i konsolidacja innowacyjnych podmiotów gospodarki społecznej, które mają wpływ na wymianę pokoleń i przedsiębiorczość młodzieży.</w:t>
      </w:r>
    </w:p>
    <w:p w14:paraId="18DA814B" w14:textId="77777777" w:rsidR="006578ED" w:rsidRDefault="00A1618E">
      <w:pPr>
        <w:pStyle w:val="P68B1DB1-Normal4"/>
        <w:numPr>
          <w:ilvl w:val="0"/>
          <w:numId w:val="154"/>
        </w:numPr>
        <w:spacing w:before="120" w:after="160" w:line="240" w:lineRule="auto"/>
        <w:contextualSpacing/>
        <w:jc w:val="both"/>
        <w:rPr>
          <w:rFonts w:cs="Times New Roman"/>
          <w:noProof/>
        </w:rPr>
      </w:pPr>
      <w:r>
        <w:rPr>
          <w:noProof/>
        </w:rPr>
        <w:t>Cyfryzacja przedsiębiorstw gospodarki społecznej poprzez tworzenie platform cyfrowych mających na celu poprawę dobrostanu obywateli na obszarach wiejskich.</w:t>
      </w:r>
    </w:p>
    <w:p w14:paraId="119EDA63" w14:textId="1F06D3E2" w:rsidR="006578ED" w:rsidRDefault="00A1618E">
      <w:pPr>
        <w:pStyle w:val="P68B1DB1-Normal4"/>
        <w:numPr>
          <w:ilvl w:val="0"/>
          <w:numId w:val="154"/>
        </w:numPr>
        <w:spacing w:before="120" w:after="160" w:line="240" w:lineRule="auto"/>
        <w:contextualSpacing/>
        <w:jc w:val="both"/>
        <w:rPr>
          <w:rFonts w:cs="Times New Roman"/>
          <w:noProof/>
        </w:rPr>
      </w:pPr>
      <w:r>
        <w:rPr>
          <w:noProof/>
        </w:rPr>
        <w:t>Tworzenie sieci współpracy między spółdzielniami, przedsiębiorstwami pracy i innymi formami gospodarki społecznej, czemu towarzyszą działania na rzecz budowania zdolności i szkoleń w celu zapewnienia społeczeństwu nowych, kompleksowych usług.</w:t>
      </w:r>
    </w:p>
    <w:p w14:paraId="162CCE07" w14:textId="5442BFE3" w:rsidR="006578ED" w:rsidRDefault="00A1618E">
      <w:pPr>
        <w:pStyle w:val="P68B1DB1-Normal4"/>
        <w:numPr>
          <w:ilvl w:val="0"/>
          <w:numId w:val="154"/>
        </w:numPr>
        <w:spacing w:before="120" w:after="160" w:line="240" w:lineRule="auto"/>
        <w:contextualSpacing/>
        <w:jc w:val="both"/>
        <w:rPr>
          <w:rFonts w:cs="Times New Roman"/>
          <w:noProof/>
        </w:rPr>
      </w:pPr>
      <w:r>
        <w:rPr>
          <w:noProof/>
        </w:rPr>
        <w:t>Wspieranie zrównoważonej i sprzyjającej włączeniu społecznemu transformacji przedsiębiorstw i grup znajdujących się w trudnej sytuacji.</w:t>
      </w:r>
    </w:p>
    <w:p w14:paraId="4FE88FA6" w14:textId="09DF6F71" w:rsidR="006578ED" w:rsidRDefault="00A1618E">
      <w:pPr>
        <w:pStyle w:val="P68B1DB1-Normal4"/>
        <w:spacing w:before="240" w:after="120" w:line="240" w:lineRule="auto"/>
        <w:jc w:val="both"/>
        <w:rPr>
          <w:rFonts w:cs="Times New Roman"/>
          <w:noProof/>
        </w:rPr>
      </w:pPr>
      <w:r>
        <w:rPr>
          <w:noProof/>
        </w:rPr>
        <w:t>Realizacja inwestycji zakończy się do dnia 30 czerwca 20</w:t>
      </w:r>
      <w:r w:rsidRPr="00A1618E">
        <w:rPr>
          <w:noProof/>
          <w:lang w:val="pl-PL"/>
        </w:rPr>
        <w:t>25 r.</w:t>
      </w:r>
      <w:r>
        <w:rPr>
          <w:noProof/>
        </w:rPr>
        <w:t xml:space="preserve"> </w:t>
      </w:r>
    </w:p>
    <w:p w14:paraId="27DBBA7C" w14:textId="43E9F808" w:rsidR="006578ED" w:rsidRPr="00A1618E" w:rsidRDefault="00A1618E">
      <w:pPr>
        <w:pStyle w:val="P68B1DB1-Normal6"/>
        <w:spacing w:before="120" w:after="120" w:line="240" w:lineRule="auto"/>
        <w:jc w:val="both"/>
        <w:rPr>
          <w:rFonts w:cs="Times New Roman"/>
          <w:noProof/>
          <w:lang w:val="pl-PL"/>
        </w:rPr>
      </w:pPr>
      <w:r>
        <w:rPr>
          <w:noProof/>
        </w:rPr>
        <w:t>Inwestycje 7 (C23.I7) – Promowanie wzrostu sprzyjającego włączeniu społecznemu poprzez powiązanie polityki włączenia społecznego z krajowym systemem dochodu minimalnego („IMV”</w:t>
      </w:r>
      <w:r w:rsidRPr="00A1618E">
        <w:rPr>
          <w:noProof/>
          <w:lang w:val="pl-PL"/>
        </w:rPr>
        <w:t xml:space="preserve">) </w:t>
      </w:r>
    </w:p>
    <w:p w14:paraId="338DDF18" w14:textId="302B3B56" w:rsidR="006578ED" w:rsidRDefault="00A1618E">
      <w:pPr>
        <w:pStyle w:val="P68B1DB1-Normal4"/>
        <w:spacing w:before="120" w:after="120" w:line="240" w:lineRule="auto"/>
        <w:jc w:val="both"/>
        <w:rPr>
          <w:rFonts w:cs="Times New Roman"/>
          <w:noProof/>
        </w:rPr>
      </w:pPr>
      <w:r>
        <w:rPr>
          <w:noProof/>
        </w:rPr>
        <w:t>Celem tej inwestycji jest poprawa skuteczności ścieżek integracji dla beneficjentów krajowego systemu dochodu minimalnego poprzez realizację co najmniej 18 projektów pilotażowych. Po ich zakończeniu przeprowadza się ocenę zakresu, skuteczności i powodzenia systemów dochodu minimalnego. Ocena ta obejmuje konkretne zalecenia mające na celu zwiększenie wskaźnika wykorzystania i poprawę skuteczności polityki włączenia społecznego. Środek ten jest ściśle związany z reformą 5 komponentu 22.</w:t>
      </w:r>
    </w:p>
    <w:p w14:paraId="64B47076" w14:textId="50C95D99" w:rsidR="006578ED" w:rsidRDefault="00A1618E">
      <w:pPr>
        <w:pStyle w:val="P68B1DB1-Normal4"/>
        <w:spacing w:before="120" w:after="120" w:line="240" w:lineRule="auto"/>
        <w:jc w:val="both"/>
        <w:rPr>
          <w:rFonts w:cs="Times New Roman"/>
          <w:noProof/>
        </w:rPr>
      </w:pPr>
      <w:r>
        <w:rPr>
          <w:noProof/>
        </w:rPr>
        <w:t>W celu realizacji projektów pilotażowych Ministerstwo ds. Włączenia Społecznego podpisuje umowy o partnerstwie z zainteresowanymi regionalnymi i lokalnymi organami administracji publicznej, a także z podmiotami trzeciego sektora działań społecznych i partnerami społecznymi. Celem tych umów o partnerstwie jest: zwiększenie wskaźnika wykorzystania IMV; zwiększenie skuteczności IMV poprzez ścieżki integracji. Każdej umowie partnerstwa towarzyszy plan działania określający co najmniej następujące elementy:</w:t>
      </w:r>
    </w:p>
    <w:p w14:paraId="794B4969" w14:textId="718C1EB6" w:rsidR="006578ED" w:rsidRDefault="00A1618E">
      <w:pPr>
        <w:pStyle w:val="P68B1DB1-Normal4"/>
        <w:numPr>
          <w:ilvl w:val="0"/>
          <w:numId w:val="154"/>
        </w:numPr>
        <w:spacing w:before="120" w:after="160" w:line="240" w:lineRule="auto"/>
        <w:contextualSpacing/>
        <w:jc w:val="both"/>
        <w:rPr>
          <w:rFonts w:cs="Times New Roman"/>
          <w:noProof/>
        </w:rPr>
      </w:pPr>
      <w:r>
        <w:rPr>
          <w:noProof/>
        </w:rPr>
        <w:t>Beneficjenci IMV uczestniczący w projekcie pilotażowym.</w:t>
      </w:r>
    </w:p>
    <w:p w14:paraId="584C4C96" w14:textId="1B86FB5E" w:rsidR="006578ED" w:rsidRDefault="00A1618E">
      <w:pPr>
        <w:pStyle w:val="P68B1DB1-Normal4"/>
        <w:numPr>
          <w:ilvl w:val="0"/>
          <w:numId w:val="154"/>
        </w:numPr>
        <w:spacing w:before="120" w:after="160" w:line="240" w:lineRule="auto"/>
        <w:contextualSpacing/>
        <w:jc w:val="both"/>
        <w:rPr>
          <w:rFonts w:cs="Times New Roman"/>
          <w:noProof/>
        </w:rPr>
      </w:pPr>
      <w:r>
        <w:rPr>
          <w:noProof/>
        </w:rPr>
        <w:t>Najodpowiedniejsze ścieżki (określane na podstawie zdobytych doświadczeń) i związane z nimi wyniki/wyniki włączenia społecznego, które mają zostać osiągnięte w ramach interwencji.</w:t>
      </w:r>
    </w:p>
    <w:p w14:paraId="0222F1AF" w14:textId="77777777" w:rsidR="006578ED" w:rsidRDefault="00A1618E">
      <w:pPr>
        <w:pStyle w:val="P68B1DB1-Normal4"/>
        <w:numPr>
          <w:ilvl w:val="0"/>
          <w:numId w:val="154"/>
        </w:numPr>
        <w:spacing w:before="120" w:after="160" w:line="240" w:lineRule="auto"/>
        <w:contextualSpacing/>
        <w:jc w:val="both"/>
        <w:rPr>
          <w:rFonts w:cs="Times New Roman"/>
          <w:noProof/>
        </w:rPr>
      </w:pPr>
      <w:r>
        <w:rPr>
          <w:noProof/>
        </w:rPr>
        <w:t>Wymóg dotyczący infrastruktury danych: potrzebne są nie tylko beneficjenci IMV, ale również inni beneficjenci programów regionalnych, aby liczyć na dobre grupy kontrolne.</w:t>
      </w:r>
    </w:p>
    <w:p w14:paraId="119E7C3A" w14:textId="77777777" w:rsidR="006578ED" w:rsidRDefault="00A1618E">
      <w:pPr>
        <w:pStyle w:val="P68B1DB1-Normal4"/>
        <w:numPr>
          <w:ilvl w:val="0"/>
          <w:numId w:val="154"/>
        </w:numPr>
        <w:spacing w:before="120" w:after="160" w:line="240" w:lineRule="auto"/>
        <w:contextualSpacing/>
        <w:jc w:val="both"/>
        <w:rPr>
          <w:rFonts w:cs="Times New Roman"/>
          <w:noProof/>
        </w:rPr>
      </w:pPr>
      <w:r>
        <w:rPr>
          <w:noProof/>
        </w:rPr>
        <w:t>Koszty jednostkowe interwencji.</w:t>
      </w:r>
    </w:p>
    <w:p w14:paraId="081072A6" w14:textId="07D2357F" w:rsidR="006578ED" w:rsidRDefault="00A1618E">
      <w:pPr>
        <w:pStyle w:val="P68B1DB1-Normal4"/>
        <w:numPr>
          <w:ilvl w:val="0"/>
          <w:numId w:val="154"/>
        </w:numPr>
        <w:spacing w:before="120" w:after="160" w:line="240" w:lineRule="auto"/>
        <w:contextualSpacing/>
        <w:jc w:val="both"/>
        <w:rPr>
          <w:rFonts w:cs="Times New Roman"/>
          <w:noProof/>
        </w:rPr>
      </w:pPr>
      <w:r>
        <w:rPr>
          <w:noProof/>
        </w:rPr>
        <w:t>Plan monitorowania dla Ministerstwa Integracji w celu oceny realizacji poszczególnych celów pośrednich określonych w planie.</w:t>
      </w:r>
    </w:p>
    <w:p w14:paraId="7A0B0FE9" w14:textId="09D88D26" w:rsidR="006578ED" w:rsidRDefault="00A1618E">
      <w:pPr>
        <w:pStyle w:val="P68B1DB1-Normal4"/>
        <w:numPr>
          <w:ilvl w:val="0"/>
          <w:numId w:val="154"/>
        </w:numPr>
        <w:spacing w:before="120" w:after="160" w:line="240" w:lineRule="auto"/>
        <w:contextualSpacing/>
        <w:jc w:val="both"/>
        <w:rPr>
          <w:rFonts w:cs="Times New Roman"/>
          <w:noProof/>
        </w:rPr>
      </w:pPr>
      <w:r>
        <w:rPr>
          <w:noProof/>
        </w:rPr>
        <w:t>Publikacja oceny po zakończeniu projektu pilotażowego z ustaleniami i wyciągniętymi wnioskami.</w:t>
      </w:r>
    </w:p>
    <w:p w14:paraId="156E5409" w14:textId="5F6963B3" w:rsidR="006578ED" w:rsidRDefault="00A1618E">
      <w:pPr>
        <w:pStyle w:val="P68B1DB1-Normal4"/>
        <w:spacing w:before="240" w:after="120" w:line="240" w:lineRule="auto"/>
        <w:jc w:val="both"/>
        <w:rPr>
          <w:rFonts w:cs="Times New Roman"/>
          <w:noProof/>
          <w:u w:val="single"/>
        </w:rPr>
      </w:pPr>
      <w:r>
        <w:rPr>
          <w:noProof/>
        </w:rPr>
        <w:t>Realizacja inwestycji zostanie zakończona do dnia 31 marca 20</w:t>
      </w:r>
      <w:r w:rsidRPr="00A1618E">
        <w:rPr>
          <w:noProof/>
          <w:lang w:val="pl-PL"/>
        </w:rPr>
        <w:t>24 r.</w:t>
      </w:r>
    </w:p>
    <w:p w14:paraId="449A9072" w14:textId="686DF2C3" w:rsidR="006578ED" w:rsidRDefault="00A1618E">
      <w:pPr>
        <w:pStyle w:val="P68B1DB1-Normal5"/>
        <w:spacing w:before="120" w:after="120" w:line="240" w:lineRule="auto"/>
        <w:ind w:left="709"/>
        <w:jc w:val="both"/>
        <w:rPr>
          <w:rFonts w:cs="Times New Roman"/>
          <w:noProof/>
        </w:rPr>
      </w:pPr>
      <w:r>
        <w:rPr>
          <w:noProof/>
        </w:rPr>
        <w:t xml:space="preserve">W.2. </w:t>
      </w:r>
      <w:r>
        <w:rPr>
          <w:noProof/>
        </w:rPr>
        <w:tab/>
        <w:t>Kamienie milowe, wartości docelowe, wskaźniki i harmonogram monitorowania i realizacji na potrzeby bezzwrotnego wsparcia finansowego</w:t>
      </w:r>
    </w:p>
    <w:p w14:paraId="78A44193" w14:textId="65CB7206"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50748E46" w14:textId="77777777" w:rsidR="006578ED" w:rsidRDefault="006578ED">
      <w:pPr>
        <w:spacing w:before="120" w:after="120" w:line="240" w:lineRule="auto"/>
        <w:ind w:left="709"/>
        <w:jc w:val="both"/>
        <w:rPr>
          <w:rFonts w:ascii="Times New Roman" w:hAnsi="Times New Roman" w:cs="Times New Roman"/>
          <w:noProof/>
          <w:sz w:val="24"/>
        </w:rPr>
        <w:sectPr w:rsidR="006578ED" w:rsidSect="00C94F66">
          <w:headerReference w:type="even" r:id="rId447"/>
          <w:headerReference w:type="default" r:id="rId448"/>
          <w:footerReference w:type="even" r:id="rId449"/>
          <w:footerReference w:type="default" r:id="rId450"/>
          <w:headerReference w:type="first" r:id="rId451"/>
          <w:footerReference w:type="first" r:id="rId452"/>
          <w:pgSz w:w="11907" w:h="16839"/>
          <w:pgMar w:top="1134" w:right="1417" w:bottom="1134" w:left="1417" w:header="709" w:footer="709" w:gutter="0"/>
          <w:cols w:space="720"/>
          <w:docGrid w:linePitch="360"/>
        </w:sect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30"/>
        <w:gridCol w:w="828"/>
        <w:gridCol w:w="826"/>
        <w:gridCol w:w="2613"/>
        <w:gridCol w:w="1102"/>
        <w:gridCol w:w="827"/>
        <w:gridCol w:w="413"/>
        <w:gridCol w:w="689"/>
        <w:gridCol w:w="413"/>
        <w:gridCol w:w="551"/>
        <w:gridCol w:w="5901"/>
      </w:tblGrid>
      <w:tr w:rsidR="006578ED" w14:paraId="0ECB5695" w14:textId="77777777">
        <w:trPr>
          <w:trHeight w:val="309"/>
          <w:tblHeader/>
        </w:trPr>
        <w:tc>
          <w:tcPr>
            <w:tcW w:w="830" w:type="dxa"/>
            <w:tcBorders>
              <w:bottom w:val="nil"/>
            </w:tcBorders>
            <w:shd w:val="clear" w:color="auto" w:fill="C6D9F1" w:themeFill="text2" w:themeFillTint="33"/>
            <w:noWrap/>
            <w:vAlign w:val="center"/>
          </w:tcPr>
          <w:p w14:paraId="22830699" w14:textId="77777777" w:rsidR="006578ED" w:rsidRDefault="00A1618E">
            <w:pPr>
              <w:pStyle w:val="P68B1DB1-Normal12"/>
              <w:spacing w:after="0" w:line="240" w:lineRule="auto"/>
              <w:jc w:val="center"/>
              <w:rPr>
                <w:rFonts w:cs="Times New Roman"/>
                <w:noProof/>
              </w:rPr>
            </w:pPr>
            <w:r>
              <w:rPr>
                <w:noProof/>
              </w:rPr>
              <w:t>Liczba</w:t>
            </w:r>
          </w:p>
        </w:tc>
        <w:tc>
          <w:tcPr>
            <w:tcW w:w="828" w:type="dxa"/>
            <w:tcBorders>
              <w:bottom w:val="nil"/>
            </w:tcBorders>
            <w:shd w:val="clear" w:color="auto" w:fill="C6D9F1" w:themeFill="text2" w:themeFillTint="33"/>
            <w:noWrap/>
            <w:vAlign w:val="center"/>
          </w:tcPr>
          <w:p w14:paraId="17A0D607" w14:textId="77777777" w:rsidR="006578ED" w:rsidRDefault="00A1618E">
            <w:pPr>
              <w:pStyle w:val="P68B1DB1-Normal12"/>
              <w:spacing w:after="0" w:line="240" w:lineRule="auto"/>
              <w:jc w:val="center"/>
              <w:rPr>
                <w:rFonts w:cs="Times New Roman"/>
                <w:noProof/>
              </w:rPr>
            </w:pPr>
            <w:r>
              <w:rPr>
                <w:noProof/>
              </w:rPr>
              <w:t>Środek</w:t>
            </w:r>
          </w:p>
        </w:tc>
        <w:tc>
          <w:tcPr>
            <w:tcW w:w="826" w:type="dxa"/>
            <w:tcBorders>
              <w:bottom w:val="nil"/>
            </w:tcBorders>
            <w:shd w:val="clear" w:color="auto" w:fill="C6D9F1" w:themeFill="text2" w:themeFillTint="33"/>
            <w:noWrap/>
            <w:vAlign w:val="center"/>
          </w:tcPr>
          <w:p w14:paraId="103F9819" w14:textId="6E9EE813"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613" w:type="dxa"/>
            <w:tcBorders>
              <w:bottom w:val="nil"/>
            </w:tcBorders>
            <w:shd w:val="clear" w:color="auto" w:fill="C6D9F1" w:themeFill="text2" w:themeFillTint="33"/>
            <w:noWrap/>
            <w:vAlign w:val="center"/>
          </w:tcPr>
          <w:p w14:paraId="72BAAA7B" w14:textId="77777777" w:rsidR="006578ED" w:rsidRDefault="00A1618E">
            <w:pPr>
              <w:pStyle w:val="P68B1DB1-Normal12"/>
              <w:spacing w:after="0" w:line="240" w:lineRule="auto"/>
              <w:jc w:val="center"/>
              <w:rPr>
                <w:rFonts w:cs="Times New Roman"/>
                <w:noProof/>
              </w:rPr>
            </w:pPr>
            <w:r>
              <w:rPr>
                <w:noProof/>
              </w:rPr>
              <w:t>Nazwa</w:t>
            </w:r>
          </w:p>
        </w:tc>
        <w:tc>
          <w:tcPr>
            <w:tcW w:w="1102" w:type="dxa"/>
            <w:tcBorders>
              <w:bottom w:val="nil"/>
            </w:tcBorders>
            <w:shd w:val="clear" w:color="auto" w:fill="C6D9F1" w:themeFill="text2" w:themeFillTint="33"/>
            <w:noWrap/>
            <w:vAlign w:val="center"/>
          </w:tcPr>
          <w:p w14:paraId="7E2B21BF"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29" w:type="dxa"/>
            <w:gridSpan w:val="3"/>
            <w:shd w:val="clear" w:color="auto" w:fill="C6D9F1" w:themeFill="text2" w:themeFillTint="33"/>
            <w:noWrap/>
            <w:vAlign w:val="center"/>
          </w:tcPr>
          <w:p w14:paraId="57BAA056"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64" w:type="dxa"/>
            <w:gridSpan w:val="2"/>
            <w:shd w:val="clear" w:color="auto" w:fill="C6D9F1" w:themeFill="text2" w:themeFillTint="33"/>
            <w:noWrap/>
            <w:vAlign w:val="center"/>
          </w:tcPr>
          <w:p w14:paraId="2DA5D823" w14:textId="77777777" w:rsidR="006578ED" w:rsidRDefault="00A1618E">
            <w:pPr>
              <w:pStyle w:val="P68B1DB1-Normal12"/>
              <w:spacing w:after="0" w:line="240" w:lineRule="auto"/>
              <w:jc w:val="center"/>
              <w:rPr>
                <w:rFonts w:cs="Times New Roman"/>
                <w:noProof/>
              </w:rPr>
            </w:pPr>
            <w:r>
              <w:rPr>
                <w:noProof/>
              </w:rPr>
              <w:t>Czas</w:t>
            </w:r>
          </w:p>
        </w:tc>
        <w:tc>
          <w:tcPr>
            <w:tcW w:w="5901" w:type="dxa"/>
            <w:tcBorders>
              <w:bottom w:val="nil"/>
            </w:tcBorders>
            <w:shd w:val="clear" w:color="auto" w:fill="C6D9F1" w:themeFill="text2" w:themeFillTint="33"/>
            <w:noWrap/>
            <w:vAlign w:val="center"/>
          </w:tcPr>
          <w:p w14:paraId="4E6188D6" w14:textId="5405236F"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4BF30752" w14:textId="77777777">
        <w:trPr>
          <w:trHeight w:val="309"/>
          <w:tblHeader/>
        </w:trPr>
        <w:tc>
          <w:tcPr>
            <w:tcW w:w="830" w:type="dxa"/>
            <w:tcBorders>
              <w:top w:val="nil"/>
            </w:tcBorders>
            <w:shd w:val="clear" w:color="auto" w:fill="C6D9F1" w:themeFill="text2" w:themeFillTint="33"/>
            <w:noWrap/>
          </w:tcPr>
          <w:p w14:paraId="29C547A1" w14:textId="77777777" w:rsidR="006578ED" w:rsidRDefault="006578ED">
            <w:pPr>
              <w:spacing w:after="0" w:line="240" w:lineRule="auto"/>
              <w:jc w:val="center"/>
              <w:rPr>
                <w:rFonts w:ascii="Times New Roman" w:hAnsi="Times New Roman" w:cs="Times New Roman"/>
                <w:b/>
                <w:noProof/>
                <w:sz w:val="18"/>
              </w:rPr>
            </w:pPr>
          </w:p>
        </w:tc>
        <w:tc>
          <w:tcPr>
            <w:tcW w:w="828" w:type="dxa"/>
            <w:tcBorders>
              <w:top w:val="nil"/>
            </w:tcBorders>
            <w:shd w:val="clear" w:color="auto" w:fill="C6D9F1" w:themeFill="text2" w:themeFillTint="33"/>
            <w:noWrap/>
          </w:tcPr>
          <w:p w14:paraId="1059B97E" w14:textId="77777777" w:rsidR="006578ED" w:rsidRDefault="006578ED">
            <w:pPr>
              <w:spacing w:after="0" w:line="240" w:lineRule="auto"/>
              <w:jc w:val="center"/>
              <w:rPr>
                <w:rFonts w:ascii="Times New Roman" w:hAnsi="Times New Roman" w:cs="Times New Roman"/>
                <w:b/>
                <w:noProof/>
                <w:sz w:val="18"/>
              </w:rPr>
            </w:pPr>
          </w:p>
        </w:tc>
        <w:tc>
          <w:tcPr>
            <w:tcW w:w="826" w:type="dxa"/>
            <w:tcBorders>
              <w:top w:val="nil"/>
            </w:tcBorders>
            <w:shd w:val="clear" w:color="auto" w:fill="C6D9F1" w:themeFill="text2" w:themeFillTint="33"/>
            <w:noWrap/>
          </w:tcPr>
          <w:p w14:paraId="5D2DCD9F" w14:textId="77777777" w:rsidR="006578ED" w:rsidRDefault="006578ED">
            <w:pPr>
              <w:spacing w:after="0" w:line="240" w:lineRule="auto"/>
              <w:jc w:val="center"/>
              <w:rPr>
                <w:rFonts w:ascii="Times New Roman" w:hAnsi="Times New Roman" w:cs="Times New Roman"/>
                <w:b/>
                <w:noProof/>
                <w:sz w:val="18"/>
              </w:rPr>
            </w:pPr>
          </w:p>
        </w:tc>
        <w:tc>
          <w:tcPr>
            <w:tcW w:w="2613" w:type="dxa"/>
            <w:tcBorders>
              <w:top w:val="nil"/>
            </w:tcBorders>
            <w:shd w:val="clear" w:color="auto" w:fill="C6D9F1" w:themeFill="text2" w:themeFillTint="33"/>
            <w:noWrap/>
          </w:tcPr>
          <w:p w14:paraId="4136251A" w14:textId="77777777" w:rsidR="006578ED" w:rsidRDefault="006578ED">
            <w:pPr>
              <w:spacing w:after="0" w:line="240" w:lineRule="auto"/>
              <w:rPr>
                <w:rFonts w:ascii="Times New Roman" w:hAnsi="Times New Roman" w:cs="Times New Roman"/>
                <w:b/>
                <w:noProof/>
                <w:sz w:val="18"/>
              </w:rPr>
            </w:pPr>
          </w:p>
        </w:tc>
        <w:tc>
          <w:tcPr>
            <w:tcW w:w="1102" w:type="dxa"/>
            <w:tcBorders>
              <w:top w:val="nil"/>
            </w:tcBorders>
            <w:shd w:val="clear" w:color="auto" w:fill="C6D9F1" w:themeFill="text2" w:themeFillTint="33"/>
            <w:noWrap/>
          </w:tcPr>
          <w:p w14:paraId="553A3634" w14:textId="77777777" w:rsidR="006578ED" w:rsidRDefault="006578ED">
            <w:pPr>
              <w:spacing w:after="0" w:line="240" w:lineRule="auto"/>
              <w:jc w:val="center"/>
              <w:rPr>
                <w:rFonts w:ascii="Times New Roman" w:hAnsi="Times New Roman" w:cs="Times New Roman"/>
                <w:b/>
                <w:noProof/>
                <w:sz w:val="18"/>
              </w:rPr>
            </w:pPr>
          </w:p>
        </w:tc>
        <w:tc>
          <w:tcPr>
            <w:tcW w:w="827" w:type="dxa"/>
            <w:shd w:val="clear" w:color="auto" w:fill="C6D9F1" w:themeFill="text2" w:themeFillTint="33"/>
            <w:noWrap/>
          </w:tcPr>
          <w:p w14:paraId="353E47FA" w14:textId="77777777" w:rsidR="006578ED" w:rsidRDefault="00A1618E">
            <w:pPr>
              <w:pStyle w:val="P68B1DB1-Normal12"/>
              <w:spacing w:after="0" w:line="240" w:lineRule="auto"/>
              <w:jc w:val="center"/>
              <w:rPr>
                <w:rFonts w:cs="Times New Roman"/>
                <w:noProof/>
              </w:rPr>
            </w:pPr>
            <w:r>
              <w:rPr>
                <w:noProof/>
              </w:rPr>
              <w:t>Jednostka</w:t>
            </w:r>
          </w:p>
        </w:tc>
        <w:tc>
          <w:tcPr>
            <w:tcW w:w="413" w:type="dxa"/>
            <w:shd w:val="clear" w:color="auto" w:fill="C6D9F1" w:themeFill="text2" w:themeFillTint="33"/>
            <w:noWrap/>
          </w:tcPr>
          <w:p w14:paraId="315C088E" w14:textId="77777777" w:rsidR="006578ED" w:rsidRDefault="00A1618E">
            <w:pPr>
              <w:pStyle w:val="P68B1DB1-Normal12"/>
              <w:spacing w:after="0" w:line="240" w:lineRule="auto"/>
              <w:jc w:val="center"/>
              <w:rPr>
                <w:rFonts w:cs="Times New Roman"/>
                <w:noProof/>
              </w:rPr>
            </w:pPr>
            <w:r>
              <w:rPr>
                <w:noProof/>
              </w:rPr>
              <w:t>Wartość wyjściowa</w:t>
            </w:r>
          </w:p>
        </w:tc>
        <w:tc>
          <w:tcPr>
            <w:tcW w:w="689" w:type="dxa"/>
            <w:shd w:val="clear" w:color="auto" w:fill="C6D9F1" w:themeFill="text2" w:themeFillTint="33"/>
            <w:noWrap/>
          </w:tcPr>
          <w:p w14:paraId="32C0F50C" w14:textId="77777777" w:rsidR="006578ED" w:rsidRDefault="00A1618E">
            <w:pPr>
              <w:pStyle w:val="P68B1DB1-Normal12"/>
              <w:spacing w:after="0" w:line="240" w:lineRule="auto"/>
              <w:jc w:val="center"/>
              <w:rPr>
                <w:rFonts w:cs="Times New Roman"/>
                <w:noProof/>
              </w:rPr>
            </w:pPr>
            <w:r>
              <w:rPr>
                <w:noProof/>
              </w:rPr>
              <w:t>Cel</w:t>
            </w:r>
          </w:p>
        </w:tc>
        <w:tc>
          <w:tcPr>
            <w:tcW w:w="413" w:type="dxa"/>
            <w:shd w:val="clear" w:color="auto" w:fill="C6D9F1" w:themeFill="text2" w:themeFillTint="33"/>
            <w:noWrap/>
          </w:tcPr>
          <w:p w14:paraId="2F858F73" w14:textId="77777777" w:rsidR="006578ED" w:rsidRDefault="00A1618E">
            <w:pPr>
              <w:pStyle w:val="P68B1DB1-Normal12"/>
              <w:spacing w:after="0" w:line="240" w:lineRule="auto"/>
              <w:jc w:val="center"/>
              <w:rPr>
                <w:rFonts w:cs="Times New Roman"/>
                <w:noProof/>
              </w:rPr>
            </w:pPr>
            <w:r>
              <w:rPr>
                <w:noProof/>
              </w:rPr>
              <w:t>Q</w:t>
            </w:r>
          </w:p>
        </w:tc>
        <w:tc>
          <w:tcPr>
            <w:tcW w:w="551" w:type="dxa"/>
            <w:shd w:val="clear" w:color="auto" w:fill="C6D9F1" w:themeFill="text2" w:themeFillTint="33"/>
            <w:noWrap/>
          </w:tcPr>
          <w:p w14:paraId="31DCEA32" w14:textId="77777777" w:rsidR="006578ED" w:rsidRDefault="00A1618E">
            <w:pPr>
              <w:pStyle w:val="P68B1DB1-Normal12"/>
              <w:spacing w:after="0" w:line="240" w:lineRule="auto"/>
              <w:jc w:val="center"/>
              <w:rPr>
                <w:rFonts w:cs="Times New Roman"/>
                <w:noProof/>
              </w:rPr>
            </w:pPr>
            <w:r>
              <w:rPr>
                <w:noProof/>
              </w:rPr>
              <w:t>Rok</w:t>
            </w:r>
          </w:p>
        </w:tc>
        <w:tc>
          <w:tcPr>
            <w:tcW w:w="5901" w:type="dxa"/>
            <w:tcBorders>
              <w:top w:val="nil"/>
            </w:tcBorders>
            <w:shd w:val="clear" w:color="auto" w:fill="C6D9F1" w:themeFill="text2" w:themeFillTint="33"/>
            <w:noWrap/>
          </w:tcPr>
          <w:p w14:paraId="03115B95" w14:textId="77777777" w:rsidR="006578ED" w:rsidRDefault="006578ED">
            <w:pPr>
              <w:spacing w:after="0" w:line="240" w:lineRule="auto"/>
              <w:rPr>
                <w:rFonts w:ascii="Times New Roman" w:hAnsi="Times New Roman" w:cs="Times New Roman"/>
                <w:b/>
                <w:noProof/>
                <w:sz w:val="18"/>
              </w:rPr>
            </w:pPr>
          </w:p>
        </w:tc>
      </w:tr>
      <w:tr w:rsidR="006578ED" w14:paraId="36FDEA7D" w14:textId="77777777">
        <w:trPr>
          <w:trHeight w:val="309"/>
        </w:trPr>
        <w:tc>
          <w:tcPr>
            <w:tcW w:w="830" w:type="dxa"/>
            <w:shd w:val="clear" w:color="auto" w:fill="C6EFCE"/>
            <w:noWrap/>
          </w:tcPr>
          <w:p w14:paraId="456CA45E" w14:textId="77777777" w:rsidR="006578ED" w:rsidRDefault="00A1618E">
            <w:pPr>
              <w:pStyle w:val="P68B1DB1-Normal13"/>
              <w:spacing w:after="0" w:line="240" w:lineRule="auto"/>
              <w:jc w:val="center"/>
              <w:rPr>
                <w:rFonts w:eastAsia="Times New Roman" w:cs="Times New Roman"/>
                <w:noProof/>
              </w:rPr>
            </w:pPr>
            <w:r>
              <w:rPr>
                <w:noProof/>
              </w:rPr>
              <w:t>329</w:t>
            </w:r>
          </w:p>
        </w:tc>
        <w:tc>
          <w:tcPr>
            <w:tcW w:w="828" w:type="dxa"/>
            <w:shd w:val="clear" w:color="auto" w:fill="C6EFCE"/>
            <w:noWrap/>
          </w:tcPr>
          <w:p w14:paraId="73EA70E1" w14:textId="77777777" w:rsidR="006578ED" w:rsidRDefault="00A1618E">
            <w:pPr>
              <w:pStyle w:val="P68B1DB1-Normal13"/>
              <w:spacing w:after="0" w:line="240" w:lineRule="auto"/>
              <w:jc w:val="center"/>
              <w:rPr>
                <w:rFonts w:eastAsia="Times New Roman" w:cs="Times New Roman"/>
                <w:noProof/>
              </w:rPr>
            </w:pPr>
            <w:r>
              <w:rPr>
                <w:noProof/>
              </w:rPr>
              <w:t>C23.R1</w:t>
            </w:r>
          </w:p>
        </w:tc>
        <w:tc>
          <w:tcPr>
            <w:tcW w:w="826" w:type="dxa"/>
            <w:shd w:val="clear" w:color="auto" w:fill="C6EFCE"/>
            <w:noWrap/>
          </w:tcPr>
          <w:p w14:paraId="03F95390" w14:textId="42B8768B"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0F077D7A" w14:textId="4559BBE2" w:rsidR="006578ED" w:rsidRDefault="00A1618E">
            <w:pPr>
              <w:pStyle w:val="P68B1DB1-Normal13"/>
              <w:spacing w:after="0" w:line="240" w:lineRule="auto"/>
              <w:rPr>
                <w:rFonts w:cs="Times New Roman"/>
                <w:noProof/>
              </w:rPr>
            </w:pPr>
            <w:r>
              <w:rPr>
                <w:noProof/>
              </w:rPr>
              <w:t>Wejście w życie dwóch królewskich dekretów z mocą ustawy regulujących pracę na odległość w sektorze prywatnym i w administracji publicznej</w:t>
            </w:r>
          </w:p>
          <w:p w14:paraId="2D6573B5" w14:textId="77777777" w:rsidR="006578ED" w:rsidRDefault="006578ED">
            <w:pPr>
              <w:jc w:val="right"/>
              <w:rPr>
                <w:rFonts w:ascii="Times New Roman" w:eastAsia="Times New Roman" w:hAnsi="Times New Roman" w:cs="Times New Roman"/>
                <w:noProof/>
                <w:sz w:val="18"/>
              </w:rPr>
            </w:pPr>
          </w:p>
        </w:tc>
        <w:tc>
          <w:tcPr>
            <w:tcW w:w="1102" w:type="dxa"/>
            <w:shd w:val="clear" w:color="auto" w:fill="C6EFCE"/>
            <w:noWrap/>
          </w:tcPr>
          <w:p w14:paraId="2814BE0C" w14:textId="2017EC9F" w:rsidR="006578ED" w:rsidRDefault="00A1618E">
            <w:pPr>
              <w:pStyle w:val="P68B1DB1-Normal13"/>
              <w:spacing w:after="0" w:line="240" w:lineRule="auto"/>
              <w:jc w:val="center"/>
              <w:rPr>
                <w:rFonts w:eastAsia="Times New Roman" w:cs="Times New Roman"/>
                <w:noProof/>
              </w:rPr>
            </w:pPr>
            <w:r>
              <w:rPr>
                <w:noProof/>
              </w:rPr>
              <w:t>Przepisy dekretu królewskiego z mocą ustawy o wejściu w życie</w:t>
            </w:r>
          </w:p>
        </w:tc>
        <w:tc>
          <w:tcPr>
            <w:tcW w:w="827" w:type="dxa"/>
            <w:shd w:val="clear" w:color="auto" w:fill="C6EFCE"/>
            <w:noWrap/>
          </w:tcPr>
          <w:p w14:paraId="3ECB9D4A"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45DEBF0"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23117AD"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7066183E" w14:textId="6850ADEE"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17BCFEE8" w14:textId="77777777" w:rsidR="006578ED" w:rsidRDefault="00A1618E">
            <w:pPr>
              <w:pStyle w:val="P68B1DB1-Normal13"/>
              <w:spacing w:after="0" w:line="240" w:lineRule="auto"/>
              <w:jc w:val="center"/>
              <w:rPr>
                <w:rFonts w:eastAsia="Times New Roman" w:cs="Times New Roman"/>
                <w:noProof/>
              </w:rPr>
            </w:pPr>
            <w:r>
              <w:rPr>
                <w:noProof/>
              </w:rPr>
              <w:t>2020</w:t>
            </w:r>
          </w:p>
        </w:tc>
        <w:tc>
          <w:tcPr>
            <w:tcW w:w="5901" w:type="dxa"/>
            <w:shd w:val="clear" w:color="auto" w:fill="C6EFCE"/>
            <w:noWrap/>
          </w:tcPr>
          <w:p w14:paraId="488BD1D6" w14:textId="0F40CB72" w:rsidR="006578ED" w:rsidRDefault="00A1618E">
            <w:pPr>
              <w:pStyle w:val="P68B1DB1-Normal13"/>
              <w:spacing w:after="0" w:line="240" w:lineRule="auto"/>
              <w:rPr>
                <w:rFonts w:eastAsia="Times New Roman" w:cs="Times New Roman"/>
                <w:noProof/>
              </w:rPr>
            </w:pPr>
            <w:r>
              <w:rPr>
                <w:noProof/>
              </w:rPr>
              <w:t>Oba królewski dekrety z mocą ustawy regulują pracę na odległość w sektorze prywatnym i w administracji publicznej. Cele ustaw są następujące: zapewnienie ram regulacyjnych (RDL 28/2020), które sprzyjają wprowadzaniu pracy zdalnej, przy jednoczesnym zachowaniu wydajności przedsiębiorstw oraz zapewnieniu ochrony i elastyczności pracownikom; oraz (ii) uregulowanie telepracy we wszystkich administracjach publicznych (RDL 29/2020) jako nowego sposobu organizacji i organizacji pracy, aby lepiej służyć interesom ogólnym i zapewnić normalne funkcjonowanie administracji publicznej.</w:t>
            </w:r>
          </w:p>
        </w:tc>
      </w:tr>
      <w:tr w:rsidR="006578ED" w14:paraId="22A87D8A" w14:textId="77777777">
        <w:trPr>
          <w:trHeight w:val="309"/>
        </w:trPr>
        <w:tc>
          <w:tcPr>
            <w:tcW w:w="830" w:type="dxa"/>
            <w:shd w:val="clear" w:color="auto" w:fill="C6EFCE"/>
            <w:noWrap/>
          </w:tcPr>
          <w:p w14:paraId="46199EE4" w14:textId="77777777" w:rsidR="006578ED" w:rsidRDefault="00A1618E">
            <w:pPr>
              <w:pStyle w:val="P68B1DB1-Normal13"/>
              <w:spacing w:after="0" w:line="240" w:lineRule="auto"/>
              <w:jc w:val="center"/>
              <w:rPr>
                <w:rFonts w:eastAsia="Times New Roman" w:cs="Times New Roman"/>
                <w:noProof/>
              </w:rPr>
            </w:pPr>
            <w:r>
              <w:rPr>
                <w:noProof/>
              </w:rPr>
              <w:t>330</w:t>
            </w:r>
          </w:p>
        </w:tc>
        <w:tc>
          <w:tcPr>
            <w:tcW w:w="828" w:type="dxa"/>
            <w:shd w:val="clear" w:color="auto" w:fill="C6EFCE"/>
            <w:noWrap/>
          </w:tcPr>
          <w:p w14:paraId="5FF176BB" w14:textId="77777777" w:rsidR="006578ED" w:rsidRDefault="00A1618E">
            <w:pPr>
              <w:pStyle w:val="P68B1DB1-Normal13"/>
              <w:spacing w:after="0" w:line="240" w:lineRule="auto"/>
              <w:jc w:val="center"/>
              <w:rPr>
                <w:rFonts w:eastAsia="Times New Roman" w:cs="Times New Roman"/>
                <w:noProof/>
              </w:rPr>
            </w:pPr>
            <w:r>
              <w:rPr>
                <w:noProof/>
              </w:rPr>
              <w:t>C23.R2</w:t>
            </w:r>
          </w:p>
        </w:tc>
        <w:tc>
          <w:tcPr>
            <w:tcW w:w="826" w:type="dxa"/>
            <w:shd w:val="clear" w:color="auto" w:fill="C6EFCE"/>
            <w:noWrap/>
          </w:tcPr>
          <w:p w14:paraId="4D64BEF9" w14:textId="11B0C5BB"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2CFF2489" w14:textId="67795224" w:rsidR="006578ED" w:rsidRDefault="00A1618E">
            <w:pPr>
              <w:pStyle w:val="P68B1DB1-Normal13"/>
              <w:spacing w:after="0" w:line="240" w:lineRule="auto"/>
              <w:rPr>
                <w:rFonts w:eastAsia="Times New Roman" w:cs="Times New Roman"/>
                <w:noProof/>
              </w:rPr>
            </w:pPr>
            <w:r>
              <w:rPr>
                <w:noProof/>
              </w:rPr>
              <w:t>Wejście w życie dwóch rozporządzeń w sprawie równości wynagrodzeń kobiet i mężczyzn oraz planów na rzecz równości i ich rejestracji</w:t>
            </w:r>
          </w:p>
        </w:tc>
        <w:tc>
          <w:tcPr>
            <w:tcW w:w="1102" w:type="dxa"/>
            <w:shd w:val="clear" w:color="auto" w:fill="C6EFCE"/>
            <w:noWrap/>
          </w:tcPr>
          <w:p w14:paraId="53295996" w14:textId="751EDE44" w:rsidR="006578ED" w:rsidRDefault="00A1618E">
            <w:pPr>
              <w:pStyle w:val="P68B1DB1-Normal13"/>
              <w:spacing w:after="0" w:line="240" w:lineRule="auto"/>
              <w:jc w:val="center"/>
              <w:rPr>
                <w:rFonts w:eastAsia="Times New Roman" w:cs="Times New Roman"/>
                <w:noProof/>
              </w:rPr>
            </w:pPr>
            <w:r>
              <w:rPr>
                <w:noProof/>
              </w:rPr>
              <w:t>Przepisy statutowe dotyczące wejścia w życie</w:t>
            </w:r>
          </w:p>
        </w:tc>
        <w:tc>
          <w:tcPr>
            <w:tcW w:w="827" w:type="dxa"/>
            <w:shd w:val="clear" w:color="auto" w:fill="C6EFCE"/>
            <w:noWrap/>
          </w:tcPr>
          <w:p w14:paraId="745EA3B5"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6DBB5D3F"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7F53BE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26075300" w14:textId="3D26F931" w:rsidR="006578ED" w:rsidRDefault="00EC188C">
            <w:pPr>
              <w:pStyle w:val="P68B1DB1-Normal13"/>
              <w:spacing w:after="0" w:line="240" w:lineRule="auto"/>
              <w:jc w:val="center"/>
              <w:rPr>
                <w:rFonts w:eastAsia="Times New Roman" w:cs="Times New Roman"/>
                <w:noProof/>
              </w:rPr>
            </w:pPr>
            <w:r>
              <w:rPr>
                <w:noProof/>
              </w:rPr>
              <w:t>KW. 2</w:t>
            </w:r>
          </w:p>
        </w:tc>
        <w:tc>
          <w:tcPr>
            <w:tcW w:w="551" w:type="dxa"/>
            <w:shd w:val="clear" w:color="auto" w:fill="C6EFCE"/>
            <w:noWrap/>
          </w:tcPr>
          <w:p w14:paraId="0207F12F"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05BC44CF" w14:textId="6E7B71FD" w:rsidR="006578ED" w:rsidRDefault="00A1618E">
            <w:pPr>
              <w:pStyle w:val="P68B1DB1-Normal13"/>
              <w:spacing w:after="0" w:line="240" w:lineRule="auto"/>
              <w:rPr>
                <w:rFonts w:eastAsia="Times New Roman" w:cs="Times New Roman"/>
                <w:noProof/>
              </w:rPr>
            </w:pPr>
            <w:r>
              <w:rPr>
                <w:noProof/>
              </w:rPr>
              <w:t>Te dwa rozporządzenia mają zastosowanie do równości wynagrodzeń kobiet i mężczyzn oraz do planów na rzecz równości i ich rejestracji. Celami rozporządzenia są: zapewnienie zasady przejrzystości wynagrodzeń w celu zidentyfikowania dyskryminacji ze względu na nieprawidłową ocenę stanowiska pracy; oraz (ii) opracowanie planów na rzecz równości i zapewnienie ich rejestracji w rejestrze publicznym.</w:t>
            </w:r>
          </w:p>
        </w:tc>
      </w:tr>
      <w:tr w:rsidR="006578ED" w14:paraId="070AFE23" w14:textId="77777777">
        <w:trPr>
          <w:trHeight w:val="309"/>
        </w:trPr>
        <w:tc>
          <w:tcPr>
            <w:tcW w:w="830" w:type="dxa"/>
            <w:shd w:val="clear" w:color="auto" w:fill="C6EFCE"/>
            <w:noWrap/>
          </w:tcPr>
          <w:p w14:paraId="34E4D46A" w14:textId="77777777" w:rsidR="006578ED" w:rsidRDefault="00A1618E">
            <w:pPr>
              <w:pStyle w:val="P68B1DB1-Normal13"/>
              <w:spacing w:after="0" w:line="240" w:lineRule="auto"/>
              <w:jc w:val="center"/>
              <w:rPr>
                <w:rFonts w:eastAsia="Times New Roman" w:cs="Times New Roman"/>
                <w:noProof/>
              </w:rPr>
            </w:pPr>
            <w:r>
              <w:rPr>
                <w:noProof/>
              </w:rPr>
              <w:t>331</w:t>
            </w:r>
          </w:p>
        </w:tc>
        <w:tc>
          <w:tcPr>
            <w:tcW w:w="828" w:type="dxa"/>
            <w:shd w:val="clear" w:color="auto" w:fill="C6EFCE"/>
            <w:noWrap/>
          </w:tcPr>
          <w:p w14:paraId="49B5C76D" w14:textId="77777777" w:rsidR="006578ED" w:rsidRDefault="00A1618E">
            <w:pPr>
              <w:pStyle w:val="P68B1DB1-Normal13"/>
              <w:spacing w:after="0" w:line="240" w:lineRule="auto"/>
              <w:jc w:val="center"/>
              <w:rPr>
                <w:rFonts w:eastAsia="Times New Roman" w:cs="Times New Roman"/>
                <w:noProof/>
              </w:rPr>
            </w:pPr>
            <w:r>
              <w:rPr>
                <w:noProof/>
              </w:rPr>
              <w:t>C23.R3</w:t>
            </w:r>
          </w:p>
        </w:tc>
        <w:tc>
          <w:tcPr>
            <w:tcW w:w="826" w:type="dxa"/>
            <w:shd w:val="clear" w:color="auto" w:fill="C6EFCE"/>
            <w:noWrap/>
          </w:tcPr>
          <w:p w14:paraId="5DB08BC8" w14:textId="642C34BB"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58EF5E75" w14:textId="736A3A49" w:rsidR="006578ED" w:rsidRDefault="00A1618E">
            <w:pPr>
              <w:pStyle w:val="P68B1DB1-Normal13"/>
              <w:spacing w:after="0" w:line="240" w:lineRule="auto"/>
              <w:rPr>
                <w:rFonts w:eastAsia="Times New Roman" w:cs="Times New Roman"/>
                <w:noProof/>
              </w:rPr>
            </w:pPr>
            <w:r>
              <w:rPr>
                <w:noProof/>
              </w:rPr>
              <w:t>Wejście w życie dekretu królewskiego z mocą ustawy w sprawie ochrony pracowników prowadzących działalność dystrybucyjną na rzecz osób trzecich przy użyciu środków technologicznych</w:t>
            </w:r>
          </w:p>
        </w:tc>
        <w:tc>
          <w:tcPr>
            <w:tcW w:w="1102" w:type="dxa"/>
            <w:shd w:val="clear" w:color="auto" w:fill="C6EFCE"/>
            <w:noWrap/>
          </w:tcPr>
          <w:p w14:paraId="7207906F" w14:textId="4F8232A6" w:rsidR="006578ED" w:rsidRDefault="00A1618E">
            <w:pPr>
              <w:pStyle w:val="P68B1DB1-Normal13"/>
              <w:spacing w:after="0" w:line="240" w:lineRule="auto"/>
              <w:jc w:val="center"/>
              <w:rPr>
                <w:rFonts w:eastAsia="Times New Roman" w:cs="Times New Roman"/>
                <w:noProof/>
              </w:rPr>
            </w:pPr>
            <w:r>
              <w:rPr>
                <w:noProof/>
              </w:rPr>
              <w:t>Przepisy dekretu królewskiego z mocą ustawy dotyczące wejścia w życie</w:t>
            </w:r>
          </w:p>
        </w:tc>
        <w:tc>
          <w:tcPr>
            <w:tcW w:w="827" w:type="dxa"/>
            <w:shd w:val="clear" w:color="auto" w:fill="C6EFCE"/>
            <w:noWrap/>
          </w:tcPr>
          <w:p w14:paraId="273CDBAD"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64C43E4F"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7973AF5"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5FBDB62C" w14:textId="009A39FB" w:rsidR="006578ED" w:rsidRDefault="00EC188C">
            <w:pPr>
              <w:pStyle w:val="P68B1DB1-Normal13"/>
              <w:spacing w:after="0" w:line="240" w:lineRule="auto"/>
              <w:jc w:val="center"/>
              <w:rPr>
                <w:rFonts w:eastAsia="Times New Roman" w:cs="Times New Roman"/>
                <w:noProof/>
              </w:rPr>
            </w:pPr>
            <w:r>
              <w:rPr>
                <w:noProof/>
              </w:rPr>
              <w:t>KW. 3</w:t>
            </w:r>
          </w:p>
        </w:tc>
        <w:tc>
          <w:tcPr>
            <w:tcW w:w="551" w:type="dxa"/>
            <w:shd w:val="clear" w:color="auto" w:fill="C6EFCE"/>
            <w:noWrap/>
          </w:tcPr>
          <w:p w14:paraId="0C02A8C7"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5D119842" w14:textId="3AB988A7" w:rsidR="006578ED" w:rsidRDefault="00A1618E">
            <w:pPr>
              <w:pStyle w:val="P68B1DB1-Normal13"/>
              <w:spacing w:after="0" w:line="240" w:lineRule="auto"/>
              <w:rPr>
                <w:rFonts w:eastAsia="Times New Roman" w:cs="Times New Roman"/>
                <w:noProof/>
              </w:rPr>
            </w:pPr>
            <w:r>
              <w:rPr>
                <w:noProof/>
              </w:rPr>
              <w:t>Królewski dekret z mocą ustawy dotyczy ochrony pracowników prowadzących działalność dystrybucyjną na rzecz osób trzecich przy użyciu środków technologicznych. Celem ustawy jest zagwarantowanie tym osobom prawa do sprawiedliwego i równego traktowania pod względem warunków pracy, prawa dostępu do ochrony socjalnej i szkoleń oraz umożliwienie przedstawicielom prawnym pracowników otrzymywania informacji na temat przepisów zawartych w algorytmach i systemach sztucznej inteligencji, które mogą mieć wpływ na warunki pracy platform, w tym dostęp do zatrudnienia i profilowanie oraz jego utrzymanie.</w:t>
            </w:r>
          </w:p>
        </w:tc>
      </w:tr>
      <w:tr w:rsidR="006578ED" w14:paraId="57572D13" w14:textId="77777777">
        <w:trPr>
          <w:trHeight w:val="309"/>
        </w:trPr>
        <w:tc>
          <w:tcPr>
            <w:tcW w:w="830" w:type="dxa"/>
            <w:shd w:val="clear" w:color="auto" w:fill="C6EFCE"/>
            <w:noWrap/>
          </w:tcPr>
          <w:p w14:paraId="4BC4363E" w14:textId="77777777" w:rsidR="006578ED" w:rsidRDefault="00A1618E">
            <w:pPr>
              <w:pStyle w:val="P68B1DB1-Normal13"/>
              <w:spacing w:after="0" w:line="240" w:lineRule="auto"/>
              <w:jc w:val="center"/>
              <w:rPr>
                <w:rFonts w:eastAsia="Times New Roman" w:cs="Times New Roman"/>
                <w:noProof/>
              </w:rPr>
            </w:pPr>
            <w:r>
              <w:rPr>
                <w:noProof/>
              </w:rPr>
              <w:t>332</w:t>
            </w:r>
          </w:p>
        </w:tc>
        <w:tc>
          <w:tcPr>
            <w:tcW w:w="828" w:type="dxa"/>
            <w:shd w:val="clear" w:color="auto" w:fill="C6EFCE"/>
            <w:noWrap/>
          </w:tcPr>
          <w:p w14:paraId="4161C4D6" w14:textId="77777777" w:rsidR="006578ED" w:rsidRDefault="00A1618E">
            <w:pPr>
              <w:pStyle w:val="P68B1DB1-Normal13"/>
              <w:spacing w:after="0" w:line="240" w:lineRule="auto"/>
              <w:jc w:val="center"/>
              <w:rPr>
                <w:rFonts w:eastAsia="Times New Roman" w:cs="Times New Roman"/>
                <w:noProof/>
              </w:rPr>
            </w:pPr>
            <w:r>
              <w:rPr>
                <w:noProof/>
              </w:rPr>
              <w:t>C23.R4</w:t>
            </w:r>
          </w:p>
        </w:tc>
        <w:tc>
          <w:tcPr>
            <w:tcW w:w="826" w:type="dxa"/>
            <w:shd w:val="clear" w:color="auto" w:fill="C6EFCE"/>
            <w:noWrap/>
          </w:tcPr>
          <w:p w14:paraId="5EC91730" w14:textId="1F9DCFF3"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638B7749" w14:textId="7937810F" w:rsidR="006578ED" w:rsidRDefault="00A1618E">
            <w:pPr>
              <w:pStyle w:val="P68B1DB1-Normal13"/>
              <w:spacing w:after="0" w:line="240" w:lineRule="auto"/>
              <w:rPr>
                <w:rFonts w:eastAsia="Times New Roman" w:cs="Times New Roman"/>
                <w:noProof/>
              </w:rPr>
            </w:pPr>
            <w:r>
              <w:rPr>
                <w:noProof/>
              </w:rPr>
              <w:t>Zmiana statutu pracownika w celu wsparcia ograniczenia zatrudnienia na czas określony poprzez uproszczenie liczby rodzajów umów</w:t>
            </w:r>
          </w:p>
        </w:tc>
        <w:tc>
          <w:tcPr>
            <w:tcW w:w="1102" w:type="dxa"/>
            <w:shd w:val="clear" w:color="auto" w:fill="C6EFCE"/>
            <w:noWrap/>
          </w:tcPr>
          <w:p w14:paraId="786C061B" w14:textId="706F8DDE" w:rsidR="006578ED" w:rsidRDefault="00A1618E">
            <w:pPr>
              <w:pStyle w:val="P68B1DB1-Normal13"/>
              <w:spacing w:after="0" w:line="240" w:lineRule="auto"/>
              <w:jc w:val="center"/>
              <w:rPr>
                <w:rFonts w:eastAsia="Times New Roman" w:cs="Times New Roman"/>
                <w:noProof/>
              </w:rPr>
            </w:pPr>
            <w:r>
              <w:rPr>
                <w:noProof/>
              </w:rPr>
              <w:t>Przepisy zawarte w poprawce dotyczącej wejścia w życie</w:t>
            </w:r>
          </w:p>
        </w:tc>
        <w:tc>
          <w:tcPr>
            <w:tcW w:w="827" w:type="dxa"/>
            <w:shd w:val="clear" w:color="auto" w:fill="C6EFCE"/>
            <w:noWrap/>
          </w:tcPr>
          <w:p w14:paraId="63332ACC"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3CFDD10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7048586C"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22751C80" w14:textId="4E065243"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01D31852"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1A58AFA6" w14:textId="0B9C6143" w:rsidR="006578ED" w:rsidRDefault="00A1618E">
            <w:pPr>
              <w:pStyle w:val="P68B1DB1-Normal13"/>
              <w:spacing w:after="0" w:line="240" w:lineRule="auto"/>
              <w:rPr>
                <w:rFonts w:eastAsia="Times New Roman" w:cs="Times New Roman"/>
                <w:noProof/>
              </w:rPr>
            </w:pPr>
            <w:r>
              <w:rPr>
                <w:noProof/>
              </w:rPr>
              <w:t>Poszanowanie dialogu społecznego i w ramach kompleksowego podejścia równoważącego potrzebę elastyczności i bezpieczeństwa na rynku pracy, wejście w życie zmiany przepisów dekretu ustawodawczego 2/2015 z dnia 23 października 20</w:t>
            </w:r>
            <w:r w:rsidRPr="00A1618E">
              <w:rPr>
                <w:noProof/>
                <w:lang w:val="pl-PL"/>
              </w:rPr>
              <w:t>15 r.</w:t>
            </w:r>
            <w:r>
              <w:rPr>
                <w:noProof/>
              </w:rPr>
              <w:t xml:space="preserve"> w sprawie zatwierdzenia przekształconego tekstu statutu pracowników w celu wsparcia ograniczenia zatrudnienia na czas określony poprzez uproszczenie liczby rodzajów umów.</w:t>
            </w:r>
          </w:p>
        </w:tc>
      </w:tr>
      <w:tr w:rsidR="006578ED" w14:paraId="7B861282" w14:textId="77777777">
        <w:trPr>
          <w:trHeight w:val="309"/>
        </w:trPr>
        <w:tc>
          <w:tcPr>
            <w:tcW w:w="830" w:type="dxa"/>
            <w:shd w:val="clear" w:color="auto" w:fill="C6EFCE"/>
            <w:noWrap/>
          </w:tcPr>
          <w:p w14:paraId="46692478" w14:textId="77777777" w:rsidR="006578ED" w:rsidRDefault="00A1618E">
            <w:pPr>
              <w:pStyle w:val="P68B1DB1-Normal13"/>
              <w:spacing w:after="0" w:line="240" w:lineRule="auto"/>
              <w:jc w:val="center"/>
              <w:rPr>
                <w:rFonts w:eastAsia="Times New Roman" w:cs="Times New Roman"/>
                <w:noProof/>
              </w:rPr>
            </w:pPr>
            <w:r>
              <w:rPr>
                <w:noProof/>
              </w:rPr>
              <w:t>333</w:t>
            </w:r>
          </w:p>
        </w:tc>
        <w:tc>
          <w:tcPr>
            <w:tcW w:w="828" w:type="dxa"/>
            <w:shd w:val="clear" w:color="auto" w:fill="C6EFCE"/>
            <w:noWrap/>
          </w:tcPr>
          <w:p w14:paraId="4AA8DF04" w14:textId="77777777" w:rsidR="006578ED" w:rsidRDefault="00A1618E">
            <w:pPr>
              <w:pStyle w:val="P68B1DB1-Normal13"/>
              <w:spacing w:after="0" w:line="240" w:lineRule="auto"/>
              <w:jc w:val="center"/>
              <w:rPr>
                <w:rFonts w:eastAsia="Times New Roman" w:cs="Times New Roman"/>
                <w:noProof/>
              </w:rPr>
            </w:pPr>
            <w:r>
              <w:rPr>
                <w:noProof/>
              </w:rPr>
              <w:t>C23.R5</w:t>
            </w:r>
          </w:p>
        </w:tc>
        <w:tc>
          <w:tcPr>
            <w:tcW w:w="826" w:type="dxa"/>
            <w:shd w:val="clear" w:color="auto" w:fill="C6EFCE"/>
            <w:noWrap/>
          </w:tcPr>
          <w:p w14:paraId="4B808AF9" w14:textId="0CBC05C5"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1D60493A" w14:textId="3BAA6C93" w:rsidR="006578ED" w:rsidRDefault="00A1618E">
            <w:pPr>
              <w:pStyle w:val="P68B1DB1-Normal13"/>
              <w:spacing w:after="0" w:line="240" w:lineRule="auto"/>
              <w:rPr>
                <w:rFonts w:eastAsia="Times New Roman" w:cs="Times New Roman"/>
                <w:noProof/>
              </w:rPr>
            </w:pPr>
            <w:r>
              <w:rPr>
                <w:noProof/>
              </w:rPr>
              <w:t xml:space="preserve">Wejście w życie planu działania na rzecz walki z bezrobociem młodzieży </w:t>
            </w:r>
          </w:p>
        </w:tc>
        <w:tc>
          <w:tcPr>
            <w:tcW w:w="1102" w:type="dxa"/>
            <w:shd w:val="clear" w:color="auto" w:fill="C6EFCE"/>
            <w:noWrap/>
          </w:tcPr>
          <w:p w14:paraId="11E5F696" w14:textId="5B9CB835" w:rsidR="006578ED" w:rsidRDefault="00A1618E">
            <w:pPr>
              <w:pStyle w:val="P68B1DB1-Normal13"/>
              <w:spacing w:after="0" w:line="240" w:lineRule="auto"/>
              <w:jc w:val="center"/>
              <w:rPr>
                <w:rFonts w:eastAsia="Times New Roman" w:cs="Times New Roman"/>
                <w:noProof/>
              </w:rPr>
            </w:pPr>
            <w:r>
              <w:rPr>
                <w:noProof/>
              </w:rPr>
              <w:t>Przepisy planu działania dotyczące wejścia w życie</w:t>
            </w:r>
          </w:p>
        </w:tc>
        <w:tc>
          <w:tcPr>
            <w:tcW w:w="827" w:type="dxa"/>
            <w:shd w:val="clear" w:color="auto" w:fill="C6EFCE"/>
            <w:noWrap/>
          </w:tcPr>
          <w:p w14:paraId="3E319B07"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101540C6"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A62AE9E" w14:textId="77777777" w:rsidR="006578ED" w:rsidRDefault="00A1618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56D1B033" w14:textId="720ADFE9" w:rsidR="006578ED" w:rsidRDefault="00EC188C">
            <w:pPr>
              <w:pStyle w:val="P68B1DB1-Normal13"/>
              <w:spacing w:after="0" w:line="240" w:lineRule="auto"/>
              <w:jc w:val="center"/>
              <w:rPr>
                <w:rFonts w:eastAsia="Times New Roman" w:cs="Times New Roman"/>
                <w:noProof/>
              </w:rPr>
            </w:pPr>
            <w:r>
              <w:rPr>
                <w:noProof/>
              </w:rPr>
              <w:t>KW. 2</w:t>
            </w:r>
          </w:p>
        </w:tc>
        <w:tc>
          <w:tcPr>
            <w:tcW w:w="551" w:type="dxa"/>
            <w:shd w:val="clear" w:color="auto" w:fill="C6EFCE"/>
            <w:noWrap/>
          </w:tcPr>
          <w:p w14:paraId="45617556"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46DF31CB" w14:textId="4BD24FDE" w:rsidR="006578ED" w:rsidRDefault="00A1618E">
            <w:pPr>
              <w:pStyle w:val="P68B1DB1-Normal13"/>
              <w:spacing w:after="0" w:line="240" w:lineRule="auto"/>
              <w:rPr>
                <w:rFonts w:eastAsia="Times New Roman" w:cs="Times New Roman"/>
                <w:noProof/>
              </w:rPr>
            </w:pPr>
            <w:r>
              <w:rPr>
                <w:noProof/>
              </w:rPr>
              <w:t>Plan działania ma przeciwdziałać bezrobociu młodzieży przy okazji wdrażania unijnej gwarancji dla młodzieży Plus. Celem gwarancji dla młodzieży jest poprawa i pogłębienie koordynacji międzyinstytucjonalnej, wzmocnienie stosunków z sektorem prywatnym i władzami lokalnymi, poprawa jakości i adekwatności szkoleń, poszukiwanie nowych możliwości zatrudnienia w sektorach o potencjale wzrostu, ograniczenie zjawiska przedwczesnego kończenia nauki, utrzymanie i usprawnienie systemu oceny i monitorowania oraz dalsze wzmocnienie zindywidualizowanych programów poradnictwa.</w:t>
            </w:r>
          </w:p>
        </w:tc>
      </w:tr>
      <w:tr w:rsidR="006578ED" w14:paraId="0B35157B" w14:textId="77777777">
        <w:trPr>
          <w:trHeight w:val="309"/>
        </w:trPr>
        <w:tc>
          <w:tcPr>
            <w:tcW w:w="830" w:type="dxa"/>
            <w:shd w:val="clear" w:color="auto" w:fill="C6EFCE"/>
            <w:noWrap/>
          </w:tcPr>
          <w:p w14:paraId="6180F64B" w14:textId="77777777" w:rsidR="006578ED" w:rsidRDefault="00A1618E">
            <w:pPr>
              <w:pStyle w:val="P68B1DB1-Normal13"/>
              <w:spacing w:after="0" w:line="240" w:lineRule="auto"/>
              <w:jc w:val="center"/>
              <w:rPr>
                <w:rFonts w:eastAsia="Times New Roman" w:cs="Times New Roman"/>
                <w:noProof/>
              </w:rPr>
            </w:pPr>
            <w:r>
              <w:rPr>
                <w:noProof/>
              </w:rPr>
              <w:t>334</w:t>
            </w:r>
          </w:p>
        </w:tc>
        <w:tc>
          <w:tcPr>
            <w:tcW w:w="828" w:type="dxa"/>
            <w:shd w:val="clear" w:color="auto" w:fill="C6EFCE"/>
            <w:noWrap/>
          </w:tcPr>
          <w:p w14:paraId="2B7578D5" w14:textId="77777777" w:rsidR="006578ED" w:rsidRDefault="00A1618E">
            <w:pPr>
              <w:pStyle w:val="P68B1DB1-Normal13"/>
              <w:spacing w:after="0" w:line="240" w:lineRule="auto"/>
              <w:jc w:val="center"/>
              <w:rPr>
                <w:rFonts w:eastAsia="Times New Roman" w:cs="Times New Roman"/>
                <w:noProof/>
              </w:rPr>
            </w:pPr>
            <w:r>
              <w:rPr>
                <w:noProof/>
              </w:rPr>
              <w:t>C23.R5</w:t>
            </w:r>
          </w:p>
        </w:tc>
        <w:tc>
          <w:tcPr>
            <w:tcW w:w="826" w:type="dxa"/>
            <w:shd w:val="clear" w:color="auto" w:fill="C6EFCE"/>
            <w:noWrap/>
          </w:tcPr>
          <w:p w14:paraId="54A95832" w14:textId="4A0F03F1"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7FA967AD" w14:textId="77777777" w:rsidR="006578ED" w:rsidRDefault="00A1618E">
            <w:pPr>
              <w:pStyle w:val="P68B1DB1-Normal13"/>
              <w:spacing w:after="0" w:line="240" w:lineRule="auto"/>
              <w:rPr>
                <w:rFonts w:eastAsia="Times New Roman" w:cs="Times New Roman"/>
                <w:noProof/>
              </w:rPr>
            </w:pPr>
            <w:r>
              <w:rPr>
                <w:noProof/>
              </w:rPr>
              <w:t>Dekret królewski dotyczący nowej hiszpańskiej strategii zatrudnienia na lata 2021–2024</w:t>
            </w:r>
          </w:p>
        </w:tc>
        <w:tc>
          <w:tcPr>
            <w:tcW w:w="1102" w:type="dxa"/>
            <w:shd w:val="clear" w:color="auto" w:fill="C6EFCE"/>
            <w:noWrap/>
          </w:tcPr>
          <w:p w14:paraId="20FB5F2C" w14:textId="572528B7" w:rsidR="006578ED" w:rsidRDefault="00A1618E">
            <w:pPr>
              <w:pStyle w:val="P68B1DB1-Normal13"/>
              <w:spacing w:after="0" w:line="240" w:lineRule="auto"/>
              <w:jc w:val="center"/>
              <w:rPr>
                <w:rFonts w:eastAsia="Times New Roman" w:cs="Times New Roman"/>
                <w:noProof/>
              </w:rPr>
            </w:pPr>
            <w:r>
              <w:rPr>
                <w:noProof/>
              </w:rPr>
              <w:t>Przepisy dekretu królewskiego w sprawie wejścia w życie</w:t>
            </w:r>
          </w:p>
        </w:tc>
        <w:tc>
          <w:tcPr>
            <w:tcW w:w="827" w:type="dxa"/>
            <w:shd w:val="clear" w:color="auto" w:fill="C6EFCE"/>
            <w:noWrap/>
          </w:tcPr>
          <w:p w14:paraId="667ED042"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A085370"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C75B2E7" w14:textId="77777777" w:rsidR="006578ED" w:rsidRDefault="00A1618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6A5CF8C5" w14:textId="05F14409"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0BC087E5"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742A0600" w14:textId="61CC3D1D" w:rsidR="006578ED" w:rsidRDefault="00A1618E">
            <w:pPr>
              <w:pStyle w:val="P68B1DB1-Normal13"/>
              <w:spacing w:after="0" w:line="240" w:lineRule="auto"/>
              <w:rPr>
                <w:rFonts w:eastAsia="Times New Roman" w:cs="Times New Roman"/>
                <w:noProof/>
              </w:rPr>
            </w:pPr>
            <w:r>
              <w:rPr>
                <w:noProof/>
              </w:rPr>
              <w:t xml:space="preserve">Poszanowanie dialogu społecznego i w ramach kompleksowego podejścia równoważącego potrzebę elastyczności i bezpieczeństwa na rynku pracy, zatwierdzenie przez Radę Ministrów i wejście w życie dekretu królewskiego w sprawie nowej hiszpańskiej strategii aktywizacji zatrudnienia na lata 2021–2024. Główne cele nowej strategii są następujące: </w:t>
            </w:r>
            <w:r>
              <w:rPr>
                <w:noProof/>
              </w:rPr>
              <w:br/>
              <w:t xml:space="preserve">podejście skoncentrowane na ludziach i przedsiębiorstwach: Aktywna polityka zatrudnienia jest opracowywana z uwzględnieniem szczególnych okoliczności każdej osoby i przedsiębiorstwa. </w:t>
            </w:r>
            <w:r>
              <w:rPr>
                <w:noProof/>
              </w:rPr>
              <w:br/>
              <w:t xml:space="preserve">spójność z transformacją produkcyjną: Aktywna polityka zatrudnienia umożliwia zmiany zawodowe towarzyszące przechodzeniu modelu produkcji na zieloną i cyfrową gospodarkę. </w:t>
            </w:r>
            <w:r>
              <w:rPr>
                <w:noProof/>
              </w:rPr>
              <w:br/>
              <w:t xml:space="preserve">ukierunkowanie na wyniki: Aktywna polityka zatrudnienia jest oceniana, monitorowana i wspiera osiąganie rezultatów. </w:t>
            </w:r>
            <w:r>
              <w:rPr>
                <w:noProof/>
              </w:rPr>
              <w:br/>
              <w:t>zwiększenie zdolności publicznych służb zatrudnienia: Poprzez ich cyfryzację i modernizację</w:t>
            </w:r>
            <w:r w:rsidRPr="00A1618E">
              <w:rPr>
                <w:noProof/>
                <w:lang w:val="pl-PL"/>
              </w:rPr>
              <w:t xml:space="preserve">. </w:t>
            </w:r>
            <w:r w:rsidRPr="00A1618E">
              <w:rPr>
                <w:noProof/>
                <w:lang w:val="pl-PL"/>
              </w:rPr>
              <w:br/>
            </w:r>
            <w:r>
              <w:rPr>
                <w:noProof/>
              </w:rPr>
              <w:t xml:space="preserve">zarządzanie i spójność krajowego systemu zatrudnienia w celu poprawy koordynacji na szczeblu krajowym i regionalnym oraz zainteresowanych stron zaangażowanych w aktywną politykę zatrudnienia. </w:t>
            </w:r>
          </w:p>
        </w:tc>
      </w:tr>
      <w:tr w:rsidR="006578ED" w14:paraId="67193C87" w14:textId="77777777">
        <w:trPr>
          <w:trHeight w:val="309"/>
        </w:trPr>
        <w:tc>
          <w:tcPr>
            <w:tcW w:w="830" w:type="dxa"/>
            <w:shd w:val="clear" w:color="auto" w:fill="C6EFCE"/>
            <w:noWrap/>
          </w:tcPr>
          <w:p w14:paraId="0E85BD51" w14:textId="77777777" w:rsidR="006578ED" w:rsidRDefault="00A1618E">
            <w:pPr>
              <w:pStyle w:val="P68B1DB1-Normal13"/>
              <w:spacing w:after="0" w:line="240" w:lineRule="auto"/>
              <w:jc w:val="center"/>
              <w:rPr>
                <w:rFonts w:eastAsia="Times New Roman" w:cs="Times New Roman"/>
                <w:noProof/>
              </w:rPr>
            </w:pPr>
            <w:r>
              <w:rPr>
                <w:noProof/>
              </w:rPr>
              <w:t>335</w:t>
            </w:r>
          </w:p>
        </w:tc>
        <w:tc>
          <w:tcPr>
            <w:tcW w:w="828" w:type="dxa"/>
            <w:shd w:val="clear" w:color="auto" w:fill="C6EFCE"/>
            <w:noWrap/>
          </w:tcPr>
          <w:p w14:paraId="3BBC97A8" w14:textId="77777777" w:rsidR="006578ED" w:rsidRDefault="00A1618E">
            <w:pPr>
              <w:pStyle w:val="P68B1DB1-Normal13"/>
              <w:spacing w:after="0" w:line="240" w:lineRule="auto"/>
              <w:jc w:val="center"/>
              <w:rPr>
                <w:rFonts w:eastAsia="Times New Roman" w:cs="Times New Roman"/>
                <w:noProof/>
              </w:rPr>
            </w:pPr>
            <w:r>
              <w:rPr>
                <w:noProof/>
              </w:rPr>
              <w:t>C23.R5</w:t>
            </w:r>
          </w:p>
        </w:tc>
        <w:tc>
          <w:tcPr>
            <w:tcW w:w="826" w:type="dxa"/>
            <w:shd w:val="clear" w:color="auto" w:fill="C6EFCE"/>
            <w:noWrap/>
          </w:tcPr>
          <w:p w14:paraId="4D12C998" w14:textId="3839A7E1"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64CCA395" w14:textId="72663704" w:rsidR="006578ED" w:rsidRDefault="00A1618E">
            <w:pPr>
              <w:pStyle w:val="P68B1DB1-Normal13"/>
              <w:spacing w:after="0" w:line="240" w:lineRule="auto"/>
              <w:rPr>
                <w:rFonts w:eastAsia="Times New Roman" w:cs="Times New Roman"/>
                <w:noProof/>
              </w:rPr>
            </w:pPr>
            <w:r>
              <w:rPr>
                <w:noProof/>
              </w:rPr>
              <w:t xml:space="preserve">Wejście w życie zmiany ustawy o zatrudnieniu (królewski dekret ustawodawczy </w:t>
            </w:r>
            <w:r w:rsidRPr="00A1618E">
              <w:rPr>
                <w:noProof/>
                <w:lang w:val="pl-PL"/>
              </w:rPr>
              <w:t>nr 3</w:t>
            </w:r>
            <w:r>
              <w:rPr>
                <w:noProof/>
              </w:rPr>
              <w:t>/2015)</w:t>
            </w:r>
          </w:p>
        </w:tc>
        <w:tc>
          <w:tcPr>
            <w:tcW w:w="1102" w:type="dxa"/>
            <w:shd w:val="clear" w:color="auto" w:fill="C6EFCE"/>
            <w:noWrap/>
          </w:tcPr>
          <w:p w14:paraId="19AC8364" w14:textId="27311634" w:rsidR="006578ED" w:rsidRDefault="00A1618E">
            <w:pPr>
              <w:pStyle w:val="P68B1DB1-Normal13"/>
              <w:spacing w:after="0" w:line="240" w:lineRule="auto"/>
              <w:jc w:val="center"/>
              <w:rPr>
                <w:rFonts w:eastAsia="Times New Roman" w:cs="Times New Roman"/>
                <w:noProof/>
              </w:rPr>
            </w:pPr>
            <w:r>
              <w:rPr>
                <w:noProof/>
              </w:rPr>
              <w:t>Przepis w poprawce dotyczącej wejścia w życie</w:t>
            </w:r>
          </w:p>
        </w:tc>
        <w:tc>
          <w:tcPr>
            <w:tcW w:w="827" w:type="dxa"/>
            <w:shd w:val="clear" w:color="auto" w:fill="C6EFCE"/>
            <w:noWrap/>
          </w:tcPr>
          <w:p w14:paraId="0A395B43"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556EDB3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18DC26C5" w14:textId="77777777" w:rsidR="006578ED" w:rsidRDefault="00A1618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50C814FA" w14:textId="09DC5A81"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26D9AA9D" w14:textId="77777777" w:rsidR="006578ED" w:rsidRDefault="00A1618E">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0773232D" w14:textId="0933B052" w:rsidR="006578ED" w:rsidRDefault="00A1618E">
            <w:pPr>
              <w:pStyle w:val="P68B1DB1-Normal13"/>
              <w:spacing w:after="0" w:line="240" w:lineRule="auto"/>
              <w:rPr>
                <w:rFonts w:eastAsia="Times New Roman" w:cs="Times New Roman"/>
                <w:noProof/>
              </w:rPr>
            </w:pPr>
            <w:r>
              <w:rPr>
                <w:noProof/>
              </w:rPr>
              <w:t xml:space="preserve">Zmiana ustawy o zatrudnieniu (królewski dekret ustawodawczy </w:t>
            </w:r>
            <w:r w:rsidRPr="00A1618E">
              <w:rPr>
                <w:noProof/>
                <w:lang w:val="pl-PL"/>
              </w:rPr>
              <w:t>nr 3</w:t>
            </w:r>
            <w:r>
              <w:rPr>
                <w:noProof/>
              </w:rPr>
              <w:t>/2015) ma na celu: wzmocnienie instrumentów polityki i koordynacji krajowego systemu zatrudnienia; reforma aktywnej polityki rynku pracy; przegląd zarządzania systemem; wzmocnienie lokalnego wymiaru polityki zatrudnienia; oraz (v) spełniają wymogi dotyczące wdrożenia różnych środków przewidzianych w ramach krajowego planu aktywnej polityki zatrudnienia.</w:t>
            </w:r>
          </w:p>
        </w:tc>
      </w:tr>
      <w:tr w:rsidR="006578ED" w14:paraId="3ED609C8" w14:textId="77777777">
        <w:trPr>
          <w:trHeight w:val="309"/>
        </w:trPr>
        <w:tc>
          <w:tcPr>
            <w:tcW w:w="830" w:type="dxa"/>
            <w:shd w:val="clear" w:color="auto" w:fill="C6EFCE"/>
            <w:noWrap/>
          </w:tcPr>
          <w:p w14:paraId="4E33F650" w14:textId="77777777" w:rsidR="006578ED" w:rsidRDefault="00A1618E">
            <w:pPr>
              <w:pStyle w:val="P68B1DB1-Normal13"/>
              <w:spacing w:after="0" w:line="240" w:lineRule="auto"/>
              <w:jc w:val="center"/>
              <w:rPr>
                <w:rFonts w:eastAsia="Times New Roman" w:cs="Times New Roman"/>
                <w:noProof/>
              </w:rPr>
            </w:pPr>
            <w:r>
              <w:rPr>
                <w:noProof/>
              </w:rPr>
              <w:t>336</w:t>
            </w:r>
          </w:p>
        </w:tc>
        <w:tc>
          <w:tcPr>
            <w:tcW w:w="828" w:type="dxa"/>
            <w:shd w:val="clear" w:color="auto" w:fill="C6EFCE"/>
            <w:noWrap/>
          </w:tcPr>
          <w:p w14:paraId="3A7D2AC9" w14:textId="77777777" w:rsidR="006578ED" w:rsidRDefault="00A1618E">
            <w:pPr>
              <w:pStyle w:val="P68B1DB1-Normal13"/>
              <w:spacing w:after="0" w:line="240" w:lineRule="auto"/>
              <w:jc w:val="center"/>
              <w:rPr>
                <w:rFonts w:eastAsia="Times New Roman" w:cs="Times New Roman"/>
                <w:noProof/>
              </w:rPr>
            </w:pPr>
            <w:r>
              <w:rPr>
                <w:noProof/>
              </w:rPr>
              <w:t>C23.R6</w:t>
            </w:r>
          </w:p>
        </w:tc>
        <w:tc>
          <w:tcPr>
            <w:tcW w:w="826" w:type="dxa"/>
            <w:shd w:val="clear" w:color="auto" w:fill="C6EFCE"/>
            <w:noWrap/>
          </w:tcPr>
          <w:p w14:paraId="6EDF450C" w14:textId="34593D79"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0668CA02" w14:textId="3652B970" w:rsidR="006578ED" w:rsidRDefault="00A1618E">
            <w:pPr>
              <w:pStyle w:val="P68B1DB1-Normal13"/>
              <w:spacing w:after="0" w:line="240" w:lineRule="auto"/>
              <w:rPr>
                <w:rFonts w:eastAsia="Times New Roman" w:cs="Times New Roman"/>
                <w:noProof/>
              </w:rPr>
            </w:pPr>
            <w:r>
              <w:rPr>
                <w:noProof/>
              </w:rPr>
              <w:t>Zmiana statutu pracownika w celu ustanowienia systemu dostosowywania się do wstrząsów cyklicznych i strukturalnych, w tym systemu zapewniającego przedsiębiorstwom wewnętrzną elastyczność i stabilność dla pracowników</w:t>
            </w:r>
          </w:p>
        </w:tc>
        <w:tc>
          <w:tcPr>
            <w:tcW w:w="1102" w:type="dxa"/>
            <w:shd w:val="clear" w:color="auto" w:fill="C6EFCE"/>
            <w:noWrap/>
          </w:tcPr>
          <w:p w14:paraId="7D1A70E3" w14:textId="10ACC5FD" w:rsidR="006578ED" w:rsidRDefault="00A1618E">
            <w:pPr>
              <w:pStyle w:val="P68B1DB1-Normal13"/>
              <w:spacing w:after="0" w:line="240" w:lineRule="auto"/>
              <w:jc w:val="center"/>
              <w:rPr>
                <w:rFonts w:eastAsia="Times New Roman" w:cs="Times New Roman"/>
                <w:noProof/>
              </w:rPr>
            </w:pPr>
            <w:r>
              <w:rPr>
                <w:noProof/>
              </w:rPr>
              <w:t>Przepisy zawarte w poprawce dotyczącej wejścia w życie</w:t>
            </w:r>
          </w:p>
        </w:tc>
        <w:tc>
          <w:tcPr>
            <w:tcW w:w="827" w:type="dxa"/>
            <w:shd w:val="clear" w:color="auto" w:fill="C6EFCE"/>
            <w:noWrap/>
          </w:tcPr>
          <w:p w14:paraId="7A699D36"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40C11E6C"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4BB8EE2D" w14:textId="77777777" w:rsidR="006578ED" w:rsidRDefault="00A1618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1095FF21" w14:textId="48675887"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6569531A"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14A5FC8A" w14:textId="5BB7A208" w:rsidR="006578ED" w:rsidRDefault="00A1618E">
            <w:pPr>
              <w:pStyle w:val="P68B1DB1-Normal13"/>
              <w:spacing w:after="0" w:line="240" w:lineRule="auto"/>
              <w:rPr>
                <w:rFonts w:eastAsia="Times New Roman" w:cs="Times New Roman"/>
                <w:noProof/>
              </w:rPr>
            </w:pPr>
            <w:r>
              <w:rPr>
                <w:noProof/>
              </w:rPr>
              <w:t xml:space="preserve">Poszanowanie dialogu społecznego i w ramach kompleksowego podejścia równoważącego potrzebę elastyczności i bezpieczeństwa na rynku pracy oraz zapewnienia stabilności fiskalnej w perspektywie średnio- i długoterminowej, wejście w życie zmieniających przepisów królewskiego dekretu ustawodawczego </w:t>
            </w:r>
            <w:r w:rsidRPr="00A1618E">
              <w:rPr>
                <w:noProof/>
                <w:lang w:val="pl-PL"/>
              </w:rPr>
              <w:t>nr 2</w:t>
            </w:r>
            <w:r>
              <w:rPr>
                <w:noProof/>
              </w:rPr>
              <w:t>/2015 z dnia 23 października 20</w:t>
            </w:r>
            <w:r w:rsidRPr="00A1618E">
              <w:rPr>
                <w:noProof/>
                <w:lang w:val="pl-PL"/>
              </w:rPr>
              <w:t>15 r.</w:t>
            </w:r>
            <w:r>
              <w:rPr>
                <w:noProof/>
              </w:rPr>
              <w:t xml:space="preserve"> w sprawie zatwierdzenia przekształconego tekstu statutu pracowników w celu ustanowienia systemu dostosowywania się do wstrząsów cyklicznych i strukturalnych, w tym systemu zapewniającego przedsiębiorstwom wewnętrzną elastyczność i stabilność dla pracowników, wspieranie podnoszenia i zmiany kwalifikacji pracowników w przedsiębiorstwach i sektorach w okresie transformacji oraz ułatwianie dobrowolnej mobilności pracowników (w przedsiębiorstwach i między nimi). </w:t>
            </w:r>
          </w:p>
        </w:tc>
      </w:tr>
      <w:tr w:rsidR="006578ED" w14:paraId="5CD41E59" w14:textId="77777777">
        <w:trPr>
          <w:trHeight w:val="309"/>
        </w:trPr>
        <w:tc>
          <w:tcPr>
            <w:tcW w:w="830" w:type="dxa"/>
            <w:shd w:val="clear" w:color="auto" w:fill="C6EFCE"/>
            <w:noWrap/>
          </w:tcPr>
          <w:p w14:paraId="34421AB8" w14:textId="77777777" w:rsidR="006578ED" w:rsidRDefault="00A1618E">
            <w:pPr>
              <w:pStyle w:val="P68B1DB1-Normal13"/>
              <w:spacing w:after="0" w:line="240" w:lineRule="auto"/>
              <w:jc w:val="center"/>
              <w:rPr>
                <w:rFonts w:eastAsia="Times New Roman" w:cs="Times New Roman"/>
                <w:noProof/>
              </w:rPr>
            </w:pPr>
            <w:r>
              <w:rPr>
                <w:noProof/>
              </w:rPr>
              <w:t>337</w:t>
            </w:r>
          </w:p>
        </w:tc>
        <w:tc>
          <w:tcPr>
            <w:tcW w:w="828" w:type="dxa"/>
            <w:shd w:val="clear" w:color="auto" w:fill="C6EFCE"/>
            <w:noWrap/>
          </w:tcPr>
          <w:p w14:paraId="6707CF3F" w14:textId="77777777" w:rsidR="006578ED" w:rsidRDefault="00A1618E">
            <w:pPr>
              <w:pStyle w:val="P68B1DB1-Normal13"/>
              <w:spacing w:after="0" w:line="240" w:lineRule="auto"/>
              <w:jc w:val="center"/>
              <w:rPr>
                <w:rFonts w:eastAsia="Times New Roman" w:cs="Times New Roman"/>
                <w:noProof/>
              </w:rPr>
            </w:pPr>
            <w:r>
              <w:rPr>
                <w:noProof/>
              </w:rPr>
              <w:t>C23.R7</w:t>
            </w:r>
          </w:p>
        </w:tc>
        <w:tc>
          <w:tcPr>
            <w:tcW w:w="826" w:type="dxa"/>
            <w:shd w:val="clear" w:color="auto" w:fill="C6EFCE"/>
            <w:noWrap/>
          </w:tcPr>
          <w:p w14:paraId="31A68BE3" w14:textId="0A41E065"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5D5161CC" w14:textId="7564A8C5" w:rsidR="006578ED" w:rsidRDefault="00A1618E">
            <w:pPr>
              <w:pStyle w:val="P68B1DB1-Normal13"/>
              <w:spacing w:after="0" w:line="240" w:lineRule="auto"/>
              <w:rPr>
                <w:rFonts w:eastAsia="Times New Roman" w:cs="Times New Roman"/>
                <w:noProof/>
              </w:rPr>
            </w:pPr>
            <w:r>
              <w:rPr>
                <w:noProof/>
              </w:rPr>
              <w:t>Wejście w życie reformy ustawy 43/2006 w celu uproszczenia i zwiększenia skuteczności systemu zachęt rekrutacyjnych, z uwzględnieniem zaleceń wydanych przez AIReF</w:t>
            </w:r>
          </w:p>
        </w:tc>
        <w:tc>
          <w:tcPr>
            <w:tcW w:w="1102" w:type="dxa"/>
            <w:shd w:val="clear" w:color="auto" w:fill="C6EFCE"/>
            <w:noWrap/>
          </w:tcPr>
          <w:p w14:paraId="1621C340" w14:textId="0C6F0DBC" w:rsidR="006578ED" w:rsidRDefault="00A1618E">
            <w:pPr>
              <w:pStyle w:val="P68B1DB1-Normal13"/>
              <w:spacing w:after="0" w:line="240" w:lineRule="auto"/>
              <w:jc w:val="center"/>
              <w:rPr>
                <w:rFonts w:eastAsia="Times New Roman" w:cs="Times New Roman"/>
                <w:noProof/>
              </w:rPr>
            </w:pPr>
            <w:r>
              <w:rPr>
                <w:noProof/>
              </w:rPr>
              <w:t>Przepis w reformie w momencie wejścia w życie</w:t>
            </w:r>
          </w:p>
        </w:tc>
        <w:tc>
          <w:tcPr>
            <w:tcW w:w="827" w:type="dxa"/>
            <w:shd w:val="clear" w:color="auto" w:fill="C6EFCE"/>
            <w:noWrap/>
          </w:tcPr>
          <w:p w14:paraId="284C368F"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0ED5CA4B"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3ABE5785" w14:textId="77777777" w:rsidR="006578ED" w:rsidRDefault="00A1618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33304C9A" w14:textId="2E3295A9"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5EF78E21" w14:textId="77777777" w:rsidR="006578ED" w:rsidRDefault="00A1618E">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5A146E30" w14:textId="7E1B01FF" w:rsidR="006578ED" w:rsidRDefault="00A1618E">
            <w:pPr>
              <w:pStyle w:val="P68B1DB1-Normal13"/>
              <w:spacing w:after="0" w:line="240" w:lineRule="auto"/>
              <w:rPr>
                <w:rFonts w:eastAsia="Times New Roman" w:cs="Times New Roman"/>
                <w:noProof/>
              </w:rPr>
            </w:pPr>
            <w:r>
              <w:rPr>
                <w:noProof/>
              </w:rPr>
              <w:t>Reforma ustawy 43/2006 uprości i zwiększy skuteczność systemu zachęt rekrutacyjnych, biorąc pod uwagę zalecenia wydane przez hiszpański niezależny organ ds. odpowiedzialności budżetowej (AIReF) w sprawozdaniu z przeglądu wydatków</w:t>
            </w:r>
            <w:r>
              <w:rPr>
                <w:noProof/>
                <w:shd w:val="clear" w:color="auto" w:fill="E6E6E6"/>
              </w:rPr>
              <w:t>20 20</w:t>
            </w:r>
            <w:r>
              <w:rPr>
                <w:noProof/>
              </w:rPr>
              <w:t>: „Zachęty do rekrutacji”</w:t>
            </w:r>
          </w:p>
        </w:tc>
      </w:tr>
      <w:tr w:rsidR="006578ED" w14:paraId="68E12D8A" w14:textId="77777777">
        <w:trPr>
          <w:trHeight w:val="309"/>
        </w:trPr>
        <w:tc>
          <w:tcPr>
            <w:tcW w:w="830" w:type="dxa"/>
            <w:shd w:val="clear" w:color="auto" w:fill="C6EFCE"/>
            <w:noWrap/>
          </w:tcPr>
          <w:p w14:paraId="509D2049" w14:textId="77777777" w:rsidR="006578ED" w:rsidRDefault="00A1618E">
            <w:pPr>
              <w:pStyle w:val="P68B1DB1-Normal13"/>
              <w:spacing w:after="0" w:line="240" w:lineRule="auto"/>
              <w:jc w:val="center"/>
              <w:rPr>
                <w:rFonts w:eastAsia="Times New Roman" w:cs="Times New Roman"/>
                <w:noProof/>
              </w:rPr>
            </w:pPr>
            <w:r>
              <w:rPr>
                <w:noProof/>
              </w:rPr>
              <w:t>338</w:t>
            </w:r>
          </w:p>
        </w:tc>
        <w:tc>
          <w:tcPr>
            <w:tcW w:w="828" w:type="dxa"/>
            <w:shd w:val="clear" w:color="auto" w:fill="C6EFCE"/>
            <w:noWrap/>
          </w:tcPr>
          <w:p w14:paraId="36EC7633" w14:textId="77777777" w:rsidR="006578ED" w:rsidRDefault="00A1618E">
            <w:pPr>
              <w:pStyle w:val="P68B1DB1-Normal13"/>
              <w:spacing w:after="0" w:line="240" w:lineRule="auto"/>
              <w:jc w:val="center"/>
              <w:rPr>
                <w:rFonts w:eastAsia="Times New Roman" w:cs="Times New Roman"/>
                <w:noProof/>
              </w:rPr>
            </w:pPr>
            <w:r>
              <w:rPr>
                <w:noProof/>
              </w:rPr>
              <w:t>C23.R8</w:t>
            </w:r>
          </w:p>
        </w:tc>
        <w:tc>
          <w:tcPr>
            <w:tcW w:w="826" w:type="dxa"/>
            <w:shd w:val="clear" w:color="auto" w:fill="C6EFCE"/>
            <w:noWrap/>
          </w:tcPr>
          <w:p w14:paraId="287F48A9" w14:textId="646EF3EA"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361355D5" w14:textId="12933ED8" w:rsidR="006578ED" w:rsidRDefault="00A1618E">
            <w:pPr>
              <w:pStyle w:val="P68B1DB1-Normal13"/>
              <w:spacing w:after="0" w:line="240" w:lineRule="auto"/>
              <w:rPr>
                <w:rFonts w:eastAsia="Times New Roman" w:cs="Times New Roman"/>
                <w:noProof/>
              </w:rPr>
            </w:pPr>
            <w:r>
              <w:rPr>
                <w:noProof/>
              </w:rPr>
              <w:t xml:space="preserve">Zmiana statutu pracownika w celu poprawy przepisów prawnych regulujących rokowania zbiorowe </w:t>
            </w:r>
          </w:p>
        </w:tc>
        <w:tc>
          <w:tcPr>
            <w:tcW w:w="1102" w:type="dxa"/>
            <w:shd w:val="clear" w:color="auto" w:fill="C6EFCE"/>
            <w:noWrap/>
          </w:tcPr>
          <w:p w14:paraId="1ED0AF70" w14:textId="67691C98" w:rsidR="006578ED" w:rsidRDefault="00A1618E">
            <w:pPr>
              <w:pStyle w:val="P68B1DB1-Normal13"/>
              <w:spacing w:after="0" w:line="240" w:lineRule="auto"/>
              <w:jc w:val="center"/>
              <w:rPr>
                <w:rFonts w:eastAsia="Times New Roman" w:cs="Times New Roman"/>
                <w:noProof/>
              </w:rPr>
            </w:pPr>
            <w:r>
              <w:rPr>
                <w:noProof/>
              </w:rPr>
              <w:t>Przepisy zawarte w poprawce dotyczącej wejścia w życie</w:t>
            </w:r>
          </w:p>
        </w:tc>
        <w:tc>
          <w:tcPr>
            <w:tcW w:w="827" w:type="dxa"/>
            <w:shd w:val="clear" w:color="auto" w:fill="C6EFCE"/>
            <w:noWrap/>
          </w:tcPr>
          <w:p w14:paraId="46E7141C"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9FB4765"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27EEC3A3" w14:textId="77777777" w:rsidR="006578ED" w:rsidRDefault="00A1618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0DD404CE" w14:textId="69299EAF"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19C91C58"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535116B6" w14:textId="06E50AED" w:rsidR="006578ED" w:rsidRDefault="00A1618E">
            <w:pPr>
              <w:pStyle w:val="P68B1DB1-Normal13"/>
              <w:spacing w:after="0" w:line="240" w:lineRule="auto"/>
              <w:rPr>
                <w:rFonts w:eastAsia="Times New Roman" w:cs="Times New Roman"/>
                <w:noProof/>
              </w:rPr>
            </w:pPr>
            <w:r>
              <w:rPr>
                <w:noProof/>
              </w:rPr>
              <w:t xml:space="preserve">Poszanowanie dialogu społecznego i w ramach kompleksowego podejścia, które równoważy potrzebę elastyczności i bezpieczeństwa na rynku pracy, wejście w życie zmiany niektórych przepisów królewskiego dekretu ustawodawczego </w:t>
            </w:r>
            <w:r w:rsidRPr="00A1618E">
              <w:rPr>
                <w:noProof/>
                <w:lang w:val="pl-PL"/>
              </w:rPr>
              <w:t>nr 2</w:t>
            </w:r>
            <w:r>
              <w:rPr>
                <w:noProof/>
              </w:rPr>
              <w:t>/2015 z dnia 23 października w sprawie zatwierdzenia przekształconego tekstu statutu pracowników w celu poprawy przepisów regulujących rokowania zbiorowe.</w:t>
            </w:r>
          </w:p>
        </w:tc>
      </w:tr>
      <w:tr w:rsidR="006578ED" w14:paraId="64CB5188" w14:textId="77777777">
        <w:trPr>
          <w:trHeight w:val="309"/>
        </w:trPr>
        <w:tc>
          <w:tcPr>
            <w:tcW w:w="830" w:type="dxa"/>
            <w:shd w:val="clear" w:color="auto" w:fill="C6EFCE"/>
            <w:noWrap/>
          </w:tcPr>
          <w:p w14:paraId="219CF6C7" w14:textId="77777777" w:rsidR="006578ED" w:rsidRDefault="00A1618E">
            <w:pPr>
              <w:pStyle w:val="P68B1DB1-Normal13"/>
              <w:spacing w:after="0" w:line="240" w:lineRule="auto"/>
              <w:jc w:val="center"/>
              <w:rPr>
                <w:rFonts w:eastAsia="Times New Roman" w:cs="Times New Roman"/>
                <w:noProof/>
              </w:rPr>
            </w:pPr>
            <w:r>
              <w:rPr>
                <w:noProof/>
              </w:rPr>
              <w:t>339</w:t>
            </w:r>
          </w:p>
        </w:tc>
        <w:tc>
          <w:tcPr>
            <w:tcW w:w="828" w:type="dxa"/>
            <w:shd w:val="clear" w:color="auto" w:fill="C6EFCE"/>
            <w:noWrap/>
          </w:tcPr>
          <w:p w14:paraId="1DB3FC7F" w14:textId="77777777" w:rsidR="006578ED" w:rsidRDefault="00A1618E">
            <w:pPr>
              <w:pStyle w:val="P68B1DB1-Normal13"/>
              <w:spacing w:after="0" w:line="240" w:lineRule="auto"/>
              <w:jc w:val="center"/>
              <w:rPr>
                <w:rFonts w:eastAsia="Times New Roman" w:cs="Times New Roman"/>
                <w:noProof/>
              </w:rPr>
            </w:pPr>
            <w:r>
              <w:rPr>
                <w:noProof/>
              </w:rPr>
              <w:t>C23.R9</w:t>
            </w:r>
          </w:p>
        </w:tc>
        <w:tc>
          <w:tcPr>
            <w:tcW w:w="826" w:type="dxa"/>
            <w:shd w:val="clear" w:color="auto" w:fill="C6EFCE"/>
            <w:noWrap/>
          </w:tcPr>
          <w:p w14:paraId="1CEA6390" w14:textId="2C75C53E"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66FA5377" w14:textId="297BC1A7" w:rsidR="006578ED" w:rsidRDefault="00A1618E">
            <w:pPr>
              <w:pStyle w:val="P68B1DB1-Normal13"/>
              <w:spacing w:after="0" w:line="240" w:lineRule="auto"/>
              <w:rPr>
                <w:rFonts w:eastAsia="Times New Roman" w:cs="Times New Roman"/>
                <w:noProof/>
              </w:rPr>
            </w:pPr>
            <w:r>
              <w:rPr>
                <w:noProof/>
              </w:rPr>
              <w:t>Zmiana statutu pracownika w celu poprawy praw osób pracujących w przedsiębiorstwach będących podwykonawcami</w:t>
            </w:r>
          </w:p>
        </w:tc>
        <w:tc>
          <w:tcPr>
            <w:tcW w:w="1102" w:type="dxa"/>
            <w:shd w:val="clear" w:color="auto" w:fill="C6EFCE"/>
            <w:noWrap/>
          </w:tcPr>
          <w:p w14:paraId="2C60F95D" w14:textId="649ADA92" w:rsidR="006578ED" w:rsidRDefault="00A1618E">
            <w:pPr>
              <w:pStyle w:val="P68B1DB1-Normal13"/>
              <w:spacing w:after="0" w:line="240" w:lineRule="auto"/>
              <w:jc w:val="center"/>
              <w:rPr>
                <w:rFonts w:eastAsia="Times New Roman" w:cs="Times New Roman"/>
                <w:noProof/>
              </w:rPr>
            </w:pPr>
            <w:r>
              <w:rPr>
                <w:noProof/>
              </w:rPr>
              <w:t>Przepisy zawarte w poprawce dotyczącej wejścia w życie</w:t>
            </w:r>
          </w:p>
        </w:tc>
        <w:tc>
          <w:tcPr>
            <w:tcW w:w="827" w:type="dxa"/>
            <w:shd w:val="clear" w:color="auto" w:fill="C6EFCE"/>
            <w:noWrap/>
          </w:tcPr>
          <w:p w14:paraId="1F4B254D"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0E2BD8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358D0975" w14:textId="77777777" w:rsidR="006578ED" w:rsidRDefault="00A1618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7EB09030" w14:textId="77D48B3B"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5698749A" w14:textId="77777777" w:rsidR="006578ED" w:rsidRDefault="00A1618E">
            <w:pPr>
              <w:pStyle w:val="P68B1DB1-Normal13"/>
              <w:spacing w:after="0" w:line="240" w:lineRule="auto"/>
              <w:jc w:val="center"/>
              <w:rPr>
                <w:rFonts w:eastAsia="Times New Roman" w:cs="Times New Roman"/>
                <w:noProof/>
              </w:rPr>
            </w:pPr>
            <w:r>
              <w:rPr>
                <w:noProof/>
              </w:rPr>
              <w:t>2021</w:t>
            </w:r>
          </w:p>
        </w:tc>
        <w:tc>
          <w:tcPr>
            <w:tcW w:w="5901" w:type="dxa"/>
            <w:shd w:val="clear" w:color="auto" w:fill="C6EFCE"/>
            <w:noWrap/>
          </w:tcPr>
          <w:p w14:paraId="31BE18D4" w14:textId="7E4841CB" w:rsidR="006578ED" w:rsidRDefault="00A1618E">
            <w:pPr>
              <w:pStyle w:val="P68B1DB1-Normal13"/>
              <w:spacing w:after="0" w:line="240" w:lineRule="auto"/>
              <w:rPr>
                <w:rFonts w:eastAsia="Times New Roman" w:cs="Times New Roman"/>
                <w:noProof/>
              </w:rPr>
            </w:pPr>
            <w:r>
              <w:rPr>
                <w:noProof/>
              </w:rPr>
              <w:t xml:space="preserve">Poszanowanie dialogu społecznego i w ramach kompleksowego podejścia równoważącego potrzebę elastyczności i bezpieczeństwa na rynku pracy, wejście w życie zmiany przepisów dekretu ustawodawczego </w:t>
            </w:r>
            <w:r w:rsidRPr="00A1618E">
              <w:rPr>
                <w:noProof/>
                <w:lang w:val="pl-PL"/>
              </w:rPr>
              <w:t>nr 2</w:t>
            </w:r>
            <w:r>
              <w:rPr>
                <w:noProof/>
              </w:rPr>
              <w:t>/2015 z dnia 23 października w sprawie zatwierdzenia przekształconego tekstu statutu pracowników w celu poprawy praw osób pracujących w przedsiębiorstwach będących podwykonawcami.</w:t>
            </w:r>
          </w:p>
        </w:tc>
      </w:tr>
      <w:tr w:rsidR="006578ED" w14:paraId="6E73BA34" w14:textId="77777777">
        <w:trPr>
          <w:trHeight w:val="309"/>
        </w:trPr>
        <w:tc>
          <w:tcPr>
            <w:tcW w:w="830" w:type="dxa"/>
            <w:shd w:val="clear" w:color="auto" w:fill="C6EFCE"/>
            <w:noWrap/>
          </w:tcPr>
          <w:p w14:paraId="6703CA69" w14:textId="77777777" w:rsidR="006578ED" w:rsidRDefault="00A1618E">
            <w:pPr>
              <w:pStyle w:val="P68B1DB1-Normal13"/>
              <w:spacing w:after="0" w:line="240" w:lineRule="auto"/>
              <w:jc w:val="center"/>
              <w:rPr>
                <w:rFonts w:eastAsia="Times New Roman" w:cs="Times New Roman"/>
                <w:noProof/>
              </w:rPr>
            </w:pPr>
            <w:r>
              <w:rPr>
                <w:noProof/>
              </w:rPr>
              <w:t>340</w:t>
            </w:r>
          </w:p>
        </w:tc>
        <w:tc>
          <w:tcPr>
            <w:tcW w:w="828" w:type="dxa"/>
            <w:shd w:val="clear" w:color="auto" w:fill="C6EFCE"/>
            <w:noWrap/>
          </w:tcPr>
          <w:p w14:paraId="17790F97" w14:textId="77777777" w:rsidR="006578ED" w:rsidRDefault="00A1618E">
            <w:pPr>
              <w:pStyle w:val="P68B1DB1-Normal13"/>
              <w:spacing w:after="0" w:line="240" w:lineRule="auto"/>
              <w:jc w:val="center"/>
              <w:rPr>
                <w:rFonts w:eastAsia="Times New Roman" w:cs="Times New Roman"/>
                <w:noProof/>
              </w:rPr>
            </w:pPr>
            <w:r>
              <w:rPr>
                <w:noProof/>
              </w:rPr>
              <w:t>C23.R10</w:t>
            </w:r>
          </w:p>
        </w:tc>
        <w:tc>
          <w:tcPr>
            <w:tcW w:w="826" w:type="dxa"/>
            <w:shd w:val="clear" w:color="auto" w:fill="C6EFCE"/>
            <w:noWrap/>
          </w:tcPr>
          <w:p w14:paraId="1A57C77C" w14:textId="108C0C4A"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348C994B" w14:textId="5FAFBEF7" w:rsidR="006578ED" w:rsidRDefault="00A1618E">
            <w:pPr>
              <w:pStyle w:val="P68B1DB1-Normal13"/>
              <w:spacing w:after="0" w:line="240" w:lineRule="auto"/>
              <w:rPr>
                <w:rFonts w:eastAsia="Times New Roman" w:cs="Times New Roman"/>
                <w:noProof/>
              </w:rPr>
            </w:pPr>
            <w:r>
              <w:rPr>
                <w:noProof/>
              </w:rPr>
              <w:t>Wejście w życie zmiany królewskiego dekretu ustawodawczego 8/2015 reformującego nieskładkowe wsparcie dla bezrobotnych</w:t>
            </w:r>
          </w:p>
        </w:tc>
        <w:tc>
          <w:tcPr>
            <w:tcW w:w="1102" w:type="dxa"/>
            <w:shd w:val="clear" w:color="auto" w:fill="C6EFCE"/>
            <w:noWrap/>
          </w:tcPr>
          <w:p w14:paraId="10E1A366" w14:textId="494767C6" w:rsidR="006578ED" w:rsidRDefault="00A1618E">
            <w:pPr>
              <w:pStyle w:val="P68B1DB1-Normal13"/>
              <w:spacing w:after="0" w:line="240" w:lineRule="auto"/>
              <w:jc w:val="center"/>
              <w:rPr>
                <w:rFonts w:eastAsia="Times New Roman" w:cs="Times New Roman"/>
                <w:noProof/>
              </w:rPr>
            </w:pPr>
            <w:r>
              <w:rPr>
                <w:noProof/>
              </w:rPr>
              <w:t>Przepis w poprawce dotyczącej wejścia w życie</w:t>
            </w:r>
          </w:p>
        </w:tc>
        <w:tc>
          <w:tcPr>
            <w:tcW w:w="827" w:type="dxa"/>
            <w:shd w:val="clear" w:color="auto" w:fill="C6EFCE"/>
            <w:noWrap/>
          </w:tcPr>
          <w:p w14:paraId="3B4628AB"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0D92ECD5"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8947082" w14:textId="77777777" w:rsidR="006578ED" w:rsidRDefault="00A1618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51AD0FDB" w14:textId="62D25BBD"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77461C39" w14:textId="77777777" w:rsidR="006578ED" w:rsidRDefault="00A1618E">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57B5A47A" w14:textId="6A6CC9E6" w:rsidR="006578ED" w:rsidRDefault="00A1618E">
            <w:pPr>
              <w:pStyle w:val="P68B1DB1-Normal13"/>
              <w:spacing w:after="0" w:line="240" w:lineRule="auto"/>
              <w:rPr>
                <w:rFonts w:eastAsia="Times New Roman" w:cs="Times New Roman"/>
                <w:noProof/>
              </w:rPr>
            </w:pPr>
            <w:r>
              <w:rPr>
                <w:noProof/>
              </w:rPr>
              <w:t xml:space="preserve">Reforma królewskiego dekretu ustawodawczego </w:t>
            </w:r>
            <w:r w:rsidRPr="00A1618E">
              <w:rPr>
                <w:noProof/>
                <w:lang w:val="pl-PL"/>
              </w:rPr>
              <w:t>nr 8</w:t>
            </w:r>
            <w:r>
              <w:rPr>
                <w:noProof/>
              </w:rPr>
              <w:t>/2015 dotyczy uregulowania nieskładkowego wsparcia dla bezrobotnych, w tym następujących celów: rozszerzenie ochrony przed bezrobociem; uproszczenie systemu; powiązanie świadczenia z spersonalizowaną trasą aktywizacji; ułatwienie przejścia do ochrony socjalnej, gdy beneficjent nie powróci do pracy i znajduje się w trudnej sytuacji.</w:t>
            </w:r>
          </w:p>
        </w:tc>
      </w:tr>
      <w:tr w:rsidR="006578ED" w14:paraId="2F115B0D" w14:textId="77777777">
        <w:trPr>
          <w:trHeight w:val="309"/>
        </w:trPr>
        <w:tc>
          <w:tcPr>
            <w:tcW w:w="830" w:type="dxa"/>
            <w:shd w:val="clear" w:color="auto" w:fill="C6EFCE"/>
            <w:noWrap/>
          </w:tcPr>
          <w:p w14:paraId="68BB4D95" w14:textId="77777777" w:rsidR="006578ED" w:rsidRDefault="00A1618E">
            <w:pPr>
              <w:pStyle w:val="P68B1DB1-Normal13"/>
              <w:spacing w:after="0" w:line="240" w:lineRule="auto"/>
              <w:jc w:val="center"/>
              <w:rPr>
                <w:rFonts w:eastAsia="Times New Roman" w:cs="Times New Roman"/>
                <w:noProof/>
              </w:rPr>
            </w:pPr>
            <w:r>
              <w:rPr>
                <w:noProof/>
              </w:rPr>
              <w:t>341</w:t>
            </w:r>
          </w:p>
        </w:tc>
        <w:tc>
          <w:tcPr>
            <w:tcW w:w="828" w:type="dxa"/>
            <w:shd w:val="clear" w:color="auto" w:fill="C6EFCE"/>
            <w:noWrap/>
          </w:tcPr>
          <w:p w14:paraId="749C2E28" w14:textId="77777777" w:rsidR="006578ED" w:rsidRDefault="00A1618E">
            <w:pPr>
              <w:pStyle w:val="P68B1DB1-Normal13"/>
              <w:spacing w:after="0" w:line="240" w:lineRule="auto"/>
              <w:jc w:val="center"/>
              <w:rPr>
                <w:rFonts w:eastAsia="Times New Roman" w:cs="Times New Roman"/>
                <w:noProof/>
              </w:rPr>
            </w:pPr>
            <w:r>
              <w:rPr>
                <w:noProof/>
              </w:rPr>
              <w:t>C23.R11</w:t>
            </w:r>
          </w:p>
        </w:tc>
        <w:tc>
          <w:tcPr>
            <w:tcW w:w="826" w:type="dxa"/>
            <w:shd w:val="clear" w:color="auto" w:fill="C6EFCE"/>
            <w:noWrap/>
          </w:tcPr>
          <w:p w14:paraId="26A3BD5A" w14:textId="526C9F01"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72A3F33E" w14:textId="7B9A1BB6" w:rsidR="006578ED" w:rsidRDefault="00A1618E">
            <w:pPr>
              <w:pStyle w:val="P68B1DB1-Normal13"/>
              <w:spacing w:after="0" w:line="240" w:lineRule="auto"/>
              <w:rPr>
                <w:rFonts w:eastAsia="Times New Roman" w:cs="Times New Roman"/>
                <w:noProof/>
              </w:rPr>
            </w:pPr>
            <w:r>
              <w:rPr>
                <w:noProof/>
              </w:rPr>
              <w:t>Zaświadczenia o zakończeniu świadczenia usług w ramach umów na modernizację Państwowej Publicznej Służby Zatrudnienia</w:t>
            </w:r>
          </w:p>
        </w:tc>
        <w:tc>
          <w:tcPr>
            <w:tcW w:w="1102" w:type="dxa"/>
            <w:shd w:val="clear" w:color="auto" w:fill="C6EFCE"/>
            <w:noWrap/>
          </w:tcPr>
          <w:p w14:paraId="16B791A7" w14:textId="642544C6" w:rsidR="006578ED" w:rsidRDefault="00A1618E">
            <w:pPr>
              <w:pStyle w:val="P68B1DB1-Normal13"/>
              <w:spacing w:after="0" w:line="240" w:lineRule="auto"/>
              <w:jc w:val="center"/>
              <w:rPr>
                <w:rFonts w:eastAsia="Times New Roman" w:cs="Times New Roman"/>
                <w:noProof/>
              </w:rPr>
            </w:pPr>
            <w:r>
              <w:rPr>
                <w:noProof/>
              </w:rPr>
              <w:t>Zaświadczenia o zakończeniu świadczenia usług na podstawie umów (akty administracyjne)</w:t>
            </w:r>
          </w:p>
        </w:tc>
        <w:tc>
          <w:tcPr>
            <w:tcW w:w="827" w:type="dxa"/>
            <w:shd w:val="clear" w:color="auto" w:fill="C6EFCE"/>
            <w:noWrap/>
          </w:tcPr>
          <w:p w14:paraId="1B5B7E86"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20119FC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5F2AE7CF" w14:textId="77777777" w:rsidR="006578ED" w:rsidRDefault="00A1618E">
            <w:pPr>
              <w:pStyle w:val="P68B1DB1-Normal13"/>
              <w:spacing w:after="0" w:line="240" w:lineRule="auto"/>
              <w:rPr>
                <w:rFonts w:eastAsia="Times New Roman" w:cs="Times New Roman"/>
                <w:noProof/>
              </w:rPr>
            </w:pPr>
            <w:r>
              <w:rPr>
                <w:noProof/>
              </w:rPr>
              <w:t xml:space="preserve"> </w:t>
            </w:r>
          </w:p>
        </w:tc>
        <w:tc>
          <w:tcPr>
            <w:tcW w:w="413" w:type="dxa"/>
            <w:shd w:val="clear" w:color="auto" w:fill="C6EFCE"/>
            <w:noWrap/>
          </w:tcPr>
          <w:p w14:paraId="0C0BE697" w14:textId="63311E6A"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3F99E208"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901" w:type="dxa"/>
            <w:shd w:val="clear" w:color="auto" w:fill="C6EFCE"/>
            <w:noWrap/>
          </w:tcPr>
          <w:p w14:paraId="0D812912" w14:textId="540CA7C7" w:rsidR="006578ED" w:rsidRDefault="00A1618E">
            <w:pPr>
              <w:pStyle w:val="P68B1DB1-Normal13"/>
              <w:spacing w:after="0" w:line="240" w:lineRule="auto"/>
              <w:rPr>
                <w:rFonts w:eastAsia="Times New Roman" w:cs="Times New Roman"/>
                <w:noProof/>
              </w:rPr>
            </w:pPr>
            <w:r>
              <w:rPr>
                <w:noProof/>
              </w:rPr>
              <w:t>Zaświadczenia o zakończeniu świadczenia usług na podstawie umów (aktów administracyjnych) dotyczących modernizacji państwowych publicznych służb zatrudnienia poprzez usprawnienie wewnętrznych systemów zarządzania, modernizację miejsc pracy i cyfryzację Służby Wsparcia Obywatela. Będą obejmować:</w:t>
            </w:r>
            <w:r>
              <w:rPr>
                <w:noProof/>
              </w:rPr>
              <w:br/>
              <w:t>Poprawa zarządzania wewnętrznego: Usprawnienie systemów informacyjnych wspierających system zasiłków dla bezrobotnych, a także systemów wspierających politykę zatrudnienia.</w:t>
            </w:r>
            <w:r>
              <w:rPr>
                <w:noProof/>
              </w:rPr>
              <w:br/>
              <w:t>Cyfrowe służby zatrudnienia: Cyfryzacja usług publicznych świadczonych na rzecz obywateli i przedsiębiorstw oraz poprawa obsługi klienta.</w:t>
            </w:r>
            <w:r>
              <w:rPr>
                <w:noProof/>
              </w:rPr>
              <w:br/>
              <w:t>Statystyki i zarządzanie danymi: Włączenie odpowiedniego zarządzania danymi, które umożliwia podejmowanie decyzji, a także publikowanie informacji o wysokiej wartości dla społeczeństwa.</w:t>
            </w:r>
            <w:r>
              <w:rPr>
                <w:noProof/>
              </w:rPr>
              <w:br/>
              <w:t>Modernizacja miejsc pracy i infrastruktury.</w:t>
            </w:r>
          </w:p>
        </w:tc>
      </w:tr>
      <w:tr w:rsidR="006578ED" w14:paraId="113938D9" w14:textId="77777777">
        <w:trPr>
          <w:trHeight w:val="309"/>
        </w:trPr>
        <w:tc>
          <w:tcPr>
            <w:tcW w:w="830" w:type="dxa"/>
            <w:shd w:val="clear" w:color="auto" w:fill="C6EFCE"/>
            <w:noWrap/>
          </w:tcPr>
          <w:p w14:paraId="47DECE73" w14:textId="77777777" w:rsidR="006578ED" w:rsidRDefault="00A1618E">
            <w:pPr>
              <w:pStyle w:val="P68B1DB1-Normal13"/>
              <w:spacing w:after="0" w:line="240" w:lineRule="auto"/>
              <w:jc w:val="center"/>
              <w:rPr>
                <w:rFonts w:eastAsia="Times New Roman" w:cs="Times New Roman"/>
                <w:noProof/>
              </w:rPr>
            </w:pPr>
            <w:r>
              <w:rPr>
                <w:noProof/>
              </w:rPr>
              <w:t>342</w:t>
            </w:r>
          </w:p>
        </w:tc>
        <w:tc>
          <w:tcPr>
            <w:tcW w:w="828" w:type="dxa"/>
            <w:shd w:val="clear" w:color="auto" w:fill="C6EFCE"/>
            <w:noWrap/>
          </w:tcPr>
          <w:p w14:paraId="49A2EB9E" w14:textId="77777777" w:rsidR="006578ED" w:rsidRDefault="00A1618E">
            <w:pPr>
              <w:pStyle w:val="P68B1DB1-Normal13"/>
              <w:spacing w:after="0" w:line="240" w:lineRule="auto"/>
              <w:jc w:val="center"/>
              <w:rPr>
                <w:rFonts w:eastAsia="Times New Roman" w:cs="Times New Roman"/>
                <w:noProof/>
              </w:rPr>
            </w:pPr>
            <w:r>
              <w:rPr>
                <w:noProof/>
              </w:rPr>
              <w:t>C23.I1</w:t>
            </w:r>
          </w:p>
        </w:tc>
        <w:tc>
          <w:tcPr>
            <w:tcW w:w="826" w:type="dxa"/>
            <w:shd w:val="clear" w:color="auto" w:fill="C6EFCE"/>
            <w:noWrap/>
          </w:tcPr>
          <w:p w14:paraId="0A35DE13" w14:textId="1B1B557F" w:rsidR="006578ED" w:rsidRDefault="00AF6B91">
            <w:pPr>
              <w:pStyle w:val="P68B1DB1-Normal13"/>
              <w:spacing w:after="0" w:line="240" w:lineRule="auto"/>
              <w:jc w:val="center"/>
              <w:rPr>
                <w:rFonts w:eastAsia="Times New Roman" w:cs="Times New Roman"/>
                <w:noProof/>
              </w:rPr>
            </w:pPr>
            <w:r>
              <w:rPr>
                <w:noProof/>
              </w:rPr>
              <w:t>Cel</w:t>
            </w:r>
          </w:p>
        </w:tc>
        <w:tc>
          <w:tcPr>
            <w:tcW w:w="2613" w:type="dxa"/>
            <w:shd w:val="clear" w:color="auto" w:fill="C6EFCE"/>
            <w:noWrap/>
          </w:tcPr>
          <w:p w14:paraId="4F9531EE" w14:textId="77777777" w:rsidR="006578ED" w:rsidRDefault="00A1618E">
            <w:pPr>
              <w:pStyle w:val="P68B1DB1-Normal13"/>
              <w:spacing w:after="0" w:line="240" w:lineRule="auto"/>
              <w:rPr>
                <w:rFonts w:eastAsia="Times New Roman" w:cs="Times New Roman"/>
                <w:noProof/>
              </w:rPr>
            </w:pPr>
            <w:r>
              <w:rPr>
                <w:noProof/>
              </w:rPr>
              <w:t xml:space="preserve">Osoby, które ukończyły programy dla młodzieży. </w:t>
            </w:r>
          </w:p>
        </w:tc>
        <w:tc>
          <w:tcPr>
            <w:tcW w:w="1102" w:type="dxa"/>
            <w:shd w:val="clear" w:color="auto" w:fill="C6EFCE"/>
            <w:noWrap/>
          </w:tcPr>
          <w:p w14:paraId="29A945B0" w14:textId="77777777" w:rsidR="006578ED" w:rsidRDefault="00A1618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5DE33CB0"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413" w:type="dxa"/>
            <w:shd w:val="clear" w:color="auto" w:fill="C6EFCE"/>
            <w:noWrap/>
          </w:tcPr>
          <w:p w14:paraId="719C1E46" w14:textId="77777777" w:rsidR="006578ED" w:rsidRDefault="00A1618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0D426AAE" w14:textId="77777777" w:rsidR="006578ED" w:rsidRDefault="00A1618E">
            <w:pPr>
              <w:pStyle w:val="P68B1DB1-Normal13"/>
              <w:spacing w:after="0" w:line="240" w:lineRule="auto"/>
              <w:rPr>
                <w:rFonts w:eastAsia="Times New Roman" w:cs="Times New Roman"/>
                <w:noProof/>
              </w:rPr>
            </w:pPr>
            <w:r>
              <w:rPr>
                <w:noProof/>
              </w:rPr>
              <w:t>18 300</w:t>
            </w:r>
          </w:p>
        </w:tc>
        <w:tc>
          <w:tcPr>
            <w:tcW w:w="413" w:type="dxa"/>
            <w:shd w:val="clear" w:color="auto" w:fill="C6EFCE"/>
            <w:noWrap/>
          </w:tcPr>
          <w:p w14:paraId="48034371" w14:textId="41FA818B"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403F22AA" w14:textId="77777777" w:rsidR="006578ED" w:rsidRDefault="00A1618E">
            <w:pPr>
              <w:pStyle w:val="P68B1DB1-Normal13"/>
              <w:spacing w:after="0" w:line="240" w:lineRule="auto"/>
              <w:jc w:val="center"/>
              <w:rPr>
                <w:rFonts w:eastAsia="Times New Roman" w:cs="Times New Roman"/>
                <w:noProof/>
              </w:rPr>
            </w:pPr>
            <w:r>
              <w:rPr>
                <w:noProof/>
              </w:rPr>
              <w:t>2025</w:t>
            </w:r>
          </w:p>
        </w:tc>
        <w:tc>
          <w:tcPr>
            <w:tcW w:w="5901" w:type="dxa"/>
            <w:shd w:val="clear" w:color="auto" w:fill="C6EFCE"/>
            <w:noWrap/>
          </w:tcPr>
          <w:p w14:paraId="51219AB7" w14:textId="386A9E97" w:rsidR="006578ED" w:rsidRDefault="00A1618E">
            <w:pPr>
              <w:pStyle w:val="P68B1DB1-Normal13"/>
              <w:spacing w:after="0" w:line="240" w:lineRule="auto"/>
              <w:rPr>
                <w:rFonts w:eastAsia="Times New Roman" w:cs="Times New Roman"/>
                <w:noProof/>
              </w:rPr>
            </w:pPr>
            <w:r>
              <w:rPr>
                <w:noProof/>
              </w:rPr>
              <w:t>Co najmniej 18300 osób, które ukończyły programy dla młodzieży, w </w:t>
            </w:r>
            <w:r w:rsidRPr="00A1618E">
              <w:rPr>
                <w:noProof/>
                <w:lang w:val="pl-PL"/>
              </w:rPr>
              <w:t>tym 2</w:t>
            </w:r>
            <w:r>
              <w:rPr>
                <w:noProof/>
              </w:rPr>
              <w:t xml:space="preserve">1900 osób. </w:t>
            </w:r>
            <w:r>
              <w:rPr>
                <w:noProof/>
              </w:rPr>
              <w:br/>
              <w:t>Cel ten opiera się na trzech programach:</w:t>
            </w:r>
            <w:r>
              <w:rPr>
                <w:noProof/>
              </w:rPr>
              <w:br/>
              <w:t>• Program „Tonem”. Cel pomocy: osiągnięcie kompetencji zawodowych poprzez szkolenie na przemian w stosunku do zatrudnienia. Co najmniej 25 % programu koncentruje się na umiejętnościach związanych z klimatem, a 25 % – na umiejętnościach cyfrowych.</w:t>
            </w:r>
            <w:r>
              <w:rPr>
                <w:noProof/>
              </w:rPr>
              <w:br/>
              <w:t>• Program „Pierwsze doświadczenie”. Cel pomocy: ułatwienie zdobycia pierwszego doświadczenia zawodowego związanego z kwalifikacją. Co najmniej 20 % programu koncentruje się na umiejętnościach związanych z klimatem, a 20 % – na umiejętnościach cyfrowych.</w:t>
            </w:r>
            <w:r>
              <w:rPr>
                <w:noProof/>
              </w:rPr>
              <w:br/>
              <w:t>• Program „</w:t>
            </w:r>
            <w:r>
              <w:rPr>
                <w:i/>
                <w:noProof/>
              </w:rPr>
              <w:t>Investigo”</w:t>
            </w:r>
            <w:r>
              <w:rPr>
                <w:noProof/>
              </w:rPr>
              <w:t xml:space="preserve">. Cel pomocy: zapewnienie prac związanych z opracowaniem projektu badawczego. </w:t>
            </w:r>
          </w:p>
        </w:tc>
      </w:tr>
      <w:tr w:rsidR="006578ED" w14:paraId="3743A34A" w14:textId="77777777">
        <w:trPr>
          <w:trHeight w:val="309"/>
        </w:trPr>
        <w:tc>
          <w:tcPr>
            <w:tcW w:w="830" w:type="dxa"/>
            <w:shd w:val="clear" w:color="auto" w:fill="C6EFCE"/>
            <w:noWrap/>
          </w:tcPr>
          <w:p w14:paraId="5B46928E" w14:textId="77777777" w:rsidR="006578ED" w:rsidRDefault="00A1618E">
            <w:pPr>
              <w:pStyle w:val="P68B1DB1-Normal13"/>
              <w:spacing w:after="0" w:line="240" w:lineRule="auto"/>
              <w:jc w:val="center"/>
              <w:rPr>
                <w:rFonts w:eastAsia="Times New Roman" w:cs="Times New Roman"/>
                <w:noProof/>
              </w:rPr>
            </w:pPr>
            <w:r>
              <w:rPr>
                <w:noProof/>
              </w:rPr>
              <w:t>343</w:t>
            </w:r>
          </w:p>
        </w:tc>
        <w:tc>
          <w:tcPr>
            <w:tcW w:w="828" w:type="dxa"/>
            <w:shd w:val="clear" w:color="auto" w:fill="C6EFCE"/>
            <w:noWrap/>
          </w:tcPr>
          <w:p w14:paraId="3D71347E" w14:textId="77777777" w:rsidR="006578ED" w:rsidRDefault="00A1618E">
            <w:pPr>
              <w:pStyle w:val="P68B1DB1-Normal13"/>
              <w:spacing w:after="0" w:line="240" w:lineRule="auto"/>
              <w:jc w:val="center"/>
              <w:rPr>
                <w:rFonts w:eastAsia="Times New Roman" w:cs="Times New Roman"/>
                <w:noProof/>
              </w:rPr>
            </w:pPr>
            <w:r>
              <w:rPr>
                <w:noProof/>
              </w:rPr>
              <w:t>C23.I2</w:t>
            </w:r>
          </w:p>
        </w:tc>
        <w:tc>
          <w:tcPr>
            <w:tcW w:w="826" w:type="dxa"/>
            <w:shd w:val="clear" w:color="auto" w:fill="C6EFCE"/>
            <w:noWrap/>
          </w:tcPr>
          <w:p w14:paraId="3AF7969F" w14:textId="72D5A02C" w:rsidR="006578ED" w:rsidRDefault="00AF6B91">
            <w:pPr>
              <w:pStyle w:val="P68B1DB1-Normal13"/>
              <w:spacing w:after="0" w:line="240" w:lineRule="auto"/>
              <w:jc w:val="center"/>
              <w:rPr>
                <w:rFonts w:eastAsia="Times New Roman" w:cs="Times New Roman"/>
                <w:noProof/>
              </w:rPr>
            </w:pPr>
            <w:r>
              <w:rPr>
                <w:noProof/>
              </w:rPr>
              <w:t>Cel</w:t>
            </w:r>
          </w:p>
        </w:tc>
        <w:tc>
          <w:tcPr>
            <w:tcW w:w="2613" w:type="dxa"/>
            <w:shd w:val="clear" w:color="auto" w:fill="C6EFCE"/>
            <w:noWrap/>
          </w:tcPr>
          <w:p w14:paraId="475A2B3A" w14:textId="5997BD95" w:rsidR="006578ED" w:rsidRDefault="00A1618E">
            <w:pPr>
              <w:pStyle w:val="P68B1DB1-Normal13"/>
              <w:spacing w:after="0" w:line="240" w:lineRule="auto"/>
              <w:rPr>
                <w:rFonts w:eastAsia="Times New Roman" w:cs="Times New Roman"/>
                <w:noProof/>
              </w:rPr>
            </w:pPr>
            <w:r>
              <w:rPr>
                <w:noProof/>
              </w:rPr>
              <w:t>Osoby, które ukończyły „</w:t>
            </w:r>
            <w:r>
              <w:rPr>
                <w:i/>
                <w:noProof/>
              </w:rPr>
              <w:t>Plan Empleo Mujer, obszary wiejskie i miejskie”</w:t>
            </w:r>
            <w:r>
              <w:rPr>
                <w:noProof/>
              </w:rPr>
              <w:t xml:space="preserve"> oraz program na rzecz ofiar przemocy ze względu na płeć i handlu ludźmi</w:t>
            </w:r>
          </w:p>
        </w:tc>
        <w:tc>
          <w:tcPr>
            <w:tcW w:w="1102" w:type="dxa"/>
            <w:shd w:val="clear" w:color="auto" w:fill="C6EFCE"/>
            <w:noWrap/>
          </w:tcPr>
          <w:p w14:paraId="69392543" w14:textId="77777777" w:rsidR="006578ED" w:rsidRDefault="00A1618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50576955"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413" w:type="dxa"/>
            <w:shd w:val="clear" w:color="auto" w:fill="C6EFCE"/>
            <w:noWrap/>
          </w:tcPr>
          <w:p w14:paraId="4470D498" w14:textId="77777777" w:rsidR="006578ED" w:rsidRDefault="00A1618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3798A895" w14:textId="77777777" w:rsidR="006578ED" w:rsidRDefault="00A1618E">
            <w:pPr>
              <w:pStyle w:val="P68B1DB1-Normal13"/>
              <w:spacing w:after="0" w:line="240" w:lineRule="auto"/>
              <w:jc w:val="right"/>
              <w:rPr>
                <w:rFonts w:eastAsia="Times New Roman" w:cs="Times New Roman"/>
                <w:noProof/>
              </w:rPr>
            </w:pPr>
            <w:r>
              <w:rPr>
                <w:noProof/>
              </w:rPr>
              <w:t>23 200</w:t>
            </w:r>
          </w:p>
        </w:tc>
        <w:tc>
          <w:tcPr>
            <w:tcW w:w="413" w:type="dxa"/>
            <w:shd w:val="clear" w:color="auto" w:fill="C6EFCE"/>
            <w:noWrap/>
          </w:tcPr>
          <w:p w14:paraId="76881C0A" w14:textId="743E721A" w:rsidR="006578ED" w:rsidRDefault="00EC188C">
            <w:pPr>
              <w:pStyle w:val="P68B1DB1-Normal13"/>
              <w:spacing w:after="0" w:line="240" w:lineRule="auto"/>
              <w:jc w:val="right"/>
              <w:rPr>
                <w:rFonts w:eastAsia="Times New Roman" w:cs="Times New Roman"/>
                <w:noProof/>
              </w:rPr>
            </w:pPr>
            <w:r>
              <w:rPr>
                <w:noProof/>
              </w:rPr>
              <w:t>KW. 4</w:t>
            </w:r>
          </w:p>
        </w:tc>
        <w:tc>
          <w:tcPr>
            <w:tcW w:w="551" w:type="dxa"/>
            <w:shd w:val="clear" w:color="auto" w:fill="C6EFCE"/>
            <w:noWrap/>
          </w:tcPr>
          <w:p w14:paraId="5EA8A983" w14:textId="77777777" w:rsidR="006578ED" w:rsidRDefault="00A1618E">
            <w:pPr>
              <w:pStyle w:val="P68B1DB1-Normal13"/>
              <w:spacing w:after="0" w:line="240" w:lineRule="auto"/>
              <w:jc w:val="right"/>
              <w:rPr>
                <w:rFonts w:eastAsia="Times New Roman" w:cs="Times New Roman"/>
                <w:noProof/>
              </w:rPr>
            </w:pPr>
            <w:r>
              <w:rPr>
                <w:noProof/>
              </w:rPr>
              <w:t>2025</w:t>
            </w:r>
          </w:p>
        </w:tc>
        <w:tc>
          <w:tcPr>
            <w:tcW w:w="5901" w:type="dxa"/>
            <w:shd w:val="clear" w:color="auto" w:fill="C6EFCE"/>
            <w:noWrap/>
          </w:tcPr>
          <w:p w14:paraId="077BE66D" w14:textId="18CADB12" w:rsidR="006578ED" w:rsidRDefault="00A1618E">
            <w:pPr>
              <w:pStyle w:val="P68B1DB1-Normal13"/>
              <w:spacing w:after="0" w:line="240" w:lineRule="auto"/>
              <w:rPr>
                <w:rFonts w:eastAsia="Times New Roman" w:cs="Times New Roman"/>
                <w:noProof/>
              </w:rPr>
            </w:pPr>
            <w:r>
              <w:rPr>
                <w:noProof/>
              </w:rPr>
              <w:t>Co najmniej 23200 osób ukończyło program „Plan</w:t>
            </w:r>
            <w:r>
              <w:rPr>
                <w:i/>
                <w:noProof/>
              </w:rPr>
              <w:t>Empleo Mujer, obszary wiejskie i miejskie”</w:t>
            </w:r>
            <w:r>
              <w:rPr>
                <w:noProof/>
              </w:rPr>
              <w:t>oraz program na rzecz ofiar przemocy ze względu na płeć i handlu ludźmi, przy czym liczba ta wyniosła 29000 osób. Program ten obejmuje osobistą i zintegrowaną trasę działań w zakresie orientacji, doradztwa i szkoleń dostosowanych do profilu szans uczestniczących kobiet na rynku pracy. Szkolenia są związane z miejscami pracy o dobrych perspektywach terytorialnych, wywodzącymi się z potrzeb rynku pracy na obszarach wiejskich i miejskich, na którym opracowywany jest program, i mają na celu zdobycie kwalifikacji zwiększających szanse uczestników na zatrudnienie i ich możliwości dostępu do godnej pracy, przy jednoczesnym wzmocnieniu produktywnego rozwoju obszarów wiejskich, zwalczaniu różnic w traktowaniu kobiet i mężczyzn oraz zwiększeniu trwałości kobiet na danym terytorium. Co najmniej 35 % programu koncentruje się na umiejętnościach związanych z klimatem, a 35 % – na umiejętnościach cyfrowych.</w:t>
            </w:r>
          </w:p>
        </w:tc>
      </w:tr>
      <w:tr w:rsidR="006578ED" w14:paraId="44778968" w14:textId="77777777">
        <w:trPr>
          <w:trHeight w:val="309"/>
        </w:trPr>
        <w:tc>
          <w:tcPr>
            <w:tcW w:w="830" w:type="dxa"/>
            <w:shd w:val="clear" w:color="auto" w:fill="C6EFCE"/>
            <w:noWrap/>
          </w:tcPr>
          <w:p w14:paraId="38DC107F" w14:textId="77777777" w:rsidR="006578ED" w:rsidRDefault="00A1618E">
            <w:pPr>
              <w:pStyle w:val="P68B1DB1-Normal13"/>
              <w:spacing w:after="0" w:line="240" w:lineRule="auto"/>
              <w:jc w:val="center"/>
              <w:rPr>
                <w:rFonts w:eastAsia="Times New Roman" w:cs="Times New Roman"/>
                <w:noProof/>
              </w:rPr>
            </w:pPr>
            <w:r>
              <w:rPr>
                <w:noProof/>
              </w:rPr>
              <w:t>344</w:t>
            </w:r>
          </w:p>
        </w:tc>
        <w:tc>
          <w:tcPr>
            <w:tcW w:w="828" w:type="dxa"/>
            <w:shd w:val="clear" w:color="auto" w:fill="C6EFCE"/>
            <w:noWrap/>
          </w:tcPr>
          <w:p w14:paraId="6D719DF8" w14:textId="77777777" w:rsidR="006578ED" w:rsidRDefault="00A1618E">
            <w:pPr>
              <w:pStyle w:val="P68B1DB1-Normal13"/>
              <w:spacing w:after="0" w:line="240" w:lineRule="auto"/>
              <w:jc w:val="center"/>
              <w:rPr>
                <w:rFonts w:eastAsia="Times New Roman" w:cs="Times New Roman"/>
                <w:noProof/>
              </w:rPr>
            </w:pPr>
            <w:r>
              <w:rPr>
                <w:noProof/>
              </w:rPr>
              <w:t>C23.I3</w:t>
            </w:r>
          </w:p>
        </w:tc>
        <w:tc>
          <w:tcPr>
            <w:tcW w:w="826" w:type="dxa"/>
            <w:shd w:val="clear" w:color="auto" w:fill="C6EFCE"/>
            <w:noWrap/>
          </w:tcPr>
          <w:p w14:paraId="3AC61806" w14:textId="611E84D7" w:rsidR="006578ED" w:rsidRDefault="00AF6B91">
            <w:pPr>
              <w:pStyle w:val="P68B1DB1-Normal13"/>
              <w:spacing w:after="0" w:line="240" w:lineRule="auto"/>
              <w:jc w:val="center"/>
              <w:rPr>
                <w:rFonts w:eastAsia="Times New Roman" w:cs="Times New Roman"/>
                <w:noProof/>
              </w:rPr>
            </w:pPr>
            <w:r>
              <w:rPr>
                <w:noProof/>
              </w:rPr>
              <w:t>Cel</w:t>
            </w:r>
          </w:p>
        </w:tc>
        <w:tc>
          <w:tcPr>
            <w:tcW w:w="2613" w:type="dxa"/>
            <w:shd w:val="clear" w:color="auto" w:fill="C6EFCE"/>
            <w:noWrap/>
          </w:tcPr>
          <w:p w14:paraId="5C946B6E" w14:textId="0BB31AB9" w:rsidR="006578ED" w:rsidRDefault="00A1618E">
            <w:pPr>
              <w:pStyle w:val="P68B1DB1-Normal13"/>
              <w:spacing w:after="0" w:line="240" w:lineRule="auto"/>
              <w:rPr>
                <w:rFonts w:eastAsia="Times New Roman" w:cs="Times New Roman"/>
                <w:noProof/>
              </w:rPr>
            </w:pPr>
            <w:r>
              <w:rPr>
                <w:noProof/>
              </w:rPr>
              <w:t>Osoby, które ukończyły programy szkoleniowe w celu zdobycia umiejętności w zakresie transformacji cyfrowej, ekologicznej i produkcyjnej</w:t>
            </w:r>
          </w:p>
        </w:tc>
        <w:tc>
          <w:tcPr>
            <w:tcW w:w="1102" w:type="dxa"/>
            <w:shd w:val="clear" w:color="auto" w:fill="C6EFCE"/>
            <w:noWrap/>
          </w:tcPr>
          <w:p w14:paraId="44EA3F37" w14:textId="77777777" w:rsidR="006578ED" w:rsidRDefault="00A1618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6987FC2A"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413" w:type="dxa"/>
            <w:shd w:val="clear" w:color="auto" w:fill="C6EFCE"/>
            <w:noWrap/>
          </w:tcPr>
          <w:p w14:paraId="20E1D9A3" w14:textId="77777777" w:rsidR="006578ED" w:rsidRDefault="00A1618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1366F7CB" w14:textId="77777777" w:rsidR="006578ED" w:rsidRDefault="00A1618E">
            <w:pPr>
              <w:pStyle w:val="P68B1DB1-Normal13"/>
              <w:spacing w:after="0" w:line="240" w:lineRule="auto"/>
              <w:jc w:val="right"/>
              <w:rPr>
                <w:rFonts w:eastAsia="Times New Roman" w:cs="Times New Roman"/>
                <w:noProof/>
              </w:rPr>
            </w:pPr>
            <w:r>
              <w:rPr>
                <w:noProof/>
              </w:rPr>
              <w:t>825 000</w:t>
            </w:r>
          </w:p>
        </w:tc>
        <w:tc>
          <w:tcPr>
            <w:tcW w:w="413" w:type="dxa"/>
            <w:shd w:val="clear" w:color="auto" w:fill="C6EFCE"/>
            <w:noWrap/>
          </w:tcPr>
          <w:p w14:paraId="703CD559" w14:textId="5C818731" w:rsidR="006578ED" w:rsidRDefault="00EC188C">
            <w:pPr>
              <w:pStyle w:val="P68B1DB1-Normal13"/>
              <w:spacing w:after="0" w:line="240" w:lineRule="auto"/>
              <w:jc w:val="right"/>
              <w:rPr>
                <w:rFonts w:eastAsia="Times New Roman" w:cs="Times New Roman"/>
                <w:noProof/>
              </w:rPr>
            </w:pPr>
            <w:r>
              <w:rPr>
                <w:noProof/>
              </w:rPr>
              <w:t>KW. 4</w:t>
            </w:r>
          </w:p>
        </w:tc>
        <w:tc>
          <w:tcPr>
            <w:tcW w:w="551" w:type="dxa"/>
            <w:shd w:val="clear" w:color="auto" w:fill="C6EFCE"/>
            <w:noWrap/>
          </w:tcPr>
          <w:p w14:paraId="68D1B6C8" w14:textId="77777777" w:rsidR="006578ED" w:rsidRDefault="00A1618E">
            <w:pPr>
              <w:pStyle w:val="P68B1DB1-Normal13"/>
              <w:spacing w:after="0" w:line="240" w:lineRule="auto"/>
              <w:jc w:val="right"/>
              <w:rPr>
                <w:rFonts w:eastAsia="Times New Roman" w:cs="Times New Roman"/>
                <w:noProof/>
              </w:rPr>
            </w:pPr>
            <w:r>
              <w:rPr>
                <w:noProof/>
              </w:rPr>
              <w:t>2025</w:t>
            </w:r>
          </w:p>
        </w:tc>
        <w:tc>
          <w:tcPr>
            <w:tcW w:w="5901" w:type="dxa"/>
            <w:shd w:val="clear" w:color="auto" w:fill="C6EFCE"/>
            <w:noWrap/>
          </w:tcPr>
          <w:p w14:paraId="505E15CF" w14:textId="2572BA27" w:rsidR="006578ED" w:rsidRDefault="00A1618E">
            <w:pPr>
              <w:pStyle w:val="P68B1DB1-Normal13"/>
              <w:spacing w:after="0" w:line="240" w:lineRule="auto"/>
              <w:rPr>
                <w:rFonts w:eastAsia="Times New Roman" w:cs="Times New Roman"/>
                <w:noProof/>
              </w:rPr>
            </w:pPr>
            <w:r>
              <w:rPr>
                <w:noProof/>
              </w:rPr>
              <w:t xml:space="preserve">Co najmniej 825000 osób, które ukończyły programy szkoleniowe w celu zdobycia umiejętności w zakresie transformacji cyfrowej, ekologicznej i produkcyjnej, przy czym liczba ta wynosiła 975000 osób. Szkolenie koncentruje się na sektorze turystyki, na innych strategicznych sektorach o znaczeniu narodowym, na pracownikach objętych ERTE oraz na pracownikach korzystających ze szkoleń w zakresie mikrokredytów. Co najmniej 30 % programu koncentruje się na umiejętnościach związanych z klimatem, a 30 % – na umiejętnościach cyfrowych. </w:t>
            </w:r>
          </w:p>
        </w:tc>
      </w:tr>
      <w:tr w:rsidR="006578ED" w14:paraId="479BDDB7" w14:textId="77777777">
        <w:trPr>
          <w:trHeight w:val="309"/>
        </w:trPr>
        <w:tc>
          <w:tcPr>
            <w:tcW w:w="830" w:type="dxa"/>
            <w:shd w:val="clear" w:color="auto" w:fill="C6EFCE"/>
            <w:noWrap/>
          </w:tcPr>
          <w:p w14:paraId="6D1BBD65" w14:textId="5EE3A4FC" w:rsidR="006578ED" w:rsidRDefault="00A1618E">
            <w:pPr>
              <w:pStyle w:val="P68B1DB1-Normal13"/>
              <w:spacing w:after="0" w:line="240" w:lineRule="auto"/>
              <w:jc w:val="center"/>
              <w:rPr>
                <w:rFonts w:cs="Times New Roman"/>
                <w:noProof/>
              </w:rPr>
            </w:pPr>
            <w:r>
              <w:rPr>
                <w:noProof/>
              </w:rPr>
              <w:t>420</w:t>
            </w:r>
          </w:p>
        </w:tc>
        <w:tc>
          <w:tcPr>
            <w:tcW w:w="828" w:type="dxa"/>
            <w:shd w:val="clear" w:color="auto" w:fill="C6EFCE"/>
            <w:noWrap/>
          </w:tcPr>
          <w:p w14:paraId="5C3DB94F" w14:textId="01E4819B" w:rsidR="006578ED" w:rsidRDefault="00A1618E">
            <w:pPr>
              <w:pStyle w:val="P68B1DB1-Normal13"/>
              <w:spacing w:after="0" w:line="240" w:lineRule="auto"/>
              <w:jc w:val="center"/>
              <w:rPr>
                <w:rFonts w:cs="Times New Roman"/>
                <w:noProof/>
              </w:rPr>
            </w:pPr>
            <w:r>
              <w:rPr>
                <w:noProof/>
              </w:rPr>
              <w:t>C23.I3</w:t>
            </w:r>
          </w:p>
        </w:tc>
        <w:tc>
          <w:tcPr>
            <w:tcW w:w="826" w:type="dxa"/>
            <w:shd w:val="clear" w:color="auto" w:fill="C6EFCE"/>
            <w:noWrap/>
          </w:tcPr>
          <w:p w14:paraId="46FB0203" w14:textId="4669AC82" w:rsidR="006578ED" w:rsidRDefault="00AF6B91">
            <w:pPr>
              <w:pStyle w:val="P68B1DB1-Normal13"/>
              <w:spacing w:after="0" w:line="240" w:lineRule="auto"/>
              <w:jc w:val="center"/>
              <w:rPr>
                <w:rFonts w:cs="Times New Roman"/>
                <w:noProof/>
              </w:rPr>
            </w:pPr>
            <w:r>
              <w:rPr>
                <w:noProof/>
              </w:rPr>
              <w:t>Cel</w:t>
            </w:r>
          </w:p>
        </w:tc>
        <w:tc>
          <w:tcPr>
            <w:tcW w:w="2613" w:type="dxa"/>
            <w:shd w:val="clear" w:color="auto" w:fill="C6EFCE"/>
            <w:noWrap/>
          </w:tcPr>
          <w:p w14:paraId="2688FFAA" w14:textId="17461AC9" w:rsidR="006578ED" w:rsidRDefault="00A1618E">
            <w:pPr>
              <w:pStyle w:val="P68B1DB1-Normal13"/>
              <w:spacing w:after="0" w:line="240" w:lineRule="auto"/>
              <w:rPr>
                <w:rFonts w:cs="Times New Roman"/>
                <w:noProof/>
              </w:rPr>
            </w:pPr>
            <w:r>
              <w:rPr>
                <w:noProof/>
              </w:rPr>
              <w:t>Wykrywanie potrzeb w zakresie umiejętności za pomocą programu badawczego</w:t>
            </w:r>
          </w:p>
        </w:tc>
        <w:tc>
          <w:tcPr>
            <w:tcW w:w="1102" w:type="dxa"/>
            <w:shd w:val="clear" w:color="auto" w:fill="C6EFCE"/>
            <w:noWrap/>
          </w:tcPr>
          <w:p w14:paraId="70C4D6AD" w14:textId="3FD688E7" w:rsidR="006578ED" w:rsidRDefault="00A1618E">
            <w:pPr>
              <w:pStyle w:val="P68B1DB1-Normal13"/>
              <w:spacing w:after="0" w:line="240" w:lineRule="auto"/>
              <w:jc w:val="center"/>
              <w:rPr>
                <w:rFonts w:cs="Times New Roman"/>
                <w:noProof/>
              </w:rPr>
            </w:pPr>
            <w:r>
              <w:rPr>
                <w:noProof/>
              </w:rPr>
              <w:t>Publikacja programu badawczego</w:t>
            </w:r>
          </w:p>
        </w:tc>
        <w:tc>
          <w:tcPr>
            <w:tcW w:w="827" w:type="dxa"/>
            <w:shd w:val="clear" w:color="auto" w:fill="C6EFCE"/>
            <w:noWrap/>
          </w:tcPr>
          <w:p w14:paraId="4A6C9459" w14:textId="09CBB1E2" w:rsidR="006578ED" w:rsidRDefault="00A1618E">
            <w:pPr>
              <w:pStyle w:val="P68B1DB1-Normal13"/>
              <w:spacing w:after="0" w:line="240" w:lineRule="auto"/>
              <w:jc w:val="center"/>
              <w:rPr>
                <w:rFonts w:cs="Times New Roman"/>
                <w:noProof/>
              </w:rPr>
            </w:pPr>
            <w:r>
              <w:rPr>
                <w:noProof/>
              </w:rPr>
              <w:t>Liczba</w:t>
            </w:r>
          </w:p>
        </w:tc>
        <w:tc>
          <w:tcPr>
            <w:tcW w:w="413" w:type="dxa"/>
            <w:shd w:val="clear" w:color="auto" w:fill="C6EFCE"/>
            <w:noWrap/>
          </w:tcPr>
          <w:p w14:paraId="4283EA95" w14:textId="6673D62F" w:rsidR="006578ED" w:rsidRDefault="00A1618E">
            <w:pPr>
              <w:pStyle w:val="P68B1DB1-Normal13"/>
              <w:spacing w:after="0" w:line="240" w:lineRule="auto"/>
              <w:jc w:val="right"/>
              <w:rPr>
                <w:rFonts w:cs="Times New Roman"/>
                <w:noProof/>
              </w:rPr>
            </w:pPr>
            <w:r>
              <w:rPr>
                <w:noProof/>
              </w:rPr>
              <w:t>0</w:t>
            </w:r>
          </w:p>
        </w:tc>
        <w:tc>
          <w:tcPr>
            <w:tcW w:w="689" w:type="dxa"/>
            <w:shd w:val="clear" w:color="auto" w:fill="C6EFCE"/>
            <w:noWrap/>
          </w:tcPr>
          <w:p w14:paraId="59CB1E35" w14:textId="04ECB3ED" w:rsidR="006578ED" w:rsidRDefault="00A1618E">
            <w:pPr>
              <w:pStyle w:val="P68B1DB1-Normal13"/>
              <w:spacing w:after="0" w:line="240" w:lineRule="auto"/>
              <w:jc w:val="right"/>
              <w:rPr>
                <w:rFonts w:cs="Times New Roman"/>
                <w:noProof/>
              </w:rPr>
            </w:pPr>
            <w:r>
              <w:rPr>
                <w:noProof/>
              </w:rPr>
              <w:t>23</w:t>
            </w:r>
          </w:p>
        </w:tc>
        <w:tc>
          <w:tcPr>
            <w:tcW w:w="413" w:type="dxa"/>
            <w:shd w:val="clear" w:color="auto" w:fill="C6EFCE"/>
            <w:noWrap/>
          </w:tcPr>
          <w:p w14:paraId="6052CD6A" w14:textId="6F2A2E33" w:rsidR="006578ED" w:rsidRDefault="00EC188C">
            <w:pPr>
              <w:pStyle w:val="P68B1DB1-Normal13"/>
              <w:spacing w:after="0" w:line="240" w:lineRule="auto"/>
              <w:jc w:val="right"/>
              <w:rPr>
                <w:rFonts w:cs="Times New Roman"/>
                <w:noProof/>
              </w:rPr>
            </w:pPr>
            <w:r>
              <w:rPr>
                <w:noProof/>
              </w:rPr>
              <w:t>KW. 4</w:t>
            </w:r>
          </w:p>
        </w:tc>
        <w:tc>
          <w:tcPr>
            <w:tcW w:w="551" w:type="dxa"/>
            <w:shd w:val="clear" w:color="auto" w:fill="C6EFCE"/>
            <w:noWrap/>
          </w:tcPr>
          <w:p w14:paraId="639F4681" w14:textId="4EED1DC8" w:rsidR="006578ED" w:rsidRDefault="00A1618E">
            <w:pPr>
              <w:pStyle w:val="P68B1DB1-Normal13"/>
              <w:spacing w:after="0" w:line="240" w:lineRule="auto"/>
              <w:jc w:val="right"/>
              <w:rPr>
                <w:rFonts w:cs="Times New Roman"/>
                <w:noProof/>
              </w:rPr>
            </w:pPr>
            <w:r>
              <w:rPr>
                <w:noProof/>
              </w:rPr>
              <w:t>2025</w:t>
            </w:r>
          </w:p>
        </w:tc>
        <w:tc>
          <w:tcPr>
            <w:tcW w:w="5901" w:type="dxa"/>
            <w:shd w:val="clear" w:color="auto" w:fill="C6EFCE"/>
            <w:noWrap/>
          </w:tcPr>
          <w:p w14:paraId="7060AB63" w14:textId="01A8F9CC" w:rsidR="006578ED" w:rsidRDefault="00A1618E">
            <w:pPr>
              <w:pStyle w:val="P68B1DB1-Normal13"/>
              <w:spacing w:after="0" w:line="240" w:lineRule="auto"/>
              <w:rPr>
                <w:rFonts w:cs="Times New Roman"/>
                <w:noProof/>
              </w:rPr>
            </w:pPr>
            <w:r>
              <w:rPr>
                <w:noProof/>
              </w:rPr>
              <w:t xml:space="preserve">Ukończenie programu badawczego mającego na celu wykrycie potrzeb w zakresie umiejętności w oparciu o badanie przeprowadzone w co najmniej 23 sektorach produkcyjnych, które zapewnia skuteczną odpowiedź na zapotrzebowanie na szkolenie i zmianę kwalifikacji na rynku pracy, w tym umiejętności w transformacji cyfrowej i transformacji ekologicznej. Powinna również przewidywać zmiany i reagować na potencjalne zapotrzebowanie na wykwalifikowanych pracowników poprzez rozwój specjalizacji szkoleniowych. </w:t>
            </w:r>
          </w:p>
        </w:tc>
      </w:tr>
      <w:tr w:rsidR="006578ED" w14:paraId="73F4A48B" w14:textId="77777777">
        <w:trPr>
          <w:trHeight w:val="309"/>
        </w:trPr>
        <w:tc>
          <w:tcPr>
            <w:tcW w:w="830" w:type="dxa"/>
            <w:shd w:val="clear" w:color="auto" w:fill="C6EFCE"/>
            <w:noWrap/>
          </w:tcPr>
          <w:p w14:paraId="38DF2124" w14:textId="77777777" w:rsidR="006578ED" w:rsidRDefault="00A1618E">
            <w:pPr>
              <w:pStyle w:val="P68B1DB1-Normal13"/>
              <w:spacing w:after="0" w:line="240" w:lineRule="auto"/>
              <w:jc w:val="center"/>
              <w:rPr>
                <w:rFonts w:eastAsia="Times New Roman" w:cs="Times New Roman"/>
                <w:noProof/>
              </w:rPr>
            </w:pPr>
            <w:r>
              <w:rPr>
                <w:noProof/>
              </w:rPr>
              <w:t>345</w:t>
            </w:r>
          </w:p>
        </w:tc>
        <w:tc>
          <w:tcPr>
            <w:tcW w:w="828" w:type="dxa"/>
            <w:shd w:val="clear" w:color="auto" w:fill="C6EFCE"/>
            <w:noWrap/>
          </w:tcPr>
          <w:p w14:paraId="63072B0E" w14:textId="77777777" w:rsidR="006578ED" w:rsidRDefault="00A1618E">
            <w:pPr>
              <w:pStyle w:val="P68B1DB1-Normal13"/>
              <w:spacing w:after="0" w:line="240" w:lineRule="auto"/>
              <w:jc w:val="center"/>
              <w:rPr>
                <w:rFonts w:eastAsia="Times New Roman" w:cs="Times New Roman"/>
                <w:noProof/>
              </w:rPr>
            </w:pPr>
            <w:r>
              <w:rPr>
                <w:noProof/>
              </w:rPr>
              <w:t>C23.I4</w:t>
            </w:r>
          </w:p>
        </w:tc>
        <w:tc>
          <w:tcPr>
            <w:tcW w:w="826" w:type="dxa"/>
            <w:shd w:val="clear" w:color="auto" w:fill="C6EFCE"/>
            <w:noWrap/>
          </w:tcPr>
          <w:p w14:paraId="250BB525" w14:textId="69FA4B36"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4D3105FC" w14:textId="15529BDB" w:rsidR="006578ED" w:rsidRDefault="00A1618E">
            <w:pPr>
              <w:pStyle w:val="P68B1DB1-Normal13"/>
              <w:spacing w:after="0" w:line="240" w:lineRule="auto"/>
              <w:rPr>
                <w:rFonts w:eastAsia="Times New Roman" w:cs="Times New Roman"/>
                <w:noProof/>
              </w:rPr>
            </w:pPr>
            <w:r>
              <w:rPr>
                <w:noProof/>
              </w:rPr>
              <w:t xml:space="preserve">Zatwierdzenie regionalnego przydziału środków na projekty terytorialne dla słabszych grup społecznych, przedsiębiorczości i mikroprzedsiębiorstw. </w:t>
            </w:r>
          </w:p>
        </w:tc>
        <w:tc>
          <w:tcPr>
            <w:tcW w:w="1102" w:type="dxa"/>
            <w:shd w:val="clear" w:color="auto" w:fill="C6EFCE"/>
            <w:noWrap/>
          </w:tcPr>
          <w:p w14:paraId="6CBF8191" w14:textId="4D98EE44" w:rsidR="006578ED" w:rsidRDefault="00A1618E">
            <w:pPr>
              <w:pStyle w:val="P68B1DB1-Normal13"/>
              <w:spacing w:after="0" w:line="240" w:lineRule="auto"/>
              <w:jc w:val="center"/>
              <w:rPr>
                <w:rFonts w:eastAsia="Times New Roman" w:cs="Times New Roman"/>
                <w:noProof/>
              </w:rPr>
            </w:pPr>
            <w:r>
              <w:rPr>
                <w:noProof/>
              </w:rPr>
              <w:t xml:space="preserve">Protokół referencyjny z sektorowej konferencji na temat zatrudnienia </w:t>
            </w:r>
          </w:p>
        </w:tc>
        <w:tc>
          <w:tcPr>
            <w:tcW w:w="827" w:type="dxa"/>
            <w:shd w:val="clear" w:color="auto" w:fill="C6EFCE"/>
            <w:noWrap/>
          </w:tcPr>
          <w:p w14:paraId="09DA7C88"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1DE833C4"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689" w:type="dxa"/>
            <w:shd w:val="clear" w:color="auto" w:fill="C6EFCE"/>
            <w:noWrap/>
          </w:tcPr>
          <w:p w14:paraId="7016AF2E"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13" w:type="dxa"/>
            <w:shd w:val="clear" w:color="auto" w:fill="C6EFCE"/>
            <w:noWrap/>
          </w:tcPr>
          <w:p w14:paraId="314B74C4" w14:textId="3F6251B3" w:rsidR="006578ED" w:rsidRDefault="00EC188C">
            <w:pPr>
              <w:pStyle w:val="P68B1DB1-Normal13"/>
              <w:spacing w:after="0" w:line="240" w:lineRule="auto"/>
              <w:jc w:val="right"/>
              <w:rPr>
                <w:rFonts w:eastAsia="Times New Roman" w:cs="Times New Roman"/>
                <w:noProof/>
              </w:rPr>
            </w:pPr>
            <w:r>
              <w:rPr>
                <w:noProof/>
              </w:rPr>
              <w:t>KW. 3</w:t>
            </w:r>
          </w:p>
        </w:tc>
        <w:tc>
          <w:tcPr>
            <w:tcW w:w="551" w:type="dxa"/>
            <w:shd w:val="clear" w:color="auto" w:fill="C6EFCE"/>
            <w:noWrap/>
          </w:tcPr>
          <w:p w14:paraId="36CB6330" w14:textId="77777777" w:rsidR="006578ED" w:rsidRDefault="00A1618E">
            <w:pPr>
              <w:pStyle w:val="P68B1DB1-Normal13"/>
              <w:spacing w:after="0" w:line="240" w:lineRule="auto"/>
              <w:jc w:val="right"/>
              <w:rPr>
                <w:rFonts w:eastAsia="Times New Roman" w:cs="Times New Roman"/>
                <w:noProof/>
              </w:rPr>
            </w:pPr>
            <w:r>
              <w:rPr>
                <w:noProof/>
              </w:rPr>
              <w:t>2021</w:t>
            </w:r>
          </w:p>
        </w:tc>
        <w:tc>
          <w:tcPr>
            <w:tcW w:w="5901" w:type="dxa"/>
            <w:shd w:val="clear" w:color="auto" w:fill="C6EFCE"/>
            <w:noWrap/>
          </w:tcPr>
          <w:p w14:paraId="33A8F610" w14:textId="2CFC93C1" w:rsidR="006578ED" w:rsidRDefault="00A1618E">
            <w:pPr>
              <w:pStyle w:val="P68B1DB1-Normal13"/>
              <w:spacing w:after="0" w:line="240" w:lineRule="auto"/>
              <w:rPr>
                <w:rFonts w:eastAsia="Times New Roman" w:cs="Times New Roman"/>
                <w:noProof/>
              </w:rPr>
            </w:pPr>
            <w:r>
              <w:rPr>
                <w:noProof/>
              </w:rPr>
              <w:t xml:space="preserve">Zatwierdzenie na Sektorowej Konferencji Zatrudnienia regionalnego przydziału środków na projekty terytorialne dla słabszych grup społecznych oraz projekty terytorialne na rzecz przedsiębiorczości i mikroprzedsiębiorstw, takie jak opracowywanie projektów promujących przedsiębiorczość, inicjatywy na rzecz rozwoju lokalnego, inicjatywy gospodarki społecznej i nowe projekty terytorialne ułatwiające transformację produkcji, w szczególności w kierunku gospodarki ekologicznej i cyfrowej. </w:t>
            </w:r>
          </w:p>
        </w:tc>
      </w:tr>
      <w:tr w:rsidR="006578ED" w14:paraId="5B2EEC32" w14:textId="77777777">
        <w:trPr>
          <w:trHeight w:val="309"/>
        </w:trPr>
        <w:tc>
          <w:tcPr>
            <w:tcW w:w="830" w:type="dxa"/>
            <w:shd w:val="clear" w:color="auto" w:fill="C6EFCE"/>
            <w:noWrap/>
          </w:tcPr>
          <w:p w14:paraId="0B595572" w14:textId="77777777" w:rsidR="006578ED" w:rsidRDefault="00A1618E">
            <w:pPr>
              <w:pStyle w:val="P68B1DB1-Normal13"/>
              <w:spacing w:after="0" w:line="240" w:lineRule="auto"/>
              <w:jc w:val="center"/>
              <w:rPr>
                <w:rFonts w:eastAsia="Times New Roman" w:cs="Times New Roman"/>
                <w:noProof/>
              </w:rPr>
            </w:pPr>
            <w:r>
              <w:rPr>
                <w:noProof/>
              </w:rPr>
              <w:t>346</w:t>
            </w:r>
          </w:p>
        </w:tc>
        <w:tc>
          <w:tcPr>
            <w:tcW w:w="828" w:type="dxa"/>
            <w:shd w:val="clear" w:color="auto" w:fill="C6EFCE"/>
            <w:noWrap/>
          </w:tcPr>
          <w:p w14:paraId="7D2FAE15" w14:textId="77777777" w:rsidR="006578ED" w:rsidRDefault="00A1618E">
            <w:pPr>
              <w:pStyle w:val="P68B1DB1-Normal13"/>
              <w:spacing w:after="0" w:line="240" w:lineRule="auto"/>
              <w:jc w:val="center"/>
              <w:rPr>
                <w:rFonts w:eastAsia="Times New Roman" w:cs="Times New Roman"/>
                <w:noProof/>
              </w:rPr>
            </w:pPr>
            <w:r>
              <w:rPr>
                <w:noProof/>
              </w:rPr>
              <w:t>C23.I4</w:t>
            </w:r>
          </w:p>
        </w:tc>
        <w:tc>
          <w:tcPr>
            <w:tcW w:w="826" w:type="dxa"/>
            <w:shd w:val="clear" w:color="auto" w:fill="C6EFCE"/>
            <w:noWrap/>
          </w:tcPr>
          <w:p w14:paraId="29365A42" w14:textId="7235E052" w:rsidR="006578ED" w:rsidRDefault="00AF6B91">
            <w:pPr>
              <w:pStyle w:val="P68B1DB1-Normal13"/>
              <w:spacing w:after="0" w:line="240" w:lineRule="auto"/>
              <w:jc w:val="center"/>
              <w:rPr>
                <w:rFonts w:eastAsia="Times New Roman" w:cs="Times New Roman"/>
                <w:noProof/>
              </w:rPr>
            </w:pPr>
            <w:r>
              <w:rPr>
                <w:noProof/>
              </w:rPr>
              <w:t>Cel</w:t>
            </w:r>
          </w:p>
        </w:tc>
        <w:tc>
          <w:tcPr>
            <w:tcW w:w="2613" w:type="dxa"/>
            <w:shd w:val="clear" w:color="auto" w:fill="C6EFCE"/>
            <w:noWrap/>
          </w:tcPr>
          <w:p w14:paraId="25316EEB" w14:textId="7C571D55" w:rsidR="006578ED" w:rsidRDefault="00A1618E">
            <w:pPr>
              <w:pStyle w:val="P68B1DB1-Normal13"/>
              <w:spacing w:after="0" w:line="240" w:lineRule="auto"/>
              <w:rPr>
                <w:rFonts w:eastAsia="Times New Roman" w:cs="Times New Roman"/>
                <w:noProof/>
              </w:rPr>
            </w:pPr>
            <w:r>
              <w:rPr>
                <w:noProof/>
              </w:rPr>
              <w:t>Zakończono projekty terytorialne na rzecz słabszych grup społecznych, przedsiębiorczości i mikroprzedsiębiorstw, w których uczestniczyło co najmniej 39000 pracowników i 64000 przedsiębiorstw.</w:t>
            </w:r>
          </w:p>
        </w:tc>
        <w:tc>
          <w:tcPr>
            <w:tcW w:w="1102" w:type="dxa"/>
            <w:shd w:val="clear" w:color="auto" w:fill="C6EFCE"/>
            <w:noWrap/>
          </w:tcPr>
          <w:p w14:paraId="7478F826" w14:textId="77777777" w:rsidR="006578ED" w:rsidRDefault="00A1618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5FD4AE48"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413" w:type="dxa"/>
            <w:shd w:val="clear" w:color="auto" w:fill="C6EFCE"/>
            <w:noWrap/>
          </w:tcPr>
          <w:p w14:paraId="7D2EF052" w14:textId="77777777" w:rsidR="006578ED" w:rsidRDefault="00A1618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0CC676C6" w14:textId="77777777" w:rsidR="006578ED" w:rsidRDefault="00A1618E">
            <w:pPr>
              <w:pStyle w:val="P68B1DB1-Normal13"/>
              <w:spacing w:after="0" w:line="240" w:lineRule="auto"/>
              <w:jc w:val="right"/>
              <w:rPr>
                <w:rFonts w:eastAsia="Times New Roman" w:cs="Times New Roman"/>
                <w:noProof/>
              </w:rPr>
            </w:pPr>
            <w:r>
              <w:rPr>
                <w:noProof/>
              </w:rPr>
              <w:t>68</w:t>
            </w:r>
          </w:p>
        </w:tc>
        <w:tc>
          <w:tcPr>
            <w:tcW w:w="413" w:type="dxa"/>
            <w:shd w:val="clear" w:color="auto" w:fill="C6EFCE"/>
            <w:noWrap/>
          </w:tcPr>
          <w:p w14:paraId="34C73C82" w14:textId="24241693" w:rsidR="006578ED" w:rsidRDefault="00EC188C">
            <w:pPr>
              <w:pStyle w:val="P68B1DB1-Normal13"/>
              <w:spacing w:after="0" w:line="240" w:lineRule="auto"/>
              <w:jc w:val="right"/>
              <w:rPr>
                <w:rFonts w:eastAsia="Times New Roman" w:cs="Times New Roman"/>
                <w:noProof/>
              </w:rPr>
            </w:pPr>
            <w:r>
              <w:rPr>
                <w:noProof/>
              </w:rPr>
              <w:t>KW. 4</w:t>
            </w:r>
          </w:p>
        </w:tc>
        <w:tc>
          <w:tcPr>
            <w:tcW w:w="551" w:type="dxa"/>
            <w:shd w:val="clear" w:color="auto" w:fill="C6EFCE"/>
            <w:noWrap/>
          </w:tcPr>
          <w:p w14:paraId="5A691201" w14:textId="77777777" w:rsidR="006578ED" w:rsidRDefault="00A1618E">
            <w:pPr>
              <w:pStyle w:val="P68B1DB1-Normal13"/>
              <w:spacing w:after="0" w:line="240" w:lineRule="auto"/>
              <w:jc w:val="right"/>
              <w:rPr>
                <w:rFonts w:eastAsia="Times New Roman" w:cs="Times New Roman"/>
                <w:noProof/>
              </w:rPr>
            </w:pPr>
            <w:r>
              <w:rPr>
                <w:noProof/>
              </w:rPr>
              <w:t>2023</w:t>
            </w:r>
          </w:p>
        </w:tc>
        <w:tc>
          <w:tcPr>
            <w:tcW w:w="5901" w:type="dxa"/>
            <w:shd w:val="clear" w:color="auto" w:fill="C6EFCE"/>
            <w:noWrap/>
          </w:tcPr>
          <w:p w14:paraId="0BE494D8" w14:textId="6DB1F179" w:rsidR="006578ED" w:rsidRDefault="00A1618E">
            <w:pPr>
              <w:pStyle w:val="P68B1DB1-Normal13"/>
              <w:spacing w:after="0" w:line="240" w:lineRule="auto"/>
              <w:rPr>
                <w:rFonts w:eastAsia="Times New Roman" w:cs="Times New Roman"/>
                <w:noProof/>
              </w:rPr>
            </w:pPr>
            <w:r>
              <w:rPr>
                <w:noProof/>
              </w:rPr>
              <w:t>Ukończono co najmniej 68 projektów terytorialnych dla słabszych grup społecznych oraz projektów terytorialnych dotyczących przedsiębiorczości i mikroprzedsiębiorstw, w których udział wzięło około 39000 pracowników i 64000 przedsiębiorstw.</w:t>
            </w:r>
            <w:r>
              <w:rPr>
                <w:noProof/>
              </w:rPr>
              <w:br/>
              <w:t>Projekty terytorialne dla słabszych grup społecznych opracowuje się w ramach zindywidualizowanych i zindywidualizowanych tras, do których należy włączyć różne działania, takie jak: poradnictwo i pomoc, programy orientacyjne, opieka ze strony zespołów poszukiwania pracy, stypendia szkoleniowe i pojednawcze, pomoc w zatrudnianiu i monitorowaniu działań.</w:t>
            </w:r>
            <w:r>
              <w:rPr>
                <w:noProof/>
              </w:rPr>
              <w:br/>
              <w:t>Projekty w zakresie przedsiębiorczości i mikroprzedsiębiorstw dotyczą wyzwań demograficznych i ułatwiają transformację produkcyjną, w szczególności w kierunku gospodarki ekologicznej i cyfrowej, poprzez m.in. projekty szkoleniowe dla rolnictwa, zrównoważony rozwój lokalny, inicjatywy gospodarki społecznej na rzecz działań kulturalnych i artystycznych, transformację ekologiczną, inicjatywy na rzecz rozwoju lokalnego, turystyki wiejskiej i dziedzictwa artystycznego. Projekty te obejmują między innymi: przedsiębiorczość społeczna i freelancerzy, badanie rynku pracy, agenci ds. promocji i rozwoju na szczeblu lokalnym, pomoc w zakładaniu spółdzielni lub mikroprzedsiębiorstw, tworzenie sieci kontaktów, udział w konferencjach, działania upowszechniające.</w:t>
            </w:r>
          </w:p>
        </w:tc>
      </w:tr>
      <w:tr w:rsidR="006578ED" w14:paraId="5EE38AFB" w14:textId="77777777">
        <w:trPr>
          <w:trHeight w:val="309"/>
        </w:trPr>
        <w:tc>
          <w:tcPr>
            <w:tcW w:w="830" w:type="dxa"/>
            <w:shd w:val="clear" w:color="auto" w:fill="C6EFCE"/>
            <w:noWrap/>
          </w:tcPr>
          <w:p w14:paraId="3228302D" w14:textId="77777777" w:rsidR="006578ED" w:rsidRDefault="00A1618E">
            <w:pPr>
              <w:pStyle w:val="P68B1DB1-Normal13"/>
              <w:spacing w:after="0" w:line="240" w:lineRule="auto"/>
              <w:jc w:val="center"/>
              <w:rPr>
                <w:rFonts w:eastAsia="Times New Roman" w:cs="Times New Roman"/>
                <w:noProof/>
              </w:rPr>
            </w:pPr>
            <w:r>
              <w:rPr>
                <w:noProof/>
              </w:rPr>
              <w:t>347</w:t>
            </w:r>
          </w:p>
        </w:tc>
        <w:tc>
          <w:tcPr>
            <w:tcW w:w="828" w:type="dxa"/>
            <w:shd w:val="clear" w:color="auto" w:fill="C6EFCE"/>
            <w:noWrap/>
          </w:tcPr>
          <w:p w14:paraId="4ACD0B69" w14:textId="77777777" w:rsidR="006578ED" w:rsidRDefault="00A1618E">
            <w:pPr>
              <w:pStyle w:val="P68B1DB1-Normal13"/>
              <w:spacing w:after="0" w:line="240" w:lineRule="auto"/>
              <w:jc w:val="center"/>
              <w:rPr>
                <w:rFonts w:eastAsia="Times New Roman" w:cs="Times New Roman"/>
                <w:noProof/>
              </w:rPr>
            </w:pPr>
            <w:r>
              <w:rPr>
                <w:noProof/>
              </w:rPr>
              <w:t>C23.I5</w:t>
            </w:r>
          </w:p>
        </w:tc>
        <w:tc>
          <w:tcPr>
            <w:tcW w:w="826" w:type="dxa"/>
            <w:shd w:val="clear" w:color="auto" w:fill="C6EFCE"/>
            <w:noWrap/>
          </w:tcPr>
          <w:p w14:paraId="373B858D" w14:textId="2D2A5916" w:rsidR="006578ED" w:rsidRDefault="00AF6B91">
            <w:pPr>
              <w:pStyle w:val="P68B1DB1-Normal13"/>
              <w:spacing w:after="0" w:line="240" w:lineRule="auto"/>
              <w:jc w:val="center"/>
              <w:rPr>
                <w:rFonts w:eastAsia="Times New Roman" w:cs="Times New Roman"/>
                <w:noProof/>
              </w:rPr>
            </w:pPr>
            <w:r>
              <w:rPr>
                <w:noProof/>
              </w:rPr>
              <w:t>Cel</w:t>
            </w:r>
          </w:p>
        </w:tc>
        <w:tc>
          <w:tcPr>
            <w:tcW w:w="2613" w:type="dxa"/>
            <w:shd w:val="clear" w:color="auto" w:fill="C6EFCE"/>
            <w:noWrap/>
          </w:tcPr>
          <w:p w14:paraId="017F33DD" w14:textId="14ADD886" w:rsidR="006578ED" w:rsidRDefault="00A1618E">
            <w:pPr>
              <w:pStyle w:val="P68B1DB1-Normal13"/>
              <w:spacing w:after="0" w:line="240" w:lineRule="auto"/>
              <w:rPr>
                <w:rFonts w:eastAsia="Times New Roman" w:cs="Times New Roman"/>
                <w:noProof/>
              </w:rPr>
            </w:pPr>
            <w:r>
              <w:rPr>
                <w:noProof/>
              </w:rPr>
              <w:t>Publiczne ośrodki poradnictwa, przedsiębiorczości, wsparcia i innowacji na rzecz nowych miejsc pracy są w pełni operacyjne.</w:t>
            </w:r>
          </w:p>
        </w:tc>
        <w:tc>
          <w:tcPr>
            <w:tcW w:w="1102" w:type="dxa"/>
            <w:shd w:val="clear" w:color="auto" w:fill="C6EFCE"/>
            <w:noWrap/>
          </w:tcPr>
          <w:p w14:paraId="07F55D43" w14:textId="77777777" w:rsidR="006578ED" w:rsidRDefault="00A1618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6B077AC0"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413" w:type="dxa"/>
            <w:shd w:val="clear" w:color="auto" w:fill="C6EFCE"/>
            <w:noWrap/>
          </w:tcPr>
          <w:p w14:paraId="18FD11EC" w14:textId="77777777" w:rsidR="006578ED" w:rsidRDefault="00A1618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3FA557D6" w14:textId="77777777" w:rsidR="006578ED" w:rsidRDefault="00A1618E">
            <w:pPr>
              <w:pStyle w:val="P68B1DB1-Normal13"/>
              <w:spacing w:after="0" w:line="240" w:lineRule="auto"/>
              <w:jc w:val="center"/>
              <w:rPr>
                <w:rFonts w:eastAsia="Times New Roman" w:cs="Times New Roman"/>
                <w:noProof/>
              </w:rPr>
            </w:pPr>
            <w:r>
              <w:rPr>
                <w:noProof/>
              </w:rPr>
              <w:t>20</w:t>
            </w:r>
          </w:p>
        </w:tc>
        <w:tc>
          <w:tcPr>
            <w:tcW w:w="413" w:type="dxa"/>
            <w:shd w:val="clear" w:color="auto" w:fill="C6EFCE"/>
            <w:noWrap/>
          </w:tcPr>
          <w:p w14:paraId="4527830F" w14:textId="0EE6EB4C"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17DBB9E2" w14:textId="20AFC6D9" w:rsidR="006578ED" w:rsidRDefault="00A1618E">
            <w:pPr>
              <w:pStyle w:val="P68B1DB1-Normal13"/>
              <w:spacing w:after="0" w:line="240" w:lineRule="auto"/>
              <w:jc w:val="center"/>
              <w:rPr>
                <w:rFonts w:eastAsia="Times New Roman" w:cs="Times New Roman"/>
                <w:noProof/>
              </w:rPr>
            </w:pPr>
            <w:r>
              <w:rPr>
                <w:noProof/>
              </w:rPr>
              <w:t>2024</w:t>
            </w:r>
          </w:p>
        </w:tc>
        <w:tc>
          <w:tcPr>
            <w:tcW w:w="5901" w:type="dxa"/>
            <w:shd w:val="clear" w:color="auto" w:fill="C6EFCE"/>
            <w:noWrap/>
          </w:tcPr>
          <w:p w14:paraId="6376C800" w14:textId="36104B15" w:rsidR="006578ED" w:rsidRDefault="00A1618E">
            <w:pPr>
              <w:pStyle w:val="P68B1DB1-Normal13"/>
              <w:spacing w:after="0" w:line="240" w:lineRule="auto"/>
              <w:rPr>
                <w:rFonts w:eastAsia="Times New Roman" w:cs="Times New Roman"/>
                <w:noProof/>
              </w:rPr>
            </w:pPr>
            <w:r>
              <w:rPr>
                <w:noProof/>
              </w:rPr>
              <w:t>W pełni działa co najmniej 20 publicznych ośrodków poradnictwa, przedsiębiorczości, wsparcia i innowacji na rzecz nowych miejsc pracy.</w:t>
            </w:r>
          </w:p>
        </w:tc>
      </w:tr>
      <w:tr w:rsidR="006578ED" w14:paraId="47C2CB73" w14:textId="77777777">
        <w:trPr>
          <w:trHeight w:val="309"/>
        </w:trPr>
        <w:tc>
          <w:tcPr>
            <w:tcW w:w="830" w:type="dxa"/>
            <w:shd w:val="clear" w:color="auto" w:fill="C6EFCE"/>
            <w:noWrap/>
          </w:tcPr>
          <w:p w14:paraId="5A579700" w14:textId="77777777" w:rsidR="006578ED" w:rsidRDefault="00A1618E">
            <w:pPr>
              <w:pStyle w:val="P68B1DB1-Normal13"/>
              <w:spacing w:after="0" w:line="240" w:lineRule="auto"/>
              <w:jc w:val="center"/>
              <w:rPr>
                <w:rFonts w:eastAsia="Times New Roman" w:cs="Times New Roman"/>
                <w:noProof/>
              </w:rPr>
            </w:pPr>
            <w:r>
              <w:rPr>
                <w:noProof/>
              </w:rPr>
              <w:t>348</w:t>
            </w:r>
          </w:p>
        </w:tc>
        <w:tc>
          <w:tcPr>
            <w:tcW w:w="828" w:type="dxa"/>
            <w:shd w:val="clear" w:color="auto" w:fill="C6EFCE"/>
            <w:noWrap/>
          </w:tcPr>
          <w:p w14:paraId="6D48B057" w14:textId="77777777" w:rsidR="006578ED" w:rsidRDefault="00A1618E">
            <w:pPr>
              <w:pStyle w:val="P68B1DB1-Normal13"/>
              <w:spacing w:after="0" w:line="240" w:lineRule="auto"/>
              <w:jc w:val="center"/>
              <w:rPr>
                <w:rFonts w:eastAsia="Times New Roman" w:cs="Times New Roman"/>
                <w:noProof/>
              </w:rPr>
            </w:pPr>
            <w:r>
              <w:rPr>
                <w:noProof/>
              </w:rPr>
              <w:t>C23.I5</w:t>
            </w:r>
          </w:p>
        </w:tc>
        <w:tc>
          <w:tcPr>
            <w:tcW w:w="826" w:type="dxa"/>
            <w:shd w:val="clear" w:color="auto" w:fill="C6EFCE"/>
            <w:noWrap/>
          </w:tcPr>
          <w:p w14:paraId="18A1F58A" w14:textId="0F686B25" w:rsidR="006578ED" w:rsidRDefault="00AF6B91">
            <w:pPr>
              <w:pStyle w:val="P68B1DB1-Normal13"/>
              <w:spacing w:after="0" w:line="240" w:lineRule="auto"/>
              <w:jc w:val="center"/>
              <w:rPr>
                <w:rFonts w:eastAsia="Times New Roman" w:cs="Times New Roman"/>
                <w:noProof/>
              </w:rPr>
            </w:pPr>
            <w:r>
              <w:rPr>
                <w:noProof/>
              </w:rPr>
              <w:t>Cel</w:t>
            </w:r>
          </w:p>
        </w:tc>
        <w:tc>
          <w:tcPr>
            <w:tcW w:w="2613" w:type="dxa"/>
            <w:shd w:val="clear" w:color="auto" w:fill="C6EFCE"/>
            <w:noWrap/>
          </w:tcPr>
          <w:p w14:paraId="18557365" w14:textId="77777777" w:rsidR="006578ED" w:rsidRDefault="00A1618E">
            <w:pPr>
              <w:pStyle w:val="P68B1DB1-Normal13"/>
              <w:spacing w:after="0" w:line="240" w:lineRule="auto"/>
              <w:rPr>
                <w:rFonts w:eastAsia="Times New Roman" w:cs="Times New Roman"/>
                <w:noProof/>
              </w:rPr>
            </w:pPr>
            <w:r>
              <w:rPr>
                <w:noProof/>
              </w:rPr>
              <w:t>Działania szkoleniowe dla pracowników publicznych służb zatrudnienia</w:t>
            </w:r>
          </w:p>
        </w:tc>
        <w:tc>
          <w:tcPr>
            <w:tcW w:w="1102" w:type="dxa"/>
            <w:shd w:val="clear" w:color="auto" w:fill="C6EFCE"/>
            <w:noWrap/>
          </w:tcPr>
          <w:p w14:paraId="2138AF60" w14:textId="77777777" w:rsidR="006578ED" w:rsidRDefault="00A1618E">
            <w:pPr>
              <w:pStyle w:val="P68B1DB1-Normal13"/>
              <w:spacing w:after="0" w:line="240" w:lineRule="auto"/>
              <w:jc w:val="center"/>
              <w:rPr>
                <w:rFonts w:eastAsia="Times New Roman" w:cs="Times New Roman"/>
                <w:noProof/>
              </w:rPr>
            </w:pPr>
            <w:r>
              <w:rPr>
                <w:noProof/>
              </w:rPr>
              <w:t> </w:t>
            </w:r>
          </w:p>
        </w:tc>
        <w:tc>
          <w:tcPr>
            <w:tcW w:w="827" w:type="dxa"/>
            <w:shd w:val="clear" w:color="auto" w:fill="C6EFCE"/>
            <w:noWrap/>
          </w:tcPr>
          <w:p w14:paraId="16ACCCDF"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413" w:type="dxa"/>
            <w:shd w:val="clear" w:color="auto" w:fill="C6EFCE"/>
            <w:noWrap/>
          </w:tcPr>
          <w:p w14:paraId="7E3C3610" w14:textId="77777777" w:rsidR="006578ED" w:rsidRDefault="00A1618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66F306B6" w14:textId="77777777" w:rsidR="006578ED" w:rsidRDefault="00A1618E">
            <w:pPr>
              <w:pStyle w:val="P68B1DB1-Normal13"/>
              <w:spacing w:after="0" w:line="240" w:lineRule="auto"/>
              <w:jc w:val="center"/>
              <w:rPr>
                <w:rFonts w:eastAsia="Times New Roman" w:cs="Times New Roman"/>
                <w:noProof/>
              </w:rPr>
            </w:pPr>
            <w:r>
              <w:rPr>
                <w:noProof/>
              </w:rPr>
              <w:t>42 000</w:t>
            </w:r>
          </w:p>
        </w:tc>
        <w:tc>
          <w:tcPr>
            <w:tcW w:w="413" w:type="dxa"/>
            <w:shd w:val="clear" w:color="auto" w:fill="C6EFCE"/>
            <w:noWrap/>
          </w:tcPr>
          <w:p w14:paraId="14555A8C" w14:textId="0D9732AC" w:rsidR="006578ED" w:rsidRDefault="00EC188C">
            <w:pPr>
              <w:pStyle w:val="P68B1DB1-Normal13"/>
              <w:spacing w:after="0" w:line="240" w:lineRule="auto"/>
              <w:jc w:val="center"/>
              <w:rPr>
                <w:rFonts w:eastAsia="Times New Roman" w:cs="Times New Roman"/>
                <w:noProof/>
              </w:rPr>
            </w:pPr>
            <w:r>
              <w:rPr>
                <w:noProof/>
              </w:rPr>
              <w:t>KW. 4</w:t>
            </w:r>
          </w:p>
        </w:tc>
        <w:tc>
          <w:tcPr>
            <w:tcW w:w="551" w:type="dxa"/>
            <w:shd w:val="clear" w:color="auto" w:fill="C6EFCE"/>
            <w:noWrap/>
          </w:tcPr>
          <w:p w14:paraId="297F6BF3" w14:textId="77777777" w:rsidR="006578ED" w:rsidRDefault="00A1618E">
            <w:pPr>
              <w:pStyle w:val="P68B1DB1-Normal13"/>
              <w:spacing w:after="0" w:line="240" w:lineRule="auto"/>
              <w:jc w:val="center"/>
              <w:rPr>
                <w:rFonts w:eastAsia="Times New Roman" w:cs="Times New Roman"/>
                <w:noProof/>
              </w:rPr>
            </w:pPr>
            <w:r>
              <w:rPr>
                <w:noProof/>
              </w:rPr>
              <w:t>2023</w:t>
            </w:r>
          </w:p>
        </w:tc>
        <w:tc>
          <w:tcPr>
            <w:tcW w:w="5901" w:type="dxa"/>
            <w:shd w:val="clear" w:color="auto" w:fill="C6EFCE"/>
            <w:noWrap/>
          </w:tcPr>
          <w:p w14:paraId="185D20DF" w14:textId="1268EC0B" w:rsidR="006578ED" w:rsidRDefault="00A1618E">
            <w:pPr>
              <w:pStyle w:val="P68B1DB1-Normal13"/>
              <w:spacing w:after="0" w:line="240" w:lineRule="auto"/>
              <w:rPr>
                <w:rFonts w:eastAsia="Times New Roman" w:cs="Times New Roman"/>
                <w:noProof/>
              </w:rPr>
            </w:pPr>
            <w:r>
              <w:rPr>
                <w:noProof/>
              </w:rPr>
              <w:t>Zakończono co najmniej 42000 działań szkoleniowych dla pracowników publicznych służb zatrudnienia w celu podniesienia ich umiejętności i zapewnienia skuteczniejszego wsparcia osobom poszukującym pracy.</w:t>
            </w:r>
          </w:p>
        </w:tc>
      </w:tr>
      <w:tr w:rsidR="006578ED" w14:paraId="66A83C43" w14:textId="77777777">
        <w:trPr>
          <w:trHeight w:val="309"/>
        </w:trPr>
        <w:tc>
          <w:tcPr>
            <w:tcW w:w="830" w:type="dxa"/>
            <w:shd w:val="clear" w:color="auto" w:fill="C6EFCE"/>
            <w:noWrap/>
          </w:tcPr>
          <w:p w14:paraId="1703DCB6" w14:textId="77777777" w:rsidR="006578ED" w:rsidRDefault="00A1618E">
            <w:pPr>
              <w:pStyle w:val="P68B1DB1-Normal13"/>
              <w:spacing w:after="0" w:line="240" w:lineRule="auto"/>
              <w:jc w:val="center"/>
              <w:rPr>
                <w:rFonts w:eastAsia="Times New Roman" w:cs="Times New Roman"/>
                <w:noProof/>
              </w:rPr>
            </w:pPr>
            <w:r>
              <w:rPr>
                <w:noProof/>
              </w:rPr>
              <w:t>349</w:t>
            </w:r>
          </w:p>
        </w:tc>
        <w:tc>
          <w:tcPr>
            <w:tcW w:w="828" w:type="dxa"/>
            <w:shd w:val="clear" w:color="auto" w:fill="C6EFCE"/>
            <w:noWrap/>
          </w:tcPr>
          <w:p w14:paraId="0A36F51B" w14:textId="77777777" w:rsidR="006578ED" w:rsidRDefault="00A1618E">
            <w:pPr>
              <w:pStyle w:val="P68B1DB1-Normal13"/>
              <w:spacing w:after="0" w:line="240" w:lineRule="auto"/>
              <w:jc w:val="center"/>
              <w:rPr>
                <w:rFonts w:eastAsia="Times New Roman" w:cs="Times New Roman"/>
                <w:noProof/>
              </w:rPr>
            </w:pPr>
            <w:r>
              <w:rPr>
                <w:noProof/>
              </w:rPr>
              <w:t>C23.I6</w:t>
            </w:r>
          </w:p>
        </w:tc>
        <w:tc>
          <w:tcPr>
            <w:tcW w:w="826" w:type="dxa"/>
            <w:shd w:val="clear" w:color="auto" w:fill="C6EFCE"/>
            <w:noWrap/>
          </w:tcPr>
          <w:p w14:paraId="7965CF1E" w14:textId="1E070ADF" w:rsidR="006578ED" w:rsidRDefault="00AF6B91">
            <w:pPr>
              <w:pStyle w:val="P68B1DB1-Normal13"/>
              <w:spacing w:after="0" w:line="240" w:lineRule="auto"/>
              <w:jc w:val="center"/>
              <w:rPr>
                <w:rFonts w:eastAsia="Times New Roman" w:cs="Times New Roman"/>
                <w:noProof/>
              </w:rPr>
            </w:pPr>
            <w:r>
              <w:rPr>
                <w:noProof/>
              </w:rPr>
              <w:t>Cel</w:t>
            </w:r>
          </w:p>
        </w:tc>
        <w:tc>
          <w:tcPr>
            <w:tcW w:w="2613" w:type="dxa"/>
            <w:shd w:val="clear" w:color="auto" w:fill="C6EFCE"/>
            <w:noWrap/>
          </w:tcPr>
          <w:p w14:paraId="51C7A896" w14:textId="494BA602" w:rsidR="006578ED" w:rsidRDefault="00A1618E">
            <w:pPr>
              <w:pStyle w:val="P68B1DB1-Normal13"/>
              <w:spacing w:after="0" w:line="240" w:lineRule="auto"/>
              <w:rPr>
                <w:rFonts w:eastAsia="Times New Roman" w:cs="Times New Roman"/>
                <w:noProof/>
              </w:rPr>
            </w:pPr>
            <w:r>
              <w:rPr>
                <w:noProof/>
              </w:rPr>
              <w:t>Zakończono projekty z zakresu gospodarki społecznej</w:t>
            </w:r>
          </w:p>
        </w:tc>
        <w:tc>
          <w:tcPr>
            <w:tcW w:w="1102" w:type="dxa"/>
            <w:shd w:val="clear" w:color="auto" w:fill="C6EFCE"/>
            <w:noWrap/>
          </w:tcPr>
          <w:p w14:paraId="739B518A" w14:textId="77777777" w:rsidR="006578ED" w:rsidRDefault="00A1618E">
            <w:pPr>
              <w:pStyle w:val="P68B1DB1-Normal13"/>
              <w:spacing w:after="0" w:line="240" w:lineRule="auto"/>
              <w:jc w:val="center"/>
              <w:rPr>
                <w:rFonts w:eastAsia="Times New Roman" w:cs="Times New Roman"/>
                <w:noProof/>
              </w:rPr>
            </w:pPr>
            <w:r>
              <w:rPr>
                <w:noProof/>
              </w:rPr>
              <w:t>—</w:t>
            </w:r>
          </w:p>
        </w:tc>
        <w:tc>
          <w:tcPr>
            <w:tcW w:w="827" w:type="dxa"/>
            <w:shd w:val="clear" w:color="auto" w:fill="C6EFCE"/>
            <w:noWrap/>
          </w:tcPr>
          <w:p w14:paraId="28940D2D"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413" w:type="dxa"/>
            <w:shd w:val="clear" w:color="auto" w:fill="C6EFCE"/>
            <w:noWrap/>
          </w:tcPr>
          <w:p w14:paraId="52CA3C81" w14:textId="77777777" w:rsidR="006578ED" w:rsidRDefault="00A1618E">
            <w:pPr>
              <w:pStyle w:val="P68B1DB1-Normal13"/>
              <w:spacing w:after="0" w:line="240" w:lineRule="auto"/>
              <w:jc w:val="right"/>
              <w:rPr>
                <w:rFonts w:eastAsia="Times New Roman" w:cs="Times New Roman"/>
                <w:noProof/>
              </w:rPr>
            </w:pPr>
            <w:r>
              <w:rPr>
                <w:noProof/>
              </w:rPr>
              <w:t>0</w:t>
            </w:r>
          </w:p>
        </w:tc>
        <w:tc>
          <w:tcPr>
            <w:tcW w:w="689" w:type="dxa"/>
            <w:shd w:val="clear" w:color="auto" w:fill="C6EFCE"/>
            <w:noWrap/>
          </w:tcPr>
          <w:p w14:paraId="338013CE" w14:textId="77777777" w:rsidR="006578ED" w:rsidRDefault="00A1618E">
            <w:pPr>
              <w:pStyle w:val="P68B1DB1-Normal13"/>
              <w:spacing w:after="0" w:line="240" w:lineRule="auto"/>
              <w:jc w:val="center"/>
              <w:rPr>
                <w:rFonts w:eastAsia="Times New Roman" w:cs="Times New Roman"/>
                <w:noProof/>
              </w:rPr>
            </w:pPr>
            <w:r>
              <w:rPr>
                <w:noProof/>
              </w:rPr>
              <w:t>30</w:t>
            </w:r>
          </w:p>
        </w:tc>
        <w:tc>
          <w:tcPr>
            <w:tcW w:w="413" w:type="dxa"/>
            <w:shd w:val="clear" w:color="auto" w:fill="C6EFCE"/>
            <w:noWrap/>
          </w:tcPr>
          <w:p w14:paraId="538491BD" w14:textId="47630A4F" w:rsidR="006578ED" w:rsidRDefault="00EC188C">
            <w:pPr>
              <w:pStyle w:val="P68B1DB1-Normal13"/>
              <w:spacing w:after="0" w:line="240" w:lineRule="auto"/>
              <w:jc w:val="center"/>
              <w:rPr>
                <w:rFonts w:eastAsia="Times New Roman" w:cs="Times New Roman"/>
                <w:noProof/>
              </w:rPr>
            </w:pPr>
            <w:r>
              <w:rPr>
                <w:noProof/>
              </w:rPr>
              <w:t>KW. 2</w:t>
            </w:r>
          </w:p>
        </w:tc>
        <w:tc>
          <w:tcPr>
            <w:tcW w:w="551" w:type="dxa"/>
            <w:shd w:val="clear" w:color="auto" w:fill="C6EFCE"/>
            <w:noWrap/>
          </w:tcPr>
          <w:p w14:paraId="1FD7D994" w14:textId="5D3F7141" w:rsidR="006578ED" w:rsidRDefault="00A1618E">
            <w:pPr>
              <w:pStyle w:val="P68B1DB1-Normal13"/>
              <w:spacing w:after="0" w:line="240" w:lineRule="auto"/>
              <w:jc w:val="center"/>
              <w:rPr>
                <w:rFonts w:eastAsia="Times New Roman" w:cs="Times New Roman"/>
                <w:noProof/>
              </w:rPr>
            </w:pPr>
            <w:r>
              <w:rPr>
                <w:noProof/>
              </w:rPr>
              <w:t>2025</w:t>
            </w:r>
          </w:p>
        </w:tc>
        <w:tc>
          <w:tcPr>
            <w:tcW w:w="5901" w:type="dxa"/>
            <w:shd w:val="clear" w:color="auto" w:fill="C6EFCE"/>
            <w:noWrap/>
          </w:tcPr>
          <w:p w14:paraId="36C2B50B" w14:textId="59530238" w:rsidR="006578ED" w:rsidRDefault="00A1618E">
            <w:pPr>
              <w:pStyle w:val="P68B1DB1-Normal13"/>
              <w:spacing w:after="0" w:line="240" w:lineRule="auto"/>
              <w:rPr>
                <w:rFonts w:eastAsia="Times New Roman" w:cs="Times New Roman"/>
                <w:noProof/>
              </w:rPr>
            </w:pPr>
            <w:r>
              <w:rPr>
                <w:noProof/>
              </w:rPr>
              <w:t>Ukończono co najmniej 30 projektów gospodarki społecznej wspierających: tworzenie i utrzymywanie zatrudnienia w rentownych przedsiębiorstwach znajdujących się w trudnej sytuacji lub nieposiadających wymiany pokoleń poprzez przekształcenie ich w formuły przedsiębiorstw gospodarki społecznej (spółdzielnie i przedsiębiorstwa pracy), zarządzane przez pracowników płci męskiej i żeńskiej; tworzenie i konsolidacja innowacyjnych podmiotów gospodarki społecznej mających wpływ na wymianę pokoleń i przedsiębiorczość młodzieży; cyfryzacja przedsiębiorstw gospodarki społecznej poprzez tworzenie platform cyfrowych mających na celu poprawę dobrostanu obywateli na obszarach wiejskich; tworzenie sieci współpracy między spółdzielniami, przedsiębiorstwami pracy i innymi formami gospodarki społecznej wraz ze środkami budowania zdolności i szkoleniami w celu zapewnienia społeczeństwu nowych, kompleksowych usług; oraz e) wspieranie zrównoważonej i sprzyjającej włączeniu społecznemu transformacji przedsiębiorstw i grup znajdujących się w trudnej sytuacji.</w:t>
            </w:r>
          </w:p>
        </w:tc>
      </w:tr>
      <w:tr w:rsidR="006578ED" w14:paraId="1D68E393" w14:textId="77777777">
        <w:trPr>
          <w:trHeight w:val="309"/>
        </w:trPr>
        <w:tc>
          <w:tcPr>
            <w:tcW w:w="830" w:type="dxa"/>
            <w:shd w:val="clear" w:color="auto" w:fill="C6EFCE"/>
            <w:noWrap/>
          </w:tcPr>
          <w:p w14:paraId="5F1CCB4D" w14:textId="77777777" w:rsidR="006578ED" w:rsidRDefault="00A1618E">
            <w:pPr>
              <w:pStyle w:val="P68B1DB1-Normal13"/>
              <w:spacing w:after="0" w:line="240" w:lineRule="auto"/>
              <w:jc w:val="center"/>
              <w:rPr>
                <w:rFonts w:eastAsia="Times New Roman" w:cs="Times New Roman"/>
                <w:noProof/>
              </w:rPr>
            </w:pPr>
            <w:r>
              <w:rPr>
                <w:noProof/>
              </w:rPr>
              <w:t>350</w:t>
            </w:r>
          </w:p>
        </w:tc>
        <w:tc>
          <w:tcPr>
            <w:tcW w:w="828" w:type="dxa"/>
            <w:shd w:val="clear" w:color="auto" w:fill="C6EFCE"/>
            <w:noWrap/>
          </w:tcPr>
          <w:p w14:paraId="6EB03790" w14:textId="77777777" w:rsidR="006578ED" w:rsidRDefault="00A1618E">
            <w:pPr>
              <w:pStyle w:val="P68B1DB1-Normal13"/>
              <w:spacing w:after="0" w:line="240" w:lineRule="auto"/>
              <w:jc w:val="center"/>
              <w:rPr>
                <w:rFonts w:eastAsia="Times New Roman" w:cs="Times New Roman"/>
                <w:noProof/>
              </w:rPr>
            </w:pPr>
            <w:r>
              <w:rPr>
                <w:noProof/>
              </w:rPr>
              <w:t>C23.I7</w:t>
            </w:r>
          </w:p>
        </w:tc>
        <w:tc>
          <w:tcPr>
            <w:tcW w:w="826" w:type="dxa"/>
            <w:shd w:val="clear" w:color="auto" w:fill="C6EFCE"/>
            <w:noWrap/>
          </w:tcPr>
          <w:p w14:paraId="79509368" w14:textId="041B6AE2" w:rsidR="006578ED" w:rsidRDefault="00AF6B91">
            <w:pPr>
              <w:pStyle w:val="P68B1DB1-Normal13"/>
              <w:spacing w:after="0" w:line="240" w:lineRule="auto"/>
              <w:jc w:val="center"/>
              <w:rPr>
                <w:rFonts w:eastAsia="Times New Roman" w:cs="Times New Roman"/>
                <w:noProof/>
              </w:rPr>
            </w:pPr>
            <w:r>
              <w:rPr>
                <w:noProof/>
              </w:rPr>
              <w:t>Kamień milowy</w:t>
            </w:r>
          </w:p>
        </w:tc>
        <w:tc>
          <w:tcPr>
            <w:tcW w:w="2613" w:type="dxa"/>
            <w:shd w:val="clear" w:color="auto" w:fill="C6EFCE"/>
            <w:noWrap/>
          </w:tcPr>
          <w:p w14:paraId="233405FA" w14:textId="45E4A2F2" w:rsidR="006578ED" w:rsidRDefault="00A1618E">
            <w:pPr>
              <w:pStyle w:val="P68B1DB1-Normal13"/>
              <w:spacing w:after="0" w:line="240" w:lineRule="auto"/>
              <w:rPr>
                <w:rFonts w:eastAsia="Times New Roman" w:cs="Times New Roman"/>
                <w:noProof/>
              </w:rPr>
            </w:pPr>
            <w:r>
              <w:rPr>
                <w:noProof/>
              </w:rPr>
              <w:t>Poprawa wskaźnika wykorzystania dochodu minimalnego (IMV) i zwiększenie jego skuteczności dzięki polityce włączenia społecznego</w:t>
            </w:r>
          </w:p>
        </w:tc>
        <w:tc>
          <w:tcPr>
            <w:tcW w:w="1102" w:type="dxa"/>
            <w:shd w:val="clear" w:color="auto" w:fill="C6EFCE"/>
            <w:noWrap/>
          </w:tcPr>
          <w:p w14:paraId="1DD611C7" w14:textId="7DFB3740" w:rsidR="006578ED" w:rsidRDefault="00A1618E">
            <w:pPr>
              <w:pStyle w:val="P68B1DB1-Normal13"/>
              <w:spacing w:after="0" w:line="240" w:lineRule="auto"/>
              <w:jc w:val="center"/>
              <w:rPr>
                <w:rFonts w:eastAsia="Times New Roman" w:cs="Times New Roman"/>
                <w:noProof/>
              </w:rPr>
            </w:pPr>
            <w:r>
              <w:rPr>
                <w:noProof/>
              </w:rPr>
              <w:t>Publikacja umowy o partnerstwie („</w:t>
            </w:r>
            <w:r>
              <w:rPr>
                <w:i/>
                <w:noProof/>
              </w:rPr>
              <w:t>Convenio”</w:t>
            </w:r>
            <w:r>
              <w:rPr>
                <w:noProof/>
              </w:rPr>
              <w:t>)</w:t>
            </w:r>
          </w:p>
        </w:tc>
        <w:tc>
          <w:tcPr>
            <w:tcW w:w="827" w:type="dxa"/>
            <w:shd w:val="clear" w:color="auto" w:fill="C6EFCE"/>
            <w:noWrap/>
          </w:tcPr>
          <w:p w14:paraId="3874BD7C"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71960EBE"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689" w:type="dxa"/>
            <w:shd w:val="clear" w:color="auto" w:fill="C6EFCE"/>
            <w:noWrap/>
          </w:tcPr>
          <w:p w14:paraId="24C080EB"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413" w:type="dxa"/>
            <w:shd w:val="clear" w:color="auto" w:fill="C6EFCE"/>
            <w:noWrap/>
          </w:tcPr>
          <w:p w14:paraId="081E6E72" w14:textId="3BB22896" w:rsidR="006578ED" w:rsidRDefault="00EC188C">
            <w:pPr>
              <w:pStyle w:val="P68B1DB1-Normal13"/>
              <w:spacing w:after="0" w:line="240" w:lineRule="auto"/>
              <w:jc w:val="center"/>
              <w:rPr>
                <w:rFonts w:eastAsia="Times New Roman" w:cs="Times New Roman"/>
                <w:noProof/>
              </w:rPr>
            </w:pPr>
            <w:r>
              <w:rPr>
                <w:noProof/>
              </w:rPr>
              <w:t>KW. 1</w:t>
            </w:r>
          </w:p>
        </w:tc>
        <w:tc>
          <w:tcPr>
            <w:tcW w:w="551" w:type="dxa"/>
            <w:shd w:val="clear" w:color="auto" w:fill="C6EFCE"/>
            <w:noWrap/>
          </w:tcPr>
          <w:p w14:paraId="127FD24D" w14:textId="77777777" w:rsidR="006578ED" w:rsidRDefault="00A1618E">
            <w:pPr>
              <w:pStyle w:val="P68B1DB1-Normal13"/>
              <w:spacing w:after="0" w:line="240" w:lineRule="auto"/>
              <w:jc w:val="center"/>
              <w:rPr>
                <w:rFonts w:eastAsia="Times New Roman" w:cs="Times New Roman"/>
                <w:noProof/>
              </w:rPr>
            </w:pPr>
            <w:r>
              <w:rPr>
                <w:noProof/>
              </w:rPr>
              <w:t>2022</w:t>
            </w:r>
          </w:p>
        </w:tc>
        <w:tc>
          <w:tcPr>
            <w:tcW w:w="5901" w:type="dxa"/>
            <w:shd w:val="clear" w:color="auto" w:fill="C6EFCE"/>
            <w:noWrap/>
          </w:tcPr>
          <w:p w14:paraId="4CB38101" w14:textId="62A703F6" w:rsidR="006578ED" w:rsidRDefault="00A1618E">
            <w:pPr>
              <w:pStyle w:val="P68B1DB1-Normal13"/>
              <w:spacing w:after="0" w:line="240" w:lineRule="auto"/>
              <w:rPr>
                <w:rFonts w:eastAsia="Times New Roman" w:cs="Times New Roman"/>
                <w:noProof/>
              </w:rPr>
            </w:pPr>
            <w:r>
              <w:rPr>
                <w:noProof/>
              </w:rPr>
              <w:t>Wspieranie włączenia społeczno-gospodarczego beneficjentów IMV za pomocą ścieżek: osiem umów o partnerstwie podpisanych z administracjami publicznymi szczebla niższego niż krajowy, partnerami społecznymi i podmiotami trzeciego sektora działań społecznych w celu realizacji tych ścieżek. Celem tych umów o partnerstwie jest: zwiększenie wskaźnika wykorzystania IMV; II) zwiększenie skuteczności IMV poprzez politykę włączenia społecznego.</w:t>
            </w:r>
          </w:p>
        </w:tc>
      </w:tr>
      <w:tr w:rsidR="006578ED" w14:paraId="0967AC53" w14:textId="77777777">
        <w:trPr>
          <w:trHeight w:val="309"/>
        </w:trPr>
        <w:tc>
          <w:tcPr>
            <w:tcW w:w="830" w:type="dxa"/>
            <w:shd w:val="clear" w:color="auto" w:fill="C6EFCE"/>
            <w:noWrap/>
          </w:tcPr>
          <w:p w14:paraId="5BEF3A92" w14:textId="77777777" w:rsidR="006578ED" w:rsidRDefault="00A1618E">
            <w:pPr>
              <w:pStyle w:val="P68B1DB1-Normal13"/>
              <w:spacing w:after="0" w:line="240" w:lineRule="auto"/>
              <w:jc w:val="center"/>
              <w:rPr>
                <w:rFonts w:cs="Times New Roman"/>
                <w:noProof/>
              </w:rPr>
            </w:pPr>
            <w:r>
              <w:rPr>
                <w:noProof/>
              </w:rPr>
              <w:t>351</w:t>
            </w:r>
          </w:p>
        </w:tc>
        <w:tc>
          <w:tcPr>
            <w:tcW w:w="828" w:type="dxa"/>
            <w:shd w:val="clear" w:color="auto" w:fill="C6EFCE"/>
            <w:noWrap/>
          </w:tcPr>
          <w:p w14:paraId="03A6C76A" w14:textId="77777777" w:rsidR="006578ED" w:rsidRDefault="00A1618E">
            <w:pPr>
              <w:pStyle w:val="P68B1DB1-Normal13"/>
              <w:spacing w:after="0" w:line="240" w:lineRule="auto"/>
              <w:jc w:val="center"/>
              <w:rPr>
                <w:rFonts w:cs="Times New Roman"/>
                <w:noProof/>
              </w:rPr>
            </w:pPr>
            <w:r>
              <w:rPr>
                <w:noProof/>
              </w:rPr>
              <w:t>C23.I7</w:t>
            </w:r>
          </w:p>
        </w:tc>
        <w:tc>
          <w:tcPr>
            <w:tcW w:w="826" w:type="dxa"/>
            <w:shd w:val="clear" w:color="auto" w:fill="C6EFCE"/>
            <w:noWrap/>
          </w:tcPr>
          <w:p w14:paraId="303CCEDA" w14:textId="715066F4" w:rsidR="006578ED" w:rsidRDefault="00AF6B91">
            <w:pPr>
              <w:pStyle w:val="P68B1DB1-Normal13"/>
              <w:spacing w:after="0" w:line="240" w:lineRule="auto"/>
              <w:jc w:val="center"/>
              <w:rPr>
                <w:rFonts w:cs="Times New Roman"/>
                <w:noProof/>
              </w:rPr>
            </w:pPr>
            <w:r>
              <w:rPr>
                <w:noProof/>
              </w:rPr>
              <w:t>Kamień milowy</w:t>
            </w:r>
          </w:p>
        </w:tc>
        <w:tc>
          <w:tcPr>
            <w:tcW w:w="2613" w:type="dxa"/>
            <w:shd w:val="clear" w:color="auto" w:fill="C6EFCE"/>
            <w:noWrap/>
          </w:tcPr>
          <w:p w14:paraId="27D85484" w14:textId="738EBBBE" w:rsidR="006578ED" w:rsidRDefault="00A1618E">
            <w:pPr>
              <w:pStyle w:val="P68B1DB1-Normal13"/>
              <w:spacing w:after="0" w:line="240" w:lineRule="auto"/>
              <w:rPr>
                <w:rFonts w:cs="Times New Roman"/>
                <w:noProof/>
              </w:rPr>
            </w:pPr>
            <w:r>
              <w:rPr>
                <w:noProof/>
              </w:rPr>
              <w:t>Ocena zakresu, skuteczności i powodzenia systemów dochodu minimalnego</w:t>
            </w:r>
          </w:p>
        </w:tc>
        <w:tc>
          <w:tcPr>
            <w:tcW w:w="1102" w:type="dxa"/>
            <w:shd w:val="clear" w:color="auto" w:fill="C6EFCE"/>
            <w:noWrap/>
          </w:tcPr>
          <w:p w14:paraId="312F2532" w14:textId="77777777" w:rsidR="006578ED" w:rsidRDefault="00A1618E">
            <w:pPr>
              <w:pStyle w:val="P68B1DB1-Normal13"/>
              <w:spacing w:after="0" w:line="240" w:lineRule="auto"/>
              <w:jc w:val="center"/>
              <w:rPr>
                <w:rFonts w:cs="Times New Roman"/>
                <w:noProof/>
              </w:rPr>
            </w:pPr>
            <w:r>
              <w:rPr>
                <w:noProof/>
              </w:rPr>
              <w:t>Publikacja oceny</w:t>
            </w:r>
          </w:p>
        </w:tc>
        <w:tc>
          <w:tcPr>
            <w:tcW w:w="827" w:type="dxa"/>
            <w:shd w:val="clear" w:color="auto" w:fill="C6EFCE"/>
            <w:noWrap/>
          </w:tcPr>
          <w:p w14:paraId="78B2AF73" w14:textId="77777777" w:rsidR="006578ED" w:rsidRDefault="00A1618E">
            <w:pPr>
              <w:pStyle w:val="P68B1DB1-Normal13"/>
              <w:spacing w:after="0" w:line="240" w:lineRule="auto"/>
              <w:jc w:val="center"/>
              <w:rPr>
                <w:rFonts w:cs="Times New Roman"/>
                <w:noProof/>
              </w:rPr>
            </w:pPr>
            <w:r>
              <w:rPr>
                <w:noProof/>
              </w:rPr>
              <w:t xml:space="preserve"> </w:t>
            </w:r>
          </w:p>
        </w:tc>
        <w:tc>
          <w:tcPr>
            <w:tcW w:w="413" w:type="dxa"/>
            <w:shd w:val="clear" w:color="auto" w:fill="C6EFCE"/>
            <w:noWrap/>
          </w:tcPr>
          <w:p w14:paraId="7A01C922" w14:textId="77777777" w:rsidR="006578ED" w:rsidRDefault="00A1618E">
            <w:pPr>
              <w:pStyle w:val="P68B1DB1-Normal13"/>
              <w:spacing w:after="0" w:line="240" w:lineRule="auto"/>
              <w:jc w:val="right"/>
              <w:rPr>
                <w:rFonts w:cs="Times New Roman"/>
                <w:noProof/>
              </w:rPr>
            </w:pPr>
            <w:r>
              <w:rPr>
                <w:noProof/>
              </w:rPr>
              <w:t xml:space="preserve"> </w:t>
            </w:r>
          </w:p>
        </w:tc>
        <w:tc>
          <w:tcPr>
            <w:tcW w:w="689" w:type="dxa"/>
            <w:shd w:val="clear" w:color="auto" w:fill="C6EFCE"/>
            <w:noWrap/>
          </w:tcPr>
          <w:p w14:paraId="318E0F05" w14:textId="77777777" w:rsidR="006578ED" w:rsidRDefault="00A1618E">
            <w:pPr>
              <w:pStyle w:val="P68B1DB1-Normal13"/>
              <w:spacing w:after="0" w:line="240" w:lineRule="auto"/>
              <w:jc w:val="right"/>
              <w:rPr>
                <w:rFonts w:cs="Times New Roman"/>
                <w:noProof/>
              </w:rPr>
            </w:pPr>
            <w:r>
              <w:rPr>
                <w:noProof/>
              </w:rPr>
              <w:t> </w:t>
            </w:r>
          </w:p>
        </w:tc>
        <w:tc>
          <w:tcPr>
            <w:tcW w:w="413" w:type="dxa"/>
            <w:shd w:val="clear" w:color="auto" w:fill="C6EFCE"/>
            <w:noWrap/>
          </w:tcPr>
          <w:p w14:paraId="31E2FB6C" w14:textId="71411809" w:rsidR="006578ED" w:rsidRDefault="00EC188C">
            <w:pPr>
              <w:pStyle w:val="P68B1DB1-Normal13"/>
              <w:spacing w:after="0" w:line="240" w:lineRule="auto"/>
              <w:jc w:val="center"/>
              <w:rPr>
                <w:rFonts w:cs="Times New Roman"/>
                <w:noProof/>
              </w:rPr>
            </w:pPr>
            <w:r>
              <w:rPr>
                <w:noProof/>
              </w:rPr>
              <w:t>KW. 1</w:t>
            </w:r>
          </w:p>
        </w:tc>
        <w:tc>
          <w:tcPr>
            <w:tcW w:w="551" w:type="dxa"/>
            <w:shd w:val="clear" w:color="auto" w:fill="C6EFCE"/>
            <w:noWrap/>
          </w:tcPr>
          <w:p w14:paraId="6BD43872" w14:textId="77777777" w:rsidR="006578ED" w:rsidRDefault="00A1618E">
            <w:pPr>
              <w:pStyle w:val="P68B1DB1-Normal13"/>
              <w:spacing w:after="0" w:line="240" w:lineRule="auto"/>
              <w:jc w:val="center"/>
              <w:rPr>
                <w:rFonts w:cs="Times New Roman"/>
                <w:noProof/>
              </w:rPr>
            </w:pPr>
            <w:r>
              <w:rPr>
                <w:noProof/>
              </w:rPr>
              <w:t>2024</w:t>
            </w:r>
          </w:p>
        </w:tc>
        <w:tc>
          <w:tcPr>
            <w:tcW w:w="5901" w:type="dxa"/>
            <w:shd w:val="clear" w:color="auto" w:fill="C6EFCE"/>
            <w:noWrap/>
          </w:tcPr>
          <w:p w14:paraId="478661ED" w14:textId="5FCF8C01" w:rsidR="006578ED" w:rsidRDefault="00A1618E">
            <w:pPr>
              <w:pStyle w:val="P68B1DB1-Normal13"/>
              <w:spacing w:after="0" w:line="240" w:lineRule="auto"/>
              <w:rPr>
                <w:rFonts w:cs="Times New Roman"/>
                <w:noProof/>
              </w:rPr>
            </w:pPr>
            <w:r>
              <w:rPr>
                <w:noProof/>
              </w:rPr>
              <w:t>Po zakończeniu co najmniej 18 projektów pilotażowych opublikowanie oceny zakresu, skuteczności i skuteczności systemów dochodu minimalnego, w tym konkretnych zaleceń dotyczących zwiększenia wskaźnika wykorzystania i poprawy skuteczności polityki włączenia społecznego.</w:t>
            </w:r>
          </w:p>
        </w:tc>
      </w:tr>
    </w:tbl>
    <w:p w14:paraId="694A9CDB" w14:textId="77777777" w:rsidR="006578ED" w:rsidRDefault="006578ED">
      <w:pPr>
        <w:spacing w:before="120" w:after="120" w:line="240" w:lineRule="auto"/>
        <w:ind w:left="709"/>
        <w:jc w:val="both"/>
        <w:rPr>
          <w:rFonts w:ascii="Times New Roman" w:hAnsi="Times New Roman" w:cs="Times New Roman"/>
          <w:noProof/>
          <w:sz w:val="24"/>
        </w:rPr>
        <w:sectPr w:rsidR="006578ED" w:rsidSect="00C94F66">
          <w:headerReference w:type="even" r:id="rId453"/>
          <w:headerReference w:type="default" r:id="rId454"/>
          <w:footerReference w:type="even" r:id="rId455"/>
          <w:footerReference w:type="default" r:id="rId456"/>
          <w:headerReference w:type="first" r:id="rId457"/>
          <w:footerReference w:type="first" r:id="rId458"/>
          <w:pgSz w:w="16839" w:h="11907" w:orient="landscape"/>
          <w:pgMar w:top="1417" w:right="1134" w:bottom="1417" w:left="1134" w:header="709" w:footer="709" w:gutter="0"/>
          <w:cols w:space="720"/>
          <w:docGrid w:linePitch="360"/>
        </w:sectPr>
      </w:pPr>
    </w:p>
    <w:p w14:paraId="6E7059F1" w14:textId="77777777" w:rsidR="006578ED" w:rsidRDefault="00A1618E">
      <w:pPr>
        <w:pStyle w:val="P68B1DB1-Heading12"/>
        <w:rPr>
          <w:rFonts w:cs="Times New Roman"/>
          <w:noProof/>
        </w:rPr>
      </w:pPr>
      <w:r>
        <w:rPr>
          <w:noProof/>
        </w:rPr>
        <w:t>X. KOMPONENT 24: Przemysł kulturalny</w:t>
      </w:r>
    </w:p>
    <w:p w14:paraId="67377154" w14:textId="4B48B03F" w:rsidR="006578ED" w:rsidRPr="00A1618E" w:rsidRDefault="00A1618E">
      <w:pPr>
        <w:pStyle w:val="P68B1DB1-Normal4"/>
        <w:spacing w:before="120" w:after="120" w:line="240" w:lineRule="auto"/>
        <w:jc w:val="both"/>
        <w:rPr>
          <w:rFonts w:cs="Times New Roman"/>
          <w:noProof/>
          <w:lang w:val="pl-PL"/>
        </w:rPr>
      </w:pPr>
      <w:r>
        <w:rPr>
          <w:noProof/>
        </w:rPr>
        <w:t xml:space="preserve">Przemysł kulturalny odgrywa ważną rolę w hiszpańskiej gospodarce, odpowiadając </w:t>
      </w:r>
      <w:r w:rsidRPr="00A1618E">
        <w:rPr>
          <w:noProof/>
          <w:lang w:val="pl-PL"/>
        </w:rPr>
        <w:t>za 3</w:t>
      </w:r>
      <w:r>
        <w:rPr>
          <w:noProof/>
        </w:rPr>
        <w:t>,2 % PKB kraju, a także 3,6 % całkowitego zatrudnienia w tym kraju przed pandemią COVID-19. Ponadto ma ona nieodzowną wartość dla społeczeństwa, o czym świadczy wysoki poziom uczestnictwa w kulturze hiszpańskiej ludności przed pandemią. Niemniej jednak przemysł ten cierpi z powodu szeregu cech strukturalnych, które uniemożliwiły mu pełne wykorzystanie jego potencjału i sprawiły, że jest on szczególnie podatny na zagrożenia w czasach kryzysu</w:t>
      </w:r>
      <w:r w:rsidRPr="00A1618E">
        <w:rPr>
          <w:noProof/>
          <w:lang w:val="pl-PL"/>
        </w:rPr>
        <w:t xml:space="preserve">. </w:t>
      </w:r>
    </w:p>
    <w:p w14:paraId="55038A3E" w14:textId="66375807" w:rsidR="006578ED" w:rsidRDefault="00A1618E">
      <w:pPr>
        <w:pStyle w:val="P68B1DB1-Normal4"/>
        <w:spacing w:before="120" w:after="120" w:line="240" w:lineRule="auto"/>
        <w:jc w:val="both"/>
        <w:rPr>
          <w:rFonts w:cs="Times New Roman"/>
          <w:noProof/>
        </w:rPr>
      </w:pPr>
      <w:r>
        <w:rPr>
          <w:noProof/>
        </w:rPr>
        <w:t xml:space="preserve">W tym kontekście komponent 24 hiszpańskiego planu odbudowy i zwiększania odporności obejmuje reformy i inwestycje mające na celu zreformowanie ram pracy artystów oraz wzmocnienie i modernizację struktury przedsiębiorstw kulturalnych. </w:t>
      </w:r>
    </w:p>
    <w:p w14:paraId="03DB477E" w14:textId="13185A85" w:rsidR="006578ED" w:rsidRDefault="00A1618E">
      <w:pPr>
        <w:pStyle w:val="P68B1DB1-Normal4"/>
        <w:spacing w:before="120" w:after="120" w:line="240" w:lineRule="auto"/>
        <w:jc w:val="both"/>
        <w:rPr>
          <w:rFonts w:cs="Times New Roman"/>
          <w:noProof/>
        </w:rPr>
      </w:pPr>
      <w:r>
        <w:rPr>
          <w:noProof/>
        </w:rPr>
        <w:t xml:space="preserve">Komponent ten odnosi się do zaleceń dla poszczególnych krajów w sprawie promowania inwestycji w celu utrzymania gospodarki i wsparcia odbudowy po pandemii COVID-19 (zalecenie dla poszczególnych krajów </w:t>
      </w:r>
      <w:r w:rsidRPr="00A1618E">
        <w:rPr>
          <w:noProof/>
          <w:lang w:val="pl-PL"/>
        </w:rPr>
        <w:t>nr 1</w:t>
      </w:r>
      <w:r>
        <w:rPr>
          <w:noProof/>
        </w:rPr>
        <w:t xml:space="preserve"> z 20</w:t>
      </w:r>
      <w:r w:rsidRPr="00A1618E">
        <w:rPr>
          <w:noProof/>
          <w:lang w:val="pl-PL"/>
        </w:rPr>
        <w:t>20 r.</w:t>
      </w:r>
      <w:r>
        <w:rPr>
          <w:noProof/>
        </w:rPr>
        <w:t xml:space="preserve">) oraz w sprawie wspierania zatrudnienia, wzmocnienia ochrony przed bezrobociem i poprawy dostępu do cyfrowego uczenia się (zalecenie dla poszczególnych krajów </w:t>
      </w:r>
      <w:r w:rsidRPr="00A1618E">
        <w:rPr>
          <w:noProof/>
          <w:lang w:val="pl-PL"/>
        </w:rPr>
        <w:t>nr 2</w:t>
      </w:r>
      <w:r>
        <w:rPr>
          <w:noProof/>
        </w:rPr>
        <w:t xml:space="preserve"> z 20</w:t>
      </w:r>
      <w:r w:rsidRPr="00A1618E">
        <w:rPr>
          <w:noProof/>
          <w:lang w:val="pl-PL"/>
        </w:rPr>
        <w:t>20 r.</w:t>
      </w:r>
      <w:r>
        <w:rPr>
          <w:noProof/>
        </w:rPr>
        <w:t xml:space="preserve">). </w:t>
      </w:r>
    </w:p>
    <w:p w14:paraId="0E524D85" w14:textId="3AD7D8E8" w:rsidR="006578ED" w:rsidRDefault="00A1618E">
      <w:pPr>
        <w:pStyle w:val="P68B1DB1-Normal4"/>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0674A942" w14:textId="4C7B008F" w:rsidR="006578ED" w:rsidRDefault="00A1618E">
      <w:pPr>
        <w:pStyle w:val="P68B1DB1-Normal5"/>
        <w:spacing w:before="120" w:after="120" w:line="240" w:lineRule="auto"/>
        <w:ind w:left="720"/>
        <w:jc w:val="both"/>
        <w:rPr>
          <w:rFonts w:cs="Times New Roman"/>
          <w:i/>
          <w:noProof/>
        </w:rPr>
      </w:pPr>
      <w:r>
        <w:rPr>
          <w:noProof/>
        </w:rPr>
        <w:t xml:space="preserve">X.1. </w:t>
      </w:r>
      <w:r>
        <w:rPr>
          <w:noProof/>
        </w:rPr>
        <w:tab/>
        <w:t>Opis reform i inwestycji, które mają być finansowane z bezzwrotnego wsparcia finansowego</w:t>
      </w:r>
    </w:p>
    <w:p w14:paraId="448DF675" w14:textId="1CCFBEA8" w:rsidR="006578ED" w:rsidRDefault="00A1618E">
      <w:pPr>
        <w:pStyle w:val="P68B1DB1-Normal6"/>
        <w:spacing w:before="120" w:after="120" w:line="240" w:lineRule="auto"/>
        <w:jc w:val="both"/>
        <w:rPr>
          <w:rFonts w:cs="Times New Roman"/>
          <w:noProof/>
        </w:rPr>
      </w:pPr>
      <w:r>
        <w:rPr>
          <w:noProof/>
        </w:rPr>
        <w:t>Reforma 1 (C24.R1) – Rozwój statusu artysty oraz promowanie inwestycji, sponsorowania i uczestnictwa w kulturze</w:t>
      </w:r>
    </w:p>
    <w:p w14:paraId="1534CA29" w14:textId="393A67F0" w:rsidR="006578ED" w:rsidRDefault="00A1618E">
      <w:pPr>
        <w:pStyle w:val="P68B1DB1-Normal4"/>
        <w:spacing w:before="120" w:after="120" w:line="240" w:lineRule="auto"/>
        <w:jc w:val="both"/>
        <w:rPr>
          <w:rFonts w:cs="Times New Roman"/>
          <w:noProof/>
        </w:rPr>
      </w:pPr>
      <w:r>
        <w:rPr>
          <w:noProof/>
        </w:rPr>
        <w:t xml:space="preserve">Celem tej reformy jest sprostanie wyzwaniu wynikającemu z faktu, że obowiązujące przepisy dotyczące pracy i podatków nie uwzględniają specyfiki sektora kultury (takiej jak nieregularne modele dochodów i pracy) oraz potrzeby przyciągnięcia finansowania prywatnego wykraczającego poza wsparcie publiczne. </w:t>
      </w:r>
    </w:p>
    <w:p w14:paraId="253C50B3" w14:textId="6E9172B5" w:rsidR="006578ED" w:rsidRDefault="00A1618E">
      <w:pPr>
        <w:pStyle w:val="P68B1DB1-Normal4"/>
        <w:spacing w:before="120" w:after="120" w:line="240" w:lineRule="auto"/>
        <w:jc w:val="both"/>
        <w:rPr>
          <w:rFonts w:cs="Times New Roman"/>
          <w:noProof/>
        </w:rPr>
      </w:pPr>
      <w:r>
        <w:rPr>
          <w:noProof/>
        </w:rPr>
        <w:t xml:space="preserve">Reforma ma na celu opracowanie odpowiednich ram prawnych, fiskalnych i ram pracy dla sektora kultury w celu poprawy ochrony socjalnej różnych podmiotów w tym sektorze, a także zwiększenia atrakcyjności inwestycji prywatnych. </w:t>
      </w:r>
    </w:p>
    <w:p w14:paraId="15F0B9A6" w14:textId="16ABD0CE" w:rsidR="006578ED" w:rsidRPr="00A1618E" w:rsidRDefault="00A1618E">
      <w:pPr>
        <w:pStyle w:val="P68B1DB1-Normal4"/>
        <w:spacing w:before="120" w:after="120" w:line="240" w:lineRule="auto"/>
        <w:jc w:val="both"/>
        <w:rPr>
          <w:rFonts w:cs="Times New Roman"/>
          <w:noProof/>
          <w:lang w:val="pl-PL"/>
        </w:rPr>
      </w:pPr>
      <w:r>
        <w:rPr>
          <w:noProof/>
        </w:rPr>
        <w:t>W ramach tej reformy zatwierdza się zmiany regulacyjne dotyczące wdrażania statutu artysty, w tym zmiany regulacyjne dotyczące następujących aspektów</w:t>
      </w:r>
      <w:r w:rsidRPr="00A1618E">
        <w:rPr>
          <w:noProof/>
          <w:lang w:val="pl-PL"/>
        </w:rPr>
        <w:t xml:space="preserve">: </w:t>
      </w:r>
    </w:p>
    <w:p w14:paraId="4F0EC7E1" w14:textId="5C44F2EB" w:rsidR="006578ED" w:rsidRDefault="00A1618E">
      <w:pPr>
        <w:pStyle w:val="P68B1DB1-Normal4"/>
        <w:numPr>
          <w:ilvl w:val="0"/>
          <w:numId w:val="155"/>
        </w:numPr>
        <w:spacing w:before="120" w:after="120" w:line="240" w:lineRule="auto"/>
        <w:ind w:left="426" w:hanging="426"/>
        <w:jc w:val="both"/>
        <w:rPr>
          <w:rFonts w:cs="Times New Roman"/>
          <w:noProof/>
        </w:rPr>
      </w:pPr>
      <w:r>
        <w:rPr>
          <w:noProof/>
        </w:rPr>
        <w:t>adekwatność podatku VAT i podatku dochodowego od osób fizycznych;</w:t>
      </w:r>
    </w:p>
    <w:p w14:paraId="0516F3E2" w14:textId="77777777" w:rsidR="006578ED" w:rsidRDefault="00A1618E">
      <w:pPr>
        <w:pStyle w:val="P68B1DB1-Normal4"/>
        <w:numPr>
          <w:ilvl w:val="0"/>
          <w:numId w:val="155"/>
        </w:numPr>
        <w:spacing w:before="120" w:after="120" w:line="240" w:lineRule="auto"/>
        <w:ind w:left="426" w:hanging="426"/>
        <w:jc w:val="both"/>
        <w:rPr>
          <w:rFonts w:cs="Times New Roman"/>
          <w:noProof/>
        </w:rPr>
      </w:pPr>
      <w:r>
        <w:rPr>
          <w:noProof/>
        </w:rPr>
        <w:t xml:space="preserve">reprezentatywność związków zawodowych; </w:t>
      </w:r>
    </w:p>
    <w:p w14:paraId="5C96E337" w14:textId="1E86B63B" w:rsidR="006578ED" w:rsidRDefault="00A1618E">
      <w:pPr>
        <w:pStyle w:val="P68B1DB1-Normal4"/>
        <w:numPr>
          <w:ilvl w:val="0"/>
          <w:numId w:val="155"/>
        </w:numPr>
        <w:spacing w:before="120" w:after="120" w:line="240" w:lineRule="auto"/>
        <w:ind w:left="426" w:hanging="426"/>
        <w:jc w:val="both"/>
        <w:rPr>
          <w:rFonts w:cs="Times New Roman"/>
          <w:noProof/>
        </w:rPr>
      </w:pPr>
      <w:r>
        <w:rPr>
          <w:noProof/>
        </w:rPr>
        <w:t xml:space="preserve">zdrowie i szczególne stosunki pracy artystów w karierze publicznej; </w:t>
      </w:r>
    </w:p>
    <w:p w14:paraId="2397A513" w14:textId="77777777" w:rsidR="006578ED" w:rsidRDefault="00A1618E">
      <w:pPr>
        <w:pStyle w:val="P68B1DB1-Normal4"/>
        <w:numPr>
          <w:ilvl w:val="0"/>
          <w:numId w:val="155"/>
        </w:numPr>
        <w:spacing w:before="120" w:after="120" w:line="240" w:lineRule="auto"/>
        <w:ind w:left="426" w:hanging="426"/>
        <w:jc w:val="both"/>
        <w:rPr>
          <w:rFonts w:cs="Times New Roman"/>
          <w:noProof/>
        </w:rPr>
      </w:pPr>
      <w:r>
        <w:rPr>
          <w:noProof/>
        </w:rPr>
        <w:t xml:space="preserve">regulacja sponsoringu; </w:t>
      </w:r>
    </w:p>
    <w:p w14:paraId="0BA4998E" w14:textId="77777777" w:rsidR="006578ED" w:rsidRDefault="00A1618E">
      <w:pPr>
        <w:pStyle w:val="P68B1DB1-Normal4"/>
        <w:numPr>
          <w:ilvl w:val="0"/>
          <w:numId w:val="155"/>
        </w:numPr>
        <w:spacing w:before="120" w:after="120" w:line="240" w:lineRule="auto"/>
        <w:ind w:left="426" w:hanging="426"/>
        <w:jc w:val="both"/>
        <w:rPr>
          <w:rFonts w:cs="Times New Roman"/>
          <w:noProof/>
        </w:rPr>
      </w:pPr>
      <w:r>
        <w:rPr>
          <w:noProof/>
        </w:rPr>
        <w:t xml:space="preserve">system zachęt podatkowych. </w:t>
      </w:r>
    </w:p>
    <w:p w14:paraId="44A39349" w14:textId="64456F80" w:rsidR="006578ED" w:rsidRDefault="00A1618E">
      <w:pPr>
        <w:pStyle w:val="P68B1DB1-Normal4"/>
        <w:spacing w:before="60" w:after="60" w:line="240" w:lineRule="auto"/>
        <w:jc w:val="both"/>
        <w:rPr>
          <w:rFonts w:cs="Times New Roman"/>
          <w:noProof/>
        </w:rPr>
      </w:pPr>
      <w:r>
        <w:rPr>
          <w:noProof/>
        </w:rPr>
        <w:t>Zmiany te zostaną wdrożone poprzez utworzenie Międzyresortowej Komisji ds. Statutu Artysty oraz opracowanie wniosków ustawodawczych w 20</w:t>
      </w:r>
      <w:r w:rsidRPr="00A1618E">
        <w:rPr>
          <w:noProof/>
          <w:lang w:val="pl-PL"/>
        </w:rPr>
        <w:t>21 r.</w:t>
      </w:r>
      <w:r>
        <w:rPr>
          <w:noProof/>
        </w:rPr>
        <w:t>, a instrument prawny wejdzie w życie do dnia 31 grudnia 20</w:t>
      </w:r>
      <w:r w:rsidRPr="00A1618E">
        <w:rPr>
          <w:noProof/>
          <w:lang w:val="pl-PL"/>
        </w:rPr>
        <w:t>22 r.</w:t>
      </w:r>
      <w:r>
        <w:rPr>
          <w:noProof/>
        </w:rPr>
        <w:t xml:space="preserve"> Środki zachęcające do prywatnych inwestycji w sektorze kultury będą również wdrażane w latach 2021–2023.</w:t>
      </w:r>
    </w:p>
    <w:p w14:paraId="525621EC" w14:textId="15390805" w:rsidR="006578ED" w:rsidRDefault="00A1618E">
      <w:pPr>
        <w:pStyle w:val="P68B1DB1-Normal4"/>
        <w:spacing w:before="120" w:after="120" w:line="240" w:lineRule="auto"/>
        <w:jc w:val="both"/>
        <w:rPr>
          <w:rFonts w:cs="Times New Roman"/>
          <w:noProof/>
        </w:rPr>
      </w:pPr>
      <w:r>
        <w:rPr>
          <w:noProof/>
        </w:rPr>
        <w:t>Wdrożenie środka należy zakończyć do dnia 31 grudnia 20</w:t>
      </w:r>
      <w:r w:rsidRPr="00A1618E">
        <w:rPr>
          <w:noProof/>
          <w:lang w:val="pl-PL"/>
        </w:rPr>
        <w:t>22 r.</w:t>
      </w:r>
      <w:r>
        <w:rPr>
          <w:noProof/>
        </w:rPr>
        <w:t xml:space="preserve"> </w:t>
      </w:r>
    </w:p>
    <w:p w14:paraId="4D6042BC" w14:textId="77777777" w:rsidR="006578ED" w:rsidRDefault="006578ED">
      <w:pPr>
        <w:spacing w:before="60" w:after="60" w:line="240" w:lineRule="auto"/>
        <w:jc w:val="both"/>
        <w:rPr>
          <w:rFonts w:ascii="Times New Roman" w:hAnsi="Times New Roman" w:cs="Times New Roman"/>
          <w:noProof/>
          <w:sz w:val="24"/>
        </w:rPr>
      </w:pPr>
    </w:p>
    <w:p w14:paraId="00ED04A3" w14:textId="61DFCFCF" w:rsidR="006578ED" w:rsidRDefault="00A1618E">
      <w:pPr>
        <w:pStyle w:val="P68B1DB1-Normal6"/>
        <w:keepNext/>
        <w:spacing w:before="120" w:after="120" w:line="240" w:lineRule="auto"/>
        <w:jc w:val="both"/>
        <w:rPr>
          <w:rFonts w:cs="Times New Roman"/>
          <w:noProof/>
        </w:rPr>
      </w:pPr>
      <w:r>
        <w:rPr>
          <w:noProof/>
        </w:rPr>
        <w:t>Reforma 2 (C24.R2) – Plan wzmocnienia praw autorskich i praw pokrewnych</w:t>
      </w:r>
    </w:p>
    <w:p w14:paraId="1FD788A1" w14:textId="4441F2BF" w:rsidR="006578ED" w:rsidRDefault="00A1618E">
      <w:pPr>
        <w:pStyle w:val="P68B1DB1-Normal4"/>
        <w:keepNext/>
        <w:spacing w:before="120" w:after="120" w:line="240" w:lineRule="auto"/>
        <w:jc w:val="both"/>
        <w:rPr>
          <w:rFonts w:cs="Times New Roman"/>
          <w:noProof/>
        </w:rPr>
      </w:pPr>
      <w:r>
        <w:rPr>
          <w:noProof/>
        </w:rPr>
        <w:t>Celem tej reformy jest wzmocnienie praw autorskich i innych praw własności intelektualnej poprzez następujące działania:</w:t>
      </w:r>
    </w:p>
    <w:p w14:paraId="2AA150CC" w14:textId="29D199E7" w:rsidR="006578ED" w:rsidRDefault="00A1618E">
      <w:pPr>
        <w:pStyle w:val="P68B1DB1-Normal4"/>
        <w:numPr>
          <w:ilvl w:val="0"/>
          <w:numId w:val="156"/>
        </w:numPr>
        <w:spacing w:before="120" w:after="120" w:line="240" w:lineRule="auto"/>
        <w:ind w:left="426" w:hanging="426"/>
        <w:jc w:val="both"/>
        <w:rPr>
          <w:rFonts w:cs="Times New Roman"/>
          <w:noProof/>
        </w:rPr>
      </w:pPr>
      <w:r>
        <w:rPr>
          <w:noProof/>
        </w:rPr>
        <w:t>Przyjęcie ustawy o prawach własności intelektualnej na europejskim jednolitym rynku cyfrowym, transponującej dyrektywy 2019/789 SatCab i 2019/790 w sprawie praw autorskich na jednolitym rynku cyfrowym;</w:t>
      </w:r>
    </w:p>
    <w:p w14:paraId="09A56BF4" w14:textId="720D098E" w:rsidR="006578ED" w:rsidRDefault="00A1618E">
      <w:pPr>
        <w:pStyle w:val="P68B1DB1-Normal4"/>
        <w:numPr>
          <w:ilvl w:val="0"/>
          <w:numId w:val="156"/>
        </w:numPr>
        <w:spacing w:before="120" w:after="120" w:line="240" w:lineRule="auto"/>
        <w:ind w:left="426" w:hanging="426"/>
        <w:jc w:val="both"/>
        <w:rPr>
          <w:rFonts w:cs="Times New Roman"/>
          <w:noProof/>
        </w:rPr>
      </w:pPr>
      <w:r>
        <w:rPr>
          <w:noProof/>
        </w:rPr>
        <w:t>Przyjęcie dekretu królewskiego zatwierdzającego nowe rozporządzenie w sprawie rejestru własności intelektualnej w celu dostosowania tego organu do nowej rzeczywistości cyfrowej;</w:t>
      </w:r>
    </w:p>
    <w:p w14:paraId="2A2B3690" w14:textId="3D6E56A3" w:rsidR="006578ED" w:rsidRDefault="00A1618E">
      <w:pPr>
        <w:pStyle w:val="P68B1DB1-Normal4"/>
        <w:numPr>
          <w:ilvl w:val="0"/>
          <w:numId w:val="156"/>
        </w:numPr>
        <w:spacing w:before="120" w:after="120" w:line="240" w:lineRule="auto"/>
        <w:ind w:left="426" w:hanging="426"/>
        <w:jc w:val="both"/>
        <w:rPr>
          <w:rFonts w:cs="Times New Roman"/>
          <w:noProof/>
        </w:rPr>
      </w:pPr>
      <w:r>
        <w:rPr>
          <w:noProof/>
        </w:rPr>
        <w:t>Przyjęcie dekretu królewskiego zmieniającego dekret królewski 1889/2011 z dnia 30 grudnia 20</w:t>
      </w:r>
      <w:r w:rsidRPr="00A1618E">
        <w:rPr>
          <w:noProof/>
          <w:lang w:val="pl-PL"/>
        </w:rPr>
        <w:t>06 r.</w:t>
      </w:r>
      <w:r>
        <w:rPr>
          <w:noProof/>
        </w:rPr>
        <w:t xml:space="preserve"> regulujący funkcjonowanie sekcji II komisji ds. własności intelektualnej w celu ułatwienia walki z nowymi formami naruszeń własności intelektualnej w internecie; oraz</w:t>
      </w:r>
    </w:p>
    <w:p w14:paraId="56D8F602" w14:textId="77777777" w:rsidR="006578ED" w:rsidRDefault="00A1618E">
      <w:pPr>
        <w:pStyle w:val="P68B1DB1-Normal4"/>
        <w:numPr>
          <w:ilvl w:val="0"/>
          <w:numId w:val="156"/>
        </w:numPr>
        <w:spacing w:before="120" w:after="120" w:line="240" w:lineRule="auto"/>
        <w:ind w:left="426" w:hanging="426"/>
        <w:jc w:val="both"/>
        <w:rPr>
          <w:rFonts w:cs="Times New Roman"/>
          <w:noProof/>
        </w:rPr>
      </w:pPr>
      <w:r>
        <w:rPr>
          <w:noProof/>
        </w:rPr>
        <w:t>Zatwierdzenie odpowiedniego aktu normatywnego oraz statutu hiszpańskiego urzędu ds. praw autorskich.</w:t>
      </w:r>
    </w:p>
    <w:p w14:paraId="5C629C0E" w14:textId="09F3821D"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r>
        <w:rPr>
          <w:noProof/>
        </w:rPr>
        <w:t xml:space="preserve"> </w:t>
      </w:r>
    </w:p>
    <w:p w14:paraId="4E09A7D7" w14:textId="77777777" w:rsidR="006578ED" w:rsidRDefault="00A1618E">
      <w:pPr>
        <w:pStyle w:val="P68B1DB1-Normal6"/>
        <w:spacing w:before="120" w:after="120" w:line="240" w:lineRule="auto"/>
        <w:jc w:val="both"/>
        <w:rPr>
          <w:rFonts w:cs="Times New Roman"/>
          <w:noProof/>
        </w:rPr>
      </w:pPr>
      <w:r>
        <w:rPr>
          <w:noProof/>
        </w:rPr>
        <w:t xml:space="preserve">Inwestycje 1 (C24.I1) – Wzmocnienie konkurencyjności przemysłu kulturalnego </w:t>
      </w:r>
    </w:p>
    <w:p w14:paraId="6378CC61" w14:textId="697C8428" w:rsidR="006578ED" w:rsidRDefault="00A1618E">
      <w:pPr>
        <w:pStyle w:val="P68B1DB1-Normal4"/>
        <w:spacing w:before="120" w:after="120" w:line="240" w:lineRule="auto"/>
        <w:jc w:val="both"/>
        <w:rPr>
          <w:rFonts w:cs="Times New Roman"/>
          <w:noProof/>
        </w:rPr>
      </w:pPr>
      <w:r>
        <w:rPr>
          <w:noProof/>
        </w:rPr>
        <w:t>Inwestycja ta ma na celu sprostanie wyzwaniom związanym z konkurencyjnością sektora kultury poprzez poprawę odporności tkanki biznesowej sektora kultury i sektora kreatywnego, a także przyczynienie się do ich transformacji cyfrowej.</w:t>
      </w:r>
    </w:p>
    <w:p w14:paraId="2C4586F2" w14:textId="26D6D643" w:rsidR="006578ED" w:rsidRDefault="00A1618E">
      <w:pPr>
        <w:pStyle w:val="P68B1DB1-Normal4"/>
        <w:spacing w:before="120" w:after="120" w:line="240" w:lineRule="auto"/>
        <w:jc w:val="both"/>
        <w:rPr>
          <w:rFonts w:cs="Times New Roman"/>
          <w:noProof/>
        </w:rPr>
      </w:pPr>
      <w:r>
        <w:rPr>
          <w:noProof/>
        </w:rPr>
        <w:t>W tym celu działania w ramach tej inwestycji podzielono na następujące trzy kategorie projektów:</w:t>
      </w:r>
    </w:p>
    <w:p w14:paraId="0256C65D" w14:textId="11141528" w:rsidR="006578ED" w:rsidRDefault="00A1618E">
      <w:pPr>
        <w:pStyle w:val="P68B1DB1-Normal4"/>
        <w:numPr>
          <w:ilvl w:val="0"/>
          <w:numId w:val="157"/>
        </w:numPr>
        <w:spacing w:before="120" w:after="120" w:line="240" w:lineRule="auto"/>
        <w:ind w:left="426" w:hanging="426"/>
        <w:jc w:val="both"/>
        <w:rPr>
          <w:rFonts w:cs="Times New Roman"/>
          <w:noProof/>
        </w:rPr>
      </w:pPr>
      <w:r>
        <w:rPr>
          <w:noProof/>
        </w:rPr>
        <w:t>Konkurencyjność i profesjonalizacja sektora kultury i sektora kreatywnego poprzez: wzmacnianie umiejętności w zakresie przedsiębiorczości i finansów osób zawodowo związanych z kulturą za pomocą programu stypendialnego; specjalistyczne szkolenie w zakresie zarządzania dla specjalistów w dziedzinie sztuki widowiskowej i muzycznej; oraz (iii) wspieranie akceleratorów kultury na rzecz rozwoju projektów kulturalnych o dużym potencjale wzrostu;</w:t>
      </w:r>
    </w:p>
    <w:p w14:paraId="56048618" w14:textId="77777777" w:rsidR="006578ED" w:rsidRDefault="00A1618E">
      <w:pPr>
        <w:pStyle w:val="P68B1DB1-Normal4"/>
        <w:numPr>
          <w:ilvl w:val="0"/>
          <w:numId w:val="157"/>
        </w:numPr>
        <w:spacing w:before="120" w:after="120" w:line="240" w:lineRule="auto"/>
        <w:ind w:left="426" w:hanging="426"/>
        <w:jc w:val="both"/>
        <w:rPr>
          <w:rFonts w:cs="Times New Roman"/>
          <w:noProof/>
        </w:rPr>
      </w:pPr>
      <w:r>
        <w:rPr>
          <w:noProof/>
        </w:rPr>
        <w:t>Cyfryzacja systemów zarządzania własnością intelektualną poprzez: wspieranie projektów mających na celu cyfryzację podmiotów zarządzających prawami własności intelektualnej; oraz (ii) wspieranie transformacji cyfrowej podmiotów administracyjnych zarządzających prawami własności intelektualnej;</w:t>
      </w:r>
    </w:p>
    <w:p w14:paraId="06993C4A" w14:textId="58E32961" w:rsidR="006578ED" w:rsidRDefault="00A1618E">
      <w:pPr>
        <w:pStyle w:val="P68B1DB1-Normal4"/>
        <w:numPr>
          <w:ilvl w:val="0"/>
          <w:numId w:val="157"/>
        </w:numPr>
        <w:spacing w:before="120" w:after="120" w:line="240" w:lineRule="auto"/>
        <w:ind w:left="426" w:hanging="426"/>
        <w:jc w:val="both"/>
        <w:rPr>
          <w:rFonts w:cs="Times New Roman"/>
          <w:noProof/>
        </w:rPr>
      </w:pPr>
      <w:r>
        <w:rPr>
          <w:noProof/>
        </w:rPr>
        <w:t>Umiędzynarodowienie sektora kultury i sektora kreatywnego poprzez: promocja i cyfryzacja sektora książek, (ii) wsparcie modernizacji i udoskonalenia zarządzania sektorem sztuk widowiskowych i muzyki; oraz (iii) środki wspierające przedsiębiorstwa i specjalistów z branży kultury i branży twórczej w celu zwiększenia ich obecności na rynkach krajowych i międzynarodowych.</w:t>
      </w:r>
    </w:p>
    <w:p w14:paraId="3FAA86C6" w14:textId="049BE43A"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198"/>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199"/>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200"/>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201"/>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0C0133FF" w14:textId="0F65196B"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r>
        <w:rPr>
          <w:noProof/>
        </w:rPr>
        <w:t xml:space="preserve"> </w:t>
      </w:r>
    </w:p>
    <w:p w14:paraId="25347DDA" w14:textId="63427A2D" w:rsidR="006578ED" w:rsidRDefault="00A1618E">
      <w:pPr>
        <w:pStyle w:val="P68B1DB1-Normal6"/>
        <w:spacing w:before="120" w:after="120" w:line="240" w:lineRule="auto"/>
        <w:jc w:val="both"/>
        <w:rPr>
          <w:rFonts w:cs="Times New Roman"/>
          <w:noProof/>
        </w:rPr>
      </w:pPr>
      <w:r>
        <w:rPr>
          <w:noProof/>
        </w:rPr>
        <w:t xml:space="preserve">Inwestycja 2 (C24.I2) – </w:t>
      </w:r>
      <w:bookmarkStart w:id="57" w:name="_Hlk144898113"/>
      <w:r>
        <w:rPr>
          <w:noProof/>
        </w:rPr>
        <w:t xml:space="preserve">Wspieranie kultury na całym terytorium </w:t>
      </w:r>
      <w:bookmarkEnd w:id="57"/>
    </w:p>
    <w:p w14:paraId="69CCE138" w14:textId="17F8D80F" w:rsidR="006578ED" w:rsidRDefault="00A1618E">
      <w:pPr>
        <w:pStyle w:val="P68B1DB1-Normal4"/>
        <w:spacing w:before="120" w:after="120" w:line="240" w:lineRule="auto"/>
        <w:jc w:val="both"/>
        <w:rPr>
          <w:rFonts w:cs="Times New Roman"/>
          <w:noProof/>
        </w:rPr>
      </w:pPr>
      <w:r>
        <w:rPr>
          <w:noProof/>
        </w:rPr>
        <w:t xml:space="preserve">Inwestycja ta ma na celu poprawę spójności terytorialnej i społecznej poprzez ułatwienie dostępu do kultury, a także wspieranie zrównoważonego rozwoju i konsolidacji sektora kultury na całym terytorium. Konkretne działania w ramach tej inwestycji podzielono na następujące cztery kategorie projektów: </w:t>
      </w:r>
    </w:p>
    <w:p w14:paraId="73E9170E" w14:textId="59189481" w:rsidR="006578ED" w:rsidRDefault="00A1618E">
      <w:pPr>
        <w:pStyle w:val="P68B1DB1-Normal4"/>
        <w:numPr>
          <w:ilvl w:val="0"/>
          <w:numId w:val="158"/>
        </w:numPr>
        <w:spacing w:before="120" w:after="120" w:line="240" w:lineRule="auto"/>
        <w:ind w:left="426" w:hanging="426"/>
        <w:jc w:val="both"/>
        <w:rPr>
          <w:rFonts w:cs="Times New Roman"/>
          <w:noProof/>
        </w:rPr>
      </w:pPr>
      <w:r>
        <w:rPr>
          <w:noProof/>
        </w:rPr>
        <w:t>Wspieranie modernizacji infrastruktury sztuki widowiskowej i muzycznej oraz zrównoważonego zarządzania nią, a także promowanie międzyterytorialnych kanałów rozpowszechniania poprzez: przeniesienie zasobów do wspólnot autonomicznych w celu wsparcia modernizacji infrastruktury widowiskowej i muzycznej oraz zrównoważonego zarządzania nimi oraz (ii) ułatwianie koordynacji występów kulturalnych we wspólnotach autonomicznych;</w:t>
      </w:r>
    </w:p>
    <w:p w14:paraId="50265BA3" w14:textId="5F193584" w:rsidR="006578ED" w:rsidRDefault="00A1618E">
      <w:pPr>
        <w:pStyle w:val="P68B1DB1-Normal4"/>
        <w:numPr>
          <w:ilvl w:val="0"/>
          <w:numId w:val="158"/>
        </w:numPr>
        <w:spacing w:before="120" w:after="120" w:line="240" w:lineRule="auto"/>
        <w:ind w:left="426" w:hanging="426"/>
        <w:jc w:val="both"/>
        <w:rPr>
          <w:rFonts w:cs="Times New Roman"/>
          <w:noProof/>
        </w:rPr>
      </w:pPr>
      <w:r>
        <w:rPr>
          <w:noProof/>
        </w:rPr>
        <w:t xml:space="preserve">Działania na rzecz zachowania, restaurowania i ulepszania hiszpańskiego dziedzictwa kulturowego poprzez działania dotyczące: identyfikację dziedzictwa uznanego za mające znaczenie kulturowe oraz (ii) waloryzację dziedzictwa pod nadzorem Ministerstwa Kultury i Sportu, w szczególności poprzez kompleksową renowację budynku </w:t>
      </w:r>
      <w:r>
        <w:rPr>
          <w:i/>
          <w:noProof/>
        </w:rPr>
        <w:t>Tabacalera</w:t>
      </w:r>
      <w:r>
        <w:rPr>
          <w:noProof/>
        </w:rPr>
        <w:t xml:space="preserve"> w Madrycie;</w:t>
      </w:r>
    </w:p>
    <w:p w14:paraId="6A965740" w14:textId="77777777" w:rsidR="006578ED" w:rsidRDefault="00A1618E">
      <w:pPr>
        <w:pStyle w:val="P68B1DB1-Normal4"/>
        <w:numPr>
          <w:ilvl w:val="0"/>
          <w:numId w:val="158"/>
        </w:numPr>
        <w:spacing w:before="120" w:after="120" w:line="240" w:lineRule="auto"/>
        <w:ind w:left="426" w:hanging="426"/>
        <w:jc w:val="both"/>
        <w:rPr>
          <w:rFonts w:cs="Times New Roman"/>
          <w:noProof/>
        </w:rPr>
      </w:pPr>
      <w:r>
        <w:rPr>
          <w:noProof/>
        </w:rPr>
        <w:t>Wyposażenie bibliotek poprzez: zakup licencji na książki cyfrowe oraz (ii) zakup książek papierowych; oraz</w:t>
      </w:r>
    </w:p>
    <w:p w14:paraId="249E26B1" w14:textId="34EE5153" w:rsidR="006578ED" w:rsidRDefault="00A1618E">
      <w:pPr>
        <w:pStyle w:val="P68B1DB1-Normal4"/>
        <w:numPr>
          <w:ilvl w:val="0"/>
          <w:numId w:val="158"/>
        </w:numPr>
        <w:spacing w:before="120" w:after="120" w:line="240" w:lineRule="auto"/>
        <w:ind w:left="426" w:hanging="426"/>
        <w:jc w:val="both"/>
        <w:rPr>
          <w:rFonts w:cs="Times New Roman"/>
          <w:noProof/>
        </w:rPr>
      </w:pPr>
      <w:r>
        <w:rPr>
          <w:noProof/>
        </w:rPr>
        <w:t>Pomoc na rozszerzenie i dywersyfikację oferty kulturalnej na obszarach pozamiejskich poprzez: promowanie innowacji i przedsiębiorczości kulturalnej na obszarach pozamiejskich; zapewnienie równego dostępu do kultury; oraz (iii) promowanie, poprzez kulturę, odpowiedzialnego i zrównoważonego wykorzystania zasobów naturalnych.</w:t>
      </w:r>
    </w:p>
    <w:p w14:paraId="623F121D" w14:textId="186F087A"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202"/>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203"/>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204"/>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205"/>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28A6DD1F" w14:textId="18E65967" w:rsidR="006578ED" w:rsidRDefault="00A1618E">
      <w:pPr>
        <w:pStyle w:val="P68B1DB1-Normal4"/>
        <w:spacing w:before="120" w:after="120" w:line="240" w:lineRule="auto"/>
        <w:jc w:val="both"/>
        <w:rPr>
          <w:rFonts w:cs="Times New Roman"/>
          <w:noProof/>
        </w:rPr>
      </w:pPr>
      <w:r>
        <w:rPr>
          <w:noProof/>
        </w:rPr>
        <w:t>Realizacja inwestycji zakończy się do dnia 30 czerwca 20</w:t>
      </w:r>
      <w:r w:rsidRPr="00A1618E">
        <w:rPr>
          <w:noProof/>
          <w:lang w:val="pl-PL"/>
        </w:rPr>
        <w:t>26 r.</w:t>
      </w:r>
      <w:r>
        <w:rPr>
          <w:noProof/>
        </w:rPr>
        <w:t xml:space="preserve"> </w:t>
      </w:r>
    </w:p>
    <w:p w14:paraId="247DA809" w14:textId="627CA60A" w:rsidR="006578ED" w:rsidRDefault="00A1618E">
      <w:pPr>
        <w:pStyle w:val="P68B1DB1-Normal6"/>
        <w:spacing w:before="120" w:after="120" w:line="240" w:lineRule="auto"/>
        <w:jc w:val="both"/>
        <w:rPr>
          <w:rFonts w:cs="Times New Roman"/>
          <w:noProof/>
        </w:rPr>
      </w:pPr>
      <w:r>
        <w:rPr>
          <w:noProof/>
        </w:rPr>
        <w:t xml:space="preserve">Inwestycja 3 (C24.I3) – Cyfryzacja i promocja głównych usług kulturalnych </w:t>
      </w:r>
    </w:p>
    <w:p w14:paraId="03A41679" w14:textId="0F66DAF0" w:rsidR="006578ED" w:rsidRDefault="00A1618E">
      <w:pPr>
        <w:pStyle w:val="P68B1DB1-Normal4"/>
        <w:spacing w:before="120" w:after="120" w:line="240" w:lineRule="auto"/>
        <w:jc w:val="both"/>
        <w:rPr>
          <w:rFonts w:cs="Times New Roman"/>
          <w:noProof/>
        </w:rPr>
      </w:pPr>
      <w:r>
        <w:rPr>
          <w:noProof/>
        </w:rPr>
        <w:t>Środek ten ma na celu cyfryzację oraz promowanie głównych instytucji kulturalnych. Konkretne inwestycje w ramach tego środka mają na celu wspieranie:</w:t>
      </w:r>
    </w:p>
    <w:p w14:paraId="48FED215" w14:textId="0661FF4E" w:rsidR="006578ED" w:rsidRPr="00A1618E" w:rsidRDefault="00A1618E">
      <w:pPr>
        <w:pStyle w:val="P68B1DB1-Normal4"/>
        <w:numPr>
          <w:ilvl w:val="0"/>
          <w:numId w:val="159"/>
        </w:numPr>
        <w:spacing w:before="120" w:after="120" w:line="240" w:lineRule="auto"/>
        <w:ind w:left="426" w:hanging="426"/>
        <w:jc w:val="both"/>
        <w:rPr>
          <w:rFonts w:cs="Times New Roman"/>
          <w:noProof/>
          <w:lang w:val="pl-PL"/>
        </w:rPr>
      </w:pPr>
      <w:r>
        <w:rPr>
          <w:noProof/>
        </w:rPr>
        <w:t>Krajowe Muzeum Prado przez: poprawę jego dostępności i integracji z tkanką miejską, (ii) integrację wszystkich czujników w jeden monitorowany system, (iii) rozwój integracyjnego doświadczenia w celu udostępnienia muzeum większej liczbie odwiedzających, (iv) rozwój interoperacyjnej platformy cyfrowej między muzeami, (v) udoskonalenie narzędzi cyfrowych dla administracji oraz (vi) tworzenie treści multimedialnych</w:t>
      </w:r>
      <w:r w:rsidRPr="00A1618E">
        <w:rPr>
          <w:noProof/>
          <w:lang w:val="pl-PL"/>
        </w:rPr>
        <w:t xml:space="preserve">; </w:t>
      </w:r>
    </w:p>
    <w:p w14:paraId="72CE5D52" w14:textId="60B0DE5A" w:rsidR="006578ED" w:rsidRDefault="00A1618E">
      <w:pPr>
        <w:pStyle w:val="P68B1DB1-Normal4"/>
        <w:numPr>
          <w:ilvl w:val="0"/>
          <w:numId w:val="159"/>
        </w:numPr>
        <w:spacing w:before="120" w:after="120" w:line="240" w:lineRule="auto"/>
        <w:ind w:left="426" w:hanging="426"/>
        <w:jc w:val="both"/>
        <w:rPr>
          <w:rFonts w:cs="Times New Roman"/>
          <w:noProof/>
        </w:rPr>
      </w:pPr>
      <w:r>
        <w:rPr>
          <w:noProof/>
        </w:rPr>
        <w:t>Muzeum Narodowe Centro de Arte Reina Sofia, oferując młodym artystom i myślikom stypendia i rezydencje badawcze, z naciskiem na rozwój działań digitalizacyjnych na rzecz dziedzictwa kulturowego;</w:t>
      </w:r>
    </w:p>
    <w:p w14:paraId="71DF0FFE" w14:textId="042911FA" w:rsidR="006578ED" w:rsidRDefault="00A1618E">
      <w:pPr>
        <w:pStyle w:val="P68B1DB1-Normal4"/>
        <w:numPr>
          <w:ilvl w:val="0"/>
          <w:numId w:val="159"/>
        </w:numPr>
        <w:spacing w:before="120" w:after="120" w:line="240" w:lineRule="auto"/>
        <w:ind w:left="426" w:hanging="426"/>
        <w:jc w:val="both"/>
        <w:rPr>
          <w:rFonts w:cs="Times New Roman"/>
          <w:noProof/>
        </w:rPr>
      </w:pPr>
      <w:r>
        <w:rPr>
          <w:noProof/>
        </w:rPr>
        <w:t>Hiszpańska Biblioteka Narodowa poprzez promowanie wykorzystywania i ponownego wykorzystywania jej danych i zbiorów cyfrowych w celu wspierania nauczania, badań naukowych, przemysłu kulturalnego i rozwoju technologicznego;</w:t>
      </w:r>
    </w:p>
    <w:p w14:paraId="15757132" w14:textId="261E26C0" w:rsidR="006578ED" w:rsidRDefault="00A1618E">
      <w:pPr>
        <w:pStyle w:val="P68B1DB1-Normal4"/>
        <w:numPr>
          <w:ilvl w:val="0"/>
          <w:numId w:val="159"/>
        </w:numPr>
        <w:spacing w:before="120" w:after="120" w:line="240" w:lineRule="auto"/>
        <w:ind w:left="426" w:hanging="426"/>
        <w:jc w:val="both"/>
        <w:rPr>
          <w:rFonts w:cs="Times New Roman"/>
          <w:noProof/>
        </w:rPr>
      </w:pPr>
      <w:r>
        <w:rPr>
          <w:noProof/>
        </w:rPr>
        <w:t>Plan cyfryzacji i dostępu do dziedzictwa bibliograficznego innych zasobów bibliograficznych administracji państwowej lub podmiotów prywatnych w celu udostępnienia ich obywatelom za pośrednictwem repozytoriów cyfrowych;</w:t>
      </w:r>
    </w:p>
    <w:p w14:paraId="5584509F" w14:textId="2B154BF4" w:rsidR="006578ED" w:rsidRDefault="00A1618E">
      <w:pPr>
        <w:pStyle w:val="P68B1DB1-Normal4"/>
        <w:numPr>
          <w:ilvl w:val="0"/>
          <w:numId w:val="159"/>
        </w:numPr>
        <w:spacing w:before="120" w:after="120" w:line="240" w:lineRule="auto"/>
        <w:ind w:left="426" w:hanging="426"/>
        <w:jc w:val="both"/>
        <w:rPr>
          <w:rFonts w:cs="Times New Roman"/>
          <w:noProof/>
        </w:rPr>
      </w:pPr>
      <w:r>
        <w:rPr>
          <w:noProof/>
        </w:rPr>
        <w:t>Digitalizację, zwiększenie zdolności i interoperacyjność wszystkich rodzajów systemów archiwalnych, wykazów i rejestrów dziedzictwa historycznego, w tym dziedzictwa audiowizualnego; oraz</w:t>
      </w:r>
    </w:p>
    <w:p w14:paraId="5015CC36" w14:textId="0795262B" w:rsidR="006578ED" w:rsidRDefault="00A1618E">
      <w:pPr>
        <w:pStyle w:val="P68B1DB1-Normal4"/>
        <w:numPr>
          <w:ilvl w:val="0"/>
          <w:numId w:val="159"/>
        </w:numPr>
        <w:spacing w:before="120" w:after="120" w:line="240" w:lineRule="auto"/>
        <w:ind w:left="426" w:hanging="426"/>
        <w:jc w:val="both"/>
        <w:rPr>
          <w:rFonts w:cs="Times New Roman"/>
          <w:noProof/>
        </w:rPr>
      </w:pPr>
      <w:r>
        <w:rPr>
          <w:noProof/>
        </w:rPr>
        <w:t>Środki mające na celu modernizację narzędzi zarządzania publicznego oraz wdrożenie zintegrowanego systemu digitalizacji i katalogowania zasobów, aktywów, struktur i infrastruktury INAEM (</w:t>
      </w:r>
      <w:r>
        <w:rPr>
          <w:i/>
          <w:noProof/>
        </w:rPr>
        <w:t>Instituto Nacional de las Artes Escénicas y de la Música</w:t>
      </w:r>
      <w:r>
        <w:rPr>
          <w:noProof/>
        </w:rPr>
        <w:t>), w tym środki takie jak wdrożenie różnych zaawansowanych narzędzi planowania, zarządzania i oceny skutków systemów wsparcia publicznego dla sektorów wydajności i muzyki, a także wdrożenie zintegrowanego systemu cyfrowego (INAEM DIGITAL) na potrzeby digitalizacji i katalogowania dokumentacji, usług archiwizacji oraz struktur i infrastruktury INAEM.</w:t>
      </w:r>
    </w:p>
    <w:p w14:paraId="6F481565" w14:textId="4E201C2F" w:rsidR="006578ED" w:rsidRDefault="00A1618E">
      <w:pPr>
        <w:pStyle w:val="Text1"/>
        <w:ind w:left="0"/>
        <w:rPr>
          <w:rFonts w:ascii="Times New Roman" w:hAnsi="Times New Roman" w:cs="Times New Roman"/>
          <w:noProof/>
          <w:highlight w:val="green"/>
        </w:rPr>
      </w:pPr>
      <w:r>
        <w:rPr>
          <w:rFonts w:ascii="Times New Roman" w:hAnsi="Times New Roman"/>
          <w:noProof/>
        </w:rPr>
        <w:t>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działalności związanej z paliwami kopalnymi, w tym wykorzystania niższego szczebla</w:t>
      </w:r>
      <w:r>
        <w:rPr>
          <w:rStyle w:val="FootnoteReference"/>
          <w:rFonts w:ascii="Times New Roman" w:hAnsi="Times New Roman" w:cs="Times New Roman"/>
          <w:noProof/>
        </w:rPr>
        <w:footnoteReference w:id="206"/>
      </w:r>
      <w:r>
        <w:rPr>
          <w:rFonts w:ascii="Times New Roman" w:hAnsi="Times New Roman"/>
          <w:noProof/>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207"/>
      </w:r>
      <w:r>
        <w:rPr>
          <w:rFonts w:ascii="Times New Roman" w:hAnsi="Times New Roman"/>
          <w:noProof/>
        </w:rPr>
        <w:t>; działalność związana ze składowiskami odpadów, spalarniami</w:t>
      </w:r>
      <w:r>
        <w:rPr>
          <w:rStyle w:val="FootnoteReference"/>
          <w:rFonts w:ascii="Times New Roman" w:hAnsi="Times New Roman" w:cs="Times New Roman"/>
          <w:noProof/>
        </w:rPr>
        <w:footnoteReference w:id="208"/>
      </w:r>
      <w:r>
        <w:rPr>
          <w:rFonts w:ascii="Times New Roman" w:hAnsi="Times New Roman"/>
          <w:noProof/>
        </w:rPr>
        <w:t xml:space="preserve"> i zakładami mechaniczno-biologicznego przetwarzania odpadów</w:t>
      </w:r>
      <w:r>
        <w:rPr>
          <w:rStyle w:val="FootnoteReference"/>
          <w:rFonts w:ascii="Times New Roman" w:hAnsi="Times New Roman" w:cs="Times New Roman"/>
          <w:noProof/>
        </w:rPr>
        <w:footnoteReference w:id="209"/>
      </w:r>
      <w:r>
        <w:rPr>
          <w:rFonts w:ascii="Times New Roman" w:hAnsi="Times New Roman"/>
          <w:noProof/>
        </w:rPr>
        <w:t>; oraz (iv) działań, w przypadku których długoterminowe unieszkodliwianie odpadów może szkodzić środowisku naturalnemu. Zakres uprawnień wymaga ponadto, aby można było wybierać wyłącznie działania zgodne z odpowiednimi przepisami unijnymi i krajowymi w zakresie ochrony środowiska.</w:t>
      </w:r>
    </w:p>
    <w:p w14:paraId="3B69C578" w14:textId="28B33372" w:rsidR="006578ED" w:rsidRDefault="00A1618E">
      <w:pPr>
        <w:pStyle w:val="P68B1DB1-Normal4"/>
        <w:spacing w:before="120" w:after="120" w:line="240" w:lineRule="auto"/>
        <w:jc w:val="both"/>
        <w:rPr>
          <w:rFonts w:cs="Times New Roman"/>
          <w:noProof/>
        </w:rPr>
      </w:pPr>
      <w:r>
        <w:rPr>
          <w:noProof/>
        </w:rPr>
        <w:t>Realizacja inwestycji zostanie zakończona do dnia 31 grudnia 20</w:t>
      </w:r>
      <w:r w:rsidRPr="00A1618E">
        <w:rPr>
          <w:noProof/>
          <w:lang w:val="pl-PL"/>
        </w:rPr>
        <w:t>23 r.</w:t>
      </w:r>
      <w:r>
        <w:rPr>
          <w:noProof/>
        </w:rPr>
        <w:t xml:space="preserve"> </w:t>
      </w:r>
    </w:p>
    <w:p w14:paraId="3E211C61" w14:textId="32D0A5E5" w:rsidR="006578ED" w:rsidRDefault="00A1618E">
      <w:pPr>
        <w:pStyle w:val="P68B1DB1-Normal5"/>
        <w:spacing w:before="120" w:after="120" w:line="240" w:lineRule="auto"/>
        <w:ind w:left="720"/>
        <w:jc w:val="both"/>
        <w:rPr>
          <w:rFonts w:cs="Times New Roman"/>
          <w:noProof/>
        </w:rPr>
      </w:pPr>
      <w:r>
        <w:rPr>
          <w:noProof/>
        </w:rPr>
        <w:t xml:space="preserve">X.2. </w:t>
      </w:r>
      <w:r>
        <w:rPr>
          <w:noProof/>
        </w:rPr>
        <w:tab/>
        <w:t>Kamienie milowe, wartości docelowe, wskaźniki i harmonogram monitorowania i realizacji na potrzeby bezzwrotnego wsparcia finansowego</w:t>
      </w:r>
    </w:p>
    <w:p w14:paraId="174A8B55" w14:textId="26E2198A"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p w14:paraId="21D00A68" w14:textId="77777777" w:rsidR="006578ED" w:rsidRDefault="006578ED">
      <w:pPr>
        <w:spacing w:before="120" w:after="120" w:line="240" w:lineRule="auto"/>
        <w:jc w:val="both"/>
        <w:rPr>
          <w:rFonts w:ascii="Times New Roman" w:hAnsi="Times New Roman" w:cs="Times New Roman"/>
          <w:noProof/>
          <w:sz w:val="24"/>
        </w:rPr>
        <w:sectPr w:rsidR="006578ED" w:rsidSect="00C94F66">
          <w:headerReference w:type="even" r:id="rId459"/>
          <w:headerReference w:type="default" r:id="rId460"/>
          <w:footerReference w:type="even" r:id="rId461"/>
          <w:footerReference w:type="default" r:id="rId462"/>
          <w:headerReference w:type="first" r:id="rId463"/>
          <w:footerReference w:type="first" r:id="rId464"/>
          <w:pgSz w:w="11907" w:h="16839"/>
          <w:pgMar w:top="1134" w:right="1417" w:bottom="1134" w:left="1417" w:header="709" w:footer="709" w:gutter="0"/>
          <w:cols w:space="720"/>
          <w:docGrid w:linePitch="360"/>
        </w:sectPr>
      </w:pPr>
    </w:p>
    <w:tbl>
      <w:tblPr>
        <w:tblW w:w="15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993"/>
        <w:gridCol w:w="850"/>
        <w:gridCol w:w="1701"/>
        <w:gridCol w:w="992"/>
        <w:gridCol w:w="709"/>
        <w:gridCol w:w="567"/>
        <w:gridCol w:w="709"/>
        <w:gridCol w:w="709"/>
        <w:gridCol w:w="567"/>
        <w:gridCol w:w="6837"/>
      </w:tblGrid>
      <w:tr w:rsidR="006578ED" w14:paraId="47E093BB" w14:textId="77777777">
        <w:trPr>
          <w:trHeight w:val="309"/>
          <w:tblHeader/>
        </w:trPr>
        <w:tc>
          <w:tcPr>
            <w:tcW w:w="851" w:type="dxa"/>
            <w:tcBorders>
              <w:bottom w:val="nil"/>
            </w:tcBorders>
            <w:shd w:val="clear" w:color="auto" w:fill="C6D9F1" w:themeFill="text2" w:themeFillTint="33"/>
            <w:noWrap/>
            <w:vAlign w:val="center"/>
          </w:tcPr>
          <w:p w14:paraId="452BF90B" w14:textId="77777777" w:rsidR="006578ED" w:rsidRDefault="00A1618E">
            <w:pPr>
              <w:pStyle w:val="P68B1DB1-Normal12"/>
              <w:spacing w:after="0" w:line="240" w:lineRule="auto"/>
              <w:jc w:val="center"/>
              <w:rPr>
                <w:rFonts w:cs="Times New Roman"/>
                <w:noProof/>
              </w:rPr>
            </w:pPr>
            <w:r>
              <w:rPr>
                <w:noProof/>
              </w:rPr>
              <w:t>Liczba</w:t>
            </w:r>
          </w:p>
        </w:tc>
        <w:tc>
          <w:tcPr>
            <w:tcW w:w="993" w:type="dxa"/>
            <w:tcBorders>
              <w:bottom w:val="nil"/>
            </w:tcBorders>
            <w:shd w:val="clear" w:color="auto" w:fill="C6D9F1" w:themeFill="text2" w:themeFillTint="33"/>
            <w:noWrap/>
            <w:vAlign w:val="center"/>
          </w:tcPr>
          <w:p w14:paraId="42FDFCDA"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24DA1994" w14:textId="0B6E7914"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1701" w:type="dxa"/>
            <w:tcBorders>
              <w:bottom w:val="nil"/>
            </w:tcBorders>
            <w:shd w:val="clear" w:color="auto" w:fill="C6D9F1" w:themeFill="text2" w:themeFillTint="33"/>
            <w:noWrap/>
            <w:vAlign w:val="center"/>
          </w:tcPr>
          <w:p w14:paraId="5E140932" w14:textId="77777777" w:rsidR="006578ED" w:rsidRDefault="00A1618E">
            <w:pPr>
              <w:pStyle w:val="P68B1DB1-Normal12"/>
              <w:spacing w:after="0" w:line="240" w:lineRule="auto"/>
              <w:jc w:val="center"/>
              <w:rPr>
                <w:rFonts w:cs="Times New Roman"/>
                <w:noProof/>
              </w:rPr>
            </w:pPr>
            <w:r>
              <w:rPr>
                <w:noProof/>
              </w:rPr>
              <w:t>Nazwa</w:t>
            </w:r>
          </w:p>
        </w:tc>
        <w:tc>
          <w:tcPr>
            <w:tcW w:w="992" w:type="dxa"/>
            <w:tcBorders>
              <w:bottom w:val="nil"/>
            </w:tcBorders>
            <w:shd w:val="clear" w:color="auto" w:fill="C6D9F1" w:themeFill="text2" w:themeFillTint="33"/>
            <w:noWrap/>
            <w:vAlign w:val="center"/>
          </w:tcPr>
          <w:p w14:paraId="41B1B97A"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85" w:type="dxa"/>
            <w:gridSpan w:val="3"/>
            <w:shd w:val="clear" w:color="auto" w:fill="C6D9F1" w:themeFill="text2" w:themeFillTint="33"/>
            <w:noWrap/>
            <w:vAlign w:val="center"/>
          </w:tcPr>
          <w:p w14:paraId="5A254FE4"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276" w:type="dxa"/>
            <w:gridSpan w:val="2"/>
            <w:shd w:val="clear" w:color="auto" w:fill="C6D9F1" w:themeFill="text2" w:themeFillTint="33"/>
            <w:noWrap/>
            <w:vAlign w:val="center"/>
          </w:tcPr>
          <w:p w14:paraId="6476BE1C" w14:textId="77777777" w:rsidR="006578ED" w:rsidRDefault="00A1618E">
            <w:pPr>
              <w:pStyle w:val="P68B1DB1-Normal12"/>
              <w:spacing w:after="0" w:line="240" w:lineRule="auto"/>
              <w:jc w:val="center"/>
              <w:rPr>
                <w:rFonts w:cs="Times New Roman"/>
                <w:noProof/>
              </w:rPr>
            </w:pPr>
            <w:r>
              <w:rPr>
                <w:noProof/>
              </w:rPr>
              <w:t>Czas</w:t>
            </w:r>
          </w:p>
        </w:tc>
        <w:tc>
          <w:tcPr>
            <w:tcW w:w="6837" w:type="dxa"/>
            <w:tcBorders>
              <w:bottom w:val="nil"/>
            </w:tcBorders>
            <w:shd w:val="clear" w:color="auto" w:fill="C6D9F1" w:themeFill="text2" w:themeFillTint="33"/>
            <w:noWrap/>
            <w:vAlign w:val="center"/>
          </w:tcPr>
          <w:p w14:paraId="3A6821AC" w14:textId="3F89DAFC"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7B4E4ABA" w14:textId="77777777">
        <w:trPr>
          <w:trHeight w:val="309"/>
          <w:tblHeader/>
        </w:trPr>
        <w:tc>
          <w:tcPr>
            <w:tcW w:w="851" w:type="dxa"/>
            <w:tcBorders>
              <w:top w:val="nil"/>
            </w:tcBorders>
            <w:shd w:val="clear" w:color="auto" w:fill="C6D9F1" w:themeFill="text2" w:themeFillTint="33"/>
            <w:noWrap/>
          </w:tcPr>
          <w:p w14:paraId="0D905B62" w14:textId="77777777" w:rsidR="006578ED" w:rsidRDefault="006578ED">
            <w:pPr>
              <w:spacing w:after="0" w:line="240" w:lineRule="auto"/>
              <w:jc w:val="center"/>
              <w:rPr>
                <w:rFonts w:ascii="Times New Roman" w:hAnsi="Times New Roman" w:cs="Times New Roman"/>
                <w:b/>
                <w:noProof/>
                <w:sz w:val="18"/>
              </w:rPr>
            </w:pPr>
          </w:p>
        </w:tc>
        <w:tc>
          <w:tcPr>
            <w:tcW w:w="993" w:type="dxa"/>
            <w:tcBorders>
              <w:top w:val="nil"/>
            </w:tcBorders>
            <w:shd w:val="clear" w:color="auto" w:fill="C6D9F1" w:themeFill="text2" w:themeFillTint="33"/>
            <w:noWrap/>
          </w:tcPr>
          <w:p w14:paraId="760E6809"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21BA0C45" w14:textId="77777777" w:rsidR="006578ED" w:rsidRDefault="006578ED">
            <w:pPr>
              <w:spacing w:after="0" w:line="240" w:lineRule="auto"/>
              <w:jc w:val="center"/>
              <w:rPr>
                <w:rFonts w:ascii="Times New Roman" w:hAnsi="Times New Roman" w:cs="Times New Roman"/>
                <w:b/>
                <w:noProof/>
                <w:sz w:val="18"/>
              </w:rPr>
            </w:pPr>
          </w:p>
        </w:tc>
        <w:tc>
          <w:tcPr>
            <w:tcW w:w="1701" w:type="dxa"/>
            <w:tcBorders>
              <w:top w:val="nil"/>
            </w:tcBorders>
            <w:shd w:val="clear" w:color="auto" w:fill="C6D9F1" w:themeFill="text2" w:themeFillTint="33"/>
            <w:noWrap/>
          </w:tcPr>
          <w:p w14:paraId="7975753A" w14:textId="77777777" w:rsidR="006578ED" w:rsidRDefault="006578ED">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2A1F1AD2" w14:textId="77777777" w:rsidR="006578ED" w:rsidRDefault="006578ED">
            <w:pPr>
              <w:spacing w:after="0" w:line="240" w:lineRule="auto"/>
              <w:jc w:val="center"/>
              <w:rPr>
                <w:rFonts w:ascii="Times New Roman" w:hAnsi="Times New Roman" w:cs="Times New Roman"/>
                <w:b/>
                <w:noProof/>
                <w:sz w:val="18"/>
              </w:rPr>
            </w:pPr>
          </w:p>
        </w:tc>
        <w:tc>
          <w:tcPr>
            <w:tcW w:w="709" w:type="dxa"/>
            <w:shd w:val="clear" w:color="auto" w:fill="C6D9F1" w:themeFill="text2" w:themeFillTint="33"/>
            <w:noWrap/>
            <w:vAlign w:val="center"/>
          </w:tcPr>
          <w:p w14:paraId="0654C1BC"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vAlign w:val="center"/>
          </w:tcPr>
          <w:p w14:paraId="7C98FBCC" w14:textId="77777777" w:rsidR="006578ED" w:rsidRDefault="00A1618E">
            <w:pPr>
              <w:pStyle w:val="P68B1DB1-Normal12"/>
              <w:spacing w:after="0" w:line="240" w:lineRule="auto"/>
              <w:jc w:val="center"/>
              <w:rPr>
                <w:rFonts w:cs="Times New Roman"/>
                <w:noProof/>
              </w:rPr>
            </w:pPr>
            <w:r>
              <w:rPr>
                <w:noProof/>
              </w:rPr>
              <w:t>Wartość wyjściowa</w:t>
            </w:r>
          </w:p>
        </w:tc>
        <w:tc>
          <w:tcPr>
            <w:tcW w:w="709" w:type="dxa"/>
            <w:shd w:val="clear" w:color="auto" w:fill="C6D9F1" w:themeFill="text2" w:themeFillTint="33"/>
            <w:noWrap/>
            <w:vAlign w:val="center"/>
          </w:tcPr>
          <w:p w14:paraId="1400AB49" w14:textId="77777777" w:rsidR="006578ED" w:rsidRDefault="00A1618E">
            <w:pPr>
              <w:pStyle w:val="P68B1DB1-Normal12"/>
              <w:spacing w:after="0" w:line="240" w:lineRule="auto"/>
              <w:jc w:val="center"/>
              <w:rPr>
                <w:rFonts w:cs="Times New Roman"/>
                <w:noProof/>
              </w:rPr>
            </w:pPr>
            <w:r>
              <w:rPr>
                <w:noProof/>
              </w:rPr>
              <w:t>Cel</w:t>
            </w:r>
          </w:p>
        </w:tc>
        <w:tc>
          <w:tcPr>
            <w:tcW w:w="709" w:type="dxa"/>
            <w:shd w:val="clear" w:color="auto" w:fill="C6D9F1" w:themeFill="text2" w:themeFillTint="33"/>
            <w:noWrap/>
            <w:vAlign w:val="center"/>
          </w:tcPr>
          <w:p w14:paraId="78B7D1D4"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vAlign w:val="center"/>
          </w:tcPr>
          <w:p w14:paraId="3EF9A8B4" w14:textId="77777777" w:rsidR="006578ED" w:rsidRDefault="00A1618E">
            <w:pPr>
              <w:pStyle w:val="P68B1DB1-Normal12"/>
              <w:spacing w:after="0" w:line="240" w:lineRule="auto"/>
              <w:jc w:val="center"/>
              <w:rPr>
                <w:rFonts w:cs="Times New Roman"/>
                <w:noProof/>
              </w:rPr>
            </w:pPr>
            <w:r>
              <w:rPr>
                <w:noProof/>
              </w:rPr>
              <w:t>Rok</w:t>
            </w:r>
          </w:p>
        </w:tc>
        <w:tc>
          <w:tcPr>
            <w:tcW w:w="6837" w:type="dxa"/>
            <w:tcBorders>
              <w:top w:val="nil"/>
            </w:tcBorders>
            <w:shd w:val="clear" w:color="auto" w:fill="C6D9F1" w:themeFill="text2" w:themeFillTint="33"/>
            <w:noWrap/>
          </w:tcPr>
          <w:p w14:paraId="0AC9D072" w14:textId="77777777" w:rsidR="006578ED" w:rsidRDefault="006578ED">
            <w:pPr>
              <w:spacing w:after="0" w:line="240" w:lineRule="auto"/>
              <w:rPr>
                <w:rFonts w:ascii="Times New Roman" w:hAnsi="Times New Roman" w:cs="Times New Roman"/>
                <w:b/>
                <w:noProof/>
                <w:sz w:val="18"/>
              </w:rPr>
            </w:pPr>
          </w:p>
        </w:tc>
      </w:tr>
      <w:tr w:rsidR="006578ED" w14:paraId="5984E482" w14:textId="77777777">
        <w:trPr>
          <w:trHeight w:val="309"/>
        </w:trPr>
        <w:tc>
          <w:tcPr>
            <w:tcW w:w="851" w:type="dxa"/>
            <w:shd w:val="clear" w:color="auto" w:fill="C6EFCE"/>
            <w:noWrap/>
          </w:tcPr>
          <w:p w14:paraId="0595ACF2" w14:textId="77777777" w:rsidR="006578ED" w:rsidRDefault="00A1618E">
            <w:pPr>
              <w:pStyle w:val="P68B1DB1-Normal13"/>
              <w:spacing w:after="0" w:line="240" w:lineRule="auto"/>
              <w:jc w:val="center"/>
              <w:rPr>
                <w:rFonts w:eastAsia="Times New Roman" w:cs="Times New Roman"/>
                <w:noProof/>
              </w:rPr>
            </w:pPr>
            <w:r>
              <w:rPr>
                <w:noProof/>
              </w:rPr>
              <w:t>352</w:t>
            </w:r>
          </w:p>
        </w:tc>
        <w:tc>
          <w:tcPr>
            <w:tcW w:w="993" w:type="dxa"/>
            <w:shd w:val="clear" w:color="auto" w:fill="C6EFCE"/>
            <w:noWrap/>
          </w:tcPr>
          <w:p w14:paraId="5A187EA1" w14:textId="77777777" w:rsidR="006578ED" w:rsidRDefault="00A1618E">
            <w:pPr>
              <w:pStyle w:val="P68B1DB1-Normal13"/>
              <w:spacing w:after="0" w:line="240" w:lineRule="auto"/>
              <w:jc w:val="center"/>
              <w:rPr>
                <w:rFonts w:eastAsia="Times New Roman" w:cs="Times New Roman"/>
                <w:noProof/>
              </w:rPr>
            </w:pPr>
            <w:r>
              <w:rPr>
                <w:noProof/>
              </w:rPr>
              <w:t>C24.R1</w:t>
            </w:r>
          </w:p>
        </w:tc>
        <w:tc>
          <w:tcPr>
            <w:tcW w:w="850" w:type="dxa"/>
            <w:shd w:val="clear" w:color="auto" w:fill="C6EFCE"/>
            <w:noWrap/>
          </w:tcPr>
          <w:p w14:paraId="78BEC199" w14:textId="5CBE9839" w:rsidR="006578ED" w:rsidRDefault="00AF6B91">
            <w:pPr>
              <w:pStyle w:val="P68B1DB1-Normal13"/>
              <w:spacing w:after="0" w:line="240" w:lineRule="auto"/>
              <w:jc w:val="center"/>
              <w:rPr>
                <w:rFonts w:eastAsia="Times New Roman" w:cs="Times New Roman"/>
                <w:noProof/>
              </w:rPr>
            </w:pPr>
            <w:r>
              <w:rPr>
                <w:noProof/>
              </w:rPr>
              <w:t>Kamień milowy</w:t>
            </w:r>
          </w:p>
        </w:tc>
        <w:tc>
          <w:tcPr>
            <w:tcW w:w="1701" w:type="dxa"/>
            <w:shd w:val="clear" w:color="auto" w:fill="C6EFCE"/>
            <w:noWrap/>
          </w:tcPr>
          <w:p w14:paraId="491605FD" w14:textId="3AD82C67" w:rsidR="006578ED" w:rsidRDefault="00A1618E">
            <w:pPr>
              <w:pStyle w:val="P68B1DB1-Normal13"/>
              <w:spacing w:after="0" w:line="240" w:lineRule="auto"/>
              <w:rPr>
                <w:rFonts w:eastAsia="Times New Roman" w:cs="Times New Roman"/>
                <w:noProof/>
              </w:rPr>
            </w:pPr>
            <w:r>
              <w:rPr>
                <w:noProof/>
              </w:rPr>
              <w:t>Wejście w życie statutu artysty, sponsorowanie i system zachęt podatkowych.</w:t>
            </w:r>
          </w:p>
        </w:tc>
        <w:tc>
          <w:tcPr>
            <w:tcW w:w="992" w:type="dxa"/>
            <w:shd w:val="clear" w:color="auto" w:fill="C6EFCE"/>
            <w:noWrap/>
          </w:tcPr>
          <w:p w14:paraId="6CF09B0A" w14:textId="33BD5C16" w:rsidR="006578ED" w:rsidRDefault="00A1618E">
            <w:pPr>
              <w:pStyle w:val="P68B1DB1-Normal13"/>
              <w:spacing w:after="0" w:line="240" w:lineRule="auto"/>
              <w:jc w:val="center"/>
              <w:rPr>
                <w:rFonts w:eastAsia="Times New Roman" w:cs="Times New Roman"/>
                <w:noProof/>
              </w:rPr>
            </w:pPr>
            <w:r>
              <w:rPr>
                <w:noProof/>
              </w:rPr>
              <w:t>Przepisy rozporządzenia o wejściu w życie</w:t>
            </w:r>
          </w:p>
        </w:tc>
        <w:tc>
          <w:tcPr>
            <w:tcW w:w="709" w:type="dxa"/>
            <w:shd w:val="clear" w:color="auto" w:fill="C6EFCE"/>
            <w:noWrap/>
          </w:tcPr>
          <w:p w14:paraId="6578D08E"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66E5D696"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A663420"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5DEA7E39" w14:textId="7062831A"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07F93F4E" w14:textId="77777777" w:rsidR="006578ED" w:rsidRDefault="00A1618E">
            <w:pPr>
              <w:pStyle w:val="P68B1DB1-Normal13"/>
              <w:spacing w:after="0" w:line="240" w:lineRule="auto"/>
              <w:jc w:val="center"/>
              <w:rPr>
                <w:rFonts w:eastAsia="Times New Roman" w:cs="Times New Roman"/>
                <w:noProof/>
              </w:rPr>
            </w:pPr>
            <w:r>
              <w:rPr>
                <w:noProof/>
              </w:rPr>
              <w:t>2022</w:t>
            </w:r>
          </w:p>
        </w:tc>
        <w:tc>
          <w:tcPr>
            <w:tcW w:w="6837" w:type="dxa"/>
            <w:shd w:val="clear" w:color="auto" w:fill="C6EFCE"/>
            <w:noWrap/>
          </w:tcPr>
          <w:p w14:paraId="7FFE4AB4" w14:textId="615D46D4" w:rsidR="006578ED" w:rsidRDefault="00A1618E">
            <w:pPr>
              <w:pStyle w:val="P68B1DB1-Normal13"/>
              <w:spacing w:after="0" w:line="240" w:lineRule="auto"/>
              <w:rPr>
                <w:rFonts w:eastAsia="Times New Roman" w:cs="Times New Roman"/>
                <w:noProof/>
              </w:rPr>
            </w:pPr>
            <w:r>
              <w:rPr>
                <w:noProof/>
              </w:rPr>
              <w:t>Wejście w życie zmian regulacyjnych dotyczących wdrażania statutu artysty oraz regulacji następujących aspektów w celu poprawy warunków pracy artystów: adekwatność podatku VAT; podatku dochodowego od osób fizycznych, reprezentatywność związków zawodowych, zdrowie i szczególne stosunki pracy artystów w karierze publicznej; lepsze uregulowania dotyczące sponsorowania i systemu zachęt podatkowych.</w:t>
            </w:r>
          </w:p>
        </w:tc>
      </w:tr>
      <w:tr w:rsidR="006578ED" w14:paraId="7E3571B0" w14:textId="77777777">
        <w:trPr>
          <w:trHeight w:val="309"/>
        </w:trPr>
        <w:tc>
          <w:tcPr>
            <w:tcW w:w="851" w:type="dxa"/>
            <w:shd w:val="clear" w:color="auto" w:fill="C6EFCE"/>
            <w:noWrap/>
          </w:tcPr>
          <w:p w14:paraId="5A3F38A6" w14:textId="77777777" w:rsidR="006578ED" w:rsidRDefault="00A1618E">
            <w:pPr>
              <w:pStyle w:val="P68B1DB1-Normal13"/>
              <w:spacing w:after="0" w:line="240" w:lineRule="auto"/>
              <w:jc w:val="center"/>
              <w:rPr>
                <w:rFonts w:eastAsia="Times New Roman" w:cs="Times New Roman"/>
                <w:noProof/>
              </w:rPr>
            </w:pPr>
            <w:r>
              <w:rPr>
                <w:noProof/>
              </w:rPr>
              <w:t>353</w:t>
            </w:r>
          </w:p>
        </w:tc>
        <w:tc>
          <w:tcPr>
            <w:tcW w:w="993" w:type="dxa"/>
            <w:shd w:val="clear" w:color="auto" w:fill="C6EFCE"/>
            <w:noWrap/>
          </w:tcPr>
          <w:p w14:paraId="466D27F3" w14:textId="77777777" w:rsidR="006578ED" w:rsidRDefault="00A1618E">
            <w:pPr>
              <w:pStyle w:val="P68B1DB1-Normal13"/>
              <w:spacing w:after="0" w:line="240" w:lineRule="auto"/>
              <w:jc w:val="center"/>
              <w:rPr>
                <w:rFonts w:eastAsia="Times New Roman" w:cs="Times New Roman"/>
                <w:noProof/>
              </w:rPr>
            </w:pPr>
            <w:r>
              <w:rPr>
                <w:noProof/>
              </w:rPr>
              <w:t>C24.R2</w:t>
            </w:r>
          </w:p>
        </w:tc>
        <w:tc>
          <w:tcPr>
            <w:tcW w:w="850" w:type="dxa"/>
            <w:shd w:val="clear" w:color="auto" w:fill="C6EFCE"/>
            <w:noWrap/>
          </w:tcPr>
          <w:p w14:paraId="64A2617A" w14:textId="0F295233" w:rsidR="006578ED" w:rsidRDefault="00AF6B91">
            <w:pPr>
              <w:pStyle w:val="P68B1DB1-Normal13"/>
              <w:spacing w:after="0" w:line="240" w:lineRule="auto"/>
              <w:jc w:val="center"/>
              <w:rPr>
                <w:rFonts w:eastAsia="Times New Roman" w:cs="Times New Roman"/>
                <w:noProof/>
              </w:rPr>
            </w:pPr>
            <w:r>
              <w:rPr>
                <w:noProof/>
              </w:rPr>
              <w:t>Kamień milowy</w:t>
            </w:r>
          </w:p>
        </w:tc>
        <w:tc>
          <w:tcPr>
            <w:tcW w:w="1701" w:type="dxa"/>
            <w:shd w:val="clear" w:color="auto" w:fill="C6EFCE"/>
            <w:noWrap/>
          </w:tcPr>
          <w:p w14:paraId="44827B1C" w14:textId="2FDF6B21" w:rsidR="006578ED" w:rsidRDefault="00A1618E">
            <w:pPr>
              <w:pStyle w:val="P68B1DB1-Normal13"/>
              <w:spacing w:after="0" w:line="240" w:lineRule="auto"/>
              <w:rPr>
                <w:rFonts w:eastAsia="Times New Roman" w:cs="Times New Roman"/>
                <w:noProof/>
              </w:rPr>
            </w:pPr>
            <w:r>
              <w:rPr>
                <w:noProof/>
              </w:rPr>
              <w:t>Wejście w życie środków ustawodawczych i regulacyjnych mających na celu wzmocnienie prawa autorskiego i praw pokrewnych</w:t>
            </w:r>
          </w:p>
        </w:tc>
        <w:tc>
          <w:tcPr>
            <w:tcW w:w="992" w:type="dxa"/>
            <w:shd w:val="clear" w:color="auto" w:fill="C6EFCE"/>
            <w:noWrap/>
          </w:tcPr>
          <w:p w14:paraId="5CB9A954" w14:textId="0F6D649A" w:rsidR="006578ED" w:rsidRDefault="00A1618E">
            <w:pPr>
              <w:pStyle w:val="P68B1DB1-Normal13"/>
              <w:spacing w:after="0" w:line="240" w:lineRule="auto"/>
              <w:jc w:val="center"/>
              <w:rPr>
                <w:rFonts w:eastAsia="Times New Roman" w:cs="Times New Roman"/>
                <w:noProof/>
              </w:rPr>
            </w:pPr>
            <w:r>
              <w:rPr>
                <w:noProof/>
              </w:rPr>
              <w:t>Przepisy aktów prawnych dotyczące wejścia w życie</w:t>
            </w:r>
          </w:p>
        </w:tc>
        <w:tc>
          <w:tcPr>
            <w:tcW w:w="709" w:type="dxa"/>
            <w:shd w:val="clear" w:color="auto" w:fill="C6EFCE"/>
            <w:noWrap/>
          </w:tcPr>
          <w:p w14:paraId="59A1D248"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300CFB09"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7D074ACD"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709" w:type="dxa"/>
            <w:shd w:val="clear" w:color="auto" w:fill="C6EFCE"/>
            <w:noWrap/>
          </w:tcPr>
          <w:p w14:paraId="1BCDA611" w14:textId="25DE2EEC"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3B689CF0"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375976F5" w14:textId="171D841B" w:rsidR="006578ED" w:rsidRDefault="00A1618E">
            <w:pPr>
              <w:pStyle w:val="P68B1DB1-Normal13"/>
              <w:spacing w:after="0" w:line="240" w:lineRule="auto"/>
              <w:rPr>
                <w:rFonts w:eastAsia="Times New Roman" w:cs="Times New Roman"/>
                <w:noProof/>
              </w:rPr>
            </w:pPr>
            <w:r>
              <w:rPr>
                <w:noProof/>
              </w:rPr>
              <w:t>Przyjęcie ustawy o prawach własności intelektualnej na europejskim jednolitym rynku cyfrowym wraz z pełną transpozycją dyrektyw 2019/789 SatCab i 2019/790; Dekret królewski zatwierdzający rozporządzenie w sprawie rejestru własności intelektualnej; Dekret królewski zmieniający dekret królewski 1889/2011 z dnia 30 grudnia 20</w:t>
            </w:r>
            <w:r w:rsidRPr="00A1618E">
              <w:rPr>
                <w:noProof/>
                <w:lang w:val="pl-PL"/>
              </w:rPr>
              <w:t>06 r.</w:t>
            </w:r>
            <w:r>
              <w:rPr>
                <w:noProof/>
              </w:rPr>
              <w:t xml:space="preserve"> regulujący funkcjonowanie komisji ds. własności intelektualnej; oraz 4) zatwierdzenie odpowiedniego aktu normatywnego i statutu hiszpańskiego urzędu ds. praw autorskich</w:t>
            </w:r>
          </w:p>
        </w:tc>
      </w:tr>
      <w:tr w:rsidR="006578ED" w14:paraId="6ECFC41B" w14:textId="77777777">
        <w:trPr>
          <w:trHeight w:val="309"/>
        </w:trPr>
        <w:tc>
          <w:tcPr>
            <w:tcW w:w="851" w:type="dxa"/>
            <w:shd w:val="clear" w:color="auto" w:fill="C6EFCE"/>
            <w:noWrap/>
          </w:tcPr>
          <w:p w14:paraId="63576139" w14:textId="77777777" w:rsidR="006578ED" w:rsidRDefault="00A1618E">
            <w:pPr>
              <w:pStyle w:val="P68B1DB1-Normal13"/>
              <w:spacing w:after="0" w:line="240" w:lineRule="auto"/>
              <w:jc w:val="center"/>
              <w:rPr>
                <w:rFonts w:eastAsia="Times New Roman" w:cs="Times New Roman"/>
                <w:noProof/>
              </w:rPr>
            </w:pPr>
            <w:r>
              <w:rPr>
                <w:noProof/>
              </w:rPr>
              <w:t>354</w:t>
            </w:r>
          </w:p>
        </w:tc>
        <w:tc>
          <w:tcPr>
            <w:tcW w:w="993" w:type="dxa"/>
            <w:shd w:val="clear" w:color="auto" w:fill="C6EFCE"/>
            <w:noWrap/>
          </w:tcPr>
          <w:p w14:paraId="2A39C450" w14:textId="77777777" w:rsidR="006578ED" w:rsidRDefault="00A1618E">
            <w:pPr>
              <w:pStyle w:val="P68B1DB1-Normal13"/>
              <w:spacing w:after="0" w:line="240" w:lineRule="auto"/>
              <w:jc w:val="center"/>
              <w:rPr>
                <w:rFonts w:eastAsia="Times New Roman" w:cs="Times New Roman"/>
                <w:noProof/>
              </w:rPr>
            </w:pPr>
            <w:r>
              <w:rPr>
                <w:noProof/>
              </w:rPr>
              <w:t>C24.I1</w:t>
            </w:r>
          </w:p>
        </w:tc>
        <w:tc>
          <w:tcPr>
            <w:tcW w:w="850" w:type="dxa"/>
            <w:shd w:val="clear" w:color="auto" w:fill="C6EFCE"/>
            <w:noWrap/>
          </w:tcPr>
          <w:p w14:paraId="052D0D87" w14:textId="78C1B4A2" w:rsidR="006578ED" w:rsidRDefault="00AF6B91">
            <w:pPr>
              <w:pStyle w:val="P68B1DB1-Normal13"/>
              <w:spacing w:after="0" w:line="240" w:lineRule="auto"/>
              <w:jc w:val="center"/>
              <w:rPr>
                <w:rFonts w:eastAsia="Times New Roman" w:cs="Times New Roman"/>
                <w:noProof/>
              </w:rPr>
            </w:pPr>
            <w:r>
              <w:rPr>
                <w:noProof/>
              </w:rPr>
              <w:t>Cel</w:t>
            </w:r>
          </w:p>
        </w:tc>
        <w:tc>
          <w:tcPr>
            <w:tcW w:w="1701" w:type="dxa"/>
            <w:shd w:val="clear" w:color="auto" w:fill="C6EFCE"/>
            <w:noWrap/>
          </w:tcPr>
          <w:p w14:paraId="2C6CAD11" w14:textId="77777777" w:rsidR="006578ED" w:rsidRDefault="00A1618E">
            <w:pPr>
              <w:pStyle w:val="P68B1DB1-Normal13"/>
              <w:spacing w:after="0" w:line="240" w:lineRule="auto"/>
              <w:rPr>
                <w:rFonts w:cs="Times New Roman"/>
                <w:noProof/>
              </w:rPr>
            </w:pPr>
            <w:r>
              <w:rPr>
                <w:noProof/>
              </w:rPr>
              <w:t xml:space="preserve">Wzmocnienie konkurencyjności przemysłu kulturalnego </w:t>
            </w:r>
          </w:p>
        </w:tc>
        <w:tc>
          <w:tcPr>
            <w:tcW w:w="992" w:type="dxa"/>
            <w:shd w:val="clear" w:color="auto" w:fill="C6EFCE"/>
            <w:noWrap/>
          </w:tcPr>
          <w:p w14:paraId="6038216B"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466E135"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7" w:type="dxa"/>
            <w:shd w:val="clear" w:color="auto" w:fill="C6EFCE"/>
            <w:noWrap/>
          </w:tcPr>
          <w:p w14:paraId="59DA9834"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320DD696" w14:textId="77777777" w:rsidR="006578ED" w:rsidRDefault="00A1618E">
            <w:pPr>
              <w:pStyle w:val="P68B1DB1-Normal13"/>
              <w:spacing w:after="0" w:line="240" w:lineRule="auto"/>
              <w:jc w:val="right"/>
              <w:rPr>
                <w:rFonts w:eastAsia="Times New Roman" w:cs="Times New Roman"/>
                <w:noProof/>
              </w:rPr>
            </w:pPr>
            <w:r>
              <w:rPr>
                <w:noProof/>
              </w:rPr>
              <w:t>1 216</w:t>
            </w:r>
          </w:p>
        </w:tc>
        <w:tc>
          <w:tcPr>
            <w:tcW w:w="709" w:type="dxa"/>
            <w:shd w:val="clear" w:color="auto" w:fill="C6EFCE"/>
            <w:noWrap/>
          </w:tcPr>
          <w:p w14:paraId="57EE0E36" w14:textId="33D25048"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62A3FFA9"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4893F2A0" w14:textId="4965CF16" w:rsidR="006578ED" w:rsidRDefault="00A1618E">
            <w:pPr>
              <w:pStyle w:val="P68B1DB1-Normal13"/>
              <w:spacing w:after="0" w:line="240" w:lineRule="auto"/>
              <w:rPr>
                <w:rFonts w:eastAsia="Times New Roman" w:cs="Times New Roman"/>
                <w:noProof/>
              </w:rPr>
            </w:pPr>
            <w:r>
              <w:rPr>
                <w:noProof/>
              </w:rPr>
              <w:t xml:space="preserve">Liczba podmiotów i projektów otrzymujących finansowanie w ramach systemu wsparcia dla: </w:t>
            </w:r>
            <w:r>
              <w:rPr>
                <w:noProof/>
              </w:rPr>
              <w:br/>
              <w:t>umiejętności w zakresie przedsiębiorczości i finansów osób zawodowo związanych z sektorem kultury i sektorem kreatywnym (co najmniej 900 podmiotów);</w:t>
            </w:r>
            <w:r>
              <w:rPr>
                <w:noProof/>
              </w:rPr>
              <w:br/>
              <w:t>wdrożenie planowania cyfryzacji i stworzenie narzędzi do dyskusji na temat transformacji cyfrowej (co najmniej 16 projektów);</w:t>
            </w:r>
            <w:r>
              <w:rPr>
                <w:noProof/>
              </w:rPr>
              <w:br/>
              <w:t>umiędzynarodowienie sektora kultury i sektora kreatywnego (co najmniej 300 podmiotów).</w:t>
            </w:r>
            <w:r>
              <w:rPr>
                <w:noProof/>
              </w:rPr>
              <w:br/>
              <w:t>Projekty muszą być zgodne z wytycznymi technicznymi dotyczącymi zasady „nie czyń poważnych szkód” (2021/C58/01) poprzez wykorzystanie wykazu wykluczenia oraz wymóg zgodności z odpowiednimi unijnymi i krajowymi przepisami w zakresie ochrony środowiska.</w:t>
            </w:r>
          </w:p>
        </w:tc>
      </w:tr>
      <w:tr w:rsidR="006578ED" w14:paraId="3BF070AF" w14:textId="77777777">
        <w:trPr>
          <w:trHeight w:val="309"/>
        </w:trPr>
        <w:tc>
          <w:tcPr>
            <w:tcW w:w="851" w:type="dxa"/>
            <w:shd w:val="clear" w:color="auto" w:fill="C6EFCE"/>
            <w:noWrap/>
          </w:tcPr>
          <w:p w14:paraId="4BFC32D5" w14:textId="5211CAC5" w:rsidR="006578ED" w:rsidRDefault="00A1618E">
            <w:pPr>
              <w:pStyle w:val="P68B1DB1-Normal13"/>
              <w:spacing w:after="0" w:line="240" w:lineRule="auto"/>
              <w:jc w:val="center"/>
              <w:rPr>
                <w:rFonts w:cs="Times New Roman"/>
                <w:noProof/>
              </w:rPr>
            </w:pPr>
            <w:r>
              <w:rPr>
                <w:noProof/>
              </w:rPr>
              <w:t>475</w:t>
            </w:r>
          </w:p>
        </w:tc>
        <w:tc>
          <w:tcPr>
            <w:tcW w:w="993" w:type="dxa"/>
            <w:shd w:val="clear" w:color="auto" w:fill="C6EFCE"/>
            <w:noWrap/>
          </w:tcPr>
          <w:p w14:paraId="2536F61D" w14:textId="0F9CC23C" w:rsidR="006578ED" w:rsidRDefault="00A1618E">
            <w:pPr>
              <w:pStyle w:val="P68B1DB1-Normal13"/>
              <w:spacing w:after="0" w:line="240" w:lineRule="auto"/>
              <w:jc w:val="center"/>
              <w:rPr>
                <w:rFonts w:cs="Times New Roman"/>
                <w:noProof/>
              </w:rPr>
            </w:pPr>
            <w:r>
              <w:rPr>
                <w:noProof/>
              </w:rPr>
              <w:t>C24.I1</w:t>
            </w:r>
          </w:p>
        </w:tc>
        <w:tc>
          <w:tcPr>
            <w:tcW w:w="850" w:type="dxa"/>
            <w:shd w:val="clear" w:color="auto" w:fill="C6EFCE"/>
            <w:noWrap/>
          </w:tcPr>
          <w:p w14:paraId="488C7D1E" w14:textId="03552546" w:rsidR="006578ED" w:rsidRDefault="00AF6B91">
            <w:pPr>
              <w:pStyle w:val="P68B1DB1-Normal13"/>
              <w:spacing w:after="0" w:line="240" w:lineRule="auto"/>
              <w:jc w:val="center"/>
              <w:rPr>
                <w:rFonts w:cs="Times New Roman"/>
                <w:noProof/>
              </w:rPr>
            </w:pPr>
            <w:r>
              <w:rPr>
                <w:noProof/>
              </w:rPr>
              <w:t>Cel</w:t>
            </w:r>
          </w:p>
        </w:tc>
        <w:tc>
          <w:tcPr>
            <w:tcW w:w="1701" w:type="dxa"/>
            <w:shd w:val="clear" w:color="auto" w:fill="C6EFCE"/>
            <w:noWrap/>
          </w:tcPr>
          <w:p w14:paraId="50A8C5C8" w14:textId="4834EC14" w:rsidR="006578ED" w:rsidRDefault="00A1618E">
            <w:pPr>
              <w:pStyle w:val="P68B1DB1-Normal13"/>
              <w:spacing w:after="0" w:line="240" w:lineRule="auto"/>
              <w:rPr>
                <w:rFonts w:cs="Times New Roman"/>
                <w:noProof/>
              </w:rPr>
            </w:pPr>
            <w:r>
              <w:rPr>
                <w:noProof/>
              </w:rPr>
              <w:t>Zakończenie inicjatyw i projektów na rzecz wzmocnienia konkurencyjności przemysłu kulturalnego</w:t>
            </w:r>
          </w:p>
        </w:tc>
        <w:tc>
          <w:tcPr>
            <w:tcW w:w="992" w:type="dxa"/>
            <w:shd w:val="clear" w:color="auto" w:fill="C6EFCE"/>
            <w:noWrap/>
          </w:tcPr>
          <w:p w14:paraId="75B87A58" w14:textId="77777777" w:rsidR="006578ED" w:rsidRDefault="006578ED">
            <w:pPr>
              <w:spacing w:after="0" w:line="240" w:lineRule="auto"/>
              <w:jc w:val="center"/>
              <w:rPr>
                <w:rFonts w:ascii="Times New Roman" w:hAnsi="Times New Roman" w:cs="Times New Roman"/>
                <w:noProof/>
                <w:sz w:val="18"/>
              </w:rPr>
            </w:pPr>
          </w:p>
        </w:tc>
        <w:tc>
          <w:tcPr>
            <w:tcW w:w="709" w:type="dxa"/>
            <w:shd w:val="clear" w:color="auto" w:fill="C6EFCE"/>
            <w:noWrap/>
          </w:tcPr>
          <w:p w14:paraId="413A895D" w14:textId="0855B4DE" w:rsidR="006578ED" w:rsidRDefault="00A1618E">
            <w:pPr>
              <w:pStyle w:val="P68B1DB1-Normal13"/>
              <w:spacing w:after="0" w:line="240" w:lineRule="auto"/>
              <w:jc w:val="center"/>
              <w:rPr>
                <w:rFonts w:cs="Times New Roman"/>
                <w:noProof/>
              </w:rPr>
            </w:pPr>
            <w:r>
              <w:rPr>
                <w:noProof/>
              </w:rPr>
              <w:t>Liczba</w:t>
            </w:r>
          </w:p>
        </w:tc>
        <w:tc>
          <w:tcPr>
            <w:tcW w:w="567" w:type="dxa"/>
            <w:shd w:val="clear" w:color="auto" w:fill="C6EFCE"/>
            <w:noWrap/>
          </w:tcPr>
          <w:p w14:paraId="7DB49750" w14:textId="5B084DA9"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141DD2CC" w14:textId="68984241" w:rsidR="006578ED" w:rsidRDefault="00A1618E">
            <w:pPr>
              <w:pStyle w:val="P68B1DB1-Normal13"/>
              <w:spacing w:after="0" w:line="240" w:lineRule="auto"/>
              <w:jc w:val="right"/>
              <w:rPr>
                <w:rFonts w:cs="Times New Roman"/>
                <w:noProof/>
              </w:rPr>
            </w:pPr>
            <w:r>
              <w:rPr>
                <w:noProof/>
              </w:rPr>
              <w:t>1 216</w:t>
            </w:r>
          </w:p>
        </w:tc>
        <w:tc>
          <w:tcPr>
            <w:tcW w:w="709" w:type="dxa"/>
            <w:shd w:val="clear" w:color="auto" w:fill="C6EFCE"/>
            <w:noWrap/>
          </w:tcPr>
          <w:p w14:paraId="572CA3F7" w14:textId="183505F1" w:rsidR="006578ED" w:rsidRDefault="00EC188C">
            <w:pPr>
              <w:spacing w:after="0" w:line="240" w:lineRule="auto"/>
              <w:jc w:val="center"/>
              <w:rPr>
                <w:rFonts w:ascii="Times New Roman" w:hAnsi="Times New Roman" w:cs="Times New Roman"/>
                <w:noProof/>
                <w:sz w:val="18"/>
              </w:rPr>
            </w:pPr>
            <w:r>
              <w:rPr>
                <w:noProof/>
              </w:rPr>
              <w:t>KW. 2</w:t>
            </w:r>
          </w:p>
        </w:tc>
        <w:tc>
          <w:tcPr>
            <w:tcW w:w="567" w:type="dxa"/>
            <w:shd w:val="clear" w:color="auto" w:fill="C6EFCE"/>
            <w:noWrap/>
          </w:tcPr>
          <w:p w14:paraId="669B1BFC" w14:textId="17279118" w:rsidR="006578ED" w:rsidRDefault="00A1618E">
            <w:pPr>
              <w:pStyle w:val="P68B1DB1-Normal13"/>
              <w:spacing w:after="0" w:line="240" w:lineRule="auto"/>
              <w:jc w:val="center"/>
              <w:rPr>
                <w:rFonts w:cs="Times New Roman"/>
                <w:noProof/>
              </w:rPr>
            </w:pPr>
            <w:r>
              <w:rPr>
                <w:noProof/>
              </w:rPr>
              <w:t>2026</w:t>
            </w:r>
          </w:p>
        </w:tc>
        <w:tc>
          <w:tcPr>
            <w:tcW w:w="6837" w:type="dxa"/>
            <w:shd w:val="clear" w:color="auto" w:fill="C6EFCE"/>
            <w:noWrap/>
          </w:tcPr>
          <w:p w14:paraId="678D89E8" w14:textId="5FDFB1DD" w:rsidR="006578ED" w:rsidRDefault="00A1618E">
            <w:pPr>
              <w:pStyle w:val="P68B1DB1-Normal13"/>
              <w:spacing w:after="0" w:line="240" w:lineRule="auto"/>
              <w:rPr>
                <w:rFonts w:cs="Times New Roman"/>
                <w:noProof/>
              </w:rPr>
            </w:pPr>
            <w:r>
              <w:rPr>
                <w:noProof/>
              </w:rPr>
              <w:t>Zakończenie 1216 działań mających na celu promowanie konkurencyjności przemysłu kulturalnego poprzez:</w:t>
            </w:r>
            <w:r>
              <w:rPr>
                <w:noProof/>
              </w:rPr>
              <w:br/>
              <w:t>umiejętności w zakresie przedsiębiorczości i finansów osób zawodowo związanych z sektorem kultury i sektorem kreatywnym (co najmniej 900 podmiotów);</w:t>
            </w:r>
            <w:r>
              <w:rPr>
                <w:noProof/>
              </w:rPr>
              <w:br/>
              <w:t>wdrożenie planowania cyfryzacji i stworzenie narzędzi do dyskusji na temat transformacji cyfrowej (co najmniej 16 projektów);</w:t>
            </w:r>
            <w:r>
              <w:rPr>
                <w:noProof/>
              </w:rPr>
              <w:br/>
              <w:t>umiędzynarodowienie sektora kultury i sektora kreatywnego (co najmniej 300 podmiotów).</w:t>
            </w:r>
          </w:p>
        </w:tc>
      </w:tr>
      <w:tr w:rsidR="006578ED" w14:paraId="0CB8057E" w14:textId="77777777">
        <w:trPr>
          <w:trHeight w:val="309"/>
        </w:trPr>
        <w:tc>
          <w:tcPr>
            <w:tcW w:w="851" w:type="dxa"/>
            <w:shd w:val="clear" w:color="auto" w:fill="C6EFCE"/>
            <w:noWrap/>
          </w:tcPr>
          <w:p w14:paraId="33A333CC" w14:textId="77777777" w:rsidR="006578ED" w:rsidRDefault="00A1618E">
            <w:pPr>
              <w:pStyle w:val="P68B1DB1-Normal13"/>
              <w:spacing w:after="0" w:line="240" w:lineRule="auto"/>
              <w:jc w:val="center"/>
              <w:rPr>
                <w:rFonts w:eastAsia="Times New Roman" w:cs="Times New Roman"/>
                <w:noProof/>
              </w:rPr>
            </w:pPr>
            <w:r>
              <w:rPr>
                <w:noProof/>
              </w:rPr>
              <w:t>355</w:t>
            </w:r>
          </w:p>
        </w:tc>
        <w:tc>
          <w:tcPr>
            <w:tcW w:w="993" w:type="dxa"/>
            <w:shd w:val="clear" w:color="auto" w:fill="C6EFCE"/>
            <w:noWrap/>
          </w:tcPr>
          <w:p w14:paraId="1706F9D8" w14:textId="77777777" w:rsidR="006578ED" w:rsidRDefault="00A1618E">
            <w:pPr>
              <w:pStyle w:val="P68B1DB1-Normal13"/>
              <w:spacing w:after="0" w:line="240" w:lineRule="auto"/>
              <w:jc w:val="center"/>
              <w:rPr>
                <w:rFonts w:eastAsia="Times New Roman" w:cs="Times New Roman"/>
                <w:noProof/>
              </w:rPr>
            </w:pPr>
            <w:r>
              <w:rPr>
                <w:noProof/>
              </w:rPr>
              <w:t>C24.I2</w:t>
            </w:r>
          </w:p>
        </w:tc>
        <w:tc>
          <w:tcPr>
            <w:tcW w:w="850" w:type="dxa"/>
            <w:shd w:val="clear" w:color="auto" w:fill="C6EFCE"/>
            <w:noWrap/>
          </w:tcPr>
          <w:p w14:paraId="01AB9A0E" w14:textId="6F95AA63" w:rsidR="006578ED" w:rsidRDefault="00AF6B91">
            <w:pPr>
              <w:pStyle w:val="P68B1DB1-Normal13"/>
              <w:spacing w:after="0" w:line="240" w:lineRule="auto"/>
              <w:jc w:val="center"/>
              <w:rPr>
                <w:rFonts w:eastAsia="Times New Roman" w:cs="Times New Roman"/>
                <w:noProof/>
              </w:rPr>
            </w:pPr>
            <w:r>
              <w:rPr>
                <w:noProof/>
              </w:rPr>
              <w:t>Cel</w:t>
            </w:r>
          </w:p>
        </w:tc>
        <w:tc>
          <w:tcPr>
            <w:tcW w:w="1701" w:type="dxa"/>
            <w:shd w:val="clear" w:color="auto" w:fill="C6EFCE"/>
            <w:noWrap/>
          </w:tcPr>
          <w:p w14:paraId="2F41C29C" w14:textId="3342DEE1" w:rsidR="006578ED" w:rsidRDefault="00A1618E">
            <w:pPr>
              <w:pStyle w:val="P68B1DB1-Normal13"/>
              <w:spacing w:after="0" w:line="240" w:lineRule="auto"/>
              <w:rPr>
                <w:rFonts w:eastAsia="Times New Roman" w:cs="Times New Roman"/>
                <w:noProof/>
              </w:rPr>
            </w:pPr>
            <w:r>
              <w:rPr>
                <w:noProof/>
              </w:rPr>
              <w:t>Modernizacja infrastruktury sztuki widowiskowej i muzycznej oraz zrównoważone zarządzanie nią</w:t>
            </w:r>
          </w:p>
        </w:tc>
        <w:tc>
          <w:tcPr>
            <w:tcW w:w="992" w:type="dxa"/>
            <w:shd w:val="clear" w:color="auto" w:fill="C6EFCE"/>
            <w:noWrap/>
          </w:tcPr>
          <w:p w14:paraId="08D3A502"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A6DE909"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7" w:type="dxa"/>
            <w:shd w:val="clear" w:color="auto" w:fill="C6EFCE"/>
            <w:noWrap/>
          </w:tcPr>
          <w:p w14:paraId="2591D7A9"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670B3C9E" w14:textId="77777777" w:rsidR="006578ED" w:rsidRDefault="00A1618E">
            <w:pPr>
              <w:pStyle w:val="P68B1DB1-Normal13"/>
              <w:spacing w:after="0" w:line="240" w:lineRule="auto"/>
              <w:jc w:val="center"/>
              <w:rPr>
                <w:rFonts w:eastAsia="Times New Roman" w:cs="Times New Roman"/>
                <w:noProof/>
              </w:rPr>
            </w:pPr>
            <w:r>
              <w:rPr>
                <w:noProof/>
              </w:rPr>
              <w:t>200</w:t>
            </w:r>
          </w:p>
        </w:tc>
        <w:tc>
          <w:tcPr>
            <w:tcW w:w="709" w:type="dxa"/>
            <w:shd w:val="clear" w:color="auto" w:fill="C6EFCE"/>
            <w:noWrap/>
          </w:tcPr>
          <w:p w14:paraId="35216B84" w14:textId="20A82419"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5E2672EE"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0413F559" w14:textId="770CC075" w:rsidR="006578ED" w:rsidRDefault="00A1618E">
            <w:pPr>
              <w:pStyle w:val="P68B1DB1-Normal13"/>
              <w:spacing w:after="0" w:line="240" w:lineRule="auto"/>
              <w:rPr>
                <w:rFonts w:eastAsia="Times New Roman" w:cs="Times New Roman"/>
                <w:noProof/>
              </w:rPr>
            </w:pPr>
            <w:r>
              <w:rPr>
                <w:noProof/>
              </w:rPr>
              <w:t>Modernizacja i zrównoważone zarządzanie infrastrukturą dotyczącą starzejących się widowisk i sztuki muzycznej: co najmniej 200 działań wdrożonych w co najmniej 17 regionach zgodnie z wytycznymi technicznymi dotyczącymi zasady „nie czyń poważnych szkód” (2021/C58/01) poprzez wykorzystanie wykazu wyłączeń oraz wymóg zgodności z odpowiednimi unijnymi i krajowymi przepisami w zakresie ochrony środowiska.</w:t>
            </w:r>
          </w:p>
        </w:tc>
      </w:tr>
      <w:tr w:rsidR="006578ED" w14:paraId="3C74A095" w14:textId="77777777">
        <w:trPr>
          <w:trHeight w:val="309"/>
        </w:trPr>
        <w:tc>
          <w:tcPr>
            <w:tcW w:w="851" w:type="dxa"/>
            <w:shd w:val="clear" w:color="auto" w:fill="C6EFCE"/>
            <w:noWrap/>
          </w:tcPr>
          <w:p w14:paraId="3DC32C70" w14:textId="331FCEF3" w:rsidR="006578ED" w:rsidRDefault="00A1618E">
            <w:pPr>
              <w:pStyle w:val="P68B1DB1-Normal13"/>
              <w:spacing w:after="0" w:line="240" w:lineRule="auto"/>
              <w:jc w:val="center"/>
              <w:rPr>
                <w:rFonts w:cs="Times New Roman"/>
                <w:noProof/>
              </w:rPr>
            </w:pPr>
            <w:r>
              <w:rPr>
                <w:noProof/>
              </w:rPr>
              <w:t>357</w:t>
            </w:r>
          </w:p>
        </w:tc>
        <w:tc>
          <w:tcPr>
            <w:tcW w:w="993" w:type="dxa"/>
            <w:shd w:val="clear" w:color="auto" w:fill="C6EFCE"/>
            <w:noWrap/>
          </w:tcPr>
          <w:p w14:paraId="038CA8F2" w14:textId="6653001D" w:rsidR="006578ED" w:rsidRDefault="00A1618E">
            <w:pPr>
              <w:pStyle w:val="P68B1DB1-Normal13"/>
              <w:spacing w:after="0" w:line="240" w:lineRule="auto"/>
              <w:jc w:val="center"/>
              <w:rPr>
                <w:rFonts w:cs="Times New Roman"/>
                <w:noProof/>
              </w:rPr>
            </w:pPr>
            <w:r>
              <w:rPr>
                <w:noProof/>
              </w:rPr>
              <w:t>C24.I2</w:t>
            </w:r>
          </w:p>
        </w:tc>
        <w:tc>
          <w:tcPr>
            <w:tcW w:w="850" w:type="dxa"/>
            <w:shd w:val="clear" w:color="auto" w:fill="C6EFCE"/>
            <w:noWrap/>
          </w:tcPr>
          <w:p w14:paraId="463A00BD" w14:textId="352C4056" w:rsidR="006578ED" w:rsidRDefault="00AF6B91">
            <w:pPr>
              <w:pStyle w:val="P68B1DB1-Normal13"/>
              <w:spacing w:after="0" w:line="240" w:lineRule="auto"/>
              <w:jc w:val="center"/>
              <w:rPr>
                <w:rFonts w:cs="Times New Roman"/>
                <w:noProof/>
              </w:rPr>
            </w:pPr>
            <w:r>
              <w:rPr>
                <w:noProof/>
              </w:rPr>
              <w:t>Cel</w:t>
            </w:r>
          </w:p>
        </w:tc>
        <w:tc>
          <w:tcPr>
            <w:tcW w:w="1701" w:type="dxa"/>
            <w:shd w:val="clear" w:color="auto" w:fill="C6EFCE"/>
            <w:noWrap/>
          </w:tcPr>
          <w:p w14:paraId="3A3B2EAC" w14:textId="204CAC5F" w:rsidR="006578ED" w:rsidRDefault="00A1618E">
            <w:pPr>
              <w:pStyle w:val="P68B1DB1-Normal13"/>
              <w:spacing w:after="0" w:line="240" w:lineRule="auto"/>
              <w:rPr>
                <w:rFonts w:cs="Times New Roman"/>
                <w:noProof/>
              </w:rPr>
            </w:pPr>
            <w:r>
              <w:rPr>
                <w:noProof/>
              </w:rPr>
              <w:t>Licencje na książki elektroniczne dla bibliotek</w:t>
            </w:r>
          </w:p>
        </w:tc>
        <w:tc>
          <w:tcPr>
            <w:tcW w:w="992" w:type="dxa"/>
            <w:shd w:val="clear" w:color="auto" w:fill="C6EFCE"/>
            <w:noWrap/>
          </w:tcPr>
          <w:p w14:paraId="0B7A586D" w14:textId="387D77D4" w:rsidR="006578ED" w:rsidRDefault="00A1618E">
            <w:pPr>
              <w:pStyle w:val="P68B1DB1-Normal13"/>
              <w:spacing w:after="0" w:line="240" w:lineRule="auto"/>
              <w:jc w:val="center"/>
              <w:rPr>
                <w:rFonts w:cs="Times New Roman"/>
                <w:noProof/>
              </w:rPr>
            </w:pPr>
            <w:r>
              <w:rPr>
                <w:noProof/>
              </w:rPr>
              <w:t>—</w:t>
            </w:r>
          </w:p>
        </w:tc>
        <w:tc>
          <w:tcPr>
            <w:tcW w:w="709" w:type="dxa"/>
            <w:shd w:val="clear" w:color="auto" w:fill="C6EFCE"/>
            <w:noWrap/>
          </w:tcPr>
          <w:p w14:paraId="6F9EFC33" w14:textId="406AC626" w:rsidR="006578ED" w:rsidRDefault="00A1618E">
            <w:pPr>
              <w:pStyle w:val="P68B1DB1-Normal13"/>
              <w:spacing w:after="0" w:line="240" w:lineRule="auto"/>
              <w:jc w:val="center"/>
              <w:rPr>
                <w:rFonts w:cs="Times New Roman"/>
                <w:noProof/>
              </w:rPr>
            </w:pPr>
            <w:r>
              <w:rPr>
                <w:noProof/>
              </w:rPr>
              <w:t>Liczba</w:t>
            </w:r>
          </w:p>
        </w:tc>
        <w:tc>
          <w:tcPr>
            <w:tcW w:w="567" w:type="dxa"/>
            <w:shd w:val="clear" w:color="auto" w:fill="C6EFCE"/>
            <w:noWrap/>
          </w:tcPr>
          <w:p w14:paraId="413E2FFB" w14:textId="5B407A3E"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09C388FA" w14:textId="539E7F94" w:rsidR="006578ED" w:rsidRDefault="00A1618E">
            <w:pPr>
              <w:pStyle w:val="P68B1DB1-Normal13"/>
              <w:spacing w:after="0" w:line="240" w:lineRule="auto"/>
              <w:jc w:val="center"/>
              <w:rPr>
                <w:rFonts w:cs="Times New Roman"/>
                <w:noProof/>
              </w:rPr>
            </w:pPr>
            <w:r>
              <w:rPr>
                <w:noProof/>
              </w:rPr>
              <w:t>300 000</w:t>
            </w:r>
          </w:p>
        </w:tc>
        <w:tc>
          <w:tcPr>
            <w:tcW w:w="709" w:type="dxa"/>
            <w:shd w:val="clear" w:color="auto" w:fill="C6EFCE"/>
            <w:noWrap/>
          </w:tcPr>
          <w:p w14:paraId="2D6A9BAA" w14:textId="07A21F75"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6DE28F1D" w14:textId="16DA0573" w:rsidR="006578ED" w:rsidRDefault="00A1618E">
            <w:pPr>
              <w:pStyle w:val="P68B1DB1-Normal13"/>
              <w:spacing w:after="0" w:line="240" w:lineRule="auto"/>
              <w:jc w:val="center"/>
              <w:rPr>
                <w:rFonts w:cs="Times New Roman"/>
                <w:noProof/>
              </w:rPr>
            </w:pPr>
            <w:r>
              <w:rPr>
                <w:noProof/>
              </w:rPr>
              <w:t>2023</w:t>
            </w:r>
          </w:p>
        </w:tc>
        <w:tc>
          <w:tcPr>
            <w:tcW w:w="6837" w:type="dxa"/>
            <w:shd w:val="clear" w:color="auto" w:fill="C6EFCE"/>
            <w:noWrap/>
          </w:tcPr>
          <w:p w14:paraId="27993AE1" w14:textId="58495188" w:rsidR="006578ED" w:rsidRDefault="00A1618E">
            <w:pPr>
              <w:pStyle w:val="P68B1DB1-Normal13"/>
              <w:spacing w:after="0" w:line="240" w:lineRule="auto"/>
              <w:rPr>
                <w:rFonts w:cs="Times New Roman"/>
                <w:noProof/>
              </w:rPr>
            </w:pPr>
            <w:r>
              <w:rPr>
                <w:noProof/>
              </w:rPr>
              <w:t xml:space="preserve">Licencje na książki elektroniczne zakupione i dostarczone bibliotekom publicznym (co najmniej 300000) </w:t>
            </w:r>
          </w:p>
        </w:tc>
      </w:tr>
      <w:tr w:rsidR="006578ED" w14:paraId="007BE4E8" w14:textId="77777777">
        <w:trPr>
          <w:trHeight w:val="309"/>
        </w:trPr>
        <w:tc>
          <w:tcPr>
            <w:tcW w:w="851" w:type="dxa"/>
            <w:shd w:val="clear" w:color="auto" w:fill="C6EFCE"/>
            <w:noWrap/>
          </w:tcPr>
          <w:p w14:paraId="476522C9" w14:textId="23ED8A21" w:rsidR="006578ED" w:rsidRDefault="00A1618E">
            <w:pPr>
              <w:pStyle w:val="P68B1DB1-Normal13"/>
              <w:spacing w:after="0" w:line="240" w:lineRule="auto"/>
              <w:jc w:val="center"/>
              <w:rPr>
                <w:rFonts w:cs="Times New Roman"/>
                <w:noProof/>
              </w:rPr>
            </w:pPr>
            <w:r>
              <w:rPr>
                <w:noProof/>
              </w:rPr>
              <w:t>359</w:t>
            </w:r>
          </w:p>
        </w:tc>
        <w:tc>
          <w:tcPr>
            <w:tcW w:w="993" w:type="dxa"/>
            <w:shd w:val="clear" w:color="auto" w:fill="C6EFCE"/>
            <w:noWrap/>
          </w:tcPr>
          <w:p w14:paraId="0DF44586" w14:textId="6AD8D732" w:rsidR="006578ED" w:rsidRDefault="00A1618E">
            <w:pPr>
              <w:pStyle w:val="P68B1DB1-Normal13"/>
              <w:spacing w:after="0" w:line="240" w:lineRule="auto"/>
              <w:jc w:val="center"/>
              <w:rPr>
                <w:rFonts w:cs="Times New Roman"/>
                <w:noProof/>
              </w:rPr>
            </w:pPr>
            <w:r>
              <w:rPr>
                <w:noProof/>
              </w:rPr>
              <w:t>C24.I2</w:t>
            </w:r>
          </w:p>
        </w:tc>
        <w:tc>
          <w:tcPr>
            <w:tcW w:w="850" w:type="dxa"/>
            <w:shd w:val="clear" w:color="auto" w:fill="C6EFCE"/>
            <w:noWrap/>
          </w:tcPr>
          <w:p w14:paraId="6F1BEA9C" w14:textId="7844A8F0" w:rsidR="006578ED" w:rsidRDefault="00AF6B91">
            <w:pPr>
              <w:pStyle w:val="P68B1DB1-Normal13"/>
              <w:spacing w:after="0" w:line="240" w:lineRule="auto"/>
              <w:jc w:val="center"/>
              <w:rPr>
                <w:rFonts w:cs="Times New Roman"/>
                <w:noProof/>
              </w:rPr>
            </w:pPr>
            <w:r>
              <w:rPr>
                <w:noProof/>
              </w:rPr>
              <w:t>Cel</w:t>
            </w:r>
          </w:p>
        </w:tc>
        <w:tc>
          <w:tcPr>
            <w:tcW w:w="1701" w:type="dxa"/>
            <w:shd w:val="clear" w:color="auto" w:fill="C6EFCE"/>
            <w:noWrap/>
          </w:tcPr>
          <w:p w14:paraId="1D046713" w14:textId="624C6657" w:rsidR="006578ED" w:rsidRDefault="00A1618E">
            <w:pPr>
              <w:pStyle w:val="P68B1DB1-Normal13"/>
              <w:spacing w:after="0" w:line="240" w:lineRule="auto"/>
              <w:rPr>
                <w:rFonts w:cs="Times New Roman"/>
                <w:noProof/>
              </w:rPr>
            </w:pPr>
            <w:r>
              <w:rPr>
                <w:noProof/>
              </w:rPr>
              <w:t xml:space="preserve">Pobudzanie inicjatyw kulturalnych i kreatywnych </w:t>
            </w:r>
          </w:p>
        </w:tc>
        <w:tc>
          <w:tcPr>
            <w:tcW w:w="992" w:type="dxa"/>
            <w:shd w:val="clear" w:color="auto" w:fill="C6EFCE"/>
            <w:noWrap/>
          </w:tcPr>
          <w:p w14:paraId="4CF2F5E1" w14:textId="77ECE381" w:rsidR="006578ED" w:rsidRDefault="00A1618E">
            <w:pPr>
              <w:pStyle w:val="P68B1DB1-Normal13"/>
              <w:spacing w:after="0" w:line="240" w:lineRule="auto"/>
              <w:jc w:val="center"/>
              <w:rPr>
                <w:rFonts w:cs="Times New Roman"/>
                <w:noProof/>
              </w:rPr>
            </w:pPr>
            <w:r>
              <w:rPr>
                <w:noProof/>
              </w:rPr>
              <w:t>—</w:t>
            </w:r>
          </w:p>
        </w:tc>
        <w:tc>
          <w:tcPr>
            <w:tcW w:w="709" w:type="dxa"/>
            <w:shd w:val="clear" w:color="auto" w:fill="C6EFCE"/>
            <w:noWrap/>
          </w:tcPr>
          <w:p w14:paraId="1FCF9880" w14:textId="55E0B357" w:rsidR="006578ED" w:rsidRDefault="00A1618E">
            <w:pPr>
              <w:pStyle w:val="P68B1DB1-Normal13"/>
              <w:spacing w:after="0" w:line="240" w:lineRule="auto"/>
              <w:jc w:val="center"/>
              <w:rPr>
                <w:rFonts w:cs="Times New Roman"/>
                <w:noProof/>
              </w:rPr>
            </w:pPr>
            <w:r>
              <w:rPr>
                <w:noProof/>
              </w:rPr>
              <w:t>Liczba</w:t>
            </w:r>
          </w:p>
        </w:tc>
        <w:tc>
          <w:tcPr>
            <w:tcW w:w="567" w:type="dxa"/>
            <w:shd w:val="clear" w:color="auto" w:fill="C6EFCE"/>
            <w:noWrap/>
          </w:tcPr>
          <w:p w14:paraId="7A1A1F38" w14:textId="284CE49A"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572C9470" w14:textId="28EAB32D" w:rsidR="006578ED" w:rsidRDefault="00A1618E">
            <w:pPr>
              <w:pStyle w:val="P68B1DB1-Normal13"/>
              <w:spacing w:after="0" w:line="240" w:lineRule="auto"/>
              <w:jc w:val="center"/>
              <w:rPr>
                <w:rFonts w:cs="Times New Roman"/>
                <w:noProof/>
              </w:rPr>
            </w:pPr>
            <w:r>
              <w:rPr>
                <w:noProof/>
              </w:rPr>
              <w:t>400</w:t>
            </w:r>
          </w:p>
        </w:tc>
        <w:tc>
          <w:tcPr>
            <w:tcW w:w="709" w:type="dxa"/>
            <w:shd w:val="clear" w:color="auto" w:fill="C6EFCE"/>
            <w:noWrap/>
          </w:tcPr>
          <w:p w14:paraId="64477882" w14:textId="400C4CA7"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24E6FBAE" w14:textId="498C7003" w:rsidR="006578ED" w:rsidRDefault="00A1618E">
            <w:pPr>
              <w:pStyle w:val="P68B1DB1-Normal13"/>
              <w:spacing w:after="0" w:line="240" w:lineRule="auto"/>
              <w:jc w:val="center"/>
              <w:rPr>
                <w:rFonts w:cs="Times New Roman"/>
                <w:noProof/>
              </w:rPr>
            </w:pPr>
            <w:r>
              <w:rPr>
                <w:noProof/>
              </w:rPr>
              <w:t>2023</w:t>
            </w:r>
          </w:p>
        </w:tc>
        <w:tc>
          <w:tcPr>
            <w:tcW w:w="6837" w:type="dxa"/>
            <w:shd w:val="clear" w:color="auto" w:fill="C6EFCE"/>
            <w:noWrap/>
          </w:tcPr>
          <w:p w14:paraId="4C51FDA1" w14:textId="565AFABD" w:rsidR="006578ED" w:rsidRDefault="00A1618E">
            <w:pPr>
              <w:pStyle w:val="P68B1DB1-Normal13"/>
              <w:spacing w:after="0" w:line="240" w:lineRule="auto"/>
              <w:rPr>
                <w:rFonts w:cs="Times New Roman"/>
                <w:noProof/>
              </w:rPr>
            </w:pPr>
            <w:r>
              <w:rPr>
                <w:noProof/>
              </w:rPr>
              <w:t>Pobudzanie działalności kulturalnej organizacji nastawionych na zysk i organizacji nienastawionych na zysk na obszarach pozamiejskich (co najmniej 400 inicjatyw).</w:t>
            </w:r>
          </w:p>
        </w:tc>
      </w:tr>
      <w:tr w:rsidR="006578ED" w14:paraId="088863CB" w14:textId="77777777">
        <w:trPr>
          <w:trHeight w:val="309"/>
        </w:trPr>
        <w:tc>
          <w:tcPr>
            <w:tcW w:w="851" w:type="dxa"/>
            <w:shd w:val="clear" w:color="auto" w:fill="C6EFCE"/>
            <w:noWrap/>
          </w:tcPr>
          <w:p w14:paraId="43E4F141" w14:textId="61730DA1" w:rsidR="006578ED" w:rsidRDefault="00A1618E">
            <w:pPr>
              <w:pStyle w:val="P68B1DB1-Normal13"/>
              <w:spacing w:after="0" w:line="240" w:lineRule="auto"/>
              <w:jc w:val="center"/>
              <w:rPr>
                <w:rFonts w:cs="Times New Roman"/>
                <w:noProof/>
              </w:rPr>
            </w:pPr>
            <w:r>
              <w:rPr>
                <w:noProof/>
              </w:rPr>
              <w:t>358</w:t>
            </w:r>
          </w:p>
        </w:tc>
        <w:tc>
          <w:tcPr>
            <w:tcW w:w="993" w:type="dxa"/>
            <w:shd w:val="clear" w:color="auto" w:fill="C6EFCE"/>
            <w:noWrap/>
          </w:tcPr>
          <w:p w14:paraId="4108274D" w14:textId="15DEBE32" w:rsidR="006578ED" w:rsidRDefault="00A1618E">
            <w:pPr>
              <w:pStyle w:val="P68B1DB1-Normal13"/>
              <w:spacing w:after="0" w:line="240" w:lineRule="auto"/>
              <w:jc w:val="center"/>
              <w:rPr>
                <w:rFonts w:cs="Times New Roman"/>
                <w:noProof/>
              </w:rPr>
            </w:pPr>
            <w:r>
              <w:rPr>
                <w:noProof/>
              </w:rPr>
              <w:t>C24.I2</w:t>
            </w:r>
          </w:p>
        </w:tc>
        <w:tc>
          <w:tcPr>
            <w:tcW w:w="850" w:type="dxa"/>
            <w:shd w:val="clear" w:color="auto" w:fill="C6EFCE"/>
            <w:noWrap/>
          </w:tcPr>
          <w:p w14:paraId="70D882E5" w14:textId="7C6CE3B9" w:rsidR="006578ED" w:rsidRDefault="00AF6B91">
            <w:pPr>
              <w:pStyle w:val="P68B1DB1-Normal13"/>
              <w:spacing w:after="0" w:line="240" w:lineRule="auto"/>
              <w:jc w:val="center"/>
              <w:rPr>
                <w:rFonts w:cs="Times New Roman"/>
                <w:noProof/>
              </w:rPr>
            </w:pPr>
            <w:r>
              <w:rPr>
                <w:noProof/>
              </w:rPr>
              <w:t>Cel</w:t>
            </w:r>
          </w:p>
        </w:tc>
        <w:tc>
          <w:tcPr>
            <w:tcW w:w="1701" w:type="dxa"/>
            <w:shd w:val="clear" w:color="auto" w:fill="C6EFCE"/>
            <w:noWrap/>
          </w:tcPr>
          <w:p w14:paraId="3D2287CC" w14:textId="535A242F" w:rsidR="006578ED" w:rsidRDefault="00A1618E">
            <w:pPr>
              <w:pStyle w:val="P68B1DB1-Normal13"/>
              <w:spacing w:after="0" w:line="240" w:lineRule="auto"/>
              <w:rPr>
                <w:rFonts w:cs="Times New Roman"/>
                <w:noProof/>
              </w:rPr>
            </w:pPr>
            <w:r>
              <w:rPr>
                <w:noProof/>
              </w:rPr>
              <w:t>Zakup książek dla bibliotek</w:t>
            </w:r>
          </w:p>
        </w:tc>
        <w:tc>
          <w:tcPr>
            <w:tcW w:w="992" w:type="dxa"/>
            <w:shd w:val="clear" w:color="auto" w:fill="C6EFCE"/>
            <w:noWrap/>
          </w:tcPr>
          <w:p w14:paraId="70C079A5" w14:textId="442B12EA" w:rsidR="006578ED" w:rsidRDefault="00A1618E">
            <w:pPr>
              <w:pStyle w:val="P68B1DB1-Normal13"/>
              <w:spacing w:after="0" w:line="240" w:lineRule="auto"/>
              <w:jc w:val="center"/>
              <w:rPr>
                <w:rFonts w:cs="Times New Roman"/>
                <w:noProof/>
              </w:rPr>
            </w:pPr>
            <w:r>
              <w:rPr>
                <w:noProof/>
              </w:rPr>
              <w:t>—</w:t>
            </w:r>
          </w:p>
        </w:tc>
        <w:tc>
          <w:tcPr>
            <w:tcW w:w="709" w:type="dxa"/>
            <w:shd w:val="clear" w:color="auto" w:fill="C6EFCE"/>
            <w:noWrap/>
          </w:tcPr>
          <w:p w14:paraId="2307954C" w14:textId="43816DCE" w:rsidR="006578ED" w:rsidRDefault="00A1618E">
            <w:pPr>
              <w:pStyle w:val="P68B1DB1-Normal13"/>
              <w:spacing w:after="0" w:line="240" w:lineRule="auto"/>
              <w:jc w:val="center"/>
              <w:rPr>
                <w:rFonts w:cs="Times New Roman"/>
                <w:noProof/>
              </w:rPr>
            </w:pPr>
            <w:r>
              <w:rPr>
                <w:noProof/>
              </w:rPr>
              <w:t>Liczba</w:t>
            </w:r>
          </w:p>
        </w:tc>
        <w:tc>
          <w:tcPr>
            <w:tcW w:w="567" w:type="dxa"/>
            <w:shd w:val="clear" w:color="auto" w:fill="C6EFCE"/>
            <w:noWrap/>
          </w:tcPr>
          <w:p w14:paraId="74F73CE1" w14:textId="575E46A9" w:rsidR="006578ED" w:rsidRDefault="00A1618E">
            <w:pPr>
              <w:pStyle w:val="P68B1DB1-Normal13"/>
              <w:spacing w:after="0" w:line="240" w:lineRule="auto"/>
              <w:jc w:val="right"/>
              <w:rPr>
                <w:rFonts w:cs="Times New Roman"/>
                <w:noProof/>
              </w:rPr>
            </w:pPr>
            <w:r>
              <w:rPr>
                <w:noProof/>
              </w:rPr>
              <w:t>0</w:t>
            </w:r>
          </w:p>
        </w:tc>
        <w:tc>
          <w:tcPr>
            <w:tcW w:w="709" w:type="dxa"/>
            <w:shd w:val="clear" w:color="auto" w:fill="C6EFCE"/>
            <w:noWrap/>
          </w:tcPr>
          <w:p w14:paraId="4BE76D63" w14:textId="56C99E88" w:rsidR="006578ED" w:rsidRDefault="00A1618E">
            <w:pPr>
              <w:pStyle w:val="P68B1DB1-Normal13"/>
              <w:spacing w:after="0" w:line="240" w:lineRule="auto"/>
              <w:jc w:val="center"/>
              <w:rPr>
                <w:rFonts w:cs="Times New Roman"/>
                <w:noProof/>
              </w:rPr>
            </w:pPr>
            <w:r>
              <w:rPr>
                <w:noProof/>
              </w:rPr>
              <w:t>450 000</w:t>
            </w:r>
          </w:p>
        </w:tc>
        <w:tc>
          <w:tcPr>
            <w:tcW w:w="709" w:type="dxa"/>
            <w:shd w:val="clear" w:color="auto" w:fill="C6EFCE"/>
            <w:noWrap/>
          </w:tcPr>
          <w:p w14:paraId="085C4D4E" w14:textId="2781E8F0"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580E50BF" w14:textId="4398EE2C" w:rsidR="006578ED" w:rsidRDefault="00A1618E">
            <w:pPr>
              <w:pStyle w:val="P68B1DB1-Normal13"/>
              <w:spacing w:after="0" w:line="240" w:lineRule="auto"/>
              <w:jc w:val="center"/>
              <w:rPr>
                <w:rFonts w:cs="Times New Roman"/>
                <w:noProof/>
              </w:rPr>
            </w:pPr>
            <w:r>
              <w:rPr>
                <w:noProof/>
              </w:rPr>
              <w:t>2024</w:t>
            </w:r>
          </w:p>
        </w:tc>
        <w:tc>
          <w:tcPr>
            <w:tcW w:w="6837" w:type="dxa"/>
            <w:shd w:val="clear" w:color="auto" w:fill="C6EFCE"/>
            <w:noWrap/>
          </w:tcPr>
          <w:p w14:paraId="383C9E0E" w14:textId="4B42E39F" w:rsidR="006578ED" w:rsidRDefault="00A1618E">
            <w:pPr>
              <w:pStyle w:val="P68B1DB1-Normal13"/>
              <w:spacing w:after="0" w:line="240" w:lineRule="auto"/>
              <w:rPr>
                <w:rFonts w:cs="Times New Roman"/>
                <w:noProof/>
              </w:rPr>
            </w:pPr>
            <w:r>
              <w:rPr>
                <w:noProof/>
              </w:rPr>
              <w:t xml:space="preserve">Książki papierowe zakupione i przekazane bibliotekom publicznym (co najmniej 450000) </w:t>
            </w:r>
          </w:p>
        </w:tc>
      </w:tr>
      <w:tr w:rsidR="006578ED" w14:paraId="7A3790D5" w14:textId="77777777">
        <w:trPr>
          <w:trHeight w:val="309"/>
        </w:trPr>
        <w:tc>
          <w:tcPr>
            <w:tcW w:w="851" w:type="dxa"/>
            <w:shd w:val="clear" w:color="auto" w:fill="C6EFCE"/>
            <w:noWrap/>
          </w:tcPr>
          <w:p w14:paraId="0AB7620F" w14:textId="77777777" w:rsidR="006578ED" w:rsidRDefault="00A1618E">
            <w:pPr>
              <w:pStyle w:val="P68B1DB1-Normal13"/>
              <w:spacing w:after="0" w:line="240" w:lineRule="auto"/>
              <w:jc w:val="center"/>
              <w:rPr>
                <w:rFonts w:eastAsia="Times New Roman" w:cs="Times New Roman"/>
                <w:noProof/>
              </w:rPr>
            </w:pPr>
            <w:r>
              <w:rPr>
                <w:noProof/>
              </w:rPr>
              <w:t>356</w:t>
            </w:r>
          </w:p>
        </w:tc>
        <w:tc>
          <w:tcPr>
            <w:tcW w:w="993" w:type="dxa"/>
            <w:shd w:val="clear" w:color="auto" w:fill="C6EFCE"/>
            <w:noWrap/>
          </w:tcPr>
          <w:p w14:paraId="38397E2A" w14:textId="77777777" w:rsidR="006578ED" w:rsidRDefault="00A1618E">
            <w:pPr>
              <w:pStyle w:val="P68B1DB1-Normal13"/>
              <w:spacing w:after="0" w:line="240" w:lineRule="auto"/>
              <w:jc w:val="center"/>
              <w:rPr>
                <w:rFonts w:eastAsia="Times New Roman" w:cs="Times New Roman"/>
                <w:noProof/>
              </w:rPr>
            </w:pPr>
            <w:r>
              <w:rPr>
                <w:noProof/>
              </w:rPr>
              <w:t>C24.I2</w:t>
            </w:r>
          </w:p>
        </w:tc>
        <w:tc>
          <w:tcPr>
            <w:tcW w:w="850" w:type="dxa"/>
            <w:shd w:val="clear" w:color="auto" w:fill="C6EFCE"/>
            <w:noWrap/>
          </w:tcPr>
          <w:p w14:paraId="10A9EB40" w14:textId="6DEEB20D" w:rsidR="006578ED" w:rsidRDefault="00AF6B91">
            <w:pPr>
              <w:pStyle w:val="P68B1DB1-Normal13"/>
              <w:spacing w:after="0" w:line="240" w:lineRule="auto"/>
              <w:jc w:val="center"/>
              <w:rPr>
                <w:rFonts w:eastAsia="Times New Roman" w:cs="Times New Roman"/>
                <w:noProof/>
              </w:rPr>
            </w:pPr>
            <w:r>
              <w:rPr>
                <w:noProof/>
              </w:rPr>
              <w:t>Cel</w:t>
            </w:r>
          </w:p>
        </w:tc>
        <w:tc>
          <w:tcPr>
            <w:tcW w:w="1701" w:type="dxa"/>
            <w:shd w:val="clear" w:color="auto" w:fill="C6EFCE"/>
            <w:noWrap/>
          </w:tcPr>
          <w:p w14:paraId="61B2AF7E" w14:textId="7A884C1D" w:rsidR="006578ED" w:rsidRDefault="00A1618E">
            <w:pPr>
              <w:pStyle w:val="P68B1DB1-Normal13"/>
              <w:spacing w:after="0" w:line="240" w:lineRule="auto"/>
              <w:rPr>
                <w:rFonts w:eastAsia="Times New Roman" w:cs="Times New Roman"/>
                <w:noProof/>
              </w:rPr>
            </w:pPr>
            <w:r>
              <w:rPr>
                <w:noProof/>
              </w:rPr>
              <w:t>Ochrona, odbudowa i poprawa jakości hiszpańskiego dziedzictwa kulturowego</w:t>
            </w:r>
          </w:p>
        </w:tc>
        <w:tc>
          <w:tcPr>
            <w:tcW w:w="992" w:type="dxa"/>
            <w:shd w:val="clear" w:color="auto" w:fill="C6EFCE"/>
            <w:noWrap/>
          </w:tcPr>
          <w:p w14:paraId="1F036C49"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615DFB7E"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7" w:type="dxa"/>
            <w:shd w:val="clear" w:color="auto" w:fill="C6EFCE"/>
            <w:noWrap/>
          </w:tcPr>
          <w:p w14:paraId="6D85FBD8"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81B7CF6" w14:textId="65448DF9" w:rsidR="006578ED" w:rsidRDefault="00A1618E">
            <w:pPr>
              <w:pStyle w:val="P68B1DB1-Normal13"/>
              <w:spacing w:after="0" w:line="240" w:lineRule="auto"/>
              <w:jc w:val="center"/>
              <w:rPr>
                <w:rFonts w:eastAsia="Times New Roman" w:cs="Times New Roman"/>
                <w:noProof/>
              </w:rPr>
            </w:pPr>
            <w:r>
              <w:rPr>
                <w:noProof/>
              </w:rPr>
              <w:t>19</w:t>
            </w:r>
          </w:p>
        </w:tc>
        <w:tc>
          <w:tcPr>
            <w:tcW w:w="709" w:type="dxa"/>
            <w:shd w:val="clear" w:color="auto" w:fill="C6EFCE"/>
            <w:noWrap/>
          </w:tcPr>
          <w:p w14:paraId="6195CDFF" w14:textId="3C1D60FF"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4B0C874D" w14:textId="6F4976BB" w:rsidR="006578ED" w:rsidRDefault="00A1618E">
            <w:pPr>
              <w:pStyle w:val="P68B1DB1-Normal13"/>
              <w:spacing w:after="0" w:line="240" w:lineRule="auto"/>
              <w:jc w:val="center"/>
              <w:rPr>
                <w:rFonts w:eastAsia="Times New Roman" w:cs="Times New Roman"/>
                <w:noProof/>
              </w:rPr>
            </w:pPr>
            <w:r>
              <w:rPr>
                <w:noProof/>
              </w:rPr>
              <w:t>2025</w:t>
            </w:r>
          </w:p>
        </w:tc>
        <w:tc>
          <w:tcPr>
            <w:tcW w:w="6837" w:type="dxa"/>
            <w:shd w:val="clear" w:color="auto" w:fill="C6EFCE"/>
            <w:noWrap/>
          </w:tcPr>
          <w:p w14:paraId="3AAF82BE" w14:textId="6721BA2A" w:rsidR="006578ED" w:rsidRDefault="00A1618E">
            <w:pPr>
              <w:pStyle w:val="P68B1DB1-Normal13"/>
              <w:spacing w:after="0" w:line="240" w:lineRule="auto"/>
              <w:rPr>
                <w:rFonts w:eastAsia="Times New Roman" w:cs="Times New Roman"/>
                <w:noProof/>
              </w:rPr>
            </w:pPr>
            <w:r>
              <w:rPr>
                <w:noProof/>
              </w:rPr>
              <w:t xml:space="preserve">Obiekty kultury wspierane środkami na rzecz ochrony, restauracji i poprawy hiszpańskiego dziedzictwa kulturowego: co najmniej 19 obiektów w co najmniej 15 regionach, zgodnie z wytycznymi technicznymi dotyczącymi zasady „nie czyń poważnych szkód” (2021/C58/01) poprzez wykorzystanie wykazu wyłączeń oraz wymóg zgodności z odpowiednimi unijnymi i krajowymi przepisami w zakresie ochrony środowiska. </w:t>
            </w:r>
          </w:p>
        </w:tc>
      </w:tr>
      <w:tr w:rsidR="006578ED" w14:paraId="08616C98" w14:textId="77777777">
        <w:trPr>
          <w:trHeight w:val="309"/>
        </w:trPr>
        <w:tc>
          <w:tcPr>
            <w:tcW w:w="851" w:type="dxa"/>
            <w:shd w:val="clear" w:color="auto" w:fill="C6EFCE"/>
            <w:noWrap/>
          </w:tcPr>
          <w:p w14:paraId="7998F435" w14:textId="1B76DA72" w:rsidR="006578ED" w:rsidRDefault="00A1618E">
            <w:pPr>
              <w:pStyle w:val="P68B1DB1-Normal13"/>
              <w:spacing w:after="0" w:line="240" w:lineRule="auto"/>
              <w:jc w:val="center"/>
              <w:rPr>
                <w:rFonts w:cs="Times New Roman"/>
                <w:noProof/>
              </w:rPr>
            </w:pPr>
            <w:r>
              <w:rPr>
                <w:noProof/>
              </w:rPr>
              <w:t>474</w:t>
            </w:r>
          </w:p>
        </w:tc>
        <w:tc>
          <w:tcPr>
            <w:tcW w:w="993" w:type="dxa"/>
            <w:shd w:val="clear" w:color="auto" w:fill="C6EFCE"/>
            <w:noWrap/>
          </w:tcPr>
          <w:p w14:paraId="7BDD887E" w14:textId="39A7132B" w:rsidR="006578ED" w:rsidRDefault="00A1618E">
            <w:pPr>
              <w:pStyle w:val="P68B1DB1-Normal13"/>
              <w:spacing w:after="0" w:line="240" w:lineRule="auto"/>
              <w:jc w:val="center"/>
              <w:rPr>
                <w:rFonts w:cs="Times New Roman"/>
                <w:noProof/>
              </w:rPr>
            </w:pPr>
            <w:r>
              <w:rPr>
                <w:noProof/>
              </w:rPr>
              <w:t>C24.I2</w:t>
            </w:r>
          </w:p>
        </w:tc>
        <w:tc>
          <w:tcPr>
            <w:tcW w:w="850" w:type="dxa"/>
            <w:shd w:val="clear" w:color="auto" w:fill="C6EFCE"/>
            <w:noWrap/>
          </w:tcPr>
          <w:p w14:paraId="7CCA31B2" w14:textId="441CE1DB" w:rsidR="006578ED" w:rsidRDefault="00AF6B91">
            <w:pPr>
              <w:pStyle w:val="P68B1DB1-Normal13"/>
              <w:spacing w:after="0" w:line="240" w:lineRule="auto"/>
              <w:jc w:val="center"/>
              <w:rPr>
                <w:rFonts w:cs="Times New Roman"/>
                <w:noProof/>
              </w:rPr>
            </w:pPr>
            <w:r>
              <w:rPr>
                <w:noProof/>
              </w:rPr>
              <w:t>Cel</w:t>
            </w:r>
          </w:p>
        </w:tc>
        <w:tc>
          <w:tcPr>
            <w:tcW w:w="1701" w:type="dxa"/>
            <w:shd w:val="clear" w:color="auto" w:fill="C6EFCE"/>
            <w:noWrap/>
          </w:tcPr>
          <w:p w14:paraId="73E17777" w14:textId="0D56C852" w:rsidR="006578ED" w:rsidRDefault="00A1618E">
            <w:pPr>
              <w:pStyle w:val="P68B1DB1-Normal13"/>
              <w:spacing w:after="0" w:line="240" w:lineRule="auto"/>
              <w:rPr>
                <w:rFonts w:cs="Times New Roman"/>
                <w:noProof/>
              </w:rPr>
            </w:pPr>
            <w:r>
              <w:rPr>
                <w:noProof/>
              </w:rPr>
              <w:t>Ochrona, odbudowa i poprawa stanu hiszpańskiego dziedzictwa kulturowego (Tabacalera)</w:t>
            </w:r>
          </w:p>
        </w:tc>
        <w:tc>
          <w:tcPr>
            <w:tcW w:w="992" w:type="dxa"/>
            <w:shd w:val="clear" w:color="auto" w:fill="C6EFCE"/>
            <w:noWrap/>
          </w:tcPr>
          <w:p w14:paraId="2BB10F89" w14:textId="77777777" w:rsidR="006578ED" w:rsidRDefault="006578ED">
            <w:pPr>
              <w:spacing w:after="0" w:line="240" w:lineRule="auto"/>
              <w:jc w:val="center"/>
              <w:rPr>
                <w:rFonts w:ascii="Times New Roman" w:hAnsi="Times New Roman" w:cs="Times New Roman"/>
                <w:noProof/>
                <w:sz w:val="18"/>
              </w:rPr>
            </w:pPr>
          </w:p>
        </w:tc>
        <w:tc>
          <w:tcPr>
            <w:tcW w:w="709" w:type="dxa"/>
            <w:shd w:val="clear" w:color="auto" w:fill="C6EFCE"/>
            <w:noWrap/>
          </w:tcPr>
          <w:p w14:paraId="42ADC5A0" w14:textId="77777777"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noWrap/>
          </w:tcPr>
          <w:p w14:paraId="1F835036" w14:textId="77777777" w:rsidR="006578ED" w:rsidRDefault="006578ED">
            <w:pPr>
              <w:spacing w:after="0" w:line="240" w:lineRule="auto"/>
              <w:jc w:val="right"/>
              <w:rPr>
                <w:rFonts w:ascii="Times New Roman" w:hAnsi="Times New Roman" w:cs="Times New Roman"/>
                <w:noProof/>
                <w:sz w:val="18"/>
              </w:rPr>
            </w:pPr>
          </w:p>
        </w:tc>
        <w:tc>
          <w:tcPr>
            <w:tcW w:w="709" w:type="dxa"/>
            <w:shd w:val="clear" w:color="auto" w:fill="C6EFCE"/>
            <w:noWrap/>
          </w:tcPr>
          <w:p w14:paraId="0BA8ED3B" w14:textId="77777777" w:rsidR="006578ED" w:rsidRDefault="006578ED">
            <w:pPr>
              <w:spacing w:after="0" w:line="240" w:lineRule="auto"/>
              <w:jc w:val="center"/>
              <w:rPr>
                <w:rFonts w:ascii="Times New Roman" w:hAnsi="Times New Roman" w:cs="Times New Roman"/>
                <w:noProof/>
                <w:sz w:val="18"/>
              </w:rPr>
            </w:pPr>
          </w:p>
        </w:tc>
        <w:tc>
          <w:tcPr>
            <w:tcW w:w="709" w:type="dxa"/>
            <w:shd w:val="clear" w:color="auto" w:fill="C6EFCE"/>
            <w:noWrap/>
          </w:tcPr>
          <w:p w14:paraId="6AA19A17" w14:textId="141348F6" w:rsidR="006578ED" w:rsidRDefault="00EC188C">
            <w:pPr>
              <w:pStyle w:val="P68B1DB1-Normal13"/>
              <w:spacing w:after="0" w:line="240" w:lineRule="auto"/>
              <w:jc w:val="center"/>
              <w:rPr>
                <w:rFonts w:cs="Times New Roman"/>
                <w:noProof/>
              </w:rPr>
            </w:pPr>
            <w:r>
              <w:rPr>
                <w:noProof/>
              </w:rPr>
              <w:t>KW. 2</w:t>
            </w:r>
          </w:p>
        </w:tc>
        <w:tc>
          <w:tcPr>
            <w:tcW w:w="567" w:type="dxa"/>
            <w:shd w:val="clear" w:color="auto" w:fill="C6EFCE"/>
            <w:noWrap/>
          </w:tcPr>
          <w:p w14:paraId="54A16442" w14:textId="72A97264" w:rsidR="006578ED" w:rsidRDefault="00A1618E">
            <w:pPr>
              <w:pStyle w:val="P68B1DB1-Normal13"/>
              <w:spacing w:after="0" w:line="240" w:lineRule="auto"/>
              <w:jc w:val="center"/>
              <w:rPr>
                <w:rFonts w:cs="Times New Roman"/>
                <w:noProof/>
              </w:rPr>
            </w:pPr>
            <w:r>
              <w:rPr>
                <w:noProof/>
              </w:rPr>
              <w:t>2026</w:t>
            </w:r>
          </w:p>
        </w:tc>
        <w:tc>
          <w:tcPr>
            <w:tcW w:w="6837" w:type="dxa"/>
            <w:shd w:val="clear" w:color="auto" w:fill="C6EFCE"/>
            <w:noWrap/>
          </w:tcPr>
          <w:p w14:paraId="4E901423" w14:textId="3A00F786" w:rsidR="006578ED" w:rsidRDefault="00A1618E">
            <w:pPr>
              <w:pStyle w:val="P68B1DB1-Normal13"/>
              <w:spacing w:after="0" w:line="240" w:lineRule="auto"/>
              <w:rPr>
                <w:rFonts w:cs="Times New Roman"/>
                <w:noProof/>
              </w:rPr>
            </w:pPr>
            <w:r>
              <w:rPr>
                <w:noProof/>
              </w:rPr>
              <w:t>Obiekt kultury Tabacalera w Madrycie wspierany środkami na rzecz ochrony, restauracji i poprawy hiszpańskiego dziedzictwa kulturowego.</w:t>
            </w:r>
          </w:p>
        </w:tc>
      </w:tr>
      <w:tr w:rsidR="006578ED" w14:paraId="339482E8" w14:textId="77777777">
        <w:trPr>
          <w:trHeight w:val="309"/>
        </w:trPr>
        <w:tc>
          <w:tcPr>
            <w:tcW w:w="851" w:type="dxa"/>
            <w:shd w:val="clear" w:color="auto" w:fill="C6EFCE"/>
            <w:noWrap/>
          </w:tcPr>
          <w:p w14:paraId="4ED03302" w14:textId="77777777" w:rsidR="006578ED" w:rsidRDefault="00A1618E">
            <w:pPr>
              <w:pStyle w:val="P68B1DB1-Normal13"/>
              <w:spacing w:after="0" w:line="240" w:lineRule="auto"/>
              <w:jc w:val="center"/>
              <w:rPr>
                <w:rFonts w:eastAsia="Times New Roman" w:cs="Times New Roman"/>
                <w:noProof/>
              </w:rPr>
            </w:pPr>
            <w:r>
              <w:rPr>
                <w:noProof/>
              </w:rPr>
              <w:t>360</w:t>
            </w:r>
          </w:p>
        </w:tc>
        <w:tc>
          <w:tcPr>
            <w:tcW w:w="993" w:type="dxa"/>
            <w:shd w:val="clear" w:color="auto" w:fill="C6EFCE"/>
            <w:noWrap/>
          </w:tcPr>
          <w:p w14:paraId="2441C253" w14:textId="77777777" w:rsidR="006578ED" w:rsidRDefault="00A1618E">
            <w:pPr>
              <w:pStyle w:val="P68B1DB1-Normal13"/>
              <w:spacing w:after="0" w:line="240" w:lineRule="auto"/>
              <w:jc w:val="center"/>
              <w:rPr>
                <w:rFonts w:eastAsia="Times New Roman" w:cs="Times New Roman"/>
                <w:noProof/>
              </w:rPr>
            </w:pPr>
            <w:r>
              <w:rPr>
                <w:noProof/>
              </w:rPr>
              <w:t>C24.I3</w:t>
            </w:r>
          </w:p>
        </w:tc>
        <w:tc>
          <w:tcPr>
            <w:tcW w:w="850" w:type="dxa"/>
            <w:shd w:val="clear" w:color="auto" w:fill="C6EFCE"/>
            <w:noWrap/>
          </w:tcPr>
          <w:p w14:paraId="09C8B888" w14:textId="330A8126" w:rsidR="006578ED" w:rsidRDefault="00AF6B91">
            <w:pPr>
              <w:pStyle w:val="P68B1DB1-Normal13"/>
              <w:spacing w:after="0" w:line="240" w:lineRule="auto"/>
              <w:jc w:val="center"/>
              <w:rPr>
                <w:rFonts w:eastAsia="Times New Roman" w:cs="Times New Roman"/>
                <w:noProof/>
              </w:rPr>
            </w:pPr>
            <w:r>
              <w:rPr>
                <w:noProof/>
              </w:rPr>
              <w:t>Cel</w:t>
            </w:r>
          </w:p>
        </w:tc>
        <w:tc>
          <w:tcPr>
            <w:tcW w:w="1701" w:type="dxa"/>
            <w:shd w:val="clear" w:color="auto" w:fill="C6EFCE"/>
            <w:noWrap/>
          </w:tcPr>
          <w:p w14:paraId="745BECBB" w14:textId="6EA44235" w:rsidR="006578ED" w:rsidRDefault="00A1618E">
            <w:pPr>
              <w:pStyle w:val="P68B1DB1-Normal13"/>
              <w:spacing w:after="0" w:line="240" w:lineRule="auto"/>
              <w:rPr>
                <w:rFonts w:eastAsia="Times New Roman" w:cs="Times New Roman"/>
                <w:noProof/>
              </w:rPr>
            </w:pPr>
            <w:r>
              <w:rPr>
                <w:noProof/>
              </w:rPr>
              <w:t xml:space="preserve">Cyfryzacja i promowanie głównych usług kulturalnych </w:t>
            </w:r>
          </w:p>
        </w:tc>
        <w:tc>
          <w:tcPr>
            <w:tcW w:w="992" w:type="dxa"/>
            <w:shd w:val="clear" w:color="auto" w:fill="C6EFCE"/>
            <w:noWrap/>
          </w:tcPr>
          <w:p w14:paraId="0595AC09"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709" w:type="dxa"/>
            <w:shd w:val="clear" w:color="auto" w:fill="C6EFCE"/>
            <w:noWrap/>
          </w:tcPr>
          <w:p w14:paraId="59F59089" w14:textId="77777777" w:rsidR="006578ED" w:rsidRDefault="00A1618E">
            <w:pPr>
              <w:pStyle w:val="P68B1DB1-Normal13"/>
              <w:spacing w:after="0" w:line="240" w:lineRule="auto"/>
              <w:jc w:val="center"/>
              <w:rPr>
                <w:rFonts w:eastAsia="Times New Roman" w:cs="Times New Roman"/>
                <w:noProof/>
              </w:rPr>
            </w:pPr>
            <w:r>
              <w:rPr>
                <w:noProof/>
              </w:rPr>
              <w:t>W mln EUR</w:t>
            </w:r>
          </w:p>
        </w:tc>
        <w:tc>
          <w:tcPr>
            <w:tcW w:w="567" w:type="dxa"/>
            <w:shd w:val="clear" w:color="auto" w:fill="C6EFCE"/>
            <w:noWrap/>
          </w:tcPr>
          <w:p w14:paraId="3CB6CB9C"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4BADF278" w14:textId="77777777" w:rsidR="006578ED" w:rsidRDefault="00A1618E">
            <w:pPr>
              <w:pStyle w:val="P68B1DB1-Normal13"/>
              <w:spacing w:after="0" w:line="240" w:lineRule="auto"/>
              <w:jc w:val="center"/>
              <w:rPr>
                <w:rFonts w:eastAsia="Times New Roman" w:cs="Times New Roman"/>
                <w:noProof/>
              </w:rPr>
            </w:pPr>
            <w:r>
              <w:rPr>
                <w:noProof/>
              </w:rPr>
              <w:t>40</w:t>
            </w:r>
          </w:p>
        </w:tc>
        <w:tc>
          <w:tcPr>
            <w:tcW w:w="709" w:type="dxa"/>
            <w:shd w:val="clear" w:color="auto" w:fill="C6EFCE"/>
            <w:noWrap/>
          </w:tcPr>
          <w:p w14:paraId="6B3BB46A" w14:textId="0F97BF9C" w:rsidR="006578ED" w:rsidRDefault="00EC188C">
            <w:pPr>
              <w:pStyle w:val="P68B1DB1-Normal13"/>
              <w:spacing w:after="0" w:line="240" w:lineRule="auto"/>
              <w:jc w:val="center"/>
              <w:rPr>
                <w:rFonts w:eastAsia="Times New Roman" w:cs="Times New Roman"/>
                <w:noProof/>
              </w:rPr>
            </w:pPr>
            <w:r>
              <w:rPr>
                <w:noProof/>
              </w:rPr>
              <w:t>KW. 2</w:t>
            </w:r>
          </w:p>
        </w:tc>
        <w:tc>
          <w:tcPr>
            <w:tcW w:w="567" w:type="dxa"/>
            <w:shd w:val="clear" w:color="auto" w:fill="C6EFCE"/>
            <w:noWrap/>
          </w:tcPr>
          <w:p w14:paraId="6C854A01" w14:textId="77777777" w:rsidR="006578ED" w:rsidRDefault="00A1618E">
            <w:pPr>
              <w:pStyle w:val="P68B1DB1-Normal13"/>
              <w:spacing w:after="0" w:line="240" w:lineRule="auto"/>
              <w:jc w:val="center"/>
              <w:rPr>
                <w:rFonts w:eastAsia="Times New Roman" w:cs="Times New Roman"/>
                <w:noProof/>
              </w:rPr>
            </w:pPr>
            <w:r>
              <w:rPr>
                <w:noProof/>
              </w:rPr>
              <w:t>2022</w:t>
            </w:r>
          </w:p>
        </w:tc>
        <w:tc>
          <w:tcPr>
            <w:tcW w:w="6837" w:type="dxa"/>
            <w:shd w:val="clear" w:color="auto" w:fill="C6EFCE"/>
            <w:noWrap/>
          </w:tcPr>
          <w:p w14:paraId="5075002C" w14:textId="7B3357FD" w:rsidR="006578ED" w:rsidRDefault="00A1618E">
            <w:pPr>
              <w:pStyle w:val="P68B1DB1-Normal13"/>
              <w:spacing w:after="0" w:line="240" w:lineRule="auto"/>
              <w:rPr>
                <w:rFonts w:eastAsia="Times New Roman" w:cs="Times New Roman"/>
                <w:noProof/>
              </w:rPr>
            </w:pPr>
            <w:r>
              <w:rPr>
                <w:noProof/>
              </w:rPr>
              <w:t xml:space="preserve">Łączny budżet, na który zaciągnięto zobowiązania w wysokości co najmniej 40 000 000 EUR, aby wnieść wkład na rzecz: a) wzmocnienie i cyfryzacja Muzeum Krajowego Prado i Muzeum Reina Sofia; </w:t>
            </w:r>
            <w:r>
              <w:rPr>
                <w:noProof/>
              </w:rPr>
              <w:br/>
              <w:t xml:space="preserve">Działania mające na celu zwiększenie liczby użytkowników kolekcji cyfrowej hiszpańskiej biblioteki narodowej rocznie </w:t>
            </w:r>
            <w:r>
              <w:rPr>
                <w:noProof/>
              </w:rPr>
              <w:br/>
              <w:t>Cyfryzacja innego dziedzictwa bibliograficznego [zdigitalizowane zbiory dziedzictwa bibliograficznego];</w:t>
            </w:r>
            <w:r>
              <w:rPr>
                <w:noProof/>
              </w:rPr>
              <w:br/>
              <w:t>Cyfrowy dostęp do dziedzictwa bibliograficznego i interoperacyjność wszystkich rodzajów publicznych systemów archiwizacji oraz zwiększenie pojemności przechowywania danych w hiszpańskich systemach inwentaryzacji i archiwizacji dziedzictwa historycznego;</w:t>
            </w:r>
            <w:r>
              <w:rPr>
                <w:noProof/>
              </w:rPr>
              <w:br/>
              <w:t>Ukończenie zintegrowanego systemu cyfryzacji i katalogowania zasobów, aktywów, struktur i infrastruktury INAEM</w:t>
            </w:r>
          </w:p>
        </w:tc>
      </w:tr>
      <w:tr w:rsidR="006578ED" w14:paraId="6111FB52" w14:textId="77777777">
        <w:trPr>
          <w:trHeight w:val="309"/>
        </w:trPr>
        <w:tc>
          <w:tcPr>
            <w:tcW w:w="851" w:type="dxa"/>
            <w:shd w:val="clear" w:color="auto" w:fill="C6EFCE"/>
            <w:noWrap/>
          </w:tcPr>
          <w:p w14:paraId="636EDFD6" w14:textId="77777777" w:rsidR="006578ED" w:rsidRDefault="00A1618E">
            <w:pPr>
              <w:pStyle w:val="P68B1DB1-Normal13"/>
              <w:spacing w:after="0" w:line="240" w:lineRule="auto"/>
              <w:jc w:val="center"/>
              <w:rPr>
                <w:rFonts w:eastAsia="Times New Roman" w:cs="Times New Roman"/>
                <w:noProof/>
              </w:rPr>
            </w:pPr>
            <w:r>
              <w:rPr>
                <w:noProof/>
              </w:rPr>
              <w:t>361</w:t>
            </w:r>
          </w:p>
        </w:tc>
        <w:tc>
          <w:tcPr>
            <w:tcW w:w="993" w:type="dxa"/>
            <w:shd w:val="clear" w:color="auto" w:fill="C6EFCE"/>
            <w:noWrap/>
          </w:tcPr>
          <w:p w14:paraId="2F8E019D" w14:textId="77777777" w:rsidR="006578ED" w:rsidRDefault="00A1618E">
            <w:pPr>
              <w:pStyle w:val="P68B1DB1-Normal13"/>
              <w:spacing w:after="0" w:line="240" w:lineRule="auto"/>
              <w:jc w:val="center"/>
              <w:rPr>
                <w:rFonts w:eastAsia="Times New Roman" w:cs="Times New Roman"/>
                <w:noProof/>
              </w:rPr>
            </w:pPr>
            <w:r>
              <w:rPr>
                <w:noProof/>
              </w:rPr>
              <w:t>C24.I3</w:t>
            </w:r>
          </w:p>
        </w:tc>
        <w:tc>
          <w:tcPr>
            <w:tcW w:w="850" w:type="dxa"/>
            <w:shd w:val="clear" w:color="auto" w:fill="C6EFCE"/>
            <w:noWrap/>
          </w:tcPr>
          <w:p w14:paraId="75E0BAF3" w14:textId="02F85766" w:rsidR="006578ED" w:rsidRDefault="00AF6B91">
            <w:pPr>
              <w:pStyle w:val="P68B1DB1-Normal13"/>
              <w:spacing w:after="0" w:line="240" w:lineRule="auto"/>
              <w:jc w:val="center"/>
              <w:rPr>
                <w:rFonts w:eastAsia="Times New Roman" w:cs="Times New Roman"/>
                <w:noProof/>
              </w:rPr>
            </w:pPr>
            <w:r>
              <w:rPr>
                <w:noProof/>
              </w:rPr>
              <w:t>Cel</w:t>
            </w:r>
          </w:p>
        </w:tc>
        <w:tc>
          <w:tcPr>
            <w:tcW w:w="1701" w:type="dxa"/>
            <w:shd w:val="clear" w:color="auto" w:fill="C6EFCE"/>
            <w:noWrap/>
          </w:tcPr>
          <w:p w14:paraId="4970F117" w14:textId="086CAB6C" w:rsidR="006578ED" w:rsidRDefault="00A1618E">
            <w:pPr>
              <w:pStyle w:val="P68B1DB1-Normal13"/>
              <w:spacing w:after="0" w:line="240" w:lineRule="auto"/>
              <w:rPr>
                <w:rFonts w:eastAsia="Times New Roman" w:cs="Times New Roman"/>
                <w:noProof/>
              </w:rPr>
            </w:pPr>
            <w:r>
              <w:rPr>
                <w:noProof/>
              </w:rPr>
              <w:t xml:space="preserve">Zakończenie cyfryzacji i promowania głównych usług kulturalnych </w:t>
            </w:r>
          </w:p>
        </w:tc>
        <w:tc>
          <w:tcPr>
            <w:tcW w:w="992" w:type="dxa"/>
            <w:shd w:val="clear" w:color="auto" w:fill="C6EFCE"/>
            <w:noWrap/>
          </w:tcPr>
          <w:p w14:paraId="0CDDE017" w14:textId="77777777" w:rsidR="006578ED" w:rsidRDefault="00A1618E">
            <w:pPr>
              <w:pStyle w:val="P68B1DB1-Normal13"/>
              <w:spacing w:after="0" w:line="240" w:lineRule="auto"/>
              <w:jc w:val="center"/>
              <w:rPr>
                <w:rFonts w:eastAsia="Times New Roman" w:cs="Times New Roman"/>
                <w:noProof/>
              </w:rPr>
            </w:pPr>
            <w:r>
              <w:rPr>
                <w:noProof/>
              </w:rPr>
              <w:t>—</w:t>
            </w:r>
          </w:p>
        </w:tc>
        <w:tc>
          <w:tcPr>
            <w:tcW w:w="709" w:type="dxa"/>
            <w:shd w:val="clear" w:color="auto" w:fill="C6EFCE"/>
            <w:noWrap/>
          </w:tcPr>
          <w:p w14:paraId="36EA98F0"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7" w:type="dxa"/>
            <w:shd w:val="clear" w:color="auto" w:fill="C6EFCE"/>
            <w:noWrap/>
          </w:tcPr>
          <w:p w14:paraId="60FA0D12" w14:textId="77777777" w:rsidR="006578ED" w:rsidRDefault="00A1618E">
            <w:pPr>
              <w:pStyle w:val="P68B1DB1-Normal13"/>
              <w:spacing w:after="0" w:line="240" w:lineRule="auto"/>
              <w:jc w:val="right"/>
              <w:rPr>
                <w:rFonts w:eastAsia="Times New Roman" w:cs="Times New Roman"/>
                <w:noProof/>
              </w:rPr>
            </w:pPr>
            <w:r>
              <w:rPr>
                <w:noProof/>
              </w:rPr>
              <w:t>0</w:t>
            </w:r>
          </w:p>
        </w:tc>
        <w:tc>
          <w:tcPr>
            <w:tcW w:w="709" w:type="dxa"/>
            <w:shd w:val="clear" w:color="auto" w:fill="C6EFCE"/>
            <w:noWrap/>
          </w:tcPr>
          <w:p w14:paraId="73D45C3A" w14:textId="77777777" w:rsidR="006578ED" w:rsidRDefault="00A1618E">
            <w:pPr>
              <w:pStyle w:val="P68B1DB1-Normal13"/>
              <w:spacing w:after="0" w:line="240" w:lineRule="auto"/>
              <w:jc w:val="center"/>
              <w:rPr>
                <w:rFonts w:eastAsia="Times New Roman" w:cs="Times New Roman"/>
                <w:noProof/>
              </w:rPr>
            </w:pPr>
            <w:r>
              <w:rPr>
                <w:noProof/>
              </w:rPr>
              <w:t>200</w:t>
            </w:r>
          </w:p>
        </w:tc>
        <w:tc>
          <w:tcPr>
            <w:tcW w:w="709" w:type="dxa"/>
            <w:shd w:val="clear" w:color="auto" w:fill="C6EFCE"/>
            <w:noWrap/>
          </w:tcPr>
          <w:p w14:paraId="34E32477" w14:textId="18B84534"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08FACBC4"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837" w:type="dxa"/>
            <w:shd w:val="clear" w:color="auto" w:fill="C6EFCE"/>
            <w:noWrap/>
          </w:tcPr>
          <w:p w14:paraId="1867CC36" w14:textId="1D707C16" w:rsidR="006578ED" w:rsidRDefault="00A1618E">
            <w:pPr>
              <w:pStyle w:val="P68B1DB1-Normal13"/>
              <w:spacing w:after="0" w:line="240" w:lineRule="auto"/>
              <w:rPr>
                <w:rFonts w:eastAsia="Times New Roman" w:cs="Times New Roman"/>
                <w:noProof/>
              </w:rPr>
            </w:pPr>
            <w:r>
              <w:rPr>
                <w:noProof/>
              </w:rPr>
              <w:t>Zakończenie co najmniej 200 projektów zgodnie z wytycznymi technicznymi dotyczącymi zasady „nie czyń poważnych szkód” (2021/C58/01) poprzez wykorzystanie listy wykluczenia i wymogu zgodności z odpowiednimi unijnymi i krajowymi przepisami w zakresie ochrony środowiska, aby:</w:t>
            </w:r>
            <w:r>
              <w:rPr>
                <w:noProof/>
              </w:rPr>
              <w:br/>
              <w:t xml:space="preserve">Pobudzenie i cyfryzacja Muzeum Krajowego Prado i Muzeum Reina Sofia; </w:t>
            </w:r>
            <w:r>
              <w:rPr>
                <w:noProof/>
              </w:rPr>
              <w:br/>
              <w:t>— Działania mające na celu zwiększenie liczby użytkowników kolekcji cyfrowej hiszpańskiej biblioteki narodowej rocznie;</w:t>
            </w:r>
            <w:r>
              <w:rPr>
                <w:noProof/>
              </w:rPr>
              <w:br/>
              <w:t>Cyfrowy dostęp do dziedzictwa bibliograficznego i interoperacyjność wszystkich rodzajów publicznych systemów archiwizacji oraz zwiększenie pojemności przechowywania danych w hiszpańskich systemach inwentaryzacji i archiwizacji dziedzictwa historycznego;</w:t>
            </w:r>
            <w:r>
              <w:rPr>
                <w:noProof/>
              </w:rPr>
              <w:br/>
              <w:t>Ukończenie zintegrowanego systemu cyfryzacji i katalogowania zasobów, aktywów, struktur i infrastruktury INAEM.</w:t>
            </w:r>
          </w:p>
        </w:tc>
      </w:tr>
      <w:tr w:rsidR="006578ED" w14:paraId="111C0343" w14:textId="77777777">
        <w:trPr>
          <w:trHeight w:val="309"/>
        </w:trPr>
        <w:tc>
          <w:tcPr>
            <w:tcW w:w="851" w:type="dxa"/>
            <w:shd w:val="clear" w:color="auto" w:fill="C6EFCE"/>
            <w:noWrap/>
          </w:tcPr>
          <w:p w14:paraId="09E3727A" w14:textId="77777777" w:rsidR="006578ED" w:rsidRDefault="00A1618E">
            <w:pPr>
              <w:pStyle w:val="P68B1DB1-Normal13"/>
              <w:spacing w:after="0" w:line="240" w:lineRule="auto"/>
              <w:jc w:val="center"/>
              <w:rPr>
                <w:rFonts w:cs="Times New Roman"/>
                <w:noProof/>
              </w:rPr>
            </w:pPr>
            <w:r>
              <w:rPr>
                <w:noProof/>
              </w:rPr>
              <w:t>362</w:t>
            </w:r>
          </w:p>
        </w:tc>
        <w:tc>
          <w:tcPr>
            <w:tcW w:w="993" w:type="dxa"/>
            <w:shd w:val="clear" w:color="auto" w:fill="C6EFCE"/>
            <w:noWrap/>
          </w:tcPr>
          <w:p w14:paraId="75AB6532" w14:textId="77777777" w:rsidR="006578ED" w:rsidRDefault="00A1618E">
            <w:pPr>
              <w:pStyle w:val="P68B1DB1-Normal13"/>
              <w:spacing w:after="0" w:line="240" w:lineRule="auto"/>
              <w:jc w:val="center"/>
              <w:rPr>
                <w:rFonts w:cs="Times New Roman"/>
                <w:noProof/>
              </w:rPr>
            </w:pPr>
            <w:r>
              <w:rPr>
                <w:noProof/>
              </w:rPr>
              <w:t>C24.I3</w:t>
            </w:r>
          </w:p>
        </w:tc>
        <w:tc>
          <w:tcPr>
            <w:tcW w:w="850" w:type="dxa"/>
            <w:shd w:val="clear" w:color="auto" w:fill="C6EFCE"/>
            <w:noWrap/>
          </w:tcPr>
          <w:p w14:paraId="4B5615D1" w14:textId="14493DA4" w:rsidR="006578ED" w:rsidRDefault="00AF6B91">
            <w:pPr>
              <w:pStyle w:val="P68B1DB1-Normal13"/>
              <w:spacing w:after="0" w:line="240" w:lineRule="auto"/>
              <w:jc w:val="center"/>
              <w:rPr>
                <w:rFonts w:cs="Times New Roman"/>
                <w:noProof/>
              </w:rPr>
            </w:pPr>
            <w:r>
              <w:rPr>
                <w:noProof/>
              </w:rPr>
              <w:t>Cel</w:t>
            </w:r>
          </w:p>
        </w:tc>
        <w:tc>
          <w:tcPr>
            <w:tcW w:w="1701" w:type="dxa"/>
            <w:shd w:val="clear" w:color="auto" w:fill="C6EFCE"/>
            <w:noWrap/>
          </w:tcPr>
          <w:p w14:paraId="408FC712" w14:textId="77777777" w:rsidR="006578ED" w:rsidRDefault="00A1618E">
            <w:pPr>
              <w:pStyle w:val="P68B1DB1-Normal13"/>
              <w:spacing w:after="0" w:line="240" w:lineRule="auto"/>
              <w:rPr>
                <w:rFonts w:cs="Times New Roman"/>
                <w:noProof/>
              </w:rPr>
            </w:pPr>
            <w:r>
              <w:rPr>
                <w:noProof/>
              </w:rPr>
              <w:t xml:space="preserve">Zakończenie cyfryzacji dziedzictwa bibliograficznego </w:t>
            </w:r>
          </w:p>
        </w:tc>
        <w:tc>
          <w:tcPr>
            <w:tcW w:w="992" w:type="dxa"/>
            <w:shd w:val="clear" w:color="auto" w:fill="C6EFCE"/>
            <w:noWrap/>
          </w:tcPr>
          <w:p w14:paraId="66D4D6B4" w14:textId="77777777" w:rsidR="006578ED" w:rsidRDefault="00A1618E">
            <w:pPr>
              <w:pStyle w:val="P68B1DB1-Normal13"/>
              <w:spacing w:after="0" w:line="240" w:lineRule="auto"/>
              <w:jc w:val="center"/>
              <w:rPr>
                <w:rFonts w:cs="Times New Roman"/>
                <w:noProof/>
              </w:rPr>
            </w:pPr>
            <w:r>
              <w:rPr>
                <w:noProof/>
              </w:rPr>
              <w:t> </w:t>
            </w:r>
          </w:p>
        </w:tc>
        <w:tc>
          <w:tcPr>
            <w:tcW w:w="709" w:type="dxa"/>
            <w:shd w:val="clear" w:color="auto" w:fill="C6EFCE"/>
            <w:noWrap/>
          </w:tcPr>
          <w:p w14:paraId="0E3D9714" w14:textId="77777777" w:rsidR="006578ED" w:rsidRDefault="00A1618E">
            <w:pPr>
              <w:pStyle w:val="P68B1DB1-Normal13"/>
              <w:spacing w:after="0" w:line="240" w:lineRule="auto"/>
              <w:jc w:val="center"/>
              <w:rPr>
                <w:rFonts w:cs="Times New Roman"/>
                <w:noProof/>
              </w:rPr>
            </w:pPr>
            <w:r>
              <w:rPr>
                <w:noProof/>
              </w:rPr>
              <w:t>Liczba (mln)</w:t>
            </w:r>
          </w:p>
        </w:tc>
        <w:tc>
          <w:tcPr>
            <w:tcW w:w="567" w:type="dxa"/>
            <w:shd w:val="clear" w:color="auto" w:fill="C6EFCE"/>
            <w:noWrap/>
          </w:tcPr>
          <w:p w14:paraId="6BD98C04" w14:textId="77777777" w:rsidR="006578ED" w:rsidRDefault="00A1618E">
            <w:pPr>
              <w:pStyle w:val="P68B1DB1-Normal13"/>
              <w:spacing w:after="0" w:line="240" w:lineRule="auto"/>
              <w:jc w:val="right"/>
              <w:rPr>
                <w:rFonts w:cs="Times New Roman"/>
                <w:noProof/>
              </w:rPr>
            </w:pPr>
            <w:r>
              <w:rPr>
                <w:noProof/>
              </w:rPr>
              <w:t>10</w:t>
            </w:r>
          </w:p>
        </w:tc>
        <w:tc>
          <w:tcPr>
            <w:tcW w:w="709" w:type="dxa"/>
            <w:shd w:val="clear" w:color="auto" w:fill="C6EFCE"/>
            <w:noWrap/>
          </w:tcPr>
          <w:p w14:paraId="13DD66AC" w14:textId="77777777" w:rsidR="006578ED" w:rsidRDefault="00A1618E">
            <w:pPr>
              <w:pStyle w:val="P68B1DB1-Normal13"/>
              <w:spacing w:after="0" w:line="240" w:lineRule="auto"/>
              <w:jc w:val="center"/>
              <w:rPr>
                <w:rFonts w:cs="Times New Roman"/>
                <w:noProof/>
              </w:rPr>
            </w:pPr>
            <w:r>
              <w:rPr>
                <w:noProof/>
              </w:rPr>
              <w:t>12</w:t>
            </w:r>
          </w:p>
        </w:tc>
        <w:tc>
          <w:tcPr>
            <w:tcW w:w="709" w:type="dxa"/>
            <w:shd w:val="clear" w:color="auto" w:fill="C6EFCE"/>
            <w:noWrap/>
          </w:tcPr>
          <w:p w14:paraId="2FB899A5" w14:textId="6E2CF4CC"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57EB1B84" w14:textId="77777777" w:rsidR="006578ED" w:rsidRDefault="00A1618E">
            <w:pPr>
              <w:pStyle w:val="P68B1DB1-Normal13"/>
              <w:spacing w:after="0" w:line="240" w:lineRule="auto"/>
              <w:jc w:val="center"/>
              <w:rPr>
                <w:rFonts w:cs="Times New Roman"/>
                <w:noProof/>
              </w:rPr>
            </w:pPr>
            <w:r>
              <w:rPr>
                <w:noProof/>
              </w:rPr>
              <w:t>2023</w:t>
            </w:r>
          </w:p>
        </w:tc>
        <w:tc>
          <w:tcPr>
            <w:tcW w:w="6837" w:type="dxa"/>
            <w:shd w:val="clear" w:color="auto" w:fill="C6EFCE"/>
            <w:noWrap/>
          </w:tcPr>
          <w:p w14:paraId="718B8937" w14:textId="675080F1" w:rsidR="006578ED" w:rsidRDefault="00A1618E">
            <w:pPr>
              <w:pStyle w:val="P68B1DB1-Normal13"/>
              <w:spacing w:after="0" w:line="240" w:lineRule="auto"/>
              <w:rPr>
                <w:rFonts w:cs="Times New Roman"/>
                <w:noProof/>
              </w:rPr>
            </w:pPr>
            <w:r>
              <w:rPr>
                <w:noProof/>
              </w:rPr>
              <w:t>Cyfryzacja dziedzictwa bibliograficznego (zbiory publiczne i prywatne) (łącznie 12 mln użytkowników dziedzictwa kulturowego/zbiory zdigitalizowane)</w:t>
            </w:r>
          </w:p>
        </w:tc>
      </w:tr>
    </w:tbl>
    <w:p w14:paraId="3AB46BF3" w14:textId="77777777" w:rsidR="006578ED" w:rsidRDefault="00A1618E">
      <w:pPr>
        <w:keepNext/>
        <w:spacing w:before="120" w:after="360" w:line="240" w:lineRule="auto"/>
        <w:rPr>
          <w:rFonts w:ascii="Times New Roman" w:hAnsi="Times New Roman" w:cs="Times New Roman"/>
          <w:b/>
          <w:smallCaps/>
          <w:noProof/>
          <w:sz w:val="28"/>
        </w:rPr>
        <w:sectPr w:rsidR="006578ED" w:rsidSect="00C94F66">
          <w:headerReference w:type="even" r:id="rId465"/>
          <w:headerReference w:type="default" r:id="rId466"/>
          <w:footerReference w:type="even" r:id="rId467"/>
          <w:footerReference w:type="default" r:id="rId468"/>
          <w:headerReference w:type="first" r:id="rId469"/>
          <w:footerReference w:type="first" r:id="rId470"/>
          <w:pgSz w:w="16839" w:h="11907" w:orient="landscape"/>
          <w:pgMar w:top="1417" w:right="1134" w:bottom="1417" w:left="1134" w:header="709" w:footer="709" w:gutter="0"/>
          <w:cols w:space="720"/>
          <w:docGrid w:linePitch="360"/>
        </w:sectPr>
      </w:pPr>
      <w:r>
        <w:rPr>
          <w:noProof/>
        </w:rPr>
        <w:br/>
      </w:r>
    </w:p>
    <w:p w14:paraId="369E2750" w14:textId="77777777" w:rsidR="006578ED" w:rsidRDefault="006578ED">
      <w:pPr>
        <w:keepNext/>
        <w:spacing w:before="120" w:after="360" w:line="240" w:lineRule="auto"/>
        <w:rPr>
          <w:rFonts w:ascii="Times New Roman" w:hAnsi="Times New Roman" w:cs="Times New Roman"/>
          <w:b/>
          <w:smallCaps/>
          <w:noProof/>
          <w:sz w:val="28"/>
        </w:rPr>
      </w:pPr>
    </w:p>
    <w:p w14:paraId="60B46F4E" w14:textId="77777777" w:rsidR="006578ED" w:rsidRDefault="00A1618E">
      <w:pPr>
        <w:pStyle w:val="P68B1DB1-Heading12"/>
        <w:rPr>
          <w:rFonts w:cs="Times New Roman"/>
          <w:noProof/>
        </w:rPr>
      </w:pPr>
      <w:r>
        <w:rPr>
          <w:noProof/>
        </w:rPr>
        <w:t>Y. KOMPONENT 25: Hiszpańskie Centrum Audiowizualne</w:t>
      </w:r>
    </w:p>
    <w:p w14:paraId="051EE69F" w14:textId="1B2534D4" w:rsidR="006578ED" w:rsidRDefault="00A1618E">
      <w:pPr>
        <w:pStyle w:val="P68B1DB1-Normal4"/>
        <w:tabs>
          <w:tab w:val="left" w:pos="1134"/>
        </w:tabs>
        <w:spacing w:before="120" w:after="120" w:line="240" w:lineRule="auto"/>
        <w:jc w:val="both"/>
        <w:rPr>
          <w:rFonts w:cs="Times New Roman"/>
          <w:noProof/>
        </w:rPr>
      </w:pPr>
      <w:r>
        <w:rPr>
          <w:noProof/>
        </w:rPr>
        <w:t xml:space="preserve">Ten element hiszpańskiego planu odbudowy i zwiększania odporności łączy szereg inwestycji i reform mających na celu ożywienie i wzmocnienie sektora audiowizualnego. Jego celem jest poprawa otoczenia inwestycyjnego, skonsolidowanie Hiszpanii jako międzynarodowej platformy inwestycji audiowizualnych oraz umieszczenie Hiszpanii odniesienia w eksporcie produktów audiowizualnych, w tym gier wideo i twórczości cyfrowej. Komponent ten obejmuje również działania mające na celu wspieranie umiędzynarodowienia przedsiębiorstw, zwiększanie innowacyjności w sektorze i wdrażanie lepszych uregulowań prawnych. </w:t>
      </w:r>
    </w:p>
    <w:p w14:paraId="0D8208BA" w14:textId="1368D2B3" w:rsidR="006578ED" w:rsidRDefault="00A1618E">
      <w:pPr>
        <w:pStyle w:val="P68B1DB1-Normal4"/>
        <w:tabs>
          <w:tab w:val="left" w:pos="1134"/>
        </w:tabs>
        <w:spacing w:before="120" w:after="120" w:line="240" w:lineRule="auto"/>
        <w:jc w:val="both"/>
        <w:rPr>
          <w:rFonts w:cs="Times New Roman"/>
          <w:noProof/>
        </w:rPr>
      </w:pPr>
      <w:r>
        <w:rPr>
          <w:noProof/>
        </w:rPr>
        <w:t xml:space="preserve">Zgodnie z planem „Hiszpania Digital 2025” oraz niedawno zatwierdzonym „Plan Spain Audiowizualne Hub of Europe” komponent ten ma wspierać tworzenie miejsc pracy, zwłaszcza wśród ludzi młodych, branży turystycznej i obejmuje działania zmniejszające różnice w traktowaniu kobiet i mężczyzn. </w:t>
      </w:r>
    </w:p>
    <w:p w14:paraId="50958C6E" w14:textId="188B5E98" w:rsidR="006578ED" w:rsidRDefault="00A1618E">
      <w:pPr>
        <w:pStyle w:val="P68B1DB1-Normal4"/>
        <w:tabs>
          <w:tab w:val="left" w:pos="1134"/>
        </w:tabs>
        <w:spacing w:before="120" w:after="120" w:line="240" w:lineRule="auto"/>
        <w:jc w:val="both"/>
        <w:rPr>
          <w:rFonts w:cs="Times New Roman"/>
          <w:noProof/>
        </w:rPr>
      </w:pPr>
      <w:r>
        <w:rPr>
          <w:noProof/>
        </w:rPr>
        <w:t xml:space="preserve">Komponent ten odnosi się do zaleceń dla poszczególnych krajów w sprawie wspierania inwestycji w innowacje (zalecenie dla poszczególnych krajów </w:t>
      </w:r>
      <w:r w:rsidRPr="00A1618E">
        <w:rPr>
          <w:noProof/>
          <w:lang w:val="pl-PL"/>
        </w:rPr>
        <w:t>nr 3</w:t>
      </w:r>
      <w:r>
        <w:rPr>
          <w:noProof/>
        </w:rPr>
        <w:t xml:space="preserve"> z 20</w:t>
      </w:r>
      <w:r w:rsidRPr="00A1618E">
        <w:rPr>
          <w:noProof/>
          <w:lang w:val="pl-PL"/>
        </w:rPr>
        <w:t>19 r.</w:t>
      </w:r>
      <w:r>
        <w:rPr>
          <w:noProof/>
        </w:rPr>
        <w:t xml:space="preserve">) i skoncentrowania inwestycji na transformacji ekologicznej i cyfrowej (zalecenie dla poszczególnych krajów </w:t>
      </w:r>
      <w:r w:rsidRPr="00A1618E">
        <w:rPr>
          <w:noProof/>
          <w:lang w:val="pl-PL"/>
        </w:rPr>
        <w:t>nr 3</w:t>
      </w:r>
      <w:r>
        <w:rPr>
          <w:noProof/>
        </w:rPr>
        <w:t xml:space="preserve"> z 20</w:t>
      </w:r>
      <w:r w:rsidRPr="00A1618E">
        <w:rPr>
          <w:noProof/>
          <w:lang w:val="pl-PL"/>
        </w:rPr>
        <w:t>20 r.</w:t>
      </w:r>
      <w:r>
        <w:rPr>
          <w:noProof/>
        </w:rPr>
        <w:t>).</w:t>
      </w:r>
    </w:p>
    <w:p w14:paraId="14392F08" w14:textId="72B72E18" w:rsidR="006578ED" w:rsidRDefault="00A1618E">
      <w:pPr>
        <w:pStyle w:val="P68B1DB1-Normal4"/>
        <w:tabs>
          <w:tab w:val="left" w:pos="1134"/>
        </w:tabs>
        <w:spacing w:before="120" w:after="120" w:line="240" w:lineRule="auto"/>
        <w:jc w:val="both"/>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 xml:space="preserve">7 rozporządzenia (UE) 2020/852, biorąc pod uwagę opis środków i działań łagodzących określonych w planie odbudowy i zwiększania odporności zgodnie z wytycznymi technicznymi dotyczącymi zasady „nie czyń poważnych szkód” (2021/C58/01). </w:t>
      </w:r>
    </w:p>
    <w:p w14:paraId="70CDFBED" w14:textId="7316765D" w:rsidR="006578ED" w:rsidRDefault="00A1618E">
      <w:pPr>
        <w:pStyle w:val="P68B1DB1-Normal5"/>
        <w:spacing w:before="120" w:after="120" w:line="240" w:lineRule="auto"/>
        <w:ind w:left="720"/>
        <w:jc w:val="both"/>
        <w:rPr>
          <w:rFonts w:cs="Times New Roman"/>
          <w:i/>
          <w:noProof/>
        </w:rPr>
      </w:pPr>
      <w:r>
        <w:rPr>
          <w:noProof/>
        </w:rPr>
        <w:t xml:space="preserve">Y.1. </w:t>
      </w:r>
      <w:r>
        <w:rPr>
          <w:noProof/>
        </w:rPr>
        <w:tab/>
        <w:t>Opis reform i inwestycji, które mają być finansowane z bezzwrotnego wsparcia finansowego</w:t>
      </w:r>
    </w:p>
    <w:p w14:paraId="2946B1E1" w14:textId="461AFDDB" w:rsidR="006578ED" w:rsidRDefault="00A1618E">
      <w:pPr>
        <w:pStyle w:val="P68B1DB1-Normal6"/>
        <w:spacing w:before="120" w:after="120" w:line="240" w:lineRule="auto"/>
        <w:jc w:val="both"/>
        <w:rPr>
          <w:rFonts w:cs="Times New Roman"/>
          <w:noProof/>
        </w:rPr>
      </w:pPr>
      <w:r>
        <w:rPr>
          <w:noProof/>
        </w:rPr>
        <w:t>Reforma 1 (C25.R1)</w:t>
      </w:r>
      <w:r w:rsidRPr="00A1618E">
        <w:rPr>
          <w:noProof/>
          <w:lang w:val="pl-PL"/>
        </w:rPr>
        <w:t>: R</w:t>
      </w:r>
      <w:r>
        <w:rPr>
          <w:noProof/>
        </w:rPr>
        <w:t xml:space="preserve">eforma audiowizualnych ram regulacyjnych </w:t>
      </w:r>
    </w:p>
    <w:p w14:paraId="1822C51B" w14:textId="66ABCE4E" w:rsidR="006578ED" w:rsidRDefault="00A1618E">
      <w:pPr>
        <w:pStyle w:val="P68B1DB1-Normal4"/>
        <w:spacing w:before="120" w:after="120" w:line="240" w:lineRule="auto"/>
        <w:jc w:val="both"/>
        <w:rPr>
          <w:rFonts w:cs="Times New Roman"/>
          <w:noProof/>
        </w:rPr>
      </w:pPr>
      <w:r>
        <w:rPr>
          <w:noProof/>
        </w:rPr>
        <w:t>Reforma audiowizualnych ram regulacyjnych obejmuje przyjęcie dwóch ustaw i zatwierdzenie planu sektorowego:</w:t>
      </w:r>
    </w:p>
    <w:p w14:paraId="08F05169" w14:textId="706E3EDA" w:rsidR="006578ED" w:rsidRDefault="00A1618E">
      <w:pPr>
        <w:pStyle w:val="P68B1DB1-Normal4"/>
        <w:numPr>
          <w:ilvl w:val="0"/>
          <w:numId w:val="161"/>
        </w:numPr>
        <w:spacing w:before="120" w:after="120" w:line="240" w:lineRule="auto"/>
        <w:jc w:val="both"/>
        <w:rPr>
          <w:rFonts w:cs="Times New Roman"/>
          <w:noProof/>
        </w:rPr>
      </w:pPr>
      <w:r>
        <w:rPr>
          <w:noProof/>
        </w:rPr>
        <w:t>Wejście w życie ustawy ogólnej o komunikacji audiowizualnej, która ma różne cele. Po pierwsze, dostosowanie i modernizacja ram prawnych dotyczących audiowizualnych usług medialnych i platform wymiany wideo w Hiszpanii. Po drugie, ustanowienie mechanizmów gwarantujących prawa użytkowników, takie jak ochrona małoletnich i społeczeństwa przed niektórymi rodzajami treści. Po trzecie, promowanie europejskich utworów audiowizualnych poprzez podwojenie wsparcia dla niezależnej produkcji audiowizualnej. Po czwarte, poprawa integracji osób z niepełnosprawnościami. Ustawa weszła w życie pod koniec pierwszego kwartału 20</w:t>
      </w:r>
      <w:r w:rsidRPr="00A1618E">
        <w:rPr>
          <w:noProof/>
          <w:lang w:val="pl-PL"/>
        </w:rPr>
        <w:t>22 r.</w:t>
      </w:r>
      <w:r>
        <w:rPr>
          <w:noProof/>
        </w:rPr>
        <w:t xml:space="preserve"> </w:t>
      </w:r>
    </w:p>
    <w:p w14:paraId="066FF041" w14:textId="4A83C8E5" w:rsidR="006578ED" w:rsidRDefault="00A1618E">
      <w:pPr>
        <w:pStyle w:val="P68B1DB1-Normal4"/>
        <w:numPr>
          <w:ilvl w:val="0"/>
          <w:numId w:val="161"/>
        </w:numPr>
        <w:spacing w:before="120" w:after="120" w:line="240" w:lineRule="auto"/>
        <w:jc w:val="both"/>
        <w:rPr>
          <w:rFonts w:cs="Times New Roman"/>
          <w:noProof/>
        </w:rPr>
      </w:pPr>
      <w:r>
        <w:rPr>
          <w:noProof/>
        </w:rPr>
        <w:t xml:space="preserve">Reforma ustawy </w:t>
      </w:r>
      <w:r w:rsidRPr="00A1618E">
        <w:rPr>
          <w:noProof/>
          <w:lang w:val="pl-PL"/>
        </w:rPr>
        <w:t>nr 5</w:t>
      </w:r>
      <w:r>
        <w:rPr>
          <w:noProof/>
        </w:rPr>
        <w:t>5/2007 w sprawie kinematografii, której celem jest (i) dostosowanie przepisów ustawy do nowych realiów sektora; dostosowanie ram regulacyjnych do europejskich ram prawnych, w tym zasad pomocy państwa; oraz (iii) aktualizacji i zmiany mechanizmu w celu zapewnienia wsparcia finansowego dla sektora audiowizualnego. Należy to wprowadzić do dnia 31 grudnia 20</w:t>
      </w:r>
      <w:r w:rsidRPr="00A1618E">
        <w:rPr>
          <w:noProof/>
          <w:lang w:val="pl-PL"/>
        </w:rPr>
        <w:t>23 r.</w:t>
      </w:r>
      <w:r>
        <w:rPr>
          <w:noProof/>
        </w:rPr>
        <w:t xml:space="preserve"> </w:t>
      </w:r>
    </w:p>
    <w:p w14:paraId="0F60AF8E" w14:textId="2161373A" w:rsidR="006578ED" w:rsidRDefault="00A1618E">
      <w:pPr>
        <w:pStyle w:val="P68B1DB1-Normal4"/>
        <w:numPr>
          <w:ilvl w:val="0"/>
          <w:numId w:val="161"/>
        </w:numPr>
        <w:spacing w:before="120" w:after="120" w:line="240" w:lineRule="auto"/>
        <w:jc w:val="both"/>
        <w:rPr>
          <w:rFonts w:cs="Times New Roman"/>
          <w:noProof/>
        </w:rPr>
      </w:pPr>
      <w:r>
        <w:rPr>
          <w:noProof/>
        </w:rPr>
        <w:t>Przyjęcie i wdrożenie planu „Hiszpańskie centrum audiowizualne dla Europy”, którego celem jest uczynienie Hiszpanii globalną platformą inwestycyjną, przyciągającą inwestycje zagraniczne i eksportującą produkty audiowizualne. Plan ten został przyjęty przez Radę Ministrów w marcu 20</w:t>
      </w:r>
      <w:r w:rsidRPr="00A1618E">
        <w:rPr>
          <w:noProof/>
          <w:lang w:val="pl-PL"/>
        </w:rPr>
        <w:t>21 r.</w:t>
      </w:r>
      <w:r>
        <w:rPr>
          <w:noProof/>
        </w:rPr>
        <w:t xml:space="preserve"> Obejmuje on inwestycje mające na celu wzmocnienie całego łańcucha wartości przemysłu audiowizualnego w oparciu o przewagę komparatywną Hiszpanii w tym sektorze, w tym ugruntowaną branżę audiowizualną, dobrze wyszkolony kapitał ludzki i powszechnie uznaną zdolność twórczą. Plan obejmuje wszystkie formy sektora audiowizualnego (takie jak kino, seriale, reklama, gry wideo i animacja). „Hiszpańskie centrum audiowizualne dla Europy” ma na celu stworzenie synergii z innymi sektorami, takimi jak kultura i turystyka. Uwzględnione środki opierają się na czterech priorytetach: i) przekształcenie Hiszpanii w biegun przyciągania produkcji audiowizualnej, (ii) zmniejszenie kosztów administracyjnych i regulacyjnych związanych z tym sektorem, (iii) poprawę konkurencyjności przedsiębiorstw w tym sektorze poprzez inwestowanie w ich cyfryzację oraz (iv) generowanie talentów i zmniejszanie różnic w traktowaniu kobiet i mężczyzn.</w:t>
      </w:r>
    </w:p>
    <w:p w14:paraId="0B3B8812" w14:textId="71731F41" w:rsidR="006578ED" w:rsidRDefault="00A1618E">
      <w:pPr>
        <w:pStyle w:val="P68B1DB1-Normal4"/>
        <w:spacing w:before="120" w:after="120" w:line="240" w:lineRule="auto"/>
        <w:jc w:val="both"/>
        <w:rPr>
          <w:rFonts w:cs="Times New Roman"/>
          <w:noProof/>
        </w:rPr>
      </w:pPr>
      <w:r>
        <w:rPr>
          <w:noProof/>
        </w:rPr>
        <w:t>Wdrożenie środka zostanie zakończone do dnia 31 grudnia 20</w:t>
      </w:r>
      <w:r w:rsidRPr="00A1618E">
        <w:rPr>
          <w:noProof/>
          <w:lang w:val="pl-PL"/>
        </w:rPr>
        <w:t>23 r.</w:t>
      </w:r>
      <w:r>
        <w:rPr>
          <w:noProof/>
        </w:rPr>
        <w:t xml:space="preserve"> </w:t>
      </w:r>
    </w:p>
    <w:p w14:paraId="05DFD7D6" w14:textId="3AEE30FD" w:rsidR="006578ED" w:rsidRDefault="00A1618E">
      <w:pPr>
        <w:pStyle w:val="P68B1DB1-Normal6"/>
        <w:spacing w:before="120" w:after="120" w:line="240" w:lineRule="auto"/>
        <w:jc w:val="both"/>
        <w:rPr>
          <w:rFonts w:cs="Times New Roman"/>
          <w:noProof/>
        </w:rPr>
      </w:pPr>
      <w:r>
        <w:rPr>
          <w:noProof/>
        </w:rPr>
        <w:t xml:space="preserve">Inwestycja 1 (C25.I1): Program na rzecz promowania, modernizacji i cyfryzacji sektora audiowizualnego </w:t>
      </w:r>
    </w:p>
    <w:p w14:paraId="7767D02E" w14:textId="69B46208" w:rsidR="006578ED" w:rsidRDefault="00A1618E">
      <w:pPr>
        <w:pStyle w:val="P68B1DB1-Normal4"/>
        <w:spacing w:before="120" w:after="120" w:line="240" w:lineRule="auto"/>
        <w:jc w:val="both"/>
        <w:rPr>
          <w:rFonts w:cs="Times New Roman"/>
          <w:noProof/>
        </w:rPr>
      </w:pPr>
      <w:r>
        <w:rPr>
          <w:noProof/>
        </w:rPr>
        <w:t xml:space="preserve">Inwestycja ta ma na celu poprawę konkurencyjności i odporności przedsiębiorstw i tkanki twórczej sektora audiowizualnego, a także promowanie jego umiędzynarodowienia i przyciągnięcie inwestycji zagranicznych. W tym celu w ramach inwestycji istnieją trzy odrębne programy. </w:t>
      </w:r>
    </w:p>
    <w:p w14:paraId="64AA71B0" w14:textId="7BA89398" w:rsidR="006578ED" w:rsidRDefault="00A1618E">
      <w:pPr>
        <w:pStyle w:val="P68B1DB1-Normal4"/>
        <w:numPr>
          <w:ilvl w:val="0"/>
          <w:numId w:val="160"/>
        </w:numPr>
        <w:spacing w:before="120" w:after="120" w:line="240" w:lineRule="auto"/>
        <w:jc w:val="both"/>
        <w:rPr>
          <w:rFonts w:cs="Times New Roman"/>
          <w:noProof/>
        </w:rPr>
      </w:pPr>
      <w:r>
        <w:rPr>
          <w:noProof/>
        </w:rPr>
        <w:t xml:space="preserve">Program mający na celu promowanie, modernizację i cyfryzację sektora audiowizualnego w celu poprawy konkurencyjności i odporności przedsiębiorstw i twórczości sektora audiowizualnego. Program wspiera również wdrażanie i integrację technologii cyfrowych w produkcji i promowaniu treści audiowizualnych, a także cyfryzację narzędzia wynagradzania twórców. </w:t>
      </w:r>
    </w:p>
    <w:p w14:paraId="79D86C3D" w14:textId="77920A79" w:rsidR="006578ED" w:rsidRDefault="00A1618E">
      <w:pPr>
        <w:pStyle w:val="P68B1DB1-Normal4"/>
        <w:numPr>
          <w:ilvl w:val="0"/>
          <w:numId w:val="160"/>
        </w:numPr>
        <w:spacing w:before="120" w:after="120" w:line="240" w:lineRule="auto"/>
        <w:jc w:val="both"/>
        <w:rPr>
          <w:rFonts w:cs="Times New Roman"/>
          <w:noProof/>
        </w:rPr>
      </w:pPr>
      <w:r>
        <w:rPr>
          <w:noProof/>
        </w:rPr>
        <w:t xml:space="preserve">Program mający na celu promowanie internalizacji sektora audiowizualnego poprzez udział w audiowizualnych konferencjach biznesowych, platformach oraz laboratoriach i targach zajmujących się rozwojem projektów. Celem jest wprowadzenie różnych mechanizmów w celu wykorzystania pełnego potencjału hiszpańskiego przemysłu audiowizualnego i promowania lokalnych talentów w środowisku globalnym. </w:t>
      </w:r>
    </w:p>
    <w:p w14:paraId="7EBD514C" w14:textId="15541B4A" w:rsidR="006578ED" w:rsidRPr="00A1618E" w:rsidRDefault="00A1618E">
      <w:pPr>
        <w:pStyle w:val="P68B1DB1-Normal4"/>
        <w:numPr>
          <w:ilvl w:val="0"/>
          <w:numId w:val="160"/>
        </w:numPr>
        <w:spacing w:before="120" w:after="120" w:line="240" w:lineRule="auto"/>
        <w:jc w:val="both"/>
        <w:rPr>
          <w:rFonts w:cs="Times New Roman"/>
          <w:noProof/>
          <w:lang w:val="pl-PL"/>
        </w:rPr>
      </w:pPr>
      <w:r>
        <w:rPr>
          <w:noProof/>
        </w:rPr>
        <w:t>Program mający na celu przyciągnięcie bezpośrednich inwestycji zagranicznych w sektorze audiowizualnym poprzez stworzenie atrakcyjnego środowiska inwestycyjnego, zmniejszenie obciążeń administracyjnych i ułatwienie różnych procedur administracyjnych (obejmujących powiązania z administracją publiczną na szczeblu ogólnym, regionalnym i lokalnym)</w:t>
      </w:r>
      <w:r w:rsidRPr="00A1618E">
        <w:rPr>
          <w:noProof/>
          <w:lang w:val="pl-PL"/>
        </w:rPr>
        <w:t xml:space="preserve">. </w:t>
      </w:r>
    </w:p>
    <w:p w14:paraId="3FE4DB9A" w14:textId="318B892A" w:rsidR="006578ED" w:rsidRDefault="00A1618E">
      <w:pPr>
        <w:pStyle w:val="P68B1DB1-Normal4"/>
        <w:spacing w:before="120" w:after="120" w:line="240" w:lineRule="auto"/>
        <w:jc w:val="both"/>
        <w:rPr>
          <w:rFonts w:cs="Times New Roman"/>
          <w:noProof/>
        </w:rPr>
      </w:pPr>
      <w:r>
        <w:rPr>
          <w:noProof/>
        </w:rPr>
        <w:t xml:space="preserve">Inwestycje te są realizowane w drodze umów z podmiotami publicznymi i prywatnymi, zaproszeń do składania wniosków wspierających włączenie technologii cyfrowych do produktów i usług audiowizualnych, zaproszeń do składania wniosków o pomoc na innowacje w zakresie tworzenia i rozwoju treści audiowizualnych i cyfrowych w różnych formatach, cyfryzacji i analizy danych sektora audiowizualnego, nowych instrumentów międzynarodowej promocji i cyfrowego marketingu treści audiowizualnych, takich jak internetowe narzędzia B2B i B2C. </w:t>
      </w:r>
    </w:p>
    <w:p w14:paraId="49C97AB0" w14:textId="5DCF71E3" w:rsidR="006578ED" w:rsidRDefault="00A1618E">
      <w:pPr>
        <w:pStyle w:val="P68B1DB1-Normal4"/>
        <w:spacing w:before="120" w:after="120" w:line="240" w:lineRule="auto"/>
        <w:jc w:val="both"/>
        <w:rPr>
          <w:rFonts w:cs="Times New Roman"/>
          <w:noProof/>
        </w:rPr>
      </w:pPr>
      <w:r>
        <w:rPr>
          <w:noProof/>
        </w:rPr>
        <w:t xml:space="preserve">Inwestycje te są skierowane do przedsiębiorstw, specjalistów i podmiotów w całym audiowizualnym łańcuchu wartości i koncentrują się w szczególności na MŚP wytwarzających treści audiowizualne, MŚP specjalizujące się w zarządzaniu wynagrodzeniami dla twórców oraz firmy konsultingowe w zakresie technologii, które mogą tworzyć platformy otwarte dla wszystkich zainteresowanych stron. </w:t>
      </w:r>
    </w:p>
    <w:p w14:paraId="51748050" w14:textId="03BAAF93" w:rsidR="006578ED" w:rsidRDefault="00A1618E">
      <w:pPr>
        <w:pStyle w:val="P68B1DB1-Normal4"/>
        <w:spacing w:before="120" w:after="120" w:line="240" w:lineRule="auto"/>
        <w:jc w:val="both"/>
        <w:rPr>
          <w:rFonts w:cs="Times New Roman"/>
          <w:noProof/>
        </w:rPr>
      </w:pPr>
      <w:r>
        <w:rPr>
          <w:noProof/>
        </w:rPr>
        <w:t>Wdrożenie środka musi zostać zakończone do dnia 31 grudnia 20</w:t>
      </w:r>
      <w:r w:rsidRPr="00A1618E">
        <w:rPr>
          <w:noProof/>
          <w:lang w:val="pl-PL"/>
        </w:rPr>
        <w:t>24 r.</w:t>
      </w:r>
    </w:p>
    <w:p w14:paraId="7D6B56C0" w14:textId="21662A5C" w:rsidR="006578ED" w:rsidRDefault="00A1618E">
      <w:pPr>
        <w:pStyle w:val="P68B1DB1-Normal5"/>
        <w:spacing w:before="120" w:after="120" w:line="240" w:lineRule="auto"/>
        <w:ind w:left="720"/>
        <w:jc w:val="both"/>
        <w:rPr>
          <w:rFonts w:cs="Times New Roman"/>
          <w:noProof/>
        </w:rPr>
      </w:pPr>
      <w:r>
        <w:rPr>
          <w:noProof/>
        </w:rPr>
        <w:t xml:space="preserve">Y.2. </w:t>
      </w:r>
      <w:r>
        <w:rPr>
          <w:noProof/>
        </w:rPr>
        <w:tab/>
        <w:t>Kamienie milowe, wartości docelowe, wskaźniki i harmonogram monitorowania i realizacji na potrzeby bezzwrotnego wsparcia finansowego</w:t>
      </w:r>
    </w:p>
    <w:p w14:paraId="19EBEDDA" w14:textId="676BB2AC" w:rsidR="006578ED" w:rsidRDefault="00A1618E">
      <w:pPr>
        <w:pStyle w:val="P68B1DB1-Normal4"/>
        <w:spacing w:before="120" w:after="120" w:line="240" w:lineRule="auto"/>
        <w:rPr>
          <w:rFonts w:cs="Times New Roman"/>
          <w:b/>
          <w:noProof/>
          <w:u w:val="single"/>
        </w:rPr>
      </w:pPr>
      <w:r>
        <w:rPr>
          <w:i/>
          <w:noProof/>
        </w:rPr>
        <w:t>Zob. tabela poniżej.</w:t>
      </w:r>
      <w:r>
        <w:rPr>
          <w:noProof/>
        </w:rPr>
        <w:t xml:space="preserve"> </w:t>
      </w:r>
      <w:r>
        <w:rPr>
          <w:i/>
          <w:noProof/>
        </w:rPr>
        <w:t>Datą odniesienia dla wszystkich wskaźników jest rozpoczęcie działania, chyba że w opisie działania wskazano inaczej. Kwoty w tabeli nie obejmują VAT.</w:t>
      </w:r>
    </w:p>
    <w:p w14:paraId="0B107F78" w14:textId="77777777" w:rsidR="006578ED" w:rsidRDefault="006578ED">
      <w:pPr>
        <w:rPr>
          <w:rFonts w:ascii="Times New Roman" w:hAnsi="Times New Roman" w:cs="Times New Roman"/>
          <w:b/>
          <w:noProof/>
          <w:sz w:val="24"/>
          <w:u w:val="single"/>
        </w:rPr>
        <w:sectPr w:rsidR="006578ED" w:rsidSect="00C94F66">
          <w:headerReference w:type="even" r:id="rId471"/>
          <w:headerReference w:type="default" r:id="rId472"/>
          <w:footerReference w:type="even" r:id="rId473"/>
          <w:footerReference w:type="default" r:id="rId474"/>
          <w:headerReference w:type="first" r:id="rId475"/>
          <w:footerReference w:type="first" r:id="rId476"/>
          <w:pgSz w:w="11907" w:h="16839"/>
          <w:pgMar w:top="1134" w:right="1417" w:bottom="1134" w:left="1417" w:header="709" w:footer="709" w:gutter="0"/>
          <w:cols w:space="720"/>
          <w:docGrid w:linePitch="360"/>
        </w:sectPr>
      </w:pPr>
    </w:p>
    <w:p w14:paraId="12F6C5B6" w14:textId="77777777" w:rsidR="006578ED" w:rsidRDefault="006578ED">
      <w:pPr>
        <w:spacing w:before="120" w:after="120" w:line="240" w:lineRule="auto"/>
        <w:jc w:val="both"/>
        <w:rPr>
          <w:rFonts w:ascii="Times New Roman" w:hAnsi="Times New Roman" w:cs="Times New Roman"/>
          <w:b/>
          <w:noProof/>
          <w:sz w:val="24"/>
          <w:u w:val="single"/>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410"/>
        <w:gridCol w:w="992"/>
        <w:gridCol w:w="851"/>
        <w:gridCol w:w="567"/>
        <w:gridCol w:w="567"/>
        <w:gridCol w:w="425"/>
        <w:gridCol w:w="567"/>
        <w:gridCol w:w="6521"/>
      </w:tblGrid>
      <w:tr w:rsidR="006578ED" w14:paraId="3F5F0FEE" w14:textId="77777777">
        <w:trPr>
          <w:trHeight w:val="309"/>
          <w:tblHeader/>
        </w:trPr>
        <w:tc>
          <w:tcPr>
            <w:tcW w:w="709" w:type="dxa"/>
            <w:tcBorders>
              <w:bottom w:val="nil"/>
            </w:tcBorders>
            <w:shd w:val="clear" w:color="auto" w:fill="C6D9F1" w:themeFill="text2" w:themeFillTint="33"/>
            <w:noWrap/>
          </w:tcPr>
          <w:p w14:paraId="200B838D" w14:textId="3CBEE577" w:rsidR="006578ED" w:rsidRDefault="00A1618E">
            <w:pPr>
              <w:pStyle w:val="P68B1DB1-Normal13"/>
              <w:spacing w:after="0" w:line="240" w:lineRule="auto"/>
              <w:jc w:val="center"/>
              <w:rPr>
                <w:rFonts w:cs="Times New Roman"/>
                <w:b/>
                <w:noProof/>
              </w:rPr>
            </w:pPr>
            <w:r>
              <w:rPr>
                <w:b/>
                <w:noProof/>
              </w:rPr>
              <w:t>Liczba</w:t>
            </w:r>
          </w:p>
        </w:tc>
        <w:tc>
          <w:tcPr>
            <w:tcW w:w="851" w:type="dxa"/>
            <w:tcBorders>
              <w:bottom w:val="nil"/>
            </w:tcBorders>
            <w:shd w:val="clear" w:color="auto" w:fill="C6D9F1" w:themeFill="text2" w:themeFillTint="33"/>
            <w:noWrap/>
          </w:tcPr>
          <w:p w14:paraId="74C2870B" w14:textId="77777777" w:rsidR="006578ED" w:rsidRDefault="00A1618E">
            <w:pPr>
              <w:pStyle w:val="P68B1DB1-Normal12"/>
              <w:spacing w:after="0" w:line="240" w:lineRule="auto"/>
              <w:jc w:val="center"/>
              <w:rPr>
                <w:rFonts w:cs="Times New Roman"/>
                <w:noProof/>
              </w:rPr>
            </w:pPr>
            <w:r>
              <w:rPr>
                <w:noProof/>
              </w:rPr>
              <w:t>Środek</w:t>
            </w:r>
          </w:p>
        </w:tc>
        <w:tc>
          <w:tcPr>
            <w:tcW w:w="850" w:type="dxa"/>
            <w:tcBorders>
              <w:bottom w:val="nil"/>
            </w:tcBorders>
            <w:shd w:val="clear" w:color="auto" w:fill="C6D9F1" w:themeFill="text2" w:themeFillTint="33"/>
            <w:noWrap/>
          </w:tcPr>
          <w:p w14:paraId="65C3B47E" w14:textId="175A732B"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410" w:type="dxa"/>
            <w:tcBorders>
              <w:bottom w:val="nil"/>
            </w:tcBorders>
            <w:shd w:val="clear" w:color="auto" w:fill="C6D9F1" w:themeFill="text2" w:themeFillTint="33"/>
            <w:noWrap/>
          </w:tcPr>
          <w:p w14:paraId="1FF03D96" w14:textId="77777777" w:rsidR="006578ED" w:rsidRDefault="00A1618E">
            <w:pPr>
              <w:pStyle w:val="P68B1DB1-Normal12"/>
              <w:spacing w:after="0" w:line="240" w:lineRule="auto"/>
              <w:jc w:val="center"/>
              <w:rPr>
                <w:rFonts w:cs="Times New Roman"/>
                <w:noProof/>
              </w:rPr>
            </w:pPr>
            <w:r>
              <w:rPr>
                <w:noProof/>
              </w:rPr>
              <w:t>Nazwa</w:t>
            </w:r>
          </w:p>
        </w:tc>
        <w:tc>
          <w:tcPr>
            <w:tcW w:w="992" w:type="dxa"/>
            <w:tcBorders>
              <w:bottom w:val="nil"/>
            </w:tcBorders>
            <w:shd w:val="clear" w:color="auto" w:fill="C6D9F1" w:themeFill="text2" w:themeFillTint="33"/>
            <w:noWrap/>
          </w:tcPr>
          <w:p w14:paraId="5E7767FA"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85" w:type="dxa"/>
            <w:gridSpan w:val="3"/>
            <w:shd w:val="clear" w:color="auto" w:fill="C6D9F1" w:themeFill="text2" w:themeFillTint="33"/>
            <w:noWrap/>
          </w:tcPr>
          <w:p w14:paraId="25DCBC69"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92" w:type="dxa"/>
            <w:gridSpan w:val="2"/>
            <w:shd w:val="clear" w:color="auto" w:fill="C6D9F1" w:themeFill="text2" w:themeFillTint="33"/>
            <w:noWrap/>
          </w:tcPr>
          <w:p w14:paraId="2034D2C6" w14:textId="77777777" w:rsidR="006578ED" w:rsidRDefault="00A1618E">
            <w:pPr>
              <w:pStyle w:val="P68B1DB1-Normal12"/>
              <w:spacing w:after="0" w:line="240" w:lineRule="auto"/>
              <w:jc w:val="center"/>
              <w:rPr>
                <w:rFonts w:cs="Times New Roman"/>
                <w:noProof/>
              </w:rPr>
            </w:pPr>
            <w:r>
              <w:rPr>
                <w:noProof/>
              </w:rPr>
              <w:t>Czas</w:t>
            </w:r>
          </w:p>
        </w:tc>
        <w:tc>
          <w:tcPr>
            <w:tcW w:w="6521" w:type="dxa"/>
            <w:tcBorders>
              <w:bottom w:val="nil"/>
            </w:tcBorders>
            <w:shd w:val="clear" w:color="auto" w:fill="C6D9F1" w:themeFill="text2" w:themeFillTint="33"/>
            <w:noWrap/>
          </w:tcPr>
          <w:p w14:paraId="2586CC79" w14:textId="4BB8A766"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5464D46B" w14:textId="77777777">
        <w:trPr>
          <w:trHeight w:val="22"/>
          <w:tblHeader/>
        </w:trPr>
        <w:tc>
          <w:tcPr>
            <w:tcW w:w="709" w:type="dxa"/>
            <w:tcBorders>
              <w:top w:val="nil"/>
            </w:tcBorders>
            <w:shd w:val="clear" w:color="auto" w:fill="C6D9F1" w:themeFill="text2" w:themeFillTint="33"/>
            <w:noWrap/>
          </w:tcPr>
          <w:p w14:paraId="3CF2EC5C"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4E626987" w14:textId="77777777" w:rsidR="006578ED" w:rsidRDefault="006578ED">
            <w:pPr>
              <w:spacing w:after="0" w:line="240" w:lineRule="auto"/>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30772D4C" w14:textId="77777777" w:rsidR="006578ED" w:rsidRDefault="006578ED">
            <w:pPr>
              <w:spacing w:after="0" w:line="240" w:lineRule="auto"/>
              <w:jc w:val="center"/>
              <w:rPr>
                <w:rFonts w:ascii="Times New Roman" w:hAnsi="Times New Roman" w:cs="Times New Roman"/>
                <w:b/>
                <w:noProof/>
                <w:sz w:val="18"/>
              </w:rPr>
            </w:pPr>
          </w:p>
        </w:tc>
        <w:tc>
          <w:tcPr>
            <w:tcW w:w="2410" w:type="dxa"/>
            <w:tcBorders>
              <w:top w:val="nil"/>
            </w:tcBorders>
            <w:shd w:val="clear" w:color="auto" w:fill="C6D9F1" w:themeFill="text2" w:themeFillTint="33"/>
            <w:noWrap/>
          </w:tcPr>
          <w:p w14:paraId="67117A80" w14:textId="77777777" w:rsidR="006578ED" w:rsidRDefault="006578ED">
            <w:pPr>
              <w:spacing w:after="0" w:line="240" w:lineRule="auto"/>
              <w:rPr>
                <w:rFonts w:ascii="Times New Roman" w:hAnsi="Times New Roman" w:cs="Times New Roman"/>
                <w:b/>
                <w:noProof/>
                <w:sz w:val="18"/>
              </w:rPr>
            </w:pPr>
          </w:p>
        </w:tc>
        <w:tc>
          <w:tcPr>
            <w:tcW w:w="992" w:type="dxa"/>
            <w:tcBorders>
              <w:top w:val="nil"/>
            </w:tcBorders>
            <w:shd w:val="clear" w:color="auto" w:fill="C6D9F1" w:themeFill="text2" w:themeFillTint="33"/>
            <w:noWrap/>
          </w:tcPr>
          <w:p w14:paraId="24955BB1" w14:textId="77777777" w:rsidR="006578ED" w:rsidRDefault="006578ED">
            <w:pPr>
              <w:spacing w:after="0" w:line="240" w:lineRule="auto"/>
              <w:jc w:val="center"/>
              <w:rPr>
                <w:rFonts w:ascii="Times New Roman" w:hAnsi="Times New Roman" w:cs="Times New Roman"/>
                <w:b/>
                <w:noProof/>
                <w:sz w:val="18"/>
              </w:rPr>
            </w:pPr>
          </w:p>
        </w:tc>
        <w:tc>
          <w:tcPr>
            <w:tcW w:w="851" w:type="dxa"/>
            <w:shd w:val="clear" w:color="auto" w:fill="C6D9F1" w:themeFill="text2" w:themeFillTint="33"/>
            <w:noWrap/>
          </w:tcPr>
          <w:p w14:paraId="10EB4AF4" w14:textId="77777777" w:rsidR="006578ED" w:rsidRDefault="00A1618E">
            <w:pPr>
              <w:pStyle w:val="P68B1DB1-Normal12"/>
              <w:spacing w:after="0" w:line="240" w:lineRule="auto"/>
              <w:jc w:val="center"/>
              <w:rPr>
                <w:rFonts w:cs="Times New Roman"/>
                <w:noProof/>
              </w:rPr>
            </w:pPr>
            <w:r>
              <w:rPr>
                <w:noProof/>
              </w:rPr>
              <w:t>Jednostka</w:t>
            </w:r>
          </w:p>
        </w:tc>
        <w:tc>
          <w:tcPr>
            <w:tcW w:w="567" w:type="dxa"/>
            <w:shd w:val="clear" w:color="auto" w:fill="C6D9F1" w:themeFill="text2" w:themeFillTint="33"/>
            <w:noWrap/>
          </w:tcPr>
          <w:p w14:paraId="2DA72837" w14:textId="77777777" w:rsidR="006578ED" w:rsidRDefault="00A1618E">
            <w:pPr>
              <w:pStyle w:val="P68B1DB1-Normal12"/>
              <w:spacing w:after="0" w:line="240" w:lineRule="auto"/>
              <w:jc w:val="center"/>
              <w:rPr>
                <w:rFonts w:cs="Times New Roman"/>
                <w:noProof/>
              </w:rPr>
            </w:pPr>
            <w:r>
              <w:rPr>
                <w:noProof/>
              </w:rPr>
              <w:t>Wartość wyjściowa</w:t>
            </w:r>
          </w:p>
        </w:tc>
        <w:tc>
          <w:tcPr>
            <w:tcW w:w="567" w:type="dxa"/>
            <w:shd w:val="clear" w:color="auto" w:fill="C6D9F1" w:themeFill="text2" w:themeFillTint="33"/>
            <w:noWrap/>
          </w:tcPr>
          <w:p w14:paraId="00BE9AF4" w14:textId="77777777" w:rsidR="006578ED" w:rsidRDefault="00A1618E">
            <w:pPr>
              <w:pStyle w:val="P68B1DB1-Normal12"/>
              <w:spacing w:after="0" w:line="240" w:lineRule="auto"/>
              <w:jc w:val="center"/>
              <w:rPr>
                <w:rFonts w:cs="Times New Roman"/>
                <w:noProof/>
              </w:rPr>
            </w:pPr>
            <w:r>
              <w:rPr>
                <w:noProof/>
              </w:rPr>
              <w:t>Cel</w:t>
            </w:r>
          </w:p>
        </w:tc>
        <w:tc>
          <w:tcPr>
            <w:tcW w:w="425" w:type="dxa"/>
            <w:shd w:val="clear" w:color="auto" w:fill="C6D9F1" w:themeFill="text2" w:themeFillTint="33"/>
            <w:noWrap/>
          </w:tcPr>
          <w:p w14:paraId="2B4B355E" w14:textId="77777777" w:rsidR="006578ED" w:rsidRDefault="00A1618E">
            <w:pPr>
              <w:pStyle w:val="P68B1DB1-Normal12"/>
              <w:spacing w:after="0" w:line="240" w:lineRule="auto"/>
              <w:jc w:val="center"/>
              <w:rPr>
                <w:rFonts w:cs="Times New Roman"/>
                <w:noProof/>
              </w:rPr>
            </w:pPr>
            <w:r>
              <w:rPr>
                <w:noProof/>
              </w:rPr>
              <w:t>Q</w:t>
            </w:r>
          </w:p>
        </w:tc>
        <w:tc>
          <w:tcPr>
            <w:tcW w:w="567" w:type="dxa"/>
            <w:shd w:val="clear" w:color="auto" w:fill="C6D9F1" w:themeFill="text2" w:themeFillTint="33"/>
            <w:noWrap/>
          </w:tcPr>
          <w:p w14:paraId="7F4B2FDC" w14:textId="77777777" w:rsidR="006578ED" w:rsidRDefault="00A1618E">
            <w:pPr>
              <w:pStyle w:val="P68B1DB1-Normal12"/>
              <w:spacing w:after="0" w:line="240" w:lineRule="auto"/>
              <w:jc w:val="center"/>
              <w:rPr>
                <w:rFonts w:cs="Times New Roman"/>
                <w:noProof/>
              </w:rPr>
            </w:pPr>
            <w:r>
              <w:rPr>
                <w:noProof/>
              </w:rPr>
              <w:t>Rok</w:t>
            </w:r>
          </w:p>
        </w:tc>
        <w:tc>
          <w:tcPr>
            <w:tcW w:w="6521" w:type="dxa"/>
            <w:tcBorders>
              <w:top w:val="nil"/>
            </w:tcBorders>
            <w:shd w:val="clear" w:color="auto" w:fill="C6D9F1" w:themeFill="text2" w:themeFillTint="33"/>
            <w:noWrap/>
          </w:tcPr>
          <w:p w14:paraId="02781907" w14:textId="77777777" w:rsidR="006578ED" w:rsidRDefault="006578ED">
            <w:pPr>
              <w:spacing w:after="0" w:line="240" w:lineRule="auto"/>
              <w:rPr>
                <w:rFonts w:ascii="Times New Roman" w:hAnsi="Times New Roman" w:cs="Times New Roman"/>
                <w:b/>
                <w:noProof/>
                <w:sz w:val="18"/>
              </w:rPr>
            </w:pPr>
          </w:p>
        </w:tc>
      </w:tr>
      <w:tr w:rsidR="006578ED" w14:paraId="3F3875A4" w14:textId="77777777">
        <w:trPr>
          <w:trHeight w:val="309"/>
        </w:trPr>
        <w:tc>
          <w:tcPr>
            <w:tcW w:w="709" w:type="dxa"/>
            <w:shd w:val="clear" w:color="auto" w:fill="C6EFCE"/>
            <w:noWrap/>
          </w:tcPr>
          <w:p w14:paraId="3B35F387" w14:textId="77777777" w:rsidR="006578ED" w:rsidRDefault="00A1618E">
            <w:pPr>
              <w:pStyle w:val="P68B1DB1-Normal13"/>
              <w:spacing w:after="0" w:line="240" w:lineRule="auto"/>
              <w:jc w:val="center"/>
              <w:rPr>
                <w:rFonts w:eastAsia="Times New Roman" w:cs="Times New Roman"/>
                <w:noProof/>
              </w:rPr>
            </w:pPr>
            <w:r>
              <w:rPr>
                <w:noProof/>
              </w:rPr>
              <w:t>363</w:t>
            </w:r>
          </w:p>
        </w:tc>
        <w:tc>
          <w:tcPr>
            <w:tcW w:w="851" w:type="dxa"/>
            <w:shd w:val="clear" w:color="auto" w:fill="C6EFCE"/>
            <w:noWrap/>
          </w:tcPr>
          <w:p w14:paraId="1FCC46AE" w14:textId="77777777" w:rsidR="006578ED" w:rsidRDefault="00A1618E">
            <w:pPr>
              <w:pStyle w:val="P68B1DB1-Normal13"/>
              <w:spacing w:after="0" w:line="240" w:lineRule="auto"/>
              <w:jc w:val="center"/>
              <w:rPr>
                <w:rFonts w:eastAsia="Times New Roman" w:cs="Times New Roman"/>
                <w:noProof/>
              </w:rPr>
            </w:pPr>
            <w:r>
              <w:rPr>
                <w:noProof/>
              </w:rPr>
              <w:t>C25.R1</w:t>
            </w:r>
          </w:p>
        </w:tc>
        <w:tc>
          <w:tcPr>
            <w:tcW w:w="850" w:type="dxa"/>
            <w:shd w:val="clear" w:color="auto" w:fill="C6EFCE"/>
            <w:noWrap/>
          </w:tcPr>
          <w:p w14:paraId="7AC0435F" w14:textId="38D6521F" w:rsidR="006578ED" w:rsidRDefault="00AF6B91">
            <w:pPr>
              <w:pStyle w:val="P68B1DB1-Normal13"/>
              <w:spacing w:after="0" w:line="240" w:lineRule="auto"/>
              <w:jc w:val="center"/>
              <w:rPr>
                <w:rFonts w:eastAsia="Times New Roman" w:cs="Times New Roman"/>
                <w:noProof/>
              </w:rPr>
            </w:pPr>
            <w:r>
              <w:rPr>
                <w:noProof/>
              </w:rPr>
              <w:t>Kamień milowy</w:t>
            </w:r>
          </w:p>
        </w:tc>
        <w:tc>
          <w:tcPr>
            <w:tcW w:w="2410" w:type="dxa"/>
            <w:shd w:val="clear" w:color="auto" w:fill="C6EFCE"/>
            <w:noWrap/>
          </w:tcPr>
          <w:p w14:paraId="3CE57C43" w14:textId="77777777" w:rsidR="006578ED" w:rsidRDefault="00A1618E">
            <w:pPr>
              <w:pStyle w:val="P68B1DB1-Normal13"/>
              <w:spacing w:after="0" w:line="240" w:lineRule="auto"/>
              <w:rPr>
                <w:rFonts w:eastAsia="Times New Roman" w:cs="Times New Roman"/>
                <w:noProof/>
              </w:rPr>
            </w:pPr>
            <w:r>
              <w:rPr>
                <w:noProof/>
              </w:rPr>
              <w:t>Plan „Hiszpania, centrum audiowizualne Europy”.</w:t>
            </w:r>
          </w:p>
        </w:tc>
        <w:tc>
          <w:tcPr>
            <w:tcW w:w="992" w:type="dxa"/>
            <w:shd w:val="clear" w:color="auto" w:fill="C6EFCE"/>
            <w:noWrap/>
          </w:tcPr>
          <w:p w14:paraId="4ADCEDC8" w14:textId="77777777" w:rsidR="006578ED" w:rsidRDefault="00A1618E">
            <w:pPr>
              <w:pStyle w:val="P68B1DB1-Normal13"/>
              <w:spacing w:after="0" w:line="240" w:lineRule="auto"/>
              <w:jc w:val="center"/>
              <w:rPr>
                <w:rFonts w:eastAsia="Times New Roman" w:cs="Times New Roman"/>
                <w:noProof/>
              </w:rPr>
            </w:pPr>
            <w:r>
              <w:rPr>
                <w:noProof/>
              </w:rPr>
              <w:t>Zatwierdzenie przez Radę Ministrów</w:t>
            </w:r>
          </w:p>
        </w:tc>
        <w:tc>
          <w:tcPr>
            <w:tcW w:w="851" w:type="dxa"/>
            <w:shd w:val="clear" w:color="auto" w:fill="C6EFCE"/>
            <w:noWrap/>
          </w:tcPr>
          <w:p w14:paraId="189AEA86"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0A23DA7E"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1C81D60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3BFBFA72" w14:textId="2B9E9420" w:rsidR="006578ED" w:rsidRDefault="00EC188C">
            <w:pPr>
              <w:pStyle w:val="P68B1DB1-Normal13"/>
              <w:spacing w:after="0" w:line="240" w:lineRule="auto"/>
              <w:jc w:val="center"/>
              <w:rPr>
                <w:rFonts w:eastAsia="Times New Roman" w:cs="Times New Roman"/>
                <w:noProof/>
              </w:rPr>
            </w:pPr>
            <w:r>
              <w:rPr>
                <w:noProof/>
              </w:rPr>
              <w:t>KW. 1</w:t>
            </w:r>
          </w:p>
        </w:tc>
        <w:tc>
          <w:tcPr>
            <w:tcW w:w="567" w:type="dxa"/>
            <w:shd w:val="clear" w:color="auto" w:fill="C6EFCE"/>
            <w:noWrap/>
          </w:tcPr>
          <w:p w14:paraId="4CC3BA96" w14:textId="77777777" w:rsidR="006578ED" w:rsidRDefault="00A1618E">
            <w:pPr>
              <w:pStyle w:val="P68B1DB1-Normal13"/>
              <w:spacing w:after="0" w:line="240" w:lineRule="auto"/>
              <w:jc w:val="center"/>
              <w:rPr>
                <w:rFonts w:eastAsia="Times New Roman" w:cs="Times New Roman"/>
                <w:noProof/>
              </w:rPr>
            </w:pPr>
            <w:r>
              <w:rPr>
                <w:noProof/>
              </w:rPr>
              <w:t>2021</w:t>
            </w:r>
          </w:p>
        </w:tc>
        <w:tc>
          <w:tcPr>
            <w:tcW w:w="6521" w:type="dxa"/>
            <w:shd w:val="clear" w:color="auto" w:fill="C6EFCE"/>
            <w:noWrap/>
          </w:tcPr>
          <w:p w14:paraId="0BD9D7CC" w14:textId="2E10BF25" w:rsidR="006578ED" w:rsidRDefault="00A1618E">
            <w:pPr>
              <w:pStyle w:val="P68B1DB1-Normal13"/>
              <w:spacing w:after="0" w:line="240" w:lineRule="auto"/>
              <w:rPr>
                <w:rFonts w:eastAsia="Times New Roman" w:cs="Times New Roman"/>
                <w:noProof/>
              </w:rPr>
            </w:pPr>
            <w:r>
              <w:rPr>
                <w:noProof/>
              </w:rPr>
              <w:t xml:space="preserve">Zatwierdzenie przez Radę Ministrów planu „Hiszpania, centrum audiowizualne Europy”. Plan łączy inwestycje publiczne i reformy, których celem jest (i) umiędzynarodowienie tego sektora i zwiększenie atrakcyjności Hiszpanii jako miejsca przeznaczenia inwestycji zagranicznych; zmniejszenie kosztów regulacyjnych i administracyjnych; poprawa konkurencyjności wszystkich przedsiębiorstw poprzez wdrażanie nowych technologii, aby umożliwić im konkurowanie na rynku cyfrowym; oraz (iv) promowanie kapitału ludzkiego poprzez zmniejszanie różnic w traktowaniu kobiet i mężczyzn. </w:t>
            </w:r>
          </w:p>
        </w:tc>
      </w:tr>
      <w:tr w:rsidR="006578ED" w14:paraId="20B60638" w14:textId="77777777">
        <w:trPr>
          <w:trHeight w:val="309"/>
        </w:trPr>
        <w:tc>
          <w:tcPr>
            <w:tcW w:w="709" w:type="dxa"/>
            <w:shd w:val="clear" w:color="auto" w:fill="C6EFCE"/>
            <w:noWrap/>
          </w:tcPr>
          <w:p w14:paraId="7405E7D2" w14:textId="77777777" w:rsidR="006578ED" w:rsidRDefault="00A1618E">
            <w:pPr>
              <w:pStyle w:val="P68B1DB1-Normal13"/>
              <w:spacing w:after="0" w:line="240" w:lineRule="auto"/>
              <w:jc w:val="center"/>
              <w:rPr>
                <w:rFonts w:eastAsia="Times New Roman" w:cs="Times New Roman"/>
                <w:noProof/>
              </w:rPr>
            </w:pPr>
            <w:r>
              <w:rPr>
                <w:noProof/>
              </w:rPr>
              <w:t>364</w:t>
            </w:r>
          </w:p>
        </w:tc>
        <w:tc>
          <w:tcPr>
            <w:tcW w:w="851" w:type="dxa"/>
            <w:shd w:val="clear" w:color="auto" w:fill="C6EFCE"/>
            <w:noWrap/>
          </w:tcPr>
          <w:p w14:paraId="219B5BED" w14:textId="77777777" w:rsidR="006578ED" w:rsidRDefault="00A1618E">
            <w:pPr>
              <w:pStyle w:val="P68B1DB1-Normal13"/>
              <w:spacing w:after="0" w:line="240" w:lineRule="auto"/>
              <w:jc w:val="center"/>
              <w:rPr>
                <w:rFonts w:eastAsia="Times New Roman" w:cs="Times New Roman"/>
                <w:noProof/>
              </w:rPr>
            </w:pPr>
            <w:r>
              <w:rPr>
                <w:noProof/>
              </w:rPr>
              <w:t>C25.R1</w:t>
            </w:r>
          </w:p>
        </w:tc>
        <w:tc>
          <w:tcPr>
            <w:tcW w:w="850" w:type="dxa"/>
            <w:shd w:val="clear" w:color="auto" w:fill="C6EFCE"/>
            <w:noWrap/>
          </w:tcPr>
          <w:p w14:paraId="602257A8" w14:textId="13D0E834" w:rsidR="006578ED" w:rsidRDefault="00AF6B91">
            <w:pPr>
              <w:pStyle w:val="P68B1DB1-Normal13"/>
              <w:spacing w:after="0" w:line="240" w:lineRule="auto"/>
              <w:jc w:val="center"/>
              <w:rPr>
                <w:rFonts w:eastAsia="Times New Roman" w:cs="Times New Roman"/>
                <w:noProof/>
              </w:rPr>
            </w:pPr>
            <w:r>
              <w:rPr>
                <w:noProof/>
              </w:rPr>
              <w:t>Kamień milowy</w:t>
            </w:r>
          </w:p>
        </w:tc>
        <w:tc>
          <w:tcPr>
            <w:tcW w:w="2410" w:type="dxa"/>
            <w:shd w:val="clear" w:color="auto" w:fill="C6EFCE"/>
            <w:noWrap/>
          </w:tcPr>
          <w:p w14:paraId="2089A997" w14:textId="19317B2B" w:rsidR="006578ED" w:rsidRDefault="00A1618E">
            <w:pPr>
              <w:pStyle w:val="P68B1DB1-Normal13"/>
              <w:spacing w:after="0" w:line="240" w:lineRule="auto"/>
              <w:rPr>
                <w:rFonts w:eastAsia="Times New Roman" w:cs="Times New Roman"/>
                <w:noProof/>
              </w:rPr>
            </w:pPr>
            <w:r>
              <w:rPr>
                <w:noProof/>
              </w:rPr>
              <w:t>Wejście w życie ustawy ogólnej o komunikacji audiowizualnej.</w:t>
            </w:r>
          </w:p>
        </w:tc>
        <w:tc>
          <w:tcPr>
            <w:tcW w:w="992" w:type="dxa"/>
            <w:shd w:val="clear" w:color="auto" w:fill="C6EFCE"/>
            <w:noWrap/>
          </w:tcPr>
          <w:p w14:paraId="5C3BCC5D" w14:textId="2110C0DE" w:rsidR="006578ED" w:rsidRDefault="00A1618E">
            <w:pPr>
              <w:pStyle w:val="P68B1DB1-Normal13"/>
              <w:spacing w:after="0" w:line="240" w:lineRule="auto"/>
              <w:jc w:val="center"/>
              <w:rPr>
                <w:rFonts w:eastAsia="Times New Roman" w:cs="Times New Roman"/>
                <w:noProof/>
              </w:rPr>
            </w:pPr>
            <w:r>
              <w:rPr>
                <w:noProof/>
              </w:rPr>
              <w:t>Przepisy ustawy o wejściu w życie</w:t>
            </w:r>
          </w:p>
        </w:tc>
        <w:tc>
          <w:tcPr>
            <w:tcW w:w="851" w:type="dxa"/>
            <w:shd w:val="clear" w:color="auto" w:fill="C6EFCE"/>
            <w:noWrap/>
          </w:tcPr>
          <w:p w14:paraId="7D1BE2B3"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31D4E1D7"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4EE8D5D6"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55605FB0" w14:textId="4CCBF769" w:rsidR="006578ED" w:rsidRDefault="00EC188C">
            <w:pPr>
              <w:pStyle w:val="P68B1DB1-Normal13"/>
              <w:spacing w:after="0" w:line="240" w:lineRule="auto"/>
              <w:jc w:val="center"/>
              <w:rPr>
                <w:rFonts w:eastAsia="Times New Roman" w:cs="Times New Roman"/>
                <w:noProof/>
              </w:rPr>
            </w:pPr>
            <w:r>
              <w:rPr>
                <w:noProof/>
              </w:rPr>
              <w:t>KW. 1</w:t>
            </w:r>
          </w:p>
        </w:tc>
        <w:tc>
          <w:tcPr>
            <w:tcW w:w="567" w:type="dxa"/>
            <w:shd w:val="clear" w:color="auto" w:fill="C6EFCE"/>
            <w:noWrap/>
          </w:tcPr>
          <w:p w14:paraId="6D43C0D2" w14:textId="77777777" w:rsidR="006578ED" w:rsidRDefault="00A1618E">
            <w:pPr>
              <w:pStyle w:val="P68B1DB1-Normal13"/>
              <w:spacing w:after="0" w:line="240" w:lineRule="auto"/>
              <w:jc w:val="center"/>
              <w:rPr>
                <w:rFonts w:eastAsia="Times New Roman" w:cs="Times New Roman"/>
                <w:noProof/>
              </w:rPr>
            </w:pPr>
            <w:r>
              <w:rPr>
                <w:noProof/>
              </w:rPr>
              <w:t>2022</w:t>
            </w:r>
          </w:p>
        </w:tc>
        <w:tc>
          <w:tcPr>
            <w:tcW w:w="6521" w:type="dxa"/>
            <w:shd w:val="clear" w:color="auto" w:fill="C6EFCE"/>
            <w:noWrap/>
          </w:tcPr>
          <w:p w14:paraId="5B4928FB" w14:textId="6541BBA1" w:rsidR="006578ED" w:rsidRDefault="00A1618E">
            <w:pPr>
              <w:pStyle w:val="P68B1DB1-Normal13"/>
              <w:spacing w:after="0" w:line="240" w:lineRule="auto"/>
              <w:rPr>
                <w:rFonts w:eastAsia="Times New Roman" w:cs="Times New Roman"/>
                <w:noProof/>
              </w:rPr>
            </w:pPr>
            <w:r>
              <w:rPr>
                <w:noProof/>
              </w:rPr>
              <w:t xml:space="preserve">Wejście w życie ustawy ogólnej o komunikacji audiowizualnej. Niniejsza ustawa reguluje ramy prawne świadczenia usług łączności audiowizualnej w Hiszpanii i skutecznie transponuje do krajowego systemu prawnego dyrektywę 2018/1808 w sprawie usług łączności audiowizualnej. Jego celem jest dostosowanie i aktualizacja ram prawnych mających zastosowanie do usług łączności audiowizualnej i usług platform udostępniania plików wideo w Hiszpanii. Ustawa ma również na celu zagwarantowanie równych warunków działania wszystkim podmiotom obecnym na rynku. Ponadto ustawa zawiera pewien mechanizm gwarantujący prawa użytkowników (takie jak ochrona małoletnich i społeczeństwa przed niektórymi rodzajami treści). </w:t>
            </w:r>
          </w:p>
        </w:tc>
      </w:tr>
      <w:tr w:rsidR="006578ED" w14:paraId="1788D00F" w14:textId="77777777">
        <w:trPr>
          <w:trHeight w:val="309"/>
        </w:trPr>
        <w:tc>
          <w:tcPr>
            <w:tcW w:w="709" w:type="dxa"/>
            <w:shd w:val="clear" w:color="auto" w:fill="C6EFCE"/>
            <w:noWrap/>
          </w:tcPr>
          <w:p w14:paraId="02194E71" w14:textId="77777777" w:rsidR="006578ED" w:rsidRDefault="00A1618E">
            <w:pPr>
              <w:pStyle w:val="P68B1DB1-Normal13"/>
              <w:spacing w:after="0" w:line="240" w:lineRule="auto"/>
              <w:jc w:val="center"/>
              <w:rPr>
                <w:rFonts w:eastAsia="Times New Roman" w:cs="Times New Roman"/>
                <w:noProof/>
              </w:rPr>
            </w:pPr>
            <w:r>
              <w:rPr>
                <w:noProof/>
              </w:rPr>
              <w:t>365</w:t>
            </w:r>
          </w:p>
        </w:tc>
        <w:tc>
          <w:tcPr>
            <w:tcW w:w="851" w:type="dxa"/>
            <w:shd w:val="clear" w:color="auto" w:fill="C6EFCE"/>
            <w:noWrap/>
          </w:tcPr>
          <w:p w14:paraId="1FE2EC17" w14:textId="77777777" w:rsidR="006578ED" w:rsidRDefault="00A1618E">
            <w:pPr>
              <w:pStyle w:val="P68B1DB1-Normal13"/>
              <w:spacing w:after="0" w:line="240" w:lineRule="auto"/>
              <w:jc w:val="center"/>
              <w:rPr>
                <w:rFonts w:eastAsia="Times New Roman" w:cs="Times New Roman"/>
                <w:noProof/>
              </w:rPr>
            </w:pPr>
            <w:r>
              <w:rPr>
                <w:noProof/>
              </w:rPr>
              <w:t>C25.R1</w:t>
            </w:r>
          </w:p>
        </w:tc>
        <w:tc>
          <w:tcPr>
            <w:tcW w:w="850" w:type="dxa"/>
            <w:shd w:val="clear" w:color="auto" w:fill="C6EFCE"/>
            <w:noWrap/>
          </w:tcPr>
          <w:p w14:paraId="5F87FA2F" w14:textId="611E3855" w:rsidR="006578ED" w:rsidRDefault="00AF6B91">
            <w:pPr>
              <w:pStyle w:val="P68B1DB1-Normal13"/>
              <w:spacing w:after="0" w:line="240" w:lineRule="auto"/>
              <w:jc w:val="center"/>
              <w:rPr>
                <w:rFonts w:eastAsia="Times New Roman" w:cs="Times New Roman"/>
                <w:noProof/>
              </w:rPr>
            </w:pPr>
            <w:r>
              <w:rPr>
                <w:noProof/>
              </w:rPr>
              <w:t>Kamień milowy</w:t>
            </w:r>
          </w:p>
        </w:tc>
        <w:tc>
          <w:tcPr>
            <w:tcW w:w="2410" w:type="dxa"/>
            <w:shd w:val="clear" w:color="auto" w:fill="C6EFCE"/>
            <w:noWrap/>
          </w:tcPr>
          <w:p w14:paraId="7E95C705" w14:textId="1D0A7486" w:rsidR="006578ED" w:rsidRDefault="00A1618E">
            <w:pPr>
              <w:pStyle w:val="P68B1DB1-Normal13"/>
              <w:spacing w:after="0" w:line="240" w:lineRule="auto"/>
              <w:rPr>
                <w:rFonts w:eastAsia="Times New Roman" w:cs="Times New Roman"/>
                <w:noProof/>
              </w:rPr>
            </w:pPr>
            <w:r>
              <w:rPr>
                <w:noProof/>
              </w:rPr>
              <w:t xml:space="preserve"> Wejście w życie ustawy o kinie. </w:t>
            </w:r>
          </w:p>
        </w:tc>
        <w:tc>
          <w:tcPr>
            <w:tcW w:w="992" w:type="dxa"/>
            <w:shd w:val="clear" w:color="auto" w:fill="C6EFCE"/>
            <w:noWrap/>
          </w:tcPr>
          <w:p w14:paraId="530104E0" w14:textId="0FA59D5E" w:rsidR="006578ED" w:rsidRDefault="00A1618E">
            <w:pPr>
              <w:pStyle w:val="P68B1DB1-Normal13"/>
              <w:spacing w:after="0" w:line="240" w:lineRule="auto"/>
              <w:jc w:val="center"/>
              <w:rPr>
                <w:rFonts w:eastAsia="Times New Roman" w:cs="Times New Roman"/>
                <w:noProof/>
              </w:rPr>
            </w:pPr>
            <w:r>
              <w:rPr>
                <w:noProof/>
              </w:rPr>
              <w:t>Przepisy ustawy o wejściu w życie</w:t>
            </w:r>
          </w:p>
        </w:tc>
        <w:tc>
          <w:tcPr>
            <w:tcW w:w="851" w:type="dxa"/>
            <w:shd w:val="clear" w:color="auto" w:fill="C6EFCE"/>
            <w:noWrap/>
          </w:tcPr>
          <w:p w14:paraId="6924DB2A" w14:textId="77777777" w:rsidR="006578ED" w:rsidRDefault="00A1618E">
            <w:pPr>
              <w:pStyle w:val="P68B1DB1-Normal13"/>
              <w:spacing w:after="0" w:line="240" w:lineRule="auto"/>
              <w:jc w:val="center"/>
              <w:rPr>
                <w:rFonts w:eastAsia="Times New Roman" w:cs="Times New Roman"/>
                <w:noProof/>
              </w:rPr>
            </w:pPr>
            <w:r>
              <w:rPr>
                <w:noProof/>
              </w:rPr>
              <w:t xml:space="preserve"> </w:t>
            </w:r>
          </w:p>
        </w:tc>
        <w:tc>
          <w:tcPr>
            <w:tcW w:w="567" w:type="dxa"/>
            <w:shd w:val="clear" w:color="auto" w:fill="C6EFCE"/>
            <w:noWrap/>
          </w:tcPr>
          <w:p w14:paraId="45F8D9A3"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567" w:type="dxa"/>
            <w:shd w:val="clear" w:color="auto" w:fill="C6EFCE"/>
            <w:noWrap/>
          </w:tcPr>
          <w:p w14:paraId="76C213F5" w14:textId="77777777" w:rsidR="006578ED" w:rsidRDefault="00A1618E">
            <w:pPr>
              <w:pStyle w:val="P68B1DB1-Normal13"/>
              <w:spacing w:after="0" w:line="240" w:lineRule="auto"/>
              <w:jc w:val="right"/>
              <w:rPr>
                <w:rFonts w:eastAsia="Times New Roman" w:cs="Times New Roman"/>
                <w:noProof/>
              </w:rPr>
            </w:pPr>
            <w:r>
              <w:rPr>
                <w:noProof/>
              </w:rPr>
              <w:t xml:space="preserve"> </w:t>
            </w:r>
          </w:p>
        </w:tc>
        <w:tc>
          <w:tcPr>
            <w:tcW w:w="425" w:type="dxa"/>
            <w:shd w:val="clear" w:color="auto" w:fill="C6EFCE"/>
            <w:noWrap/>
          </w:tcPr>
          <w:p w14:paraId="0E84A4BA" w14:textId="605D40BF"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11B03DD4"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521" w:type="dxa"/>
            <w:shd w:val="clear" w:color="auto" w:fill="C6EFCE"/>
            <w:noWrap/>
          </w:tcPr>
          <w:p w14:paraId="3140A1B8" w14:textId="2C7AE980" w:rsidR="006578ED" w:rsidRDefault="00A1618E">
            <w:pPr>
              <w:pStyle w:val="P68B1DB1-Normal13"/>
              <w:spacing w:after="0" w:line="240" w:lineRule="auto"/>
              <w:rPr>
                <w:rFonts w:eastAsia="Times New Roman" w:cs="Times New Roman"/>
                <w:noProof/>
              </w:rPr>
            </w:pPr>
            <w:r>
              <w:rPr>
                <w:noProof/>
              </w:rPr>
              <w:t xml:space="preserve">Zatwierdzenie ustawy o kinematografii przez parlament i wejście w życie. Niniejsza ustawa dostosowuje ramy prawne do nowych realiów i potrzeb sektora audiowizualnego, dostosowując przepisy krajowe do europejskich ram prawnych. </w:t>
            </w:r>
          </w:p>
        </w:tc>
      </w:tr>
      <w:tr w:rsidR="006578ED" w14:paraId="488F4E29" w14:textId="77777777">
        <w:trPr>
          <w:trHeight w:val="309"/>
        </w:trPr>
        <w:tc>
          <w:tcPr>
            <w:tcW w:w="709" w:type="dxa"/>
            <w:shd w:val="clear" w:color="auto" w:fill="C6EFCE"/>
            <w:noWrap/>
          </w:tcPr>
          <w:p w14:paraId="76A29C79" w14:textId="77777777" w:rsidR="006578ED" w:rsidRDefault="00A1618E">
            <w:pPr>
              <w:pStyle w:val="P68B1DB1-Normal13"/>
              <w:spacing w:after="0" w:line="240" w:lineRule="auto"/>
              <w:jc w:val="center"/>
              <w:rPr>
                <w:rFonts w:eastAsia="Times New Roman" w:cs="Times New Roman"/>
                <w:noProof/>
              </w:rPr>
            </w:pPr>
            <w:bookmarkStart w:id="58" w:name="_Hlk141276036"/>
            <w:r>
              <w:rPr>
                <w:noProof/>
              </w:rPr>
              <w:t>366</w:t>
            </w:r>
          </w:p>
        </w:tc>
        <w:tc>
          <w:tcPr>
            <w:tcW w:w="851" w:type="dxa"/>
            <w:shd w:val="clear" w:color="auto" w:fill="C6EFCE"/>
            <w:noWrap/>
          </w:tcPr>
          <w:p w14:paraId="5759C3AB" w14:textId="77777777" w:rsidR="006578ED" w:rsidRDefault="00A1618E">
            <w:pPr>
              <w:pStyle w:val="P68B1DB1-Normal13"/>
              <w:spacing w:after="0" w:line="240" w:lineRule="auto"/>
              <w:jc w:val="center"/>
              <w:rPr>
                <w:rFonts w:eastAsia="Times New Roman" w:cs="Times New Roman"/>
                <w:noProof/>
              </w:rPr>
            </w:pPr>
            <w:r>
              <w:rPr>
                <w:noProof/>
              </w:rPr>
              <w:t>C25.I1</w:t>
            </w:r>
          </w:p>
        </w:tc>
        <w:tc>
          <w:tcPr>
            <w:tcW w:w="850" w:type="dxa"/>
            <w:shd w:val="clear" w:color="auto" w:fill="C6EFCE"/>
            <w:noWrap/>
          </w:tcPr>
          <w:p w14:paraId="29B45EC0" w14:textId="46E8C74D" w:rsidR="006578ED" w:rsidRDefault="00AF6B91">
            <w:pPr>
              <w:pStyle w:val="P68B1DB1-Normal13"/>
              <w:spacing w:after="0" w:line="240" w:lineRule="auto"/>
              <w:jc w:val="center"/>
              <w:rPr>
                <w:rFonts w:eastAsia="Times New Roman" w:cs="Times New Roman"/>
                <w:noProof/>
              </w:rPr>
            </w:pPr>
            <w:r>
              <w:rPr>
                <w:noProof/>
              </w:rPr>
              <w:t>Cel</w:t>
            </w:r>
          </w:p>
        </w:tc>
        <w:tc>
          <w:tcPr>
            <w:tcW w:w="2410" w:type="dxa"/>
            <w:shd w:val="clear" w:color="auto" w:fill="C6EFCE"/>
            <w:noWrap/>
          </w:tcPr>
          <w:p w14:paraId="07A3A73F" w14:textId="389EF7AC" w:rsidR="006578ED" w:rsidRDefault="00A1618E">
            <w:pPr>
              <w:pStyle w:val="P68B1DB1-Normal13"/>
              <w:spacing w:after="0" w:line="240" w:lineRule="auto"/>
              <w:rPr>
                <w:rFonts w:eastAsia="Times New Roman" w:cs="Times New Roman"/>
                <w:noProof/>
              </w:rPr>
            </w:pPr>
            <w:r>
              <w:rPr>
                <w:noProof/>
              </w:rPr>
              <w:t>Wspieranie MŚP w sektorze audiowizualnym.</w:t>
            </w:r>
          </w:p>
        </w:tc>
        <w:tc>
          <w:tcPr>
            <w:tcW w:w="992" w:type="dxa"/>
            <w:shd w:val="clear" w:color="auto" w:fill="C6EFCE"/>
            <w:noWrap/>
          </w:tcPr>
          <w:p w14:paraId="2C53D7E8" w14:textId="77777777" w:rsidR="006578ED" w:rsidRDefault="00A1618E">
            <w:pPr>
              <w:pStyle w:val="P68B1DB1-Normal13"/>
              <w:spacing w:after="0" w:line="240" w:lineRule="auto"/>
              <w:jc w:val="center"/>
              <w:rPr>
                <w:rFonts w:eastAsia="Times New Roman" w:cs="Times New Roman"/>
                <w:noProof/>
              </w:rPr>
            </w:pPr>
            <w:r>
              <w:rPr>
                <w:noProof/>
              </w:rPr>
              <w:t>—</w:t>
            </w:r>
          </w:p>
        </w:tc>
        <w:tc>
          <w:tcPr>
            <w:tcW w:w="851" w:type="dxa"/>
            <w:shd w:val="clear" w:color="auto" w:fill="C6EFCE"/>
            <w:noWrap/>
          </w:tcPr>
          <w:p w14:paraId="278EA5B7"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567" w:type="dxa"/>
            <w:shd w:val="clear" w:color="auto" w:fill="C6EFCE"/>
            <w:noWrap/>
          </w:tcPr>
          <w:p w14:paraId="26782D6E" w14:textId="77777777" w:rsidR="006578ED" w:rsidRDefault="00A1618E">
            <w:pPr>
              <w:pStyle w:val="P68B1DB1-Normal13"/>
              <w:spacing w:after="0" w:line="240" w:lineRule="auto"/>
              <w:jc w:val="right"/>
              <w:rPr>
                <w:rFonts w:eastAsia="Times New Roman" w:cs="Times New Roman"/>
                <w:noProof/>
              </w:rPr>
            </w:pPr>
            <w:r>
              <w:rPr>
                <w:noProof/>
              </w:rPr>
              <w:t>0</w:t>
            </w:r>
          </w:p>
        </w:tc>
        <w:tc>
          <w:tcPr>
            <w:tcW w:w="567" w:type="dxa"/>
            <w:shd w:val="clear" w:color="auto" w:fill="C6EFCE"/>
            <w:noWrap/>
          </w:tcPr>
          <w:p w14:paraId="6B73A788" w14:textId="77777777" w:rsidR="006578ED" w:rsidRDefault="00A1618E">
            <w:pPr>
              <w:pStyle w:val="P68B1DB1-Normal13"/>
              <w:spacing w:after="0" w:line="240" w:lineRule="auto"/>
              <w:jc w:val="right"/>
              <w:rPr>
                <w:rFonts w:eastAsia="Times New Roman" w:cs="Times New Roman"/>
                <w:noProof/>
              </w:rPr>
            </w:pPr>
            <w:r>
              <w:rPr>
                <w:noProof/>
              </w:rPr>
              <w:t>100</w:t>
            </w:r>
          </w:p>
        </w:tc>
        <w:tc>
          <w:tcPr>
            <w:tcW w:w="425" w:type="dxa"/>
            <w:shd w:val="clear" w:color="auto" w:fill="C6EFCE"/>
            <w:noWrap/>
          </w:tcPr>
          <w:p w14:paraId="4EEEECB0" w14:textId="669309B3" w:rsidR="006578ED" w:rsidRDefault="00EC188C">
            <w:pPr>
              <w:pStyle w:val="P68B1DB1-Normal13"/>
              <w:spacing w:after="0" w:line="240" w:lineRule="auto"/>
              <w:jc w:val="center"/>
              <w:rPr>
                <w:rFonts w:eastAsia="Times New Roman" w:cs="Times New Roman"/>
                <w:noProof/>
              </w:rPr>
            </w:pPr>
            <w:r>
              <w:rPr>
                <w:noProof/>
              </w:rPr>
              <w:t>KW. 4</w:t>
            </w:r>
          </w:p>
        </w:tc>
        <w:tc>
          <w:tcPr>
            <w:tcW w:w="567" w:type="dxa"/>
            <w:shd w:val="clear" w:color="auto" w:fill="C6EFCE"/>
            <w:noWrap/>
          </w:tcPr>
          <w:p w14:paraId="3EFB0583" w14:textId="77777777" w:rsidR="006578ED" w:rsidRDefault="00A1618E">
            <w:pPr>
              <w:pStyle w:val="P68B1DB1-Normal13"/>
              <w:spacing w:after="0" w:line="240" w:lineRule="auto"/>
              <w:jc w:val="center"/>
              <w:rPr>
                <w:rFonts w:cs="Times New Roman"/>
                <w:noProof/>
              </w:rPr>
            </w:pPr>
            <w:r>
              <w:rPr>
                <w:noProof/>
              </w:rPr>
              <w:t>2023</w:t>
            </w:r>
          </w:p>
        </w:tc>
        <w:tc>
          <w:tcPr>
            <w:tcW w:w="6521" w:type="dxa"/>
            <w:shd w:val="clear" w:color="auto" w:fill="C6EFCE"/>
            <w:noWrap/>
          </w:tcPr>
          <w:p w14:paraId="3F0F49CF" w14:textId="16100C11" w:rsidR="006578ED" w:rsidRDefault="00A1618E">
            <w:pPr>
              <w:pStyle w:val="P68B1DB1-Normal13"/>
              <w:spacing w:after="0" w:line="240" w:lineRule="auto"/>
              <w:rPr>
                <w:rFonts w:eastAsia="Times New Roman" w:cs="Times New Roman"/>
                <w:noProof/>
              </w:rPr>
            </w:pPr>
            <w:r>
              <w:rPr>
                <w:noProof/>
              </w:rPr>
              <w:t>Wsparcie MŚP w sektorze audiowizualnym w zakresie cyfryzacji, promowania równouprawnienia płci, umiędzynarodowienia i przyciągania bezpośrednich inwestycji zagranicznych w ramach całego programu, przy całkowitym budżecie w wysokości 200 mln EUR (co najmniej 100 wspieranych MŚP).</w:t>
            </w:r>
          </w:p>
        </w:tc>
      </w:tr>
      <w:tr w:rsidR="006578ED" w14:paraId="3955C9E0" w14:textId="77777777">
        <w:trPr>
          <w:trHeight w:val="309"/>
        </w:trPr>
        <w:tc>
          <w:tcPr>
            <w:tcW w:w="709" w:type="dxa"/>
            <w:shd w:val="clear" w:color="auto" w:fill="C6EFCE"/>
            <w:noWrap/>
          </w:tcPr>
          <w:p w14:paraId="3CB64B11" w14:textId="76B8BAE8" w:rsidR="006578ED" w:rsidRDefault="00A1618E">
            <w:pPr>
              <w:pStyle w:val="P68B1DB1-Normal13"/>
              <w:spacing w:after="0" w:line="240" w:lineRule="auto"/>
              <w:jc w:val="center"/>
              <w:rPr>
                <w:rFonts w:cs="Times New Roman"/>
                <w:noProof/>
              </w:rPr>
            </w:pPr>
            <w:r>
              <w:rPr>
                <w:noProof/>
              </w:rPr>
              <w:t>476</w:t>
            </w:r>
          </w:p>
        </w:tc>
        <w:tc>
          <w:tcPr>
            <w:tcW w:w="851" w:type="dxa"/>
            <w:shd w:val="clear" w:color="auto" w:fill="C6EFCE"/>
            <w:noWrap/>
          </w:tcPr>
          <w:p w14:paraId="386AB2A7" w14:textId="77777777" w:rsidR="006578ED" w:rsidRDefault="00A1618E">
            <w:pPr>
              <w:pStyle w:val="P68B1DB1-Normal13"/>
              <w:spacing w:after="0" w:line="240" w:lineRule="auto"/>
              <w:jc w:val="center"/>
              <w:rPr>
                <w:rFonts w:cs="Times New Roman"/>
                <w:noProof/>
              </w:rPr>
            </w:pPr>
            <w:r>
              <w:rPr>
                <w:noProof/>
              </w:rPr>
              <w:t>C25.I1</w:t>
            </w:r>
          </w:p>
        </w:tc>
        <w:tc>
          <w:tcPr>
            <w:tcW w:w="850" w:type="dxa"/>
            <w:shd w:val="clear" w:color="auto" w:fill="C6EFCE"/>
            <w:noWrap/>
          </w:tcPr>
          <w:p w14:paraId="70548496" w14:textId="6FB6083C" w:rsidR="006578ED" w:rsidRDefault="00AF6B91">
            <w:pPr>
              <w:pStyle w:val="P68B1DB1-Normal13"/>
              <w:spacing w:after="0" w:line="240" w:lineRule="auto"/>
              <w:jc w:val="center"/>
              <w:rPr>
                <w:rFonts w:cs="Times New Roman"/>
                <w:noProof/>
              </w:rPr>
            </w:pPr>
            <w:r>
              <w:rPr>
                <w:noProof/>
              </w:rPr>
              <w:t>Cel</w:t>
            </w:r>
          </w:p>
        </w:tc>
        <w:tc>
          <w:tcPr>
            <w:tcW w:w="2410" w:type="dxa"/>
            <w:shd w:val="clear" w:color="auto" w:fill="C6EFCE"/>
            <w:noWrap/>
          </w:tcPr>
          <w:p w14:paraId="756F591D" w14:textId="2FD96734" w:rsidR="006578ED" w:rsidRDefault="00A1618E">
            <w:pPr>
              <w:pStyle w:val="P68B1DB1-Normal13"/>
              <w:spacing w:after="0" w:line="240" w:lineRule="auto"/>
              <w:rPr>
                <w:rFonts w:cs="Times New Roman"/>
                <w:noProof/>
              </w:rPr>
            </w:pPr>
            <w:r>
              <w:rPr>
                <w:noProof/>
              </w:rPr>
              <w:t>Zakończenie projektów wspierających MŚP w sektorze audiowizualnym</w:t>
            </w:r>
          </w:p>
        </w:tc>
        <w:tc>
          <w:tcPr>
            <w:tcW w:w="992" w:type="dxa"/>
            <w:shd w:val="clear" w:color="auto" w:fill="C6EFCE"/>
            <w:noWrap/>
          </w:tcPr>
          <w:p w14:paraId="4BBA99A8" w14:textId="77777777" w:rsidR="006578ED" w:rsidRDefault="006578ED">
            <w:pPr>
              <w:spacing w:after="0" w:line="240" w:lineRule="auto"/>
              <w:jc w:val="center"/>
              <w:rPr>
                <w:rFonts w:ascii="Times New Roman" w:hAnsi="Times New Roman" w:cs="Times New Roman"/>
                <w:noProof/>
                <w:sz w:val="18"/>
              </w:rPr>
            </w:pPr>
          </w:p>
        </w:tc>
        <w:tc>
          <w:tcPr>
            <w:tcW w:w="851" w:type="dxa"/>
            <w:shd w:val="clear" w:color="auto" w:fill="C6EFCE"/>
            <w:noWrap/>
          </w:tcPr>
          <w:p w14:paraId="50A5A011" w14:textId="77777777" w:rsidR="006578ED" w:rsidRDefault="00A1618E">
            <w:pPr>
              <w:pStyle w:val="P68B1DB1-Normal13"/>
              <w:spacing w:after="0" w:line="240" w:lineRule="auto"/>
              <w:jc w:val="center"/>
              <w:rPr>
                <w:rFonts w:cs="Times New Roman"/>
                <w:noProof/>
              </w:rPr>
            </w:pPr>
            <w:r>
              <w:rPr>
                <w:noProof/>
              </w:rPr>
              <w:t>Liczba</w:t>
            </w:r>
          </w:p>
        </w:tc>
        <w:tc>
          <w:tcPr>
            <w:tcW w:w="567" w:type="dxa"/>
            <w:shd w:val="clear" w:color="auto" w:fill="C6EFCE"/>
            <w:noWrap/>
          </w:tcPr>
          <w:p w14:paraId="7CFA8470" w14:textId="77777777" w:rsidR="006578ED" w:rsidRDefault="00A1618E">
            <w:pPr>
              <w:pStyle w:val="P68B1DB1-Normal13"/>
              <w:spacing w:after="0" w:line="240" w:lineRule="auto"/>
              <w:jc w:val="right"/>
              <w:rPr>
                <w:rFonts w:cs="Times New Roman"/>
                <w:noProof/>
              </w:rPr>
            </w:pPr>
            <w:r>
              <w:rPr>
                <w:noProof/>
              </w:rPr>
              <w:t>0</w:t>
            </w:r>
          </w:p>
        </w:tc>
        <w:tc>
          <w:tcPr>
            <w:tcW w:w="567" w:type="dxa"/>
            <w:shd w:val="clear" w:color="auto" w:fill="C6EFCE"/>
            <w:noWrap/>
          </w:tcPr>
          <w:p w14:paraId="31B7BBD8" w14:textId="77777777" w:rsidR="006578ED" w:rsidRDefault="00A1618E">
            <w:pPr>
              <w:pStyle w:val="P68B1DB1-Normal13"/>
              <w:spacing w:after="0" w:line="240" w:lineRule="auto"/>
              <w:jc w:val="right"/>
              <w:rPr>
                <w:rFonts w:cs="Times New Roman"/>
                <w:noProof/>
              </w:rPr>
            </w:pPr>
            <w:r>
              <w:rPr>
                <w:noProof/>
              </w:rPr>
              <w:t>100</w:t>
            </w:r>
          </w:p>
        </w:tc>
        <w:tc>
          <w:tcPr>
            <w:tcW w:w="425" w:type="dxa"/>
            <w:shd w:val="clear" w:color="auto" w:fill="C6EFCE"/>
            <w:noWrap/>
          </w:tcPr>
          <w:p w14:paraId="70AE0A62" w14:textId="2E8671A9" w:rsidR="006578ED" w:rsidRDefault="00EC188C">
            <w:pPr>
              <w:pStyle w:val="P68B1DB1-Normal13"/>
              <w:spacing w:after="0" w:line="240" w:lineRule="auto"/>
              <w:jc w:val="center"/>
              <w:rPr>
                <w:rFonts w:cs="Times New Roman"/>
                <w:noProof/>
              </w:rPr>
            </w:pPr>
            <w:r>
              <w:rPr>
                <w:noProof/>
              </w:rPr>
              <w:t>KW. 4</w:t>
            </w:r>
          </w:p>
        </w:tc>
        <w:tc>
          <w:tcPr>
            <w:tcW w:w="567" w:type="dxa"/>
            <w:shd w:val="clear" w:color="auto" w:fill="C6EFCE"/>
            <w:noWrap/>
          </w:tcPr>
          <w:p w14:paraId="5FD1454A" w14:textId="77777777" w:rsidR="006578ED" w:rsidRDefault="00A1618E">
            <w:pPr>
              <w:pStyle w:val="P68B1DB1-Normal13"/>
              <w:spacing w:after="0" w:line="240" w:lineRule="auto"/>
              <w:jc w:val="center"/>
              <w:rPr>
                <w:rFonts w:cs="Times New Roman"/>
                <w:noProof/>
              </w:rPr>
            </w:pPr>
            <w:r>
              <w:rPr>
                <w:noProof/>
              </w:rPr>
              <w:t>2024</w:t>
            </w:r>
          </w:p>
        </w:tc>
        <w:tc>
          <w:tcPr>
            <w:tcW w:w="6521" w:type="dxa"/>
            <w:shd w:val="clear" w:color="auto" w:fill="C6EFCE"/>
            <w:noWrap/>
          </w:tcPr>
          <w:p w14:paraId="7A5C131A" w14:textId="73BA7D24" w:rsidR="006578ED" w:rsidRDefault="00A1618E">
            <w:pPr>
              <w:pStyle w:val="P68B1DB1-Normal13"/>
              <w:spacing w:after="0" w:line="240" w:lineRule="auto"/>
              <w:rPr>
                <w:rFonts w:cs="Times New Roman"/>
                <w:noProof/>
              </w:rPr>
            </w:pPr>
            <w:r>
              <w:rPr>
                <w:noProof/>
              </w:rPr>
              <w:t>Zakończenie projektów wspierających MŚP w sektorze audiowizualnym (projekty wspierające co najmniej 100 MŚP).</w:t>
            </w:r>
          </w:p>
        </w:tc>
      </w:tr>
      <w:bookmarkEnd w:id="58"/>
    </w:tbl>
    <w:p w14:paraId="2B2E72EA" w14:textId="77777777" w:rsidR="006578ED" w:rsidRDefault="006578ED">
      <w:pPr>
        <w:rPr>
          <w:rFonts w:ascii="Times New Roman" w:hAnsi="Times New Roman" w:cs="Times New Roman"/>
          <w:noProof/>
          <w:sz w:val="24"/>
        </w:rPr>
        <w:sectPr w:rsidR="006578ED" w:rsidSect="00C94F66">
          <w:headerReference w:type="even" r:id="rId477"/>
          <w:headerReference w:type="default" r:id="rId478"/>
          <w:footerReference w:type="even" r:id="rId479"/>
          <w:footerReference w:type="default" r:id="rId480"/>
          <w:headerReference w:type="first" r:id="rId481"/>
          <w:footerReference w:type="first" r:id="rId482"/>
          <w:pgSz w:w="16839" w:h="11907" w:orient="landscape"/>
          <w:pgMar w:top="1417" w:right="1134" w:bottom="1417" w:left="1134" w:header="709" w:footer="709" w:gutter="0"/>
          <w:cols w:space="720"/>
          <w:docGrid w:linePitch="360"/>
        </w:sectPr>
      </w:pPr>
    </w:p>
    <w:p w14:paraId="2FFB3AFF" w14:textId="77777777" w:rsidR="006578ED" w:rsidRDefault="006578ED">
      <w:pPr>
        <w:rPr>
          <w:rFonts w:ascii="Times New Roman" w:hAnsi="Times New Roman" w:cs="Times New Roman"/>
          <w:noProof/>
          <w:sz w:val="24"/>
        </w:rPr>
      </w:pPr>
    </w:p>
    <w:p w14:paraId="5413271F" w14:textId="5AC0674E" w:rsidR="006578ED" w:rsidRDefault="00A1618E">
      <w:pPr>
        <w:pStyle w:val="P68B1DB1-Normal5"/>
        <w:spacing w:before="120" w:after="120" w:line="240" w:lineRule="auto"/>
        <w:ind w:firstLine="720"/>
        <w:jc w:val="both"/>
        <w:rPr>
          <w:rFonts w:cs="Times New Roman"/>
          <w:noProof/>
        </w:rPr>
      </w:pPr>
      <w:r>
        <w:rPr>
          <w:noProof/>
        </w:rPr>
        <w:t xml:space="preserve">Y.3 </w:t>
      </w:r>
      <w:r>
        <w:rPr>
          <w:noProof/>
        </w:rPr>
        <w:tab/>
        <w:t>Opis reform i inwestycji na potrzeby wsparcia w formie pożyczki</w:t>
      </w:r>
    </w:p>
    <w:p w14:paraId="7DD0ABF8" w14:textId="6865C831" w:rsidR="006578ED" w:rsidRDefault="00A1618E">
      <w:pPr>
        <w:pStyle w:val="P68B1DB1-Normal6"/>
        <w:spacing w:before="120" w:after="120" w:line="240" w:lineRule="auto"/>
        <w:jc w:val="both"/>
        <w:rPr>
          <w:rFonts w:cs="Times New Roman"/>
          <w:noProof/>
        </w:rPr>
      </w:pPr>
      <w:r>
        <w:rPr>
          <w:noProof/>
        </w:rPr>
        <w:t xml:space="preserve">Inwestycja 2 (C25.I2) – PERTE „Nowa gospodarka języka”: Informacje w języku hiszpańskim i w innych językach urzędowych. </w:t>
      </w:r>
    </w:p>
    <w:p w14:paraId="496255E2" w14:textId="082AA007" w:rsidR="006578ED" w:rsidRDefault="00A1618E">
      <w:pPr>
        <w:pStyle w:val="P68B1DB1-Normal4"/>
        <w:spacing w:before="120" w:after="120" w:line="240" w:lineRule="auto"/>
        <w:jc w:val="both"/>
        <w:rPr>
          <w:rFonts w:cs="Times New Roman"/>
          <w:noProof/>
          <w:shd w:val="clear" w:color="auto" w:fill="E6E6E6"/>
        </w:rPr>
      </w:pPr>
      <w:r>
        <w:rPr>
          <w:noProof/>
        </w:rPr>
        <w:t>Inwestycja ta ma na celu promowanie potencjału gospodarczego języków hiszpańskich i współurzędowych poprzez promowanie umiędzynarodowienia, rozpowszechniania i ekspansji sektora mediów w tych językach. W tym celu inwestycja ta wspiera projekty na rzecz cyfryzacji i rozpowszechniania treści, a także przyjęcie przez przedsiębiorstwa sektora mediów nowych narzędzi technologicznych do zarządzania treściami i ich przetwarzania w językach hiszpańskim i współurzędowym.</w:t>
      </w:r>
      <w:r>
        <w:rPr>
          <w:noProof/>
          <w:shd w:val="clear" w:color="auto" w:fill="E6E6E6"/>
        </w:rPr>
        <w:t xml:space="preserve"> </w:t>
      </w:r>
    </w:p>
    <w:p w14:paraId="5C85A4A1" w14:textId="3CE258EE" w:rsidR="006578ED" w:rsidRDefault="00A1618E">
      <w:pPr>
        <w:pStyle w:val="P68B1DB1-Normal4"/>
        <w:spacing w:before="120" w:after="120" w:line="240" w:lineRule="auto"/>
        <w:jc w:val="both"/>
        <w:rPr>
          <w:rFonts w:cs="Times New Roman"/>
          <w:noProof/>
          <w:u w:val="single"/>
        </w:rPr>
      </w:pPr>
      <w:r>
        <w:rPr>
          <w:noProof/>
        </w:rPr>
        <w:t>Wdrożenie środka należy zakończyć do dnia 31 sierpnia 20</w:t>
      </w:r>
      <w:r w:rsidRPr="00A1618E">
        <w:rPr>
          <w:noProof/>
          <w:lang w:val="pl-PL"/>
        </w:rPr>
        <w:t>26 r.</w:t>
      </w:r>
    </w:p>
    <w:p w14:paraId="0E09930D" w14:textId="77777777" w:rsidR="006578ED" w:rsidRDefault="00A1618E">
      <w:pPr>
        <w:pStyle w:val="P68B1DB1-Normal6"/>
        <w:spacing w:before="120" w:after="120" w:line="240" w:lineRule="auto"/>
        <w:jc w:val="both"/>
        <w:rPr>
          <w:rFonts w:cs="Times New Roman"/>
          <w:noProof/>
        </w:rPr>
      </w:pPr>
      <w:r>
        <w:rPr>
          <w:noProof/>
        </w:rPr>
        <w:t xml:space="preserve">Inwestycja 3 (C25.I3) – Fundusz Centrum Audiowizualnego </w:t>
      </w:r>
    </w:p>
    <w:p w14:paraId="715AF067" w14:textId="57C236D1" w:rsidR="006578ED" w:rsidRDefault="00A1618E">
      <w:pPr>
        <w:pStyle w:val="P68B1DB1-LegalNumPar230"/>
        <w:numPr>
          <w:ilvl w:val="1"/>
          <w:numId w:val="0"/>
        </w:numPr>
        <w:spacing w:line="240" w:lineRule="auto"/>
        <w:jc w:val="both"/>
        <w:rPr>
          <w:rFonts w:cs="Times New Roman"/>
          <w:noProof/>
        </w:rPr>
      </w:pPr>
      <w:bookmarkStart w:id="59" w:name="_Hlk145612128"/>
      <w:r>
        <w:rPr>
          <w:noProof/>
        </w:rPr>
        <w:t xml:space="preserve">Środek ten obejmuje inwestycje publiczne w instrument – Fundusz Centrum Audiowizualnego ICO – w celu zachęcenia do inwestycji prywatnych i poprawy dostępu do finansowania projektów związanych m.in. z filmami, fikcjami, telewizją, treściami, kulturą cyfrową, a także treści multimedialnych i interaktywnych, takich jak gry wideo, doświadczenia immersyjne i efekty wizualne, a także w celu rozwoju rynków kapitałowych w tej dziedzinie. Instrument działa poprzez zapewnianie bezpośredniego finansowania, zakupu obligacji korporacyjnych oraz inwestycji kapitałowych i quasi-kapitałowych, bezpośrednio lub przez pośredników dla sektora prywatnego, a także dla podmiotów sektora publicznego prowadzących podobną działalność. Na podstawie inwestycji w ramach RRF instrument ma początkowo zapewnić finansowanie w wysokości co najmniej 1 712 000 000 EUR. </w:t>
      </w:r>
    </w:p>
    <w:p w14:paraId="338959F3" w14:textId="12B8AE45" w:rsidR="006578ED" w:rsidRDefault="00A1618E">
      <w:pPr>
        <w:pStyle w:val="P68B1DB1-Normal4"/>
        <w:spacing w:line="240" w:lineRule="auto"/>
        <w:jc w:val="both"/>
        <w:rPr>
          <w:rFonts w:cs="Times New Roman"/>
          <w:noProof/>
        </w:rPr>
      </w:pPr>
      <w:r>
        <w:rPr>
          <w:noProof/>
        </w:rPr>
        <w:t>Instrumentem zarządzają Instituto de Crédito Oficial (ICO) i Axis (zarządzający venture/prywatnym kapitałem IO) jako partnerzy wykonawczy. Instrument obejmuje następujące linie produktów:</w:t>
      </w:r>
    </w:p>
    <w:p w14:paraId="22926004" w14:textId="0275D73B" w:rsidR="006578ED" w:rsidRDefault="00A1618E">
      <w:pPr>
        <w:pStyle w:val="P68B1DB1-ListParagraph7"/>
        <w:numPr>
          <w:ilvl w:val="0"/>
          <w:numId w:val="692"/>
        </w:numPr>
        <w:spacing w:after="0" w:line="240" w:lineRule="auto"/>
        <w:jc w:val="both"/>
        <w:textAlignment w:val="baseline"/>
        <w:rPr>
          <w:rFonts w:cs="Times New Roman"/>
          <w:noProof/>
        </w:rPr>
      </w:pPr>
      <w:r>
        <w:rPr>
          <w:noProof/>
        </w:rPr>
        <w:t>Linia mediacji: linia mediacyjna składa się z pożyczek udzielanych przez ICO bankom komercyjnym, które z kolei udzielają pożyczek beneficjentom końcowym na finansowanie projektów w sektorze audiowizualnym i kulturalnym. Beneficjentami końcowymi są przedsiębiorstwa prywatne (takie jak MŚP, przedsiębiorcy, spółki o średniej kapitalizacji i duże korporacje) oraz spółki publiczne.</w:t>
      </w:r>
    </w:p>
    <w:p w14:paraId="647A4D85" w14:textId="74D51841" w:rsidR="006578ED" w:rsidRDefault="00A1618E">
      <w:pPr>
        <w:pStyle w:val="P68B1DB1-ListParagraph7"/>
        <w:numPr>
          <w:ilvl w:val="0"/>
          <w:numId w:val="692"/>
        </w:numPr>
        <w:spacing w:after="0" w:line="240" w:lineRule="auto"/>
        <w:jc w:val="both"/>
        <w:textAlignment w:val="baseline"/>
        <w:rPr>
          <w:rFonts w:cs="Times New Roman"/>
          <w:noProof/>
        </w:rPr>
      </w:pPr>
      <w:r>
        <w:rPr>
          <w:noProof/>
        </w:rPr>
        <w:t>Finansowanie bezpośrednie ICO: linia ta zapewnia bezpośrednie pożyczki przedsiębiorstwom prywatnym (takim jak spółki o średniej kapitalizacji i duże korporacje) oraz przedsiębiorstwom publicznym na finansowanie projektów w sektorze audiowizualnym. Pożyczki są udzielane bezpośrednio przez ICO i każdy projekt współfinansowany przez prywatnego inwestora będącego osobą trzecią. Fundusze przekazane przez ICO stanowią maksymalnie 70 % całkowitej kwoty wsparcia na rzecz inwestycji. Inwestorzy prywatni pokrywają co najmniej 30 % całkowitej kwoty wsparcia inwestycyjnego. </w:t>
      </w:r>
    </w:p>
    <w:p w14:paraId="42FCDFE0" w14:textId="4ADDCF66" w:rsidR="006578ED" w:rsidRPr="00A1618E" w:rsidRDefault="00A1618E">
      <w:pPr>
        <w:pStyle w:val="P68B1DB1-ListParagraph7"/>
        <w:numPr>
          <w:ilvl w:val="0"/>
          <w:numId w:val="692"/>
        </w:numPr>
        <w:spacing w:after="0" w:line="240" w:lineRule="auto"/>
        <w:jc w:val="both"/>
        <w:textAlignment w:val="baseline"/>
        <w:rPr>
          <w:rFonts w:cs="Times New Roman"/>
          <w:noProof/>
          <w:lang w:val="pl-PL"/>
        </w:rPr>
      </w:pPr>
      <w:r>
        <w:rPr>
          <w:noProof/>
        </w:rPr>
        <w:t>Zakup obligacji korporacyjnych: w ramach tej linii ICO nabywa uprzywilejowane średnio- i długoterminowe papiery wartościowe o stałym dochodzie emitowane przez przedsiębiorstwa hiszpańskie na zorganizowanych rynkach wtórnych (takich jak alternatywny rynek o stałym dochodzie (MARF) lub Stowarzyszenie Pośredników Aktywów Finansowych (AIAF)). Papiery wartościowe są powiązane z konkretnym projektem inwestycyjnym spółki emitującej papier wartościowy</w:t>
      </w:r>
      <w:r w:rsidRPr="00A1618E">
        <w:rPr>
          <w:noProof/>
          <w:lang w:val="pl-PL"/>
        </w:rPr>
        <w:t xml:space="preserve">. </w:t>
      </w:r>
    </w:p>
    <w:p w14:paraId="7A25782D" w14:textId="2E6CDA23" w:rsidR="006578ED" w:rsidRDefault="00A1618E">
      <w:pPr>
        <w:pStyle w:val="P68B1DB1-ListParagraph7"/>
        <w:numPr>
          <w:ilvl w:val="0"/>
          <w:numId w:val="692"/>
        </w:numPr>
        <w:spacing w:after="0" w:line="240" w:lineRule="auto"/>
        <w:textAlignment w:val="baseline"/>
        <w:rPr>
          <w:rFonts w:cs="Times New Roman"/>
          <w:noProof/>
        </w:rPr>
      </w:pPr>
      <w:r>
        <w:rPr>
          <w:noProof/>
        </w:rPr>
        <w:t>Inwestycje kapitałowe i quasi-kapitałowe: pozycja ta obejmuje zapewnienie bezpośrednich inwestycji kapitałowych za pośrednictwem osi (zarządzający kapitałem/prywatnym IO) lub transfer środków do funduszy kapitałowych lub innych instrumentów inwestycyjnych zarządzanych przez prywatnych pośredników finansowych, którzy prowadzą operacje inwestycji kapitałowych w przedsiębiorstwach sektora audiowizualnego. Maksymalny udział Funduszu nie przekracza 49 % funduszy instrumentów inwestycyjnych. Inwestycje kapitałowe Funduszu nie powodują, że udział kapitału publicznego w beneficjencie końcowym przekracza 49 % całkowitego kapitału własnego.</w:t>
      </w:r>
    </w:p>
    <w:p w14:paraId="0A805475" w14:textId="1DB00ACA" w:rsidR="006578ED" w:rsidRDefault="006578ED">
      <w:pPr>
        <w:pStyle w:val="ListParagraph"/>
        <w:spacing w:after="0" w:line="240" w:lineRule="auto"/>
        <w:textAlignment w:val="baseline"/>
        <w:rPr>
          <w:rFonts w:ascii="Times New Roman" w:hAnsi="Times New Roman" w:cs="Times New Roman"/>
          <w:noProof/>
          <w:sz w:val="24"/>
        </w:rPr>
      </w:pPr>
    </w:p>
    <w:bookmarkEnd w:id="59"/>
    <w:p w14:paraId="3BA0777B" w14:textId="470253E9" w:rsidR="006578ED" w:rsidRDefault="00A1618E">
      <w:pPr>
        <w:pStyle w:val="P68B1DB1-Normal4"/>
        <w:spacing w:line="240" w:lineRule="auto"/>
        <w:jc w:val="both"/>
        <w:rPr>
          <w:rFonts w:cs="Times New Roman"/>
          <w:noProof/>
        </w:rPr>
      </w:pPr>
      <w:r>
        <w:rPr>
          <w:noProof/>
        </w:rPr>
        <w:t>W celu realizacji inwestycji w instrument Hiszpania i ICO podpiszą umowę wykonawczą, która zawiera następującą treść:</w:t>
      </w:r>
    </w:p>
    <w:p w14:paraId="558DC0FD" w14:textId="30F4A4D3" w:rsidR="006578ED" w:rsidRDefault="00A1618E">
      <w:pPr>
        <w:pStyle w:val="P68B1DB1-LegalNumPar29"/>
        <w:numPr>
          <w:ilvl w:val="0"/>
          <w:numId w:val="756"/>
        </w:numPr>
        <w:jc w:val="both"/>
        <w:rPr>
          <w:rFonts w:eastAsia="Times New Roman" w:cs="Times New Roman"/>
          <w:noProof/>
        </w:rPr>
      </w:pPr>
      <w:r>
        <w:rPr>
          <w:noProof/>
        </w:rPr>
        <w:t>Opis procesu decyzyjnego w ramach Instrumentu: Ostateczną decyzję inwestycyjną instrumentu podejmuje komitet inwestycyjny lub inny odpowiedni równoważny organ zarządzający i zatwierdza większością głosów członków niezależnych od rządu. W przypadku inwestycji przez pośredników ostateczną decyzję inwestycyjną podejmują pośrednicy.</w:t>
      </w:r>
    </w:p>
    <w:p w14:paraId="2D179111" w14:textId="701E4D70" w:rsidR="006578ED" w:rsidRDefault="00A1618E">
      <w:pPr>
        <w:pStyle w:val="P68B1DB1-LegalNumPar29"/>
        <w:numPr>
          <w:ilvl w:val="0"/>
          <w:numId w:val="756"/>
        </w:numPr>
        <w:jc w:val="both"/>
        <w:rPr>
          <w:rFonts w:eastAsia="Times New Roman" w:cs="Times New Roman"/>
          <w:noProof/>
        </w:rPr>
      </w:pPr>
      <w:r>
        <w:rPr>
          <w:noProof/>
        </w:rPr>
        <w:t>Kluczowe wymogi powiązanej polityki inwestycyjnej,</w:t>
      </w:r>
      <w:r>
        <w:rPr>
          <w:b/>
          <w:noProof/>
        </w:rPr>
        <w:t xml:space="preserve"> </w:t>
      </w:r>
      <w:r>
        <w:rPr>
          <w:noProof/>
        </w:rPr>
        <w:t>które obejmują:</w:t>
      </w:r>
    </w:p>
    <w:p w14:paraId="7C250AB2" w14:textId="7DCEB378" w:rsidR="006578ED" w:rsidRDefault="00A1618E">
      <w:pPr>
        <w:pStyle w:val="P68B1DB1-LegalNumPar230"/>
        <w:numPr>
          <w:ilvl w:val="1"/>
          <w:numId w:val="757"/>
        </w:numPr>
        <w:jc w:val="both"/>
        <w:rPr>
          <w:rFonts w:cs="Times New Roman"/>
          <w:noProof/>
        </w:rPr>
      </w:pPr>
      <w:r>
        <w:rPr>
          <w:noProof/>
        </w:rPr>
        <w:t xml:space="preserve">Opis produktów finansowych i kwalifikujących się beneficjentów końcowych zgodnie z opisem środka. </w:t>
      </w:r>
    </w:p>
    <w:p w14:paraId="3418407B" w14:textId="77777777" w:rsidR="006578ED" w:rsidRDefault="00A1618E">
      <w:pPr>
        <w:pStyle w:val="P68B1DB1-LegalNumPar230"/>
        <w:numPr>
          <w:ilvl w:val="1"/>
          <w:numId w:val="757"/>
        </w:numPr>
        <w:jc w:val="both"/>
        <w:rPr>
          <w:rFonts w:cs="Times New Roman"/>
          <w:noProof/>
        </w:rPr>
      </w:pPr>
      <w:r>
        <w:rPr>
          <w:noProof/>
        </w:rPr>
        <w:t>Wymóg, aby wszystkie wspierane inwestycje były ekonomicznie opłacalne</w:t>
      </w:r>
      <w:r>
        <w:rPr>
          <w:b/>
          <w:noProof/>
        </w:rPr>
        <w:t>.</w:t>
      </w:r>
    </w:p>
    <w:p w14:paraId="216E853A" w14:textId="77777777" w:rsidR="006578ED" w:rsidRDefault="00A1618E">
      <w:pPr>
        <w:pStyle w:val="P68B1DB1-LegalNumPar230"/>
        <w:numPr>
          <w:ilvl w:val="1"/>
          <w:numId w:val="757"/>
        </w:numPr>
        <w:jc w:val="both"/>
        <w:rPr>
          <w:rFonts w:cs="Times New Roman"/>
          <w:noProof/>
        </w:rPr>
      </w:pPr>
      <w:r>
        <w:rPr>
          <w:noProof/>
        </w:rPr>
        <w:t>Zakaz refinansowania wszelkich niespłaconych pożyczek.</w:t>
      </w:r>
    </w:p>
    <w:p w14:paraId="249AA9DD" w14:textId="39A29339" w:rsidR="006578ED" w:rsidRDefault="00A1618E">
      <w:pPr>
        <w:pStyle w:val="P68B1DB1-LegalNumPar230"/>
        <w:numPr>
          <w:ilvl w:val="1"/>
          <w:numId w:val="757"/>
        </w:numPr>
        <w:jc w:val="both"/>
        <w:rPr>
          <w:rFonts w:cs="Times New Roman"/>
          <w:noProof/>
        </w:rPr>
      </w:pPr>
      <w:r>
        <w:rPr>
          <w:noProof/>
        </w:rPr>
        <w:t>Wymóg zgodności z zasadą „nie czyń poważnych szkód” (DNSH) określoną w wytycznych technicznych dotyczących zasady „nie czyń poważnych szkód” (2021/C58/01). Ponadto polityka inwestycyjna wymaga zgodności z odpowiednimi unijnymi i krajowymi przepisami w zakresie ochrony środowiska beneficjentów końcowych Instrumentu.</w:t>
      </w:r>
    </w:p>
    <w:p w14:paraId="5C73412D" w14:textId="50A64578" w:rsidR="006578ED" w:rsidRDefault="00A1618E">
      <w:pPr>
        <w:pStyle w:val="P68B1DB1-ListParagraph7"/>
        <w:numPr>
          <w:ilvl w:val="1"/>
          <w:numId w:val="757"/>
        </w:numPr>
        <w:spacing w:line="240" w:lineRule="auto"/>
        <w:jc w:val="both"/>
        <w:rPr>
          <w:rFonts w:cs="Times New Roman"/>
          <w:noProof/>
        </w:rPr>
      </w:pPr>
      <w:r>
        <w:rPr>
          <w:noProof/>
        </w:rPr>
        <w:t>Wymóg, zgodnie z którym beneficjenci końcowi Instrumentu nie mogą otrzymywać wsparcia z innych instrumentów unijnych w celu pokrycia tych samych kosztów.</w:t>
      </w:r>
    </w:p>
    <w:p w14:paraId="4C983689" w14:textId="07BC84C4" w:rsidR="006578ED" w:rsidRDefault="00A1618E">
      <w:pPr>
        <w:pStyle w:val="P68B1DB1-LegalNumPar29"/>
        <w:numPr>
          <w:ilvl w:val="0"/>
          <w:numId w:val="756"/>
        </w:numPr>
        <w:jc w:val="both"/>
        <w:rPr>
          <w:rFonts w:cs="Times New Roman"/>
          <w:noProof/>
        </w:rPr>
      </w:pPr>
      <w:r>
        <w:rPr>
          <w:noProof/>
        </w:rPr>
        <w:t>Kwotę objętą umową wykonawczą, strukturę opłat dla partnera wykonawczego oraz wymóg ponownego inwestowania wszelkich środków powracających zgodnie z polityką inwestycyjną Instrumentu, chyba że są one wykorzystywane do obsługi spłat pożyczek w ramach Instrumentu na rzecz Odbudowy i Zwiększania Odporności.</w:t>
      </w:r>
    </w:p>
    <w:p w14:paraId="067101C9" w14:textId="124BFDE2" w:rsidR="006578ED" w:rsidRDefault="00A1618E">
      <w:pPr>
        <w:pStyle w:val="P68B1DB1-ListParagraph7"/>
        <w:numPr>
          <w:ilvl w:val="0"/>
          <w:numId w:val="756"/>
        </w:numPr>
        <w:spacing w:line="240" w:lineRule="auto"/>
        <w:jc w:val="both"/>
        <w:rPr>
          <w:rFonts w:cs="Times New Roman"/>
          <w:noProof/>
        </w:rPr>
      </w:pPr>
      <w:r>
        <w:rPr>
          <w:noProof/>
        </w:rPr>
        <w:t>Wymogi w zakresie monitorowania, audytu i kontroli, w tym:</w:t>
      </w:r>
    </w:p>
    <w:p w14:paraId="385E3198" w14:textId="60BC3E41" w:rsidR="006578ED" w:rsidRDefault="00A1618E">
      <w:pPr>
        <w:pStyle w:val="P68B1DB1-ListParagraph7"/>
        <w:numPr>
          <w:ilvl w:val="0"/>
          <w:numId w:val="759"/>
        </w:numPr>
        <w:spacing w:line="240" w:lineRule="auto"/>
        <w:jc w:val="both"/>
        <w:rPr>
          <w:rFonts w:cs="Times New Roman"/>
          <w:noProof/>
        </w:rPr>
      </w:pPr>
      <w:r>
        <w:rPr>
          <w:noProof/>
        </w:rPr>
        <w:t>Opis stosowanego przez partnera wykonawczego systemu monitorowania służącego do sprawozdawczości na temat uruchomionych inwestycji.</w:t>
      </w:r>
    </w:p>
    <w:p w14:paraId="10A16931" w14:textId="2C6FD2C2" w:rsidR="006578ED" w:rsidRDefault="00A1618E">
      <w:pPr>
        <w:pStyle w:val="P68B1DB1-ListParagraph7"/>
        <w:numPr>
          <w:ilvl w:val="0"/>
          <w:numId w:val="759"/>
        </w:numPr>
        <w:spacing w:line="240" w:lineRule="auto"/>
        <w:jc w:val="both"/>
        <w:rPr>
          <w:rFonts w:cs="Times New Roman"/>
          <w:noProof/>
        </w:rPr>
      </w:pPr>
      <w:r>
        <w:rPr>
          <w:noProof/>
        </w:rPr>
        <w:t>Opis procedur partnera wykonawczego, które zapewnią zapobieganie nadużyciom finansowym, korupcji i konfliktom interesów oraz ich wykrywanie i korygowanie.</w:t>
      </w:r>
    </w:p>
    <w:p w14:paraId="1B4D2F88" w14:textId="0D7C4BC2" w:rsidR="006578ED" w:rsidRDefault="00A1618E">
      <w:pPr>
        <w:pStyle w:val="P68B1DB1-ListParagraph7"/>
        <w:numPr>
          <w:ilvl w:val="0"/>
          <w:numId w:val="759"/>
        </w:numPr>
        <w:spacing w:line="240" w:lineRule="auto"/>
        <w:jc w:val="both"/>
        <w:rPr>
          <w:rFonts w:cs="Times New Roman"/>
          <w:noProof/>
        </w:rPr>
      </w:pPr>
      <w:r>
        <w:rPr>
          <w:noProof/>
        </w:rPr>
        <w:t>Obowiązek weryfikacji kwalifikowalności każdej operacji zgodnie z wymogami określonymi w umowie wykonawczej przed zobowiązaniem się do finansowania danej operacji.</w:t>
      </w:r>
    </w:p>
    <w:p w14:paraId="7B2526C1" w14:textId="591A21F2" w:rsidR="006578ED" w:rsidRDefault="00A1618E">
      <w:pPr>
        <w:pStyle w:val="ListParagraph"/>
        <w:numPr>
          <w:ilvl w:val="0"/>
          <w:numId w:val="759"/>
        </w:numPr>
        <w:spacing w:line="240" w:lineRule="auto"/>
        <w:jc w:val="both"/>
        <w:rPr>
          <w:rFonts w:ascii="Times New Roman" w:hAnsi="Times New Roman" w:cs="Times New Roman"/>
          <w:noProof/>
          <w:sz w:val="24"/>
        </w:rPr>
      </w:pPr>
      <w:r>
        <w:rPr>
          <w:rFonts w:ascii="Times New Roman" w:hAnsi="Times New Roman"/>
          <w:noProof/>
          <w:sz w:val="24"/>
        </w:rPr>
        <w:t>Obowiązek przeprowadzania opartych na analizie ryzyka audytów ex post zgodnie z planem audytu ICO. Audyty te mają na celu sprawdzenie (i) skuteczności systemów kontroli, w tym wykrywania nadużyć finansowych, korupcji i konfliktu interesów; zgodność z zasadą „nie czyń poważnych szkód”, zasadami pomocy państwa, wymogami dotyczącymi celów cyfrowych; oraz (iii) wymóg weryfikacji przez pośrednika, czy beneficjent końcowy przedstawia odpowiedzialne oświadczenie w celu sprawdzenia, czy te same koszty są pokrywane z innego instrumentu unijnego, jest przestrzegany. W ramach audytów sprawdza się również legalność transakcji oraz przestrzeganie warunków mających zastosowanie umów wykonawczych i umów o finansowaniu, w </w:t>
      </w:r>
      <w:r>
        <w:rPr>
          <w:noProof/>
        </w:rPr>
        <w:t xml:space="preserve">tym poprzez wykorzystanie wykazu deklaracji pozytywnych lub oświadczeń własnych w odniesieniu do operacji o wartości poniżej 10 000 000 EUR, przed zobowiązaniem się do finansowania danej operacji. </w:t>
      </w:r>
    </w:p>
    <w:p w14:paraId="5B4CBCB6" w14:textId="08F0ACD4" w:rsidR="006578ED" w:rsidRDefault="00A1618E">
      <w:pPr>
        <w:pStyle w:val="ListParagraph"/>
        <w:numPr>
          <w:ilvl w:val="0"/>
          <w:numId w:val="756"/>
        </w:numPr>
        <w:spacing w:line="240" w:lineRule="auto"/>
        <w:jc w:val="both"/>
        <w:rPr>
          <w:rFonts w:ascii="Times New Roman" w:hAnsi="Times New Roman" w:cs="Times New Roman"/>
          <w:noProof/>
          <w:sz w:val="24"/>
        </w:rPr>
      </w:pPr>
      <w:r>
        <w:rPr>
          <w:rFonts w:ascii="Times New Roman" w:hAnsi="Times New Roman"/>
          <w:noProof/>
          <w:sz w:val="24"/>
        </w:rPr>
        <w:t>Wymogi dotyczące inwestycji cyfrowych realizowanych przez partnera wykonawczego: co najmniej 1 712 000 000 EUR z inwestycji w Instrument w ramach RRF przyczynia się do realizacji celów cyfrowych zgodnie z załącznikiem VII do rozporządzenia w sprawie RRF.</w:t>
      </w:r>
      <w:r>
        <w:rPr>
          <w:rStyle w:val="FootnoteReference"/>
          <w:rFonts w:ascii="Times New Roman" w:hAnsi="Times New Roman" w:cs="Times New Roman"/>
          <w:noProof/>
          <w:sz w:val="24"/>
        </w:rPr>
        <w:footnoteReference w:id="210"/>
      </w:r>
    </w:p>
    <w:p w14:paraId="29F08309" w14:textId="51E8B552" w:rsidR="006578ED" w:rsidRDefault="00A1618E">
      <w:pPr>
        <w:pStyle w:val="P68B1DB1-ListParagraph7"/>
        <w:numPr>
          <w:ilvl w:val="0"/>
          <w:numId w:val="756"/>
        </w:numPr>
        <w:rPr>
          <w:rFonts w:cs="Times New Roman"/>
          <w:noProof/>
        </w:rPr>
      </w:pPr>
      <w:r>
        <w:rPr>
          <w:noProof/>
        </w:rPr>
        <w:t xml:space="preserve">Wymogi dotyczące wyboru pośredników finansowych: ICO wybiera pośredników finansowych w sposób otwarty, przejrzysty i niedyskryminacyjny. Kontrole dotyczące braku konfliktu interesów w odniesieniu do pośredników finansowych przeprowadza się i przeprowadza ex ante za pośrednictwem systemu informatycznego, takiego jak Minerva, w odniesieniu do wszystkich zaangażowanych podmiotów finansowych. </w:t>
      </w:r>
    </w:p>
    <w:p w14:paraId="0ADFBFD9" w14:textId="21BD1C63" w:rsidR="006578ED" w:rsidRDefault="00A1618E">
      <w:pPr>
        <w:pStyle w:val="P68B1DB1-ListParagraph7"/>
        <w:numPr>
          <w:ilvl w:val="0"/>
          <w:numId w:val="756"/>
        </w:numPr>
        <w:spacing w:line="240" w:lineRule="auto"/>
        <w:jc w:val="both"/>
        <w:rPr>
          <w:rFonts w:cs="Times New Roman"/>
          <w:noProof/>
        </w:rPr>
      </w:pPr>
      <w:r>
        <w:rPr>
          <w:noProof/>
        </w:rPr>
        <w:t xml:space="preserve">Wymóg podpisania umów o finansowaniu: ICO podpisuje umowy o finansowaniu z pośrednikami finansowymi zgodnie z kluczowymi wymogami, które należy przedstawić jako załącznik do umowy wykonawczej. Kluczowe wymogi umowy o finansowaniu obejmują wszystkie wymogi, na podstawie których działa Instrument, w tym: </w:t>
      </w:r>
    </w:p>
    <w:p w14:paraId="44CF9790" w14:textId="65512F5C" w:rsidR="006578ED" w:rsidRDefault="00A1618E">
      <w:pPr>
        <w:pStyle w:val="P68B1DB1-Normal4"/>
        <w:numPr>
          <w:ilvl w:val="0"/>
          <w:numId w:val="760"/>
        </w:numPr>
        <w:spacing w:after="160" w:line="240" w:lineRule="auto"/>
        <w:jc w:val="both"/>
        <w:rPr>
          <w:rFonts w:cs="Times New Roman"/>
          <w:noProof/>
        </w:rPr>
      </w:pPr>
      <w:r>
        <w:rPr>
          <w:noProof/>
        </w:rPr>
        <w:t xml:space="preserve">Spoczywający na pośredniku finansowym obowiązek podejmowania decyzji </w:t>
      </w:r>
      <w:r>
        <w:rPr>
          <w:i/>
          <w:noProof/>
        </w:rPr>
        <w:t>odpowiednio</w:t>
      </w:r>
      <w:r>
        <w:rPr>
          <w:noProof/>
        </w:rPr>
        <w:t xml:space="preserve"> zgodnie z określonymi powyżej wymogami w zakresie podejmowania decyzji i polityki inwestycyjnej, w tym dotyczącymi przestrzegania zasady „nie czyń poważnych szkód”.</w:t>
      </w:r>
    </w:p>
    <w:p w14:paraId="6AF63DD6" w14:textId="096E83CC" w:rsidR="006578ED" w:rsidRDefault="00A1618E">
      <w:pPr>
        <w:pStyle w:val="P68B1DB1-Normal4"/>
        <w:numPr>
          <w:ilvl w:val="0"/>
          <w:numId w:val="760"/>
        </w:numPr>
        <w:spacing w:after="160" w:line="240" w:lineRule="auto"/>
        <w:jc w:val="both"/>
        <w:rPr>
          <w:rFonts w:cs="Times New Roman"/>
          <w:noProof/>
        </w:rPr>
      </w:pPr>
      <w:r>
        <w:rPr>
          <w:noProof/>
        </w:rPr>
        <w:t xml:space="preserve">Opis ram monitorowania oraz audytu i kontroli, które pośrednik finansowy wprowadza, które </w:t>
      </w:r>
      <w:r>
        <w:rPr>
          <w:i/>
          <w:noProof/>
        </w:rPr>
        <w:t>odpowiednio</w:t>
      </w:r>
      <w:r>
        <w:rPr>
          <w:noProof/>
        </w:rPr>
        <w:t xml:space="preserve"> podlegają wszystkim wymogom w zakresie monitorowania, audytu i kontroli określonym powyżej. </w:t>
      </w:r>
    </w:p>
    <w:p w14:paraId="37CEAEBE" w14:textId="3F391091" w:rsidR="006578ED" w:rsidRDefault="00A1618E">
      <w:pPr>
        <w:pStyle w:val="P68B1DB1-Normal4"/>
        <w:spacing w:before="120" w:after="120" w:line="240" w:lineRule="auto"/>
        <w:jc w:val="both"/>
        <w:rPr>
          <w:rFonts w:eastAsia="Times New Roman" w:cs="Times New Roman"/>
          <w:noProof/>
        </w:rPr>
      </w:pPr>
      <w:r>
        <w:rPr>
          <w:noProof/>
        </w:rPr>
        <w:t>Wdrożenie środka należy zakończyć do dnia 31 sierpnia 20</w:t>
      </w:r>
      <w:r w:rsidRPr="00A1618E">
        <w:rPr>
          <w:noProof/>
          <w:lang w:val="pl-PL"/>
        </w:rPr>
        <w:t>26 r.</w:t>
      </w:r>
    </w:p>
    <w:p w14:paraId="52B51381" w14:textId="07264D60" w:rsidR="006578ED" w:rsidRDefault="00A1618E">
      <w:pPr>
        <w:pStyle w:val="P68B1DB1-Normal5"/>
        <w:spacing w:before="120" w:after="120" w:line="240" w:lineRule="auto"/>
        <w:ind w:left="720"/>
        <w:jc w:val="both"/>
        <w:rPr>
          <w:rFonts w:cs="Times New Roman"/>
          <w:noProof/>
        </w:rPr>
      </w:pPr>
      <w:r>
        <w:rPr>
          <w:noProof/>
        </w:rPr>
        <w:t xml:space="preserve">Y.4. </w:t>
      </w:r>
      <w:r>
        <w:rPr>
          <w:noProof/>
        </w:rPr>
        <w:tab/>
        <w:t>Cele pośrednie, wartości docelowe, wskaźniki oraz harmonogram monitorowania i wdrażania wsparcia w formie pożyczek</w:t>
      </w:r>
    </w:p>
    <w:p w14:paraId="07BA10B0" w14:textId="7253AC45" w:rsidR="006578ED" w:rsidRDefault="00A1618E">
      <w:pPr>
        <w:pStyle w:val="P68B1DB1-Normal4"/>
        <w:spacing w:before="120" w:after="120" w:line="240" w:lineRule="auto"/>
        <w:jc w:val="both"/>
        <w:rPr>
          <w:rFonts w:cs="Times New Roman"/>
          <w:noProof/>
          <w:u w:val="single"/>
        </w:rPr>
      </w:pPr>
      <w:r>
        <w:rPr>
          <w:i/>
          <w:noProof/>
        </w:rPr>
        <w:t>Zob. tabela poniżej.</w:t>
      </w:r>
      <w:r>
        <w:rPr>
          <w:noProof/>
        </w:rPr>
        <w:t xml:space="preserve"> </w:t>
      </w:r>
      <w:r>
        <w:rPr>
          <w:i/>
          <w:noProof/>
        </w:rPr>
        <w:t>Datą odniesienia dla wszystkich wskaźników jest rozpoczęcie działania, chyba że w opisie działania wskazano inaczej. Kwoty w tabeli nie obejmują VAT w odniesieniu do środka C25.I2.</w:t>
      </w:r>
    </w:p>
    <w:p w14:paraId="081ED4BB" w14:textId="77777777" w:rsidR="006578ED" w:rsidRDefault="006578ED">
      <w:pPr>
        <w:spacing w:before="120" w:after="120" w:line="240" w:lineRule="auto"/>
        <w:jc w:val="both"/>
        <w:rPr>
          <w:rFonts w:ascii="Times New Roman" w:hAnsi="Times New Roman" w:cs="Times New Roman"/>
          <w:noProof/>
          <w:sz w:val="24"/>
          <w:u w:val="single"/>
        </w:rPr>
      </w:pPr>
    </w:p>
    <w:p w14:paraId="21D3C488" w14:textId="77777777" w:rsidR="006578ED" w:rsidRDefault="006578ED">
      <w:pPr>
        <w:pStyle w:val="Text1"/>
        <w:ind w:left="0"/>
        <w:rPr>
          <w:rFonts w:ascii="Times New Roman" w:hAnsi="Times New Roman" w:cs="Times New Roman"/>
          <w:noProof/>
        </w:rPr>
        <w:sectPr w:rsidR="006578ED" w:rsidSect="00C94F66">
          <w:headerReference w:type="even" r:id="rId483"/>
          <w:headerReference w:type="default" r:id="rId484"/>
          <w:footerReference w:type="even" r:id="rId485"/>
          <w:footerReference w:type="default" r:id="rId486"/>
          <w:headerReference w:type="first" r:id="rId487"/>
          <w:footerReference w:type="first" r:id="rId488"/>
          <w:pgSz w:w="11907" w:h="16839"/>
          <w:pgMar w:top="1134" w:right="1417" w:bottom="1134" w:left="1417" w:header="709" w:footer="709" w:gutter="0"/>
          <w:cols w:space="720"/>
          <w:docGrid w:linePitch="360"/>
        </w:sectPr>
      </w:pPr>
    </w:p>
    <w:p w14:paraId="54274A88" w14:textId="77777777" w:rsidR="006578ED" w:rsidRDefault="006578ED">
      <w:pPr>
        <w:pStyle w:val="Text1"/>
        <w:ind w:left="0"/>
        <w:rPr>
          <w:rFonts w:ascii="Times New Roman" w:hAnsi="Times New Roman" w:cs="Times New Roman"/>
          <w:noProof/>
          <w:sz w:val="20"/>
        </w:rPr>
      </w:pPr>
    </w:p>
    <w:p w14:paraId="026314EF" w14:textId="77777777" w:rsidR="006578ED" w:rsidRDefault="006578ED">
      <w:pPr>
        <w:pStyle w:val="Text1"/>
        <w:rPr>
          <w:rFonts w:ascii="Times New Roman" w:hAnsi="Times New Roman" w:cs="Times New Roman"/>
          <w:noProof/>
        </w:rPr>
      </w:pPr>
    </w:p>
    <w:tbl>
      <w:tblPr>
        <w:tblW w:w="1499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29"/>
        <w:gridCol w:w="752"/>
        <w:gridCol w:w="851"/>
        <w:gridCol w:w="2144"/>
        <w:gridCol w:w="1124"/>
        <w:gridCol w:w="746"/>
        <w:gridCol w:w="567"/>
        <w:gridCol w:w="683"/>
        <w:gridCol w:w="621"/>
        <w:gridCol w:w="527"/>
        <w:gridCol w:w="6249"/>
      </w:tblGrid>
      <w:tr w:rsidR="006578ED" w14:paraId="7E0E8252" w14:textId="77777777">
        <w:trPr>
          <w:trHeight w:val="309"/>
          <w:tblHeader/>
        </w:trPr>
        <w:tc>
          <w:tcPr>
            <w:tcW w:w="729" w:type="dxa"/>
            <w:tcBorders>
              <w:bottom w:val="nil"/>
            </w:tcBorders>
            <w:shd w:val="clear" w:color="auto" w:fill="C6D9F1" w:themeFill="text2" w:themeFillTint="33"/>
            <w:noWrap/>
            <w:vAlign w:val="center"/>
          </w:tcPr>
          <w:p w14:paraId="2E26B9EA" w14:textId="77777777" w:rsidR="006578ED" w:rsidRDefault="00A1618E">
            <w:pPr>
              <w:pStyle w:val="P68B1DB1-Normal12"/>
              <w:spacing w:after="0" w:line="240" w:lineRule="auto"/>
              <w:jc w:val="center"/>
              <w:rPr>
                <w:rFonts w:cs="Times New Roman"/>
                <w:noProof/>
              </w:rPr>
            </w:pPr>
            <w:r>
              <w:rPr>
                <w:noProof/>
              </w:rPr>
              <w:t>Liczba</w:t>
            </w:r>
          </w:p>
        </w:tc>
        <w:tc>
          <w:tcPr>
            <w:tcW w:w="752" w:type="dxa"/>
            <w:tcBorders>
              <w:bottom w:val="nil"/>
            </w:tcBorders>
            <w:shd w:val="clear" w:color="auto" w:fill="C6D9F1" w:themeFill="text2" w:themeFillTint="33"/>
            <w:noWrap/>
            <w:vAlign w:val="center"/>
          </w:tcPr>
          <w:p w14:paraId="1EB71C7B" w14:textId="77777777" w:rsidR="006578ED" w:rsidRDefault="00A1618E">
            <w:pPr>
              <w:pStyle w:val="P68B1DB1-Normal12"/>
              <w:spacing w:after="0" w:line="240" w:lineRule="auto"/>
              <w:jc w:val="center"/>
              <w:rPr>
                <w:rFonts w:cs="Times New Roman"/>
                <w:noProof/>
              </w:rPr>
            </w:pPr>
            <w:r>
              <w:rPr>
                <w:noProof/>
              </w:rPr>
              <w:t>Środek</w:t>
            </w:r>
          </w:p>
        </w:tc>
        <w:tc>
          <w:tcPr>
            <w:tcW w:w="851" w:type="dxa"/>
            <w:tcBorders>
              <w:bottom w:val="nil"/>
            </w:tcBorders>
            <w:shd w:val="clear" w:color="auto" w:fill="C6D9F1" w:themeFill="text2" w:themeFillTint="33"/>
            <w:noWrap/>
            <w:vAlign w:val="center"/>
          </w:tcPr>
          <w:p w14:paraId="71CC5653" w14:textId="34319873"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2144" w:type="dxa"/>
            <w:tcBorders>
              <w:bottom w:val="nil"/>
            </w:tcBorders>
            <w:shd w:val="clear" w:color="auto" w:fill="C6D9F1" w:themeFill="text2" w:themeFillTint="33"/>
            <w:noWrap/>
            <w:vAlign w:val="center"/>
          </w:tcPr>
          <w:p w14:paraId="47189E78" w14:textId="77777777" w:rsidR="006578ED" w:rsidRDefault="00A1618E">
            <w:pPr>
              <w:pStyle w:val="P68B1DB1-Normal12"/>
              <w:spacing w:after="0" w:line="240" w:lineRule="auto"/>
              <w:jc w:val="center"/>
              <w:rPr>
                <w:rFonts w:cs="Times New Roman"/>
                <w:noProof/>
              </w:rPr>
            </w:pPr>
            <w:r>
              <w:rPr>
                <w:noProof/>
              </w:rPr>
              <w:t>Nazwa</w:t>
            </w:r>
          </w:p>
        </w:tc>
        <w:tc>
          <w:tcPr>
            <w:tcW w:w="1124" w:type="dxa"/>
            <w:tcBorders>
              <w:bottom w:val="nil"/>
            </w:tcBorders>
            <w:shd w:val="clear" w:color="auto" w:fill="C6D9F1" w:themeFill="text2" w:themeFillTint="33"/>
            <w:noWrap/>
            <w:vAlign w:val="center"/>
          </w:tcPr>
          <w:p w14:paraId="1684463A"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1996" w:type="dxa"/>
            <w:gridSpan w:val="3"/>
            <w:shd w:val="clear" w:color="auto" w:fill="C6D9F1" w:themeFill="text2" w:themeFillTint="33"/>
            <w:noWrap/>
            <w:vAlign w:val="center"/>
          </w:tcPr>
          <w:p w14:paraId="6B86D05F" w14:textId="77777777" w:rsidR="006578ED" w:rsidRDefault="00A1618E">
            <w:pPr>
              <w:pStyle w:val="P68B1DB1-Normal12"/>
              <w:spacing w:after="0" w:line="240" w:lineRule="auto"/>
              <w:jc w:val="center"/>
              <w:rPr>
                <w:rFonts w:cs="Times New Roman"/>
                <w:noProof/>
              </w:rPr>
            </w:pPr>
            <w:r>
              <w:rPr>
                <w:noProof/>
              </w:rPr>
              <w:t>Wskaźnik ilościowy dla celu</w:t>
            </w:r>
          </w:p>
        </w:tc>
        <w:tc>
          <w:tcPr>
            <w:tcW w:w="1148" w:type="dxa"/>
            <w:gridSpan w:val="2"/>
            <w:shd w:val="clear" w:color="auto" w:fill="C6D9F1" w:themeFill="text2" w:themeFillTint="33"/>
            <w:noWrap/>
            <w:vAlign w:val="center"/>
          </w:tcPr>
          <w:p w14:paraId="2DF4BA48" w14:textId="77777777" w:rsidR="006578ED" w:rsidRDefault="00A1618E">
            <w:pPr>
              <w:pStyle w:val="P68B1DB1-Normal12"/>
              <w:spacing w:after="0" w:line="240" w:lineRule="auto"/>
              <w:jc w:val="center"/>
              <w:rPr>
                <w:rFonts w:cs="Times New Roman"/>
                <w:noProof/>
              </w:rPr>
            </w:pPr>
            <w:r>
              <w:rPr>
                <w:noProof/>
              </w:rPr>
              <w:t>Czas</w:t>
            </w:r>
          </w:p>
        </w:tc>
        <w:tc>
          <w:tcPr>
            <w:tcW w:w="6249" w:type="dxa"/>
            <w:tcBorders>
              <w:bottom w:val="nil"/>
            </w:tcBorders>
            <w:shd w:val="clear" w:color="auto" w:fill="C6D9F1" w:themeFill="text2" w:themeFillTint="33"/>
            <w:noWrap/>
            <w:vAlign w:val="center"/>
          </w:tcPr>
          <w:p w14:paraId="209B3A0B" w14:textId="3C99ADAD"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70DE08BA" w14:textId="77777777">
        <w:trPr>
          <w:trHeight w:val="309"/>
          <w:tblHeader/>
        </w:trPr>
        <w:tc>
          <w:tcPr>
            <w:tcW w:w="729" w:type="dxa"/>
            <w:tcBorders>
              <w:top w:val="nil"/>
              <w:left w:val="single" w:sz="4" w:space="0" w:color="auto"/>
              <w:bottom w:val="single" w:sz="4" w:space="0" w:color="auto"/>
              <w:right w:val="single" w:sz="4" w:space="0" w:color="auto"/>
            </w:tcBorders>
            <w:shd w:val="clear" w:color="auto" w:fill="C6D9F1" w:themeFill="text2" w:themeFillTint="33"/>
            <w:noWrap/>
          </w:tcPr>
          <w:p w14:paraId="0DAA8B30" w14:textId="77777777" w:rsidR="006578ED" w:rsidRDefault="006578ED">
            <w:pPr>
              <w:spacing w:after="0" w:line="240" w:lineRule="auto"/>
              <w:jc w:val="center"/>
              <w:rPr>
                <w:rFonts w:ascii="Times New Roman" w:hAnsi="Times New Roman" w:cs="Times New Roman"/>
                <w:b/>
                <w:noProof/>
                <w:sz w:val="18"/>
              </w:rPr>
            </w:pPr>
          </w:p>
        </w:tc>
        <w:tc>
          <w:tcPr>
            <w:tcW w:w="752" w:type="dxa"/>
            <w:tcBorders>
              <w:top w:val="nil"/>
              <w:left w:val="single" w:sz="4" w:space="0" w:color="auto"/>
              <w:bottom w:val="single" w:sz="4" w:space="0" w:color="auto"/>
              <w:right w:val="single" w:sz="4" w:space="0" w:color="auto"/>
            </w:tcBorders>
            <w:shd w:val="clear" w:color="auto" w:fill="C6D9F1" w:themeFill="text2" w:themeFillTint="33"/>
            <w:noWrap/>
          </w:tcPr>
          <w:p w14:paraId="62AA6C9A" w14:textId="77777777" w:rsidR="006578ED" w:rsidRDefault="006578ED">
            <w:pPr>
              <w:spacing w:after="0" w:line="240" w:lineRule="auto"/>
              <w:jc w:val="center"/>
              <w:rPr>
                <w:rFonts w:ascii="Times New Roman" w:hAnsi="Times New Roman" w:cs="Times New Roman"/>
                <w:b/>
                <w:noProof/>
                <w:sz w:val="18"/>
              </w:rPr>
            </w:pPr>
          </w:p>
        </w:tc>
        <w:tc>
          <w:tcPr>
            <w:tcW w:w="851" w:type="dxa"/>
            <w:tcBorders>
              <w:top w:val="nil"/>
              <w:left w:val="single" w:sz="4" w:space="0" w:color="auto"/>
              <w:bottom w:val="single" w:sz="4" w:space="0" w:color="auto"/>
              <w:right w:val="single" w:sz="4" w:space="0" w:color="auto"/>
            </w:tcBorders>
            <w:shd w:val="clear" w:color="auto" w:fill="C6D9F1" w:themeFill="text2" w:themeFillTint="33"/>
            <w:noWrap/>
          </w:tcPr>
          <w:p w14:paraId="3F154AAE" w14:textId="77777777" w:rsidR="006578ED" w:rsidRDefault="006578ED">
            <w:pPr>
              <w:spacing w:after="0" w:line="240" w:lineRule="auto"/>
              <w:jc w:val="center"/>
              <w:rPr>
                <w:rFonts w:ascii="Times New Roman" w:hAnsi="Times New Roman" w:cs="Times New Roman"/>
                <w:b/>
                <w:noProof/>
                <w:sz w:val="18"/>
              </w:rPr>
            </w:pPr>
          </w:p>
        </w:tc>
        <w:tc>
          <w:tcPr>
            <w:tcW w:w="2144" w:type="dxa"/>
            <w:tcBorders>
              <w:top w:val="nil"/>
              <w:left w:val="single" w:sz="4" w:space="0" w:color="auto"/>
              <w:bottom w:val="single" w:sz="4" w:space="0" w:color="auto"/>
              <w:right w:val="single" w:sz="4" w:space="0" w:color="auto"/>
            </w:tcBorders>
            <w:shd w:val="clear" w:color="auto" w:fill="C6D9F1" w:themeFill="text2" w:themeFillTint="33"/>
            <w:noWrap/>
          </w:tcPr>
          <w:p w14:paraId="2EDEBCEB" w14:textId="77777777" w:rsidR="006578ED" w:rsidRDefault="006578ED">
            <w:pPr>
              <w:spacing w:after="0" w:line="240" w:lineRule="auto"/>
              <w:rPr>
                <w:rFonts w:ascii="Times New Roman" w:hAnsi="Times New Roman" w:cs="Times New Roman"/>
                <w:b/>
                <w:noProof/>
                <w:sz w:val="18"/>
              </w:rPr>
            </w:pPr>
          </w:p>
        </w:tc>
        <w:tc>
          <w:tcPr>
            <w:tcW w:w="1124" w:type="dxa"/>
            <w:tcBorders>
              <w:top w:val="nil"/>
              <w:left w:val="single" w:sz="4" w:space="0" w:color="auto"/>
              <w:bottom w:val="single" w:sz="4" w:space="0" w:color="auto"/>
              <w:right w:val="single" w:sz="4" w:space="0" w:color="auto"/>
            </w:tcBorders>
            <w:shd w:val="clear" w:color="auto" w:fill="C6D9F1" w:themeFill="text2" w:themeFillTint="33"/>
            <w:noWrap/>
          </w:tcPr>
          <w:p w14:paraId="320256B1" w14:textId="77777777" w:rsidR="006578ED" w:rsidRDefault="006578ED">
            <w:pPr>
              <w:spacing w:after="0" w:line="240" w:lineRule="auto"/>
              <w:jc w:val="center"/>
              <w:rPr>
                <w:rFonts w:ascii="Times New Roman" w:hAnsi="Times New Roman" w:cs="Times New Roman"/>
                <w:b/>
                <w:noProof/>
                <w:sz w:val="18"/>
              </w:rPr>
            </w:pPr>
          </w:p>
        </w:tc>
        <w:tc>
          <w:tcPr>
            <w:tcW w:w="74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EC49D8B" w14:textId="77777777" w:rsidR="006578ED" w:rsidRDefault="00A1618E">
            <w:pPr>
              <w:pStyle w:val="P68B1DB1-Normal12"/>
              <w:spacing w:after="0" w:line="240" w:lineRule="auto"/>
              <w:jc w:val="center"/>
              <w:rPr>
                <w:rFonts w:cs="Times New Roman"/>
                <w:noProof/>
              </w:rPr>
            </w:pPr>
            <w:r>
              <w:rPr>
                <w:noProof/>
              </w:rPr>
              <w:t>Jednostka</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7DC9DC8" w14:textId="77777777" w:rsidR="006578ED" w:rsidRDefault="00A1618E">
            <w:pPr>
              <w:pStyle w:val="P68B1DB1-Normal12"/>
              <w:spacing w:after="0" w:line="240" w:lineRule="auto"/>
              <w:jc w:val="center"/>
              <w:rPr>
                <w:rFonts w:cs="Times New Roman"/>
                <w:noProof/>
              </w:rPr>
            </w:pPr>
            <w:r>
              <w:rPr>
                <w:noProof/>
              </w:rPr>
              <w:t>Wartość wyjściowa</w:t>
            </w:r>
          </w:p>
        </w:tc>
        <w:tc>
          <w:tcPr>
            <w:tcW w:w="68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59DFC03" w14:textId="77777777" w:rsidR="006578ED" w:rsidRDefault="00A1618E">
            <w:pPr>
              <w:pStyle w:val="P68B1DB1-Normal12"/>
              <w:spacing w:after="0" w:line="240" w:lineRule="auto"/>
              <w:jc w:val="center"/>
              <w:rPr>
                <w:rFonts w:cs="Times New Roman"/>
                <w:noProof/>
              </w:rPr>
            </w:pPr>
            <w:r>
              <w:rPr>
                <w:noProof/>
              </w:rPr>
              <w:t>Cel</w:t>
            </w:r>
          </w:p>
        </w:tc>
        <w:tc>
          <w:tcPr>
            <w:tcW w:w="62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D9F0C1" w14:textId="77777777" w:rsidR="006578ED" w:rsidRDefault="00A1618E">
            <w:pPr>
              <w:pStyle w:val="P68B1DB1-Normal12"/>
              <w:spacing w:after="0" w:line="240" w:lineRule="auto"/>
              <w:jc w:val="center"/>
              <w:rPr>
                <w:rFonts w:cs="Times New Roman"/>
                <w:noProof/>
              </w:rPr>
            </w:pPr>
            <w:r>
              <w:rPr>
                <w:noProof/>
              </w:rPr>
              <w:t>Q</w:t>
            </w:r>
          </w:p>
        </w:tc>
        <w:tc>
          <w:tcPr>
            <w:tcW w:w="52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BF60B01" w14:textId="77777777" w:rsidR="006578ED" w:rsidRDefault="00A1618E">
            <w:pPr>
              <w:pStyle w:val="P68B1DB1-Normal12"/>
              <w:spacing w:after="0" w:line="240" w:lineRule="auto"/>
              <w:jc w:val="center"/>
              <w:rPr>
                <w:rFonts w:cs="Times New Roman"/>
                <w:noProof/>
              </w:rPr>
            </w:pPr>
            <w:r>
              <w:rPr>
                <w:noProof/>
              </w:rPr>
              <w:t>Rok</w:t>
            </w:r>
          </w:p>
        </w:tc>
        <w:tc>
          <w:tcPr>
            <w:tcW w:w="6249" w:type="dxa"/>
            <w:tcBorders>
              <w:top w:val="nil"/>
              <w:left w:val="single" w:sz="4" w:space="0" w:color="auto"/>
              <w:bottom w:val="single" w:sz="4" w:space="0" w:color="auto"/>
              <w:right w:val="single" w:sz="4" w:space="0" w:color="auto"/>
            </w:tcBorders>
            <w:shd w:val="clear" w:color="auto" w:fill="C6D9F1" w:themeFill="text2" w:themeFillTint="33"/>
            <w:noWrap/>
          </w:tcPr>
          <w:p w14:paraId="09111EFA" w14:textId="77777777" w:rsidR="006578ED" w:rsidRDefault="006578ED">
            <w:pPr>
              <w:spacing w:after="0" w:line="240" w:lineRule="auto"/>
              <w:rPr>
                <w:rFonts w:ascii="Times New Roman" w:eastAsia="Times New Roman" w:hAnsi="Times New Roman" w:cs="Times New Roman"/>
                <w:noProof/>
                <w:sz w:val="18"/>
              </w:rPr>
            </w:pPr>
          </w:p>
        </w:tc>
      </w:tr>
      <w:tr w:rsidR="006578ED" w14:paraId="2D6B053D" w14:textId="77777777">
        <w:trPr>
          <w:trHeight w:val="309"/>
        </w:trPr>
        <w:tc>
          <w:tcPr>
            <w:tcW w:w="729" w:type="dxa"/>
            <w:shd w:val="clear" w:color="auto" w:fill="C6EFCE"/>
            <w:noWrap/>
          </w:tcPr>
          <w:p w14:paraId="1101B259" w14:textId="46A7354F" w:rsidR="006578ED" w:rsidRDefault="00A1618E">
            <w:pPr>
              <w:pStyle w:val="P68B1DB1-Normal13"/>
              <w:spacing w:after="0" w:line="240" w:lineRule="auto"/>
              <w:jc w:val="center"/>
              <w:rPr>
                <w:rFonts w:eastAsia="Times New Roman" w:cs="Times New Roman"/>
                <w:noProof/>
              </w:rPr>
            </w:pPr>
            <w:r>
              <w:rPr>
                <w:noProof/>
              </w:rPr>
              <w:t>L75</w:t>
            </w:r>
          </w:p>
        </w:tc>
        <w:tc>
          <w:tcPr>
            <w:tcW w:w="752" w:type="dxa"/>
            <w:shd w:val="clear" w:color="auto" w:fill="C6EFCE"/>
            <w:noWrap/>
          </w:tcPr>
          <w:p w14:paraId="0923ADAB" w14:textId="77777777" w:rsidR="006578ED" w:rsidRDefault="00A1618E">
            <w:pPr>
              <w:pStyle w:val="P68B1DB1-Normal13"/>
              <w:spacing w:after="0" w:line="240" w:lineRule="auto"/>
              <w:jc w:val="center"/>
              <w:rPr>
                <w:rFonts w:eastAsia="Times New Roman" w:cs="Times New Roman"/>
                <w:noProof/>
              </w:rPr>
            </w:pPr>
            <w:r>
              <w:rPr>
                <w:noProof/>
              </w:rPr>
              <w:t>C25.I2</w:t>
            </w:r>
          </w:p>
        </w:tc>
        <w:tc>
          <w:tcPr>
            <w:tcW w:w="851" w:type="dxa"/>
            <w:shd w:val="clear" w:color="auto" w:fill="C6EFCE"/>
            <w:noWrap/>
          </w:tcPr>
          <w:p w14:paraId="38CA287A" w14:textId="5EB577A8" w:rsidR="006578ED" w:rsidRDefault="00AF6B91">
            <w:pPr>
              <w:pStyle w:val="P68B1DB1-Normal13"/>
              <w:spacing w:after="0" w:line="240" w:lineRule="auto"/>
              <w:jc w:val="center"/>
              <w:rPr>
                <w:rFonts w:eastAsia="Times New Roman" w:cs="Times New Roman"/>
                <w:noProof/>
              </w:rPr>
            </w:pPr>
            <w:r>
              <w:rPr>
                <w:noProof/>
              </w:rPr>
              <w:t>Kamień milowy</w:t>
            </w:r>
          </w:p>
        </w:tc>
        <w:tc>
          <w:tcPr>
            <w:tcW w:w="2144" w:type="dxa"/>
            <w:shd w:val="clear" w:color="auto" w:fill="C6EFCE"/>
            <w:noWrap/>
          </w:tcPr>
          <w:p w14:paraId="3E7FA25E" w14:textId="153EEF82" w:rsidR="006578ED" w:rsidRDefault="00A1618E">
            <w:pPr>
              <w:pStyle w:val="P68B1DB1-Normal13"/>
              <w:spacing w:after="0" w:line="240" w:lineRule="auto"/>
              <w:rPr>
                <w:rFonts w:eastAsia="Times New Roman" w:cs="Times New Roman"/>
                <w:noProof/>
              </w:rPr>
            </w:pPr>
            <w:r>
              <w:rPr>
                <w:noProof/>
              </w:rPr>
              <w:t>Publikacja nagród za finansowanie cyfryzacji i rozpowszechnianie treści projektów</w:t>
            </w:r>
          </w:p>
        </w:tc>
        <w:tc>
          <w:tcPr>
            <w:tcW w:w="1124" w:type="dxa"/>
            <w:shd w:val="clear" w:color="auto" w:fill="C6EFCE"/>
            <w:noWrap/>
          </w:tcPr>
          <w:p w14:paraId="4184C604" w14:textId="79E7E0AC" w:rsidR="006578ED" w:rsidRDefault="00A1618E">
            <w:pPr>
              <w:pStyle w:val="P68B1DB1-Normal13"/>
              <w:spacing w:after="0" w:line="240" w:lineRule="auto"/>
              <w:jc w:val="center"/>
              <w:rPr>
                <w:rFonts w:eastAsia="Times New Roman" w:cs="Times New Roman"/>
                <w:noProof/>
              </w:rPr>
            </w:pPr>
            <w:r>
              <w:rPr>
                <w:noProof/>
              </w:rPr>
              <w:t>Publikacja w Dz.U. lub na oficjalnej stronie internetowej</w:t>
            </w:r>
          </w:p>
        </w:tc>
        <w:tc>
          <w:tcPr>
            <w:tcW w:w="746" w:type="dxa"/>
            <w:shd w:val="clear" w:color="auto" w:fill="C6EFCE"/>
            <w:noWrap/>
          </w:tcPr>
          <w:p w14:paraId="1DAD6770" w14:textId="77777777" w:rsidR="006578ED" w:rsidRDefault="006578ED">
            <w:pPr>
              <w:spacing w:after="0" w:line="240" w:lineRule="auto"/>
              <w:jc w:val="center"/>
              <w:rPr>
                <w:rFonts w:ascii="Times New Roman" w:eastAsia="Times New Roman" w:hAnsi="Times New Roman" w:cs="Times New Roman"/>
                <w:noProof/>
                <w:sz w:val="18"/>
              </w:rPr>
            </w:pPr>
          </w:p>
        </w:tc>
        <w:tc>
          <w:tcPr>
            <w:tcW w:w="567" w:type="dxa"/>
            <w:shd w:val="clear" w:color="auto" w:fill="C6EFCE"/>
            <w:noWrap/>
          </w:tcPr>
          <w:p w14:paraId="20660151" w14:textId="77777777" w:rsidR="006578ED" w:rsidRDefault="006578ED">
            <w:pPr>
              <w:spacing w:after="0" w:line="240" w:lineRule="auto"/>
              <w:jc w:val="right"/>
              <w:rPr>
                <w:rFonts w:ascii="Times New Roman" w:eastAsia="Times New Roman" w:hAnsi="Times New Roman" w:cs="Times New Roman"/>
                <w:noProof/>
                <w:sz w:val="18"/>
              </w:rPr>
            </w:pPr>
          </w:p>
        </w:tc>
        <w:tc>
          <w:tcPr>
            <w:tcW w:w="683" w:type="dxa"/>
            <w:shd w:val="clear" w:color="auto" w:fill="C6EFCE"/>
            <w:noWrap/>
          </w:tcPr>
          <w:p w14:paraId="044D3ACD" w14:textId="77777777" w:rsidR="006578ED" w:rsidRDefault="006578ED">
            <w:pPr>
              <w:spacing w:after="0" w:line="240" w:lineRule="auto"/>
              <w:jc w:val="right"/>
              <w:rPr>
                <w:rFonts w:ascii="Times New Roman" w:eastAsia="Times New Roman" w:hAnsi="Times New Roman" w:cs="Times New Roman"/>
                <w:noProof/>
                <w:sz w:val="18"/>
              </w:rPr>
            </w:pPr>
          </w:p>
        </w:tc>
        <w:tc>
          <w:tcPr>
            <w:tcW w:w="621" w:type="dxa"/>
            <w:shd w:val="clear" w:color="auto" w:fill="C6EFCE"/>
            <w:noWrap/>
          </w:tcPr>
          <w:p w14:paraId="21D56AB2" w14:textId="0E68C9CA" w:rsidR="006578ED" w:rsidRDefault="00EC188C">
            <w:pPr>
              <w:pStyle w:val="P68B1DB1-Normal13"/>
              <w:spacing w:after="0" w:line="240" w:lineRule="auto"/>
              <w:jc w:val="center"/>
              <w:rPr>
                <w:rFonts w:eastAsia="Times New Roman" w:cs="Times New Roman"/>
                <w:noProof/>
              </w:rPr>
            </w:pPr>
            <w:r>
              <w:rPr>
                <w:noProof/>
              </w:rPr>
              <w:t>KW. 3</w:t>
            </w:r>
          </w:p>
        </w:tc>
        <w:tc>
          <w:tcPr>
            <w:tcW w:w="527" w:type="dxa"/>
            <w:shd w:val="clear" w:color="auto" w:fill="C6EFCE"/>
            <w:noWrap/>
          </w:tcPr>
          <w:p w14:paraId="136AE630" w14:textId="77777777" w:rsidR="006578ED" w:rsidRDefault="00A1618E">
            <w:pPr>
              <w:pStyle w:val="P68B1DB1-Normal13"/>
              <w:spacing w:after="0" w:line="240" w:lineRule="auto"/>
              <w:jc w:val="center"/>
              <w:rPr>
                <w:rFonts w:eastAsia="Times New Roman" w:cs="Times New Roman"/>
                <w:noProof/>
              </w:rPr>
            </w:pPr>
            <w:r>
              <w:rPr>
                <w:noProof/>
              </w:rPr>
              <w:t>2025</w:t>
            </w:r>
          </w:p>
        </w:tc>
        <w:tc>
          <w:tcPr>
            <w:tcW w:w="6249" w:type="dxa"/>
            <w:shd w:val="clear" w:color="auto" w:fill="C6EFCE"/>
            <w:noWrap/>
          </w:tcPr>
          <w:p w14:paraId="070D89C5" w14:textId="417FEAAB" w:rsidR="006578ED" w:rsidRDefault="00A1618E">
            <w:pPr>
              <w:pStyle w:val="P68B1DB1-Normal13"/>
              <w:spacing w:line="240" w:lineRule="auto"/>
              <w:rPr>
                <w:rFonts w:eastAsia="Times New Roman" w:cs="Times New Roman"/>
                <w:noProof/>
              </w:rPr>
            </w:pPr>
            <w:bookmarkStart w:id="60" w:name="_Hlk145587311"/>
            <w:r>
              <w:rPr>
                <w:noProof/>
              </w:rPr>
              <w:t xml:space="preserve">Publikacja w Dzienniku Urzędowym lub na oficjalnej stronie internetowej </w:t>
            </w:r>
            <w:bookmarkEnd w:id="60"/>
            <w:r>
              <w:rPr>
                <w:noProof/>
              </w:rPr>
              <w:t>przyznania co najmniej 19 500 000 EUR w formie pożyczek na projekty na rzecz cyfryzacji i rozpowszechniania treści i informacji, a także na przyjęcie przez przedsiębiorstwa w sektorze mediów nowych narzędzi technologicznych do zarządzania treściami i ich przetwarzania w językach hiszpańskim i współurzędowym.</w:t>
            </w:r>
          </w:p>
        </w:tc>
      </w:tr>
      <w:tr w:rsidR="006578ED" w14:paraId="5DEC073D" w14:textId="77777777">
        <w:trPr>
          <w:trHeight w:val="309"/>
        </w:trPr>
        <w:tc>
          <w:tcPr>
            <w:tcW w:w="729" w:type="dxa"/>
            <w:shd w:val="clear" w:color="auto" w:fill="C6EFCE"/>
            <w:noWrap/>
          </w:tcPr>
          <w:p w14:paraId="7DB4B140" w14:textId="1F50BB51" w:rsidR="006578ED" w:rsidRDefault="00A1618E">
            <w:pPr>
              <w:pStyle w:val="P68B1DB1-Normal13"/>
              <w:spacing w:after="0" w:line="240" w:lineRule="auto"/>
              <w:jc w:val="center"/>
              <w:rPr>
                <w:rFonts w:eastAsia="Times New Roman" w:cs="Times New Roman"/>
                <w:noProof/>
              </w:rPr>
            </w:pPr>
            <w:r>
              <w:rPr>
                <w:noProof/>
              </w:rPr>
              <w:t>L76</w:t>
            </w:r>
          </w:p>
        </w:tc>
        <w:tc>
          <w:tcPr>
            <w:tcW w:w="752" w:type="dxa"/>
            <w:shd w:val="clear" w:color="auto" w:fill="C6EFCE"/>
            <w:noWrap/>
          </w:tcPr>
          <w:p w14:paraId="1800D804" w14:textId="77777777" w:rsidR="006578ED" w:rsidRDefault="00A1618E">
            <w:pPr>
              <w:pStyle w:val="P68B1DB1-Normal13"/>
              <w:spacing w:after="0" w:line="240" w:lineRule="auto"/>
              <w:jc w:val="center"/>
              <w:rPr>
                <w:rFonts w:eastAsia="Times New Roman" w:cs="Times New Roman"/>
                <w:noProof/>
              </w:rPr>
            </w:pPr>
            <w:r>
              <w:rPr>
                <w:noProof/>
              </w:rPr>
              <w:t>C25.I2</w:t>
            </w:r>
          </w:p>
        </w:tc>
        <w:tc>
          <w:tcPr>
            <w:tcW w:w="851" w:type="dxa"/>
            <w:shd w:val="clear" w:color="auto" w:fill="C6EFCE"/>
            <w:noWrap/>
          </w:tcPr>
          <w:p w14:paraId="736BDD5A" w14:textId="1114174C" w:rsidR="006578ED" w:rsidRDefault="00AF6B91">
            <w:pPr>
              <w:pStyle w:val="P68B1DB1-Normal13"/>
              <w:spacing w:after="0" w:line="240" w:lineRule="auto"/>
              <w:jc w:val="center"/>
              <w:rPr>
                <w:rFonts w:eastAsia="Times New Roman" w:cs="Times New Roman"/>
                <w:noProof/>
              </w:rPr>
            </w:pPr>
            <w:r>
              <w:rPr>
                <w:noProof/>
              </w:rPr>
              <w:t>Cel</w:t>
            </w:r>
          </w:p>
        </w:tc>
        <w:tc>
          <w:tcPr>
            <w:tcW w:w="2144" w:type="dxa"/>
            <w:shd w:val="clear" w:color="auto" w:fill="C6EFCE"/>
            <w:noWrap/>
          </w:tcPr>
          <w:p w14:paraId="0C17C5FA" w14:textId="7B18D54C" w:rsidR="006578ED" w:rsidRDefault="00A1618E">
            <w:pPr>
              <w:pStyle w:val="P68B1DB1-Normal13"/>
              <w:spacing w:after="0" w:line="240" w:lineRule="auto"/>
              <w:rPr>
                <w:rFonts w:eastAsia="Times New Roman" w:cs="Times New Roman"/>
                <w:noProof/>
              </w:rPr>
            </w:pPr>
            <w:r>
              <w:rPr>
                <w:noProof/>
              </w:rPr>
              <w:t>Realizacja projektów mających na celu cyfryzację i rozpowszechnianie treści</w:t>
            </w:r>
          </w:p>
        </w:tc>
        <w:tc>
          <w:tcPr>
            <w:tcW w:w="1124" w:type="dxa"/>
            <w:shd w:val="clear" w:color="auto" w:fill="C6EFCE"/>
            <w:noWrap/>
          </w:tcPr>
          <w:p w14:paraId="0712BA1A" w14:textId="77777777" w:rsidR="006578ED" w:rsidRDefault="006578ED">
            <w:pPr>
              <w:spacing w:after="0" w:line="240" w:lineRule="auto"/>
              <w:jc w:val="center"/>
              <w:rPr>
                <w:rFonts w:ascii="Times New Roman" w:eastAsia="Times New Roman" w:hAnsi="Times New Roman" w:cs="Times New Roman"/>
                <w:noProof/>
                <w:sz w:val="18"/>
              </w:rPr>
            </w:pPr>
          </w:p>
        </w:tc>
        <w:tc>
          <w:tcPr>
            <w:tcW w:w="746" w:type="dxa"/>
            <w:shd w:val="clear" w:color="auto" w:fill="C6EFCE"/>
            <w:noWrap/>
          </w:tcPr>
          <w:p w14:paraId="747A2659" w14:textId="35FED01C" w:rsidR="006578ED" w:rsidRDefault="00A1618E">
            <w:pPr>
              <w:pStyle w:val="P68B1DB1-Normal13"/>
              <w:spacing w:after="0" w:line="240" w:lineRule="auto"/>
              <w:jc w:val="center"/>
              <w:rPr>
                <w:rFonts w:eastAsia="Times New Roman" w:cs="Times New Roman"/>
                <w:noProof/>
              </w:rPr>
            </w:pPr>
            <w:r>
              <w:rPr>
                <w:noProof/>
              </w:rPr>
              <w:t>W mln EUR</w:t>
            </w:r>
          </w:p>
        </w:tc>
        <w:tc>
          <w:tcPr>
            <w:tcW w:w="567" w:type="dxa"/>
            <w:shd w:val="clear" w:color="auto" w:fill="C6EFCE"/>
            <w:noWrap/>
          </w:tcPr>
          <w:p w14:paraId="0D1E194C" w14:textId="77777777" w:rsidR="006578ED" w:rsidRDefault="006578ED">
            <w:pPr>
              <w:spacing w:after="0" w:line="240" w:lineRule="auto"/>
              <w:jc w:val="right"/>
              <w:rPr>
                <w:rFonts w:ascii="Times New Roman" w:eastAsia="Times New Roman" w:hAnsi="Times New Roman" w:cs="Times New Roman"/>
                <w:noProof/>
                <w:sz w:val="18"/>
              </w:rPr>
            </w:pPr>
          </w:p>
        </w:tc>
        <w:tc>
          <w:tcPr>
            <w:tcW w:w="683" w:type="dxa"/>
            <w:shd w:val="clear" w:color="auto" w:fill="C6EFCE"/>
            <w:noWrap/>
          </w:tcPr>
          <w:p w14:paraId="56BD40EA" w14:textId="2719BDB7" w:rsidR="006578ED" w:rsidRDefault="00A1618E">
            <w:pPr>
              <w:pStyle w:val="P68B1DB1-Normal13"/>
              <w:spacing w:after="0" w:line="240" w:lineRule="auto"/>
              <w:jc w:val="right"/>
              <w:rPr>
                <w:rFonts w:eastAsia="Times New Roman" w:cs="Times New Roman"/>
                <w:noProof/>
              </w:rPr>
            </w:pPr>
            <w:r>
              <w:rPr>
                <w:noProof/>
              </w:rPr>
              <w:t>17.55</w:t>
            </w:r>
          </w:p>
        </w:tc>
        <w:tc>
          <w:tcPr>
            <w:tcW w:w="621" w:type="dxa"/>
            <w:shd w:val="clear" w:color="auto" w:fill="C6EFCE"/>
            <w:noWrap/>
          </w:tcPr>
          <w:p w14:paraId="357035B6" w14:textId="011BF1E1" w:rsidR="006578ED" w:rsidRDefault="00EC188C">
            <w:pPr>
              <w:pStyle w:val="P68B1DB1-Normal13"/>
              <w:spacing w:after="0" w:line="240" w:lineRule="auto"/>
              <w:jc w:val="center"/>
              <w:rPr>
                <w:rFonts w:eastAsia="Times New Roman" w:cs="Times New Roman"/>
                <w:noProof/>
              </w:rPr>
            </w:pPr>
            <w:r>
              <w:rPr>
                <w:noProof/>
              </w:rPr>
              <w:t>KW. 2</w:t>
            </w:r>
          </w:p>
        </w:tc>
        <w:tc>
          <w:tcPr>
            <w:tcW w:w="527" w:type="dxa"/>
            <w:shd w:val="clear" w:color="auto" w:fill="C6EFCE"/>
            <w:noWrap/>
          </w:tcPr>
          <w:p w14:paraId="2CC965C1" w14:textId="77777777" w:rsidR="006578ED" w:rsidRDefault="00A1618E">
            <w:pPr>
              <w:pStyle w:val="P68B1DB1-Normal13"/>
              <w:spacing w:after="0" w:line="240" w:lineRule="auto"/>
              <w:jc w:val="center"/>
              <w:rPr>
                <w:rFonts w:eastAsia="Times New Roman" w:cs="Times New Roman"/>
                <w:noProof/>
              </w:rPr>
            </w:pPr>
            <w:r>
              <w:rPr>
                <w:noProof/>
              </w:rPr>
              <w:t>2026</w:t>
            </w:r>
          </w:p>
        </w:tc>
        <w:tc>
          <w:tcPr>
            <w:tcW w:w="6249" w:type="dxa"/>
            <w:shd w:val="clear" w:color="auto" w:fill="C6EFCE"/>
            <w:noWrap/>
          </w:tcPr>
          <w:p w14:paraId="45516066" w14:textId="7DC7F5E8" w:rsidR="006578ED" w:rsidRDefault="00A1618E">
            <w:pPr>
              <w:pStyle w:val="P68B1DB1-Normal13"/>
              <w:spacing w:line="240" w:lineRule="auto"/>
              <w:rPr>
                <w:rFonts w:eastAsia="Times New Roman" w:cs="Times New Roman"/>
                <w:noProof/>
              </w:rPr>
            </w:pPr>
            <w:r>
              <w:rPr>
                <w:noProof/>
              </w:rPr>
              <w:t xml:space="preserve">Finalizacja projektów odpowiadających budżetowi przyznanemu w wysokości co najmniej 17 550 000 EUR na cyfryzację, rozpowszechnianie treści oraz przyjęcie nowych narzędzi technologicznych do zarządzania treścią i ich przetwarzania w językach hiszpańskim i współurzędowym. </w:t>
            </w:r>
          </w:p>
        </w:tc>
      </w:tr>
      <w:tr w:rsidR="006578ED" w14:paraId="32C2E06A" w14:textId="77777777">
        <w:trPr>
          <w:trHeight w:val="309"/>
        </w:trPr>
        <w:tc>
          <w:tcPr>
            <w:tcW w:w="729" w:type="dxa"/>
            <w:shd w:val="clear" w:color="auto" w:fill="C6EFCE"/>
            <w:noWrap/>
          </w:tcPr>
          <w:p w14:paraId="42DE955D" w14:textId="08D4F92E" w:rsidR="006578ED" w:rsidRDefault="00A1618E">
            <w:pPr>
              <w:pStyle w:val="P68B1DB1-Normal13"/>
              <w:spacing w:after="0" w:line="240" w:lineRule="auto"/>
              <w:jc w:val="center"/>
              <w:rPr>
                <w:rFonts w:eastAsia="Times New Roman" w:cs="Times New Roman"/>
                <w:noProof/>
              </w:rPr>
            </w:pPr>
            <w:r>
              <w:rPr>
                <w:noProof/>
              </w:rPr>
              <w:t>L77</w:t>
            </w:r>
          </w:p>
        </w:tc>
        <w:tc>
          <w:tcPr>
            <w:tcW w:w="752" w:type="dxa"/>
            <w:shd w:val="clear" w:color="auto" w:fill="C6EFCE"/>
            <w:noWrap/>
          </w:tcPr>
          <w:p w14:paraId="7014E155" w14:textId="77777777" w:rsidR="006578ED" w:rsidRDefault="00A1618E">
            <w:pPr>
              <w:pStyle w:val="P68B1DB1-Normal13"/>
              <w:spacing w:after="0" w:line="240" w:lineRule="auto"/>
              <w:jc w:val="center"/>
              <w:rPr>
                <w:rFonts w:cs="Times New Roman"/>
                <w:noProof/>
              </w:rPr>
            </w:pPr>
            <w:r>
              <w:rPr>
                <w:noProof/>
              </w:rPr>
              <w:t>C25.I3</w:t>
            </w:r>
          </w:p>
        </w:tc>
        <w:tc>
          <w:tcPr>
            <w:tcW w:w="851" w:type="dxa"/>
            <w:shd w:val="clear" w:color="auto" w:fill="C6EFCE"/>
            <w:noWrap/>
          </w:tcPr>
          <w:p w14:paraId="6C155DD5" w14:textId="3FA186DC" w:rsidR="006578ED" w:rsidRDefault="00AF6B91">
            <w:pPr>
              <w:pStyle w:val="P68B1DB1-Normal13"/>
              <w:spacing w:after="0" w:line="240" w:lineRule="auto"/>
              <w:jc w:val="center"/>
              <w:rPr>
                <w:rFonts w:eastAsia="Times New Roman" w:cs="Times New Roman"/>
                <w:noProof/>
              </w:rPr>
            </w:pPr>
            <w:r>
              <w:rPr>
                <w:noProof/>
              </w:rPr>
              <w:t>Kamień milowy</w:t>
            </w:r>
          </w:p>
        </w:tc>
        <w:tc>
          <w:tcPr>
            <w:tcW w:w="2144" w:type="dxa"/>
            <w:shd w:val="clear" w:color="auto" w:fill="C6EFCE"/>
            <w:noWrap/>
          </w:tcPr>
          <w:p w14:paraId="0ABD9A36" w14:textId="4BBEF6D8" w:rsidR="006578ED" w:rsidRDefault="00A1618E">
            <w:pPr>
              <w:pStyle w:val="P68B1DB1-Normal13"/>
              <w:spacing w:after="0" w:line="240" w:lineRule="auto"/>
              <w:rPr>
                <w:rFonts w:eastAsia="Times New Roman" w:cs="Times New Roman"/>
                <w:noProof/>
              </w:rPr>
            </w:pPr>
            <w:r>
              <w:rPr>
                <w:noProof/>
              </w:rPr>
              <w:t xml:space="preserve">Fundusz Centrum Audiowizualnego ICO: Umowa wykonawcza </w:t>
            </w:r>
          </w:p>
          <w:p w14:paraId="26D1B766" w14:textId="77777777" w:rsidR="006578ED" w:rsidRDefault="006578ED">
            <w:pPr>
              <w:spacing w:after="0" w:line="240" w:lineRule="auto"/>
              <w:rPr>
                <w:rFonts w:ascii="Times New Roman" w:eastAsia="Times New Roman" w:hAnsi="Times New Roman" w:cs="Times New Roman"/>
                <w:noProof/>
                <w:sz w:val="18"/>
              </w:rPr>
            </w:pPr>
          </w:p>
        </w:tc>
        <w:tc>
          <w:tcPr>
            <w:tcW w:w="1124" w:type="dxa"/>
            <w:shd w:val="clear" w:color="auto" w:fill="C6EFCE"/>
            <w:noWrap/>
          </w:tcPr>
          <w:p w14:paraId="56759D38" w14:textId="0245995C" w:rsidR="006578ED" w:rsidRDefault="00A1618E">
            <w:pPr>
              <w:pStyle w:val="P68B1DB1-Normal13"/>
              <w:spacing w:after="0" w:line="240" w:lineRule="auto"/>
              <w:jc w:val="center"/>
              <w:rPr>
                <w:rFonts w:eastAsia="Times New Roman" w:cs="Times New Roman"/>
                <w:noProof/>
              </w:rPr>
            </w:pPr>
            <w:r>
              <w:rPr>
                <w:noProof/>
              </w:rPr>
              <w:t>Wejście w życie umowy wykonawczej</w:t>
            </w:r>
          </w:p>
        </w:tc>
        <w:tc>
          <w:tcPr>
            <w:tcW w:w="746" w:type="dxa"/>
            <w:shd w:val="clear" w:color="auto" w:fill="C6EFCE"/>
            <w:noWrap/>
          </w:tcPr>
          <w:p w14:paraId="791D4D06" w14:textId="77777777"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noWrap/>
          </w:tcPr>
          <w:p w14:paraId="7420DDA8" w14:textId="77777777" w:rsidR="006578ED" w:rsidRDefault="006578ED">
            <w:pPr>
              <w:spacing w:after="0" w:line="240" w:lineRule="auto"/>
              <w:jc w:val="right"/>
              <w:rPr>
                <w:rFonts w:ascii="Times New Roman" w:hAnsi="Times New Roman" w:cs="Times New Roman"/>
                <w:noProof/>
                <w:sz w:val="18"/>
              </w:rPr>
            </w:pPr>
          </w:p>
        </w:tc>
        <w:tc>
          <w:tcPr>
            <w:tcW w:w="683" w:type="dxa"/>
            <w:shd w:val="clear" w:color="auto" w:fill="C6EFCE"/>
            <w:noWrap/>
          </w:tcPr>
          <w:p w14:paraId="2BE46740" w14:textId="77777777" w:rsidR="006578ED" w:rsidRDefault="006578ED">
            <w:pPr>
              <w:spacing w:after="0" w:line="240" w:lineRule="auto"/>
              <w:jc w:val="right"/>
              <w:rPr>
                <w:rFonts w:ascii="Times New Roman" w:hAnsi="Times New Roman" w:cs="Times New Roman"/>
                <w:noProof/>
                <w:sz w:val="18"/>
              </w:rPr>
            </w:pPr>
          </w:p>
        </w:tc>
        <w:tc>
          <w:tcPr>
            <w:tcW w:w="621" w:type="dxa"/>
            <w:shd w:val="clear" w:color="auto" w:fill="C6EFCE"/>
            <w:noWrap/>
          </w:tcPr>
          <w:p w14:paraId="7459C768" w14:textId="2C9A5433" w:rsidR="006578ED" w:rsidRDefault="00EC188C">
            <w:pPr>
              <w:pStyle w:val="P68B1DB1-Normal13"/>
              <w:spacing w:after="0" w:line="240" w:lineRule="auto"/>
              <w:jc w:val="center"/>
              <w:rPr>
                <w:rFonts w:eastAsia="Times New Roman" w:cs="Times New Roman"/>
                <w:noProof/>
              </w:rPr>
            </w:pPr>
            <w:r>
              <w:rPr>
                <w:noProof/>
              </w:rPr>
              <w:t>KW. 4</w:t>
            </w:r>
          </w:p>
        </w:tc>
        <w:tc>
          <w:tcPr>
            <w:tcW w:w="527" w:type="dxa"/>
            <w:shd w:val="clear" w:color="auto" w:fill="C6EFCE"/>
            <w:noWrap/>
          </w:tcPr>
          <w:p w14:paraId="3343D3B9" w14:textId="77777777" w:rsidR="006578ED" w:rsidRDefault="00A1618E">
            <w:pPr>
              <w:pStyle w:val="P68B1DB1-Normal13"/>
              <w:spacing w:after="0" w:line="240" w:lineRule="auto"/>
              <w:jc w:val="center"/>
              <w:rPr>
                <w:rFonts w:eastAsia="Times New Roman" w:cs="Times New Roman"/>
                <w:noProof/>
              </w:rPr>
            </w:pPr>
            <w:r>
              <w:rPr>
                <w:noProof/>
              </w:rPr>
              <w:t>2023</w:t>
            </w:r>
          </w:p>
        </w:tc>
        <w:tc>
          <w:tcPr>
            <w:tcW w:w="6249" w:type="dxa"/>
            <w:shd w:val="clear" w:color="auto" w:fill="C6EFCE"/>
            <w:noWrap/>
          </w:tcPr>
          <w:p w14:paraId="4C1E2C42" w14:textId="4A587720" w:rsidR="006578ED" w:rsidRDefault="00A1618E">
            <w:pPr>
              <w:pStyle w:val="P68B1DB1-Normal13"/>
              <w:rPr>
                <w:rFonts w:eastAsia="Times New Roman" w:cs="Times New Roman"/>
                <w:noProof/>
              </w:rPr>
            </w:pPr>
            <w:r>
              <w:rPr>
                <w:noProof/>
              </w:rPr>
              <w:t>Wejście w życie umowy wykonawczej.</w:t>
            </w:r>
          </w:p>
          <w:p w14:paraId="3C94C7D4" w14:textId="77777777" w:rsidR="006578ED" w:rsidRDefault="006578ED">
            <w:pPr>
              <w:spacing w:after="0" w:line="240" w:lineRule="auto"/>
              <w:jc w:val="both"/>
              <w:rPr>
                <w:rFonts w:ascii="Times New Roman" w:eastAsia="Times New Roman" w:hAnsi="Times New Roman" w:cs="Times New Roman"/>
                <w:noProof/>
                <w:sz w:val="18"/>
              </w:rPr>
            </w:pPr>
          </w:p>
        </w:tc>
      </w:tr>
      <w:tr w:rsidR="006578ED" w14:paraId="68AB993F" w14:textId="77777777">
        <w:trPr>
          <w:trHeight w:val="309"/>
        </w:trPr>
        <w:tc>
          <w:tcPr>
            <w:tcW w:w="729" w:type="dxa"/>
            <w:shd w:val="clear" w:color="auto" w:fill="C6EFCE"/>
            <w:noWrap/>
          </w:tcPr>
          <w:p w14:paraId="79281886" w14:textId="0C23939C" w:rsidR="006578ED" w:rsidRDefault="00A1618E">
            <w:pPr>
              <w:pStyle w:val="P68B1DB1-Normal13"/>
              <w:spacing w:after="0" w:line="240" w:lineRule="auto"/>
              <w:jc w:val="center"/>
              <w:rPr>
                <w:rFonts w:eastAsia="Times New Roman" w:cs="Times New Roman"/>
                <w:noProof/>
              </w:rPr>
            </w:pPr>
            <w:r>
              <w:rPr>
                <w:noProof/>
              </w:rPr>
              <w:t>L78</w:t>
            </w:r>
          </w:p>
        </w:tc>
        <w:tc>
          <w:tcPr>
            <w:tcW w:w="752" w:type="dxa"/>
            <w:shd w:val="clear" w:color="auto" w:fill="C6EFCE"/>
            <w:noWrap/>
          </w:tcPr>
          <w:p w14:paraId="1241BA9A" w14:textId="77777777" w:rsidR="006578ED" w:rsidRDefault="00A1618E">
            <w:pPr>
              <w:pStyle w:val="P68B1DB1-Normal13"/>
              <w:spacing w:after="0" w:line="240" w:lineRule="auto"/>
              <w:jc w:val="center"/>
              <w:rPr>
                <w:rFonts w:cs="Times New Roman"/>
                <w:noProof/>
              </w:rPr>
            </w:pPr>
            <w:r>
              <w:rPr>
                <w:noProof/>
              </w:rPr>
              <w:t>C25.I3</w:t>
            </w:r>
          </w:p>
        </w:tc>
        <w:tc>
          <w:tcPr>
            <w:tcW w:w="851" w:type="dxa"/>
            <w:shd w:val="clear" w:color="auto" w:fill="C6EFCE"/>
            <w:noWrap/>
          </w:tcPr>
          <w:p w14:paraId="7EA06B66" w14:textId="3B46FE65" w:rsidR="006578ED" w:rsidRDefault="00AF6B91">
            <w:pPr>
              <w:pStyle w:val="P68B1DB1-Normal13"/>
              <w:spacing w:after="0" w:line="240" w:lineRule="auto"/>
              <w:jc w:val="center"/>
              <w:rPr>
                <w:rFonts w:eastAsia="Times New Roman" w:cs="Times New Roman"/>
                <w:noProof/>
              </w:rPr>
            </w:pPr>
            <w:r>
              <w:rPr>
                <w:noProof/>
              </w:rPr>
              <w:t>Cel</w:t>
            </w:r>
          </w:p>
        </w:tc>
        <w:tc>
          <w:tcPr>
            <w:tcW w:w="2144" w:type="dxa"/>
            <w:shd w:val="clear" w:color="auto" w:fill="C6EFCE"/>
            <w:noWrap/>
          </w:tcPr>
          <w:p w14:paraId="6B4536DE" w14:textId="7B31CB06" w:rsidR="006578ED" w:rsidRDefault="00A1618E">
            <w:pPr>
              <w:pStyle w:val="P68B1DB1-Normal13"/>
              <w:spacing w:after="0" w:line="240" w:lineRule="auto"/>
              <w:rPr>
                <w:rFonts w:eastAsia="Times New Roman" w:cs="Times New Roman"/>
                <w:noProof/>
              </w:rPr>
            </w:pPr>
            <w:r>
              <w:rPr>
                <w:noProof/>
              </w:rPr>
              <w:t xml:space="preserve">Fundusz Centrum Audiowizualnego ICO: Prawne umowy o finansowaniu podpisane z beneficjentami końcowymi (w tym z funduszami kapitałowymi) (I). </w:t>
            </w:r>
          </w:p>
        </w:tc>
        <w:tc>
          <w:tcPr>
            <w:tcW w:w="1124" w:type="dxa"/>
            <w:shd w:val="clear" w:color="auto" w:fill="C6EFCE"/>
            <w:noWrap/>
          </w:tcPr>
          <w:p w14:paraId="5956C494" w14:textId="77777777" w:rsidR="006578ED" w:rsidRDefault="006578ED">
            <w:pPr>
              <w:spacing w:after="0" w:line="240" w:lineRule="auto"/>
              <w:jc w:val="center"/>
              <w:rPr>
                <w:rFonts w:ascii="Times New Roman" w:eastAsia="Times New Roman" w:hAnsi="Times New Roman" w:cs="Times New Roman"/>
                <w:noProof/>
                <w:sz w:val="18"/>
              </w:rPr>
            </w:pPr>
          </w:p>
        </w:tc>
        <w:tc>
          <w:tcPr>
            <w:tcW w:w="746" w:type="dxa"/>
            <w:shd w:val="clear" w:color="auto" w:fill="C6EFCE"/>
            <w:noWrap/>
          </w:tcPr>
          <w:p w14:paraId="70C04B30" w14:textId="62E33394" w:rsidR="006578ED" w:rsidRDefault="006578ED">
            <w:pPr>
              <w:spacing w:after="0" w:line="240" w:lineRule="auto"/>
              <w:jc w:val="center"/>
              <w:rPr>
                <w:rFonts w:ascii="Times New Roman" w:hAnsi="Times New Roman" w:cs="Times New Roman"/>
                <w:noProof/>
                <w:sz w:val="18"/>
              </w:rPr>
            </w:pPr>
          </w:p>
        </w:tc>
        <w:tc>
          <w:tcPr>
            <w:tcW w:w="567" w:type="dxa"/>
            <w:shd w:val="clear" w:color="auto" w:fill="C6EFCE"/>
            <w:noWrap/>
          </w:tcPr>
          <w:p w14:paraId="1C116015" w14:textId="13D5DE7E" w:rsidR="006578ED" w:rsidRDefault="00A1618E">
            <w:pPr>
              <w:pStyle w:val="P68B1DB1-Normal13"/>
              <w:tabs>
                <w:tab w:val="left" w:pos="210"/>
                <w:tab w:val="center" w:pos="291"/>
              </w:tabs>
              <w:spacing w:after="0" w:line="240" w:lineRule="auto"/>
              <w:rPr>
                <w:rFonts w:cs="Times New Roman"/>
                <w:noProof/>
              </w:rPr>
            </w:pPr>
            <w:r>
              <w:rPr>
                <w:noProof/>
              </w:rPr>
              <w:tab/>
            </w:r>
            <w:r>
              <w:rPr>
                <w:noProof/>
              </w:rPr>
              <w:tab/>
              <w:t>0</w:t>
            </w:r>
          </w:p>
        </w:tc>
        <w:tc>
          <w:tcPr>
            <w:tcW w:w="683" w:type="dxa"/>
            <w:shd w:val="clear" w:color="auto" w:fill="C6EFCE"/>
            <w:noWrap/>
          </w:tcPr>
          <w:p w14:paraId="619FD1FB" w14:textId="32E6E221" w:rsidR="006578ED" w:rsidRDefault="00A1618E">
            <w:pPr>
              <w:pStyle w:val="P68B1DB1-Normal13"/>
              <w:spacing w:after="0" w:line="240" w:lineRule="auto"/>
              <w:jc w:val="right"/>
              <w:rPr>
                <w:rFonts w:cs="Times New Roman"/>
                <w:noProof/>
              </w:rPr>
            </w:pPr>
            <w:r>
              <w:rPr>
                <w:noProof/>
              </w:rPr>
              <w:t>50 %</w:t>
            </w:r>
          </w:p>
        </w:tc>
        <w:tc>
          <w:tcPr>
            <w:tcW w:w="621" w:type="dxa"/>
            <w:shd w:val="clear" w:color="auto" w:fill="C6EFCE"/>
            <w:noWrap/>
          </w:tcPr>
          <w:p w14:paraId="4B47678B" w14:textId="1BC2E528" w:rsidR="006578ED" w:rsidRDefault="00EC188C">
            <w:pPr>
              <w:pStyle w:val="P68B1DB1-Normal13"/>
              <w:spacing w:after="0" w:line="240" w:lineRule="auto"/>
              <w:jc w:val="center"/>
              <w:rPr>
                <w:rFonts w:eastAsia="Times New Roman" w:cs="Times New Roman"/>
                <w:noProof/>
              </w:rPr>
            </w:pPr>
            <w:r>
              <w:rPr>
                <w:noProof/>
              </w:rPr>
              <w:t>KW. 2</w:t>
            </w:r>
          </w:p>
        </w:tc>
        <w:tc>
          <w:tcPr>
            <w:tcW w:w="527" w:type="dxa"/>
            <w:shd w:val="clear" w:color="auto" w:fill="C6EFCE"/>
            <w:noWrap/>
          </w:tcPr>
          <w:p w14:paraId="0D5C25C7" w14:textId="77777777" w:rsidR="006578ED" w:rsidRDefault="00A1618E">
            <w:pPr>
              <w:pStyle w:val="P68B1DB1-Normal13"/>
              <w:spacing w:after="0" w:line="240" w:lineRule="auto"/>
              <w:jc w:val="center"/>
              <w:rPr>
                <w:rFonts w:eastAsia="Times New Roman" w:cs="Times New Roman"/>
                <w:noProof/>
              </w:rPr>
            </w:pPr>
            <w:r>
              <w:rPr>
                <w:noProof/>
              </w:rPr>
              <w:t>2025</w:t>
            </w:r>
          </w:p>
        </w:tc>
        <w:tc>
          <w:tcPr>
            <w:tcW w:w="6249" w:type="dxa"/>
            <w:shd w:val="clear" w:color="auto" w:fill="C6EFCE"/>
            <w:noWrap/>
          </w:tcPr>
          <w:p w14:paraId="2321F473" w14:textId="01ACCFD3" w:rsidR="006578ED" w:rsidRDefault="00A1618E">
            <w:pPr>
              <w:pStyle w:val="P68B1DB1-Normal13"/>
              <w:spacing w:after="0" w:line="240" w:lineRule="auto"/>
              <w:rPr>
                <w:rFonts w:eastAsia="Times New Roman" w:cs="Times New Roman"/>
                <w:noProof/>
              </w:rPr>
            </w:pPr>
            <w:r>
              <w:rPr>
                <w:noProof/>
              </w:rPr>
              <w:t>ICO/Osi oraz pośrednicy wybrani przez ICO zawarli z beneficjentami końcowymi prawne umowy w sprawie finansowania na kwotę niezbędną do wykorzystania co najmniej 50 % inwestycji RRF w instrument (z uwzględnieniem opłat za zarządzanie). Co najmniej 2,5 % finansowania odpowiada umowom finansowym podpisanym z funduszami kapitałowymi, a co najmniej 50 % – umowami w sprawie finansowania podpisanymi z beneficjentami końcowymi w odniesieniu do wszystkich innych produktów inwestycyjnych (w tym bezpośrednich inwestycji kapitałowych dokonywanych przez partnera wykonawczego). Komisarz ds. Informacji sporządza sprawozdanie wyszczególniające odsetek tego finansowania, które przyczynia się do realizacji celów cyfrowych, z wykorzystaniem metodyki określonej w załączniku VII do rozporządzenia w sprawie RRF.</w:t>
            </w:r>
          </w:p>
        </w:tc>
      </w:tr>
      <w:tr w:rsidR="006578ED" w14:paraId="43F220DB" w14:textId="77777777">
        <w:trPr>
          <w:trHeight w:val="915"/>
        </w:trPr>
        <w:tc>
          <w:tcPr>
            <w:tcW w:w="729" w:type="dxa"/>
            <w:shd w:val="clear" w:color="auto" w:fill="C6EFCE"/>
            <w:noWrap/>
          </w:tcPr>
          <w:p w14:paraId="1A22EBF1" w14:textId="01DCA8AB" w:rsidR="006578ED" w:rsidRDefault="00A1618E">
            <w:pPr>
              <w:pStyle w:val="P68B1DB1-Normal13"/>
              <w:spacing w:line="240" w:lineRule="auto"/>
              <w:jc w:val="center"/>
              <w:rPr>
                <w:rFonts w:eastAsia="Times New Roman" w:cs="Times New Roman"/>
                <w:noProof/>
              </w:rPr>
            </w:pPr>
            <w:r>
              <w:rPr>
                <w:noProof/>
              </w:rPr>
              <w:t>L79</w:t>
            </w:r>
          </w:p>
        </w:tc>
        <w:tc>
          <w:tcPr>
            <w:tcW w:w="752" w:type="dxa"/>
            <w:shd w:val="clear" w:color="auto" w:fill="C6EFCE"/>
            <w:noWrap/>
          </w:tcPr>
          <w:p w14:paraId="48C23F29" w14:textId="77777777" w:rsidR="006578ED" w:rsidRDefault="00A1618E">
            <w:pPr>
              <w:pStyle w:val="P68B1DB1-Normal13"/>
              <w:spacing w:line="240" w:lineRule="auto"/>
              <w:rPr>
                <w:rFonts w:cs="Times New Roman"/>
                <w:noProof/>
              </w:rPr>
            </w:pPr>
            <w:r>
              <w:rPr>
                <w:noProof/>
              </w:rPr>
              <w:t>C25.I3</w:t>
            </w:r>
          </w:p>
        </w:tc>
        <w:tc>
          <w:tcPr>
            <w:tcW w:w="851" w:type="dxa"/>
            <w:shd w:val="clear" w:color="auto" w:fill="C6EFCE"/>
            <w:noWrap/>
          </w:tcPr>
          <w:p w14:paraId="5EFDF417" w14:textId="1BCE42F7" w:rsidR="006578ED" w:rsidRDefault="00AF6B91">
            <w:pPr>
              <w:pStyle w:val="P68B1DB1-Normal13"/>
              <w:spacing w:line="240" w:lineRule="auto"/>
              <w:jc w:val="center"/>
              <w:rPr>
                <w:rFonts w:eastAsia="Times New Roman" w:cs="Times New Roman"/>
                <w:noProof/>
              </w:rPr>
            </w:pPr>
            <w:r>
              <w:rPr>
                <w:noProof/>
              </w:rPr>
              <w:t>Cel</w:t>
            </w:r>
          </w:p>
        </w:tc>
        <w:tc>
          <w:tcPr>
            <w:tcW w:w="2144" w:type="dxa"/>
            <w:shd w:val="clear" w:color="auto" w:fill="C6EFCE"/>
            <w:noWrap/>
          </w:tcPr>
          <w:p w14:paraId="4F89FB49" w14:textId="073C022D" w:rsidR="006578ED" w:rsidRDefault="00A1618E">
            <w:pPr>
              <w:pStyle w:val="P68B1DB1-Normal13"/>
              <w:spacing w:line="240" w:lineRule="auto"/>
              <w:rPr>
                <w:rFonts w:eastAsia="Times New Roman" w:cs="Times New Roman"/>
                <w:noProof/>
              </w:rPr>
            </w:pPr>
            <w:r>
              <w:rPr>
                <w:noProof/>
              </w:rPr>
              <w:t>Fundusz Centrum Audiowizualnego ICO: Prawne umowy o finansowaniu podpisane z beneficjentami końcowymi (w tym z funduszami kapitałowymi) (II).</w:t>
            </w:r>
          </w:p>
        </w:tc>
        <w:tc>
          <w:tcPr>
            <w:tcW w:w="1124" w:type="dxa"/>
            <w:shd w:val="clear" w:color="auto" w:fill="C6EFCE"/>
            <w:noWrap/>
          </w:tcPr>
          <w:p w14:paraId="7B79ECB1" w14:textId="77777777" w:rsidR="006578ED" w:rsidRDefault="006578ED">
            <w:pPr>
              <w:spacing w:line="240" w:lineRule="auto"/>
              <w:jc w:val="center"/>
              <w:rPr>
                <w:rFonts w:ascii="Times New Roman" w:eastAsia="Times New Roman" w:hAnsi="Times New Roman" w:cs="Times New Roman"/>
                <w:noProof/>
                <w:sz w:val="18"/>
              </w:rPr>
            </w:pPr>
          </w:p>
        </w:tc>
        <w:tc>
          <w:tcPr>
            <w:tcW w:w="746" w:type="dxa"/>
            <w:shd w:val="clear" w:color="auto" w:fill="C6EFCE"/>
            <w:noWrap/>
          </w:tcPr>
          <w:p w14:paraId="0F7A45F4" w14:textId="413E8D68" w:rsidR="006578ED" w:rsidRDefault="006578ED">
            <w:pPr>
              <w:spacing w:line="240" w:lineRule="auto"/>
              <w:jc w:val="center"/>
              <w:rPr>
                <w:rFonts w:ascii="Times New Roman" w:hAnsi="Times New Roman" w:cs="Times New Roman"/>
                <w:noProof/>
                <w:sz w:val="18"/>
              </w:rPr>
            </w:pPr>
          </w:p>
        </w:tc>
        <w:tc>
          <w:tcPr>
            <w:tcW w:w="567" w:type="dxa"/>
            <w:shd w:val="clear" w:color="auto" w:fill="C6EFCE"/>
            <w:noWrap/>
          </w:tcPr>
          <w:p w14:paraId="60DA5AA9" w14:textId="67449F47" w:rsidR="006578ED" w:rsidRDefault="00A1618E">
            <w:pPr>
              <w:pStyle w:val="P68B1DB1-Normal13"/>
              <w:spacing w:line="240" w:lineRule="auto"/>
              <w:jc w:val="center"/>
              <w:rPr>
                <w:rFonts w:cs="Times New Roman"/>
                <w:noProof/>
              </w:rPr>
            </w:pPr>
            <w:r>
              <w:rPr>
                <w:noProof/>
              </w:rPr>
              <w:t>50 %</w:t>
            </w:r>
          </w:p>
        </w:tc>
        <w:tc>
          <w:tcPr>
            <w:tcW w:w="683" w:type="dxa"/>
            <w:shd w:val="clear" w:color="auto" w:fill="C6EFCE"/>
            <w:noWrap/>
          </w:tcPr>
          <w:p w14:paraId="33D4E800" w14:textId="43CEC337" w:rsidR="006578ED" w:rsidRDefault="00A1618E">
            <w:pPr>
              <w:pStyle w:val="P68B1DB1-Normal13"/>
              <w:spacing w:line="240" w:lineRule="auto"/>
              <w:jc w:val="right"/>
              <w:rPr>
                <w:rFonts w:cs="Times New Roman"/>
                <w:noProof/>
              </w:rPr>
            </w:pPr>
            <w:r>
              <w:rPr>
                <w:noProof/>
              </w:rPr>
              <w:t>100 %</w:t>
            </w:r>
          </w:p>
        </w:tc>
        <w:tc>
          <w:tcPr>
            <w:tcW w:w="621" w:type="dxa"/>
            <w:shd w:val="clear" w:color="auto" w:fill="C6EFCE"/>
            <w:noWrap/>
          </w:tcPr>
          <w:p w14:paraId="09D52357" w14:textId="4482510F" w:rsidR="006578ED" w:rsidRDefault="00EC188C">
            <w:pPr>
              <w:pStyle w:val="P68B1DB1-Normal13"/>
              <w:spacing w:line="240" w:lineRule="auto"/>
              <w:jc w:val="center"/>
              <w:rPr>
                <w:rFonts w:eastAsia="Times New Roman" w:cs="Times New Roman"/>
                <w:noProof/>
              </w:rPr>
            </w:pPr>
            <w:r>
              <w:rPr>
                <w:noProof/>
              </w:rPr>
              <w:t>KW. 3</w:t>
            </w:r>
          </w:p>
        </w:tc>
        <w:tc>
          <w:tcPr>
            <w:tcW w:w="527" w:type="dxa"/>
            <w:shd w:val="clear" w:color="auto" w:fill="C6EFCE"/>
            <w:noWrap/>
          </w:tcPr>
          <w:p w14:paraId="50B98431" w14:textId="77777777" w:rsidR="006578ED" w:rsidRDefault="00A1618E">
            <w:pPr>
              <w:pStyle w:val="P68B1DB1-Normal13"/>
              <w:spacing w:line="240" w:lineRule="auto"/>
              <w:jc w:val="center"/>
              <w:rPr>
                <w:rFonts w:eastAsia="Times New Roman" w:cs="Times New Roman"/>
                <w:noProof/>
              </w:rPr>
            </w:pPr>
            <w:r>
              <w:rPr>
                <w:noProof/>
              </w:rPr>
              <w:t>2026</w:t>
            </w:r>
          </w:p>
        </w:tc>
        <w:tc>
          <w:tcPr>
            <w:tcW w:w="6249" w:type="dxa"/>
            <w:shd w:val="clear" w:color="auto" w:fill="C6EFCE"/>
            <w:noWrap/>
          </w:tcPr>
          <w:p w14:paraId="78111F7E" w14:textId="7C0181D2" w:rsidR="006578ED" w:rsidRDefault="00A1618E">
            <w:pPr>
              <w:pStyle w:val="P68B1DB1-Normal13"/>
              <w:spacing w:line="257" w:lineRule="auto"/>
              <w:rPr>
                <w:rFonts w:eastAsia="Times New Roman" w:cs="Times New Roman"/>
                <w:noProof/>
              </w:rPr>
            </w:pPr>
            <w:r>
              <w:rPr>
                <w:noProof/>
              </w:rPr>
              <w:t xml:space="preserve">ICO/Osi oraz pośrednicy wybrani przez ICO zawarli z beneficjentami końcowymi prawne umowy w sprawie finansowania na kwotę niezbędną do wykorzystania 100 % inwestycji RRF w instrument (z uwzględnieniem opłat za zarządzanie). Co najmniej 10 % finansowania odpowiada umowom finansowym podpisanym z funduszami kapitałowymi, a co najmniej 50 % – umowami w sprawie finansowania podpisanymi z beneficjentami końcowymi w odniesieniu do wszystkich innych produktów inwestycyjnych (w tym bezpośrednich inwestycji kapitałowych dokonywanych przez partnera wykonawczego). Komisarz ds. Informacji zapewnił również, </w:t>
            </w:r>
            <w:r w:rsidRPr="00A1618E">
              <w:rPr>
                <w:noProof/>
                <w:lang w:val="pl-PL"/>
              </w:rPr>
              <w:t>aby 1</w:t>
            </w:r>
            <w:r>
              <w:rPr>
                <w:noProof/>
              </w:rPr>
              <w:t>00 % tego finansowania przyczyniało się do realizacji celów cyfrowych przy użyciu metodyki określonej w załączniku VII do rozporządzenia w sprawie RRF.</w:t>
            </w:r>
          </w:p>
        </w:tc>
      </w:tr>
      <w:tr w:rsidR="006578ED" w14:paraId="031FE21A" w14:textId="77777777">
        <w:trPr>
          <w:trHeight w:val="309"/>
        </w:trPr>
        <w:tc>
          <w:tcPr>
            <w:tcW w:w="729" w:type="dxa"/>
            <w:shd w:val="clear" w:color="auto" w:fill="C6EFCE"/>
            <w:noWrap/>
          </w:tcPr>
          <w:p w14:paraId="3AE3439B" w14:textId="509D1C0F" w:rsidR="006578ED" w:rsidRDefault="00A1618E">
            <w:pPr>
              <w:pStyle w:val="P68B1DB1-Normal13"/>
              <w:spacing w:line="240" w:lineRule="auto"/>
              <w:jc w:val="center"/>
              <w:rPr>
                <w:rFonts w:eastAsia="Times New Roman" w:cs="Times New Roman"/>
                <w:noProof/>
              </w:rPr>
            </w:pPr>
            <w:r>
              <w:rPr>
                <w:noProof/>
              </w:rPr>
              <w:t>L80</w:t>
            </w:r>
          </w:p>
        </w:tc>
        <w:tc>
          <w:tcPr>
            <w:tcW w:w="752" w:type="dxa"/>
            <w:shd w:val="clear" w:color="auto" w:fill="C6EFCE"/>
            <w:noWrap/>
          </w:tcPr>
          <w:p w14:paraId="3BA5672D" w14:textId="77777777" w:rsidR="006578ED" w:rsidRDefault="00A1618E">
            <w:pPr>
              <w:pStyle w:val="P68B1DB1-Normal13"/>
              <w:spacing w:line="240" w:lineRule="auto"/>
              <w:jc w:val="center"/>
              <w:rPr>
                <w:rFonts w:cs="Times New Roman"/>
                <w:noProof/>
              </w:rPr>
            </w:pPr>
            <w:r>
              <w:rPr>
                <w:noProof/>
              </w:rPr>
              <w:t>C25.I3</w:t>
            </w:r>
          </w:p>
        </w:tc>
        <w:tc>
          <w:tcPr>
            <w:tcW w:w="851" w:type="dxa"/>
            <w:shd w:val="clear" w:color="auto" w:fill="C6EFCE"/>
            <w:noWrap/>
          </w:tcPr>
          <w:p w14:paraId="53740954" w14:textId="7647BC83" w:rsidR="006578ED" w:rsidRDefault="00AF6B91">
            <w:pPr>
              <w:pStyle w:val="P68B1DB1-Normal13"/>
              <w:spacing w:line="240" w:lineRule="auto"/>
              <w:jc w:val="center"/>
              <w:rPr>
                <w:rFonts w:eastAsia="Times New Roman" w:cs="Times New Roman"/>
                <w:noProof/>
              </w:rPr>
            </w:pPr>
            <w:r>
              <w:rPr>
                <w:noProof/>
              </w:rPr>
              <w:t>Kamień milowy</w:t>
            </w:r>
          </w:p>
        </w:tc>
        <w:tc>
          <w:tcPr>
            <w:tcW w:w="2144" w:type="dxa"/>
            <w:shd w:val="clear" w:color="auto" w:fill="C6EFCE"/>
            <w:noWrap/>
          </w:tcPr>
          <w:p w14:paraId="2596CF82" w14:textId="7C574AC4" w:rsidR="006578ED" w:rsidRDefault="00A1618E">
            <w:pPr>
              <w:pStyle w:val="P68B1DB1-Normal13"/>
              <w:spacing w:line="240" w:lineRule="auto"/>
              <w:rPr>
                <w:rFonts w:eastAsia="Times New Roman" w:cs="Times New Roman"/>
                <w:noProof/>
              </w:rPr>
            </w:pPr>
            <w:r>
              <w:rPr>
                <w:noProof/>
              </w:rPr>
              <w:t xml:space="preserve">Fundusz Centrum Audiowizualnego ICO: Ministerstwo zakończyło inwestycję </w:t>
            </w:r>
          </w:p>
        </w:tc>
        <w:tc>
          <w:tcPr>
            <w:tcW w:w="1124" w:type="dxa"/>
            <w:shd w:val="clear" w:color="auto" w:fill="C6EFCE"/>
            <w:noWrap/>
          </w:tcPr>
          <w:p w14:paraId="25A36899" w14:textId="77777777" w:rsidR="006578ED" w:rsidRDefault="006578ED">
            <w:pPr>
              <w:spacing w:line="240" w:lineRule="auto"/>
              <w:jc w:val="center"/>
              <w:rPr>
                <w:rFonts w:ascii="Times New Roman" w:eastAsia="Times New Roman" w:hAnsi="Times New Roman" w:cs="Times New Roman"/>
                <w:noProof/>
                <w:sz w:val="18"/>
              </w:rPr>
            </w:pPr>
          </w:p>
        </w:tc>
        <w:tc>
          <w:tcPr>
            <w:tcW w:w="746" w:type="dxa"/>
            <w:shd w:val="clear" w:color="auto" w:fill="C6EFCE"/>
            <w:noWrap/>
          </w:tcPr>
          <w:p w14:paraId="08F07C2B" w14:textId="5D61538D" w:rsidR="006578ED" w:rsidRDefault="00A1618E">
            <w:pPr>
              <w:pStyle w:val="P68B1DB1-Normal13"/>
              <w:tabs>
                <w:tab w:val="left" w:pos="210"/>
                <w:tab w:val="center" w:pos="291"/>
              </w:tabs>
              <w:spacing w:after="0" w:line="240" w:lineRule="auto"/>
              <w:jc w:val="center"/>
              <w:rPr>
                <w:rFonts w:cs="Times New Roman"/>
                <w:noProof/>
              </w:rPr>
            </w:pPr>
            <w:r>
              <w:rPr>
                <w:noProof/>
              </w:rPr>
              <w:t>W mln EUR</w:t>
            </w:r>
          </w:p>
        </w:tc>
        <w:tc>
          <w:tcPr>
            <w:tcW w:w="567" w:type="dxa"/>
            <w:shd w:val="clear" w:color="auto" w:fill="C6EFCE"/>
            <w:noWrap/>
          </w:tcPr>
          <w:p w14:paraId="0CD83525" w14:textId="680D76AB" w:rsidR="006578ED" w:rsidRDefault="00A1618E">
            <w:pPr>
              <w:pStyle w:val="P68B1DB1-Normal13"/>
              <w:tabs>
                <w:tab w:val="left" w:pos="210"/>
                <w:tab w:val="center" w:pos="291"/>
              </w:tabs>
              <w:spacing w:after="0" w:line="240" w:lineRule="auto"/>
              <w:jc w:val="center"/>
              <w:rPr>
                <w:rFonts w:cs="Times New Roman"/>
                <w:noProof/>
              </w:rPr>
            </w:pPr>
            <w:r>
              <w:rPr>
                <w:noProof/>
              </w:rPr>
              <w:t>0</w:t>
            </w:r>
          </w:p>
        </w:tc>
        <w:tc>
          <w:tcPr>
            <w:tcW w:w="683" w:type="dxa"/>
            <w:shd w:val="clear" w:color="auto" w:fill="C6EFCE"/>
            <w:noWrap/>
          </w:tcPr>
          <w:p w14:paraId="5D7B96C5" w14:textId="011C2A51" w:rsidR="006578ED" w:rsidRDefault="00A1618E">
            <w:pPr>
              <w:pStyle w:val="P68B1DB1-Normal13"/>
              <w:tabs>
                <w:tab w:val="left" w:pos="210"/>
                <w:tab w:val="center" w:pos="291"/>
              </w:tabs>
              <w:spacing w:after="0" w:line="240" w:lineRule="auto"/>
              <w:jc w:val="center"/>
              <w:rPr>
                <w:rFonts w:cs="Times New Roman"/>
                <w:noProof/>
              </w:rPr>
            </w:pPr>
            <w:r>
              <w:rPr>
                <w:noProof/>
              </w:rPr>
              <w:t xml:space="preserve">1 712 </w:t>
            </w:r>
          </w:p>
        </w:tc>
        <w:tc>
          <w:tcPr>
            <w:tcW w:w="621" w:type="dxa"/>
            <w:shd w:val="clear" w:color="auto" w:fill="C6EFCE"/>
            <w:noWrap/>
          </w:tcPr>
          <w:p w14:paraId="6953E499" w14:textId="1B46439E" w:rsidR="006578ED" w:rsidRDefault="00EC188C">
            <w:pPr>
              <w:pStyle w:val="P68B1DB1-Normal13"/>
              <w:tabs>
                <w:tab w:val="left" w:pos="210"/>
                <w:tab w:val="center" w:pos="291"/>
              </w:tabs>
              <w:spacing w:after="0" w:line="240" w:lineRule="auto"/>
              <w:jc w:val="center"/>
              <w:rPr>
                <w:rFonts w:cs="Times New Roman"/>
                <w:noProof/>
              </w:rPr>
            </w:pPr>
            <w:r>
              <w:rPr>
                <w:noProof/>
              </w:rPr>
              <w:t>KW. 3</w:t>
            </w:r>
          </w:p>
        </w:tc>
        <w:tc>
          <w:tcPr>
            <w:tcW w:w="527" w:type="dxa"/>
            <w:shd w:val="clear" w:color="auto" w:fill="C6EFCE"/>
            <w:noWrap/>
          </w:tcPr>
          <w:p w14:paraId="5275A409" w14:textId="77777777" w:rsidR="006578ED" w:rsidRDefault="00A1618E">
            <w:pPr>
              <w:pStyle w:val="P68B1DB1-Normal13"/>
              <w:spacing w:line="240" w:lineRule="auto"/>
              <w:jc w:val="center"/>
              <w:rPr>
                <w:rFonts w:eastAsia="Times New Roman" w:cs="Times New Roman"/>
                <w:noProof/>
              </w:rPr>
            </w:pPr>
            <w:r>
              <w:rPr>
                <w:noProof/>
              </w:rPr>
              <w:t>2026</w:t>
            </w:r>
          </w:p>
        </w:tc>
        <w:tc>
          <w:tcPr>
            <w:tcW w:w="6249" w:type="dxa"/>
            <w:shd w:val="clear" w:color="auto" w:fill="C6EFCE"/>
            <w:noWrap/>
          </w:tcPr>
          <w:p w14:paraId="0622E10A" w14:textId="4E99A256" w:rsidR="006578ED" w:rsidRDefault="00A1618E">
            <w:pPr>
              <w:pStyle w:val="P68B1DB1-Normal13"/>
              <w:spacing w:line="240" w:lineRule="auto"/>
              <w:rPr>
                <w:rFonts w:eastAsia="Times New Roman" w:cs="Times New Roman"/>
                <w:noProof/>
              </w:rPr>
            </w:pPr>
            <w:r>
              <w:rPr>
                <w:noProof/>
              </w:rPr>
              <w:t>Hiszpania przesunie 1 712 000 000 EUR na rzecz ICO na rzecz Instrumentu.</w:t>
            </w:r>
          </w:p>
        </w:tc>
      </w:tr>
    </w:tbl>
    <w:p w14:paraId="7931AC06" w14:textId="77777777" w:rsidR="006578ED" w:rsidRDefault="006578ED">
      <w:pPr>
        <w:rPr>
          <w:rFonts w:ascii="Times New Roman" w:hAnsi="Times New Roman" w:cs="Times New Roman"/>
          <w:noProof/>
        </w:rPr>
      </w:pPr>
    </w:p>
    <w:p w14:paraId="01A16550" w14:textId="77777777" w:rsidR="006578ED" w:rsidRDefault="006578ED">
      <w:pPr>
        <w:pStyle w:val="Text1"/>
        <w:rPr>
          <w:rFonts w:ascii="Times New Roman" w:hAnsi="Times New Roman" w:cs="Times New Roman"/>
          <w:noProof/>
        </w:rPr>
        <w:sectPr w:rsidR="006578ED" w:rsidSect="00C94F66">
          <w:headerReference w:type="even" r:id="rId489"/>
          <w:headerReference w:type="default" r:id="rId490"/>
          <w:footerReference w:type="even" r:id="rId491"/>
          <w:footerReference w:type="default" r:id="rId492"/>
          <w:headerReference w:type="first" r:id="rId493"/>
          <w:footerReference w:type="first" r:id="rId494"/>
          <w:pgSz w:w="16839" w:h="11907" w:orient="landscape"/>
          <w:pgMar w:top="1417" w:right="1134" w:bottom="1417" w:left="1134" w:header="709" w:footer="709" w:gutter="0"/>
          <w:cols w:space="720"/>
          <w:docGrid w:linePitch="360"/>
        </w:sectPr>
      </w:pPr>
    </w:p>
    <w:p w14:paraId="27B84D4F" w14:textId="77777777" w:rsidR="006578ED" w:rsidRDefault="00A1618E">
      <w:pPr>
        <w:pStyle w:val="P68B1DB1-Heading12"/>
        <w:rPr>
          <w:rFonts w:cs="Times New Roman"/>
          <w:noProof/>
        </w:rPr>
      </w:pPr>
      <w:r>
        <w:rPr>
          <w:noProof/>
        </w:rPr>
        <w:t xml:space="preserve">Z. KOMPONENT 26: Promowanie sportu </w:t>
      </w:r>
    </w:p>
    <w:p w14:paraId="647A9FB9" w14:textId="2975D88A" w:rsidR="006578ED" w:rsidRDefault="00A1618E">
      <w:pPr>
        <w:pStyle w:val="P68B1DB1-Text119"/>
        <w:ind w:left="0"/>
        <w:rPr>
          <w:rFonts w:cs="Times New Roman"/>
          <w:noProof/>
        </w:rPr>
      </w:pPr>
      <w:r>
        <w:rPr>
          <w:noProof/>
        </w:rPr>
        <w:t xml:space="preserve">Zgodnie z hiszpańskim planem odbudowy i zwiększania odporności sektor sportu stanowi 3,1 % PKB w Hiszpanii i zapewnia bezpośrednio lub pośrednio 2,1 % całkowitego zatrudnienia w tym kraju. </w:t>
      </w:r>
    </w:p>
    <w:p w14:paraId="4F4E613F" w14:textId="0A2E0239" w:rsidR="006578ED" w:rsidRDefault="00A1618E">
      <w:pPr>
        <w:pStyle w:val="P68B1DB1-Text119"/>
        <w:ind w:left="0"/>
        <w:rPr>
          <w:rFonts w:cs="Times New Roman"/>
          <w:noProof/>
        </w:rPr>
      </w:pPr>
      <w:r>
        <w:rPr>
          <w:noProof/>
        </w:rPr>
        <w:t>Głównym celem tego komponentu hiszpańskiego planu odbudowy i zwiększania odporności jest wzmocnienie transformacji sektora sportu poprzez cyfryzację organizacji sportowych oraz modernizację obiektów sportowych, aby zapewnić ich zrównoważenie środowiskowe i dostępność. Wspiera on również promocję sportu w celach zdrowotnych, w szczególności poprzez lepszy dostęp do aktywności fizycznej na obszarach zagrożonych wyludnieniem, a także poprzez badania w tej dziedzinie. Ponadto komponent ten obejmuje ukierunkowane inwestycje mające na celu wspieranie udziału kobiet w sporcie zawodowym i amatorskim.</w:t>
      </w:r>
    </w:p>
    <w:p w14:paraId="0CF598BD" w14:textId="2E7F7AF7" w:rsidR="006578ED" w:rsidRDefault="00A1618E">
      <w:pPr>
        <w:pStyle w:val="P68B1DB1-Normal4"/>
        <w:tabs>
          <w:tab w:val="left" w:pos="1134"/>
        </w:tabs>
        <w:spacing w:before="120" w:after="120" w:line="240" w:lineRule="auto"/>
        <w:jc w:val="both"/>
        <w:rPr>
          <w:rFonts w:cs="Times New Roman"/>
          <w:noProof/>
        </w:rPr>
      </w:pPr>
      <w:r>
        <w:rPr>
          <w:noProof/>
        </w:rPr>
        <w:t xml:space="preserve">Komponent ten odnosi się do zaleceń dla poszczególnych krajów w sprawie promowania inwestycji w innowacje i w efektywność energetyczną (zalecenie dla poszczególnych krajów </w:t>
      </w:r>
      <w:r w:rsidRPr="00A1618E">
        <w:rPr>
          <w:noProof/>
          <w:lang w:val="pl-PL"/>
        </w:rPr>
        <w:t>nr 3</w:t>
      </w:r>
      <w:r>
        <w:rPr>
          <w:noProof/>
        </w:rPr>
        <w:t xml:space="preserve"> z 20</w:t>
      </w:r>
      <w:r w:rsidRPr="00A1618E">
        <w:rPr>
          <w:noProof/>
          <w:lang w:val="pl-PL"/>
        </w:rPr>
        <w:t>19 r.</w:t>
      </w:r>
      <w:r>
        <w:rPr>
          <w:noProof/>
        </w:rPr>
        <w:t xml:space="preserve">), promowania inwestycji publicznych i prywatnych oraz wspierania transformacji ekologicznej (zalecenia dla poszczególnych krajów </w:t>
      </w:r>
      <w:r w:rsidRPr="00A1618E">
        <w:rPr>
          <w:noProof/>
          <w:lang w:val="pl-PL"/>
        </w:rPr>
        <w:t>nr 1</w:t>
      </w:r>
      <w:r>
        <w:rPr>
          <w:noProof/>
        </w:rPr>
        <w:t xml:space="preserve"> 2023, 1 2022 i 3 2020) oraz wzmocnienia odporności systemu opieki zdrowotnej (zalecenie dla poszczególnych krajów </w:t>
      </w:r>
      <w:r w:rsidRPr="00A1618E">
        <w:rPr>
          <w:noProof/>
          <w:lang w:val="pl-PL"/>
        </w:rPr>
        <w:t>nr 1</w:t>
      </w:r>
      <w:r>
        <w:rPr>
          <w:noProof/>
        </w:rPr>
        <w:t> 2020).</w:t>
      </w:r>
    </w:p>
    <w:p w14:paraId="44F13EE3" w14:textId="43F8CAA8" w:rsidR="006578ED" w:rsidRDefault="00A1618E">
      <w:pPr>
        <w:pStyle w:val="P68B1DB1-Text119"/>
        <w:ind w:left="0"/>
        <w:rPr>
          <w:rFonts w:cs="Times New Roman"/>
          <w:noProof/>
        </w:rPr>
      </w:pPr>
      <w:r>
        <w:rPr>
          <w:noProof/>
        </w:rPr>
        <w:t>Komponent ten wspiera i uzupełnia działania przewidziane w innych częściach planu, takie jak działania promujące zdrowy styl życia w komponencie 18 (Reforma systemu opieki zdrowotnej). Poprzez optymalizację i modernizację istniejącej infrastruktury sportowej będzie ona również uzupełniać środki podejmowane w ramach komponentu 2 (Renowacja) i wspierać transformację sektora turystyki w Hiszpanii zgodnie z komponentem 14 (Turystyka).</w:t>
      </w:r>
    </w:p>
    <w:p w14:paraId="76065517" w14:textId="4BD70D58" w:rsidR="006578ED" w:rsidRDefault="00A1618E">
      <w:pPr>
        <w:pStyle w:val="P68B1DB1-Text119"/>
        <w:ind w:left="0"/>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6BFB5042" w14:textId="42B0C546" w:rsidR="006578ED" w:rsidRDefault="00A1618E">
      <w:pPr>
        <w:pStyle w:val="P68B1DB1-Text138"/>
        <w:ind w:left="709"/>
        <w:rPr>
          <w:rFonts w:cs="Times New Roman"/>
          <w:i/>
          <w:noProof/>
        </w:rPr>
      </w:pPr>
      <w:r>
        <w:rPr>
          <w:noProof/>
        </w:rPr>
        <w:t xml:space="preserve">Z.1. </w:t>
      </w:r>
      <w:r>
        <w:rPr>
          <w:noProof/>
        </w:rPr>
        <w:tab/>
        <w:t>Opis reform i inwestycji, które mają być finansowane z bezzwrotnego wsparcia finansowego</w:t>
      </w:r>
    </w:p>
    <w:p w14:paraId="2342EC63" w14:textId="6C06EF3C" w:rsidR="006578ED" w:rsidRDefault="00A1618E">
      <w:pPr>
        <w:pStyle w:val="P68B1DB1-Normal6"/>
        <w:spacing w:line="240" w:lineRule="auto"/>
        <w:rPr>
          <w:rFonts w:cs="Times New Roman"/>
          <w:noProof/>
        </w:rPr>
      </w:pPr>
      <w:r>
        <w:rPr>
          <w:noProof/>
        </w:rPr>
        <w:t>Reforma 1 (C26.R1) – Ustawa o sporcie</w:t>
      </w:r>
    </w:p>
    <w:p w14:paraId="597367E8" w14:textId="1FAD2EE7" w:rsidR="006578ED" w:rsidRDefault="00A1618E">
      <w:pPr>
        <w:pStyle w:val="P68B1DB1-Normal4"/>
        <w:spacing w:line="240" w:lineRule="auto"/>
        <w:jc w:val="both"/>
        <w:rPr>
          <w:rFonts w:cs="Times New Roman"/>
          <w:noProof/>
        </w:rPr>
      </w:pPr>
      <w:r>
        <w:rPr>
          <w:noProof/>
        </w:rPr>
        <w:t xml:space="preserve">Celem tego środka ustawodawczego jest zapewnienie zdrowia i bezpieczeństwa uprawiania sportu na wszystkich szczeblach, uwzględnienie aspektów równości płci, dostępności i spójności społecznej w regulowaniu sportu, modernizacja organizacji i infrastruktury sportowej poprzez cyfryzację i ich transformację ekologiczną oraz promowanie umiędzynarodowienia tego sektora. Przepisy dostosowują struktury organizacyjne sportu do obecnych wyzwań, przed którymi stoi, z uwzględnieniem wniosków wyciągniętych z pandemii. </w:t>
      </w:r>
    </w:p>
    <w:p w14:paraId="3B66163C" w14:textId="49FECBCF" w:rsidR="006578ED" w:rsidRDefault="00A1618E">
      <w:pPr>
        <w:pStyle w:val="P68B1DB1-Normal4"/>
        <w:spacing w:line="240" w:lineRule="auto"/>
        <w:rPr>
          <w:rFonts w:cs="Times New Roman"/>
          <w:noProof/>
        </w:rPr>
      </w:pPr>
      <w:r>
        <w:rPr>
          <w:noProof/>
        </w:rPr>
        <w:t>Wdrożenie środka należy zakończyć do dnia 31 grudnia 20</w:t>
      </w:r>
      <w:r w:rsidRPr="00A1618E">
        <w:rPr>
          <w:noProof/>
          <w:lang w:val="pl-PL"/>
        </w:rPr>
        <w:t>22 r.</w:t>
      </w:r>
    </w:p>
    <w:p w14:paraId="566FC54D" w14:textId="5D6ECCB0" w:rsidR="006578ED" w:rsidRDefault="00A1618E">
      <w:pPr>
        <w:pStyle w:val="P68B1DB1-Normal6"/>
        <w:spacing w:line="240" w:lineRule="auto"/>
        <w:rPr>
          <w:rFonts w:cs="Times New Roman"/>
          <w:noProof/>
        </w:rPr>
      </w:pPr>
      <w:r>
        <w:rPr>
          <w:noProof/>
        </w:rPr>
        <w:t>Reforma 2 (C26.R2) – Ustawa o zawodach sportowych</w:t>
      </w:r>
    </w:p>
    <w:p w14:paraId="18F0FC15" w14:textId="6E2941E4" w:rsidR="006578ED" w:rsidRDefault="00A1618E">
      <w:pPr>
        <w:pStyle w:val="P68B1DB1-Normal4"/>
        <w:spacing w:line="240" w:lineRule="auto"/>
        <w:jc w:val="both"/>
        <w:rPr>
          <w:rFonts w:cs="Times New Roman"/>
          <w:noProof/>
        </w:rPr>
      </w:pPr>
      <w:r>
        <w:rPr>
          <w:noProof/>
        </w:rPr>
        <w:t>Celem tego środka ustawodawczego jest zapewnienie, aby regulacja nowych zawodów sportowych nie powodowała przeszkód w zakładaniu i świadczeniu usług na terytorium Hiszpanii. Środek ma na celu sprostanie wyzwaniom wynikającym z niejednorodności regulacyjnej na szczeblu regionalnym (w tym różnych wymogów dotyczących dostępu w poszczególnych regionach). Środek zapewnia zgodność z prawem UE, w szczególności z zasadami konieczności i proporcjonalności.</w:t>
      </w:r>
    </w:p>
    <w:p w14:paraId="700374B0" w14:textId="28CAE2DF" w:rsidR="006578ED" w:rsidRDefault="00A1618E">
      <w:pPr>
        <w:pStyle w:val="P68B1DB1-Normal4"/>
        <w:spacing w:line="240" w:lineRule="auto"/>
        <w:rPr>
          <w:rFonts w:cs="Times New Roman"/>
          <w:noProof/>
        </w:rPr>
      </w:pPr>
      <w:r>
        <w:rPr>
          <w:noProof/>
        </w:rPr>
        <w:t>Wdrożenie środka zostanie zakończone do dnia 31 grudnia 20</w:t>
      </w:r>
      <w:r w:rsidRPr="00A1618E">
        <w:rPr>
          <w:noProof/>
          <w:lang w:val="pl-PL"/>
        </w:rPr>
        <w:t>23 r.</w:t>
      </w:r>
    </w:p>
    <w:p w14:paraId="4FA07394" w14:textId="77777777" w:rsidR="006578ED" w:rsidRDefault="00A1618E">
      <w:pPr>
        <w:pStyle w:val="P68B1DB1-Normal6"/>
        <w:keepNext/>
        <w:spacing w:line="240" w:lineRule="auto"/>
        <w:rPr>
          <w:rFonts w:cs="Times New Roman"/>
          <w:noProof/>
        </w:rPr>
      </w:pPr>
      <w:r>
        <w:rPr>
          <w:noProof/>
        </w:rPr>
        <w:t>Reforma 3 (C26.R3) – Krajowa strategia na rzecz promowania sportu</w:t>
      </w:r>
    </w:p>
    <w:p w14:paraId="597EE77B" w14:textId="694C1277" w:rsidR="006578ED" w:rsidRDefault="00A1618E">
      <w:pPr>
        <w:pStyle w:val="P68B1DB1-Normal4"/>
        <w:keepNext/>
        <w:spacing w:line="240" w:lineRule="auto"/>
        <w:jc w:val="both"/>
        <w:rPr>
          <w:rFonts w:cs="Times New Roman"/>
          <w:noProof/>
        </w:rPr>
      </w:pPr>
      <w:r>
        <w:rPr>
          <w:noProof/>
        </w:rPr>
        <w:t xml:space="preserve">Celem tej strategii jest promowanie uprawiania sportu w celu uniknięcia negatywnych skutków, jakie siedzący tryb życia i brak aktywności fizycznej mogą mieć dla zdrowia i dobrego samopoczucia. Środek ten obejmuje między innymi: działania mające na celu wprowadzenie dobrych praktyk i zdrowych nawyków; narzędzie analityczne służące do pomiaru i poprawy wpływu strategii. </w:t>
      </w:r>
    </w:p>
    <w:p w14:paraId="7483370B" w14:textId="4750A1D5" w:rsidR="006578ED" w:rsidRDefault="00A1618E">
      <w:pPr>
        <w:pStyle w:val="P68B1DB1-Normal4"/>
        <w:spacing w:line="240" w:lineRule="auto"/>
        <w:rPr>
          <w:rFonts w:cs="Times New Roman"/>
          <w:noProof/>
        </w:rPr>
      </w:pPr>
      <w:r>
        <w:rPr>
          <w:noProof/>
        </w:rPr>
        <w:t>Wdrożenie środka zostanie zakończone do dnia 31 grudnia 20</w:t>
      </w:r>
      <w:r w:rsidRPr="00A1618E">
        <w:rPr>
          <w:noProof/>
          <w:lang w:val="pl-PL"/>
        </w:rPr>
        <w:t>23 r.</w:t>
      </w:r>
      <w:r>
        <w:rPr>
          <w:noProof/>
        </w:rPr>
        <w:t xml:space="preserve"> </w:t>
      </w:r>
    </w:p>
    <w:p w14:paraId="68E38745" w14:textId="7432828D" w:rsidR="006578ED" w:rsidRDefault="00A1618E">
      <w:pPr>
        <w:pStyle w:val="P68B1DB1-Normal6"/>
        <w:spacing w:line="240" w:lineRule="auto"/>
        <w:rPr>
          <w:rFonts w:cs="Times New Roman"/>
          <w:noProof/>
        </w:rPr>
      </w:pPr>
      <w:r>
        <w:rPr>
          <w:noProof/>
        </w:rPr>
        <w:t xml:space="preserve">Inwestycja 1 (C26.I1) – Cyfrowy plan w dziedzinie sportu </w:t>
      </w:r>
    </w:p>
    <w:p w14:paraId="7BC96004" w14:textId="2A06036E" w:rsidR="006578ED" w:rsidRDefault="00A1618E">
      <w:pPr>
        <w:pStyle w:val="P68B1DB1-Normal4"/>
        <w:spacing w:line="240" w:lineRule="auto"/>
        <w:jc w:val="both"/>
        <w:rPr>
          <w:rFonts w:cs="Times New Roman"/>
          <w:noProof/>
        </w:rPr>
      </w:pPr>
      <w:r>
        <w:rPr>
          <w:noProof/>
        </w:rPr>
        <w:t>Celem tego środka jest cyfryzacja federacji sportowych, w tym zarządzanie ich budżetem i procedury przyznawania licencji sportowych. Usprawnia ona również analizę danych pochodzących z uprawiania sportu, w tym do celów promowania zdrowego stylu życia i do celów badawczych. Ponadto wspiera cyfryzację publicznych ośrodków medycyny sportowej i walkę z dopingiem.</w:t>
      </w:r>
    </w:p>
    <w:p w14:paraId="7775869D" w14:textId="447FE77B" w:rsidR="006578ED" w:rsidRPr="00A1618E" w:rsidRDefault="00A1618E">
      <w:pPr>
        <w:pStyle w:val="P68B1DB1-Normal4"/>
        <w:spacing w:line="240" w:lineRule="auto"/>
        <w:rPr>
          <w:rFonts w:cs="Times New Roman"/>
          <w:noProof/>
          <w:lang w:val="pl-PL"/>
        </w:rPr>
      </w:pPr>
      <w:r>
        <w:rPr>
          <w:noProof/>
        </w:rPr>
        <w:t>Wdrożenie reformy zostanie zakończone do dnia 30 września 20</w:t>
      </w:r>
      <w:r w:rsidRPr="00A1618E">
        <w:rPr>
          <w:noProof/>
          <w:lang w:val="pl-PL"/>
        </w:rPr>
        <w:t>25 r.</w:t>
      </w:r>
      <w:r>
        <w:rPr>
          <w:noProof/>
        </w:rPr>
        <w:t xml:space="preserve"> </w:t>
      </w:r>
    </w:p>
    <w:p w14:paraId="72BA3D54" w14:textId="12A51C29" w:rsidR="006578ED" w:rsidRDefault="00A1618E">
      <w:pPr>
        <w:pStyle w:val="P68B1DB1-Normal6"/>
        <w:spacing w:line="240" w:lineRule="auto"/>
        <w:rPr>
          <w:rFonts w:cs="Times New Roman"/>
          <w:noProof/>
        </w:rPr>
      </w:pPr>
      <w:r w:rsidRPr="00A1618E">
        <w:rPr>
          <w:noProof/>
          <w:lang w:val="pl-PL"/>
        </w:rPr>
        <w:t>I</w:t>
      </w:r>
      <w:r>
        <w:rPr>
          <w:noProof/>
        </w:rPr>
        <w:t xml:space="preserve">nwestycja 2 (C26.I2) – Plan transformacji ekologicznej obiektów sportowych </w:t>
      </w:r>
    </w:p>
    <w:p w14:paraId="6DCFA8F0" w14:textId="1B545E25" w:rsidR="006578ED" w:rsidRDefault="00A1618E">
      <w:pPr>
        <w:pStyle w:val="P68B1DB1-Normal4"/>
        <w:spacing w:line="240" w:lineRule="auto"/>
        <w:jc w:val="both"/>
        <w:rPr>
          <w:rFonts w:cs="Times New Roman"/>
          <w:noProof/>
        </w:rPr>
      </w:pPr>
      <w:r>
        <w:rPr>
          <w:noProof/>
        </w:rPr>
        <w:t xml:space="preserve">Celem tego środka jest modernizacja istniejących obiektów sportowych, w tym obiektów sportowych, które mogą przyciągać turystykę i centra sportowe o wysokiej wydajności. Należy to osiągnąć poprzez ich cyfryzację w celu optymalnego wykorzystania oraz poprzez poprawę ich efektywności energetycznej, która zgodnie z oczekiwaniami ma przynieść oszczędności rzędu co najmniej 30 % zapotrzebowania na energię pierwotną. Środek ten wspiera również sport na obszarach wiejskich poprzez utworzenie sieci monitorów zachęcających do aktywności fizycznej. </w:t>
      </w:r>
    </w:p>
    <w:p w14:paraId="5290EEE8" w14:textId="022237DB" w:rsidR="006578ED" w:rsidRDefault="00A1618E">
      <w:pPr>
        <w:spacing w:line="240" w:lineRule="auto"/>
        <w:jc w:val="both"/>
        <w:rPr>
          <w:rFonts w:ascii="Times New Roman" w:hAnsi="Times New Roman" w:cs="Times New Roman"/>
          <w:noProof/>
          <w:sz w:val="24"/>
        </w:rPr>
      </w:pPr>
      <w:r>
        <w:rPr>
          <w:rFonts w:ascii="Times New Roman" w:hAnsi="Times New Roman"/>
          <w:noProof/>
          <w:sz w:val="24"/>
        </w:rPr>
        <w:t xml:space="preserve">Kryteria wyboru dotyczące inwestycji realizowanych w ramach tego komponentu zapewniają zgodność </w:t>
      </w:r>
      <w:r w:rsidRPr="00A1618E">
        <w:rPr>
          <w:rFonts w:ascii="Times New Roman" w:hAnsi="Times New Roman"/>
          <w:noProof/>
          <w:sz w:val="24"/>
          <w:lang w:val="pl-PL"/>
        </w:rPr>
        <w:t>ze 1</w:t>
      </w:r>
      <w:r>
        <w:rPr>
          <w:rFonts w:ascii="Times New Roman" w:hAnsi="Times New Roman"/>
          <w:noProof/>
          <w:sz w:val="24"/>
        </w:rPr>
        <w:t>00 % monitorowaniem wydatków na cele związane z klimatem w wysokości co najmniej 106 000 000 EUR. Stosowane wskaźniki poprawy charakterystyki energetycznej są akredytowane za pomocą odpowiedniego świadectwa charakterystyki energetycznej w ramach dyrektywy Parlamentu Europejskiego i Rady 2010/31/UE z dnia 19 maja 20</w:t>
      </w:r>
      <w:r w:rsidRPr="00A1618E">
        <w:rPr>
          <w:rFonts w:ascii="Times New Roman" w:hAnsi="Times New Roman"/>
          <w:noProof/>
          <w:sz w:val="24"/>
          <w:lang w:val="pl-PL"/>
        </w:rPr>
        <w:t>10 r.</w:t>
      </w:r>
      <w:r>
        <w:rPr>
          <w:rFonts w:ascii="Times New Roman" w:hAnsi="Times New Roman"/>
          <w:noProof/>
          <w:sz w:val="24"/>
        </w:rPr>
        <w:t xml:space="preserve"> w sprawie charakterystyki energetycznej budynków.</w:t>
      </w:r>
      <w:r>
        <w:rPr>
          <w:rStyle w:val="FootnoteReference"/>
          <w:rFonts w:ascii="Times New Roman" w:hAnsi="Times New Roman" w:cs="Times New Roman"/>
          <w:noProof/>
          <w:sz w:val="24"/>
        </w:rPr>
        <w:footnoteReference w:id="211"/>
      </w:r>
    </w:p>
    <w:p w14:paraId="1D2A0D87" w14:textId="34A91968" w:rsidR="006578ED" w:rsidRDefault="00A1618E">
      <w:pPr>
        <w:pStyle w:val="P68B1DB1-Normal4"/>
        <w:spacing w:line="240" w:lineRule="auto"/>
        <w:rPr>
          <w:rFonts w:cs="Times New Roman"/>
          <w:noProof/>
        </w:rPr>
      </w:pPr>
      <w:r>
        <w:rPr>
          <w:noProof/>
        </w:rPr>
        <w:t>Realizacja inwestycji zostanie zakończona do dnia 31 grudnia 20</w:t>
      </w:r>
      <w:r w:rsidRPr="00A1618E">
        <w:rPr>
          <w:noProof/>
          <w:lang w:val="pl-PL"/>
        </w:rPr>
        <w:t>25 r.</w:t>
      </w:r>
      <w:r>
        <w:rPr>
          <w:noProof/>
        </w:rPr>
        <w:t xml:space="preserve"> </w:t>
      </w:r>
    </w:p>
    <w:p w14:paraId="7155C650" w14:textId="77777777" w:rsidR="006578ED" w:rsidRDefault="00A1618E">
      <w:pPr>
        <w:pStyle w:val="P68B1DB1-Normal6"/>
        <w:spacing w:line="240" w:lineRule="auto"/>
        <w:rPr>
          <w:rFonts w:cs="Times New Roman"/>
          <w:noProof/>
        </w:rPr>
      </w:pPr>
      <w:r>
        <w:rPr>
          <w:noProof/>
        </w:rPr>
        <w:t>Inwestycja 3 (C26.I3) – Plan społeczny na rzecz sportu</w:t>
      </w:r>
    </w:p>
    <w:p w14:paraId="02A5D5D7" w14:textId="5381B914" w:rsidR="006578ED" w:rsidRDefault="00A1618E">
      <w:pPr>
        <w:pStyle w:val="P68B1DB1-Normal4"/>
        <w:spacing w:line="240" w:lineRule="auto"/>
        <w:jc w:val="both"/>
        <w:rPr>
          <w:rFonts w:cs="Times New Roman"/>
          <w:noProof/>
          <w:u w:val="single"/>
        </w:rPr>
      </w:pPr>
      <w:r>
        <w:rPr>
          <w:noProof/>
        </w:rPr>
        <w:t>Cel tego środka jest dwojaki. Z jednej strony ma on na celu modernizację istniejących obiektów sportowych poprzez poprawę ich cyfryzacji, efektywności energetycznej i dostępności, aby umożliwić Hiszpanii ubieganie się o organizację międzynarodowych zawodów sportowych. Z drugiej strony ma on na celu promowanie udziału kobiet w sporcie zawodowym poprzez działania mające na celu zwiększenie ich obecności i widoczności, szkolenia oraz umożliwienie profesjonalizacji sportu kobiecego, zwłaszcza piłki nożnej.</w:t>
      </w:r>
      <w:r>
        <w:rPr>
          <w:noProof/>
          <w:u w:val="single"/>
        </w:rPr>
        <w:t xml:space="preserve"> </w:t>
      </w:r>
    </w:p>
    <w:p w14:paraId="2F094670" w14:textId="47B10043" w:rsidR="006578ED" w:rsidRDefault="00A1618E">
      <w:pPr>
        <w:pStyle w:val="P68B1DB1-Normal4"/>
        <w:spacing w:line="240" w:lineRule="auto"/>
        <w:jc w:val="both"/>
        <w:rPr>
          <w:rFonts w:cs="Times New Roman"/>
          <w:noProof/>
        </w:rPr>
      </w:pPr>
      <w:r>
        <w:rPr>
          <w:noProof/>
        </w:rPr>
        <w:t xml:space="preserve">Kryteria wyboru inwestycji realizowanych w ramach tego komponentu zapewniają zgodność </w:t>
      </w:r>
      <w:r w:rsidRPr="00A1618E">
        <w:rPr>
          <w:noProof/>
          <w:lang w:val="pl-PL"/>
        </w:rPr>
        <w:t>ze 1</w:t>
      </w:r>
      <w:r>
        <w:rPr>
          <w:noProof/>
        </w:rPr>
        <w:t>00 % monitorowaniem wydatków na cele związane z klimatem w odniesieniu do co najmniej 27 500 000 EUR z całkowitej inwestycji. Stosowane wskaźniki poprawy charakterystyki energetycznej są akredytowane za pomocą odpowiedniego świadectwa charakterystyki energetycznej w ramach dyrektywy Parlamentu Europejskiego i Rady 2010/31/UE z dnia 19 maja 20</w:t>
      </w:r>
      <w:r w:rsidRPr="00A1618E">
        <w:rPr>
          <w:noProof/>
          <w:lang w:val="pl-PL"/>
        </w:rPr>
        <w:t>10 r.</w:t>
      </w:r>
      <w:r>
        <w:rPr>
          <w:noProof/>
        </w:rPr>
        <w:t xml:space="preserve"> w sprawie charakterystyki energetycznej budynków.</w:t>
      </w:r>
    </w:p>
    <w:p w14:paraId="11E00C69" w14:textId="5DE6249F" w:rsidR="006578ED" w:rsidRDefault="00A1618E">
      <w:pPr>
        <w:pStyle w:val="P68B1DB1-Normal4"/>
        <w:spacing w:line="240" w:lineRule="auto"/>
        <w:rPr>
          <w:rFonts w:cs="Times New Roman"/>
          <w:noProof/>
        </w:rPr>
      </w:pPr>
      <w:r>
        <w:rPr>
          <w:noProof/>
        </w:rPr>
        <w:t>Realizacja inwestycji zostanie zakończona do dnia 31 grudnia 20</w:t>
      </w:r>
      <w:r w:rsidRPr="00A1618E">
        <w:rPr>
          <w:noProof/>
          <w:lang w:val="pl-PL"/>
        </w:rPr>
        <w:t>23 r.</w:t>
      </w:r>
      <w:r>
        <w:rPr>
          <w:noProof/>
        </w:rPr>
        <w:t xml:space="preserve"> </w:t>
      </w:r>
    </w:p>
    <w:p w14:paraId="5B48DAD4" w14:textId="5471C46B" w:rsidR="006578ED" w:rsidRDefault="00A1618E">
      <w:pPr>
        <w:pStyle w:val="P68B1DB1-Text138"/>
        <w:ind w:left="720"/>
        <w:rPr>
          <w:rFonts w:cs="Times New Roman"/>
          <w:noProof/>
        </w:rPr>
      </w:pPr>
      <w:r>
        <w:rPr>
          <w:noProof/>
        </w:rPr>
        <w:t xml:space="preserve">Z.2. </w:t>
      </w:r>
      <w:r>
        <w:rPr>
          <w:noProof/>
        </w:rPr>
        <w:tab/>
        <w:t>Kamienie milowe, wartości docelowe, wskaźniki i harmonogram monitorowania i realizacji na potrzeby bezzwrotnego wsparcia finansowego</w:t>
      </w:r>
    </w:p>
    <w:p w14:paraId="14FFEA2F" w14:textId="3C141C7A" w:rsidR="006578ED" w:rsidRDefault="00A1618E">
      <w:pPr>
        <w:pStyle w:val="P68B1DB1-Text140"/>
        <w:ind w:left="0"/>
        <w:rPr>
          <w:rFonts w:cs="Times New Roman"/>
          <w:b/>
          <w:noProof/>
          <w:u w:val="single"/>
        </w:rPr>
      </w:pPr>
      <w:r>
        <w:rPr>
          <w:noProof/>
        </w:rPr>
        <w:t>Zob. tabela poniżej. Datą odniesienia dla wszystkich wskaźników jest dzień 1 lutego 20</w:t>
      </w:r>
      <w:r w:rsidRPr="00A1618E">
        <w:rPr>
          <w:noProof/>
          <w:lang w:val="pl-PL"/>
        </w:rPr>
        <w:t>20 r.</w:t>
      </w:r>
      <w:r>
        <w:rPr>
          <w:noProof/>
        </w:rPr>
        <w:t>, chyba że w opisie działania wskazano inaczej. Kwoty w tabeli, które mają zawierać VAT.</w:t>
      </w:r>
    </w:p>
    <w:p w14:paraId="38C7C785" w14:textId="77777777" w:rsidR="006578ED" w:rsidRDefault="006578ED">
      <w:pPr>
        <w:pStyle w:val="Text1"/>
        <w:ind w:left="0"/>
        <w:rPr>
          <w:rFonts w:ascii="Times New Roman" w:hAnsi="Times New Roman" w:cs="Times New Roman"/>
          <w:noProof/>
        </w:rPr>
        <w:sectPr w:rsidR="006578ED" w:rsidSect="00C94F66">
          <w:headerReference w:type="even" r:id="rId495"/>
          <w:headerReference w:type="default" r:id="rId496"/>
          <w:footerReference w:type="even" r:id="rId497"/>
          <w:footerReference w:type="default" r:id="rId498"/>
          <w:headerReference w:type="first" r:id="rId499"/>
          <w:footerReference w:type="first" r:id="rId500"/>
          <w:pgSz w:w="11907" w:h="16839"/>
          <w:pgMar w:top="1134" w:right="1417" w:bottom="1134" w:left="1417" w:header="709" w:footer="709" w:gutter="0"/>
          <w:cols w:space="720"/>
          <w:docGrid w:linePitch="360"/>
        </w:sectPr>
      </w:pPr>
    </w:p>
    <w:p w14:paraId="633E06DE" w14:textId="77777777" w:rsidR="006578ED" w:rsidRDefault="006578ED">
      <w:pPr>
        <w:pStyle w:val="Text1"/>
        <w:ind w:left="0"/>
        <w:rPr>
          <w:rFonts w:ascii="Times New Roman" w:hAnsi="Times New Roman" w:cs="Times New Roman"/>
          <w:noProof/>
          <w:sz w:val="20"/>
        </w:rPr>
      </w:pPr>
    </w:p>
    <w:tbl>
      <w:tblPr>
        <w:tblpPr w:leftFromText="180" w:rightFromText="180" w:vertAnchor="text" w:tblpXSpec="right" w:tblpY="1"/>
        <w:tblOverlap w:val="never"/>
        <w:tblW w:w="1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3"/>
        <w:gridCol w:w="845"/>
        <w:gridCol w:w="844"/>
        <w:gridCol w:w="2533"/>
        <w:gridCol w:w="1407"/>
        <w:gridCol w:w="986"/>
        <w:gridCol w:w="1266"/>
        <w:gridCol w:w="845"/>
        <w:gridCol w:w="422"/>
        <w:gridCol w:w="563"/>
        <w:gridCol w:w="4754"/>
        <w:gridCol w:w="29"/>
      </w:tblGrid>
      <w:tr w:rsidR="006578ED" w14:paraId="5823193C" w14:textId="77777777">
        <w:trPr>
          <w:gridAfter w:val="1"/>
          <w:wAfter w:w="29" w:type="dxa"/>
          <w:trHeight w:val="309"/>
          <w:tblHeader/>
        </w:trPr>
        <w:tc>
          <w:tcPr>
            <w:tcW w:w="703" w:type="dxa"/>
            <w:tcBorders>
              <w:bottom w:val="nil"/>
            </w:tcBorders>
            <w:shd w:val="clear" w:color="auto" w:fill="C6D9F1" w:themeFill="text2" w:themeFillTint="33"/>
            <w:noWrap/>
            <w:vAlign w:val="center"/>
          </w:tcPr>
          <w:p w14:paraId="5D9A4C69" w14:textId="77777777" w:rsidR="006578ED" w:rsidRDefault="00A1618E">
            <w:pPr>
              <w:pStyle w:val="P68B1DB1-Normal12"/>
              <w:spacing w:after="0"/>
              <w:jc w:val="center"/>
              <w:rPr>
                <w:rFonts w:cs="Times New Roman"/>
                <w:noProof/>
              </w:rPr>
            </w:pPr>
            <w:r>
              <w:rPr>
                <w:noProof/>
              </w:rPr>
              <w:t>Liczba</w:t>
            </w:r>
          </w:p>
        </w:tc>
        <w:tc>
          <w:tcPr>
            <w:tcW w:w="845" w:type="dxa"/>
            <w:tcBorders>
              <w:bottom w:val="nil"/>
            </w:tcBorders>
            <w:shd w:val="clear" w:color="auto" w:fill="C6D9F1" w:themeFill="text2" w:themeFillTint="33"/>
            <w:noWrap/>
            <w:vAlign w:val="center"/>
          </w:tcPr>
          <w:p w14:paraId="03724937" w14:textId="77777777" w:rsidR="006578ED" w:rsidRDefault="00A1618E">
            <w:pPr>
              <w:pStyle w:val="P68B1DB1-Normal12"/>
              <w:spacing w:after="0"/>
              <w:jc w:val="center"/>
              <w:rPr>
                <w:rFonts w:cs="Times New Roman"/>
                <w:noProof/>
              </w:rPr>
            </w:pPr>
            <w:r>
              <w:rPr>
                <w:noProof/>
              </w:rPr>
              <w:t>Środek</w:t>
            </w:r>
          </w:p>
        </w:tc>
        <w:tc>
          <w:tcPr>
            <w:tcW w:w="844" w:type="dxa"/>
            <w:tcBorders>
              <w:bottom w:val="nil"/>
            </w:tcBorders>
            <w:shd w:val="clear" w:color="auto" w:fill="C6D9F1" w:themeFill="text2" w:themeFillTint="33"/>
            <w:noWrap/>
            <w:vAlign w:val="center"/>
          </w:tcPr>
          <w:p w14:paraId="526F7A20" w14:textId="6D0D8FEC" w:rsidR="006578ED" w:rsidRDefault="00EC188C">
            <w:pPr>
              <w:pStyle w:val="P68B1DB1-Normal12"/>
              <w:spacing w:after="0"/>
              <w:jc w:val="center"/>
              <w:rPr>
                <w:rFonts w:cs="Times New Roman"/>
                <w:noProof/>
              </w:rPr>
            </w:pPr>
            <w:r>
              <w:rPr>
                <w:noProof/>
              </w:rPr>
              <w:t>Kamień milowy</w:t>
            </w:r>
            <w:r>
              <w:rPr>
                <w:noProof/>
              </w:rPr>
              <w:br/>
              <w:t xml:space="preserve"> /</w:t>
            </w:r>
            <w:r w:rsidR="00AF6B91">
              <w:rPr>
                <w:noProof/>
              </w:rPr>
              <w:t>Wartość docelowa</w:t>
            </w:r>
          </w:p>
        </w:tc>
        <w:tc>
          <w:tcPr>
            <w:tcW w:w="2533" w:type="dxa"/>
            <w:tcBorders>
              <w:bottom w:val="nil"/>
            </w:tcBorders>
            <w:shd w:val="clear" w:color="auto" w:fill="C6D9F1" w:themeFill="text2" w:themeFillTint="33"/>
            <w:noWrap/>
            <w:vAlign w:val="center"/>
          </w:tcPr>
          <w:p w14:paraId="19AD11D7" w14:textId="77777777" w:rsidR="006578ED" w:rsidRDefault="006578ED">
            <w:pPr>
              <w:spacing w:after="0"/>
              <w:jc w:val="center"/>
              <w:rPr>
                <w:rFonts w:ascii="Times New Roman" w:hAnsi="Times New Roman" w:cs="Times New Roman"/>
                <w:b/>
                <w:noProof/>
                <w:sz w:val="18"/>
              </w:rPr>
            </w:pPr>
          </w:p>
          <w:p w14:paraId="1F923462" w14:textId="77777777" w:rsidR="006578ED" w:rsidRDefault="00A1618E">
            <w:pPr>
              <w:pStyle w:val="P68B1DB1-Normal12"/>
              <w:spacing w:after="0"/>
              <w:jc w:val="center"/>
              <w:rPr>
                <w:rFonts w:cs="Times New Roman"/>
                <w:noProof/>
              </w:rPr>
            </w:pPr>
            <w:r>
              <w:rPr>
                <w:noProof/>
              </w:rPr>
              <w:t>Nazwa</w:t>
            </w:r>
          </w:p>
        </w:tc>
        <w:tc>
          <w:tcPr>
            <w:tcW w:w="1407" w:type="dxa"/>
            <w:tcBorders>
              <w:bottom w:val="nil"/>
            </w:tcBorders>
            <w:shd w:val="clear" w:color="auto" w:fill="C6D9F1" w:themeFill="text2" w:themeFillTint="33"/>
            <w:noWrap/>
            <w:vAlign w:val="center"/>
          </w:tcPr>
          <w:p w14:paraId="46F04DD2" w14:textId="77777777" w:rsidR="006578ED" w:rsidRDefault="00A1618E">
            <w:pPr>
              <w:pStyle w:val="P68B1DB1-Normal12"/>
              <w:spacing w:after="0"/>
              <w:jc w:val="center"/>
              <w:rPr>
                <w:rFonts w:cs="Times New Roman"/>
                <w:noProof/>
              </w:rPr>
            </w:pPr>
            <w:r>
              <w:rPr>
                <w:noProof/>
              </w:rPr>
              <w:t>Wskaźnik jakościowy dla celów pośrednich</w:t>
            </w:r>
          </w:p>
        </w:tc>
        <w:tc>
          <w:tcPr>
            <w:tcW w:w="3097" w:type="dxa"/>
            <w:gridSpan w:val="3"/>
            <w:shd w:val="clear" w:color="auto" w:fill="C6D9F1" w:themeFill="text2" w:themeFillTint="33"/>
            <w:noWrap/>
            <w:vAlign w:val="center"/>
          </w:tcPr>
          <w:p w14:paraId="0BE6504D" w14:textId="77777777" w:rsidR="006578ED" w:rsidRDefault="00A1618E">
            <w:pPr>
              <w:pStyle w:val="P68B1DB1-Normal12"/>
              <w:spacing w:after="0"/>
              <w:jc w:val="center"/>
              <w:rPr>
                <w:rFonts w:cs="Times New Roman"/>
                <w:noProof/>
              </w:rPr>
            </w:pPr>
            <w:r>
              <w:rPr>
                <w:noProof/>
              </w:rPr>
              <w:t>Wskaźnik ilościowy dla celu</w:t>
            </w:r>
          </w:p>
        </w:tc>
        <w:tc>
          <w:tcPr>
            <w:tcW w:w="985" w:type="dxa"/>
            <w:gridSpan w:val="2"/>
            <w:shd w:val="clear" w:color="auto" w:fill="C6D9F1" w:themeFill="text2" w:themeFillTint="33"/>
            <w:noWrap/>
            <w:vAlign w:val="center"/>
          </w:tcPr>
          <w:p w14:paraId="1DA359BD" w14:textId="77777777" w:rsidR="006578ED" w:rsidRDefault="00A1618E">
            <w:pPr>
              <w:pStyle w:val="P68B1DB1-Normal12"/>
              <w:spacing w:after="0"/>
              <w:jc w:val="center"/>
              <w:rPr>
                <w:rFonts w:cs="Times New Roman"/>
                <w:noProof/>
              </w:rPr>
            </w:pPr>
            <w:r>
              <w:rPr>
                <w:noProof/>
              </w:rPr>
              <w:t>Czas</w:t>
            </w:r>
          </w:p>
        </w:tc>
        <w:tc>
          <w:tcPr>
            <w:tcW w:w="4754" w:type="dxa"/>
            <w:tcBorders>
              <w:bottom w:val="nil"/>
            </w:tcBorders>
            <w:shd w:val="clear" w:color="auto" w:fill="C6D9F1" w:themeFill="text2" w:themeFillTint="33"/>
            <w:noWrap/>
            <w:vAlign w:val="center"/>
          </w:tcPr>
          <w:p w14:paraId="1EB6713E" w14:textId="0D49AD2F" w:rsidR="006578ED" w:rsidRDefault="00A1618E">
            <w:pPr>
              <w:pStyle w:val="P68B1DB1-Normal12"/>
              <w:spacing w:after="0"/>
              <w:jc w:val="center"/>
              <w:rPr>
                <w:rFonts w:cs="Times New Roman"/>
                <w:noProof/>
              </w:rPr>
            </w:pPr>
            <w:r>
              <w:rPr>
                <w:noProof/>
              </w:rPr>
              <w:t>Opis każdego celu pośredniego i celu końcowego</w:t>
            </w:r>
          </w:p>
        </w:tc>
      </w:tr>
      <w:tr w:rsidR="006578ED" w14:paraId="731CE1FE" w14:textId="77777777">
        <w:trPr>
          <w:gridAfter w:val="1"/>
          <w:wAfter w:w="29" w:type="dxa"/>
          <w:trHeight w:val="309"/>
          <w:tblHeader/>
        </w:trPr>
        <w:tc>
          <w:tcPr>
            <w:tcW w:w="703" w:type="dxa"/>
            <w:tcBorders>
              <w:top w:val="nil"/>
            </w:tcBorders>
            <w:shd w:val="clear" w:color="auto" w:fill="C6D9F1" w:themeFill="text2" w:themeFillTint="33"/>
            <w:noWrap/>
          </w:tcPr>
          <w:p w14:paraId="558BF819" w14:textId="77777777" w:rsidR="006578ED" w:rsidRDefault="006578ED">
            <w:pPr>
              <w:spacing w:after="0"/>
              <w:jc w:val="center"/>
              <w:rPr>
                <w:rFonts w:ascii="Times New Roman" w:hAnsi="Times New Roman" w:cs="Times New Roman"/>
                <w:b/>
                <w:noProof/>
                <w:sz w:val="18"/>
              </w:rPr>
            </w:pPr>
          </w:p>
        </w:tc>
        <w:tc>
          <w:tcPr>
            <w:tcW w:w="845" w:type="dxa"/>
            <w:tcBorders>
              <w:top w:val="nil"/>
            </w:tcBorders>
            <w:shd w:val="clear" w:color="auto" w:fill="C6D9F1" w:themeFill="text2" w:themeFillTint="33"/>
            <w:noWrap/>
          </w:tcPr>
          <w:p w14:paraId="75B9C719" w14:textId="77777777" w:rsidR="006578ED" w:rsidRDefault="006578ED">
            <w:pPr>
              <w:spacing w:after="0"/>
              <w:jc w:val="center"/>
              <w:rPr>
                <w:rFonts w:ascii="Times New Roman" w:hAnsi="Times New Roman" w:cs="Times New Roman"/>
                <w:b/>
                <w:noProof/>
                <w:sz w:val="18"/>
              </w:rPr>
            </w:pPr>
          </w:p>
        </w:tc>
        <w:tc>
          <w:tcPr>
            <w:tcW w:w="844" w:type="dxa"/>
            <w:tcBorders>
              <w:top w:val="nil"/>
            </w:tcBorders>
            <w:shd w:val="clear" w:color="auto" w:fill="C6D9F1" w:themeFill="text2" w:themeFillTint="33"/>
            <w:noWrap/>
          </w:tcPr>
          <w:p w14:paraId="7317F91F" w14:textId="77777777" w:rsidR="006578ED" w:rsidRDefault="006578ED">
            <w:pPr>
              <w:spacing w:after="0"/>
              <w:jc w:val="center"/>
              <w:rPr>
                <w:rFonts w:ascii="Times New Roman" w:hAnsi="Times New Roman" w:cs="Times New Roman"/>
                <w:b/>
                <w:noProof/>
                <w:sz w:val="18"/>
              </w:rPr>
            </w:pPr>
          </w:p>
        </w:tc>
        <w:tc>
          <w:tcPr>
            <w:tcW w:w="2533" w:type="dxa"/>
            <w:tcBorders>
              <w:top w:val="nil"/>
            </w:tcBorders>
            <w:shd w:val="clear" w:color="auto" w:fill="C6D9F1" w:themeFill="text2" w:themeFillTint="33"/>
            <w:noWrap/>
          </w:tcPr>
          <w:p w14:paraId="79BD21F4" w14:textId="77777777" w:rsidR="006578ED" w:rsidRDefault="006578ED">
            <w:pPr>
              <w:spacing w:after="0"/>
              <w:rPr>
                <w:rFonts w:ascii="Times New Roman" w:hAnsi="Times New Roman" w:cs="Times New Roman"/>
                <w:b/>
                <w:noProof/>
                <w:sz w:val="18"/>
              </w:rPr>
            </w:pPr>
          </w:p>
        </w:tc>
        <w:tc>
          <w:tcPr>
            <w:tcW w:w="1407" w:type="dxa"/>
            <w:tcBorders>
              <w:top w:val="nil"/>
            </w:tcBorders>
            <w:shd w:val="clear" w:color="auto" w:fill="C6D9F1" w:themeFill="text2" w:themeFillTint="33"/>
            <w:noWrap/>
          </w:tcPr>
          <w:p w14:paraId="67CC8C0B" w14:textId="77777777" w:rsidR="006578ED" w:rsidRDefault="006578ED">
            <w:pPr>
              <w:spacing w:after="0"/>
              <w:jc w:val="center"/>
              <w:rPr>
                <w:rFonts w:ascii="Times New Roman" w:hAnsi="Times New Roman" w:cs="Times New Roman"/>
                <w:b/>
                <w:noProof/>
                <w:sz w:val="18"/>
              </w:rPr>
            </w:pPr>
          </w:p>
        </w:tc>
        <w:tc>
          <w:tcPr>
            <w:tcW w:w="986" w:type="dxa"/>
            <w:shd w:val="clear" w:color="auto" w:fill="C6D9F1" w:themeFill="text2" w:themeFillTint="33"/>
            <w:noWrap/>
          </w:tcPr>
          <w:p w14:paraId="2D256C52" w14:textId="77777777" w:rsidR="006578ED" w:rsidRDefault="00A1618E">
            <w:pPr>
              <w:pStyle w:val="P68B1DB1-Normal12"/>
              <w:spacing w:after="0"/>
              <w:jc w:val="center"/>
              <w:rPr>
                <w:rFonts w:cs="Times New Roman"/>
                <w:noProof/>
              </w:rPr>
            </w:pPr>
            <w:r>
              <w:rPr>
                <w:noProof/>
              </w:rPr>
              <w:t>Jednostka</w:t>
            </w:r>
          </w:p>
        </w:tc>
        <w:tc>
          <w:tcPr>
            <w:tcW w:w="1266" w:type="dxa"/>
            <w:shd w:val="clear" w:color="auto" w:fill="C6D9F1" w:themeFill="text2" w:themeFillTint="33"/>
            <w:noWrap/>
          </w:tcPr>
          <w:p w14:paraId="0FB955F7" w14:textId="77777777" w:rsidR="006578ED" w:rsidRDefault="00A1618E">
            <w:pPr>
              <w:pStyle w:val="P68B1DB1-Normal12"/>
              <w:spacing w:after="0"/>
              <w:jc w:val="center"/>
              <w:rPr>
                <w:rFonts w:cs="Times New Roman"/>
                <w:noProof/>
              </w:rPr>
            </w:pPr>
            <w:r>
              <w:rPr>
                <w:noProof/>
              </w:rPr>
              <w:t>Bazowy</w:t>
            </w:r>
          </w:p>
        </w:tc>
        <w:tc>
          <w:tcPr>
            <w:tcW w:w="845" w:type="dxa"/>
            <w:shd w:val="clear" w:color="auto" w:fill="C6D9F1" w:themeFill="text2" w:themeFillTint="33"/>
            <w:noWrap/>
          </w:tcPr>
          <w:p w14:paraId="5423A5D8" w14:textId="77777777" w:rsidR="006578ED" w:rsidRDefault="00A1618E">
            <w:pPr>
              <w:pStyle w:val="P68B1DB1-Normal12"/>
              <w:spacing w:after="0"/>
              <w:jc w:val="center"/>
              <w:rPr>
                <w:rFonts w:cs="Times New Roman"/>
                <w:noProof/>
              </w:rPr>
            </w:pPr>
            <w:r>
              <w:rPr>
                <w:noProof/>
              </w:rPr>
              <w:t>Cel</w:t>
            </w:r>
          </w:p>
        </w:tc>
        <w:tc>
          <w:tcPr>
            <w:tcW w:w="422" w:type="dxa"/>
            <w:shd w:val="clear" w:color="auto" w:fill="C6D9F1" w:themeFill="text2" w:themeFillTint="33"/>
            <w:noWrap/>
          </w:tcPr>
          <w:p w14:paraId="769E2363" w14:textId="77777777" w:rsidR="006578ED" w:rsidRDefault="00A1618E">
            <w:pPr>
              <w:pStyle w:val="P68B1DB1-Normal12"/>
              <w:spacing w:after="0"/>
              <w:jc w:val="center"/>
              <w:rPr>
                <w:rFonts w:cs="Times New Roman"/>
                <w:noProof/>
              </w:rPr>
            </w:pPr>
            <w:r>
              <w:rPr>
                <w:noProof/>
              </w:rPr>
              <w:t>Q</w:t>
            </w:r>
          </w:p>
        </w:tc>
        <w:tc>
          <w:tcPr>
            <w:tcW w:w="563" w:type="dxa"/>
            <w:shd w:val="clear" w:color="auto" w:fill="C6D9F1" w:themeFill="text2" w:themeFillTint="33"/>
            <w:noWrap/>
          </w:tcPr>
          <w:p w14:paraId="2BC07797" w14:textId="77777777" w:rsidR="006578ED" w:rsidRDefault="00A1618E">
            <w:pPr>
              <w:pStyle w:val="P68B1DB1-Normal12"/>
              <w:spacing w:after="0"/>
              <w:jc w:val="center"/>
              <w:rPr>
                <w:rFonts w:cs="Times New Roman"/>
                <w:noProof/>
              </w:rPr>
            </w:pPr>
            <w:r>
              <w:rPr>
                <w:noProof/>
              </w:rPr>
              <w:t>Rok</w:t>
            </w:r>
          </w:p>
        </w:tc>
        <w:tc>
          <w:tcPr>
            <w:tcW w:w="4754" w:type="dxa"/>
            <w:tcBorders>
              <w:top w:val="nil"/>
            </w:tcBorders>
            <w:shd w:val="clear" w:color="auto" w:fill="C6D9F1" w:themeFill="text2" w:themeFillTint="33"/>
            <w:noWrap/>
          </w:tcPr>
          <w:p w14:paraId="11B8A19E" w14:textId="77777777" w:rsidR="006578ED" w:rsidRDefault="006578ED">
            <w:pPr>
              <w:spacing w:after="0"/>
              <w:rPr>
                <w:rFonts w:ascii="Times New Roman" w:hAnsi="Times New Roman" w:cs="Times New Roman"/>
                <w:b/>
                <w:noProof/>
                <w:sz w:val="18"/>
              </w:rPr>
            </w:pPr>
          </w:p>
        </w:tc>
      </w:tr>
      <w:tr w:rsidR="006578ED" w14:paraId="5FD7E706" w14:textId="77777777">
        <w:trPr>
          <w:trHeight w:val="309"/>
        </w:trPr>
        <w:tc>
          <w:tcPr>
            <w:tcW w:w="703" w:type="dxa"/>
            <w:shd w:val="clear" w:color="auto" w:fill="C6EFCE"/>
            <w:noWrap/>
          </w:tcPr>
          <w:p w14:paraId="3616C4EF" w14:textId="77777777" w:rsidR="006578ED" w:rsidRDefault="00A1618E">
            <w:pPr>
              <w:pStyle w:val="P68B1DB1-Normal13"/>
              <w:spacing w:after="0"/>
              <w:jc w:val="center"/>
              <w:rPr>
                <w:rFonts w:eastAsia="Times New Roman" w:cs="Times New Roman"/>
                <w:noProof/>
              </w:rPr>
            </w:pPr>
            <w:r>
              <w:rPr>
                <w:noProof/>
              </w:rPr>
              <w:t>367</w:t>
            </w:r>
          </w:p>
        </w:tc>
        <w:tc>
          <w:tcPr>
            <w:tcW w:w="845" w:type="dxa"/>
            <w:shd w:val="clear" w:color="auto" w:fill="C6EFCE"/>
            <w:noWrap/>
          </w:tcPr>
          <w:p w14:paraId="228DE1D0" w14:textId="77777777" w:rsidR="006578ED" w:rsidRDefault="00A1618E">
            <w:pPr>
              <w:pStyle w:val="P68B1DB1-Normal13"/>
              <w:spacing w:after="0"/>
              <w:jc w:val="center"/>
              <w:rPr>
                <w:rFonts w:eastAsia="Times New Roman" w:cs="Times New Roman"/>
                <w:noProof/>
              </w:rPr>
            </w:pPr>
            <w:r>
              <w:rPr>
                <w:noProof/>
              </w:rPr>
              <w:t>C26.R1</w:t>
            </w:r>
          </w:p>
        </w:tc>
        <w:tc>
          <w:tcPr>
            <w:tcW w:w="844" w:type="dxa"/>
            <w:shd w:val="clear" w:color="auto" w:fill="C6EFCE"/>
            <w:noWrap/>
          </w:tcPr>
          <w:p w14:paraId="381CAC00" w14:textId="3C1951D7" w:rsidR="006578ED" w:rsidRDefault="00AF6B91">
            <w:pPr>
              <w:pStyle w:val="P68B1DB1-Normal13"/>
              <w:spacing w:after="0"/>
              <w:jc w:val="center"/>
              <w:rPr>
                <w:rFonts w:eastAsia="Times New Roman" w:cs="Times New Roman"/>
                <w:noProof/>
              </w:rPr>
            </w:pPr>
            <w:r>
              <w:rPr>
                <w:noProof/>
              </w:rPr>
              <w:t>Kamień milowy</w:t>
            </w:r>
          </w:p>
        </w:tc>
        <w:tc>
          <w:tcPr>
            <w:tcW w:w="2533" w:type="dxa"/>
            <w:shd w:val="clear" w:color="auto" w:fill="C6EFCE"/>
            <w:noWrap/>
          </w:tcPr>
          <w:p w14:paraId="3EFF41C2" w14:textId="1BE285B8" w:rsidR="006578ED" w:rsidRDefault="00A1618E">
            <w:pPr>
              <w:pStyle w:val="P68B1DB1-Normal13"/>
              <w:spacing w:after="0"/>
              <w:rPr>
                <w:rFonts w:eastAsia="Times New Roman" w:cs="Times New Roman"/>
                <w:noProof/>
              </w:rPr>
            </w:pPr>
            <w:r>
              <w:rPr>
                <w:noProof/>
              </w:rPr>
              <w:t xml:space="preserve">Wejście w życie ustawy o sporcie </w:t>
            </w:r>
          </w:p>
        </w:tc>
        <w:tc>
          <w:tcPr>
            <w:tcW w:w="1407" w:type="dxa"/>
            <w:shd w:val="clear" w:color="auto" w:fill="C6EFCE"/>
            <w:noWrap/>
          </w:tcPr>
          <w:p w14:paraId="618A8D6F" w14:textId="203048AF" w:rsidR="006578ED" w:rsidRDefault="00A1618E">
            <w:pPr>
              <w:pStyle w:val="P68B1DB1-Normal13"/>
              <w:spacing w:after="0"/>
              <w:jc w:val="center"/>
              <w:rPr>
                <w:rFonts w:eastAsia="Times New Roman" w:cs="Times New Roman"/>
                <w:noProof/>
              </w:rPr>
            </w:pPr>
            <w:r>
              <w:rPr>
                <w:noProof/>
              </w:rPr>
              <w:t xml:space="preserve">Przepis ustawy wskazujący na jej wejście w życie </w:t>
            </w:r>
          </w:p>
        </w:tc>
        <w:tc>
          <w:tcPr>
            <w:tcW w:w="986" w:type="dxa"/>
            <w:shd w:val="clear" w:color="auto" w:fill="C6EFCE"/>
            <w:noWrap/>
          </w:tcPr>
          <w:p w14:paraId="1B60D2FD" w14:textId="77777777" w:rsidR="006578ED" w:rsidRDefault="00A1618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6C8AEA75" w14:textId="77777777" w:rsidR="006578ED" w:rsidRDefault="00A1618E">
            <w:pPr>
              <w:pStyle w:val="P68B1DB1-Normal13"/>
              <w:spacing w:after="0"/>
              <w:jc w:val="center"/>
              <w:rPr>
                <w:rFonts w:cs="Times New Roman"/>
                <w:noProof/>
              </w:rPr>
            </w:pPr>
            <w:r>
              <w:rPr>
                <w:noProof/>
              </w:rPr>
              <w:t xml:space="preserve"> </w:t>
            </w:r>
          </w:p>
        </w:tc>
        <w:tc>
          <w:tcPr>
            <w:tcW w:w="845" w:type="dxa"/>
            <w:shd w:val="clear" w:color="auto" w:fill="C6EFCE"/>
            <w:noWrap/>
          </w:tcPr>
          <w:p w14:paraId="28516D56" w14:textId="77777777" w:rsidR="006578ED" w:rsidRDefault="00A1618E">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56DC4632" w14:textId="29180691" w:rsidR="006578ED" w:rsidRDefault="00EC188C">
            <w:pPr>
              <w:pStyle w:val="P68B1DB1-Normal13"/>
              <w:spacing w:after="0"/>
              <w:jc w:val="center"/>
              <w:rPr>
                <w:rFonts w:eastAsia="Times New Roman" w:cs="Times New Roman"/>
                <w:noProof/>
              </w:rPr>
            </w:pPr>
            <w:r>
              <w:rPr>
                <w:noProof/>
              </w:rPr>
              <w:t>KW. 4</w:t>
            </w:r>
          </w:p>
        </w:tc>
        <w:tc>
          <w:tcPr>
            <w:tcW w:w="563" w:type="dxa"/>
            <w:shd w:val="clear" w:color="auto" w:fill="C6EFCE"/>
            <w:noWrap/>
          </w:tcPr>
          <w:p w14:paraId="5B7DD0B7" w14:textId="77777777" w:rsidR="006578ED" w:rsidRDefault="00A1618E">
            <w:pPr>
              <w:pStyle w:val="P68B1DB1-Normal13"/>
              <w:spacing w:after="0"/>
              <w:jc w:val="center"/>
              <w:rPr>
                <w:rFonts w:eastAsia="Times New Roman" w:cs="Times New Roman"/>
                <w:noProof/>
              </w:rPr>
            </w:pPr>
            <w:r>
              <w:rPr>
                <w:noProof/>
              </w:rPr>
              <w:t>2022</w:t>
            </w:r>
          </w:p>
        </w:tc>
        <w:tc>
          <w:tcPr>
            <w:tcW w:w="4783" w:type="dxa"/>
            <w:gridSpan w:val="2"/>
            <w:shd w:val="clear" w:color="auto" w:fill="C6EFCE"/>
            <w:noWrap/>
          </w:tcPr>
          <w:p w14:paraId="04BCF38C" w14:textId="4B684826" w:rsidR="006578ED" w:rsidRDefault="00A1618E">
            <w:pPr>
              <w:pStyle w:val="P68B1DB1-Normal13"/>
              <w:spacing w:after="0"/>
              <w:rPr>
                <w:rFonts w:eastAsia="Times New Roman" w:cs="Times New Roman"/>
                <w:noProof/>
              </w:rPr>
            </w:pPr>
            <w:r>
              <w:rPr>
                <w:noProof/>
              </w:rPr>
              <w:t xml:space="preserve">Ustawa wspiera zdrowie i bezpieczeństwo uprawiania sportu na wszystkich szczeblach, równość płci, włączenie społeczne i dostępność, promowanie międzynarodowego wymiaru modelu oraz modernizację organizacji i infrastruktury poprzez poszanowanie środowiska i cyfryzację. </w:t>
            </w:r>
          </w:p>
        </w:tc>
      </w:tr>
      <w:tr w:rsidR="006578ED" w14:paraId="794C580C" w14:textId="77777777">
        <w:trPr>
          <w:trHeight w:val="309"/>
        </w:trPr>
        <w:tc>
          <w:tcPr>
            <w:tcW w:w="703" w:type="dxa"/>
            <w:shd w:val="clear" w:color="auto" w:fill="C6EFCE"/>
            <w:noWrap/>
          </w:tcPr>
          <w:p w14:paraId="78C6AE9D" w14:textId="77777777" w:rsidR="006578ED" w:rsidRDefault="00A1618E">
            <w:pPr>
              <w:pStyle w:val="P68B1DB1-Normal13"/>
              <w:spacing w:after="0"/>
              <w:jc w:val="center"/>
              <w:rPr>
                <w:rFonts w:eastAsia="Times New Roman" w:cs="Times New Roman"/>
                <w:noProof/>
              </w:rPr>
            </w:pPr>
            <w:r>
              <w:rPr>
                <w:noProof/>
              </w:rPr>
              <w:t>368</w:t>
            </w:r>
          </w:p>
        </w:tc>
        <w:tc>
          <w:tcPr>
            <w:tcW w:w="845" w:type="dxa"/>
            <w:shd w:val="clear" w:color="auto" w:fill="C6EFCE"/>
            <w:noWrap/>
          </w:tcPr>
          <w:p w14:paraId="7925AA47" w14:textId="77777777" w:rsidR="006578ED" w:rsidRDefault="00A1618E">
            <w:pPr>
              <w:pStyle w:val="P68B1DB1-Normal13"/>
              <w:spacing w:after="0"/>
              <w:jc w:val="center"/>
              <w:rPr>
                <w:rFonts w:eastAsia="Times New Roman" w:cs="Times New Roman"/>
                <w:noProof/>
              </w:rPr>
            </w:pPr>
            <w:r>
              <w:rPr>
                <w:noProof/>
              </w:rPr>
              <w:t>C26.R2</w:t>
            </w:r>
          </w:p>
        </w:tc>
        <w:tc>
          <w:tcPr>
            <w:tcW w:w="844" w:type="dxa"/>
            <w:shd w:val="clear" w:color="auto" w:fill="C6EFCE"/>
            <w:noWrap/>
          </w:tcPr>
          <w:p w14:paraId="35025FB4" w14:textId="7C256BAD" w:rsidR="006578ED" w:rsidRDefault="00AF6B91">
            <w:pPr>
              <w:pStyle w:val="P68B1DB1-Normal13"/>
              <w:spacing w:after="0"/>
              <w:jc w:val="center"/>
              <w:rPr>
                <w:rFonts w:eastAsia="Times New Roman" w:cs="Times New Roman"/>
                <w:noProof/>
              </w:rPr>
            </w:pPr>
            <w:r>
              <w:rPr>
                <w:noProof/>
              </w:rPr>
              <w:t>Kamień milowy</w:t>
            </w:r>
          </w:p>
        </w:tc>
        <w:tc>
          <w:tcPr>
            <w:tcW w:w="2533" w:type="dxa"/>
            <w:shd w:val="clear" w:color="auto" w:fill="C6EFCE"/>
            <w:noWrap/>
          </w:tcPr>
          <w:p w14:paraId="371E443F" w14:textId="36C4E5AF" w:rsidR="006578ED" w:rsidRDefault="00A1618E">
            <w:pPr>
              <w:pStyle w:val="P68B1DB1-Normal13"/>
              <w:spacing w:after="0"/>
              <w:rPr>
                <w:rFonts w:eastAsia="Times New Roman" w:cs="Times New Roman"/>
                <w:noProof/>
              </w:rPr>
            </w:pPr>
            <w:r>
              <w:rPr>
                <w:noProof/>
              </w:rPr>
              <w:t xml:space="preserve">Wejście w życie ustawy o regulacji niektórych zawodów sportowych </w:t>
            </w:r>
          </w:p>
        </w:tc>
        <w:tc>
          <w:tcPr>
            <w:tcW w:w="1407" w:type="dxa"/>
            <w:shd w:val="clear" w:color="auto" w:fill="C6EFCE"/>
            <w:noWrap/>
          </w:tcPr>
          <w:p w14:paraId="1F2D0625" w14:textId="763B0184" w:rsidR="006578ED" w:rsidRDefault="00A1618E">
            <w:pPr>
              <w:pStyle w:val="P68B1DB1-Normal13"/>
              <w:spacing w:after="0"/>
              <w:jc w:val="center"/>
              <w:rPr>
                <w:rFonts w:eastAsia="Times New Roman" w:cs="Times New Roman"/>
                <w:noProof/>
              </w:rPr>
            </w:pPr>
            <w:r>
              <w:rPr>
                <w:noProof/>
              </w:rPr>
              <w:t xml:space="preserve"> Przepis ustawy wskazujący na jego wejście w życie</w:t>
            </w:r>
          </w:p>
        </w:tc>
        <w:tc>
          <w:tcPr>
            <w:tcW w:w="986" w:type="dxa"/>
            <w:shd w:val="clear" w:color="auto" w:fill="C6EFCE"/>
            <w:noWrap/>
          </w:tcPr>
          <w:p w14:paraId="1D518A71" w14:textId="77777777" w:rsidR="006578ED" w:rsidRDefault="00A1618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5C38D216" w14:textId="77777777" w:rsidR="006578ED" w:rsidRDefault="00A1618E">
            <w:pPr>
              <w:pStyle w:val="P68B1DB1-Normal13"/>
              <w:spacing w:after="0"/>
              <w:jc w:val="right"/>
              <w:rPr>
                <w:rFonts w:eastAsia="Times New Roman" w:cs="Times New Roman"/>
                <w:noProof/>
              </w:rPr>
            </w:pPr>
            <w:r>
              <w:rPr>
                <w:noProof/>
              </w:rPr>
              <w:t xml:space="preserve"> </w:t>
            </w:r>
          </w:p>
        </w:tc>
        <w:tc>
          <w:tcPr>
            <w:tcW w:w="845" w:type="dxa"/>
            <w:shd w:val="clear" w:color="auto" w:fill="C6EFCE"/>
            <w:noWrap/>
          </w:tcPr>
          <w:p w14:paraId="0AE0894F" w14:textId="77777777" w:rsidR="006578ED" w:rsidRDefault="00A1618E">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63006414" w14:textId="126919D6" w:rsidR="006578ED" w:rsidRDefault="00EC188C">
            <w:pPr>
              <w:pStyle w:val="P68B1DB1-Normal13"/>
              <w:spacing w:after="0"/>
              <w:jc w:val="center"/>
              <w:rPr>
                <w:rFonts w:eastAsia="Times New Roman" w:cs="Times New Roman"/>
                <w:noProof/>
              </w:rPr>
            </w:pPr>
            <w:r>
              <w:rPr>
                <w:noProof/>
              </w:rPr>
              <w:t>KW. 4</w:t>
            </w:r>
          </w:p>
        </w:tc>
        <w:tc>
          <w:tcPr>
            <w:tcW w:w="563" w:type="dxa"/>
            <w:shd w:val="clear" w:color="auto" w:fill="C6EFCE"/>
            <w:noWrap/>
          </w:tcPr>
          <w:p w14:paraId="210C3EF1" w14:textId="77777777" w:rsidR="006578ED" w:rsidRDefault="00A1618E">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6DD757B3" w14:textId="2C2E46E9" w:rsidR="006578ED" w:rsidRDefault="00A1618E">
            <w:pPr>
              <w:pStyle w:val="P68B1DB1-Normal13"/>
              <w:spacing w:after="0"/>
              <w:rPr>
                <w:rFonts w:eastAsia="Times New Roman" w:cs="Times New Roman"/>
                <w:noProof/>
              </w:rPr>
            </w:pPr>
            <w:r>
              <w:rPr>
                <w:noProof/>
              </w:rPr>
              <w:t>Przyjęcie ustawy o regulacji niektórych zawodów sportowych w celu sprostania wyzwaniom wynikającym z niejednorodności regulacyjnej oraz z należytym uwzględnieniem zasad konieczności i proporcjonalności.</w:t>
            </w:r>
          </w:p>
        </w:tc>
      </w:tr>
      <w:tr w:rsidR="006578ED" w14:paraId="4CA26C0B" w14:textId="77777777">
        <w:trPr>
          <w:trHeight w:val="309"/>
        </w:trPr>
        <w:tc>
          <w:tcPr>
            <w:tcW w:w="703" w:type="dxa"/>
            <w:shd w:val="clear" w:color="auto" w:fill="C6EFCE"/>
            <w:noWrap/>
          </w:tcPr>
          <w:p w14:paraId="00DAC577" w14:textId="77777777" w:rsidR="006578ED" w:rsidRDefault="00A1618E">
            <w:pPr>
              <w:pStyle w:val="P68B1DB1-Normal13"/>
              <w:spacing w:after="0"/>
              <w:jc w:val="center"/>
              <w:rPr>
                <w:rFonts w:eastAsia="Times New Roman" w:cs="Times New Roman"/>
                <w:noProof/>
              </w:rPr>
            </w:pPr>
            <w:r>
              <w:rPr>
                <w:noProof/>
              </w:rPr>
              <w:t>369</w:t>
            </w:r>
          </w:p>
        </w:tc>
        <w:tc>
          <w:tcPr>
            <w:tcW w:w="845" w:type="dxa"/>
            <w:shd w:val="clear" w:color="auto" w:fill="C6EFCE"/>
            <w:noWrap/>
          </w:tcPr>
          <w:p w14:paraId="63D61881" w14:textId="77777777" w:rsidR="006578ED" w:rsidRDefault="00A1618E">
            <w:pPr>
              <w:pStyle w:val="P68B1DB1-Normal13"/>
              <w:spacing w:after="0"/>
              <w:jc w:val="center"/>
              <w:rPr>
                <w:rFonts w:eastAsia="Times New Roman" w:cs="Times New Roman"/>
                <w:noProof/>
              </w:rPr>
            </w:pPr>
            <w:r>
              <w:rPr>
                <w:noProof/>
              </w:rPr>
              <w:t>C26.R3</w:t>
            </w:r>
          </w:p>
        </w:tc>
        <w:tc>
          <w:tcPr>
            <w:tcW w:w="844" w:type="dxa"/>
            <w:shd w:val="clear" w:color="auto" w:fill="C6EFCE"/>
            <w:noWrap/>
          </w:tcPr>
          <w:p w14:paraId="2777087F" w14:textId="2C764F45" w:rsidR="006578ED" w:rsidRDefault="00AF6B91">
            <w:pPr>
              <w:pStyle w:val="P68B1DB1-Normal13"/>
              <w:spacing w:after="0"/>
              <w:jc w:val="center"/>
              <w:rPr>
                <w:rFonts w:eastAsia="Times New Roman" w:cs="Times New Roman"/>
                <w:noProof/>
              </w:rPr>
            </w:pPr>
            <w:r>
              <w:rPr>
                <w:noProof/>
              </w:rPr>
              <w:t>Kamień milowy</w:t>
            </w:r>
          </w:p>
        </w:tc>
        <w:tc>
          <w:tcPr>
            <w:tcW w:w="2533" w:type="dxa"/>
            <w:shd w:val="clear" w:color="auto" w:fill="C6EFCE"/>
            <w:noWrap/>
          </w:tcPr>
          <w:p w14:paraId="1C8DCA34" w14:textId="116E13BA" w:rsidR="006578ED" w:rsidRDefault="00A1618E">
            <w:pPr>
              <w:pStyle w:val="P68B1DB1-Normal13"/>
              <w:spacing w:after="0"/>
              <w:rPr>
                <w:rFonts w:eastAsia="Times New Roman" w:cs="Times New Roman"/>
                <w:noProof/>
              </w:rPr>
            </w:pPr>
            <w:r>
              <w:rPr>
                <w:noProof/>
              </w:rPr>
              <w:t>Krajowa strategia promowania sportu przeciwko siedzącemu trybowi życia i brakowi aktywności fizycznej</w:t>
            </w:r>
          </w:p>
        </w:tc>
        <w:tc>
          <w:tcPr>
            <w:tcW w:w="1407" w:type="dxa"/>
            <w:shd w:val="clear" w:color="auto" w:fill="C6EFCE"/>
            <w:noWrap/>
          </w:tcPr>
          <w:p w14:paraId="0692ED1C" w14:textId="77777777" w:rsidR="006578ED" w:rsidRDefault="00A1618E">
            <w:pPr>
              <w:pStyle w:val="P68B1DB1-Normal13"/>
              <w:spacing w:after="0"/>
              <w:jc w:val="center"/>
              <w:rPr>
                <w:rFonts w:eastAsia="Times New Roman" w:cs="Times New Roman"/>
                <w:noProof/>
              </w:rPr>
            </w:pPr>
            <w:r>
              <w:rPr>
                <w:noProof/>
              </w:rPr>
              <w:t>Publikacja na stronie internetowej</w:t>
            </w:r>
          </w:p>
        </w:tc>
        <w:tc>
          <w:tcPr>
            <w:tcW w:w="986" w:type="dxa"/>
            <w:shd w:val="clear" w:color="auto" w:fill="C6EFCE"/>
            <w:noWrap/>
          </w:tcPr>
          <w:p w14:paraId="4D9EF1D6" w14:textId="77777777" w:rsidR="006578ED" w:rsidRDefault="00A1618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65B06E17" w14:textId="77777777" w:rsidR="006578ED" w:rsidRDefault="00A1618E">
            <w:pPr>
              <w:pStyle w:val="P68B1DB1-Normal13"/>
              <w:spacing w:after="0"/>
              <w:jc w:val="center"/>
              <w:rPr>
                <w:rFonts w:eastAsia="Times New Roman" w:cs="Times New Roman"/>
                <w:noProof/>
              </w:rPr>
            </w:pPr>
            <w:r>
              <w:rPr>
                <w:noProof/>
              </w:rPr>
              <w:t xml:space="preserve"> </w:t>
            </w:r>
          </w:p>
        </w:tc>
        <w:tc>
          <w:tcPr>
            <w:tcW w:w="845" w:type="dxa"/>
            <w:shd w:val="clear" w:color="auto" w:fill="C6EFCE"/>
            <w:noWrap/>
          </w:tcPr>
          <w:p w14:paraId="3C7C4FE8" w14:textId="77777777" w:rsidR="006578ED" w:rsidRDefault="00A1618E">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0812522C" w14:textId="53651E72" w:rsidR="006578ED" w:rsidRDefault="00EC188C">
            <w:pPr>
              <w:pStyle w:val="P68B1DB1-Normal13"/>
              <w:spacing w:after="0"/>
              <w:jc w:val="center"/>
              <w:rPr>
                <w:rFonts w:eastAsia="Times New Roman" w:cs="Times New Roman"/>
                <w:noProof/>
              </w:rPr>
            </w:pPr>
            <w:r>
              <w:rPr>
                <w:noProof/>
              </w:rPr>
              <w:t>KW. 4</w:t>
            </w:r>
          </w:p>
        </w:tc>
        <w:tc>
          <w:tcPr>
            <w:tcW w:w="563" w:type="dxa"/>
            <w:shd w:val="clear" w:color="auto" w:fill="C6EFCE"/>
            <w:noWrap/>
          </w:tcPr>
          <w:p w14:paraId="41E72220" w14:textId="77777777" w:rsidR="006578ED" w:rsidRDefault="00A1618E">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5B14EBAE" w14:textId="6B547F9E" w:rsidR="006578ED" w:rsidRDefault="00A1618E">
            <w:pPr>
              <w:pStyle w:val="P68B1DB1-Normal13"/>
              <w:spacing w:after="0"/>
              <w:rPr>
                <w:rFonts w:eastAsia="Times New Roman" w:cs="Times New Roman"/>
                <w:noProof/>
              </w:rPr>
            </w:pPr>
            <w:r>
              <w:rPr>
                <w:noProof/>
              </w:rPr>
              <w:t>Zatwierdzenie przez rząd Hiszpanii wdrożenia krajowej strategii promowania sportu przeciwko siedzącemu trybowi życia i brakowi aktywności fizycznej. Celem strategii jest: wdrożenie stałego narzędzia analizy w celu analizy, pomiaru i poprawy wpływu strategii; realizacja działań mających na celu ustanowienie dobrych praktyk i zdrowych nawyków po przeprowadzeniu analizy. Strategia jest wiążąca dla władz regionalnych i lokalnych.</w:t>
            </w:r>
          </w:p>
        </w:tc>
      </w:tr>
      <w:tr w:rsidR="006578ED" w14:paraId="5716DF99" w14:textId="77777777">
        <w:trPr>
          <w:trHeight w:val="309"/>
        </w:trPr>
        <w:tc>
          <w:tcPr>
            <w:tcW w:w="703" w:type="dxa"/>
            <w:shd w:val="clear" w:color="auto" w:fill="C6EFCE"/>
            <w:noWrap/>
          </w:tcPr>
          <w:p w14:paraId="0E17C92D" w14:textId="77777777" w:rsidR="006578ED" w:rsidRDefault="00A1618E">
            <w:pPr>
              <w:pStyle w:val="P68B1DB1-Normal13"/>
              <w:spacing w:after="0"/>
              <w:jc w:val="center"/>
              <w:rPr>
                <w:rFonts w:eastAsia="Times New Roman" w:cs="Times New Roman"/>
                <w:noProof/>
              </w:rPr>
            </w:pPr>
            <w:r>
              <w:rPr>
                <w:noProof/>
              </w:rPr>
              <w:t>370</w:t>
            </w:r>
          </w:p>
        </w:tc>
        <w:tc>
          <w:tcPr>
            <w:tcW w:w="845" w:type="dxa"/>
            <w:shd w:val="clear" w:color="auto" w:fill="C6EFCE"/>
            <w:noWrap/>
          </w:tcPr>
          <w:p w14:paraId="418D7B65" w14:textId="77777777" w:rsidR="006578ED" w:rsidRDefault="00A1618E">
            <w:pPr>
              <w:pStyle w:val="P68B1DB1-Normal13"/>
              <w:spacing w:after="0"/>
              <w:jc w:val="center"/>
              <w:rPr>
                <w:rFonts w:eastAsia="Times New Roman" w:cs="Times New Roman"/>
                <w:noProof/>
              </w:rPr>
            </w:pPr>
            <w:r>
              <w:rPr>
                <w:noProof/>
              </w:rPr>
              <w:t>C26.I1</w:t>
            </w:r>
          </w:p>
        </w:tc>
        <w:tc>
          <w:tcPr>
            <w:tcW w:w="844" w:type="dxa"/>
            <w:shd w:val="clear" w:color="auto" w:fill="C6EFCE"/>
            <w:noWrap/>
          </w:tcPr>
          <w:p w14:paraId="6BC3A66F" w14:textId="122A588A" w:rsidR="006578ED" w:rsidRDefault="00AF6B91">
            <w:pPr>
              <w:pStyle w:val="P68B1DB1-Normal13"/>
              <w:spacing w:after="0"/>
              <w:jc w:val="center"/>
              <w:rPr>
                <w:rFonts w:eastAsia="Times New Roman" w:cs="Times New Roman"/>
                <w:noProof/>
              </w:rPr>
            </w:pPr>
            <w:r>
              <w:rPr>
                <w:noProof/>
              </w:rPr>
              <w:t>Kamień milowy</w:t>
            </w:r>
          </w:p>
        </w:tc>
        <w:tc>
          <w:tcPr>
            <w:tcW w:w="2533" w:type="dxa"/>
            <w:shd w:val="clear" w:color="auto" w:fill="C6EFCE"/>
            <w:noWrap/>
          </w:tcPr>
          <w:p w14:paraId="4BD4DADF" w14:textId="77777777" w:rsidR="006578ED" w:rsidRDefault="00A1618E">
            <w:pPr>
              <w:pStyle w:val="P68B1DB1-Normal13"/>
              <w:spacing w:after="0"/>
              <w:rPr>
                <w:rFonts w:eastAsia="Times New Roman" w:cs="Times New Roman"/>
                <w:noProof/>
              </w:rPr>
            </w:pPr>
            <w:r>
              <w:rPr>
                <w:noProof/>
              </w:rPr>
              <w:t>Cyfryzacja sektora sportu</w:t>
            </w:r>
          </w:p>
        </w:tc>
        <w:tc>
          <w:tcPr>
            <w:tcW w:w="1407" w:type="dxa"/>
            <w:shd w:val="clear" w:color="auto" w:fill="C6EFCE"/>
            <w:noWrap/>
          </w:tcPr>
          <w:p w14:paraId="3FDD823D" w14:textId="77777777" w:rsidR="006578ED" w:rsidRDefault="00A1618E">
            <w:pPr>
              <w:pStyle w:val="P68B1DB1-Normal13"/>
              <w:spacing w:after="0"/>
              <w:jc w:val="center"/>
              <w:rPr>
                <w:rFonts w:eastAsia="Times New Roman" w:cs="Times New Roman"/>
                <w:noProof/>
              </w:rPr>
            </w:pPr>
            <w:r>
              <w:rPr>
                <w:noProof/>
              </w:rPr>
              <w:t xml:space="preserve">Publikacja w Dz.U. </w:t>
            </w:r>
          </w:p>
        </w:tc>
        <w:tc>
          <w:tcPr>
            <w:tcW w:w="986" w:type="dxa"/>
            <w:shd w:val="clear" w:color="auto" w:fill="C6EFCE"/>
            <w:noWrap/>
          </w:tcPr>
          <w:p w14:paraId="2FDA4736" w14:textId="77777777" w:rsidR="006578ED" w:rsidRDefault="00A1618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63EAAF6B" w14:textId="77777777" w:rsidR="006578ED" w:rsidRDefault="006578ED">
            <w:pPr>
              <w:spacing w:after="0"/>
              <w:jc w:val="right"/>
              <w:rPr>
                <w:rFonts w:ascii="Times New Roman" w:eastAsia="Times New Roman" w:hAnsi="Times New Roman" w:cs="Times New Roman"/>
                <w:noProof/>
                <w:sz w:val="18"/>
              </w:rPr>
            </w:pPr>
          </w:p>
        </w:tc>
        <w:tc>
          <w:tcPr>
            <w:tcW w:w="845" w:type="dxa"/>
            <w:shd w:val="clear" w:color="auto" w:fill="C6EFCE"/>
            <w:noWrap/>
          </w:tcPr>
          <w:p w14:paraId="3D587CAE" w14:textId="77777777" w:rsidR="006578ED" w:rsidRDefault="00A1618E">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06B3ECC4" w14:textId="6A346DB2" w:rsidR="006578ED" w:rsidRDefault="00EC188C">
            <w:pPr>
              <w:pStyle w:val="P68B1DB1-Normal13"/>
              <w:spacing w:after="0"/>
              <w:rPr>
                <w:rFonts w:cs="Times New Roman"/>
                <w:noProof/>
              </w:rPr>
            </w:pPr>
            <w:r>
              <w:rPr>
                <w:noProof/>
              </w:rPr>
              <w:t>KW. 3</w:t>
            </w:r>
          </w:p>
        </w:tc>
        <w:tc>
          <w:tcPr>
            <w:tcW w:w="563" w:type="dxa"/>
            <w:shd w:val="clear" w:color="auto" w:fill="C6EFCE"/>
            <w:noWrap/>
          </w:tcPr>
          <w:p w14:paraId="3F8ECE9B" w14:textId="2827BD88" w:rsidR="006578ED" w:rsidRDefault="00A1618E">
            <w:pPr>
              <w:pStyle w:val="P68B1DB1-Normal13"/>
              <w:spacing w:after="0"/>
              <w:rPr>
                <w:rFonts w:cs="Times New Roman"/>
                <w:noProof/>
              </w:rPr>
            </w:pPr>
            <w:r>
              <w:rPr>
                <w:noProof/>
              </w:rPr>
              <w:t>2025</w:t>
            </w:r>
          </w:p>
        </w:tc>
        <w:tc>
          <w:tcPr>
            <w:tcW w:w="4783" w:type="dxa"/>
            <w:gridSpan w:val="2"/>
            <w:shd w:val="clear" w:color="auto" w:fill="C6EFCE"/>
            <w:noWrap/>
          </w:tcPr>
          <w:p w14:paraId="6498DB03" w14:textId="5FFFF325" w:rsidR="006578ED" w:rsidRDefault="00A1618E">
            <w:pPr>
              <w:pStyle w:val="P68B1DB1-Normal13"/>
              <w:spacing w:after="0"/>
              <w:rPr>
                <w:rFonts w:eastAsia="Times New Roman" w:cs="Times New Roman"/>
                <w:noProof/>
              </w:rPr>
            </w:pPr>
            <w:r>
              <w:rPr>
                <w:noProof/>
              </w:rPr>
              <w:t>Wykonanie budżetu w wysokości co najmniej 75,6 mln EUR, co powinno doprowadzić do znacznej poprawy cyfryzacji sektora, w szczególności: cyfryzacja federacji sportowej (w tym zarządzanie budżetem i licencjami) za pomocą nowego systemu informatycznego; informatyczny system baz danych do analiz danych; internet rzeczy (IoT) w centrach o wysokiej wydajności; systemy określania wzorców konkurencji lub optymalizacji szkolenia każdego sportowca; publikacja 10 projektów badawczych w zakresie prozdrowotnej aktywności fizycznej (HEPA); test systemu informatycznego w Krajowym Ośrodku Medycyny Sportowej; utworzenie elektronicznego urzędu w administracji antydopingowej, w tym wdrożenie elektronicznego systemu kontroli AD; oraz h) badanie potrzeb w zakresie cyfryzacji (takich jak aplikacje, federacje sportowe, medycyna sportowa, prozdrowotna aktywność fizyczna i walka z dopingiem) w zakresie cyfryzacji sektora sportu.</w:t>
            </w:r>
          </w:p>
        </w:tc>
      </w:tr>
      <w:tr w:rsidR="006578ED" w14:paraId="22C0CBB8" w14:textId="77777777">
        <w:trPr>
          <w:trHeight w:val="309"/>
        </w:trPr>
        <w:tc>
          <w:tcPr>
            <w:tcW w:w="703" w:type="dxa"/>
            <w:shd w:val="clear" w:color="auto" w:fill="C6EFCE"/>
            <w:noWrap/>
          </w:tcPr>
          <w:p w14:paraId="238CE4CC" w14:textId="77777777" w:rsidR="006578ED" w:rsidRDefault="00A1618E">
            <w:pPr>
              <w:pStyle w:val="P68B1DB1-Normal13"/>
              <w:spacing w:after="0"/>
              <w:jc w:val="center"/>
              <w:rPr>
                <w:rFonts w:eastAsia="Times New Roman" w:cs="Times New Roman"/>
                <w:noProof/>
              </w:rPr>
            </w:pPr>
            <w:r>
              <w:rPr>
                <w:noProof/>
              </w:rPr>
              <w:t>371</w:t>
            </w:r>
          </w:p>
        </w:tc>
        <w:tc>
          <w:tcPr>
            <w:tcW w:w="845" w:type="dxa"/>
            <w:shd w:val="clear" w:color="auto" w:fill="C6EFCE"/>
            <w:noWrap/>
          </w:tcPr>
          <w:p w14:paraId="6F323562" w14:textId="77777777" w:rsidR="006578ED" w:rsidRDefault="00A1618E">
            <w:pPr>
              <w:pStyle w:val="P68B1DB1-Normal13"/>
              <w:spacing w:after="0"/>
              <w:jc w:val="center"/>
              <w:rPr>
                <w:rFonts w:eastAsia="Times New Roman" w:cs="Times New Roman"/>
                <w:noProof/>
              </w:rPr>
            </w:pPr>
            <w:r>
              <w:rPr>
                <w:noProof/>
              </w:rPr>
              <w:t>C26.I1</w:t>
            </w:r>
          </w:p>
        </w:tc>
        <w:tc>
          <w:tcPr>
            <w:tcW w:w="844" w:type="dxa"/>
            <w:shd w:val="clear" w:color="auto" w:fill="C6EFCE"/>
            <w:noWrap/>
          </w:tcPr>
          <w:p w14:paraId="7436D12E" w14:textId="7D2CB1F1" w:rsidR="006578ED" w:rsidRDefault="00AF6B91">
            <w:pPr>
              <w:pStyle w:val="P68B1DB1-Normal13"/>
              <w:spacing w:after="0"/>
              <w:jc w:val="center"/>
              <w:rPr>
                <w:rFonts w:eastAsia="Times New Roman" w:cs="Times New Roman"/>
                <w:noProof/>
              </w:rPr>
            </w:pPr>
            <w:r>
              <w:rPr>
                <w:noProof/>
              </w:rPr>
              <w:t>Cel</w:t>
            </w:r>
          </w:p>
        </w:tc>
        <w:tc>
          <w:tcPr>
            <w:tcW w:w="2533" w:type="dxa"/>
            <w:shd w:val="clear" w:color="auto" w:fill="C6EFCE"/>
            <w:noWrap/>
          </w:tcPr>
          <w:p w14:paraId="7603D728" w14:textId="77777777" w:rsidR="006578ED" w:rsidRDefault="00A1618E">
            <w:pPr>
              <w:pStyle w:val="P68B1DB1-Normal13"/>
              <w:spacing w:after="0"/>
              <w:rPr>
                <w:rFonts w:eastAsia="Times New Roman" w:cs="Times New Roman"/>
                <w:noProof/>
              </w:rPr>
            </w:pPr>
            <w:r>
              <w:rPr>
                <w:noProof/>
              </w:rPr>
              <w:t xml:space="preserve">Ośrodki medycyny sportowej </w:t>
            </w:r>
          </w:p>
        </w:tc>
        <w:tc>
          <w:tcPr>
            <w:tcW w:w="1407" w:type="dxa"/>
            <w:shd w:val="clear" w:color="auto" w:fill="C6EFCE"/>
            <w:noWrap/>
          </w:tcPr>
          <w:p w14:paraId="0C6206B5" w14:textId="77777777" w:rsidR="006578ED" w:rsidRDefault="00A1618E">
            <w:pPr>
              <w:pStyle w:val="P68B1DB1-Normal13"/>
              <w:spacing w:after="0"/>
              <w:jc w:val="center"/>
              <w:rPr>
                <w:rFonts w:eastAsia="Times New Roman" w:cs="Times New Roman"/>
                <w:noProof/>
              </w:rPr>
            </w:pPr>
            <w:r>
              <w:rPr>
                <w:noProof/>
              </w:rPr>
              <w:t>—</w:t>
            </w:r>
          </w:p>
        </w:tc>
        <w:tc>
          <w:tcPr>
            <w:tcW w:w="986" w:type="dxa"/>
            <w:shd w:val="clear" w:color="auto" w:fill="C6EFCE"/>
            <w:noWrap/>
          </w:tcPr>
          <w:p w14:paraId="27A7F3E5" w14:textId="77777777" w:rsidR="006578ED" w:rsidRDefault="00A1618E">
            <w:pPr>
              <w:pStyle w:val="P68B1DB1-Normal13"/>
              <w:spacing w:after="0"/>
              <w:jc w:val="center"/>
              <w:rPr>
                <w:rFonts w:eastAsia="Times New Roman" w:cs="Times New Roman"/>
                <w:noProof/>
              </w:rPr>
            </w:pPr>
            <w:r>
              <w:rPr>
                <w:noProof/>
              </w:rPr>
              <w:t>Liczba</w:t>
            </w:r>
          </w:p>
        </w:tc>
        <w:tc>
          <w:tcPr>
            <w:tcW w:w="1266" w:type="dxa"/>
            <w:shd w:val="clear" w:color="auto" w:fill="C6EFCE"/>
            <w:noWrap/>
          </w:tcPr>
          <w:p w14:paraId="71445D1F" w14:textId="77777777" w:rsidR="006578ED" w:rsidRDefault="00A1618E">
            <w:pPr>
              <w:pStyle w:val="P68B1DB1-Normal13"/>
              <w:spacing w:after="0"/>
              <w:jc w:val="right"/>
              <w:rPr>
                <w:rFonts w:eastAsia="Times New Roman" w:cs="Times New Roman"/>
                <w:noProof/>
              </w:rPr>
            </w:pPr>
            <w:r>
              <w:rPr>
                <w:noProof/>
              </w:rPr>
              <w:t xml:space="preserve"> </w:t>
            </w:r>
          </w:p>
        </w:tc>
        <w:tc>
          <w:tcPr>
            <w:tcW w:w="845" w:type="dxa"/>
            <w:shd w:val="clear" w:color="auto" w:fill="C6EFCE"/>
            <w:noWrap/>
          </w:tcPr>
          <w:p w14:paraId="66B572A8" w14:textId="77777777" w:rsidR="006578ED" w:rsidRDefault="00A1618E">
            <w:pPr>
              <w:pStyle w:val="P68B1DB1-Normal13"/>
              <w:spacing w:after="0"/>
              <w:jc w:val="right"/>
              <w:rPr>
                <w:rFonts w:eastAsia="Times New Roman" w:cs="Times New Roman"/>
                <w:noProof/>
              </w:rPr>
            </w:pPr>
            <w:r>
              <w:rPr>
                <w:noProof/>
              </w:rPr>
              <w:t>20</w:t>
            </w:r>
          </w:p>
        </w:tc>
        <w:tc>
          <w:tcPr>
            <w:tcW w:w="422" w:type="dxa"/>
            <w:shd w:val="clear" w:color="auto" w:fill="C6EFCE"/>
            <w:noWrap/>
          </w:tcPr>
          <w:p w14:paraId="59FC95BC" w14:textId="45D671ED" w:rsidR="006578ED" w:rsidRDefault="00EC188C">
            <w:pPr>
              <w:pStyle w:val="P68B1DB1-Normal13"/>
              <w:spacing w:after="0"/>
              <w:jc w:val="center"/>
              <w:rPr>
                <w:rFonts w:eastAsia="Times New Roman" w:cs="Times New Roman"/>
                <w:noProof/>
              </w:rPr>
            </w:pPr>
            <w:r>
              <w:rPr>
                <w:noProof/>
              </w:rPr>
              <w:t>KW. 4</w:t>
            </w:r>
          </w:p>
        </w:tc>
        <w:tc>
          <w:tcPr>
            <w:tcW w:w="563" w:type="dxa"/>
            <w:shd w:val="clear" w:color="auto" w:fill="C6EFCE"/>
            <w:noWrap/>
          </w:tcPr>
          <w:p w14:paraId="4A092D0E" w14:textId="77777777" w:rsidR="006578ED" w:rsidRDefault="00A1618E">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5D12512B" w14:textId="64956E83" w:rsidR="006578ED" w:rsidRDefault="00A1618E">
            <w:pPr>
              <w:pStyle w:val="P68B1DB1-Normal13"/>
              <w:spacing w:after="0"/>
              <w:rPr>
                <w:rFonts w:eastAsia="Times New Roman" w:cs="Times New Roman"/>
                <w:noProof/>
              </w:rPr>
            </w:pPr>
            <w:r>
              <w:rPr>
                <w:noProof/>
              </w:rPr>
              <w:t xml:space="preserve">Co najmniej 20 z 23 ośrodków medycyny sportowej korzysta z nowej technologii informatycznej. </w:t>
            </w:r>
          </w:p>
        </w:tc>
      </w:tr>
      <w:tr w:rsidR="006578ED" w14:paraId="536BCA59" w14:textId="77777777">
        <w:trPr>
          <w:trHeight w:val="309"/>
        </w:trPr>
        <w:tc>
          <w:tcPr>
            <w:tcW w:w="703" w:type="dxa"/>
            <w:shd w:val="clear" w:color="auto" w:fill="C6EFCE"/>
            <w:noWrap/>
          </w:tcPr>
          <w:p w14:paraId="5954174D" w14:textId="77777777" w:rsidR="006578ED" w:rsidRDefault="00A1618E">
            <w:pPr>
              <w:pStyle w:val="P68B1DB1-Normal13"/>
              <w:spacing w:after="0"/>
              <w:jc w:val="center"/>
              <w:rPr>
                <w:rFonts w:eastAsia="Times New Roman" w:cs="Times New Roman"/>
                <w:noProof/>
              </w:rPr>
            </w:pPr>
            <w:r>
              <w:rPr>
                <w:noProof/>
              </w:rPr>
              <w:t>372</w:t>
            </w:r>
          </w:p>
        </w:tc>
        <w:tc>
          <w:tcPr>
            <w:tcW w:w="845" w:type="dxa"/>
            <w:shd w:val="clear" w:color="auto" w:fill="C6EFCE"/>
            <w:noWrap/>
          </w:tcPr>
          <w:p w14:paraId="0A0ECD6D" w14:textId="77777777" w:rsidR="006578ED" w:rsidRDefault="00A1618E">
            <w:pPr>
              <w:pStyle w:val="P68B1DB1-Normal13"/>
              <w:spacing w:after="0"/>
              <w:jc w:val="center"/>
              <w:rPr>
                <w:rFonts w:eastAsia="Times New Roman" w:cs="Times New Roman"/>
                <w:noProof/>
              </w:rPr>
            </w:pPr>
            <w:r>
              <w:rPr>
                <w:noProof/>
              </w:rPr>
              <w:t>C26.I1</w:t>
            </w:r>
          </w:p>
        </w:tc>
        <w:tc>
          <w:tcPr>
            <w:tcW w:w="844" w:type="dxa"/>
            <w:shd w:val="clear" w:color="auto" w:fill="C6EFCE"/>
            <w:noWrap/>
          </w:tcPr>
          <w:p w14:paraId="74EB8A03" w14:textId="19F85ACD" w:rsidR="006578ED" w:rsidRDefault="00AF6B91">
            <w:pPr>
              <w:pStyle w:val="P68B1DB1-Normal13"/>
              <w:spacing w:after="0"/>
              <w:jc w:val="center"/>
              <w:rPr>
                <w:rFonts w:eastAsia="Times New Roman" w:cs="Times New Roman"/>
                <w:noProof/>
              </w:rPr>
            </w:pPr>
            <w:r>
              <w:rPr>
                <w:noProof/>
              </w:rPr>
              <w:t>Kamień milowy</w:t>
            </w:r>
          </w:p>
        </w:tc>
        <w:tc>
          <w:tcPr>
            <w:tcW w:w="2533" w:type="dxa"/>
            <w:shd w:val="clear" w:color="auto" w:fill="C6EFCE"/>
            <w:noWrap/>
          </w:tcPr>
          <w:p w14:paraId="0B1A96DF" w14:textId="29A6BD70" w:rsidR="006578ED" w:rsidRDefault="00A1618E">
            <w:pPr>
              <w:pStyle w:val="P68B1DB1-Normal13"/>
              <w:spacing w:after="0"/>
              <w:rPr>
                <w:rFonts w:eastAsia="Times New Roman" w:cs="Times New Roman"/>
                <w:noProof/>
              </w:rPr>
            </w:pPr>
            <w:r>
              <w:rPr>
                <w:noProof/>
              </w:rPr>
              <w:t>Zakończenie projektów informatycznych w centrach o wysokiej wydajności i w administracji antydopingowej</w:t>
            </w:r>
          </w:p>
        </w:tc>
        <w:tc>
          <w:tcPr>
            <w:tcW w:w="1407" w:type="dxa"/>
            <w:shd w:val="clear" w:color="auto" w:fill="C6EFCE"/>
            <w:noWrap/>
          </w:tcPr>
          <w:p w14:paraId="161A8D34" w14:textId="5BF82B7E" w:rsidR="006578ED" w:rsidRDefault="00A1618E">
            <w:pPr>
              <w:pStyle w:val="P68B1DB1-Normal13"/>
              <w:spacing w:after="0"/>
              <w:jc w:val="center"/>
              <w:rPr>
                <w:rFonts w:eastAsia="Times New Roman" w:cs="Times New Roman"/>
                <w:noProof/>
              </w:rPr>
            </w:pPr>
            <w:r>
              <w:rPr>
                <w:noProof/>
              </w:rPr>
              <w:t xml:space="preserve">Gromadzenie danych z centrów wysokowydajnych; Rozpoczęcie testów aplikacji do sterowania AD </w:t>
            </w:r>
          </w:p>
        </w:tc>
        <w:tc>
          <w:tcPr>
            <w:tcW w:w="986" w:type="dxa"/>
            <w:shd w:val="clear" w:color="auto" w:fill="C6EFCE"/>
            <w:noWrap/>
          </w:tcPr>
          <w:p w14:paraId="13A7D378" w14:textId="77777777" w:rsidR="006578ED" w:rsidRDefault="00A1618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28685253" w14:textId="77777777" w:rsidR="006578ED" w:rsidRDefault="00A1618E">
            <w:pPr>
              <w:pStyle w:val="P68B1DB1-Normal13"/>
              <w:spacing w:after="0"/>
              <w:jc w:val="right"/>
              <w:rPr>
                <w:rFonts w:eastAsia="Times New Roman" w:cs="Times New Roman"/>
                <w:noProof/>
              </w:rPr>
            </w:pPr>
            <w:r>
              <w:rPr>
                <w:noProof/>
              </w:rPr>
              <w:t xml:space="preserve"> </w:t>
            </w:r>
          </w:p>
        </w:tc>
        <w:tc>
          <w:tcPr>
            <w:tcW w:w="845" w:type="dxa"/>
            <w:shd w:val="clear" w:color="auto" w:fill="C6EFCE"/>
            <w:noWrap/>
          </w:tcPr>
          <w:p w14:paraId="452B08AD" w14:textId="77777777" w:rsidR="006578ED" w:rsidRDefault="00A1618E">
            <w:pPr>
              <w:pStyle w:val="P68B1DB1-Normal13"/>
              <w:spacing w:after="0"/>
              <w:rPr>
                <w:rFonts w:eastAsia="Times New Roman" w:cs="Times New Roman"/>
                <w:noProof/>
              </w:rPr>
            </w:pPr>
            <w:r>
              <w:rPr>
                <w:noProof/>
              </w:rPr>
              <w:t xml:space="preserve"> </w:t>
            </w:r>
          </w:p>
        </w:tc>
        <w:tc>
          <w:tcPr>
            <w:tcW w:w="422" w:type="dxa"/>
            <w:shd w:val="clear" w:color="auto" w:fill="C6EFCE"/>
            <w:noWrap/>
          </w:tcPr>
          <w:p w14:paraId="1EF8BC7A" w14:textId="1E315850" w:rsidR="006578ED" w:rsidRDefault="00EC188C">
            <w:pPr>
              <w:pStyle w:val="P68B1DB1-Normal13"/>
              <w:spacing w:after="0"/>
              <w:jc w:val="center"/>
              <w:rPr>
                <w:rFonts w:eastAsia="Times New Roman" w:cs="Times New Roman"/>
                <w:noProof/>
              </w:rPr>
            </w:pPr>
            <w:r>
              <w:rPr>
                <w:noProof/>
              </w:rPr>
              <w:t>KW.</w:t>
            </w:r>
            <w:r>
              <w:rPr>
                <w:noProof/>
                <w:shd w:val="clear" w:color="auto" w:fill="E6E6E6"/>
              </w:rPr>
              <w:t>3</w:t>
            </w:r>
          </w:p>
        </w:tc>
        <w:tc>
          <w:tcPr>
            <w:tcW w:w="563" w:type="dxa"/>
            <w:shd w:val="clear" w:color="auto" w:fill="C6EFCE"/>
            <w:noWrap/>
          </w:tcPr>
          <w:p w14:paraId="47634FD0" w14:textId="409F507F" w:rsidR="006578ED" w:rsidRDefault="00A1618E">
            <w:pPr>
              <w:pStyle w:val="P68B1DB1-Normal13"/>
              <w:spacing w:after="0"/>
              <w:jc w:val="center"/>
              <w:rPr>
                <w:rFonts w:eastAsia="Segoe UI" w:cs="Times New Roman"/>
                <w:noProof/>
              </w:rPr>
            </w:pPr>
            <w:r>
              <w:rPr>
                <w:noProof/>
              </w:rPr>
              <w:t>202</w:t>
            </w:r>
            <w:r>
              <w:rPr>
                <w:noProof/>
                <w:shd w:val="clear" w:color="auto" w:fill="E6E6E6"/>
              </w:rPr>
              <w:t>5</w:t>
            </w:r>
          </w:p>
        </w:tc>
        <w:tc>
          <w:tcPr>
            <w:tcW w:w="4783" w:type="dxa"/>
            <w:gridSpan w:val="2"/>
            <w:shd w:val="clear" w:color="auto" w:fill="C6EFCE"/>
            <w:noWrap/>
          </w:tcPr>
          <w:p w14:paraId="47F9C0F1" w14:textId="087DFB30" w:rsidR="006578ED" w:rsidRDefault="00A1618E">
            <w:pPr>
              <w:pStyle w:val="P68B1DB1-Normal13"/>
              <w:spacing w:after="0"/>
              <w:rPr>
                <w:rFonts w:eastAsia="Times New Roman" w:cs="Times New Roman"/>
                <w:noProof/>
              </w:rPr>
            </w:pPr>
            <w:r>
              <w:rPr>
                <w:noProof/>
              </w:rPr>
              <w:t xml:space="preserve">Ukończenie opracowywania systemów informatycznych (w tym internetu rzeczy) w centrach o wysokiej wydajności. Utworzenie Urzędu Elektronicznego w Urzędzie Antydopingowym, w tym wdrożenie elektronicznego systemu kontroli AD. </w:t>
            </w:r>
          </w:p>
        </w:tc>
      </w:tr>
      <w:tr w:rsidR="006578ED" w14:paraId="40394112" w14:textId="77777777">
        <w:trPr>
          <w:trHeight w:val="309"/>
        </w:trPr>
        <w:tc>
          <w:tcPr>
            <w:tcW w:w="703" w:type="dxa"/>
            <w:shd w:val="clear" w:color="auto" w:fill="C6EFCE"/>
            <w:noWrap/>
          </w:tcPr>
          <w:p w14:paraId="693E8847" w14:textId="77777777" w:rsidR="006578ED" w:rsidRDefault="00A1618E">
            <w:pPr>
              <w:pStyle w:val="P68B1DB1-Normal13"/>
              <w:spacing w:after="0"/>
              <w:jc w:val="center"/>
              <w:rPr>
                <w:rFonts w:eastAsia="Times New Roman" w:cs="Times New Roman"/>
                <w:noProof/>
              </w:rPr>
            </w:pPr>
            <w:r>
              <w:rPr>
                <w:noProof/>
              </w:rPr>
              <w:t>373</w:t>
            </w:r>
          </w:p>
        </w:tc>
        <w:tc>
          <w:tcPr>
            <w:tcW w:w="845" w:type="dxa"/>
            <w:shd w:val="clear" w:color="auto" w:fill="C6EFCE"/>
            <w:noWrap/>
          </w:tcPr>
          <w:p w14:paraId="1EFF04BB" w14:textId="77777777" w:rsidR="006578ED" w:rsidRDefault="00A1618E">
            <w:pPr>
              <w:pStyle w:val="P68B1DB1-Normal13"/>
              <w:spacing w:after="0"/>
              <w:jc w:val="center"/>
              <w:rPr>
                <w:rFonts w:eastAsia="Times New Roman" w:cs="Times New Roman"/>
                <w:noProof/>
              </w:rPr>
            </w:pPr>
            <w:r>
              <w:rPr>
                <w:noProof/>
              </w:rPr>
              <w:t>C26.I2</w:t>
            </w:r>
          </w:p>
        </w:tc>
        <w:tc>
          <w:tcPr>
            <w:tcW w:w="844" w:type="dxa"/>
            <w:shd w:val="clear" w:color="auto" w:fill="C6EFCE"/>
            <w:noWrap/>
          </w:tcPr>
          <w:p w14:paraId="386533DB" w14:textId="179B8103" w:rsidR="006578ED" w:rsidRDefault="00AF6B91">
            <w:pPr>
              <w:pStyle w:val="P68B1DB1-Normal13"/>
              <w:spacing w:after="0"/>
              <w:jc w:val="center"/>
              <w:rPr>
                <w:rFonts w:eastAsia="Times New Roman" w:cs="Times New Roman"/>
                <w:noProof/>
              </w:rPr>
            </w:pPr>
            <w:r>
              <w:rPr>
                <w:noProof/>
              </w:rPr>
              <w:t>Cel</w:t>
            </w:r>
          </w:p>
        </w:tc>
        <w:tc>
          <w:tcPr>
            <w:tcW w:w="2533" w:type="dxa"/>
            <w:shd w:val="clear" w:color="auto" w:fill="C6EFCE"/>
            <w:noWrap/>
          </w:tcPr>
          <w:p w14:paraId="1D831BB2" w14:textId="2435381D" w:rsidR="006578ED" w:rsidRDefault="00A1618E">
            <w:pPr>
              <w:pStyle w:val="P68B1DB1-Normal13"/>
              <w:spacing w:after="0"/>
              <w:rPr>
                <w:rFonts w:eastAsia="Times New Roman" w:cs="Times New Roman"/>
                <w:noProof/>
              </w:rPr>
            </w:pPr>
            <w:r>
              <w:rPr>
                <w:noProof/>
              </w:rPr>
              <w:t xml:space="preserve">Renowacja i modernizacja ośrodków technicznych sportu i obiektów sportowych </w:t>
            </w:r>
          </w:p>
        </w:tc>
        <w:tc>
          <w:tcPr>
            <w:tcW w:w="1407" w:type="dxa"/>
            <w:shd w:val="clear" w:color="auto" w:fill="C6EFCE"/>
            <w:noWrap/>
          </w:tcPr>
          <w:p w14:paraId="49CA4BE9" w14:textId="77777777" w:rsidR="006578ED" w:rsidRDefault="00A1618E">
            <w:pPr>
              <w:pStyle w:val="P68B1DB1-Normal13"/>
              <w:spacing w:after="0"/>
              <w:jc w:val="center"/>
              <w:rPr>
                <w:rFonts w:eastAsia="Times New Roman" w:cs="Times New Roman"/>
                <w:noProof/>
              </w:rPr>
            </w:pPr>
            <w:r>
              <w:rPr>
                <w:noProof/>
              </w:rPr>
              <w:t> </w:t>
            </w:r>
          </w:p>
        </w:tc>
        <w:tc>
          <w:tcPr>
            <w:tcW w:w="986" w:type="dxa"/>
            <w:shd w:val="clear" w:color="auto" w:fill="C6EFCE"/>
            <w:noWrap/>
          </w:tcPr>
          <w:p w14:paraId="70CF1816" w14:textId="77777777" w:rsidR="006578ED" w:rsidRDefault="00A1618E">
            <w:pPr>
              <w:pStyle w:val="P68B1DB1-Normal13"/>
              <w:spacing w:after="0"/>
              <w:jc w:val="center"/>
              <w:rPr>
                <w:rFonts w:eastAsia="Times New Roman" w:cs="Times New Roman"/>
                <w:noProof/>
              </w:rPr>
            </w:pPr>
            <w:r>
              <w:rPr>
                <w:noProof/>
              </w:rPr>
              <w:t>Liczba</w:t>
            </w:r>
          </w:p>
        </w:tc>
        <w:tc>
          <w:tcPr>
            <w:tcW w:w="1266" w:type="dxa"/>
            <w:shd w:val="clear" w:color="auto" w:fill="C6EFCE"/>
            <w:noWrap/>
          </w:tcPr>
          <w:p w14:paraId="53DBFA27" w14:textId="77777777" w:rsidR="006578ED" w:rsidRDefault="00A1618E">
            <w:pPr>
              <w:pStyle w:val="P68B1DB1-Normal13"/>
              <w:spacing w:after="0"/>
              <w:jc w:val="right"/>
              <w:rPr>
                <w:rFonts w:eastAsia="Times New Roman" w:cs="Times New Roman"/>
                <w:noProof/>
              </w:rPr>
            </w:pPr>
            <w:r>
              <w:rPr>
                <w:noProof/>
              </w:rPr>
              <w:t>0</w:t>
            </w:r>
          </w:p>
        </w:tc>
        <w:tc>
          <w:tcPr>
            <w:tcW w:w="845" w:type="dxa"/>
            <w:shd w:val="clear" w:color="auto" w:fill="C6EFCE"/>
            <w:noWrap/>
          </w:tcPr>
          <w:p w14:paraId="3918953E" w14:textId="77777777" w:rsidR="006578ED" w:rsidRDefault="00A1618E">
            <w:pPr>
              <w:pStyle w:val="P68B1DB1-Normal13"/>
              <w:spacing w:after="0"/>
              <w:jc w:val="right"/>
              <w:rPr>
                <w:rFonts w:eastAsia="Times New Roman" w:cs="Times New Roman"/>
                <w:noProof/>
              </w:rPr>
            </w:pPr>
            <w:r>
              <w:rPr>
                <w:noProof/>
              </w:rPr>
              <w:t>95</w:t>
            </w:r>
          </w:p>
        </w:tc>
        <w:tc>
          <w:tcPr>
            <w:tcW w:w="422" w:type="dxa"/>
            <w:shd w:val="clear" w:color="auto" w:fill="C6EFCE"/>
            <w:noWrap/>
          </w:tcPr>
          <w:p w14:paraId="7F2234A6" w14:textId="68DB3D33" w:rsidR="006578ED" w:rsidRDefault="00EC188C">
            <w:pPr>
              <w:pStyle w:val="P68B1DB1-Normal13"/>
              <w:spacing w:after="0"/>
              <w:jc w:val="center"/>
              <w:rPr>
                <w:rFonts w:eastAsia="Times New Roman" w:cs="Times New Roman"/>
                <w:noProof/>
              </w:rPr>
            </w:pPr>
            <w:r>
              <w:rPr>
                <w:noProof/>
              </w:rPr>
              <w:t>KW. 4</w:t>
            </w:r>
          </w:p>
        </w:tc>
        <w:tc>
          <w:tcPr>
            <w:tcW w:w="563" w:type="dxa"/>
            <w:shd w:val="clear" w:color="auto" w:fill="C6EFCE"/>
            <w:noWrap/>
          </w:tcPr>
          <w:p w14:paraId="5E4ACF4C" w14:textId="77777777" w:rsidR="006578ED" w:rsidRDefault="00A1618E">
            <w:pPr>
              <w:pStyle w:val="P68B1DB1-Normal13"/>
              <w:spacing w:after="0"/>
              <w:jc w:val="center"/>
              <w:rPr>
                <w:rFonts w:eastAsia="Times New Roman" w:cs="Times New Roman"/>
                <w:noProof/>
              </w:rPr>
            </w:pPr>
            <w:r>
              <w:rPr>
                <w:noProof/>
              </w:rPr>
              <w:t>2025</w:t>
            </w:r>
          </w:p>
        </w:tc>
        <w:tc>
          <w:tcPr>
            <w:tcW w:w="4783" w:type="dxa"/>
            <w:gridSpan w:val="2"/>
            <w:shd w:val="clear" w:color="auto" w:fill="C6EFCE"/>
            <w:noWrap/>
          </w:tcPr>
          <w:p w14:paraId="76FF6E59" w14:textId="6665332A" w:rsidR="006578ED" w:rsidRDefault="00A1618E">
            <w:pPr>
              <w:pStyle w:val="P68B1DB1-Normal13"/>
              <w:spacing w:after="0"/>
              <w:rPr>
                <w:rFonts w:eastAsia="Times New Roman" w:cs="Times New Roman"/>
                <w:noProof/>
              </w:rPr>
            </w:pPr>
            <w:r>
              <w:rPr>
                <w:noProof/>
              </w:rPr>
              <w:t>Odnowiono co najmniej 40 ośrodków technicznych i 45 obiektów sportowych, które doprowadziły do poprawy efektywności energetycznej lub optymalizacji wykorzystania dzięki cyfryzacji lub poprawie dostępności. Środkiem weryfikacji ukończenia robót są świadectwa ukończenia robót. Interwencje dotyczące efektywności energetycznej osiągają średnio co najmniej 30 % zmniejszenie zapotrzebowania na energię pierwotną</w:t>
            </w:r>
            <w:r w:rsidRPr="00A1618E">
              <w:rPr>
                <w:noProof/>
                <w:lang w:val="pl-PL"/>
              </w:rPr>
              <w:t>. W</w:t>
            </w:r>
            <w:r>
              <w:rPr>
                <w:noProof/>
              </w:rPr>
              <w:t>ykaz obiektów podaje się do wiadomości publicznej.</w:t>
            </w:r>
          </w:p>
        </w:tc>
      </w:tr>
      <w:tr w:rsidR="006578ED" w14:paraId="4BDA43E6" w14:textId="77777777">
        <w:trPr>
          <w:trHeight w:val="309"/>
        </w:trPr>
        <w:tc>
          <w:tcPr>
            <w:tcW w:w="703" w:type="dxa"/>
            <w:shd w:val="clear" w:color="auto" w:fill="C6EFCE"/>
            <w:noWrap/>
          </w:tcPr>
          <w:p w14:paraId="6F822960" w14:textId="77777777" w:rsidR="006578ED" w:rsidRDefault="00A1618E">
            <w:pPr>
              <w:pStyle w:val="P68B1DB1-Normal13"/>
              <w:spacing w:after="0"/>
              <w:jc w:val="center"/>
              <w:rPr>
                <w:rFonts w:eastAsia="Times New Roman" w:cs="Times New Roman"/>
                <w:noProof/>
              </w:rPr>
            </w:pPr>
            <w:r>
              <w:rPr>
                <w:noProof/>
              </w:rPr>
              <w:t>374</w:t>
            </w:r>
          </w:p>
        </w:tc>
        <w:tc>
          <w:tcPr>
            <w:tcW w:w="845" w:type="dxa"/>
            <w:shd w:val="clear" w:color="auto" w:fill="C6EFCE"/>
            <w:noWrap/>
          </w:tcPr>
          <w:p w14:paraId="6F7A3FE8" w14:textId="77777777" w:rsidR="006578ED" w:rsidRDefault="00A1618E">
            <w:pPr>
              <w:pStyle w:val="P68B1DB1-Normal13"/>
              <w:spacing w:after="0"/>
              <w:jc w:val="center"/>
              <w:rPr>
                <w:rFonts w:eastAsia="Times New Roman" w:cs="Times New Roman"/>
                <w:noProof/>
              </w:rPr>
            </w:pPr>
            <w:r>
              <w:rPr>
                <w:noProof/>
              </w:rPr>
              <w:t>C26.I3</w:t>
            </w:r>
          </w:p>
        </w:tc>
        <w:tc>
          <w:tcPr>
            <w:tcW w:w="844" w:type="dxa"/>
            <w:shd w:val="clear" w:color="auto" w:fill="C6EFCE"/>
            <w:noWrap/>
          </w:tcPr>
          <w:p w14:paraId="3FF2A72F" w14:textId="53911F2F" w:rsidR="006578ED" w:rsidRDefault="00AF6B91">
            <w:pPr>
              <w:pStyle w:val="P68B1DB1-Normal13"/>
              <w:spacing w:after="0"/>
              <w:jc w:val="center"/>
              <w:rPr>
                <w:rFonts w:eastAsia="Times New Roman" w:cs="Times New Roman"/>
                <w:noProof/>
              </w:rPr>
            </w:pPr>
            <w:r>
              <w:rPr>
                <w:noProof/>
              </w:rPr>
              <w:t>Kamień milowy</w:t>
            </w:r>
          </w:p>
        </w:tc>
        <w:tc>
          <w:tcPr>
            <w:tcW w:w="2533" w:type="dxa"/>
            <w:shd w:val="clear" w:color="auto" w:fill="C6EFCE"/>
            <w:noWrap/>
          </w:tcPr>
          <w:p w14:paraId="5B04924F" w14:textId="03B7D223" w:rsidR="006578ED" w:rsidRDefault="00A1618E">
            <w:pPr>
              <w:pStyle w:val="P68B1DB1-Normal13"/>
              <w:spacing w:after="0"/>
              <w:rPr>
                <w:rFonts w:eastAsia="Times New Roman" w:cs="Times New Roman"/>
                <w:noProof/>
              </w:rPr>
            </w:pPr>
            <w:r>
              <w:rPr>
                <w:noProof/>
              </w:rPr>
              <w:t xml:space="preserve">Projekty promujące równość w sporcie </w:t>
            </w:r>
          </w:p>
        </w:tc>
        <w:tc>
          <w:tcPr>
            <w:tcW w:w="1407" w:type="dxa"/>
            <w:shd w:val="clear" w:color="auto" w:fill="C6EFCE"/>
            <w:noWrap/>
          </w:tcPr>
          <w:p w14:paraId="596DD18A" w14:textId="77777777" w:rsidR="006578ED" w:rsidRDefault="00A1618E">
            <w:pPr>
              <w:pStyle w:val="P68B1DB1-Normal13"/>
              <w:spacing w:after="0"/>
              <w:jc w:val="center"/>
              <w:rPr>
                <w:rFonts w:eastAsia="Times New Roman" w:cs="Times New Roman"/>
                <w:noProof/>
              </w:rPr>
            </w:pPr>
            <w:r>
              <w:rPr>
                <w:noProof/>
              </w:rPr>
              <w:t>Publikacja w Dz.U.</w:t>
            </w:r>
          </w:p>
        </w:tc>
        <w:tc>
          <w:tcPr>
            <w:tcW w:w="986" w:type="dxa"/>
            <w:shd w:val="clear" w:color="auto" w:fill="C6EFCE"/>
            <w:noWrap/>
          </w:tcPr>
          <w:p w14:paraId="650C8A1A" w14:textId="77777777" w:rsidR="006578ED" w:rsidRDefault="00A1618E">
            <w:pPr>
              <w:pStyle w:val="P68B1DB1-Normal13"/>
              <w:spacing w:after="0"/>
              <w:jc w:val="center"/>
              <w:rPr>
                <w:rFonts w:eastAsia="Times New Roman" w:cs="Times New Roman"/>
                <w:noProof/>
              </w:rPr>
            </w:pPr>
            <w:r>
              <w:rPr>
                <w:noProof/>
              </w:rPr>
              <w:t xml:space="preserve"> </w:t>
            </w:r>
          </w:p>
        </w:tc>
        <w:tc>
          <w:tcPr>
            <w:tcW w:w="1266" w:type="dxa"/>
            <w:shd w:val="clear" w:color="auto" w:fill="C6EFCE"/>
            <w:noWrap/>
          </w:tcPr>
          <w:p w14:paraId="2D1AE1A9" w14:textId="77777777" w:rsidR="006578ED" w:rsidRDefault="006578ED">
            <w:pPr>
              <w:tabs>
                <w:tab w:val="center" w:pos="605"/>
                <w:tab w:val="right" w:pos="1210"/>
              </w:tabs>
              <w:spacing w:after="0"/>
              <w:rPr>
                <w:rFonts w:ascii="Times New Roman" w:eastAsia="Times New Roman" w:hAnsi="Times New Roman" w:cs="Times New Roman"/>
                <w:noProof/>
                <w:sz w:val="18"/>
              </w:rPr>
            </w:pPr>
          </w:p>
        </w:tc>
        <w:tc>
          <w:tcPr>
            <w:tcW w:w="845" w:type="dxa"/>
            <w:shd w:val="clear" w:color="auto" w:fill="C6EFCE"/>
            <w:noWrap/>
          </w:tcPr>
          <w:p w14:paraId="7B4FDE8B" w14:textId="77777777" w:rsidR="006578ED" w:rsidRDefault="00A1618E">
            <w:pPr>
              <w:pStyle w:val="P68B1DB1-Normal13"/>
              <w:spacing w:after="0"/>
              <w:jc w:val="right"/>
              <w:rPr>
                <w:rFonts w:eastAsia="Times New Roman" w:cs="Times New Roman"/>
                <w:noProof/>
              </w:rPr>
            </w:pPr>
            <w:r>
              <w:rPr>
                <w:noProof/>
              </w:rPr>
              <w:t xml:space="preserve"> </w:t>
            </w:r>
          </w:p>
        </w:tc>
        <w:tc>
          <w:tcPr>
            <w:tcW w:w="422" w:type="dxa"/>
            <w:shd w:val="clear" w:color="auto" w:fill="C6EFCE"/>
            <w:noWrap/>
          </w:tcPr>
          <w:p w14:paraId="421965A5" w14:textId="307506EC" w:rsidR="006578ED" w:rsidRDefault="00EC188C">
            <w:pPr>
              <w:pStyle w:val="P68B1DB1-Normal13"/>
              <w:spacing w:after="0"/>
              <w:jc w:val="center"/>
              <w:rPr>
                <w:rFonts w:eastAsia="Times New Roman" w:cs="Times New Roman"/>
                <w:noProof/>
              </w:rPr>
            </w:pPr>
            <w:r>
              <w:rPr>
                <w:noProof/>
              </w:rPr>
              <w:t>KW. 2</w:t>
            </w:r>
          </w:p>
        </w:tc>
        <w:tc>
          <w:tcPr>
            <w:tcW w:w="563" w:type="dxa"/>
            <w:shd w:val="clear" w:color="auto" w:fill="C6EFCE"/>
            <w:noWrap/>
          </w:tcPr>
          <w:p w14:paraId="635D3B30" w14:textId="77777777" w:rsidR="006578ED" w:rsidRDefault="00A1618E">
            <w:pPr>
              <w:pStyle w:val="P68B1DB1-Normal13"/>
              <w:spacing w:after="0"/>
              <w:jc w:val="center"/>
              <w:rPr>
                <w:rFonts w:eastAsia="Times New Roman" w:cs="Times New Roman"/>
                <w:noProof/>
              </w:rPr>
            </w:pPr>
            <w:r>
              <w:rPr>
                <w:noProof/>
              </w:rPr>
              <w:t>2022</w:t>
            </w:r>
          </w:p>
        </w:tc>
        <w:tc>
          <w:tcPr>
            <w:tcW w:w="4783" w:type="dxa"/>
            <w:gridSpan w:val="2"/>
            <w:shd w:val="clear" w:color="auto" w:fill="C6EFCE"/>
            <w:noWrap/>
          </w:tcPr>
          <w:p w14:paraId="0AB48EE3" w14:textId="0B1347CD" w:rsidR="006578ED" w:rsidRDefault="00A1618E">
            <w:pPr>
              <w:pStyle w:val="P68B1DB1-Normal13"/>
              <w:spacing w:after="0"/>
              <w:rPr>
                <w:rFonts w:eastAsia="Times New Roman" w:cs="Times New Roman"/>
                <w:noProof/>
              </w:rPr>
            </w:pPr>
            <w:r>
              <w:rPr>
                <w:noProof/>
              </w:rPr>
              <w:t>Przyznanie przez CDPW (Krajową Radę Sportu) zaproszenia do składania wniosków w Dzienniku Urzędowym, w którym ma zostać wybrany co najmniej 15 projektów beneficjentów mających na celu promowanie równości w sporcie, w szczególności poprzez szkolenia, profesjonalizację sportu kobiet i widoczność sportu kobiecego. Łączny budżet zaproszenia wynosi 11 700 000 EUR.</w:t>
            </w:r>
          </w:p>
        </w:tc>
      </w:tr>
      <w:tr w:rsidR="006578ED" w14:paraId="6370569A" w14:textId="77777777">
        <w:trPr>
          <w:trHeight w:val="309"/>
        </w:trPr>
        <w:tc>
          <w:tcPr>
            <w:tcW w:w="703" w:type="dxa"/>
            <w:shd w:val="clear" w:color="auto" w:fill="C6EFCE"/>
            <w:noWrap/>
          </w:tcPr>
          <w:p w14:paraId="0F6BB98E" w14:textId="77777777" w:rsidR="006578ED" w:rsidRDefault="00A1618E">
            <w:pPr>
              <w:pStyle w:val="P68B1DB1-Normal13"/>
              <w:spacing w:after="0"/>
              <w:jc w:val="center"/>
              <w:rPr>
                <w:rFonts w:eastAsia="Times New Roman" w:cs="Times New Roman"/>
                <w:noProof/>
              </w:rPr>
            </w:pPr>
            <w:r>
              <w:rPr>
                <w:noProof/>
              </w:rPr>
              <w:t>375</w:t>
            </w:r>
          </w:p>
        </w:tc>
        <w:tc>
          <w:tcPr>
            <w:tcW w:w="845" w:type="dxa"/>
            <w:shd w:val="clear" w:color="auto" w:fill="C6EFCE"/>
            <w:noWrap/>
          </w:tcPr>
          <w:p w14:paraId="32BA3EC0" w14:textId="77777777" w:rsidR="006578ED" w:rsidRDefault="00A1618E">
            <w:pPr>
              <w:pStyle w:val="P68B1DB1-Normal13"/>
              <w:spacing w:after="0"/>
              <w:jc w:val="center"/>
              <w:rPr>
                <w:rFonts w:eastAsia="Times New Roman" w:cs="Times New Roman"/>
                <w:noProof/>
              </w:rPr>
            </w:pPr>
            <w:r>
              <w:rPr>
                <w:noProof/>
              </w:rPr>
              <w:t>C26.I3</w:t>
            </w:r>
          </w:p>
        </w:tc>
        <w:tc>
          <w:tcPr>
            <w:tcW w:w="844" w:type="dxa"/>
            <w:shd w:val="clear" w:color="auto" w:fill="C6EFCE"/>
            <w:noWrap/>
          </w:tcPr>
          <w:p w14:paraId="2E060E23" w14:textId="62607916" w:rsidR="006578ED" w:rsidRDefault="00AF6B91">
            <w:pPr>
              <w:pStyle w:val="P68B1DB1-Normal13"/>
              <w:spacing w:after="0"/>
              <w:jc w:val="center"/>
              <w:rPr>
                <w:rFonts w:eastAsia="Times New Roman" w:cs="Times New Roman"/>
                <w:noProof/>
              </w:rPr>
            </w:pPr>
            <w:r>
              <w:rPr>
                <w:noProof/>
              </w:rPr>
              <w:t>Cel</w:t>
            </w:r>
          </w:p>
        </w:tc>
        <w:tc>
          <w:tcPr>
            <w:tcW w:w="2533" w:type="dxa"/>
            <w:shd w:val="clear" w:color="auto" w:fill="C6EFCE"/>
            <w:noWrap/>
          </w:tcPr>
          <w:p w14:paraId="39592C02" w14:textId="19D81E3E" w:rsidR="006578ED" w:rsidRDefault="00A1618E">
            <w:pPr>
              <w:pStyle w:val="P68B1DB1-Normal13"/>
              <w:spacing w:after="0"/>
              <w:rPr>
                <w:rFonts w:eastAsia="Times New Roman" w:cs="Times New Roman"/>
                <w:noProof/>
              </w:rPr>
            </w:pPr>
            <w:r>
              <w:rPr>
                <w:noProof/>
              </w:rPr>
              <w:t>Zakończenie działań w ramach planu społecznego na rzecz sportu</w:t>
            </w:r>
          </w:p>
        </w:tc>
        <w:tc>
          <w:tcPr>
            <w:tcW w:w="1407" w:type="dxa"/>
            <w:shd w:val="clear" w:color="auto" w:fill="C6EFCE"/>
            <w:noWrap/>
          </w:tcPr>
          <w:p w14:paraId="2CFA13A8" w14:textId="77777777" w:rsidR="006578ED" w:rsidRDefault="00A1618E">
            <w:pPr>
              <w:pStyle w:val="P68B1DB1-Normal13"/>
              <w:spacing w:after="0"/>
              <w:jc w:val="center"/>
              <w:rPr>
                <w:rFonts w:eastAsia="Times New Roman" w:cs="Times New Roman"/>
                <w:noProof/>
              </w:rPr>
            </w:pPr>
            <w:r>
              <w:rPr>
                <w:noProof/>
              </w:rPr>
              <w:t> </w:t>
            </w:r>
          </w:p>
        </w:tc>
        <w:tc>
          <w:tcPr>
            <w:tcW w:w="986" w:type="dxa"/>
            <w:shd w:val="clear" w:color="auto" w:fill="C6EFCE"/>
            <w:noWrap/>
          </w:tcPr>
          <w:p w14:paraId="10D0E016" w14:textId="77777777" w:rsidR="006578ED" w:rsidRDefault="00A1618E">
            <w:pPr>
              <w:pStyle w:val="P68B1DB1-Normal13"/>
              <w:spacing w:after="0"/>
              <w:jc w:val="center"/>
              <w:rPr>
                <w:rFonts w:eastAsia="Times New Roman" w:cs="Times New Roman"/>
                <w:noProof/>
              </w:rPr>
            </w:pPr>
            <w:r>
              <w:rPr>
                <w:noProof/>
              </w:rPr>
              <w:t>Liczba</w:t>
            </w:r>
          </w:p>
        </w:tc>
        <w:tc>
          <w:tcPr>
            <w:tcW w:w="1266" w:type="dxa"/>
            <w:shd w:val="clear" w:color="auto" w:fill="C6EFCE"/>
            <w:noWrap/>
          </w:tcPr>
          <w:p w14:paraId="38316D7B" w14:textId="77777777" w:rsidR="006578ED" w:rsidRDefault="00A1618E">
            <w:pPr>
              <w:pStyle w:val="P68B1DB1-Normal13"/>
              <w:spacing w:after="0"/>
              <w:jc w:val="center"/>
              <w:rPr>
                <w:rFonts w:eastAsia="Times New Roman" w:cs="Times New Roman"/>
                <w:noProof/>
              </w:rPr>
            </w:pPr>
            <w:r>
              <w:rPr>
                <w:noProof/>
              </w:rPr>
              <w:t>0</w:t>
            </w:r>
          </w:p>
        </w:tc>
        <w:tc>
          <w:tcPr>
            <w:tcW w:w="845" w:type="dxa"/>
            <w:shd w:val="clear" w:color="auto" w:fill="C6EFCE"/>
            <w:noWrap/>
          </w:tcPr>
          <w:p w14:paraId="5B41D815" w14:textId="77777777" w:rsidR="006578ED" w:rsidRDefault="00A1618E">
            <w:pPr>
              <w:pStyle w:val="P68B1DB1-Normal13"/>
              <w:spacing w:after="0"/>
              <w:jc w:val="center"/>
              <w:rPr>
                <w:rFonts w:eastAsia="Times New Roman" w:cs="Times New Roman"/>
                <w:noProof/>
              </w:rPr>
            </w:pPr>
            <w:r>
              <w:rPr>
                <w:noProof/>
              </w:rPr>
              <w:t>40</w:t>
            </w:r>
          </w:p>
        </w:tc>
        <w:tc>
          <w:tcPr>
            <w:tcW w:w="422" w:type="dxa"/>
            <w:shd w:val="clear" w:color="auto" w:fill="C6EFCE"/>
            <w:noWrap/>
          </w:tcPr>
          <w:p w14:paraId="080B73A6" w14:textId="0FBBC318" w:rsidR="006578ED" w:rsidRDefault="00EC188C">
            <w:pPr>
              <w:pStyle w:val="P68B1DB1-Normal13"/>
              <w:spacing w:after="0"/>
              <w:jc w:val="center"/>
              <w:rPr>
                <w:rFonts w:eastAsia="Times New Roman" w:cs="Times New Roman"/>
                <w:noProof/>
              </w:rPr>
            </w:pPr>
            <w:r>
              <w:rPr>
                <w:noProof/>
              </w:rPr>
              <w:t>KW. 4</w:t>
            </w:r>
          </w:p>
        </w:tc>
        <w:tc>
          <w:tcPr>
            <w:tcW w:w="563" w:type="dxa"/>
            <w:shd w:val="clear" w:color="auto" w:fill="C6EFCE"/>
            <w:noWrap/>
          </w:tcPr>
          <w:p w14:paraId="3A606EDD" w14:textId="77777777" w:rsidR="006578ED" w:rsidRDefault="00A1618E">
            <w:pPr>
              <w:pStyle w:val="P68B1DB1-Normal13"/>
              <w:spacing w:after="0"/>
              <w:jc w:val="center"/>
              <w:rPr>
                <w:rFonts w:eastAsia="Times New Roman" w:cs="Times New Roman"/>
                <w:noProof/>
              </w:rPr>
            </w:pPr>
            <w:r>
              <w:rPr>
                <w:noProof/>
              </w:rPr>
              <w:t>2023</w:t>
            </w:r>
          </w:p>
        </w:tc>
        <w:tc>
          <w:tcPr>
            <w:tcW w:w="4783" w:type="dxa"/>
            <w:gridSpan w:val="2"/>
            <w:shd w:val="clear" w:color="auto" w:fill="C6EFCE"/>
            <w:noWrap/>
          </w:tcPr>
          <w:p w14:paraId="2089D9AC" w14:textId="709E0E9A" w:rsidR="006578ED" w:rsidRDefault="00A1618E">
            <w:pPr>
              <w:pStyle w:val="P68B1DB1-Normal13"/>
              <w:spacing w:after="0"/>
              <w:rPr>
                <w:rFonts w:eastAsia="Times New Roman" w:cs="Times New Roman"/>
                <w:noProof/>
              </w:rPr>
            </w:pPr>
            <w:r>
              <w:rPr>
                <w:noProof/>
              </w:rPr>
              <w:t>Zakończenie działań w ramach planu społecznego na rzecz sportu, w tym renowację co najmniej 40 obiektów sportowych oraz działania promujące obecność kobiet w sporcie zawodowym (programy szkoleniowe, kampanie marketingowe i badania). Interwencje dotyczące efektywności energetycznej osiągają średnio co najmniej 30 % zmniejszenie zapotrzebowania na energię pierwotną. Wykaz obiektów podaje się do wiadomości publicznej.</w:t>
            </w:r>
          </w:p>
        </w:tc>
      </w:tr>
    </w:tbl>
    <w:p w14:paraId="67B737D8" w14:textId="77777777" w:rsidR="006578ED" w:rsidRDefault="006578ED">
      <w:pPr>
        <w:pStyle w:val="SectionTitle"/>
        <w:rPr>
          <w:rFonts w:ascii="Times New Roman" w:hAnsi="Times New Roman" w:cs="Times New Roman"/>
          <w:noProof/>
        </w:rPr>
        <w:sectPr w:rsidR="006578ED" w:rsidSect="00C94F66">
          <w:headerReference w:type="even" r:id="rId501"/>
          <w:headerReference w:type="default" r:id="rId502"/>
          <w:footerReference w:type="even" r:id="rId503"/>
          <w:footerReference w:type="default" r:id="rId504"/>
          <w:headerReference w:type="first" r:id="rId505"/>
          <w:footerReference w:type="first" r:id="rId506"/>
          <w:pgSz w:w="16839" w:h="11907" w:orient="landscape"/>
          <w:pgMar w:top="1417" w:right="1134" w:bottom="1417" w:left="1134" w:header="709" w:footer="709" w:gutter="0"/>
          <w:cols w:space="720"/>
          <w:docGrid w:linePitch="360"/>
        </w:sectPr>
      </w:pPr>
    </w:p>
    <w:p w14:paraId="7AE65ADE" w14:textId="32EAADDF" w:rsidR="006578ED" w:rsidRDefault="00A1618E">
      <w:pPr>
        <w:pStyle w:val="P68B1DB1-Heading12"/>
        <w:rPr>
          <w:rFonts w:cs="Times New Roman"/>
          <w:noProof/>
        </w:rPr>
      </w:pPr>
      <w:r>
        <w:rPr>
          <w:noProof/>
        </w:rPr>
        <w:t>AA. KOMPONENT 27: Środki i działania na rzecz zapobiegania oszustwom podatkowym i ich zwalczania</w:t>
      </w:r>
    </w:p>
    <w:p w14:paraId="7238EB16" w14:textId="4030FC83" w:rsidR="006578ED" w:rsidRDefault="00A1618E">
      <w:pPr>
        <w:pStyle w:val="P68B1DB1-Text119"/>
        <w:ind w:left="0"/>
        <w:rPr>
          <w:rFonts w:cs="Times New Roman"/>
          <w:noProof/>
        </w:rPr>
      </w:pPr>
      <w:r>
        <w:rPr>
          <w:noProof/>
        </w:rPr>
        <w:t xml:space="preserve">Ten element hiszpańskiego planu odbudowy i zwiększania odporności odnosi się do wyzwań związanych z zapobieganiem oszustwom podatkowym i uchylaniu się od opodatkowania oraz zwalczaniem tych zjawisk. Celem tego komponentu jest zwiększenie przestrzegania przepisów podatkowych i pobór większych dochodów podatkowych. Komponent ten dotyczy m.in. zaleceń dla poszczególnych krajów w sprawie wzmocnienia ram fiskalnych i ram zamówień publicznych na wszystkich szczeblach administracji rządowej (zalecenie dla poszczególnych krajów </w:t>
      </w:r>
      <w:r w:rsidRPr="00A1618E">
        <w:rPr>
          <w:noProof/>
          <w:lang w:val="pl-PL"/>
        </w:rPr>
        <w:t>nr 1</w:t>
      </w:r>
      <w:r>
        <w:rPr>
          <w:noProof/>
        </w:rPr>
        <w:t xml:space="preserve"> z 20</w:t>
      </w:r>
      <w:r w:rsidRPr="00A1618E">
        <w:rPr>
          <w:noProof/>
          <w:lang w:val="pl-PL"/>
        </w:rPr>
        <w:t>19 r.</w:t>
      </w:r>
      <w:r>
        <w:rPr>
          <w:noProof/>
        </w:rPr>
        <w:t xml:space="preserve">) oraz – gdy pozwolą na to warunki ekonomiczne – prowadzenia polityki fiskalnej mającej na celu osiągnięcie ostrożnej sytuacji budżetowej w średnim okresie i zapewnienie długookresowej zdolności do obsługi długu, przy jednoczesnym zachęcaniu do inwestycji (zalecenie dla poszczególnych krajów </w:t>
      </w:r>
      <w:r w:rsidRPr="00A1618E">
        <w:rPr>
          <w:noProof/>
          <w:lang w:val="pl-PL"/>
        </w:rPr>
        <w:t>nr 1</w:t>
      </w:r>
      <w:r>
        <w:rPr>
          <w:noProof/>
        </w:rPr>
        <w:t xml:space="preserve"> z 20</w:t>
      </w:r>
      <w:r w:rsidRPr="00A1618E">
        <w:rPr>
          <w:noProof/>
          <w:lang w:val="pl-PL"/>
        </w:rPr>
        <w:t>20 r.</w:t>
      </w:r>
      <w:r>
        <w:rPr>
          <w:noProof/>
        </w:rPr>
        <w:t xml:space="preserve">). </w:t>
      </w:r>
    </w:p>
    <w:p w14:paraId="0C9F8F53" w14:textId="6F1E7E69" w:rsidR="006578ED" w:rsidRDefault="00A1618E">
      <w:pPr>
        <w:pStyle w:val="P68B1DB1-Text119"/>
        <w:ind w:left="0"/>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604A1F05" w14:textId="2DB1F9D0" w:rsidR="006578ED" w:rsidRDefault="00A1618E">
      <w:pPr>
        <w:pStyle w:val="P68B1DB1-Text138"/>
        <w:ind w:left="709"/>
        <w:rPr>
          <w:rFonts w:cs="Times New Roman"/>
          <w:i/>
          <w:noProof/>
        </w:rPr>
      </w:pPr>
      <w:r>
        <w:rPr>
          <w:noProof/>
        </w:rPr>
        <w:t xml:space="preserve">AA.1. </w:t>
      </w:r>
      <w:r>
        <w:rPr>
          <w:noProof/>
        </w:rPr>
        <w:tab/>
        <w:t>Opis reform i inwestycji, które mają być finansowane z bezzwrotnego wsparcia finansowego</w:t>
      </w:r>
    </w:p>
    <w:p w14:paraId="1694E1AE" w14:textId="77E9FC47" w:rsidR="006578ED" w:rsidRDefault="00A1618E">
      <w:pPr>
        <w:pStyle w:val="P68B1DB1-Normal6"/>
        <w:spacing w:before="120" w:after="120" w:line="240" w:lineRule="auto"/>
        <w:jc w:val="both"/>
        <w:rPr>
          <w:rFonts w:cs="Times New Roman"/>
          <w:noProof/>
        </w:rPr>
      </w:pPr>
      <w:r>
        <w:rPr>
          <w:noProof/>
        </w:rPr>
        <w:t>Reforma 1 (C27.R1) – Przyjęcie ustawy o zwalczaniu nadużyć finansowych</w:t>
      </w:r>
    </w:p>
    <w:p w14:paraId="68A28209" w14:textId="735A688F" w:rsidR="006578ED" w:rsidRDefault="00A1618E">
      <w:pPr>
        <w:pStyle w:val="P68B1DB1-Normal4"/>
        <w:spacing w:before="120" w:after="120" w:line="240" w:lineRule="auto"/>
        <w:jc w:val="both"/>
        <w:rPr>
          <w:rFonts w:cs="Times New Roman"/>
          <w:noProof/>
        </w:rPr>
      </w:pPr>
      <w:r>
        <w:rPr>
          <w:noProof/>
        </w:rPr>
        <w:t>Celem tej reformy jest wzmocnienie przepisów przeciwdziałających praktykom unikania opodatkowania, które mają bezpośredni wpływ na funkcjonowanie rynku wewnętrznego, a także zmiana podatków pośrednich i bezpośrednich, niektórych podatków samorządowych i przepisów dotyczących gier hazardowych. Reforma wprowadza zmiany do rozporządzenia mające na celu ustanowienie parametrów wymiaru sprawiedliwości podatkowej i ułatwienie działań mających na celu zapobieganie oszustwom i zwalczanie ich poprzez wzmocnienie kontroli podatkowej.</w:t>
      </w:r>
    </w:p>
    <w:p w14:paraId="3D638B74" w14:textId="271D85DF" w:rsidR="006578ED" w:rsidRDefault="00A1618E">
      <w:pPr>
        <w:pStyle w:val="P68B1DB1-Normal4"/>
        <w:spacing w:before="120" w:after="120" w:line="240" w:lineRule="auto"/>
        <w:jc w:val="both"/>
        <w:rPr>
          <w:rFonts w:cs="Times New Roman"/>
          <w:noProof/>
        </w:rPr>
      </w:pPr>
      <w:r>
        <w:rPr>
          <w:noProof/>
        </w:rPr>
        <w:t>Reforma polega na przyjęciu i wejściu w życie ustawy o zwalczaniu uchylania się od opodatkowania i oszustw podatkowych, która:</w:t>
      </w:r>
    </w:p>
    <w:p w14:paraId="2EE9C878" w14:textId="0586EA08" w:rsidR="006578ED" w:rsidRDefault="00A1618E">
      <w:pPr>
        <w:pStyle w:val="P68B1DB1-ListParagraph7"/>
        <w:numPr>
          <w:ilvl w:val="0"/>
          <w:numId w:val="162"/>
        </w:numPr>
        <w:spacing w:before="120" w:after="120" w:line="240" w:lineRule="auto"/>
        <w:jc w:val="both"/>
        <w:rPr>
          <w:rFonts w:cs="Times New Roman"/>
          <w:noProof/>
        </w:rPr>
      </w:pPr>
      <w:r>
        <w:rPr>
          <w:noProof/>
        </w:rPr>
        <w:t>Rozszerza zakres transakcji, w których płatności elektroniczne są dozwolone (podpisy i profesjonaliści) i ustala ustawowy próg dla płatności gotówkowych;</w:t>
      </w:r>
    </w:p>
    <w:p w14:paraId="59BC6993" w14:textId="0509B664" w:rsidR="006578ED" w:rsidRDefault="00A1618E">
      <w:pPr>
        <w:pStyle w:val="P68B1DB1-ListParagraph7"/>
        <w:numPr>
          <w:ilvl w:val="0"/>
          <w:numId w:val="162"/>
        </w:numPr>
        <w:spacing w:before="120" w:after="120" w:line="240" w:lineRule="auto"/>
        <w:jc w:val="both"/>
        <w:rPr>
          <w:rFonts w:cs="Times New Roman"/>
          <w:noProof/>
        </w:rPr>
      </w:pPr>
      <w:r>
        <w:rPr>
          <w:noProof/>
        </w:rPr>
        <w:t>Aktualizuje wykaz rajów podatkowych zgodnie z kryteriami przejrzystości, braku opodatkowania i szkodliwych systemów podatkowych;</w:t>
      </w:r>
    </w:p>
    <w:p w14:paraId="2C2B1F45" w14:textId="50BF8390" w:rsidR="006578ED" w:rsidRDefault="00A1618E">
      <w:pPr>
        <w:pStyle w:val="P68B1DB1-ListParagraph7"/>
        <w:numPr>
          <w:ilvl w:val="0"/>
          <w:numId w:val="162"/>
        </w:numPr>
        <w:spacing w:before="120" w:after="120" w:line="240" w:lineRule="auto"/>
        <w:jc w:val="both"/>
        <w:rPr>
          <w:rFonts w:cs="Times New Roman"/>
          <w:noProof/>
        </w:rPr>
      </w:pPr>
      <w:r>
        <w:rPr>
          <w:noProof/>
        </w:rPr>
        <w:t>Wprowadza zmiany w przepisach dotyczących płacenia osób z zaległościami podatkowymi;</w:t>
      </w:r>
    </w:p>
    <w:p w14:paraId="0D5B5F01" w14:textId="77777777" w:rsidR="006578ED" w:rsidRDefault="00A1618E">
      <w:pPr>
        <w:pStyle w:val="P68B1DB1-ListParagraph7"/>
        <w:numPr>
          <w:ilvl w:val="0"/>
          <w:numId w:val="162"/>
        </w:numPr>
        <w:spacing w:before="120" w:after="120" w:line="240" w:lineRule="auto"/>
        <w:jc w:val="both"/>
        <w:rPr>
          <w:rFonts w:cs="Times New Roman"/>
          <w:noProof/>
        </w:rPr>
      </w:pPr>
      <w:r>
        <w:rPr>
          <w:noProof/>
        </w:rPr>
        <w:t>Wprowadza zakaz stosowania „oprogramowania podwójnego zastosowania”;</w:t>
      </w:r>
    </w:p>
    <w:p w14:paraId="0558610A" w14:textId="77777777" w:rsidR="006578ED" w:rsidRDefault="00A1618E">
      <w:pPr>
        <w:pStyle w:val="P68B1DB1-ListParagraph7"/>
        <w:numPr>
          <w:ilvl w:val="0"/>
          <w:numId w:val="162"/>
        </w:numPr>
        <w:spacing w:before="120" w:after="120" w:line="240" w:lineRule="auto"/>
        <w:jc w:val="both"/>
        <w:rPr>
          <w:rFonts w:cs="Times New Roman"/>
          <w:noProof/>
        </w:rPr>
      </w:pPr>
      <w:r>
        <w:rPr>
          <w:noProof/>
        </w:rPr>
        <w:t>Wprowadza wartość referencyjną dla podstawy opodatkowania nieruchomości.</w:t>
      </w:r>
    </w:p>
    <w:p w14:paraId="2A8F6E89" w14:textId="0C16A628" w:rsidR="006578ED" w:rsidRDefault="00A1618E">
      <w:pPr>
        <w:pStyle w:val="P68B1DB1-Normal4"/>
        <w:spacing w:before="120" w:after="120" w:line="240" w:lineRule="auto"/>
        <w:jc w:val="both"/>
        <w:rPr>
          <w:rFonts w:cs="Times New Roman"/>
          <w:noProof/>
        </w:rPr>
      </w:pPr>
      <w:r>
        <w:rPr>
          <w:noProof/>
        </w:rPr>
        <w:t>Ustawa zostaje uchwalona do dnia 30 czerwca 20</w:t>
      </w:r>
      <w:r w:rsidRPr="00A1618E">
        <w:rPr>
          <w:noProof/>
          <w:lang w:val="pl-PL"/>
        </w:rPr>
        <w:t>21 r.</w:t>
      </w:r>
      <w:r>
        <w:rPr>
          <w:noProof/>
        </w:rPr>
        <w:t xml:space="preserve"> Ustawa wchodzi w życie z dniem 30 czerwca 20</w:t>
      </w:r>
      <w:r w:rsidRPr="00A1618E">
        <w:rPr>
          <w:noProof/>
          <w:lang w:val="pl-PL"/>
        </w:rPr>
        <w:t>22 r.</w:t>
      </w:r>
      <w:r>
        <w:rPr>
          <w:noProof/>
        </w:rPr>
        <w:t xml:space="preserve"> Reforma przewiduje wstępną ocenę ustawy do dnia 31 grudnia 20</w:t>
      </w:r>
      <w:r w:rsidRPr="00A1618E">
        <w:rPr>
          <w:noProof/>
          <w:lang w:val="pl-PL"/>
        </w:rPr>
        <w:t>22 r.</w:t>
      </w:r>
      <w:r>
        <w:rPr>
          <w:noProof/>
        </w:rPr>
        <w:t xml:space="preserve"> i na podstawie tej oceny mogą nastąpić zmiany w 20</w:t>
      </w:r>
      <w:r w:rsidRPr="00A1618E">
        <w:rPr>
          <w:noProof/>
          <w:lang w:val="pl-PL"/>
        </w:rPr>
        <w:t>23 r.</w:t>
      </w:r>
    </w:p>
    <w:p w14:paraId="5B90568F" w14:textId="77777777" w:rsidR="006578ED" w:rsidRDefault="00A1618E">
      <w:pPr>
        <w:pStyle w:val="P68B1DB1-Normal6"/>
        <w:spacing w:before="120" w:after="120" w:line="240" w:lineRule="auto"/>
        <w:jc w:val="both"/>
        <w:rPr>
          <w:rFonts w:cs="Times New Roman"/>
          <w:noProof/>
        </w:rPr>
      </w:pPr>
      <w:r>
        <w:rPr>
          <w:noProof/>
        </w:rPr>
        <w:t>Reforma 2 (C27.R2) – Modernizacja urzędu skarbowego</w:t>
      </w:r>
    </w:p>
    <w:p w14:paraId="4B558F27" w14:textId="14E56597" w:rsidR="006578ED" w:rsidRDefault="00A1618E">
      <w:pPr>
        <w:pStyle w:val="P68B1DB1-Normal4"/>
        <w:spacing w:before="120" w:after="120" w:line="240" w:lineRule="auto"/>
        <w:jc w:val="both"/>
        <w:rPr>
          <w:rFonts w:cs="Times New Roman"/>
          <w:noProof/>
        </w:rPr>
      </w:pPr>
      <w:r>
        <w:rPr>
          <w:noProof/>
        </w:rPr>
        <w:t xml:space="preserve">Agencji Skarbowej powierzono wdrożenie państwowego systemu podatkowego i systemu celnego oraz prowadzi swoją działalność w ramach planu strategicznego na lata 2020–2023. Niniejszy plan strategiczny, który w dużej mierze opiera się na wykorzystaniu rozwiązań informatycznych, jest co roku poddawany przeglądowi w celu zapewnienia jego dostosowania do nowych zmian w polityce podatkowej, źródeł informacji, zachowań podatników i rozwoju technologicznego. Celem tej reformy jest wsparcie realizacji i rocznego przeglądu planu strategicznego na lata 2020–2023, którego celem jest modernizacja agencji świadczącej usługi w celu ograniczenia oszustw podatkowych i uchylania się od opodatkowania. Reforma 2 ściśle współdziała z innymi reformami w ramach tego komponentu. Reforma obejmuje: </w:t>
      </w:r>
    </w:p>
    <w:p w14:paraId="2C61B7E4" w14:textId="2E7C376B" w:rsidR="006578ED" w:rsidRDefault="00A1618E">
      <w:pPr>
        <w:pStyle w:val="P68B1DB1-ListParagraph7"/>
        <w:numPr>
          <w:ilvl w:val="0"/>
          <w:numId w:val="788"/>
        </w:numPr>
        <w:spacing w:before="120" w:after="120" w:line="240" w:lineRule="auto"/>
        <w:jc w:val="both"/>
        <w:rPr>
          <w:rFonts w:cs="Times New Roman"/>
          <w:noProof/>
        </w:rPr>
      </w:pPr>
      <w:r>
        <w:rPr>
          <w:noProof/>
        </w:rPr>
        <w:t xml:space="preserve">Zwiększenie zasobów ludzkich w Agencji Skarbowej zgodnie z jej potrzebami średnioterminowymi oraz </w:t>
      </w:r>
    </w:p>
    <w:p w14:paraId="3BD86ECF" w14:textId="30C389EE" w:rsidR="006578ED" w:rsidRDefault="00A1618E">
      <w:pPr>
        <w:pStyle w:val="P68B1DB1-ListParagraph7"/>
        <w:numPr>
          <w:ilvl w:val="0"/>
          <w:numId w:val="788"/>
        </w:numPr>
        <w:spacing w:before="120" w:after="120" w:line="240" w:lineRule="auto"/>
        <w:jc w:val="both"/>
        <w:rPr>
          <w:rFonts w:cs="Times New Roman"/>
          <w:noProof/>
        </w:rPr>
      </w:pPr>
      <w:r>
        <w:rPr>
          <w:noProof/>
        </w:rPr>
        <w:t xml:space="preserve">Przeprowadzenie przeglądu budynków Agencji w celu modernizacji technologii i zwiększenia efektywności energetycznej. </w:t>
      </w:r>
    </w:p>
    <w:p w14:paraId="791FD1E3" w14:textId="30B4B575" w:rsidR="006578ED" w:rsidRDefault="00A1618E">
      <w:pPr>
        <w:pStyle w:val="P68B1DB1-Normal4"/>
        <w:spacing w:before="120" w:after="120" w:line="240" w:lineRule="auto"/>
        <w:jc w:val="both"/>
        <w:rPr>
          <w:rFonts w:cs="Times New Roman"/>
          <w:noProof/>
        </w:rPr>
      </w:pPr>
      <w:r>
        <w:rPr>
          <w:noProof/>
        </w:rPr>
        <w:t>Reforma zostanie wdrożona do dnia 31 grudnia 20</w:t>
      </w:r>
      <w:r w:rsidRPr="00A1618E">
        <w:rPr>
          <w:noProof/>
          <w:lang w:val="pl-PL"/>
        </w:rPr>
        <w:t>23 r.</w:t>
      </w:r>
    </w:p>
    <w:p w14:paraId="54C3F7BC" w14:textId="77777777" w:rsidR="006578ED" w:rsidRDefault="00A1618E">
      <w:pPr>
        <w:pStyle w:val="P68B1DB1-Normal6"/>
        <w:spacing w:before="120" w:after="120" w:line="240" w:lineRule="auto"/>
        <w:jc w:val="both"/>
        <w:rPr>
          <w:rFonts w:cs="Times New Roman"/>
          <w:noProof/>
        </w:rPr>
      </w:pPr>
      <w:r>
        <w:rPr>
          <w:noProof/>
        </w:rPr>
        <w:t>Reforma 3 (C27.R3) – Zwiększona pomoc dla podatników</w:t>
      </w:r>
    </w:p>
    <w:p w14:paraId="7D03D450" w14:textId="204CD3D4" w:rsidR="006578ED" w:rsidRDefault="00A1618E">
      <w:pPr>
        <w:pStyle w:val="P68B1DB1-Normal4"/>
        <w:spacing w:before="120" w:after="120" w:line="240" w:lineRule="auto"/>
        <w:jc w:val="both"/>
        <w:rPr>
          <w:rFonts w:cs="Times New Roman"/>
          <w:noProof/>
        </w:rPr>
      </w:pPr>
      <w:r>
        <w:rPr>
          <w:noProof/>
        </w:rPr>
        <w:t xml:space="preserve">Celem tej reformy jest poprawa pomocy dla podatników. Kluczowym elementem strategii Urzędu Skarbowego na lata 2020–2023 jest poprawa usług dla podatników dzięki zwiększonemu wykorzystaniu platform elektronicznych (tzw. „ADI”, Integralna Administracja Cyfrowa). Reforma polega na świadczeniu nowych usług ułatwiających opodatkowanie osób prawnych i osób fizycznych oraz opodatkowanie VAT. Nowe usługi mają obejmować ulepszone metody komunikacji, usługi pomocy technicznej i przeglądanie danych użytkowników, a także deklaracje podatkowe i obsługę deklaracji. Planuje się zwiększenie świadczenia takich usług w trzech falach w latach 2021–2023, tak aby stopniowo coraz więcej klientów wybierało usługi elektroniczne zamiast odwiedzać swoje lokalne biura podatkowe. Dzięki tym środkom Agencja ma na celu ułatwienie klientom przestrzegania kodeksu podatkowego, a tym samym zwiększenie dochodów podatkowych. </w:t>
      </w:r>
    </w:p>
    <w:p w14:paraId="16F50C48" w14:textId="29949FC1" w:rsidR="006578ED" w:rsidRDefault="00A1618E">
      <w:pPr>
        <w:pStyle w:val="P68B1DB1-Normal4"/>
        <w:spacing w:before="120" w:after="120" w:line="240" w:lineRule="auto"/>
        <w:jc w:val="both"/>
        <w:rPr>
          <w:rFonts w:cs="Times New Roman"/>
          <w:noProof/>
        </w:rPr>
      </w:pPr>
      <w:r>
        <w:rPr>
          <w:noProof/>
        </w:rPr>
        <w:t>Realizacja reformy zakończy się do dnia 31 grudnia 20</w:t>
      </w:r>
      <w:r w:rsidRPr="00A1618E">
        <w:rPr>
          <w:noProof/>
          <w:lang w:val="pl-PL"/>
        </w:rPr>
        <w:t>23 r.</w:t>
      </w:r>
    </w:p>
    <w:p w14:paraId="51E4EC83" w14:textId="77777777" w:rsidR="006578ED" w:rsidRDefault="00A1618E">
      <w:pPr>
        <w:pStyle w:val="P68B1DB1-Normal6"/>
        <w:spacing w:before="120" w:after="120" w:line="240" w:lineRule="auto"/>
        <w:jc w:val="both"/>
        <w:rPr>
          <w:rFonts w:cs="Times New Roman"/>
          <w:noProof/>
        </w:rPr>
      </w:pPr>
      <w:r>
        <w:rPr>
          <w:noProof/>
        </w:rPr>
        <w:t>Reforma 4 (C27.R4) – wymiar międzynarodowy</w:t>
      </w:r>
    </w:p>
    <w:p w14:paraId="56524CEF" w14:textId="4D0B8001" w:rsidR="006578ED" w:rsidRDefault="00A1618E">
      <w:pPr>
        <w:pStyle w:val="P68B1DB1-Normal4"/>
        <w:spacing w:before="120" w:after="120" w:line="240" w:lineRule="auto"/>
        <w:jc w:val="both"/>
        <w:rPr>
          <w:rFonts w:cs="Times New Roman"/>
          <w:noProof/>
        </w:rPr>
      </w:pPr>
      <w:r>
        <w:rPr>
          <w:noProof/>
        </w:rPr>
        <w:t xml:space="preserve">Celem tej reformy jest zwiększenie i optymalizacja wykorzystania systemów informatycznych we współpracy międzynarodowej w celu zwalczania oszustw podatkowych i uchylania się od opodatkowania. Reforma ta, wynikająca z umów międzynarodowych w tej dziedzinie polityki, polega na podjęciu środków ułatwiających podatnikom wywiązywanie się z obowiązków podatkowych (w tym danych dotyczących podatku dochodowego od osób fizycznych), nasileniu walki z nierejestrowaną działalnością i szarą strefą gospodarki oraz na dokonaniu przeglądu jakości i przydatności informacji uzyskanych z różnych krajów. Oczekuje się, że cele te zostaną osiągnięte dzięki szerszemu wykorzystaniu bardziej zaawansowanych systemów informatycznych i wdrożeniu usług online dla podatników. </w:t>
      </w:r>
    </w:p>
    <w:p w14:paraId="2E5E4385" w14:textId="2C17712B" w:rsidR="006578ED" w:rsidRDefault="00A1618E">
      <w:pPr>
        <w:pStyle w:val="P68B1DB1-Normal4"/>
        <w:spacing w:before="120" w:after="120" w:line="240" w:lineRule="auto"/>
        <w:jc w:val="both"/>
        <w:rPr>
          <w:rFonts w:cs="Times New Roman"/>
          <w:noProof/>
        </w:rPr>
      </w:pPr>
      <w:r>
        <w:rPr>
          <w:noProof/>
        </w:rPr>
        <w:t>Reforma zostanie wdrożona do dnia 31 grudnia 20</w:t>
      </w:r>
      <w:r w:rsidRPr="00A1618E">
        <w:rPr>
          <w:noProof/>
          <w:lang w:val="pl-PL"/>
        </w:rPr>
        <w:t>21 r.</w:t>
      </w:r>
    </w:p>
    <w:p w14:paraId="7150FEDC" w14:textId="77777777" w:rsidR="006578ED" w:rsidRDefault="00A1618E">
      <w:pPr>
        <w:pStyle w:val="P68B1DB1-Normal6"/>
        <w:spacing w:before="120" w:after="120" w:line="240" w:lineRule="auto"/>
        <w:jc w:val="both"/>
        <w:rPr>
          <w:rFonts w:cs="Times New Roman"/>
          <w:noProof/>
        </w:rPr>
      </w:pPr>
      <w:r>
        <w:rPr>
          <w:noProof/>
        </w:rPr>
        <w:t>Reforma 5 (C27.R5) – model spółdzielczy</w:t>
      </w:r>
    </w:p>
    <w:p w14:paraId="4B4E2AF1" w14:textId="7B0C6114" w:rsidR="006578ED" w:rsidRDefault="00A1618E">
      <w:pPr>
        <w:pStyle w:val="P68B1DB1-Normal4"/>
        <w:spacing w:before="120" w:after="120" w:line="240" w:lineRule="auto"/>
        <w:jc w:val="both"/>
        <w:rPr>
          <w:rFonts w:cs="Times New Roman"/>
          <w:noProof/>
        </w:rPr>
      </w:pPr>
      <w:r>
        <w:rPr>
          <w:noProof/>
        </w:rPr>
        <w:t>Celem tej reformy jest poprawa stosunków Urzędu Skarbowego z zainteresowanymi stronami, takimi jak duże korporacje, MŚP, osoby samozatrudnione i odpowiednie stowarzyszenia, a także system wymiaru sprawiedliwości jako sposób na osiągnięcie większej zgodności z obowiązkami podatkowymi. Jeżeli chodzi o podatników, Agencja dąży do lepszej współpracy i lepszego przestrzegania przepisów poprzez dobrowolne sprawozdania dotyczące przejrzystości podatkowej. Oczekuje się, że współpraca z sędziami, prokuratorami i sądami zostanie zacieśniona dzięki zwiększeniu liczby dochodzeń podatkowych.</w:t>
      </w:r>
    </w:p>
    <w:p w14:paraId="10D2447B" w14:textId="0842ED9F" w:rsidR="006578ED" w:rsidRDefault="00A1618E">
      <w:pPr>
        <w:pStyle w:val="P68B1DB1-Normal4"/>
        <w:spacing w:before="120" w:after="120" w:line="240" w:lineRule="auto"/>
        <w:jc w:val="both"/>
        <w:rPr>
          <w:rFonts w:cs="Times New Roman"/>
          <w:noProof/>
        </w:rPr>
      </w:pPr>
      <w:r>
        <w:rPr>
          <w:noProof/>
        </w:rPr>
        <w:t>Reforma zostanie wdrożona do dnia 31 grudnia 20</w:t>
      </w:r>
      <w:r w:rsidRPr="00A1618E">
        <w:rPr>
          <w:noProof/>
          <w:lang w:val="pl-PL"/>
        </w:rPr>
        <w:t>21 r.</w:t>
      </w:r>
    </w:p>
    <w:p w14:paraId="6D99EFDB" w14:textId="32581918" w:rsidR="006578ED" w:rsidRDefault="00A1618E">
      <w:pPr>
        <w:pStyle w:val="P68B1DB1-Text138"/>
        <w:ind w:left="709"/>
        <w:rPr>
          <w:rFonts w:cs="Times New Roman"/>
          <w:noProof/>
        </w:rPr>
      </w:pPr>
      <w:r>
        <w:rPr>
          <w:noProof/>
        </w:rPr>
        <w:t xml:space="preserve">AA.2. </w:t>
      </w:r>
      <w:r>
        <w:rPr>
          <w:noProof/>
        </w:rPr>
        <w:tab/>
        <w:t>Kamienie milowe, wartości docelowe, wskaźniki i harmonogram monitorowania i realizacji na potrzeby bezzwrotnego wsparcia finansowego</w:t>
      </w:r>
    </w:p>
    <w:p w14:paraId="4593A835" w14:textId="2279B99B" w:rsidR="006578ED" w:rsidRDefault="00A1618E">
      <w:pPr>
        <w:pStyle w:val="P68B1DB1-Normal4"/>
        <w:spacing w:before="120" w:after="120" w:line="240" w:lineRule="auto"/>
        <w:rPr>
          <w:rFonts w:cs="Times New Roman"/>
          <w:i/>
          <w:noProof/>
        </w:rPr>
        <w:sectPr w:rsidR="006578ED" w:rsidSect="00C94F66">
          <w:headerReference w:type="even" r:id="rId507"/>
          <w:headerReference w:type="default" r:id="rId508"/>
          <w:footerReference w:type="even" r:id="rId509"/>
          <w:footerReference w:type="default" r:id="rId510"/>
          <w:headerReference w:type="first" r:id="rId511"/>
          <w:footerReference w:type="first" r:id="rId512"/>
          <w:pgSz w:w="11907" w:h="16839"/>
          <w:pgMar w:top="1134" w:right="1417" w:bottom="1134" w:left="1417" w:header="709" w:footer="709" w:gutter="0"/>
          <w:cols w:space="720"/>
          <w:docGrid w:linePitch="360"/>
        </w:sect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p>
    <w:tbl>
      <w:tblPr>
        <w:tblpPr w:leftFromText="180" w:rightFromText="180" w:vertAnchor="text" w:tblpXSpec="right" w:tblpY="1"/>
        <w:tblOverlap w:val="neve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977"/>
        <w:gridCol w:w="1134"/>
        <w:gridCol w:w="851"/>
        <w:gridCol w:w="708"/>
        <w:gridCol w:w="709"/>
        <w:gridCol w:w="425"/>
        <w:gridCol w:w="709"/>
        <w:gridCol w:w="5131"/>
      </w:tblGrid>
      <w:tr w:rsidR="006578ED" w14:paraId="65222294" w14:textId="77777777">
        <w:trPr>
          <w:trHeight w:val="309"/>
          <w:tblHeader/>
        </w:trPr>
        <w:tc>
          <w:tcPr>
            <w:tcW w:w="709" w:type="dxa"/>
            <w:tcBorders>
              <w:bottom w:val="nil"/>
            </w:tcBorders>
            <w:shd w:val="clear" w:color="auto" w:fill="C6D9F1" w:themeFill="text2" w:themeFillTint="33"/>
            <w:noWrap/>
          </w:tcPr>
          <w:p w14:paraId="4CA8D8A3" w14:textId="77777777" w:rsidR="006578ED" w:rsidRDefault="00A1618E">
            <w:pPr>
              <w:pStyle w:val="P68B1DB1-Normal12"/>
              <w:spacing w:after="0"/>
              <w:jc w:val="center"/>
              <w:rPr>
                <w:rFonts w:cs="Times New Roman"/>
                <w:noProof/>
              </w:rPr>
            </w:pPr>
            <w:r>
              <w:rPr>
                <w:noProof/>
              </w:rPr>
              <w:t>Liczba</w:t>
            </w:r>
          </w:p>
        </w:tc>
        <w:tc>
          <w:tcPr>
            <w:tcW w:w="851" w:type="dxa"/>
            <w:tcBorders>
              <w:bottom w:val="nil"/>
            </w:tcBorders>
            <w:shd w:val="clear" w:color="auto" w:fill="C6D9F1" w:themeFill="text2" w:themeFillTint="33"/>
            <w:noWrap/>
          </w:tcPr>
          <w:p w14:paraId="048BC7D3" w14:textId="77777777" w:rsidR="006578ED" w:rsidRDefault="00A1618E">
            <w:pPr>
              <w:pStyle w:val="P68B1DB1-Normal12"/>
              <w:spacing w:after="0"/>
              <w:jc w:val="center"/>
              <w:rPr>
                <w:rFonts w:cs="Times New Roman"/>
                <w:noProof/>
              </w:rPr>
            </w:pPr>
            <w:r>
              <w:rPr>
                <w:noProof/>
              </w:rPr>
              <w:t>Środek</w:t>
            </w:r>
          </w:p>
        </w:tc>
        <w:tc>
          <w:tcPr>
            <w:tcW w:w="850" w:type="dxa"/>
            <w:tcBorders>
              <w:bottom w:val="nil"/>
            </w:tcBorders>
            <w:shd w:val="clear" w:color="auto" w:fill="C6D9F1" w:themeFill="text2" w:themeFillTint="33"/>
            <w:noWrap/>
          </w:tcPr>
          <w:p w14:paraId="017D9EA1" w14:textId="7850CC67" w:rsidR="006578ED" w:rsidRDefault="00EC188C">
            <w:pPr>
              <w:pStyle w:val="P68B1DB1-Normal12"/>
              <w:spacing w:after="0"/>
              <w:jc w:val="center"/>
              <w:rPr>
                <w:rFonts w:cs="Times New Roman"/>
                <w:noProof/>
              </w:rPr>
            </w:pPr>
            <w:r>
              <w:rPr>
                <w:noProof/>
              </w:rPr>
              <w:t>Kamień milowy</w:t>
            </w:r>
            <w:r>
              <w:rPr>
                <w:noProof/>
              </w:rPr>
              <w:br/>
              <w:t xml:space="preserve"> /</w:t>
            </w:r>
            <w:r w:rsidR="00AF6B91">
              <w:rPr>
                <w:noProof/>
              </w:rPr>
              <w:t>Wartość docelowa</w:t>
            </w:r>
          </w:p>
        </w:tc>
        <w:tc>
          <w:tcPr>
            <w:tcW w:w="2977" w:type="dxa"/>
            <w:tcBorders>
              <w:bottom w:val="nil"/>
            </w:tcBorders>
            <w:shd w:val="clear" w:color="auto" w:fill="C6D9F1" w:themeFill="text2" w:themeFillTint="33"/>
            <w:noWrap/>
          </w:tcPr>
          <w:p w14:paraId="4B3B4A13" w14:textId="77777777" w:rsidR="006578ED" w:rsidRDefault="00A1618E">
            <w:pPr>
              <w:pStyle w:val="P68B1DB1-Normal12"/>
              <w:spacing w:after="0"/>
              <w:jc w:val="center"/>
              <w:rPr>
                <w:rFonts w:cs="Times New Roman"/>
                <w:noProof/>
              </w:rPr>
            </w:pPr>
            <w:r>
              <w:rPr>
                <w:noProof/>
              </w:rPr>
              <w:t>Nazwa</w:t>
            </w:r>
          </w:p>
        </w:tc>
        <w:tc>
          <w:tcPr>
            <w:tcW w:w="1134" w:type="dxa"/>
            <w:tcBorders>
              <w:bottom w:val="nil"/>
            </w:tcBorders>
            <w:shd w:val="clear" w:color="auto" w:fill="C6D9F1" w:themeFill="text2" w:themeFillTint="33"/>
            <w:noWrap/>
          </w:tcPr>
          <w:p w14:paraId="3C958E99" w14:textId="77777777" w:rsidR="006578ED" w:rsidRDefault="00A1618E">
            <w:pPr>
              <w:pStyle w:val="P68B1DB1-Normal12"/>
              <w:spacing w:after="0"/>
              <w:jc w:val="center"/>
              <w:rPr>
                <w:rFonts w:cs="Times New Roman"/>
                <w:noProof/>
              </w:rPr>
            </w:pPr>
            <w:r>
              <w:rPr>
                <w:noProof/>
              </w:rPr>
              <w:t>Wskaźnik jakościowy dla celów pośrednich</w:t>
            </w:r>
          </w:p>
        </w:tc>
        <w:tc>
          <w:tcPr>
            <w:tcW w:w="2268" w:type="dxa"/>
            <w:gridSpan w:val="3"/>
            <w:shd w:val="clear" w:color="auto" w:fill="C6D9F1" w:themeFill="text2" w:themeFillTint="33"/>
            <w:noWrap/>
          </w:tcPr>
          <w:p w14:paraId="508C64C3" w14:textId="77777777" w:rsidR="006578ED" w:rsidRDefault="00A1618E">
            <w:pPr>
              <w:pStyle w:val="P68B1DB1-Normal12"/>
              <w:spacing w:after="0"/>
              <w:jc w:val="center"/>
              <w:rPr>
                <w:rFonts w:cs="Times New Roman"/>
                <w:noProof/>
              </w:rPr>
            </w:pPr>
            <w:r>
              <w:rPr>
                <w:noProof/>
              </w:rPr>
              <w:t>Wskaźnik ilościowy dla celu</w:t>
            </w:r>
          </w:p>
        </w:tc>
        <w:tc>
          <w:tcPr>
            <w:tcW w:w="1134" w:type="dxa"/>
            <w:gridSpan w:val="2"/>
            <w:shd w:val="clear" w:color="auto" w:fill="C6D9F1" w:themeFill="text2" w:themeFillTint="33"/>
            <w:noWrap/>
          </w:tcPr>
          <w:p w14:paraId="35027D3C" w14:textId="77777777" w:rsidR="006578ED" w:rsidRDefault="00A1618E">
            <w:pPr>
              <w:pStyle w:val="P68B1DB1-Normal12"/>
              <w:spacing w:after="0"/>
              <w:jc w:val="center"/>
              <w:rPr>
                <w:rFonts w:cs="Times New Roman"/>
                <w:noProof/>
              </w:rPr>
            </w:pPr>
            <w:r>
              <w:rPr>
                <w:noProof/>
              </w:rPr>
              <w:t>Czas</w:t>
            </w:r>
          </w:p>
        </w:tc>
        <w:tc>
          <w:tcPr>
            <w:tcW w:w="5131" w:type="dxa"/>
            <w:tcBorders>
              <w:bottom w:val="nil"/>
            </w:tcBorders>
            <w:shd w:val="clear" w:color="auto" w:fill="C6D9F1" w:themeFill="text2" w:themeFillTint="33"/>
            <w:noWrap/>
          </w:tcPr>
          <w:p w14:paraId="3B8B2BF5" w14:textId="7B3F850C" w:rsidR="006578ED" w:rsidRDefault="00A1618E">
            <w:pPr>
              <w:pStyle w:val="P68B1DB1-Normal12"/>
              <w:spacing w:after="0"/>
              <w:jc w:val="center"/>
              <w:rPr>
                <w:rFonts w:cs="Times New Roman"/>
                <w:noProof/>
              </w:rPr>
            </w:pPr>
            <w:r>
              <w:rPr>
                <w:noProof/>
              </w:rPr>
              <w:t>Opis każdego celu pośredniego i celu końcowego</w:t>
            </w:r>
          </w:p>
        </w:tc>
      </w:tr>
      <w:tr w:rsidR="006578ED" w14:paraId="6423CD2F" w14:textId="77777777">
        <w:trPr>
          <w:trHeight w:val="309"/>
          <w:tblHeader/>
        </w:trPr>
        <w:tc>
          <w:tcPr>
            <w:tcW w:w="709" w:type="dxa"/>
            <w:tcBorders>
              <w:top w:val="nil"/>
            </w:tcBorders>
            <w:shd w:val="clear" w:color="auto" w:fill="C6D9F1" w:themeFill="text2" w:themeFillTint="33"/>
            <w:noWrap/>
          </w:tcPr>
          <w:p w14:paraId="69957A07" w14:textId="77777777" w:rsidR="006578ED" w:rsidRDefault="006578ED">
            <w:pPr>
              <w:spacing w:after="0"/>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26775ED2" w14:textId="77777777" w:rsidR="006578ED" w:rsidRDefault="006578ED">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C7D76EE" w14:textId="77777777" w:rsidR="006578ED" w:rsidRDefault="006578ED">
            <w:pPr>
              <w:spacing w:after="0"/>
              <w:jc w:val="center"/>
              <w:rPr>
                <w:rFonts w:ascii="Times New Roman" w:hAnsi="Times New Roman" w:cs="Times New Roman"/>
                <w:b/>
                <w:noProof/>
                <w:sz w:val="18"/>
              </w:rPr>
            </w:pPr>
          </w:p>
        </w:tc>
        <w:tc>
          <w:tcPr>
            <w:tcW w:w="2977" w:type="dxa"/>
            <w:tcBorders>
              <w:top w:val="nil"/>
            </w:tcBorders>
            <w:shd w:val="clear" w:color="auto" w:fill="C6D9F1" w:themeFill="text2" w:themeFillTint="33"/>
            <w:noWrap/>
          </w:tcPr>
          <w:p w14:paraId="04485DBC" w14:textId="77777777" w:rsidR="006578ED" w:rsidRDefault="006578ED">
            <w:pPr>
              <w:spacing w:after="0"/>
              <w:rPr>
                <w:rFonts w:ascii="Times New Roman" w:hAnsi="Times New Roman" w:cs="Times New Roman"/>
                <w:b/>
                <w:noProof/>
                <w:sz w:val="18"/>
              </w:rPr>
            </w:pPr>
          </w:p>
        </w:tc>
        <w:tc>
          <w:tcPr>
            <w:tcW w:w="1134" w:type="dxa"/>
            <w:tcBorders>
              <w:top w:val="nil"/>
            </w:tcBorders>
            <w:shd w:val="clear" w:color="auto" w:fill="C6D9F1" w:themeFill="text2" w:themeFillTint="33"/>
            <w:noWrap/>
          </w:tcPr>
          <w:p w14:paraId="67409D88" w14:textId="77777777" w:rsidR="006578ED" w:rsidRDefault="006578ED">
            <w:pPr>
              <w:spacing w:after="0"/>
              <w:jc w:val="center"/>
              <w:rPr>
                <w:rFonts w:ascii="Times New Roman" w:hAnsi="Times New Roman" w:cs="Times New Roman"/>
                <w:b/>
                <w:noProof/>
                <w:sz w:val="18"/>
              </w:rPr>
            </w:pPr>
          </w:p>
        </w:tc>
        <w:tc>
          <w:tcPr>
            <w:tcW w:w="851" w:type="dxa"/>
            <w:shd w:val="clear" w:color="auto" w:fill="C6D9F1" w:themeFill="text2" w:themeFillTint="33"/>
            <w:noWrap/>
          </w:tcPr>
          <w:p w14:paraId="34E85900" w14:textId="77777777" w:rsidR="006578ED" w:rsidRDefault="00A1618E">
            <w:pPr>
              <w:pStyle w:val="P68B1DB1-Normal12"/>
              <w:spacing w:after="0"/>
              <w:jc w:val="center"/>
              <w:rPr>
                <w:rFonts w:cs="Times New Roman"/>
                <w:noProof/>
              </w:rPr>
            </w:pPr>
            <w:r>
              <w:rPr>
                <w:noProof/>
              </w:rPr>
              <w:t>Jednostka</w:t>
            </w:r>
          </w:p>
        </w:tc>
        <w:tc>
          <w:tcPr>
            <w:tcW w:w="708" w:type="dxa"/>
            <w:shd w:val="clear" w:color="auto" w:fill="C6D9F1" w:themeFill="text2" w:themeFillTint="33"/>
            <w:noWrap/>
          </w:tcPr>
          <w:p w14:paraId="50AB32BC" w14:textId="77777777" w:rsidR="006578ED" w:rsidRDefault="00A1618E">
            <w:pPr>
              <w:pStyle w:val="P68B1DB1-Normal12"/>
              <w:spacing w:after="0"/>
              <w:jc w:val="center"/>
              <w:rPr>
                <w:rFonts w:cs="Times New Roman"/>
                <w:noProof/>
              </w:rPr>
            </w:pPr>
            <w:r>
              <w:rPr>
                <w:noProof/>
              </w:rPr>
              <w:t>Wartość wyjściowa</w:t>
            </w:r>
          </w:p>
        </w:tc>
        <w:tc>
          <w:tcPr>
            <w:tcW w:w="709" w:type="dxa"/>
            <w:shd w:val="clear" w:color="auto" w:fill="C6D9F1" w:themeFill="text2" w:themeFillTint="33"/>
            <w:noWrap/>
          </w:tcPr>
          <w:p w14:paraId="52C6390D" w14:textId="77777777" w:rsidR="006578ED" w:rsidRDefault="00A1618E">
            <w:pPr>
              <w:pStyle w:val="P68B1DB1-Normal12"/>
              <w:spacing w:after="0"/>
              <w:jc w:val="center"/>
              <w:rPr>
                <w:rFonts w:cs="Times New Roman"/>
                <w:noProof/>
              </w:rPr>
            </w:pPr>
            <w:r>
              <w:rPr>
                <w:noProof/>
              </w:rPr>
              <w:t>Cel</w:t>
            </w:r>
          </w:p>
        </w:tc>
        <w:tc>
          <w:tcPr>
            <w:tcW w:w="425" w:type="dxa"/>
            <w:shd w:val="clear" w:color="auto" w:fill="C6D9F1" w:themeFill="text2" w:themeFillTint="33"/>
            <w:noWrap/>
          </w:tcPr>
          <w:p w14:paraId="19879100" w14:textId="77777777" w:rsidR="006578ED" w:rsidRDefault="00A1618E">
            <w:pPr>
              <w:pStyle w:val="P68B1DB1-Normal12"/>
              <w:spacing w:after="0"/>
              <w:jc w:val="center"/>
              <w:rPr>
                <w:rFonts w:cs="Times New Roman"/>
                <w:noProof/>
              </w:rPr>
            </w:pPr>
            <w:r>
              <w:rPr>
                <w:noProof/>
              </w:rPr>
              <w:t>Q</w:t>
            </w:r>
          </w:p>
        </w:tc>
        <w:tc>
          <w:tcPr>
            <w:tcW w:w="709" w:type="dxa"/>
            <w:shd w:val="clear" w:color="auto" w:fill="C6D9F1" w:themeFill="text2" w:themeFillTint="33"/>
            <w:noWrap/>
          </w:tcPr>
          <w:p w14:paraId="00D26859" w14:textId="77777777" w:rsidR="006578ED" w:rsidRDefault="00A1618E">
            <w:pPr>
              <w:pStyle w:val="P68B1DB1-Normal12"/>
              <w:spacing w:after="0"/>
              <w:jc w:val="center"/>
              <w:rPr>
                <w:rFonts w:cs="Times New Roman"/>
                <w:noProof/>
              </w:rPr>
            </w:pPr>
            <w:r>
              <w:rPr>
                <w:noProof/>
              </w:rPr>
              <w:t>Rok</w:t>
            </w:r>
          </w:p>
        </w:tc>
        <w:tc>
          <w:tcPr>
            <w:tcW w:w="5131" w:type="dxa"/>
            <w:tcBorders>
              <w:top w:val="nil"/>
            </w:tcBorders>
            <w:shd w:val="clear" w:color="auto" w:fill="C6D9F1" w:themeFill="text2" w:themeFillTint="33"/>
            <w:noWrap/>
          </w:tcPr>
          <w:p w14:paraId="22F9CC6A" w14:textId="77777777" w:rsidR="006578ED" w:rsidRDefault="006578ED">
            <w:pPr>
              <w:spacing w:after="0"/>
              <w:rPr>
                <w:rFonts w:ascii="Times New Roman" w:hAnsi="Times New Roman" w:cs="Times New Roman"/>
                <w:b/>
                <w:noProof/>
                <w:sz w:val="18"/>
              </w:rPr>
            </w:pPr>
          </w:p>
        </w:tc>
      </w:tr>
      <w:tr w:rsidR="006578ED" w14:paraId="3209D1B2" w14:textId="77777777">
        <w:trPr>
          <w:trHeight w:val="309"/>
        </w:trPr>
        <w:tc>
          <w:tcPr>
            <w:tcW w:w="709" w:type="dxa"/>
            <w:shd w:val="clear" w:color="auto" w:fill="C6EFCE"/>
            <w:noWrap/>
          </w:tcPr>
          <w:p w14:paraId="4C835EC6" w14:textId="77777777" w:rsidR="006578ED" w:rsidRDefault="00A1618E">
            <w:pPr>
              <w:pStyle w:val="P68B1DB1-Normal13"/>
              <w:spacing w:after="0"/>
              <w:jc w:val="center"/>
              <w:rPr>
                <w:rFonts w:cs="Times New Roman"/>
                <w:noProof/>
              </w:rPr>
            </w:pPr>
            <w:r>
              <w:rPr>
                <w:noProof/>
              </w:rPr>
              <w:t>376</w:t>
            </w:r>
          </w:p>
        </w:tc>
        <w:tc>
          <w:tcPr>
            <w:tcW w:w="851" w:type="dxa"/>
            <w:shd w:val="clear" w:color="auto" w:fill="C6EFCE"/>
            <w:noWrap/>
          </w:tcPr>
          <w:p w14:paraId="66D7BA3A" w14:textId="77777777" w:rsidR="006578ED" w:rsidRDefault="00A1618E">
            <w:pPr>
              <w:pStyle w:val="P68B1DB1-Normal13"/>
              <w:spacing w:after="0"/>
              <w:jc w:val="center"/>
              <w:rPr>
                <w:rFonts w:cs="Times New Roman"/>
                <w:noProof/>
              </w:rPr>
            </w:pPr>
            <w:r>
              <w:rPr>
                <w:noProof/>
              </w:rPr>
              <w:t>C27.R1</w:t>
            </w:r>
          </w:p>
        </w:tc>
        <w:tc>
          <w:tcPr>
            <w:tcW w:w="850" w:type="dxa"/>
            <w:shd w:val="clear" w:color="auto" w:fill="C6EFCE"/>
            <w:noWrap/>
          </w:tcPr>
          <w:p w14:paraId="7D103D46" w14:textId="10672629" w:rsidR="006578ED" w:rsidRDefault="00AF6B91">
            <w:pPr>
              <w:pStyle w:val="P68B1DB1-Normal13"/>
              <w:spacing w:after="0"/>
              <w:jc w:val="center"/>
              <w:rPr>
                <w:rFonts w:cs="Times New Roman"/>
                <w:noProof/>
              </w:rPr>
            </w:pPr>
            <w:r>
              <w:rPr>
                <w:noProof/>
              </w:rPr>
              <w:t>Kamień milowy</w:t>
            </w:r>
          </w:p>
        </w:tc>
        <w:tc>
          <w:tcPr>
            <w:tcW w:w="2977" w:type="dxa"/>
            <w:shd w:val="clear" w:color="auto" w:fill="C6EFCE"/>
            <w:noWrap/>
          </w:tcPr>
          <w:p w14:paraId="730BB072" w14:textId="0BEDCD60" w:rsidR="006578ED" w:rsidRDefault="00A1618E">
            <w:pPr>
              <w:pStyle w:val="P68B1DB1-Normal13"/>
              <w:spacing w:after="0"/>
              <w:rPr>
                <w:rFonts w:cs="Times New Roman"/>
                <w:noProof/>
              </w:rPr>
            </w:pPr>
            <w:r>
              <w:rPr>
                <w:noProof/>
              </w:rPr>
              <w:t>Wejście w życie ustawy o uchylaniu się od opodatkowania i oszustwie podatkowym</w:t>
            </w:r>
          </w:p>
        </w:tc>
        <w:tc>
          <w:tcPr>
            <w:tcW w:w="1134" w:type="dxa"/>
            <w:shd w:val="clear" w:color="auto" w:fill="C6EFCE"/>
            <w:noWrap/>
          </w:tcPr>
          <w:p w14:paraId="227CF5BC" w14:textId="49A2E949" w:rsidR="006578ED" w:rsidRDefault="00A1618E">
            <w:pPr>
              <w:pStyle w:val="P68B1DB1-Normal13"/>
              <w:spacing w:after="0"/>
              <w:jc w:val="center"/>
              <w:rPr>
                <w:rFonts w:cs="Times New Roman"/>
                <w:noProof/>
              </w:rPr>
            </w:pPr>
            <w:r>
              <w:rPr>
                <w:noProof/>
              </w:rPr>
              <w:t xml:space="preserve">Przepis ustawy wskazujący na jej wejście w życie </w:t>
            </w:r>
          </w:p>
        </w:tc>
        <w:tc>
          <w:tcPr>
            <w:tcW w:w="851" w:type="dxa"/>
            <w:shd w:val="clear" w:color="auto" w:fill="C6EFCE"/>
            <w:noWrap/>
          </w:tcPr>
          <w:p w14:paraId="2EEBEB90" w14:textId="77777777" w:rsidR="006578ED" w:rsidRDefault="00A1618E">
            <w:pPr>
              <w:pStyle w:val="P68B1DB1-Normal13"/>
              <w:spacing w:after="0"/>
              <w:jc w:val="center"/>
              <w:rPr>
                <w:rFonts w:cs="Times New Roman"/>
                <w:noProof/>
              </w:rPr>
            </w:pPr>
            <w:r>
              <w:rPr>
                <w:noProof/>
              </w:rPr>
              <w:t xml:space="preserve"> </w:t>
            </w:r>
          </w:p>
        </w:tc>
        <w:tc>
          <w:tcPr>
            <w:tcW w:w="708" w:type="dxa"/>
            <w:shd w:val="clear" w:color="auto" w:fill="C6EFCE"/>
            <w:noWrap/>
          </w:tcPr>
          <w:p w14:paraId="2BB8CAFB" w14:textId="77777777" w:rsidR="006578ED" w:rsidRDefault="00A1618E">
            <w:pPr>
              <w:pStyle w:val="P68B1DB1-Normal13"/>
              <w:spacing w:after="0"/>
              <w:jc w:val="right"/>
              <w:rPr>
                <w:rFonts w:cs="Times New Roman"/>
                <w:noProof/>
              </w:rPr>
            </w:pPr>
            <w:r>
              <w:rPr>
                <w:noProof/>
              </w:rPr>
              <w:t xml:space="preserve"> </w:t>
            </w:r>
          </w:p>
        </w:tc>
        <w:tc>
          <w:tcPr>
            <w:tcW w:w="709" w:type="dxa"/>
            <w:shd w:val="clear" w:color="auto" w:fill="C6EFCE"/>
            <w:noWrap/>
          </w:tcPr>
          <w:p w14:paraId="6B4FC697" w14:textId="77777777" w:rsidR="006578ED" w:rsidRDefault="00A1618E">
            <w:pPr>
              <w:pStyle w:val="P68B1DB1-Normal13"/>
              <w:spacing w:after="0"/>
              <w:rPr>
                <w:rFonts w:cs="Times New Roman"/>
                <w:noProof/>
              </w:rPr>
            </w:pPr>
            <w:r>
              <w:rPr>
                <w:noProof/>
              </w:rPr>
              <w:t xml:space="preserve"> </w:t>
            </w:r>
          </w:p>
        </w:tc>
        <w:tc>
          <w:tcPr>
            <w:tcW w:w="425" w:type="dxa"/>
            <w:shd w:val="clear" w:color="auto" w:fill="C6EFCE"/>
            <w:noWrap/>
          </w:tcPr>
          <w:p w14:paraId="6E826CAA" w14:textId="52BEFA6B" w:rsidR="006578ED" w:rsidRDefault="00EC188C">
            <w:pPr>
              <w:pStyle w:val="P68B1DB1-Normal13"/>
              <w:spacing w:after="0"/>
              <w:jc w:val="center"/>
              <w:rPr>
                <w:rFonts w:cs="Times New Roman"/>
                <w:noProof/>
              </w:rPr>
            </w:pPr>
            <w:r>
              <w:rPr>
                <w:noProof/>
              </w:rPr>
              <w:t>KW. 2</w:t>
            </w:r>
          </w:p>
        </w:tc>
        <w:tc>
          <w:tcPr>
            <w:tcW w:w="709" w:type="dxa"/>
            <w:shd w:val="clear" w:color="auto" w:fill="C6EFCE"/>
            <w:noWrap/>
          </w:tcPr>
          <w:p w14:paraId="1C8F9F7C" w14:textId="77777777" w:rsidR="006578ED" w:rsidRDefault="00A1618E">
            <w:pPr>
              <w:pStyle w:val="P68B1DB1-Normal13"/>
              <w:spacing w:after="0"/>
              <w:jc w:val="center"/>
              <w:rPr>
                <w:rFonts w:cs="Times New Roman"/>
                <w:noProof/>
              </w:rPr>
            </w:pPr>
            <w:r>
              <w:rPr>
                <w:noProof/>
              </w:rPr>
              <w:t>2022</w:t>
            </w:r>
          </w:p>
        </w:tc>
        <w:tc>
          <w:tcPr>
            <w:tcW w:w="5131" w:type="dxa"/>
            <w:shd w:val="clear" w:color="auto" w:fill="C6EFCE"/>
            <w:noWrap/>
          </w:tcPr>
          <w:p w14:paraId="4CE616E9" w14:textId="473AC058" w:rsidR="006578ED" w:rsidRDefault="00A1618E">
            <w:pPr>
              <w:pStyle w:val="P68B1DB1-Normal13"/>
              <w:spacing w:after="0"/>
              <w:rPr>
                <w:rFonts w:cs="Times New Roman"/>
                <w:noProof/>
              </w:rPr>
            </w:pPr>
            <w:r>
              <w:rPr>
                <w:noProof/>
              </w:rPr>
              <w:t>Wejście w życie ustawy o uchylaniu się od opodatkowania i oszustwie podatkowym („</w:t>
            </w:r>
            <w:r>
              <w:rPr>
                <w:i/>
                <w:noProof/>
              </w:rPr>
              <w:t>Ley de medidas de prevención y lucha contra el fraude fiscal</w:t>
            </w:r>
            <w:r>
              <w:rPr>
                <w:noProof/>
              </w:rPr>
              <w:t>”), która:</w:t>
            </w:r>
            <w:r>
              <w:rPr>
                <w:noProof/>
              </w:rPr>
              <w:br/>
              <w:t xml:space="preserve">Rozszerza zakres transakcji, w przypadku których płatności elektroniczne są obowiązkowe (firmy i profesjonalnie) i ustala progi prawne dla płatności gotówkowych </w:t>
            </w:r>
            <w:r>
              <w:rPr>
                <w:noProof/>
              </w:rPr>
              <w:br/>
              <w:t>Aktualizacja wykazu rajów podatkowych według kryteriów przejrzystości, braku opodatkowania i szkodliwych systemów podatkowych.</w:t>
            </w:r>
            <w:r>
              <w:rPr>
                <w:noProof/>
              </w:rPr>
              <w:br/>
              <w:t>—Wprowadza zmiany w przepisach dotyczących sporządzania wykazu osób mających zaległości podatkowe.</w:t>
            </w:r>
            <w:r>
              <w:rPr>
                <w:noProof/>
              </w:rPr>
              <w:br/>
              <w:t>Wprowadzenie zakazu stosowania „oprogramowania podwójnego zastosowania”.</w:t>
            </w:r>
            <w:r>
              <w:rPr>
                <w:noProof/>
              </w:rPr>
              <w:br/>
              <w:t xml:space="preserve">—Wprowadza wartość odniesienia dla podstawy opodatkowania nieruchomości. </w:t>
            </w:r>
          </w:p>
        </w:tc>
      </w:tr>
      <w:tr w:rsidR="006578ED" w14:paraId="45161A29" w14:textId="77777777">
        <w:trPr>
          <w:trHeight w:val="309"/>
        </w:trPr>
        <w:tc>
          <w:tcPr>
            <w:tcW w:w="709" w:type="dxa"/>
            <w:shd w:val="clear" w:color="auto" w:fill="C6EFCE"/>
            <w:noWrap/>
          </w:tcPr>
          <w:p w14:paraId="3DBE6677" w14:textId="77777777" w:rsidR="006578ED" w:rsidRDefault="00A1618E">
            <w:pPr>
              <w:pStyle w:val="P68B1DB1-Normal13"/>
              <w:spacing w:after="0"/>
              <w:jc w:val="center"/>
              <w:rPr>
                <w:rFonts w:cs="Times New Roman"/>
                <w:noProof/>
              </w:rPr>
            </w:pPr>
            <w:r>
              <w:rPr>
                <w:noProof/>
              </w:rPr>
              <w:t>377</w:t>
            </w:r>
          </w:p>
        </w:tc>
        <w:tc>
          <w:tcPr>
            <w:tcW w:w="851" w:type="dxa"/>
            <w:shd w:val="clear" w:color="auto" w:fill="C6EFCE"/>
            <w:noWrap/>
          </w:tcPr>
          <w:p w14:paraId="4C6DC40A" w14:textId="77777777" w:rsidR="006578ED" w:rsidRDefault="00A1618E">
            <w:pPr>
              <w:pStyle w:val="P68B1DB1-Normal13"/>
              <w:spacing w:after="0"/>
              <w:jc w:val="center"/>
              <w:rPr>
                <w:rFonts w:cs="Times New Roman"/>
                <w:noProof/>
              </w:rPr>
            </w:pPr>
            <w:r>
              <w:rPr>
                <w:noProof/>
              </w:rPr>
              <w:t>C27.R1</w:t>
            </w:r>
          </w:p>
        </w:tc>
        <w:tc>
          <w:tcPr>
            <w:tcW w:w="850" w:type="dxa"/>
            <w:shd w:val="clear" w:color="auto" w:fill="C6EFCE"/>
            <w:noWrap/>
          </w:tcPr>
          <w:p w14:paraId="2A06812F" w14:textId="203F0E7A" w:rsidR="006578ED" w:rsidRDefault="00AF6B91">
            <w:pPr>
              <w:pStyle w:val="P68B1DB1-Normal13"/>
              <w:spacing w:after="0"/>
              <w:jc w:val="center"/>
              <w:rPr>
                <w:rFonts w:cs="Times New Roman"/>
                <w:noProof/>
              </w:rPr>
            </w:pPr>
            <w:r>
              <w:rPr>
                <w:noProof/>
              </w:rPr>
              <w:t>Kamień milowy</w:t>
            </w:r>
          </w:p>
        </w:tc>
        <w:tc>
          <w:tcPr>
            <w:tcW w:w="2977" w:type="dxa"/>
            <w:shd w:val="clear" w:color="auto" w:fill="C6EFCE"/>
            <w:noWrap/>
          </w:tcPr>
          <w:p w14:paraId="5696C1D6" w14:textId="392D2C1E" w:rsidR="006578ED" w:rsidRDefault="00A1618E">
            <w:pPr>
              <w:pStyle w:val="P68B1DB1-Normal13"/>
              <w:spacing w:after="0"/>
              <w:rPr>
                <w:rFonts w:cs="Times New Roman"/>
                <w:noProof/>
              </w:rPr>
            </w:pPr>
            <w:r>
              <w:rPr>
                <w:noProof/>
              </w:rPr>
              <w:t>Wstępna ocena skutków ustawy o uchylaniu się od opodatkowania i oszustwie podatkowym.</w:t>
            </w:r>
          </w:p>
        </w:tc>
        <w:tc>
          <w:tcPr>
            <w:tcW w:w="1134" w:type="dxa"/>
            <w:shd w:val="clear" w:color="auto" w:fill="C6EFCE"/>
            <w:noWrap/>
          </w:tcPr>
          <w:p w14:paraId="70971FCE" w14:textId="77777777" w:rsidR="006578ED" w:rsidRDefault="00A1618E">
            <w:pPr>
              <w:pStyle w:val="P68B1DB1-Normal13"/>
              <w:spacing w:after="0"/>
              <w:jc w:val="center"/>
              <w:rPr>
                <w:rFonts w:cs="Times New Roman"/>
                <w:noProof/>
              </w:rPr>
            </w:pPr>
            <w:r>
              <w:rPr>
                <w:noProof/>
              </w:rPr>
              <w:t>Publikacja sprawozdania na stronie internetowej Ministerstwa Finansów.</w:t>
            </w:r>
          </w:p>
        </w:tc>
        <w:tc>
          <w:tcPr>
            <w:tcW w:w="851" w:type="dxa"/>
            <w:shd w:val="clear" w:color="auto" w:fill="C6EFCE"/>
            <w:noWrap/>
          </w:tcPr>
          <w:p w14:paraId="70AC25B5" w14:textId="77777777" w:rsidR="006578ED" w:rsidRDefault="00A1618E">
            <w:pPr>
              <w:pStyle w:val="P68B1DB1-Normal13"/>
              <w:spacing w:after="0"/>
              <w:jc w:val="center"/>
              <w:rPr>
                <w:rFonts w:cs="Times New Roman"/>
                <w:noProof/>
              </w:rPr>
            </w:pPr>
            <w:r>
              <w:rPr>
                <w:noProof/>
              </w:rPr>
              <w:t xml:space="preserve"> </w:t>
            </w:r>
          </w:p>
        </w:tc>
        <w:tc>
          <w:tcPr>
            <w:tcW w:w="708" w:type="dxa"/>
            <w:shd w:val="clear" w:color="auto" w:fill="C6EFCE"/>
            <w:noWrap/>
          </w:tcPr>
          <w:p w14:paraId="172F84F8" w14:textId="77777777" w:rsidR="006578ED" w:rsidRDefault="00A1618E">
            <w:pPr>
              <w:pStyle w:val="P68B1DB1-Normal13"/>
              <w:spacing w:after="0"/>
              <w:jc w:val="right"/>
              <w:rPr>
                <w:rFonts w:cs="Times New Roman"/>
                <w:noProof/>
              </w:rPr>
            </w:pPr>
            <w:r>
              <w:rPr>
                <w:noProof/>
              </w:rPr>
              <w:t xml:space="preserve"> </w:t>
            </w:r>
          </w:p>
        </w:tc>
        <w:tc>
          <w:tcPr>
            <w:tcW w:w="709" w:type="dxa"/>
            <w:shd w:val="clear" w:color="auto" w:fill="C6EFCE"/>
            <w:noWrap/>
          </w:tcPr>
          <w:p w14:paraId="150CED72" w14:textId="77777777" w:rsidR="006578ED" w:rsidRDefault="00A1618E">
            <w:pPr>
              <w:pStyle w:val="P68B1DB1-Normal13"/>
              <w:spacing w:after="0"/>
              <w:rPr>
                <w:rFonts w:cs="Times New Roman"/>
                <w:noProof/>
              </w:rPr>
            </w:pPr>
            <w:r>
              <w:rPr>
                <w:noProof/>
              </w:rPr>
              <w:t xml:space="preserve"> </w:t>
            </w:r>
          </w:p>
        </w:tc>
        <w:tc>
          <w:tcPr>
            <w:tcW w:w="425" w:type="dxa"/>
            <w:shd w:val="clear" w:color="auto" w:fill="C6EFCE"/>
            <w:noWrap/>
          </w:tcPr>
          <w:p w14:paraId="2BFDEF9A" w14:textId="3E990F0B" w:rsidR="006578ED" w:rsidRDefault="00EC188C">
            <w:pPr>
              <w:pStyle w:val="P68B1DB1-Normal13"/>
              <w:spacing w:after="0"/>
              <w:jc w:val="center"/>
              <w:rPr>
                <w:rFonts w:cs="Times New Roman"/>
                <w:noProof/>
              </w:rPr>
            </w:pPr>
            <w:r>
              <w:rPr>
                <w:noProof/>
              </w:rPr>
              <w:t>KW. 4</w:t>
            </w:r>
          </w:p>
        </w:tc>
        <w:tc>
          <w:tcPr>
            <w:tcW w:w="709" w:type="dxa"/>
            <w:shd w:val="clear" w:color="auto" w:fill="C6EFCE"/>
            <w:noWrap/>
          </w:tcPr>
          <w:p w14:paraId="47DDC1D5" w14:textId="77777777" w:rsidR="006578ED" w:rsidRDefault="00A1618E">
            <w:pPr>
              <w:pStyle w:val="P68B1DB1-Normal13"/>
              <w:spacing w:after="0"/>
              <w:jc w:val="center"/>
              <w:rPr>
                <w:rFonts w:cs="Times New Roman"/>
                <w:noProof/>
              </w:rPr>
            </w:pPr>
            <w:r>
              <w:rPr>
                <w:noProof/>
              </w:rPr>
              <w:t>2022</w:t>
            </w:r>
          </w:p>
        </w:tc>
        <w:tc>
          <w:tcPr>
            <w:tcW w:w="5131" w:type="dxa"/>
            <w:shd w:val="clear" w:color="auto" w:fill="C6EFCE"/>
            <w:noWrap/>
          </w:tcPr>
          <w:p w14:paraId="2161EEE2" w14:textId="406550C6" w:rsidR="006578ED" w:rsidRDefault="00A1618E">
            <w:pPr>
              <w:pStyle w:val="P68B1DB1-Normal13"/>
              <w:spacing w:after="0"/>
              <w:rPr>
                <w:rFonts w:cs="Times New Roman"/>
                <w:noProof/>
              </w:rPr>
            </w:pPr>
            <w:r>
              <w:rPr>
                <w:noProof/>
              </w:rPr>
              <w:t>Ministerstwo Finansów przeprowadza tymczasową ocenę ustawy o zwalczaniu uchylania się od opodatkowania i oszustw podatkowych. Ocena ta wraz z ewentualnymi zaleceniami dotyczącymi usprawnień zostanie opublikowana na stronie internetowej Ministerstwa Finansów.</w:t>
            </w:r>
          </w:p>
        </w:tc>
      </w:tr>
      <w:tr w:rsidR="006578ED" w14:paraId="6EC44DEC" w14:textId="77777777">
        <w:trPr>
          <w:trHeight w:val="309"/>
        </w:trPr>
        <w:tc>
          <w:tcPr>
            <w:tcW w:w="709" w:type="dxa"/>
            <w:shd w:val="clear" w:color="auto" w:fill="C6EFCE"/>
            <w:noWrap/>
          </w:tcPr>
          <w:p w14:paraId="7BF66A5C" w14:textId="77777777" w:rsidR="006578ED" w:rsidRDefault="00A1618E">
            <w:pPr>
              <w:pStyle w:val="P68B1DB1-Normal13"/>
              <w:spacing w:after="0"/>
              <w:jc w:val="center"/>
              <w:rPr>
                <w:rFonts w:cs="Times New Roman"/>
                <w:noProof/>
              </w:rPr>
            </w:pPr>
            <w:r>
              <w:rPr>
                <w:noProof/>
              </w:rPr>
              <w:t>378</w:t>
            </w:r>
          </w:p>
        </w:tc>
        <w:tc>
          <w:tcPr>
            <w:tcW w:w="851" w:type="dxa"/>
            <w:shd w:val="clear" w:color="auto" w:fill="C6EFCE"/>
            <w:noWrap/>
          </w:tcPr>
          <w:p w14:paraId="375B58F6" w14:textId="77777777" w:rsidR="006578ED" w:rsidRDefault="00A1618E">
            <w:pPr>
              <w:pStyle w:val="P68B1DB1-Normal13"/>
              <w:spacing w:after="0"/>
              <w:jc w:val="center"/>
              <w:rPr>
                <w:rFonts w:cs="Times New Roman"/>
                <w:noProof/>
              </w:rPr>
            </w:pPr>
            <w:r>
              <w:rPr>
                <w:noProof/>
              </w:rPr>
              <w:t>C27.R2</w:t>
            </w:r>
          </w:p>
        </w:tc>
        <w:tc>
          <w:tcPr>
            <w:tcW w:w="850" w:type="dxa"/>
            <w:shd w:val="clear" w:color="auto" w:fill="C6EFCE"/>
            <w:noWrap/>
          </w:tcPr>
          <w:p w14:paraId="4670B3DA" w14:textId="1217CC89" w:rsidR="006578ED" w:rsidRDefault="00AF6B91">
            <w:pPr>
              <w:pStyle w:val="P68B1DB1-Normal13"/>
              <w:spacing w:after="0"/>
              <w:jc w:val="center"/>
              <w:rPr>
                <w:rFonts w:cs="Times New Roman"/>
                <w:noProof/>
              </w:rPr>
            </w:pPr>
            <w:r>
              <w:rPr>
                <w:noProof/>
              </w:rPr>
              <w:t>Cel</w:t>
            </w:r>
          </w:p>
        </w:tc>
        <w:tc>
          <w:tcPr>
            <w:tcW w:w="2977" w:type="dxa"/>
            <w:shd w:val="clear" w:color="auto" w:fill="C6EFCE"/>
            <w:noWrap/>
          </w:tcPr>
          <w:p w14:paraId="6CB08DE8" w14:textId="77777777" w:rsidR="006578ED" w:rsidRDefault="00A1618E">
            <w:pPr>
              <w:pStyle w:val="P68B1DB1-Normal13"/>
              <w:spacing w:after="0"/>
              <w:rPr>
                <w:rFonts w:cs="Times New Roman"/>
                <w:noProof/>
              </w:rPr>
            </w:pPr>
            <w:r>
              <w:rPr>
                <w:noProof/>
              </w:rPr>
              <w:t>Modernizacja Urzędu Skarbowego – Liczba pracowników Urzędu Skarbowego</w:t>
            </w:r>
          </w:p>
        </w:tc>
        <w:tc>
          <w:tcPr>
            <w:tcW w:w="1134" w:type="dxa"/>
            <w:shd w:val="clear" w:color="auto" w:fill="C6EFCE"/>
            <w:noWrap/>
          </w:tcPr>
          <w:p w14:paraId="4C40E3B5" w14:textId="77777777" w:rsidR="006578ED" w:rsidRDefault="00A1618E">
            <w:pPr>
              <w:pStyle w:val="P68B1DB1-Normal13"/>
              <w:spacing w:after="0"/>
              <w:jc w:val="center"/>
              <w:rPr>
                <w:rFonts w:cs="Times New Roman"/>
                <w:noProof/>
              </w:rPr>
            </w:pPr>
            <w:r>
              <w:rPr>
                <w:noProof/>
              </w:rPr>
              <w:t xml:space="preserve"> </w:t>
            </w:r>
          </w:p>
        </w:tc>
        <w:tc>
          <w:tcPr>
            <w:tcW w:w="851" w:type="dxa"/>
            <w:shd w:val="clear" w:color="auto" w:fill="C6EFCE"/>
            <w:noWrap/>
          </w:tcPr>
          <w:p w14:paraId="706C7C47" w14:textId="77777777" w:rsidR="006578ED" w:rsidRDefault="00A1618E">
            <w:pPr>
              <w:pStyle w:val="P68B1DB1-Normal13"/>
              <w:spacing w:after="0"/>
              <w:jc w:val="center"/>
              <w:rPr>
                <w:rFonts w:cs="Times New Roman"/>
                <w:noProof/>
              </w:rPr>
            </w:pPr>
            <w:r>
              <w:rPr>
                <w:noProof/>
              </w:rPr>
              <w:t xml:space="preserve">Liczba </w:t>
            </w:r>
          </w:p>
        </w:tc>
        <w:tc>
          <w:tcPr>
            <w:tcW w:w="708" w:type="dxa"/>
            <w:shd w:val="clear" w:color="auto" w:fill="C6EFCE"/>
            <w:noWrap/>
          </w:tcPr>
          <w:p w14:paraId="0CE8B4B8" w14:textId="77777777" w:rsidR="006578ED" w:rsidRDefault="00A1618E">
            <w:pPr>
              <w:pStyle w:val="P68B1DB1-Normal13"/>
              <w:spacing w:after="0"/>
              <w:jc w:val="right"/>
              <w:rPr>
                <w:rFonts w:cs="Times New Roman"/>
                <w:noProof/>
              </w:rPr>
            </w:pPr>
            <w:r>
              <w:rPr>
                <w:noProof/>
              </w:rPr>
              <w:t xml:space="preserve">25 325 </w:t>
            </w:r>
          </w:p>
        </w:tc>
        <w:tc>
          <w:tcPr>
            <w:tcW w:w="709" w:type="dxa"/>
            <w:shd w:val="clear" w:color="auto" w:fill="C6EFCE"/>
            <w:noWrap/>
          </w:tcPr>
          <w:p w14:paraId="5669B34F" w14:textId="77777777" w:rsidR="006578ED" w:rsidRDefault="00A1618E">
            <w:pPr>
              <w:pStyle w:val="P68B1DB1-Normal13"/>
              <w:spacing w:after="0"/>
              <w:rPr>
                <w:rFonts w:cs="Times New Roman"/>
                <w:noProof/>
              </w:rPr>
            </w:pPr>
            <w:r>
              <w:rPr>
                <w:noProof/>
              </w:rPr>
              <w:t>26 320</w:t>
            </w:r>
          </w:p>
        </w:tc>
        <w:tc>
          <w:tcPr>
            <w:tcW w:w="425" w:type="dxa"/>
            <w:shd w:val="clear" w:color="auto" w:fill="C6EFCE"/>
            <w:noWrap/>
          </w:tcPr>
          <w:p w14:paraId="3010CDF1" w14:textId="6C82594F" w:rsidR="006578ED" w:rsidRDefault="00EC188C">
            <w:pPr>
              <w:pStyle w:val="P68B1DB1-Normal13"/>
              <w:spacing w:after="0"/>
              <w:jc w:val="center"/>
              <w:rPr>
                <w:rFonts w:cs="Times New Roman"/>
                <w:noProof/>
              </w:rPr>
            </w:pPr>
            <w:r>
              <w:rPr>
                <w:noProof/>
              </w:rPr>
              <w:t>KW. 4</w:t>
            </w:r>
          </w:p>
        </w:tc>
        <w:tc>
          <w:tcPr>
            <w:tcW w:w="709" w:type="dxa"/>
            <w:shd w:val="clear" w:color="auto" w:fill="C6EFCE"/>
            <w:noWrap/>
          </w:tcPr>
          <w:p w14:paraId="0FB97424" w14:textId="77777777" w:rsidR="006578ED" w:rsidRDefault="00A1618E">
            <w:pPr>
              <w:pStyle w:val="P68B1DB1-Normal13"/>
              <w:spacing w:after="0"/>
              <w:jc w:val="center"/>
              <w:rPr>
                <w:rFonts w:cs="Times New Roman"/>
                <w:noProof/>
              </w:rPr>
            </w:pPr>
            <w:r>
              <w:rPr>
                <w:noProof/>
              </w:rPr>
              <w:t>2021</w:t>
            </w:r>
          </w:p>
        </w:tc>
        <w:tc>
          <w:tcPr>
            <w:tcW w:w="5131" w:type="dxa"/>
            <w:shd w:val="clear" w:color="auto" w:fill="C6EFCE"/>
            <w:noWrap/>
          </w:tcPr>
          <w:p w14:paraId="58A93788" w14:textId="27E9BE9F" w:rsidR="006578ED" w:rsidRDefault="00A1618E">
            <w:pPr>
              <w:pStyle w:val="P68B1DB1-Normal13"/>
              <w:spacing w:after="0"/>
              <w:rPr>
                <w:rFonts w:cs="Times New Roman"/>
                <w:noProof/>
              </w:rPr>
            </w:pPr>
            <w:r>
              <w:rPr>
                <w:noProof/>
              </w:rPr>
              <w:t>Zwiększenie liczby pracowników organu podatkowego do co najmniej 26320 pracowników. Data poziomu bazowego: 31 grudnia 20</w:t>
            </w:r>
            <w:r w:rsidRPr="00A1618E">
              <w:rPr>
                <w:noProof/>
                <w:lang w:val="pl-PL"/>
              </w:rPr>
              <w:t>20 r.</w:t>
            </w:r>
            <w:r>
              <w:rPr>
                <w:noProof/>
              </w:rPr>
              <w:t xml:space="preserve"> </w:t>
            </w:r>
          </w:p>
        </w:tc>
      </w:tr>
      <w:tr w:rsidR="006578ED" w14:paraId="7E1D7CFC" w14:textId="77777777">
        <w:trPr>
          <w:trHeight w:val="309"/>
        </w:trPr>
        <w:tc>
          <w:tcPr>
            <w:tcW w:w="709" w:type="dxa"/>
            <w:shd w:val="clear" w:color="auto" w:fill="C6EFCE"/>
            <w:noWrap/>
          </w:tcPr>
          <w:p w14:paraId="7BEE37B0" w14:textId="77777777" w:rsidR="006578ED" w:rsidRDefault="00A1618E">
            <w:pPr>
              <w:pStyle w:val="P68B1DB1-Normal13"/>
              <w:spacing w:after="0"/>
              <w:jc w:val="center"/>
              <w:rPr>
                <w:rFonts w:eastAsia="Times New Roman" w:cs="Times New Roman"/>
                <w:noProof/>
              </w:rPr>
            </w:pPr>
            <w:r>
              <w:rPr>
                <w:noProof/>
              </w:rPr>
              <w:t>379</w:t>
            </w:r>
          </w:p>
        </w:tc>
        <w:tc>
          <w:tcPr>
            <w:tcW w:w="851" w:type="dxa"/>
            <w:shd w:val="clear" w:color="auto" w:fill="C6EFCE"/>
            <w:noWrap/>
          </w:tcPr>
          <w:p w14:paraId="7CDB5CEF" w14:textId="77777777" w:rsidR="006578ED" w:rsidRDefault="00A1618E">
            <w:pPr>
              <w:pStyle w:val="P68B1DB1-Normal13"/>
              <w:spacing w:after="0"/>
              <w:jc w:val="center"/>
              <w:rPr>
                <w:rFonts w:eastAsia="Times New Roman" w:cs="Times New Roman"/>
                <w:noProof/>
              </w:rPr>
            </w:pPr>
            <w:r>
              <w:rPr>
                <w:noProof/>
              </w:rPr>
              <w:t>C27.R2</w:t>
            </w:r>
          </w:p>
        </w:tc>
        <w:tc>
          <w:tcPr>
            <w:tcW w:w="850" w:type="dxa"/>
            <w:shd w:val="clear" w:color="auto" w:fill="C6EFCE"/>
            <w:noWrap/>
          </w:tcPr>
          <w:p w14:paraId="068942BA" w14:textId="2B78713D" w:rsidR="006578ED" w:rsidRDefault="00AF6B91">
            <w:pPr>
              <w:pStyle w:val="P68B1DB1-Normal13"/>
              <w:spacing w:after="0"/>
              <w:jc w:val="center"/>
              <w:rPr>
                <w:rFonts w:eastAsia="Times New Roman" w:cs="Times New Roman"/>
                <w:noProof/>
              </w:rPr>
            </w:pPr>
            <w:r>
              <w:rPr>
                <w:noProof/>
              </w:rPr>
              <w:t>Cel</w:t>
            </w:r>
          </w:p>
        </w:tc>
        <w:tc>
          <w:tcPr>
            <w:tcW w:w="2977" w:type="dxa"/>
            <w:shd w:val="clear" w:color="auto" w:fill="C6EFCE"/>
            <w:noWrap/>
          </w:tcPr>
          <w:p w14:paraId="5AD17D76" w14:textId="77777777" w:rsidR="006578ED" w:rsidRDefault="00A1618E">
            <w:pPr>
              <w:pStyle w:val="P68B1DB1-Normal13"/>
              <w:spacing w:after="0"/>
              <w:rPr>
                <w:rFonts w:eastAsia="Times New Roman" w:cs="Times New Roman"/>
                <w:noProof/>
              </w:rPr>
            </w:pPr>
            <w:r>
              <w:rPr>
                <w:noProof/>
              </w:rPr>
              <w:t>Modernizacja urzędu skarbowego – postępowania podatkowe</w:t>
            </w:r>
          </w:p>
        </w:tc>
        <w:tc>
          <w:tcPr>
            <w:tcW w:w="1134" w:type="dxa"/>
            <w:shd w:val="clear" w:color="auto" w:fill="C6EFCE"/>
            <w:noWrap/>
          </w:tcPr>
          <w:p w14:paraId="31C6F1EF" w14:textId="77777777" w:rsidR="006578ED" w:rsidRDefault="00A1618E">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383C1E0A" w14:textId="77777777" w:rsidR="006578ED" w:rsidRDefault="00A1618E">
            <w:pPr>
              <w:pStyle w:val="P68B1DB1-Normal13"/>
              <w:spacing w:after="0"/>
              <w:jc w:val="center"/>
              <w:rPr>
                <w:rFonts w:eastAsia="Times New Roman" w:cs="Times New Roman"/>
                <w:noProof/>
              </w:rPr>
            </w:pPr>
            <w:r>
              <w:rPr>
                <w:noProof/>
              </w:rPr>
              <w:t>Liczba</w:t>
            </w:r>
          </w:p>
        </w:tc>
        <w:tc>
          <w:tcPr>
            <w:tcW w:w="708" w:type="dxa"/>
            <w:shd w:val="clear" w:color="auto" w:fill="C6EFCE"/>
            <w:noWrap/>
          </w:tcPr>
          <w:p w14:paraId="755932A8" w14:textId="77777777" w:rsidR="006578ED" w:rsidRDefault="00A1618E">
            <w:pPr>
              <w:pStyle w:val="P68B1DB1-Normal13"/>
              <w:spacing w:after="0"/>
              <w:jc w:val="right"/>
              <w:rPr>
                <w:rFonts w:eastAsia="Times New Roman" w:cs="Times New Roman"/>
                <w:noProof/>
              </w:rPr>
            </w:pPr>
            <w:r>
              <w:rPr>
                <w:noProof/>
              </w:rPr>
              <w:t>5 743</w:t>
            </w:r>
          </w:p>
        </w:tc>
        <w:tc>
          <w:tcPr>
            <w:tcW w:w="709" w:type="dxa"/>
            <w:shd w:val="clear" w:color="auto" w:fill="C6EFCE"/>
            <w:noWrap/>
          </w:tcPr>
          <w:p w14:paraId="79F94CBE" w14:textId="77777777" w:rsidR="006578ED" w:rsidRDefault="00A1618E">
            <w:pPr>
              <w:pStyle w:val="P68B1DB1-Normal13"/>
              <w:spacing w:after="0"/>
              <w:rPr>
                <w:rFonts w:eastAsia="Times New Roman" w:cs="Times New Roman"/>
                <w:noProof/>
              </w:rPr>
            </w:pPr>
            <w:r>
              <w:rPr>
                <w:noProof/>
              </w:rPr>
              <w:t>6 591</w:t>
            </w:r>
          </w:p>
        </w:tc>
        <w:tc>
          <w:tcPr>
            <w:tcW w:w="425" w:type="dxa"/>
            <w:shd w:val="clear" w:color="auto" w:fill="C6EFCE"/>
            <w:noWrap/>
          </w:tcPr>
          <w:p w14:paraId="6C01FCA6" w14:textId="77485732" w:rsidR="006578ED" w:rsidRDefault="00EC188C">
            <w:pPr>
              <w:pStyle w:val="P68B1DB1-Normal13"/>
              <w:spacing w:after="0"/>
              <w:jc w:val="center"/>
              <w:rPr>
                <w:rFonts w:eastAsia="Times New Roman" w:cs="Times New Roman"/>
                <w:noProof/>
              </w:rPr>
            </w:pPr>
            <w:r>
              <w:rPr>
                <w:noProof/>
              </w:rPr>
              <w:t>KW. 4</w:t>
            </w:r>
          </w:p>
        </w:tc>
        <w:tc>
          <w:tcPr>
            <w:tcW w:w="709" w:type="dxa"/>
            <w:shd w:val="clear" w:color="auto" w:fill="C6EFCE"/>
            <w:noWrap/>
          </w:tcPr>
          <w:p w14:paraId="23464E3D" w14:textId="77777777" w:rsidR="006578ED" w:rsidRDefault="00A1618E">
            <w:pPr>
              <w:pStyle w:val="P68B1DB1-Normal13"/>
              <w:spacing w:after="0"/>
              <w:jc w:val="center"/>
              <w:rPr>
                <w:rFonts w:eastAsia="Times New Roman" w:cs="Times New Roman"/>
                <w:noProof/>
              </w:rPr>
            </w:pPr>
            <w:r>
              <w:rPr>
                <w:noProof/>
              </w:rPr>
              <w:t>2021</w:t>
            </w:r>
          </w:p>
        </w:tc>
        <w:tc>
          <w:tcPr>
            <w:tcW w:w="5131" w:type="dxa"/>
            <w:shd w:val="clear" w:color="auto" w:fill="C6EFCE"/>
            <w:noWrap/>
          </w:tcPr>
          <w:p w14:paraId="5B343D38" w14:textId="02FEC87F" w:rsidR="006578ED" w:rsidRDefault="00A1618E">
            <w:pPr>
              <w:pStyle w:val="P68B1DB1-Normal13"/>
              <w:spacing w:after="0"/>
              <w:rPr>
                <w:rFonts w:eastAsia="Times New Roman" w:cs="Times New Roman"/>
                <w:noProof/>
              </w:rPr>
            </w:pPr>
            <w:r>
              <w:rPr>
                <w:noProof/>
              </w:rPr>
              <w:t>Organy przeprowadzają 6591 dochodzeń podatkowych (liczba dochodzeń podatkowych przeprowadzonych w 20</w:t>
            </w:r>
            <w:r w:rsidRPr="00A1618E">
              <w:rPr>
                <w:noProof/>
                <w:lang w:val="pl-PL"/>
              </w:rPr>
              <w:t>21 r.</w:t>
            </w:r>
            <w:r>
              <w:rPr>
                <w:noProof/>
              </w:rPr>
              <w:t>) w celu wykrycia niezgłoszonej działalności podlegającej opodatkowaniu. Data poziomu bazowego: 31 grudnia 20</w:t>
            </w:r>
            <w:r w:rsidRPr="00A1618E">
              <w:rPr>
                <w:noProof/>
                <w:lang w:val="pl-PL"/>
              </w:rPr>
              <w:t>20 r.</w:t>
            </w:r>
          </w:p>
        </w:tc>
      </w:tr>
      <w:tr w:rsidR="006578ED" w14:paraId="12127392" w14:textId="77777777">
        <w:trPr>
          <w:trHeight w:val="433"/>
        </w:trPr>
        <w:tc>
          <w:tcPr>
            <w:tcW w:w="709" w:type="dxa"/>
            <w:shd w:val="clear" w:color="auto" w:fill="C6EFCE"/>
            <w:noWrap/>
          </w:tcPr>
          <w:p w14:paraId="4C50C21D" w14:textId="77777777" w:rsidR="006578ED" w:rsidRDefault="00A1618E">
            <w:pPr>
              <w:pStyle w:val="P68B1DB1-Normal13"/>
              <w:spacing w:after="0"/>
              <w:jc w:val="center"/>
              <w:rPr>
                <w:rFonts w:eastAsia="Times New Roman" w:cs="Times New Roman"/>
                <w:noProof/>
              </w:rPr>
            </w:pPr>
            <w:r>
              <w:rPr>
                <w:noProof/>
              </w:rPr>
              <w:t>380</w:t>
            </w:r>
          </w:p>
        </w:tc>
        <w:tc>
          <w:tcPr>
            <w:tcW w:w="851" w:type="dxa"/>
            <w:shd w:val="clear" w:color="auto" w:fill="C6EFCE"/>
            <w:noWrap/>
          </w:tcPr>
          <w:p w14:paraId="5133A209" w14:textId="77777777" w:rsidR="006578ED" w:rsidRDefault="00A1618E">
            <w:pPr>
              <w:pStyle w:val="P68B1DB1-Normal13"/>
              <w:spacing w:after="0"/>
              <w:jc w:val="center"/>
              <w:rPr>
                <w:rFonts w:eastAsia="Times New Roman" w:cs="Times New Roman"/>
                <w:noProof/>
              </w:rPr>
            </w:pPr>
            <w:r>
              <w:rPr>
                <w:noProof/>
              </w:rPr>
              <w:t>C27.R3</w:t>
            </w:r>
          </w:p>
        </w:tc>
        <w:tc>
          <w:tcPr>
            <w:tcW w:w="850" w:type="dxa"/>
            <w:shd w:val="clear" w:color="auto" w:fill="C6EFCE"/>
            <w:noWrap/>
          </w:tcPr>
          <w:p w14:paraId="44DC0265" w14:textId="45C373DD" w:rsidR="006578ED" w:rsidRDefault="00AF6B91">
            <w:pPr>
              <w:pStyle w:val="P68B1DB1-Normal13"/>
              <w:spacing w:after="0"/>
              <w:jc w:val="center"/>
              <w:rPr>
                <w:rFonts w:eastAsia="Times New Roman" w:cs="Times New Roman"/>
                <w:noProof/>
              </w:rPr>
            </w:pPr>
            <w:r>
              <w:rPr>
                <w:noProof/>
              </w:rPr>
              <w:t>Cel</w:t>
            </w:r>
          </w:p>
        </w:tc>
        <w:tc>
          <w:tcPr>
            <w:tcW w:w="2977" w:type="dxa"/>
            <w:shd w:val="clear" w:color="auto" w:fill="C6EFCE"/>
            <w:noWrap/>
          </w:tcPr>
          <w:p w14:paraId="4754AF56" w14:textId="09BFB4BD" w:rsidR="006578ED" w:rsidRDefault="00A1618E">
            <w:pPr>
              <w:pStyle w:val="P68B1DB1-Normal13"/>
              <w:spacing w:after="0"/>
              <w:rPr>
                <w:rFonts w:eastAsia="Times New Roman" w:cs="Times New Roman"/>
                <w:noProof/>
              </w:rPr>
            </w:pPr>
            <w:r>
              <w:rPr>
                <w:noProof/>
              </w:rPr>
              <w:t>Świadczenie zwiększonej pomocy podatnikom – sieć Sociedades została zmodernizowana i dostępna dla co najmniej 1666123 podatników.</w:t>
            </w:r>
          </w:p>
        </w:tc>
        <w:tc>
          <w:tcPr>
            <w:tcW w:w="1134" w:type="dxa"/>
            <w:shd w:val="clear" w:color="auto" w:fill="C6EFCE"/>
            <w:noWrap/>
          </w:tcPr>
          <w:p w14:paraId="16D75D7F" w14:textId="77777777" w:rsidR="006578ED" w:rsidRDefault="00A1618E">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5F2A9026" w14:textId="77777777" w:rsidR="006578ED" w:rsidRDefault="00A1618E">
            <w:pPr>
              <w:pStyle w:val="P68B1DB1-Normal13"/>
              <w:spacing w:after="0"/>
              <w:jc w:val="center"/>
              <w:rPr>
                <w:rFonts w:eastAsia="Times New Roman" w:cs="Times New Roman"/>
                <w:noProof/>
              </w:rPr>
            </w:pPr>
            <w:r>
              <w:rPr>
                <w:noProof/>
              </w:rPr>
              <w:t>Liczba</w:t>
            </w:r>
          </w:p>
        </w:tc>
        <w:tc>
          <w:tcPr>
            <w:tcW w:w="708" w:type="dxa"/>
            <w:shd w:val="clear" w:color="auto" w:fill="C6EFCE"/>
            <w:noWrap/>
          </w:tcPr>
          <w:p w14:paraId="7EE8F8CA" w14:textId="77777777" w:rsidR="006578ED" w:rsidRDefault="00A1618E">
            <w:pPr>
              <w:pStyle w:val="P68B1DB1-Normal13"/>
              <w:spacing w:after="0"/>
              <w:jc w:val="right"/>
              <w:rPr>
                <w:rFonts w:eastAsia="Times New Roman" w:cs="Times New Roman"/>
                <w:noProof/>
              </w:rPr>
            </w:pPr>
            <w:r>
              <w:rPr>
                <w:noProof/>
              </w:rPr>
              <w:t>0</w:t>
            </w:r>
          </w:p>
        </w:tc>
        <w:tc>
          <w:tcPr>
            <w:tcW w:w="709" w:type="dxa"/>
            <w:shd w:val="clear" w:color="auto" w:fill="C6EFCE"/>
            <w:noWrap/>
          </w:tcPr>
          <w:p w14:paraId="4A9D484E" w14:textId="77777777" w:rsidR="006578ED" w:rsidRDefault="00A1618E">
            <w:pPr>
              <w:pStyle w:val="P68B1DB1-Normal13"/>
              <w:spacing w:after="0"/>
              <w:rPr>
                <w:rFonts w:eastAsia="Times New Roman" w:cs="Times New Roman"/>
                <w:noProof/>
              </w:rPr>
            </w:pPr>
            <w:r>
              <w:rPr>
                <w:noProof/>
              </w:rPr>
              <w:t>1 666 123</w:t>
            </w:r>
          </w:p>
        </w:tc>
        <w:tc>
          <w:tcPr>
            <w:tcW w:w="425" w:type="dxa"/>
            <w:shd w:val="clear" w:color="auto" w:fill="C6EFCE"/>
            <w:noWrap/>
          </w:tcPr>
          <w:p w14:paraId="0EEBB9F9" w14:textId="76C64B9E" w:rsidR="006578ED" w:rsidRDefault="00EC188C">
            <w:pPr>
              <w:pStyle w:val="P68B1DB1-Normal13"/>
              <w:spacing w:after="0"/>
              <w:jc w:val="center"/>
              <w:rPr>
                <w:rFonts w:eastAsia="Times New Roman" w:cs="Times New Roman"/>
                <w:noProof/>
              </w:rPr>
            </w:pPr>
            <w:r>
              <w:rPr>
                <w:noProof/>
              </w:rPr>
              <w:t>KW. 4</w:t>
            </w:r>
          </w:p>
        </w:tc>
        <w:tc>
          <w:tcPr>
            <w:tcW w:w="709" w:type="dxa"/>
            <w:shd w:val="clear" w:color="auto" w:fill="C6EFCE"/>
            <w:noWrap/>
          </w:tcPr>
          <w:p w14:paraId="044A2C93" w14:textId="77777777" w:rsidR="006578ED" w:rsidRDefault="00A1618E">
            <w:pPr>
              <w:pStyle w:val="P68B1DB1-Normal13"/>
              <w:spacing w:after="0"/>
              <w:jc w:val="center"/>
              <w:rPr>
                <w:rFonts w:eastAsia="Times New Roman" w:cs="Times New Roman"/>
                <w:noProof/>
              </w:rPr>
            </w:pPr>
            <w:r>
              <w:rPr>
                <w:noProof/>
              </w:rPr>
              <w:t>2021</w:t>
            </w:r>
          </w:p>
        </w:tc>
        <w:tc>
          <w:tcPr>
            <w:tcW w:w="5131" w:type="dxa"/>
            <w:shd w:val="clear" w:color="auto" w:fill="C6EFCE"/>
            <w:noWrap/>
          </w:tcPr>
          <w:p w14:paraId="2C9CAFD6" w14:textId="74D33FDE" w:rsidR="006578ED" w:rsidRDefault="00A1618E">
            <w:pPr>
              <w:pStyle w:val="P68B1DB1-Normal13"/>
              <w:spacing w:after="0"/>
              <w:rPr>
                <w:rFonts w:eastAsia="Times New Roman" w:cs="Times New Roman"/>
                <w:noProof/>
              </w:rPr>
            </w:pPr>
            <w:r>
              <w:rPr>
                <w:i/>
                <w:noProof/>
              </w:rPr>
              <w:t>Sociedades Web</w:t>
            </w:r>
            <w:r>
              <w:rPr>
                <w:noProof/>
              </w:rPr>
              <w:t>, usługa skierowana do podatników dochodowych od osób prawnych, zostaje zmodernizowana i automatycznie przedstawia informacje podatkowe, uprzednio zgłoszone przez przedsiębiorstwa administracji publicznej, które są istotne dla deklaracji podatkowej. Po zakończeniu tej modernizacji usługa jest udostępniana 1666123 podatnikom dochodowym od osób prawnych. Data poziomu bazowego: 31 grudnia 20</w:t>
            </w:r>
            <w:r w:rsidRPr="00A1618E">
              <w:rPr>
                <w:noProof/>
                <w:lang w:val="pl-PL"/>
              </w:rPr>
              <w:t>20 r.</w:t>
            </w:r>
          </w:p>
        </w:tc>
      </w:tr>
      <w:tr w:rsidR="006578ED" w14:paraId="11128318" w14:textId="77777777">
        <w:trPr>
          <w:trHeight w:val="309"/>
        </w:trPr>
        <w:tc>
          <w:tcPr>
            <w:tcW w:w="709" w:type="dxa"/>
            <w:shd w:val="clear" w:color="auto" w:fill="C6EFCE"/>
            <w:noWrap/>
          </w:tcPr>
          <w:p w14:paraId="68E85ECF" w14:textId="77777777" w:rsidR="006578ED" w:rsidRDefault="00A1618E">
            <w:pPr>
              <w:pStyle w:val="P68B1DB1-Normal13"/>
              <w:spacing w:after="0"/>
              <w:jc w:val="center"/>
              <w:rPr>
                <w:rFonts w:cs="Times New Roman"/>
                <w:noProof/>
              </w:rPr>
            </w:pPr>
            <w:r>
              <w:rPr>
                <w:noProof/>
              </w:rPr>
              <w:t>381</w:t>
            </w:r>
          </w:p>
        </w:tc>
        <w:tc>
          <w:tcPr>
            <w:tcW w:w="851" w:type="dxa"/>
            <w:shd w:val="clear" w:color="auto" w:fill="C6EFCE"/>
            <w:noWrap/>
          </w:tcPr>
          <w:p w14:paraId="358A22F0" w14:textId="77777777" w:rsidR="006578ED" w:rsidRDefault="00A1618E">
            <w:pPr>
              <w:pStyle w:val="P68B1DB1-Normal13"/>
              <w:spacing w:after="0"/>
              <w:jc w:val="center"/>
              <w:rPr>
                <w:rFonts w:cs="Times New Roman"/>
                <w:noProof/>
              </w:rPr>
            </w:pPr>
            <w:r>
              <w:rPr>
                <w:noProof/>
              </w:rPr>
              <w:t>C27.R3</w:t>
            </w:r>
          </w:p>
        </w:tc>
        <w:tc>
          <w:tcPr>
            <w:tcW w:w="850" w:type="dxa"/>
            <w:shd w:val="clear" w:color="auto" w:fill="C6EFCE"/>
            <w:noWrap/>
          </w:tcPr>
          <w:p w14:paraId="0F6B0EB5" w14:textId="6BB9BBBB" w:rsidR="006578ED" w:rsidRDefault="00AF6B91">
            <w:pPr>
              <w:pStyle w:val="P68B1DB1-Normal13"/>
              <w:spacing w:after="0"/>
              <w:jc w:val="center"/>
              <w:rPr>
                <w:rFonts w:cs="Times New Roman"/>
                <w:noProof/>
              </w:rPr>
            </w:pPr>
            <w:r>
              <w:rPr>
                <w:noProof/>
              </w:rPr>
              <w:t>Cel</w:t>
            </w:r>
          </w:p>
        </w:tc>
        <w:tc>
          <w:tcPr>
            <w:tcW w:w="2977" w:type="dxa"/>
            <w:shd w:val="clear" w:color="auto" w:fill="C6EFCE"/>
            <w:noWrap/>
          </w:tcPr>
          <w:p w14:paraId="191FEE1A" w14:textId="375192AC" w:rsidR="006578ED" w:rsidRDefault="00A1618E">
            <w:pPr>
              <w:pStyle w:val="P68B1DB1-Normal13"/>
              <w:spacing w:after="0"/>
              <w:rPr>
                <w:rFonts w:cs="Times New Roman"/>
                <w:noProof/>
              </w:rPr>
            </w:pPr>
            <w:r>
              <w:rPr>
                <w:noProof/>
              </w:rPr>
              <w:t>Udzielanie zwiększonej pomocy podatnikom – sieć Renta Web zmodernizowana i dostępna dla co najmniej 1779505 podatników</w:t>
            </w:r>
          </w:p>
        </w:tc>
        <w:tc>
          <w:tcPr>
            <w:tcW w:w="1134" w:type="dxa"/>
            <w:shd w:val="clear" w:color="auto" w:fill="C6EFCE"/>
            <w:noWrap/>
          </w:tcPr>
          <w:p w14:paraId="78FE25B2" w14:textId="77777777" w:rsidR="006578ED" w:rsidRDefault="00A1618E">
            <w:pPr>
              <w:pStyle w:val="P68B1DB1-Normal13"/>
              <w:spacing w:after="0"/>
              <w:jc w:val="center"/>
              <w:rPr>
                <w:rFonts w:cs="Times New Roman"/>
                <w:noProof/>
              </w:rPr>
            </w:pPr>
            <w:r>
              <w:rPr>
                <w:noProof/>
              </w:rPr>
              <w:t> </w:t>
            </w:r>
          </w:p>
        </w:tc>
        <w:tc>
          <w:tcPr>
            <w:tcW w:w="851" w:type="dxa"/>
            <w:shd w:val="clear" w:color="auto" w:fill="C6EFCE"/>
            <w:noWrap/>
          </w:tcPr>
          <w:p w14:paraId="48F91E17" w14:textId="77777777" w:rsidR="006578ED" w:rsidRDefault="00A1618E">
            <w:pPr>
              <w:pStyle w:val="P68B1DB1-Normal13"/>
              <w:spacing w:after="0"/>
              <w:jc w:val="center"/>
              <w:rPr>
                <w:rFonts w:cs="Times New Roman"/>
                <w:noProof/>
              </w:rPr>
            </w:pPr>
            <w:r>
              <w:rPr>
                <w:noProof/>
              </w:rPr>
              <w:t>Liczba</w:t>
            </w:r>
          </w:p>
        </w:tc>
        <w:tc>
          <w:tcPr>
            <w:tcW w:w="708" w:type="dxa"/>
            <w:shd w:val="clear" w:color="auto" w:fill="C6EFCE"/>
            <w:noWrap/>
          </w:tcPr>
          <w:p w14:paraId="18043F16" w14:textId="77777777" w:rsidR="006578ED" w:rsidRDefault="00A1618E">
            <w:pPr>
              <w:pStyle w:val="P68B1DB1-Normal13"/>
              <w:spacing w:after="0"/>
              <w:rPr>
                <w:rFonts w:cs="Times New Roman"/>
                <w:noProof/>
              </w:rPr>
            </w:pPr>
            <w:r>
              <w:rPr>
                <w:noProof/>
              </w:rPr>
              <w:t>0</w:t>
            </w:r>
          </w:p>
        </w:tc>
        <w:tc>
          <w:tcPr>
            <w:tcW w:w="709" w:type="dxa"/>
            <w:shd w:val="clear" w:color="auto" w:fill="C6EFCE"/>
            <w:noWrap/>
          </w:tcPr>
          <w:p w14:paraId="75F4E397" w14:textId="77777777" w:rsidR="006578ED" w:rsidRDefault="00A1618E">
            <w:pPr>
              <w:pStyle w:val="P68B1DB1-Normal13"/>
              <w:spacing w:after="0"/>
              <w:rPr>
                <w:rFonts w:cs="Times New Roman"/>
                <w:noProof/>
              </w:rPr>
            </w:pPr>
            <w:r>
              <w:rPr>
                <w:noProof/>
              </w:rPr>
              <w:t>1 779 505</w:t>
            </w:r>
          </w:p>
        </w:tc>
        <w:tc>
          <w:tcPr>
            <w:tcW w:w="425" w:type="dxa"/>
            <w:shd w:val="clear" w:color="auto" w:fill="C6EFCE"/>
            <w:noWrap/>
          </w:tcPr>
          <w:p w14:paraId="4ECC0553" w14:textId="037CD58F" w:rsidR="006578ED" w:rsidRDefault="00EC188C">
            <w:pPr>
              <w:pStyle w:val="P68B1DB1-Normal13"/>
              <w:spacing w:after="0"/>
              <w:jc w:val="center"/>
              <w:rPr>
                <w:rFonts w:cs="Times New Roman"/>
                <w:noProof/>
              </w:rPr>
            </w:pPr>
            <w:r>
              <w:rPr>
                <w:noProof/>
              </w:rPr>
              <w:t>KW. 4</w:t>
            </w:r>
          </w:p>
        </w:tc>
        <w:tc>
          <w:tcPr>
            <w:tcW w:w="709" w:type="dxa"/>
            <w:shd w:val="clear" w:color="auto" w:fill="C6EFCE"/>
            <w:noWrap/>
          </w:tcPr>
          <w:p w14:paraId="03F52988" w14:textId="77777777" w:rsidR="006578ED" w:rsidRDefault="00A1618E">
            <w:pPr>
              <w:pStyle w:val="P68B1DB1-Normal13"/>
              <w:spacing w:after="0"/>
              <w:jc w:val="center"/>
              <w:rPr>
                <w:rFonts w:cs="Times New Roman"/>
                <w:noProof/>
              </w:rPr>
            </w:pPr>
            <w:r>
              <w:rPr>
                <w:noProof/>
              </w:rPr>
              <w:t>2021</w:t>
            </w:r>
          </w:p>
        </w:tc>
        <w:tc>
          <w:tcPr>
            <w:tcW w:w="5131" w:type="dxa"/>
            <w:shd w:val="clear" w:color="auto" w:fill="C6EFCE"/>
            <w:noWrap/>
          </w:tcPr>
          <w:p w14:paraId="6F46FADA" w14:textId="05E319F9" w:rsidR="006578ED" w:rsidRDefault="00A1618E">
            <w:pPr>
              <w:pStyle w:val="P68B1DB1-Normal13"/>
              <w:spacing w:after="0"/>
              <w:rPr>
                <w:rFonts w:cs="Times New Roman"/>
                <w:noProof/>
              </w:rPr>
            </w:pPr>
            <w:r>
              <w:rPr>
                <w:i/>
                <w:noProof/>
              </w:rPr>
              <w:t>Renta Web</w:t>
            </w:r>
            <w:r>
              <w:rPr>
                <w:noProof/>
              </w:rPr>
              <w:t xml:space="preserve"> to oprogramowanie przeznaczone do podatku dochodowego od osób fizycznych, które umożliwi bezpośredni przywóz „libros</w:t>
            </w:r>
            <w:r>
              <w:rPr>
                <w:i/>
                <w:noProof/>
              </w:rPr>
              <w:t>registro</w:t>
            </w:r>
            <w:r>
              <w:rPr>
                <w:noProof/>
              </w:rPr>
              <w:t xml:space="preserve">” do deklaracji podatku dochodowego od osób fizycznych. Będzie on dostępny </w:t>
            </w:r>
            <w:r w:rsidRPr="00A1618E">
              <w:rPr>
                <w:noProof/>
                <w:lang w:val="pl-PL"/>
              </w:rPr>
              <w:t>dla 1</w:t>
            </w:r>
            <w:r>
              <w:rPr>
                <w:noProof/>
              </w:rPr>
              <w:t>779505 podatników dochodowych od osób fizycznych. Data poziomu bazowego: 31 grudnia 20</w:t>
            </w:r>
            <w:r w:rsidRPr="00A1618E">
              <w:rPr>
                <w:noProof/>
                <w:lang w:val="pl-PL"/>
              </w:rPr>
              <w:t>20 r.</w:t>
            </w:r>
          </w:p>
        </w:tc>
      </w:tr>
      <w:tr w:rsidR="006578ED" w14:paraId="68C1902E" w14:textId="77777777">
        <w:trPr>
          <w:trHeight w:val="309"/>
        </w:trPr>
        <w:tc>
          <w:tcPr>
            <w:tcW w:w="709" w:type="dxa"/>
            <w:shd w:val="clear" w:color="auto" w:fill="C6EFCE"/>
            <w:noWrap/>
          </w:tcPr>
          <w:p w14:paraId="0E3BF9FA" w14:textId="77777777" w:rsidR="006578ED" w:rsidRDefault="00A1618E">
            <w:pPr>
              <w:pStyle w:val="P68B1DB1-Normal13"/>
              <w:spacing w:after="0"/>
              <w:jc w:val="center"/>
              <w:rPr>
                <w:rFonts w:eastAsia="Times New Roman" w:cs="Times New Roman"/>
                <w:noProof/>
              </w:rPr>
            </w:pPr>
            <w:r>
              <w:rPr>
                <w:noProof/>
              </w:rPr>
              <w:t>382</w:t>
            </w:r>
          </w:p>
        </w:tc>
        <w:tc>
          <w:tcPr>
            <w:tcW w:w="851" w:type="dxa"/>
            <w:shd w:val="clear" w:color="auto" w:fill="C6EFCE"/>
            <w:noWrap/>
          </w:tcPr>
          <w:p w14:paraId="2DF19F86" w14:textId="77777777" w:rsidR="006578ED" w:rsidRDefault="00A1618E">
            <w:pPr>
              <w:pStyle w:val="P68B1DB1-Normal13"/>
              <w:spacing w:after="0"/>
              <w:jc w:val="center"/>
              <w:rPr>
                <w:rFonts w:eastAsia="Times New Roman" w:cs="Times New Roman"/>
                <w:noProof/>
              </w:rPr>
            </w:pPr>
            <w:r>
              <w:rPr>
                <w:noProof/>
              </w:rPr>
              <w:t>C27.R3</w:t>
            </w:r>
          </w:p>
        </w:tc>
        <w:tc>
          <w:tcPr>
            <w:tcW w:w="850" w:type="dxa"/>
            <w:shd w:val="clear" w:color="auto" w:fill="C6EFCE"/>
            <w:noWrap/>
          </w:tcPr>
          <w:p w14:paraId="298197E5" w14:textId="62FBE8F2" w:rsidR="006578ED" w:rsidRDefault="00AF6B91">
            <w:pPr>
              <w:pStyle w:val="P68B1DB1-Normal13"/>
              <w:spacing w:after="0"/>
              <w:jc w:val="center"/>
              <w:rPr>
                <w:rFonts w:eastAsia="Times New Roman" w:cs="Times New Roman"/>
                <w:noProof/>
              </w:rPr>
            </w:pPr>
            <w:r>
              <w:rPr>
                <w:noProof/>
              </w:rPr>
              <w:t>Kamień milowy</w:t>
            </w:r>
          </w:p>
        </w:tc>
        <w:tc>
          <w:tcPr>
            <w:tcW w:w="2977" w:type="dxa"/>
            <w:shd w:val="clear" w:color="auto" w:fill="C6EFCE"/>
            <w:noWrap/>
          </w:tcPr>
          <w:p w14:paraId="6BACF937" w14:textId="77777777" w:rsidR="006578ED" w:rsidRDefault="00A1618E">
            <w:pPr>
              <w:pStyle w:val="P68B1DB1-Normal13"/>
              <w:spacing w:after="0"/>
              <w:rPr>
                <w:rFonts w:eastAsia="Times New Roman" w:cs="Times New Roman"/>
                <w:noProof/>
              </w:rPr>
            </w:pPr>
            <w:r>
              <w:rPr>
                <w:noProof/>
              </w:rPr>
              <w:t>Realizacja czterech platform wsparcia cyfrowego</w:t>
            </w:r>
          </w:p>
        </w:tc>
        <w:tc>
          <w:tcPr>
            <w:tcW w:w="1134" w:type="dxa"/>
            <w:shd w:val="clear" w:color="auto" w:fill="C6EFCE"/>
            <w:noWrap/>
          </w:tcPr>
          <w:p w14:paraId="65E1A8B1" w14:textId="77777777" w:rsidR="006578ED" w:rsidRDefault="00A1618E">
            <w:pPr>
              <w:pStyle w:val="P68B1DB1-Normal13"/>
              <w:spacing w:after="0"/>
              <w:jc w:val="center"/>
              <w:rPr>
                <w:rFonts w:eastAsia="Times New Roman" w:cs="Times New Roman"/>
                <w:noProof/>
              </w:rPr>
            </w:pPr>
            <w:r>
              <w:rPr>
                <w:noProof/>
              </w:rPr>
              <w:t xml:space="preserve">Publikacja sprawozdania urzędu skarbowego </w:t>
            </w:r>
          </w:p>
        </w:tc>
        <w:tc>
          <w:tcPr>
            <w:tcW w:w="851" w:type="dxa"/>
            <w:shd w:val="clear" w:color="auto" w:fill="C6EFCE"/>
            <w:noWrap/>
          </w:tcPr>
          <w:p w14:paraId="1D1175EE" w14:textId="77777777" w:rsidR="006578ED" w:rsidRDefault="00A1618E">
            <w:pPr>
              <w:pStyle w:val="P68B1DB1-Normal13"/>
              <w:spacing w:after="0"/>
              <w:jc w:val="center"/>
              <w:rPr>
                <w:rFonts w:eastAsia="Times New Roman" w:cs="Times New Roman"/>
                <w:noProof/>
              </w:rPr>
            </w:pPr>
            <w:r>
              <w:rPr>
                <w:noProof/>
              </w:rPr>
              <w:t> </w:t>
            </w:r>
          </w:p>
        </w:tc>
        <w:tc>
          <w:tcPr>
            <w:tcW w:w="708" w:type="dxa"/>
            <w:shd w:val="clear" w:color="auto" w:fill="C6EFCE"/>
            <w:noWrap/>
          </w:tcPr>
          <w:p w14:paraId="41E5E6F4" w14:textId="77777777" w:rsidR="006578ED" w:rsidRDefault="00A1618E">
            <w:pPr>
              <w:pStyle w:val="P68B1DB1-Normal13"/>
              <w:spacing w:after="0"/>
              <w:jc w:val="right"/>
              <w:rPr>
                <w:rFonts w:eastAsia="Times New Roman" w:cs="Times New Roman"/>
                <w:noProof/>
              </w:rPr>
            </w:pPr>
            <w:r>
              <w:rPr>
                <w:noProof/>
              </w:rPr>
              <w:t xml:space="preserve"> </w:t>
            </w:r>
          </w:p>
        </w:tc>
        <w:tc>
          <w:tcPr>
            <w:tcW w:w="709" w:type="dxa"/>
            <w:shd w:val="clear" w:color="auto" w:fill="C6EFCE"/>
            <w:noWrap/>
          </w:tcPr>
          <w:p w14:paraId="2BDA0106" w14:textId="77777777" w:rsidR="006578ED" w:rsidRDefault="00A1618E">
            <w:pPr>
              <w:pStyle w:val="P68B1DB1-Normal13"/>
              <w:spacing w:after="0"/>
              <w:jc w:val="right"/>
              <w:rPr>
                <w:rFonts w:eastAsia="Times New Roman" w:cs="Times New Roman"/>
                <w:noProof/>
              </w:rPr>
            </w:pPr>
            <w:r>
              <w:rPr>
                <w:noProof/>
              </w:rPr>
              <w:t xml:space="preserve"> </w:t>
            </w:r>
          </w:p>
        </w:tc>
        <w:tc>
          <w:tcPr>
            <w:tcW w:w="425" w:type="dxa"/>
            <w:shd w:val="clear" w:color="auto" w:fill="C6EFCE"/>
            <w:noWrap/>
          </w:tcPr>
          <w:p w14:paraId="6566099C" w14:textId="57740F5D" w:rsidR="006578ED" w:rsidRDefault="00EC188C">
            <w:pPr>
              <w:pStyle w:val="P68B1DB1-Normal13"/>
              <w:spacing w:after="0"/>
              <w:jc w:val="center"/>
              <w:rPr>
                <w:rFonts w:eastAsia="Times New Roman" w:cs="Times New Roman"/>
                <w:noProof/>
              </w:rPr>
            </w:pPr>
            <w:r>
              <w:rPr>
                <w:noProof/>
              </w:rPr>
              <w:t>KW. 4</w:t>
            </w:r>
          </w:p>
        </w:tc>
        <w:tc>
          <w:tcPr>
            <w:tcW w:w="709" w:type="dxa"/>
            <w:shd w:val="clear" w:color="auto" w:fill="C6EFCE"/>
            <w:noWrap/>
          </w:tcPr>
          <w:p w14:paraId="168B9BFD" w14:textId="77777777" w:rsidR="006578ED" w:rsidRDefault="00A1618E">
            <w:pPr>
              <w:pStyle w:val="P68B1DB1-Normal13"/>
              <w:spacing w:after="0"/>
              <w:jc w:val="center"/>
              <w:rPr>
                <w:rFonts w:eastAsia="Times New Roman" w:cs="Times New Roman"/>
                <w:noProof/>
              </w:rPr>
            </w:pPr>
            <w:r>
              <w:rPr>
                <w:noProof/>
              </w:rPr>
              <w:t>2023</w:t>
            </w:r>
          </w:p>
        </w:tc>
        <w:tc>
          <w:tcPr>
            <w:tcW w:w="5131" w:type="dxa"/>
            <w:shd w:val="clear" w:color="auto" w:fill="C6EFCE"/>
            <w:noWrap/>
          </w:tcPr>
          <w:p w14:paraId="04EBE51F" w14:textId="14248709" w:rsidR="006578ED" w:rsidRDefault="00A1618E">
            <w:pPr>
              <w:pStyle w:val="P68B1DB1-Normal13"/>
              <w:spacing w:after="0"/>
              <w:rPr>
                <w:rFonts w:eastAsia="Times New Roman" w:cs="Times New Roman"/>
                <w:noProof/>
              </w:rPr>
            </w:pPr>
            <w:r>
              <w:rPr>
                <w:noProof/>
              </w:rPr>
              <w:t>Agencja skarbowa tworzy i uruchamia cztery platformy wsparcia cyfrowego w zakresie podatków w celu poprawy usług świadczonych podatnikom. Dostawcy usług cyfrowych działają jako wirtualne sklepy internetowe, które zapewniają podatnikom szerszą usługę wsparcia, umożliwiającą im kontaktowanie się z urzędem skarbowym w różnych językach w celu przeprowadzenia online takich samych procedur wsparcia jak te, które są dostępne w tradycyjnym biurze, takich jak ogólne usługi informacyjne, pomoc w różnych procedurach, a także pomoc w składaniu deklaracji podatkowych.</w:t>
            </w:r>
          </w:p>
        </w:tc>
      </w:tr>
      <w:tr w:rsidR="006578ED" w14:paraId="2CC903A3" w14:textId="77777777">
        <w:trPr>
          <w:trHeight w:val="309"/>
        </w:trPr>
        <w:tc>
          <w:tcPr>
            <w:tcW w:w="709" w:type="dxa"/>
            <w:shd w:val="clear" w:color="auto" w:fill="C6EFCE"/>
            <w:noWrap/>
          </w:tcPr>
          <w:p w14:paraId="64C51E35" w14:textId="77777777" w:rsidR="006578ED" w:rsidRDefault="00A1618E">
            <w:pPr>
              <w:pStyle w:val="P68B1DB1-Normal13"/>
              <w:spacing w:after="0"/>
              <w:jc w:val="center"/>
              <w:rPr>
                <w:rFonts w:eastAsia="Times New Roman" w:cs="Times New Roman"/>
                <w:noProof/>
              </w:rPr>
            </w:pPr>
            <w:r>
              <w:rPr>
                <w:noProof/>
              </w:rPr>
              <w:t>383</w:t>
            </w:r>
          </w:p>
        </w:tc>
        <w:tc>
          <w:tcPr>
            <w:tcW w:w="851" w:type="dxa"/>
            <w:shd w:val="clear" w:color="auto" w:fill="C6EFCE"/>
            <w:noWrap/>
          </w:tcPr>
          <w:p w14:paraId="7924CDDD" w14:textId="77777777" w:rsidR="006578ED" w:rsidRDefault="00A1618E">
            <w:pPr>
              <w:pStyle w:val="P68B1DB1-Normal13"/>
              <w:spacing w:after="0"/>
              <w:jc w:val="center"/>
              <w:rPr>
                <w:rFonts w:eastAsia="Times New Roman" w:cs="Times New Roman"/>
                <w:noProof/>
              </w:rPr>
            </w:pPr>
            <w:r>
              <w:rPr>
                <w:noProof/>
              </w:rPr>
              <w:t>C27.R4</w:t>
            </w:r>
          </w:p>
        </w:tc>
        <w:tc>
          <w:tcPr>
            <w:tcW w:w="850" w:type="dxa"/>
            <w:shd w:val="clear" w:color="auto" w:fill="C6EFCE"/>
            <w:noWrap/>
          </w:tcPr>
          <w:p w14:paraId="13FA85BC" w14:textId="53B39FB7" w:rsidR="006578ED" w:rsidRDefault="00AF6B91">
            <w:pPr>
              <w:pStyle w:val="P68B1DB1-Normal13"/>
              <w:spacing w:after="0"/>
              <w:jc w:val="center"/>
              <w:rPr>
                <w:rFonts w:eastAsia="Times New Roman" w:cs="Times New Roman"/>
                <w:noProof/>
              </w:rPr>
            </w:pPr>
            <w:r>
              <w:rPr>
                <w:noProof/>
              </w:rPr>
              <w:t>Cel</w:t>
            </w:r>
          </w:p>
        </w:tc>
        <w:tc>
          <w:tcPr>
            <w:tcW w:w="2977" w:type="dxa"/>
            <w:shd w:val="clear" w:color="auto" w:fill="C6EFCE"/>
            <w:noWrap/>
          </w:tcPr>
          <w:p w14:paraId="0CE926E3" w14:textId="77777777" w:rsidR="006578ED" w:rsidRDefault="00A1618E">
            <w:pPr>
              <w:pStyle w:val="P68B1DB1-Normal13"/>
              <w:spacing w:after="0"/>
              <w:rPr>
                <w:rFonts w:eastAsia="Times New Roman" w:cs="Times New Roman"/>
                <w:noProof/>
              </w:rPr>
            </w:pPr>
            <w:r>
              <w:rPr>
                <w:noProof/>
              </w:rPr>
              <w:t xml:space="preserve">Wymiar międzynarodowy – zidentyfikowani zarejestrowani podatnicy zagraniczni </w:t>
            </w:r>
          </w:p>
        </w:tc>
        <w:tc>
          <w:tcPr>
            <w:tcW w:w="1134" w:type="dxa"/>
            <w:shd w:val="clear" w:color="auto" w:fill="C6EFCE"/>
            <w:noWrap/>
          </w:tcPr>
          <w:p w14:paraId="67857EAC" w14:textId="77777777" w:rsidR="006578ED" w:rsidRDefault="00A1618E">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07596CC5" w14:textId="77777777" w:rsidR="006578ED" w:rsidRDefault="00A1618E">
            <w:pPr>
              <w:pStyle w:val="P68B1DB1-Normal13"/>
              <w:spacing w:after="0"/>
              <w:jc w:val="center"/>
              <w:rPr>
                <w:rFonts w:eastAsia="Times New Roman" w:cs="Times New Roman"/>
                <w:noProof/>
              </w:rPr>
            </w:pPr>
            <w:r>
              <w:rPr>
                <w:noProof/>
              </w:rPr>
              <w:t>Liczba (%)</w:t>
            </w:r>
          </w:p>
        </w:tc>
        <w:tc>
          <w:tcPr>
            <w:tcW w:w="708" w:type="dxa"/>
            <w:shd w:val="clear" w:color="auto" w:fill="C6EFCE"/>
            <w:noWrap/>
          </w:tcPr>
          <w:p w14:paraId="0CAE84B5" w14:textId="77777777" w:rsidR="006578ED" w:rsidRDefault="00A1618E">
            <w:pPr>
              <w:pStyle w:val="P68B1DB1-Normal13"/>
              <w:spacing w:after="0"/>
              <w:jc w:val="right"/>
              <w:rPr>
                <w:rFonts w:eastAsia="Times New Roman" w:cs="Times New Roman"/>
                <w:noProof/>
              </w:rPr>
            </w:pPr>
            <w:r>
              <w:rPr>
                <w:noProof/>
              </w:rPr>
              <w:t>0</w:t>
            </w:r>
          </w:p>
        </w:tc>
        <w:tc>
          <w:tcPr>
            <w:tcW w:w="709" w:type="dxa"/>
            <w:shd w:val="clear" w:color="auto" w:fill="C6EFCE"/>
            <w:noWrap/>
          </w:tcPr>
          <w:p w14:paraId="1E25BDA4" w14:textId="77777777" w:rsidR="006578ED" w:rsidRDefault="00A1618E">
            <w:pPr>
              <w:pStyle w:val="P68B1DB1-Normal13"/>
              <w:spacing w:after="0"/>
              <w:jc w:val="right"/>
              <w:rPr>
                <w:rFonts w:eastAsia="Times New Roman" w:cs="Times New Roman"/>
                <w:noProof/>
              </w:rPr>
            </w:pPr>
            <w:r>
              <w:rPr>
                <w:noProof/>
              </w:rPr>
              <w:t>85</w:t>
            </w:r>
          </w:p>
        </w:tc>
        <w:tc>
          <w:tcPr>
            <w:tcW w:w="425" w:type="dxa"/>
            <w:shd w:val="clear" w:color="auto" w:fill="C6EFCE"/>
            <w:noWrap/>
          </w:tcPr>
          <w:p w14:paraId="28E904A9" w14:textId="7BEAC9A0" w:rsidR="006578ED" w:rsidRDefault="00EC188C">
            <w:pPr>
              <w:pStyle w:val="P68B1DB1-Normal13"/>
              <w:spacing w:after="0"/>
              <w:jc w:val="center"/>
              <w:rPr>
                <w:rFonts w:eastAsia="Times New Roman" w:cs="Times New Roman"/>
                <w:noProof/>
              </w:rPr>
            </w:pPr>
            <w:r>
              <w:rPr>
                <w:noProof/>
              </w:rPr>
              <w:t>KW. 4</w:t>
            </w:r>
          </w:p>
        </w:tc>
        <w:tc>
          <w:tcPr>
            <w:tcW w:w="709" w:type="dxa"/>
            <w:shd w:val="clear" w:color="auto" w:fill="C6EFCE"/>
            <w:noWrap/>
          </w:tcPr>
          <w:p w14:paraId="0E649732" w14:textId="77777777" w:rsidR="006578ED" w:rsidRDefault="00A1618E">
            <w:pPr>
              <w:pStyle w:val="P68B1DB1-Normal13"/>
              <w:spacing w:after="0"/>
              <w:jc w:val="center"/>
              <w:rPr>
                <w:rFonts w:eastAsia="Times New Roman" w:cs="Times New Roman"/>
                <w:noProof/>
              </w:rPr>
            </w:pPr>
            <w:r>
              <w:rPr>
                <w:noProof/>
              </w:rPr>
              <w:t>2021</w:t>
            </w:r>
          </w:p>
        </w:tc>
        <w:tc>
          <w:tcPr>
            <w:tcW w:w="5131" w:type="dxa"/>
            <w:shd w:val="clear" w:color="auto" w:fill="C6EFCE"/>
            <w:noWrap/>
          </w:tcPr>
          <w:p w14:paraId="44091DCC" w14:textId="2F78561F" w:rsidR="006578ED" w:rsidRDefault="00A1618E">
            <w:pPr>
              <w:pStyle w:val="P68B1DB1-Normal13"/>
              <w:spacing w:after="0"/>
              <w:rPr>
                <w:rFonts w:eastAsia="Times New Roman" w:cs="Times New Roman"/>
                <w:noProof/>
              </w:rPr>
            </w:pPr>
            <w:r>
              <w:rPr>
                <w:noProof/>
              </w:rPr>
              <w:t>W celu poprawy przestrzegania przepisów prawa podatkowego, w szczególności tych podatników, którzy figurują w rejestrze jako podatnicy zagraniczni, organ podatkowy realizuje projekt, w ramach którego wykorzystuje się nowe informacje o podatnikach z różnych źródeł międzynarodowych, takich jak FATCA i CRS. Oczekuje się, że po zakończeniu projektu otrzymane informacje międzynarodowe będą nadawały się do analizy ryzyka. Celem projektu jest zidentyfikowanie danych podatkowych pochodzących od co najmniej 85 % zarejestrowanych podatników zagranicznych, o których Urząd Skarbowy otrzymał informacje w 20</w:t>
            </w:r>
            <w:r w:rsidRPr="00A1618E">
              <w:rPr>
                <w:noProof/>
                <w:lang w:val="pl-PL"/>
              </w:rPr>
              <w:t>19 r.</w:t>
            </w:r>
            <w:r>
              <w:rPr>
                <w:noProof/>
              </w:rPr>
              <w:t>, oraz sprawdzenie jego danych podatkowych w celu wykorzystania ich do analizy ryzyka do dnia 31 grudnia 20</w:t>
            </w:r>
            <w:r w:rsidRPr="00A1618E">
              <w:rPr>
                <w:noProof/>
                <w:lang w:val="pl-PL"/>
              </w:rPr>
              <w:t>21 r.</w:t>
            </w:r>
            <w:r>
              <w:rPr>
                <w:noProof/>
              </w:rPr>
              <w:t xml:space="preserve"> Data poziomu bazowego: 31 grudnia 20</w:t>
            </w:r>
            <w:r w:rsidRPr="00A1618E">
              <w:rPr>
                <w:noProof/>
                <w:lang w:val="pl-PL"/>
              </w:rPr>
              <w:t>20 r.</w:t>
            </w:r>
          </w:p>
        </w:tc>
      </w:tr>
      <w:tr w:rsidR="006578ED" w14:paraId="2E94181E" w14:textId="77777777">
        <w:trPr>
          <w:trHeight w:val="309"/>
        </w:trPr>
        <w:tc>
          <w:tcPr>
            <w:tcW w:w="709" w:type="dxa"/>
            <w:shd w:val="clear" w:color="auto" w:fill="C6EFCE"/>
            <w:noWrap/>
          </w:tcPr>
          <w:p w14:paraId="369D469A" w14:textId="77777777" w:rsidR="006578ED" w:rsidRDefault="00A1618E">
            <w:pPr>
              <w:pStyle w:val="P68B1DB1-Normal13"/>
              <w:spacing w:after="0"/>
              <w:jc w:val="center"/>
              <w:rPr>
                <w:rFonts w:eastAsia="Times New Roman" w:cs="Times New Roman"/>
                <w:noProof/>
              </w:rPr>
            </w:pPr>
            <w:r>
              <w:rPr>
                <w:noProof/>
              </w:rPr>
              <w:t>384</w:t>
            </w:r>
          </w:p>
        </w:tc>
        <w:tc>
          <w:tcPr>
            <w:tcW w:w="851" w:type="dxa"/>
            <w:shd w:val="clear" w:color="auto" w:fill="C6EFCE"/>
            <w:noWrap/>
          </w:tcPr>
          <w:p w14:paraId="4AAA593D" w14:textId="77777777" w:rsidR="006578ED" w:rsidRDefault="00A1618E">
            <w:pPr>
              <w:pStyle w:val="P68B1DB1-Normal13"/>
              <w:spacing w:after="0"/>
              <w:jc w:val="center"/>
              <w:rPr>
                <w:rFonts w:eastAsia="Times New Roman" w:cs="Times New Roman"/>
                <w:noProof/>
              </w:rPr>
            </w:pPr>
            <w:r>
              <w:rPr>
                <w:noProof/>
              </w:rPr>
              <w:t>C27.R5</w:t>
            </w:r>
          </w:p>
        </w:tc>
        <w:tc>
          <w:tcPr>
            <w:tcW w:w="850" w:type="dxa"/>
            <w:shd w:val="clear" w:color="auto" w:fill="C6EFCE"/>
            <w:noWrap/>
          </w:tcPr>
          <w:p w14:paraId="042E4418" w14:textId="50949674" w:rsidR="006578ED" w:rsidRDefault="00AF6B91">
            <w:pPr>
              <w:pStyle w:val="P68B1DB1-Normal13"/>
              <w:spacing w:after="0"/>
              <w:jc w:val="center"/>
              <w:rPr>
                <w:rFonts w:eastAsia="Times New Roman" w:cs="Times New Roman"/>
                <w:noProof/>
              </w:rPr>
            </w:pPr>
            <w:r>
              <w:rPr>
                <w:noProof/>
              </w:rPr>
              <w:t>Cel</w:t>
            </w:r>
          </w:p>
        </w:tc>
        <w:tc>
          <w:tcPr>
            <w:tcW w:w="2977" w:type="dxa"/>
            <w:shd w:val="clear" w:color="auto" w:fill="C6EFCE"/>
            <w:noWrap/>
          </w:tcPr>
          <w:p w14:paraId="7DF6F267" w14:textId="77777777" w:rsidR="006578ED" w:rsidRDefault="00A1618E">
            <w:pPr>
              <w:pStyle w:val="P68B1DB1-Normal13"/>
              <w:spacing w:after="0"/>
              <w:rPr>
                <w:rFonts w:eastAsia="Times New Roman" w:cs="Times New Roman"/>
                <w:noProof/>
              </w:rPr>
            </w:pPr>
            <w:r>
              <w:rPr>
                <w:noProof/>
              </w:rPr>
              <w:t>Model współpracy – Sprawozdania dotyczące przejrzystości</w:t>
            </w:r>
          </w:p>
        </w:tc>
        <w:tc>
          <w:tcPr>
            <w:tcW w:w="1134" w:type="dxa"/>
            <w:shd w:val="clear" w:color="auto" w:fill="C6EFCE"/>
            <w:noWrap/>
          </w:tcPr>
          <w:p w14:paraId="05BE67A3" w14:textId="77777777" w:rsidR="006578ED" w:rsidRDefault="00A1618E">
            <w:pPr>
              <w:pStyle w:val="P68B1DB1-Normal13"/>
              <w:spacing w:after="0"/>
              <w:jc w:val="center"/>
              <w:rPr>
                <w:rFonts w:eastAsia="Times New Roman" w:cs="Times New Roman"/>
                <w:noProof/>
              </w:rPr>
            </w:pPr>
            <w:r>
              <w:rPr>
                <w:noProof/>
              </w:rPr>
              <w:t xml:space="preserve"> </w:t>
            </w:r>
          </w:p>
        </w:tc>
        <w:tc>
          <w:tcPr>
            <w:tcW w:w="851" w:type="dxa"/>
            <w:shd w:val="clear" w:color="auto" w:fill="C6EFCE"/>
            <w:noWrap/>
          </w:tcPr>
          <w:p w14:paraId="749A8266" w14:textId="77777777" w:rsidR="006578ED" w:rsidRDefault="00A1618E">
            <w:pPr>
              <w:pStyle w:val="P68B1DB1-Normal13"/>
              <w:spacing w:after="0"/>
              <w:jc w:val="center"/>
              <w:rPr>
                <w:rFonts w:eastAsia="Times New Roman" w:cs="Times New Roman"/>
                <w:noProof/>
              </w:rPr>
            </w:pPr>
            <w:r>
              <w:rPr>
                <w:noProof/>
              </w:rPr>
              <w:t xml:space="preserve">Liczba </w:t>
            </w:r>
          </w:p>
        </w:tc>
        <w:tc>
          <w:tcPr>
            <w:tcW w:w="708" w:type="dxa"/>
            <w:shd w:val="clear" w:color="auto" w:fill="C6EFCE"/>
            <w:noWrap/>
          </w:tcPr>
          <w:p w14:paraId="66896702" w14:textId="77777777" w:rsidR="006578ED" w:rsidRDefault="00A1618E">
            <w:pPr>
              <w:pStyle w:val="P68B1DB1-Normal13"/>
              <w:spacing w:after="0"/>
              <w:jc w:val="right"/>
              <w:rPr>
                <w:rFonts w:eastAsia="Times New Roman" w:cs="Times New Roman"/>
                <w:noProof/>
              </w:rPr>
            </w:pPr>
            <w:r>
              <w:rPr>
                <w:noProof/>
              </w:rPr>
              <w:t>0</w:t>
            </w:r>
          </w:p>
        </w:tc>
        <w:tc>
          <w:tcPr>
            <w:tcW w:w="709" w:type="dxa"/>
            <w:shd w:val="clear" w:color="auto" w:fill="C6EFCE"/>
            <w:noWrap/>
          </w:tcPr>
          <w:p w14:paraId="40419D8E" w14:textId="77777777" w:rsidR="006578ED" w:rsidRDefault="00A1618E">
            <w:pPr>
              <w:pStyle w:val="P68B1DB1-Normal13"/>
              <w:spacing w:after="0"/>
              <w:jc w:val="right"/>
              <w:rPr>
                <w:rFonts w:eastAsia="Times New Roman" w:cs="Times New Roman"/>
                <w:noProof/>
              </w:rPr>
            </w:pPr>
            <w:r>
              <w:rPr>
                <w:noProof/>
              </w:rPr>
              <w:t>20</w:t>
            </w:r>
          </w:p>
        </w:tc>
        <w:tc>
          <w:tcPr>
            <w:tcW w:w="425" w:type="dxa"/>
            <w:shd w:val="clear" w:color="auto" w:fill="C6EFCE"/>
            <w:noWrap/>
          </w:tcPr>
          <w:p w14:paraId="304624A8" w14:textId="0B4D4344" w:rsidR="006578ED" w:rsidRDefault="00EC188C">
            <w:pPr>
              <w:pStyle w:val="P68B1DB1-Normal13"/>
              <w:spacing w:after="0"/>
              <w:jc w:val="center"/>
              <w:rPr>
                <w:rFonts w:eastAsia="Times New Roman" w:cs="Times New Roman"/>
                <w:noProof/>
              </w:rPr>
            </w:pPr>
            <w:r>
              <w:rPr>
                <w:noProof/>
              </w:rPr>
              <w:t>KW. 4</w:t>
            </w:r>
          </w:p>
        </w:tc>
        <w:tc>
          <w:tcPr>
            <w:tcW w:w="709" w:type="dxa"/>
            <w:shd w:val="clear" w:color="auto" w:fill="C6EFCE"/>
            <w:noWrap/>
          </w:tcPr>
          <w:p w14:paraId="0DF9133B" w14:textId="77777777" w:rsidR="006578ED" w:rsidRDefault="00A1618E">
            <w:pPr>
              <w:pStyle w:val="P68B1DB1-Normal13"/>
              <w:spacing w:after="0"/>
              <w:jc w:val="center"/>
              <w:rPr>
                <w:rFonts w:eastAsia="Times New Roman" w:cs="Times New Roman"/>
                <w:noProof/>
              </w:rPr>
            </w:pPr>
            <w:r>
              <w:rPr>
                <w:noProof/>
              </w:rPr>
              <w:t>2021</w:t>
            </w:r>
          </w:p>
        </w:tc>
        <w:tc>
          <w:tcPr>
            <w:tcW w:w="5131" w:type="dxa"/>
            <w:shd w:val="clear" w:color="auto" w:fill="C6EFCE"/>
            <w:noWrap/>
          </w:tcPr>
          <w:p w14:paraId="27637BE0" w14:textId="41D17260" w:rsidR="006578ED" w:rsidRDefault="00A1618E">
            <w:pPr>
              <w:pStyle w:val="P68B1DB1-Normal13"/>
              <w:spacing w:after="0"/>
              <w:rPr>
                <w:rFonts w:eastAsia="Times New Roman" w:cs="Times New Roman"/>
                <w:noProof/>
              </w:rPr>
            </w:pPr>
            <w:r>
              <w:rPr>
                <w:noProof/>
              </w:rPr>
              <w:t>W 20</w:t>
            </w:r>
            <w:r w:rsidRPr="00A1618E">
              <w:rPr>
                <w:noProof/>
                <w:lang w:val="pl-PL"/>
              </w:rPr>
              <w:t>21 r.</w:t>
            </w:r>
            <w:r>
              <w:rPr>
                <w:noProof/>
              </w:rPr>
              <w:t xml:space="preserve"> agencja skarbowa zrealizuje projekt zachęcający przedsiębiorstwa wielonarodowe do ujawniania informacji na temat ich działalności. Ujawnienie tych informacji może mieć wpływ na opodatkowanie tych przedsiębiorstw. Celem jest 20 sprawozdań na temat przejrzystości przedłożonych w 20</w:t>
            </w:r>
            <w:r w:rsidRPr="00A1618E">
              <w:rPr>
                <w:noProof/>
                <w:lang w:val="pl-PL"/>
              </w:rPr>
              <w:t>21 r.</w:t>
            </w:r>
          </w:p>
        </w:tc>
      </w:tr>
    </w:tbl>
    <w:p w14:paraId="026E0547" w14:textId="77777777" w:rsidR="006578ED" w:rsidRDefault="006578ED">
      <w:pPr>
        <w:pStyle w:val="Text1"/>
        <w:ind w:left="709"/>
        <w:rPr>
          <w:rFonts w:ascii="Times New Roman" w:hAnsi="Times New Roman" w:cs="Times New Roman"/>
          <w:noProof/>
        </w:rPr>
      </w:pPr>
    </w:p>
    <w:p w14:paraId="51CD281E" w14:textId="77777777" w:rsidR="006578ED" w:rsidRDefault="006578ED">
      <w:pPr>
        <w:pStyle w:val="SectionTitle"/>
        <w:rPr>
          <w:rFonts w:ascii="Times New Roman" w:hAnsi="Times New Roman" w:cs="Times New Roman"/>
          <w:noProof/>
        </w:rPr>
        <w:sectPr w:rsidR="006578ED" w:rsidSect="00C94F66">
          <w:headerReference w:type="even" r:id="rId513"/>
          <w:headerReference w:type="default" r:id="rId514"/>
          <w:footerReference w:type="even" r:id="rId515"/>
          <w:footerReference w:type="default" r:id="rId516"/>
          <w:headerReference w:type="first" r:id="rId517"/>
          <w:footerReference w:type="first" r:id="rId518"/>
          <w:pgSz w:w="16839" w:h="11907" w:orient="landscape"/>
          <w:pgMar w:top="1417" w:right="1134" w:bottom="1417" w:left="1134" w:header="709" w:footer="709" w:gutter="0"/>
          <w:cols w:space="720"/>
          <w:docGrid w:linePitch="360"/>
        </w:sectPr>
      </w:pPr>
    </w:p>
    <w:p w14:paraId="4688F100" w14:textId="77777777" w:rsidR="006578ED" w:rsidRDefault="00A1618E">
      <w:pPr>
        <w:pStyle w:val="P68B1DB1-Heading12"/>
        <w:rPr>
          <w:rFonts w:cs="Times New Roman"/>
          <w:noProof/>
        </w:rPr>
      </w:pPr>
      <w:r>
        <w:rPr>
          <w:noProof/>
        </w:rPr>
        <w:t>AB. KOMPONENT 28: Dostosowanie systemu podatkowego do realiów XXI wieku</w:t>
      </w:r>
    </w:p>
    <w:p w14:paraId="0E925F46" w14:textId="500E7EE6" w:rsidR="006578ED" w:rsidRDefault="00A1618E">
      <w:pPr>
        <w:pStyle w:val="P68B1DB1-Text119"/>
        <w:ind w:left="0"/>
        <w:rPr>
          <w:rFonts w:cs="Times New Roman"/>
          <w:noProof/>
        </w:rPr>
      </w:pPr>
      <w:r>
        <w:rPr>
          <w:noProof/>
        </w:rPr>
        <w:t>Środki w ramach komponentu 28 hiszpańskiego planu odbudowy i zwiększania odporności obejmują różne środki podatkowe, takie jak środki nadzwyczajne przyjęte w dotkliwej fazie kryzysu gospodarczego w 20</w:t>
      </w:r>
      <w:r w:rsidRPr="00A1618E">
        <w:rPr>
          <w:noProof/>
          <w:lang w:val="pl-PL"/>
        </w:rPr>
        <w:t>20 r.</w:t>
      </w:r>
      <w:r>
        <w:rPr>
          <w:noProof/>
        </w:rPr>
        <w:t xml:space="preserve">, wprowadzenie nowych podatków w kontekście budżetu państwa </w:t>
      </w:r>
      <w:r w:rsidRPr="00A1618E">
        <w:rPr>
          <w:noProof/>
          <w:lang w:val="pl-PL"/>
        </w:rPr>
        <w:t>na 2</w:t>
      </w:r>
      <w:r>
        <w:rPr>
          <w:noProof/>
        </w:rPr>
        <w:t>0</w:t>
      </w:r>
      <w:r w:rsidRPr="00A1618E">
        <w:rPr>
          <w:noProof/>
          <w:lang w:val="pl-PL"/>
        </w:rPr>
        <w:t>21 r.</w:t>
      </w:r>
      <w:r>
        <w:rPr>
          <w:noProof/>
        </w:rPr>
        <w:t xml:space="preserve"> oraz projekty średnioterminowe mające na celu przegląd i rozwój systemu podatkowego lepiej dostosowanego do jego celu. Środki te obejmują również zachęty podatkowe mające na celu przyspieszenie transformacji ekologicznej. Celem reformy hiszpańskiego systemu podatkowego jest uczynienie go bardziej sprawiedliwym, progresywnym, zrównoważonym i sprawiedliwym, przy jednoczesnym pogłębieniu koncepcji zielonego opodatkowania, uwzględnieniu perspektywy płci i wzmocnieniu polityki publicznej leżącej w interesie ogólnym, takiej jak ochrona zdrowia. Reformy mają również na celu pozytywny wkład we wzrost gospodarczy, tworzenie miejsc pracy, odporność gospodarczą i spójność międzyterytorialną. Ponieważ ogólny stosunek dochodów podatkowych do PKB w Hiszpanii jest niższy niż w podobnych gospodarkach, istnieje możliwość zwiększenia dochodów i wspierania średnio- i długoterminowej stabilności finansów publicznych. </w:t>
      </w:r>
    </w:p>
    <w:p w14:paraId="205DC4D7" w14:textId="1731CE7A" w:rsidR="006578ED" w:rsidRDefault="00A1618E">
      <w:pPr>
        <w:pStyle w:val="P68B1DB1-Text119"/>
        <w:ind w:left="0"/>
        <w:rPr>
          <w:rFonts w:cs="Times New Roman"/>
          <w:noProof/>
        </w:rPr>
      </w:pPr>
      <w:r>
        <w:rPr>
          <w:noProof/>
        </w:rPr>
        <w:t xml:space="preserve">Komponent ten dotyczy m.in. zaleceń dla poszczególnych krajów dotyczących wzmocnienia ram fiskalnych i ram zamówień publicznych na wszystkich szczeblach administracji rządowej (zalecenie dla poszczególnych krajów </w:t>
      </w:r>
      <w:r w:rsidRPr="00A1618E">
        <w:rPr>
          <w:noProof/>
          <w:lang w:val="pl-PL"/>
        </w:rPr>
        <w:t>nr 1</w:t>
      </w:r>
      <w:r>
        <w:rPr>
          <w:noProof/>
        </w:rPr>
        <w:t xml:space="preserve"> z 20</w:t>
      </w:r>
      <w:r w:rsidRPr="00A1618E">
        <w:rPr>
          <w:noProof/>
          <w:lang w:val="pl-PL"/>
        </w:rPr>
        <w:t>19 r.</w:t>
      </w:r>
      <w:r>
        <w:rPr>
          <w:noProof/>
        </w:rPr>
        <w:t xml:space="preserve">), – gdy pozwolą na to warunki ekonomiczne – prowadzenia polityki fiskalnej mającej na celu osiągnięcie ostrożnej sytuacji budżetowej w średnim okresie i zapewnienie długookresowej zdolności do obsługi długu, przy jednoczesnym zachęcaniu do inwestycji (zalecenie dla poszczególnych krajów </w:t>
      </w:r>
      <w:r w:rsidRPr="00A1618E">
        <w:rPr>
          <w:noProof/>
          <w:lang w:val="pl-PL"/>
        </w:rPr>
        <w:t>nr 1</w:t>
      </w:r>
      <w:r>
        <w:rPr>
          <w:noProof/>
        </w:rPr>
        <w:t xml:space="preserve"> z 20</w:t>
      </w:r>
      <w:r w:rsidRPr="00A1618E">
        <w:rPr>
          <w:noProof/>
          <w:lang w:val="pl-PL"/>
        </w:rPr>
        <w:t>20 r.</w:t>
      </w:r>
      <w:r>
        <w:rPr>
          <w:noProof/>
        </w:rPr>
        <w:t>), elektryfikacji transportu (zalecenia dla poszczególnych krajów 3 2023 i 4 20</w:t>
      </w:r>
      <w:r w:rsidRPr="00A1618E">
        <w:rPr>
          <w:noProof/>
          <w:lang w:val="pl-PL"/>
        </w:rPr>
        <w:t>22 r.</w:t>
      </w:r>
      <w:r>
        <w:rPr>
          <w:noProof/>
        </w:rPr>
        <w:t xml:space="preserve">), zwiększenia inwestycji w transformację ekologiczną i cyfrową (zalecenia dla poszczególnych krajów </w:t>
      </w:r>
      <w:r w:rsidRPr="00A1618E">
        <w:rPr>
          <w:noProof/>
          <w:lang w:val="pl-PL"/>
        </w:rPr>
        <w:t>nr 1</w:t>
      </w:r>
      <w:r>
        <w:rPr>
          <w:noProof/>
        </w:rPr>
        <w:t xml:space="preserve"> 2023, 1 2022 i 3 2020) oraz zwiększenia dostępności socjalnych i przystępnych cenowo energooszczędnych mieszkań, w szczególności poprzez renowację (zalecenia dla poszczególnych krajów </w:t>
      </w:r>
      <w:r w:rsidRPr="00A1618E">
        <w:rPr>
          <w:noProof/>
          <w:lang w:val="pl-PL"/>
        </w:rPr>
        <w:t>nr 3</w:t>
      </w:r>
      <w:r>
        <w:rPr>
          <w:noProof/>
        </w:rPr>
        <w:t xml:space="preserve"> 2023 i 4 2022). </w:t>
      </w:r>
    </w:p>
    <w:p w14:paraId="48553FBA" w14:textId="5209BD5F" w:rsidR="006578ED" w:rsidRDefault="00A1618E">
      <w:pPr>
        <w:pStyle w:val="P68B1DB1-Text119"/>
        <w:ind w:left="0"/>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097A9153" w14:textId="3DA1E99E" w:rsidR="006578ED" w:rsidRDefault="00A1618E">
      <w:pPr>
        <w:pStyle w:val="P68B1DB1-Text138"/>
        <w:ind w:left="709"/>
        <w:rPr>
          <w:rFonts w:cs="Times New Roman"/>
          <w:i/>
          <w:noProof/>
        </w:rPr>
      </w:pPr>
      <w:r>
        <w:rPr>
          <w:noProof/>
        </w:rPr>
        <w:t xml:space="preserve">AB.1. </w:t>
      </w:r>
      <w:r>
        <w:rPr>
          <w:noProof/>
        </w:rPr>
        <w:tab/>
        <w:t>Opis reform i inwestycji, które mają być finansowane z bezzwrotnego wsparcia finansowego</w:t>
      </w:r>
    </w:p>
    <w:p w14:paraId="3E25CCF5" w14:textId="49D0DCF5" w:rsidR="006578ED" w:rsidRDefault="00A1618E">
      <w:pPr>
        <w:pStyle w:val="P68B1DB1-Text120"/>
        <w:ind w:left="0"/>
        <w:rPr>
          <w:rFonts w:cs="Times New Roman"/>
          <w:noProof/>
        </w:rPr>
      </w:pPr>
      <w:r>
        <w:rPr>
          <w:noProof/>
        </w:rPr>
        <w:t>Reforma 1 (C28.R1) – Środki podjęte w latach 2020 i 2021 w celu złagodzenia skutków pandemii COVID-19</w:t>
      </w:r>
    </w:p>
    <w:p w14:paraId="4B34A87F" w14:textId="165FD4E4" w:rsidR="006578ED" w:rsidRDefault="00A1618E">
      <w:pPr>
        <w:pStyle w:val="P68B1DB1-Text119"/>
        <w:ind w:left="0"/>
        <w:rPr>
          <w:rFonts w:cs="Times New Roman"/>
          <w:noProof/>
        </w:rPr>
      </w:pPr>
      <w:r>
        <w:rPr>
          <w:noProof/>
        </w:rPr>
        <w:t>W latach 2020 i 2021 Hiszpania wprowadziła szereg środków podatkowych w celu złagodzenia negatywnych skutków kryzysu gospodarczego spowodowanego pandemią COVID-19. Środki te obejmowały odroczenie spłaty długów podatkowych i celnych, zawieszenie i przedłużenie terminów podatkowych, możliwości uproszczonego podatku dochodowego od osób fizycznych, podatku od osób prawnych i systemów VAT stosowanych przez MŚP, tymczasowe obniżenie stawki VAT w odniesieniu do niektórych towarów potrzebnych do walki z kryzysem zdrowotnym oraz utworzenie funduszu upadłościowego dla przedsiębiorstw niefinansowych. Celem tych środków było złagodzenie gospodarczych i społecznych skutków pandemii. Środki te wchodzą w życie z dniem 1 lutego 20</w:t>
      </w:r>
      <w:r w:rsidRPr="00A1618E">
        <w:rPr>
          <w:noProof/>
          <w:lang w:val="pl-PL"/>
        </w:rPr>
        <w:t>20 r.</w:t>
      </w:r>
      <w:r>
        <w:rPr>
          <w:noProof/>
        </w:rPr>
        <w:t>, a niektóre z nich będą kontynuowane w 20</w:t>
      </w:r>
      <w:r w:rsidRPr="00A1618E">
        <w:rPr>
          <w:noProof/>
          <w:lang w:val="pl-PL"/>
        </w:rPr>
        <w:t>21 r.</w:t>
      </w:r>
      <w:r>
        <w:rPr>
          <w:noProof/>
        </w:rPr>
        <w:t xml:space="preserve"> </w:t>
      </w:r>
    </w:p>
    <w:p w14:paraId="3E30F3A4" w14:textId="728692DA" w:rsidR="006578ED" w:rsidRDefault="00A1618E">
      <w:pPr>
        <w:pStyle w:val="P68B1DB1-Text119"/>
        <w:ind w:left="0"/>
        <w:rPr>
          <w:rFonts w:cs="Times New Roman"/>
          <w:noProof/>
        </w:rPr>
      </w:pPr>
      <w:r>
        <w:rPr>
          <w:noProof/>
        </w:rPr>
        <w:t>Wdrożenie środka zostanie zakończone do dnia 31 marca 20</w:t>
      </w:r>
      <w:r w:rsidRPr="00A1618E">
        <w:rPr>
          <w:noProof/>
          <w:lang w:val="pl-PL"/>
        </w:rPr>
        <w:t>21 r.</w:t>
      </w:r>
    </w:p>
    <w:p w14:paraId="76FFBCCE" w14:textId="77777777" w:rsidR="006578ED" w:rsidRDefault="00A1618E">
      <w:pPr>
        <w:pStyle w:val="P68B1DB1-Text120"/>
        <w:ind w:left="0"/>
        <w:rPr>
          <w:rFonts w:cs="Times New Roman"/>
          <w:noProof/>
        </w:rPr>
      </w:pPr>
      <w:r>
        <w:rPr>
          <w:noProof/>
        </w:rPr>
        <w:t>Reforma 2 (C28.R2) – Analiza korzyści podatkowych</w:t>
      </w:r>
    </w:p>
    <w:p w14:paraId="4BFB300F" w14:textId="195D707F" w:rsidR="006578ED" w:rsidRDefault="00A1618E">
      <w:pPr>
        <w:pStyle w:val="P68B1DB1-Text119"/>
        <w:ind w:left="0"/>
        <w:rPr>
          <w:rFonts w:cs="Times New Roman"/>
          <w:noProof/>
          <w:sz w:val="20"/>
        </w:rPr>
      </w:pPr>
      <w:r>
        <w:rPr>
          <w:noProof/>
        </w:rPr>
        <w:t>W przeglądzie wydatków przeprowadzonym przez niezależny organ podatkowy (Autridad</w:t>
      </w:r>
      <w:r>
        <w:rPr>
          <w:i/>
          <w:noProof/>
        </w:rPr>
        <w:t>Independiente de Responsabilidad Fiscal</w:t>
      </w:r>
      <w:r>
        <w:rPr>
          <w:noProof/>
        </w:rPr>
        <w:t>, AIReF) dotyczącym ulg podatkowych dotyczących podatku dochodowego od osób fizycznych, akcyzy i VAT wskazano możliwości zmiany niektórych korzyści podatkowych. W 20</w:t>
      </w:r>
      <w:r w:rsidRPr="00A1618E">
        <w:rPr>
          <w:noProof/>
          <w:lang w:val="pl-PL"/>
        </w:rPr>
        <w:t>20 r.</w:t>
      </w:r>
      <w:r>
        <w:rPr>
          <w:noProof/>
        </w:rPr>
        <w:t xml:space="preserve"> zmieniono korzyści podatkowe wynikające z systemów podatku dochodowego od osób fizycznych oraz obniżoną stawkę VAT na napoje bezalkoholowe i soki, a także niektóre napoje z dodatkiem cukrów lub substancji słodzących. Wdrożenie dalszych reform regulacyjnych do dnia 31 marca 20</w:t>
      </w:r>
      <w:r w:rsidRPr="00A1618E">
        <w:rPr>
          <w:noProof/>
          <w:lang w:val="pl-PL"/>
        </w:rPr>
        <w:t>23 r.</w:t>
      </w:r>
      <w:r>
        <w:rPr>
          <w:noProof/>
        </w:rPr>
        <w:t xml:space="preserve"> wynika z zaleceń grupy roboczej, która została ustanowiona w celu oceny 15 korzyści podatkowych. Celem tej grupy roboczej jest sformułowanie zaleceń dotyczących sposobów dalszej zmiany lub zniesienia korzyści podatkowych w nadchodzących latach, aby zwiększyć skuteczność systemu podatkowego, zwiększyć dochody, wspierać transformację ekologiczną i promować sprawiedliwość.</w:t>
      </w:r>
      <w:r>
        <w:rPr>
          <w:noProof/>
          <w:sz w:val="20"/>
        </w:rPr>
        <w:t xml:space="preserve"> </w:t>
      </w:r>
    </w:p>
    <w:p w14:paraId="7E6F87C9" w14:textId="3F218CA2" w:rsidR="006578ED" w:rsidRDefault="00A1618E">
      <w:pPr>
        <w:pStyle w:val="P68B1DB1-Text119"/>
        <w:ind w:left="0"/>
        <w:rPr>
          <w:rFonts w:cs="Times New Roman"/>
          <w:noProof/>
        </w:rPr>
      </w:pPr>
      <w:r>
        <w:rPr>
          <w:noProof/>
        </w:rPr>
        <w:t>Wdrożenie środka zostanie zakończone do dnia 31 marca 20</w:t>
      </w:r>
      <w:r w:rsidRPr="00A1618E">
        <w:rPr>
          <w:noProof/>
          <w:lang w:val="pl-PL"/>
        </w:rPr>
        <w:t>23 r.</w:t>
      </w:r>
    </w:p>
    <w:p w14:paraId="17B93025" w14:textId="77777777" w:rsidR="006578ED" w:rsidRDefault="00A1618E">
      <w:pPr>
        <w:pStyle w:val="P68B1DB1-Text120"/>
        <w:ind w:left="0"/>
        <w:rPr>
          <w:rFonts w:cs="Times New Roman"/>
          <w:noProof/>
        </w:rPr>
      </w:pPr>
      <w:r>
        <w:rPr>
          <w:noProof/>
        </w:rPr>
        <w:t>Reforma 3 (C28.R3) – Ustanowienie komitetu ekspertów ds. reformy podatkowej</w:t>
      </w:r>
    </w:p>
    <w:p w14:paraId="3678B450" w14:textId="77B0E4C2" w:rsidR="006578ED" w:rsidRDefault="00A1618E">
      <w:pPr>
        <w:pStyle w:val="P68B1DB1-Text119"/>
        <w:ind w:left="0"/>
        <w:rPr>
          <w:rFonts w:cs="Times New Roman"/>
          <w:noProof/>
        </w:rPr>
      </w:pPr>
      <w:r>
        <w:rPr>
          <w:noProof/>
        </w:rPr>
        <w:t>W dniu 12 kwietnia 20</w:t>
      </w:r>
      <w:r w:rsidRPr="00A1618E">
        <w:rPr>
          <w:noProof/>
          <w:lang w:val="pl-PL"/>
        </w:rPr>
        <w:t>21 r.</w:t>
      </w:r>
      <w:r>
        <w:rPr>
          <w:noProof/>
        </w:rPr>
        <w:t xml:space="preserve"> władze ustanowią komitet ekspertów w celu zbadania cech optymalnego systemu podatkowego i wydania zaleceń dotyczących spójnego sposobu modernizacji i dostosowania obecnego opodatkowania. W szczególności komitet ekspertów zwraca uwagę na następujące obszary:</w:t>
      </w:r>
    </w:p>
    <w:p w14:paraId="4FAA35BB" w14:textId="77777777" w:rsidR="006578ED" w:rsidRDefault="00A1618E">
      <w:pPr>
        <w:pStyle w:val="P68B1DB1-Text119"/>
        <w:numPr>
          <w:ilvl w:val="0"/>
          <w:numId w:val="716"/>
        </w:numPr>
        <w:rPr>
          <w:rFonts w:cs="Times New Roman"/>
          <w:noProof/>
        </w:rPr>
      </w:pPr>
      <w:r>
        <w:rPr>
          <w:noProof/>
        </w:rPr>
        <w:t xml:space="preserve">podatki ekologiczne; </w:t>
      </w:r>
    </w:p>
    <w:p w14:paraId="4FDC2A83" w14:textId="77777777" w:rsidR="006578ED" w:rsidRDefault="00A1618E">
      <w:pPr>
        <w:pStyle w:val="P68B1DB1-Text119"/>
        <w:numPr>
          <w:ilvl w:val="0"/>
          <w:numId w:val="716"/>
        </w:numPr>
        <w:rPr>
          <w:rFonts w:cs="Times New Roman"/>
          <w:noProof/>
        </w:rPr>
      </w:pPr>
      <w:r>
        <w:rPr>
          <w:noProof/>
        </w:rPr>
        <w:t>opodatkowania przedsiębiorstw;</w:t>
      </w:r>
    </w:p>
    <w:p w14:paraId="4C57CCCA" w14:textId="77777777" w:rsidR="006578ED" w:rsidRDefault="00A1618E">
      <w:pPr>
        <w:pStyle w:val="P68B1DB1-Text119"/>
        <w:numPr>
          <w:ilvl w:val="0"/>
          <w:numId w:val="716"/>
        </w:numPr>
        <w:rPr>
          <w:rFonts w:cs="Times New Roman"/>
          <w:noProof/>
        </w:rPr>
      </w:pPr>
      <w:r>
        <w:rPr>
          <w:noProof/>
        </w:rPr>
        <w:t>opodatkowanie gospodarki cyfrowej;</w:t>
      </w:r>
    </w:p>
    <w:p w14:paraId="5F583C1F" w14:textId="55C192E6" w:rsidR="006578ED" w:rsidRDefault="00A1618E">
      <w:pPr>
        <w:pStyle w:val="P68B1DB1-Text119"/>
        <w:numPr>
          <w:ilvl w:val="0"/>
          <w:numId w:val="716"/>
        </w:numPr>
        <w:rPr>
          <w:rFonts w:cs="Times New Roman"/>
          <w:noProof/>
        </w:rPr>
      </w:pPr>
      <w:r>
        <w:rPr>
          <w:noProof/>
        </w:rPr>
        <w:t>opodatkowanie majątku, w tym opodatkowanie nieruchomości i konkretne wdrożenie harmonizacji w tej dziedzinie;</w:t>
      </w:r>
    </w:p>
    <w:p w14:paraId="570749D3" w14:textId="77777777" w:rsidR="006578ED" w:rsidRDefault="00A1618E">
      <w:pPr>
        <w:pStyle w:val="P68B1DB1-Text119"/>
        <w:numPr>
          <w:ilvl w:val="0"/>
          <w:numId w:val="716"/>
        </w:numPr>
        <w:rPr>
          <w:rFonts w:cs="Times New Roman"/>
          <w:noProof/>
        </w:rPr>
      </w:pPr>
      <w:r>
        <w:rPr>
          <w:noProof/>
        </w:rPr>
        <w:t>opodatkowanie powstających rodzajów działalności gospodarczej; oraz</w:t>
      </w:r>
    </w:p>
    <w:p w14:paraId="4DA81851" w14:textId="77777777" w:rsidR="006578ED" w:rsidRDefault="00A1618E">
      <w:pPr>
        <w:pStyle w:val="P68B1DB1-Text119"/>
        <w:numPr>
          <w:ilvl w:val="0"/>
          <w:numId w:val="716"/>
        </w:numPr>
        <w:rPr>
          <w:rFonts w:cs="Times New Roman"/>
          <w:noProof/>
        </w:rPr>
      </w:pPr>
      <w:r>
        <w:rPr>
          <w:noProof/>
        </w:rPr>
        <w:t>równość płci.</w:t>
      </w:r>
    </w:p>
    <w:p w14:paraId="44B9AE26" w14:textId="059E4D24" w:rsidR="006578ED" w:rsidRDefault="00A1618E">
      <w:pPr>
        <w:pStyle w:val="P68B1DB1-Text119"/>
        <w:ind w:left="0"/>
        <w:rPr>
          <w:rFonts w:cs="Times New Roman"/>
          <w:noProof/>
        </w:rPr>
      </w:pPr>
      <w:r>
        <w:rPr>
          <w:noProof/>
        </w:rPr>
        <w:t>Reformie towarzyszy również analiza ich skutków dystrybucyjnych, ze szczególnym uwzględnieniem rodzin z dziećmi. Analiza obejmuje co najmniej następujące elementy: wpływ na ogólną progresywność fiskalną systemu podatkowego; wpływ na słabsze grupy społeczne; wpływ na rodziny z dziećmi; opodatkowanie dużych przedsiębiorstw; oraz (v) podział opodatkowania między opodatkowaniem pracy a opodatkowaniem kapitału.</w:t>
      </w:r>
    </w:p>
    <w:p w14:paraId="225AAFAA" w14:textId="3D8942E6" w:rsidR="006578ED" w:rsidRDefault="00A1618E">
      <w:pPr>
        <w:pStyle w:val="P68B1DB1-Text119"/>
        <w:ind w:left="0"/>
        <w:rPr>
          <w:rFonts w:cs="Times New Roman"/>
          <w:noProof/>
        </w:rPr>
      </w:pPr>
      <w:r>
        <w:rPr>
          <w:noProof/>
        </w:rPr>
        <w:t>Komitet Ekspertów publikuje swoje sprawozdanie w lutym 20</w:t>
      </w:r>
      <w:r w:rsidRPr="00A1618E">
        <w:rPr>
          <w:noProof/>
          <w:lang w:val="pl-PL"/>
        </w:rPr>
        <w:t>22 r.</w:t>
      </w:r>
      <w:r>
        <w:rPr>
          <w:noProof/>
        </w:rPr>
        <w:t xml:space="preserve"> Zmiany w systemie podatkowym oparte na zaleceniach zawartych w sprawozdaniu wchodzą w życie z dniem 31 marca 20</w:t>
      </w:r>
      <w:r w:rsidRPr="00A1618E">
        <w:rPr>
          <w:noProof/>
          <w:lang w:val="pl-PL"/>
        </w:rPr>
        <w:t>23 r.</w:t>
      </w:r>
      <w:r>
        <w:rPr>
          <w:noProof/>
        </w:rPr>
        <w:t xml:space="preserve"> </w:t>
      </w:r>
    </w:p>
    <w:p w14:paraId="0C11C7A8" w14:textId="5F67E34D" w:rsidR="006578ED" w:rsidRDefault="00A1618E">
      <w:pPr>
        <w:pStyle w:val="P68B1DB1-Text119"/>
        <w:ind w:left="0"/>
        <w:rPr>
          <w:rFonts w:cs="Times New Roman"/>
          <w:noProof/>
        </w:rPr>
      </w:pPr>
      <w:r>
        <w:rPr>
          <w:noProof/>
        </w:rPr>
        <w:t>Wdrożenie środka zostanie zakończone do dnia 31 marca 20</w:t>
      </w:r>
      <w:r w:rsidRPr="00A1618E">
        <w:rPr>
          <w:noProof/>
          <w:lang w:val="pl-PL"/>
        </w:rPr>
        <w:t>23 r.</w:t>
      </w:r>
    </w:p>
    <w:p w14:paraId="212522AB" w14:textId="77777777" w:rsidR="006578ED" w:rsidRDefault="00A1618E">
      <w:pPr>
        <w:pStyle w:val="P68B1DB1-Text120"/>
        <w:ind w:left="0"/>
        <w:rPr>
          <w:rFonts w:cs="Times New Roman"/>
          <w:noProof/>
        </w:rPr>
      </w:pPr>
      <w:r>
        <w:rPr>
          <w:noProof/>
        </w:rPr>
        <w:t>Reforma 4 (C28.R4) – Reforma środków podatkowych przyczyniających się do transformacji ekologicznej</w:t>
      </w:r>
    </w:p>
    <w:p w14:paraId="28AFBB29" w14:textId="77777777" w:rsidR="006578ED" w:rsidRDefault="00A1618E">
      <w:pPr>
        <w:pStyle w:val="P68B1DB1-Text119"/>
        <w:ind w:left="0"/>
        <w:rPr>
          <w:rFonts w:cs="Times New Roman"/>
          <w:noProof/>
        </w:rPr>
      </w:pPr>
      <w:r>
        <w:rPr>
          <w:noProof/>
        </w:rPr>
        <w:t xml:space="preserve">Reforma ta zawiera środki podatkowe mające na celu wspieranie transformacji ekologicznej. Środki te obejmują: </w:t>
      </w:r>
    </w:p>
    <w:p w14:paraId="78ABE0D8" w14:textId="60209C98" w:rsidR="006578ED" w:rsidRDefault="00A1618E">
      <w:pPr>
        <w:pStyle w:val="P68B1DB1-Text119"/>
        <w:numPr>
          <w:ilvl w:val="0"/>
          <w:numId w:val="165"/>
        </w:numPr>
        <w:rPr>
          <w:rFonts w:cs="Times New Roman"/>
          <w:noProof/>
        </w:rPr>
      </w:pPr>
      <w:r>
        <w:rPr>
          <w:noProof/>
        </w:rPr>
        <w:t>ustanowienie podatku od składowania odpadów na składowiskach i spalarniach;</w:t>
      </w:r>
    </w:p>
    <w:p w14:paraId="74DDAD36" w14:textId="1A4FDAF8" w:rsidR="006578ED" w:rsidRDefault="00A1618E">
      <w:pPr>
        <w:pStyle w:val="P68B1DB1-Text119"/>
        <w:numPr>
          <w:ilvl w:val="0"/>
          <w:numId w:val="165"/>
        </w:numPr>
        <w:rPr>
          <w:rFonts w:cs="Times New Roman"/>
          <w:noProof/>
        </w:rPr>
      </w:pPr>
      <w:r>
        <w:rPr>
          <w:noProof/>
        </w:rPr>
        <w:t xml:space="preserve">wprowadzenie podatku od opakowań jednorazowych z tworzyw sztucznych; </w:t>
      </w:r>
    </w:p>
    <w:p w14:paraId="774ADC70" w14:textId="77777777" w:rsidR="006578ED" w:rsidRDefault="00A1618E">
      <w:pPr>
        <w:pStyle w:val="P68B1DB1-Text119"/>
        <w:numPr>
          <w:ilvl w:val="0"/>
          <w:numId w:val="165"/>
        </w:numPr>
        <w:rPr>
          <w:rFonts w:cs="Times New Roman"/>
          <w:noProof/>
        </w:rPr>
      </w:pPr>
      <w:r>
        <w:rPr>
          <w:noProof/>
        </w:rPr>
        <w:t xml:space="preserve">zmiany podatku od fluorowanych gazów cieplarnianych; </w:t>
      </w:r>
    </w:p>
    <w:p w14:paraId="0DF79D37" w14:textId="3D255262" w:rsidR="006578ED" w:rsidRDefault="00A1618E">
      <w:pPr>
        <w:pStyle w:val="P68B1DB1-Text119"/>
        <w:numPr>
          <w:ilvl w:val="0"/>
          <w:numId w:val="165"/>
        </w:numPr>
        <w:rPr>
          <w:rFonts w:cs="Times New Roman"/>
          <w:noProof/>
        </w:rPr>
      </w:pPr>
      <w:r>
        <w:rPr>
          <w:noProof/>
        </w:rPr>
        <w:t>podatki lub płatności związane z mobilnością, takie jak opłaty drogowe i podatki rejestracyjne od pojazdów; oraz</w:t>
      </w:r>
    </w:p>
    <w:p w14:paraId="6F570970" w14:textId="77777777" w:rsidR="006578ED" w:rsidRDefault="00A1618E">
      <w:pPr>
        <w:pStyle w:val="P68B1DB1-Text119"/>
        <w:numPr>
          <w:ilvl w:val="0"/>
          <w:numId w:val="165"/>
        </w:numPr>
        <w:rPr>
          <w:rFonts w:cs="Times New Roman"/>
          <w:noProof/>
        </w:rPr>
      </w:pPr>
      <w:r>
        <w:rPr>
          <w:noProof/>
        </w:rPr>
        <w:t xml:space="preserve">rewizja dopłat do olejów mineralnych wykorzystywanych jako paliwo. </w:t>
      </w:r>
    </w:p>
    <w:p w14:paraId="7912124F" w14:textId="0D3DA892" w:rsidR="006578ED" w:rsidRDefault="00A1618E">
      <w:pPr>
        <w:pStyle w:val="P68B1DB1-Text119"/>
        <w:ind w:left="0"/>
        <w:rPr>
          <w:rFonts w:cs="Times New Roman"/>
          <w:noProof/>
        </w:rPr>
      </w:pPr>
      <w:r>
        <w:rPr>
          <w:noProof/>
        </w:rPr>
        <w:t>Wdrażanie środków zostanie zakończone do dnia 30 czerwca 20</w:t>
      </w:r>
      <w:r w:rsidRPr="00A1618E">
        <w:rPr>
          <w:noProof/>
          <w:lang w:val="pl-PL"/>
        </w:rPr>
        <w:t>22 r.</w:t>
      </w:r>
      <w:r>
        <w:rPr>
          <w:noProof/>
        </w:rPr>
        <w:t xml:space="preserve"> </w:t>
      </w:r>
    </w:p>
    <w:p w14:paraId="45554E05" w14:textId="77777777" w:rsidR="006578ED" w:rsidRDefault="00A1618E">
      <w:pPr>
        <w:pStyle w:val="P68B1DB1-Text120"/>
        <w:ind w:left="0"/>
        <w:rPr>
          <w:rFonts w:cs="Times New Roman"/>
          <w:noProof/>
        </w:rPr>
      </w:pPr>
      <w:r>
        <w:rPr>
          <w:noProof/>
        </w:rPr>
        <w:t>Reforma 5 (C28.R5) – Zatwierdzenie podatku od usług cyfrowych</w:t>
      </w:r>
    </w:p>
    <w:p w14:paraId="749EF041" w14:textId="0802C02C" w:rsidR="006578ED" w:rsidRDefault="00A1618E">
      <w:pPr>
        <w:pStyle w:val="P68B1DB1-Text119"/>
        <w:ind w:left="0"/>
        <w:rPr>
          <w:rFonts w:cs="Times New Roman"/>
          <w:noProof/>
        </w:rPr>
      </w:pPr>
      <w:r>
        <w:rPr>
          <w:noProof/>
        </w:rPr>
        <w:t>Reforma ta wprowadza opłatę opartą na przychodach przedsiębiorstw o przychodach netto ze sprzedaży powyżej 750 000 000 EUR oraz przychodach ze świadczenia niektórych usług cyfrowych, takich jak reklama internetowa i usługi pośrednictwa w Hiszpanii. Opłata ta jest niezależna od tego, czy spółka jest rezydentem na terytorium Hiszpanii, czy też nie. Opłata wchodzi w życie w pierwszym kwartale 20</w:t>
      </w:r>
      <w:r w:rsidRPr="00A1618E">
        <w:rPr>
          <w:noProof/>
          <w:lang w:val="pl-PL"/>
        </w:rPr>
        <w:t>21 r.</w:t>
      </w:r>
      <w:r>
        <w:rPr>
          <w:noProof/>
        </w:rPr>
        <w:t xml:space="preserve"> Reforma obejmuje również sprawozdanie z oceny skutków środka, które zostanie opublikowane do dnia 31 marca 20</w:t>
      </w:r>
      <w:r w:rsidRPr="00A1618E">
        <w:rPr>
          <w:noProof/>
          <w:lang w:val="pl-PL"/>
        </w:rPr>
        <w:t>22 r.</w:t>
      </w:r>
      <w:r>
        <w:rPr>
          <w:noProof/>
        </w:rPr>
        <w:t xml:space="preserve"> i 20</w:t>
      </w:r>
      <w:r w:rsidRPr="00A1618E">
        <w:rPr>
          <w:noProof/>
          <w:lang w:val="pl-PL"/>
        </w:rPr>
        <w:t>23 r.</w:t>
      </w:r>
      <w:r>
        <w:rPr>
          <w:noProof/>
        </w:rPr>
        <w:t xml:space="preserve"> </w:t>
      </w:r>
    </w:p>
    <w:p w14:paraId="1073D0AC" w14:textId="42077E63" w:rsidR="006578ED" w:rsidRDefault="00A1618E">
      <w:pPr>
        <w:pStyle w:val="P68B1DB1-Text119"/>
        <w:ind w:left="0"/>
        <w:rPr>
          <w:rFonts w:cs="Times New Roman"/>
          <w:noProof/>
        </w:rPr>
      </w:pPr>
      <w:r>
        <w:rPr>
          <w:noProof/>
        </w:rPr>
        <w:t>Wdrożenie środka zostanie zakończone do dnia 31 marca 20</w:t>
      </w:r>
      <w:r w:rsidRPr="00A1618E">
        <w:rPr>
          <w:noProof/>
          <w:lang w:val="pl-PL"/>
        </w:rPr>
        <w:t>21 r.</w:t>
      </w:r>
    </w:p>
    <w:p w14:paraId="46190F0E" w14:textId="77777777" w:rsidR="006578ED" w:rsidRDefault="00A1618E">
      <w:pPr>
        <w:pStyle w:val="P68B1DB1-Text120"/>
        <w:ind w:left="0"/>
        <w:rPr>
          <w:rFonts w:cs="Times New Roman"/>
          <w:noProof/>
        </w:rPr>
      </w:pPr>
      <w:r>
        <w:rPr>
          <w:noProof/>
        </w:rPr>
        <w:t>Reforma 6 (C28.R6) – Zatwierdzenie podatku od transakcji finansowych</w:t>
      </w:r>
    </w:p>
    <w:p w14:paraId="4A636B3F" w14:textId="36F110AD" w:rsidR="006578ED" w:rsidRDefault="00A1618E">
      <w:pPr>
        <w:pStyle w:val="P68B1DB1-Text119"/>
        <w:ind w:left="0"/>
        <w:rPr>
          <w:rFonts w:cs="Times New Roman"/>
          <w:noProof/>
        </w:rPr>
      </w:pPr>
      <w:r>
        <w:rPr>
          <w:noProof/>
        </w:rPr>
        <w:t>Środek ten wprowadza opłatę opartą na wartości zakupu akcji hiszpańskich spółek notowanych na giełdzie, których kapitalizacja rynkowa przekracza 1 000 000 000 EUR. Wdrożenie reformy weszło w życie w pierwszym kwartale 20</w:t>
      </w:r>
      <w:r w:rsidRPr="00A1618E">
        <w:rPr>
          <w:noProof/>
          <w:lang w:val="pl-PL"/>
        </w:rPr>
        <w:t>21 r.</w:t>
      </w:r>
      <w:r>
        <w:rPr>
          <w:noProof/>
        </w:rPr>
        <w:t xml:space="preserve"> Reforma obejmuje również sprawozdanie z oceny skutków środka, które zostanie opublikowane do dnia 31 marca 20</w:t>
      </w:r>
      <w:r w:rsidRPr="00A1618E">
        <w:rPr>
          <w:noProof/>
          <w:lang w:val="pl-PL"/>
        </w:rPr>
        <w:t>22 r.</w:t>
      </w:r>
      <w:r>
        <w:rPr>
          <w:noProof/>
        </w:rPr>
        <w:t xml:space="preserve"> i 20</w:t>
      </w:r>
      <w:r w:rsidRPr="00A1618E">
        <w:rPr>
          <w:noProof/>
          <w:lang w:val="pl-PL"/>
        </w:rPr>
        <w:t>23 r.</w:t>
      </w:r>
      <w:r>
        <w:rPr>
          <w:noProof/>
        </w:rPr>
        <w:t xml:space="preserve"> </w:t>
      </w:r>
    </w:p>
    <w:p w14:paraId="63161D96" w14:textId="092BAB82" w:rsidR="006578ED" w:rsidRDefault="00A1618E">
      <w:pPr>
        <w:pStyle w:val="P68B1DB1-Text119"/>
        <w:ind w:left="0"/>
        <w:rPr>
          <w:rFonts w:cs="Times New Roman"/>
          <w:noProof/>
        </w:rPr>
      </w:pPr>
      <w:r>
        <w:rPr>
          <w:noProof/>
        </w:rPr>
        <w:t>Wdrożenie środka zostanie zakończone do dnia 31 marca 20</w:t>
      </w:r>
      <w:r w:rsidRPr="00A1618E">
        <w:rPr>
          <w:noProof/>
          <w:lang w:val="pl-PL"/>
        </w:rPr>
        <w:t>21 r.</w:t>
      </w:r>
    </w:p>
    <w:p w14:paraId="6279EB31" w14:textId="77777777" w:rsidR="006578ED" w:rsidRDefault="00A1618E">
      <w:pPr>
        <w:pStyle w:val="P68B1DB1-Text120"/>
        <w:keepNext/>
        <w:ind w:left="0"/>
        <w:rPr>
          <w:rFonts w:cs="Times New Roman"/>
          <w:noProof/>
        </w:rPr>
      </w:pPr>
      <w:r>
        <w:rPr>
          <w:noProof/>
        </w:rPr>
        <w:t>Reforma 7 (C28.R7) – krótkoterminowe środki podatkowe dotyczące podatków od osób fizycznych</w:t>
      </w:r>
    </w:p>
    <w:p w14:paraId="7A409F9F" w14:textId="672F3D62" w:rsidR="006578ED" w:rsidRDefault="00A1618E">
      <w:pPr>
        <w:pStyle w:val="P68B1DB1-Text119"/>
        <w:keepNext/>
        <w:ind w:left="0"/>
        <w:rPr>
          <w:rFonts w:cs="Times New Roman"/>
          <w:noProof/>
        </w:rPr>
      </w:pPr>
      <w:r>
        <w:rPr>
          <w:noProof/>
        </w:rPr>
        <w:t xml:space="preserve">Reforma zwiększy progresywność i redystrybucję podatku dochodowego od osób fizycznych poprzez wprowadzenie zmian do ustawy o podatku dochodowym od osób fizycznych i ustawy o podatku od majątku. W szczególności zwiększa ona o 2 punkty procentowe stawkę w ogólnej skali krajowej z 300 000 EUR jako ogólnej podstawy oceny, a oszczędności o 3 punkty procentowe z 200 000 EUR. Ponadto obniża się limit obniżenia indywidualnych składek emerytalnych z 8 000 EUR </w:t>
      </w:r>
      <w:r w:rsidRPr="00A1618E">
        <w:rPr>
          <w:noProof/>
          <w:lang w:val="pl-PL"/>
        </w:rPr>
        <w:t>do 2</w:t>
      </w:r>
      <w:r>
        <w:rPr>
          <w:noProof/>
        </w:rPr>
        <w:t xml:space="preserve"> 000 EUR, a obecny limit składek wpłacanych przez przedsiębiorstwo na rzecz pracownika zostaje zwiększony z 8 000 EUR </w:t>
      </w:r>
      <w:r w:rsidRPr="00A1618E">
        <w:rPr>
          <w:noProof/>
          <w:lang w:val="pl-PL"/>
        </w:rPr>
        <w:t>do 1</w:t>
      </w:r>
      <w:r>
        <w:rPr>
          <w:noProof/>
        </w:rPr>
        <w:t xml:space="preserve">0 000 EUR. Ponadto w odniesieniu do ISF reforma zwiększa stawkę mającą zastosowanie do ostatniego przedziału taryfy o 1 punkt procentowy, z 2,5 % </w:t>
      </w:r>
      <w:r w:rsidRPr="00A1618E">
        <w:rPr>
          <w:noProof/>
          <w:lang w:val="pl-PL"/>
        </w:rPr>
        <w:t>do 3</w:t>
      </w:r>
      <w:r>
        <w:rPr>
          <w:noProof/>
        </w:rPr>
        <w:t>,5 % (w przypadku aktywów powyżej 10 000 000 EUR). Wdrożenie reformy miało zostać zakończone do dnia 1 stycznia 20</w:t>
      </w:r>
      <w:r w:rsidRPr="00A1618E">
        <w:rPr>
          <w:noProof/>
          <w:lang w:val="pl-PL"/>
        </w:rPr>
        <w:t>21 r.</w:t>
      </w:r>
    </w:p>
    <w:p w14:paraId="1C389B63" w14:textId="6A364D82" w:rsidR="006578ED" w:rsidRDefault="00A1618E">
      <w:pPr>
        <w:pStyle w:val="P68B1DB1-Text119"/>
        <w:ind w:left="0"/>
        <w:rPr>
          <w:rFonts w:cs="Times New Roman"/>
          <w:noProof/>
        </w:rPr>
      </w:pPr>
      <w:r>
        <w:rPr>
          <w:noProof/>
        </w:rPr>
        <w:t>Wdrożenie środka zostanie zakończone do dnia 31 marca 20</w:t>
      </w:r>
      <w:r w:rsidRPr="00A1618E">
        <w:rPr>
          <w:noProof/>
          <w:lang w:val="pl-PL"/>
        </w:rPr>
        <w:t>21 r.</w:t>
      </w:r>
    </w:p>
    <w:p w14:paraId="42ADEBEC" w14:textId="3098AD48" w:rsidR="006578ED" w:rsidRDefault="00A1618E">
      <w:pPr>
        <w:pStyle w:val="P68B1DB1-Text120"/>
        <w:ind w:left="0"/>
        <w:rPr>
          <w:rFonts w:cs="Times New Roman"/>
          <w:noProof/>
        </w:rPr>
      </w:pPr>
      <w:r>
        <w:rPr>
          <w:noProof/>
        </w:rPr>
        <w:t>Reforma 8 (C28.R8) – krótkoterminowe przyjęcie środków podatkowych w zakresie podatku od osób prawnych</w:t>
      </w:r>
    </w:p>
    <w:p w14:paraId="2540971A" w14:textId="209881A7" w:rsidR="006578ED" w:rsidRDefault="00A1618E">
      <w:pPr>
        <w:pStyle w:val="P68B1DB1-Normal4"/>
        <w:spacing w:before="120" w:after="120" w:line="240" w:lineRule="auto"/>
        <w:jc w:val="both"/>
        <w:rPr>
          <w:rFonts w:cs="Times New Roman"/>
          <w:noProof/>
        </w:rPr>
      </w:pPr>
      <w:r>
        <w:rPr>
          <w:noProof/>
        </w:rPr>
        <w:t xml:space="preserve">Reforma ma na celu zmianę ustawy o podatku od osób prawnych w celu zwiększenia udziału tego podatku we wspieraniu wydatków publicznych, przy jednoczesnym wprowadzeniu uproszczeń w zakresie zwolnień i odliczeń w celu zapewnienia minimalnej stawki 15 % dla podatników. Z drugiej strony zwolnienie dywidend i zysków kapitałowych wygenerowanych w związku z posiadaniem przez nie udziałów w spółkach zależnych, zarówno będących rezydentami, jak i nierezydentami na terytorium Hiszpanii, zmniejsza się o 5 %. </w:t>
      </w:r>
    </w:p>
    <w:p w14:paraId="39F1762B" w14:textId="35937E0D" w:rsidR="006578ED" w:rsidRDefault="00A1618E">
      <w:pPr>
        <w:pStyle w:val="P68B1DB1-Text119"/>
        <w:ind w:left="0"/>
        <w:rPr>
          <w:rFonts w:cs="Times New Roman"/>
          <w:noProof/>
        </w:rPr>
      </w:pPr>
      <w:r>
        <w:rPr>
          <w:noProof/>
        </w:rPr>
        <w:t>Wdrożenie środka zostanie zakończone do dnia 31 marca 20</w:t>
      </w:r>
      <w:r w:rsidRPr="00A1618E">
        <w:rPr>
          <w:noProof/>
          <w:lang w:val="pl-PL"/>
        </w:rPr>
        <w:t>21 r.</w:t>
      </w:r>
    </w:p>
    <w:p w14:paraId="7F4F3286" w14:textId="0F5833EB" w:rsidR="006578ED" w:rsidRDefault="00A1618E">
      <w:pPr>
        <w:pStyle w:val="P68B1DB1-Normal6"/>
        <w:spacing w:before="120" w:after="120" w:line="240" w:lineRule="auto"/>
        <w:jc w:val="both"/>
        <w:rPr>
          <w:rFonts w:cs="Times New Roman"/>
          <w:noProof/>
        </w:rPr>
      </w:pPr>
      <w:r>
        <w:rPr>
          <w:noProof/>
        </w:rPr>
        <w:t>Reforma 9 (C28.R9) – krótkoterminowe środki podatkowe w podatkach pośrednich</w:t>
      </w:r>
    </w:p>
    <w:p w14:paraId="1C5235E5" w14:textId="385204EE" w:rsidR="006578ED" w:rsidRDefault="00A1618E">
      <w:pPr>
        <w:pStyle w:val="P68B1DB1-Normal4"/>
        <w:spacing w:before="120" w:after="120" w:line="240" w:lineRule="auto"/>
        <w:jc w:val="both"/>
        <w:rPr>
          <w:rFonts w:cs="Times New Roman"/>
          <w:noProof/>
        </w:rPr>
      </w:pPr>
      <w:r>
        <w:rPr>
          <w:noProof/>
        </w:rPr>
        <w:t xml:space="preserve">Reforma rozszerza stosowanie podstawowej stawki podatku VAT, ustalonej </w:t>
      </w:r>
      <w:r w:rsidRPr="00A1618E">
        <w:rPr>
          <w:noProof/>
          <w:lang w:val="pl-PL"/>
        </w:rPr>
        <w:t>na 2</w:t>
      </w:r>
      <w:r>
        <w:rPr>
          <w:noProof/>
        </w:rPr>
        <w:t xml:space="preserve">1 %, na napoje bezalkoholowe, soki i napoje gazowe z dodatkiem cukru. Taki środek stanowi zobowiązanie społeczne do promowania odpowiedzialnej konsumpcji tych kategorii napojów i jest zgodny z celem finansowania zewnętrznych kosztów hiszpańskiego państwa opiekuńczego, wynikających w tym przypadku z niezdrowej diety. Ponadto stawka podatkowa składek ubezpieczeniowych zostanie podwyższona o dwa punkty procentowe, </w:t>
      </w:r>
      <w:r w:rsidRPr="00A1618E">
        <w:rPr>
          <w:noProof/>
          <w:lang w:val="pl-PL"/>
        </w:rPr>
        <w:t>do 8</w:t>
      </w:r>
      <w:r>
        <w:rPr>
          <w:noProof/>
        </w:rPr>
        <w:t xml:space="preserve"> %, pozostając jednak w średnim i niskim przedziale w stosunku do krajów sąsiadujących. </w:t>
      </w:r>
    </w:p>
    <w:p w14:paraId="18EA455F" w14:textId="2AEED3D0" w:rsidR="006578ED" w:rsidRDefault="00A1618E">
      <w:pPr>
        <w:pStyle w:val="P68B1DB1-Text119"/>
        <w:ind w:left="0"/>
        <w:rPr>
          <w:rFonts w:cs="Times New Roman"/>
          <w:noProof/>
        </w:rPr>
      </w:pPr>
      <w:r>
        <w:rPr>
          <w:noProof/>
        </w:rPr>
        <w:t>Wdrożenie środka zostanie zakończone do dnia 31 marca 20</w:t>
      </w:r>
      <w:r w:rsidRPr="00A1618E">
        <w:rPr>
          <w:noProof/>
          <w:lang w:val="pl-PL"/>
        </w:rPr>
        <w:t>21 r.</w:t>
      </w:r>
    </w:p>
    <w:p w14:paraId="6E74034F" w14:textId="338EAA5B" w:rsidR="006578ED" w:rsidRDefault="00A1618E">
      <w:pPr>
        <w:pStyle w:val="P68B1DB1-Text138"/>
        <w:ind w:left="709"/>
        <w:rPr>
          <w:rFonts w:cs="Times New Roman"/>
          <w:noProof/>
        </w:rPr>
      </w:pPr>
      <w:r>
        <w:rPr>
          <w:noProof/>
        </w:rPr>
        <w:t xml:space="preserve">AB.2. </w:t>
      </w:r>
      <w:r>
        <w:rPr>
          <w:noProof/>
        </w:rPr>
        <w:tab/>
        <w:t>Kamienie milowe, wartości docelowe, wskaźniki i harmonogram monitorowania i realizacji na potrzeby bezzwrotnego wsparcia finansowego</w:t>
      </w:r>
    </w:p>
    <w:p w14:paraId="73AFD792" w14:textId="1DC27F4C" w:rsidR="006578ED" w:rsidRDefault="00A1618E">
      <w:pPr>
        <w:pStyle w:val="P68B1DB1-Normal4"/>
        <w:spacing w:before="120" w:after="120" w:line="240" w:lineRule="auto"/>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r>
        <w:rPr>
          <w:noProof/>
        </w:rPr>
        <w:t xml:space="preserve"> </w:t>
      </w:r>
    </w:p>
    <w:p w14:paraId="3BEDEF34" w14:textId="77777777" w:rsidR="006578ED" w:rsidRDefault="006578ED">
      <w:pPr>
        <w:pStyle w:val="Text1"/>
        <w:ind w:left="0"/>
        <w:rPr>
          <w:rFonts w:ascii="Times New Roman" w:hAnsi="Times New Roman" w:cs="Times New Roman"/>
          <w:noProof/>
        </w:rPr>
        <w:sectPr w:rsidR="006578ED" w:rsidSect="00C94F66">
          <w:headerReference w:type="even" r:id="rId519"/>
          <w:headerReference w:type="default" r:id="rId520"/>
          <w:footerReference w:type="even" r:id="rId521"/>
          <w:footerReference w:type="default" r:id="rId522"/>
          <w:headerReference w:type="first" r:id="rId523"/>
          <w:footerReference w:type="first" r:id="rId524"/>
          <w:pgSz w:w="11907" w:h="16839"/>
          <w:pgMar w:top="1134" w:right="1417" w:bottom="1134" w:left="1417" w:header="709" w:footer="709" w:gutter="0"/>
          <w:cols w:space="720"/>
          <w:docGrid w:linePitch="360"/>
        </w:sectPr>
      </w:pPr>
    </w:p>
    <w:tbl>
      <w:tblPr>
        <w:tblW w:w="15085"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8"/>
        <w:gridCol w:w="839"/>
        <w:gridCol w:w="838"/>
        <w:gridCol w:w="2792"/>
        <w:gridCol w:w="979"/>
        <w:gridCol w:w="420"/>
        <w:gridCol w:w="489"/>
        <w:gridCol w:w="490"/>
        <w:gridCol w:w="420"/>
        <w:gridCol w:w="559"/>
        <w:gridCol w:w="6502"/>
        <w:gridCol w:w="59"/>
      </w:tblGrid>
      <w:tr w:rsidR="006578ED" w14:paraId="587DC8A2" w14:textId="77777777">
        <w:trPr>
          <w:gridAfter w:val="1"/>
          <w:wAfter w:w="59" w:type="dxa"/>
          <w:trHeight w:val="309"/>
          <w:tblHeader/>
        </w:trPr>
        <w:tc>
          <w:tcPr>
            <w:tcW w:w="698" w:type="dxa"/>
            <w:tcBorders>
              <w:bottom w:val="nil"/>
            </w:tcBorders>
            <w:shd w:val="clear" w:color="auto" w:fill="C6D9F1" w:themeFill="text2" w:themeFillTint="33"/>
            <w:noWrap/>
          </w:tcPr>
          <w:p w14:paraId="31FE7EC6" w14:textId="77777777" w:rsidR="006578ED" w:rsidRDefault="00A1618E">
            <w:pPr>
              <w:pStyle w:val="P68B1DB1-Normal12"/>
              <w:spacing w:after="0"/>
              <w:jc w:val="center"/>
              <w:rPr>
                <w:rFonts w:cs="Times New Roman"/>
                <w:noProof/>
              </w:rPr>
            </w:pPr>
            <w:r>
              <w:rPr>
                <w:noProof/>
              </w:rPr>
              <w:t>Liczba</w:t>
            </w:r>
          </w:p>
        </w:tc>
        <w:tc>
          <w:tcPr>
            <w:tcW w:w="839" w:type="dxa"/>
            <w:tcBorders>
              <w:bottom w:val="nil"/>
            </w:tcBorders>
            <w:shd w:val="clear" w:color="auto" w:fill="C6D9F1" w:themeFill="text2" w:themeFillTint="33"/>
            <w:noWrap/>
          </w:tcPr>
          <w:p w14:paraId="0B524674" w14:textId="77777777" w:rsidR="006578ED" w:rsidRDefault="00A1618E">
            <w:pPr>
              <w:pStyle w:val="P68B1DB1-Normal12"/>
              <w:spacing w:after="0"/>
              <w:jc w:val="center"/>
              <w:rPr>
                <w:rFonts w:cs="Times New Roman"/>
                <w:noProof/>
              </w:rPr>
            </w:pPr>
            <w:r>
              <w:rPr>
                <w:noProof/>
              </w:rPr>
              <w:t>Środek</w:t>
            </w:r>
          </w:p>
        </w:tc>
        <w:tc>
          <w:tcPr>
            <w:tcW w:w="838" w:type="dxa"/>
            <w:tcBorders>
              <w:bottom w:val="nil"/>
            </w:tcBorders>
            <w:shd w:val="clear" w:color="auto" w:fill="C6D9F1" w:themeFill="text2" w:themeFillTint="33"/>
            <w:noWrap/>
          </w:tcPr>
          <w:p w14:paraId="6E657F6B" w14:textId="7E8F0979" w:rsidR="006578ED" w:rsidRDefault="00EC188C">
            <w:pPr>
              <w:pStyle w:val="P68B1DB1-Normal12"/>
              <w:spacing w:after="0"/>
              <w:jc w:val="center"/>
              <w:rPr>
                <w:rFonts w:cs="Times New Roman"/>
                <w:noProof/>
              </w:rPr>
            </w:pPr>
            <w:r>
              <w:rPr>
                <w:noProof/>
              </w:rPr>
              <w:t>Kamień milowy</w:t>
            </w:r>
            <w:r>
              <w:rPr>
                <w:noProof/>
              </w:rPr>
              <w:br/>
              <w:t xml:space="preserve"> /</w:t>
            </w:r>
            <w:r w:rsidR="00AF6B91">
              <w:rPr>
                <w:noProof/>
              </w:rPr>
              <w:t>Wartość docelowa</w:t>
            </w:r>
          </w:p>
        </w:tc>
        <w:tc>
          <w:tcPr>
            <w:tcW w:w="2792" w:type="dxa"/>
            <w:tcBorders>
              <w:bottom w:val="nil"/>
            </w:tcBorders>
            <w:shd w:val="clear" w:color="auto" w:fill="C6D9F1" w:themeFill="text2" w:themeFillTint="33"/>
            <w:noWrap/>
          </w:tcPr>
          <w:p w14:paraId="46D61D50" w14:textId="77777777" w:rsidR="006578ED" w:rsidRDefault="00A1618E">
            <w:pPr>
              <w:pStyle w:val="P68B1DB1-Normal12"/>
              <w:spacing w:after="0"/>
              <w:jc w:val="center"/>
              <w:rPr>
                <w:rFonts w:cs="Times New Roman"/>
                <w:noProof/>
              </w:rPr>
            </w:pPr>
            <w:r>
              <w:rPr>
                <w:noProof/>
              </w:rPr>
              <w:t>Nazwa</w:t>
            </w:r>
          </w:p>
        </w:tc>
        <w:tc>
          <w:tcPr>
            <w:tcW w:w="979" w:type="dxa"/>
            <w:tcBorders>
              <w:bottom w:val="nil"/>
            </w:tcBorders>
            <w:shd w:val="clear" w:color="auto" w:fill="C6D9F1" w:themeFill="text2" w:themeFillTint="33"/>
            <w:noWrap/>
          </w:tcPr>
          <w:p w14:paraId="1F2F6034" w14:textId="77777777" w:rsidR="006578ED" w:rsidRDefault="00A1618E">
            <w:pPr>
              <w:pStyle w:val="P68B1DB1-Normal12"/>
              <w:spacing w:after="0"/>
              <w:jc w:val="center"/>
              <w:rPr>
                <w:rFonts w:cs="Times New Roman"/>
                <w:noProof/>
              </w:rPr>
            </w:pPr>
            <w:r>
              <w:rPr>
                <w:noProof/>
              </w:rPr>
              <w:t>Wskaźnik jakościowy dla celów pośrednich</w:t>
            </w:r>
          </w:p>
        </w:tc>
        <w:tc>
          <w:tcPr>
            <w:tcW w:w="1399" w:type="dxa"/>
            <w:gridSpan w:val="3"/>
            <w:shd w:val="clear" w:color="auto" w:fill="C6D9F1" w:themeFill="text2" w:themeFillTint="33"/>
            <w:noWrap/>
          </w:tcPr>
          <w:p w14:paraId="778A7212" w14:textId="77777777" w:rsidR="006578ED" w:rsidRDefault="00A1618E">
            <w:pPr>
              <w:pStyle w:val="P68B1DB1-Normal12"/>
              <w:spacing w:after="0"/>
              <w:jc w:val="center"/>
              <w:rPr>
                <w:rFonts w:cs="Times New Roman"/>
                <w:noProof/>
              </w:rPr>
            </w:pPr>
            <w:r>
              <w:rPr>
                <w:noProof/>
              </w:rPr>
              <w:t>Wskaźnik ilościowy dla celu</w:t>
            </w:r>
          </w:p>
        </w:tc>
        <w:tc>
          <w:tcPr>
            <w:tcW w:w="979" w:type="dxa"/>
            <w:gridSpan w:val="2"/>
            <w:shd w:val="clear" w:color="auto" w:fill="C6D9F1" w:themeFill="text2" w:themeFillTint="33"/>
            <w:noWrap/>
          </w:tcPr>
          <w:p w14:paraId="15470BCF" w14:textId="77777777" w:rsidR="006578ED" w:rsidRDefault="00A1618E">
            <w:pPr>
              <w:pStyle w:val="P68B1DB1-Normal12"/>
              <w:spacing w:after="0"/>
              <w:jc w:val="center"/>
              <w:rPr>
                <w:rFonts w:cs="Times New Roman"/>
                <w:noProof/>
              </w:rPr>
            </w:pPr>
            <w:r>
              <w:rPr>
                <w:noProof/>
              </w:rPr>
              <w:t>Czas</w:t>
            </w:r>
          </w:p>
        </w:tc>
        <w:tc>
          <w:tcPr>
            <w:tcW w:w="6502" w:type="dxa"/>
            <w:tcBorders>
              <w:bottom w:val="nil"/>
            </w:tcBorders>
            <w:shd w:val="clear" w:color="auto" w:fill="C6D9F1" w:themeFill="text2" w:themeFillTint="33"/>
            <w:noWrap/>
          </w:tcPr>
          <w:p w14:paraId="619CD3FF" w14:textId="49FC88C2" w:rsidR="006578ED" w:rsidRDefault="00A1618E">
            <w:pPr>
              <w:pStyle w:val="P68B1DB1-Normal12"/>
              <w:spacing w:after="0"/>
              <w:jc w:val="center"/>
              <w:rPr>
                <w:rFonts w:cs="Times New Roman"/>
                <w:noProof/>
              </w:rPr>
            </w:pPr>
            <w:r>
              <w:rPr>
                <w:noProof/>
              </w:rPr>
              <w:t>Opis każdego celu pośredniego i celu końcowego</w:t>
            </w:r>
          </w:p>
        </w:tc>
      </w:tr>
      <w:tr w:rsidR="006578ED" w14:paraId="7AF10250" w14:textId="77777777">
        <w:trPr>
          <w:gridAfter w:val="1"/>
          <w:wAfter w:w="59" w:type="dxa"/>
          <w:trHeight w:val="309"/>
          <w:tblHeader/>
        </w:trPr>
        <w:tc>
          <w:tcPr>
            <w:tcW w:w="698" w:type="dxa"/>
            <w:tcBorders>
              <w:top w:val="nil"/>
            </w:tcBorders>
            <w:shd w:val="clear" w:color="auto" w:fill="C6D9F1" w:themeFill="text2" w:themeFillTint="33"/>
            <w:noWrap/>
          </w:tcPr>
          <w:p w14:paraId="6C86D760" w14:textId="77777777" w:rsidR="006578ED" w:rsidRDefault="006578ED">
            <w:pPr>
              <w:spacing w:after="0"/>
              <w:jc w:val="center"/>
              <w:rPr>
                <w:rFonts w:ascii="Times New Roman" w:hAnsi="Times New Roman" w:cs="Times New Roman"/>
                <w:b/>
                <w:noProof/>
                <w:sz w:val="18"/>
              </w:rPr>
            </w:pPr>
          </w:p>
        </w:tc>
        <w:tc>
          <w:tcPr>
            <w:tcW w:w="839" w:type="dxa"/>
            <w:tcBorders>
              <w:top w:val="nil"/>
            </w:tcBorders>
            <w:shd w:val="clear" w:color="auto" w:fill="C6D9F1" w:themeFill="text2" w:themeFillTint="33"/>
            <w:noWrap/>
          </w:tcPr>
          <w:p w14:paraId="0C0166A1" w14:textId="77777777" w:rsidR="006578ED" w:rsidRDefault="006578ED">
            <w:pPr>
              <w:spacing w:after="0"/>
              <w:jc w:val="center"/>
              <w:rPr>
                <w:rFonts w:ascii="Times New Roman" w:hAnsi="Times New Roman" w:cs="Times New Roman"/>
                <w:b/>
                <w:noProof/>
                <w:sz w:val="18"/>
              </w:rPr>
            </w:pPr>
          </w:p>
        </w:tc>
        <w:tc>
          <w:tcPr>
            <w:tcW w:w="838" w:type="dxa"/>
            <w:tcBorders>
              <w:top w:val="nil"/>
            </w:tcBorders>
            <w:shd w:val="clear" w:color="auto" w:fill="C6D9F1" w:themeFill="text2" w:themeFillTint="33"/>
            <w:noWrap/>
          </w:tcPr>
          <w:p w14:paraId="2CCADF91" w14:textId="77777777" w:rsidR="006578ED" w:rsidRDefault="006578ED">
            <w:pPr>
              <w:spacing w:after="0"/>
              <w:jc w:val="center"/>
              <w:rPr>
                <w:rFonts w:ascii="Times New Roman" w:hAnsi="Times New Roman" w:cs="Times New Roman"/>
                <w:b/>
                <w:noProof/>
                <w:sz w:val="18"/>
              </w:rPr>
            </w:pPr>
          </w:p>
        </w:tc>
        <w:tc>
          <w:tcPr>
            <w:tcW w:w="2792" w:type="dxa"/>
            <w:tcBorders>
              <w:top w:val="nil"/>
            </w:tcBorders>
            <w:shd w:val="clear" w:color="auto" w:fill="C6D9F1" w:themeFill="text2" w:themeFillTint="33"/>
            <w:noWrap/>
          </w:tcPr>
          <w:p w14:paraId="7DEF968A" w14:textId="77777777" w:rsidR="006578ED" w:rsidRDefault="006578ED">
            <w:pPr>
              <w:spacing w:after="0"/>
              <w:rPr>
                <w:rFonts w:ascii="Times New Roman" w:hAnsi="Times New Roman" w:cs="Times New Roman"/>
                <w:b/>
                <w:noProof/>
                <w:sz w:val="18"/>
              </w:rPr>
            </w:pPr>
          </w:p>
        </w:tc>
        <w:tc>
          <w:tcPr>
            <w:tcW w:w="979" w:type="dxa"/>
            <w:tcBorders>
              <w:top w:val="nil"/>
            </w:tcBorders>
            <w:shd w:val="clear" w:color="auto" w:fill="C6D9F1" w:themeFill="text2" w:themeFillTint="33"/>
            <w:noWrap/>
          </w:tcPr>
          <w:p w14:paraId="6B6F164E" w14:textId="77777777" w:rsidR="006578ED" w:rsidRDefault="006578ED">
            <w:pPr>
              <w:spacing w:after="0"/>
              <w:jc w:val="center"/>
              <w:rPr>
                <w:rFonts w:ascii="Times New Roman" w:hAnsi="Times New Roman" w:cs="Times New Roman"/>
                <w:b/>
                <w:noProof/>
                <w:sz w:val="18"/>
              </w:rPr>
            </w:pPr>
          </w:p>
        </w:tc>
        <w:tc>
          <w:tcPr>
            <w:tcW w:w="420" w:type="dxa"/>
            <w:shd w:val="clear" w:color="auto" w:fill="C6D9F1" w:themeFill="text2" w:themeFillTint="33"/>
            <w:noWrap/>
          </w:tcPr>
          <w:p w14:paraId="1FB79703" w14:textId="77777777" w:rsidR="006578ED" w:rsidRDefault="00A1618E">
            <w:pPr>
              <w:pStyle w:val="P68B1DB1-Normal12"/>
              <w:spacing w:after="0"/>
              <w:jc w:val="center"/>
              <w:rPr>
                <w:rFonts w:cs="Times New Roman"/>
                <w:noProof/>
              </w:rPr>
            </w:pPr>
            <w:r>
              <w:rPr>
                <w:noProof/>
              </w:rPr>
              <w:t>Jednostka</w:t>
            </w:r>
          </w:p>
        </w:tc>
        <w:tc>
          <w:tcPr>
            <w:tcW w:w="489" w:type="dxa"/>
            <w:shd w:val="clear" w:color="auto" w:fill="C6D9F1" w:themeFill="text2" w:themeFillTint="33"/>
            <w:noWrap/>
          </w:tcPr>
          <w:p w14:paraId="61291E7C" w14:textId="77777777" w:rsidR="006578ED" w:rsidRDefault="00A1618E">
            <w:pPr>
              <w:pStyle w:val="P68B1DB1-Normal12"/>
              <w:spacing w:after="0"/>
              <w:jc w:val="center"/>
              <w:rPr>
                <w:rFonts w:cs="Times New Roman"/>
                <w:noProof/>
              </w:rPr>
            </w:pPr>
            <w:r>
              <w:rPr>
                <w:noProof/>
              </w:rPr>
              <w:t>Wartość wyjściowa</w:t>
            </w:r>
          </w:p>
        </w:tc>
        <w:tc>
          <w:tcPr>
            <w:tcW w:w="490" w:type="dxa"/>
            <w:shd w:val="clear" w:color="auto" w:fill="C6D9F1" w:themeFill="text2" w:themeFillTint="33"/>
            <w:noWrap/>
          </w:tcPr>
          <w:p w14:paraId="0183776F" w14:textId="77777777" w:rsidR="006578ED" w:rsidRDefault="00A1618E">
            <w:pPr>
              <w:pStyle w:val="P68B1DB1-Normal12"/>
              <w:spacing w:after="0"/>
              <w:jc w:val="center"/>
              <w:rPr>
                <w:rFonts w:cs="Times New Roman"/>
                <w:noProof/>
              </w:rPr>
            </w:pPr>
            <w:r>
              <w:rPr>
                <w:noProof/>
              </w:rPr>
              <w:t>Cel</w:t>
            </w:r>
          </w:p>
        </w:tc>
        <w:tc>
          <w:tcPr>
            <w:tcW w:w="420" w:type="dxa"/>
            <w:shd w:val="clear" w:color="auto" w:fill="C6D9F1" w:themeFill="text2" w:themeFillTint="33"/>
            <w:noWrap/>
          </w:tcPr>
          <w:p w14:paraId="2B897E85" w14:textId="77777777" w:rsidR="006578ED" w:rsidRDefault="00A1618E">
            <w:pPr>
              <w:pStyle w:val="P68B1DB1-Normal12"/>
              <w:spacing w:after="0"/>
              <w:jc w:val="center"/>
              <w:rPr>
                <w:rFonts w:cs="Times New Roman"/>
                <w:noProof/>
              </w:rPr>
            </w:pPr>
            <w:r>
              <w:rPr>
                <w:noProof/>
              </w:rPr>
              <w:t>Q</w:t>
            </w:r>
          </w:p>
        </w:tc>
        <w:tc>
          <w:tcPr>
            <w:tcW w:w="559" w:type="dxa"/>
            <w:shd w:val="clear" w:color="auto" w:fill="C6D9F1" w:themeFill="text2" w:themeFillTint="33"/>
            <w:noWrap/>
          </w:tcPr>
          <w:p w14:paraId="54C779B3" w14:textId="77777777" w:rsidR="006578ED" w:rsidRDefault="00A1618E">
            <w:pPr>
              <w:pStyle w:val="P68B1DB1-Normal12"/>
              <w:spacing w:after="0"/>
              <w:jc w:val="center"/>
              <w:rPr>
                <w:rFonts w:cs="Times New Roman"/>
                <w:noProof/>
              </w:rPr>
            </w:pPr>
            <w:r>
              <w:rPr>
                <w:noProof/>
              </w:rPr>
              <w:t>Rok</w:t>
            </w:r>
          </w:p>
        </w:tc>
        <w:tc>
          <w:tcPr>
            <w:tcW w:w="6502" w:type="dxa"/>
            <w:tcBorders>
              <w:top w:val="nil"/>
            </w:tcBorders>
            <w:shd w:val="clear" w:color="auto" w:fill="C6D9F1" w:themeFill="text2" w:themeFillTint="33"/>
            <w:noWrap/>
          </w:tcPr>
          <w:p w14:paraId="0394B504" w14:textId="77777777" w:rsidR="006578ED" w:rsidRDefault="006578ED">
            <w:pPr>
              <w:spacing w:after="0"/>
              <w:rPr>
                <w:rFonts w:ascii="Times New Roman" w:hAnsi="Times New Roman" w:cs="Times New Roman"/>
                <w:b/>
                <w:noProof/>
                <w:sz w:val="18"/>
              </w:rPr>
            </w:pPr>
          </w:p>
        </w:tc>
      </w:tr>
      <w:tr w:rsidR="006578ED" w14:paraId="73BE4C25" w14:textId="77777777">
        <w:trPr>
          <w:trHeight w:val="309"/>
        </w:trPr>
        <w:tc>
          <w:tcPr>
            <w:tcW w:w="698" w:type="dxa"/>
            <w:shd w:val="clear" w:color="auto" w:fill="C6EFCE"/>
            <w:noWrap/>
          </w:tcPr>
          <w:p w14:paraId="0AF2A92F" w14:textId="77777777" w:rsidR="006578ED" w:rsidRDefault="00A1618E">
            <w:pPr>
              <w:pStyle w:val="P68B1DB1-Normal13"/>
              <w:spacing w:after="0"/>
              <w:jc w:val="center"/>
              <w:rPr>
                <w:rFonts w:eastAsia="Times New Roman" w:cs="Times New Roman"/>
                <w:noProof/>
              </w:rPr>
            </w:pPr>
            <w:r>
              <w:rPr>
                <w:noProof/>
              </w:rPr>
              <w:t>385</w:t>
            </w:r>
          </w:p>
        </w:tc>
        <w:tc>
          <w:tcPr>
            <w:tcW w:w="839" w:type="dxa"/>
            <w:shd w:val="clear" w:color="auto" w:fill="C6EFCE"/>
            <w:noWrap/>
          </w:tcPr>
          <w:p w14:paraId="1A5115C4" w14:textId="77777777" w:rsidR="006578ED" w:rsidRDefault="00A1618E">
            <w:pPr>
              <w:pStyle w:val="P68B1DB1-Normal13"/>
              <w:spacing w:after="0"/>
              <w:jc w:val="center"/>
              <w:rPr>
                <w:rFonts w:eastAsia="Times New Roman" w:cs="Times New Roman"/>
                <w:noProof/>
              </w:rPr>
            </w:pPr>
            <w:r>
              <w:rPr>
                <w:noProof/>
              </w:rPr>
              <w:t>C28.R1</w:t>
            </w:r>
          </w:p>
        </w:tc>
        <w:tc>
          <w:tcPr>
            <w:tcW w:w="838" w:type="dxa"/>
            <w:shd w:val="clear" w:color="auto" w:fill="C6EFCE"/>
            <w:noWrap/>
          </w:tcPr>
          <w:p w14:paraId="33BCC1B1" w14:textId="5D82A388"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6B5F73B2" w14:textId="7A18CD3A" w:rsidR="006578ED" w:rsidRDefault="00A1618E">
            <w:pPr>
              <w:pStyle w:val="P68B1DB1-Normal13"/>
              <w:spacing w:after="0"/>
              <w:rPr>
                <w:rFonts w:eastAsia="Times New Roman" w:cs="Times New Roman"/>
                <w:noProof/>
              </w:rPr>
            </w:pPr>
            <w:r>
              <w:rPr>
                <w:noProof/>
              </w:rPr>
              <w:t>Środki polityki fiskalnej przyjęte w 2020 i 20</w:t>
            </w:r>
            <w:r w:rsidRPr="00A1618E">
              <w:rPr>
                <w:noProof/>
                <w:lang w:val="pl-PL"/>
              </w:rPr>
              <w:t>21 r.</w:t>
            </w:r>
            <w:r>
              <w:rPr>
                <w:noProof/>
              </w:rPr>
              <w:t xml:space="preserve"> w celu złagodzenia skutków pandemii COVID-19.</w:t>
            </w:r>
          </w:p>
        </w:tc>
        <w:tc>
          <w:tcPr>
            <w:tcW w:w="979" w:type="dxa"/>
            <w:shd w:val="clear" w:color="auto" w:fill="C6EFCE"/>
            <w:noWrap/>
          </w:tcPr>
          <w:p w14:paraId="47E6700B" w14:textId="5859CE36" w:rsidR="006578ED" w:rsidRDefault="00A1618E">
            <w:pPr>
              <w:pStyle w:val="P68B1DB1-Normal13"/>
              <w:spacing w:after="0"/>
              <w:jc w:val="center"/>
              <w:rPr>
                <w:rFonts w:eastAsia="Times New Roman" w:cs="Times New Roman"/>
                <w:noProof/>
              </w:rPr>
            </w:pPr>
            <w:r>
              <w:rPr>
                <w:noProof/>
              </w:rPr>
              <w:t xml:space="preserve">Przepis ustaw i dekret królewski z mocą ustawy wskazujący na ich wejście w życie </w:t>
            </w:r>
          </w:p>
        </w:tc>
        <w:tc>
          <w:tcPr>
            <w:tcW w:w="420" w:type="dxa"/>
            <w:shd w:val="clear" w:color="auto" w:fill="C6EFCE"/>
            <w:noWrap/>
          </w:tcPr>
          <w:p w14:paraId="6E6543EA"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DEB53C1"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07F8F4C0"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4D210DC" w14:textId="40AA9662" w:rsidR="006578ED" w:rsidRDefault="00EC188C">
            <w:pPr>
              <w:pStyle w:val="P68B1DB1-Normal13"/>
              <w:spacing w:after="0"/>
              <w:jc w:val="center"/>
              <w:rPr>
                <w:rFonts w:eastAsia="Times New Roman" w:cs="Times New Roman"/>
                <w:noProof/>
              </w:rPr>
            </w:pPr>
            <w:r>
              <w:rPr>
                <w:noProof/>
              </w:rPr>
              <w:t>KW. 1</w:t>
            </w:r>
          </w:p>
        </w:tc>
        <w:tc>
          <w:tcPr>
            <w:tcW w:w="559" w:type="dxa"/>
            <w:shd w:val="clear" w:color="auto" w:fill="C6EFCE"/>
            <w:noWrap/>
          </w:tcPr>
          <w:p w14:paraId="39DDC115" w14:textId="77777777" w:rsidR="006578ED" w:rsidRDefault="00A1618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B451188" w14:textId="023DFB7D" w:rsidR="006578ED" w:rsidRDefault="00A1618E">
            <w:pPr>
              <w:pStyle w:val="P68B1DB1-Normal13"/>
              <w:spacing w:after="0"/>
              <w:rPr>
                <w:rFonts w:eastAsia="Times New Roman" w:cs="Times New Roman"/>
                <w:noProof/>
              </w:rPr>
            </w:pPr>
            <w:r>
              <w:rPr>
                <w:noProof/>
              </w:rPr>
              <w:t>Wejście w życie środków podatkowych przyjętych w 2020 i 20</w:t>
            </w:r>
            <w:r w:rsidRPr="00A1618E">
              <w:rPr>
                <w:noProof/>
                <w:lang w:val="pl-PL"/>
              </w:rPr>
              <w:t>21 r.</w:t>
            </w:r>
            <w:r>
              <w:rPr>
                <w:noProof/>
              </w:rPr>
              <w:t xml:space="preserve"> w celu złagodzenia negatywnych skutków gospodarczych i społecznych pandemii COVID-19:</w:t>
            </w:r>
            <w:r>
              <w:rPr>
                <w:noProof/>
              </w:rPr>
              <w:br/>
              <w:t>1. Przepisy przejściowe: różne dekrety królewskie z mocą ustawy zatwierdzone przez rząd od początku pandemii COVID-19.</w:t>
            </w:r>
            <w:r>
              <w:rPr>
                <w:noProof/>
              </w:rPr>
              <w:br/>
              <w:t>2. Zmiana przepisów państwowych:</w:t>
            </w:r>
            <w:r>
              <w:rPr>
                <w:noProof/>
              </w:rPr>
              <w:br/>
              <w:t>„Królewski dekret ustawodawczy 1/1993 z dnia 24 września 19</w:t>
            </w:r>
            <w:r w:rsidRPr="00A1618E">
              <w:rPr>
                <w:noProof/>
                <w:lang w:val="pl-PL"/>
              </w:rPr>
              <w:t>93 r.</w:t>
            </w:r>
            <w:r>
              <w:rPr>
                <w:noProof/>
              </w:rPr>
              <w:t>, w którym zatwierdzono skonsolidowany tekst ustawy o podatku od przekazów Patrimonicznych i Udokumentowanych Aktów Prawnych.</w:t>
            </w:r>
            <w:r>
              <w:rPr>
                <w:noProof/>
              </w:rPr>
              <w:br/>
              <w:t>Ustawa 37/1992 z dnia 28 grudnia 19</w:t>
            </w:r>
            <w:r w:rsidRPr="00A1618E">
              <w:rPr>
                <w:noProof/>
                <w:lang w:val="pl-PL"/>
              </w:rPr>
              <w:t>92 r.</w:t>
            </w:r>
            <w:r>
              <w:rPr>
                <w:noProof/>
              </w:rPr>
              <w:t xml:space="preserve"> o podatku od wartości dodanej.</w:t>
            </w:r>
            <w:r>
              <w:rPr>
                <w:noProof/>
              </w:rPr>
              <w:br/>
              <w:t xml:space="preserve">Ustawa </w:t>
            </w:r>
            <w:r w:rsidRPr="00A1618E">
              <w:rPr>
                <w:noProof/>
                <w:lang w:val="pl-PL"/>
              </w:rPr>
              <w:t>nr 4</w:t>
            </w:r>
            <w:r>
              <w:rPr>
                <w:noProof/>
              </w:rPr>
              <w:t>9/2002 z dnia 23 grudnia 20</w:t>
            </w:r>
            <w:r w:rsidRPr="00A1618E">
              <w:rPr>
                <w:noProof/>
                <w:lang w:val="pl-PL"/>
              </w:rPr>
              <w:t>02 r.</w:t>
            </w:r>
            <w:r>
              <w:rPr>
                <w:noProof/>
              </w:rPr>
              <w:t xml:space="preserve"> w sprawie systemu podatkowego podmiotów nienastawionych na zysk oraz w sprawie zachęt podatkowych związanych z patronatem.</w:t>
            </w:r>
            <w:r>
              <w:rPr>
                <w:noProof/>
              </w:rPr>
              <w:br/>
              <w:t>[Ustawa 58/2003 z dnia 17 grudnia 20</w:t>
            </w:r>
            <w:r w:rsidRPr="00A1618E">
              <w:rPr>
                <w:noProof/>
                <w:lang w:val="pl-PL"/>
              </w:rPr>
              <w:t>05 r.</w:t>
            </w:r>
            <w:r>
              <w:rPr>
                <w:noProof/>
              </w:rPr>
              <w:t xml:space="preserve"> o podatku powszechnym].</w:t>
            </w:r>
            <w:r>
              <w:rPr>
                <w:noProof/>
              </w:rPr>
              <w:br/>
              <w:t>Ustawa 35/2006 z dnia 28 listopada o podatku dochodowym od osób fizycznych</w:t>
            </w:r>
          </w:p>
        </w:tc>
      </w:tr>
      <w:tr w:rsidR="006578ED" w14:paraId="1B1174ED" w14:textId="77777777">
        <w:trPr>
          <w:trHeight w:val="309"/>
        </w:trPr>
        <w:tc>
          <w:tcPr>
            <w:tcW w:w="698" w:type="dxa"/>
            <w:shd w:val="clear" w:color="auto" w:fill="C6EFCE"/>
            <w:noWrap/>
          </w:tcPr>
          <w:p w14:paraId="667C1B0E" w14:textId="77777777" w:rsidR="006578ED" w:rsidRDefault="00A1618E">
            <w:pPr>
              <w:pStyle w:val="P68B1DB1-Normal13"/>
              <w:spacing w:after="0"/>
              <w:jc w:val="center"/>
              <w:rPr>
                <w:rFonts w:eastAsia="Times New Roman" w:cs="Times New Roman"/>
                <w:noProof/>
              </w:rPr>
            </w:pPr>
            <w:r>
              <w:rPr>
                <w:noProof/>
              </w:rPr>
              <w:t>386</w:t>
            </w:r>
          </w:p>
        </w:tc>
        <w:tc>
          <w:tcPr>
            <w:tcW w:w="839" w:type="dxa"/>
            <w:shd w:val="clear" w:color="auto" w:fill="C6EFCE"/>
            <w:noWrap/>
          </w:tcPr>
          <w:p w14:paraId="4226CC6A" w14:textId="77777777" w:rsidR="006578ED" w:rsidRDefault="00A1618E">
            <w:pPr>
              <w:pStyle w:val="P68B1DB1-Normal13"/>
              <w:spacing w:after="0"/>
              <w:jc w:val="center"/>
              <w:rPr>
                <w:rFonts w:eastAsia="Times New Roman" w:cs="Times New Roman"/>
                <w:noProof/>
              </w:rPr>
            </w:pPr>
            <w:r>
              <w:rPr>
                <w:noProof/>
              </w:rPr>
              <w:t>C28.R2</w:t>
            </w:r>
          </w:p>
        </w:tc>
        <w:tc>
          <w:tcPr>
            <w:tcW w:w="838" w:type="dxa"/>
            <w:shd w:val="clear" w:color="auto" w:fill="C6EFCE"/>
            <w:noWrap/>
          </w:tcPr>
          <w:p w14:paraId="657CE0A9" w14:textId="5F63919A"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02C3B1A7" w14:textId="3AE6BAC1" w:rsidR="006578ED" w:rsidRDefault="00A1618E">
            <w:pPr>
              <w:pStyle w:val="P68B1DB1-Normal13"/>
              <w:spacing w:after="0"/>
              <w:rPr>
                <w:rFonts w:eastAsia="Times New Roman" w:cs="Times New Roman"/>
                <w:noProof/>
              </w:rPr>
            </w:pPr>
            <w:r>
              <w:rPr>
                <w:noProof/>
              </w:rPr>
              <w:t>Przegląd korzyści podatkowych i zmiany</w:t>
            </w:r>
          </w:p>
        </w:tc>
        <w:tc>
          <w:tcPr>
            <w:tcW w:w="979" w:type="dxa"/>
            <w:shd w:val="clear" w:color="auto" w:fill="C6EFCE"/>
            <w:noWrap/>
          </w:tcPr>
          <w:p w14:paraId="2883099E" w14:textId="6CA816E5" w:rsidR="006578ED" w:rsidRDefault="00A1618E">
            <w:pPr>
              <w:pStyle w:val="P68B1DB1-Normal13"/>
              <w:spacing w:after="0"/>
              <w:jc w:val="center"/>
              <w:rPr>
                <w:rFonts w:eastAsia="Times New Roman" w:cs="Times New Roman"/>
                <w:noProof/>
              </w:rPr>
            </w:pPr>
            <w:r>
              <w:rPr>
                <w:noProof/>
              </w:rPr>
              <w:t>Przepisy dotyczące reform wskazujące na ich wejście w życie i publikacja zaleceń grupy roboczej na stronie internetowej poświęconej finansowaniu</w:t>
            </w:r>
          </w:p>
        </w:tc>
        <w:tc>
          <w:tcPr>
            <w:tcW w:w="420" w:type="dxa"/>
            <w:shd w:val="clear" w:color="auto" w:fill="C6EFCE"/>
            <w:noWrap/>
          </w:tcPr>
          <w:p w14:paraId="4614C3D9"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25AA3752"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0E191650"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379C683" w14:textId="286AAB05" w:rsidR="006578ED" w:rsidRDefault="00EC188C">
            <w:pPr>
              <w:pStyle w:val="P68B1DB1-Normal13"/>
              <w:spacing w:after="0"/>
              <w:jc w:val="center"/>
              <w:rPr>
                <w:rFonts w:eastAsia="Times New Roman" w:cs="Times New Roman"/>
                <w:noProof/>
              </w:rPr>
            </w:pPr>
            <w:r>
              <w:rPr>
                <w:noProof/>
              </w:rPr>
              <w:t>KW. 1</w:t>
            </w:r>
          </w:p>
        </w:tc>
        <w:tc>
          <w:tcPr>
            <w:tcW w:w="559" w:type="dxa"/>
            <w:shd w:val="clear" w:color="auto" w:fill="C6EFCE"/>
            <w:noWrap/>
          </w:tcPr>
          <w:p w14:paraId="21C18C6C" w14:textId="77777777" w:rsidR="006578ED" w:rsidRDefault="00A1618E">
            <w:pPr>
              <w:pStyle w:val="P68B1DB1-Normal13"/>
              <w:spacing w:after="0"/>
              <w:jc w:val="center"/>
              <w:rPr>
                <w:rFonts w:eastAsia="Times New Roman" w:cs="Times New Roman"/>
                <w:noProof/>
              </w:rPr>
            </w:pPr>
            <w:r>
              <w:rPr>
                <w:noProof/>
              </w:rPr>
              <w:t>2023</w:t>
            </w:r>
          </w:p>
        </w:tc>
        <w:tc>
          <w:tcPr>
            <w:tcW w:w="6561" w:type="dxa"/>
            <w:gridSpan w:val="2"/>
            <w:shd w:val="clear" w:color="auto" w:fill="C6EFCE"/>
            <w:noWrap/>
          </w:tcPr>
          <w:p w14:paraId="1934D664" w14:textId="791A5EC8" w:rsidR="006578ED" w:rsidRDefault="00A1618E">
            <w:pPr>
              <w:pStyle w:val="P68B1DB1-Normal13"/>
              <w:spacing w:after="0"/>
              <w:rPr>
                <w:rFonts w:eastAsia="Times New Roman" w:cs="Times New Roman"/>
                <w:noProof/>
              </w:rPr>
            </w:pPr>
            <w:r>
              <w:rPr>
                <w:noProof/>
              </w:rPr>
              <w:t xml:space="preserve">Wejście w życie reform regulacyjnych niezbędnych do wdrożenia zaleceń grupy roboczej dotyczących zmiany lub zniesienia 15 korzyści podatkowych. Korzyści podatkowe zostały wybrane pod względem ich znaczenia ilościowego i jakościowego oraz ocenione zgodnie z metodyką AIReF. Reformy regulacyjne mają na celu zwiększenie skuteczności systemu podatkowego, zwiększenie dochodów, wspieranie transformacji ekologicznej i promowanie sprawiedliwości. </w:t>
            </w:r>
          </w:p>
        </w:tc>
      </w:tr>
      <w:tr w:rsidR="006578ED" w14:paraId="15764595" w14:textId="77777777">
        <w:trPr>
          <w:trHeight w:val="309"/>
        </w:trPr>
        <w:tc>
          <w:tcPr>
            <w:tcW w:w="698" w:type="dxa"/>
            <w:shd w:val="clear" w:color="auto" w:fill="C6EFCE"/>
            <w:noWrap/>
          </w:tcPr>
          <w:p w14:paraId="07BF5D3A" w14:textId="77777777" w:rsidR="006578ED" w:rsidRDefault="00A1618E">
            <w:pPr>
              <w:pStyle w:val="P68B1DB1-Normal13"/>
              <w:spacing w:after="0"/>
              <w:jc w:val="center"/>
              <w:rPr>
                <w:rFonts w:eastAsia="Times New Roman" w:cs="Times New Roman"/>
                <w:noProof/>
              </w:rPr>
            </w:pPr>
            <w:r>
              <w:rPr>
                <w:noProof/>
              </w:rPr>
              <w:t>387</w:t>
            </w:r>
          </w:p>
        </w:tc>
        <w:tc>
          <w:tcPr>
            <w:tcW w:w="839" w:type="dxa"/>
            <w:shd w:val="clear" w:color="auto" w:fill="C6EFCE"/>
            <w:noWrap/>
          </w:tcPr>
          <w:p w14:paraId="5368253A" w14:textId="77777777" w:rsidR="006578ED" w:rsidRDefault="00A1618E">
            <w:pPr>
              <w:pStyle w:val="P68B1DB1-Normal13"/>
              <w:spacing w:after="0"/>
              <w:jc w:val="center"/>
              <w:rPr>
                <w:rFonts w:eastAsia="Times New Roman" w:cs="Times New Roman"/>
                <w:noProof/>
              </w:rPr>
            </w:pPr>
            <w:r>
              <w:rPr>
                <w:noProof/>
              </w:rPr>
              <w:t>C28.R3</w:t>
            </w:r>
          </w:p>
        </w:tc>
        <w:tc>
          <w:tcPr>
            <w:tcW w:w="838" w:type="dxa"/>
            <w:shd w:val="clear" w:color="auto" w:fill="C6EFCE"/>
            <w:noWrap/>
          </w:tcPr>
          <w:p w14:paraId="5D6913E3" w14:textId="63A856CB"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232CC1EF" w14:textId="77777777" w:rsidR="006578ED" w:rsidRDefault="00A1618E">
            <w:pPr>
              <w:pStyle w:val="P68B1DB1-Normal13"/>
              <w:spacing w:after="0"/>
              <w:rPr>
                <w:rFonts w:eastAsia="Times New Roman" w:cs="Times New Roman"/>
                <w:noProof/>
              </w:rPr>
            </w:pPr>
            <w:r>
              <w:rPr>
                <w:noProof/>
              </w:rPr>
              <w:t>Mianowanie komitetu ekspertów przez sekretarza stanu finansów.</w:t>
            </w:r>
          </w:p>
        </w:tc>
        <w:tc>
          <w:tcPr>
            <w:tcW w:w="979" w:type="dxa"/>
            <w:shd w:val="clear" w:color="auto" w:fill="C6EFCE"/>
            <w:noWrap/>
          </w:tcPr>
          <w:p w14:paraId="0718B8D5" w14:textId="77777777" w:rsidR="006578ED" w:rsidRDefault="00A1618E">
            <w:pPr>
              <w:pStyle w:val="P68B1DB1-Normal13"/>
              <w:spacing w:after="0"/>
              <w:jc w:val="center"/>
              <w:rPr>
                <w:rFonts w:eastAsia="Times New Roman" w:cs="Times New Roman"/>
                <w:noProof/>
              </w:rPr>
            </w:pPr>
            <w:r>
              <w:rPr>
                <w:noProof/>
              </w:rPr>
              <w:t>Publikacja na stronie internetowej</w:t>
            </w:r>
          </w:p>
        </w:tc>
        <w:tc>
          <w:tcPr>
            <w:tcW w:w="420" w:type="dxa"/>
            <w:shd w:val="clear" w:color="auto" w:fill="C6EFCE"/>
            <w:noWrap/>
          </w:tcPr>
          <w:p w14:paraId="5A777009"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311ED00"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51BDE9C6"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DBE236C" w14:textId="04B4D7BE" w:rsidR="006578ED" w:rsidRDefault="00EC188C">
            <w:pPr>
              <w:pStyle w:val="P68B1DB1-Normal13"/>
              <w:spacing w:after="0"/>
              <w:jc w:val="center"/>
              <w:rPr>
                <w:rFonts w:eastAsia="Times New Roman" w:cs="Times New Roman"/>
                <w:noProof/>
              </w:rPr>
            </w:pPr>
            <w:r>
              <w:rPr>
                <w:noProof/>
              </w:rPr>
              <w:t>KW. 2</w:t>
            </w:r>
          </w:p>
        </w:tc>
        <w:tc>
          <w:tcPr>
            <w:tcW w:w="559" w:type="dxa"/>
            <w:shd w:val="clear" w:color="auto" w:fill="C6EFCE"/>
            <w:noWrap/>
          </w:tcPr>
          <w:p w14:paraId="0261E5EB" w14:textId="77777777" w:rsidR="006578ED" w:rsidRDefault="00A1618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0BE0945" w14:textId="5A89B74E" w:rsidR="006578ED" w:rsidRDefault="00A1618E">
            <w:pPr>
              <w:pStyle w:val="P68B1DB1-Normal13"/>
              <w:spacing w:after="0"/>
              <w:rPr>
                <w:rFonts w:eastAsia="Times New Roman" w:cs="Times New Roman"/>
                <w:noProof/>
              </w:rPr>
            </w:pPr>
            <w:r>
              <w:rPr>
                <w:noProof/>
              </w:rPr>
              <w:t>Powołanie komitetu ekspertów w celu kierowania reformą systemu podatkowego. Komitet jest odpowiedzialny za przeprowadzenie analizy technicznej niezbędnych reform, z uwzględnieniem obecnego scenariusza oraz oczekiwanej sytuacji w perspektywie średnio- i długoterminowej, ze szczególnym uwzględnieniem następujących obszarów: opodatkowanie środowiskowe, opodatkowanie osób prawnych, opodatkowanie gospodarki cyfrowej, opodatkowanie majątku i konkretna harmonizacja w tej dziedzinie, opodatkowanie powstających rodzajów działalności gospodarczej.</w:t>
            </w:r>
          </w:p>
        </w:tc>
      </w:tr>
      <w:tr w:rsidR="006578ED" w14:paraId="61D5D730" w14:textId="77777777">
        <w:trPr>
          <w:trHeight w:val="309"/>
        </w:trPr>
        <w:tc>
          <w:tcPr>
            <w:tcW w:w="698" w:type="dxa"/>
            <w:shd w:val="clear" w:color="auto" w:fill="C6EFCE"/>
            <w:noWrap/>
          </w:tcPr>
          <w:p w14:paraId="7558215D" w14:textId="77777777" w:rsidR="006578ED" w:rsidRDefault="00A1618E">
            <w:pPr>
              <w:pStyle w:val="P68B1DB1-Normal13"/>
              <w:spacing w:after="0"/>
              <w:jc w:val="center"/>
              <w:rPr>
                <w:rFonts w:eastAsia="Times New Roman" w:cs="Times New Roman"/>
                <w:noProof/>
              </w:rPr>
            </w:pPr>
            <w:r>
              <w:rPr>
                <w:noProof/>
              </w:rPr>
              <w:t>388</w:t>
            </w:r>
          </w:p>
        </w:tc>
        <w:tc>
          <w:tcPr>
            <w:tcW w:w="839" w:type="dxa"/>
            <w:shd w:val="clear" w:color="auto" w:fill="C6EFCE"/>
            <w:noWrap/>
          </w:tcPr>
          <w:p w14:paraId="5104DB5C" w14:textId="77777777" w:rsidR="006578ED" w:rsidRDefault="00A1618E">
            <w:pPr>
              <w:pStyle w:val="P68B1DB1-Normal13"/>
              <w:spacing w:after="0"/>
              <w:jc w:val="center"/>
              <w:rPr>
                <w:rFonts w:eastAsia="Times New Roman" w:cs="Times New Roman"/>
                <w:noProof/>
              </w:rPr>
            </w:pPr>
            <w:r>
              <w:rPr>
                <w:noProof/>
              </w:rPr>
              <w:t>C28.R3</w:t>
            </w:r>
          </w:p>
        </w:tc>
        <w:tc>
          <w:tcPr>
            <w:tcW w:w="838" w:type="dxa"/>
            <w:shd w:val="clear" w:color="auto" w:fill="C6EFCE"/>
            <w:noWrap/>
          </w:tcPr>
          <w:p w14:paraId="42603E1A" w14:textId="175E1C2F"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013B3195" w14:textId="449260D7" w:rsidR="006578ED" w:rsidRDefault="00A1618E">
            <w:pPr>
              <w:pStyle w:val="P68B1DB1-Normal13"/>
              <w:spacing w:after="0"/>
              <w:rPr>
                <w:rFonts w:eastAsia="Times New Roman" w:cs="Times New Roman"/>
                <w:noProof/>
              </w:rPr>
            </w:pPr>
            <w:r>
              <w:rPr>
                <w:noProof/>
              </w:rPr>
              <w:t>Wejście w życie reform wynikających z zaleceń Komitetu</w:t>
            </w:r>
          </w:p>
        </w:tc>
        <w:tc>
          <w:tcPr>
            <w:tcW w:w="979" w:type="dxa"/>
            <w:shd w:val="clear" w:color="auto" w:fill="C6EFCE"/>
            <w:noWrap/>
          </w:tcPr>
          <w:p w14:paraId="56E9D534" w14:textId="1EE475BF" w:rsidR="006578ED" w:rsidRDefault="00A1618E">
            <w:pPr>
              <w:pStyle w:val="P68B1DB1-Normal13"/>
              <w:spacing w:after="0"/>
              <w:jc w:val="center"/>
              <w:rPr>
                <w:rFonts w:eastAsia="Times New Roman" w:cs="Times New Roman"/>
                <w:noProof/>
              </w:rPr>
            </w:pPr>
            <w:r>
              <w:rPr>
                <w:noProof/>
              </w:rPr>
              <w:t xml:space="preserve">Przepisy reform wskazujące na ich wejście w życie </w:t>
            </w:r>
          </w:p>
        </w:tc>
        <w:tc>
          <w:tcPr>
            <w:tcW w:w="420" w:type="dxa"/>
            <w:shd w:val="clear" w:color="auto" w:fill="C6EFCE"/>
            <w:noWrap/>
          </w:tcPr>
          <w:p w14:paraId="63A50EF2"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4E3B4429"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52B2C876"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2FC14277" w14:textId="32749543" w:rsidR="006578ED" w:rsidRDefault="00EC188C">
            <w:pPr>
              <w:pStyle w:val="P68B1DB1-Normal13"/>
              <w:spacing w:after="0"/>
              <w:jc w:val="center"/>
              <w:rPr>
                <w:rFonts w:eastAsia="Times New Roman" w:cs="Times New Roman"/>
                <w:noProof/>
              </w:rPr>
            </w:pPr>
            <w:r>
              <w:rPr>
                <w:noProof/>
              </w:rPr>
              <w:t>KW. 1</w:t>
            </w:r>
          </w:p>
        </w:tc>
        <w:tc>
          <w:tcPr>
            <w:tcW w:w="559" w:type="dxa"/>
            <w:shd w:val="clear" w:color="auto" w:fill="C6EFCE"/>
            <w:noWrap/>
          </w:tcPr>
          <w:p w14:paraId="241FA2C7" w14:textId="77777777" w:rsidR="006578ED" w:rsidRDefault="00A1618E">
            <w:pPr>
              <w:pStyle w:val="P68B1DB1-Normal13"/>
              <w:spacing w:after="0"/>
              <w:jc w:val="center"/>
              <w:rPr>
                <w:rFonts w:eastAsia="Times New Roman" w:cs="Times New Roman"/>
                <w:noProof/>
              </w:rPr>
            </w:pPr>
            <w:r>
              <w:rPr>
                <w:noProof/>
              </w:rPr>
              <w:t>2023</w:t>
            </w:r>
          </w:p>
        </w:tc>
        <w:tc>
          <w:tcPr>
            <w:tcW w:w="6561" w:type="dxa"/>
            <w:gridSpan w:val="2"/>
            <w:shd w:val="clear" w:color="auto" w:fill="C6EFCE"/>
            <w:noWrap/>
          </w:tcPr>
          <w:p w14:paraId="6CB47412" w14:textId="33FF3887" w:rsidR="006578ED" w:rsidRDefault="00A1618E">
            <w:pPr>
              <w:pStyle w:val="P68B1DB1-Normal13"/>
              <w:spacing w:after="0"/>
              <w:rPr>
                <w:rFonts w:eastAsia="Times New Roman" w:cs="Times New Roman"/>
                <w:noProof/>
              </w:rPr>
            </w:pPr>
            <w:r>
              <w:rPr>
                <w:noProof/>
              </w:rPr>
              <w:t>Wejście w życie reform wynikających z zaleceń komitetu ekspertów dotyczących różnych elementów hiszpańskiego systemu podatkowego, z myślą o zbliżeniu stosunku dochodów sektora instytucji rządowych i samorządowych do PKB w Hiszpanii do średniej UE, zapewnieniu minimalnego opodatkowania osób prawnych, zwiększeniu skuteczności systemu podatkowego, jego modernizacji i dostosowaniu do nowych tendencji, w tym perspektywy płci, ze szczególnym uwzględnieniem kwestii związanych z ochroną środowiska, opodatkowaniem osób prawnych, opodatkowaniem gospodarki cyfrowej, harmonizacją opodatkowania majątku i opodatkowaniem powstających rodzajów działalności gospodarczej. Reformom towarzyszy również analiza ich skutków dystrybucyjnych, ze szczególnym uwzględnieniem rodzin z dziećmi.</w:t>
            </w:r>
          </w:p>
        </w:tc>
      </w:tr>
      <w:tr w:rsidR="006578ED" w14:paraId="13CBA163" w14:textId="77777777">
        <w:trPr>
          <w:trHeight w:val="309"/>
        </w:trPr>
        <w:tc>
          <w:tcPr>
            <w:tcW w:w="698" w:type="dxa"/>
            <w:shd w:val="clear" w:color="auto" w:fill="C6EFCE"/>
            <w:noWrap/>
          </w:tcPr>
          <w:p w14:paraId="63AD47FE" w14:textId="77777777" w:rsidR="006578ED" w:rsidRDefault="00A1618E">
            <w:pPr>
              <w:pStyle w:val="P68B1DB1-Normal13"/>
              <w:spacing w:after="0"/>
              <w:jc w:val="center"/>
              <w:rPr>
                <w:rFonts w:eastAsia="Times New Roman" w:cs="Times New Roman"/>
                <w:noProof/>
              </w:rPr>
            </w:pPr>
            <w:r>
              <w:rPr>
                <w:noProof/>
              </w:rPr>
              <w:t>389</w:t>
            </w:r>
          </w:p>
        </w:tc>
        <w:tc>
          <w:tcPr>
            <w:tcW w:w="839" w:type="dxa"/>
            <w:shd w:val="clear" w:color="auto" w:fill="C6EFCE"/>
            <w:noWrap/>
          </w:tcPr>
          <w:p w14:paraId="09AFC946" w14:textId="77777777" w:rsidR="006578ED" w:rsidRDefault="00A1618E">
            <w:pPr>
              <w:pStyle w:val="P68B1DB1-Normal13"/>
              <w:spacing w:after="0"/>
              <w:jc w:val="center"/>
              <w:rPr>
                <w:rFonts w:eastAsia="Times New Roman" w:cs="Times New Roman"/>
                <w:noProof/>
              </w:rPr>
            </w:pPr>
            <w:r>
              <w:rPr>
                <w:noProof/>
              </w:rPr>
              <w:t>C28.R4</w:t>
            </w:r>
          </w:p>
        </w:tc>
        <w:tc>
          <w:tcPr>
            <w:tcW w:w="838" w:type="dxa"/>
            <w:shd w:val="clear" w:color="auto" w:fill="C6EFCE"/>
            <w:noWrap/>
          </w:tcPr>
          <w:p w14:paraId="37C9286B" w14:textId="1825E87B"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3B206E3B" w14:textId="38654821" w:rsidR="006578ED" w:rsidRDefault="00A1618E">
            <w:pPr>
              <w:pStyle w:val="P68B1DB1-Normal13"/>
              <w:spacing w:after="0"/>
              <w:rPr>
                <w:rFonts w:eastAsia="Times New Roman" w:cs="Times New Roman"/>
                <w:noProof/>
              </w:rPr>
            </w:pPr>
            <w:r>
              <w:rPr>
                <w:noProof/>
              </w:rPr>
              <w:t>Podatki od produktów jednorazowego użytku z tworzyw sztucznych i odpadów</w:t>
            </w:r>
          </w:p>
        </w:tc>
        <w:tc>
          <w:tcPr>
            <w:tcW w:w="979" w:type="dxa"/>
            <w:shd w:val="clear" w:color="auto" w:fill="C6EFCE"/>
            <w:noWrap/>
          </w:tcPr>
          <w:p w14:paraId="6631B3B5" w14:textId="22B626AF" w:rsidR="006578ED" w:rsidRDefault="00A1618E">
            <w:pPr>
              <w:pStyle w:val="P68B1DB1-Normal13"/>
              <w:spacing w:after="0"/>
              <w:jc w:val="center"/>
              <w:rPr>
                <w:rFonts w:eastAsia="Times New Roman" w:cs="Times New Roman"/>
                <w:noProof/>
              </w:rPr>
            </w:pPr>
            <w:r>
              <w:rPr>
                <w:noProof/>
              </w:rPr>
              <w:t xml:space="preserve">Przepis ustawy wskazujący na jej wejście w życie </w:t>
            </w:r>
          </w:p>
        </w:tc>
        <w:tc>
          <w:tcPr>
            <w:tcW w:w="420" w:type="dxa"/>
            <w:shd w:val="clear" w:color="auto" w:fill="C6EFCE"/>
            <w:noWrap/>
          </w:tcPr>
          <w:p w14:paraId="1BC824A3"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68323AAF"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6A0231A0"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136B019" w14:textId="2F233149" w:rsidR="006578ED" w:rsidRDefault="00EC188C">
            <w:pPr>
              <w:pStyle w:val="P68B1DB1-Normal13"/>
              <w:spacing w:after="0"/>
              <w:jc w:val="center"/>
              <w:rPr>
                <w:rFonts w:eastAsia="Times New Roman" w:cs="Times New Roman"/>
                <w:noProof/>
              </w:rPr>
            </w:pPr>
            <w:r>
              <w:rPr>
                <w:noProof/>
              </w:rPr>
              <w:t>KW. 3</w:t>
            </w:r>
          </w:p>
        </w:tc>
        <w:tc>
          <w:tcPr>
            <w:tcW w:w="559" w:type="dxa"/>
            <w:shd w:val="clear" w:color="auto" w:fill="C6EFCE"/>
            <w:noWrap/>
          </w:tcPr>
          <w:p w14:paraId="5A0E9B47" w14:textId="77777777" w:rsidR="006578ED" w:rsidRDefault="00A1618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7D67D7B8" w14:textId="3AB23445" w:rsidR="006578ED" w:rsidRDefault="00A1618E">
            <w:pPr>
              <w:pStyle w:val="P68B1DB1-Normal13"/>
              <w:spacing w:after="0"/>
              <w:rPr>
                <w:rFonts w:eastAsia="Times New Roman" w:cs="Times New Roman"/>
                <w:noProof/>
              </w:rPr>
            </w:pPr>
            <w:r>
              <w:rPr>
                <w:noProof/>
              </w:rPr>
              <w:t>Wejście w życie ustawy regulującej podatki od tworzyw sztucznych oraz składowania i spalania odpadów w celu promowania gospodarki o obiegu zamkniętym i ograniczenia stosowania produktów jednorazowego użytku z tworzyw sztucznych.</w:t>
            </w:r>
          </w:p>
        </w:tc>
      </w:tr>
      <w:tr w:rsidR="006578ED" w14:paraId="37F913A7" w14:textId="77777777">
        <w:trPr>
          <w:trHeight w:val="309"/>
        </w:trPr>
        <w:tc>
          <w:tcPr>
            <w:tcW w:w="698" w:type="dxa"/>
            <w:shd w:val="clear" w:color="auto" w:fill="C6EFCE"/>
            <w:noWrap/>
          </w:tcPr>
          <w:p w14:paraId="05FB0A0A" w14:textId="77777777" w:rsidR="006578ED" w:rsidRDefault="00A1618E">
            <w:pPr>
              <w:pStyle w:val="P68B1DB1-Normal13"/>
              <w:spacing w:after="0"/>
              <w:jc w:val="center"/>
              <w:rPr>
                <w:rFonts w:eastAsia="Times New Roman" w:cs="Times New Roman"/>
                <w:noProof/>
              </w:rPr>
            </w:pPr>
            <w:r>
              <w:rPr>
                <w:noProof/>
              </w:rPr>
              <w:t>390</w:t>
            </w:r>
          </w:p>
        </w:tc>
        <w:tc>
          <w:tcPr>
            <w:tcW w:w="839" w:type="dxa"/>
            <w:shd w:val="clear" w:color="auto" w:fill="C6EFCE"/>
            <w:noWrap/>
          </w:tcPr>
          <w:p w14:paraId="0ABCE885" w14:textId="77777777" w:rsidR="006578ED" w:rsidRDefault="00A1618E">
            <w:pPr>
              <w:pStyle w:val="P68B1DB1-Normal13"/>
              <w:spacing w:after="0"/>
              <w:jc w:val="center"/>
              <w:rPr>
                <w:rFonts w:eastAsia="Times New Roman" w:cs="Times New Roman"/>
                <w:noProof/>
              </w:rPr>
            </w:pPr>
            <w:r>
              <w:rPr>
                <w:noProof/>
              </w:rPr>
              <w:t>C28.R4</w:t>
            </w:r>
          </w:p>
        </w:tc>
        <w:tc>
          <w:tcPr>
            <w:tcW w:w="838" w:type="dxa"/>
            <w:shd w:val="clear" w:color="auto" w:fill="C6EFCE"/>
            <w:noWrap/>
          </w:tcPr>
          <w:p w14:paraId="0C30E35A" w14:textId="225C0BD2"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4A8EAD8A" w14:textId="249D66B8" w:rsidR="006578ED" w:rsidRDefault="00A1618E">
            <w:pPr>
              <w:pStyle w:val="P68B1DB1-Normal13"/>
              <w:spacing w:after="0"/>
              <w:rPr>
                <w:rFonts w:eastAsia="Times New Roman" w:cs="Times New Roman"/>
                <w:noProof/>
              </w:rPr>
            </w:pPr>
            <w:r>
              <w:rPr>
                <w:noProof/>
              </w:rPr>
              <w:t>Analiza podatku rejestracyjnego od pojazdów i podatku drogowego</w:t>
            </w:r>
          </w:p>
        </w:tc>
        <w:tc>
          <w:tcPr>
            <w:tcW w:w="979" w:type="dxa"/>
            <w:shd w:val="clear" w:color="auto" w:fill="C6EFCE"/>
            <w:noWrap/>
          </w:tcPr>
          <w:p w14:paraId="5EA469A9" w14:textId="77777777" w:rsidR="006578ED" w:rsidRDefault="00A1618E">
            <w:pPr>
              <w:pStyle w:val="P68B1DB1-Normal13"/>
              <w:spacing w:after="0"/>
              <w:jc w:val="center"/>
              <w:rPr>
                <w:rFonts w:eastAsia="Times New Roman" w:cs="Times New Roman"/>
                <w:noProof/>
              </w:rPr>
            </w:pPr>
            <w:r>
              <w:rPr>
                <w:noProof/>
              </w:rPr>
              <w:t>Publikacja na stronie internetowej</w:t>
            </w:r>
          </w:p>
        </w:tc>
        <w:tc>
          <w:tcPr>
            <w:tcW w:w="420" w:type="dxa"/>
            <w:shd w:val="clear" w:color="auto" w:fill="C6EFCE"/>
            <w:noWrap/>
          </w:tcPr>
          <w:p w14:paraId="64767320"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2F2B80B2"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32F4FFFC"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C0D3FC8" w14:textId="0658C3CE" w:rsidR="006578ED" w:rsidRDefault="00EC188C">
            <w:pPr>
              <w:pStyle w:val="P68B1DB1-Normal13"/>
              <w:spacing w:after="0"/>
              <w:jc w:val="center"/>
              <w:rPr>
                <w:rFonts w:eastAsia="Times New Roman" w:cs="Times New Roman"/>
                <w:noProof/>
              </w:rPr>
            </w:pPr>
            <w:r>
              <w:rPr>
                <w:noProof/>
              </w:rPr>
              <w:t>KW. 1</w:t>
            </w:r>
          </w:p>
        </w:tc>
        <w:tc>
          <w:tcPr>
            <w:tcW w:w="559" w:type="dxa"/>
            <w:shd w:val="clear" w:color="auto" w:fill="C6EFCE"/>
            <w:noWrap/>
          </w:tcPr>
          <w:p w14:paraId="2354E8AC" w14:textId="77777777" w:rsidR="006578ED" w:rsidRDefault="00A1618E">
            <w:pPr>
              <w:pStyle w:val="P68B1DB1-Normal13"/>
              <w:spacing w:after="0"/>
              <w:jc w:val="center"/>
              <w:rPr>
                <w:rFonts w:eastAsia="Times New Roman" w:cs="Times New Roman"/>
                <w:noProof/>
              </w:rPr>
            </w:pPr>
            <w:r>
              <w:rPr>
                <w:noProof/>
              </w:rPr>
              <w:t>2022</w:t>
            </w:r>
          </w:p>
        </w:tc>
        <w:tc>
          <w:tcPr>
            <w:tcW w:w="6561" w:type="dxa"/>
            <w:gridSpan w:val="2"/>
            <w:shd w:val="clear" w:color="auto" w:fill="C6EFCE"/>
            <w:noWrap/>
          </w:tcPr>
          <w:p w14:paraId="0B6EE2A2" w14:textId="54755CE4" w:rsidR="006578ED" w:rsidRDefault="00A1618E">
            <w:pPr>
              <w:pStyle w:val="P68B1DB1-Normal13"/>
              <w:spacing w:after="0"/>
              <w:rPr>
                <w:rFonts w:eastAsia="Times New Roman" w:cs="Times New Roman"/>
                <w:noProof/>
              </w:rPr>
            </w:pPr>
            <w:r>
              <w:rPr>
                <w:noProof/>
              </w:rPr>
              <w:t xml:space="preserve">Reforma przewiduje analizę podatku rejestracyjnego od pojazdów, podatku drogowego lub opłat takich jak opłaty drogowe. Na podstawie tej analizy rozważona zostanie rewizja ustawy w celu promowania bardziej zrównoważonego transportu drogowego i ograniczenia emisji gazów cieplarnianych. </w:t>
            </w:r>
          </w:p>
        </w:tc>
      </w:tr>
      <w:tr w:rsidR="006578ED" w14:paraId="687375F6" w14:textId="77777777">
        <w:trPr>
          <w:trHeight w:val="309"/>
        </w:trPr>
        <w:tc>
          <w:tcPr>
            <w:tcW w:w="698" w:type="dxa"/>
            <w:shd w:val="clear" w:color="auto" w:fill="C6EFCE"/>
            <w:noWrap/>
          </w:tcPr>
          <w:p w14:paraId="6973CD59" w14:textId="77777777" w:rsidR="006578ED" w:rsidRDefault="00A1618E">
            <w:pPr>
              <w:pStyle w:val="P68B1DB1-Normal13"/>
              <w:spacing w:after="0"/>
              <w:jc w:val="center"/>
              <w:rPr>
                <w:rFonts w:eastAsia="Times New Roman" w:cs="Times New Roman"/>
                <w:noProof/>
              </w:rPr>
            </w:pPr>
            <w:r>
              <w:rPr>
                <w:noProof/>
              </w:rPr>
              <w:t>391</w:t>
            </w:r>
          </w:p>
        </w:tc>
        <w:tc>
          <w:tcPr>
            <w:tcW w:w="839" w:type="dxa"/>
            <w:shd w:val="clear" w:color="auto" w:fill="C6EFCE"/>
            <w:noWrap/>
          </w:tcPr>
          <w:p w14:paraId="1A99CDD0" w14:textId="77777777" w:rsidR="006578ED" w:rsidRDefault="00A1618E">
            <w:pPr>
              <w:pStyle w:val="P68B1DB1-Normal13"/>
              <w:spacing w:after="0"/>
              <w:jc w:val="center"/>
              <w:rPr>
                <w:rFonts w:eastAsia="Times New Roman" w:cs="Times New Roman"/>
                <w:noProof/>
              </w:rPr>
            </w:pPr>
            <w:r>
              <w:rPr>
                <w:noProof/>
              </w:rPr>
              <w:t>C28.R4</w:t>
            </w:r>
          </w:p>
        </w:tc>
        <w:tc>
          <w:tcPr>
            <w:tcW w:w="838" w:type="dxa"/>
            <w:shd w:val="clear" w:color="auto" w:fill="C6EFCE"/>
            <w:noWrap/>
          </w:tcPr>
          <w:p w14:paraId="19796F6B" w14:textId="30B2C810"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62B420F4" w14:textId="1F794290" w:rsidR="006578ED" w:rsidRDefault="00A1618E">
            <w:pPr>
              <w:pStyle w:val="P68B1DB1-Normal13"/>
              <w:spacing w:after="0"/>
              <w:rPr>
                <w:rFonts w:eastAsia="Times New Roman" w:cs="Times New Roman"/>
                <w:noProof/>
              </w:rPr>
            </w:pPr>
            <w:r>
              <w:rPr>
                <w:noProof/>
              </w:rPr>
              <w:t xml:space="preserve">Wejście w życie reformy podatku od gazów fluorowanych </w:t>
            </w:r>
          </w:p>
        </w:tc>
        <w:tc>
          <w:tcPr>
            <w:tcW w:w="979" w:type="dxa"/>
            <w:shd w:val="clear" w:color="auto" w:fill="C6EFCE"/>
            <w:noWrap/>
          </w:tcPr>
          <w:p w14:paraId="33611C9D" w14:textId="727A8EB4" w:rsidR="006578ED" w:rsidRDefault="00A1618E">
            <w:pPr>
              <w:pStyle w:val="P68B1DB1-Normal13"/>
              <w:spacing w:after="0"/>
              <w:jc w:val="center"/>
              <w:rPr>
                <w:rFonts w:eastAsia="Times New Roman" w:cs="Times New Roman"/>
                <w:noProof/>
              </w:rPr>
            </w:pPr>
            <w:r>
              <w:rPr>
                <w:noProof/>
              </w:rPr>
              <w:t xml:space="preserve">Przepis ustawy wskazujący na jej wejście w życie </w:t>
            </w:r>
          </w:p>
        </w:tc>
        <w:tc>
          <w:tcPr>
            <w:tcW w:w="420" w:type="dxa"/>
            <w:shd w:val="clear" w:color="auto" w:fill="C6EFCE"/>
            <w:noWrap/>
          </w:tcPr>
          <w:p w14:paraId="2F93830F"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4917AFFD"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2CC75913" w14:textId="77777777" w:rsidR="006578ED" w:rsidRDefault="00A1618E">
            <w:pPr>
              <w:pStyle w:val="P68B1DB1-Normal13"/>
              <w:spacing w:after="0"/>
              <w:rPr>
                <w:rFonts w:eastAsia="Times New Roman" w:cs="Times New Roman"/>
                <w:noProof/>
              </w:rPr>
            </w:pPr>
            <w:r>
              <w:rPr>
                <w:noProof/>
              </w:rPr>
              <w:t xml:space="preserve"> </w:t>
            </w:r>
          </w:p>
        </w:tc>
        <w:tc>
          <w:tcPr>
            <w:tcW w:w="420" w:type="dxa"/>
            <w:shd w:val="clear" w:color="auto" w:fill="C6EFCE"/>
            <w:noWrap/>
          </w:tcPr>
          <w:p w14:paraId="76B0F169" w14:textId="7468DAE7" w:rsidR="006578ED" w:rsidRDefault="00EC188C">
            <w:pPr>
              <w:pStyle w:val="P68B1DB1-Normal13"/>
              <w:spacing w:after="0"/>
              <w:jc w:val="center"/>
              <w:rPr>
                <w:rFonts w:eastAsia="Times New Roman" w:cs="Times New Roman"/>
                <w:noProof/>
              </w:rPr>
            </w:pPr>
            <w:r>
              <w:rPr>
                <w:noProof/>
              </w:rPr>
              <w:t>KW. 2</w:t>
            </w:r>
          </w:p>
        </w:tc>
        <w:tc>
          <w:tcPr>
            <w:tcW w:w="559" w:type="dxa"/>
            <w:shd w:val="clear" w:color="auto" w:fill="C6EFCE"/>
            <w:noWrap/>
          </w:tcPr>
          <w:p w14:paraId="7D2A3C3B" w14:textId="77777777" w:rsidR="006578ED" w:rsidRDefault="00A1618E">
            <w:pPr>
              <w:pStyle w:val="P68B1DB1-Normal13"/>
              <w:spacing w:after="0"/>
              <w:jc w:val="center"/>
              <w:rPr>
                <w:rFonts w:eastAsia="Times New Roman" w:cs="Times New Roman"/>
                <w:noProof/>
              </w:rPr>
            </w:pPr>
            <w:r>
              <w:rPr>
                <w:noProof/>
              </w:rPr>
              <w:t>2022</w:t>
            </w:r>
          </w:p>
        </w:tc>
        <w:tc>
          <w:tcPr>
            <w:tcW w:w="6561" w:type="dxa"/>
            <w:gridSpan w:val="2"/>
            <w:shd w:val="clear" w:color="auto" w:fill="C6EFCE"/>
            <w:noWrap/>
          </w:tcPr>
          <w:p w14:paraId="5855A3A2" w14:textId="42FBE0C2" w:rsidR="006578ED" w:rsidRDefault="00A1618E">
            <w:pPr>
              <w:pStyle w:val="P68B1DB1-Normal13"/>
              <w:spacing w:after="0"/>
              <w:rPr>
                <w:rFonts w:eastAsia="Times New Roman" w:cs="Times New Roman"/>
                <w:noProof/>
              </w:rPr>
            </w:pPr>
            <w:r>
              <w:rPr>
                <w:noProof/>
              </w:rPr>
              <w:t xml:space="preserve">Wejście w życie reformy podatku od gazów fluorowanych w celu zniechęcenia do ich stosowania i ograniczenia unikania opodatkowania. </w:t>
            </w:r>
          </w:p>
        </w:tc>
      </w:tr>
      <w:tr w:rsidR="006578ED" w14:paraId="47F6F49D" w14:textId="77777777">
        <w:trPr>
          <w:trHeight w:val="309"/>
        </w:trPr>
        <w:tc>
          <w:tcPr>
            <w:tcW w:w="698" w:type="dxa"/>
            <w:shd w:val="clear" w:color="auto" w:fill="C6EFCE"/>
            <w:noWrap/>
          </w:tcPr>
          <w:p w14:paraId="30813EBA" w14:textId="77777777" w:rsidR="006578ED" w:rsidRDefault="00A1618E">
            <w:pPr>
              <w:pStyle w:val="P68B1DB1-Normal13"/>
              <w:spacing w:after="0"/>
              <w:jc w:val="center"/>
              <w:rPr>
                <w:rFonts w:eastAsia="Times New Roman" w:cs="Times New Roman"/>
                <w:noProof/>
              </w:rPr>
            </w:pPr>
            <w:r>
              <w:rPr>
                <w:noProof/>
              </w:rPr>
              <w:t>392</w:t>
            </w:r>
          </w:p>
        </w:tc>
        <w:tc>
          <w:tcPr>
            <w:tcW w:w="839" w:type="dxa"/>
            <w:shd w:val="clear" w:color="auto" w:fill="C6EFCE"/>
            <w:noWrap/>
          </w:tcPr>
          <w:p w14:paraId="69502FAC" w14:textId="77777777" w:rsidR="006578ED" w:rsidRDefault="00A1618E">
            <w:pPr>
              <w:pStyle w:val="P68B1DB1-Normal13"/>
              <w:spacing w:after="0"/>
              <w:jc w:val="center"/>
              <w:rPr>
                <w:rFonts w:eastAsia="Times New Roman" w:cs="Times New Roman"/>
                <w:noProof/>
              </w:rPr>
            </w:pPr>
            <w:r>
              <w:rPr>
                <w:noProof/>
              </w:rPr>
              <w:t>C28.R5</w:t>
            </w:r>
          </w:p>
        </w:tc>
        <w:tc>
          <w:tcPr>
            <w:tcW w:w="838" w:type="dxa"/>
            <w:shd w:val="clear" w:color="auto" w:fill="C6EFCE"/>
            <w:noWrap/>
          </w:tcPr>
          <w:p w14:paraId="4441CBFA" w14:textId="20C3D4E0"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2B3AFE47" w14:textId="77777777" w:rsidR="006578ED" w:rsidRDefault="00A1618E">
            <w:pPr>
              <w:pStyle w:val="P68B1DB1-Normal13"/>
              <w:spacing w:after="0"/>
              <w:rPr>
                <w:rFonts w:eastAsia="Times New Roman" w:cs="Times New Roman"/>
                <w:noProof/>
              </w:rPr>
            </w:pPr>
            <w:r>
              <w:rPr>
                <w:noProof/>
              </w:rPr>
              <w:t>Podatek od usług cyfrowych</w:t>
            </w:r>
          </w:p>
        </w:tc>
        <w:tc>
          <w:tcPr>
            <w:tcW w:w="979" w:type="dxa"/>
            <w:shd w:val="clear" w:color="auto" w:fill="C6EFCE"/>
            <w:noWrap/>
          </w:tcPr>
          <w:p w14:paraId="1139B613" w14:textId="504B4CDE" w:rsidR="006578ED" w:rsidRDefault="00A1618E">
            <w:pPr>
              <w:pStyle w:val="P68B1DB1-Normal13"/>
              <w:spacing w:after="0"/>
              <w:jc w:val="center"/>
              <w:rPr>
                <w:rFonts w:eastAsia="Times New Roman" w:cs="Times New Roman"/>
                <w:noProof/>
              </w:rPr>
            </w:pPr>
            <w:r>
              <w:rPr>
                <w:noProof/>
              </w:rPr>
              <w:t xml:space="preserve">Przepis ustawy wskazujący na jej wejście w życie </w:t>
            </w:r>
          </w:p>
        </w:tc>
        <w:tc>
          <w:tcPr>
            <w:tcW w:w="420" w:type="dxa"/>
            <w:shd w:val="clear" w:color="auto" w:fill="C6EFCE"/>
            <w:noWrap/>
          </w:tcPr>
          <w:p w14:paraId="6E0AA6EE"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29B2E2DC"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4EB5E910"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33BAEE2B" w14:textId="7E6DF12A" w:rsidR="006578ED" w:rsidRDefault="00EC188C">
            <w:pPr>
              <w:pStyle w:val="P68B1DB1-Normal13"/>
              <w:spacing w:after="0"/>
              <w:jc w:val="center"/>
              <w:rPr>
                <w:rFonts w:eastAsia="Times New Roman" w:cs="Times New Roman"/>
                <w:noProof/>
              </w:rPr>
            </w:pPr>
            <w:r>
              <w:rPr>
                <w:noProof/>
              </w:rPr>
              <w:t>KW. 1</w:t>
            </w:r>
          </w:p>
        </w:tc>
        <w:tc>
          <w:tcPr>
            <w:tcW w:w="559" w:type="dxa"/>
            <w:shd w:val="clear" w:color="auto" w:fill="C6EFCE"/>
            <w:noWrap/>
          </w:tcPr>
          <w:p w14:paraId="254FBBEB" w14:textId="77777777" w:rsidR="006578ED" w:rsidRDefault="00A1618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7EE8E71B" w14:textId="6A324BDC" w:rsidR="006578ED" w:rsidRDefault="00A1618E">
            <w:pPr>
              <w:pStyle w:val="P68B1DB1-Normal13"/>
              <w:spacing w:after="0"/>
              <w:rPr>
                <w:rFonts w:eastAsia="Times New Roman" w:cs="Times New Roman"/>
                <w:noProof/>
              </w:rPr>
            </w:pPr>
            <w:r>
              <w:rPr>
                <w:noProof/>
              </w:rPr>
              <w:t>Wejście w życie ustawy o niektórych usługach cyfrowych (</w:t>
            </w:r>
            <w:r>
              <w:rPr>
                <w:i/>
                <w:noProof/>
              </w:rPr>
              <w:t xml:space="preserve">Ley 4/2020, </w:t>
            </w:r>
            <w:r w:rsidRPr="00A1618E">
              <w:rPr>
                <w:i/>
                <w:noProof/>
                <w:lang w:val="pl-PL"/>
              </w:rPr>
              <w:t>de 1</w:t>
            </w:r>
            <w:r>
              <w:rPr>
                <w:i/>
                <w:noProof/>
              </w:rPr>
              <w:t>5 de octubre, del Impuesto sobre Determinados Servicios Digitales)</w:t>
            </w:r>
            <w:r>
              <w:rPr>
                <w:noProof/>
              </w:rPr>
              <w:t>w celu generowania nowych źródeł dochodów dla rządu w oparciu o powstające sektory działalności przy jednoczesnym rozwijaniu systemu podatkowego w spójny sposób i w stosownych przypadkach w kontekście międzynarodowym.</w:t>
            </w:r>
          </w:p>
        </w:tc>
      </w:tr>
      <w:tr w:rsidR="006578ED" w14:paraId="241694F9" w14:textId="77777777">
        <w:trPr>
          <w:trHeight w:val="309"/>
        </w:trPr>
        <w:tc>
          <w:tcPr>
            <w:tcW w:w="698" w:type="dxa"/>
            <w:shd w:val="clear" w:color="auto" w:fill="C6EFCE"/>
            <w:noWrap/>
          </w:tcPr>
          <w:p w14:paraId="681303F9" w14:textId="77777777" w:rsidR="006578ED" w:rsidRDefault="00A1618E">
            <w:pPr>
              <w:pStyle w:val="P68B1DB1-Normal13"/>
              <w:spacing w:after="0"/>
              <w:jc w:val="center"/>
              <w:rPr>
                <w:rFonts w:eastAsia="Times New Roman" w:cs="Times New Roman"/>
                <w:noProof/>
              </w:rPr>
            </w:pPr>
            <w:r>
              <w:rPr>
                <w:noProof/>
              </w:rPr>
              <w:t>393</w:t>
            </w:r>
          </w:p>
        </w:tc>
        <w:tc>
          <w:tcPr>
            <w:tcW w:w="839" w:type="dxa"/>
            <w:shd w:val="clear" w:color="auto" w:fill="C6EFCE"/>
            <w:noWrap/>
          </w:tcPr>
          <w:p w14:paraId="3C8C5899" w14:textId="77777777" w:rsidR="006578ED" w:rsidRDefault="00A1618E">
            <w:pPr>
              <w:pStyle w:val="P68B1DB1-Normal13"/>
              <w:spacing w:after="0"/>
              <w:jc w:val="center"/>
              <w:rPr>
                <w:rFonts w:eastAsia="Times New Roman" w:cs="Times New Roman"/>
                <w:noProof/>
              </w:rPr>
            </w:pPr>
            <w:r>
              <w:rPr>
                <w:noProof/>
              </w:rPr>
              <w:t>C28.R6</w:t>
            </w:r>
          </w:p>
        </w:tc>
        <w:tc>
          <w:tcPr>
            <w:tcW w:w="838" w:type="dxa"/>
            <w:shd w:val="clear" w:color="auto" w:fill="C6EFCE"/>
            <w:noWrap/>
          </w:tcPr>
          <w:p w14:paraId="6F2FCA0F" w14:textId="531A3C34"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1767918B" w14:textId="77777777" w:rsidR="006578ED" w:rsidRDefault="00A1618E">
            <w:pPr>
              <w:pStyle w:val="P68B1DB1-Normal13"/>
              <w:spacing w:after="0"/>
              <w:rPr>
                <w:rFonts w:eastAsia="Times New Roman" w:cs="Times New Roman"/>
                <w:noProof/>
              </w:rPr>
            </w:pPr>
            <w:r>
              <w:rPr>
                <w:noProof/>
              </w:rPr>
              <w:t>Podatek od transakcji finansowych</w:t>
            </w:r>
          </w:p>
        </w:tc>
        <w:tc>
          <w:tcPr>
            <w:tcW w:w="979" w:type="dxa"/>
            <w:shd w:val="clear" w:color="auto" w:fill="C6EFCE"/>
            <w:noWrap/>
          </w:tcPr>
          <w:p w14:paraId="7B475124" w14:textId="41F3929D" w:rsidR="006578ED" w:rsidRDefault="00A1618E">
            <w:pPr>
              <w:pStyle w:val="P68B1DB1-Normal13"/>
              <w:spacing w:after="0"/>
              <w:jc w:val="center"/>
              <w:rPr>
                <w:rFonts w:eastAsia="Times New Roman" w:cs="Times New Roman"/>
                <w:noProof/>
              </w:rPr>
            </w:pPr>
            <w:r>
              <w:rPr>
                <w:noProof/>
              </w:rPr>
              <w:t xml:space="preserve">Przepis ustawy wskazujący na jej wejście w życie </w:t>
            </w:r>
          </w:p>
        </w:tc>
        <w:tc>
          <w:tcPr>
            <w:tcW w:w="420" w:type="dxa"/>
            <w:shd w:val="clear" w:color="auto" w:fill="C6EFCE"/>
            <w:noWrap/>
          </w:tcPr>
          <w:p w14:paraId="7A00D580"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0D0B806C"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0D4A5886"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7832C360" w14:textId="0D9BABF2" w:rsidR="006578ED" w:rsidRDefault="00EC188C">
            <w:pPr>
              <w:pStyle w:val="P68B1DB1-Normal13"/>
              <w:spacing w:after="0"/>
              <w:jc w:val="center"/>
              <w:rPr>
                <w:rFonts w:eastAsia="Times New Roman" w:cs="Times New Roman"/>
                <w:noProof/>
              </w:rPr>
            </w:pPr>
            <w:r>
              <w:rPr>
                <w:noProof/>
              </w:rPr>
              <w:t>KW. 1</w:t>
            </w:r>
          </w:p>
        </w:tc>
        <w:tc>
          <w:tcPr>
            <w:tcW w:w="559" w:type="dxa"/>
            <w:shd w:val="clear" w:color="auto" w:fill="C6EFCE"/>
            <w:noWrap/>
          </w:tcPr>
          <w:p w14:paraId="4E7E2AA4" w14:textId="77777777" w:rsidR="006578ED" w:rsidRDefault="00A1618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5936BDA7" w14:textId="418416C1" w:rsidR="006578ED" w:rsidRDefault="00A1618E">
            <w:pPr>
              <w:pStyle w:val="P68B1DB1-Normal13"/>
              <w:spacing w:after="0"/>
              <w:rPr>
                <w:rFonts w:eastAsia="Times New Roman" w:cs="Times New Roman"/>
                <w:noProof/>
              </w:rPr>
            </w:pPr>
            <w:r>
              <w:rPr>
                <w:noProof/>
              </w:rPr>
              <w:t>Wejście w życie ustawy o podatku od transakcji finansowych (</w:t>
            </w:r>
            <w:r>
              <w:rPr>
                <w:i/>
                <w:noProof/>
              </w:rPr>
              <w:t xml:space="preserve">Ley 5/2020, </w:t>
            </w:r>
            <w:r w:rsidRPr="00A1618E">
              <w:rPr>
                <w:i/>
                <w:noProof/>
                <w:lang w:val="pl-PL"/>
              </w:rPr>
              <w:t>de 1</w:t>
            </w:r>
            <w:r>
              <w:rPr>
                <w:i/>
                <w:noProof/>
              </w:rPr>
              <w:t>5 de octubre, del Impuesto sobre las Transacciones Financieras</w:t>
            </w:r>
            <w:r>
              <w:rPr>
                <w:noProof/>
              </w:rPr>
              <w:t>) w celu generowania nowych źródeł dochodów dla rządu przy jednoczesnym rozwijaniu systemu podatkowego w spójny sposób i w stosownych przypadkach w kontekście międzynarodowym.</w:t>
            </w:r>
          </w:p>
        </w:tc>
      </w:tr>
      <w:tr w:rsidR="006578ED" w14:paraId="39BE8BCE" w14:textId="77777777">
        <w:trPr>
          <w:trHeight w:val="309"/>
        </w:trPr>
        <w:tc>
          <w:tcPr>
            <w:tcW w:w="698" w:type="dxa"/>
            <w:shd w:val="clear" w:color="auto" w:fill="C6EFCE"/>
            <w:noWrap/>
          </w:tcPr>
          <w:p w14:paraId="115DDE1D" w14:textId="77777777" w:rsidR="006578ED" w:rsidRDefault="00A1618E">
            <w:pPr>
              <w:pStyle w:val="P68B1DB1-Normal13"/>
              <w:spacing w:after="0"/>
              <w:jc w:val="center"/>
              <w:rPr>
                <w:rFonts w:eastAsia="Times New Roman" w:cs="Times New Roman"/>
                <w:noProof/>
              </w:rPr>
            </w:pPr>
            <w:r>
              <w:rPr>
                <w:noProof/>
              </w:rPr>
              <w:t>394</w:t>
            </w:r>
          </w:p>
        </w:tc>
        <w:tc>
          <w:tcPr>
            <w:tcW w:w="839" w:type="dxa"/>
            <w:shd w:val="clear" w:color="auto" w:fill="C6EFCE"/>
            <w:noWrap/>
          </w:tcPr>
          <w:p w14:paraId="591EC737" w14:textId="77777777" w:rsidR="006578ED" w:rsidRDefault="00A1618E">
            <w:pPr>
              <w:pStyle w:val="P68B1DB1-Normal13"/>
              <w:spacing w:after="0"/>
              <w:jc w:val="center"/>
              <w:rPr>
                <w:rFonts w:eastAsia="Times New Roman" w:cs="Times New Roman"/>
                <w:noProof/>
              </w:rPr>
            </w:pPr>
            <w:r>
              <w:rPr>
                <w:noProof/>
              </w:rPr>
              <w:t>C28.R7</w:t>
            </w:r>
          </w:p>
        </w:tc>
        <w:tc>
          <w:tcPr>
            <w:tcW w:w="838" w:type="dxa"/>
            <w:shd w:val="clear" w:color="auto" w:fill="C6EFCE"/>
            <w:noWrap/>
          </w:tcPr>
          <w:p w14:paraId="0CCD6A2A" w14:textId="62B1F571"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3F6E974A" w14:textId="0C365CD5" w:rsidR="006578ED" w:rsidRDefault="00A1618E">
            <w:pPr>
              <w:pStyle w:val="P68B1DB1-Normal13"/>
              <w:spacing w:after="0"/>
              <w:rPr>
                <w:rFonts w:eastAsia="Times New Roman" w:cs="Times New Roman"/>
                <w:noProof/>
              </w:rPr>
            </w:pPr>
            <w:r>
              <w:rPr>
                <w:noProof/>
              </w:rPr>
              <w:t>Zmiany podatku dochodowego od osób fizycznych i podatku od majątku w 20</w:t>
            </w:r>
            <w:r w:rsidRPr="00A1618E">
              <w:rPr>
                <w:noProof/>
                <w:lang w:val="pl-PL"/>
              </w:rPr>
              <w:t>21 r.</w:t>
            </w:r>
          </w:p>
        </w:tc>
        <w:tc>
          <w:tcPr>
            <w:tcW w:w="979" w:type="dxa"/>
            <w:shd w:val="clear" w:color="auto" w:fill="C6EFCE"/>
            <w:noWrap/>
          </w:tcPr>
          <w:p w14:paraId="10AEB70B" w14:textId="06BFC2D9" w:rsidR="006578ED" w:rsidRDefault="00A1618E">
            <w:pPr>
              <w:pStyle w:val="P68B1DB1-Normal13"/>
              <w:spacing w:after="0"/>
              <w:jc w:val="center"/>
              <w:rPr>
                <w:rFonts w:eastAsia="Times New Roman" w:cs="Times New Roman"/>
                <w:noProof/>
              </w:rPr>
            </w:pPr>
            <w:r>
              <w:rPr>
                <w:noProof/>
              </w:rPr>
              <w:t xml:space="preserve">Przepis ustawy budżetowej wskazujący na jej wejście w życie </w:t>
            </w:r>
          </w:p>
        </w:tc>
        <w:tc>
          <w:tcPr>
            <w:tcW w:w="420" w:type="dxa"/>
            <w:shd w:val="clear" w:color="auto" w:fill="C6EFCE"/>
            <w:noWrap/>
          </w:tcPr>
          <w:p w14:paraId="19B0ED93"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396EC4E"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3FF44640"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1937DDE5" w14:textId="6FF9C3AA" w:rsidR="006578ED" w:rsidRDefault="00EC188C">
            <w:pPr>
              <w:pStyle w:val="P68B1DB1-Normal13"/>
              <w:spacing w:after="0"/>
              <w:jc w:val="center"/>
              <w:rPr>
                <w:rFonts w:eastAsia="Times New Roman" w:cs="Times New Roman"/>
                <w:noProof/>
              </w:rPr>
            </w:pPr>
            <w:r>
              <w:rPr>
                <w:noProof/>
              </w:rPr>
              <w:t>KW. 1</w:t>
            </w:r>
          </w:p>
        </w:tc>
        <w:tc>
          <w:tcPr>
            <w:tcW w:w="559" w:type="dxa"/>
            <w:shd w:val="clear" w:color="auto" w:fill="C6EFCE"/>
            <w:noWrap/>
          </w:tcPr>
          <w:p w14:paraId="0F48491A" w14:textId="77777777" w:rsidR="006578ED" w:rsidRDefault="00A1618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632912AE" w14:textId="5F9BA9D8" w:rsidR="006578ED" w:rsidRDefault="00A1618E">
            <w:pPr>
              <w:pStyle w:val="P68B1DB1-Normal13"/>
              <w:spacing w:after="0"/>
              <w:rPr>
                <w:rFonts w:eastAsia="Times New Roman" w:cs="Times New Roman"/>
                <w:noProof/>
              </w:rPr>
            </w:pPr>
            <w:r>
              <w:rPr>
                <w:noProof/>
              </w:rPr>
              <w:t xml:space="preserve">Wejście w życie zmian wprowadzonych ustawą budżetową </w:t>
            </w:r>
            <w:r w:rsidRPr="00A1618E">
              <w:rPr>
                <w:noProof/>
                <w:lang w:val="pl-PL"/>
              </w:rPr>
              <w:t>na 2</w:t>
            </w:r>
            <w:r>
              <w:rPr>
                <w:noProof/>
              </w:rPr>
              <w:t>0</w:t>
            </w:r>
            <w:r w:rsidRPr="00A1618E">
              <w:rPr>
                <w:noProof/>
                <w:lang w:val="pl-PL"/>
              </w:rPr>
              <w:t>21 r.</w:t>
            </w:r>
            <w:r>
              <w:rPr>
                <w:noProof/>
              </w:rPr>
              <w:t xml:space="preserve"> oraz rozporządzeń dotyczących rozwoju związanych z podatkiem dochodowym od osób fizycznych i podatkiem od majątku w celu zmniejszenia deficytu sektora instytucji rządowych i samorządowych oraz uczynienia podatku dochodowego od osób fizycznych bardziej progresywnym.</w:t>
            </w:r>
          </w:p>
        </w:tc>
      </w:tr>
      <w:tr w:rsidR="006578ED" w14:paraId="30F44239" w14:textId="77777777">
        <w:trPr>
          <w:trHeight w:val="309"/>
        </w:trPr>
        <w:tc>
          <w:tcPr>
            <w:tcW w:w="698" w:type="dxa"/>
            <w:shd w:val="clear" w:color="auto" w:fill="C6EFCE"/>
            <w:noWrap/>
          </w:tcPr>
          <w:p w14:paraId="5E063B92" w14:textId="77777777" w:rsidR="006578ED" w:rsidRDefault="00A1618E">
            <w:pPr>
              <w:pStyle w:val="P68B1DB1-Normal13"/>
              <w:spacing w:after="0"/>
              <w:jc w:val="center"/>
              <w:rPr>
                <w:rFonts w:eastAsia="Times New Roman" w:cs="Times New Roman"/>
                <w:noProof/>
              </w:rPr>
            </w:pPr>
            <w:r>
              <w:rPr>
                <w:noProof/>
              </w:rPr>
              <w:t>395</w:t>
            </w:r>
          </w:p>
        </w:tc>
        <w:tc>
          <w:tcPr>
            <w:tcW w:w="839" w:type="dxa"/>
            <w:shd w:val="clear" w:color="auto" w:fill="C6EFCE"/>
            <w:noWrap/>
          </w:tcPr>
          <w:p w14:paraId="302832CC" w14:textId="77777777" w:rsidR="006578ED" w:rsidRDefault="00A1618E">
            <w:pPr>
              <w:pStyle w:val="P68B1DB1-Normal13"/>
              <w:spacing w:after="0"/>
              <w:jc w:val="center"/>
              <w:rPr>
                <w:rFonts w:eastAsia="Times New Roman" w:cs="Times New Roman"/>
                <w:noProof/>
              </w:rPr>
            </w:pPr>
            <w:r>
              <w:rPr>
                <w:noProof/>
              </w:rPr>
              <w:t>C28.R8</w:t>
            </w:r>
          </w:p>
        </w:tc>
        <w:tc>
          <w:tcPr>
            <w:tcW w:w="838" w:type="dxa"/>
            <w:shd w:val="clear" w:color="auto" w:fill="C6EFCE"/>
            <w:noWrap/>
          </w:tcPr>
          <w:p w14:paraId="11317F06" w14:textId="0E11018F"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32E2C486" w14:textId="56C1FF08" w:rsidR="006578ED" w:rsidRDefault="00A1618E">
            <w:pPr>
              <w:pStyle w:val="P68B1DB1-Normal13"/>
              <w:spacing w:after="0"/>
              <w:rPr>
                <w:rFonts w:eastAsia="Times New Roman" w:cs="Times New Roman"/>
                <w:noProof/>
              </w:rPr>
            </w:pPr>
            <w:r>
              <w:rPr>
                <w:noProof/>
              </w:rPr>
              <w:t>Zmiany w podatku dochodowym od osób prawnych w 20</w:t>
            </w:r>
            <w:r w:rsidRPr="00A1618E">
              <w:rPr>
                <w:noProof/>
                <w:lang w:val="pl-PL"/>
              </w:rPr>
              <w:t>21 r.</w:t>
            </w:r>
          </w:p>
        </w:tc>
        <w:tc>
          <w:tcPr>
            <w:tcW w:w="979" w:type="dxa"/>
            <w:shd w:val="clear" w:color="auto" w:fill="C6EFCE"/>
            <w:noWrap/>
          </w:tcPr>
          <w:p w14:paraId="409A1D20" w14:textId="3EADD75F" w:rsidR="006578ED" w:rsidRDefault="00A1618E">
            <w:pPr>
              <w:pStyle w:val="P68B1DB1-Normal13"/>
              <w:spacing w:after="0"/>
              <w:jc w:val="center"/>
              <w:rPr>
                <w:rFonts w:eastAsia="Times New Roman" w:cs="Times New Roman"/>
                <w:noProof/>
              </w:rPr>
            </w:pPr>
            <w:r>
              <w:rPr>
                <w:noProof/>
              </w:rPr>
              <w:t xml:space="preserve">Przepis ustawy budżetowej wskazujący na jej wejście w życie </w:t>
            </w:r>
          </w:p>
        </w:tc>
        <w:tc>
          <w:tcPr>
            <w:tcW w:w="420" w:type="dxa"/>
            <w:shd w:val="clear" w:color="auto" w:fill="C6EFCE"/>
            <w:noWrap/>
          </w:tcPr>
          <w:p w14:paraId="735C234C"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0C3102C"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465041AC"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0FF44D96" w14:textId="792A7698" w:rsidR="006578ED" w:rsidRDefault="00EC188C">
            <w:pPr>
              <w:pStyle w:val="P68B1DB1-Normal13"/>
              <w:spacing w:after="0"/>
              <w:jc w:val="center"/>
              <w:rPr>
                <w:rFonts w:eastAsia="Times New Roman" w:cs="Times New Roman"/>
                <w:noProof/>
              </w:rPr>
            </w:pPr>
            <w:r>
              <w:rPr>
                <w:noProof/>
              </w:rPr>
              <w:t>KW. 1</w:t>
            </w:r>
          </w:p>
        </w:tc>
        <w:tc>
          <w:tcPr>
            <w:tcW w:w="559" w:type="dxa"/>
            <w:shd w:val="clear" w:color="auto" w:fill="C6EFCE"/>
            <w:noWrap/>
          </w:tcPr>
          <w:p w14:paraId="2A512EC3" w14:textId="77777777" w:rsidR="006578ED" w:rsidRDefault="00A1618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77BBC52" w14:textId="70341B01" w:rsidR="006578ED" w:rsidRDefault="00A1618E">
            <w:pPr>
              <w:pStyle w:val="P68B1DB1-Normal13"/>
              <w:spacing w:after="0"/>
              <w:rPr>
                <w:rFonts w:eastAsia="Times New Roman" w:cs="Times New Roman"/>
                <w:noProof/>
              </w:rPr>
            </w:pPr>
            <w:r>
              <w:rPr>
                <w:noProof/>
              </w:rPr>
              <w:t xml:space="preserve">Wejście w życie zmian wprowadzonych ustawą budżetową </w:t>
            </w:r>
            <w:r w:rsidRPr="00A1618E">
              <w:rPr>
                <w:noProof/>
                <w:lang w:val="pl-PL"/>
              </w:rPr>
              <w:t>na 2</w:t>
            </w:r>
            <w:r>
              <w:rPr>
                <w:noProof/>
              </w:rPr>
              <w:t>0</w:t>
            </w:r>
            <w:r w:rsidRPr="00A1618E">
              <w:rPr>
                <w:noProof/>
                <w:lang w:val="pl-PL"/>
              </w:rPr>
              <w:t>21 r.</w:t>
            </w:r>
            <w:r>
              <w:rPr>
                <w:noProof/>
              </w:rPr>
              <w:t xml:space="preserve"> oraz przepisów dotyczących rozwoju związanych z podatkiem dochodowym od osób prawnych w celu zwiększenia dochodów z podatku od osób prawnych.</w:t>
            </w:r>
          </w:p>
        </w:tc>
      </w:tr>
      <w:tr w:rsidR="006578ED" w14:paraId="49B73336" w14:textId="77777777">
        <w:trPr>
          <w:trHeight w:val="309"/>
        </w:trPr>
        <w:tc>
          <w:tcPr>
            <w:tcW w:w="698" w:type="dxa"/>
            <w:shd w:val="clear" w:color="auto" w:fill="C6EFCE"/>
            <w:noWrap/>
          </w:tcPr>
          <w:p w14:paraId="259D5389" w14:textId="77777777" w:rsidR="006578ED" w:rsidRDefault="00A1618E">
            <w:pPr>
              <w:pStyle w:val="P68B1DB1-Normal13"/>
              <w:spacing w:after="0"/>
              <w:jc w:val="center"/>
              <w:rPr>
                <w:rFonts w:eastAsia="Times New Roman" w:cs="Times New Roman"/>
                <w:noProof/>
              </w:rPr>
            </w:pPr>
            <w:r>
              <w:rPr>
                <w:noProof/>
              </w:rPr>
              <w:t>396</w:t>
            </w:r>
          </w:p>
        </w:tc>
        <w:tc>
          <w:tcPr>
            <w:tcW w:w="839" w:type="dxa"/>
            <w:shd w:val="clear" w:color="auto" w:fill="C6EFCE"/>
            <w:noWrap/>
          </w:tcPr>
          <w:p w14:paraId="1F9A658B" w14:textId="77777777" w:rsidR="006578ED" w:rsidRDefault="00A1618E">
            <w:pPr>
              <w:pStyle w:val="P68B1DB1-Normal13"/>
              <w:spacing w:after="0"/>
              <w:jc w:val="center"/>
              <w:rPr>
                <w:rFonts w:eastAsia="Times New Roman" w:cs="Times New Roman"/>
                <w:noProof/>
              </w:rPr>
            </w:pPr>
            <w:r>
              <w:rPr>
                <w:noProof/>
              </w:rPr>
              <w:t>C28.R9</w:t>
            </w:r>
          </w:p>
        </w:tc>
        <w:tc>
          <w:tcPr>
            <w:tcW w:w="838" w:type="dxa"/>
            <w:shd w:val="clear" w:color="auto" w:fill="C6EFCE"/>
            <w:noWrap/>
          </w:tcPr>
          <w:p w14:paraId="013656DF" w14:textId="621DAF23" w:rsidR="006578ED" w:rsidRDefault="00AF6B91">
            <w:pPr>
              <w:pStyle w:val="P68B1DB1-Normal13"/>
              <w:spacing w:after="0"/>
              <w:jc w:val="center"/>
              <w:rPr>
                <w:rFonts w:eastAsia="Times New Roman" w:cs="Times New Roman"/>
                <w:noProof/>
              </w:rPr>
            </w:pPr>
            <w:r>
              <w:rPr>
                <w:noProof/>
              </w:rPr>
              <w:t>Kamień milowy</w:t>
            </w:r>
          </w:p>
        </w:tc>
        <w:tc>
          <w:tcPr>
            <w:tcW w:w="2792" w:type="dxa"/>
            <w:shd w:val="clear" w:color="auto" w:fill="C6EFCE"/>
            <w:noWrap/>
          </w:tcPr>
          <w:p w14:paraId="1CAF6688" w14:textId="7CA2051F" w:rsidR="006578ED" w:rsidRDefault="00A1618E">
            <w:pPr>
              <w:pStyle w:val="P68B1DB1-Normal13"/>
              <w:spacing w:after="0"/>
              <w:rPr>
                <w:rFonts w:eastAsia="Times New Roman" w:cs="Times New Roman"/>
                <w:noProof/>
              </w:rPr>
            </w:pPr>
            <w:r>
              <w:rPr>
                <w:noProof/>
              </w:rPr>
              <w:t>Zmiany podatków pośrednich w 20</w:t>
            </w:r>
            <w:r w:rsidRPr="00A1618E">
              <w:rPr>
                <w:noProof/>
                <w:lang w:val="pl-PL"/>
              </w:rPr>
              <w:t>21 r.</w:t>
            </w:r>
          </w:p>
        </w:tc>
        <w:tc>
          <w:tcPr>
            <w:tcW w:w="979" w:type="dxa"/>
            <w:shd w:val="clear" w:color="auto" w:fill="C6EFCE"/>
            <w:noWrap/>
          </w:tcPr>
          <w:p w14:paraId="0FFD27C2" w14:textId="62149AFF" w:rsidR="006578ED" w:rsidRDefault="00A1618E">
            <w:pPr>
              <w:pStyle w:val="P68B1DB1-Normal13"/>
              <w:spacing w:after="0"/>
              <w:jc w:val="center"/>
              <w:rPr>
                <w:rFonts w:eastAsia="Times New Roman" w:cs="Times New Roman"/>
                <w:noProof/>
              </w:rPr>
            </w:pPr>
            <w:r>
              <w:rPr>
                <w:noProof/>
              </w:rPr>
              <w:t xml:space="preserve">Przepis ustawy budżetowej wskazujący na jej wejście w życie </w:t>
            </w:r>
          </w:p>
        </w:tc>
        <w:tc>
          <w:tcPr>
            <w:tcW w:w="420" w:type="dxa"/>
            <w:shd w:val="clear" w:color="auto" w:fill="C6EFCE"/>
            <w:noWrap/>
          </w:tcPr>
          <w:p w14:paraId="7DEAECDE" w14:textId="77777777" w:rsidR="006578ED" w:rsidRDefault="00A1618E">
            <w:pPr>
              <w:pStyle w:val="P68B1DB1-Normal13"/>
              <w:spacing w:after="0"/>
              <w:jc w:val="center"/>
              <w:rPr>
                <w:rFonts w:eastAsia="Times New Roman" w:cs="Times New Roman"/>
                <w:noProof/>
              </w:rPr>
            </w:pPr>
            <w:r>
              <w:rPr>
                <w:noProof/>
              </w:rPr>
              <w:t xml:space="preserve"> </w:t>
            </w:r>
          </w:p>
        </w:tc>
        <w:tc>
          <w:tcPr>
            <w:tcW w:w="489" w:type="dxa"/>
            <w:shd w:val="clear" w:color="auto" w:fill="C6EFCE"/>
            <w:noWrap/>
          </w:tcPr>
          <w:p w14:paraId="388DE95D" w14:textId="77777777" w:rsidR="006578ED" w:rsidRDefault="00A1618E">
            <w:pPr>
              <w:pStyle w:val="P68B1DB1-Normal13"/>
              <w:spacing w:after="0"/>
              <w:jc w:val="right"/>
              <w:rPr>
                <w:rFonts w:eastAsia="Times New Roman" w:cs="Times New Roman"/>
                <w:noProof/>
              </w:rPr>
            </w:pPr>
            <w:r>
              <w:rPr>
                <w:noProof/>
              </w:rPr>
              <w:t xml:space="preserve"> </w:t>
            </w:r>
          </w:p>
        </w:tc>
        <w:tc>
          <w:tcPr>
            <w:tcW w:w="490" w:type="dxa"/>
            <w:shd w:val="clear" w:color="auto" w:fill="C6EFCE"/>
            <w:noWrap/>
          </w:tcPr>
          <w:p w14:paraId="373E5573" w14:textId="77777777" w:rsidR="006578ED" w:rsidRDefault="00A1618E">
            <w:pPr>
              <w:pStyle w:val="P68B1DB1-Normal13"/>
              <w:spacing w:after="0"/>
              <w:jc w:val="right"/>
              <w:rPr>
                <w:rFonts w:eastAsia="Times New Roman" w:cs="Times New Roman"/>
                <w:noProof/>
              </w:rPr>
            </w:pPr>
            <w:r>
              <w:rPr>
                <w:noProof/>
              </w:rPr>
              <w:t xml:space="preserve"> </w:t>
            </w:r>
          </w:p>
        </w:tc>
        <w:tc>
          <w:tcPr>
            <w:tcW w:w="420" w:type="dxa"/>
            <w:shd w:val="clear" w:color="auto" w:fill="C6EFCE"/>
            <w:noWrap/>
          </w:tcPr>
          <w:p w14:paraId="6D60ED3F" w14:textId="4AED1FA3" w:rsidR="006578ED" w:rsidRDefault="00EC188C">
            <w:pPr>
              <w:pStyle w:val="P68B1DB1-Normal13"/>
              <w:spacing w:after="0"/>
              <w:jc w:val="center"/>
              <w:rPr>
                <w:rFonts w:eastAsia="Times New Roman" w:cs="Times New Roman"/>
                <w:noProof/>
              </w:rPr>
            </w:pPr>
            <w:r>
              <w:rPr>
                <w:noProof/>
              </w:rPr>
              <w:t>KW. 1</w:t>
            </w:r>
          </w:p>
        </w:tc>
        <w:tc>
          <w:tcPr>
            <w:tcW w:w="559" w:type="dxa"/>
            <w:shd w:val="clear" w:color="auto" w:fill="C6EFCE"/>
            <w:noWrap/>
          </w:tcPr>
          <w:p w14:paraId="3A7A8D3D" w14:textId="77777777" w:rsidR="006578ED" w:rsidRDefault="00A1618E">
            <w:pPr>
              <w:pStyle w:val="P68B1DB1-Normal13"/>
              <w:spacing w:after="0"/>
              <w:jc w:val="center"/>
              <w:rPr>
                <w:rFonts w:eastAsia="Times New Roman" w:cs="Times New Roman"/>
                <w:noProof/>
              </w:rPr>
            </w:pPr>
            <w:r>
              <w:rPr>
                <w:noProof/>
              </w:rPr>
              <w:t>2021</w:t>
            </w:r>
          </w:p>
        </w:tc>
        <w:tc>
          <w:tcPr>
            <w:tcW w:w="6561" w:type="dxa"/>
            <w:gridSpan w:val="2"/>
            <w:shd w:val="clear" w:color="auto" w:fill="C6EFCE"/>
            <w:noWrap/>
          </w:tcPr>
          <w:p w14:paraId="0A8920AD" w14:textId="74E4AC48" w:rsidR="006578ED" w:rsidRDefault="00A1618E">
            <w:pPr>
              <w:pStyle w:val="P68B1DB1-Normal13"/>
              <w:spacing w:after="0"/>
              <w:rPr>
                <w:rFonts w:eastAsia="Times New Roman" w:cs="Times New Roman"/>
                <w:noProof/>
              </w:rPr>
            </w:pPr>
            <w:r>
              <w:rPr>
                <w:noProof/>
              </w:rPr>
              <w:t xml:space="preserve">Wejście w życie zmian wprowadzonych ustawą budżetową </w:t>
            </w:r>
            <w:r w:rsidRPr="00A1618E">
              <w:rPr>
                <w:noProof/>
                <w:lang w:val="pl-PL"/>
              </w:rPr>
              <w:t>na 2</w:t>
            </w:r>
            <w:r>
              <w:rPr>
                <w:noProof/>
              </w:rPr>
              <w:t>0</w:t>
            </w:r>
            <w:r w:rsidRPr="00A1618E">
              <w:rPr>
                <w:noProof/>
                <w:lang w:val="pl-PL"/>
              </w:rPr>
              <w:t>21 r.</w:t>
            </w:r>
            <w:r>
              <w:rPr>
                <w:noProof/>
              </w:rPr>
              <w:t xml:space="preserve"> oraz rozporządzeń dotyczących rozwoju związanych z podatkami pośrednimi w celu promowania zdrowszego odżywiania poprzez ograniczenie spożycia niektórych napojów cukrowych oraz zwiększenia dochodów rządu centralnego poprzez podwyższenie podatku od składek ubezpieczeniowych.</w:t>
            </w:r>
          </w:p>
        </w:tc>
      </w:tr>
    </w:tbl>
    <w:p w14:paraId="14347876" w14:textId="77777777" w:rsidR="006578ED" w:rsidRDefault="006578ED">
      <w:pPr>
        <w:pStyle w:val="SectionTitle"/>
        <w:jc w:val="left"/>
        <w:rPr>
          <w:rFonts w:ascii="Times New Roman" w:hAnsi="Times New Roman" w:cs="Times New Roman"/>
          <w:noProof/>
        </w:rPr>
        <w:sectPr w:rsidR="006578ED" w:rsidSect="00C94F66">
          <w:headerReference w:type="even" r:id="rId525"/>
          <w:headerReference w:type="default" r:id="rId526"/>
          <w:footerReference w:type="even" r:id="rId527"/>
          <w:footerReference w:type="default" r:id="rId528"/>
          <w:headerReference w:type="first" r:id="rId529"/>
          <w:footerReference w:type="first" r:id="rId530"/>
          <w:pgSz w:w="16839" w:h="11907" w:orient="landscape"/>
          <w:pgMar w:top="1417" w:right="1134" w:bottom="1417" w:left="1134" w:header="709" w:footer="709" w:gutter="0"/>
          <w:cols w:space="720"/>
          <w:docGrid w:linePitch="360"/>
        </w:sectPr>
      </w:pPr>
    </w:p>
    <w:p w14:paraId="184081BD" w14:textId="77777777" w:rsidR="006578ED" w:rsidRDefault="006578ED">
      <w:pPr>
        <w:pStyle w:val="Text1"/>
        <w:rPr>
          <w:rFonts w:ascii="Times New Roman" w:hAnsi="Times New Roman" w:cs="Times New Roman"/>
          <w:noProof/>
        </w:rPr>
      </w:pPr>
    </w:p>
    <w:p w14:paraId="7DBDFDE2" w14:textId="0268D4F4" w:rsidR="006578ED" w:rsidRDefault="00A1618E">
      <w:pPr>
        <w:pStyle w:val="P68B1DB1-Text138"/>
        <w:ind w:left="0" w:firstLine="720"/>
        <w:rPr>
          <w:rFonts w:cs="Times New Roman"/>
          <w:noProof/>
        </w:rPr>
      </w:pPr>
      <w:r>
        <w:rPr>
          <w:noProof/>
        </w:rPr>
        <w:t>AB.3.</w:t>
      </w:r>
      <w:r>
        <w:rPr>
          <w:noProof/>
        </w:rPr>
        <w:tab/>
        <w:t>Opis reform i inwestycji na potrzeby wsparcia w formie pożyczki</w:t>
      </w:r>
    </w:p>
    <w:p w14:paraId="2EEB6566" w14:textId="1E06A336" w:rsidR="006578ED" w:rsidRDefault="00A1618E">
      <w:pPr>
        <w:pStyle w:val="P68B1DB1-Normal6"/>
        <w:spacing w:before="120" w:after="120" w:line="240" w:lineRule="auto"/>
        <w:jc w:val="both"/>
        <w:rPr>
          <w:rFonts w:cs="Times New Roman"/>
          <w:noProof/>
        </w:rPr>
      </w:pPr>
      <w:r>
        <w:rPr>
          <w:noProof/>
        </w:rPr>
        <w:t>Inwestycje 1 (C28.I1) – Zachęty podatkowe do renowacji zwiększających efektywność energetyczną oraz zakupu pojazdów elektrycznych i punktów ładowania</w:t>
      </w:r>
    </w:p>
    <w:p w14:paraId="179DBB9F" w14:textId="5C532097" w:rsidR="006578ED" w:rsidRDefault="00A1618E">
      <w:pPr>
        <w:pStyle w:val="P68B1DB1-Text119"/>
        <w:ind w:left="0"/>
        <w:rPr>
          <w:rFonts w:cs="Times New Roman"/>
          <w:noProof/>
        </w:rPr>
      </w:pPr>
      <w:r>
        <w:rPr>
          <w:noProof/>
        </w:rPr>
        <w:t>Celem tego środka jest zapewnienie bodźców podatkowych (i) wspieranie renowacji budynków w celu poprawy efektywności energetycznej; oraz (ii) zachęcanie do wprowadzania pojazdów elektrycznych i stacji ładowania. Środek opiera się na inwestycjach C1.I2 i C2.I1.</w:t>
      </w:r>
    </w:p>
    <w:p w14:paraId="65ECF819" w14:textId="19129941" w:rsidR="006578ED" w:rsidRDefault="00A1618E">
      <w:pPr>
        <w:pStyle w:val="P68B1DB1-Text119"/>
        <w:ind w:left="0"/>
        <w:rPr>
          <w:rFonts w:cs="Times New Roman"/>
          <w:noProof/>
        </w:rPr>
      </w:pPr>
      <w:r>
        <w:rPr>
          <w:noProof/>
        </w:rPr>
        <w:t>Środek ten prowadzi do działań renowacyjnych zwiększających efektywność energetyczną i </w:t>
      </w:r>
      <w:bookmarkStart w:id="61" w:name="_Hlk145838357"/>
      <w:r>
        <w:rPr>
          <w:noProof/>
        </w:rPr>
        <w:t xml:space="preserve">zmniejszających zużycie energii pierwotnej przez podatników średnio o co najmniej 30 %. </w:t>
      </w:r>
    </w:p>
    <w:bookmarkEnd w:id="61"/>
    <w:p w14:paraId="4EF6C560" w14:textId="5A5CAC2A" w:rsidR="006578ED" w:rsidRDefault="00A1618E">
      <w:pPr>
        <w:pStyle w:val="P68B1DB1-Text119"/>
        <w:ind w:left="0"/>
        <w:rPr>
          <w:rFonts w:cs="Times New Roman"/>
          <w:noProof/>
        </w:rPr>
      </w:pPr>
      <w:r>
        <w:rPr>
          <w:noProof/>
        </w:rPr>
        <w:t>Ponadto środek ten zapewnia zachęty podatkowe dla gospodarstw domowych do zakupu pojazdów elektrycznych i hybrydowych oraz instalowania punktów ładowania. Zachęty podatkowe obejmują ulgi podatkowe w celu wsparcia gospodarstw domowych w zakupie nowych pojazdów hybrydowych i elektrycznych (BEV, REEV, PHEV, FCEV, FCHV) oraz stacji ładowania.</w:t>
      </w:r>
    </w:p>
    <w:p w14:paraId="6BFEDC19" w14:textId="48BF58FE" w:rsidR="006578ED" w:rsidRDefault="00A1618E">
      <w:pPr>
        <w:pStyle w:val="Text1"/>
        <w:ind w:left="0"/>
        <w:rPr>
          <w:rFonts w:ascii="Times New Roman" w:hAnsi="Times New Roman" w:cs="Times New Roman"/>
          <w:noProof/>
        </w:rPr>
      </w:pPr>
      <w:r>
        <w:rPr>
          <w:rFonts w:ascii="Times New Roman" w:hAnsi="Times New Roman"/>
          <w:noProof/>
        </w:rPr>
        <w:t>Aby zapewnić zgodność środka z wytycznymi technicznymi dotyczącymi zasady „nie czyń poważnych szkód” (2021/C58/01), kryteria wyboru dotyczące zachęt podatkowych finansują wyłącznie zakup pojazdów bezemisyjnych lub niskoemisyjnych</w:t>
      </w:r>
      <w:r>
        <w:rPr>
          <w:rStyle w:val="FootnoteReference"/>
          <w:rFonts w:ascii="Times New Roman" w:hAnsi="Times New Roman" w:cs="Times New Roman"/>
          <w:noProof/>
        </w:rPr>
        <w:footnoteReference w:id="212"/>
      </w:r>
      <w:r>
        <w:rPr>
          <w:rFonts w:ascii="Times New Roman" w:hAnsi="Times New Roman"/>
          <w:noProof/>
        </w:rPr>
        <w:t>.</w:t>
      </w:r>
    </w:p>
    <w:p w14:paraId="1DF51ED9" w14:textId="7A8557CF" w:rsidR="006578ED" w:rsidRDefault="00A1618E">
      <w:pPr>
        <w:pStyle w:val="P68B1DB1-Text119"/>
        <w:ind w:left="0"/>
        <w:rPr>
          <w:rFonts w:cs="Times New Roman"/>
          <w:noProof/>
        </w:rPr>
      </w:pPr>
      <w:r>
        <w:rPr>
          <w:noProof/>
        </w:rPr>
        <w:t>Wdrażanie środków zostanie zakończone do dnia 31 sierpnia 20</w:t>
      </w:r>
      <w:r w:rsidRPr="00A1618E">
        <w:rPr>
          <w:noProof/>
          <w:lang w:val="pl-PL"/>
        </w:rPr>
        <w:t>26 r.</w:t>
      </w:r>
    </w:p>
    <w:p w14:paraId="533113CE" w14:textId="245C31AC" w:rsidR="006578ED" w:rsidRDefault="00A1618E">
      <w:pPr>
        <w:pStyle w:val="P68B1DB1-Text120"/>
        <w:ind w:left="720"/>
        <w:rPr>
          <w:rFonts w:cs="Times New Roman"/>
          <w:b/>
          <w:noProof/>
        </w:rPr>
      </w:pPr>
      <w:r>
        <w:rPr>
          <w:b/>
          <w:noProof/>
        </w:rPr>
        <w:t>AB.4.</w:t>
      </w:r>
      <w:r>
        <w:rPr>
          <w:noProof/>
        </w:rPr>
        <w:tab/>
      </w:r>
      <w:r>
        <w:rPr>
          <w:b/>
          <w:noProof/>
        </w:rPr>
        <w:t>Cele pośrednie, wartości docelowe, wskaźniki oraz harmonogram monitorowania i wdrażania wsparcia w formie pożyczek</w:t>
      </w:r>
    </w:p>
    <w:p w14:paraId="00A56A71" w14:textId="7131394A" w:rsidR="006578ED" w:rsidRDefault="00A1618E">
      <w:pPr>
        <w:pStyle w:val="P68B1DB1-Text119"/>
        <w:ind w:left="0"/>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r>
        <w:rPr>
          <w:noProof/>
        </w:rPr>
        <w:t xml:space="preserve"> </w:t>
      </w:r>
    </w:p>
    <w:p w14:paraId="64F128F2" w14:textId="77777777" w:rsidR="006578ED" w:rsidRDefault="006578ED">
      <w:pPr>
        <w:pStyle w:val="Text1"/>
        <w:ind w:left="0"/>
        <w:rPr>
          <w:rFonts w:ascii="Times New Roman" w:hAnsi="Times New Roman" w:cs="Times New Roman"/>
          <w:noProof/>
        </w:rPr>
        <w:sectPr w:rsidR="006578ED" w:rsidSect="00C94F66">
          <w:headerReference w:type="even" r:id="rId531"/>
          <w:headerReference w:type="default" r:id="rId532"/>
          <w:footerReference w:type="even" r:id="rId533"/>
          <w:footerReference w:type="default" r:id="rId534"/>
          <w:headerReference w:type="first" r:id="rId535"/>
          <w:footerReference w:type="first" r:id="rId536"/>
          <w:pgSz w:w="11907" w:h="16839"/>
          <w:pgMar w:top="1134" w:right="1417" w:bottom="1134" w:left="1417" w:header="709" w:footer="709" w:gutter="0"/>
          <w:cols w:space="720"/>
          <w:docGrid w:linePitch="360"/>
        </w:sectPr>
      </w:pPr>
    </w:p>
    <w:p w14:paraId="12BCB917" w14:textId="77777777" w:rsidR="006578ED" w:rsidRDefault="006578ED">
      <w:pPr>
        <w:pStyle w:val="Text1"/>
        <w:ind w:left="0"/>
        <w:rPr>
          <w:rFonts w:ascii="Times New Roman" w:hAnsi="Times New Roman" w:cs="Times New Roman"/>
          <w:noProof/>
        </w:rPr>
      </w:pPr>
    </w:p>
    <w:p w14:paraId="6D1558E1" w14:textId="77777777" w:rsidR="006578ED" w:rsidRDefault="006578ED">
      <w:pPr>
        <w:pStyle w:val="Text1"/>
        <w:rPr>
          <w:rFonts w:ascii="Times New Roman" w:hAnsi="Times New Roman" w:cs="Times New Roman"/>
          <w:noProof/>
        </w:rPr>
      </w:pPr>
    </w:p>
    <w:tbl>
      <w:tblPr>
        <w:tblW w:w="15277"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1"/>
        <w:gridCol w:w="839"/>
        <w:gridCol w:w="838"/>
        <w:gridCol w:w="1675"/>
        <w:gridCol w:w="1118"/>
        <w:gridCol w:w="666"/>
        <w:gridCol w:w="732"/>
        <w:gridCol w:w="699"/>
        <w:gridCol w:w="419"/>
        <w:gridCol w:w="559"/>
        <w:gridCol w:w="7031"/>
      </w:tblGrid>
      <w:tr w:rsidR="006578ED" w14:paraId="0202CF4E" w14:textId="77777777">
        <w:trPr>
          <w:trHeight w:val="309"/>
          <w:tblHeader/>
        </w:trPr>
        <w:tc>
          <w:tcPr>
            <w:tcW w:w="701" w:type="dxa"/>
            <w:tcBorders>
              <w:bottom w:val="nil"/>
            </w:tcBorders>
            <w:shd w:val="clear" w:color="auto" w:fill="C6D9F1" w:themeFill="text2" w:themeFillTint="33"/>
            <w:noWrap/>
            <w:vAlign w:val="center"/>
          </w:tcPr>
          <w:p w14:paraId="66FFB269" w14:textId="77777777" w:rsidR="006578ED" w:rsidRDefault="00A1618E">
            <w:pPr>
              <w:pStyle w:val="P68B1DB1-Normal12"/>
              <w:spacing w:after="0" w:line="240" w:lineRule="auto"/>
              <w:jc w:val="center"/>
              <w:rPr>
                <w:rFonts w:cs="Times New Roman"/>
                <w:noProof/>
              </w:rPr>
            </w:pPr>
            <w:r>
              <w:rPr>
                <w:noProof/>
              </w:rPr>
              <w:t>Liczba</w:t>
            </w:r>
          </w:p>
        </w:tc>
        <w:tc>
          <w:tcPr>
            <w:tcW w:w="839" w:type="dxa"/>
            <w:tcBorders>
              <w:bottom w:val="nil"/>
            </w:tcBorders>
            <w:shd w:val="clear" w:color="auto" w:fill="C6D9F1" w:themeFill="text2" w:themeFillTint="33"/>
            <w:noWrap/>
            <w:vAlign w:val="center"/>
          </w:tcPr>
          <w:p w14:paraId="7A6C5DF4" w14:textId="77777777" w:rsidR="006578ED" w:rsidRDefault="00A1618E">
            <w:pPr>
              <w:pStyle w:val="P68B1DB1-Normal12"/>
              <w:spacing w:after="0" w:line="240" w:lineRule="auto"/>
              <w:jc w:val="center"/>
              <w:rPr>
                <w:rFonts w:cs="Times New Roman"/>
                <w:noProof/>
              </w:rPr>
            </w:pPr>
            <w:r>
              <w:rPr>
                <w:noProof/>
              </w:rPr>
              <w:t>Środek</w:t>
            </w:r>
          </w:p>
        </w:tc>
        <w:tc>
          <w:tcPr>
            <w:tcW w:w="838" w:type="dxa"/>
            <w:tcBorders>
              <w:bottom w:val="nil"/>
            </w:tcBorders>
            <w:shd w:val="clear" w:color="auto" w:fill="C6D9F1" w:themeFill="text2" w:themeFillTint="33"/>
            <w:noWrap/>
            <w:vAlign w:val="center"/>
          </w:tcPr>
          <w:p w14:paraId="2A5D447D" w14:textId="4466F5F3" w:rsidR="006578ED" w:rsidRDefault="00EC188C">
            <w:pPr>
              <w:pStyle w:val="P68B1DB1-Normal12"/>
              <w:spacing w:after="0" w:line="240" w:lineRule="auto"/>
              <w:jc w:val="center"/>
              <w:rPr>
                <w:rFonts w:cs="Times New Roman"/>
                <w:noProof/>
              </w:rPr>
            </w:pPr>
            <w:r>
              <w:rPr>
                <w:noProof/>
              </w:rPr>
              <w:t>Kamień milowy</w:t>
            </w:r>
            <w:r>
              <w:rPr>
                <w:noProof/>
              </w:rPr>
              <w:br/>
              <w:t xml:space="preserve"> /</w:t>
            </w:r>
            <w:r w:rsidR="00AF6B91">
              <w:rPr>
                <w:noProof/>
              </w:rPr>
              <w:t>Wartość docelowa</w:t>
            </w:r>
          </w:p>
        </w:tc>
        <w:tc>
          <w:tcPr>
            <w:tcW w:w="1675" w:type="dxa"/>
            <w:tcBorders>
              <w:bottom w:val="nil"/>
            </w:tcBorders>
            <w:shd w:val="clear" w:color="auto" w:fill="C6D9F1" w:themeFill="text2" w:themeFillTint="33"/>
            <w:noWrap/>
            <w:vAlign w:val="center"/>
          </w:tcPr>
          <w:p w14:paraId="57194A26" w14:textId="77777777" w:rsidR="006578ED" w:rsidRDefault="00A1618E">
            <w:pPr>
              <w:pStyle w:val="P68B1DB1-Normal12"/>
              <w:spacing w:after="0" w:line="240" w:lineRule="auto"/>
              <w:jc w:val="center"/>
              <w:rPr>
                <w:rFonts w:cs="Times New Roman"/>
                <w:noProof/>
              </w:rPr>
            </w:pPr>
            <w:r>
              <w:rPr>
                <w:noProof/>
              </w:rPr>
              <w:t>Nazwa</w:t>
            </w:r>
          </w:p>
        </w:tc>
        <w:tc>
          <w:tcPr>
            <w:tcW w:w="1118" w:type="dxa"/>
            <w:tcBorders>
              <w:bottom w:val="nil"/>
            </w:tcBorders>
            <w:shd w:val="clear" w:color="auto" w:fill="C6D9F1" w:themeFill="text2" w:themeFillTint="33"/>
            <w:noWrap/>
            <w:vAlign w:val="center"/>
          </w:tcPr>
          <w:p w14:paraId="003E6C60" w14:textId="77777777" w:rsidR="006578ED" w:rsidRDefault="00A1618E">
            <w:pPr>
              <w:pStyle w:val="P68B1DB1-Normal12"/>
              <w:spacing w:after="0" w:line="240" w:lineRule="auto"/>
              <w:jc w:val="center"/>
              <w:rPr>
                <w:rFonts w:cs="Times New Roman"/>
                <w:noProof/>
              </w:rPr>
            </w:pPr>
            <w:r>
              <w:rPr>
                <w:noProof/>
              </w:rPr>
              <w:t>Wskaźnik jakościowy dla celów pośrednich</w:t>
            </w:r>
          </w:p>
        </w:tc>
        <w:tc>
          <w:tcPr>
            <w:tcW w:w="2097" w:type="dxa"/>
            <w:gridSpan w:val="3"/>
            <w:shd w:val="clear" w:color="auto" w:fill="C6D9F1" w:themeFill="text2" w:themeFillTint="33"/>
            <w:noWrap/>
            <w:vAlign w:val="center"/>
          </w:tcPr>
          <w:p w14:paraId="75D046CF" w14:textId="77777777" w:rsidR="006578ED" w:rsidRDefault="00A1618E">
            <w:pPr>
              <w:pStyle w:val="P68B1DB1-Normal12"/>
              <w:spacing w:after="0" w:line="240" w:lineRule="auto"/>
              <w:jc w:val="center"/>
              <w:rPr>
                <w:rFonts w:cs="Times New Roman"/>
                <w:noProof/>
              </w:rPr>
            </w:pPr>
            <w:r>
              <w:rPr>
                <w:noProof/>
              </w:rPr>
              <w:t>Wskaźnik ilościowy dla celu</w:t>
            </w:r>
          </w:p>
        </w:tc>
        <w:tc>
          <w:tcPr>
            <w:tcW w:w="978" w:type="dxa"/>
            <w:gridSpan w:val="2"/>
            <w:shd w:val="clear" w:color="auto" w:fill="C6D9F1" w:themeFill="text2" w:themeFillTint="33"/>
            <w:noWrap/>
            <w:vAlign w:val="center"/>
          </w:tcPr>
          <w:p w14:paraId="52396C49" w14:textId="77777777" w:rsidR="006578ED" w:rsidRDefault="00A1618E">
            <w:pPr>
              <w:pStyle w:val="P68B1DB1-Normal12"/>
              <w:spacing w:after="0" w:line="240" w:lineRule="auto"/>
              <w:jc w:val="center"/>
              <w:rPr>
                <w:rFonts w:cs="Times New Roman"/>
                <w:noProof/>
              </w:rPr>
            </w:pPr>
            <w:r>
              <w:rPr>
                <w:noProof/>
              </w:rPr>
              <w:t>Czas</w:t>
            </w:r>
          </w:p>
        </w:tc>
        <w:tc>
          <w:tcPr>
            <w:tcW w:w="7031" w:type="dxa"/>
            <w:tcBorders>
              <w:bottom w:val="nil"/>
            </w:tcBorders>
            <w:shd w:val="clear" w:color="auto" w:fill="C6D9F1" w:themeFill="text2" w:themeFillTint="33"/>
            <w:noWrap/>
            <w:vAlign w:val="center"/>
          </w:tcPr>
          <w:p w14:paraId="7FFC02C2" w14:textId="0C4F3697" w:rsidR="006578ED" w:rsidRDefault="00A1618E">
            <w:pPr>
              <w:pStyle w:val="P68B1DB1-Normal12"/>
              <w:spacing w:after="0" w:line="240" w:lineRule="auto"/>
              <w:jc w:val="center"/>
              <w:rPr>
                <w:rFonts w:cs="Times New Roman"/>
                <w:noProof/>
              </w:rPr>
            </w:pPr>
            <w:r>
              <w:rPr>
                <w:noProof/>
              </w:rPr>
              <w:t>Opis każdego celu pośredniego i celu końcowego</w:t>
            </w:r>
          </w:p>
        </w:tc>
      </w:tr>
      <w:tr w:rsidR="006578ED" w14:paraId="3465697A" w14:textId="77777777">
        <w:trPr>
          <w:trHeight w:val="309"/>
          <w:tblHeader/>
        </w:trPr>
        <w:tc>
          <w:tcPr>
            <w:tcW w:w="701" w:type="dxa"/>
            <w:tcBorders>
              <w:top w:val="nil"/>
              <w:left w:val="single" w:sz="4" w:space="0" w:color="auto"/>
              <w:bottom w:val="single" w:sz="4" w:space="0" w:color="auto"/>
              <w:right w:val="single" w:sz="4" w:space="0" w:color="auto"/>
            </w:tcBorders>
            <w:shd w:val="clear" w:color="auto" w:fill="C6D9F1" w:themeFill="text2" w:themeFillTint="33"/>
            <w:noWrap/>
          </w:tcPr>
          <w:p w14:paraId="40D79C82" w14:textId="77777777" w:rsidR="006578ED" w:rsidRDefault="006578ED">
            <w:pPr>
              <w:spacing w:after="0" w:line="240" w:lineRule="auto"/>
              <w:jc w:val="center"/>
              <w:rPr>
                <w:rFonts w:ascii="Times New Roman" w:hAnsi="Times New Roman" w:cs="Times New Roman"/>
                <w:b/>
                <w:noProof/>
                <w:sz w:val="18"/>
              </w:rPr>
            </w:pPr>
          </w:p>
        </w:tc>
        <w:tc>
          <w:tcPr>
            <w:tcW w:w="839" w:type="dxa"/>
            <w:tcBorders>
              <w:top w:val="nil"/>
              <w:left w:val="single" w:sz="4" w:space="0" w:color="auto"/>
              <w:bottom w:val="single" w:sz="4" w:space="0" w:color="auto"/>
              <w:right w:val="single" w:sz="4" w:space="0" w:color="auto"/>
            </w:tcBorders>
            <w:shd w:val="clear" w:color="auto" w:fill="C6D9F1" w:themeFill="text2" w:themeFillTint="33"/>
            <w:noWrap/>
          </w:tcPr>
          <w:p w14:paraId="2A9BF169" w14:textId="77777777" w:rsidR="006578ED" w:rsidRDefault="006578ED">
            <w:pPr>
              <w:spacing w:after="0" w:line="240" w:lineRule="auto"/>
              <w:jc w:val="center"/>
              <w:rPr>
                <w:rFonts w:ascii="Times New Roman" w:hAnsi="Times New Roman" w:cs="Times New Roman"/>
                <w:b/>
                <w:noProof/>
                <w:sz w:val="18"/>
              </w:rPr>
            </w:pPr>
          </w:p>
        </w:tc>
        <w:tc>
          <w:tcPr>
            <w:tcW w:w="838" w:type="dxa"/>
            <w:tcBorders>
              <w:top w:val="nil"/>
              <w:left w:val="single" w:sz="4" w:space="0" w:color="auto"/>
              <w:bottom w:val="single" w:sz="4" w:space="0" w:color="auto"/>
              <w:right w:val="single" w:sz="4" w:space="0" w:color="auto"/>
            </w:tcBorders>
            <w:shd w:val="clear" w:color="auto" w:fill="C6D9F1" w:themeFill="text2" w:themeFillTint="33"/>
            <w:noWrap/>
          </w:tcPr>
          <w:p w14:paraId="3B890CE1" w14:textId="77777777" w:rsidR="006578ED" w:rsidRDefault="006578ED">
            <w:pPr>
              <w:spacing w:after="0" w:line="240" w:lineRule="auto"/>
              <w:jc w:val="center"/>
              <w:rPr>
                <w:rFonts w:ascii="Times New Roman" w:hAnsi="Times New Roman" w:cs="Times New Roman"/>
                <w:b/>
                <w:noProof/>
                <w:sz w:val="18"/>
              </w:rPr>
            </w:pPr>
          </w:p>
        </w:tc>
        <w:tc>
          <w:tcPr>
            <w:tcW w:w="1675" w:type="dxa"/>
            <w:tcBorders>
              <w:top w:val="nil"/>
              <w:left w:val="single" w:sz="4" w:space="0" w:color="auto"/>
              <w:bottom w:val="single" w:sz="4" w:space="0" w:color="auto"/>
              <w:right w:val="single" w:sz="4" w:space="0" w:color="auto"/>
            </w:tcBorders>
            <w:shd w:val="clear" w:color="auto" w:fill="C6D9F1" w:themeFill="text2" w:themeFillTint="33"/>
            <w:noWrap/>
          </w:tcPr>
          <w:p w14:paraId="13BFF55F" w14:textId="77777777" w:rsidR="006578ED" w:rsidRDefault="006578ED">
            <w:pPr>
              <w:spacing w:after="0" w:line="240" w:lineRule="auto"/>
              <w:rPr>
                <w:rFonts w:ascii="Times New Roman" w:hAnsi="Times New Roman" w:cs="Times New Roman"/>
                <w:b/>
                <w:noProof/>
                <w:sz w:val="18"/>
              </w:rPr>
            </w:pPr>
          </w:p>
        </w:tc>
        <w:tc>
          <w:tcPr>
            <w:tcW w:w="1118" w:type="dxa"/>
            <w:tcBorders>
              <w:top w:val="nil"/>
              <w:left w:val="single" w:sz="4" w:space="0" w:color="auto"/>
              <w:bottom w:val="single" w:sz="4" w:space="0" w:color="auto"/>
              <w:right w:val="single" w:sz="4" w:space="0" w:color="auto"/>
            </w:tcBorders>
            <w:shd w:val="clear" w:color="auto" w:fill="C6D9F1" w:themeFill="text2" w:themeFillTint="33"/>
            <w:noWrap/>
          </w:tcPr>
          <w:p w14:paraId="46350AFD" w14:textId="77777777" w:rsidR="006578ED" w:rsidRDefault="006578ED">
            <w:pPr>
              <w:spacing w:after="0" w:line="240" w:lineRule="auto"/>
              <w:jc w:val="center"/>
              <w:rPr>
                <w:rFonts w:ascii="Times New Roman" w:hAnsi="Times New Roman" w:cs="Times New Roman"/>
                <w:b/>
                <w:noProof/>
                <w:sz w:val="18"/>
              </w:rPr>
            </w:pPr>
          </w:p>
        </w:tc>
        <w:tc>
          <w:tcPr>
            <w:tcW w:w="66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BF35EB4" w14:textId="77777777" w:rsidR="006578ED" w:rsidRDefault="00A1618E">
            <w:pPr>
              <w:pStyle w:val="P68B1DB1-Normal12"/>
              <w:spacing w:after="0" w:line="240" w:lineRule="auto"/>
              <w:jc w:val="center"/>
              <w:rPr>
                <w:rFonts w:cs="Times New Roman"/>
                <w:noProof/>
              </w:rPr>
            </w:pPr>
            <w:r>
              <w:rPr>
                <w:noProof/>
              </w:rPr>
              <w:t>Jednostka</w:t>
            </w:r>
          </w:p>
        </w:tc>
        <w:tc>
          <w:tcPr>
            <w:tcW w:w="7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2851494" w14:textId="77777777" w:rsidR="006578ED" w:rsidRDefault="00A1618E">
            <w:pPr>
              <w:pStyle w:val="P68B1DB1-Normal12"/>
              <w:spacing w:after="0" w:line="240" w:lineRule="auto"/>
              <w:jc w:val="center"/>
              <w:rPr>
                <w:rFonts w:cs="Times New Roman"/>
                <w:noProof/>
              </w:rPr>
            </w:pPr>
            <w:r>
              <w:rPr>
                <w:noProof/>
              </w:rPr>
              <w:t>Wartość wyjściowa</w:t>
            </w:r>
          </w:p>
        </w:tc>
        <w:tc>
          <w:tcPr>
            <w:tcW w:w="69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6734EE8" w14:textId="77777777" w:rsidR="006578ED" w:rsidRDefault="00A1618E">
            <w:pPr>
              <w:pStyle w:val="P68B1DB1-Normal12"/>
              <w:spacing w:after="0" w:line="240" w:lineRule="auto"/>
              <w:jc w:val="center"/>
              <w:rPr>
                <w:rFonts w:cs="Times New Roman"/>
                <w:noProof/>
              </w:rPr>
            </w:pPr>
            <w:r>
              <w:rPr>
                <w:noProof/>
              </w:rPr>
              <w:t>Cel</w:t>
            </w:r>
          </w:p>
        </w:tc>
        <w:tc>
          <w:tcPr>
            <w:tcW w:w="41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0A6C54B" w14:textId="77777777" w:rsidR="006578ED" w:rsidRDefault="00A1618E">
            <w:pPr>
              <w:pStyle w:val="P68B1DB1-Normal12"/>
              <w:spacing w:after="0" w:line="240" w:lineRule="auto"/>
              <w:jc w:val="center"/>
              <w:rPr>
                <w:rFonts w:cs="Times New Roman"/>
                <w:noProof/>
              </w:rPr>
            </w:pPr>
            <w:r>
              <w:rPr>
                <w:noProof/>
              </w:rPr>
              <w:t>Q</w:t>
            </w:r>
          </w:p>
        </w:tc>
        <w:tc>
          <w:tcPr>
            <w:tcW w:w="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8EB8BC3" w14:textId="77777777" w:rsidR="006578ED" w:rsidRDefault="00A1618E">
            <w:pPr>
              <w:pStyle w:val="P68B1DB1-Normal12"/>
              <w:spacing w:after="0" w:line="240" w:lineRule="auto"/>
              <w:jc w:val="center"/>
              <w:rPr>
                <w:rFonts w:cs="Times New Roman"/>
                <w:noProof/>
              </w:rPr>
            </w:pPr>
            <w:r>
              <w:rPr>
                <w:noProof/>
              </w:rPr>
              <w:t>Rok</w:t>
            </w:r>
          </w:p>
        </w:tc>
        <w:tc>
          <w:tcPr>
            <w:tcW w:w="7031" w:type="dxa"/>
            <w:tcBorders>
              <w:top w:val="nil"/>
              <w:left w:val="single" w:sz="4" w:space="0" w:color="auto"/>
              <w:bottom w:val="single" w:sz="4" w:space="0" w:color="auto"/>
              <w:right w:val="single" w:sz="4" w:space="0" w:color="auto"/>
            </w:tcBorders>
            <w:shd w:val="clear" w:color="auto" w:fill="C6D9F1" w:themeFill="text2" w:themeFillTint="33"/>
            <w:noWrap/>
          </w:tcPr>
          <w:p w14:paraId="2F5D968D" w14:textId="77777777" w:rsidR="006578ED" w:rsidRDefault="006578ED">
            <w:pPr>
              <w:spacing w:after="0" w:line="240" w:lineRule="auto"/>
              <w:rPr>
                <w:rFonts w:ascii="Times New Roman" w:hAnsi="Times New Roman" w:cs="Times New Roman"/>
                <w:b/>
                <w:noProof/>
                <w:sz w:val="18"/>
              </w:rPr>
            </w:pPr>
          </w:p>
        </w:tc>
      </w:tr>
      <w:tr w:rsidR="006578ED" w14:paraId="07329F71" w14:textId="77777777">
        <w:trPr>
          <w:trHeight w:val="309"/>
        </w:trPr>
        <w:tc>
          <w:tcPr>
            <w:tcW w:w="701" w:type="dxa"/>
            <w:tcBorders>
              <w:top w:val="single" w:sz="4" w:space="0" w:color="auto"/>
              <w:left w:val="single" w:sz="4" w:space="0" w:color="auto"/>
              <w:bottom w:val="single" w:sz="4" w:space="0" w:color="auto"/>
              <w:right w:val="single" w:sz="4" w:space="0" w:color="auto"/>
            </w:tcBorders>
            <w:shd w:val="clear" w:color="auto" w:fill="C6EFCE"/>
            <w:noWrap/>
          </w:tcPr>
          <w:p w14:paraId="318C4763" w14:textId="455D51D7" w:rsidR="006578ED" w:rsidRDefault="00A1618E">
            <w:pPr>
              <w:pStyle w:val="P68B1DB1-Normal13"/>
              <w:spacing w:after="0" w:line="240" w:lineRule="auto"/>
              <w:jc w:val="center"/>
              <w:rPr>
                <w:rFonts w:eastAsia="Times New Roman" w:cs="Times New Roman"/>
                <w:noProof/>
              </w:rPr>
            </w:pPr>
            <w:r>
              <w:rPr>
                <w:noProof/>
              </w:rPr>
              <w:t>L81</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6D9B612D" w14:textId="77777777" w:rsidR="006578ED" w:rsidRDefault="00A1618E">
            <w:pPr>
              <w:pStyle w:val="P68B1DB1-Normal13"/>
              <w:spacing w:after="0" w:line="240" w:lineRule="auto"/>
              <w:jc w:val="center"/>
              <w:rPr>
                <w:rFonts w:eastAsia="Times New Roman" w:cs="Times New Roman"/>
                <w:noProof/>
              </w:rPr>
            </w:pPr>
            <w:r>
              <w:rPr>
                <w:noProof/>
              </w:rPr>
              <w:t>C28.I1</w:t>
            </w:r>
          </w:p>
        </w:tc>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7CEBEEBC" w14:textId="63594C52" w:rsidR="006578ED" w:rsidRDefault="00AF6B91">
            <w:pPr>
              <w:pStyle w:val="P68B1DB1-Normal13"/>
              <w:spacing w:after="0" w:line="240" w:lineRule="auto"/>
              <w:jc w:val="center"/>
              <w:rPr>
                <w:rFonts w:eastAsia="Times New Roman" w:cs="Times New Roman"/>
                <w:noProof/>
              </w:rPr>
            </w:pPr>
            <w:r>
              <w:rPr>
                <w:noProof/>
              </w:rPr>
              <w:t>Cel</w:t>
            </w:r>
          </w:p>
        </w:tc>
        <w:tc>
          <w:tcPr>
            <w:tcW w:w="1675" w:type="dxa"/>
            <w:tcBorders>
              <w:top w:val="single" w:sz="4" w:space="0" w:color="auto"/>
              <w:left w:val="single" w:sz="4" w:space="0" w:color="auto"/>
              <w:bottom w:val="single" w:sz="4" w:space="0" w:color="auto"/>
              <w:right w:val="single" w:sz="4" w:space="0" w:color="auto"/>
            </w:tcBorders>
            <w:shd w:val="clear" w:color="auto" w:fill="C6EFCE"/>
            <w:noWrap/>
          </w:tcPr>
          <w:p w14:paraId="02329803" w14:textId="03725CED" w:rsidR="006578ED" w:rsidRDefault="00A1618E">
            <w:pPr>
              <w:pStyle w:val="P68B1DB1-Normal13"/>
              <w:spacing w:after="0" w:line="240" w:lineRule="auto"/>
              <w:rPr>
                <w:rFonts w:eastAsia="Times New Roman" w:cs="Times New Roman"/>
                <w:noProof/>
              </w:rPr>
            </w:pPr>
            <w:r>
              <w:rPr>
                <w:noProof/>
              </w:rPr>
              <w:t>Zakończenie działań związanych z renowacją lokali mieszkalnych, osiągnięcie poprawy efektywności energetycznej.</w:t>
            </w:r>
          </w:p>
        </w:tc>
        <w:tc>
          <w:tcPr>
            <w:tcW w:w="1118" w:type="dxa"/>
            <w:tcBorders>
              <w:top w:val="single" w:sz="4" w:space="0" w:color="auto"/>
              <w:left w:val="single" w:sz="4" w:space="0" w:color="auto"/>
              <w:bottom w:val="single" w:sz="4" w:space="0" w:color="auto"/>
              <w:right w:val="single" w:sz="4" w:space="0" w:color="auto"/>
            </w:tcBorders>
            <w:shd w:val="clear" w:color="auto" w:fill="C6EFCE"/>
            <w:noWrap/>
          </w:tcPr>
          <w:p w14:paraId="69FE6C5A" w14:textId="77777777" w:rsidR="006578ED" w:rsidRDefault="006578ED">
            <w:pPr>
              <w:spacing w:after="0" w:line="240" w:lineRule="auto"/>
              <w:rPr>
                <w:rFonts w:ascii="Times New Roman" w:eastAsia="Times New Roman" w:hAnsi="Times New Roman" w:cs="Times New Roman"/>
                <w:noProof/>
                <w:sz w:val="18"/>
              </w:rPr>
            </w:pPr>
          </w:p>
        </w:tc>
        <w:tc>
          <w:tcPr>
            <w:tcW w:w="666" w:type="dxa"/>
            <w:tcBorders>
              <w:top w:val="single" w:sz="4" w:space="0" w:color="auto"/>
              <w:left w:val="single" w:sz="4" w:space="0" w:color="auto"/>
              <w:bottom w:val="single" w:sz="4" w:space="0" w:color="auto"/>
              <w:right w:val="single" w:sz="4" w:space="0" w:color="auto"/>
            </w:tcBorders>
            <w:shd w:val="clear" w:color="auto" w:fill="C6EFCE"/>
            <w:noWrap/>
          </w:tcPr>
          <w:p w14:paraId="608F9A8D" w14:textId="77777777" w:rsidR="006578ED" w:rsidRDefault="00A1618E">
            <w:pPr>
              <w:pStyle w:val="P68B1DB1-Normal13"/>
              <w:spacing w:after="0" w:line="240" w:lineRule="auto"/>
              <w:jc w:val="center"/>
              <w:rPr>
                <w:rFonts w:eastAsia="Times New Roman" w:cs="Times New Roman"/>
                <w:noProof/>
              </w:rPr>
            </w:pPr>
            <w:r>
              <w:rPr>
                <w:noProof/>
              </w:rPr>
              <w:t>Liczba</w:t>
            </w:r>
          </w:p>
        </w:tc>
        <w:tc>
          <w:tcPr>
            <w:tcW w:w="732" w:type="dxa"/>
            <w:tcBorders>
              <w:top w:val="single" w:sz="4" w:space="0" w:color="auto"/>
              <w:left w:val="single" w:sz="4" w:space="0" w:color="auto"/>
              <w:bottom w:val="single" w:sz="4" w:space="0" w:color="auto"/>
              <w:right w:val="single" w:sz="4" w:space="0" w:color="auto"/>
            </w:tcBorders>
            <w:shd w:val="clear" w:color="auto" w:fill="C6EFCE"/>
            <w:noWrap/>
          </w:tcPr>
          <w:p w14:paraId="00290C9C" w14:textId="3A551783" w:rsidR="006578ED" w:rsidRDefault="00A1618E">
            <w:pPr>
              <w:pStyle w:val="P68B1DB1-Normal13"/>
              <w:spacing w:after="0" w:line="240" w:lineRule="auto"/>
              <w:jc w:val="center"/>
              <w:rPr>
                <w:rFonts w:eastAsia="Times New Roman" w:cs="Times New Roman"/>
                <w:noProof/>
              </w:rPr>
            </w:pPr>
            <w:r>
              <w:rPr>
                <w:noProof/>
              </w:rPr>
              <w:t>410 000</w:t>
            </w:r>
          </w:p>
        </w:tc>
        <w:tc>
          <w:tcPr>
            <w:tcW w:w="699" w:type="dxa"/>
            <w:tcBorders>
              <w:top w:val="single" w:sz="4" w:space="0" w:color="auto"/>
              <w:left w:val="single" w:sz="4" w:space="0" w:color="auto"/>
              <w:bottom w:val="single" w:sz="4" w:space="0" w:color="auto"/>
              <w:right w:val="single" w:sz="4" w:space="0" w:color="auto"/>
            </w:tcBorders>
            <w:shd w:val="clear" w:color="auto" w:fill="C6EFCE"/>
            <w:noWrap/>
          </w:tcPr>
          <w:p w14:paraId="41D57A0A" w14:textId="3DEB6947" w:rsidR="006578ED" w:rsidRDefault="00A1618E">
            <w:pPr>
              <w:pStyle w:val="P68B1DB1-Normal13"/>
              <w:spacing w:after="0" w:line="240" w:lineRule="auto"/>
              <w:jc w:val="center"/>
              <w:rPr>
                <w:rFonts w:eastAsia="Times New Roman" w:cs="Times New Roman"/>
                <w:noProof/>
              </w:rPr>
            </w:pPr>
            <w:r>
              <w:rPr>
                <w:noProof/>
              </w:rPr>
              <w:t>510 000</w:t>
            </w:r>
          </w:p>
        </w:tc>
        <w:tc>
          <w:tcPr>
            <w:tcW w:w="419" w:type="dxa"/>
            <w:tcBorders>
              <w:top w:val="single" w:sz="4" w:space="0" w:color="auto"/>
              <w:left w:val="single" w:sz="4" w:space="0" w:color="auto"/>
              <w:bottom w:val="single" w:sz="4" w:space="0" w:color="auto"/>
              <w:right w:val="single" w:sz="4" w:space="0" w:color="auto"/>
            </w:tcBorders>
            <w:shd w:val="clear" w:color="auto" w:fill="C6EFCE"/>
            <w:noWrap/>
          </w:tcPr>
          <w:p w14:paraId="35B7A268" w14:textId="0317A513" w:rsidR="006578ED" w:rsidRDefault="00EC188C">
            <w:pPr>
              <w:pStyle w:val="P68B1DB1-Normal13"/>
              <w:spacing w:after="0" w:line="240" w:lineRule="auto"/>
              <w:jc w:val="center"/>
              <w:rPr>
                <w:rFonts w:eastAsia="Times New Roman" w:cs="Times New Roman"/>
                <w:noProof/>
              </w:rPr>
            </w:pPr>
            <w:r>
              <w:rPr>
                <w:noProof/>
              </w:rPr>
              <w:t>KW. 3</w:t>
            </w:r>
          </w:p>
        </w:tc>
        <w:tc>
          <w:tcPr>
            <w:tcW w:w="559" w:type="dxa"/>
            <w:tcBorders>
              <w:top w:val="single" w:sz="4" w:space="0" w:color="auto"/>
              <w:left w:val="single" w:sz="4" w:space="0" w:color="auto"/>
              <w:bottom w:val="single" w:sz="4" w:space="0" w:color="auto"/>
              <w:right w:val="single" w:sz="4" w:space="0" w:color="auto"/>
            </w:tcBorders>
            <w:shd w:val="clear" w:color="auto" w:fill="C6EFCE"/>
            <w:noWrap/>
          </w:tcPr>
          <w:p w14:paraId="60DE50A9" w14:textId="77777777" w:rsidR="006578ED" w:rsidRDefault="00A1618E">
            <w:pPr>
              <w:pStyle w:val="P68B1DB1-Normal13"/>
              <w:spacing w:after="0" w:line="240" w:lineRule="auto"/>
              <w:jc w:val="center"/>
              <w:rPr>
                <w:rFonts w:eastAsia="Times New Roman" w:cs="Times New Roman"/>
                <w:noProof/>
              </w:rPr>
            </w:pPr>
            <w:r>
              <w:rPr>
                <w:noProof/>
              </w:rPr>
              <w:t>2026</w:t>
            </w:r>
          </w:p>
        </w:tc>
        <w:tc>
          <w:tcPr>
            <w:tcW w:w="7031" w:type="dxa"/>
            <w:tcBorders>
              <w:top w:val="single" w:sz="4" w:space="0" w:color="auto"/>
              <w:left w:val="single" w:sz="4" w:space="0" w:color="auto"/>
              <w:bottom w:val="single" w:sz="4" w:space="0" w:color="auto"/>
              <w:right w:val="single" w:sz="4" w:space="0" w:color="auto"/>
            </w:tcBorders>
            <w:shd w:val="clear" w:color="auto" w:fill="C6EFCE"/>
            <w:noWrap/>
          </w:tcPr>
          <w:p w14:paraId="4BC95E47" w14:textId="7A7E87AE" w:rsidR="006578ED" w:rsidRDefault="00A1618E">
            <w:pPr>
              <w:pStyle w:val="P68B1DB1-Normal13"/>
              <w:rPr>
                <w:rFonts w:eastAsia="Times New Roman" w:cs="Times New Roman"/>
                <w:noProof/>
              </w:rPr>
            </w:pPr>
            <w:r>
              <w:rPr>
                <w:noProof/>
              </w:rPr>
              <w:t>Co najmniej 510000 działań w zakresie renowacji lokali mieszkalnych w co najmniej 355000 ukończonych pojedynczych lokalach mieszkalnych, osiągające średnio co najmniej 30 % zmniejszenie zapotrzebowania na energię pierwotną (skumulowane). Do celów wskaźnika pojęcie mieszkania jest zgodne z definicją Eurostatu („mieszkanie jest pomieszczeniem lub zestawem pokojów – łącznie z akcesoriami, lobbami i korytarzami – w stałym budynku lub w wydzielonej konstrukcyjnie części budynku, który ze względu na sposób, w jaki został wybudowany, przebudowany lub przebudowany, przeznaczony jest do zamieszkania przez jedno prywatne gospodarstwo domowe przez cały rok”) i może obejmować, w stosownych przypadkach, mieszkalnictwo socjalne lub publiczne. Stosowane wskaźniki poprawy charakterystyki energetycznej są akredytowane za pomocą odpowiedniego świadectwa charakterystyki energetycznej w ramach dyrektywy Parlamentu Europejskiego i Rady 2010/31/UE z dnia 19 maja 20</w:t>
            </w:r>
            <w:r w:rsidRPr="00A1618E">
              <w:rPr>
                <w:noProof/>
                <w:lang w:val="pl-PL"/>
              </w:rPr>
              <w:t>10 r.</w:t>
            </w:r>
            <w:r>
              <w:rPr>
                <w:noProof/>
              </w:rPr>
              <w:t xml:space="preserve"> w sprawie charakterystyki energetycznej budynków. Liczbę rekultywacji mieszkań określa się jako sumę wszystkich działań usprawniających i rekultywacyjnych przeprowadzonych za pomocą zachęt podatkowych. Średni odsetek oszczędności w zużyciu energii pierwotnej w celu zapewnienia zgodności z wartością minimalną wynoszącą 30 % uzyskuje się poprzez ważenie zestawu działań rehabilitacyjnych o kwotę pomocy lub finansowania zastosowanego w ramach planu odbudowy i zwiększania odporności. Wskaźnik ten obejmuje działania na rzecz poprawy i odbudowy we wszystkich gminach, niezależnie od ich wielkości. Aby uzasadnić zgodność z uzyskanymi oszczędnościami energii, świadectwa charakterystyki energetycznej ukończonych robót budowlanych są wymagane i zagregowane w celu potwierdzenia średniej uzyskanej oszczędności energii. (Podstawa: 30 czerwca 20</w:t>
            </w:r>
            <w:r w:rsidRPr="00A1618E">
              <w:rPr>
                <w:noProof/>
                <w:lang w:val="pl-PL"/>
              </w:rPr>
              <w:t>26 r.</w:t>
            </w:r>
            <w:r>
              <w:rPr>
                <w:noProof/>
              </w:rPr>
              <w:t xml:space="preserve"> zgodnie z celem 29 komponentu 2)</w:t>
            </w:r>
          </w:p>
        </w:tc>
      </w:tr>
      <w:tr w:rsidR="006578ED" w14:paraId="6CFE415C" w14:textId="77777777">
        <w:trPr>
          <w:trHeight w:val="309"/>
        </w:trPr>
        <w:tc>
          <w:tcPr>
            <w:tcW w:w="701" w:type="dxa"/>
            <w:tcBorders>
              <w:top w:val="single" w:sz="4" w:space="0" w:color="auto"/>
              <w:left w:val="single" w:sz="4" w:space="0" w:color="auto"/>
              <w:bottom w:val="single" w:sz="4" w:space="0" w:color="auto"/>
              <w:right w:val="single" w:sz="4" w:space="0" w:color="auto"/>
            </w:tcBorders>
            <w:shd w:val="clear" w:color="auto" w:fill="C6EFCE"/>
            <w:noWrap/>
          </w:tcPr>
          <w:p w14:paraId="3C1B56C4" w14:textId="0B90D2B7" w:rsidR="006578ED" w:rsidRDefault="00A1618E">
            <w:pPr>
              <w:pStyle w:val="P68B1DB1-Normal13"/>
              <w:spacing w:after="0" w:line="240" w:lineRule="auto"/>
              <w:jc w:val="center"/>
              <w:rPr>
                <w:rFonts w:eastAsia="Times New Roman" w:cs="Times New Roman"/>
                <w:noProof/>
              </w:rPr>
            </w:pPr>
            <w:r>
              <w:rPr>
                <w:noProof/>
              </w:rPr>
              <w:t xml:space="preserve">L82 </w:t>
            </w:r>
          </w:p>
        </w:tc>
        <w:tc>
          <w:tcPr>
            <w:tcW w:w="839" w:type="dxa"/>
            <w:tcBorders>
              <w:top w:val="single" w:sz="4" w:space="0" w:color="auto"/>
              <w:left w:val="single" w:sz="4" w:space="0" w:color="auto"/>
              <w:bottom w:val="single" w:sz="4" w:space="0" w:color="auto"/>
              <w:right w:val="single" w:sz="4" w:space="0" w:color="auto"/>
            </w:tcBorders>
            <w:shd w:val="clear" w:color="auto" w:fill="C6EFCE"/>
            <w:noWrap/>
          </w:tcPr>
          <w:p w14:paraId="7FDC7730" w14:textId="77777777" w:rsidR="006578ED" w:rsidRDefault="00A1618E">
            <w:pPr>
              <w:pStyle w:val="P68B1DB1-Normal13"/>
              <w:spacing w:after="0" w:line="240" w:lineRule="auto"/>
              <w:jc w:val="center"/>
              <w:rPr>
                <w:rFonts w:cs="Times New Roman"/>
                <w:noProof/>
              </w:rPr>
            </w:pPr>
            <w:r>
              <w:rPr>
                <w:noProof/>
              </w:rPr>
              <w:t>C28.I1</w:t>
            </w:r>
          </w:p>
        </w:tc>
        <w:tc>
          <w:tcPr>
            <w:tcW w:w="838" w:type="dxa"/>
            <w:tcBorders>
              <w:top w:val="single" w:sz="4" w:space="0" w:color="auto"/>
              <w:left w:val="single" w:sz="4" w:space="0" w:color="auto"/>
              <w:bottom w:val="single" w:sz="4" w:space="0" w:color="auto"/>
              <w:right w:val="single" w:sz="4" w:space="0" w:color="auto"/>
            </w:tcBorders>
            <w:shd w:val="clear" w:color="auto" w:fill="C6EFCE"/>
            <w:noWrap/>
          </w:tcPr>
          <w:p w14:paraId="47D57269" w14:textId="2432B4DB" w:rsidR="006578ED" w:rsidRDefault="00AF6B91">
            <w:pPr>
              <w:pStyle w:val="P68B1DB1-Normal13"/>
              <w:spacing w:after="0" w:line="240" w:lineRule="auto"/>
              <w:jc w:val="center"/>
              <w:rPr>
                <w:rFonts w:eastAsia="Times New Roman" w:cs="Times New Roman"/>
                <w:noProof/>
              </w:rPr>
            </w:pPr>
            <w:r>
              <w:rPr>
                <w:noProof/>
              </w:rPr>
              <w:t>Cel</w:t>
            </w:r>
          </w:p>
        </w:tc>
        <w:tc>
          <w:tcPr>
            <w:tcW w:w="1675" w:type="dxa"/>
            <w:tcBorders>
              <w:top w:val="single" w:sz="4" w:space="0" w:color="auto"/>
              <w:left w:val="single" w:sz="4" w:space="0" w:color="auto"/>
              <w:bottom w:val="single" w:sz="4" w:space="0" w:color="auto"/>
              <w:right w:val="single" w:sz="4" w:space="0" w:color="auto"/>
            </w:tcBorders>
            <w:shd w:val="clear" w:color="auto" w:fill="C6EFCE"/>
            <w:noWrap/>
          </w:tcPr>
          <w:p w14:paraId="6292F74A" w14:textId="6EE2D192" w:rsidR="006578ED" w:rsidRDefault="00A1618E">
            <w:pPr>
              <w:pStyle w:val="P68B1DB1-Normal13"/>
              <w:spacing w:after="0" w:line="240" w:lineRule="auto"/>
              <w:rPr>
                <w:rFonts w:eastAsia="Times New Roman" w:cs="Times New Roman"/>
                <w:noProof/>
              </w:rPr>
            </w:pPr>
            <w:r>
              <w:rPr>
                <w:noProof/>
              </w:rPr>
              <w:t xml:space="preserve">Uruchomiona infrastruktura ładowania pojazdów elektrycznych i ładowania </w:t>
            </w:r>
          </w:p>
        </w:tc>
        <w:tc>
          <w:tcPr>
            <w:tcW w:w="1118" w:type="dxa"/>
            <w:tcBorders>
              <w:top w:val="single" w:sz="4" w:space="0" w:color="auto"/>
              <w:left w:val="single" w:sz="4" w:space="0" w:color="auto"/>
              <w:bottom w:val="single" w:sz="4" w:space="0" w:color="auto"/>
              <w:right w:val="single" w:sz="4" w:space="0" w:color="auto"/>
            </w:tcBorders>
            <w:shd w:val="clear" w:color="auto" w:fill="C6EFCE"/>
            <w:noWrap/>
          </w:tcPr>
          <w:p w14:paraId="3B25C739" w14:textId="77777777" w:rsidR="006578ED" w:rsidRDefault="006578ED">
            <w:pPr>
              <w:spacing w:after="0" w:line="240" w:lineRule="auto"/>
              <w:jc w:val="center"/>
              <w:rPr>
                <w:rFonts w:ascii="Times New Roman" w:eastAsia="Times New Roman" w:hAnsi="Times New Roman" w:cs="Times New Roman"/>
                <w:noProof/>
                <w:sz w:val="18"/>
              </w:rPr>
            </w:pPr>
          </w:p>
        </w:tc>
        <w:tc>
          <w:tcPr>
            <w:tcW w:w="666" w:type="dxa"/>
            <w:tcBorders>
              <w:top w:val="single" w:sz="4" w:space="0" w:color="auto"/>
              <w:left w:val="single" w:sz="4" w:space="0" w:color="auto"/>
              <w:bottom w:val="single" w:sz="4" w:space="0" w:color="auto"/>
              <w:right w:val="single" w:sz="4" w:space="0" w:color="auto"/>
            </w:tcBorders>
            <w:shd w:val="clear" w:color="auto" w:fill="C6EFCE"/>
            <w:noWrap/>
          </w:tcPr>
          <w:p w14:paraId="33589A6B" w14:textId="77777777" w:rsidR="006578ED" w:rsidRDefault="00A1618E">
            <w:pPr>
              <w:pStyle w:val="P68B1DB1-Normal13"/>
              <w:spacing w:after="0" w:line="240" w:lineRule="auto"/>
              <w:jc w:val="center"/>
              <w:rPr>
                <w:rFonts w:cs="Times New Roman"/>
                <w:noProof/>
              </w:rPr>
            </w:pPr>
            <w:r>
              <w:rPr>
                <w:noProof/>
              </w:rPr>
              <w:t>Liczba</w:t>
            </w:r>
          </w:p>
        </w:tc>
        <w:tc>
          <w:tcPr>
            <w:tcW w:w="732" w:type="dxa"/>
            <w:tcBorders>
              <w:top w:val="single" w:sz="4" w:space="0" w:color="auto"/>
              <w:left w:val="single" w:sz="4" w:space="0" w:color="auto"/>
              <w:bottom w:val="single" w:sz="4" w:space="0" w:color="auto"/>
              <w:right w:val="single" w:sz="4" w:space="0" w:color="auto"/>
            </w:tcBorders>
            <w:shd w:val="clear" w:color="auto" w:fill="C6EFCE"/>
            <w:noWrap/>
          </w:tcPr>
          <w:p w14:paraId="6928C400" w14:textId="77777777" w:rsidR="006578ED" w:rsidRDefault="00A1618E">
            <w:pPr>
              <w:pStyle w:val="P68B1DB1-Normal13"/>
              <w:spacing w:after="0" w:line="240" w:lineRule="auto"/>
              <w:jc w:val="center"/>
              <w:rPr>
                <w:rFonts w:cs="Times New Roman"/>
                <w:noProof/>
              </w:rPr>
            </w:pPr>
            <w:r>
              <w:rPr>
                <w:noProof/>
              </w:rPr>
              <w:t>238 000</w:t>
            </w:r>
          </w:p>
        </w:tc>
        <w:tc>
          <w:tcPr>
            <w:tcW w:w="699" w:type="dxa"/>
            <w:tcBorders>
              <w:top w:val="single" w:sz="4" w:space="0" w:color="auto"/>
              <w:left w:val="single" w:sz="4" w:space="0" w:color="auto"/>
              <w:bottom w:val="single" w:sz="4" w:space="0" w:color="auto"/>
              <w:right w:val="single" w:sz="4" w:space="0" w:color="auto"/>
            </w:tcBorders>
            <w:shd w:val="clear" w:color="auto" w:fill="C6EFCE"/>
            <w:noWrap/>
          </w:tcPr>
          <w:p w14:paraId="5BF418A1" w14:textId="77777777" w:rsidR="006578ED" w:rsidRDefault="00A1618E">
            <w:pPr>
              <w:pStyle w:val="P68B1DB1-Normal13"/>
              <w:spacing w:after="0" w:line="240" w:lineRule="auto"/>
              <w:jc w:val="center"/>
              <w:rPr>
                <w:rFonts w:cs="Times New Roman"/>
                <w:noProof/>
              </w:rPr>
            </w:pPr>
            <w:r>
              <w:rPr>
                <w:noProof/>
              </w:rPr>
              <w:t xml:space="preserve">348 000 </w:t>
            </w:r>
          </w:p>
        </w:tc>
        <w:tc>
          <w:tcPr>
            <w:tcW w:w="419" w:type="dxa"/>
            <w:tcBorders>
              <w:top w:val="single" w:sz="4" w:space="0" w:color="auto"/>
              <w:left w:val="single" w:sz="4" w:space="0" w:color="auto"/>
              <w:bottom w:val="single" w:sz="4" w:space="0" w:color="auto"/>
              <w:right w:val="single" w:sz="4" w:space="0" w:color="auto"/>
            </w:tcBorders>
            <w:shd w:val="clear" w:color="auto" w:fill="C6EFCE"/>
            <w:noWrap/>
          </w:tcPr>
          <w:p w14:paraId="3E61B028" w14:textId="3CF8F7C2" w:rsidR="006578ED" w:rsidRDefault="00EC188C">
            <w:pPr>
              <w:pStyle w:val="P68B1DB1-Normal13"/>
              <w:spacing w:after="0" w:line="240" w:lineRule="auto"/>
              <w:jc w:val="center"/>
              <w:rPr>
                <w:rFonts w:eastAsia="Times New Roman" w:cs="Times New Roman"/>
                <w:noProof/>
              </w:rPr>
            </w:pPr>
            <w:r>
              <w:rPr>
                <w:noProof/>
              </w:rPr>
              <w:t>KW. 3</w:t>
            </w:r>
          </w:p>
        </w:tc>
        <w:tc>
          <w:tcPr>
            <w:tcW w:w="559" w:type="dxa"/>
            <w:tcBorders>
              <w:top w:val="single" w:sz="4" w:space="0" w:color="auto"/>
              <w:left w:val="single" w:sz="4" w:space="0" w:color="auto"/>
              <w:bottom w:val="single" w:sz="4" w:space="0" w:color="auto"/>
              <w:right w:val="single" w:sz="4" w:space="0" w:color="auto"/>
            </w:tcBorders>
            <w:shd w:val="clear" w:color="auto" w:fill="C6EFCE"/>
            <w:noWrap/>
          </w:tcPr>
          <w:p w14:paraId="44AFB5F0" w14:textId="1AE2866A" w:rsidR="006578ED" w:rsidRDefault="00A1618E">
            <w:pPr>
              <w:pStyle w:val="P68B1DB1-Normal13"/>
              <w:spacing w:after="0" w:line="240" w:lineRule="auto"/>
              <w:jc w:val="center"/>
              <w:rPr>
                <w:rFonts w:eastAsia="Times New Roman" w:cs="Times New Roman"/>
                <w:noProof/>
              </w:rPr>
            </w:pPr>
            <w:r>
              <w:rPr>
                <w:noProof/>
              </w:rPr>
              <w:t>2026</w:t>
            </w:r>
          </w:p>
        </w:tc>
        <w:tc>
          <w:tcPr>
            <w:tcW w:w="7031" w:type="dxa"/>
            <w:tcBorders>
              <w:top w:val="single" w:sz="4" w:space="0" w:color="auto"/>
              <w:left w:val="single" w:sz="4" w:space="0" w:color="auto"/>
              <w:bottom w:val="single" w:sz="4" w:space="0" w:color="auto"/>
              <w:right w:val="single" w:sz="4" w:space="0" w:color="auto"/>
            </w:tcBorders>
            <w:shd w:val="clear" w:color="auto" w:fill="C6EFCE"/>
            <w:noWrap/>
          </w:tcPr>
          <w:p w14:paraId="3FC8FA4F" w14:textId="37519251" w:rsidR="006578ED" w:rsidRDefault="00A1618E">
            <w:pPr>
              <w:pStyle w:val="P68B1DB1-Normal13"/>
              <w:spacing w:after="0" w:line="240" w:lineRule="auto"/>
              <w:rPr>
                <w:rFonts w:eastAsia="Times New Roman" w:cs="Times New Roman"/>
                <w:noProof/>
              </w:rPr>
            </w:pPr>
            <w:r>
              <w:rPr>
                <w:noProof/>
              </w:rPr>
              <w:t>Wdrożono co najmniej 110000 dodatkowych nowych pojazdów elektrycznych (BEV, REEV, PHEV, FCEV lub FCHV) oraz stacji ładowania objętych zachętami podatkowymi.</w:t>
            </w:r>
          </w:p>
          <w:p w14:paraId="23E39600" w14:textId="7EA707E6" w:rsidR="006578ED" w:rsidRDefault="00A1618E">
            <w:pPr>
              <w:pStyle w:val="P68B1DB1-Normal13"/>
              <w:spacing w:after="0" w:line="240" w:lineRule="auto"/>
              <w:rPr>
                <w:rFonts w:eastAsia="Times New Roman" w:cs="Times New Roman"/>
                <w:noProof/>
              </w:rPr>
            </w:pPr>
            <w:r>
              <w:rPr>
                <w:noProof/>
              </w:rPr>
              <w:t>(Podstawa: 31 grudnia 20</w:t>
            </w:r>
            <w:r w:rsidRPr="00A1618E">
              <w:rPr>
                <w:noProof/>
                <w:lang w:val="pl-PL"/>
              </w:rPr>
              <w:t>25 r.</w:t>
            </w:r>
            <w:r>
              <w:rPr>
                <w:noProof/>
              </w:rPr>
              <w:t xml:space="preserve"> zgodnie z celem 419 komponentu 1)</w:t>
            </w:r>
          </w:p>
        </w:tc>
      </w:tr>
    </w:tbl>
    <w:p w14:paraId="7D3D22D9" w14:textId="77777777" w:rsidR="006578ED" w:rsidRDefault="006578ED">
      <w:pPr>
        <w:pStyle w:val="Text1"/>
        <w:rPr>
          <w:rFonts w:ascii="Times New Roman" w:hAnsi="Times New Roman" w:cs="Times New Roman"/>
          <w:noProof/>
        </w:rPr>
        <w:sectPr w:rsidR="006578ED" w:rsidSect="00C94F66">
          <w:headerReference w:type="even" r:id="rId537"/>
          <w:headerReference w:type="default" r:id="rId538"/>
          <w:footerReference w:type="even" r:id="rId539"/>
          <w:footerReference w:type="default" r:id="rId540"/>
          <w:headerReference w:type="first" r:id="rId541"/>
          <w:footerReference w:type="first" r:id="rId542"/>
          <w:pgSz w:w="16839" w:h="11907" w:orient="landscape"/>
          <w:pgMar w:top="1417" w:right="1134" w:bottom="1417" w:left="1134" w:header="709" w:footer="709" w:gutter="0"/>
          <w:cols w:space="720"/>
          <w:docGrid w:linePitch="360"/>
        </w:sectPr>
      </w:pPr>
    </w:p>
    <w:p w14:paraId="2D6EE182" w14:textId="77777777" w:rsidR="006578ED" w:rsidRDefault="00A1618E">
      <w:pPr>
        <w:pStyle w:val="P68B1DB1-Heading12"/>
        <w:rPr>
          <w:rFonts w:cs="Times New Roman"/>
          <w:noProof/>
        </w:rPr>
      </w:pPr>
      <w:r>
        <w:rPr>
          <w:noProof/>
        </w:rPr>
        <w:t>AC. KOMPONENT 29: Poprawa efektywności wydatków publicznych</w:t>
      </w:r>
    </w:p>
    <w:p w14:paraId="11CE09AD" w14:textId="13AA4276" w:rsidR="006578ED" w:rsidRDefault="00A1618E">
      <w:pPr>
        <w:pStyle w:val="P68B1DB1-Text119"/>
        <w:ind w:left="0"/>
        <w:rPr>
          <w:rFonts w:cs="Times New Roman"/>
          <w:noProof/>
        </w:rPr>
      </w:pPr>
      <w:r>
        <w:rPr>
          <w:noProof/>
        </w:rPr>
        <w:t xml:space="preserve">Reformy w ramach komponentu 29 hiszpańskiego planu odbudowy i zwiększania odporności mają na celu (i) poprawę efektywności wydatków publicznych poprzez wzmocnienie ram i praktyk w zakresie przeglądów wydatków oraz (ii) dostosowanie budżetu instytucji rządowych na szczeblu centralnym do celów zrównoważonego rozwoju i zasad ekologicznego planowania budżetu. </w:t>
      </w:r>
    </w:p>
    <w:p w14:paraId="2855F655" w14:textId="53722B9C" w:rsidR="006578ED" w:rsidRPr="00A1618E" w:rsidRDefault="00A1618E">
      <w:pPr>
        <w:pStyle w:val="P68B1DB1-Text119"/>
        <w:ind w:left="0"/>
        <w:rPr>
          <w:rFonts w:cs="Times New Roman"/>
          <w:noProof/>
          <w:lang w:val="pl-PL"/>
        </w:rPr>
      </w:pPr>
      <w:r>
        <w:rPr>
          <w:noProof/>
        </w:rPr>
        <w:t>Celem komponentu planu jest poprawa jakości wydatków publicznych, w szczególności poprzez dokonanie przeglądu ich struktury i zmianę ukierunkowania ich wykorzystania, wspieranie wzrostu gospodarczego i tworzenia miejsc pracy, a ostatecznie zapewnienie stabilności finansów publicznych i stabilności długu publicznego w perspektywie średnioterminowej. Reformy dotyczą również wyzwań związanych z nową rzeczywistością gospodarczą i społeczną</w:t>
      </w:r>
      <w:r w:rsidRPr="00A1618E">
        <w:rPr>
          <w:noProof/>
          <w:lang w:val="pl-PL"/>
        </w:rPr>
        <w:t xml:space="preserve">. </w:t>
      </w:r>
    </w:p>
    <w:p w14:paraId="04D7F579" w14:textId="48F2AD50" w:rsidR="006578ED" w:rsidRDefault="00A1618E">
      <w:pPr>
        <w:pStyle w:val="P68B1DB1-Text119"/>
        <w:ind w:left="0"/>
        <w:rPr>
          <w:rFonts w:cs="Times New Roman"/>
          <w:noProof/>
        </w:rPr>
      </w:pPr>
      <w:r>
        <w:rPr>
          <w:noProof/>
        </w:rPr>
        <w:t xml:space="preserve">Komponent ten jest odpowiedzią na zalecenie dla poszczególnych krajów dotyczące – gdy pozwolą na to warunki ekonomiczne – prowadzenia polityk fiskalnych mających na celu osiągnięcie ostrożnej sytuacji budżetowej w średnim okresie i zapewnienie długookresowej zdolności do obsługi długu, przy jednoczesnym zachęcaniu do inwestycji (zalecenie dla poszczególnych krajów </w:t>
      </w:r>
      <w:r w:rsidRPr="00A1618E">
        <w:rPr>
          <w:noProof/>
          <w:lang w:val="pl-PL"/>
        </w:rPr>
        <w:t>nr 1</w:t>
      </w:r>
      <w:r>
        <w:rPr>
          <w:noProof/>
        </w:rPr>
        <w:t xml:space="preserve"> z 20</w:t>
      </w:r>
      <w:r w:rsidRPr="00A1618E">
        <w:rPr>
          <w:noProof/>
          <w:lang w:val="pl-PL"/>
        </w:rPr>
        <w:t>20 r.</w:t>
      </w:r>
      <w:r>
        <w:rPr>
          <w:noProof/>
        </w:rPr>
        <w:t>).</w:t>
      </w:r>
    </w:p>
    <w:p w14:paraId="6BF0C738" w14:textId="441AF00C" w:rsidR="006578ED" w:rsidRDefault="00A1618E">
      <w:pPr>
        <w:pStyle w:val="P68B1DB1-Text119"/>
        <w:ind w:left="0"/>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0F17AC41" w14:textId="318A510C" w:rsidR="006578ED" w:rsidRDefault="00A1618E">
      <w:pPr>
        <w:pStyle w:val="P68B1DB1-Text138"/>
        <w:ind w:left="709"/>
        <w:rPr>
          <w:rFonts w:cs="Times New Roman"/>
          <w:noProof/>
        </w:rPr>
      </w:pPr>
      <w:r>
        <w:rPr>
          <w:noProof/>
        </w:rPr>
        <w:t xml:space="preserve">AC.1. </w:t>
      </w:r>
      <w:r>
        <w:rPr>
          <w:noProof/>
        </w:rPr>
        <w:tab/>
        <w:t>Opis reform i inwestycji, które mają być finansowane z bezzwrotnego wsparcia finansowego</w:t>
      </w:r>
    </w:p>
    <w:p w14:paraId="1A37E54D" w14:textId="4A4CB5BB" w:rsidR="006578ED" w:rsidRDefault="00A1618E">
      <w:pPr>
        <w:pStyle w:val="P68B1DB1-Text120"/>
        <w:ind w:left="0"/>
        <w:rPr>
          <w:rFonts w:cs="Times New Roman"/>
          <w:noProof/>
        </w:rPr>
      </w:pPr>
      <w:r>
        <w:rPr>
          <w:noProof/>
        </w:rPr>
        <w:t>Reforma 1 (C29.R1) – Przegląd wydatków publicznych i proces oceny wydatków publicznych</w:t>
      </w:r>
    </w:p>
    <w:p w14:paraId="6D646A7A" w14:textId="17E58260" w:rsidR="006578ED" w:rsidRDefault="00A1618E">
      <w:pPr>
        <w:pStyle w:val="P68B1DB1-Text119"/>
        <w:ind w:left="0"/>
        <w:rPr>
          <w:rFonts w:cs="Times New Roman"/>
          <w:noProof/>
        </w:rPr>
      </w:pPr>
      <w:r>
        <w:rPr>
          <w:noProof/>
        </w:rPr>
        <w:t>Celem tej reformy jest ustanowienie stałych ram zapewniających poprawę jakości wydatków publicznych, wzmacniających stabilność budżetową i stabilność finansów sektora instytucji rządowych i samorządowych. Reforma ta obejmuje cztery podelementy:</w:t>
      </w:r>
    </w:p>
    <w:p w14:paraId="4055AA4E" w14:textId="15AD1079" w:rsidR="006578ED" w:rsidRDefault="00A1618E">
      <w:pPr>
        <w:pStyle w:val="P68B1DB1-Text119"/>
        <w:numPr>
          <w:ilvl w:val="0"/>
          <w:numId w:val="166"/>
        </w:numPr>
        <w:rPr>
          <w:rFonts w:cs="Times New Roman"/>
          <w:noProof/>
        </w:rPr>
      </w:pPr>
      <w:r>
        <w:rPr>
          <w:noProof/>
        </w:rPr>
        <w:t xml:space="preserve">Włączenie do procesu decyzyjnego zaleceń zawartych w przeglądzie wydatków na lata 2018–2020 (etap I i etap II): Aby osiągnąć skuteczne działania następcze w związku z zaleceniami etapu I i II, jednostkom budżetowym, którym wydano zalecenia, wyznacza się termin na udzielenie odpowiedzi na te zalecenia zgodnie z zasadą „przestrzegaj lub wyjaśnij”. Oczekuje się, że Ministerstwo Finansów będzie odpowiedzialne za monitorowanie działań następczych i sporządzanie rocznego sprawozdania z odpowiedzi na zalecenia. </w:t>
      </w:r>
    </w:p>
    <w:p w14:paraId="3173400A" w14:textId="0318886B" w:rsidR="006578ED" w:rsidRDefault="00A1618E">
      <w:pPr>
        <w:pStyle w:val="P68B1DB1-Text119"/>
        <w:numPr>
          <w:ilvl w:val="0"/>
          <w:numId w:val="166"/>
        </w:numPr>
        <w:rPr>
          <w:rFonts w:cs="Times New Roman"/>
          <w:noProof/>
        </w:rPr>
      </w:pPr>
      <w:r>
        <w:rPr>
          <w:noProof/>
        </w:rPr>
        <w:t>Rozpoczęcie trzeciego etapu przeglądu wydatków w 20</w:t>
      </w:r>
      <w:r w:rsidRPr="00A1618E">
        <w:rPr>
          <w:noProof/>
          <w:lang w:val="pl-PL"/>
        </w:rPr>
        <w:t>21 r.</w:t>
      </w:r>
      <w:r>
        <w:rPr>
          <w:noProof/>
        </w:rPr>
        <w:t xml:space="preserve">: Planuje się, że trzeci etap przeglądu wydatków skoncentruje się na instrumentach finansowych i gospodarowaniu odpadami gminnymi; </w:t>
      </w:r>
    </w:p>
    <w:p w14:paraId="2D6C80F9" w14:textId="3DE56EC6" w:rsidR="006578ED" w:rsidRDefault="00A1618E">
      <w:pPr>
        <w:pStyle w:val="P68B1DB1-Text119"/>
        <w:numPr>
          <w:ilvl w:val="0"/>
          <w:numId w:val="166"/>
        </w:numPr>
        <w:rPr>
          <w:rFonts w:cs="Times New Roman"/>
          <w:noProof/>
        </w:rPr>
      </w:pPr>
      <w:r>
        <w:rPr>
          <w:noProof/>
        </w:rPr>
        <w:t>Nowy proces przeglądu i oceny wydatków publicznych (na lata 2022–2026): Przyszłe przeglądy wydatków w tym cyklu byłyby przeprowadzane przez niezależny organ podatkowy (Autridad</w:t>
      </w:r>
      <w:r>
        <w:rPr>
          <w:i/>
          <w:noProof/>
        </w:rPr>
        <w:t>Independiente de Responsabilidad Fiscal</w:t>
      </w:r>
      <w:r>
        <w:rPr>
          <w:noProof/>
        </w:rPr>
        <w:t xml:space="preserve">, AIReF). O ukierunkowaniu, zakresie i harmonogramie przyszłych przeglądów decyduje Rada Ministrów po konsultacjach z AIReF. Celem jest coroczne publikowanie sprawozdania w latach 2022–2026; </w:t>
      </w:r>
    </w:p>
    <w:p w14:paraId="369C92EB" w14:textId="7A8C40B7" w:rsidR="006578ED" w:rsidRDefault="00A1618E">
      <w:pPr>
        <w:pStyle w:val="P68B1DB1-Text119"/>
        <w:numPr>
          <w:ilvl w:val="0"/>
          <w:numId w:val="166"/>
        </w:numPr>
        <w:rPr>
          <w:rFonts w:cs="Times New Roman"/>
          <w:noProof/>
        </w:rPr>
      </w:pPr>
      <w:r>
        <w:rPr>
          <w:noProof/>
        </w:rPr>
        <w:t>Wzmocnienie zdolności oceniającego (AIReF): Statut AIReF zostanie zmieniony w celu utworzenia nowej jednostki odpowiedzialnej za przegląd wydatków publicznych.</w:t>
      </w:r>
    </w:p>
    <w:p w14:paraId="2FBD1FA2" w14:textId="09BB894A" w:rsidR="006578ED" w:rsidRDefault="00A1618E">
      <w:pPr>
        <w:pStyle w:val="P68B1DB1-Text119"/>
        <w:ind w:left="0"/>
        <w:rPr>
          <w:rFonts w:cs="Times New Roman"/>
          <w:noProof/>
        </w:rPr>
      </w:pPr>
      <w:r>
        <w:rPr>
          <w:noProof/>
        </w:rPr>
        <w:t xml:space="preserve">Reformę 1 można postrzegać jako wspierającą spójność i inne reformy hiszpańskiego planu odbudowy i zwiększania odporności, w szczególności w komponentach 6, 17, 18, 21, 23 i 28, w przypadku których zalecenia oparte na etapie I i II przeglądu wydatków uwzględniono w tych priorytetach reform. </w:t>
      </w:r>
    </w:p>
    <w:p w14:paraId="057350AA" w14:textId="38EBCA25" w:rsidR="006578ED" w:rsidRDefault="00A1618E">
      <w:pPr>
        <w:pStyle w:val="P68B1DB1-Text119"/>
        <w:ind w:left="0"/>
        <w:rPr>
          <w:rFonts w:cs="Times New Roman"/>
          <w:noProof/>
        </w:rPr>
      </w:pPr>
      <w:r>
        <w:rPr>
          <w:noProof/>
        </w:rPr>
        <w:t xml:space="preserve">Oczekuje się, że reforma ta zostanie zakończona </w:t>
      </w:r>
      <w:r w:rsidRPr="00A1618E">
        <w:rPr>
          <w:noProof/>
          <w:lang w:val="pl-PL"/>
        </w:rPr>
        <w:t>do 3</w:t>
      </w:r>
      <w:r>
        <w:rPr>
          <w:noProof/>
        </w:rPr>
        <w:t>0 czerwca 20</w:t>
      </w:r>
      <w:r w:rsidRPr="00A1618E">
        <w:rPr>
          <w:noProof/>
          <w:lang w:val="pl-PL"/>
        </w:rPr>
        <w:t>23 r.</w:t>
      </w:r>
    </w:p>
    <w:p w14:paraId="33EA2FD3" w14:textId="77F0A37B" w:rsidR="006578ED" w:rsidRDefault="00A1618E">
      <w:pPr>
        <w:pStyle w:val="P68B1DB1-Text119"/>
        <w:ind w:left="0"/>
        <w:rPr>
          <w:rFonts w:cs="Times New Roman"/>
          <w:noProof/>
          <w:u w:val="single"/>
        </w:rPr>
      </w:pPr>
      <w:r>
        <w:rPr>
          <w:noProof/>
          <w:u w:val="single"/>
        </w:rPr>
        <w:t>Reforma 2 (C29.R2) – Dostosowanie budżetu rządu centralnego do celów zrównoważonegorozwoju określonych w Agendzie 2030</w:t>
      </w:r>
    </w:p>
    <w:p w14:paraId="3A396F9E" w14:textId="2568EDFA" w:rsidR="006578ED" w:rsidRDefault="00A1618E">
      <w:pPr>
        <w:pStyle w:val="P68B1DB1-Text119"/>
        <w:ind w:left="0"/>
        <w:rPr>
          <w:rFonts w:cs="Times New Roman"/>
          <w:noProof/>
        </w:rPr>
      </w:pPr>
      <w:r>
        <w:rPr>
          <w:noProof/>
        </w:rPr>
        <w:t xml:space="preserve">Celem tej reformy jest dostosowanie budżetu państwa do celów zrównoważonego rozwoju, które leżą u podstaw całego planu. Reforma polega na opublikowaniu sprawozdania w kontekście procesu budżetowego państwa, które, zgodnie z wcześniej określoną metodyką, odzwierciedla dostosowanie inwestycji publicznych do celów zrównoważonego rozwoju. Reforma ta opiera się na metodyce i ramach monitorowania opracowywanych obecnie przy wsparciu z Instrumentu Wsparcia Technicznego UE. </w:t>
      </w:r>
    </w:p>
    <w:p w14:paraId="487BE28E" w14:textId="2433876C" w:rsidR="006578ED" w:rsidRDefault="00A1618E">
      <w:pPr>
        <w:pStyle w:val="P68B1DB1-Text119"/>
        <w:ind w:left="0"/>
        <w:rPr>
          <w:rFonts w:cs="Times New Roman"/>
          <w:noProof/>
        </w:rPr>
      </w:pPr>
      <w:r>
        <w:rPr>
          <w:noProof/>
        </w:rPr>
        <w:t>Wdrożenie środka należy zakończyć do dnia 30 września 20</w:t>
      </w:r>
      <w:r w:rsidRPr="00A1618E">
        <w:rPr>
          <w:noProof/>
          <w:lang w:val="pl-PL"/>
        </w:rPr>
        <w:t>21 r.</w:t>
      </w:r>
    </w:p>
    <w:p w14:paraId="53AF397A" w14:textId="77777777" w:rsidR="006578ED" w:rsidRDefault="00A1618E">
      <w:pPr>
        <w:pStyle w:val="P68B1DB1-Text120"/>
        <w:ind w:left="0"/>
        <w:rPr>
          <w:rFonts w:cs="Times New Roman"/>
          <w:noProof/>
        </w:rPr>
      </w:pPr>
      <w:r>
        <w:rPr>
          <w:noProof/>
        </w:rPr>
        <w:t>Reforma 3 (C29.R3) – Dostosowanie budżetu rządu centralnego do ekologicznego planowania budżetu</w:t>
      </w:r>
    </w:p>
    <w:p w14:paraId="043CD9A3" w14:textId="3F5A1C70" w:rsidR="006578ED" w:rsidRDefault="00A1618E">
      <w:pPr>
        <w:pStyle w:val="P68B1DB1-Text119"/>
        <w:ind w:left="0"/>
        <w:rPr>
          <w:rFonts w:cs="Times New Roman"/>
          <w:noProof/>
        </w:rPr>
      </w:pPr>
      <w:r>
        <w:rPr>
          <w:noProof/>
        </w:rPr>
        <w:t>Celem tej reformy jest dostosowanie budżetu państwa do unijnych ram odniesienia w zakresie ekologicznego planowania budżetu w perspektywie średnioterminowej. Wzmacnia on reformę 2 i, bardziej ogólnie, zielone aspiracje planu. Reforma polega na opublikowaniu dwóch sprawozdań w kontekście procesu budżetowego rządu centralnego, w których określa się odpowiednio wydatki ekologiczne i brązowe w rocznych ustawach budżetowych na lata 2023 i 2024. Reforma ta opiera się na metodyce i ramach monitorowania opracowywanych obecnie przy wsparciu z Instrumentu Wsparcia Technicznego UE.</w:t>
      </w:r>
    </w:p>
    <w:p w14:paraId="2D75ED4D" w14:textId="6EA86CE8" w:rsidR="006578ED" w:rsidRDefault="00A1618E">
      <w:pPr>
        <w:pStyle w:val="P68B1DB1-Text119"/>
        <w:ind w:left="0"/>
        <w:rPr>
          <w:rFonts w:cs="Times New Roman"/>
          <w:noProof/>
        </w:rPr>
      </w:pPr>
      <w:r>
        <w:rPr>
          <w:noProof/>
        </w:rPr>
        <w:t>Wdrożenie środka należy zakończyć do dnia 30 września 20</w:t>
      </w:r>
      <w:r w:rsidRPr="00A1618E">
        <w:rPr>
          <w:noProof/>
          <w:lang w:val="pl-PL"/>
        </w:rPr>
        <w:t>23 r.</w:t>
      </w:r>
    </w:p>
    <w:p w14:paraId="201D6776" w14:textId="3B6AE5EB" w:rsidR="006578ED" w:rsidRDefault="00A1618E">
      <w:pPr>
        <w:pStyle w:val="P68B1DB1-Text138"/>
        <w:ind w:left="709"/>
        <w:rPr>
          <w:rFonts w:cs="Times New Roman"/>
          <w:noProof/>
        </w:rPr>
      </w:pPr>
      <w:r>
        <w:rPr>
          <w:noProof/>
        </w:rPr>
        <w:t xml:space="preserve">AC.2. </w:t>
      </w:r>
      <w:r>
        <w:rPr>
          <w:noProof/>
        </w:rPr>
        <w:tab/>
        <w:t>Kamienie milowe, wartości docelowe, wskaźniki i harmonogram monitorowania i realizacji na potrzeby bezzwrotnego wsparcia finansowego</w:t>
      </w:r>
    </w:p>
    <w:p w14:paraId="2316CE18" w14:textId="0EEE0D2F" w:rsidR="006578ED" w:rsidRDefault="00A1618E">
      <w:pPr>
        <w:pStyle w:val="P68B1DB1-Normal4"/>
        <w:spacing w:before="120" w:after="120" w:line="240" w:lineRule="auto"/>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r>
        <w:rPr>
          <w:noProof/>
        </w:rPr>
        <w:t xml:space="preserve"> </w:t>
      </w:r>
    </w:p>
    <w:p w14:paraId="3CED3959" w14:textId="77777777" w:rsidR="006578ED" w:rsidRDefault="006578ED">
      <w:pPr>
        <w:pStyle w:val="Text1"/>
        <w:ind w:left="0"/>
        <w:rPr>
          <w:rFonts w:ascii="Times New Roman" w:hAnsi="Times New Roman" w:cs="Times New Roman"/>
          <w:b/>
          <w:noProof/>
          <w:u w:val="single"/>
        </w:rPr>
      </w:pPr>
    </w:p>
    <w:p w14:paraId="73BDE1DF" w14:textId="77777777" w:rsidR="006578ED" w:rsidRDefault="006578ED">
      <w:pPr>
        <w:pStyle w:val="Text1"/>
        <w:ind w:left="709"/>
        <w:rPr>
          <w:rFonts w:ascii="Times New Roman" w:hAnsi="Times New Roman" w:cs="Times New Roman"/>
          <w:noProof/>
        </w:rPr>
        <w:sectPr w:rsidR="006578ED" w:rsidSect="00C94F66">
          <w:headerReference w:type="even" r:id="rId543"/>
          <w:headerReference w:type="default" r:id="rId544"/>
          <w:footerReference w:type="even" r:id="rId545"/>
          <w:footerReference w:type="default" r:id="rId546"/>
          <w:headerReference w:type="first" r:id="rId547"/>
          <w:footerReference w:type="first" r:id="rId548"/>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694"/>
        <w:gridCol w:w="992"/>
        <w:gridCol w:w="709"/>
        <w:gridCol w:w="567"/>
        <w:gridCol w:w="708"/>
        <w:gridCol w:w="567"/>
        <w:gridCol w:w="567"/>
        <w:gridCol w:w="6096"/>
      </w:tblGrid>
      <w:tr w:rsidR="006578ED" w14:paraId="526BF9FA" w14:textId="77777777">
        <w:trPr>
          <w:trHeight w:val="309"/>
          <w:tblHeader/>
        </w:trPr>
        <w:tc>
          <w:tcPr>
            <w:tcW w:w="709" w:type="dxa"/>
            <w:tcBorders>
              <w:bottom w:val="nil"/>
            </w:tcBorders>
            <w:shd w:val="clear" w:color="auto" w:fill="C6D9F1" w:themeFill="text2" w:themeFillTint="33"/>
            <w:noWrap/>
            <w:vAlign w:val="center"/>
          </w:tcPr>
          <w:p w14:paraId="568F2058" w14:textId="77777777" w:rsidR="006578ED" w:rsidRDefault="00A1618E">
            <w:pPr>
              <w:pStyle w:val="P68B1DB1-Normal12"/>
              <w:spacing w:after="0"/>
              <w:jc w:val="center"/>
              <w:rPr>
                <w:rFonts w:cs="Times New Roman"/>
                <w:noProof/>
              </w:rPr>
            </w:pPr>
            <w:r>
              <w:rPr>
                <w:noProof/>
              </w:rPr>
              <w:t>Liczba</w:t>
            </w:r>
          </w:p>
        </w:tc>
        <w:tc>
          <w:tcPr>
            <w:tcW w:w="851" w:type="dxa"/>
            <w:tcBorders>
              <w:bottom w:val="nil"/>
            </w:tcBorders>
            <w:shd w:val="clear" w:color="auto" w:fill="C6D9F1" w:themeFill="text2" w:themeFillTint="33"/>
            <w:noWrap/>
            <w:vAlign w:val="center"/>
          </w:tcPr>
          <w:p w14:paraId="4BD8C562" w14:textId="77777777" w:rsidR="006578ED" w:rsidRDefault="00A1618E">
            <w:pPr>
              <w:pStyle w:val="P68B1DB1-Normal12"/>
              <w:spacing w:after="0"/>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56190C47" w14:textId="4C569DA2" w:rsidR="006578ED" w:rsidRDefault="00EC188C">
            <w:pPr>
              <w:pStyle w:val="P68B1DB1-Normal12"/>
              <w:spacing w:after="0"/>
              <w:jc w:val="center"/>
              <w:rPr>
                <w:rFonts w:cs="Times New Roman"/>
                <w:noProof/>
              </w:rPr>
            </w:pPr>
            <w:r>
              <w:rPr>
                <w:noProof/>
              </w:rPr>
              <w:t>Kamień milowy</w:t>
            </w:r>
            <w:r>
              <w:rPr>
                <w:noProof/>
              </w:rPr>
              <w:br/>
              <w:t xml:space="preserve"> /</w:t>
            </w:r>
            <w:r w:rsidR="00AF6B91">
              <w:rPr>
                <w:noProof/>
              </w:rPr>
              <w:t>Wartość docelowa</w:t>
            </w:r>
          </w:p>
        </w:tc>
        <w:tc>
          <w:tcPr>
            <w:tcW w:w="2694" w:type="dxa"/>
            <w:tcBorders>
              <w:bottom w:val="nil"/>
            </w:tcBorders>
            <w:shd w:val="clear" w:color="auto" w:fill="C6D9F1" w:themeFill="text2" w:themeFillTint="33"/>
            <w:noWrap/>
            <w:vAlign w:val="center"/>
          </w:tcPr>
          <w:p w14:paraId="19F8EB2B" w14:textId="77777777" w:rsidR="006578ED" w:rsidRDefault="00A1618E">
            <w:pPr>
              <w:pStyle w:val="P68B1DB1-Normal12"/>
              <w:spacing w:after="0"/>
              <w:jc w:val="center"/>
              <w:rPr>
                <w:rFonts w:cs="Times New Roman"/>
                <w:noProof/>
              </w:rPr>
            </w:pPr>
            <w:r>
              <w:rPr>
                <w:noProof/>
              </w:rPr>
              <w:t>Nazwa</w:t>
            </w:r>
          </w:p>
        </w:tc>
        <w:tc>
          <w:tcPr>
            <w:tcW w:w="992" w:type="dxa"/>
            <w:tcBorders>
              <w:bottom w:val="nil"/>
            </w:tcBorders>
            <w:shd w:val="clear" w:color="auto" w:fill="C6D9F1" w:themeFill="text2" w:themeFillTint="33"/>
            <w:noWrap/>
            <w:vAlign w:val="center"/>
          </w:tcPr>
          <w:p w14:paraId="7D628F42" w14:textId="77777777" w:rsidR="006578ED" w:rsidRDefault="00A1618E">
            <w:pPr>
              <w:pStyle w:val="P68B1DB1-Normal12"/>
              <w:spacing w:after="0"/>
              <w:jc w:val="center"/>
              <w:rPr>
                <w:rFonts w:cs="Times New Roman"/>
                <w:noProof/>
              </w:rPr>
            </w:pPr>
            <w:r>
              <w:rPr>
                <w:noProof/>
              </w:rPr>
              <w:t>Wskaźnik jakościowy dla celów pośrednich</w:t>
            </w:r>
          </w:p>
        </w:tc>
        <w:tc>
          <w:tcPr>
            <w:tcW w:w="1984" w:type="dxa"/>
            <w:gridSpan w:val="3"/>
            <w:shd w:val="clear" w:color="auto" w:fill="C6D9F1" w:themeFill="text2" w:themeFillTint="33"/>
            <w:noWrap/>
            <w:vAlign w:val="center"/>
          </w:tcPr>
          <w:p w14:paraId="491ED17C" w14:textId="77777777" w:rsidR="006578ED" w:rsidRDefault="00A1618E">
            <w:pPr>
              <w:pStyle w:val="P68B1DB1-Normal12"/>
              <w:spacing w:after="0"/>
              <w:jc w:val="center"/>
              <w:rPr>
                <w:rFonts w:cs="Times New Roman"/>
                <w:noProof/>
              </w:rPr>
            </w:pPr>
            <w:r>
              <w:rPr>
                <w:noProof/>
              </w:rPr>
              <w:t>Wskaźnik ilościowy dla celu</w:t>
            </w:r>
          </w:p>
        </w:tc>
        <w:tc>
          <w:tcPr>
            <w:tcW w:w="1134" w:type="dxa"/>
            <w:gridSpan w:val="2"/>
            <w:shd w:val="clear" w:color="auto" w:fill="C6D9F1" w:themeFill="text2" w:themeFillTint="33"/>
            <w:noWrap/>
            <w:vAlign w:val="center"/>
          </w:tcPr>
          <w:p w14:paraId="3E575B49" w14:textId="77777777" w:rsidR="006578ED" w:rsidRDefault="00A1618E">
            <w:pPr>
              <w:pStyle w:val="P68B1DB1-Normal12"/>
              <w:spacing w:after="0"/>
              <w:jc w:val="center"/>
              <w:rPr>
                <w:rFonts w:cs="Times New Roman"/>
                <w:noProof/>
              </w:rPr>
            </w:pPr>
            <w:r>
              <w:rPr>
                <w:noProof/>
              </w:rPr>
              <w:t>Czas</w:t>
            </w:r>
          </w:p>
        </w:tc>
        <w:tc>
          <w:tcPr>
            <w:tcW w:w="6096" w:type="dxa"/>
            <w:tcBorders>
              <w:bottom w:val="nil"/>
            </w:tcBorders>
            <w:shd w:val="clear" w:color="auto" w:fill="C6D9F1" w:themeFill="text2" w:themeFillTint="33"/>
            <w:noWrap/>
            <w:vAlign w:val="center"/>
          </w:tcPr>
          <w:p w14:paraId="3855E62C" w14:textId="4E04D52A" w:rsidR="006578ED" w:rsidRDefault="00A1618E">
            <w:pPr>
              <w:pStyle w:val="P68B1DB1-Normal12"/>
              <w:spacing w:after="0"/>
              <w:jc w:val="center"/>
              <w:rPr>
                <w:rFonts w:cs="Times New Roman"/>
                <w:noProof/>
              </w:rPr>
            </w:pPr>
            <w:r>
              <w:rPr>
                <w:noProof/>
              </w:rPr>
              <w:t>Opis każdego celu pośredniego i celu końcowego</w:t>
            </w:r>
          </w:p>
        </w:tc>
      </w:tr>
      <w:tr w:rsidR="006578ED" w14:paraId="35CF314C" w14:textId="77777777">
        <w:trPr>
          <w:trHeight w:val="309"/>
          <w:tblHeader/>
        </w:trPr>
        <w:tc>
          <w:tcPr>
            <w:tcW w:w="709" w:type="dxa"/>
            <w:tcBorders>
              <w:top w:val="nil"/>
            </w:tcBorders>
            <w:shd w:val="clear" w:color="auto" w:fill="C6D9F1" w:themeFill="text2" w:themeFillTint="33"/>
            <w:noWrap/>
          </w:tcPr>
          <w:p w14:paraId="1361DD6A" w14:textId="77777777" w:rsidR="006578ED" w:rsidRDefault="006578ED">
            <w:pPr>
              <w:spacing w:after="0"/>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2C77ED12" w14:textId="77777777" w:rsidR="006578ED" w:rsidRDefault="006578ED">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0FCEA2E9" w14:textId="77777777" w:rsidR="006578ED" w:rsidRDefault="006578ED">
            <w:pPr>
              <w:spacing w:after="0"/>
              <w:jc w:val="center"/>
              <w:rPr>
                <w:rFonts w:ascii="Times New Roman" w:hAnsi="Times New Roman" w:cs="Times New Roman"/>
                <w:b/>
                <w:noProof/>
                <w:sz w:val="18"/>
              </w:rPr>
            </w:pPr>
          </w:p>
        </w:tc>
        <w:tc>
          <w:tcPr>
            <w:tcW w:w="2694" w:type="dxa"/>
            <w:tcBorders>
              <w:top w:val="nil"/>
            </w:tcBorders>
            <w:shd w:val="clear" w:color="auto" w:fill="C6D9F1" w:themeFill="text2" w:themeFillTint="33"/>
            <w:noWrap/>
          </w:tcPr>
          <w:p w14:paraId="054C702F" w14:textId="77777777" w:rsidR="006578ED" w:rsidRDefault="006578ED">
            <w:pPr>
              <w:spacing w:after="0"/>
              <w:rPr>
                <w:rFonts w:ascii="Times New Roman" w:hAnsi="Times New Roman" w:cs="Times New Roman"/>
                <w:b/>
                <w:noProof/>
                <w:sz w:val="18"/>
              </w:rPr>
            </w:pPr>
          </w:p>
        </w:tc>
        <w:tc>
          <w:tcPr>
            <w:tcW w:w="992" w:type="dxa"/>
            <w:tcBorders>
              <w:top w:val="nil"/>
            </w:tcBorders>
            <w:shd w:val="clear" w:color="auto" w:fill="C6D9F1" w:themeFill="text2" w:themeFillTint="33"/>
            <w:noWrap/>
          </w:tcPr>
          <w:p w14:paraId="60785CA4" w14:textId="77777777" w:rsidR="006578ED" w:rsidRDefault="006578ED">
            <w:pPr>
              <w:spacing w:after="0"/>
              <w:jc w:val="center"/>
              <w:rPr>
                <w:rFonts w:ascii="Times New Roman" w:hAnsi="Times New Roman" w:cs="Times New Roman"/>
                <w:b/>
                <w:noProof/>
                <w:sz w:val="18"/>
              </w:rPr>
            </w:pPr>
          </w:p>
        </w:tc>
        <w:tc>
          <w:tcPr>
            <w:tcW w:w="709" w:type="dxa"/>
            <w:shd w:val="clear" w:color="auto" w:fill="C6D9F1" w:themeFill="text2" w:themeFillTint="33"/>
            <w:noWrap/>
            <w:vAlign w:val="center"/>
          </w:tcPr>
          <w:p w14:paraId="0486E7CF" w14:textId="77777777" w:rsidR="006578ED" w:rsidRDefault="00A1618E">
            <w:pPr>
              <w:pStyle w:val="P68B1DB1-Normal12"/>
              <w:spacing w:after="0"/>
              <w:jc w:val="center"/>
              <w:rPr>
                <w:rFonts w:cs="Times New Roman"/>
                <w:noProof/>
              </w:rPr>
            </w:pPr>
            <w:r>
              <w:rPr>
                <w:noProof/>
              </w:rPr>
              <w:t>Jednostka</w:t>
            </w:r>
          </w:p>
        </w:tc>
        <w:tc>
          <w:tcPr>
            <w:tcW w:w="567" w:type="dxa"/>
            <w:shd w:val="clear" w:color="auto" w:fill="C6D9F1" w:themeFill="text2" w:themeFillTint="33"/>
            <w:noWrap/>
            <w:vAlign w:val="center"/>
          </w:tcPr>
          <w:p w14:paraId="467796B6" w14:textId="77777777" w:rsidR="006578ED" w:rsidRDefault="00A1618E">
            <w:pPr>
              <w:pStyle w:val="P68B1DB1-Normal12"/>
              <w:spacing w:after="0"/>
              <w:jc w:val="center"/>
              <w:rPr>
                <w:rFonts w:cs="Times New Roman"/>
                <w:noProof/>
              </w:rPr>
            </w:pPr>
            <w:r>
              <w:rPr>
                <w:noProof/>
              </w:rPr>
              <w:t>Wartość wyjściowa</w:t>
            </w:r>
          </w:p>
        </w:tc>
        <w:tc>
          <w:tcPr>
            <w:tcW w:w="708" w:type="dxa"/>
            <w:shd w:val="clear" w:color="auto" w:fill="C6D9F1" w:themeFill="text2" w:themeFillTint="33"/>
            <w:noWrap/>
            <w:vAlign w:val="center"/>
          </w:tcPr>
          <w:p w14:paraId="74DDABE4" w14:textId="77777777" w:rsidR="006578ED" w:rsidRDefault="00A1618E">
            <w:pPr>
              <w:pStyle w:val="P68B1DB1-Normal12"/>
              <w:spacing w:after="0"/>
              <w:jc w:val="center"/>
              <w:rPr>
                <w:rFonts w:cs="Times New Roman"/>
                <w:noProof/>
              </w:rPr>
            </w:pPr>
            <w:r>
              <w:rPr>
                <w:noProof/>
              </w:rPr>
              <w:t>Cel</w:t>
            </w:r>
          </w:p>
        </w:tc>
        <w:tc>
          <w:tcPr>
            <w:tcW w:w="567" w:type="dxa"/>
            <w:shd w:val="clear" w:color="auto" w:fill="C6D9F1" w:themeFill="text2" w:themeFillTint="33"/>
            <w:noWrap/>
            <w:vAlign w:val="center"/>
          </w:tcPr>
          <w:p w14:paraId="7718399E" w14:textId="77777777" w:rsidR="006578ED" w:rsidRDefault="00A1618E">
            <w:pPr>
              <w:pStyle w:val="P68B1DB1-Normal12"/>
              <w:spacing w:after="0"/>
              <w:jc w:val="center"/>
              <w:rPr>
                <w:rFonts w:cs="Times New Roman"/>
                <w:noProof/>
              </w:rPr>
            </w:pPr>
            <w:r>
              <w:rPr>
                <w:noProof/>
              </w:rPr>
              <w:t>Q</w:t>
            </w:r>
          </w:p>
        </w:tc>
        <w:tc>
          <w:tcPr>
            <w:tcW w:w="567" w:type="dxa"/>
            <w:shd w:val="clear" w:color="auto" w:fill="C6D9F1" w:themeFill="text2" w:themeFillTint="33"/>
            <w:noWrap/>
            <w:vAlign w:val="center"/>
          </w:tcPr>
          <w:p w14:paraId="776762E6" w14:textId="77777777" w:rsidR="006578ED" w:rsidRDefault="00A1618E">
            <w:pPr>
              <w:pStyle w:val="P68B1DB1-Normal12"/>
              <w:spacing w:after="0"/>
              <w:jc w:val="center"/>
              <w:rPr>
                <w:rFonts w:cs="Times New Roman"/>
                <w:noProof/>
              </w:rPr>
            </w:pPr>
            <w:r>
              <w:rPr>
                <w:noProof/>
              </w:rPr>
              <w:t>Rok</w:t>
            </w:r>
          </w:p>
        </w:tc>
        <w:tc>
          <w:tcPr>
            <w:tcW w:w="6096" w:type="dxa"/>
            <w:tcBorders>
              <w:top w:val="nil"/>
            </w:tcBorders>
            <w:shd w:val="clear" w:color="auto" w:fill="C6D9F1" w:themeFill="text2" w:themeFillTint="33"/>
            <w:noWrap/>
          </w:tcPr>
          <w:p w14:paraId="5449FF2D" w14:textId="77777777" w:rsidR="006578ED" w:rsidRDefault="006578ED">
            <w:pPr>
              <w:spacing w:after="0"/>
              <w:rPr>
                <w:rFonts w:ascii="Times New Roman" w:hAnsi="Times New Roman" w:cs="Times New Roman"/>
                <w:b/>
                <w:noProof/>
                <w:sz w:val="18"/>
              </w:rPr>
            </w:pPr>
          </w:p>
        </w:tc>
      </w:tr>
      <w:tr w:rsidR="006578ED" w14:paraId="2F15455E" w14:textId="77777777">
        <w:trPr>
          <w:trHeight w:val="309"/>
        </w:trPr>
        <w:tc>
          <w:tcPr>
            <w:tcW w:w="709" w:type="dxa"/>
            <w:shd w:val="clear" w:color="auto" w:fill="C6EFCE"/>
            <w:noWrap/>
          </w:tcPr>
          <w:p w14:paraId="68A3032E" w14:textId="77777777" w:rsidR="006578ED" w:rsidRDefault="00A1618E">
            <w:pPr>
              <w:pStyle w:val="P68B1DB1-Normal13"/>
              <w:spacing w:after="0"/>
              <w:jc w:val="center"/>
              <w:rPr>
                <w:rFonts w:eastAsia="Times New Roman" w:cs="Times New Roman"/>
                <w:noProof/>
              </w:rPr>
            </w:pPr>
            <w:r>
              <w:rPr>
                <w:noProof/>
              </w:rPr>
              <w:t>397</w:t>
            </w:r>
          </w:p>
        </w:tc>
        <w:tc>
          <w:tcPr>
            <w:tcW w:w="851" w:type="dxa"/>
            <w:shd w:val="clear" w:color="auto" w:fill="C6EFCE"/>
            <w:noWrap/>
          </w:tcPr>
          <w:p w14:paraId="50BDDBFE" w14:textId="77777777" w:rsidR="006578ED" w:rsidRDefault="00A1618E">
            <w:pPr>
              <w:pStyle w:val="P68B1DB1-Normal13"/>
              <w:spacing w:after="0"/>
              <w:jc w:val="center"/>
              <w:rPr>
                <w:rFonts w:eastAsia="Times New Roman" w:cs="Times New Roman"/>
                <w:noProof/>
              </w:rPr>
            </w:pPr>
            <w:r>
              <w:rPr>
                <w:noProof/>
              </w:rPr>
              <w:t>C29.R1</w:t>
            </w:r>
          </w:p>
        </w:tc>
        <w:tc>
          <w:tcPr>
            <w:tcW w:w="850" w:type="dxa"/>
            <w:shd w:val="clear" w:color="auto" w:fill="C6EFCE"/>
            <w:noWrap/>
          </w:tcPr>
          <w:p w14:paraId="1EAD88C6" w14:textId="1D64A308" w:rsidR="006578ED" w:rsidRDefault="00AF6B91">
            <w:pPr>
              <w:pStyle w:val="P68B1DB1-Normal13"/>
              <w:spacing w:after="0"/>
              <w:jc w:val="center"/>
              <w:rPr>
                <w:rFonts w:eastAsia="Times New Roman" w:cs="Times New Roman"/>
                <w:noProof/>
              </w:rPr>
            </w:pPr>
            <w:r>
              <w:rPr>
                <w:noProof/>
              </w:rPr>
              <w:t>Kamień milowy</w:t>
            </w:r>
          </w:p>
        </w:tc>
        <w:tc>
          <w:tcPr>
            <w:tcW w:w="2694" w:type="dxa"/>
            <w:shd w:val="clear" w:color="auto" w:fill="C6EFCE"/>
            <w:noWrap/>
          </w:tcPr>
          <w:p w14:paraId="0264E42F" w14:textId="5C2F498F" w:rsidR="006578ED" w:rsidRDefault="00A1618E">
            <w:pPr>
              <w:pStyle w:val="P68B1DB1-Normal13"/>
              <w:spacing w:after="0"/>
              <w:rPr>
                <w:rFonts w:eastAsia="Times New Roman" w:cs="Times New Roman"/>
                <w:noProof/>
              </w:rPr>
            </w:pPr>
            <w:r>
              <w:rPr>
                <w:noProof/>
              </w:rPr>
              <w:t>Utworzenie w Ministerstwie Finansów stałego zespołu odpowiedzialnego za aktywne monitorowanie wdrażania wyników przeglądów wydatków i zatwierdzanie zarządzenia opracowywania rocznej ustawy budżetowej</w:t>
            </w:r>
          </w:p>
        </w:tc>
        <w:tc>
          <w:tcPr>
            <w:tcW w:w="992" w:type="dxa"/>
            <w:shd w:val="clear" w:color="auto" w:fill="C6EFCE"/>
            <w:noWrap/>
          </w:tcPr>
          <w:p w14:paraId="739280CA" w14:textId="3A5DEDC8" w:rsidR="006578ED" w:rsidRDefault="00A1618E">
            <w:pPr>
              <w:pStyle w:val="P68B1DB1-Normal13"/>
              <w:spacing w:after="0"/>
              <w:jc w:val="center"/>
              <w:rPr>
                <w:rFonts w:eastAsia="Times New Roman" w:cs="Times New Roman"/>
                <w:noProof/>
              </w:rPr>
            </w:pPr>
            <w:r>
              <w:rPr>
                <w:noProof/>
              </w:rPr>
              <w:t>Przepisy prawa wskazujące na ich wejście w życie. Porządek opracowywania rocznej ustawy budżetowej</w:t>
            </w:r>
          </w:p>
        </w:tc>
        <w:tc>
          <w:tcPr>
            <w:tcW w:w="709" w:type="dxa"/>
            <w:shd w:val="clear" w:color="auto" w:fill="C6EFCE"/>
            <w:noWrap/>
          </w:tcPr>
          <w:p w14:paraId="5663BB8C" w14:textId="77777777" w:rsidR="006578ED" w:rsidRDefault="00A1618E">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4B1EC57F" w14:textId="77777777" w:rsidR="006578ED" w:rsidRDefault="00A1618E">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768B7898"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5F9E48CB" w14:textId="264261DB" w:rsidR="006578ED" w:rsidRDefault="00EC188C">
            <w:pPr>
              <w:pStyle w:val="P68B1DB1-Normal13"/>
              <w:spacing w:after="0"/>
              <w:jc w:val="center"/>
              <w:rPr>
                <w:rFonts w:eastAsia="Times New Roman" w:cs="Times New Roman"/>
                <w:noProof/>
              </w:rPr>
            </w:pPr>
            <w:r>
              <w:rPr>
                <w:noProof/>
              </w:rPr>
              <w:t>KW. 2</w:t>
            </w:r>
          </w:p>
        </w:tc>
        <w:tc>
          <w:tcPr>
            <w:tcW w:w="567" w:type="dxa"/>
            <w:shd w:val="clear" w:color="auto" w:fill="C6EFCE"/>
            <w:noWrap/>
          </w:tcPr>
          <w:p w14:paraId="565B6B09" w14:textId="77777777" w:rsidR="006578ED" w:rsidRDefault="00A1618E">
            <w:pPr>
              <w:pStyle w:val="P68B1DB1-Normal13"/>
              <w:spacing w:after="0"/>
              <w:jc w:val="center"/>
              <w:rPr>
                <w:rFonts w:eastAsia="Times New Roman" w:cs="Times New Roman"/>
                <w:noProof/>
              </w:rPr>
            </w:pPr>
            <w:r>
              <w:rPr>
                <w:noProof/>
              </w:rPr>
              <w:t>2021</w:t>
            </w:r>
          </w:p>
        </w:tc>
        <w:tc>
          <w:tcPr>
            <w:tcW w:w="6096" w:type="dxa"/>
            <w:shd w:val="clear" w:color="auto" w:fill="C6EFCE"/>
            <w:noWrap/>
          </w:tcPr>
          <w:p w14:paraId="0C262991" w14:textId="7862427B" w:rsidR="006578ED" w:rsidRDefault="00A1618E">
            <w:pPr>
              <w:pStyle w:val="P68B1DB1-Normal13"/>
              <w:spacing w:after="0"/>
              <w:rPr>
                <w:rFonts w:eastAsia="Times New Roman" w:cs="Times New Roman"/>
                <w:noProof/>
              </w:rPr>
            </w:pPr>
            <w:r>
              <w:rPr>
                <w:noProof/>
              </w:rPr>
              <w:t>Wejście w życie (i) utworzenia w Ministerstwie Finansów (w Sekretariacie Stanu ds. Budżetu i Wydatków) stałego zespołu zajmującego się aktywnym monitorowaniem realizacji wyników przeglądów wydatków, promującym zasadę „przestrzegaj lub wyjaśnij”; oraz (ii) zobowiązania Ministerstwa Finansów do publikowania rocznego sprawozdania zawierającego odpowiedzi na wszystkie zalecenia dotyczące przeglądu wydatków wydane przez AIReF. Zarządzenie opracowania rocznej ustawy budżetowej obejmuje zobowiązanie administracji centralnej i zabezpieczenia społecznego do monitorowania i monitorowania w cyklu budżetowym zaleceń wynikających z przeglądów wydatków, w tym środków, które zostały wdrożone lub mają zostać wdrożone w następnym roku.</w:t>
            </w:r>
          </w:p>
        </w:tc>
      </w:tr>
      <w:tr w:rsidR="006578ED" w14:paraId="3C7FAF28" w14:textId="77777777">
        <w:trPr>
          <w:trHeight w:val="309"/>
        </w:trPr>
        <w:tc>
          <w:tcPr>
            <w:tcW w:w="709" w:type="dxa"/>
            <w:shd w:val="clear" w:color="auto" w:fill="C6EFCE"/>
            <w:noWrap/>
          </w:tcPr>
          <w:p w14:paraId="5E12E8A2" w14:textId="77777777" w:rsidR="006578ED" w:rsidRDefault="00A1618E">
            <w:pPr>
              <w:pStyle w:val="P68B1DB1-Normal13"/>
              <w:spacing w:after="0"/>
              <w:jc w:val="center"/>
              <w:rPr>
                <w:rFonts w:eastAsia="Times New Roman" w:cs="Times New Roman"/>
                <w:noProof/>
              </w:rPr>
            </w:pPr>
            <w:r>
              <w:rPr>
                <w:noProof/>
              </w:rPr>
              <w:t>398</w:t>
            </w:r>
          </w:p>
        </w:tc>
        <w:tc>
          <w:tcPr>
            <w:tcW w:w="851" w:type="dxa"/>
            <w:shd w:val="clear" w:color="auto" w:fill="C6EFCE"/>
            <w:noWrap/>
          </w:tcPr>
          <w:p w14:paraId="1673859E" w14:textId="77777777" w:rsidR="006578ED" w:rsidRDefault="00A1618E">
            <w:pPr>
              <w:pStyle w:val="P68B1DB1-Normal13"/>
              <w:spacing w:after="0"/>
              <w:jc w:val="center"/>
              <w:rPr>
                <w:rFonts w:eastAsia="Times New Roman" w:cs="Times New Roman"/>
                <w:noProof/>
              </w:rPr>
            </w:pPr>
            <w:r>
              <w:rPr>
                <w:noProof/>
              </w:rPr>
              <w:t>C29.R1</w:t>
            </w:r>
          </w:p>
        </w:tc>
        <w:tc>
          <w:tcPr>
            <w:tcW w:w="850" w:type="dxa"/>
            <w:shd w:val="clear" w:color="auto" w:fill="C6EFCE"/>
            <w:noWrap/>
          </w:tcPr>
          <w:p w14:paraId="68D9AE0D" w14:textId="7DC95D35" w:rsidR="006578ED" w:rsidRDefault="00AF6B91">
            <w:pPr>
              <w:pStyle w:val="P68B1DB1-Normal13"/>
              <w:spacing w:after="0"/>
              <w:jc w:val="center"/>
              <w:rPr>
                <w:rFonts w:eastAsia="Times New Roman" w:cs="Times New Roman"/>
                <w:noProof/>
              </w:rPr>
            </w:pPr>
            <w:r>
              <w:rPr>
                <w:noProof/>
              </w:rPr>
              <w:t>Kamień milowy</w:t>
            </w:r>
          </w:p>
        </w:tc>
        <w:tc>
          <w:tcPr>
            <w:tcW w:w="2694" w:type="dxa"/>
            <w:shd w:val="clear" w:color="auto" w:fill="C6EFCE"/>
            <w:noWrap/>
          </w:tcPr>
          <w:p w14:paraId="01F716A6" w14:textId="77777777" w:rsidR="006578ED" w:rsidRDefault="00A1618E">
            <w:pPr>
              <w:pStyle w:val="P68B1DB1-Normal13"/>
              <w:spacing w:after="0"/>
              <w:rPr>
                <w:rFonts w:eastAsia="Times New Roman" w:cs="Times New Roman"/>
                <w:noProof/>
              </w:rPr>
            </w:pPr>
            <w:r>
              <w:rPr>
                <w:noProof/>
              </w:rPr>
              <w:t>Etap III przeglądu wydatków</w:t>
            </w:r>
          </w:p>
        </w:tc>
        <w:tc>
          <w:tcPr>
            <w:tcW w:w="992" w:type="dxa"/>
            <w:shd w:val="clear" w:color="auto" w:fill="C6EFCE"/>
            <w:noWrap/>
          </w:tcPr>
          <w:p w14:paraId="7F2C7D52" w14:textId="77777777" w:rsidR="006578ED" w:rsidRDefault="00A1618E">
            <w:pPr>
              <w:pStyle w:val="P68B1DB1-Normal13"/>
              <w:spacing w:after="0"/>
              <w:jc w:val="center"/>
              <w:rPr>
                <w:rFonts w:eastAsia="Times New Roman" w:cs="Times New Roman"/>
                <w:noProof/>
              </w:rPr>
            </w:pPr>
            <w:r>
              <w:rPr>
                <w:noProof/>
              </w:rPr>
              <w:t>Zatwierdzenie przez Radę Ministrów</w:t>
            </w:r>
          </w:p>
        </w:tc>
        <w:tc>
          <w:tcPr>
            <w:tcW w:w="709" w:type="dxa"/>
            <w:shd w:val="clear" w:color="auto" w:fill="C6EFCE"/>
            <w:noWrap/>
          </w:tcPr>
          <w:p w14:paraId="68D0BAA2" w14:textId="77777777" w:rsidR="006578ED" w:rsidRDefault="00A1618E">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2A94D5C2" w14:textId="77777777" w:rsidR="006578ED" w:rsidRDefault="00A1618E">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2AD94573"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6C4A1BAD" w14:textId="27360343" w:rsidR="006578ED" w:rsidRDefault="00EC188C">
            <w:pPr>
              <w:pStyle w:val="P68B1DB1-Normal13"/>
              <w:spacing w:after="0"/>
              <w:jc w:val="center"/>
              <w:rPr>
                <w:rFonts w:eastAsia="Times New Roman" w:cs="Times New Roman"/>
                <w:noProof/>
              </w:rPr>
            </w:pPr>
            <w:r>
              <w:rPr>
                <w:noProof/>
              </w:rPr>
              <w:t>KW. 2</w:t>
            </w:r>
          </w:p>
        </w:tc>
        <w:tc>
          <w:tcPr>
            <w:tcW w:w="567" w:type="dxa"/>
            <w:shd w:val="clear" w:color="auto" w:fill="C6EFCE"/>
            <w:noWrap/>
          </w:tcPr>
          <w:p w14:paraId="72149FF3" w14:textId="77777777" w:rsidR="006578ED" w:rsidRDefault="00A1618E">
            <w:pPr>
              <w:pStyle w:val="P68B1DB1-Normal13"/>
              <w:spacing w:after="0"/>
              <w:jc w:val="center"/>
              <w:rPr>
                <w:rFonts w:eastAsia="Times New Roman" w:cs="Times New Roman"/>
                <w:noProof/>
              </w:rPr>
            </w:pPr>
            <w:r>
              <w:rPr>
                <w:noProof/>
              </w:rPr>
              <w:t>2021</w:t>
            </w:r>
          </w:p>
        </w:tc>
        <w:tc>
          <w:tcPr>
            <w:tcW w:w="6096" w:type="dxa"/>
            <w:shd w:val="clear" w:color="auto" w:fill="C6EFCE"/>
            <w:noWrap/>
          </w:tcPr>
          <w:p w14:paraId="1C4920E5" w14:textId="5684E193" w:rsidR="006578ED" w:rsidRDefault="00A1618E">
            <w:pPr>
              <w:pStyle w:val="P68B1DB1-Normal13"/>
              <w:spacing w:after="0"/>
              <w:rPr>
                <w:rFonts w:eastAsia="Times New Roman" w:cs="Times New Roman"/>
                <w:noProof/>
              </w:rPr>
            </w:pPr>
            <w:r>
              <w:rPr>
                <w:noProof/>
              </w:rPr>
              <w:t>Rada Ministrów podejmie decyzję o rozpoczęciu trzeciego etapu przeglądu wydatków w 20</w:t>
            </w:r>
            <w:r w:rsidRPr="00A1618E">
              <w:rPr>
                <w:noProof/>
                <w:lang w:val="pl-PL"/>
              </w:rPr>
              <w:t>21 r.</w:t>
            </w:r>
            <w:r>
              <w:rPr>
                <w:noProof/>
              </w:rPr>
              <w:t xml:space="preserve"> Trzeci etap przeglądu wydatków obejmuje co najmniej dwa obszary</w:t>
            </w:r>
            <w:r w:rsidRPr="00A1618E">
              <w:rPr>
                <w:noProof/>
                <w:lang w:val="pl-PL"/>
              </w:rPr>
              <w:t>: i</w:t>
            </w:r>
            <w:r>
              <w:rPr>
                <w:noProof/>
              </w:rPr>
              <w:t xml:space="preserve">nstrumenty finansowe i gospodarowanie odpadami komunalnymi. Przegląd wydatków przeprowadza AIReF. </w:t>
            </w:r>
          </w:p>
        </w:tc>
      </w:tr>
      <w:tr w:rsidR="006578ED" w14:paraId="6A6D47CF" w14:textId="77777777">
        <w:trPr>
          <w:trHeight w:val="309"/>
        </w:trPr>
        <w:tc>
          <w:tcPr>
            <w:tcW w:w="709" w:type="dxa"/>
            <w:shd w:val="clear" w:color="auto" w:fill="C6EFCE"/>
            <w:noWrap/>
          </w:tcPr>
          <w:p w14:paraId="096F73B1" w14:textId="77777777" w:rsidR="006578ED" w:rsidRDefault="00A1618E">
            <w:pPr>
              <w:pStyle w:val="P68B1DB1-Normal13"/>
              <w:spacing w:after="0"/>
              <w:jc w:val="center"/>
              <w:rPr>
                <w:rFonts w:cs="Times New Roman"/>
                <w:noProof/>
              </w:rPr>
            </w:pPr>
            <w:r>
              <w:rPr>
                <w:noProof/>
              </w:rPr>
              <w:t>399</w:t>
            </w:r>
          </w:p>
        </w:tc>
        <w:tc>
          <w:tcPr>
            <w:tcW w:w="851" w:type="dxa"/>
            <w:shd w:val="clear" w:color="auto" w:fill="C6EFCE"/>
            <w:noWrap/>
          </w:tcPr>
          <w:p w14:paraId="13B5FED5" w14:textId="77777777" w:rsidR="006578ED" w:rsidRDefault="00A1618E">
            <w:pPr>
              <w:pStyle w:val="P68B1DB1-Normal13"/>
              <w:spacing w:after="0"/>
              <w:jc w:val="center"/>
              <w:rPr>
                <w:rFonts w:cs="Times New Roman"/>
                <w:noProof/>
              </w:rPr>
            </w:pPr>
            <w:r>
              <w:rPr>
                <w:noProof/>
              </w:rPr>
              <w:t>C29.R1</w:t>
            </w:r>
          </w:p>
        </w:tc>
        <w:tc>
          <w:tcPr>
            <w:tcW w:w="850" w:type="dxa"/>
            <w:shd w:val="clear" w:color="auto" w:fill="C6EFCE"/>
            <w:noWrap/>
          </w:tcPr>
          <w:p w14:paraId="47FDE754" w14:textId="5E0F0324" w:rsidR="006578ED" w:rsidRDefault="00AF6B91">
            <w:pPr>
              <w:pStyle w:val="P68B1DB1-Normal13"/>
              <w:spacing w:after="0"/>
              <w:jc w:val="center"/>
              <w:rPr>
                <w:rFonts w:cs="Times New Roman"/>
                <w:noProof/>
              </w:rPr>
            </w:pPr>
            <w:r>
              <w:rPr>
                <w:noProof/>
              </w:rPr>
              <w:t>Kamień milowy</w:t>
            </w:r>
          </w:p>
        </w:tc>
        <w:tc>
          <w:tcPr>
            <w:tcW w:w="2694" w:type="dxa"/>
            <w:shd w:val="clear" w:color="auto" w:fill="C6EFCE"/>
            <w:noWrap/>
          </w:tcPr>
          <w:p w14:paraId="72A052F6" w14:textId="0F24BDF0" w:rsidR="006578ED" w:rsidRDefault="00A1618E">
            <w:pPr>
              <w:pStyle w:val="P68B1DB1-Normal13"/>
              <w:spacing w:after="0"/>
              <w:rPr>
                <w:rFonts w:cs="Times New Roman"/>
                <w:noProof/>
              </w:rPr>
            </w:pPr>
            <w:r>
              <w:rPr>
                <w:noProof/>
              </w:rPr>
              <w:t>Utworzenie stałej jednostki w ramach AIReF odpowiedzialnej za przeprowadzanie przeglądów wydatków z upoważnienia rządu.</w:t>
            </w:r>
          </w:p>
        </w:tc>
        <w:tc>
          <w:tcPr>
            <w:tcW w:w="992" w:type="dxa"/>
            <w:shd w:val="clear" w:color="auto" w:fill="C6EFCE"/>
            <w:noWrap/>
          </w:tcPr>
          <w:p w14:paraId="0B9B9238" w14:textId="594409BC" w:rsidR="006578ED" w:rsidRDefault="00A1618E">
            <w:pPr>
              <w:pStyle w:val="P68B1DB1-Normal13"/>
              <w:spacing w:after="0"/>
              <w:jc w:val="center"/>
              <w:rPr>
                <w:rFonts w:cs="Times New Roman"/>
                <w:noProof/>
              </w:rPr>
            </w:pPr>
            <w:r>
              <w:rPr>
                <w:noProof/>
              </w:rPr>
              <w:t>Przepisy RD wskazujące na jej wejście w życie</w:t>
            </w:r>
          </w:p>
        </w:tc>
        <w:tc>
          <w:tcPr>
            <w:tcW w:w="709" w:type="dxa"/>
            <w:shd w:val="clear" w:color="auto" w:fill="C6EFCE"/>
            <w:noWrap/>
          </w:tcPr>
          <w:p w14:paraId="6A4522B7" w14:textId="77777777" w:rsidR="006578ED" w:rsidRDefault="00A1618E">
            <w:pPr>
              <w:pStyle w:val="P68B1DB1-Normal13"/>
              <w:spacing w:after="0"/>
              <w:jc w:val="center"/>
              <w:rPr>
                <w:rFonts w:cs="Times New Roman"/>
                <w:noProof/>
              </w:rPr>
            </w:pPr>
            <w:r>
              <w:rPr>
                <w:noProof/>
              </w:rPr>
              <w:t xml:space="preserve"> </w:t>
            </w:r>
          </w:p>
        </w:tc>
        <w:tc>
          <w:tcPr>
            <w:tcW w:w="567" w:type="dxa"/>
            <w:shd w:val="clear" w:color="auto" w:fill="C6EFCE"/>
            <w:noWrap/>
          </w:tcPr>
          <w:p w14:paraId="7951C568" w14:textId="77777777" w:rsidR="006578ED" w:rsidRDefault="00A1618E">
            <w:pPr>
              <w:pStyle w:val="P68B1DB1-Normal13"/>
              <w:spacing w:after="0"/>
              <w:jc w:val="right"/>
              <w:rPr>
                <w:rFonts w:cs="Times New Roman"/>
                <w:noProof/>
              </w:rPr>
            </w:pPr>
            <w:r>
              <w:rPr>
                <w:noProof/>
              </w:rPr>
              <w:t xml:space="preserve"> </w:t>
            </w:r>
          </w:p>
        </w:tc>
        <w:tc>
          <w:tcPr>
            <w:tcW w:w="708" w:type="dxa"/>
            <w:shd w:val="clear" w:color="auto" w:fill="C6EFCE"/>
            <w:noWrap/>
          </w:tcPr>
          <w:p w14:paraId="510F1B72" w14:textId="77777777" w:rsidR="006578ED" w:rsidRDefault="00A1618E">
            <w:pPr>
              <w:pStyle w:val="P68B1DB1-Normal13"/>
              <w:spacing w:after="0"/>
              <w:jc w:val="right"/>
              <w:rPr>
                <w:rFonts w:cs="Times New Roman"/>
                <w:noProof/>
              </w:rPr>
            </w:pPr>
            <w:r>
              <w:rPr>
                <w:noProof/>
              </w:rPr>
              <w:t xml:space="preserve"> </w:t>
            </w:r>
          </w:p>
        </w:tc>
        <w:tc>
          <w:tcPr>
            <w:tcW w:w="567" w:type="dxa"/>
            <w:shd w:val="clear" w:color="auto" w:fill="C6EFCE"/>
            <w:noWrap/>
          </w:tcPr>
          <w:p w14:paraId="4B9CB736" w14:textId="3C83206A" w:rsidR="006578ED" w:rsidRDefault="00EC188C">
            <w:pPr>
              <w:pStyle w:val="P68B1DB1-Normal13"/>
              <w:spacing w:after="0"/>
              <w:jc w:val="center"/>
              <w:rPr>
                <w:rFonts w:cs="Times New Roman"/>
                <w:noProof/>
              </w:rPr>
            </w:pPr>
            <w:r>
              <w:rPr>
                <w:noProof/>
              </w:rPr>
              <w:t>KW. 2</w:t>
            </w:r>
          </w:p>
        </w:tc>
        <w:tc>
          <w:tcPr>
            <w:tcW w:w="567" w:type="dxa"/>
            <w:shd w:val="clear" w:color="auto" w:fill="C6EFCE"/>
            <w:noWrap/>
          </w:tcPr>
          <w:p w14:paraId="562D6171" w14:textId="77777777" w:rsidR="006578ED" w:rsidRDefault="00A1618E">
            <w:pPr>
              <w:pStyle w:val="P68B1DB1-Normal13"/>
              <w:spacing w:after="0"/>
              <w:jc w:val="center"/>
              <w:rPr>
                <w:rFonts w:cs="Times New Roman"/>
                <w:noProof/>
              </w:rPr>
            </w:pPr>
            <w:r>
              <w:rPr>
                <w:noProof/>
              </w:rPr>
              <w:t>2021</w:t>
            </w:r>
          </w:p>
        </w:tc>
        <w:tc>
          <w:tcPr>
            <w:tcW w:w="6096" w:type="dxa"/>
            <w:shd w:val="clear" w:color="auto" w:fill="C6EFCE"/>
            <w:noWrap/>
          </w:tcPr>
          <w:p w14:paraId="26000930" w14:textId="62FBB83E" w:rsidR="006578ED" w:rsidRDefault="00A1618E">
            <w:pPr>
              <w:pStyle w:val="P68B1DB1-Normal13"/>
              <w:spacing w:after="0"/>
              <w:rPr>
                <w:rFonts w:cs="Times New Roman"/>
                <w:noProof/>
              </w:rPr>
            </w:pPr>
            <w:r>
              <w:rPr>
                <w:noProof/>
              </w:rPr>
              <w:t xml:space="preserve">Wejście w życie zmiany dekretu królewskiego 215/2014, statutu ekologicznego AIReF, wraz z utworzeniem stałej jednostki odpowiedzialnej za przeprowadzanie przeglądów wydatków zleconych przez rząd. </w:t>
            </w:r>
          </w:p>
        </w:tc>
      </w:tr>
      <w:tr w:rsidR="006578ED" w14:paraId="2C879550" w14:textId="77777777">
        <w:trPr>
          <w:trHeight w:val="309"/>
        </w:trPr>
        <w:tc>
          <w:tcPr>
            <w:tcW w:w="709" w:type="dxa"/>
            <w:shd w:val="clear" w:color="auto" w:fill="C6EFCE"/>
            <w:noWrap/>
          </w:tcPr>
          <w:p w14:paraId="7D68B413" w14:textId="77777777" w:rsidR="006578ED" w:rsidRDefault="00A1618E">
            <w:pPr>
              <w:pStyle w:val="P68B1DB1-Normal13"/>
              <w:spacing w:after="0"/>
              <w:jc w:val="center"/>
              <w:rPr>
                <w:rFonts w:eastAsia="Times New Roman" w:cs="Times New Roman"/>
                <w:noProof/>
              </w:rPr>
            </w:pPr>
            <w:r>
              <w:rPr>
                <w:noProof/>
              </w:rPr>
              <w:t>400</w:t>
            </w:r>
          </w:p>
        </w:tc>
        <w:tc>
          <w:tcPr>
            <w:tcW w:w="851" w:type="dxa"/>
            <w:shd w:val="clear" w:color="auto" w:fill="C6EFCE"/>
            <w:noWrap/>
          </w:tcPr>
          <w:p w14:paraId="34D141FA" w14:textId="77777777" w:rsidR="006578ED" w:rsidRDefault="00A1618E">
            <w:pPr>
              <w:pStyle w:val="P68B1DB1-Normal13"/>
              <w:spacing w:after="0"/>
              <w:jc w:val="center"/>
              <w:rPr>
                <w:rFonts w:eastAsia="Times New Roman" w:cs="Times New Roman"/>
                <w:noProof/>
              </w:rPr>
            </w:pPr>
            <w:r>
              <w:rPr>
                <w:noProof/>
              </w:rPr>
              <w:t>C29.R1</w:t>
            </w:r>
          </w:p>
        </w:tc>
        <w:tc>
          <w:tcPr>
            <w:tcW w:w="850" w:type="dxa"/>
            <w:shd w:val="clear" w:color="auto" w:fill="C6EFCE"/>
            <w:noWrap/>
          </w:tcPr>
          <w:p w14:paraId="5ADCDE13" w14:textId="562F5A10" w:rsidR="006578ED" w:rsidRDefault="00AF6B91">
            <w:pPr>
              <w:pStyle w:val="P68B1DB1-Normal13"/>
              <w:spacing w:after="0"/>
              <w:jc w:val="center"/>
              <w:rPr>
                <w:rFonts w:eastAsia="Times New Roman" w:cs="Times New Roman"/>
                <w:noProof/>
              </w:rPr>
            </w:pPr>
            <w:r>
              <w:rPr>
                <w:noProof/>
              </w:rPr>
              <w:t>Kamień milowy</w:t>
            </w:r>
          </w:p>
        </w:tc>
        <w:tc>
          <w:tcPr>
            <w:tcW w:w="2694" w:type="dxa"/>
            <w:shd w:val="clear" w:color="auto" w:fill="C6EFCE"/>
            <w:noWrap/>
          </w:tcPr>
          <w:p w14:paraId="664058F7" w14:textId="77777777" w:rsidR="006578ED" w:rsidRDefault="00A1618E">
            <w:pPr>
              <w:pStyle w:val="P68B1DB1-Normal13"/>
              <w:spacing w:after="0"/>
              <w:rPr>
                <w:rFonts w:eastAsia="Times New Roman" w:cs="Times New Roman"/>
                <w:noProof/>
              </w:rPr>
            </w:pPr>
            <w:r>
              <w:rPr>
                <w:noProof/>
              </w:rPr>
              <w:t>Zatwierdzenie przez Radę Ministrów nowego cyklu (2022–26) przeglądów wydatków, które zostaną zlecone AIReF.</w:t>
            </w:r>
          </w:p>
        </w:tc>
        <w:tc>
          <w:tcPr>
            <w:tcW w:w="992" w:type="dxa"/>
            <w:shd w:val="clear" w:color="auto" w:fill="C6EFCE"/>
            <w:noWrap/>
          </w:tcPr>
          <w:p w14:paraId="4DA1E24F" w14:textId="3E5A8EAB" w:rsidR="006578ED" w:rsidRDefault="00A1618E">
            <w:pPr>
              <w:pStyle w:val="P68B1DB1-Normal13"/>
              <w:spacing w:after="0"/>
              <w:jc w:val="center"/>
              <w:rPr>
                <w:rFonts w:eastAsia="Times New Roman" w:cs="Times New Roman"/>
                <w:noProof/>
              </w:rPr>
            </w:pPr>
            <w:r>
              <w:rPr>
                <w:noProof/>
              </w:rPr>
              <w:t>Postanowienie porozumienia Rady Ministrów wskazujące na jego wejście w życie</w:t>
            </w:r>
          </w:p>
        </w:tc>
        <w:tc>
          <w:tcPr>
            <w:tcW w:w="709" w:type="dxa"/>
            <w:shd w:val="clear" w:color="auto" w:fill="C6EFCE"/>
            <w:noWrap/>
          </w:tcPr>
          <w:p w14:paraId="5673BDB9" w14:textId="77777777" w:rsidR="006578ED" w:rsidRDefault="00A1618E">
            <w:pPr>
              <w:pStyle w:val="P68B1DB1-Normal13"/>
              <w:spacing w:after="0"/>
              <w:jc w:val="center"/>
              <w:rPr>
                <w:rFonts w:eastAsia="Times New Roman" w:cs="Times New Roman"/>
                <w:noProof/>
              </w:rPr>
            </w:pPr>
            <w:r>
              <w:rPr>
                <w:noProof/>
              </w:rPr>
              <w:t> </w:t>
            </w:r>
          </w:p>
        </w:tc>
        <w:tc>
          <w:tcPr>
            <w:tcW w:w="567" w:type="dxa"/>
            <w:shd w:val="clear" w:color="auto" w:fill="C6EFCE"/>
            <w:noWrap/>
          </w:tcPr>
          <w:p w14:paraId="314257EC" w14:textId="77777777" w:rsidR="006578ED" w:rsidRDefault="00A1618E">
            <w:pPr>
              <w:pStyle w:val="P68B1DB1-Normal13"/>
              <w:spacing w:after="0"/>
              <w:jc w:val="right"/>
              <w:rPr>
                <w:rFonts w:eastAsia="Times New Roman" w:cs="Times New Roman"/>
                <w:noProof/>
              </w:rPr>
            </w:pPr>
            <w:r>
              <w:rPr>
                <w:noProof/>
              </w:rPr>
              <w:t> </w:t>
            </w:r>
          </w:p>
        </w:tc>
        <w:tc>
          <w:tcPr>
            <w:tcW w:w="708" w:type="dxa"/>
            <w:shd w:val="clear" w:color="auto" w:fill="C6EFCE"/>
            <w:noWrap/>
          </w:tcPr>
          <w:p w14:paraId="5933B9EC" w14:textId="77777777" w:rsidR="006578ED" w:rsidRDefault="00A1618E">
            <w:pPr>
              <w:pStyle w:val="P68B1DB1-Normal13"/>
              <w:spacing w:after="0"/>
              <w:rPr>
                <w:rFonts w:eastAsia="Times New Roman" w:cs="Times New Roman"/>
                <w:noProof/>
              </w:rPr>
            </w:pPr>
            <w:r>
              <w:rPr>
                <w:noProof/>
              </w:rPr>
              <w:t> </w:t>
            </w:r>
          </w:p>
        </w:tc>
        <w:tc>
          <w:tcPr>
            <w:tcW w:w="567" w:type="dxa"/>
            <w:shd w:val="clear" w:color="auto" w:fill="C6EFCE"/>
            <w:noWrap/>
          </w:tcPr>
          <w:p w14:paraId="30706DA0" w14:textId="66CD991E" w:rsidR="006578ED" w:rsidRDefault="00EC188C">
            <w:pPr>
              <w:pStyle w:val="P68B1DB1-Normal13"/>
              <w:spacing w:after="0"/>
              <w:jc w:val="center"/>
              <w:rPr>
                <w:rFonts w:eastAsia="Times New Roman" w:cs="Times New Roman"/>
                <w:noProof/>
              </w:rPr>
            </w:pPr>
            <w:r>
              <w:rPr>
                <w:noProof/>
              </w:rPr>
              <w:t>KW. 4</w:t>
            </w:r>
          </w:p>
        </w:tc>
        <w:tc>
          <w:tcPr>
            <w:tcW w:w="567" w:type="dxa"/>
            <w:shd w:val="clear" w:color="auto" w:fill="C6EFCE"/>
            <w:noWrap/>
          </w:tcPr>
          <w:p w14:paraId="642A5343" w14:textId="77777777" w:rsidR="006578ED" w:rsidRDefault="00A1618E">
            <w:pPr>
              <w:pStyle w:val="P68B1DB1-Normal13"/>
              <w:spacing w:after="0"/>
              <w:jc w:val="center"/>
              <w:rPr>
                <w:rFonts w:eastAsia="Times New Roman" w:cs="Times New Roman"/>
                <w:noProof/>
              </w:rPr>
            </w:pPr>
            <w:r>
              <w:rPr>
                <w:noProof/>
              </w:rPr>
              <w:t>2021</w:t>
            </w:r>
          </w:p>
        </w:tc>
        <w:tc>
          <w:tcPr>
            <w:tcW w:w="6096" w:type="dxa"/>
            <w:shd w:val="clear" w:color="auto" w:fill="C6EFCE"/>
            <w:noWrap/>
          </w:tcPr>
          <w:p w14:paraId="46C91DC3" w14:textId="59C0C419" w:rsidR="006578ED" w:rsidRDefault="00A1618E">
            <w:pPr>
              <w:pStyle w:val="P68B1DB1-Normal13"/>
              <w:spacing w:after="0"/>
              <w:rPr>
                <w:rFonts w:eastAsia="Times New Roman" w:cs="Times New Roman"/>
                <w:noProof/>
              </w:rPr>
            </w:pPr>
            <w:r>
              <w:rPr>
                <w:noProof/>
              </w:rPr>
              <w:t xml:space="preserve">Nowy wieloletni cykl przeglądu wydatków publicznych obejmuje lata 2022–2026. Aby właściwie zaplanować stosowanie i zgromadzić niezbędne informacje na każdym etapie przeglądu wydatków, po konsultacji z AIReF, Rada Ministrów podejmuje decyzję i publikuje co najmniej obszary polityki, podmioty publiczne, których to dotyczy, oraz terminy, które mają zostać objęte analizą, a także odpowiednie aspekty metodologiczne. </w:t>
            </w:r>
          </w:p>
        </w:tc>
      </w:tr>
      <w:tr w:rsidR="006578ED" w14:paraId="3B5884ED" w14:textId="77777777">
        <w:trPr>
          <w:trHeight w:val="390"/>
        </w:trPr>
        <w:tc>
          <w:tcPr>
            <w:tcW w:w="709" w:type="dxa"/>
            <w:shd w:val="clear" w:color="auto" w:fill="C6EFCE"/>
            <w:noWrap/>
          </w:tcPr>
          <w:p w14:paraId="6877DEE0" w14:textId="77777777" w:rsidR="006578ED" w:rsidRDefault="00A1618E">
            <w:pPr>
              <w:pStyle w:val="P68B1DB1-Normal13"/>
              <w:spacing w:after="0"/>
              <w:jc w:val="center"/>
              <w:rPr>
                <w:rFonts w:eastAsia="Times New Roman" w:cs="Times New Roman"/>
                <w:noProof/>
              </w:rPr>
            </w:pPr>
            <w:r>
              <w:rPr>
                <w:noProof/>
              </w:rPr>
              <w:t>401</w:t>
            </w:r>
          </w:p>
        </w:tc>
        <w:tc>
          <w:tcPr>
            <w:tcW w:w="851" w:type="dxa"/>
            <w:shd w:val="clear" w:color="auto" w:fill="C6EFCE"/>
            <w:noWrap/>
          </w:tcPr>
          <w:p w14:paraId="59AE15C9" w14:textId="77777777" w:rsidR="006578ED" w:rsidRDefault="00A1618E">
            <w:pPr>
              <w:pStyle w:val="P68B1DB1-Normal13"/>
              <w:spacing w:after="0"/>
              <w:jc w:val="center"/>
              <w:rPr>
                <w:rFonts w:eastAsia="Times New Roman" w:cs="Times New Roman"/>
                <w:noProof/>
              </w:rPr>
            </w:pPr>
            <w:r>
              <w:rPr>
                <w:noProof/>
              </w:rPr>
              <w:t>C29.R1</w:t>
            </w:r>
          </w:p>
        </w:tc>
        <w:tc>
          <w:tcPr>
            <w:tcW w:w="850" w:type="dxa"/>
            <w:shd w:val="clear" w:color="auto" w:fill="C6EFCE"/>
            <w:noWrap/>
          </w:tcPr>
          <w:p w14:paraId="068694C4" w14:textId="7A6FC7E1" w:rsidR="006578ED" w:rsidRDefault="00AF6B91">
            <w:pPr>
              <w:pStyle w:val="P68B1DB1-Normal13"/>
              <w:spacing w:after="0"/>
              <w:jc w:val="center"/>
              <w:rPr>
                <w:rFonts w:eastAsia="Times New Roman" w:cs="Times New Roman"/>
                <w:noProof/>
              </w:rPr>
            </w:pPr>
            <w:r>
              <w:rPr>
                <w:noProof/>
              </w:rPr>
              <w:t>Kamień milowy</w:t>
            </w:r>
          </w:p>
        </w:tc>
        <w:tc>
          <w:tcPr>
            <w:tcW w:w="2694" w:type="dxa"/>
            <w:shd w:val="clear" w:color="auto" w:fill="C6EFCE"/>
            <w:noWrap/>
          </w:tcPr>
          <w:p w14:paraId="7405E763" w14:textId="1A801F29" w:rsidR="006578ED" w:rsidRDefault="00A1618E">
            <w:pPr>
              <w:pStyle w:val="P68B1DB1-Normal13"/>
              <w:spacing w:after="0"/>
              <w:rPr>
                <w:rFonts w:eastAsia="Times New Roman" w:cs="Times New Roman"/>
                <w:noProof/>
              </w:rPr>
            </w:pPr>
            <w:r>
              <w:rPr>
                <w:noProof/>
              </w:rPr>
              <w:t>Publikacja sprawozdania z monitorowania</w:t>
            </w:r>
          </w:p>
        </w:tc>
        <w:tc>
          <w:tcPr>
            <w:tcW w:w="992" w:type="dxa"/>
            <w:shd w:val="clear" w:color="auto" w:fill="C6EFCE"/>
            <w:noWrap/>
          </w:tcPr>
          <w:p w14:paraId="218AA60C" w14:textId="77777777" w:rsidR="006578ED" w:rsidRDefault="00A1618E">
            <w:pPr>
              <w:pStyle w:val="P68B1DB1-Normal13"/>
              <w:spacing w:after="0"/>
              <w:jc w:val="center"/>
              <w:rPr>
                <w:rFonts w:eastAsia="Times New Roman" w:cs="Times New Roman"/>
                <w:noProof/>
              </w:rPr>
            </w:pPr>
            <w:r>
              <w:rPr>
                <w:noProof/>
              </w:rPr>
              <w:t>Publikacja na stronie internetowej Ministerstwa Finansów</w:t>
            </w:r>
          </w:p>
        </w:tc>
        <w:tc>
          <w:tcPr>
            <w:tcW w:w="709" w:type="dxa"/>
            <w:shd w:val="clear" w:color="auto" w:fill="C6EFCE"/>
            <w:noWrap/>
          </w:tcPr>
          <w:p w14:paraId="5F10CF2F" w14:textId="77777777" w:rsidR="006578ED" w:rsidRDefault="00A1618E">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22E91A17" w14:textId="77777777" w:rsidR="006578ED" w:rsidRDefault="00A1618E">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639A99ED"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3D10146E" w14:textId="309CA725" w:rsidR="006578ED" w:rsidRDefault="00EC188C">
            <w:pPr>
              <w:pStyle w:val="P68B1DB1-Normal13"/>
              <w:spacing w:after="0"/>
              <w:jc w:val="center"/>
              <w:rPr>
                <w:rFonts w:eastAsia="Times New Roman" w:cs="Times New Roman"/>
                <w:noProof/>
              </w:rPr>
            </w:pPr>
            <w:r>
              <w:rPr>
                <w:noProof/>
              </w:rPr>
              <w:t>KW. 1</w:t>
            </w:r>
          </w:p>
        </w:tc>
        <w:tc>
          <w:tcPr>
            <w:tcW w:w="567" w:type="dxa"/>
            <w:shd w:val="clear" w:color="auto" w:fill="C6EFCE"/>
            <w:noWrap/>
          </w:tcPr>
          <w:p w14:paraId="2CEC990D" w14:textId="77777777" w:rsidR="006578ED" w:rsidRDefault="00A1618E">
            <w:pPr>
              <w:pStyle w:val="P68B1DB1-Normal13"/>
              <w:spacing w:after="0"/>
              <w:jc w:val="center"/>
              <w:rPr>
                <w:rFonts w:eastAsia="Times New Roman" w:cs="Times New Roman"/>
                <w:noProof/>
              </w:rPr>
            </w:pPr>
            <w:r>
              <w:rPr>
                <w:noProof/>
              </w:rPr>
              <w:t>2022</w:t>
            </w:r>
          </w:p>
        </w:tc>
        <w:tc>
          <w:tcPr>
            <w:tcW w:w="6096" w:type="dxa"/>
            <w:shd w:val="clear" w:color="auto" w:fill="C6EFCE"/>
            <w:noWrap/>
          </w:tcPr>
          <w:p w14:paraId="0BB86071" w14:textId="0CC23455" w:rsidR="006578ED" w:rsidRDefault="00A1618E">
            <w:pPr>
              <w:pStyle w:val="P68B1DB1-Normal13"/>
              <w:spacing w:after="0"/>
              <w:rPr>
                <w:rFonts w:eastAsia="Times New Roman" w:cs="Times New Roman"/>
                <w:noProof/>
              </w:rPr>
            </w:pPr>
            <w:r>
              <w:rPr>
                <w:noProof/>
              </w:rPr>
              <w:t>Coroczne publikowanie sprawozdania monitorującego. Sprawozdanie zawiera wykaz zaleceń wydanych przez AIReF oraz szczegółowe informacje na temat zmian regulacyjnych lub innych środków podjętych w celu ich wyeliminowania. Jeżeli centra wydatków, do których skierowane są zalecenia, nie zgadzają się z nimi, należy podać odpowiednie uzasadnienie.</w:t>
            </w:r>
          </w:p>
        </w:tc>
      </w:tr>
      <w:tr w:rsidR="006578ED" w14:paraId="1AAEC9ED" w14:textId="77777777">
        <w:trPr>
          <w:trHeight w:val="309"/>
        </w:trPr>
        <w:tc>
          <w:tcPr>
            <w:tcW w:w="709" w:type="dxa"/>
            <w:shd w:val="clear" w:color="auto" w:fill="C6EFCE"/>
            <w:noWrap/>
          </w:tcPr>
          <w:p w14:paraId="4DF04293" w14:textId="77777777" w:rsidR="006578ED" w:rsidRDefault="00A1618E">
            <w:pPr>
              <w:pStyle w:val="P68B1DB1-Normal13"/>
              <w:spacing w:after="0"/>
              <w:jc w:val="center"/>
              <w:rPr>
                <w:rFonts w:eastAsia="Times New Roman" w:cs="Times New Roman"/>
                <w:noProof/>
              </w:rPr>
            </w:pPr>
            <w:r>
              <w:rPr>
                <w:noProof/>
              </w:rPr>
              <w:t>402</w:t>
            </w:r>
          </w:p>
        </w:tc>
        <w:tc>
          <w:tcPr>
            <w:tcW w:w="851" w:type="dxa"/>
            <w:shd w:val="clear" w:color="auto" w:fill="C6EFCE"/>
            <w:noWrap/>
          </w:tcPr>
          <w:p w14:paraId="1536F060" w14:textId="77777777" w:rsidR="006578ED" w:rsidRDefault="00A1618E">
            <w:pPr>
              <w:pStyle w:val="P68B1DB1-Normal13"/>
              <w:spacing w:after="0"/>
              <w:jc w:val="center"/>
              <w:rPr>
                <w:rFonts w:eastAsia="Times New Roman" w:cs="Times New Roman"/>
                <w:noProof/>
              </w:rPr>
            </w:pPr>
            <w:r>
              <w:rPr>
                <w:noProof/>
              </w:rPr>
              <w:t>C29.R1</w:t>
            </w:r>
          </w:p>
        </w:tc>
        <w:tc>
          <w:tcPr>
            <w:tcW w:w="850" w:type="dxa"/>
            <w:shd w:val="clear" w:color="auto" w:fill="C6EFCE"/>
            <w:noWrap/>
          </w:tcPr>
          <w:p w14:paraId="77B046B9" w14:textId="075E5334" w:rsidR="006578ED" w:rsidRDefault="00AF6B91">
            <w:pPr>
              <w:pStyle w:val="P68B1DB1-Normal13"/>
              <w:spacing w:after="0"/>
              <w:jc w:val="center"/>
              <w:rPr>
                <w:rFonts w:eastAsia="Times New Roman" w:cs="Times New Roman"/>
                <w:noProof/>
              </w:rPr>
            </w:pPr>
            <w:r>
              <w:rPr>
                <w:noProof/>
              </w:rPr>
              <w:t>Kamień milowy</w:t>
            </w:r>
          </w:p>
        </w:tc>
        <w:tc>
          <w:tcPr>
            <w:tcW w:w="2694" w:type="dxa"/>
            <w:shd w:val="clear" w:color="auto" w:fill="C6EFCE"/>
            <w:noWrap/>
          </w:tcPr>
          <w:p w14:paraId="40961BB9" w14:textId="77777777" w:rsidR="006578ED" w:rsidRDefault="00A1618E">
            <w:pPr>
              <w:pStyle w:val="P68B1DB1-Normal13"/>
              <w:spacing w:after="0"/>
              <w:rPr>
                <w:rFonts w:eastAsia="Times New Roman" w:cs="Times New Roman"/>
                <w:noProof/>
              </w:rPr>
            </w:pPr>
            <w:r>
              <w:rPr>
                <w:noProof/>
              </w:rPr>
              <w:t>Etap III przeglądu wydatków</w:t>
            </w:r>
          </w:p>
        </w:tc>
        <w:tc>
          <w:tcPr>
            <w:tcW w:w="992" w:type="dxa"/>
            <w:shd w:val="clear" w:color="auto" w:fill="C6EFCE"/>
            <w:noWrap/>
          </w:tcPr>
          <w:p w14:paraId="59B24D11" w14:textId="77777777" w:rsidR="006578ED" w:rsidRDefault="00A1618E">
            <w:pPr>
              <w:pStyle w:val="P68B1DB1-Normal13"/>
              <w:spacing w:after="0"/>
              <w:jc w:val="center"/>
              <w:rPr>
                <w:rFonts w:eastAsia="Times New Roman" w:cs="Times New Roman"/>
                <w:noProof/>
              </w:rPr>
            </w:pPr>
            <w:r>
              <w:rPr>
                <w:noProof/>
              </w:rPr>
              <w:t>Publikacja sprawozdań na stronie internetowej AIReF</w:t>
            </w:r>
          </w:p>
        </w:tc>
        <w:tc>
          <w:tcPr>
            <w:tcW w:w="709" w:type="dxa"/>
            <w:shd w:val="clear" w:color="auto" w:fill="C6EFCE"/>
            <w:noWrap/>
          </w:tcPr>
          <w:p w14:paraId="28435C3F" w14:textId="77777777" w:rsidR="006578ED" w:rsidRDefault="00A1618E">
            <w:pPr>
              <w:pStyle w:val="P68B1DB1-Normal13"/>
              <w:spacing w:after="0"/>
              <w:jc w:val="center"/>
              <w:rPr>
                <w:rFonts w:eastAsia="Times New Roman" w:cs="Times New Roman"/>
                <w:noProof/>
              </w:rPr>
            </w:pPr>
            <w:r>
              <w:rPr>
                <w:noProof/>
              </w:rPr>
              <w:t> </w:t>
            </w:r>
          </w:p>
        </w:tc>
        <w:tc>
          <w:tcPr>
            <w:tcW w:w="567" w:type="dxa"/>
            <w:shd w:val="clear" w:color="auto" w:fill="C6EFCE"/>
            <w:noWrap/>
          </w:tcPr>
          <w:p w14:paraId="3B3692E9" w14:textId="77777777" w:rsidR="006578ED" w:rsidRDefault="00A1618E">
            <w:pPr>
              <w:pStyle w:val="P68B1DB1-Normal13"/>
              <w:spacing w:after="0"/>
              <w:jc w:val="right"/>
              <w:rPr>
                <w:rFonts w:eastAsia="Times New Roman" w:cs="Times New Roman"/>
                <w:noProof/>
              </w:rPr>
            </w:pPr>
            <w:r>
              <w:rPr>
                <w:noProof/>
              </w:rPr>
              <w:t> </w:t>
            </w:r>
          </w:p>
        </w:tc>
        <w:tc>
          <w:tcPr>
            <w:tcW w:w="708" w:type="dxa"/>
            <w:shd w:val="clear" w:color="auto" w:fill="C6EFCE"/>
            <w:noWrap/>
          </w:tcPr>
          <w:p w14:paraId="37AECD10" w14:textId="77777777" w:rsidR="006578ED" w:rsidRDefault="00A1618E">
            <w:pPr>
              <w:pStyle w:val="P68B1DB1-Normal13"/>
              <w:spacing w:after="0"/>
              <w:jc w:val="right"/>
              <w:rPr>
                <w:rFonts w:eastAsia="Times New Roman" w:cs="Times New Roman"/>
                <w:noProof/>
              </w:rPr>
            </w:pPr>
            <w:r>
              <w:rPr>
                <w:noProof/>
              </w:rPr>
              <w:t> </w:t>
            </w:r>
          </w:p>
        </w:tc>
        <w:tc>
          <w:tcPr>
            <w:tcW w:w="567" w:type="dxa"/>
            <w:shd w:val="clear" w:color="auto" w:fill="C6EFCE"/>
            <w:noWrap/>
          </w:tcPr>
          <w:p w14:paraId="47FD9F2D" w14:textId="16F1AD20" w:rsidR="006578ED" w:rsidRDefault="00EC188C">
            <w:pPr>
              <w:pStyle w:val="P68B1DB1-Normal13"/>
              <w:spacing w:after="0"/>
              <w:jc w:val="center"/>
              <w:rPr>
                <w:rFonts w:eastAsia="Times New Roman" w:cs="Times New Roman"/>
                <w:noProof/>
              </w:rPr>
            </w:pPr>
            <w:r>
              <w:rPr>
                <w:noProof/>
              </w:rPr>
              <w:t>KW. 2</w:t>
            </w:r>
          </w:p>
        </w:tc>
        <w:tc>
          <w:tcPr>
            <w:tcW w:w="567" w:type="dxa"/>
            <w:shd w:val="clear" w:color="auto" w:fill="C6EFCE"/>
            <w:noWrap/>
          </w:tcPr>
          <w:p w14:paraId="67D05C4F" w14:textId="77777777" w:rsidR="006578ED" w:rsidRDefault="00A1618E">
            <w:pPr>
              <w:pStyle w:val="P68B1DB1-Normal13"/>
              <w:spacing w:after="0"/>
              <w:jc w:val="center"/>
              <w:rPr>
                <w:rFonts w:eastAsia="Times New Roman" w:cs="Times New Roman"/>
                <w:noProof/>
              </w:rPr>
            </w:pPr>
            <w:r>
              <w:rPr>
                <w:noProof/>
              </w:rPr>
              <w:t>2023</w:t>
            </w:r>
          </w:p>
        </w:tc>
        <w:tc>
          <w:tcPr>
            <w:tcW w:w="6096" w:type="dxa"/>
            <w:shd w:val="clear" w:color="auto" w:fill="C6EFCE"/>
            <w:noWrap/>
          </w:tcPr>
          <w:p w14:paraId="3F72302B" w14:textId="7441FEFD" w:rsidR="006578ED" w:rsidRDefault="00A1618E">
            <w:pPr>
              <w:pStyle w:val="P68B1DB1-Normal13"/>
              <w:spacing w:after="0"/>
              <w:rPr>
                <w:rFonts w:eastAsia="Times New Roman" w:cs="Times New Roman"/>
                <w:noProof/>
              </w:rPr>
            </w:pPr>
            <w:r>
              <w:rPr>
                <w:noProof/>
              </w:rPr>
              <w:t>Publikacja sprawozdań z trzeciego etapu przeglądu wydatków przez AIReF.</w:t>
            </w:r>
          </w:p>
        </w:tc>
      </w:tr>
      <w:tr w:rsidR="006578ED" w14:paraId="4BC432FA" w14:textId="77777777">
        <w:trPr>
          <w:trHeight w:val="309"/>
        </w:trPr>
        <w:tc>
          <w:tcPr>
            <w:tcW w:w="709" w:type="dxa"/>
            <w:shd w:val="clear" w:color="auto" w:fill="C6EFCE"/>
            <w:noWrap/>
          </w:tcPr>
          <w:p w14:paraId="3E853694" w14:textId="77777777" w:rsidR="006578ED" w:rsidRDefault="00A1618E">
            <w:pPr>
              <w:pStyle w:val="P68B1DB1-Normal13"/>
              <w:spacing w:after="0"/>
              <w:jc w:val="center"/>
              <w:rPr>
                <w:rFonts w:eastAsia="Times New Roman" w:cs="Times New Roman"/>
                <w:noProof/>
              </w:rPr>
            </w:pPr>
            <w:r>
              <w:rPr>
                <w:noProof/>
              </w:rPr>
              <w:t>403</w:t>
            </w:r>
          </w:p>
        </w:tc>
        <w:tc>
          <w:tcPr>
            <w:tcW w:w="851" w:type="dxa"/>
            <w:shd w:val="clear" w:color="auto" w:fill="C6EFCE"/>
            <w:noWrap/>
          </w:tcPr>
          <w:p w14:paraId="178BAF6C" w14:textId="77777777" w:rsidR="006578ED" w:rsidRDefault="00A1618E">
            <w:pPr>
              <w:pStyle w:val="P68B1DB1-Normal13"/>
              <w:spacing w:after="0"/>
              <w:jc w:val="center"/>
              <w:rPr>
                <w:rFonts w:eastAsia="Times New Roman" w:cs="Times New Roman"/>
                <w:noProof/>
              </w:rPr>
            </w:pPr>
            <w:r>
              <w:rPr>
                <w:noProof/>
              </w:rPr>
              <w:t>C29.R2</w:t>
            </w:r>
          </w:p>
        </w:tc>
        <w:tc>
          <w:tcPr>
            <w:tcW w:w="850" w:type="dxa"/>
            <w:shd w:val="clear" w:color="auto" w:fill="C6EFCE"/>
            <w:noWrap/>
          </w:tcPr>
          <w:p w14:paraId="64D58C09" w14:textId="55717A80" w:rsidR="006578ED" w:rsidRDefault="00AF6B91">
            <w:pPr>
              <w:pStyle w:val="P68B1DB1-Normal13"/>
              <w:spacing w:after="0"/>
              <w:jc w:val="center"/>
              <w:rPr>
                <w:rFonts w:eastAsia="Times New Roman" w:cs="Times New Roman"/>
                <w:noProof/>
              </w:rPr>
            </w:pPr>
            <w:r>
              <w:rPr>
                <w:noProof/>
              </w:rPr>
              <w:t>Kamień milowy</w:t>
            </w:r>
          </w:p>
        </w:tc>
        <w:tc>
          <w:tcPr>
            <w:tcW w:w="2694" w:type="dxa"/>
            <w:shd w:val="clear" w:color="auto" w:fill="C6EFCE"/>
            <w:noWrap/>
          </w:tcPr>
          <w:p w14:paraId="6F6A323F" w14:textId="77777777" w:rsidR="006578ED" w:rsidRDefault="00A1618E">
            <w:pPr>
              <w:pStyle w:val="P68B1DB1-Normal13"/>
              <w:spacing w:after="0"/>
              <w:rPr>
                <w:rFonts w:eastAsia="Times New Roman" w:cs="Times New Roman"/>
                <w:noProof/>
              </w:rPr>
            </w:pPr>
            <w:r>
              <w:rPr>
                <w:noProof/>
              </w:rPr>
              <w:t>Sprawozdanie dotyczące dostosowania budżetu do celów zrównoważonego rozwoju</w:t>
            </w:r>
          </w:p>
        </w:tc>
        <w:tc>
          <w:tcPr>
            <w:tcW w:w="992" w:type="dxa"/>
            <w:shd w:val="clear" w:color="auto" w:fill="C6EFCE"/>
            <w:noWrap/>
          </w:tcPr>
          <w:p w14:paraId="58169A30" w14:textId="7EA51AD9" w:rsidR="006578ED" w:rsidRDefault="00A1618E">
            <w:pPr>
              <w:pStyle w:val="P68B1DB1-Normal13"/>
              <w:spacing w:after="0"/>
              <w:jc w:val="center"/>
              <w:rPr>
                <w:rFonts w:eastAsia="Times New Roman" w:cs="Times New Roman"/>
                <w:noProof/>
              </w:rPr>
            </w:pPr>
            <w:r>
              <w:rPr>
                <w:noProof/>
              </w:rPr>
              <w:t>Publikacja jako dokumentacja uzupełniająca w rocznej ustawie budżetowej</w:t>
            </w:r>
          </w:p>
        </w:tc>
        <w:tc>
          <w:tcPr>
            <w:tcW w:w="709" w:type="dxa"/>
            <w:shd w:val="clear" w:color="auto" w:fill="C6EFCE"/>
            <w:noWrap/>
          </w:tcPr>
          <w:p w14:paraId="762614A7" w14:textId="77777777" w:rsidR="006578ED" w:rsidRDefault="00A1618E">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2DF3361E" w14:textId="77777777" w:rsidR="006578ED" w:rsidRDefault="00A1618E">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666FE2A8"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6D5724FD" w14:textId="0D1BAAFB" w:rsidR="006578ED" w:rsidRDefault="00EC188C">
            <w:pPr>
              <w:pStyle w:val="P68B1DB1-Normal13"/>
              <w:spacing w:after="0"/>
              <w:jc w:val="center"/>
              <w:rPr>
                <w:rFonts w:eastAsia="Times New Roman" w:cs="Times New Roman"/>
                <w:noProof/>
              </w:rPr>
            </w:pPr>
            <w:r>
              <w:rPr>
                <w:noProof/>
              </w:rPr>
              <w:t>KW. 3</w:t>
            </w:r>
          </w:p>
        </w:tc>
        <w:tc>
          <w:tcPr>
            <w:tcW w:w="567" w:type="dxa"/>
            <w:shd w:val="clear" w:color="auto" w:fill="C6EFCE"/>
            <w:noWrap/>
          </w:tcPr>
          <w:p w14:paraId="4332F592" w14:textId="77777777" w:rsidR="006578ED" w:rsidRDefault="00A1618E">
            <w:pPr>
              <w:pStyle w:val="P68B1DB1-Normal13"/>
              <w:spacing w:after="0"/>
              <w:jc w:val="center"/>
              <w:rPr>
                <w:rFonts w:eastAsia="Times New Roman" w:cs="Times New Roman"/>
                <w:noProof/>
              </w:rPr>
            </w:pPr>
            <w:r>
              <w:rPr>
                <w:noProof/>
              </w:rPr>
              <w:t>2021</w:t>
            </w:r>
          </w:p>
        </w:tc>
        <w:tc>
          <w:tcPr>
            <w:tcW w:w="6096" w:type="dxa"/>
            <w:shd w:val="clear" w:color="auto" w:fill="C6EFCE"/>
            <w:noWrap/>
          </w:tcPr>
          <w:p w14:paraId="1503BF07" w14:textId="0E6D6FAF" w:rsidR="006578ED" w:rsidRDefault="00A1618E">
            <w:pPr>
              <w:pStyle w:val="P68B1DB1-Normal13"/>
              <w:spacing w:after="0"/>
              <w:rPr>
                <w:rFonts w:eastAsia="Times New Roman" w:cs="Times New Roman"/>
                <w:noProof/>
              </w:rPr>
            </w:pPr>
            <w:r>
              <w:rPr>
                <w:noProof/>
              </w:rPr>
              <w:t xml:space="preserve">Publikacja sprawozdania towarzyszącego projektowi ustawy budżetowej </w:t>
            </w:r>
            <w:r w:rsidRPr="00A1618E">
              <w:rPr>
                <w:noProof/>
                <w:lang w:val="pl-PL"/>
              </w:rPr>
              <w:t>na 2</w:t>
            </w:r>
            <w:r>
              <w:rPr>
                <w:noProof/>
              </w:rPr>
              <w:t>0</w:t>
            </w:r>
            <w:r w:rsidRPr="00A1618E">
              <w:rPr>
                <w:noProof/>
                <w:lang w:val="pl-PL"/>
              </w:rPr>
              <w:t>22 r.</w:t>
            </w:r>
            <w:r>
              <w:rPr>
                <w:noProof/>
              </w:rPr>
              <w:t xml:space="preserve"> w sprawie jej dostosowania do celów zrównoważonego rozwoju.</w:t>
            </w:r>
          </w:p>
        </w:tc>
      </w:tr>
      <w:tr w:rsidR="006578ED" w14:paraId="30A10A31" w14:textId="77777777">
        <w:trPr>
          <w:trHeight w:val="309"/>
        </w:trPr>
        <w:tc>
          <w:tcPr>
            <w:tcW w:w="709" w:type="dxa"/>
            <w:shd w:val="clear" w:color="auto" w:fill="C6EFCE"/>
            <w:noWrap/>
          </w:tcPr>
          <w:p w14:paraId="40E48CF1" w14:textId="77777777" w:rsidR="006578ED" w:rsidRDefault="00A1618E">
            <w:pPr>
              <w:pStyle w:val="P68B1DB1-Normal13"/>
              <w:spacing w:after="0"/>
              <w:jc w:val="center"/>
              <w:rPr>
                <w:rFonts w:eastAsia="Times New Roman" w:cs="Times New Roman"/>
                <w:noProof/>
              </w:rPr>
            </w:pPr>
            <w:r>
              <w:rPr>
                <w:noProof/>
              </w:rPr>
              <w:t>404</w:t>
            </w:r>
          </w:p>
        </w:tc>
        <w:tc>
          <w:tcPr>
            <w:tcW w:w="851" w:type="dxa"/>
            <w:shd w:val="clear" w:color="auto" w:fill="C6EFCE"/>
            <w:noWrap/>
          </w:tcPr>
          <w:p w14:paraId="1AFFD783" w14:textId="77777777" w:rsidR="006578ED" w:rsidRDefault="00A1618E">
            <w:pPr>
              <w:pStyle w:val="P68B1DB1-Normal13"/>
              <w:spacing w:after="0"/>
              <w:jc w:val="center"/>
              <w:rPr>
                <w:rFonts w:eastAsia="Times New Roman" w:cs="Times New Roman"/>
                <w:noProof/>
              </w:rPr>
            </w:pPr>
            <w:r>
              <w:rPr>
                <w:noProof/>
              </w:rPr>
              <w:t>C29.R3</w:t>
            </w:r>
          </w:p>
        </w:tc>
        <w:tc>
          <w:tcPr>
            <w:tcW w:w="850" w:type="dxa"/>
            <w:shd w:val="clear" w:color="auto" w:fill="C6EFCE"/>
            <w:noWrap/>
          </w:tcPr>
          <w:p w14:paraId="63FB8DE3" w14:textId="1C4DD3CD" w:rsidR="006578ED" w:rsidRDefault="00AF6B91">
            <w:pPr>
              <w:pStyle w:val="P68B1DB1-Normal13"/>
              <w:spacing w:after="0"/>
              <w:jc w:val="center"/>
              <w:rPr>
                <w:rFonts w:eastAsia="Times New Roman" w:cs="Times New Roman"/>
                <w:noProof/>
              </w:rPr>
            </w:pPr>
            <w:r>
              <w:rPr>
                <w:noProof/>
              </w:rPr>
              <w:t>Kamień milowy</w:t>
            </w:r>
          </w:p>
        </w:tc>
        <w:tc>
          <w:tcPr>
            <w:tcW w:w="2694" w:type="dxa"/>
            <w:shd w:val="clear" w:color="auto" w:fill="C6EFCE"/>
            <w:noWrap/>
          </w:tcPr>
          <w:p w14:paraId="447F1A60" w14:textId="55D38D37" w:rsidR="006578ED" w:rsidRDefault="00A1618E">
            <w:pPr>
              <w:pStyle w:val="P68B1DB1-Normal13"/>
              <w:spacing w:after="0"/>
              <w:rPr>
                <w:rFonts w:eastAsia="Times New Roman" w:cs="Times New Roman"/>
                <w:noProof/>
              </w:rPr>
            </w:pPr>
            <w:r>
              <w:rPr>
                <w:noProof/>
              </w:rPr>
              <w:t>Sprawozdanie w sprawie dostosowania do ekologicznego planowania budżetu</w:t>
            </w:r>
          </w:p>
        </w:tc>
        <w:tc>
          <w:tcPr>
            <w:tcW w:w="992" w:type="dxa"/>
            <w:shd w:val="clear" w:color="auto" w:fill="C6EFCE"/>
            <w:noWrap/>
          </w:tcPr>
          <w:p w14:paraId="5B23B7B4" w14:textId="4D58C54A" w:rsidR="006578ED" w:rsidRDefault="00A1618E">
            <w:pPr>
              <w:pStyle w:val="P68B1DB1-Normal13"/>
              <w:spacing w:after="0"/>
              <w:jc w:val="center"/>
              <w:rPr>
                <w:rFonts w:eastAsia="Times New Roman" w:cs="Times New Roman"/>
                <w:noProof/>
              </w:rPr>
            </w:pPr>
            <w:r>
              <w:rPr>
                <w:noProof/>
              </w:rPr>
              <w:t>Publikacja jako dokumentacja uzupełniająca w rocznej ustawie budżetowej</w:t>
            </w:r>
          </w:p>
        </w:tc>
        <w:tc>
          <w:tcPr>
            <w:tcW w:w="709" w:type="dxa"/>
            <w:shd w:val="clear" w:color="auto" w:fill="C6EFCE"/>
            <w:noWrap/>
          </w:tcPr>
          <w:p w14:paraId="044B64A3" w14:textId="77777777" w:rsidR="006578ED" w:rsidRDefault="00A1618E">
            <w:pPr>
              <w:pStyle w:val="P68B1DB1-Normal13"/>
              <w:spacing w:after="0"/>
              <w:jc w:val="center"/>
              <w:rPr>
                <w:rFonts w:eastAsia="Times New Roman" w:cs="Times New Roman"/>
                <w:noProof/>
              </w:rPr>
            </w:pPr>
            <w:r>
              <w:rPr>
                <w:noProof/>
              </w:rPr>
              <w:t xml:space="preserve"> </w:t>
            </w:r>
          </w:p>
        </w:tc>
        <w:tc>
          <w:tcPr>
            <w:tcW w:w="567" w:type="dxa"/>
            <w:shd w:val="clear" w:color="auto" w:fill="C6EFCE"/>
            <w:noWrap/>
          </w:tcPr>
          <w:p w14:paraId="5B607870" w14:textId="77777777" w:rsidR="006578ED" w:rsidRDefault="00A1618E">
            <w:pPr>
              <w:pStyle w:val="P68B1DB1-Normal13"/>
              <w:spacing w:after="0"/>
              <w:jc w:val="right"/>
              <w:rPr>
                <w:rFonts w:eastAsia="Times New Roman" w:cs="Times New Roman"/>
                <w:noProof/>
              </w:rPr>
            </w:pPr>
            <w:r>
              <w:rPr>
                <w:noProof/>
              </w:rPr>
              <w:t xml:space="preserve"> </w:t>
            </w:r>
          </w:p>
        </w:tc>
        <w:tc>
          <w:tcPr>
            <w:tcW w:w="708" w:type="dxa"/>
            <w:shd w:val="clear" w:color="auto" w:fill="C6EFCE"/>
            <w:noWrap/>
          </w:tcPr>
          <w:p w14:paraId="1EF93582"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59868761" w14:textId="04B24A9A" w:rsidR="006578ED" w:rsidRDefault="00EC188C">
            <w:pPr>
              <w:pStyle w:val="P68B1DB1-Normal13"/>
              <w:spacing w:after="0"/>
              <w:jc w:val="center"/>
              <w:rPr>
                <w:rFonts w:eastAsia="Times New Roman" w:cs="Times New Roman"/>
                <w:noProof/>
              </w:rPr>
            </w:pPr>
            <w:r>
              <w:rPr>
                <w:noProof/>
              </w:rPr>
              <w:t>KW. 3</w:t>
            </w:r>
          </w:p>
        </w:tc>
        <w:tc>
          <w:tcPr>
            <w:tcW w:w="567" w:type="dxa"/>
            <w:shd w:val="clear" w:color="auto" w:fill="C6EFCE"/>
            <w:noWrap/>
          </w:tcPr>
          <w:p w14:paraId="19047533" w14:textId="77777777" w:rsidR="006578ED" w:rsidRDefault="00A1618E">
            <w:pPr>
              <w:pStyle w:val="P68B1DB1-Normal13"/>
              <w:spacing w:after="0"/>
              <w:jc w:val="center"/>
              <w:rPr>
                <w:rFonts w:eastAsia="Times New Roman" w:cs="Times New Roman"/>
                <w:noProof/>
              </w:rPr>
            </w:pPr>
            <w:r>
              <w:rPr>
                <w:noProof/>
              </w:rPr>
              <w:t>2022</w:t>
            </w:r>
          </w:p>
        </w:tc>
        <w:tc>
          <w:tcPr>
            <w:tcW w:w="6096" w:type="dxa"/>
            <w:shd w:val="clear" w:color="auto" w:fill="C6EFCE"/>
            <w:noWrap/>
          </w:tcPr>
          <w:p w14:paraId="5B10DAA6" w14:textId="2170BA95" w:rsidR="006578ED" w:rsidRDefault="00A1618E">
            <w:pPr>
              <w:pStyle w:val="P68B1DB1-Normal13"/>
              <w:spacing w:after="0"/>
              <w:rPr>
                <w:rFonts w:eastAsia="Times New Roman" w:cs="Times New Roman"/>
                <w:noProof/>
              </w:rPr>
            </w:pPr>
            <w:r>
              <w:rPr>
                <w:noProof/>
              </w:rPr>
              <w:t xml:space="preserve">Sprawozdanie w sprawie ekologicznego budżetu (wymiar ekologiczny) towarzyszące rocznej ustawie budżetowej </w:t>
            </w:r>
            <w:r w:rsidRPr="00A1618E">
              <w:rPr>
                <w:noProof/>
                <w:lang w:val="pl-PL"/>
              </w:rPr>
              <w:t>na 2</w:t>
            </w:r>
            <w:r>
              <w:rPr>
                <w:noProof/>
              </w:rPr>
              <w:t>0</w:t>
            </w:r>
            <w:r w:rsidRPr="00A1618E">
              <w:rPr>
                <w:noProof/>
                <w:lang w:val="pl-PL"/>
              </w:rPr>
              <w:t>23 r.</w:t>
            </w:r>
            <w:r>
              <w:rPr>
                <w:noProof/>
              </w:rPr>
              <w:t xml:space="preserve"> Sprawozdanie zawiera zestawienie wydatków ekologicznych w rocznej ustawie budżetowej i jest przygotowywane zgodnie z metodyką i ramami monitorowania opracowanymi przy wsparciu z Instrumentu Wsparcia Technicznego UE.</w:t>
            </w:r>
          </w:p>
        </w:tc>
      </w:tr>
      <w:tr w:rsidR="006578ED" w14:paraId="279F1ECF" w14:textId="77777777">
        <w:trPr>
          <w:trHeight w:val="309"/>
        </w:trPr>
        <w:tc>
          <w:tcPr>
            <w:tcW w:w="709" w:type="dxa"/>
            <w:shd w:val="clear" w:color="auto" w:fill="C6EFCE"/>
            <w:noWrap/>
          </w:tcPr>
          <w:p w14:paraId="2D10C541" w14:textId="77777777" w:rsidR="006578ED" w:rsidRDefault="00A1618E">
            <w:pPr>
              <w:pStyle w:val="P68B1DB1-Normal13"/>
              <w:spacing w:after="0"/>
              <w:jc w:val="center"/>
              <w:rPr>
                <w:rFonts w:cs="Times New Roman"/>
                <w:noProof/>
              </w:rPr>
            </w:pPr>
            <w:r>
              <w:rPr>
                <w:noProof/>
              </w:rPr>
              <w:t>405</w:t>
            </w:r>
          </w:p>
        </w:tc>
        <w:tc>
          <w:tcPr>
            <w:tcW w:w="851" w:type="dxa"/>
            <w:shd w:val="clear" w:color="auto" w:fill="C6EFCE"/>
            <w:noWrap/>
          </w:tcPr>
          <w:p w14:paraId="776C2514" w14:textId="77777777" w:rsidR="006578ED" w:rsidRDefault="00A1618E">
            <w:pPr>
              <w:pStyle w:val="P68B1DB1-Normal13"/>
              <w:spacing w:after="0"/>
              <w:jc w:val="center"/>
              <w:rPr>
                <w:rFonts w:cs="Times New Roman"/>
                <w:noProof/>
              </w:rPr>
            </w:pPr>
            <w:r>
              <w:rPr>
                <w:noProof/>
              </w:rPr>
              <w:t>C29.R3</w:t>
            </w:r>
          </w:p>
        </w:tc>
        <w:tc>
          <w:tcPr>
            <w:tcW w:w="850" w:type="dxa"/>
            <w:shd w:val="clear" w:color="auto" w:fill="C6EFCE"/>
            <w:noWrap/>
          </w:tcPr>
          <w:p w14:paraId="0AD761A3" w14:textId="0B7D8F1E" w:rsidR="006578ED" w:rsidRDefault="00AF6B91">
            <w:pPr>
              <w:pStyle w:val="P68B1DB1-Normal13"/>
              <w:spacing w:after="0"/>
              <w:jc w:val="center"/>
              <w:rPr>
                <w:rFonts w:cs="Times New Roman"/>
                <w:noProof/>
              </w:rPr>
            </w:pPr>
            <w:r>
              <w:rPr>
                <w:noProof/>
              </w:rPr>
              <w:t>Kamień milowy</w:t>
            </w:r>
          </w:p>
        </w:tc>
        <w:tc>
          <w:tcPr>
            <w:tcW w:w="2694" w:type="dxa"/>
            <w:shd w:val="clear" w:color="auto" w:fill="C6EFCE"/>
            <w:noWrap/>
          </w:tcPr>
          <w:p w14:paraId="03C956F3" w14:textId="078EF5DD" w:rsidR="006578ED" w:rsidRDefault="00A1618E">
            <w:pPr>
              <w:pStyle w:val="P68B1DB1-Normal13"/>
              <w:spacing w:after="0"/>
              <w:rPr>
                <w:rFonts w:cs="Times New Roman"/>
                <w:noProof/>
              </w:rPr>
            </w:pPr>
            <w:r>
              <w:rPr>
                <w:noProof/>
              </w:rPr>
              <w:t>Sprawozdanie w sprawie dostosowania do ekologicznego planowania budżetu</w:t>
            </w:r>
          </w:p>
        </w:tc>
        <w:tc>
          <w:tcPr>
            <w:tcW w:w="992" w:type="dxa"/>
            <w:shd w:val="clear" w:color="auto" w:fill="C6EFCE"/>
            <w:noWrap/>
          </w:tcPr>
          <w:p w14:paraId="5E196C9C" w14:textId="76AEB68F" w:rsidR="006578ED" w:rsidRDefault="00A1618E">
            <w:pPr>
              <w:pStyle w:val="P68B1DB1-Normal13"/>
              <w:spacing w:after="0"/>
              <w:jc w:val="center"/>
              <w:rPr>
                <w:rFonts w:cs="Times New Roman"/>
                <w:noProof/>
              </w:rPr>
            </w:pPr>
            <w:r>
              <w:rPr>
                <w:noProof/>
              </w:rPr>
              <w:t>Publikacja jako dokumentacja uzupełniająca w rocznej ustawie budżetowej</w:t>
            </w:r>
          </w:p>
        </w:tc>
        <w:tc>
          <w:tcPr>
            <w:tcW w:w="709" w:type="dxa"/>
            <w:shd w:val="clear" w:color="auto" w:fill="C6EFCE"/>
            <w:noWrap/>
          </w:tcPr>
          <w:p w14:paraId="10688FB1" w14:textId="77777777" w:rsidR="006578ED" w:rsidRDefault="00A1618E">
            <w:pPr>
              <w:pStyle w:val="P68B1DB1-Normal13"/>
              <w:spacing w:after="0"/>
              <w:jc w:val="center"/>
              <w:rPr>
                <w:rFonts w:cs="Times New Roman"/>
                <w:noProof/>
              </w:rPr>
            </w:pPr>
            <w:r>
              <w:rPr>
                <w:noProof/>
              </w:rPr>
              <w:t xml:space="preserve"> </w:t>
            </w:r>
          </w:p>
        </w:tc>
        <w:tc>
          <w:tcPr>
            <w:tcW w:w="567" w:type="dxa"/>
            <w:shd w:val="clear" w:color="auto" w:fill="C6EFCE"/>
            <w:noWrap/>
          </w:tcPr>
          <w:p w14:paraId="165D25D0" w14:textId="77777777" w:rsidR="006578ED" w:rsidRDefault="00A1618E">
            <w:pPr>
              <w:pStyle w:val="P68B1DB1-Normal13"/>
              <w:spacing w:after="0"/>
              <w:jc w:val="right"/>
              <w:rPr>
                <w:rFonts w:cs="Times New Roman"/>
                <w:noProof/>
              </w:rPr>
            </w:pPr>
            <w:r>
              <w:rPr>
                <w:noProof/>
              </w:rPr>
              <w:t xml:space="preserve"> </w:t>
            </w:r>
          </w:p>
        </w:tc>
        <w:tc>
          <w:tcPr>
            <w:tcW w:w="708" w:type="dxa"/>
            <w:shd w:val="clear" w:color="auto" w:fill="C6EFCE"/>
            <w:noWrap/>
          </w:tcPr>
          <w:p w14:paraId="0E804BFF" w14:textId="77777777" w:rsidR="006578ED" w:rsidRDefault="00A1618E">
            <w:pPr>
              <w:pStyle w:val="P68B1DB1-Normal13"/>
              <w:spacing w:after="0"/>
              <w:jc w:val="right"/>
              <w:rPr>
                <w:rFonts w:cs="Times New Roman"/>
                <w:noProof/>
              </w:rPr>
            </w:pPr>
            <w:r>
              <w:rPr>
                <w:noProof/>
              </w:rPr>
              <w:t xml:space="preserve"> </w:t>
            </w:r>
          </w:p>
        </w:tc>
        <w:tc>
          <w:tcPr>
            <w:tcW w:w="567" w:type="dxa"/>
            <w:shd w:val="clear" w:color="auto" w:fill="C6EFCE"/>
            <w:noWrap/>
          </w:tcPr>
          <w:p w14:paraId="6AF02849" w14:textId="4B83FA15" w:rsidR="006578ED" w:rsidRDefault="00EC188C">
            <w:pPr>
              <w:pStyle w:val="P68B1DB1-Normal13"/>
              <w:spacing w:after="0"/>
              <w:jc w:val="center"/>
              <w:rPr>
                <w:rFonts w:cs="Times New Roman"/>
                <w:noProof/>
              </w:rPr>
            </w:pPr>
            <w:r>
              <w:rPr>
                <w:noProof/>
              </w:rPr>
              <w:t>KW. 3</w:t>
            </w:r>
          </w:p>
        </w:tc>
        <w:tc>
          <w:tcPr>
            <w:tcW w:w="567" w:type="dxa"/>
            <w:shd w:val="clear" w:color="auto" w:fill="C6EFCE"/>
            <w:noWrap/>
          </w:tcPr>
          <w:p w14:paraId="1A4670A2" w14:textId="77777777" w:rsidR="006578ED" w:rsidRDefault="00A1618E">
            <w:pPr>
              <w:pStyle w:val="P68B1DB1-Normal13"/>
              <w:spacing w:after="0"/>
              <w:jc w:val="center"/>
              <w:rPr>
                <w:rFonts w:cs="Times New Roman"/>
                <w:noProof/>
              </w:rPr>
            </w:pPr>
            <w:r>
              <w:rPr>
                <w:noProof/>
              </w:rPr>
              <w:t>2023</w:t>
            </w:r>
          </w:p>
        </w:tc>
        <w:tc>
          <w:tcPr>
            <w:tcW w:w="6096" w:type="dxa"/>
            <w:shd w:val="clear" w:color="auto" w:fill="C6EFCE"/>
            <w:noWrap/>
          </w:tcPr>
          <w:p w14:paraId="1B5BB0EC" w14:textId="00E11001" w:rsidR="006578ED" w:rsidRDefault="00A1618E">
            <w:pPr>
              <w:pStyle w:val="P68B1DB1-Normal13"/>
              <w:spacing w:after="0"/>
              <w:rPr>
                <w:rFonts w:cs="Times New Roman"/>
                <w:noProof/>
              </w:rPr>
            </w:pPr>
            <w:r>
              <w:rPr>
                <w:noProof/>
              </w:rPr>
              <w:t xml:space="preserve">Sprawozdanie w sprawie ekologicznego budżetu (wymiar brązowy) towarzyszące rocznej ustawie budżetowej </w:t>
            </w:r>
            <w:r w:rsidRPr="00A1618E">
              <w:rPr>
                <w:noProof/>
                <w:lang w:val="pl-PL"/>
              </w:rPr>
              <w:t>na 2</w:t>
            </w:r>
            <w:r>
              <w:rPr>
                <w:noProof/>
              </w:rPr>
              <w:t>0</w:t>
            </w:r>
            <w:r w:rsidRPr="00A1618E">
              <w:rPr>
                <w:noProof/>
                <w:lang w:val="pl-PL"/>
              </w:rPr>
              <w:t>24 r.</w:t>
            </w:r>
            <w:r>
              <w:rPr>
                <w:noProof/>
              </w:rPr>
              <w:t xml:space="preserve"> Sprawozdanie zawiera mapę brązowych wydatków w rocznej ustawie budżetowej i jest przygotowywane zgodnie z metodyką i ramami monitorowania opracowanymi przy wsparciu z Instrumentu Wsparcia Technicznego UE.</w:t>
            </w:r>
          </w:p>
        </w:tc>
      </w:tr>
    </w:tbl>
    <w:p w14:paraId="1E6DB335" w14:textId="77777777" w:rsidR="006578ED" w:rsidRDefault="006578ED">
      <w:pPr>
        <w:pStyle w:val="SectionTitle"/>
        <w:rPr>
          <w:rFonts w:ascii="Times New Roman" w:hAnsi="Times New Roman" w:cs="Times New Roman"/>
          <w:noProof/>
          <w:sz w:val="2"/>
        </w:rPr>
        <w:sectPr w:rsidR="006578ED" w:rsidSect="00C94F66">
          <w:headerReference w:type="even" r:id="rId549"/>
          <w:headerReference w:type="default" r:id="rId550"/>
          <w:footerReference w:type="even" r:id="rId551"/>
          <w:footerReference w:type="default" r:id="rId552"/>
          <w:headerReference w:type="first" r:id="rId553"/>
          <w:footerReference w:type="first" r:id="rId554"/>
          <w:pgSz w:w="16839" w:h="11907" w:orient="landscape"/>
          <w:pgMar w:top="1417" w:right="1134" w:bottom="1417" w:left="1134" w:header="709" w:footer="709" w:gutter="0"/>
          <w:cols w:space="720"/>
          <w:docGrid w:linePitch="360"/>
        </w:sectPr>
      </w:pPr>
    </w:p>
    <w:p w14:paraId="7180C115" w14:textId="77777777" w:rsidR="006578ED" w:rsidRDefault="00A1618E">
      <w:pPr>
        <w:pStyle w:val="P68B1DB1-Heading12"/>
        <w:rPr>
          <w:rFonts w:cs="Times New Roman"/>
          <w:noProof/>
        </w:rPr>
      </w:pPr>
      <w:r>
        <w:rPr>
          <w:noProof/>
        </w:rPr>
        <w:t>AD. KOMPONENT 30: Emerytury</w:t>
      </w:r>
    </w:p>
    <w:p w14:paraId="737C31BF" w14:textId="796FE7D1" w:rsidR="006578ED" w:rsidRDefault="00A1618E">
      <w:pPr>
        <w:pStyle w:val="Text1"/>
        <w:ind w:left="0"/>
        <w:rPr>
          <w:rStyle w:val="IntenseEmphasis"/>
          <w:rFonts w:ascii="Times New Roman" w:hAnsi="Times New Roman" w:cs="Times New Roman"/>
          <w:i w:val="0"/>
          <w:noProof/>
          <w:color w:val="auto"/>
        </w:rPr>
      </w:pPr>
      <w:r>
        <w:rPr>
          <w:rFonts w:ascii="Times New Roman" w:hAnsi="Times New Roman"/>
          <w:noProof/>
        </w:rPr>
        <w:t>Celem komponentu hiszpańskiego planu odbudowy i zwiększania odporności jest reforma systemu emerytalnego w celu (i) zapewnienia stabilności finansowej systemu w perspektywie krótko-, średnio- i długoterminowej, (ii) utrzymania siły nabywczej emerytur, (iii) zachowania adekwatności emerytur, (iv) ochrony emerytów przed ubóstwem oraz (v) zapewnienia sprawiedliwości międzypokoleniowej. Reformy opierają się na szerokim konsensusie parlamentarnym w sprawie przyjęcia zaleceń paktu z Toledo</w:t>
      </w:r>
      <w:r>
        <w:rPr>
          <w:rStyle w:val="FootnoteReference"/>
          <w:rFonts w:ascii="Times New Roman" w:hAnsi="Times New Roman" w:cs="Times New Roman"/>
          <w:noProof/>
        </w:rPr>
        <w:footnoteReference w:id="213"/>
      </w:r>
      <w:r>
        <w:rPr>
          <w:rFonts w:ascii="Times New Roman" w:hAnsi="Times New Roman"/>
          <w:noProof/>
        </w:rPr>
        <w:t>. Środki, które nadal są przedmiotem dialogu społecznego, obejmują: rozdział źródeł finansowania, (ii) zmieniony mechanizm indeksacji świadczeń emerytalnych, iii) zachęty do późnego przechodzenia na emeryturę i zmiany regulacyjne dotyczące wcześniejszego przechodzenia na emeryturę, iv) zmiany w okresie składkowym przy obliczaniu emerytury, v) nowy system składek dla osób samozatrudnionych oparty na rzeczywistych dochodach oraz (vi) rozwój pracowniczych programów emerytalnych w drodze rokowań zbiorowych.</w:t>
      </w:r>
    </w:p>
    <w:p w14:paraId="7E8D549C" w14:textId="3E2791F8" w:rsidR="006578ED" w:rsidRDefault="00A1618E">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 xml:space="preserve">Komponent ten jest odpowiedzią na zalecenia dla poszczególnych krajów w sprawie zachowania stabilności systemu emerytalnego (zalecenie dla poszczególnych krajów </w:t>
      </w:r>
      <w:r w:rsidRPr="00A1618E">
        <w:rPr>
          <w:rStyle w:val="IntenseEmphasis"/>
          <w:rFonts w:ascii="Times New Roman" w:hAnsi="Times New Roman"/>
          <w:i w:val="0"/>
          <w:noProof/>
          <w:color w:val="auto"/>
          <w:lang w:val="pl-PL"/>
        </w:rPr>
        <w:t>nr 1</w:t>
      </w:r>
      <w:r>
        <w:rPr>
          <w:rStyle w:val="IntenseEmphasis"/>
          <w:rFonts w:ascii="Times New Roman" w:hAnsi="Times New Roman"/>
          <w:i w:val="0"/>
          <w:noProof/>
          <w:color w:val="auto"/>
        </w:rPr>
        <w:t xml:space="preserve"> z 20</w:t>
      </w:r>
      <w:r w:rsidRPr="00A1618E">
        <w:rPr>
          <w:rStyle w:val="IntenseEmphasis"/>
          <w:rFonts w:ascii="Times New Roman" w:hAnsi="Times New Roman"/>
          <w:i w:val="0"/>
          <w:noProof/>
          <w:color w:val="auto"/>
          <w:lang w:val="pl-PL"/>
        </w:rPr>
        <w:t>19 r.</w:t>
      </w:r>
      <w:r>
        <w:rPr>
          <w:rStyle w:val="IntenseEmphasis"/>
          <w:rFonts w:ascii="Times New Roman" w:hAnsi="Times New Roman"/>
          <w:i w:val="0"/>
          <w:noProof/>
          <w:color w:val="auto"/>
        </w:rPr>
        <w:t xml:space="preserve">) oraz prowadzenia polityk fiskalnych, gdy pozwolą na to warunki ekonomiczne, mających na celu osiągnięcie ostrożnej sytuacji budżetowej w średnim okresie i zapewnienie długookresowej zdolności do obsługi długu, przy jednoczesnym zachęcaniu do inwestycji (zalecenie dla poszczególnych krajów </w:t>
      </w:r>
      <w:r w:rsidRPr="00A1618E">
        <w:rPr>
          <w:rStyle w:val="IntenseEmphasis"/>
          <w:rFonts w:ascii="Times New Roman" w:hAnsi="Times New Roman"/>
          <w:i w:val="0"/>
          <w:noProof/>
          <w:color w:val="auto"/>
          <w:lang w:val="pl-PL"/>
        </w:rPr>
        <w:t>nr 1</w:t>
      </w:r>
      <w:r>
        <w:rPr>
          <w:rStyle w:val="IntenseEmphasis"/>
          <w:rFonts w:ascii="Times New Roman" w:hAnsi="Times New Roman"/>
          <w:i w:val="0"/>
          <w:noProof/>
          <w:color w:val="auto"/>
        </w:rPr>
        <w:t xml:space="preserve"> z 20</w:t>
      </w:r>
      <w:r w:rsidRPr="00A1618E">
        <w:rPr>
          <w:rStyle w:val="IntenseEmphasis"/>
          <w:rFonts w:ascii="Times New Roman" w:hAnsi="Times New Roman"/>
          <w:i w:val="0"/>
          <w:noProof/>
          <w:color w:val="auto"/>
          <w:lang w:val="pl-PL"/>
        </w:rPr>
        <w:t>20 r.</w:t>
      </w:r>
      <w:r>
        <w:rPr>
          <w:rStyle w:val="IntenseEmphasis"/>
          <w:rFonts w:ascii="Times New Roman" w:hAnsi="Times New Roman"/>
          <w:i w:val="0"/>
          <w:noProof/>
          <w:color w:val="auto"/>
        </w:rPr>
        <w:t xml:space="preserve">). </w:t>
      </w:r>
    </w:p>
    <w:p w14:paraId="0EF3D7FD" w14:textId="4AD11BA1" w:rsidR="006578ED" w:rsidRDefault="00A1618E">
      <w:pPr>
        <w:pStyle w:val="P68B1DB1-Text119"/>
        <w:ind w:left="0"/>
        <w:rPr>
          <w:rFonts w:cs="Times New Roman"/>
          <w:noProof/>
        </w:rPr>
      </w:pPr>
      <w:r>
        <w:rPr>
          <w:noProof/>
        </w:rPr>
        <w:t xml:space="preserve">Oczekuje się, że żaden środek w ramach tego komponentu nie spowoduje znaczącej szkody w realizacji celów środowiskowych w rozumieniu </w:t>
      </w:r>
      <w:r w:rsidRPr="00A1618E">
        <w:rPr>
          <w:noProof/>
          <w:lang w:val="pl-PL"/>
        </w:rPr>
        <w:t>art. 1</w:t>
      </w:r>
      <w:r>
        <w:rPr>
          <w:noProof/>
        </w:rPr>
        <w:t>7 rozporządzenia (UE) 2020/852, biorąc pod uwagę opis środków i działań łagodzących określonych w planie odbudowy i zwiększania odporności zgodnie z wytycznymi technicznymi dotyczącymi zasady „nie czyń poważnych szkód” (2021/C58/01).</w:t>
      </w:r>
    </w:p>
    <w:p w14:paraId="3BB1CD5E" w14:textId="75A7D9F6" w:rsidR="006578ED" w:rsidRDefault="00A1618E">
      <w:pPr>
        <w:pStyle w:val="P68B1DB1-Text138"/>
        <w:ind w:left="709"/>
        <w:rPr>
          <w:rFonts w:cs="Times New Roman"/>
          <w:noProof/>
        </w:rPr>
      </w:pPr>
      <w:r>
        <w:rPr>
          <w:noProof/>
        </w:rPr>
        <w:t xml:space="preserve">AD.1. </w:t>
      </w:r>
      <w:r>
        <w:rPr>
          <w:noProof/>
        </w:rPr>
        <w:tab/>
        <w:t>Opis reform i inwestycji, które mają być finansowane z bezzwrotnego wsparcia finansowego</w:t>
      </w:r>
    </w:p>
    <w:p w14:paraId="2F205B6D" w14:textId="77777777" w:rsidR="006578ED" w:rsidRDefault="00A1618E">
      <w:pPr>
        <w:pStyle w:val="P68B1DB1-Text120"/>
        <w:ind w:left="0"/>
        <w:rPr>
          <w:rFonts w:cs="Times New Roman"/>
          <w:noProof/>
        </w:rPr>
      </w:pPr>
      <w:r>
        <w:rPr>
          <w:noProof/>
        </w:rPr>
        <w:t>Reforma 1 (C30.R1) – Rozdzielenie źródeł finansowania zabezpieczenia społecznego</w:t>
      </w:r>
    </w:p>
    <w:p w14:paraId="07603AFE" w14:textId="22F18589" w:rsidR="006578ED" w:rsidRDefault="00A1618E">
      <w:pPr>
        <w:pStyle w:val="P68B1DB1-Normal4"/>
        <w:spacing w:before="120" w:after="120" w:line="240" w:lineRule="auto"/>
        <w:jc w:val="both"/>
        <w:rPr>
          <w:rFonts w:cs="Times New Roman"/>
          <w:noProof/>
        </w:rPr>
      </w:pPr>
      <w:r>
        <w:rPr>
          <w:noProof/>
        </w:rPr>
        <w:t xml:space="preserve">Celem reformy jest zmiana finansowania systemu emerytalnego zgodnie z zaleceniami paktu z Toledo, tak aby świadczenia składkowe były finansowane ze składek na ubezpieczenia społeczne, a świadczenia nieskładkowe były wypłacane z budżetu państwa. Reforma polega na przejęciu przez państwo finansowania szeregu pozycji wydatków, które są obecnie pokrywane ze składek na ubezpieczenia społeczne. Reforma wzmacnia powiązanie między składkami a uprawnieniami oraz poprawia stabilność finansową systemu składkowego. </w:t>
      </w:r>
    </w:p>
    <w:p w14:paraId="11C3E650" w14:textId="407BF9EA" w:rsidR="006578ED" w:rsidRDefault="00A1618E">
      <w:pPr>
        <w:pStyle w:val="P68B1DB1-Normal4"/>
        <w:spacing w:before="120" w:after="120" w:line="240" w:lineRule="auto"/>
        <w:jc w:val="both"/>
        <w:rPr>
          <w:rFonts w:cs="Times New Roman"/>
          <w:noProof/>
        </w:rPr>
      </w:pPr>
      <w:r>
        <w:rPr>
          <w:noProof/>
        </w:rPr>
        <w:t xml:space="preserve">Pozycje wydatków, które wcześniej były finansowane ze składek na ubezpieczenia społeczne, ale w ramach tej reformy, są uznawane za nieskładkowe i finansowane z budżetu państwa, obejmują: (i) część nieskładkowej polityki zatrudnienia, ii) obniżki składek na ubezpieczenie społeczne w celu wspierania zatrudnienia, iii) zasiłki z tytułu porodu i opieki nad dzieckiem, iv) wydatki związane z wcześniejszym przejściem na emeryturę, v) dodatek do emerytury macierzyńskiej, v) emerytury dla członków rodziny, (vi) środki wsparcia („ukryte dotacje”) na rzecz systemów specjalnych oraz (viii) koszty uzupełnienia luk w składkach na poczet obliczenia emerytury. </w:t>
      </w:r>
    </w:p>
    <w:p w14:paraId="23673BD8" w14:textId="5FDC50C1" w:rsidR="006578ED" w:rsidRDefault="00A1618E">
      <w:pPr>
        <w:pStyle w:val="P68B1DB1-Normal4"/>
        <w:spacing w:before="120" w:after="120" w:line="240" w:lineRule="auto"/>
        <w:jc w:val="both"/>
        <w:rPr>
          <w:rFonts w:cs="Times New Roman"/>
          <w:noProof/>
        </w:rPr>
      </w:pPr>
      <w:r>
        <w:rPr>
          <w:noProof/>
        </w:rPr>
        <w:t xml:space="preserve">Reforma rozpoczęła się od przepisów ogólnego budżetu państwa </w:t>
      </w:r>
      <w:r w:rsidRPr="00A1618E">
        <w:rPr>
          <w:noProof/>
          <w:lang w:val="pl-PL"/>
        </w:rPr>
        <w:t>na 2</w:t>
      </w:r>
      <w:r>
        <w:rPr>
          <w:noProof/>
        </w:rPr>
        <w:t>0</w:t>
      </w:r>
      <w:r w:rsidRPr="00A1618E">
        <w:rPr>
          <w:noProof/>
          <w:lang w:val="pl-PL"/>
        </w:rPr>
        <w:t>21 r.</w:t>
      </w:r>
      <w:r>
        <w:rPr>
          <w:noProof/>
        </w:rPr>
        <w:t xml:space="preserve"> i będzie wdrażana stopniowo poprzez przesunięcia z budżetu państwa do budżetu zabezpieczenia społecznego. </w:t>
      </w:r>
    </w:p>
    <w:p w14:paraId="4A6F8A76" w14:textId="71066DAC" w:rsidR="006578ED" w:rsidRDefault="00A1618E">
      <w:pPr>
        <w:pStyle w:val="P68B1DB1-Normal4"/>
        <w:spacing w:before="120" w:after="120" w:line="240" w:lineRule="auto"/>
        <w:jc w:val="both"/>
        <w:rPr>
          <w:rFonts w:cs="Times New Roman"/>
          <w:noProof/>
        </w:rPr>
      </w:pPr>
      <w:r>
        <w:rPr>
          <w:noProof/>
        </w:rPr>
        <w:t>Środek ten zostanie wdrożony do dnia 31 grudnia 20</w:t>
      </w:r>
      <w:r w:rsidRPr="00A1618E">
        <w:rPr>
          <w:noProof/>
          <w:lang w:val="pl-PL"/>
        </w:rPr>
        <w:t>23 r.</w:t>
      </w:r>
    </w:p>
    <w:p w14:paraId="341FA52A" w14:textId="77777777" w:rsidR="006578ED" w:rsidRDefault="00A1618E">
      <w:pPr>
        <w:pStyle w:val="P68B1DB1-Text119"/>
        <w:ind w:left="0"/>
        <w:rPr>
          <w:rFonts w:cs="Times New Roman"/>
          <w:noProof/>
          <w:u w:val="single"/>
        </w:rPr>
      </w:pPr>
      <w:r>
        <w:rPr>
          <w:noProof/>
          <w:u w:val="single"/>
        </w:rPr>
        <w:t>Reforma 2 (C30.R2) – Utrzymanie siły nabywczej emerytur,</w:t>
      </w:r>
      <w:r>
        <w:rPr>
          <w:noProof/>
        </w:rPr>
        <w:t xml:space="preserve"> </w:t>
      </w:r>
      <w:r>
        <w:rPr>
          <w:noProof/>
          <w:u w:val="single"/>
        </w:rPr>
        <w:t>dostosowanie rzeczywistego wieku przejścia na emeryturę do ustawowego wieku emerytalnego, dostosowanie okresu obliczeniowego do celów obliczania emerytury do nowej kariery zawodowej oraz</w:t>
      </w:r>
      <w:r>
        <w:rPr>
          <w:noProof/>
        </w:rPr>
        <w:t xml:space="preserve"> </w:t>
      </w:r>
      <w:r>
        <w:rPr>
          <w:noProof/>
          <w:u w:val="single"/>
        </w:rPr>
        <w:t>zastąpienie czynnika stabilności międzypokoleniowego mechanizmem sprawiedliwości</w:t>
      </w:r>
    </w:p>
    <w:p w14:paraId="3D0FFCFF" w14:textId="514D059E" w:rsidR="006578ED" w:rsidRDefault="00A1618E">
      <w:pPr>
        <w:pStyle w:val="P68B1DB1-Normal4"/>
        <w:spacing w:before="120" w:after="120" w:line="240" w:lineRule="auto"/>
        <w:jc w:val="both"/>
        <w:rPr>
          <w:rFonts w:cs="Times New Roman"/>
          <w:noProof/>
        </w:rPr>
      </w:pPr>
      <w:r>
        <w:rPr>
          <w:noProof/>
        </w:rPr>
        <w:t xml:space="preserve">Celem reformy jest (i) zagwarantowanie siły nabywczej emerytów, (ii) zwiększenie udziału w rynku pracy w wieku zbliżonym do ustawowego wieku emerytalnego, (iii) odroczenie przejścia na emeryturę, (iv) wzmocnienie progresywności systemu składek, v) dostosowanie obecnego rozporządzenia do nieciągłych karier zawodowych i innych form nietypowej pracy oraz (vi) zajęcie się skutkami nadchodzących zmian demograficznych bez pogarszania adekwatności obecnych i przyszłych emerytur. Reforma obejmuje cztery odrębne reformy regulacyjne zgodne z zaleceniami paktu z Toledo, które mają zostać przyjęte w dwóch etapach. </w:t>
      </w:r>
    </w:p>
    <w:p w14:paraId="29699A14" w14:textId="11889CA6" w:rsidR="006578ED" w:rsidRDefault="00A1618E">
      <w:pPr>
        <w:pStyle w:val="P68B1DB1-Normal4"/>
        <w:spacing w:before="120" w:after="120" w:line="240" w:lineRule="auto"/>
        <w:rPr>
          <w:rFonts w:cs="Times New Roman"/>
          <w:noProof/>
        </w:rPr>
      </w:pPr>
      <w:r>
        <w:rPr>
          <w:noProof/>
        </w:rPr>
        <w:t xml:space="preserve">Reformy, które mają wejść w życie </w:t>
      </w:r>
      <w:r w:rsidRPr="00A1618E">
        <w:rPr>
          <w:noProof/>
          <w:lang w:val="pl-PL"/>
        </w:rPr>
        <w:t>do 3</w:t>
      </w:r>
      <w:r>
        <w:rPr>
          <w:noProof/>
        </w:rPr>
        <w:t>1 grudnia 20</w:t>
      </w:r>
      <w:r w:rsidRPr="00A1618E">
        <w:rPr>
          <w:noProof/>
          <w:lang w:val="pl-PL"/>
        </w:rPr>
        <w:t>21 r.</w:t>
      </w:r>
      <w:r>
        <w:rPr>
          <w:noProof/>
        </w:rPr>
        <w:t>, to:</w:t>
      </w:r>
    </w:p>
    <w:p w14:paraId="5348CA21" w14:textId="0BDE7245" w:rsidR="006578ED" w:rsidRDefault="00A1618E">
      <w:pPr>
        <w:pStyle w:val="P68B1DB1-ListParagraph7"/>
        <w:numPr>
          <w:ilvl w:val="0"/>
          <w:numId w:val="718"/>
        </w:numPr>
        <w:spacing w:before="120" w:after="120" w:line="240" w:lineRule="auto"/>
        <w:jc w:val="both"/>
        <w:rPr>
          <w:rFonts w:cs="Times New Roman"/>
          <w:noProof/>
        </w:rPr>
      </w:pPr>
      <w:r>
        <w:rPr>
          <w:noProof/>
        </w:rPr>
        <w:t xml:space="preserve">Nowy mechanizm indeksacji łączący świadczenia emerytalne z inflacją, którego celem jest trwałe zagwarantowanie siły nabywczej emerytów. </w:t>
      </w:r>
    </w:p>
    <w:p w14:paraId="2A7F3E2A" w14:textId="2EF70260" w:rsidR="006578ED" w:rsidRPr="00A1618E" w:rsidRDefault="00A1618E">
      <w:pPr>
        <w:pStyle w:val="P68B1DB1-ListParagraph7"/>
        <w:numPr>
          <w:ilvl w:val="0"/>
          <w:numId w:val="718"/>
        </w:numPr>
        <w:spacing w:before="120" w:after="120" w:line="240" w:lineRule="auto"/>
        <w:jc w:val="both"/>
        <w:rPr>
          <w:rFonts w:cs="Times New Roman"/>
          <w:noProof/>
          <w:lang w:val="pl-PL"/>
        </w:rPr>
      </w:pPr>
      <w:r>
        <w:rPr>
          <w:noProof/>
        </w:rPr>
        <w:t>Dostosowanie rzeczywistego wieku przejścia na emeryturę do ustawowego wieku emerytalnego, z celami polegającymi na zwiększeniu udziału w rynku pracy w wieku zbliżonym do ustawowego wieku emerytalnego oraz odroczeniu przejścia na emeryturę. Środek ten obejmuje następujące zmiany regulacyjne:</w:t>
      </w:r>
    </w:p>
    <w:p w14:paraId="6E80937E" w14:textId="6D480E25" w:rsidR="006578ED" w:rsidRDefault="00A1618E">
      <w:pPr>
        <w:pStyle w:val="P68B1DB1-ListParagraph7"/>
        <w:numPr>
          <w:ilvl w:val="1"/>
          <w:numId w:val="167"/>
        </w:numPr>
        <w:spacing w:before="120" w:after="120" w:line="240" w:lineRule="auto"/>
        <w:jc w:val="both"/>
        <w:rPr>
          <w:rFonts w:cs="Times New Roman"/>
          <w:noProof/>
        </w:rPr>
      </w:pPr>
      <w:r w:rsidRPr="00A1618E">
        <w:rPr>
          <w:noProof/>
          <w:lang w:val="pl-PL"/>
        </w:rPr>
        <w:t>T</w:t>
      </w:r>
      <w:r>
        <w:rPr>
          <w:noProof/>
        </w:rPr>
        <w:t>worzenie nowych zachęt do opóźniania przejścia na emeryturę (zwiększenie zachęt ekonomicznych do opóźniania przejścia na emeryturę oraz wspieranie łączenia pracy z emeryturą). W szczególności pracownicy, którzy odraczają przejście na emeryturę, są uprawnieni do wyboru spośród: zwiększenie kwoty emerytury za każdy pełny dodatkowy rok składkowy zaliczany między ustawowym wiekiem przejścia na emeryturę a faktycznym przejściem na emeryturę; płatność ryczałtowa; oraz połączenie dwóch poprzednich.</w:t>
      </w:r>
    </w:p>
    <w:p w14:paraId="55A7387E" w14:textId="356DD582" w:rsidR="006578ED" w:rsidRDefault="00A1618E">
      <w:pPr>
        <w:pStyle w:val="P68B1DB1-ListParagraph7"/>
        <w:numPr>
          <w:ilvl w:val="1"/>
          <w:numId w:val="167"/>
        </w:numPr>
        <w:spacing w:before="120" w:after="120" w:line="240" w:lineRule="auto"/>
        <w:jc w:val="both"/>
        <w:rPr>
          <w:rFonts w:cs="Times New Roman"/>
          <w:noProof/>
        </w:rPr>
      </w:pPr>
      <w:r>
        <w:rPr>
          <w:noProof/>
        </w:rPr>
        <w:t>Wzmocnienie czynników zniechęcających do regulowania elementów przechodzenia na wcześniejszą emeryturę w obecnych regulacjach dotyczących wcześniejszego przechodzenia na emeryturę. Stopa redukcji wcześniejszego przejścia na emeryturę jest zmieniana w celu podniesienia rzeczywistego wieku przejścia na emeryturę i zniesienia uprzywilejowanego traktowania tych emerytów i rencistów posiadających maksymalną podstawę składek. Przepisy dotyczące rokowań zbiorowych, które wymuszają dostęp do emerytury po osiągnięciu standardowego wieku emerytalnego, są zakazane.</w:t>
      </w:r>
    </w:p>
    <w:p w14:paraId="0B2F0D06" w14:textId="687AEDDF" w:rsidR="006578ED" w:rsidRDefault="00A1618E">
      <w:pPr>
        <w:pStyle w:val="P68B1DB1-Normal4"/>
        <w:spacing w:before="120" w:after="120" w:line="240" w:lineRule="auto"/>
        <w:rPr>
          <w:rFonts w:cs="Times New Roman"/>
          <w:noProof/>
        </w:rPr>
      </w:pPr>
      <w:r>
        <w:rPr>
          <w:noProof/>
        </w:rPr>
        <w:t xml:space="preserve">Reformy, które mają wejść w życie </w:t>
      </w:r>
      <w:r w:rsidRPr="00A1618E">
        <w:rPr>
          <w:noProof/>
          <w:lang w:val="pl-PL"/>
        </w:rPr>
        <w:t>do 3</w:t>
      </w:r>
      <w:r>
        <w:rPr>
          <w:noProof/>
        </w:rPr>
        <w:t>1 grudnia 20</w:t>
      </w:r>
      <w:r w:rsidRPr="00A1618E">
        <w:rPr>
          <w:noProof/>
          <w:lang w:val="pl-PL"/>
        </w:rPr>
        <w:t>22 r.</w:t>
      </w:r>
      <w:r>
        <w:rPr>
          <w:noProof/>
        </w:rPr>
        <w:t>, to:</w:t>
      </w:r>
    </w:p>
    <w:p w14:paraId="27134B17" w14:textId="3ED77846" w:rsidR="006578ED" w:rsidRDefault="00A1618E">
      <w:pPr>
        <w:pStyle w:val="P68B1DB1-ListParagraph7"/>
        <w:numPr>
          <w:ilvl w:val="0"/>
          <w:numId w:val="717"/>
        </w:numPr>
        <w:spacing w:before="120" w:after="120" w:line="240" w:lineRule="auto"/>
        <w:jc w:val="both"/>
        <w:rPr>
          <w:rFonts w:cs="Times New Roman"/>
          <w:noProof/>
        </w:rPr>
      </w:pPr>
      <w:r>
        <w:rPr>
          <w:noProof/>
        </w:rPr>
        <w:t xml:space="preserve">Dostosowanie okresu składkowego w celu obliczenia emerytury w celu wzmocnienia progresywności systemu i dostosowania obecnego rozporządzenia do nieciągłej kariery zawodowej i innych form nietypowej pracy. </w:t>
      </w:r>
    </w:p>
    <w:p w14:paraId="2A3475C4" w14:textId="2E687E12" w:rsidR="006578ED" w:rsidRDefault="00A1618E">
      <w:pPr>
        <w:pStyle w:val="P68B1DB1-ListParagraph7"/>
        <w:numPr>
          <w:ilvl w:val="0"/>
          <w:numId w:val="717"/>
        </w:numPr>
        <w:spacing w:before="120" w:after="120" w:line="240" w:lineRule="auto"/>
        <w:jc w:val="both"/>
        <w:rPr>
          <w:rFonts w:cs="Times New Roman"/>
          <w:noProof/>
        </w:rPr>
      </w:pPr>
      <w:r>
        <w:rPr>
          <w:noProof/>
        </w:rPr>
        <w:t xml:space="preserve">Zastąpienie czynnika stabilności mechanizmem gwarantującym sprawiedliwość międzypokoleniową i stabilność budżetową. Celem środka jest zaradzenie skutkom nadchodzących zmian demograficznych bez pogarszania adekwatności obecnych i przyszłych emerytur. </w:t>
      </w:r>
    </w:p>
    <w:p w14:paraId="3996B3D3" w14:textId="074184BC" w:rsidR="006578ED" w:rsidRDefault="00A1618E">
      <w:pPr>
        <w:pStyle w:val="P68B1DB1-Normal4"/>
        <w:spacing w:before="120" w:after="120" w:line="240" w:lineRule="auto"/>
        <w:jc w:val="both"/>
        <w:rPr>
          <w:rFonts w:cs="Times New Roman"/>
          <w:noProof/>
        </w:rPr>
      </w:pPr>
      <w:r>
        <w:rPr>
          <w:noProof/>
        </w:rPr>
        <w:t>Środek ten zostanie wdrożony do dnia 31 grudnia 20</w:t>
      </w:r>
      <w:r w:rsidRPr="00A1618E">
        <w:rPr>
          <w:noProof/>
          <w:lang w:val="pl-PL"/>
        </w:rPr>
        <w:t>22 r.</w:t>
      </w:r>
    </w:p>
    <w:p w14:paraId="657D7466" w14:textId="77777777" w:rsidR="006578ED" w:rsidRDefault="00A1618E">
      <w:pPr>
        <w:pStyle w:val="P68B1DB1-Normal6"/>
        <w:keepNext/>
        <w:spacing w:before="120" w:after="120" w:line="240" w:lineRule="auto"/>
        <w:rPr>
          <w:rFonts w:cs="Times New Roman"/>
          <w:noProof/>
        </w:rPr>
      </w:pPr>
      <w:r>
        <w:rPr>
          <w:noProof/>
        </w:rPr>
        <w:t>Reforma 3 (C30.R3) – Reforma systemu składek na ubezpieczenie społeczne dla osób samozatrudnionych</w:t>
      </w:r>
    </w:p>
    <w:p w14:paraId="18E76997" w14:textId="1CAA4E09" w:rsidR="006578ED" w:rsidRDefault="00A1618E">
      <w:pPr>
        <w:pStyle w:val="P68B1DB1-Normal4"/>
        <w:spacing w:before="120" w:after="120" w:line="240" w:lineRule="auto"/>
        <w:jc w:val="both"/>
        <w:rPr>
          <w:rFonts w:cs="Times New Roman"/>
          <w:noProof/>
        </w:rPr>
      </w:pPr>
      <w:r>
        <w:rPr>
          <w:noProof/>
        </w:rPr>
        <w:t>Celem reformy jest wyrównanie traktowania pracowników i osób samozatrudnionych, zwiększenie składek na system emerytalno-rentowy oraz zapewnienie osobom samozatrudnionym odpowiedniego dochodu emerytalnego. Reforma ma na celu zmianę systemu składek osób samozatrudnionych. Zgodnie z zaleceniami paktu z Toledo w ramach reformy składki wnoszonej przez osoby samozatrudnione opierają się na dochodzie realnym, a nie na podstawie samodzielnej składki. Ostateczna składka jest obliczana na podstawie dochodu z działalności na własny rachunek uzyskanego przez organy podatkowe. Reforma jest wdrażana stopniowo poprzez zwiększenie minimalnej podstawy składek, aby umożliwić dostosowanie się do nowego systemu.</w:t>
      </w:r>
    </w:p>
    <w:p w14:paraId="00CA74FD" w14:textId="17CE3B6C" w:rsidR="006578ED" w:rsidRDefault="00A1618E">
      <w:pPr>
        <w:pStyle w:val="P68B1DB1-Normal4"/>
        <w:spacing w:before="120" w:after="120" w:line="240" w:lineRule="auto"/>
        <w:rPr>
          <w:rFonts w:cs="Times New Roman"/>
          <w:noProof/>
        </w:rPr>
      </w:pPr>
      <w:r>
        <w:rPr>
          <w:noProof/>
        </w:rPr>
        <w:t>Środek ten zostanie wdrożony do dnia 30 czerwca 20</w:t>
      </w:r>
      <w:r w:rsidRPr="00A1618E">
        <w:rPr>
          <w:noProof/>
          <w:lang w:val="pl-PL"/>
        </w:rPr>
        <w:t>22 r.</w:t>
      </w:r>
    </w:p>
    <w:p w14:paraId="71F6CB0D" w14:textId="77777777" w:rsidR="006578ED" w:rsidRDefault="00A1618E">
      <w:pPr>
        <w:pStyle w:val="P68B1DB1-Normal6"/>
        <w:keepNext/>
        <w:spacing w:before="120" w:after="120" w:line="240" w:lineRule="auto"/>
        <w:rPr>
          <w:rFonts w:cs="Times New Roman"/>
          <w:noProof/>
        </w:rPr>
      </w:pPr>
      <w:r>
        <w:rPr>
          <w:noProof/>
        </w:rPr>
        <w:t>Reforma 4 (C30.R4) – Usprawnienie dodatków macierzyńskich</w:t>
      </w:r>
    </w:p>
    <w:p w14:paraId="23D893F5" w14:textId="32BB7389" w:rsidR="006578ED" w:rsidRDefault="00A1618E">
      <w:pPr>
        <w:pStyle w:val="P68B1DB1-Normal4"/>
        <w:keepNext/>
        <w:spacing w:before="120" w:after="120" w:line="240" w:lineRule="auto"/>
        <w:jc w:val="both"/>
        <w:rPr>
          <w:rFonts w:cs="Times New Roman"/>
          <w:noProof/>
        </w:rPr>
      </w:pPr>
      <w:r>
        <w:rPr>
          <w:noProof/>
        </w:rPr>
        <w:t xml:space="preserve">Celem reformy jest zrekompensowanie rodzicom, przede wszystkim matkom, kosztów urodzenia i opieki nad dziećmi, aby zmniejszyć zróżnicowanie emerytur ze względu na płeć. Nowelizacja przewiduje dodatek macierzyński i została już przyjęta (dekret królewski z mocą ustawy </w:t>
      </w:r>
      <w:r w:rsidRPr="00A1618E">
        <w:rPr>
          <w:noProof/>
          <w:lang w:val="pl-PL"/>
        </w:rPr>
        <w:t>nr 3</w:t>
      </w:r>
      <w:r>
        <w:rPr>
          <w:noProof/>
        </w:rPr>
        <w:t xml:space="preserve">/2021 z dnia 2 lutego). Poprzedni dodatek macierzyński obowiązujący </w:t>
      </w:r>
      <w:r w:rsidRPr="00A1618E">
        <w:rPr>
          <w:noProof/>
          <w:lang w:val="pl-PL"/>
        </w:rPr>
        <w:t>od 2</w:t>
      </w:r>
      <w:r>
        <w:rPr>
          <w:noProof/>
        </w:rPr>
        <w:t>0</w:t>
      </w:r>
      <w:r w:rsidRPr="00A1618E">
        <w:rPr>
          <w:noProof/>
          <w:lang w:val="pl-PL"/>
        </w:rPr>
        <w:t>16 r.</w:t>
      </w:r>
      <w:r>
        <w:rPr>
          <w:noProof/>
        </w:rPr>
        <w:t xml:space="preserve"> został uznany przez Trybunał Sprawiedliwości Unii Europejskiej za dyskryminujący dla mężczyzn w wyroku z dnia 12 grudnia 20</w:t>
      </w:r>
      <w:r w:rsidRPr="00A1618E">
        <w:rPr>
          <w:noProof/>
          <w:lang w:val="pl-PL"/>
        </w:rPr>
        <w:t>19 r.</w:t>
      </w:r>
      <w:r>
        <w:rPr>
          <w:noProof/>
        </w:rPr>
        <w:t xml:space="preserve"> Oczekuje się, że zreformowany dodatek do urlopu macierzyńskiego będzie zgodny z orzeczeniem sądu i zapobiegnie dyskryminacji. Nowy dodatek opiera się na analizie ścieżek składkowych w celu ustalenia, które z rodziców znajdowało się w najtrudniejszej sytuacji w karierze składkowej w wyniku narodzin dziecka, pod warunkiem że w przypadku braku rodzica znajdującego się w szczególnie niekorzystnej sytuacji matce przyznaje się dodatek.</w:t>
      </w:r>
    </w:p>
    <w:p w14:paraId="46B0E21D" w14:textId="4480E7D8" w:rsidR="006578ED" w:rsidRDefault="00A1618E">
      <w:pPr>
        <w:pStyle w:val="P68B1DB1-Normal4"/>
        <w:spacing w:before="120" w:after="120" w:line="240" w:lineRule="auto"/>
        <w:rPr>
          <w:rFonts w:cs="Times New Roman"/>
          <w:noProof/>
        </w:rPr>
      </w:pPr>
      <w:r>
        <w:rPr>
          <w:noProof/>
        </w:rPr>
        <w:t>Środek ten zostanie wdrożony do dnia 31 marca 20</w:t>
      </w:r>
      <w:r w:rsidRPr="00A1618E">
        <w:rPr>
          <w:noProof/>
          <w:lang w:val="pl-PL"/>
        </w:rPr>
        <w:t>21 r.</w:t>
      </w:r>
    </w:p>
    <w:p w14:paraId="0ADF50A6" w14:textId="77777777" w:rsidR="006578ED" w:rsidRDefault="00A1618E">
      <w:pPr>
        <w:pStyle w:val="P68B1DB1-Normal6"/>
        <w:spacing w:before="120" w:after="120" w:line="240" w:lineRule="auto"/>
        <w:rPr>
          <w:rFonts w:cs="Times New Roman"/>
          <w:noProof/>
        </w:rPr>
      </w:pPr>
      <w:r>
        <w:rPr>
          <w:noProof/>
        </w:rPr>
        <w:t>Reforma 5 (C30.R5) – Przegląd obecnego dodatkowego systemu emerytalnego</w:t>
      </w:r>
    </w:p>
    <w:p w14:paraId="3425A92D" w14:textId="10A4D7EC" w:rsidR="006578ED" w:rsidRDefault="00A1618E">
      <w:pPr>
        <w:pStyle w:val="P68B1DB1-Normal4"/>
        <w:spacing w:before="120" w:after="120" w:line="240" w:lineRule="auto"/>
        <w:jc w:val="both"/>
        <w:rPr>
          <w:rFonts w:cs="Times New Roman"/>
          <w:noProof/>
        </w:rPr>
      </w:pPr>
      <w:r>
        <w:rPr>
          <w:noProof/>
        </w:rPr>
        <w:t xml:space="preserve">W ramach reformy dokonuje się przeglądu ram regulacyjnych dotyczących dodatkowego systemu emerytalnego w celu zwiększenia zasięgu pracowniczych programów emerytalnych uzgodnionych w drodze rokowań zbiorowych, najlepiej na poziomie sektorowym. Nowe ramy prawne dotyczące pracowniczych programów emerytalnych mają objąć pracowników nieposiadających pracowniczych programów emerytalnych w swoich przedsiębiorstwach i osoby samozatrudnione, którzy obecnie nie mają dostępu do tych systemów drugiego filaru. </w:t>
      </w:r>
    </w:p>
    <w:p w14:paraId="23D7F805" w14:textId="77777777" w:rsidR="006578ED" w:rsidRDefault="00A1618E">
      <w:pPr>
        <w:pStyle w:val="P68B1DB1-Normal4"/>
        <w:spacing w:before="120" w:after="120" w:line="240" w:lineRule="auto"/>
        <w:rPr>
          <w:rFonts w:cs="Times New Roman"/>
          <w:noProof/>
        </w:rPr>
      </w:pPr>
      <w:r>
        <w:rPr>
          <w:noProof/>
        </w:rPr>
        <w:t>Szczególne środki reformy obejmują:</w:t>
      </w:r>
    </w:p>
    <w:p w14:paraId="2F529509" w14:textId="77777777" w:rsidR="006578ED" w:rsidRDefault="00A1618E">
      <w:pPr>
        <w:pStyle w:val="P68B1DB1-ListParagraph7"/>
        <w:numPr>
          <w:ilvl w:val="0"/>
          <w:numId w:val="168"/>
        </w:numPr>
        <w:spacing w:before="120" w:after="120" w:line="240" w:lineRule="auto"/>
        <w:rPr>
          <w:rFonts w:cs="Times New Roman"/>
          <w:noProof/>
        </w:rPr>
      </w:pPr>
      <w:r>
        <w:rPr>
          <w:noProof/>
        </w:rPr>
        <w:t xml:space="preserve">Tworzenie publicznie wspieranych funduszy pracowniczych programów emerytalnych, zarządzanych przez sektor prywatny. </w:t>
      </w:r>
    </w:p>
    <w:p w14:paraId="0E2C3D1C" w14:textId="72BD2742" w:rsidR="006578ED" w:rsidRDefault="00A1618E">
      <w:pPr>
        <w:pStyle w:val="P68B1DB1-ListParagraph7"/>
        <w:numPr>
          <w:ilvl w:val="0"/>
          <w:numId w:val="168"/>
        </w:numPr>
        <w:spacing w:before="120" w:after="120" w:line="240" w:lineRule="auto"/>
        <w:rPr>
          <w:rFonts w:cs="Times New Roman"/>
          <w:noProof/>
        </w:rPr>
      </w:pPr>
      <w:r>
        <w:rPr>
          <w:noProof/>
        </w:rPr>
        <w:t>Zachęty i zmiany regulacyjne w celu zwiększenia zasięgu pracowniczych programów emerytalnych uzgodnionych w drodze rokowań zbiorowych.</w:t>
      </w:r>
    </w:p>
    <w:p w14:paraId="52310F8C" w14:textId="77777777" w:rsidR="006578ED" w:rsidRDefault="00A1618E">
      <w:pPr>
        <w:pStyle w:val="P68B1DB1-ListParagraph7"/>
        <w:numPr>
          <w:ilvl w:val="0"/>
          <w:numId w:val="168"/>
        </w:numPr>
        <w:spacing w:before="120" w:after="120" w:line="240" w:lineRule="auto"/>
        <w:rPr>
          <w:rFonts w:cs="Times New Roman"/>
          <w:noProof/>
        </w:rPr>
      </w:pPr>
      <w:r>
        <w:rPr>
          <w:noProof/>
        </w:rPr>
        <w:t>Uproszczenie procedur systemów emerytalno-rentowych.</w:t>
      </w:r>
    </w:p>
    <w:p w14:paraId="3F2E466D" w14:textId="72D62536" w:rsidR="006578ED" w:rsidRDefault="00A1618E">
      <w:pPr>
        <w:pStyle w:val="P68B1DB1-ListParagraph7"/>
        <w:numPr>
          <w:ilvl w:val="0"/>
          <w:numId w:val="168"/>
        </w:numPr>
        <w:spacing w:before="120" w:after="120" w:line="240" w:lineRule="auto"/>
        <w:rPr>
          <w:rFonts w:cs="Times New Roman"/>
          <w:noProof/>
        </w:rPr>
      </w:pPr>
      <w:r>
        <w:rPr>
          <w:noProof/>
        </w:rPr>
        <w:t>Zmiany regulacyjne mające na celu promowanie mobilności pracowników między różnymi przedsiębiorstwami i sektorami.</w:t>
      </w:r>
    </w:p>
    <w:p w14:paraId="6D5091E5" w14:textId="05E3458A" w:rsidR="006578ED" w:rsidRDefault="00A1618E">
      <w:pPr>
        <w:pStyle w:val="P68B1DB1-ListParagraph7"/>
        <w:numPr>
          <w:ilvl w:val="0"/>
          <w:numId w:val="168"/>
        </w:numPr>
        <w:spacing w:before="120" w:after="120" w:line="240" w:lineRule="auto"/>
        <w:rPr>
          <w:rFonts w:cs="Times New Roman"/>
          <w:noProof/>
        </w:rPr>
      </w:pPr>
      <w:r>
        <w:rPr>
          <w:noProof/>
        </w:rPr>
        <w:t>Zachęty podatkowe sprzyjające uczestnictwu w zbiorowych programach pracowniczych</w:t>
      </w:r>
    </w:p>
    <w:p w14:paraId="46F9F747" w14:textId="3B4553FA" w:rsidR="006578ED" w:rsidRDefault="00A1618E">
      <w:pPr>
        <w:pStyle w:val="P68B1DB1-ListParagraph7"/>
        <w:numPr>
          <w:ilvl w:val="0"/>
          <w:numId w:val="168"/>
        </w:numPr>
        <w:spacing w:before="120" w:after="120" w:line="240" w:lineRule="auto"/>
        <w:rPr>
          <w:rFonts w:cs="Times New Roman"/>
          <w:noProof/>
        </w:rPr>
      </w:pPr>
      <w:r>
        <w:rPr>
          <w:noProof/>
        </w:rPr>
        <w:t>Ograniczenie kosztów zarządzania w przypadku systemów zbiorowego zajmowania poniżej 0,30 % zarządzanych aktywów.</w:t>
      </w:r>
    </w:p>
    <w:p w14:paraId="7E9026A5" w14:textId="41A4ECD3" w:rsidR="006578ED" w:rsidRDefault="00A1618E">
      <w:pPr>
        <w:pStyle w:val="P68B1DB1-Normal4"/>
        <w:spacing w:before="120" w:after="120" w:line="240" w:lineRule="auto"/>
        <w:jc w:val="both"/>
        <w:rPr>
          <w:rFonts w:cs="Times New Roman"/>
          <w:noProof/>
        </w:rPr>
      </w:pPr>
      <w:r>
        <w:rPr>
          <w:noProof/>
        </w:rPr>
        <w:t xml:space="preserve">Wdrażanie reformy rozpoczęło się poprzez wprowadzenie w ogólnym budżecie państwa </w:t>
      </w:r>
      <w:r w:rsidRPr="00A1618E">
        <w:rPr>
          <w:noProof/>
          <w:lang w:val="pl-PL"/>
        </w:rPr>
        <w:t>na 2</w:t>
      </w:r>
      <w:r>
        <w:rPr>
          <w:noProof/>
        </w:rPr>
        <w:t>0</w:t>
      </w:r>
      <w:r w:rsidRPr="00A1618E">
        <w:rPr>
          <w:noProof/>
          <w:lang w:val="pl-PL"/>
        </w:rPr>
        <w:t>21 r.</w:t>
      </w:r>
      <w:r>
        <w:rPr>
          <w:noProof/>
        </w:rPr>
        <w:t xml:space="preserve"> przepisów zmieniających zachęty podatkowe związane wcześniej z indywidualnymi programami emerytalnymi na rzecz systemów zbiorowych (środek v. powyżej) oraz poprzez publiczną promocję funduszy pracowniczych programów emerytalnych (środek i. powyżej). </w:t>
      </w:r>
    </w:p>
    <w:p w14:paraId="7B278F8F" w14:textId="3C54C21E" w:rsidR="006578ED" w:rsidRDefault="00A1618E">
      <w:pPr>
        <w:pStyle w:val="P68B1DB1-Normal4"/>
        <w:spacing w:before="120" w:after="120" w:line="240" w:lineRule="auto"/>
        <w:jc w:val="both"/>
        <w:rPr>
          <w:rFonts w:cs="Times New Roman"/>
          <w:noProof/>
        </w:rPr>
      </w:pPr>
      <w:r>
        <w:rPr>
          <w:noProof/>
        </w:rPr>
        <w:t>Środek ten zostanie wdrożony do dnia 30 czerwca 20</w:t>
      </w:r>
      <w:r w:rsidRPr="00A1618E">
        <w:rPr>
          <w:noProof/>
          <w:lang w:val="pl-PL"/>
        </w:rPr>
        <w:t>22 r.</w:t>
      </w:r>
    </w:p>
    <w:p w14:paraId="37BB5876" w14:textId="77777777" w:rsidR="006578ED" w:rsidRDefault="00A1618E">
      <w:pPr>
        <w:pStyle w:val="P68B1DB1-Normal6"/>
        <w:spacing w:before="120" w:after="120" w:line="240" w:lineRule="auto"/>
        <w:rPr>
          <w:rFonts w:cs="Times New Roman"/>
          <w:noProof/>
        </w:rPr>
      </w:pPr>
      <w:r>
        <w:rPr>
          <w:noProof/>
        </w:rPr>
        <w:t>Reforma 6 (C30.R6) – Dostosowanie maksymalnej podstawy składki</w:t>
      </w:r>
    </w:p>
    <w:p w14:paraId="293D75EB" w14:textId="33AD3B86" w:rsidR="006578ED" w:rsidRDefault="00A1618E">
      <w:pPr>
        <w:spacing w:before="120" w:after="120" w:line="240" w:lineRule="auto"/>
        <w:jc w:val="both"/>
        <w:rPr>
          <w:rFonts w:ascii="Times New Roman" w:hAnsi="Times New Roman" w:cs="Times New Roman"/>
          <w:noProof/>
          <w:sz w:val="24"/>
        </w:rPr>
      </w:pPr>
      <w:r>
        <w:rPr>
          <w:rFonts w:ascii="Times New Roman" w:hAnsi="Times New Roman"/>
          <w:noProof/>
          <w:sz w:val="24"/>
        </w:rPr>
        <w:t>Reforma ma na celu zwiększenie maksymalnej podstawy składek systemu emerytalnego i dostosowanie maksymalnych emerytur w celu poszerzenia podstawy składek, zwiększenia progresywności systemu emerytalnego i zwiększenia ogólnych dochodów. Środki te są zgodne z zaleceniami paktu z Toledo. Dostosowanie systemu jest stopniowe, aby umożliwić podmiotom przekazującym dane dostosowanie się do zmian. Maksymalne emerytury i maksymalne podstawy składek są odpowiednio podwyższane w celu utrzymania składkowego charakteru systemu. Reforma będzie wdrażana stopniowo,</w:t>
      </w:r>
      <w:r>
        <w:rPr>
          <w:rStyle w:val="normaltextrun"/>
          <w:rFonts w:ascii="Times New Roman" w:hAnsi="Times New Roman"/>
          <w:noProof/>
          <w:sz w:val="24"/>
          <w:bdr w:val="none" w:sz="0" w:space="0" w:color="auto" w:frame="1"/>
        </w:rPr>
        <w:t xml:space="preserve"> </w:t>
      </w:r>
      <w:r>
        <w:rPr>
          <w:rFonts w:ascii="Times New Roman" w:hAnsi="Times New Roman"/>
          <w:noProof/>
          <w:sz w:val="24"/>
        </w:rPr>
        <w:t>w</w:t>
      </w:r>
      <w:r>
        <w:rPr>
          <w:rStyle w:val="normaltextrun"/>
          <w:rFonts w:ascii="Times New Roman" w:hAnsi="Times New Roman"/>
          <w:noProof/>
          <w:sz w:val="24"/>
          <w:bdr w:val="none" w:sz="0" w:space="0" w:color="auto" w:frame="1"/>
        </w:rPr>
        <w:t> </w:t>
      </w:r>
      <w:r>
        <w:rPr>
          <w:rFonts w:ascii="Times New Roman" w:hAnsi="Times New Roman"/>
          <w:noProof/>
          <w:sz w:val="24"/>
        </w:rPr>
        <w:t>ciągu najbliższych trzydziestu lat.</w:t>
      </w:r>
    </w:p>
    <w:p w14:paraId="35E1840D" w14:textId="72812124" w:rsidR="006578ED" w:rsidRDefault="00A1618E">
      <w:pPr>
        <w:pStyle w:val="P68B1DB1-Normal4"/>
        <w:spacing w:before="120" w:after="120" w:line="240" w:lineRule="auto"/>
        <w:jc w:val="both"/>
        <w:rPr>
          <w:rFonts w:cs="Times New Roman"/>
          <w:noProof/>
        </w:rPr>
      </w:pPr>
      <w:r>
        <w:rPr>
          <w:noProof/>
        </w:rPr>
        <w:t>Środek wchodzi w życie do dnia 31 grudnia 20</w:t>
      </w:r>
      <w:r w:rsidRPr="00A1618E">
        <w:rPr>
          <w:noProof/>
          <w:lang w:val="pl-PL"/>
        </w:rPr>
        <w:t>22 r.</w:t>
      </w:r>
      <w:r>
        <w:rPr>
          <w:noProof/>
        </w:rPr>
        <w:t xml:space="preserve"> </w:t>
      </w:r>
    </w:p>
    <w:p w14:paraId="2793ABBC" w14:textId="3993EAF6" w:rsidR="006578ED" w:rsidRDefault="00A1618E">
      <w:pPr>
        <w:pStyle w:val="P68B1DB1-Text138"/>
        <w:ind w:left="709"/>
        <w:rPr>
          <w:rFonts w:cs="Times New Roman"/>
          <w:noProof/>
        </w:rPr>
      </w:pPr>
      <w:r>
        <w:rPr>
          <w:noProof/>
        </w:rPr>
        <w:t xml:space="preserve">AD.2. </w:t>
      </w:r>
      <w:r>
        <w:rPr>
          <w:noProof/>
        </w:rPr>
        <w:tab/>
        <w:t>Kamienie milowe, wartości docelowe, wskaźniki i harmonogram monitorowania i realizacji na potrzeby bezzwrotnego wsparcia finansowego</w:t>
      </w:r>
    </w:p>
    <w:p w14:paraId="673009EF" w14:textId="326C307F" w:rsidR="006578ED" w:rsidRDefault="00A1618E">
      <w:pPr>
        <w:pStyle w:val="P68B1DB1-Normal4"/>
        <w:spacing w:before="120" w:after="120" w:line="240" w:lineRule="auto"/>
        <w:jc w:val="both"/>
        <w:rPr>
          <w:rFonts w:cs="Times New Roman"/>
          <w:noProof/>
        </w:rPr>
      </w:pPr>
      <w:r>
        <w:rPr>
          <w:i/>
          <w:noProof/>
        </w:rPr>
        <w:t>Zob. tabela poniżej.</w:t>
      </w:r>
      <w:r>
        <w:rPr>
          <w:noProof/>
        </w:rPr>
        <w:t xml:space="preserve"> </w:t>
      </w:r>
      <w:r>
        <w:rPr>
          <w:i/>
          <w:noProof/>
        </w:rPr>
        <w:t>Datą odniesienia dla wszystkich wskaźników jest dzień 1 lutego 20</w:t>
      </w:r>
      <w:r w:rsidRPr="00A1618E">
        <w:rPr>
          <w:i/>
          <w:noProof/>
          <w:lang w:val="pl-PL"/>
        </w:rPr>
        <w:t>20 r.</w:t>
      </w:r>
      <w:r>
        <w:rPr>
          <w:i/>
          <w:noProof/>
        </w:rPr>
        <w:t>, chyba że w opisie działania wskazano inaczej. Kwoty w tabeli nie obejmują VAT.</w:t>
      </w:r>
      <w:r>
        <w:rPr>
          <w:noProof/>
        </w:rPr>
        <w:t xml:space="preserve"> </w:t>
      </w:r>
    </w:p>
    <w:p w14:paraId="38FA1055" w14:textId="77777777" w:rsidR="006578ED" w:rsidRDefault="006578ED">
      <w:pPr>
        <w:pStyle w:val="Text1"/>
        <w:ind w:left="709"/>
        <w:rPr>
          <w:rFonts w:ascii="Times New Roman" w:hAnsi="Times New Roman" w:cs="Times New Roman"/>
          <w:noProof/>
        </w:rPr>
        <w:sectPr w:rsidR="006578ED" w:rsidSect="00C94F66">
          <w:headerReference w:type="even" r:id="rId555"/>
          <w:headerReference w:type="default" r:id="rId556"/>
          <w:footerReference w:type="even" r:id="rId557"/>
          <w:footerReference w:type="default" r:id="rId558"/>
          <w:headerReference w:type="first" r:id="rId559"/>
          <w:footerReference w:type="first" r:id="rId560"/>
          <w:pgSz w:w="11907" w:h="16839"/>
          <w:pgMar w:top="1134" w:right="1417" w:bottom="1134" w:left="1417" w:header="709" w:footer="709" w:gutter="0"/>
          <w:cols w:space="720"/>
          <w:docGrid w:linePitch="360"/>
        </w:sect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851"/>
        <w:gridCol w:w="850"/>
        <w:gridCol w:w="2552"/>
        <w:gridCol w:w="992"/>
        <w:gridCol w:w="567"/>
        <w:gridCol w:w="425"/>
        <w:gridCol w:w="567"/>
        <w:gridCol w:w="426"/>
        <w:gridCol w:w="567"/>
        <w:gridCol w:w="6804"/>
      </w:tblGrid>
      <w:tr w:rsidR="006578ED" w14:paraId="363FFDC5" w14:textId="77777777">
        <w:trPr>
          <w:trHeight w:val="309"/>
          <w:tblHeader/>
        </w:trPr>
        <w:tc>
          <w:tcPr>
            <w:tcW w:w="709" w:type="dxa"/>
            <w:tcBorders>
              <w:bottom w:val="nil"/>
            </w:tcBorders>
            <w:shd w:val="clear" w:color="auto" w:fill="C6D9F1" w:themeFill="text2" w:themeFillTint="33"/>
            <w:noWrap/>
          </w:tcPr>
          <w:p w14:paraId="6C51660B" w14:textId="77777777" w:rsidR="006578ED" w:rsidRDefault="00A1618E">
            <w:pPr>
              <w:pStyle w:val="P68B1DB1-Normal12"/>
              <w:spacing w:after="0"/>
              <w:jc w:val="center"/>
              <w:rPr>
                <w:rFonts w:cs="Times New Roman"/>
                <w:noProof/>
              </w:rPr>
            </w:pPr>
            <w:r>
              <w:rPr>
                <w:noProof/>
              </w:rPr>
              <w:t>Liczba</w:t>
            </w:r>
          </w:p>
        </w:tc>
        <w:tc>
          <w:tcPr>
            <w:tcW w:w="851" w:type="dxa"/>
            <w:tcBorders>
              <w:bottom w:val="nil"/>
            </w:tcBorders>
            <w:shd w:val="clear" w:color="auto" w:fill="C6D9F1" w:themeFill="text2" w:themeFillTint="33"/>
            <w:noWrap/>
          </w:tcPr>
          <w:p w14:paraId="09C493AF" w14:textId="77777777" w:rsidR="006578ED" w:rsidRDefault="00A1618E">
            <w:pPr>
              <w:pStyle w:val="P68B1DB1-Normal12"/>
              <w:spacing w:after="0"/>
              <w:jc w:val="center"/>
              <w:rPr>
                <w:rFonts w:cs="Times New Roman"/>
                <w:noProof/>
              </w:rPr>
            </w:pPr>
            <w:r>
              <w:rPr>
                <w:noProof/>
              </w:rPr>
              <w:t>Środek</w:t>
            </w:r>
          </w:p>
        </w:tc>
        <w:tc>
          <w:tcPr>
            <w:tcW w:w="850" w:type="dxa"/>
            <w:tcBorders>
              <w:bottom w:val="nil"/>
            </w:tcBorders>
            <w:shd w:val="clear" w:color="auto" w:fill="C6D9F1" w:themeFill="text2" w:themeFillTint="33"/>
            <w:noWrap/>
          </w:tcPr>
          <w:p w14:paraId="55625267" w14:textId="01060931" w:rsidR="006578ED" w:rsidRDefault="00EC188C">
            <w:pPr>
              <w:pStyle w:val="P68B1DB1-Normal12"/>
              <w:spacing w:after="0"/>
              <w:jc w:val="center"/>
              <w:rPr>
                <w:rFonts w:cs="Times New Roman"/>
                <w:noProof/>
              </w:rPr>
            </w:pPr>
            <w:r>
              <w:rPr>
                <w:noProof/>
              </w:rPr>
              <w:t>Kamień milowy</w:t>
            </w:r>
            <w:r>
              <w:rPr>
                <w:noProof/>
              </w:rPr>
              <w:br/>
              <w:t xml:space="preserve"> /</w:t>
            </w:r>
            <w:r w:rsidR="00AF6B91">
              <w:rPr>
                <w:noProof/>
              </w:rPr>
              <w:t>Wartość docelowa</w:t>
            </w:r>
          </w:p>
        </w:tc>
        <w:tc>
          <w:tcPr>
            <w:tcW w:w="2552" w:type="dxa"/>
            <w:tcBorders>
              <w:bottom w:val="nil"/>
            </w:tcBorders>
            <w:shd w:val="clear" w:color="auto" w:fill="C6D9F1" w:themeFill="text2" w:themeFillTint="33"/>
            <w:noWrap/>
          </w:tcPr>
          <w:p w14:paraId="38000B3E" w14:textId="77777777" w:rsidR="006578ED" w:rsidRDefault="00A1618E">
            <w:pPr>
              <w:pStyle w:val="P68B1DB1-Normal12"/>
              <w:spacing w:after="0"/>
              <w:jc w:val="center"/>
              <w:rPr>
                <w:rFonts w:cs="Times New Roman"/>
                <w:noProof/>
              </w:rPr>
            </w:pPr>
            <w:r>
              <w:rPr>
                <w:noProof/>
              </w:rPr>
              <w:t>Nazwa</w:t>
            </w:r>
          </w:p>
        </w:tc>
        <w:tc>
          <w:tcPr>
            <w:tcW w:w="992" w:type="dxa"/>
            <w:tcBorders>
              <w:bottom w:val="nil"/>
            </w:tcBorders>
            <w:shd w:val="clear" w:color="auto" w:fill="C6D9F1" w:themeFill="text2" w:themeFillTint="33"/>
            <w:noWrap/>
          </w:tcPr>
          <w:p w14:paraId="74BC0A7C" w14:textId="77777777" w:rsidR="006578ED" w:rsidRDefault="00A1618E">
            <w:pPr>
              <w:pStyle w:val="P68B1DB1-Normal12"/>
              <w:spacing w:after="0"/>
              <w:jc w:val="center"/>
              <w:rPr>
                <w:rFonts w:cs="Times New Roman"/>
                <w:noProof/>
              </w:rPr>
            </w:pPr>
            <w:r>
              <w:rPr>
                <w:noProof/>
              </w:rPr>
              <w:t>Wskaźnik jakościowy dla celów pośrednich</w:t>
            </w:r>
          </w:p>
        </w:tc>
        <w:tc>
          <w:tcPr>
            <w:tcW w:w="1559" w:type="dxa"/>
            <w:gridSpan w:val="3"/>
            <w:shd w:val="clear" w:color="auto" w:fill="C6D9F1" w:themeFill="text2" w:themeFillTint="33"/>
            <w:noWrap/>
          </w:tcPr>
          <w:p w14:paraId="6CEB2364" w14:textId="77777777" w:rsidR="006578ED" w:rsidRDefault="00A1618E">
            <w:pPr>
              <w:pStyle w:val="P68B1DB1-Normal12"/>
              <w:spacing w:after="0"/>
              <w:jc w:val="center"/>
              <w:rPr>
                <w:rFonts w:cs="Times New Roman"/>
                <w:noProof/>
              </w:rPr>
            </w:pPr>
            <w:r>
              <w:rPr>
                <w:noProof/>
              </w:rPr>
              <w:t>Wskaźnik ilościowy dla celu</w:t>
            </w:r>
          </w:p>
        </w:tc>
        <w:tc>
          <w:tcPr>
            <w:tcW w:w="993" w:type="dxa"/>
            <w:gridSpan w:val="2"/>
            <w:shd w:val="clear" w:color="auto" w:fill="C6D9F1" w:themeFill="text2" w:themeFillTint="33"/>
            <w:noWrap/>
          </w:tcPr>
          <w:p w14:paraId="13B9A659" w14:textId="77777777" w:rsidR="006578ED" w:rsidRDefault="00A1618E">
            <w:pPr>
              <w:pStyle w:val="P68B1DB1-Normal12"/>
              <w:spacing w:after="0"/>
              <w:jc w:val="center"/>
              <w:rPr>
                <w:rFonts w:cs="Times New Roman"/>
                <w:noProof/>
              </w:rPr>
            </w:pPr>
            <w:r>
              <w:rPr>
                <w:noProof/>
              </w:rPr>
              <w:t>Czas</w:t>
            </w:r>
          </w:p>
        </w:tc>
        <w:tc>
          <w:tcPr>
            <w:tcW w:w="6804" w:type="dxa"/>
            <w:tcBorders>
              <w:bottom w:val="nil"/>
            </w:tcBorders>
            <w:shd w:val="clear" w:color="auto" w:fill="C6D9F1" w:themeFill="text2" w:themeFillTint="33"/>
            <w:noWrap/>
          </w:tcPr>
          <w:p w14:paraId="542F50EA" w14:textId="759187D7" w:rsidR="006578ED" w:rsidRDefault="00A1618E">
            <w:pPr>
              <w:pStyle w:val="P68B1DB1-Normal12"/>
              <w:spacing w:after="0"/>
              <w:jc w:val="center"/>
              <w:rPr>
                <w:rFonts w:cs="Times New Roman"/>
                <w:noProof/>
              </w:rPr>
            </w:pPr>
            <w:r>
              <w:rPr>
                <w:noProof/>
              </w:rPr>
              <w:t>Opis każdego celu pośredniego i celu końcowego</w:t>
            </w:r>
          </w:p>
        </w:tc>
      </w:tr>
      <w:tr w:rsidR="006578ED" w14:paraId="51E2E2CF" w14:textId="77777777">
        <w:trPr>
          <w:trHeight w:val="309"/>
          <w:tblHeader/>
        </w:trPr>
        <w:tc>
          <w:tcPr>
            <w:tcW w:w="709" w:type="dxa"/>
            <w:tcBorders>
              <w:top w:val="nil"/>
            </w:tcBorders>
            <w:shd w:val="clear" w:color="auto" w:fill="C6D9F1" w:themeFill="text2" w:themeFillTint="33"/>
            <w:noWrap/>
          </w:tcPr>
          <w:p w14:paraId="4FF74376" w14:textId="77777777" w:rsidR="006578ED" w:rsidRDefault="006578ED">
            <w:pPr>
              <w:spacing w:after="0"/>
              <w:jc w:val="center"/>
              <w:rPr>
                <w:rFonts w:ascii="Times New Roman" w:hAnsi="Times New Roman" w:cs="Times New Roman"/>
                <w:b/>
                <w:noProof/>
                <w:sz w:val="18"/>
              </w:rPr>
            </w:pPr>
          </w:p>
        </w:tc>
        <w:tc>
          <w:tcPr>
            <w:tcW w:w="851" w:type="dxa"/>
            <w:tcBorders>
              <w:top w:val="nil"/>
            </w:tcBorders>
            <w:shd w:val="clear" w:color="auto" w:fill="C6D9F1" w:themeFill="text2" w:themeFillTint="33"/>
            <w:noWrap/>
          </w:tcPr>
          <w:p w14:paraId="5BE3D7FD" w14:textId="77777777" w:rsidR="006578ED" w:rsidRDefault="006578ED">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4EE1E1BF" w14:textId="77777777" w:rsidR="006578ED" w:rsidRDefault="006578ED">
            <w:pPr>
              <w:spacing w:after="0"/>
              <w:jc w:val="center"/>
              <w:rPr>
                <w:rFonts w:ascii="Times New Roman" w:hAnsi="Times New Roman" w:cs="Times New Roman"/>
                <w:b/>
                <w:noProof/>
                <w:sz w:val="18"/>
              </w:rPr>
            </w:pPr>
          </w:p>
        </w:tc>
        <w:tc>
          <w:tcPr>
            <w:tcW w:w="2552" w:type="dxa"/>
            <w:tcBorders>
              <w:top w:val="nil"/>
            </w:tcBorders>
            <w:shd w:val="clear" w:color="auto" w:fill="C6D9F1" w:themeFill="text2" w:themeFillTint="33"/>
            <w:noWrap/>
          </w:tcPr>
          <w:p w14:paraId="4A9E3840" w14:textId="77777777" w:rsidR="006578ED" w:rsidRDefault="006578ED">
            <w:pPr>
              <w:spacing w:after="0"/>
              <w:rPr>
                <w:rFonts w:ascii="Times New Roman" w:hAnsi="Times New Roman" w:cs="Times New Roman"/>
                <w:b/>
                <w:noProof/>
                <w:sz w:val="18"/>
              </w:rPr>
            </w:pPr>
          </w:p>
        </w:tc>
        <w:tc>
          <w:tcPr>
            <w:tcW w:w="992" w:type="dxa"/>
            <w:tcBorders>
              <w:top w:val="nil"/>
            </w:tcBorders>
            <w:shd w:val="clear" w:color="auto" w:fill="C6D9F1" w:themeFill="text2" w:themeFillTint="33"/>
            <w:noWrap/>
          </w:tcPr>
          <w:p w14:paraId="32E0BD40" w14:textId="77777777" w:rsidR="006578ED" w:rsidRDefault="006578ED">
            <w:pPr>
              <w:spacing w:after="0"/>
              <w:jc w:val="center"/>
              <w:rPr>
                <w:rFonts w:ascii="Times New Roman" w:hAnsi="Times New Roman" w:cs="Times New Roman"/>
                <w:b/>
                <w:noProof/>
                <w:sz w:val="18"/>
              </w:rPr>
            </w:pPr>
          </w:p>
        </w:tc>
        <w:tc>
          <w:tcPr>
            <w:tcW w:w="567" w:type="dxa"/>
            <w:shd w:val="clear" w:color="auto" w:fill="C6D9F1" w:themeFill="text2" w:themeFillTint="33"/>
            <w:noWrap/>
          </w:tcPr>
          <w:p w14:paraId="72C91D75" w14:textId="77777777" w:rsidR="006578ED" w:rsidRDefault="00A1618E">
            <w:pPr>
              <w:pStyle w:val="P68B1DB1-Normal12"/>
              <w:spacing w:after="0"/>
              <w:jc w:val="center"/>
              <w:rPr>
                <w:rFonts w:cs="Times New Roman"/>
                <w:noProof/>
              </w:rPr>
            </w:pPr>
            <w:r>
              <w:rPr>
                <w:noProof/>
              </w:rPr>
              <w:t>Jednostka</w:t>
            </w:r>
          </w:p>
        </w:tc>
        <w:tc>
          <w:tcPr>
            <w:tcW w:w="425" w:type="dxa"/>
            <w:shd w:val="clear" w:color="auto" w:fill="C6D9F1" w:themeFill="text2" w:themeFillTint="33"/>
            <w:noWrap/>
          </w:tcPr>
          <w:p w14:paraId="287C1036" w14:textId="77777777" w:rsidR="006578ED" w:rsidRDefault="00A1618E">
            <w:pPr>
              <w:pStyle w:val="P68B1DB1-Normal12"/>
              <w:spacing w:after="0"/>
              <w:jc w:val="center"/>
              <w:rPr>
                <w:rFonts w:cs="Times New Roman"/>
                <w:noProof/>
              </w:rPr>
            </w:pPr>
            <w:r>
              <w:rPr>
                <w:noProof/>
              </w:rPr>
              <w:t>Wartość wyjściowa</w:t>
            </w:r>
          </w:p>
        </w:tc>
        <w:tc>
          <w:tcPr>
            <w:tcW w:w="567" w:type="dxa"/>
            <w:shd w:val="clear" w:color="auto" w:fill="C6D9F1" w:themeFill="text2" w:themeFillTint="33"/>
            <w:noWrap/>
          </w:tcPr>
          <w:p w14:paraId="3A86A116" w14:textId="77777777" w:rsidR="006578ED" w:rsidRDefault="00A1618E">
            <w:pPr>
              <w:pStyle w:val="P68B1DB1-Normal12"/>
              <w:spacing w:after="0"/>
              <w:jc w:val="center"/>
              <w:rPr>
                <w:rFonts w:cs="Times New Roman"/>
                <w:noProof/>
              </w:rPr>
            </w:pPr>
            <w:r>
              <w:rPr>
                <w:noProof/>
              </w:rPr>
              <w:t>Cel</w:t>
            </w:r>
          </w:p>
        </w:tc>
        <w:tc>
          <w:tcPr>
            <w:tcW w:w="426" w:type="dxa"/>
            <w:shd w:val="clear" w:color="auto" w:fill="C6D9F1" w:themeFill="text2" w:themeFillTint="33"/>
            <w:noWrap/>
          </w:tcPr>
          <w:p w14:paraId="59DEAF0B" w14:textId="77777777" w:rsidR="006578ED" w:rsidRDefault="00A1618E">
            <w:pPr>
              <w:pStyle w:val="P68B1DB1-Normal12"/>
              <w:spacing w:after="0"/>
              <w:jc w:val="center"/>
              <w:rPr>
                <w:rFonts w:cs="Times New Roman"/>
                <w:noProof/>
              </w:rPr>
            </w:pPr>
            <w:r>
              <w:rPr>
                <w:noProof/>
              </w:rPr>
              <w:t>Q</w:t>
            </w:r>
          </w:p>
        </w:tc>
        <w:tc>
          <w:tcPr>
            <w:tcW w:w="567" w:type="dxa"/>
            <w:shd w:val="clear" w:color="auto" w:fill="C6D9F1" w:themeFill="text2" w:themeFillTint="33"/>
            <w:noWrap/>
          </w:tcPr>
          <w:p w14:paraId="4EEE21F8" w14:textId="77777777" w:rsidR="006578ED" w:rsidRDefault="00A1618E">
            <w:pPr>
              <w:pStyle w:val="P68B1DB1-Normal12"/>
              <w:spacing w:after="0"/>
              <w:jc w:val="center"/>
              <w:rPr>
                <w:rFonts w:cs="Times New Roman"/>
                <w:noProof/>
              </w:rPr>
            </w:pPr>
            <w:r>
              <w:rPr>
                <w:noProof/>
              </w:rPr>
              <w:t>Rok</w:t>
            </w:r>
          </w:p>
        </w:tc>
        <w:tc>
          <w:tcPr>
            <w:tcW w:w="6804" w:type="dxa"/>
            <w:tcBorders>
              <w:top w:val="nil"/>
            </w:tcBorders>
            <w:shd w:val="clear" w:color="auto" w:fill="C6D9F1" w:themeFill="text2" w:themeFillTint="33"/>
            <w:noWrap/>
          </w:tcPr>
          <w:p w14:paraId="209A134B" w14:textId="77777777" w:rsidR="006578ED" w:rsidRDefault="006578ED">
            <w:pPr>
              <w:spacing w:after="0"/>
              <w:rPr>
                <w:rFonts w:ascii="Times New Roman" w:hAnsi="Times New Roman" w:cs="Times New Roman"/>
                <w:b/>
                <w:noProof/>
                <w:sz w:val="18"/>
              </w:rPr>
            </w:pPr>
          </w:p>
        </w:tc>
      </w:tr>
      <w:tr w:rsidR="006578ED" w14:paraId="2DB6F3D3" w14:textId="77777777">
        <w:trPr>
          <w:trHeight w:val="309"/>
        </w:trPr>
        <w:tc>
          <w:tcPr>
            <w:tcW w:w="709" w:type="dxa"/>
            <w:shd w:val="clear" w:color="auto" w:fill="C6EFCE"/>
            <w:noWrap/>
          </w:tcPr>
          <w:p w14:paraId="082412BE" w14:textId="77777777" w:rsidR="006578ED" w:rsidRDefault="00A1618E">
            <w:pPr>
              <w:pStyle w:val="P68B1DB1-Normal13"/>
              <w:spacing w:after="0"/>
              <w:jc w:val="center"/>
              <w:rPr>
                <w:rFonts w:eastAsia="Times New Roman" w:cs="Times New Roman"/>
                <w:noProof/>
              </w:rPr>
            </w:pPr>
            <w:r>
              <w:rPr>
                <w:noProof/>
              </w:rPr>
              <w:t>406</w:t>
            </w:r>
          </w:p>
        </w:tc>
        <w:tc>
          <w:tcPr>
            <w:tcW w:w="851" w:type="dxa"/>
            <w:shd w:val="clear" w:color="auto" w:fill="C6EFCE"/>
            <w:noWrap/>
          </w:tcPr>
          <w:p w14:paraId="6AEFB9F2" w14:textId="77777777" w:rsidR="006578ED" w:rsidRDefault="00A1618E">
            <w:pPr>
              <w:pStyle w:val="P68B1DB1-Normal13"/>
              <w:spacing w:after="0"/>
              <w:jc w:val="center"/>
              <w:rPr>
                <w:rFonts w:eastAsia="Times New Roman" w:cs="Times New Roman"/>
                <w:noProof/>
              </w:rPr>
            </w:pPr>
            <w:r>
              <w:rPr>
                <w:noProof/>
              </w:rPr>
              <w:t>C30.R1</w:t>
            </w:r>
          </w:p>
        </w:tc>
        <w:tc>
          <w:tcPr>
            <w:tcW w:w="850" w:type="dxa"/>
            <w:shd w:val="clear" w:color="auto" w:fill="C6EFCE"/>
            <w:noWrap/>
          </w:tcPr>
          <w:p w14:paraId="09BD583A" w14:textId="5EE84FA8" w:rsidR="006578ED" w:rsidRDefault="00AF6B91">
            <w:pPr>
              <w:pStyle w:val="P68B1DB1-Normal13"/>
              <w:spacing w:after="0"/>
              <w:jc w:val="center"/>
              <w:rPr>
                <w:rFonts w:eastAsia="Times New Roman" w:cs="Times New Roman"/>
                <w:noProof/>
              </w:rPr>
            </w:pPr>
            <w:r>
              <w:rPr>
                <w:noProof/>
              </w:rPr>
              <w:t>Kamień milowy</w:t>
            </w:r>
          </w:p>
        </w:tc>
        <w:tc>
          <w:tcPr>
            <w:tcW w:w="2552" w:type="dxa"/>
            <w:shd w:val="clear" w:color="auto" w:fill="C6EFCE"/>
            <w:noWrap/>
          </w:tcPr>
          <w:p w14:paraId="3FEE5E58" w14:textId="77777777" w:rsidR="006578ED" w:rsidRDefault="00A1618E">
            <w:pPr>
              <w:pStyle w:val="P68B1DB1-Normal13"/>
              <w:spacing w:after="0"/>
              <w:rPr>
                <w:rFonts w:eastAsia="Times New Roman" w:cs="Times New Roman"/>
                <w:noProof/>
              </w:rPr>
            </w:pPr>
            <w:r>
              <w:rPr>
                <w:noProof/>
              </w:rPr>
              <w:t>Rozdział finansowania zabezpieczenia społecznego</w:t>
            </w:r>
          </w:p>
        </w:tc>
        <w:tc>
          <w:tcPr>
            <w:tcW w:w="992" w:type="dxa"/>
            <w:shd w:val="clear" w:color="auto" w:fill="C6EFCE"/>
            <w:noWrap/>
          </w:tcPr>
          <w:p w14:paraId="36A6356E" w14:textId="417F3784" w:rsidR="006578ED" w:rsidRDefault="00A1618E">
            <w:pPr>
              <w:pStyle w:val="P68B1DB1-Normal13"/>
              <w:spacing w:after="0"/>
              <w:jc w:val="center"/>
              <w:rPr>
                <w:rFonts w:eastAsia="Times New Roman" w:cs="Times New Roman"/>
                <w:noProof/>
              </w:rPr>
            </w:pPr>
            <w:r>
              <w:rPr>
                <w:noProof/>
              </w:rPr>
              <w:t xml:space="preserve">Przepis ustawy wskazujący na jej wejście w życie </w:t>
            </w:r>
          </w:p>
        </w:tc>
        <w:tc>
          <w:tcPr>
            <w:tcW w:w="567" w:type="dxa"/>
            <w:shd w:val="clear" w:color="auto" w:fill="C6EFCE"/>
            <w:noWrap/>
          </w:tcPr>
          <w:p w14:paraId="215C802C" w14:textId="77777777" w:rsidR="006578ED" w:rsidRDefault="00A1618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74ADEF33"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4FBE61DA" w14:textId="77777777" w:rsidR="006578ED" w:rsidRDefault="00A1618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55BCB871" w14:textId="0E840B15" w:rsidR="006578ED" w:rsidRDefault="00EC188C">
            <w:pPr>
              <w:pStyle w:val="P68B1DB1-Normal13"/>
              <w:spacing w:after="0"/>
              <w:jc w:val="center"/>
              <w:rPr>
                <w:rFonts w:eastAsia="Times New Roman" w:cs="Times New Roman"/>
                <w:noProof/>
              </w:rPr>
            </w:pPr>
            <w:r>
              <w:rPr>
                <w:noProof/>
              </w:rPr>
              <w:t>KW. 4</w:t>
            </w:r>
          </w:p>
        </w:tc>
        <w:tc>
          <w:tcPr>
            <w:tcW w:w="567" w:type="dxa"/>
            <w:shd w:val="clear" w:color="auto" w:fill="C6EFCE"/>
            <w:noWrap/>
          </w:tcPr>
          <w:p w14:paraId="43FCB57F" w14:textId="77777777" w:rsidR="006578ED" w:rsidRDefault="00A1618E">
            <w:pPr>
              <w:pStyle w:val="P68B1DB1-Normal13"/>
              <w:spacing w:after="0"/>
              <w:jc w:val="center"/>
              <w:rPr>
                <w:rFonts w:eastAsia="Times New Roman" w:cs="Times New Roman"/>
                <w:noProof/>
              </w:rPr>
            </w:pPr>
            <w:r>
              <w:rPr>
                <w:noProof/>
              </w:rPr>
              <w:t>2020</w:t>
            </w:r>
          </w:p>
        </w:tc>
        <w:tc>
          <w:tcPr>
            <w:tcW w:w="6804" w:type="dxa"/>
            <w:shd w:val="clear" w:color="auto" w:fill="C6EFCE"/>
            <w:noWrap/>
          </w:tcPr>
          <w:p w14:paraId="50CB98EF" w14:textId="46D96686" w:rsidR="006578ED" w:rsidRDefault="00A1618E">
            <w:pPr>
              <w:pStyle w:val="P68B1DB1-Normal13"/>
              <w:spacing w:after="0"/>
              <w:rPr>
                <w:rFonts w:eastAsia="Times New Roman" w:cs="Times New Roman"/>
                <w:noProof/>
              </w:rPr>
            </w:pPr>
            <w:r>
              <w:rPr>
                <w:noProof/>
              </w:rPr>
              <w:t xml:space="preserve">Wejście w życie ustawy 11/2020 z dnia 30 grudnia w sprawie ogólnego budżetu państwa </w:t>
            </w:r>
            <w:r w:rsidRPr="00A1618E">
              <w:rPr>
                <w:noProof/>
                <w:lang w:val="pl-PL"/>
              </w:rPr>
              <w:t>na 2</w:t>
            </w:r>
            <w:r>
              <w:rPr>
                <w:noProof/>
              </w:rPr>
              <w:t>0</w:t>
            </w:r>
            <w:r w:rsidRPr="00A1618E">
              <w:rPr>
                <w:noProof/>
                <w:lang w:val="pl-PL"/>
              </w:rPr>
              <w:t>21 r.</w:t>
            </w:r>
            <w:r>
              <w:rPr>
                <w:noProof/>
              </w:rPr>
              <w:t xml:space="preserve"> o rozdziale źródeł finansowania zabezpieczenia społecznego. Co roku państwo przekazuje do systemu zabezpieczenia społecznego kwotę równą wydatkom o charakterze nieskładkowym. Umożliwi to zmniejszenie deficytu w zakresie zabezpieczenia społecznego i jego przeniesienie do administracji centralnej, która dysponuje odpowiednimi narzędziami do zaradzenia temu deficytowi. Rozwiewa również wątpliwości co do wypłacalności systemu, poprawiając warunki umożliwiające sprostanie wyzwaniom średnio- i długoterminowym. Ustawa budżetowa </w:t>
            </w:r>
            <w:r w:rsidRPr="00A1618E">
              <w:rPr>
                <w:noProof/>
                <w:lang w:val="pl-PL"/>
              </w:rPr>
              <w:t>na 2</w:t>
            </w:r>
            <w:r>
              <w:rPr>
                <w:noProof/>
              </w:rPr>
              <w:t>0</w:t>
            </w:r>
            <w:r w:rsidRPr="00A1618E">
              <w:rPr>
                <w:noProof/>
                <w:lang w:val="pl-PL"/>
              </w:rPr>
              <w:t>21 r.</w:t>
            </w:r>
            <w:r>
              <w:rPr>
                <w:noProof/>
              </w:rPr>
              <w:t xml:space="preserve"> przewiduje pierwszy i znaczący krok w tym kierunku.</w:t>
            </w:r>
          </w:p>
        </w:tc>
      </w:tr>
      <w:tr w:rsidR="006578ED" w14:paraId="16C2201F" w14:textId="77777777">
        <w:trPr>
          <w:trHeight w:val="309"/>
        </w:trPr>
        <w:tc>
          <w:tcPr>
            <w:tcW w:w="709" w:type="dxa"/>
            <w:shd w:val="clear" w:color="auto" w:fill="C6EFCE"/>
            <w:noWrap/>
          </w:tcPr>
          <w:p w14:paraId="5EB4A7D0" w14:textId="77777777" w:rsidR="006578ED" w:rsidRDefault="00A1618E">
            <w:pPr>
              <w:pStyle w:val="P68B1DB1-Normal13"/>
              <w:spacing w:after="0"/>
              <w:jc w:val="center"/>
              <w:rPr>
                <w:rFonts w:eastAsia="Times New Roman" w:cs="Times New Roman"/>
                <w:noProof/>
              </w:rPr>
            </w:pPr>
            <w:r>
              <w:rPr>
                <w:noProof/>
              </w:rPr>
              <w:t>407</w:t>
            </w:r>
          </w:p>
        </w:tc>
        <w:tc>
          <w:tcPr>
            <w:tcW w:w="851" w:type="dxa"/>
            <w:shd w:val="clear" w:color="auto" w:fill="C6EFCE"/>
            <w:noWrap/>
          </w:tcPr>
          <w:p w14:paraId="5396BF50" w14:textId="77777777" w:rsidR="006578ED" w:rsidRDefault="00A1618E">
            <w:pPr>
              <w:pStyle w:val="P68B1DB1-Normal13"/>
              <w:spacing w:after="0"/>
              <w:jc w:val="center"/>
              <w:rPr>
                <w:rFonts w:eastAsia="Times New Roman" w:cs="Times New Roman"/>
                <w:noProof/>
              </w:rPr>
            </w:pPr>
            <w:r>
              <w:rPr>
                <w:noProof/>
              </w:rPr>
              <w:t>C30.R2</w:t>
            </w:r>
          </w:p>
        </w:tc>
        <w:tc>
          <w:tcPr>
            <w:tcW w:w="850" w:type="dxa"/>
            <w:shd w:val="clear" w:color="auto" w:fill="C6EFCE"/>
            <w:noWrap/>
          </w:tcPr>
          <w:p w14:paraId="5936375A" w14:textId="1564A8A2" w:rsidR="006578ED" w:rsidRDefault="00AF6B91">
            <w:pPr>
              <w:pStyle w:val="P68B1DB1-Normal13"/>
              <w:spacing w:after="0"/>
              <w:jc w:val="center"/>
              <w:rPr>
                <w:rFonts w:eastAsia="Times New Roman" w:cs="Times New Roman"/>
                <w:noProof/>
              </w:rPr>
            </w:pPr>
            <w:r>
              <w:rPr>
                <w:noProof/>
              </w:rPr>
              <w:t>Kamień milowy</w:t>
            </w:r>
          </w:p>
        </w:tc>
        <w:tc>
          <w:tcPr>
            <w:tcW w:w="2552" w:type="dxa"/>
            <w:shd w:val="clear" w:color="auto" w:fill="C6EFCE"/>
            <w:noWrap/>
          </w:tcPr>
          <w:p w14:paraId="0FF668FD" w14:textId="371E0AC5" w:rsidR="006578ED" w:rsidRDefault="00A1618E">
            <w:pPr>
              <w:pStyle w:val="P68B1DB1-Normal13"/>
              <w:spacing w:after="0"/>
              <w:rPr>
                <w:rFonts w:eastAsia="Times New Roman" w:cs="Times New Roman"/>
                <w:noProof/>
              </w:rPr>
            </w:pPr>
            <w:r>
              <w:rPr>
                <w:noProof/>
              </w:rPr>
              <w:t>Utrzymanie siły nabywczej emerytur i dostosowanie rzeczywistego wieku przejścia na emeryturę do ustawowego wieku emerytalnego</w:t>
            </w:r>
          </w:p>
        </w:tc>
        <w:tc>
          <w:tcPr>
            <w:tcW w:w="992" w:type="dxa"/>
            <w:shd w:val="clear" w:color="auto" w:fill="C6EFCE"/>
            <w:noWrap/>
          </w:tcPr>
          <w:p w14:paraId="7B267DF6" w14:textId="6FA6485C" w:rsidR="006578ED" w:rsidRDefault="00A1618E">
            <w:pPr>
              <w:pStyle w:val="P68B1DB1-Normal13"/>
              <w:spacing w:after="0"/>
              <w:jc w:val="center"/>
              <w:rPr>
                <w:rFonts w:eastAsia="Times New Roman" w:cs="Times New Roman"/>
                <w:noProof/>
              </w:rPr>
            </w:pPr>
            <w:r>
              <w:rPr>
                <w:noProof/>
              </w:rPr>
              <w:t xml:space="preserve">Przepis prawny wskazujący na jego wejście w życie </w:t>
            </w:r>
          </w:p>
        </w:tc>
        <w:tc>
          <w:tcPr>
            <w:tcW w:w="567" w:type="dxa"/>
            <w:shd w:val="clear" w:color="auto" w:fill="C6EFCE"/>
            <w:noWrap/>
          </w:tcPr>
          <w:p w14:paraId="0EBB2E39" w14:textId="77777777" w:rsidR="006578ED" w:rsidRDefault="00A1618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3DE8EAE4"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2B8810C9" w14:textId="77777777" w:rsidR="006578ED" w:rsidRDefault="00A1618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1DF8AE56" w14:textId="608F5895" w:rsidR="006578ED" w:rsidRDefault="00EC188C">
            <w:pPr>
              <w:pStyle w:val="P68B1DB1-Normal13"/>
              <w:spacing w:after="0"/>
              <w:jc w:val="center"/>
              <w:rPr>
                <w:rFonts w:eastAsia="Times New Roman" w:cs="Times New Roman"/>
                <w:noProof/>
              </w:rPr>
            </w:pPr>
            <w:r>
              <w:rPr>
                <w:noProof/>
              </w:rPr>
              <w:t>KW. 4</w:t>
            </w:r>
          </w:p>
        </w:tc>
        <w:tc>
          <w:tcPr>
            <w:tcW w:w="567" w:type="dxa"/>
            <w:shd w:val="clear" w:color="auto" w:fill="C6EFCE"/>
            <w:noWrap/>
          </w:tcPr>
          <w:p w14:paraId="6844DF5F" w14:textId="77777777" w:rsidR="006578ED" w:rsidRDefault="00A1618E">
            <w:pPr>
              <w:pStyle w:val="P68B1DB1-Normal13"/>
              <w:spacing w:after="0"/>
              <w:jc w:val="center"/>
              <w:rPr>
                <w:rFonts w:eastAsia="Times New Roman" w:cs="Times New Roman"/>
                <w:noProof/>
              </w:rPr>
            </w:pPr>
            <w:r>
              <w:rPr>
                <w:noProof/>
              </w:rPr>
              <w:t>2021</w:t>
            </w:r>
          </w:p>
        </w:tc>
        <w:tc>
          <w:tcPr>
            <w:tcW w:w="6804" w:type="dxa"/>
            <w:shd w:val="clear" w:color="auto" w:fill="C6EFCE"/>
            <w:noWrap/>
          </w:tcPr>
          <w:p w14:paraId="353A4050" w14:textId="3E422891" w:rsidR="006578ED" w:rsidRDefault="00A1618E">
            <w:pPr>
              <w:pStyle w:val="P68B1DB1-Normal13"/>
              <w:spacing w:after="0"/>
              <w:rPr>
                <w:rFonts w:eastAsia="Times New Roman" w:cs="Times New Roman"/>
                <w:noProof/>
              </w:rPr>
            </w:pPr>
            <w:r>
              <w:rPr>
                <w:noProof/>
              </w:rPr>
              <w:t>Wejście w życie aktów prawnych opublikowanych w Dzienniku Urzędowym w celu:</w:t>
            </w:r>
            <w:r>
              <w:rPr>
                <w:noProof/>
              </w:rPr>
              <w:br/>
              <w:t xml:space="preserve">utrzymanie siły nabywczej emerytur: opracowany zostanie nowy mechanizm rewaluacji łączący emerytury z inflacją, aby zapewnić stałą gwarancję siły nabywczej emerytów. </w:t>
            </w:r>
            <w:r>
              <w:rPr>
                <w:noProof/>
              </w:rPr>
              <w:br/>
              <w:t>dostosowanie rzeczywistego wieku przejścia na emeryturę i ustawowego wieku emerytalnego: zapewnienie zachęt do opóźniania przejścia na emeryturę, w tym zwiększenie zachęt ekonomicznych i promowanie godzenia pracy z emeryturą w celu zwiększenia udziału w rynku pracy w wieku zbliżonym do ustawowego wieku emerytalnego i odroczenia przejścia na emeryturę.</w:t>
            </w:r>
          </w:p>
        </w:tc>
      </w:tr>
      <w:tr w:rsidR="006578ED" w14:paraId="76FB77AA" w14:textId="77777777">
        <w:trPr>
          <w:trHeight w:val="309"/>
        </w:trPr>
        <w:tc>
          <w:tcPr>
            <w:tcW w:w="709" w:type="dxa"/>
            <w:shd w:val="clear" w:color="auto" w:fill="C6EFCE"/>
            <w:noWrap/>
          </w:tcPr>
          <w:p w14:paraId="3056FDAF" w14:textId="77777777" w:rsidR="006578ED" w:rsidRDefault="00A1618E">
            <w:pPr>
              <w:pStyle w:val="P68B1DB1-Normal13"/>
              <w:spacing w:after="0"/>
              <w:jc w:val="center"/>
              <w:rPr>
                <w:rFonts w:eastAsia="Times New Roman" w:cs="Times New Roman"/>
                <w:noProof/>
              </w:rPr>
            </w:pPr>
            <w:r>
              <w:rPr>
                <w:noProof/>
              </w:rPr>
              <w:t>408</w:t>
            </w:r>
          </w:p>
        </w:tc>
        <w:tc>
          <w:tcPr>
            <w:tcW w:w="851" w:type="dxa"/>
            <w:shd w:val="clear" w:color="auto" w:fill="C6EFCE"/>
            <w:noWrap/>
          </w:tcPr>
          <w:p w14:paraId="144EF3CD" w14:textId="77777777" w:rsidR="006578ED" w:rsidRDefault="00A1618E">
            <w:pPr>
              <w:pStyle w:val="P68B1DB1-Normal13"/>
              <w:spacing w:after="0"/>
              <w:jc w:val="center"/>
              <w:rPr>
                <w:rFonts w:eastAsia="Times New Roman" w:cs="Times New Roman"/>
                <w:noProof/>
              </w:rPr>
            </w:pPr>
            <w:r>
              <w:rPr>
                <w:noProof/>
              </w:rPr>
              <w:t>C30.R2</w:t>
            </w:r>
          </w:p>
        </w:tc>
        <w:tc>
          <w:tcPr>
            <w:tcW w:w="850" w:type="dxa"/>
            <w:shd w:val="clear" w:color="auto" w:fill="C6EFCE"/>
            <w:noWrap/>
          </w:tcPr>
          <w:p w14:paraId="33EBAF0E" w14:textId="6B660326" w:rsidR="006578ED" w:rsidRDefault="00AF6B91">
            <w:pPr>
              <w:pStyle w:val="P68B1DB1-Normal13"/>
              <w:spacing w:after="0"/>
              <w:jc w:val="center"/>
              <w:rPr>
                <w:rFonts w:eastAsia="Times New Roman" w:cs="Times New Roman"/>
                <w:noProof/>
              </w:rPr>
            </w:pPr>
            <w:r>
              <w:rPr>
                <w:noProof/>
              </w:rPr>
              <w:t>Kamień milowy</w:t>
            </w:r>
          </w:p>
        </w:tc>
        <w:tc>
          <w:tcPr>
            <w:tcW w:w="2552" w:type="dxa"/>
            <w:shd w:val="clear" w:color="auto" w:fill="C6EFCE"/>
            <w:noWrap/>
          </w:tcPr>
          <w:p w14:paraId="73A76CAC" w14:textId="77777777" w:rsidR="006578ED" w:rsidRDefault="00A1618E">
            <w:pPr>
              <w:pStyle w:val="P68B1DB1-Normal13"/>
              <w:spacing w:after="0"/>
              <w:rPr>
                <w:rFonts w:eastAsia="Times New Roman" w:cs="Times New Roman"/>
                <w:noProof/>
              </w:rPr>
            </w:pPr>
            <w:r>
              <w:rPr>
                <w:noProof/>
              </w:rPr>
              <w:t xml:space="preserve">Dostosowanie okresu obliczeniowego do celów obliczenia emerytury </w:t>
            </w:r>
          </w:p>
        </w:tc>
        <w:tc>
          <w:tcPr>
            <w:tcW w:w="992" w:type="dxa"/>
            <w:shd w:val="clear" w:color="auto" w:fill="C6EFCE"/>
            <w:noWrap/>
          </w:tcPr>
          <w:p w14:paraId="7900F259" w14:textId="48D2C3C8" w:rsidR="006578ED" w:rsidRDefault="00A1618E">
            <w:pPr>
              <w:pStyle w:val="P68B1DB1-Normal13"/>
              <w:spacing w:after="0"/>
              <w:jc w:val="center"/>
              <w:rPr>
                <w:rFonts w:eastAsia="Times New Roman" w:cs="Times New Roman"/>
                <w:noProof/>
              </w:rPr>
            </w:pPr>
            <w:r>
              <w:rPr>
                <w:noProof/>
              </w:rPr>
              <w:t xml:space="preserve">Przepis prawny wskazujący na jego wejście w życie </w:t>
            </w:r>
          </w:p>
        </w:tc>
        <w:tc>
          <w:tcPr>
            <w:tcW w:w="567" w:type="dxa"/>
            <w:shd w:val="clear" w:color="auto" w:fill="C6EFCE"/>
            <w:noWrap/>
          </w:tcPr>
          <w:p w14:paraId="345E47E1" w14:textId="77777777" w:rsidR="006578ED" w:rsidRDefault="00A1618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1FF84CD8"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13A8C699" w14:textId="77777777" w:rsidR="006578ED" w:rsidRDefault="00A1618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4CD7A40A" w14:textId="7F72C700" w:rsidR="006578ED" w:rsidRDefault="00EC188C">
            <w:pPr>
              <w:pStyle w:val="P68B1DB1-Normal13"/>
              <w:spacing w:after="0"/>
              <w:jc w:val="center"/>
              <w:rPr>
                <w:rFonts w:eastAsia="Times New Roman" w:cs="Times New Roman"/>
                <w:noProof/>
              </w:rPr>
            </w:pPr>
            <w:r>
              <w:rPr>
                <w:noProof/>
              </w:rPr>
              <w:t>KW. 4</w:t>
            </w:r>
          </w:p>
        </w:tc>
        <w:tc>
          <w:tcPr>
            <w:tcW w:w="567" w:type="dxa"/>
            <w:shd w:val="clear" w:color="auto" w:fill="C6EFCE"/>
            <w:noWrap/>
          </w:tcPr>
          <w:p w14:paraId="07BCDFEA" w14:textId="77777777" w:rsidR="006578ED" w:rsidRDefault="00A1618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73E6C409" w14:textId="79C91740" w:rsidR="006578ED" w:rsidRDefault="00A1618E">
            <w:pPr>
              <w:pStyle w:val="P68B1DB1-Normal13"/>
              <w:spacing w:after="0"/>
              <w:rPr>
                <w:rFonts w:eastAsia="Times New Roman" w:cs="Times New Roman"/>
                <w:noProof/>
              </w:rPr>
            </w:pPr>
            <w:r>
              <w:rPr>
                <w:noProof/>
              </w:rPr>
              <w:t xml:space="preserve">Wejście w życie ustawodawstwa dotyczącego dostosowania okresu rozliczeniowego, przedłużającego okres obliczeniowy do obliczania emerytury. </w:t>
            </w:r>
          </w:p>
        </w:tc>
      </w:tr>
      <w:tr w:rsidR="006578ED" w14:paraId="3CDCC6A4" w14:textId="77777777">
        <w:trPr>
          <w:trHeight w:val="309"/>
        </w:trPr>
        <w:tc>
          <w:tcPr>
            <w:tcW w:w="709" w:type="dxa"/>
            <w:shd w:val="clear" w:color="auto" w:fill="C6EFCE"/>
            <w:noWrap/>
          </w:tcPr>
          <w:p w14:paraId="282AB244" w14:textId="77777777" w:rsidR="006578ED" w:rsidRDefault="00A1618E">
            <w:pPr>
              <w:pStyle w:val="P68B1DB1-Normal13"/>
              <w:spacing w:after="0"/>
              <w:jc w:val="center"/>
              <w:rPr>
                <w:rFonts w:eastAsia="Times New Roman" w:cs="Times New Roman"/>
                <w:noProof/>
              </w:rPr>
            </w:pPr>
            <w:r>
              <w:rPr>
                <w:noProof/>
              </w:rPr>
              <w:t>409</w:t>
            </w:r>
          </w:p>
        </w:tc>
        <w:tc>
          <w:tcPr>
            <w:tcW w:w="851" w:type="dxa"/>
            <w:shd w:val="clear" w:color="auto" w:fill="C6EFCE"/>
            <w:noWrap/>
          </w:tcPr>
          <w:p w14:paraId="090597C6" w14:textId="77777777" w:rsidR="006578ED" w:rsidRDefault="00A1618E">
            <w:pPr>
              <w:pStyle w:val="P68B1DB1-Normal13"/>
              <w:spacing w:after="0"/>
              <w:jc w:val="center"/>
              <w:rPr>
                <w:rFonts w:eastAsia="Times New Roman" w:cs="Times New Roman"/>
                <w:noProof/>
              </w:rPr>
            </w:pPr>
            <w:r>
              <w:rPr>
                <w:noProof/>
              </w:rPr>
              <w:t>C30.R2</w:t>
            </w:r>
          </w:p>
        </w:tc>
        <w:tc>
          <w:tcPr>
            <w:tcW w:w="850" w:type="dxa"/>
            <w:shd w:val="clear" w:color="auto" w:fill="C6EFCE"/>
            <w:noWrap/>
          </w:tcPr>
          <w:p w14:paraId="369C3BD4" w14:textId="130417FC" w:rsidR="006578ED" w:rsidRDefault="00AF6B91">
            <w:pPr>
              <w:pStyle w:val="P68B1DB1-Normal13"/>
              <w:spacing w:after="0"/>
              <w:jc w:val="center"/>
              <w:rPr>
                <w:rFonts w:eastAsia="Times New Roman" w:cs="Times New Roman"/>
                <w:noProof/>
              </w:rPr>
            </w:pPr>
            <w:r>
              <w:rPr>
                <w:noProof/>
              </w:rPr>
              <w:t>Kamień milowy</w:t>
            </w:r>
          </w:p>
        </w:tc>
        <w:tc>
          <w:tcPr>
            <w:tcW w:w="2552" w:type="dxa"/>
            <w:shd w:val="clear" w:color="auto" w:fill="C6EFCE"/>
            <w:noWrap/>
          </w:tcPr>
          <w:p w14:paraId="22B016FF" w14:textId="77777777" w:rsidR="006578ED" w:rsidRDefault="00A1618E">
            <w:pPr>
              <w:pStyle w:val="P68B1DB1-Normal13"/>
              <w:spacing w:after="0"/>
              <w:rPr>
                <w:rFonts w:eastAsia="Times New Roman" w:cs="Times New Roman"/>
                <w:noProof/>
              </w:rPr>
            </w:pPr>
            <w:r>
              <w:rPr>
                <w:noProof/>
              </w:rPr>
              <w:t>Zastąpienie czynnika zrównoważonego rozwoju mechanizmem sprawiedliwości międzypokoleniowej</w:t>
            </w:r>
          </w:p>
        </w:tc>
        <w:tc>
          <w:tcPr>
            <w:tcW w:w="992" w:type="dxa"/>
            <w:shd w:val="clear" w:color="auto" w:fill="C6EFCE"/>
            <w:noWrap/>
          </w:tcPr>
          <w:p w14:paraId="586F0C74" w14:textId="3653C361" w:rsidR="006578ED" w:rsidRDefault="00A1618E">
            <w:pPr>
              <w:pStyle w:val="P68B1DB1-Normal13"/>
              <w:spacing w:after="0"/>
              <w:jc w:val="center"/>
              <w:rPr>
                <w:rFonts w:eastAsia="Times New Roman" w:cs="Times New Roman"/>
                <w:noProof/>
              </w:rPr>
            </w:pPr>
            <w:r>
              <w:rPr>
                <w:noProof/>
              </w:rPr>
              <w:t>Przepis prawny wskazujący na jego wejście w życie</w:t>
            </w:r>
          </w:p>
        </w:tc>
        <w:tc>
          <w:tcPr>
            <w:tcW w:w="567" w:type="dxa"/>
            <w:shd w:val="clear" w:color="auto" w:fill="C6EFCE"/>
            <w:noWrap/>
          </w:tcPr>
          <w:p w14:paraId="373D937C" w14:textId="77777777" w:rsidR="006578ED" w:rsidRDefault="00A1618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504FD19D"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21295E83" w14:textId="77777777" w:rsidR="006578ED" w:rsidRDefault="00A1618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4B1B7F56" w14:textId="21AEF478" w:rsidR="006578ED" w:rsidRDefault="00EC188C">
            <w:pPr>
              <w:pStyle w:val="P68B1DB1-Normal13"/>
              <w:spacing w:after="0"/>
              <w:jc w:val="center"/>
              <w:rPr>
                <w:rFonts w:eastAsia="Times New Roman" w:cs="Times New Roman"/>
                <w:noProof/>
              </w:rPr>
            </w:pPr>
            <w:r>
              <w:rPr>
                <w:noProof/>
              </w:rPr>
              <w:t>KW. 4</w:t>
            </w:r>
          </w:p>
        </w:tc>
        <w:tc>
          <w:tcPr>
            <w:tcW w:w="567" w:type="dxa"/>
            <w:shd w:val="clear" w:color="auto" w:fill="C6EFCE"/>
            <w:noWrap/>
          </w:tcPr>
          <w:p w14:paraId="78F0E579" w14:textId="77777777" w:rsidR="006578ED" w:rsidRDefault="00A1618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4CA04DFD" w14:textId="578AA58C" w:rsidR="006578ED" w:rsidRDefault="00A1618E">
            <w:pPr>
              <w:pStyle w:val="P68B1DB1-Normal13"/>
              <w:spacing w:after="0"/>
              <w:rPr>
                <w:rFonts w:eastAsia="Times New Roman" w:cs="Times New Roman"/>
                <w:noProof/>
              </w:rPr>
            </w:pPr>
            <w:r>
              <w:rPr>
                <w:noProof/>
              </w:rPr>
              <w:t>Wejście w życie przepisów zastępujących obecny czynnik stabilności, który łączy emerytury ze średnim trwaniem życia, mechanizmem gwarantującym sprawiedliwość międzypokoleniową i stabilność budżetową poprzez dostosowanie się do zmian demograficznych.</w:t>
            </w:r>
          </w:p>
        </w:tc>
      </w:tr>
      <w:tr w:rsidR="006578ED" w14:paraId="290F56ED" w14:textId="77777777">
        <w:trPr>
          <w:trHeight w:val="309"/>
        </w:trPr>
        <w:tc>
          <w:tcPr>
            <w:tcW w:w="709" w:type="dxa"/>
            <w:shd w:val="clear" w:color="auto" w:fill="C6EFCE"/>
            <w:noWrap/>
          </w:tcPr>
          <w:p w14:paraId="7CBD5259" w14:textId="77777777" w:rsidR="006578ED" w:rsidRDefault="00A1618E">
            <w:pPr>
              <w:pStyle w:val="P68B1DB1-Normal13"/>
              <w:spacing w:after="0"/>
              <w:jc w:val="center"/>
              <w:rPr>
                <w:rFonts w:eastAsia="Times New Roman" w:cs="Times New Roman"/>
                <w:noProof/>
              </w:rPr>
            </w:pPr>
            <w:r>
              <w:rPr>
                <w:noProof/>
              </w:rPr>
              <w:t>410</w:t>
            </w:r>
          </w:p>
        </w:tc>
        <w:tc>
          <w:tcPr>
            <w:tcW w:w="851" w:type="dxa"/>
            <w:shd w:val="clear" w:color="auto" w:fill="C6EFCE"/>
            <w:noWrap/>
          </w:tcPr>
          <w:p w14:paraId="060D1932" w14:textId="77777777" w:rsidR="006578ED" w:rsidRDefault="00A1618E">
            <w:pPr>
              <w:pStyle w:val="P68B1DB1-Normal13"/>
              <w:spacing w:after="0"/>
              <w:jc w:val="center"/>
              <w:rPr>
                <w:rFonts w:eastAsia="Times New Roman" w:cs="Times New Roman"/>
                <w:noProof/>
              </w:rPr>
            </w:pPr>
            <w:r>
              <w:rPr>
                <w:noProof/>
              </w:rPr>
              <w:t>C30.R2</w:t>
            </w:r>
          </w:p>
        </w:tc>
        <w:tc>
          <w:tcPr>
            <w:tcW w:w="850" w:type="dxa"/>
            <w:shd w:val="clear" w:color="auto" w:fill="C6EFCE"/>
            <w:noWrap/>
          </w:tcPr>
          <w:p w14:paraId="3F8C4631" w14:textId="14FEF036" w:rsidR="006578ED" w:rsidRDefault="00AF6B91">
            <w:pPr>
              <w:pStyle w:val="P68B1DB1-Normal13"/>
              <w:spacing w:after="0"/>
              <w:jc w:val="center"/>
              <w:rPr>
                <w:rFonts w:eastAsia="Times New Roman" w:cs="Times New Roman"/>
                <w:noProof/>
              </w:rPr>
            </w:pPr>
            <w:r>
              <w:rPr>
                <w:noProof/>
              </w:rPr>
              <w:t>Kamień milowy</w:t>
            </w:r>
          </w:p>
        </w:tc>
        <w:tc>
          <w:tcPr>
            <w:tcW w:w="2552" w:type="dxa"/>
            <w:shd w:val="clear" w:color="auto" w:fill="C6EFCE"/>
            <w:noWrap/>
          </w:tcPr>
          <w:p w14:paraId="036D9408" w14:textId="29A27401" w:rsidR="006578ED" w:rsidRDefault="00A1618E">
            <w:pPr>
              <w:pStyle w:val="P68B1DB1-Normal13"/>
              <w:spacing w:after="0"/>
              <w:rPr>
                <w:rFonts w:eastAsia="Times New Roman" w:cs="Times New Roman"/>
                <w:noProof/>
              </w:rPr>
            </w:pPr>
            <w:r>
              <w:rPr>
                <w:noProof/>
              </w:rPr>
              <w:t>Zaktualizowane prognozy pokazujące, w jaki sposób reformy emerytalne podjęte w 2021 i 20</w:t>
            </w:r>
            <w:r w:rsidRPr="00A1618E">
              <w:rPr>
                <w:noProof/>
                <w:lang w:val="pl-PL"/>
              </w:rPr>
              <w:t>22 r.</w:t>
            </w:r>
            <w:r>
              <w:rPr>
                <w:noProof/>
              </w:rPr>
              <w:t xml:space="preserve"> zapewniają długoterminową stabilność fiskalną</w:t>
            </w:r>
          </w:p>
        </w:tc>
        <w:tc>
          <w:tcPr>
            <w:tcW w:w="992" w:type="dxa"/>
            <w:shd w:val="clear" w:color="auto" w:fill="C6EFCE"/>
            <w:noWrap/>
          </w:tcPr>
          <w:p w14:paraId="1DD49C4C" w14:textId="77777777" w:rsidR="006578ED" w:rsidRDefault="00A1618E">
            <w:pPr>
              <w:pStyle w:val="P68B1DB1-Normal13"/>
              <w:spacing w:after="0"/>
              <w:jc w:val="center"/>
              <w:rPr>
                <w:rFonts w:eastAsia="Times New Roman" w:cs="Times New Roman"/>
                <w:noProof/>
              </w:rPr>
            </w:pPr>
            <w:r>
              <w:rPr>
                <w:noProof/>
              </w:rPr>
              <w:t>Publikacja sprawozdania na stronie internetowej poświęconej zabezpieczeniu społecznemu</w:t>
            </w:r>
          </w:p>
        </w:tc>
        <w:tc>
          <w:tcPr>
            <w:tcW w:w="567" w:type="dxa"/>
            <w:shd w:val="clear" w:color="auto" w:fill="C6EFCE"/>
            <w:noWrap/>
          </w:tcPr>
          <w:p w14:paraId="007CDB97" w14:textId="77777777" w:rsidR="006578ED" w:rsidRDefault="00A1618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5100EA60"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2B2C3966" w14:textId="77777777" w:rsidR="006578ED" w:rsidRDefault="00A1618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5AA2B8CC" w14:textId="30457672" w:rsidR="006578ED" w:rsidRDefault="00EC188C">
            <w:pPr>
              <w:pStyle w:val="P68B1DB1-Normal13"/>
              <w:spacing w:after="0"/>
              <w:jc w:val="center"/>
              <w:rPr>
                <w:rFonts w:eastAsia="Times New Roman" w:cs="Times New Roman"/>
                <w:noProof/>
              </w:rPr>
            </w:pPr>
            <w:r>
              <w:rPr>
                <w:noProof/>
              </w:rPr>
              <w:t>KW. 4</w:t>
            </w:r>
          </w:p>
        </w:tc>
        <w:tc>
          <w:tcPr>
            <w:tcW w:w="567" w:type="dxa"/>
            <w:shd w:val="clear" w:color="auto" w:fill="C6EFCE"/>
            <w:noWrap/>
          </w:tcPr>
          <w:p w14:paraId="2F985389" w14:textId="77777777" w:rsidR="006578ED" w:rsidRDefault="00A1618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01C9780E" w14:textId="756E3887" w:rsidR="006578ED" w:rsidRDefault="00A1618E">
            <w:pPr>
              <w:pStyle w:val="P68B1DB1-Normal13"/>
              <w:spacing w:after="0"/>
              <w:rPr>
                <w:rFonts w:eastAsia="Times New Roman" w:cs="Times New Roman"/>
                <w:noProof/>
              </w:rPr>
            </w:pPr>
            <w:r>
              <w:rPr>
                <w:noProof/>
              </w:rPr>
              <w:t>Publikacja zaktualizowanych prognoz pokazujących, w jaki sposób reformy emerytalne podjęte w 2021 i 20</w:t>
            </w:r>
            <w:r w:rsidRPr="00A1618E">
              <w:rPr>
                <w:noProof/>
                <w:lang w:val="pl-PL"/>
              </w:rPr>
              <w:t>22 r.</w:t>
            </w:r>
            <w:r>
              <w:rPr>
                <w:noProof/>
              </w:rPr>
              <w:t xml:space="preserve"> zapewniają długoterminową stabilność fiskalną, z uwzględnieniem również wpływu innych reform strukturalnych, takich jak reformy rynku pracy.</w:t>
            </w:r>
          </w:p>
        </w:tc>
      </w:tr>
      <w:tr w:rsidR="006578ED" w14:paraId="342F6CB7" w14:textId="77777777">
        <w:trPr>
          <w:trHeight w:val="309"/>
        </w:trPr>
        <w:tc>
          <w:tcPr>
            <w:tcW w:w="709" w:type="dxa"/>
            <w:shd w:val="clear" w:color="auto" w:fill="C6EFCE"/>
            <w:noWrap/>
          </w:tcPr>
          <w:p w14:paraId="4C869186" w14:textId="77777777" w:rsidR="006578ED" w:rsidRDefault="00A1618E">
            <w:pPr>
              <w:pStyle w:val="P68B1DB1-Normal13"/>
              <w:spacing w:after="0"/>
              <w:jc w:val="center"/>
              <w:rPr>
                <w:rFonts w:eastAsia="Times New Roman" w:cs="Times New Roman"/>
                <w:noProof/>
              </w:rPr>
            </w:pPr>
            <w:r>
              <w:rPr>
                <w:noProof/>
              </w:rPr>
              <w:t>411</w:t>
            </w:r>
          </w:p>
        </w:tc>
        <w:tc>
          <w:tcPr>
            <w:tcW w:w="851" w:type="dxa"/>
            <w:shd w:val="clear" w:color="auto" w:fill="C6EFCE"/>
            <w:noWrap/>
          </w:tcPr>
          <w:p w14:paraId="6189A0D6" w14:textId="77777777" w:rsidR="006578ED" w:rsidRDefault="00A1618E">
            <w:pPr>
              <w:pStyle w:val="P68B1DB1-Normal13"/>
              <w:spacing w:after="0"/>
              <w:jc w:val="center"/>
              <w:rPr>
                <w:rFonts w:eastAsia="Times New Roman" w:cs="Times New Roman"/>
                <w:noProof/>
              </w:rPr>
            </w:pPr>
            <w:r>
              <w:rPr>
                <w:noProof/>
              </w:rPr>
              <w:t>C30.R3</w:t>
            </w:r>
          </w:p>
        </w:tc>
        <w:tc>
          <w:tcPr>
            <w:tcW w:w="850" w:type="dxa"/>
            <w:shd w:val="clear" w:color="auto" w:fill="C6EFCE"/>
            <w:noWrap/>
          </w:tcPr>
          <w:p w14:paraId="77EC25CE" w14:textId="4A993F36" w:rsidR="006578ED" w:rsidRDefault="00AF6B91">
            <w:pPr>
              <w:pStyle w:val="P68B1DB1-Normal13"/>
              <w:spacing w:after="0"/>
              <w:jc w:val="center"/>
              <w:rPr>
                <w:rFonts w:eastAsia="Times New Roman" w:cs="Times New Roman"/>
                <w:noProof/>
              </w:rPr>
            </w:pPr>
            <w:r>
              <w:rPr>
                <w:noProof/>
              </w:rPr>
              <w:t>Kamień milowy</w:t>
            </w:r>
          </w:p>
        </w:tc>
        <w:tc>
          <w:tcPr>
            <w:tcW w:w="2552" w:type="dxa"/>
            <w:shd w:val="clear" w:color="auto" w:fill="C6EFCE"/>
            <w:noWrap/>
          </w:tcPr>
          <w:p w14:paraId="3973378A" w14:textId="77777777" w:rsidR="006578ED" w:rsidRDefault="00A1618E">
            <w:pPr>
              <w:pStyle w:val="P68B1DB1-Normal13"/>
              <w:spacing w:after="0"/>
              <w:rPr>
                <w:rFonts w:eastAsia="Times New Roman" w:cs="Times New Roman"/>
                <w:noProof/>
              </w:rPr>
            </w:pPr>
            <w:r>
              <w:rPr>
                <w:noProof/>
              </w:rPr>
              <w:t>Reforma systemu składek na ubezpieczenie społeczne dla osób samozatrudnionych</w:t>
            </w:r>
          </w:p>
        </w:tc>
        <w:tc>
          <w:tcPr>
            <w:tcW w:w="992" w:type="dxa"/>
            <w:shd w:val="clear" w:color="auto" w:fill="C6EFCE"/>
            <w:noWrap/>
          </w:tcPr>
          <w:p w14:paraId="14266B99" w14:textId="0D983F2C" w:rsidR="006578ED" w:rsidRDefault="00A1618E">
            <w:pPr>
              <w:pStyle w:val="P68B1DB1-Normal13"/>
              <w:spacing w:after="0"/>
              <w:jc w:val="center"/>
              <w:rPr>
                <w:rFonts w:eastAsia="Times New Roman" w:cs="Times New Roman"/>
                <w:noProof/>
              </w:rPr>
            </w:pPr>
            <w:r>
              <w:rPr>
                <w:noProof/>
              </w:rPr>
              <w:t xml:space="preserve">Przepis prawny wskazujący na jego wejście w życie </w:t>
            </w:r>
          </w:p>
        </w:tc>
        <w:tc>
          <w:tcPr>
            <w:tcW w:w="567" w:type="dxa"/>
            <w:shd w:val="clear" w:color="auto" w:fill="C6EFCE"/>
            <w:noWrap/>
          </w:tcPr>
          <w:p w14:paraId="20FA847B" w14:textId="77777777" w:rsidR="006578ED" w:rsidRDefault="00A1618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45B9297E"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6B799333" w14:textId="77777777" w:rsidR="006578ED" w:rsidRDefault="00A1618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3210EFDC" w14:textId="2003BDAF" w:rsidR="006578ED" w:rsidRDefault="00EC188C">
            <w:pPr>
              <w:pStyle w:val="P68B1DB1-Normal13"/>
              <w:spacing w:after="0"/>
              <w:jc w:val="center"/>
              <w:rPr>
                <w:rFonts w:eastAsia="Times New Roman" w:cs="Times New Roman"/>
                <w:noProof/>
              </w:rPr>
            </w:pPr>
            <w:r>
              <w:rPr>
                <w:noProof/>
              </w:rPr>
              <w:t>KW. 2</w:t>
            </w:r>
          </w:p>
        </w:tc>
        <w:tc>
          <w:tcPr>
            <w:tcW w:w="567" w:type="dxa"/>
            <w:shd w:val="clear" w:color="auto" w:fill="C6EFCE"/>
            <w:noWrap/>
          </w:tcPr>
          <w:p w14:paraId="4ECE86CA" w14:textId="77777777" w:rsidR="006578ED" w:rsidRDefault="00A1618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6415D23D" w14:textId="7463ACF9" w:rsidR="006578ED" w:rsidRDefault="00A1618E">
            <w:pPr>
              <w:pStyle w:val="P68B1DB1-Normal13"/>
              <w:spacing w:after="0"/>
              <w:rPr>
                <w:rFonts w:eastAsia="Times New Roman" w:cs="Times New Roman"/>
                <w:noProof/>
              </w:rPr>
            </w:pPr>
            <w:r>
              <w:rPr>
                <w:noProof/>
              </w:rPr>
              <w:t>Wejście w życie przepisów dotyczących reformy systemu składek na ubezpieczenie społeczne dla osób prowadzących działalność na własny rachunek, stopniowo zmieniając system składek w oparciu o rzeczywiste dochody.</w:t>
            </w:r>
          </w:p>
        </w:tc>
      </w:tr>
      <w:tr w:rsidR="006578ED" w14:paraId="07B2E1AD" w14:textId="77777777">
        <w:trPr>
          <w:trHeight w:val="309"/>
        </w:trPr>
        <w:tc>
          <w:tcPr>
            <w:tcW w:w="709" w:type="dxa"/>
            <w:shd w:val="clear" w:color="auto" w:fill="C6EFCE"/>
            <w:noWrap/>
          </w:tcPr>
          <w:p w14:paraId="1A6A7A4E" w14:textId="77777777" w:rsidR="006578ED" w:rsidRDefault="00A1618E">
            <w:pPr>
              <w:pStyle w:val="P68B1DB1-Normal13"/>
              <w:spacing w:after="0"/>
              <w:jc w:val="center"/>
              <w:rPr>
                <w:rFonts w:eastAsia="Times New Roman" w:cs="Times New Roman"/>
                <w:noProof/>
              </w:rPr>
            </w:pPr>
            <w:r>
              <w:rPr>
                <w:noProof/>
              </w:rPr>
              <w:t>412</w:t>
            </w:r>
          </w:p>
        </w:tc>
        <w:tc>
          <w:tcPr>
            <w:tcW w:w="851" w:type="dxa"/>
            <w:shd w:val="clear" w:color="auto" w:fill="C6EFCE"/>
            <w:noWrap/>
          </w:tcPr>
          <w:p w14:paraId="01E2C34E" w14:textId="77777777" w:rsidR="006578ED" w:rsidRDefault="00A1618E">
            <w:pPr>
              <w:pStyle w:val="P68B1DB1-Normal13"/>
              <w:spacing w:after="0"/>
              <w:jc w:val="center"/>
              <w:rPr>
                <w:rFonts w:eastAsia="Times New Roman" w:cs="Times New Roman"/>
                <w:noProof/>
              </w:rPr>
            </w:pPr>
            <w:r>
              <w:rPr>
                <w:noProof/>
              </w:rPr>
              <w:t>C30.R4</w:t>
            </w:r>
          </w:p>
        </w:tc>
        <w:tc>
          <w:tcPr>
            <w:tcW w:w="850" w:type="dxa"/>
            <w:shd w:val="clear" w:color="auto" w:fill="C6EFCE"/>
            <w:noWrap/>
          </w:tcPr>
          <w:p w14:paraId="736B26F4" w14:textId="434FC9F2" w:rsidR="006578ED" w:rsidRDefault="00AF6B91">
            <w:pPr>
              <w:pStyle w:val="P68B1DB1-Normal13"/>
              <w:spacing w:after="0"/>
              <w:jc w:val="center"/>
              <w:rPr>
                <w:rFonts w:eastAsia="Times New Roman" w:cs="Times New Roman"/>
                <w:noProof/>
              </w:rPr>
            </w:pPr>
            <w:r>
              <w:rPr>
                <w:noProof/>
              </w:rPr>
              <w:t>Kamień milowy</w:t>
            </w:r>
          </w:p>
        </w:tc>
        <w:tc>
          <w:tcPr>
            <w:tcW w:w="2552" w:type="dxa"/>
            <w:shd w:val="clear" w:color="auto" w:fill="C6EFCE"/>
            <w:noWrap/>
          </w:tcPr>
          <w:p w14:paraId="70C25181" w14:textId="5A36A11F" w:rsidR="006578ED" w:rsidRDefault="00A1618E">
            <w:pPr>
              <w:pStyle w:val="P68B1DB1-Normal13"/>
              <w:spacing w:after="0"/>
              <w:rPr>
                <w:rFonts w:eastAsia="Times New Roman" w:cs="Times New Roman"/>
                <w:noProof/>
              </w:rPr>
            </w:pPr>
            <w:r>
              <w:rPr>
                <w:noProof/>
              </w:rPr>
              <w:t>Usprawnienie dodatków z tytułu macierzyństwa</w:t>
            </w:r>
          </w:p>
        </w:tc>
        <w:tc>
          <w:tcPr>
            <w:tcW w:w="992" w:type="dxa"/>
            <w:shd w:val="clear" w:color="auto" w:fill="C6EFCE"/>
            <w:noWrap/>
          </w:tcPr>
          <w:p w14:paraId="69BDC429" w14:textId="7E569B15" w:rsidR="006578ED" w:rsidRDefault="00A1618E">
            <w:pPr>
              <w:pStyle w:val="P68B1DB1-Normal13"/>
              <w:spacing w:after="0"/>
              <w:jc w:val="center"/>
              <w:rPr>
                <w:rFonts w:eastAsia="Times New Roman" w:cs="Times New Roman"/>
                <w:noProof/>
              </w:rPr>
            </w:pPr>
            <w:r>
              <w:rPr>
                <w:noProof/>
              </w:rPr>
              <w:t xml:space="preserve">Przepis RDL wskazujący na jego wejście w życie </w:t>
            </w:r>
          </w:p>
        </w:tc>
        <w:tc>
          <w:tcPr>
            <w:tcW w:w="567" w:type="dxa"/>
            <w:shd w:val="clear" w:color="auto" w:fill="C6EFCE"/>
            <w:noWrap/>
          </w:tcPr>
          <w:p w14:paraId="301B544D" w14:textId="77777777" w:rsidR="006578ED" w:rsidRDefault="00A1618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237DEE08"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31217D80" w14:textId="77777777" w:rsidR="006578ED" w:rsidRDefault="00A1618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6CD8741C" w14:textId="28E1B680" w:rsidR="006578ED" w:rsidRDefault="00EC188C">
            <w:pPr>
              <w:pStyle w:val="P68B1DB1-Normal13"/>
              <w:spacing w:after="0"/>
              <w:jc w:val="center"/>
              <w:rPr>
                <w:rFonts w:eastAsia="Times New Roman" w:cs="Times New Roman"/>
                <w:noProof/>
              </w:rPr>
            </w:pPr>
            <w:r>
              <w:rPr>
                <w:noProof/>
              </w:rPr>
              <w:t>KW. 1</w:t>
            </w:r>
          </w:p>
        </w:tc>
        <w:tc>
          <w:tcPr>
            <w:tcW w:w="567" w:type="dxa"/>
            <w:shd w:val="clear" w:color="auto" w:fill="C6EFCE"/>
            <w:noWrap/>
          </w:tcPr>
          <w:p w14:paraId="46EB437E" w14:textId="77777777" w:rsidR="006578ED" w:rsidRDefault="00A1618E">
            <w:pPr>
              <w:pStyle w:val="P68B1DB1-Normal13"/>
              <w:spacing w:after="0"/>
              <w:jc w:val="center"/>
              <w:rPr>
                <w:rFonts w:eastAsia="Times New Roman" w:cs="Times New Roman"/>
                <w:noProof/>
              </w:rPr>
            </w:pPr>
            <w:r>
              <w:rPr>
                <w:noProof/>
              </w:rPr>
              <w:t>2021</w:t>
            </w:r>
          </w:p>
        </w:tc>
        <w:tc>
          <w:tcPr>
            <w:tcW w:w="6804" w:type="dxa"/>
            <w:shd w:val="clear" w:color="auto" w:fill="C6EFCE"/>
            <w:noWrap/>
          </w:tcPr>
          <w:p w14:paraId="4A891336" w14:textId="2A30BFAF" w:rsidR="006578ED" w:rsidRDefault="00A1618E">
            <w:pPr>
              <w:pStyle w:val="P68B1DB1-Normal13"/>
              <w:spacing w:after="0"/>
              <w:rPr>
                <w:rFonts w:eastAsia="Times New Roman" w:cs="Times New Roman"/>
                <w:noProof/>
              </w:rPr>
            </w:pPr>
            <w:r>
              <w:rPr>
                <w:noProof/>
              </w:rPr>
              <w:t xml:space="preserve">Wejście w życie dekretu królewskiego z mocą ustawy </w:t>
            </w:r>
            <w:r w:rsidRPr="00A1618E">
              <w:rPr>
                <w:noProof/>
                <w:lang w:val="pl-PL"/>
              </w:rPr>
              <w:t>nr 3</w:t>
            </w:r>
            <w:r>
              <w:rPr>
                <w:noProof/>
              </w:rPr>
              <w:t>/2021 z dnia 3 lutego 20</w:t>
            </w:r>
            <w:r w:rsidRPr="00A1618E">
              <w:rPr>
                <w:noProof/>
                <w:lang w:val="pl-PL"/>
              </w:rPr>
              <w:t>21 r.</w:t>
            </w:r>
            <w:r>
              <w:rPr>
                <w:noProof/>
              </w:rPr>
              <w:t xml:space="preserve"> w sprawie usprawnienia dodatków macierzyńskich. Aby zastosować się do wyroku ETS z dnia 12 grudnia 20</w:t>
            </w:r>
            <w:r w:rsidRPr="00A1618E">
              <w:rPr>
                <w:noProof/>
                <w:lang w:val="pl-PL"/>
              </w:rPr>
              <w:t>19 r.</w:t>
            </w:r>
            <w:r>
              <w:rPr>
                <w:noProof/>
              </w:rPr>
              <w:t>, dodatki emerytalne należy uprościć i skoncentrować się na zmniejszaniu różnic w traktowaniu kobiet i mężczyzn. W przypadku rodziców, których życie zawodowe zmieniło się natychmiast po rodzicach, wprowadza się stałą płatność.</w:t>
            </w:r>
          </w:p>
        </w:tc>
      </w:tr>
      <w:tr w:rsidR="006578ED" w14:paraId="571DC049" w14:textId="77777777">
        <w:trPr>
          <w:trHeight w:val="309"/>
        </w:trPr>
        <w:tc>
          <w:tcPr>
            <w:tcW w:w="709" w:type="dxa"/>
            <w:shd w:val="clear" w:color="auto" w:fill="C6EFCE"/>
            <w:noWrap/>
          </w:tcPr>
          <w:p w14:paraId="74886244" w14:textId="77777777" w:rsidR="006578ED" w:rsidRDefault="00A1618E">
            <w:pPr>
              <w:pStyle w:val="P68B1DB1-Normal13"/>
              <w:spacing w:after="0"/>
              <w:jc w:val="center"/>
              <w:rPr>
                <w:rFonts w:eastAsia="Times New Roman" w:cs="Times New Roman"/>
                <w:noProof/>
              </w:rPr>
            </w:pPr>
            <w:r>
              <w:rPr>
                <w:noProof/>
              </w:rPr>
              <w:t>413</w:t>
            </w:r>
          </w:p>
        </w:tc>
        <w:tc>
          <w:tcPr>
            <w:tcW w:w="851" w:type="dxa"/>
            <w:shd w:val="clear" w:color="auto" w:fill="C6EFCE"/>
            <w:noWrap/>
          </w:tcPr>
          <w:p w14:paraId="2F2EC24A" w14:textId="77777777" w:rsidR="006578ED" w:rsidRDefault="00A1618E">
            <w:pPr>
              <w:pStyle w:val="P68B1DB1-Normal13"/>
              <w:spacing w:after="0"/>
              <w:jc w:val="center"/>
              <w:rPr>
                <w:rFonts w:eastAsia="Times New Roman" w:cs="Times New Roman"/>
                <w:noProof/>
              </w:rPr>
            </w:pPr>
            <w:r>
              <w:rPr>
                <w:noProof/>
              </w:rPr>
              <w:t>C30.R5</w:t>
            </w:r>
          </w:p>
        </w:tc>
        <w:tc>
          <w:tcPr>
            <w:tcW w:w="850" w:type="dxa"/>
            <w:shd w:val="clear" w:color="auto" w:fill="C6EFCE"/>
            <w:noWrap/>
          </w:tcPr>
          <w:p w14:paraId="2FE066D4" w14:textId="7D00274D" w:rsidR="006578ED" w:rsidRDefault="00AF6B91">
            <w:pPr>
              <w:pStyle w:val="P68B1DB1-Normal13"/>
              <w:spacing w:after="0"/>
              <w:jc w:val="center"/>
              <w:rPr>
                <w:rFonts w:eastAsia="Times New Roman" w:cs="Times New Roman"/>
                <w:noProof/>
              </w:rPr>
            </w:pPr>
            <w:r>
              <w:rPr>
                <w:noProof/>
              </w:rPr>
              <w:t>Kamień milowy</w:t>
            </w:r>
          </w:p>
        </w:tc>
        <w:tc>
          <w:tcPr>
            <w:tcW w:w="2552" w:type="dxa"/>
            <w:shd w:val="clear" w:color="auto" w:fill="C6EFCE"/>
            <w:noWrap/>
          </w:tcPr>
          <w:p w14:paraId="4ED5939A" w14:textId="73049AAD" w:rsidR="006578ED" w:rsidRDefault="00A1618E">
            <w:pPr>
              <w:pStyle w:val="P68B1DB1-Normal13"/>
              <w:spacing w:after="0"/>
              <w:rPr>
                <w:rFonts w:eastAsia="Times New Roman" w:cs="Times New Roman"/>
                <w:noProof/>
              </w:rPr>
            </w:pPr>
            <w:r>
              <w:rPr>
                <w:noProof/>
              </w:rPr>
              <w:t>Przegląd ulg podatkowych związanych z obecnym systemem dodatkowych emerytur</w:t>
            </w:r>
          </w:p>
        </w:tc>
        <w:tc>
          <w:tcPr>
            <w:tcW w:w="992" w:type="dxa"/>
            <w:shd w:val="clear" w:color="auto" w:fill="C6EFCE"/>
            <w:noWrap/>
          </w:tcPr>
          <w:p w14:paraId="728C6ACF" w14:textId="4A57E3F9" w:rsidR="006578ED" w:rsidRDefault="00A1618E">
            <w:pPr>
              <w:pStyle w:val="P68B1DB1-Normal13"/>
              <w:spacing w:after="0"/>
              <w:jc w:val="center"/>
              <w:rPr>
                <w:rFonts w:eastAsia="Times New Roman" w:cs="Times New Roman"/>
                <w:noProof/>
              </w:rPr>
            </w:pPr>
            <w:r>
              <w:rPr>
                <w:noProof/>
              </w:rPr>
              <w:t>Przepis ustawy wskazujący na wejście w życie przepisu końcowego 11 i </w:t>
            </w:r>
            <w:r w:rsidRPr="00A1618E">
              <w:rPr>
                <w:noProof/>
                <w:lang w:val="pl-PL"/>
              </w:rPr>
              <w:t>art. 6</w:t>
            </w:r>
            <w:r>
              <w:rPr>
                <w:noProof/>
              </w:rPr>
              <w:t xml:space="preserve">2 </w:t>
            </w:r>
          </w:p>
        </w:tc>
        <w:tc>
          <w:tcPr>
            <w:tcW w:w="567" w:type="dxa"/>
            <w:shd w:val="clear" w:color="auto" w:fill="C6EFCE"/>
            <w:noWrap/>
          </w:tcPr>
          <w:p w14:paraId="0FEA8EAC" w14:textId="77777777" w:rsidR="006578ED" w:rsidRDefault="00A1618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34701F8C"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4C770724" w14:textId="77777777" w:rsidR="006578ED" w:rsidRDefault="00A1618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0D59BC49" w14:textId="385E2482" w:rsidR="006578ED" w:rsidRDefault="00EC188C">
            <w:pPr>
              <w:pStyle w:val="P68B1DB1-Normal13"/>
              <w:spacing w:after="0"/>
              <w:jc w:val="center"/>
              <w:rPr>
                <w:rFonts w:eastAsia="Times New Roman" w:cs="Times New Roman"/>
                <w:noProof/>
              </w:rPr>
            </w:pPr>
            <w:r>
              <w:rPr>
                <w:noProof/>
              </w:rPr>
              <w:t>KW. 4</w:t>
            </w:r>
          </w:p>
        </w:tc>
        <w:tc>
          <w:tcPr>
            <w:tcW w:w="567" w:type="dxa"/>
            <w:shd w:val="clear" w:color="auto" w:fill="C6EFCE"/>
            <w:noWrap/>
          </w:tcPr>
          <w:p w14:paraId="4698E595" w14:textId="77777777" w:rsidR="006578ED" w:rsidRDefault="00A1618E">
            <w:pPr>
              <w:pStyle w:val="P68B1DB1-Normal13"/>
              <w:spacing w:after="0"/>
              <w:jc w:val="center"/>
              <w:rPr>
                <w:rFonts w:eastAsia="Times New Roman" w:cs="Times New Roman"/>
                <w:noProof/>
              </w:rPr>
            </w:pPr>
            <w:r>
              <w:rPr>
                <w:noProof/>
              </w:rPr>
              <w:t>2020</w:t>
            </w:r>
          </w:p>
        </w:tc>
        <w:tc>
          <w:tcPr>
            <w:tcW w:w="6804" w:type="dxa"/>
            <w:shd w:val="clear" w:color="auto" w:fill="C6EFCE"/>
            <w:noWrap/>
          </w:tcPr>
          <w:p w14:paraId="72AC4D48" w14:textId="1CDA93DE" w:rsidR="006578ED" w:rsidRDefault="00A1618E">
            <w:pPr>
              <w:pStyle w:val="P68B1DB1-Normal13"/>
              <w:spacing w:after="0"/>
              <w:rPr>
                <w:rFonts w:eastAsia="Times New Roman" w:cs="Times New Roman"/>
                <w:noProof/>
              </w:rPr>
            </w:pPr>
            <w:r>
              <w:rPr>
                <w:noProof/>
              </w:rPr>
              <w:t xml:space="preserve">Wejście w życie ustawy </w:t>
            </w:r>
            <w:r w:rsidRPr="00A1618E">
              <w:rPr>
                <w:noProof/>
                <w:lang w:val="pl-PL"/>
              </w:rPr>
              <w:t>nr 1</w:t>
            </w:r>
            <w:r>
              <w:rPr>
                <w:noProof/>
              </w:rPr>
              <w:t>1/2020 z dnia 30 grudnia 20</w:t>
            </w:r>
            <w:r w:rsidRPr="00A1618E">
              <w:rPr>
                <w:noProof/>
                <w:lang w:val="pl-PL"/>
              </w:rPr>
              <w:t>21 r.</w:t>
            </w:r>
            <w:r>
              <w:rPr>
                <w:noProof/>
              </w:rPr>
              <w:t xml:space="preserve"> w sprawie ogólnego budżetu państwa </w:t>
            </w:r>
            <w:r w:rsidRPr="00A1618E">
              <w:rPr>
                <w:noProof/>
                <w:lang w:val="pl-PL"/>
              </w:rPr>
              <w:t>na 2</w:t>
            </w:r>
            <w:r>
              <w:rPr>
                <w:noProof/>
              </w:rPr>
              <w:t>0</w:t>
            </w:r>
            <w:r w:rsidRPr="00A1618E">
              <w:rPr>
                <w:noProof/>
                <w:lang w:val="pl-PL"/>
              </w:rPr>
              <w:t>21 r.</w:t>
            </w:r>
            <w:r>
              <w:rPr>
                <w:noProof/>
              </w:rPr>
              <w:t xml:space="preserve"> dotyczącej przeglądu ulg podatkowych związanych z obecnym dodatkowym systemem emerytalnym. Prawo do ulg podatkowych przenosi się z indywidualnych prywatnych programów emerytalnych do pracowniczych programów emerytalnych opartych na układach zbiorowych pracy. Odpowiednimi przepisami ustawy budżetowej dotyczącymi wprowadzenia nowych ram są przepisy końcowe 11 LPGE i </w:t>
            </w:r>
            <w:r w:rsidRPr="00A1618E">
              <w:rPr>
                <w:noProof/>
                <w:lang w:val="pl-PL"/>
              </w:rPr>
              <w:t>art. 6</w:t>
            </w:r>
            <w:r>
              <w:rPr>
                <w:noProof/>
              </w:rPr>
              <w:t>2.</w:t>
            </w:r>
          </w:p>
        </w:tc>
      </w:tr>
      <w:tr w:rsidR="006578ED" w14:paraId="3E04544D" w14:textId="77777777">
        <w:trPr>
          <w:trHeight w:val="309"/>
        </w:trPr>
        <w:tc>
          <w:tcPr>
            <w:tcW w:w="709" w:type="dxa"/>
            <w:shd w:val="clear" w:color="auto" w:fill="C6EFCE"/>
            <w:noWrap/>
          </w:tcPr>
          <w:p w14:paraId="2B66978C" w14:textId="77777777" w:rsidR="006578ED" w:rsidRDefault="00A1618E">
            <w:pPr>
              <w:pStyle w:val="P68B1DB1-Normal13"/>
              <w:spacing w:after="0"/>
              <w:jc w:val="center"/>
              <w:rPr>
                <w:rFonts w:eastAsia="Times New Roman" w:cs="Times New Roman"/>
                <w:noProof/>
              </w:rPr>
            </w:pPr>
            <w:r>
              <w:rPr>
                <w:noProof/>
              </w:rPr>
              <w:t>414</w:t>
            </w:r>
          </w:p>
        </w:tc>
        <w:tc>
          <w:tcPr>
            <w:tcW w:w="851" w:type="dxa"/>
            <w:shd w:val="clear" w:color="auto" w:fill="C6EFCE"/>
            <w:noWrap/>
          </w:tcPr>
          <w:p w14:paraId="19D0A656" w14:textId="77777777" w:rsidR="006578ED" w:rsidRDefault="00A1618E">
            <w:pPr>
              <w:pStyle w:val="P68B1DB1-Normal13"/>
              <w:spacing w:after="0"/>
              <w:jc w:val="center"/>
              <w:rPr>
                <w:rFonts w:eastAsia="Times New Roman" w:cs="Times New Roman"/>
                <w:noProof/>
              </w:rPr>
            </w:pPr>
            <w:r>
              <w:rPr>
                <w:noProof/>
              </w:rPr>
              <w:t>C30.R5</w:t>
            </w:r>
          </w:p>
        </w:tc>
        <w:tc>
          <w:tcPr>
            <w:tcW w:w="850" w:type="dxa"/>
            <w:shd w:val="clear" w:color="auto" w:fill="C6EFCE"/>
            <w:noWrap/>
          </w:tcPr>
          <w:p w14:paraId="7489E7DD" w14:textId="71B1191C" w:rsidR="006578ED" w:rsidRDefault="00AF6B91">
            <w:pPr>
              <w:pStyle w:val="P68B1DB1-Normal13"/>
              <w:spacing w:after="0"/>
              <w:jc w:val="center"/>
              <w:rPr>
                <w:rFonts w:eastAsia="Times New Roman" w:cs="Times New Roman"/>
                <w:noProof/>
              </w:rPr>
            </w:pPr>
            <w:r>
              <w:rPr>
                <w:noProof/>
              </w:rPr>
              <w:t>Kamień milowy</w:t>
            </w:r>
          </w:p>
        </w:tc>
        <w:tc>
          <w:tcPr>
            <w:tcW w:w="2552" w:type="dxa"/>
            <w:shd w:val="clear" w:color="auto" w:fill="C6EFCE"/>
            <w:noWrap/>
          </w:tcPr>
          <w:p w14:paraId="6990F315" w14:textId="77777777" w:rsidR="006578ED" w:rsidRDefault="00A1618E">
            <w:pPr>
              <w:pStyle w:val="P68B1DB1-Normal13"/>
              <w:spacing w:after="0"/>
              <w:rPr>
                <w:rFonts w:eastAsia="Times New Roman" w:cs="Times New Roman"/>
                <w:noProof/>
              </w:rPr>
            </w:pPr>
            <w:r>
              <w:rPr>
                <w:noProof/>
              </w:rPr>
              <w:t>Przegląd obecnego dodatkowego systemu emerytalnego</w:t>
            </w:r>
          </w:p>
        </w:tc>
        <w:tc>
          <w:tcPr>
            <w:tcW w:w="992" w:type="dxa"/>
            <w:shd w:val="clear" w:color="auto" w:fill="C6EFCE"/>
            <w:noWrap/>
          </w:tcPr>
          <w:p w14:paraId="78CA58BF" w14:textId="79BB566C" w:rsidR="006578ED" w:rsidRDefault="00A1618E">
            <w:pPr>
              <w:pStyle w:val="P68B1DB1-Normal13"/>
              <w:spacing w:after="0"/>
              <w:jc w:val="center"/>
              <w:rPr>
                <w:rFonts w:eastAsia="Times New Roman" w:cs="Times New Roman"/>
                <w:noProof/>
              </w:rPr>
            </w:pPr>
            <w:r>
              <w:rPr>
                <w:noProof/>
              </w:rPr>
              <w:t xml:space="preserve">Przepis prawny wskazujący na jego wejście w życie </w:t>
            </w:r>
          </w:p>
        </w:tc>
        <w:tc>
          <w:tcPr>
            <w:tcW w:w="567" w:type="dxa"/>
            <w:shd w:val="clear" w:color="auto" w:fill="C6EFCE"/>
            <w:noWrap/>
          </w:tcPr>
          <w:p w14:paraId="05BB9BB7" w14:textId="77777777" w:rsidR="006578ED" w:rsidRDefault="00A1618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09516691"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12D88D2A" w14:textId="77777777" w:rsidR="006578ED" w:rsidRDefault="00A1618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18AC387C" w14:textId="61FE766E" w:rsidR="006578ED" w:rsidRDefault="00EC188C">
            <w:pPr>
              <w:pStyle w:val="P68B1DB1-Normal13"/>
              <w:spacing w:after="0"/>
              <w:jc w:val="center"/>
              <w:rPr>
                <w:rFonts w:eastAsia="Times New Roman" w:cs="Times New Roman"/>
                <w:noProof/>
              </w:rPr>
            </w:pPr>
            <w:r>
              <w:rPr>
                <w:noProof/>
              </w:rPr>
              <w:t>KW. 2</w:t>
            </w:r>
          </w:p>
        </w:tc>
        <w:tc>
          <w:tcPr>
            <w:tcW w:w="567" w:type="dxa"/>
            <w:shd w:val="clear" w:color="auto" w:fill="C6EFCE"/>
            <w:noWrap/>
          </w:tcPr>
          <w:p w14:paraId="21FFB7AD" w14:textId="77777777" w:rsidR="006578ED" w:rsidRDefault="00A1618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6A363E63" w14:textId="4081D21E" w:rsidR="006578ED" w:rsidRDefault="00A1618E">
            <w:pPr>
              <w:pStyle w:val="P68B1DB1-Normal13"/>
              <w:spacing w:after="0"/>
              <w:rPr>
                <w:rFonts w:eastAsia="Times New Roman" w:cs="Times New Roman"/>
                <w:noProof/>
              </w:rPr>
            </w:pPr>
            <w:r>
              <w:rPr>
                <w:noProof/>
              </w:rPr>
              <w:t>Wejście w życie przepisów dotyczących przeglądu obecnego dodatkowego systemu emerytalnego w celu promowania systemów emerytalnych poprzez utworzenie przez administrację funduszy emerytalnych otwartych dla wszystkich przedsiębiorstw i pracowników.</w:t>
            </w:r>
          </w:p>
        </w:tc>
      </w:tr>
      <w:tr w:rsidR="006578ED" w14:paraId="46E1F473" w14:textId="77777777">
        <w:trPr>
          <w:trHeight w:val="309"/>
        </w:trPr>
        <w:tc>
          <w:tcPr>
            <w:tcW w:w="709" w:type="dxa"/>
            <w:shd w:val="clear" w:color="auto" w:fill="C6EFCE"/>
            <w:noWrap/>
          </w:tcPr>
          <w:p w14:paraId="4722DCDF" w14:textId="77777777" w:rsidR="006578ED" w:rsidRDefault="00A1618E">
            <w:pPr>
              <w:pStyle w:val="P68B1DB1-Normal13"/>
              <w:spacing w:after="0"/>
              <w:jc w:val="center"/>
              <w:rPr>
                <w:rFonts w:eastAsia="Times New Roman" w:cs="Times New Roman"/>
                <w:noProof/>
              </w:rPr>
            </w:pPr>
            <w:r>
              <w:rPr>
                <w:noProof/>
              </w:rPr>
              <w:t>415</w:t>
            </w:r>
          </w:p>
        </w:tc>
        <w:tc>
          <w:tcPr>
            <w:tcW w:w="851" w:type="dxa"/>
            <w:shd w:val="clear" w:color="auto" w:fill="C6EFCE"/>
            <w:noWrap/>
          </w:tcPr>
          <w:p w14:paraId="1F803B1E" w14:textId="77777777" w:rsidR="006578ED" w:rsidRDefault="00A1618E">
            <w:pPr>
              <w:pStyle w:val="P68B1DB1-Normal13"/>
              <w:spacing w:after="0"/>
              <w:jc w:val="center"/>
              <w:rPr>
                <w:rFonts w:eastAsia="Times New Roman" w:cs="Times New Roman"/>
                <w:noProof/>
              </w:rPr>
            </w:pPr>
            <w:r>
              <w:rPr>
                <w:noProof/>
              </w:rPr>
              <w:t>C30.R6</w:t>
            </w:r>
          </w:p>
        </w:tc>
        <w:tc>
          <w:tcPr>
            <w:tcW w:w="850" w:type="dxa"/>
            <w:shd w:val="clear" w:color="auto" w:fill="C6EFCE"/>
            <w:noWrap/>
          </w:tcPr>
          <w:p w14:paraId="1568BB27" w14:textId="274DEACD" w:rsidR="006578ED" w:rsidRDefault="00AF6B91">
            <w:pPr>
              <w:pStyle w:val="P68B1DB1-Normal13"/>
              <w:spacing w:after="0"/>
              <w:jc w:val="center"/>
              <w:rPr>
                <w:rFonts w:eastAsia="Times New Roman" w:cs="Times New Roman"/>
                <w:noProof/>
              </w:rPr>
            </w:pPr>
            <w:r>
              <w:rPr>
                <w:noProof/>
              </w:rPr>
              <w:t>Kamień milowy</w:t>
            </w:r>
          </w:p>
        </w:tc>
        <w:tc>
          <w:tcPr>
            <w:tcW w:w="2552" w:type="dxa"/>
            <w:shd w:val="clear" w:color="auto" w:fill="C6EFCE"/>
            <w:noWrap/>
          </w:tcPr>
          <w:p w14:paraId="6DE0850E" w14:textId="77777777" w:rsidR="006578ED" w:rsidRDefault="00A1618E">
            <w:pPr>
              <w:pStyle w:val="P68B1DB1-Normal13"/>
              <w:spacing w:after="0"/>
              <w:rPr>
                <w:rFonts w:eastAsia="Times New Roman" w:cs="Times New Roman"/>
                <w:noProof/>
              </w:rPr>
            </w:pPr>
            <w:r>
              <w:rPr>
                <w:noProof/>
              </w:rPr>
              <w:t>Dostosowanie maksymalnej podstawy składki</w:t>
            </w:r>
          </w:p>
        </w:tc>
        <w:tc>
          <w:tcPr>
            <w:tcW w:w="992" w:type="dxa"/>
            <w:shd w:val="clear" w:color="auto" w:fill="C6EFCE"/>
            <w:noWrap/>
          </w:tcPr>
          <w:p w14:paraId="595D6BA3" w14:textId="51F53B79" w:rsidR="006578ED" w:rsidRDefault="00A1618E">
            <w:pPr>
              <w:pStyle w:val="P68B1DB1-Normal13"/>
              <w:spacing w:after="0"/>
              <w:jc w:val="center"/>
              <w:rPr>
                <w:rFonts w:eastAsia="Times New Roman" w:cs="Times New Roman"/>
                <w:noProof/>
              </w:rPr>
            </w:pPr>
            <w:r>
              <w:rPr>
                <w:noProof/>
              </w:rPr>
              <w:t xml:space="preserve">Przepis prawny wskazujący na jego wejście w życie </w:t>
            </w:r>
          </w:p>
        </w:tc>
        <w:tc>
          <w:tcPr>
            <w:tcW w:w="567" w:type="dxa"/>
            <w:shd w:val="clear" w:color="auto" w:fill="C6EFCE"/>
            <w:noWrap/>
          </w:tcPr>
          <w:p w14:paraId="6FF7284D" w14:textId="77777777" w:rsidR="006578ED" w:rsidRDefault="00A1618E">
            <w:pPr>
              <w:pStyle w:val="P68B1DB1-Normal13"/>
              <w:spacing w:after="0"/>
              <w:jc w:val="center"/>
              <w:rPr>
                <w:rFonts w:eastAsia="Times New Roman" w:cs="Times New Roman"/>
                <w:noProof/>
              </w:rPr>
            </w:pPr>
            <w:r>
              <w:rPr>
                <w:noProof/>
              </w:rPr>
              <w:t xml:space="preserve"> </w:t>
            </w:r>
          </w:p>
        </w:tc>
        <w:tc>
          <w:tcPr>
            <w:tcW w:w="425" w:type="dxa"/>
            <w:shd w:val="clear" w:color="auto" w:fill="C6EFCE"/>
            <w:noWrap/>
          </w:tcPr>
          <w:p w14:paraId="77D1F4E0" w14:textId="77777777" w:rsidR="006578ED" w:rsidRDefault="00A1618E">
            <w:pPr>
              <w:pStyle w:val="P68B1DB1-Normal13"/>
              <w:spacing w:after="0"/>
              <w:jc w:val="right"/>
              <w:rPr>
                <w:rFonts w:eastAsia="Times New Roman" w:cs="Times New Roman"/>
                <w:noProof/>
              </w:rPr>
            </w:pPr>
            <w:r>
              <w:rPr>
                <w:noProof/>
              </w:rPr>
              <w:t xml:space="preserve"> </w:t>
            </w:r>
          </w:p>
        </w:tc>
        <w:tc>
          <w:tcPr>
            <w:tcW w:w="567" w:type="dxa"/>
            <w:shd w:val="clear" w:color="auto" w:fill="C6EFCE"/>
            <w:noWrap/>
          </w:tcPr>
          <w:p w14:paraId="4CAC2C96" w14:textId="77777777" w:rsidR="006578ED" w:rsidRDefault="00A1618E">
            <w:pPr>
              <w:pStyle w:val="P68B1DB1-Normal13"/>
              <w:spacing w:after="0"/>
              <w:jc w:val="right"/>
              <w:rPr>
                <w:rFonts w:eastAsia="Times New Roman" w:cs="Times New Roman"/>
                <w:noProof/>
              </w:rPr>
            </w:pPr>
            <w:r>
              <w:rPr>
                <w:noProof/>
              </w:rPr>
              <w:t xml:space="preserve"> </w:t>
            </w:r>
          </w:p>
        </w:tc>
        <w:tc>
          <w:tcPr>
            <w:tcW w:w="426" w:type="dxa"/>
            <w:shd w:val="clear" w:color="auto" w:fill="C6EFCE"/>
            <w:noWrap/>
          </w:tcPr>
          <w:p w14:paraId="04375009" w14:textId="2B3CA466" w:rsidR="006578ED" w:rsidRDefault="00EC188C">
            <w:pPr>
              <w:pStyle w:val="P68B1DB1-Normal13"/>
              <w:spacing w:after="0"/>
              <w:jc w:val="center"/>
              <w:rPr>
                <w:rFonts w:eastAsia="Times New Roman" w:cs="Times New Roman"/>
                <w:noProof/>
              </w:rPr>
            </w:pPr>
            <w:r>
              <w:rPr>
                <w:noProof/>
              </w:rPr>
              <w:t>KW. 4</w:t>
            </w:r>
          </w:p>
        </w:tc>
        <w:tc>
          <w:tcPr>
            <w:tcW w:w="567" w:type="dxa"/>
            <w:shd w:val="clear" w:color="auto" w:fill="C6EFCE"/>
            <w:noWrap/>
          </w:tcPr>
          <w:p w14:paraId="59061F11" w14:textId="77777777" w:rsidR="006578ED" w:rsidRDefault="00A1618E">
            <w:pPr>
              <w:pStyle w:val="P68B1DB1-Normal13"/>
              <w:spacing w:after="0"/>
              <w:jc w:val="center"/>
              <w:rPr>
                <w:rFonts w:eastAsia="Times New Roman" w:cs="Times New Roman"/>
                <w:noProof/>
              </w:rPr>
            </w:pPr>
            <w:r>
              <w:rPr>
                <w:noProof/>
              </w:rPr>
              <w:t>2022</w:t>
            </w:r>
          </w:p>
        </w:tc>
        <w:tc>
          <w:tcPr>
            <w:tcW w:w="6804" w:type="dxa"/>
            <w:shd w:val="clear" w:color="auto" w:fill="C6EFCE"/>
            <w:noWrap/>
          </w:tcPr>
          <w:p w14:paraId="5AE2B90C" w14:textId="111CDE78" w:rsidR="006578ED" w:rsidRDefault="00A1618E">
            <w:pPr>
              <w:pStyle w:val="P68B1DB1-Normal13"/>
              <w:spacing w:after="0"/>
              <w:rPr>
                <w:rFonts w:eastAsia="Times New Roman" w:cs="Times New Roman"/>
                <w:noProof/>
              </w:rPr>
            </w:pPr>
            <w:r>
              <w:rPr>
                <w:noProof/>
              </w:rPr>
              <w:t>Wejście w życie przepisów dotyczących dostosowania maksymalnej podstawy składki: stopniowe zwiększanie maksymalnej podstawy składek systemu i dostosowanie maksymalnych emerytur w celu poszerzenia podstawy składek i progresywności systemu oraz zwiększenia ogólnych dochodów.</w:t>
            </w:r>
          </w:p>
        </w:tc>
      </w:tr>
    </w:tbl>
    <w:p w14:paraId="656BB99D" w14:textId="77777777" w:rsidR="006578ED" w:rsidRDefault="006578ED">
      <w:pPr>
        <w:pStyle w:val="Text1"/>
        <w:ind w:left="0"/>
        <w:rPr>
          <w:rFonts w:ascii="Times New Roman" w:hAnsi="Times New Roman" w:cs="Times New Roman"/>
          <w:noProof/>
        </w:rPr>
        <w:sectPr w:rsidR="006578ED" w:rsidSect="00C94F66">
          <w:headerReference w:type="even" r:id="rId561"/>
          <w:headerReference w:type="default" r:id="rId562"/>
          <w:footerReference w:type="even" r:id="rId563"/>
          <w:footerReference w:type="default" r:id="rId564"/>
          <w:headerReference w:type="first" r:id="rId565"/>
          <w:footerReference w:type="first" r:id="rId566"/>
          <w:pgSz w:w="16839" w:h="11907" w:orient="landscape"/>
          <w:pgMar w:top="1417" w:right="1134" w:bottom="1417" w:left="1134" w:header="709" w:footer="709" w:gutter="0"/>
          <w:cols w:space="720"/>
          <w:docGrid w:linePitch="360"/>
        </w:sectPr>
      </w:pPr>
    </w:p>
    <w:p w14:paraId="70BCB411" w14:textId="77777777" w:rsidR="006578ED" w:rsidRDefault="00A1618E">
      <w:pPr>
        <w:pStyle w:val="P68B1DB1-Heading12"/>
        <w:rPr>
          <w:rFonts w:cs="Times New Roman"/>
          <w:noProof/>
        </w:rPr>
      </w:pPr>
      <w:r>
        <w:rPr>
          <w:noProof/>
        </w:rPr>
        <w:t>AE. KOMPONENT 31: Rozdział REPowerEU</w:t>
      </w:r>
    </w:p>
    <w:p w14:paraId="1254EFEE" w14:textId="1797FE3C" w:rsidR="006578ED" w:rsidRDefault="00A1618E">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 xml:space="preserve">Celem rozdziału REPowerEU jest zmniejszenie ogólnej zależności od paliw kopalnych, a w szczególności uproszczenie wydawania zezwoleń na nowe sieci elektroenergetyczne i projekty dotyczące energii odnawialnej, wspieranie produkcji energii ze źródeł odnawialnych i wodoru odnawialnego, poprawa łańcucha wartości odnawialnych źródeł energii oraz pobudzenie dekarbonizacji przemysłu. </w:t>
      </w:r>
    </w:p>
    <w:p w14:paraId="5F854BC2" w14:textId="380C069F" w:rsidR="006578ED" w:rsidRDefault="00A1618E">
      <w:pPr>
        <w:pStyle w:val="Text1"/>
        <w:ind w:left="0"/>
        <w:rPr>
          <w:rStyle w:val="IntenseEmphasis"/>
          <w:rFonts w:ascii="Times New Roman" w:hAnsi="Times New Roman" w:cs="Times New Roman"/>
          <w:i w:val="0"/>
          <w:noProof/>
          <w:color w:val="auto"/>
        </w:rPr>
      </w:pPr>
      <w:r>
        <w:rPr>
          <w:rStyle w:val="IntenseEmphasis"/>
          <w:rFonts w:ascii="Times New Roman" w:hAnsi="Times New Roman"/>
          <w:i w:val="0"/>
          <w:noProof/>
          <w:color w:val="auto"/>
        </w:rPr>
        <w:t xml:space="preserve">Komponent ten jest odpowiedzią na zalecenia dla poszczególnych krajów dotyczące zmniejszenia ogólnej zależności od paliw kopalnych w latach 2022 i 2023. Przyczynia się on do przyspieszenia wdrażania energii ze źródeł odnawialnych, ze szczególnym uwzględnieniem instalacji zdecentralizowanych i konsumpcji własnej, w tym poprzez dalsze usprawnienie procedur wydawania pozwoleń i poprawę dostępu do sieci. Wspiera on również uzupełniające inwestycje w magazynowanie, infrastrukturę sieciową i wodór odnawialny (zalecenie dla poszczególnych krajów </w:t>
      </w:r>
      <w:r w:rsidRPr="00A1618E">
        <w:rPr>
          <w:rStyle w:val="IntenseEmphasis"/>
          <w:rFonts w:ascii="Times New Roman" w:hAnsi="Times New Roman"/>
          <w:i w:val="0"/>
          <w:noProof/>
          <w:color w:val="auto"/>
          <w:lang w:val="pl-PL"/>
        </w:rPr>
        <w:t>nr 4</w:t>
      </w:r>
      <w:r>
        <w:rPr>
          <w:rStyle w:val="IntenseEmphasis"/>
          <w:rFonts w:ascii="Times New Roman" w:hAnsi="Times New Roman"/>
          <w:i w:val="0"/>
          <w:noProof/>
          <w:color w:val="auto"/>
        </w:rPr>
        <w:t xml:space="preserve"> z 20</w:t>
      </w:r>
      <w:r w:rsidRPr="00A1618E">
        <w:rPr>
          <w:rStyle w:val="IntenseEmphasis"/>
          <w:rFonts w:ascii="Times New Roman" w:hAnsi="Times New Roman"/>
          <w:i w:val="0"/>
          <w:noProof/>
          <w:color w:val="auto"/>
          <w:lang w:val="pl-PL"/>
        </w:rPr>
        <w:t>22 r.</w:t>
      </w:r>
      <w:r>
        <w:rPr>
          <w:rStyle w:val="IntenseEmphasis"/>
          <w:rFonts w:ascii="Times New Roman" w:hAnsi="Times New Roman"/>
          <w:i w:val="0"/>
          <w:noProof/>
          <w:color w:val="auto"/>
        </w:rPr>
        <w:t xml:space="preserve"> i zalecenie dla poszczególnych krajów </w:t>
      </w:r>
      <w:r w:rsidRPr="00A1618E">
        <w:rPr>
          <w:rStyle w:val="IntenseEmphasis"/>
          <w:rFonts w:ascii="Times New Roman" w:hAnsi="Times New Roman"/>
          <w:i w:val="0"/>
          <w:noProof/>
          <w:color w:val="auto"/>
          <w:lang w:val="pl-PL"/>
        </w:rPr>
        <w:t>nr 3</w:t>
      </w:r>
      <w:r>
        <w:rPr>
          <w:rStyle w:val="IntenseEmphasis"/>
          <w:rFonts w:ascii="Times New Roman" w:hAnsi="Times New Roman"/>
          <w:i w:val="0"/>
          <w:noProof/>
          <w:color w:val="auto"/>
        </w:rPr>
        <w:t xml:space="preserve"> 2023). </w:t>
      </w:r>
    </w:p>
    <w:p w14:paraId="17B84A90" w14:textId="1D74FF46" w:rsidR="006578ED" w:rsidRDefault="00A1618E">
      <w:pPr>
        <w:pStyle w:val="P68B1DB1-Text119"/>
        <w:ind w:left="0"/>
        <w:rPr>
          <w:rFonts w:cs="Times New Roman"/>
          <w:noProof/>
        </w:rPr>
      </w:pPr>
      <w:r>
        <w:rPr>
          <w:noProof/>
        </w:rPr>
        <w:t xml:space="preserve">Żaden środek w ramach tego komponentu nie może powodować poważnych szkód dla celów środowiskowych w rozumieniu </w:t>
      </w:r>
      <w:r w:rsidRPr="00A1618E">
        <w:rPr>
          <w:noProof/>
          <w:lang w:val="pl-PL"/>
        </w:rPr>
        <w:t>art. 1</w:t>
      </w:r>
      <w:r>
        <w:rPr>
          <w:noProof/>
        </w:rPr>
        <w:t>7 rozporządzenia (UE) 2020/852, biorąc pod uwagę opis środków i działania łagodzące określone w planie odbudowy i zwiększania odporności zgodnie z wytycznymi technicznymi dotyczącymi zasady „nie czyń poważnych szkód” (2021/C58/01).</w:t>
      </w:r>
    </w:p>
    <w:p w14:paraId="14113E2C" w14:textId="18726807" w:rsidR="006578ED" w:rsidRDefault="00A1618E">
      <w:pPr>
        <w:pStyle w:val="P68B1DB1-Text138"/>
        <w:ind w:left="709"/>
        <w:rPr>
          <w:rFonts w:cs="Times New Roman"/>
          <w:noProof/>
        </w:rPr>
      </w:pPr>
      <w:r>
        <w:rPr>
          <w:noProof/>
        </w:rPr>
        <w:t xml:space="preserve">AE.1. </w:t>
      </w:r>
      <w:r>
        <w:rPr>
          <w:noProof/>
        </w:rPr>
        <w:tab/>
        <w:t>Opis reform i inwestycji, które mają być finansowane z bezzwrotnego wsparcia finansowego</w:t>
      </w:r>
    </w:p>
    <w:p w14:paraId="748AD8E0" w14:textId="28907E90" w:rsidR="006578ED" w:rsidRDefault="00A1618E">
      <w:pPr>
        <w:pStyle w:val="P68B1DB1-Text120"/>
        <w:ind w:left="0"/>
        <w:rPr>
          <w:rFonts w:cs="Times New Roman"/>
          <w:noProof/>
        </w:rPr>
      </w:pPr>
      <w:r>
        <w:rPr>
          <w:noProof/>
        </w:rPr>
        <w:t>Reforma 1 (C31.R1) – Reforma poprawy wydawania pozwoleń na projekty dotyczące produkcji energii ze źródeł odnawialnych i infrastruktury sieci elektroenergetycznej</w:t>
      </w:r>
    </w:p>
    <w:p w14:paraId="0DAF00BD" w14:textId="347551B2" w:rsidR="006578ED" w:rsidRDefault="00A1618E">
      <w:pPr>
        <w:pStyle w:val="P68B1DB1-Normal4"/>
        <w:spacing w:before="120" w:after="120" w:line="240" w:lineRule="auto"/>
        <w:jc w:val="both"/>
        <w:rPr>
          <w:rFonts w:cs="Times New Roman"/>
          <w:noProof/>
        </w:rPr>
      </w:pPr>
      <w:r>
        <w:rPr>
          <w:noProof/>
        </w:rPr>
        <w:t>Cel reformy jest dwojaki. Po pierwsze, uproszczenie procedur wydawania pozwoleń na produkcję energii ze źródeł odnawialnych i na infrastrukturę sieci elektroenergetycznej, a po drugie – usprawnienie rozpatrywania wniosków o pozwolenia. W odniesieniu do pierwszego celu reforma obejmuje przepisy upraszczające procedury dotyczące projektów dotyczących energii odnawialnej oraz infrastruktury sieci elektroenergetycznej. W tym względzie reforma obejmuje następujące elementy:</w:t>
      </w:r>
    </w:p>
    <w:p w14:paraId="0DBC13C7" w14:textId="17F0F031" w:rsidR="006578ED" w:rsidRDefault="00A1618E">
      <w:pPr>
        <w:pStyle w:val="P68B1DB1-ListParagraph7"/>
        <w:numPr>
          <w:ilvl w:val="0"/>
          <w:numId w:val="643"/>
        </w:numPr>
        <w:spacing w:before="120" w:after="120" w:line="240" w:lineRule="auto"/>
        <w:jc w:val="both"/>
        <w:rPr>
          <w:rFonts w:cs="Times New Roman"/>
          <w:noProof/>
        </w:rPr>
      </w:pPr>
      <w:r>
        <w:rPr>
          <w:noProof/>
        </w:rPr>
        <w:t>uproszczenie procedur dla niektórych kategorii przedsięwzięć, w tym oceny oddziaływania na środowisko i procedury wydawania zezwoleń;</w:t>
      </w:r>
    </w:p>
    <w:p w14:paraId="034F66DA" w14:textId="6503CC68" w:rsidR="006578ED" w:rsidRDefault="00A1618E">
      <w:pPr>
        <w:pStyle w:val="P68B1DB1-ListParagraph7"/>
        <w:numPr>
          <w:ilvl w:val="0"/>
          <w:numId w:val="643"/>
        </w:numPr>
        <w:spacing w:before="120" w:after="120" w:line="240" w:lineRule="auto"/>
        <w:jc w:val="both"/>
        <w:rPr>
          <w:rFonts w:cs="Times New Roman"/>
          <w:noProof/>
        </w:rPr>
      </w:pPr>
      <w:r>
        <w:rPr>
          <w:noProof/>
        </w:rPr>
        <w:t>wyjaśnienie i zmniejszenie obciążenia administracyjnego niektórych projektów w odniesieniu do wprowadzania gazów odnawialnych do sieci gazowej;</w:t>
      </w:r>
    </w:p>
    <w:p w14:paraId="18297D75" w14:textId="59D9F961" w:rsidR="006578ED" w:rsidRDefault="00A1618E">
      <w:pPr>
        <w:pStyle w:val="P68B1DB1-ListParagraph7"/>
        <w:numPr>
          <w:ilvl w:val="0"/>
          <w:numId w:val="643"/>
        </w:numPr>
        <w:spacing w:before="120" w:after="120" w:line="240" w:lineRule="auto"/>
        <w:jc w:val="both"/>
        <w:rPr>
          <w:rFonts w:cs="Times New Roman"/>
          <w:noProof/>
        </w:rPr>
      </w:pPr>
      <w:r>
        <w:rPr>
          <w:noProof/>
        </w:rPr>
        <w:t>Ustalenie terminu, w którym CNMC musi sporządzić sprawozdanie dotyczące zatwierdzania nowych projektów w zakresie energii odnawialnej;</w:t>
      </w:r>
    </w:p>
    <w:p w14:paraId="0ABEB731" w14:textId="48BACED9" w:rsidR="006578ED" w:rsidRDefault="00A1618E">
      <w:pPr>
        <w:pStyle w:val="P68B1DB1-ListParagraph7"/>
        <w:numPr>
          <w:ilvl w:val="0"/>
          <w:numId w:val="643"/>
        </w:numPr>
        <w:spacing w:before="120" w:after="120" w:line="240" w:lineRule="auto"/>
        <w:jc w:val="both"/>
        <w:rPr>
          <w:rFonts w:cs="Times New Roman"/>
          <w:noProof/>
        </w:rPr>
      </w:pPr>
      <w:r>
        <w:rPr>
          <w:noProof/>
        </w:rPr>
        <w:t>Zniesienie ograniczeń we wdrażaniu konsumpcji własnej i uproszczenie procedur wydawania pozwoleń;</w:t>
      </w:r>
    </w:p>
    <w:p w14:paraId="51869A6E" w14:textId="77777777" w:rsidR="006578ED" w:rsidRDefault="00A1618E">
      <w:pPr>
        <w:pStyle w:val="P68B1DB1-ListParagraph7"/>
        <w:numPr>
          <w:ilvl w:val="0"/>
          <w:numId w:val="643"/>
        </w:numPr>
        <w:spacing w:before="120" w:after="120" w:line="240" w:lineRule="auto"/>
        <w:jc w:val="both"/>
        <w:rPr>
          <w:rFonts w:cs="Times New Roman"/>
          <w:noProof/>
        </w:rPr>
      </w:pPr>
      <w:r>
        <w:rPr>
          <w:noProof/>
        </w:rPr>
        <w:t>Poprawa alokacji przepustowości sieci.</w:t>
      </w:r>
    </w:p>
    <w:p w14:paraId="33DF60AD" w14:textId="19A4A20A" w:rsidR="006578ED" w:rsidRDefault="00A1618E">
      <w:pPr>
        <w:pStyle w:val="P68B1DB1-Normal4"/>
        <w:spacing w:before="120" w:after="120" w:line="240" w:lineRule="auto"/>
        <w:jc w:val="both"/>
        <w:rPr>
          <w:rFonts w:cs="Times New Roman"/>
          <w:noProof/>
        </w:rPr>
      </w:pPr>
      <w:r>
        <w:rPr>
          <w:noProof/>
        </w:rPr>
        <w:t>W odniesieniu do drugiego celu reforma obejmuje utworzenie nowej jednostki administracyjnej w ramach administracji centralnej w celu wsparcia rozpatrywania wniosków o pozwolenia na projekty dotyczące energii ze źródeł odnawialnych.</w:t>
      </w:r>
    </w:p>
    <w:p w14:paraId="1B8CAA36" w14:textId="3CA42DE1" w:rsidR="006578ED" w:rsidRDefault="00A1618E">
      <w:pPr>
        <w:pStyle w:val="P68B1DB1-Normal4"/>
        <w:spacing w:before="120" w:after="120" w:line="240" w:lineRule="auto"/>
        <w:jc w:val="both"/>
        <w:rPr>
          <w:rFonts w:cs="Times New Roman"/>
          <w:noProof/>
        </w:rPr>
      </w:pPr>
      <w:r>
        <w:rPr>
          <w:noProof/>
        </w:rPr>
        <w:t>Wdrożenie środka należy zakończyć do dnia 30 września 20</w:t>
      </w:r>
      <w:r w:rsidRPr="00A1618E">
        <w:rPr>
          <w:noProof/>
          <w:lang w:val="pl-PL"/>
        </w:rPr>
        <w:t>23 r.</w:t>
      </w:r>
    </w:p>
    <w:p w14:paraId="7E6A9987" w14:textId="77777777" w:rsidR="006578ED" w:rsidRDefault="006578ED">
      <w:pPr>
        <w:spacing w:before="120" w:after="120" w:line="240" w:lineRule="auto"/>
        <w:jc w:val="both"/>
        <w:rPr>
          <w:rFonts w:ascii="Times New Roman" w:hAnsi="Times New Roman" w:cs="Times New Roman"/>
          <w:noProof/>
          <w:sz w:val="24"/>
        </w:rPr>
      </w:pPr>
    </w:p>
    <w:p w14:paraId="5A90CDEC" w14:textId="589E4B08" w:rsidR="006578ED" w:rsidRDefault="00A1618E">
      <w:pPr>
        <w:pStyle w:val="P68B1DB1-Text120"/>
        <w:keepNext/>
        <w:keepLines/>
        <w:ind w:left="0"/>
        <w:rPr>
          <w:rFonts w:cs="Times New Roman"/>
          <w:noProof/>
        </w:rPr>
      </w:pPr>
      <w:r>
        <w:rPr>
          <w:noProof/>
        </w:rPr>
        <w:t>Inwestycje 1 (C31.I1) – Inwestycje promujące konsumpcję własną (w oparciu o energię ze źródeł odnawialnych i magazynowanie za licznikiem) i społeczności energetyczne</w:t>
      </w:r>
    </w:p>
    <w:p w14:paraId="0038B692" w14:textId="34874D93" w:rsidR="006578ED" w:rsidRDefault="00A1618E">
      <w:pPr>
        <w:pStyle w:val="P68B1DB1-Normal4"/>
        <w:keepNext/>
        <w:keepLines/>
        <w:spacing w:before="120" w:after="120" w:line="240" w:lineRule="auto"/>
        <w:jc w:val="both"/>
        <w:rPr>
          <w:rFonts w:cs="Times New Roman"/>
          <w:noProof/>
        </w:rPr>
      </w:pPr>
      <w:r>
        <w:rPr>
          <w:noProof/>
        </w:rPr>
        <w:t>Inwestycja ta stanowi zwiększenie skali środków C7.I1, C7.R3 i C8.I1. Celem tej inwestycji jest promowanie zastosowań w zakresie konsumpcji własnej, magazynowania za licznikiem i społeczności energetycznych. Inwestycja wspiera:</w:t>
      </w:r>
    </w:p>
    <w:p w14:paraId="1AC0BEBB" w14:textId="25FAEA66" w:rsidR="006578ED" w:rsidRDefault="00A1618E">
      <w:pPr>
        <w:pStyle w:val="P68B1DB1-ListParagraph7"/>
        <w:numPr>
          <w:ilvl w:val="0"/>
          <w:numId w:val="640"/>
        </w:numPr>
        <w:spacing w:before="120" w:after="120" w:line="240" w:lineRule="auto"/>
        <w:jc w:val="both"/>
        <w:rPr>
          <w:rFonts w:cs="Times New Roman"/>
          <w:noProof/>
        </w:rPr>
      </w:pPr>
      <w:r>
        <w:rPr>
          <w:noProof/>
        </w:rPr>
        <w:t>zastosowania w zakresie konsumpcji własnej zintegrowane z budynkami lub procesami produkcyjnymi, które opierają się na technologiach energii odnawialnej lub rozwiązaniach w zakresie magazynowania energii za licznikiem; oraz</w:t>
      </w:r>
    </w:p>
    <w:p w14:paraId="6F61CE8B" w14:textId="627E991B" w:rsidR="006578ED" w:rsidRDefault="00A1618E">
      <w:pPr>
        <w:pStyle w:val="P68B1DB1-ListParagraph7"/>
        <w:numPr>
          <w:ilvl w:val="0"/>
          <w:numId w:val="640"/>
        </w:numPr>
        <w:spacing w:before="120" w:after="120" w:line="240" w:lineRule="auto"/>
        <w:jc w:val="both"/>
        <w:rPr>
          <w:rFonts w:cs="Times New Roman"/>
          <w:noProof/>
        </w:rPr>
      </w:pPr>
      <w:r>
        <w:rPr>
          <w:noProof/>
        </w:rPr>
        <w:t xml:space="preserve">inicjatywy realizowane przez społeczności energetyczne poprzez instalowanie rozwiązań w zakresie energii ze źródeł odnawialnych lub efektywności energetycznej albo poprzez realizację procesów budowania partycypacyjnego i społecznościowego. </w:t>
      </w:r>
    </w:p>
    <w:p w14:paraId="163DA515" w14:textId="6E649828" w:rsidR="006578ED" w:rsidRDefault="00A1618E">
      <w:pPr>
        <w:pStyle w:val="P68B1DB1-Normal4"/>
        <w:spacing w:before="120" w:after="120" w:line="240" w:lineRule="auto"/>
        <w:jc w:val="both"/>
        <w:rPr>
          <w:rFonts w:cs="Times New Roman"/>
          <w:noProof/>
        </w:rPr>
      </w:pPr>
      <w:r>
        <w:rPr>
          <w:noProof/>
        </w:rPr>
        <w:t>Instrumenty prawne w ramach C7.I1, C7.R3 i C8.I1 mogą przyczynić się do wdrożenia tego środka, o ile nie wiążą się one z podwójnym finansowaniem.</w:t>
      </w:r>
    </w:p>
    <w:p w14:paraId="55F2D066" w14:textId="48E50AC0" w:rsidR="006578ED" w:rsidRDefault="00A1618E">
      <w:pPr>
        <w:pStyle w:val="P68B1DB1-Normal4"/>
        <w:spacing w:before="120" w:after="120" w:line="240" w:lineRule="auto"/>
        <w:jc w:val="both"/>
        <w:rPr>
          <w:rFonts w:cs="Times New Roman"/>
          <w:noProof/>
        </w:rPr>
      </w:pPr>
      <w:r>
        <w:rPr>
          <w:noProof/>
        </w:rPr>
        <w:t>Wdrożenie środka należy zakończyć do dnia 31 sierpnia 20</w:t>
      </w:r>
      <w:r w:rsidRPr="00A1618E">
        <w:rPr>
          <w:noProof/>
          <w:lang w:val="pl-PL"/>
        </w:rPr>
        <w:t>26 r.</w:t>
      </w:r>
    </w:p>
    <w:p w14:paraId="5F31B49E" w14:textId="6C8D4399" w:rsidR="006578ED" w:rsidRDefault="00A1618E">
      <w:pPr>
        <w:pStyle w:val="P68B1DB1-Text120"/>
        <w:ind w:left="0"/>
        <w:rPr>
          <w:rFonts w:cs="Times New Roman"/>
          <w:noProof/>
        </w:rPr>
      </w:pPr>
      <w:r>
        <w:rPr>
          <w:noProof/>
        </w:rPr>
        <w:t>Inwestycja 2 (C31.I2) – Program wsparcia produkcji i wykorzystania wodoru odnawialnego</w:t>
      </w:r>
    </w:p>
    <w:p w14:paraId="1F1B972A" w14:textId="52BB1C9B" w:rsidR="006578ED" w:rsidRDefault="00A1618E">
      <w:pPr>
        <w:pStyle w:val="P68B1DB1-Normal4"/>
        <w:spacing w:before="120" w:after="120" w:line="240" w:lineRule="auto"/>
        <w:jc w:val="both"/>
        <w:rPr>
          <w:rFonts w:cs="Times New Roman"/>
          <w:noProof/>
        </w:rPr>
      </w:pPr>
      <w:r>
        <w:rPr>
          <w:noProof/>
        </w:rPr>
        <w:t xml:space="preserve">Środek ten obejmuje inwestycję publiczną w system wsparcia obejmujący subsydia oraz, potencjalnie, kapitał własny, w tym kapitał wysokiego ryzyka, w celu wsparcia produkcji i wykorzystania wodoru odnawialnego. Program działa poprzez zapewnienie zachęt finansowych poprzez przyznawanie dotacji lub inwestycji kapitałowych, w tym kapitału wysokiego ryzyka, sektorowi prywatnemu, a także podmiotom sektora publicznego prowadzącym podobną działalność. Na podstawie inwestycji w ramach RRF system wsparcia ma początkowo na celu zapewnienie finansowania w wysokości co najmniej 1 600 000 000 EUR. Programem zarządza „Instituto de Diversificación y Ahorro de la Energía” (IDAE) jako partner wykonawczy. </w:t>
      </w:r>
    </w:p>
    <w:p w14:paraId="0082D6BE" w14:textId="28E1684B" w:rsidR="006578ED" w:rsidRDefault="00A1618E">
      <w:pPr>
        <w:pStyle w:val="P68B1DB1-Normal4"/>
        <w:spacing w:before="120" w:after="120" w:line="240" w:lineRule="auto"/>
        <w:jc w:val="both"/>
        <w:rPr>
          <w:rFonts w:cs="Times New Roman"/>
          <w:noProof/>
        </w:rPr>
      </w:pPr>
      <w:r>
        <w:rPr>
          <w:noProof/>
        </w:rPr>
        <w:t>W celu realizacji inwestycji w program Hiszpania przyjmie jeden lub kilka instrumentów prawnych (w przypadku inwestycji kapitałowych instrument ten byłby polityką inwestycyjną zatwierdzaną przez IDAE), ustanawiając program, który obejmuje następujące elementy:</w:t>
      </w:r>
    </w:p>
    <w:p w14:paraId="3674D825" w14:textId="05307617" w:rsidR="006578ED" w:rsidRDefault="00A1618E">
      <w:pPr>
        <w:pStyle w:val="P68B1DB1-ListParagraph7"/>
        <w:numPr>
          <w:ilvl w:val="0"/>
          <w:numId w:val="685"/>
        </w:numPr>
        <w:spacing w:before="120" w:after="120" w:line="240" w:lineRule="auto"/>
        <w:jc w:val="both"/>
        <w:rPr>
          <w:rFonts w:cs="Times New Roman"/>
          <w:noProof/>
        </w:rPr>
      </w:pPr>
      <w:r>
        <w:rPr>
          <w:noProof/>
        </w:rPr>
        <w:t>Wykaz działań kwalifikujących się do wsparcia, które obejmują co najmniej jeden z następujących rodzajów działalności:</w:t>
      </w:r>
    </w:p>
    <w:p w14:paraId="54DDDFA0" w14:textId="414C91E0" w:rsidR="006578ED" w:rsidRDefault="00A1618E">
      <w:pPr>
        <w:pStyle w:val="P68B1DB1-ListParagraph7"/>
        <w:numPr>
          <w:ilvl w:val="1"/>
          <w:numId w:val="685"/>
        </w:numPr>
        <w:spacing w:before="120" w:after="120" w:line="240" w:lineRule="auto"/>
        <w:jc w:val="both"/>
        <w:rPr>
          <w:rFonts w:cs="Times New Roman"/>
          <w:noProof/>
        </w:rPr>
      </w:pPr>
      <w:r>
        <w:rPr>
          <w:noProof/>
        </w:rPr>
        <w:t>Wspieranie innowacji w łańcuchu wartości i bazy wiedzy na temat wodoru odnawialnego: komponent ten może obejmować badania i rozwój, transfer technologii oraz systemy i komponenty do produkcji i testowania.</w:t>
      </w:r>
    </w:p>
    <w:p w14:paraId="5ED8DAA2" w14:textId="6CB27EDE" w:rsidR="006578ED" w:rsidRDefault="00A1618E">
      <w:pPr>
        <w:pStyle w:val="P68B1DB1-ListParagraph7"/>
        <w:numPr>
          <w:ilvl w:val="1"/>
          <w:numId w:val="685"/>
        </w:numPr>
        <w:spacing w:before="120" w:after="120" w:line="240" w:lineRule="auto"/>
        <w:jc w:val="both"/>
        <w:rPr>
          <w:rFonts w:cs="Times New Roman"/>
          <w:noProof/>
        </w:rPr>
      </w:pPr>
      <w:r>
        <w:rPr>
          <w:noProof/>
        </w:rPr>
        <w:t>Tworzenie klastrów wodoru odnawialnego, które łączyłyby produkcję, przetwarzanie i zużycie na dużą skalę.</w:t>
      </w:r>
    </w:p>
    <w:p w14:paraId="40486D11" w14:textId="37663485" w:rsidR="006578ED" w:rsidRDefault="00A1618E">
      <w:pPr>
        <w:pStyle w:val="P68B1DB1-ListParagraph7"/>
        <w:numPr>
          <w:ilvl w:val="1"/>
          <w:numId w:val="685"/>
        </w:numPr>
        <w:spacing w:before="120" w:after="120" w:line="240" w:lineRule="auto"/>
        <w:jc w:val="both"/>
        <w:rPr>
          <w:rFonts w:cs="Times New Roman"/>
          <w:noProof/>
        </w:rPr>
      </w:pPr>
      <w:r>
        <w:rPr>
          <w:noProof/>
        </w:rPr>
        <w:t>Opracowanie projektów „pionerskich”, które umożliwiłyby wprowadzenie wodoru odnawialnego na mniejszą skalę w różnych sektorach, takich jak przemysł, produkcja energii elektrycznej, zastosowania termiczne i transport.</w:t>
      </w:r>
    </w:p>
    <w:p w14:paraId="358CF473" w14:textId="69024AB2" w:rsidR="006578ED" w:rsidRDefault="00A1618E">
      <w:pPr>
        <w:pStyle w:val="P68B1DB1-ListParagraph7"/>
        <w:numPr>
          <w:ilvl w:val="1"/>
          <w:numId w:val="685"/>
        </w:numPr>
        <w:spacing w:before="120" w:after="120" w:line="240" w:lineRule="auto"/>
        <w:jc w:val="both"/>
        <w:rPr>
          <w:rFonts w:cs="Times New Roman"/>
          <w:noProof/>
        </w:rPr>
      </w:pPr>
      <w:r>
        <w:rPr>
          <w:noProof/>
        </w:rPr>
        <w:t>Wspieranie integracji hiszpańskiego systemu wodoru odnawialnego z systemem europejskim, na przykład wspieranie przedsiębiorstw w projektach europejskich, takich jak inicjatywy IPCEI. Projekty powstałe w ramach tych inicjatyw IPCEI wpisują się w wyżej wymienione trzy działania kwalifikujące się do wsparcia (łańcuch wartości, klastry, pionierskie projekty).</w:t>
      </w:r>
    </w:p>
    <w:p w14:paraId="7B8AC05B" w14:textId="77777777" w:rsidR="006578ED" w:rsidRDefault="006578ED">
      <w:pPr>
        <w:pStyle w:val="ListParagraph"/>
        <w:spacing w:before="120" w:after="120" w:line="240" w:lineRule="auto"/>
        <w:ind w:left="1440"/>
        <w:jc w:val="both"/>
        <w:rPr>
          <w:rFonts w:ascii="Times New Roman" w:hAnsi="Times New Roman" w:cs="Times New Roman"/>
          <w:noProof/>
          <w:sz w:val="24"/>
        </w:rPr>
      </w:pPr>
    </w:p>
    <w:p w14:paraId="1502686F" w14:textId="556DDC71" w:rsidR="006578ED" w:rsidRDefault="00A1618E">
      <w:pPr>
        <w:pStyle w:val="P68B1DB1-ListParagraph7"/>
        <w:numPr>
          <w:ilvl w:val="0"/>
          <w:numId w:val="685"/>
        </w:numPr>
        <w:spacing w:before="120" w:after="120" w:line="240" w:lineRule="auto"/>
        <w:jc w:val="both"/>
        <w:rPr>
          <w:rFonts w:cs="Times New Roman"/>
          <w:noProof/>
        </w:rPr>
      </w:pPr>
      <w:r>
        <w:rPr>
          <w:noProof/>
        </w:rPr>
        <w:t xml:space="preserve">Opis procesu decyzyjnego w ramach programu: Ocena wniosków i wybór beneficjentów, którzy mają zostać uwzględnieni w ostatecznych decyzjach o przyznaniu dotacji lub decyzjach inwestycyjnych w ramach programu, są podejmowane przez komitet inwestycyjny lub techniczną komisję oceniającą i zatwierdzane większością głosów członków niezależnych od rządu, co oznacza, że muszą oni być pracownikami zatrudnionymi przez IDAE lub innymi niezależnymi ekspertami. Ostateczne decyzje o udzieleniu zamówienia lub decyzje inwestycyjne w ramach programu ograniczają się do zatwierdzenia (bez zmian) lub wykonywania prawa weta w odniesieniu do decyzji o przyznaniu dotacji lub decyzji inwestycyjnej zaproponowanych przez komitet inwestycyjny lub odpowiedni równoważny organ zarządzający. W przypadku udziału któregokolwiek z wnioskodawców przez IDAE, a budżet przeznaczony na to zaproszenie jest niewystarczający do pokrycia wszystkich otrzymanych wniosków, proces oceny zostanie poddany audytowi zewnętrznemu, jak przewidziano w „Plan de Mitigación de potenciales Conflictos de Interés en Sociedades Participadas” (Plan de Mitigación de potenciales Conflictos de Interés en Sociedades Participadas). </w:t>
      </w:r>
    </w:p>
    <w:p w14:paraId="186D2A17" w14:textId="77777777" w:rsidR="006578ED" w:rsidRDefault="006578ED">
      <w:pPr>
        <w:pStyle w:val="ListParagraph"/>
        <w:spacing w:before="120" w:after="120" w:line="240" w:lineRule="auto"/>
        <w:jc w:val="both"/>
        <w:rPr>
          <w:rFonts w:ascii="Times New Roman" w:hAnsi="Times New Roman" w:cs="Times New Roman"/>
          <w:noProof/>
          <w:sz w:val="24"/>
        </w:rPr>
      </w:pPr>
    </w:p>
    <w:p w14:paraId="2EF47DF0" w14:textId="7E43BB2E" w:rsidR="006578ED" w:rsidRDefault="00A1618E">
      <w:pPr>
        <w:pStyle w:val="P68B1DB1-ListParagraph7"/>
        <w:numPr>
          <w:ilvl w:val="0"/>
          <w:numId w:val="685"/>
        </w:numPr>
        <w:spacing w:before="120" w:after="120" w:line="240" w:lineRule="auto"/>
        <w:jc w:val="both"/>
        <w:rPr>
          <w:rFonts w:cs="Times New Roman"/>
          <w:noProof/>
          <w:sz w:val="28"/>
        </w:rPr>
      </w:pPr>
      <w:r>
        <w:rPr>
          <w:noProof/>
        </w:rPr>
        <w:t>Wymóg przestrzegania zasady „nie czyń poważnych szkód” (DNSH) w ramach Instrumentu na rzecz Odbudowy i Zwiększania Odporności, jak określono w wytycznych technicznych dotyczących zasady „nie czyń poważnych szkód” (2021/C58/01). W przypadku ogólnego wsparcia dla przedsiębiorstw (w tym kapitału własnego i kapitału wysokiego ryzyka) instrument prawny (instrumenty prawne) wykluczają przedsiębiorstwa, które</w:t>
      </w:r>
      <w:r>
        <w:rPr>
          <w:noProof/>
        </w:rPr>
        <w:footnoteReference w:id="214"/>
      </w:r>
      <w:r>
        <w:rPr>
          <w:noProof/>
        </w:rPr>
        <w:t xml:space="preserve"> w znacznym stopniu koncentrują się na następujących sektorach: produkcja energii z paliw kopalnych i działalność pokrewna</w:t>
      </w:r>
      <w:r>
        <w:rPr>
          <w:noProof/>
        </w:rPr>
        <w:footnoteReference w:id="215"/>
      </w:r>
      <w:r>
        <w:rPr>
          <w:noProof/>
        </w:rPr>
        <w:t>; energochłonne i/lub wysokoemisyjne gałęzie przemysłu</w:t>
      </w:r>
      <w:r>
        <w:rPr>
          <w:noProof/>
        </w:rPr>
        <w:footnoteReference w:id="216"/>
      </w:r>
      <w:r>
        <w:rPr>
          <w:noProof/>
        </w:rPr>
        <w:t>; produkcja, wynajem lub sprzedaż pojazdów zanieczyszczających środowisko</w:t>
      </w:r>
      <w:r>
        <w:rPr>
          <w:noProof/>
        </w:rPr>
        <w:footnoteReference w:id="217"/>
      </w:r>
      <w:r>
        <w:rPr>
          <w:noProof/>
        </w:rPr>
        <w:t>; zbieranie odpadów, przetwarzanie i unieszkodliwianie odpadów</w:t>
      </w:r>
      <w:r>
        <w:rPr>
          <w:noProof/>
        </w:rPr>
        <w:footnoteReference w:id="218"/>
      </w:r>
      <w:r>
        <w:rPr>
          <w:noProof/>
        </w:rPr>
        <w:t>, (v) przetwarzanie paliwa jądrowego, produkcja energii jądrowej. Ponadto instrument(-y) prawny(-e) wymaga(-ją) zgodności z odpowiednimi unijnymi i krajowymi przepisami w zakresie ochrony środowiska beneficjentów końcowych programów dotacji.</w:t>
      </w:r>
    </w:p>
    <w:p w14:paraId="749021E6" w14:textId="77777777" w:rsidR="006578ED" w:rsidRDefault="006578ED">
      <w:pPr>
        <w:pStyle w:val="ListParagraph"/>
        <w:rPr>
          <w:rFonts w:ascii="Times New Roman" w:hAnsi="Times New Roman" w:cs="Times New Roman"/>
          <w:noProof/>
          <w:sz w:val="24"/>
        </w:rPr>
      </w:pPr>
    </w:p>
    <w:p w14:paraId="587159DB" w14:textId="6507BD61" w:rsidR="006578ED" w:rsidRDefault="00A1618E">
      <w:pPr>
        <w:pStyle w:val="P68B1DB1-ListParagraph7"/>
        <w:numPr>
          <w:ilvl w:val="0"/>
          <w:numId w:val="685"/>
        </w:numPr>
        <w:rPr>
          <w:rFonts w:cs="Times New Roman"/>
          <w:noProof/>
        </w:rPr>
      </w:pPr>
      <w:r>
        <w:rPr>
          <w:noProof/>
        </w:rPr>
        <w:t>Wymóg, zgodnie z którym beneficjenci końcowi Instrumentu nie mogą otrzymywać wsparcia z innych instrumentów unijnych w celu pokrycia tych samych kosztów.</w:t>
      </w:r>
    </w:p>
    <w:p w14:paraId="437F1A94" w14:textId="77777777" w:rsidR="006578ED" w:rsidRDefault="006578ED">
      <w:pPr>
        <w:pStyle w:val="ListParagraph"/>
        <w:rPr>
          <w:rFonts w:ascii="Times New Roman" w:hAnsi="Times New Roman" w:cs="Times New Roman"/>
          <w:noProof/>
          <w:sz w:val="24"/>
        </w:rPr>
      </w:pPr>
    </w:p>
    <w:p w14:paraId="3D2CCAAB" w14:textId="5EBB402B" w:rsidR="006578ED" w:rsidRDefault="00A1618E">
      <w:pPr>
        <w:pStyle w:val="P68B1DB1-ListParagraph7"/>
        <w:numPr>
          <w:ilvl w:val="0"/>
          <w:numId w:val="685"/>
        </w:numPr>
        <w:jc w:val="both"/>
        <w:rPr>
          <w:rFonts w:cs="Times New Roman"/>
          <w:noProof/>
        </w:rPr>
      </w:pPr>
      <w:r>
        <w:rPr>
          <w:noProof/>
        </w:rPr>
        <w:t xml:space="preserve">Kwotę objętą programem oraz wymóg reinwestowania wszelkich niewykorzystanych wpływów z programu w działania wymienione powyżej, w tym </w:t>
      </w:r>
      <w:r w:rsidRPr="00A1618E">
        <w:rPr>
          <w:noProof/>
          <w:lang w:val="pl-PL"/>
        </w:rPr>
        <w:t>po 2</w:t>
      </w:r>
      <w:r>
        <w:rPr>
          <w:noProof/>
        </w:rPr>
        <w:t>0</w:t>
      </w:r>
      <w:r w:rsidRPr="00A1618E">
        <w:rPr>
          <w:noProof/>
          <w:lang w:val="pl-PL"/>
        </w:rPr>
        <w:t>26 r.</w:t>
      </w:r>
    </w:p>
    <w:p w14:paraId="3595B9C6" w14:textId="77777777" w:rsidR="006578ED" w:rsidRDefault="006578ED">
      <w:pPr>
        <w:pStyle w:val="ListParagraph"/>
        <w:rPr>
          <w:rFonts w:ascii="Times New Roman" w:hAnsi="Times New Roman" w:cs="Times New Roman"/>
          <w:noProof/>
          <w:sz w:val="24"/>
        </w:rPr>
      </w:pPr>
    </w:p>
    <w:p w14:paraId="3ABE6782" w14:textId="5AA84481" w:rsidR="006578ED" w:rsidRDefault="00A1618E">
      <w:pPr>
        <w:pStyle w:val="ListParagraph"/>
        <w:numPr>
          <w:ilvl w:val="0"/>
          <w:numId w:val="685"/>
        </w:numPr>
        <w:jc w:val="both"/>
        <w:rPr>
          <w:rFonts w:ascii="Times New Roman" w:hAnsi="Times New Roman" w:cs="Times New Roman"/>
          <w:noProof/>
          <w:sz w:val="24"/>
        </w:rPr>
      </w:pPr>
      <w:r>
        <w:rPr>
          <w:rFonts w:ascii="Times New Roman" w:hAnsi="Times New Roman"/>
          <w:noProof/>
          <w:sz w:val="24"/>
        </w:rPr>
        <w:t>Wymogi dotyczące sprawozdawczości w odniesieniu do inwestycji klimatycznych w ramach programu dotacji</w:t>
      </w:r>
      <w:r>
        <w:rPr>
          <w:rStyle w:val="FootnoteReference"/>
          <w:rFonts w:ascii="Times New Roman" w:hAnsi="Times New Roman" w:cs="Times New Roman"/>
          <w:noProof/>
          <w:sz w:val="24"/>
        </w:rPr>
        <w:footnoteReference w:id="219"/>
      </w:r>
      <w:r>
        <w:rPr>
          <w:rFonts w:ascii="Times New Roman" w:hAnsi="Times New Roman"/>
          <w:noProof/>
          <w:sz w:val="24"/>
        </w:rPr>
        <w:t>.</w:t>
      </w:r>
    </w:p>
    <w:p w14:paraId="653F2BC5" w14:textId="650A1E78" w:rsidR="006578ED" w:rsidRDefault="006578ED">
      <w:pPr>
        <w:pStyle w:val="ListParagraph"/>
        <w:rPr>
          <w:rFonts w:ascii="Times New Roman" w:hAnsi="Times New Roman" w:cs="Times New Roman"/>
          <w:noProof/>
          <w:sz w:val="24"/>
        </w:rPr>
      </w:pPr>
    </w:p>
    <w:p w14:paraId="677D9A98" w14:textId="264A9678" w:rsidR="006578ED" w:rsidRDefault="00A1618E">
      <w:pPr>
        <w:pStyle w:val="P68B1DB1-ListParagraph7"/>
        <w:numPr>
          <w:ilvl w:val="0"/>
          <w:numId w:val="685"/>
        </w:numPr>
        <w:spacing w:before="120" w:after="120" w:line="240" w:lineRule="auto"/>
        <w:jc w:val="both"/>
        <w:rPr>
          <w:rFonts w:cs="Times New Roman"/>
          <w:noProof/>
        </w:rPr>
      </w:pPr>
      <w:r>
        <w:rPr>
          <w:noProof/>
        </w:rPr>
        <w:t>W przypadku inwestycji kapitałowych, w tym kapitału wysokiego ryzyka, kluczowe wymogi polityki inwestycyjnej w odniesieniu do ewentualnego przyznawania funduszy na inwestycje kapitałowe, w tym kapitał wysokiego ryzyka, obejmują:</w:t>
      </w:r>
    </w:p>
    <w:p w14:paraId="247597BE" w14:textId="643E2655" w:rsidR="006578ED" w:rsidRDefault="00A1618E">
      <w:pPr>
        <w:pStyle w:val="P68B1DB1-ListParagraph7"/>
        <w:numPr>
          <w:ilvl w:val="0"/>
          <w:numId w:val="710"/>
        </w:numPr>
        <w:spacing w:before="120" w:after="120" w:line="240" w:lineRule="auto"/>
        <w:jc w:val="both"/>
        <w:rPr>
          <w:rFonts w:cs="Times New Roman"/>
          <w:noProof/>
        </w:rPr>
      </w:pPr>
      <w:r>
        <w:rPr>
          <w:noProof/>
        </w:rPr>
        <w:t>Opis linii produktów finansowych i kwalifikujących się beneficjentów końcowych</w:t>
      </w:r>
    </w:p>
    <w:p w14:paraId="3314A103" w14:textId="365AC497" w:rsidR="006578ED" w:rsidRDefault="00A1618E">
      <w:pPr>
        <w:pStyle w:val="P68B1DB1-ListParagraph7"/>
        <w:numPr>
          <w:ilvl w:val="0"/>
          <w:numId w:val="710"/>
        </w:numPr>
        <w:spacing w:before="120" w:after="120" w:line="240" w:lineRule="auto"/>
        <w:jc w:val="both"/>
        <w:rPr>
          <w:rFonts w:cs="Times New Roman"/>
          <w:noProof/>
        </w:rPr>
      </w:pPr>
      <w:r>
        <w:rPr>
          <w:noProof/>
        </w:rPr>
        <w:t>Wymóg, aby wszystkie wspierane inwestycje były ekonomicznie opłacalne.</w:t>
      </w:r>
    </w:p>
    <w:p w14:paraId="1B5B1E05" w14:textId="77777777" w:rsidR="006578ED" w:rsidRDefault="006578ED">
      <w:pPr>
        <w:pStyle w:val="ListParagraph"/>
        <w:rPr>
          <w:rFonts w:ascii="Times New Roman" w:hAnsi="Times New Roman" w:cs="Times New Roman"/>
          <w:noProof/>
          <w:sz w:val="24"/>
        </w:rPr>
      </w:pPr>
    </w:p>
    <w:p w14:paraId="4D08A146" w14:textId="4310EF69" w:rsidR="006578ED" w:rsidRDefault="00A1618E">
      <w:pPr>
        <w:pStyle w:val="P68B1DB1-ListParagraph7"/>
        <w:numPr>
          <w:ilvl w:val="0"/>
          <w:numId w:val="685"/>
        </w:numPr>
        <w:spacing w:before="120" w:after="120" w:line="240" w:lineRule="auto"/>
        <w:jc w:val="both"/>
        <w:rPr>
          <w:rFonts w:cs="Times New Roman"/>
          <w:noProof/>
        </w:rPr>
      </w:pPr>
      <w:r>
        <w:rPr>
          <w:noProof/>
        </w:rPr>
        <w:t>W przypadku inwestycji kapitałowych, w tym kapitału wysokiego ryzyka, następujące wymogi w zakresie monitorowania, audytu i kontroli:</w:t>
      </w:r>
    </w:p>
    <w:p w14:paraId="0FEDB7AD" w14:textId="0630BDCA" w:rsidR="006578ED" w:rsidRDefault="00A1618E">
      <w:pPr>
        <w:pStyle w:val="P68B1DB1-ListParagraph7"/>
        <w:numPr>
          <w:ilvl w:val="0"/>
          <w:numId w:val="706"/>
        </w:numPr>
        <w:rPr>
          <w:rFonts w:cs="Times New Roman"/>
          <w:noProof/>
        </w:rPr>
      </w:pPr>
      <w:r>
        <w:rPr>
          <w:noProof/>
        </w:rPr>
        <w:t>Opis systemu monitorowania IDAE w celu sprawozdawczości na temat uruchomionych inwestycji.</w:t>
      </w:r>
    </w:p>
    <w:p w14:paraId="2DAC249E" w14:textId="2374E744" w:rsidR="006578ED" w:rsidRDefault="00A1618E">
      <w:pPr>
        <w:pStyle w:val="P68B1DB1-ListParagraph7"/>
        <w:numPr>
          <w:ilvl w:val="0"/>
          <w:numId w:val="706"/>
        </w:numPr>
        <w:spacing w:before="120" w:after="120" w:line="240" w:lineRule="auto"/>
        <w:jc w:val="both"/>
        <w:rPr>
          <w:rFonts w:cs="Times New Roman"/>
          <w:noProof/>
        </w:rPr>
      </w:pPr>
      <w:r>
        <w:rPr>
          <w:noProof/>
        </w:rPr>
        <w:t xml:space="preserve">Opis procedur IDAE, które zapewnią zapobieganie nadużyciom finansowym, korupcji i konfliktom interesów oraz ich wykrywanie i korygowanie. </w:t>
      </w:r>
    </w:p>
    <w:p w14:paraId="3EA93286" w14:textId="3451106A" w:rsidR="006578ED" w:rsidRDefault="00A1618E">
      <w:pPr>
        <w:pStyle w:val="P68B1DB1-ListParagraph7"/>
        <w:numPr>
          <w:ilvl w:val="0"/>
          <w:numId w:val="706"/>
        </w:numPr>
        <w:spacing w:before="120" w:after="120" w:line="240" w:lineRule="auto"/>
        <w:jc w:val="both"/>
        <w:rPr>
          <w:rFonts w:cs="Times New Roman"/>
          <w:noProof/>
        </w:rPr>
      </w:pPr>
      <w:r>
        <w:rPr>
          <w:noProof/>
        </w:rPr>
        <w:t>Obowiązek weryfikacji kwalifikowalności każdej operacji zgodnie z wymogami określonymi w odpowiednim akcie prawnym ustanawiającym program przed zobowiązaniem się do finansowania danej operacji.</w:t>
      </w:r>
    </w:p>
    <w:p w14:paraId="75DAF728" w14:textId="52B6253A" w:rsidR="006578ED" w:rsidRDefault="00A1618E">
      <w:pPr>
        <w:pStyle w:val="P68B1DB1-ListParagraph7"/>
        <w:numPr>
          <w:ilvl w:val="0"/>
          <w:numId w:val="706"/>
        </w:numPr>
        <w:spacing w:before="120" w:after="120" w:line="240" w:lineRule="auto"/>
        <w:jc w:val="both"/>
        <w:rPr>
          <w:rFonts w:cs="Times New Roman"/>
          <w:noProof/>
        </w:rPr>
      </w:pPr>
      <w:r>
        <w:rPr>
          <w:noProof/>
        </w:rPr>
        <w:t>Obowiązek przeprowadzania opartych na analizie ryzyka audytów ex post zgodnie z planem audytu IDAE. Audyty te mają na celu sprawdzenie (i) skuteczności systemów kontroli, w tym wykrywania nadużyć finansowych, korupcji i konfliktu interesów</w:t>
      </w:r>
      <w:r w:rsidRPr="00A1618E">
        <w:rPr>
          <w:noProof/>
          <w:lang w:val="pl-PL"/>
        </w:rPr>
        <w:t>; z</w:t>
      </w:r>
      <w:r>
        <w:rPr>
          <w:noProof/>
        </w:rPr>
        <w:t xml:space="preserve">godność z zasadą „nie czyń poważnych szkód”, zasadami pomocy państwa, wymogami dotyczącymi celów klimatycznych i cyfrowych; oraz (iii) wymóg weryfikacji przez IDAE, czy beneficjent końcowy przedstawia odpowiedzialne oświadczenie w celu sprawdzenia, czy te same koszty są pokrywane z innego instrumentu unijnego, jest przestrzegany. W ramach audytów sprawdza się również legalność transakcji oraz przestrzeganie warunków obowiązujących instrumentów prawnych ustanawiających system. </w:t>
      </w:r>
    </w:p>
    <w:p w14:paraId="3D3DF0B7" w14:textId="199F2CB1" w:rsidR="006578ED" w:rsidRDefault="00A1618E">
      <w:pPr>
        <w:pStyle w:val="P68B1DB1-Normal4"/>
        <w:spacing w:before="120" w:after="120" w:line="240" w:lineRule="auto"/>
        <w:jc w:val="both"/>
        <w:rPr>
          <w:rFonts w:cs="Times New Roman"/>
          <w:noProof/>
        </w:rPr>
      </w:pPr>
      <w:r>
        <w:rPr>
          <w:noProof/>
        </w:rPr>
        <w:t>Inwestycja zostanie zrealizowana do dnia 31 sierpnia 20</w:t>
      </w:r>
      <w:r w:rsidRPr="00A1618E">
        <w:rPr>
          <w:noProof/>
          <w:lang w:val="pl-PL"/>
        </w:rPr>
        <w:t>26 r.</w:t>
      </w:r>
    </w:p>
    <w:p w14:paraId="0C487F77" w14:textId="4766DD9B" w:rsidR="006578ED" w:rsidRDefault="00A1618E">
      <w:pPr>
        <w:pStyle w:val="P68B1DB1-Text120"/>
        <w:ind w:left="0"/>
        <w:rPr>
          <w:rFonts w:cs="Times New Roman"/>
          <w:noProof/>
        </w:rPr>
      </w:pPr>
      <w:r>
        <w:rPr>
          <w:noProof/>
        </w:rPr>
        <w:t>Inwestycja 3 (C31.I3) – Program dotacji wspierający łańcuch wartości odnawialnych źródeł energii i jej magazynowania</w:t>
      </w:r>
    </w:p>
    <w:p w14:paraId="544EA9AF" w14:textId="5E2BA4AC" w:rsidR="006578ED" w:rsidRDefault="00A1618E">
      <w:pPr>
        <w:pStyle w:val="P68B1DB1-Normal4"/>
        <w:spacing w:before="120" w:after="120" w:line="240" w:lineRule="auto"/>
        <w:jc w:val="both"/>
        <w:rPr>
          <w:rFonts w:cs="Times New Roman"/>
          <w:noProof/>
        </w:rPr>
      </w:pPr>
      <w:r>
        <w:rPr>
          <w:noProof/>
        </w:rPr>
        <w:t xml:space="preserve">Środek ten obejmuje inwestycję publiczną w system wsparcia obejmujący subsydia oraz, potencjalnie, kapitał własny, w tym kapitał wysokiego ryzyka, w celu wsparcia łańcucha wartości energii ze źródeł odnawialnych i magazynowania energii ze źródeł odnawialnych. Program działa poprzez zapewnienie zachęt finansowych poprzez przyznawanie dotacji lub inwestycji kapitałowych, w tym kapitału wysokiego ryzyka, sektorowi prywatnemu, a także podmiotom sektora publicznego prowadzącym podobną działalność. Na podstawie inwestycji w ramach RRF system wsparcia ma początkowo na celu zapewnienie finansowania w wysokości co najmniej 1 000 000 000 EUR. Programem zarządza „Instituto de Diversificación y Ahorro de la Energía” (IDAE) jako partner wykonawczy. </w:t>
      </w:r>
    </w:p>
    <w:p w14:paraId="68D073EA" w14:textId="6C0985BE" w:rsidR="006578ED" w:rsidRDefault="00A1618E">
      <w:pPr>
        <w:pStyle w:val="P68B1DB1-Normal4"/>
        <w:spacing w:before="120" w:after="120" w:line="240" w:lineRule="auto"/>
        <w:jc w:val="both"/>
        <w:rPr>
          <w:rFonts w:cs="Times New Roman"/>
          <w:noProof/>
        </w:rPr>
      </w:pPr>
      <w:r>
        <w:rPr>
          <w:noProof/>
        </w:rPr>
        <w:t>W celu realizacji inwestycji rząd przyjmuje jeden lub kilka instrumentów prawnych (w przypadku inwestycji kapitałowych instrument ten byłby polityką inwestycyjną zatwierdzaną przez IDAE) ustanawiający program, który obejmuje następujące elementy:</w:t>
      </w:r>
    </w:p>
    <w:p w14:paraId="1FFBD3F1" w14:textId="35F4F236" w:rsidR="006578ED" w:rsidRDefault="00A1618E">
      <w:pPr>
        <w:pStyle w:val="P68B1DB1-ListParagraph7"/>
        <w:numPr>
          <w:ilvl w:val="0"/>
          <w:numId w:val="707"/>
        </w:numPr>
        <w:spacing w:before="120" w:after="120" w:line="240" w:lineRule="auto"/>
        <w:jc w:val="both"/>
        <w:rPr>
          <w:rFonts w:cs="Times New Roman"/>
          <w:noProof/>
        </w:rPr>
      </w:pPr>
      <w:bookmarkStart w:id="62" w:name="_Hlk145070219"/>
      <w:r>
        <w:rPr>
          <w:noProof/>
        </w:rPr>
        <w:t>Wykaz działań kwalifikujących się do wsparcia, który obejmuje co najmniej jeden z następujących rodzajów działalności: projektowanie, produkcja, magazynowanie, recykling lub badania i rozwój technologii i komponentów istotnych dla przejścia na gospodarkę bezemisyjną emisyjnie. Przykłady tych technologii lub komponentów obejmują akumulatory, panele słoneczne, turbiny wiatrowe i pompy ciepła. Można również wspierać odzysk surowców niezbędnych do produkcji tych technologii</w:t>
      </w:r>
      <w:bookmarkEnd w:id="62"/>
      <w:r>
        <w:rPr>
          <w:noProof/>
        </w:rPr>
        <w:t>.</w:t>
      </w:r>
    </w:p>
    <w:p w14:paraId="1AFE88AA" w14:textId="77777777" w:rsidR="006578ED" w:rsidRDefault="006578ED">
      <w:pPr>
        <w:pStyle w:val="ListParagraph"/>
        <w:spacing w:before="120" w:after="120" w:line="240" w:lineRule="auto"/>
        <w:jc w:val="both"/>
        <w:rPr>
          <w:rFonts w:ascii="Times New Roman" w:hAnsi="Times New Roman" w:cs="Times New Roman"/>
          <w:noProof/>
          <w:sz w:val="24"/>
        </w:rPr>
      </w:pPr>
    </w:p>
    <w:p w14:paraId="31CD9981" w14:textId="485923FA" w:rsidR="006578ED" w:rsidRDefault="00A1618E">
      <w:pPr>
        <w:pStyle w:val="P68B1DB1-ListParagraph7"/>
        <w:numPr>
          <w:ilvl w:val="0"/>
          <w:numId w:val="707"/>
        </w:numPr>
        <w:spacing w:before="120" w:after="120" w:line="240" w:lineRule="auto"/>
        <w:jc w:val="both"/>
        <w:rPr>
          <w:rFonts w:cs="Times New Roman"/>
          <w:noProof/>
        </w:rPr>
      </w:pPr>
      <w:r>
        <w:rPr>
          <w:noProof/>
        </w:rPr>
        <w:t>Opis procesu decyzyjnego w ramach programu: Ocena wniosków i wybór beneficjentów, którzy mają zostać uwzględnieni w ostatecznych decyzjach o przyznaniu dotacji lub decyzjach inwestycyjnych w ramach programu, są podejmowane przez komitet inwestycyjny lub techniczną komisję oceniającą i zatwierdzane większością głosów członków niezależnych od rządu, co oznacza, że muszą oni być pracownikami zatrudnionymi przez IDAE lub innymi niezależnymi ekspertami. Ostateczne decyzje o przyznaniu dotacji lub decyzje inwestycyjne w ramach programu dotacji ograniczają się do zatwierdzenia (bez zmian) lub wykonywania prawa weta w odniesieniu do decyzji o przyznaniu dotacji lub decyzji inwestycyjnej zaproponowanych przez komitet inwestycyjny lub odpowiedni równoważny organ zarządzający. W przypadku udziału któregokolwiek z wnioskodawców przez IDAE, a budżet przeznaczony na to zaproszenie jest niewystarczający do pokrycia wszystkich otrzymanych wniosków, proces oceny zostanie poddany audytowi zewnętrznemu, jak przewidziano w „Plan de Mitigación de potenciales Conflictos de Interés en Sociedades Participadas” (Plan de Mitigación de potenciales Conflictos de Interés en Sociedades Participadas).</w:t>
      </w:r>
    </w:p>
    <w:p w14:paraId="3786C919" w14:textId="77777777" w:rsidR="006578ED" w:rsidRDefault="006578ED">
      <w:pPr>
        <w:pStyle w:val="ListParagraph"/>
        <w:spacing w:before="120" w:after="120" w:line="240" w:lineRule="auto"/>
        <w:jc w:val="both"/>
        <w:rPr>
          <w:rFonts w:ascii="Times New Roman" w:hAnsi="Times New Roman" w:cs="Times New Roman"/>
          <w:noProof/>
          <w:sz w:val="24"/>
        </w:rPr>
      </w:pPr>
    </w:p>
    <w:p w14:paraId="48DD98C0" w14:textId="42FC4362" w:rsidR="006578ED" w:rsidRDefault="00A1618E">
      <w:pPr>
        <w:pStyle w:val="ListParagraph"/>
        <w:numPr>
          <w:ilvl w:val="0"/>
          <w:numId w:val="711"/>
        </w:numPr>
        <w:spacing w:before="120" w:after="120" w:line="240" w:lineRule="auto"/>
        <w:jc w:val="both"/>
        <w:rPr>
          <w:rFonts w:ascii="Times New Roman" w:hAnsi="Times New Roman" w:cs="Times New Roman"/>
          <w:noProof/>
          <w:sz w:val="24"/>
        </w:rPr>
      </w:pPr>
      <w:r>
        <w:rPr>
          <w:rFonts w:ascii="Times New Roman" w:hAnsi="Times New Roman"/>
          <w:noProof/>
          <w:sz w:val="24"/>
        </w:rPr>
        <w:t>Wymóg przestrzegania zasady „nie czyń poważnych szkód” (DNSH) w ramach Instrumentu na rzecz Odbudowy i Zwiększania Odporności, jak określono w wytycznych technicznych dotyczących zasady „nie czyń poważnych szkód” (2021/C58/01). W szczególności instrument(-y) prawny(-e) wyklucza(-ją) następujący wykaz działań: działalności związanej z paliwami kopalnymi, w tym wykorzystania niższego szczebla</w:t>
      </w:r>
      <w:r>
        <w:rPr>
          <w:rStyle w:val="FootnoteReference"/>
          <w:rFonts w:ascii="Times New Roman" w:hAnsi="Times New Roman" w:cs="Times New Roman"/>
          <w:noProof/>
          <w:sz w:val="24"/>
        </w:rPr>
        <w:footnoteReference w:id="220"/>
      </w:r>
      <w:r>
        <w:rPr>
          <w:rFonts w:ascii="Times New Roman" w:hAnsi="Times New Roman"/>
          <w:noProof/>
          <w:sz w:val="24"/>
        </w:rPr>
        <w:t>;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sz w:val="24"/>
        </w:rPr>
        <w:footnoteReference w:id="221"/>
      </w:r>
      <w:r>
        <w:rPr>
          <w:rFonts w:ascii="Times New Roman" w:hAnsi="Times New Roman"/>
          <w:noProof/>
          <w:sz w:val="24"/>
        </w:rPr>
        <w:t>; oraz (iii) działalności związanej ze składowiskami odpadów, spalarniami</w:t>
      </w:r>
      <w:r>
        <w:rPr>
          <w:rStyle w:val="FootnoteReference"/>
          <w:rFonts w:ascii="Times New Roman" w:hAnsi="Times New Roman" w:cs="Times New Roman"/>
          <w:noProof/>
          <w:sz w:val="24"/>
        </w:rPr>
        <w:footnoteReference w:id="222"/>
      </w:r>
      <w:r>
        <w:rPr>
          <w:rFonts w:ascii="Times New Roman" w:hAnsi="Times New Roman"/>
          <w:noProof/>
          <w:sz w:val="24"/>
        </w:rPr>
        <w:t xml:space="preserve"> i zakładami mechaniczno-biologicznego przetwarzania odpadów</w:t>
      </w:r>
      <w:r>
        <w:rPr>
          <w:rStyle w:val="FootnoteReference"/>
          <w:rFonts w:ascii="Times New Roman" w:hAnsi="Times New Roman" w:cs="Times New Roman"/>
          <w:noProof/>
          <w:sz w:val="24"/>
        </w:rPr>
        <w:footnoteReference w:id="223"/>
      </w:r>
      <w:r>
        <w:rPr>
          <w:rFonts w:ascii="Times New Roman" w:hAnsi="Times New Roman"/>
          <w:noProof/>
          <w:sz w:val="24"/>
        </w:rPr>
        <w:t>. W przypadku ogólnego wsparcia dla przedsiębiorstw (w tym kapitału własnego i kapitału wysokiego ryzyka) instrument prawny (instrumenty prawne) wykluczają przedsiębiorstwa, które</w:t>
      </w:r>
      <w:r>
        <w:rPr>
          <w:rFonts w:ascii="Times New Roman" w:hAnsi="Times New Roman"/>
          <w:noProof/>
          <w:sz w:val="24"/>
        </w:rPr>
        <w:footnoteReference w:id="224"/>
      </w:r>
      <w:r>
        <w:rPr>
          <w:rFonts w:ascii="Times New Roman" w:hAnsi="Times New Roman"/>
          <w:noProof/>
          <w:sz w:val="24"/>
        </w:rPr>
        <w:t xml:space="preserve"> w znacznym stopniu koncentrują się na następujących sektorach: produkcja energii z paliw kopalnych i działalność pokrewna</w:t>
      </w:r>
      <w:r>
        <w:rPr>
          <w:rFonts w:ascii="Times New Roman" w:hAnsi="Times New Roman"/>
          <w:noProof/>
          <w:sz w:val="24"/>
        </w:rPr>
        <w:footnoteReference w:id="225"/>
      </w:r>
      <w:r>
        <w:rPr>
          <w:rFonts w:ascii="Times New Roman" w:hAnsi="Times New Roman"/>
          <w:noProof/>
          <w:sz w:val="24"/>
        </w:rPr>
        <w:t>; energochłonne i/lub wysokoemisyjne gałęzie przemysłu</w:t>
      </w:r>
      <w:r>
        <w:rPr>
          <w:rFonts w:ascii="Times New Roman" w:hAnsi="Times New Roman"/>
          <w:noProof/>
          <w:sz w:val="24"/>
        </w:rPr>
        <w:footnoteReference w:id="226"/>
      </w:r>
      <w:r>
        <w:rPr>
          <w:rFonts w:ascii="Times New Roman" w:hAnsi="Times New Roman"/>
          <w:noProof/>
          <w:sz w:val="24"/>
        </w:rPr>
        <w:t>; produkcja, wynajem lub sprzedaż pojazdów zanieczyszczających środowisko</w:t>
      </w:r>
      <w:r>
        <w:rPr>
          <w:rFonts w:ascii="Times New Roman" w:hAnsi="Times New Roman"/>
          <w:noProof/>
          <w:sz w:val="24"/>
        </w:rPr>
        <w:footnoteReference w:id="227"/>
      </w:r>
      <w:r>
        <w:rPr>
          <w:rFonts w:ascii="Times New Roman" w:hAnsi="Times New Roman"/>
          <w:noProof/>
          <w:sz w:val="24"/>
        </w:rPr>
        <w:t>; zbieranie odpadów, przetwarzanie i unieszkodliwianie odpadów</w:t>
      </w:r>
      <w:r>
        <w:rPr>
          <w:rFonts w:ascii="Times New Roman" w:hAnsi="Times New Roman"/>
          <w:noProof/>
          <w:sz w:val="24"/>
        </w:rPr>
        <w:footnoteReference w:id="228"/>
      </w:r>
      <w:r>
        <w:rPr>
          <w:rFonts w:ascii="Times New Roman" w:hAnsi="Times New Roman"/>
          <w:noProof/>
          <w:sz w:val="24"/>
        </w:rPr>
        <w:t>, (v) przetwarzanie paliwa jądrowego, produkcja energii jądrowej. Ponadto instrument(-y) prawny(-e) wymaga(-ją) zgodności z odpowiednimi unijnymi i krajowymi przepisami w zakresie ochrony środowiska beneficjentów końcowych programów dotacji.</w:t>
      </w:r>
    </w:p>
    <w:p w14:paraId="03F8977B" w14:textId="77777777" w:rsidR="006578ED" w:rsidRDefault="006578ED">
      <w:pPr>
        <w:pStyle w:val="ListParagraph"/>
        <w:spacing w:before="120" w:after="120" w:line="240" w:lineRule="auto"/>
        <w:jc w:val="both"/>
        <w:rPr>
          <w:rFonts w:ascii="Times New Roman" w:hAnsi="Times New Roman" w:cs="Times New Roman"/>
          <w:noProof/>
          <w:sz w:val="24"/>
        </w:rPr>
      </w:pPr>
    </w:p>
    <w:p w14:paraId="089313FD" w14:textId="724ED6FA" w:rsidR="006578ED" w:rsidRDefault="00A1618E">
      <w:pPr>
        <w:pStyle w:val="ListParagraph"/>
        <w:numPr>
          <w:ilvl w:val="0"/>
          <w:numId w:val="711"/>
        </w:numPr>
        <w:spacing w:before="120" w:after="120" w:line="240" w:lineRule="auto"/>
        <w:jc w:val="both"/>
        <w:rPr>
          <w:rFonts w:ascii="Times New Roman" w:hAnsi="Times New Roman" w:cs="Times New Roman"/>
          <w:noProof/>
          <w:sz w:val="24"/>
        </w:rPr>
      </w:pPr>
      <w:r>
        <w:rPr>
          <w:rFonts w:ascii="Times New Roman" w:hAnsi="Times New Roman"/>
          <w:noProof/>
          <w:sz w:val="24"/>
        </w:rPr>
        <w:t>Wymogi dotyczące inwestycji klimatycznych w ramach programu dotacji: co najmniej 902 000 000 EUR z inwestycji w program dotacji przyczynia się do realizacji celu dotyczącego zmiany klimatu zgodnie z załącznikiem VI do rozporządzenia w sprawie RRF.</w:t>
      </w:r>
      <w:r>
        <w:rPr>
          <w:rStyle w:val="FootnoteReference"/>
          <w:rFonts w:ascii="Times New Roman" w:hAnsi="Times New Roman" w:cs="Times New Roman"/>
          <w:noProof/>
          <w:sz w:val="24"/>
        </w:rPr>
        <w:footnoteReference w:id="229"/>
      </w:r>
      <w:r>
        <w:rPr>
          <w:rFonts w:ascii="Times New Roman" w:hAnsi="Times New Roman"/>
          <w:noProof/>
          <w:sz w:val="24"/>
        </w:rPr>
        <w:t xml:space="preserve"> </w:t>
      </w:r>
    </w:p>
    <w:p w14:paraId="7839E154" w14:textId="77777777" w:rsidR="006578ED" w:rsidRDefault="006578ED">
      <w:pPr>
        <w:pStyle w:val="ListParagraph"/>
        <w:spacing w:before="120" w:after="120" w:line="240" w:lineRule="auto"/>
        <w:jc w:val="both"/>
        <w:rPr>
          <w:rFonts w:ascii="Times New Roman" w:hAnsi="Times New Roman" w:cs="Times New Roman"/>
          <w:noProof/>
          <w:sz w:val="24"/>
        </w:rPr>
      </w:pPr>
    </w:p>
    <w:p w14:paraId="5F863CB7" w14:textId="75D78AB7" w:rsidR="006578ED" w:rsidRDefault="00A1618E">
      <w:pPr>
        <w:pStyle w:val="P68B1DB1-ListParagraph7"/>
        <w:numPr>
          <w:ilvl w:val="0"/>
          <w:numId w:val="711"/>
        </w:numPr>
        <w:spacing w:before="120" w:after="120" w:line="240" w:lineRule="auto"/>
        <w:jc w:val="both"/>
        <w:rPr>
          <w:rFonts w:cs="Times New Roman"/>
          <w:noProof/>
        </w:rPr>
      </w:pPr>
      <w:r>
        <w:rPr>
          <w:noProof/>
        </w:rPr>
        <w:t>Wymóg, zgodnie z którym beneficjenci końcowi Instrumentu nie mogą otrzymywać wsparcia z innych instrumentów unijnych w celu pokrycia tych samych kosztów.</w:t>
      </w:r>
    </w:p>
    <w:p w14:paraId="2D795EFF" w14:textId="77777777" w:rsidR="006578ED" w:rsidRDefault="006578ED">
      <w:pPr>
        <w:pStyle w:val="ListParagraph"/>
        <w:rPr>
          <w:rFonts w:ascii="Times New Roman" w:hAnsi="Times New Roman" w:cs="Times New Roman"/>
          <w:noProof/>
          <w:sz w:val="24"/>
        </w:rPr>
      </w:pPr>
    </w:p>
    <w:p w14:paraId="0645499A" w14:textId="7E69A5A8" w:rsidR="006578ED" w:rsidRDefault="00A1618E">
      <w:pPr>
        <w:pStyle w:val="P68B1DB1-ListParagraph7"/>
        <w:numPr>
          <w:ilvl w:val="0"/>
          <w:numId w:val="711"/>
        </w:numPr>
        <w:jc w:val="both"/>
        <w:rPr>
          <w:rFonts w:cs="Times New Roman"/>
          <w:noProof/>
        </w:rPr>
      </w:pPr>
      <w:r>
        <w:rPr>
          <w:noProof/>
        </w:rPr>
        <w:t xml:space="preserve">Kwotę objętą programem oraz wymóg reinwestowania wszelkich niewykorzystanych wpływów z programu w działania wymienione powyżej, w tym </w:t>
      </w:r>
      <w:r w:rsidRPr="00A1618E">
        <w:rPr>
          <w:noProof/>
          <w:lang w:val="pl-PL"/>
        </w:rPr>
        <w:t>po 2</w:t>
      </w:r>
      <w:r>
        <w:rPr>
          <w:noProof/>
        </w:rPr>
        <w:t>0</w:t>
      </w:r>
      <w:r w:rsidRPr="00A1618E">
        <w:rPr>
          <w:noProof/>
          <w:lang w:val="pl-PL"/>
        </w:rPr>
        <w:t>26 r.</w:t>
      </w:r>
    </w:p>
    <w:p w14:paraId="3BD41338" w14:textId="77777777" w:rsidR="006578ED" w:rsidRDefault="006578ED">
      <w:pPr>
        <w:pStyle w:val="ListParagraph"/>
        <w:spacing w:before="120" w:after="120" w:line="240" w:lineRule="auto"/>
        <w:jc w:val="both"/>
        <w:rPr>
          <w:rFonts w:ascii="Times New Roman" w:hAnsi="Times New Roman" w:cs="Times New Roman"/>
          <w:noProof/>
          <w:sz w:val="24"/>
        </w:rPr>
      </w:pPr>
    </w:p>
    <w:p w14:paraId="51F223E9" w14:textId="6FDE9932" w:rsidR="006578ED" w:rsidRDefault="00A1618E">
      <w:pPr>
        <w:pStyle w:val="P68B1DB1-ListParagraph7"/>
        <w:numPr>
          <w:ilvl w:val="0"/>
          <w:numId w:val="711"/>
        </w:numPr>
        <w:spacing w:before="120" w:after="120" w:line="240" w:lineRule="auto"/>
        <w:jc w:val="both"/>
        <w:rPr>
          <w:rFonts w:cs="Times New Roman"/>
          <w:noProof/>
        </w:rPr>
      </w:pPr>
      <w:r>
        <w:rPr>
          <w:noProof/>
        </w:rPr>
        <w:t>W przypadku inwestycji kapitałowych, w tym kapitału wysokiego ryzyka, kluczowe wymogi polityki inwestycyjnej obejmują:</w:t>
      </w:r>
    </w:p>
    <w:p w14:paraId="51586FF2" w14:textId="77777777" w:rsidR="006578ED" w:rsidRDefault="006578ED">
      <w:pPr>
        <w:pStyle w:val="ListParagraph"/>
        <w:spacing w:before="120" w:after="120" w:line="240" w:lineRule="auto"/>
        <w:jc w:val="both"/>
        <w:rPr>
          <w:rFonts w:ascii="Times New Roman" w:hAnsi="Times New Roman" w:cs="Times New Roman"/>
          <w:noProof/>
          <w:sz w:val="24"/>
        </w:rPr>
      </w:pPr>
    </w:p>
    <w:p w14:paraId="48CB69A2" w14:textId="792B59FF" w:rsidR="006578ED" w:rsidRDefault="00A1618E">
      <w:pPr>
        <w:pStyle w:val="P68B1DB1-ListParagraph7"/>
        <w:numPr>
          <w:ilvl w:val="0"/>
          <w:numId w:val="712"/>
        </w:numPr>
        <w:spacing w:before="120" w:after="120" w:line="240" w:lineRule="auto"/>
        <w:jc w:val="both"/>
        <w:rPr>
          <w:rFonts w:cs="Times New Roman"/>
          <w:noProof/>
        </w:rPr>
      </w:pPr>
      <w:r>
        <w:rPr>
          <w:noProof/>
        </w:rPr>
        <w:t>Opis linii produktów finansowych i kwalifikujących się beneficjentów końcowych</w:t>
      </w:r>
    </w:p>
    <w:p w14:paraId="3EA05A12" w14:textId="77777777" w:rsidR="006578ED" w:rsidRDefault="00A1618E">
      <w:pPr>
        <w:pStyle w:val="P68B1DB1-ListParagraph7"/>
        <w:numPr>
          <w:ilvl w:val="0"/>
          <w:numId w:val="712"/>
        </w:numPr>
        <w:spacing w:before="120" w:after="120" w:line="240" w:lineRule="auto"/>
        <w:jc w:val="both"/>
        <w:rPr>
          <w:rFonts w:cs="Times New Roman"/>
          <w:noProof/>
        </w:rPr>
      </w:pPr>
      <w:r>
        <w:rPr>
          <w:noProof/>
        </w:rPr>
        <w:t>Wymóg, aby wszystkie wspierane inwestycje były ekonomicznie opłacalne.</w:t>
      </w:r>
    </w:p>
    <w:p w14:paraId="73FE741B" w14:textId="77777777" w:rsidR="006578ED" w:rsidRDefault="006578ED">
      <w:pPr>
        <w:pStyle w:val="ListParagraph"/>
        <w:rPr>
          <w:rFonts w:ascii="Times New Roman" w:hAnsi="Times New Roman" w:cs="Times New Roman"/>
          <w:noProof/>
          <w:sz w:val="24"/>
        </w:rPr>
      </w:pPr>
    </w:p>
    <w:p w14:paraId="64C4FEC0" w14:textId="2A25B1A4" w:rsidR="006578ED" w:rsidRDefault="00A1618E">
      <w:pPr>
        <w:pStyle w:val="P68B1DB1-ListParagraph7"/>
        <w:numPr>
          <w:ilvl w:val="0"/>
          <w:numId w:val="714"/>
        </w:numPr>
        <w:spacing w:before="120" w:after="120" w:line="240" w:lineRule="auto"/>
        <w:jc w:val="both"/>
        <w:rPr>
          <w:rFonts w:cs="Times New Roman"/>
          <w:noProof/>
        </w:rPr>
      </w:pPr>
      <w:r>
        <w:rPr>
          <w:noProof/>
        </w:rPr>
        <w:t>W przypadku inwestycji kapitałowych, w tym kapitału wysokiego ryzyka, następujące wymogi w zakresie monitorowania, audytu i kontroli:</w:t>
      </w:r>
    </w:p>
    <w:p w14:paraId="383E55D2" w14:textId="20D2AAD1" w:rsidR="006578ED" w:rsidRDefault="00A1618E">
      <w:pPr>
        <w:pStyle w:val="P68B1DB1-ListParagraph7"/>
        <w:numPr>
          <w:ilvl w:val="0"/>
          <w:numId w:val="706"/>
        </w:numPr>
        <w:rPr>
          <w:rFonts w:cs="Times New Roman"/>
          <w:noProof/>
        </w:rPr>
      </w:pPr>
      <w:r>
        <w:rPr>
          <w:noProof/>
        </w:rPr>
        <w:t>Opis systemu monitorowania IDAE w celu sprawozdawczości na temat uruchomionych inwestycji.</w:t>
      </w:r>
    </w:p>
    <w:p w14:paraId="4A6F23D8" w14:textId="6D6AB0D2" w:rsidR="006578ED" w:rsidRDefault="00A1618E">
      <w:pPr>
        <w:pStyle w:val="P68B1DB1-ListParagraph7"/>
        <w:numPr>
          <w:ilvl w:val="0"/>
          <w:numId w:val="706"/>
        </w:numPr>
        <w:spacing w:before="120" w:after="120" w:line="240" w:lineRule="auto"/>
        <w:jc w:val="both"/>
        <w:rPr>
          <w:rFonts w:cs="Times New Roman"/>
          <w:noProof/>
        </w:rPr>
      </w:pPr>
      <w:r>
        <w:rPr>
          <w:noProof/>
        </w:rPr>
        <w:t xml:space="preserve">Opis procedur IDAE, które zapewnią zapobieganie nadużyciom finansowym, korupcji i konfliktom interesów oraz ich wykrywanie i korygowanie. </w:t>
      </w:r>
    </w:p>
    <w:p w14:paraId="24BEE50B" w14:textId="0B44E77C" w:rsidR="006578ED" w:rsidRDefault="00A1618E">
      <w:pPr>
        <w:pStyle w:val="P68B1DB1-ListParagraph7"/>
        <w:numPr>
          <w:ilvl w:val="0"/>
          <w:numId w:val="706"/>
        </w:numPr>
        <w:spacing w:before="120" w:after="120" w:line="240" w:lineRule="auto"/>
        <w:jc w:val="both"/>
        <w:rPr>
          <w:rFonts w:cs="Times New Roman"/>
          <w:noProof/>
        </w:rPr>
      </w:pPr>
      <w:r>
        <w:rPr>
          <w:noProof/>
        </w:rPr>
        <w:t>Obowiązek weryfikacji kwalifikowalności każdej operacji zgodnie z wymogami określonymi w odpowiednim akcie prawnym ustanawiającym program przed zobowiązaniem się do finansowania danej operacji.</w:t>
      </w:r>
    </w:p>
    <w:p w14:paraId="4A65AD17" w14:textId="370E9997" w:rsidR="006578ED" w:rsidRDefault="00A1618E">
      <w:pPr>
        <w:pStyle w:val="P68B1DB1-ListParagraph7"/>
        <w:numPr>
          <w:ilvl w:val="0"/>
          <w:numId w:val="706"/>
        </w:numPr>
        <w:spacing w:before="120" w:after="120" w:line="240" w:lineRule="auto"/>
        <w:jc w:val="both"/>
        <w:rPr>
          <w:rFonts w:cs="Times New Roman"/>
          <w:noProof/>
        </w:rPr>
      </w:pPr>
      <w:r>
        <w:rPr>
          <w:noProof/>
        </w:rPr>
        <w:t>Obowiązek przeprowadzania opartych na analizie ryzyka audytów ex post zgodnie z planem audytu IDAE. Audyty te służą sprawdzeniu: systemy kontroli są skuteczne, w tym wykrywanie nadużyć finansowych, korupcji i konfliktu interesów</w:t>
      </w:r>
      <w:r w:rsidRPr="00A1618E">
        <w:rPr>
          <w:noProof/>
          <w:lang w:val="pl-PL"/>
        </w:rPr>
        <w:t>; z</w:t>
      </w:r>
      <w:r>
        <w:rPr>
          <w:noProof/>
        </w:rPr>
        <w:t xml:space="preserve">godność z zasadą „nie czyń poważnych szkód”, zasadami pomocy państwa, wymogami dotyczącymi celów klimatycznych i cyfrowych; oraz (iii) wymóg weryfikacji przez IDAE, czy beneficjent końcowy przedstawia odpowiedzialne oświadczenie w celu sprawdzenia, czy te same koszty są pokrywane z innego instrumentu unijnego, jest przestrzegany. W ramach audytów sprawdza się również legalność transakcji oraz przestrzeganie warunków obowiązujących instrumentów prawnych ustanawiających system. </w:t>
      </w:r>
    </w:p>
    <w:p w14:paraId="46DD05F4" w14:textId="5CBC2A5F" w:rsidR="006578ED" w:rsidRDefault="00A1618E">
      <w:pPr>
        <w:pStyle w:val="P68B1DB1-Normal4"/>
        <w:spacing w:before="120" w:after="120" w:line="240" w:lineRule="auto"/>
        <w:jc w:val="both"/>
        <w:rPr>
          <w:rFonts w:cs="Times New Roman"/>
          <w:noProof/>
        </w:rPr>
      </w:pPr>
      <w:r>
        <w:rPr>
          <w:noProof/>
        </w:rPr>
        <w:t>Inwestycja zostanie zrealizowana do dnia 30 czerwca 20</w:t>
      </w:r>
      <w:r w:rsidRPr="00A1618E">
        <w:rPr>
          <w:noProof/>
          <w:lang w:val="pl-PL"/>
        </w:rPr>
        <w:t>26 r.</w:t>
      </w:r>
    </w:p>
    <w:p w14:paraId="283A2AFF" w14:textId="77777777" w:rsidR="006578ED" w:rsidRDefault="00A1618E">
      <w:pPr>
        <w:pStyle w:val="P68B1DB1-Text120"/>
        <w:ind w:left="0"/>
        <w:rPr>
          <w:rFonts w:cs="Times New Roman"/>
          <w:noProof/>
        </w:rPr>
      </w:pPr>
      <w:r>
        <w:rPr>
          <w:noProof/>
        </w:rPr>
        <w:t>Inwestycja 4 (C31.I4) – Inwestycje na rzecz infrastruktury sieci elektroenergetycznej</w:t>
      </w:r>
    </w:p>
    <w:p w14:paraId="5A904BCE" w14:textId="0D28CDE4" w:rsidR="006578ED" w:rsidRDefault="00A1618E">
      <w:pPr>
        <w:pStyle w:val="P68B1DB1-Normal4"/>
        <w:spacing w:before="120" w:after="120" w:line="240" w:lineRule="auto"/>
        <w:jc w:val="both"/>
        <w:rPr>
          <w:rFonts w:cs="Times New Roman"/>
          <w:noProof/>
        </w:rPr>
      </w:pPr>
      <w:r>
        <w:rPr>
          <w:noProof/>
        </w:rPr>
        <w:t>Celem tej inwestycji jest wsparcie rozwoju hiszpańskiej sieci przesyłowej energii elektrycznej. Inwestycja polega na zakończeniu kwalifikujących się projektów w ramach hiszpańskiego planu rozwoju sieci na lata 2021–2026 („plan”). Przed przyznaniem wsparcia Hiszpania określi kryteria kwalifikowalności, które muszą spełniać projekty, które mają zostać wybrane z hiszpańskiego planu rozwoju sieci na lata 2021–2026, w oparciu o:</w:t>
      </w:r>
    </w:p>
    <w:p w14:paraId="6CB90F80" w14:textId="240D92CD" w:rsidR="006578ED" w:rsidRDefault="00A1618E">
      <w:pPr>
        <w:pStyle w:val="P68B1DB1-ListParagraph7"/>
        <w:numPr>
          <w:ilvl w:val="0"/>
          <w:numId w:val="639"/>
        </w:numPr>
        <w:spacing w:before="120" w:after="120" w:line="240" w:lineRule="auto"/>
        <w:jc w:val="both"/>
        <w:rPr>
          <w:rFonts w:cs="Times New Roman"/>
          <w:noProof/>
        </w:rPr>
      </w:pPr>
      <w:r>
        <w:rPr>
          <w:noProof/>
        </w:rPr>
        <w:t>Projekty, które spełniają cele REPowerEU, a w szczególności te, które przyczyniają się do integracji odnawialnych źródeł energii, do dekarbonizacji przemysłu, do bezemisyjnego transportu oraz do rozwiązania problemu wewnętrznych zatorów komunikacyjnych; oraz</w:t>
      </w:r>
    </w:p>
    <w:p w14:paraId="12949066" w14:textId="0A5EA196" w:rsidR="006578ED" w:rsidRDefault="00A1618E">
      <w:pPr>
        <w:pStyle w:val="P68B1DB1-ListParagraph7"/>
        <w:numPr>
          <w:ilvl w:val="0"/>
          <w:numId w:val="639"/>
        </w:numPr>
        <w:spacing w:before="120" w:after="120" w:line="240" w:lineRule="auto"/>
        <w:jc w:val="both"/>
        <w:rPr>
          <w:rFonts w:cs="Times New Roman"/>
          <w:noProof/>
        </w:rPr>
      </w:pPr>
      <w:r>
        <w:rPr>
          <w:noProof/>
        </w:rPr>
        <w:t>projekty, które mają zostać ukończone do dnia 31 sierpnia 20</w:t>
      </w:r>
      <w:r w:rsidRPr="00A1618E">
        <w:rPr>
          <w:noProof/>
          <w:lang w:val="pl-PL"/>
        </w:rPr>
        <w:t>26 r.</w:t>
      </w:r>
    </w:p>
    <w:p w14:paraId="687445EF" w14:textId="4FE4DCDC" w:rsidR="006578ED" w:rsidRDefault="00A1618E">
      <w:pPr>
        <w:pStyle w:val="P68B1DB1-Normal4"/>
        <w:spacing w:before="120" w:after="120" w:line="240" w:lineRule="auto"/>
        <w:jc w:val="both"/>
        <w:rPr>
          <w:rFonts w:cs="Times New Roman"/>
          <w:noProof/>
        </w:rPr>
      </w:pPr>
      <w:r>
        <w:rPr>
          <w:noProof/>
        </w:rPr>
        <w:t>Inwestycja zostanie zrealizowana do dnia 31 sierpnia 20</w:t>
      </w:r>
      <w:r w:rsidRPr="00A1618E">
        <w:rPr>
          <w:noProof/>
          <w:lang w:val="pl-PL"/>
        </w:rPr>
        <w:t>26 r.</w:t>
      </w:r>
    </w:p>
    <w:p w14:paraId="75F18260" w14:textId="77777777" w:rsidR="006578ED" w:rsidRDefault="00A1618E">
      <w:pPr>
        <w:pStyle w:val="P68B1DB1-Text120"/>
        <w:ind w:left="0"/>
        <w:rPr>
          <w:rFonts w:cs="Times New Roman"/>
          <w:noProof/>
        </w:rPr>
      </w:pPr>
      <w:r>
        <w:rPr>
          <w:noProof/>
        </w:rPr>
        <w:t>Inwestycje 5 (C31.I5) – Inwestycje wspierające dekarbonizację przemysłu (dotacje)</w:t>
      </w:r>
    </w:p>
    <w:p w14:paraId="6A2DA582" w14:textId="38FC34C8" w:rsidR="006578ED" w:rsidRDefault="00A1618E">
      <w:pPr>
        <w:pStyle w:val="Text1"/>
        <w:ind w:left="0"/>
        <w:rPr>
          <w:rStyle w:val="IntenseEmphasis"/>
          <w:rFonts w:ascii="Times New Roman" w:hAnsi="Times New Roman" w:cs="Times New Roman"/>
          <w:i w:val="0"/>
          <w:noProof/>
          <w:color w:val="auto"/>
          <w:sz w:val="22"/>
        </w:rPr>
      </w:pPr>
      <w:r>
        <w:rPr>
          <w:rStyle w:val="IntenseEmphasis"/>
          <w:rFonts w:ascii="Times New Roman" w:hAnsi="Times New Roman"/>
          <w:i w:val="0"/>
          <w:noProof/>
          <w:color w:val="auto"/>
        </w:rPr>
        <w:t xml:space="preserve">Celem tego środka, który jest częścią strategicznego projektu dekarbonizacji przemysłu, jest wspieranie dekarbonizacji procesów przemysłowych. Środek ten obejmuje realizację projektów mających na celu dekarbonizację przemysłu wytwórczego, na przykład projektów mających na celu redukcję emisji gazów cieplarnianych), a także rozwój nowych wysoce wydajnych i zdekarbonizowanych zakładów produkcyjnych. </w:t>
      </w:r>
    </w:p>
    <w:p w14:paraId="30E2F416" w14:textId="4005E478" w:rsidR="006578ED" w:rsidRDefault="00A1618E">
      <w:pPr>
        <w:pStyle w:val="Text1"/>
        <w:ind w:left="0"/>
        <w:rPr>
          <w:rFonts w:ascii="Times New Roman" w:hAnsi="Times New Roman" w:cs="Times New Roman"/>
          <w:noProof/>
        </w:rPr>
      </w:pPr>
      <w:r>
        <w:rPr>
          <w:rFonts w:ascii="Times New Roman" w:hAnsi="Times New Roman"/>
          <w:noProof/>
        </w:rPr>
        <w:t>Decyzja zatwierdzająca PERTE w odniesieniu do dekarbonizacji przemysłu zawiera kryteria wyboru w celu zapewnienia zgodności z wytycznymi technicznymi dotyczącymi zasady „nie czyń poważnych szkód” (2021/C58/01). 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230"/>
      </w:r>
      <w:r>
        <w:rPr>
          <w:rFonts w:ascii="Times New Roman" w:hAnsi="Times New Roman"/>
          <w:noProof/>
        </w:rPr>
        <w:t>; działalność związana z paliwami kopalnymi, w tym zastosowaniami niższego szczebla, poza systemem handlu uprawnieniami do emisji (ETS)</w:t>
      </w:r>
      <w:r>
        <w:rPr>
          <w:rStyle w:val="FootnoteReference"/>
          <w:rFonts w:ascii="Times New Roman" w:hAnsi="Times New Roman" w:cs="Times New Roman"/>
          <w:noProof/>
        </w:rPr>
        <w:footnoteReference w:id="231"/>
      </w:r>
      <w:r>
        <w:rPr>
          <w:rFonts w:ascii="Times New Roman" w:hAnsi="Times New Roman"/>
          <w:noProof/>
        </w:rPr>
        <w:t xml:space="preserve">. Kryteria wyboru wymagają ponadto, aby wybierano wyłącznie działania, które są zgodne z odpowiednimi przepisami unijnymi i krajowymi w zakresie ochrony środowiska. </w:t>
      </w:r>
    </w:p>
    <w:p w14:paraId="0DBABB13" w14:textId="1765D1E1" w:rsidR="006578ED" w:rsidRDefault="00A1618E">
      <w:pPr>
        <w:pStyle w:val="P68B1DB1-Text119"/>
        <w:ind w:left="0"/>
        <w:rPr>
          <w:rFonts w:cs="Times New Roman"/>
          <w:noProof/>
        </w:rPr>
      </w:pPr>
      <w:r>
        <w:rPr>
          <w:noProof/>
        </w:rPr>
        <w:t xml:space="preserve">Następujące działania w zakresie badań, rozwoju i innowacji w ramach tej inwestycji uznaje się za zgodne z wytycznymi technicznymi dotyczącymi zasady „nie czyń poważnych szkód” (2021/C58/01): Działania w zakresie badań, rozwoju i innowacji w ramach tej inwestycji ukierunkowane na znaczne zwiększenie zrównoważenia środowiskowego przedsiębiorstw (takie jak dekarbonizacja, redukcja zanieczyszczeń i gospodarka o obiegu zamkniętym), jeżeli działania w zakresie badań, rozwoju i innowacji w ramach tej inwestycji koncentrują się przede wszystkim na opracowaniu lub dostosowaniu alternatywnych rozwiązań o możliwie najmniejszym wpływie na środowisko w tym sektorze. </w:t>
      </w:r>
    </w:p>
    <w:p w14:paraId="4FA77B87" w14:textId="077D6F60" w:rsidR="006578ED" w:rsidRDefault="00A1618E">
      <w:pPr>
        <w:pStyle w:val="Text1"/>
        <w:ind w:left="0"/>
        <w:rPr>
          <w:rStyle w:val="IntenseEmphasis"/>
          <w:rFonts w:ascii="Times New Roman" w:hAnsi="Times New Roman" w:cs="Times New Roman"/>
          <w:i w:val="0"/>
          <w:noProof/>
          <w:color w:val="auto"/>
        </w:rPr>
      </w:pPr>
      <w:r>
        <w:rPr>
          <w:rFonts w:ascii="Times New Roman" w:hAnsi="Times New Roman"/>
          <w:noProof/>
        </w:rPr>
        <w:t>Kryteria wyboru zapewniają, aby co najmniej 236 000 000 EUR, co stanowi 40 % szacunkowych kosztów działania, przyczyniało się do realizacji celów związanych ze zmianą klimatu, zgodnie z załącznikiem VI do rozporządzenia w sprawie RRF.</w:t>
      </w:r>
      <w:r>
        <w:rPr>
          <w:rStyle w:val="FootnoteReference"/>
          <w:rFonts w:ascii="Times New Roman" w:hAnsi="Times New Roman" w:cs="Times New Roman"/>
          <w:noProof/>
        </w:rPr>
        <w:footnoteReference w:id="232"/>
      </w:r>
    </w:p>
    <w:p w14:paraId="673AC9A6" w14:textId="1E5063BC" w:rsidR="006578ED" w:rsidRDefault="00A1618E">
      <w:pPr>
        <w:pStyle w:val="Text1"/>
        <w:ind w:left="0"/>
        <w:rPr>
          <w:rFonts w:ascii="Times New Roman" w:hAnsi="Times New Roman" w:cs="Times New Roman"/>
          <w:noProof/>
        </w:rPr>
      </w:pPr>
      <w:r>
        <w:rPr>
          <w:rStyle w:val="IntenseEmphasis"/>
          <w:rFonts w:ascii="Times New Roman" w:hAnsi="Times New Roman"/>
          <w:i w:val="0"/>
          <w:noProof/>
          <w:color w:val="auto"/>
        </w:rPr>
        <w:t>Wdrożenie środka należy zakończyć do dnia 31</w:t>
      </w:r>
      <w:r>
        <w:rPr>
          <w:rFonts w:ascii="Times New Roman" w:hAnsi="Times New Roman"/>
          <w:i/>
          <w:noProof/>
        </w:rPr>
        <w:t xml:space="preserve"> </w:t>
      </w:r>
      <w:r>
        <w:rPr>
          <w:rFonts w:ascii="Times New Roman" w:hAnsi="Times New Roman"/>
          <w:noProof/>
        </w:rPr>
        <w:t>sierpnia 20</w:t>
      </w:r>
      <w:r w:rsidRPr="00A1618E">
        <w:rPr>
          <w:rFonts w:ascii="Times New Roman" w:hAnsi="Times New Roman"/>
          <w:noProof/>
          <w:lang w:val="pl-PL"/>
        </w:rPr>
        <w:t>26 r.</w:t>
      </w:r>
      <w:r>
        <w:rPr>
          <w:rFonts w:ascii="Times New Roman" w:hAnsi="Times New Roman"/>
          <w:noProof/>
        </w:rPr>
        <w:t xml:space="preserve"> </w:t>
      </w:r>
    </w:p>
    <w:p w14:paraId="5556DCD0" w14:textId="77777777" w:rsidR="006578ED" w:rsidRDefault="006578ED">
      <w:pPr>
        <w:spacing w:after="0" w:line="240" w:lineRule="auto"/>
        <w:jc w:val="both"/>
        <w:rPr>
          <w:rFonts w:ascii="Times New Roman" w:hAnsi="Times New Roman" w:cs="Times New Roman"/>
          <w:noProof/>
        </w:rPr>
      </w:pPr>
    </w:p>
    <w:p w14:paraId="00620CE8" w14:textId="7F404CFA" w:rsidR="006578ED" w:rsidRDefault="00A1618E">
      <w:pPr>
        <w:pStyle w:val="P68B1DB1-Normal6"/>
        <w:rPr>
          <w:rFonts w:cs="Times New Roman"/>
          <w:noProof/>
        </w:rPr>
      </w:pPr>
      <w:r>
        <w:rPr>
          <w:noProof/>
        </w:rPr>
        <w:t>Inwestycja 6 (C31.I6) – Program dotacji na projekty w zakresie dekarbonizacji (dotacje)</w:t>
      </w:r>
    </w:p>
    <w:p w14:paraId="5BCED0EA" w14:textId="18C2C465" w:rsidR="006578ED" w:rsidRDefault="00A1618E">
      <w:pPr>
        <w:pStyle w:val="P68B1DB1-paragraph25"/>
        <w:spacing w:before="120" w:after="120"/>
        <w:jc w:val="both"/>
        <w:textAlignment w:val="baseline"/>
        <w:rPr>
          <w:rFonts w:cs="Times New Roman"/>
          <w:noProof/>
        </w:rPr>
      </w:pPr>
      <w:r>
        <w:rPr>
          <w:noProof/>
        </w:rPr>
        <w:t>Środek ten obejmuje inwestycję publiczną w publiczny program dotacji w celu zachęcenia do inwestycji prywatnych. System wspiera dekarbonizację procesów przemysłowych oraz rozwój nowych wysoce wydajnych i zdekarbonizowanych zakładów produkcyjnych w kontekście strategicznego projektu dotyczącego dekarbu (PERTE) zatwierdzonego przez Radę Ministrów. Na podstawie inwestycji w ramach RRF program dotacji ma początkowo na celu zapewnienie finansowania w wysokości co najmniej 430 000 000 EUR.</w:t>
      </w:r>
    </w:p>
    <w:p w14:paraId="28317DC5" w14:textId="334F1815" w:rsidR="006578ED" w:rsidRDefault="00A1618E">
      <w:pPr>
        <w:pStyle w:val="P68B1DB1-paragraph25"/>
        <w:spacing w:before="120" w:after="120"/>
        <w:jc w:val="both"/>
        <w:textAlignment w:val="baseline"/>
        <w:rPr>
          <w:rFonts w:cs="Times New Roman"/>
          <w:noProof/>
        </w:rPr>
      </w:pPr>
      <w:r>
        <w:rPr>
          <w:noProof/>
        </w:rPr>
        <w:t xml:space="preserve">Systemem zarządza ENISA jako partner wykonawczy. W celu realizacji tej inwestycji odpowiedni akt prawny przekształca ENISA w przedsiębiorstwo publiczne. </w:t>
      </w:r>
    </w:p>
    <w:p w14:paraId="0DB2C377" w14:textId="62D910B2" w:rsidR="006578ED" w:rsidRPr="00A1618E" w:rsidRDefault="00A1618E">
      <w:pPr>
        <w:pStyle w:val="P68B1DB1-paragraph25"/>
        <w:spacing w:before="120" w:after="120"/>
        <w:jc w:val="both"/>
        <w:textAlignment w:val="baseline"/>
        <w:rPr>
          <w:rFonts w:cs="Times New Roman"/>
          <w:noProof/>
          <w:lang w:val="pl-PL"/>
        </w:rPr>
      </w:pPr>
      <w:r>
        <w:rPr>
          <w:noProof/>
        </w:rPr>
        <w:t>W celu realizacji inwestycji w program rząd przyjmuje jeden lub kilka instrumentów prawnych ustanawiających program subsydiów, które obejmują następujące elementy</w:t>
      </w:r>
      <w:r w:rsidRPr="00A1618E">
        <w:rPr>
          <w:noProof/>
          <w:lang w:val="pl-PL"/>
        </w:rPr>
        <w:t xml:space="preserve">: </w:t>
      </w:r>
    </w:p>
    <w:p w14:paraId="1E0157FE" w14:textId="077B8A23" w:rsidR="006578ED" w:rsidRPr="00A1618E" w:rsidRDefault="00A1618E">
      <w:pPr>
        <w:pStyle w:val="P68B1DB1-paragraph25"/>
        <w:numPr>
          <w:ilvl w:val="0"/>
          <w:numId w:val="778"/>
        </w:numPr>
        <w:spacing w:before="120" w:after="120"/>
        <w:jc w:val="both"/>
        <w:textAlignment w:val="baseline"/>
        <w:rPr>
          <w:rFonts w:cs="Times New Roman"/>
          <w:noProof/>
          <w:lang w:val="pl-PL"/>
        </w:rPr>
      </w:pPr>
      <w:r>
        <w:rPr>
          <w:noProof/>
        </w:rPr>
        <w:t>Opis procesu decyzyjnego w odniesieniu do systemu: Ocena wniosków i wybór beneficjentów, którzy mają zostać uwzględnieni w ostatecznych decyzjach o przyznaniu dotacji lub decyzjach inwestycyjnych w ramach programu, są podejmowane przez komisję oceniającą lub inny równoważny organ zarządzający i zatwierdzane większością głosów członków niezależnych od rządu hiszpańskiego, co oznacza, że muszą oni być pracownikami zatrudnionymi przez ENISA lub innymi niezależnymi ekspertami. Ostateczna decyzja inwestycyjna programu ogranicza się do zatwierdzenia (bez zmian) lub korzystania z prawa weta w odniesieniu do decyzji inwestycyjnej zaproponowanej przez komisję oceniającą lub odpowiedni równoważny organ zarządzający</w:t>
      </w:r>
      <w:r w:rsidRPr="00A1618E">
        <w:rPr>
          <w:noProof/>
          <w:lang w:val="pl-PL"/>
        </w:rPr>
        <w:t xml:space="preserve">. </w:t>
      </w:r>
    </w:p>
    <w:p w14:paraId="349961BF" w14:textId="3339D12D" w:rsidR="006578ED" w:rsidRDefault="00A1618E">
      <w:pPr>
        <w:pStyle w:val="P68B1DB1-paragraph25"/>
        <w:numPr>
          <w:ilvl w:val="0"/>
          <w:numId w:val="778"/>
        </w:numPr>
        <w:spacing w:before="120" w:after="120"/>
        <w:jc w:val="both"/>
        <w:textAlignment w:val="baseline"/>
        <w:rPr>
          <w:rFonts w:cs="Times New Roman"/>
          <w:noProof/>
        </w:rPr>
      </w:pPr>
      <w:r>
        <w:rPr>
          <w:noProof/>
        </w:rPr>
        <w:t>Wykaz działań na rzecz ekologicznej i cyfrowej transformacji sektora kwalifikujących się do wsparcia, który wynosi co najmniej 430 000 000 EUR. Środek ten wspiera innowacyjne projekty wiążące się ze znaczną transformacją przemysłową pod względem efektywności energetycznej, zrównoważoności i transformacji cyfrowej sektora, a także rozwój nowych wysoce wydajnych i zdekarbonizowanych zakładów produkcyjnych.</w:t>
      </w:r>
    </w:p>
    <w:p w14:paraId="09743D41" w14:textId="71C53EE4" w:rsidR="006578ED" w:rsidRPr="00A1618E" w:rsidRDefault="00A1618E">
      <w:pPr>
        <w:pStyle w:val="paragraph"/>
        <w:numPr>
          <w:ilvl w:val="0"/>
          <w:numId w:val="778"/>
        </w:numPr>
        <w:spacing w:before="120" w:after="120"/>
        <w:jc w:val="both"/>
        <w:textAlignment w:val="baseline"/>
        <w:rPr>
          <w:rFonts w:ascii="Times New Roman" w:hAnsi="Times New Roman" w:cs="Times New Roman"/>
          <w:noProof/>
          <w:lang w:val="pl-PL"/>
        </w:rPr>
      </w:pPr>
      <w:r>
        <w:rPr>
          <w:rFonts w:ascii="Times New Roman" w:hAnsi="Times New Roman"/>
          <w:noProof/>
        </w:rPr>
        <w:t>Wymóg przestrzegania zasady „nie czyń poważnych szkód” (DNSH) w ramach Instrumentu na rzecz Odbudowy i Zwiększania Odporności, jak określono w wytycznych technicznych dotyczących zasady „nie czyń poważnych szkód” (2021/C58/01). W szczególności instrument(-y) prawny(-e) wyklucza(-ją) następujący wykaz działań: działania w ramach unijnego systemu handlu uprawnieniami do emisji (ETS) prowadzące do osiągnięcia prognozowanych emisji gazów cieplarnianych, które nie są niższe od odpowiednich poziomów odniesienia</w:t>
      </w:r>
      <w:r>
        <w:rPr>
          <w:rStyle w:val="FootnoteReference"/>
          <w:rFonts w:ascii="Times New Roman" w:hAnsi="Times New Roman" w:cs="Times New Roman"/>
          <w:noProof/>
        </w:rPr>
        <w:footnoteReference w:id="233"/>
      </w:r>
      <w:r>
        <w:rPr>
          <w:rFonts w:ascii="Times New Roman" w:hAnsi="Times New Roman"/>
          <w:noProof/>
        </w:rPr>
        <w:t>; działalność związana z paliwami kopalnymi, w tym zastosowaniami niższego szczebla, poza systemem handlu uprawnieniami do emisji (ETS)</w:t>
      </w:r>
      <w:r>
        <w:rPr>
          <w:rStyle w:val="FootnoteReference"/>
          <w:rFonts w:ascii="Times New Roman" w:hAnsi="Times New Roman" w:cs="Times New Roman"/>
          <w:noProof/>
        </w:rPr>
        <w:footnoteReference w:id="234"/>
      </w:r>
      <w:r>
        <w:rPr>
          <w:rFonts w:ascii="Times New Roman" w:hAnsi="Times New Roman"/>
          <w:noProof/>
        </w:rPr>
        <w:t>. Ponadto instrument(-y) prawny(-e) wymaga(-ją) zgodności z odpowiednimi unijnymi i krajowymi przepisami w zakresie ochrony środowiska beneficjentów końcowych programów dotacji. Następujące działania w zakresie badań, rozwoju i innowacji w ramach tej inwestycji uznaje się za zgodne z wytycznymi technicznymi dotyczącymi zasady „nie czyń poważnych szkód” (2021/C58/01): Działania w zakresie badań, rozwoju i innowacji w ramach tej inwestycji ukierunkowane na znaczne zwiększenie zrównoważenia środowiskowego przedsiębiorstw (takie jak dekarbonizacja, redukcja zanieczyszczeń i gospodarka o obiegu zamkniętym), jeżeli działania w zakresie badań, rozwoju i innowacji w ramach tej inwestycji koncentrują się przede wszystkim na opracowaniu lub dostosowaniu alternatywnych rozwiązań o możliwie najmniejszym wpływie na środowisko w tym sektorze. Ponadto instrument(-y) prawny(-e) wymaga(-ją) zgodności z odpowiednimi unijnymi i krajowymi przepisami w zakresie ochrony środowiska beneficjentów końcowych programów dotacji</w:t>
      </w:r>
      <w:r w:rsidRPr="00A1618E">
        <w:rPr>
          <w:rFonts w:ascii="Times New Roman" w:hAnsi="Times New Roman"/>
          <w:noProof/>
          <w:lang w:val="pl-PL"/>
        </w:rPr>
        <w:t xml:space="preserve">. </w:t>
      </w:r>
    </w:p>
    <w:p w14:paraId="4B5E9D89" w14:textId="71B008CE" w:rsidR="006578ED" w:rsidRDefault="00A1618E">
      <w:pPr>
        <w:pStyle w:val="paragraph"/>
        <w:numPr>
          <w:ilvl w:val="0"/>
          <w:numId w:val="778"/>
        </w:numPr>
        <w:spacing w:before="120" w:after="120"/>
        <w:jc w:val="both"/>
        <w:textAlignment w:val="baseline"/>
        <w:rPr>
          <w:rFonts w:ascii="Times New Roman" w:hAnsi="Times New Roman" w:cs="Times New Roman"/>
          <w:noProof/>
        </w:rPr>
      </w:pPr>
      <w:r>
        <w:rPr>
          <w:rFonts w:ascii="Times New Roman" w:hAnsi="Times New Roman"/>
          <w:noProof/>
        </w:rPr>
        <w:t>Wymogi dotyczące inwestycji klimatycznych w ramach programu dotacji: co najmniej 172 000 000 EUR z inwestycji RRF w program przyczynia się do realizacji celów związanych ze zmianą klimatu zgodnie z załącznikiem VI do rozporządzenia w sprawie RRF.</w:t>
      </w:r>
      <w:r>
        <w:rPr>
          <w:rStyle w:val="FootnoteReference"/>
          <w:rFonts w:ascii="Times New Roman" w:hAnsi="Times New Roman" w:cs="Times New Roman"/>
          <w:noProof/>
        </w:rPr>
        <w:footnoteReference w:id="235"/>
      </w:r>
      <w:r>
        <w:rPr>
          <w:rFonts w:ascii="Times New Roman" w:hAnsi="Times New Roman"/>
          <w:noProof/>
        </w:rPr>
        <w:t xml:space="preserve"> </w:t>
      </w:r>
    </w:p>
    <w:p w14:paraId="07CE7015" w14:textId="4FCC541D" w:rsidR="006578ED" w:rsidRDefault="00A1618E">
      <w:pPr>
        <w:pStyle w:val="P68B1DB1-paragraph25"/>
        <w:numPr>
          <w:ilvl w:val="0"/>
          <w:numId w:val="778"/>
        </w:numPr>
        <w:spacing w:before="120" w:after="120"/>
        <w:jc w:val="both"/>
        <w:textAlignment w:val="baseline"/>
        <w:rPr>
          <w:rFonts w:cs="Times New Roman"/>
          <w:noProof/>
        </w:rPr>
      </w:pPr>
      <w:r>
        <w:rPr>
          <w:noProof/>
        </w:rPr>
        <w:t>Wymóg, aby beneficjenci końcowi programu subsydiów nie otrzymywali wsparcia z innych instrumentów unijnych w celu pokrycia tych samych kosztów.</w:t>
      </w:r>
    </w:p>
    <w:p w14:paraId="64F04B98" w14:textId="55667614" w:rsidR="006578ED" w:rsidRDefault="00A1618E">
      <w:pPr>
        <w:pStyle w:val="P68B1DB1-paragraph25"/>
        <w:numPr>
          <w:ilvl w:val="0"/>
          <w:numId w:val="778"/>
        </w:numPr>
        <w:spacing w:before="120" w:after="120"/>
        <w:jc w:val="both"/>
        <w:textAlignment w:val="baseline"/>
        <w:rPr>
          <w:rFonts w:cs="Times New Roman"/>
          <w:noProof/>
        </w:rPr>
      </w:pPr>
      <w:r>
        <w:rPr>
          <w:noProof/>
        </w:rPr>
        <w:t xml:space="preserve">Kwoty objętej programem oraz wymogu reinwestowania wszelkich niewykorzystanych wpływów z programu subsydiów w działania wymienione powyżej, w tym </w:t>
      </w:r>
      <w:r w:rsidRPr="00A1618E">
        <w:rPr>
          <w:noProof/>
          <w:lang w:val="pl-PL"/>
        </w:rPr>
        <w:t>po 2</w:t>
      </w:r>
      <w:r>
        <w:rPr>
          <w:noProof/>
        </w:rPr>
        <w:t>0</w:t>
      </w:r>
      <w:r w:rsidRPr="00A1618E">
        <w:rPr>
          <w:noProof/>
          <w:lang w:val="pl-PL"/>
        </w:rPr>
        <w:t>26 r.</w:t>
      </w:r>
      <w:r>
        <w:rPr>
          <w:noProof/>
        </w:rPr>
        <w:t xml:space="preserve"> </w:t>
      </w:r>
    </w:p>
    <w:p w14:paraId="7190FCC1" w14:textId="6EF45405" w:rsidR="006578ED" w:rsidRDefault="00A1618E">
      <w:pPr>
        <w:pStyle w:val="P68B1DB1-paragraph25"/>
        <w:spacing w:before="120" w:beforeAutospacing="0" w:after="120" w:afterAutospacing="0"/>
        <w:jc w:val="both"/>
        <w:textAlignment w:val="baseline"/>
        <w:rPr>
          <w:rFonts w:cs="Times New Roman"/>
          <w:noProof/>
        </w:rPr>
      </w:pPr>
      <w:r>
        <w:rPr>
          <w:noProof/>
        </w:rPr>
        <w:t>Realizacja inwestycji zostanie zakończona do dnia 31 sierpnia 20</w:t>
      </w:r>
      <w:r w:rsidRPr="00A1618E">
        <w:rPr>
          <w:noProof/>
          <w:lang w:val="pl-PL"/>
        </w:rPr>
        <w:t>26 r.</w:t>
      </w:r>
    </w:p>
    <w:p w14:paraId="236B8678" w14:textId="39520797" w:rsidR="006578ED" w:rsidRDefault="00A1618E">
      <w:pPr>
        <w:pStyle w:val="P68B1DB1-Text141"/>
        <w:spacing w:before="0" w:after="160" w:line="259" w:lineRule="auto"/>
        <w:rPr>
          <w:rFonts w:cs="Times New Roman"/>
          <w:noProof/>
        </w:rPr>
      </w:pPr>
      <w:r>
        <w:rPr>
          <w:noProof/>
          <w:u w:val="single"/>
        </w:rPr>
        <w:t xml:space="preserve">AE.2. </w:t>
      </w:r>
      <w:r>
        <w:rPr>
          <w:noProof/>
          <w:u w:val="single"/>
        </w:rPr>
        <w:tab/>
        <w:t>Kamienie milowe, wartości docelowe, wskaźniki i harmonogram monitorowania i realizacji na potrzeby bezzwrotnego wsparcia finansowego</w:t>
      </w:r>
      <w:r>
        <w:rPr>
          <w:noProof/>
        </w:rPr>
        <w:t xml:space="preserve"> </w:t>
      </w:r>
    </w:p>
    <w:p w14:paraId="6F1268C1" w14:textId="2E67B2CF" w:rsidR="006578ED" w:rsidRPr="00A1618E" w:rsidRDefault="00A1618E">
      <w:pPr>
        <w:pStyle w:val="P68B1DB1-Normal18"/>
        <w:spacing w:after="160" w:line="259" w:lineRule="auto"/>
        <w:jc w:val="both"/>
        <w:rPr>
          <w:rFonts w:cs="Times New Roman"/>
          <w:noProof/>
          <w:lang w:val="pl-PL"/>
        </w:rPr>
      </w:pPr>
      <w:r>
        <w:rPr>
          <w:noProof/>
        </w:rPr>
        <w:t>Zob. tabela poniżej. Datą odniesienia dla wszystkich wskaźników jest dzień 1 lutego 20</w:t>
      </w:r>
      <w:r w:rsidRPr="00A1618E">
        <w:rPr>
          <w:noProof/>
          <w:lang w:val="pl-PL"/>
        </w:rPr>
        <w:t>22 r.</w:t>
      </w:r>
      <w:r>
        <w:rPr>
          <w:noProof/>
        </w:rPr>
        <w:t>, chyba że w opisie działania wskazano inaczej. Kwoty w tabeli nie obejmują VAT</w:t>
      </w:r>
      <w:r w:rsidRPr="00A1618E">
        <w:rPr>
          <w:noProof/>
          <w:lang w:val="pl-PL"/>
        </w:rPr>
        <w:t xml:space="preserve">. </w:t>
      </w:r>
    </w:p>
    <w:p w14:paraId="3049B90A" w14:textId="77777777" w:rsidR="006578ED" w:rsidRDefault="006578ED">
      <w:pPr>
        <w:pStyle w:val="Text1"/>
        <w:ind w:left="490"/>
        <w:rPr>
          <w:rFonts w:ascii="Times New Roman" w:hAnsi="Times New Roman" w:cs="Times New Roman"/>
          <w:noProof/>
        </w:rPr>
      </w:pPr>
    </w:p>
    <w:p w14:paraId="174C711A" w14:textId="77777777" w:rsidR="006578ED" w:rsidRDefault="006578ED">
      <w:pPr>
        <w:spacing w:before="120" w:after="120" w:line="240" w:lineRule="auto"/>
        <w:jc w:val="both"/>
        <w:rPr>
          <w:rFonts w:ascii="Times New Roman" w:hAnsi="Times New Roman" w:cs="Times New Roman"/>
          <w:noProof/>
          <w:sz w:val="24"/>
          <w:highlight w:val="yellow"/>
        </w:rPr>
      </w:pPr>
    </w:p>
    <w:p w14:paraId="6A9BBC53" w14:textId="77777777" w:rsidR="006578ED" w:rsidRDefault="006578ED">
      <w:pPr>
        <w:pStyle w:val="Text1"/>
        <w:ind w:left="0"/>
        <w:rPr>
          <w:rFonts w:ascii="Times New Roman" w:eastAsia="Times New Roman" w:hAnsi="Times New Roman" w:cs="Times New Roman"/>
          <w:noProof/>
          <w:u w:val="single"/>
        </w:rPr>
        <w:sectPr w:rsidR="006578ED" w:rsidSect="00C94F66">
          <w:headerReference w:type="even" r:id="rId567"/>
          <w:headerReference w:type="default" r:id="rId568"/>
          <w:footerReference w:type="even" r:id="rId569"/>
          <w:footerReference w:type="default" r:id="rId570"/>
          <w:headerReference w:type="first" r:id="rId571"/>
          <w:footerReference w:type="first" r:id="rId572"/>
          <w:pgSz w:w="11907" w:h="16839"/>
          <w:pgMar w:top="1134" w:right="1417" w:bottom="1134" w:left="1417" w:header="709" w:footer="709" w:gutter="0"/>
          <w:cols w:space="720"/>
          <w:docGrid w:linePitch="360"/>
        </w:sectPr>
      </w:pPr>
    </w:p>
    <w:tbl>
      <w:tblPr>
        <w:tblW w:w="15308"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73"/>
        <w:gridCol w:w="804"/>
        <w:gridCol w:w="900"/>
        <w:gridCol w:w="2296"/>
        <w:gridCol w:w="1215"/>
        <w:gridCol w:w="600"/>
        <w:gridCol w:w="436"/>
        <w:gridCol w:w="556"/>
        <w:gridCol w:w="426"/>
        <w:gridCol w:w="502"/>
        <w:gridCol w:w="6869"/>
        <w:gridCol w:w="31"/>
      </w:tblGrid>
      <w:tr w:rsidR="006578ED" w14:paraId="267E4B0F" w14:textId="77777777">
        <w:trPr>
          <w:trHeight w:val="309"/>
          <w:tblHeader/>
        </w:trPr>
        <w:tc>
          <w:tcPr>
            <w:tcW w:w="673" w:type="dxa"/>
            <w:tcBorders>
              <w:bottom w:val="nil"/>
            </w:tcBorders>
            <w:shd w:val="clear" w:color="auto" w:fill="C6D9F1" w:themeFill="text2" w:themeFillTint="33"/>
            <w:noWrap/>
            <w:vAlign w:val="center"/>
          </w:tcPr>
          <w:p w14:paraId="739499BC" w14:textId="77777777" w:rsidR="006578ED" w:rsidRDefault="00A1618E">
            <w:pPr>
              <w:pStyle w:val="P68B1DB1-Normal12"/>
              <w:spacing w:after="0"/>
              <w:jc w:val="center"/>
              <w:rPr>
                <w:rFonts w:cs="Times New Roman"/>
                <w:noProof/>
              </w:rPr>
            </w:pPr>
            <w:r>
              <w:rPr>
                <w:noProof/>
              </w:rPr>
              <w:t>Liczba</w:t>
            </w:r>
          </w:p>
        </w:tc>
        <w:tc>
          <w:tcPr>
            <w:tcW w:w="804" w:type="dxa"/>
            <w:tcBorders>
              <w:bottom w:val="nil"/>
            </w:tcBorders>
            <w:shd w:val="clear" w:color="auto" w:fill="C6D9F1" w:themeFill="text2" w:themeFillTint="33"/>
            <w:noWrap/>
            <w:vAlign w:val="center"/>
          </w:tcPr>
          <w:p w14:paraId="26DABC7B" w14:textId="77777777" w:rsidR="006578ED" w:rsidRDefault="00A1618E">
            <w:pPr>
              <w:pStyle w:val="P68B1DB1-Normal12"/>
              <w:spacing w:after="0"/>
              <w:jc w:val="center"/>
              <w:rPr>
                <w:rFonts w:cs="Times New Roman"/>
                <w:noProof/>
              </w:rPr>
            </w:pPr>
            <w:r>
              <w:rPr>
                <w:noProof/>
              </w:rPr>
              <w:t>Środek</w:t>
            </w:r>
          </w:p>
        </w:tc>
        <w:tc>
          <w:tcPr>
            <w:tcW w:w="900" w:type="dxa"/>
            <w:tcBorders>
              <w:bottom w:val="nil"/>
            </w:tcBorders>
            <w:shd w:val="clear" w:color="auto" w:fill="C6D9F1" w:themeFill="text2" w:themeFillTint="33"/>
            <w:noWrap/>
            <w:vAlign w:val="center"/>
          </w:tcPr>
          <w:p w14:paraId="307D85D7" w14:textId="61D14314" w:rsidR="006578ED" w:rsidRDefault="00EC188C">
            <w:pPr>
              <w:pStyle w:val="P68B1DB1-Normal12"/>
              <w:spacing w:after="0"/>
              <w:jc w:val="center"/>
              <w:rPr>
                <w:rFonts w:cs="Times New Roman"/>
                <w:noProof/>
              </w:rPr>
            </w:pPr>
            <w:r>
              <w:rPr>
                <w:noProof/>
              </w:rPr>
              <w:t>Kamień milowy</w:t>
            </w:r>
            <w:r>
              <w:rPr>
                <w:noProof/>
              </w:rPr>
              <w:br/>
              <w:t xml:space="preserve"> /</w:t>
            </w:r>
            <w:r w:rsidR="00AF6B91">
              <w:rPr>
                <w:noProof/>
              </w:rPr>
              <w:t>Wartość docelowa</w:t>
            </w:r>
          </w:p>
        </w:tc>
        <w:tc>
          <w:tcPr>
            <w:tcW w:w="2296" w:type="dxa"/>
            <w:tcBorders>
              <w:bottom w:val="nil"/>
            </w:tcBorders>
            <w:shd w:val="clear" w:color="auto" w:fill="C6D9F1" w:themeFill="text2" w:themeFillTint="33"/>
            <w:noWrap/>
            <w:vAlign w:val="center"/>
          </w:tcPr>
          <w:p w14:paraId="5A8443B3" w14:textId="77777777" w:rsidR="006578ED" w:rsidRDefault="00A1618E">
            <w:pPr>
              <w:pStyle w:val="P68B1DB1-Normal12"/>
              <w:spacing w:after="0"/>
              <w:jc w:val="center"/>
              <w:rPr>
                <w:rFonts w:cs="Times New Roman"/>
                <w:noProof/>
              </w:rPr>
            </w:pPr>
            <w:r>
              <w:rPr>
                <w:noProof/>
              </w:rPr>
              <w:t>Nazwa</w:t>
            </w:r>
          </w:p>
        </w:tc>
        <w:tc>
          <w:tcPr>
            <w:tcW w:w="1215" w:type="dxa"/>
            <w:tcBorders>
              <w:bottom w:val="nil"/>
            </w:tcBorders>
            <w:shd w:val="clear" w:color="auto" w:fill="C6D9F1" w:themeFill="text2" w:themeFillTint="33"/>
            <w:noWrap/>
            <w:vAlign w:val="center"/>
          </w:tcPr>
          <w:p w14:paraId="1F260584" w14:textId="77777777" w:rsidR="006578ED" w:rsidRDefault="00A1618E">
            <w:pPr>
              <w:pStyle w:val="P68B1DB1-Normal12"/>
              <w:spacing w:after="0"/>
              <w:jc w:val="center"/>
              <w:rPr>
                <w:rFonts w:cs="Times New Roman"/>
                <w:noProof/>
              </w:rPr>
            </w:pPr>
            <w:r>
              <w:rPr>
                <w:noProof/>
              </w:rPr>
              <w:t>Wskaźnik jakościowy dla celów pośrednich</w:t>
            </w:r>
          </w:p>
        </w:tc>
        <w:tc>
          <w:tcPr>
            <w:tcW w:w="1592" w:type="dxa"/>
            <w:gridSpan w:val="3"/>
            <w:shd w:val="clear" w:color="auto" w:fill="C6D9F1" w:themeFill="text2" w:themeFillTint="33"/>
            <w:noWrap/>
            <w:vAlign w:val="center"/>
          </w:tcPr>
          <w:p w14:paraId="10AE6A7A" w14:textId="77777777" w:rsidR="006578ED" w:rsidRDefault="00A1618E">
            <w:pPr>
              <w:pStyle w:val="P68B1DB1-Normal12"/>
              <w:spacing w:after="0"/>
              <w:jc w:val="center"/>
              <w:rPr>
                <w:rFonts w:cs="Times New Roman"/>
                <w:noProof/>
              </w:rPr>
            </w:pPr>
            <w:r>
              <w:rPr>
                <w:noProof/>
              </w:rPr>
              <w:t>Wskaźnik ilościowy dla celu</w:t>
            </w:r>
          </w:p>
        </w:tc>
        <w:tc>
          <w:tcPr>
            <w:tcW w:w="928" w:type="dxa"/>
            <w:gridSpan w:val="2"/>
            <w:shd w:val="clear" w:color="auto" w:fill="C6D9F1" w:themeFill="text2" w:themeFillTint="33"/>
            <w:noWrap/>
            <w:vAlign w:val="center"/>
          </w:tcPr>
          <w:p w14:paraId="0E3795C7" w14:textId="77777777" w:rsidR="006578ED" w:rsidRDefault="00A1618E">
            <w:pPr>
              <w:pStyle w:val="P68B1DB1-Normal12"/>
              <w:spacing w:after="0"/>
              <w:jc w:val="center"/>
              <w:rPr>
                <w:rFonts w:cs="Times New Roman"/>
                <w:noProof/>
              </w:rPr>
            </w:pPr>
            <w:r>
              <w:rPr>
                <w:noProof/>
              </w:rPr>
              <w:t>Czas</w:t>
            </w:r>
          </w:p>
        </w:tc>
        <w:tc>
          <w:tcPr>
            <w:tcW w:w="6900" w:type="dxa"/>
            <w:gridSpan w:val="2"/>
            <w:tcBorders>
              <w:bottom w:val="nil"/>
            </w:tcBorders>
            <w:shd w:val="clear" w:color="auto" w:fill="C6D9F1" w:themeFill="text2" w:themeFillTint="33"/>
            <w:noWrap/>
            <w:vAlign w:val="center"/>
          </w:tcPr>
          <w:p w14:paraId="0579A367" w14:textId="29FE03B1" w:rsidR="006578ED" w:rsidRDefault="00A1618E">
            <w:pPr>
              <w:pStyle w:val="P68B1DB1-Normal12"/>
              <w:spacing w:after="0"/>
              <w:jc w:val="center"/>
              <w:rPr>
                <w:rFonts w:cs="Times New Roman"/>
                <w:noProof/>
              </w:rPr>
            </w:pPr>
            <w:r>
              <w:rPr>
                <w:noProof/>
              </w:rPr>
              <w:t>Opis każdego celu pośredniego i celu końcowego</w:t>
            </w:r>
          </w:p>
        </w:tc>
      </w:tr>
      <w:tr w:rsidR="006578ED" w14:paraId="03DBCC2E" w14:textId="77777777">
        <w:trPr>
          <w:trHeight w:val="309"/>
          <w:tblHeader/>
        </w:trPr>
        <w:tc>
          <w:tcPr>
            <w:tcW w:w="673" w:type="dxa"/>
            <w:tcBorders>
              <w:top w:val="nil"/>
            </w:tcBorders>
            <w:shd w:val="clear" w:color="auto" w:fill="C6D9F1" w:themeFill="text2" w:themeFillTint="33"/>
            <w:noWrap/>
          </w:tcPr>
          <w:p w14:paraId="56125178" w14:textId="77777777" w:rsidR="006578ED" w:rsidRDefault="006578ED">
            <w:pPr>
              <w:spacing w:after="0"/>
              <w:jc w:val="center"/>
              <w:rPr>
                <w:rFonts w:ascii="Times New Roman" w:hAnsi="Times New Roman" w:cs="Times New Roman"/>
                <w:b/>
                <w:noProof/>
                <w:sz w:val="18"/>
              </w:rPr>
            </w:pPr>
          </w:p>
        </w:tc>
        <w:tc>
          <w:tcPr>
            <w:tcW w:w="804" w:type="dxa"/>
            <w:tcBorders>
              <w:top w:val="nil"/>
            </w:tcBorders>
            <w:shd w:val="clear" w:color="auto" w:fill="C6D9F1" w:themeFill="text2" w:themeFillTint="33"/>
            <w:noWrap/>
          </w:tcPr>
          <w:p w14:paraId="17CC4C53" w14:textId="77777777" w:rsidR="006578ED" w:rsidRDefault="006578ED">
            <w:pPr>
              <w:spacing w:after="0"/>
              <w:jc w:val="center"/>
              <w:rPr>
                <w:rFonts w:ascii="Times New Roman" w:hAnsi="Times New Roman" w:cs="Times New Roman"/>
                <w:b/>
                <w:noProof/>
                <w:sz w:val="18"/>
              </w:rPr>
            </w:pPr>
          </w:p>
        </w:tc>
        <w:tc>
          <w:tcPr>
            <w:tcW w:w="900" w:type="dxa"/>
            <w:tcBorders>
              <w:top w:val="nil"/>
            </w:tcBorders>
            <w:shd w:val="clear" w:color="auto" w:fill="C6D9F1" w:themeFill="text2" w:themeFillTint="33"/>
            <w:noWrap/>
          </w:tcPr>
          <w:p w14:paraId="1398DCEE" w14:textId="77777777" w:rsidR="006578ED" w:rsidRDefault="006578ED">
            <w:pPr>
              <w:spacing w:after="0"/>
              <w:jc w:val="center"/>
              <w:rPr>
                <w:rFonts w:ascii="Times New Roman" w:hAnsi="Times New Roman" w:cs="Times New Roman"/>
                <w:b/>
                <w:noProof/>
                <w:sz w:val="18"/>
              </w:rPr>
            </w:pPr>
          </w:p>
        </w:tc>
        <w:tc>
          <w:tcPr>
            <w:tcW w:w="2296" w:type="dxa"/>
            <w:tcBorders>
              <w:top w:val="nil"/>
            </w:tcBorders>
            <w:shd w:val="clear" w:color="auto" w:fill="C6D9F1" w:themeFill="text2" w:themeFillTint="33"/>
            <w:noWrap/>
          </w:tcPr>
          <w:p w14:paraId="6A604297" w14:textId="77777777" w:rsidR="006578ED" w:rsidRDefault="006578ED">
            <w:pPr>
              <w:spacing w:after="0"/>
              <w:rPr>
                <w:rFonts w:ascii="Times New Roman" w:hAnsi="Times New Roman" w:cs="Times New Roman"/>
                <w:b/>
                <w:noProof/>
                <w:sz w:val="18"/>
              </w:rPr>
            </w:pPr>
          </w:p>
        </w:tc>
        <w:tc>
          <w:tcPr>
            <w:tcW w:w="1215" w:type="dxa"/>
            <w:tcBorders>
              <w:top w:val="nil"/>
            </w:tcBorders>
            <w:shd w:val="clear" w:color="auto" w:fill="C6D9F1" w:themeFill="text2" w:themeFillTint="33"/>
            <w:noWrap/>
          </w:tcPr>
          <w:p w14:paraId="09E79A89" w14:textId="77777777" w:rsidR="006578ED" w:rsidRDefault="006578ED">
            <w:pPr>
              <w:spacing w:after="0"/>
              <w:jc w:val="center"/>
              <w:rPr>
                <w:rFonts w:ascii="Times New Roman" w:hAnsi="Times New Roman" w:cs="Times New Roman"/>
                <w:b/>
                <w:noProof/>
                <w:sz w:val="18"/>
              </w:rPr>
            </w:pPr>
          </w:p>
        </w:tc>
        <w:tc>
          <w:tcPr>
            <w:tcW w:w="600" w:type="dxa"/>
            <w:shd w:val="clear" w:color="auto" w:fill="C6D9F1" w:themeFill="text2" w:themeFillTint="33"/>
            <w:noWrap/>
          </w:tcPr>
          <w:p w14:paraId="15204107" w14:textId="77777777" w:rsidR="006578ED" w:rsidRDefault="00A1618E">
            <w:pPr>
              <w:pStyle w:val="P68B1DB1-Normal12"/>
              <w:spacing w:after="0"/>
              <w:jc w:val="center"/>
              <w:rPr>
                <w:rFonts w:cs="Times New Roman"/>
                <w:noProof/>
              </w:rPr>
            </w:pPr>
            <w:r>
              <w:rPr>
                <w:noProof/>
              </w:rPr>
              <w:t>Jednostka</w:t>
            </w:r>
          </w:p>
        </w:tc>
        <w:tc>
          <w:tcPr>
            <w:tcW w:w="436" w:type="dxa"/>
            <w:shd w:val="clear" w:color="auto" w:fill="C6D9F1" w:themeFill="text2" w:themeFillTint="33"/>
            <w:noWrap/>
          </w:tcPr>
          <w:p w14:paraId="116B796B" w14:textId="77777777" w:rsidR="006578ED" w:rsidRDefault="00A1618E">
            <w:pPr>
              <w:pStyle w:val="P68B1DB1-Normal12"/>
              <w:spacing w:after="0"/>
              <w:jc w:val="center"/>
              <w:rPr>
                <w:rFonts w:cs="Times New Roman"/>
                <w:noProof/>
              </w:rPr>
            </w:pPr>
            <w:r>
              <w:rPr>
                <w:noProof/>
              </w:rPr>
              <w:t>Wartość wyjściowa</w:t>
            </w:r>
          </w:p>
        </w:tc>
        <w:tc>
          <w:tcPr>
            <w:tcW w:w="556" w:type="dxa"/>
            <w:shd w:val="clear" w:color="auto" w:fill="C6D9F1" w:themeFill="text2" w:themeFillTint="33"/>
            <w:noWrap/>
          </w:tcPr>
          <w:p w14:paraId="631DC979" w14:textId="77777777" w:rsidR="006578ED" w:rsidRDefault="00A1618E">
            <w:pPr>
              <w:pStyle w:val="P68B1DB1-Normal12"/>
              <w:spacing w:after="0"/>
              <w:jc w:val="center"/>
              <w:rPr>
                <w:rFonts w:cs="Times New Roman"/>
                <w:noProof/>
              </w:rPr>
            </w:pPr>
            <w:r>
              <w:rPr>
                <w:noProof/>
              </w:rPr>
              <w:t>Cel</w:t>
            </w:r>
          </w:p>
        </w:tc>
        <w:tc>
          <w:tcPr>
            <w:tcW w:w="426" w:type="dxa"/>
            <w:shd w:val="clear" w:color="auto" w:fill="C6D9F1" w:themeFill="text2" w:themeFillTint="33"/>
            <w:noWrap/>
          </w:tcPr>
          <w:p w14:paraId="08C70B5D" w14:textId="77777777" w:rsidR="006578ED" w:rsidRDefault="00A1618E">
            <w:pPr>
              <w:pStyle w:val="P68B1DB1-Normal12"/>
              <w:spacing w:after="0"/>
              <w:jc w:val="center"/>
              <w:rPr>
                <w:rFonts w:cs="Times New Roman"/>
                <w:noProof/>
              </w:rPr>
            </w:pPr>
            <w:r>
              <w:rPr>
                <w:noProof/>
              </w:rPr>
              <w:t>Q</w:t>
            </w:r>
          </w:p>
        </w:tc>
        <w:tc>
          <w:tcPr>
            <w:tcW w:w="502" w:type="dxa"/>
            <w:shd w:val="clear" w:color="auto" w:fill="C6D9F1" w:themeFill="text2" w:themeFillTint="33"/>
            <w:noWrap/>
          </w:tcPr>
          <w:p w14:paraId="570BB18C" w14:textId="77777777" w:rsidR="006578ED" w:rsidRDefault="00A1618E">
            <w:pPr>
              <w:pStyle w:val="P68B1DB1-Normal12"/>
              <w:spacing w:after="0"/>
              <w:jc w:val="center"/>
              <w:rPr>
                <w:rFonts w:cs="Times New Roman"/>
                <w:noProof/>
              </w:rPr>
            </w:pPr>
            <w:r>
              <w:rPr>
                <w:noProof/>
              </w:rPr>
              <w:t>Rok</w:t>
            </w:r>
          </w:p>
        </w:tc>
        <w:tc>
          <w:tcPr>
            <w:tcW w:w="6900" w:type="dxa"/>
            <w:gridSpan w:val="2"/>
            <w:tcBorders>
              <w:top w:val="nil"/>
            </w:tcBorders>
            <w:shd w:val="clear" w:color="auto" w:fill="C6D9F1" w:themeFill="text2" w:themeFillTint="33"/>
            <w:noWrap/>
          </w:tcPr>
          <w:p w14:paraId="76A71BA0" w14:textId="77777777" w:rsidR="006578ED" w:rsidRDefault="006578ED">
            <w:pPr>
              <w:spacing w:after="0"/>
              <w:rPr>
                <w:rFonts w:ascii="Times New Roman" w:hAnsi="Times New Roman" w:cs="Times New Roman"/>
                <w:b/>
                <w:noProof/>
                <w:sz w:val="18"/>
              </w:rPr>
            </w:pPr>
          </w:p>
        </w:tc>
      </w:tr>
      <w:tr w:rsidR="006578ED" w14:paraId="184BB870" w14:textId="77777777">
        <w:trPr>
          <w:trHeight w:val="309"/>
        </w:trPr>
        <w:tc>
          <w:tcPr>
            <w:tcW w:w="673" w:type="dxa"/>
            <w:shd w:val="clear" w:color="auto" w:fill="C6EFCE"/>
            <w:noWrap/>
          </w:tcPr>
          <w:p w14:paraId="2234A85A" w14:textId="35A9F5D9" w:rsidR="006578ED" w:rsidRDefault="00A1618E">
            <w:pPr>
              <w:pStyle w:val="P68B1DB1-Normal13"/>
              <w:spacing w:after="0"/>
              <w:jc w:val="center"/>
              <w:rPr>
                <w:rFonts w:eastAsia="Times New Roman" w:cs="Times New Roman"/>
                <w:noProof/>
              </w:rPr>
            </w:pPr>
            <w:r>
              <w:rPr>
                <w:noProof/>
              </w:rPr>
              <w:t>477</w:t>
            </w:r>
          </w:p>
        </w:tc>
        <w:tc>
          <w:tcPr>
            <w:tcW w:w="804" w:type="dxa"/>
            <w:shd w:val="clear" w:color="auto" w:fill="C6EFCE"/>
            <w:noWrap/>
          </w:tcPr>
          <w:p w14:paraId="592B3B8B" w14:textId="77777777" w:rsidR="006578ED" w:rsidRDefault="00A1618E">
            <w:pPr>
              <w:pStyle w:val="P68B1DB1-Normal13"/>
              <w:spacing w:after="0"/>
              <w:jc w:val="center"/>
              <w:rPr>
                <w:rFonts w:eastAsia="Times New Roman" w:cs="Times New Roman"/>
                <w:noProof/>
              </w:rPr>
            </w:pPr>
            <w:r>
              <w:rPr>
                <w:noProof/>
              </w:rPr>
              <w:t>C31.R1</w:t>
            </w:r>
          </w:p>
        </w:tc>
        <w:tc>
          <w:tcPr>
            <w:tcW w:w="900" w:type="dxa"/>
            <w:shd w:val="clear" w:color="auto" w:fill="C6EFCE"/>
            <w:noWrap/>
          </w:tcPr>
          <w:p w14:paraId="6A981BD6" w14:textId="1056342D" w:rsidR="006578ED" w:rsidRDefault="00AF6B91">
            <w:pPr>
              <w:pStyle w:val="P68B1DB1-Normal13"/>
              <w:spacing w:after="0"/>
              <w:jc w:val="center"/>
              <w:rPr>
                <w:rFonts w:eastAsia="Times New Roman" w:cs="Times New Roman"/>
                <w:noProof/>
              </w:rPr>
            </w:pPr>
            <w:r>
              <w:rPr>
                <w:noProof/>
              </w:rPr>
              <w:t>Kamień milowy</w:t>
            </w:r>
          </w:p>
        </w:tc>
        <w:tc>
          <w:tcPr>
            <w:tcW w:w="2296" w:type="dxa"/>
            <w:shd w:val="clear" w:color="auto" w:fill="C6EFCE"/>
            <w:noWrap/>
          </w:tcPr>
          <w:p w14:paraId="6870C080" w14:textId="2B5AECA1" w:rsidR="006578ED" w:rsidRDefault="00A1618E">
            <w:pPr>
              <w:pStyle w:val="P68B1DB1-Normal13"/>
              <w:spacing w:after="0"/>
              <w:rPr>
                <w:rFonts w:eastAsia="Times New Roman" w:cs="Times New Roman"/>
                <w:noProof/>
              </w:rPr>
            </w:pPr>
            <w:r>
              <w:rPr>
                <w:noProof/>
              </w:rPr>
              <w:t>Reforma usprawniająca wydawanie pozwoleń na produkcję energii ze źródeł odnawialnych i infrastrukturę sieci elektroenergetyczną</w:t>
            </w:r>
          </w:p>
        </w:tc>
        <w:tc>
          <w:tcPr>
            <w:tcW w:w="1215" w:type="dxa"/>
            <w:shd w:val="clear" w:color="auto" w:fill="C6EFCE"/>
            <w:noWrap/>
          </w:tcPr>
          <w:p w14:paraId="4895CD95" w14:textId="0C820458" w:rsidR="006578ED" w:rsidRDefault="00A1618E">
            <w:pPr>
              <w:pStyle w:val="P68B1DB1-Normal13"/>
              <w:spacing w:after="0"/>
              <w:jc w:val="center"/>
              <w:rPr>
                <w:rFonts w:eastAsia="Times New Roman" w:cs="Times New Roman"/>
                <w:noProof/>
              </w:rPr>
            </w:pPr>
            <w:r>
              <w:rPr>
                <w:noProof/>
              </w:rPr>
              <w:t>Wejście w życie przepisów odpowiednich aktów prawnych</w:t>
            </w:r>
          </w:p>
        </w:tc>
        <w:tc>
          <w:tcPr>
            <w:tcW w:w="600" w:type="dxa"/>
            <w:shd w:val="clear" w:color="auto" w:fill="C6EFCE"/>
            <w:noWrap/>
          </w:tcPr>
          <w:p w14:paraId="35FCBA3A" w14:textId="77777777"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3B810888" w14:textId="77777777" w:rsidR="006578ED" w:rsidRDefault="006578ED">
            <w:pPr>
              <w:spacing w:after="0"/>
              <w:jc w:val="right"/>
              <w:rPr>
                <w:rFonts w:ascii="Times New Roman" w:eastAsia="Times New Roman" w:hAnsi="Times New Roman" w:cs="Times New Roman"/>
                <w:noProof/>
                <w:sz w:val="18"/>
              </w:rPr>
            </w:pPr>
          </w:p>
        </w:tc>
        <w:tc>
          <w:tcPr>
            <w:tcW w:w="556" w:type="dxa"/>
            <w:shd w:val="clear" w:color="auto" w:fill="C6EFCE"/>
            <w:noWrap/>
          </w:tcPr>
          <w:p w14:paraId="60310B7E" w14:textId="77777777" w:rsidR="006578ED" w:rsidRDefault="006578ED">
            <w:pPr>
              <w:spacing w:after="0"/>
              <w:jc w:val="right"/>
              <w:rPr>
                <w:rFonts w:ascii="Times New Roman" w:eastAsia="Times New Roman" w:hAnsi="Times New Roman" w:cs="Times New Roman"/>
                <w:noProof/>
                <w:sz w:val="18"/>
              </w:rPr>
            </w:pPr>
          </w:p>
        </w:tc>
        <w:tc>
          <w:tcPr>
            <w:tcW w:w="426" w:type="dxa"/>
            <w:shd w:val="clear" w:color="auto" w:fill="C6EFCE"/>
            <w:noWrap/>
          </w:tcPr>
          <w:p w14:paraId="5492C28E" w14:textId="341BCCC3" w:rsidR="006578ED" w:rsidRDefault="00EC188C">
            <w:pPr>
              <w:pStyle w:val="P68B1DB1-Normal13"/>
              <w:spacing w:after="0"/>
              <w:jc w:val="center"/>
              <w:rPr>
                <w:rFonts w:eastAsia="Times New Roman" w:cs="Times New Roman"/>
                <w:noProof/>
              </w:rPr>
            </w:pPr>
            <w:r>
              <w:rPr>
                <w:noProof/>
              </w:rPr>
              <w:t>KW. 3</w:t>
            </w:r>
          </w:p>
        </w:tc>
        <w:tc>
          <w:tcPr>
            <w:tcW w:w="502" w:type="dxa"/>
            <w:shd w:val="clear" w:color="auto" w:fill="C6EFCE"/>
            <w:noWrap/>
          </w:tcPr>
          <w:p w14:paraId="1D3E9D00" w14:textId="77777777" w:rsidR="006578ED" w:rsidRDefault="00A1618E">
            <w:pPr>
              <w:pStyle w:val="P68B1DB1-Normal13"/>
              <w:spacing w:after="0"/>
              <w:jc w:val="center"/>
              <w:rPr>
                <w:rFonts w:eastAsia="Times New Roman" w:cs="Times New Roman"/>
                <w:noProof/>
              </w:rPr>
            </w:pPr>
            <w:r>
              <w:rPr>
                <w:noProof/>
              </w:rPr>
              <w:t>2023</w:t>
            </w:r>
          </w:p>
        </w:tc>
        <w:tc>
          <w:tcPr>
            <w:tcW w:w="6900" w:type="dxa"/>
            <w:gridSpan w:val="2"/>
            <w:shd w:val="clear" w:color="auto" w:fill="C6EFCE"/>
            <w:noWrap/>
          </w:tcPr>
          <w:p w14:paraId="0619D38F" w14:textId="77777777" w:rsidR="006578ED" w:rsidRDefault="00A1618E">
            <w:pPr>
              <w:pStyle w:val="P68B1DB1-Normal13"/>
              <w:spacing w:after="0"/>
              <w:rPr>
                <w:rFonts w:eastAsia="Times New Roman" w:cs="Times New Roman"/>
                <w:noProof/>
              </w:rPr>
            </w:pPr>
            <w:r>
              <w:rPr>
                <w:noProof/>
              </w:rPr>
              <w:t>Kamień milowy obejmuje dwa elementy.</w:t>
            </w:r>
          </w:p>
          <w:p w14:paraId="27D5BE29" w14:textId="22A4A365" w:rsidR="006578ED" w:rsidRDefault="00A1618E">
            <w:pPr>
              <w:pStyle w:val="P68B1DB1-ListParagraph14"/>
              <w:numPr>
                <w:ilvl w:val="0"/>
                <w:numId w:val="641"/>
              </w:numPr>
              <w:spacing w:after="0"/>
              <w:rPr>
                <w:rFonts w:eastAsia="Times New Roman" w:cs="Times New Roman"/>
                <w:noProof/>
              </w:rPr>
            </w:pPr>
            <w:r>
              <w:rPr>
                <w:noProof/>
              </w:rPr>
              <w:t xml:space="preserve">Po pierwsze, wejście w życie dekretów królewskich z mocą ustawy 14/2022, 17/2022, 18/2022 i 20/2022. Środki dotyczące energii, o których mowa w niniejszym królewskim dekrecie z mocą ustawy, mają na celu uproszczenie procedur wydawania zezwoleń na projekty dotyczące energii odnawialnej i infrastruktury sieci elektroenergetycznej. </w:t>
            </w:r>
          </w:p>
          <w:p w14:paraId="4DED00FD" w14:textId="405CE928" w:rsidR="006578ED" w:rsidRDefault="00A1618E">
            <w:pPr>
              <w:pStyle w:val="P68B1DB1-ListParagraph14"/>
              <w:numPr>
                <w:ilvl w:val="0"/>
                <w:numId w:val="641"/>
              </w:numPr>
              <w:spacing w:after="0"/>
              <w:rPr>
                <w:rFonts w:eastAsia="Times New Roman" w:cs="Times New Roman"/>
                <w:noProof/>
              </w:rPr>
            </w:pPr>
            <w:r>
              <w:rPr>
                <w:noProof/>
              </w:rPr>
              <w:t>Po drugie, wejście w życie Orden TED/189/2023 ustanawiającej w ramach administracji centralnej nową jednostkę administracyjną wspierającą rozpatrywanie wniosków o pozwolenia na projekty dotyczące energii ze źródeł odnawialnych.</w:t>
            </w:r>
          </w:p>
        </w:tc>
      </w:tr>
      <w:tr w:rsidR="006578ED" w14:paraId="2782EDCD" w14:textId="77777777">
        <w:trPr>
          <w:trHeight w:val="761"/>
        </w:trPr>
        <w:tc>
          <w:tcPr>
            <w:tcW w:w="673" w:type="dxa"/>
            <w:shd w:val="clear" w:color="auto" w:fill="C6EFCE"/>
            <w:noWrap/>
          </w:tcPr>
          <w:p w14:paraId="2BEF61F4" w14:textId="695613C8" w:rsidR="006578ED" w:rsidRDefault="00A1618E">
            <w:pPr>
              <w:pStyle w:val="P68B1DB1-Normal13"/>
              <w:spacing w:after="0"/>
              <w:jc w:val="center"/>
              <w:rPr>
                <w:rFonts w:eastAsia="Times New Roman" w:cs="Times New Roman"/>
                <w:noProof/>
              </w:rPr>
            </w:pPr>
            <w:r>
              <w:rPr>
                <w:noProof/>
              </w:rPr>
              <w:t>478</w:t>
            </w:r>
          </w:p>
        </w:tc>
        <w:tc>
          <w:tcPr>
            <w:tcW w:w="804" w:type="dxa"/>
            <w:shd w:val="clear" w:color="auto" w:fill="C6EFCE"/>
            <w:noWrap/>
          </w:tcPr>
          <w:p w14:paraId="198D8923" w14:textId="77777777" w:rsidR="006578ED" w:rsidRDefault="00A1618E">
            <w:pPr>
              <w:pStyle w:val="P68B1DB1-Normal13"/>
              <w:spacing w:after="0"/>
              <w:jc w:val="center"/>
              <w:rPr>
                <w:rFonts w:eastAsia="Times New Roman" w:cs="Times New Roman"/>
                <w:noProof/>
              </w:rPr>
            </w:pPr>
            <w:r>
              <w:rPr>
                <w:noProof/>
              </w:rPr>
              <w:t>C31.I1</w:t>
            </w:r>
          </w:p>
        </w:tc>
        <w:tc>
          <w:tcPr>
            <w:tcW w:w="900" w:type="dxa"/>
            <w:shd w:val="clear" w:color="auto" w:fill="C6EFCE"/>
            <w:noWrap/>
          </w:tcPr>
          <w:p w14:paraId="65D2BFBB" w14:textId="2BE97CAF" w:rsidR="006578ED" w:rsidRDefault="00AF6B91">
            <w:pPr>
              <w:pStyle w:val="P68B1DB1-Normal13"/>
              <w:spacing w:after="0"/>
              <w:jc w:val="center"/>
              <w:rPr>
                <w:rFonts w:eastAsia="Times New Roman" w:cs="Times New Roman"/>
                <w:noProof/>
              </w:rPr>
            </w:pPr>
            <w:r>
              <w:rPr>
                <w:noProof/>
              </w:rPr>
              <w:t>Cel</w:t>
            </w:r>
          </w:p>
        </w:tc>
        <w:tc>
          <w:tcPr>
            <w:tcW w:w="2296" w:type="dxa"/>
            <w:shd w:val="clear" w:color="auto" w:fill="C6EFCE"/>
            <w:noWrap/>
          </w:tcPr>
          <w:p w14:paraId="611255BA" w14:textId="3CC3DA67" w:rsidR="006578ED" w:rsidRDefault="00A1618E">
            <w:pPr>
              <w:pStyle w:val="P68B1DB1-Normal13"/>
              <w:spacing w:after="0"/>
              <w:rPr>
                <w:rFonts w:eastAsia="Times New Roman" w:cs="Times New Roman"/>
                <w:noProof/>
              </w:rPr>
            </w:pPr>
            <w:r>
              <w:rPr>
                <w:noProof/>
              </w:rPr>
              <w:t>Inwestycje promujące magazynowanie energii lub prosumpcję energii w oparciu o produkcję energii ze źródeł odnawialnych lub magazynowanie energii za licznikiem</w:t>
            </w:r>
          </w:p>
        </w:tc>
        <w:tc>
          <w:tcPr>
            <w:tcW w:w="1215" w:type="dxa"/>
            <w:shd w:val="clear" w:color="auto" w:fill="C6EFCE"/>
            <w:noWrap/>
          </w:tcPr>
          <w:p w14:paraId="176FB6E3" w14:textId="77777777" w:rsidR="006578ED" w:rsidRDefault="006578ED">
            <w:pPr>
              <w:spacing w:after="0"/>
              <w:rPr>
                <w:rFonts w:ascii="Times New Roman" w:eastAsia="Times New Roman" w:hAnsi="Times New Roman" w:cs="Times New Roman"/>
                <w:noProof/>
                <w:sz w:val="18"/>
              </w:rPr>
            </w:pPr>
          </w:p>
        </w:tc>
        <w:tc>
          <w:tcPr>
            <w:tcW w:w="600" w:type="dxa"/>
            <w:shd w:val="clear" w:color="auto" w:fill="C6EFCE"/>
            <w:noWrap/>
          </w:tcPr>
          <w:p w14:paraId="33C7CEAC" w14:textId="77777777" w:rsidR="006578ED" w:rsidRDefault="00A1618E">
            <w:pPr>
              <w:pStyle w:val="P68B1DB1-Normal13"/>
              <w:spacing w:after="0"/>
              <w:jc w:val="center"/>
              <w:rPr>
                <w:rFonts w:eastAsia="Times New Roman" w:cs="Times New Roman"/>
                <w:noProof/>
              </w:rPr>
            </w:pPr>
            <w:r>
              <w:rPr>
                <w:noProof/>
              </w:rPr>
              <w:t>MW</w:t>
            </w:r>
          </w:p>
        </w:tc>
        <w:tc>
          <w:tcPr>
            <w:tcW w:w="436" w:type="dxa"/>
            <w:shd w:val="clear" w:color="auto" w:fill="C6EFCE"/>
            <w:noWrap/>
          </w:tcPr>
          <w:p w14:paraId="13507CC5" w14:textId="77777777" w:rsidR="006578ED" w:rsidRDefault="00A1618E">
            <w:pPr>
              <w:pStyle w:val="P68B1DB1-Normal13"/>
              <w:spacing w:after="0"/>
              <w:jc w:val="right"/>
              <w:rPr>
                <w:rFonts w:eastAsia="Times New Roman" w:cs="Times New Roman"/>
                <w:noProof/>
              </w:rPr>
            </w:pPr>
            <w:r>
              <w:rPr>
                <w:noProof/>
              </w:rPr>
              <w:t>4400</w:t>
            </w:r>
          </w:p>
        </w:tc>
        <w:tc>
          <w:tcPr>
            <w:tcW w:w="556" w:type="dxa"/>
            <w:shd w:val="clear" w:color="auto" w:fill="C6EFCE"/>
            <w:noWrap/>
          </w:tcPr>
          <w:p w14:paraId="11CF54B5" w14:textId="77777777" w:rsidR="006578ED" w:rsidRDefault="00A1618E">
            <w:pPr>
              <w:pStyle w:val="P68B1DB1-Normal13"/>
              <w:spacing w:after="0"/>
              <w:jc w:val="right"/>
              <w:rPr>
                <w:rFonts w:eastAsia="Times New Roman" w:cs="Times New Roman"/>
                <w:noProof/>
              </w:rPr>
            </w:pPr>
            <w:r>
              <w:rPr>
                <w:noProof/>
              </w:rPr>
              <w:t>5100</w:t>
            </w:r>
          </w:p>
        </w:tc>
        <w:tc>
          <w:tcPr>
            <w:tcW w:w="426" w:type="dxa"/>
            <w:shd w:val="clear" w:color="auto" w:fill="C6EFCE"/>
            <w:noWrap/>
          </w:tcPr>
          <w:p w14:paraId="59F14DA3" w14:textId="5ACCE36B" w:rsidR="006578ED" w:rsidRDefault="00EC188C">
            <w:pPr>
              <w:pStyle w:val="P68B1DB1-Normal13"/>
              <w:spacing w:after="0"/>
              <w:jc w:val="center"/>
              <w:rPr>
                <w:rFonts w:eastAsia="Times New Roman" w:cs="Times New Roman"/>
                <w:noProof/>
              </w:rPr>
            </w:pPr>
            <w:r>
              <w:rPr>
                <w:noProof/>
              </w:rPr>
              <w:t xml:space="preserve">KW. 3 </w:t>
            </w:r>
          </w:p>
        </w:tc>
        <w:tc>
          <w:tcPr>
            <w:tcW w:w="502" w:type="dxa"/>
            <w:shd w:val="clear" w:color="auto" w:fill="C6EFCE"/>
            <w:noWrap/>
          </w:tcPr>
          <w:p w14:paraId="193C54A9" w14:textId="77777777" w:rsidR="006578ED" w:rsidRDefault="00A1618E">
            <w:pPr>
              <w:pStyle w:val="P68B1DB1-Normal13"/>
              <w:spacing w:after="0"/>
              <w:jc w:val="center"/>
              <w:rPr>
                <w:rFonts w:eastAsia="Times New Roman" w:cs="Times New Roman"/>
                <w:noProof/>
              </w:rPr>
            </w:pPr>
            <w:r>
              <w:rPr>
                <w:noProof/>
              </w:rPr>
              <w:t>2026</w:t>
            </w:r>
          </w:p>
        </w:tc>
        <w:tc>
          <w:tcPr>
            <w:tcW w:w="6900" w:type="dxa"/>
            <w:gridSpan w:val="2"/>
            <w:shd w:val="clear" w:color="auto" w:fill="C6EFCE"/>
            <w:noWrap/>
          </w:tcPr>
          <w:p w14:paraId="3A88A732" w14:textId="493DC4EB" w:rsidR="006578ED" w:rsidRDefault="00A1618E">
            <w:pPr>
              <w:pStyle w:val="P68B1DB1-Normal13"/>
              <w:spacing w:after="0"/>
              <w:rPr>
                <w:rFonts w:eastAsia="Times New Roman" w:cs="Times New Roman"/>
                <w:noProof/>
              </w:rPr>
            </w:pPr>
            <w:r>
              <w:rPr>
                <w:noProof/>
              </w:rPr>
              <w:t>700 MW mocy zainstalowanej w magazynach energii lub zastosowaniach na własne potrzeby zintegrowanych z budynkami lub procesami produkcyjnymi. Zastosowania w zakresie konsumpcji własnej opierają się na technologiach energii odnawialnej lub rozwiązaniach w zakresie magazynowania energii za licznikiem. (Podstawa: data II kwartał 20</w:t>
            </w:r>
            <w:r w:rsidRPr="00A1618E">
              <w:rPr>
                <w:noProof/>
                <w:lang w:val="pl-PL"/>
              </w:rPr>
              <w:t>26 r.</w:t>
            </w:r>
            <w:r>
              <w:rPr>
                <w:noProof/>
              </w:rPr>
              <w:t>, cel celu 117 i drugiego kwartału 20</w:t>
            </w:r>
            <w:r w:rsidRPr="00A1618E">
              <w:rPr>
                <w:noProof/>
                <w:lang w:val="pl-PL"/>
              </w:rPr>
              <w:t>26 r.</w:t>
            </w:r>
            <w:r>
              <w:rPr>
                <w:noProof/>
              </w:rPr>
              <w:t xml:space="preserve">; </w:t>
            </w:r>
            <w:r w:rsidRPr="00A1618E">
              <w:rPr>
                <w:noProof/>
                <w:lang w:val="pl-PL"/>
              </w:rPr>
              <w:t>cel 1</w:t>
            </w:r>
            <w:r>
              <w:rPr>
                <w:noProof/>
              </w:rPr>
              <w:t>26)</w:t>
            </w:r>
          </w:p>
        </w:tc>
      </w:tr>
      <w:tr w:rsidR="006578ED" w14:paraId="46C02275" w14:textId="77777777">
        <w:trPr>
          <w:trHeight w:val="309"/>
        </w:trPr>
        <w:tc>
          <w:tcPr>
            <w:tcW w:w="673" w:type="dxa"/>
            <w:shd w:val="clear" w:color="auto" w:fill="C6EFCE"/>
            <w:noWrap/>
          </w:tcPr>
          <w:p w14:paraId="64E993A2" w14:textId="035C7708" w:rsidR="006578ED" w:rsidRDefault="00A1618E">
            <w:pPr>
              <w:pStyle w:val="P68B1DB1-Normal13"/>
              <w:spacing w:after="0"/>
              <w:jc w:val="center"/>
              <w:rPr>
                <w:rFonts w:eastAsia="Times New Roman" w:cs="Times New Roman"/>
                <w:noProof/>
              </w:rPr>
            </w:pPr>
            <w:r>
              <w:rPr>
                <w:noProof/>
              </w:rPr>
              <w:t>479</w:t>
            </w:r>
          </w:p>
        </w:tc>
        <w:tc>
          <w:tcPr>
            <w:tcW w:w="804" w:type="dxa"/>
            <w:shd w:val="clear" w:color="auto" w:fill="C6EFCE"/>
            <w:noWrap/>
          </w:tcPr>
          <w:p w14:paraId="6FD19699" w14:textId="77777777" w:rsidR="006578ED" w:rsidRDefault="00A1618E">
            <w:pPr>
              <w:pStyle w:val="P68B1DB1-Normal13"/>
              <w:spacing w:after="0"/>
              <w:jc w:val="center"/>
              <w:rPr>
                <w:rFonts w:eastAsia="Times New Roman" w:cs="Times New Roman"/>
                <w:noProof/>
              </w:rPr>
            </w:pPr>
            <w:r>
              <w:rPr>
                <w:noProof/>
              </w:rPr>
              <w:t>C31.I1</w:t>
            </w:r>
          </w:p>
        </w:tc>
        <w:tc>
          <w:tcPr>
            <w:tcW w:w="900" w:type="dxa"/>
            <w:shd w:val="clear" w:color="auto" w:fill="C6EFCE"/>
            <w:noWrap/>
          </w:tcPr>
          <w:p w14:paraId="568B693C" w14:textId="3C44C5BE" w:rsidR="006578ED" w:rsidRDefault="00AF6B91">
            <w:pPr>
              <w:pStyle w:val="P68B1DB1-Normal13"/>
              <w:spacing w:after="0"/>
              <w:jc w:val="center"/>
              <w:rPr>
                <w:rFonts w:eastAsia="Times New Roman" w:cs="Times New Roman"/>
                <w:noProof/>
              </w:rPr>
            </w:pPr>
            <w:r>
              <w:rPr>
                <w:noProof/>
              </w:rPr>
              <w:t>Cel</w:t>
            </w:r>
          </w:p>
        </w:tc>
        <w:tc>
          <w:tcPr>
            <w:tcW w:w="2296" w:type="dxa"/>
            <w:shd w:val="clear" w:color="auto" w:fill="C6EFCE"/>
            <w:noWrap/>
          </w:tcPr>
          <w:p w14:paraId="3D51142A" w14:textId="77777777" w:rsidR="006578ED" w:rsidRDefault="00A1618E">
            <w:pPr>
              <w:pStyle w:val="P68B1DB1-Normal13"/>
              <w:spacing w:after="0"/>
              <w:rPr>
                <w:rFonts w:eastAsia="Times New Roman" w:cs="Times New Roman"/>
                <w:noProof/>
              </w:rPr>
            </w:pPr>
            <w:r>
              <w:rPr>
                <w:noProof/>
              </w:rPr>
              <w:t>Liczba inicjatyw przeprowadzonych przez społeczności energetyczne</w:t>
            </w:r>
          </w:p>
        </w:tc>
        <w:tc>
          <w:tcPr>
            <w:tcW w:w="1215" w:type="dxa"/>
            <w:shd w:val="clear" w:color="auto" w:fill="C6EFCE"/>
            <w:noWrap/>
          </w:tcPr>
          <w:p w14:paraId="6A7F6247" w14:textId="77777777" w:rsidR="006578ED" w:rsidRDefault="006578ED">
            <w:pPr>
              <w:spacing w:after="0"/>
              <w:jc w:val="center"/>
              <w:rPr>
                <w:rFonts w:ascii="Times New Roman" w:eastAsia="Times New Roman" w:hAnsi="Times New Roman" w:cs="Times New Roman"/>
                <w:noProof/>
                <w:sz w:val="18"/>
              </w:rPr>
            </w:pPr>
          </w:p>
        </w:tc>
        <w:tc>
          <w:tcPr>
            <w:tcW w:w="600" w:type="dxa"/>
            <w:shd w:val="clear" w:color="auto" w:fill="C6EFCE"/>
            <w:noWrap/>
          </w:tcPr>
          <w:p w14:paraId="33EA2186" w14:textId="77777777" w:rsidR="006578ED" w:rsidRDefault="00A1618E">
            <w:pPr>
              <w:pStyle w:val="P68B1DB1-Normal13"/>
              <w:spacing w:after="0"/>
              <w:jc w:val="center"/>
              <w:rPr>
                <w:rFonts w:eastAsia="Times New Roman" w:cs="Times New Roman"/>
                <w:noProof/>
              </w:rPr>
            </w:pPr>
            <w:r>
              <w:rPr>
                <w:noProof/>
              </w:rPr>
              <w:t>Liczba</w:t>
            </w:r>
          </w:p>
        </w:tc>
        <w:tc>
          <w:tcPr>
            <w:tcW w:w="436" w:type="dxa"/>
            <w:shd w:val="clear" w:color="auto" w:fill="C6EFCE"/>
            <w:noWrap/>
          </w:tcPr>
          <w:p w14:paraId="3814E274" w14:textId="77777777" w:rsidR="006578ED" w:rsidRDefault="00A1618E">
            <w:pPr>
              <w:pStyle w:val="P68B1DB1-Normal13"/>
              <w:spacing w:after="0"/>
              <w:jc w:val="right"/>
              <w:rPr>
                <w:rFonts w:eastAsia="Times New Roman" w:cs="Times New Roman"/>
                <w:noProof/>
              </w:rPr>
            </w:pPr>
            <w:r>
              <w:rPr>
                <w:noProof/>
              </w:rPr>
              <w:t>37</w:t>
            </w:r>
          </w:p>
        </w:tc>
        <w:tc>
          <w:tcPr>
            <w:tcW w:w="556" w:type="dxa"/>
            <w:shd w:val="clear" w:color="auto" w:fill="C6EFCE"/>
            <w:noWrap/>
          </w:tcPr>
          <w:p w14:paraId="14404EA4" w14:textId="77777777" w:rsidR="006578ED" w:rsidRDefault="00A1618E">
            <w:pPr>
              <w:pStyle w:val="P68B1DB1-Normal13"/>
              <w:spacing w:after="0"/>
              <w:jc w:val="right"/>
              <w:rPr>
                <w:rFonts w:eastAsia="Times New Roman" w:cs="Times New Roman"/>
                <w:noProof/>
              </w:rPr>
            </w:pPr>
            <w:r>
              <w:rPr>
                <w:noProof/>
              </w:rPr>
              <w:t>77</w:t>
            </w:r>
          </w:p>
        </w:tc>
        <w:tc>
          <w:tcPr>
            <w:tcW w:w="426" w:type="dxa"/>
            <w:shd w:val="clear" w:color="auto" w:fill="C6EFCE"/>
            <w:noWrap/>
          </w:tcPr>
          <w:p w14:paraId="02159C89" w14:textId="2A1A679E" w:rsidR="006578ED" w:rsidRDefault="00EC188C">
            <w:pPr>
              <w:pStyle w:val="P68B1DB1-Normal13"/>
              <w:spacing w:after="0"/>
              <w:jc w:val="center"/>
              <w:rPr>
                <w:rFonts w:eastAsia="Times New Roman" w:cs="Times New Roman"/>
                <w:noProof/>
              </w:rPr>
            </w:pPr>
            <w:r>
              <w:rPr>
                <w:noProof/>
              </w:rPr>
              <w:t>KW. 3</w:t>
            </w:r>
          </w:p>
        </w:tc>
        <w:tc>
          <w:tcPr>
            <w:tcW w:w="502" w:type="dxa"/>
            <w:shd w:val="clear" w:color="auto" w:fill="C6EFCE"/>
            <w:noWrap/>
          </w:tcPr>
          <w:p w14:paraId="1222D4AB" w14:textId="77777777" w:rsidR="006578ED" w:rsidRDefault="00A1618E">
            <w:pPr>
              <w:pStyle w:val="P68B1DB1-Normal13"/>
              <w:spacing w:after="0"/>
              <w:jc w:val="center"/>
              <w:rPr>
                <w:rFonts w:eastAsia="Times New Roman" w:cs="Times New Roman"/>
                <w:noProof/>
              </w:rPr>
            </w:pPr>
            <w:r>
              <w:rPr>
                <w:noProof/>
              </w:rPr>
              <w:t>2026</w:t>
            </w:r>
          </w:p>
        </w:tc>
        <w:tc>
          <w:tcPr>
            <w:tcW w:w="6900" w:type="dxa"/>
            <w:gridSpan w:val="2"/>
            <w:shd w:val="clear" w:color="auto" w:fill="C6EFCE"/>
            <w:noWrap/>
          </w:tcPr>
          <w:p w14:paraId="5D454DA2" w14:textId="5E2603F5" w:rsidR="006578ED" w:rsidRDefault="00A1618E">
            <w:pPr>
              <w:pStyle w:val="P68B1DB1-Normal13"/>
              <w:spacing w:after="0"/>
              <w:rPr>
                <w:rFonts w:eastAsia="Times New Roman" w:cs="Times New Roman"/>
                <w:noProof/>
              </w:rPr>
            </w:pPr>
            <w:r>
              <w:rPr>
                <w:noProof/>
              </w:rPr>
              <w:t>Zakończenie 40 inicjatyw realizowanych przez społeczności energetyczne poprzez instalowanie rozwiązań w zakresie energii odnawialnej lub efektywności energetycznej lub poprzez realizację procesów dotyczących budynków partycypacyjnych i społecznościowych. (Podstawa: data IV kwartał 20</w:t>
            </w:r>
            <w:r w:rsidRPr="00A1618E">
              <w:rPr>
                <w:noProof/>
                <w:lang w:val="pl-PL"/>
              </w:rPr>
              <w:t>24 r.</w:t>
            </w:r>
            <w:r>
              <w:rPr>
                <w:noProof/>
              </w:rPr>
              <w:t>, cel celu 111)</w:t>
            </w:r>
          </w:p>
        </w:tc>
      </w:tr>
      <w:tr w:rsidR="006578ED" w14:paraId="6B615A15" w14:textId="77777777">
        <w:trPr>
          <w:trHeight w:val="309"/>
        </w:trPr>
        <w:tc>
          <w:tcPr>
            <w:tcW w:w="673" w:type="dxa"/>
            <w:shd w:val="clear" w:color="auto" w:fill="C6EFCE"/>
            <w:noWrap/>
          </w:tcPr>
          <w:p w14:paraId="0FC1D4A1" w14:textId="6B2F684D" w:rsidR="006578ED" w:rsidRDefault="00A1618E">
            <w:pPr>
              <w:pStyle w:val="P68B1DB1-Normal13"/>
              <w:spacing w:after="0"/>
              <w:jc w:val="center"/>
              <w:rPr>
                <w:rFonts w:eastAsia="Times New Roman" w:cs="Times New Roman"/>
                <w:noProof/>
              </w:rPr>
            </w:pPr>
            <w:r>
              <w:rPr>
                <w:noProof/>
              </w:rPr>
              <w:t>483</w:t>
            </w:r>
          </w:p>
        </w:tc>
        <w:tc>
          <w:tcPr>
            <w:tcW w:w="804" w:type="dxa"/>
            <w:shd w:val="clear" w:color="auto" w:fill="C6EFCE"/>
            <w:noWrap/>
          </w:tcPr>
          <w:p w14:paraId="1A06E288" w14:textId="14C14C7C" w:rsidR="006578ED" w:rsidRDefault="00A1618E">
            <w:pPr>
              <w:pStyle w:val="P68B1DB1-Normal13"/>
              <w:spacing w:after="0"/>
              <w:jc w:val="center"/>
              <w:rPr>
                <w:rFonts w:eastAsia="Times New Roman" w:cs="Times New Roman"/>
                <w:noProof/>
              </w:rPr>
            </w:pPr>
            <w:r>
              <w:rPr>
                <w:noProof/>
              </w:rPr>
              <w:t>C31.I2</w:t>
            </w:r>
          </w:p>
        </w:tc>
        <w:tc>
          <w:tcPr>
            <w:tcW w:w="900" w:type="dxa"/>
            <w:shd w:val="clear" w:color="auto" w:fill="C6EFCE"/>
            <w:noWrap/>
          </w:tcPr>
          <w:p w14:paraId="152D3E2C" w14:textId="1A9EF419" w:rsidR="006578ED" w:rsidRDefault="00AF6B91">
            <w:pPr>
              <w:pStyle w:val="P68B1DB1-Normal13"/>
              <w:spacing w:after="0"/>
              <w:jc w:val="center"/>
              <w:rPr>
                <w:rFonts w:eastAsia="Times New Roman" w:cs="Times New Roman"/>
                <w:noProof/>
              </w:rPr>
            </w:pPr>
            <w:r>
              <w:rPr>
                <w:noProof/>
              </w:rPr>
              <w:t>Kamień milowy</w:t>
            </w:r>
          </w:p>
        </w:tc>
        <w:tc>
          <w:tcPr>
            <w:tcW w:w="2296" w:type="dxa"/>
            <w:shd w:val="clear" w:color="auto" w:fill="C6EFCE"/>
            <w:noWrap/>
          </w:tcPr>
          <w:p w14:paraId="03B6CB65" w14:textId="4EF7BB63" w:rsidR="006578ED" w:rsidRDefault="00A1618E">
            <w:pPr>
              <w:pStyle w:val="P68B1DB1-Normal13"/>
              <w:spacing w:after="0"/>
              <w:rPr>
                <w:rFonts w:eastAsia="Times New Roman" w:cs="Times New Roman"/>
                <w:noProof/>
              </w:rPr>
            </w:pPr>
            <w:r>
              <w:rPr>
                <w:noProof/>
              </w:rPr>
              <w:t>System wsparcia dla wodoru odnawialnego: Ministerstwo zakończyło inwestycję</w:t>
            </w:r>
          </w:p>
        </w:tc>
        <w:tc>
          <w:tcPr>
            <w:tcW w:w="1215" w:type="dxa"/>
            <w:shd w:val="clear" w:color="auto" w:fill="C6EFCE"/>
            <w:noWrap/>
          </w:tcPr>
          <w:p w14:paraId="16A59804" w14:textId="10DC98F6" w:rsidR="006578ED" w:rsidRDefault="00A1618E">
            <w:pPr>
              <w:pStyle w:val="P68B1DB1-Normal13"/>
              <w:spacing w:after="0"/>
              <w:jc w:val="center"/>
              <w:rPr>
                <w:rFonts w:eastAsia="Times New Roman" w:cs="Times New Roman"/>
                <w:noProof/>
              </w:rPr>
            </w:pPr>
            <w:r>
              <w:rPr>
                <w:noProof/>
              </w:rPr>
              <w:t>Świadectwo transferu</w:t>
            </w:r>
          </w:p>
        </w:tc>
        <w:tc>
          <w:tcPr>
            <w:tcW w:w="600" w:type="dxa"/>
            <w:shd w:val="clear" w:color="auto" w:fill="C6EFCE"/>
            <w:noWrap/>
          </w:tcPr>
          <w:p w14:paraId="69C59F60" w14:textId="77777777"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5D80227B" w14:textId="77777777" w:rsidR="006578ED" w:rsidRDefault="006578ED">
            <w:pPr>
              <w:spacing w:after="0"/>
              <w:jc w:val="right"/>
              <w:rPr>
                <w:rFonts w:ascii="Times New Roman" w:eastAsia="Times New Roman" w:hAnsi="Times New Roman" w:cs="Times New Roman"/>
                <w:noProof/>
                <w:sz w:val="18"/>
              </w:rPr>
            </w:pPr>
          </w:p>
        </w:tc>
        <w:tc>
          <w:tcPr>
            <w:tcW w:w="556" w:type="dxa"/>
            <w:shd w:val="clear" w:color="auto" w:fill="C6EFCE"/>
            <w:noWrap/>
          </w:tcPr>
          <w:p w14:paraId="17B7A526" w14:textId="77777777" w:rsidR="006578ED" w:rsidRDefault="006578ED">
            <w:pPr>
              <w:spacing w:after="0"/>
              <w:jc w:val="right"/>
              <w:rPr>
                <w:rFonts w:ascii="Times New Roman" w:eastAsia="Times New Roman" w:hAnsi="Times New Roman" w:cs="Times New Roman"/>
                <w:noProof/>
                <w:sz w:val="18"/>
              </w:rPr>
            </w:pPr>
          </w:p>
        </w:tc>
        <w:tc>
          <w:tcPr>
            <w:tcW w:w="426" w:type="dxa"/>
            <w:shd w:val="clear" w:color="auto" w:fill="C6EFCE"/>
            <w:noWrap/>
          </w:tcPr>
          <w:p w14:paraId="7B475BD2" w14:textId="4764BFC4" w:rsidR="006578ED" w:rsidRDefault="00EC188C">
            <w:pPr>
              <w:pStyle w:val="P68B1DB1-Normal13"/>
              <w:spacing w:after="0"/>
              <w:jc w:val="center"/>
              <w:rPr>
                <w:rFonts w:eastAsia="Times New Roman" w:cs="Times New Roman"/>
                <w:noProof/>
              </w:rPr>
            </w:pPr>
            <w:r>
              <w:rPr>
                <w:noProof/>
              </w:rPr>
              <w:t>KW. 2</w:t>
            </w:r>
          </w:p>
        </w:tc>
        <w:tc>
          <w:tcPr>
            <w:tcW w:w="502" w:type="dxa"/>
            <w:shd w:val="clear" w:color="auto" w:fill="C6EFCE"/>
            <w:noWrap/>
          </w:tcPr>
          <w:p w14:paraId="7B9A9041" w14:textId="675816C0" w:rsidR="006578ED" w:rsidRDefault="00A1618E">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739D0F50" w14:textId="396DC2AE" w:rsidR="006578ED" w:rsidRDefault="00A1618E">
            <w:pPr>
              <w:pStyle w:val="P68B1DB1-Normal13"/>
              <w:spacing w:after="0"/>
              <w:rPr>
                <w:rFonts w:eastAsia="Times New Roman" w:cs="Times New Roman"/>
                <w:noProof/>
              </w:rPr>
            </w:pPr>
            <w:r>
              <w:rPr>
                <w:noProof/>
              </w:rPr>
              <w:t>Hiszpania przekazuje co najmniej 1600 mln EUR na rzecz IDAE na rzecz systemu wsparcia.</w:t>
            </w:r>
          </w:p>
        </w:tc>
      </w:tr>
      <w:tr w:rsidR="006578ED" w14:paraId="67B00CEE" w14:textId="77777777">
        <w:trPr>
          <w:trHeight w:val="309"/>
        </w:trPr>
        <w:tc>
          <w:tcPr>
            <w:tcW w:w="673" w:type="dxa"/>
            <w:shd w:val="clear" w:color="auto" w:fill="C6EFCE"/>
            <w:noWrap/>
          </w:tcPr>
          <w:p w14:paraId="53F6BDD7" w14:textId="085049AD" w:rsidR="006578ED" w:rsidRDefault="00A1618E">
            <w:pPr>
              <w:pStyle w:val="P68B1DB1-Normal13"/>
              <w:spacing w:after="0"/>
              <w:jc w:val="center"/>
              <w:rPr>
                <w:rFonts w:eastAsia="Times New Roman" w:cs="Times New Roman"/>
                <w:noProof/>
              </w:rPr>
            </w:pPr>
            <w:r>
              <w:rPr>
                <w:noProof/>
              </w:rPr>
              <w:t>480</w:t>
            </w:r>
          </w:p>
        </w:tc>
        <w:tc>
          <w:tcPr>
            <w:tcW w:w="804" w:type="dxa"/>
            <w:shd w:val="clear" w:color="auto" w:fill="C6EFCE"/>
            <w:noWrap/>
          </w:tcPr>
          <w:p w14:paraId="3BDDCB0E" w14:textId="77777777" w:rsidR="006578ED" w:rsidRDefault="00A1618E">
            <w:pPr>
              <w:pStyle w:val="P68B1DB1-Normal13"/>
              <w:spacing w:after="0"/>
              <w:jc w:val="center"/>
              <w:rPr>
                <w:rFonts w:eastAsia="Times New Roman" w:cs="Times New Roman"/>
                <w:noProof/>
              </w:rPr>
            </w:pPr>
            <w:r>
              <w:rPr>
                <w:noProof/>
              </w:rPr>
              <w:t>C31.I2</w:t>
            </w:r>
          </w:p>
        </w:tc>
        <w:tc>
          <w:tcPr>
            <w:tcW w:w="900" w:type="dxa"/>
            <w:shd w:val="clear" w:color="auto" w:fill="C6EFCE"/>
            <w:noWrap/>
          </w:tcPr>
          <w:p w14:paraId="46C3ABC8" w14:textId="320F8E8C" w:rsidR="006578ED" w:rsidRDefault="00AF6B91">
            <w:pPr>
              <w:pStyle w:val="P68B1DB1-Normal13"/>
              <w:spacing w:after="0"/>
              <w:jc w:val="center"/>
              <w:rPr>
                <w:rFonts w:eastAsia="Times New Roman" w:cs="Times New Roman"/>
                <w:noProof/>
              </w:rPr>
            </w:pPr>
            <w:r>
              <w:rPr>
                <w:noProof/>
              </w:rPr>
              <w:t>Kamień milowy</w:t>
            </w:r>
          </w:p>
        </w:tc>
        <w:tc>
          <w:tcPr>
            <w:tcW w:w="2296" w:type="dxa"/>
            <w:shd w:val="clear" w:color="auto" w:fill="C6EFCE"/>
            <w:noWrap/>
          </w:tcPr>
          <w:p w14:paraId="5BA1ED5F" w14:textId="41482004" w:rsidR="006578ED" w:rsidRDefault="00A1618E">
            <w:pPr>
              <w:pStyle w:val="P68B1DB1-Normal13"/>
              <w:spacing w:after="0"/>
              <w:rPr>
                <w:rFonts w:eastAsia="Times New Roman" w:cs="Times New Roman"/>
                <w:noProof/>
              </w:rPr>
            </w:pPr>
            <w:r>
              <w:rPr>
                <w:noProof/>
              </w:rPr>
              <w:t>System wsparcia dla wodoru odnawialnego: Ustanowienie systemu</w:t>
            </w:r>
          </w:p>
        </w:tc>
        <w:tc>
          <w:tcPr>
            <w:tcW w:w="1215" w:type="dxa"/>
            <w:shd w:val="clear" w:color="auto" w:fill="C6EFCE"/>
            <w:noWrap/>
          </w:tcPr>
          <w:p w14:paraId="6E1C4DEB" w14:textId="2A469696" w:rsidR="006578ED" w:rsidRDefault="00A1618E">
            <w:pPr>
              <w:pStyle w:val="P68B1DB1-Normal13"/>
              <w:spacing w:after="0"/>
              <w:jc w:val="center"/>
              <w:rPr>
                <w:rFonts w:eastAsia="Times New Roman" w:cs="Times New Roman"/>
                <w:noProof/>
              </w:rPr>
            </w:pPr>
            <w:r>
              <w:rPr>
                <w:noProof/>
              </w:rPr>
              <w:t>Wejście w życie odpowiedniego(-ych) instrumentu(-ów) prawnego(-ych)</w:t>
            </w:r>
          </w:p>
        </w:tc>
        <w:tc>
          <w:tcPr>
            <w:tcW w:w="600" w:type="dxa"/>
            <w:shd w:val="clear" w:color="auto" w:fill="C6EFCE"/>
            <w:noWrap/>
          </w:tcPr>
          <w:p w14:paraId="4EE62C9A" w14:textId="77777777"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6F49F013" w14:textId="77777777" w:rsidR="006578ED" w:rsidRDefault="006578ED">
            <w:pPr>
              <w:spacing w:after="0"/>
              <w:jc w:val="right"/>
              <w:rPr>
                <w:rFonts w:ascii="Times New Roman" w:eastAsia="Times New Roman" w:hAnsi="Times New Roman" w:cs="Times New Roman"/>
                <w:noProof/>
                <w:sz w:val="18"/>
              </w:rPr>
            </w:pPr>
          </w:p>
        </w:tc>
        <w:tc>
          <w:tcPr>
            <w:tcW w:w="556" w:type="dxa"/>
            <w:shd w:val="clear" w:color="auto" w:fill="C6EFCE"/>
            <w:noWrap/>
          </w:tcPr>
          <w:p w14:paraId="028C0AD5" w14:textId="77777777" w:rsidR="006578ED" w:rsidRDefault="006578ED">
            <w:pPr>
              <w:spacing w:after="0"/>
              <w:jc w:val="right"/>
              <w:rPr>
                <w:rFonts w:ascii="Times New Roman" w:eastAsia="Times New Roman" w:hAnsi="Times New Roman" w:cs="Times New Roman"/>
                <w:noProof/>
                <w:sz w:val="18"/>
              </w:rPr>
            </w:pPr>
          </w:p>
        </w:tc>
        <w:tc>
          <w:tcPr>
            <w:tcW w:w="426" w:type="dxa"/>
            <w:shd w:val="clear" w:color="auto" w:fill="C6EFCE"/>
            <w:noWrap/>
          </w:tcPr>
          <w:p w14:paraId="51883FA8" w14:textId="2FEF2D0A" w:rsidR="006578ED" w:rsidRDefault="00EC188C">
            <w:pPr>
              <w:pStyle w:val="P68B1DB1-Normal13"/>
              <w:spacing w:after="0"/>
              <w:jc w:val="center"/>
              <w:rPr>
                <w:rFonts w:eastAsia="Times New Roman" w:cs="Times New Roman"/>
                <w:noProof/>
                <w:highlight w:val="yellow"/>
              </w:rPr>
            </w:pPr>
            <w:r>
              <w:rPr>
                <w:noProof/>
              </w:rPr>
              <w:t>KW. 4</w:t>
            </w:r>
          </w:p>
        </w:tc>
        <w:tc>
          <w:tcPr>
            <w:tcW w:w="502" w:type="dxa"/>
            <w:shd w:val="clear" w:color="auto" w:fill="C6EFCE"/>
            <w:noWrap/>
          </w:tcPr>
          <w:p w14:paraId="72FEE54D" w14:textId="467CD09A" w:rsidR="006578ED" w:rsidRDefault="00A1618E">
            <w:pPr>
              <w:pStyle w:val="P68B1DB1-Normal13"/>
              <w:spacing w:after="0"/>
              <w:jc w:val="center"/>
              <w:rPr>
                <w:rFonts w:eastAsia="Times New Roman" w:cs="Times New Roman"/>
                <w:noProof/>
                <w:highlight w:val="yellow"/>
              </w:rPr>
            </w:pPr>
            <w:r>
              <w:rPr>
                <w:noProof/>
              </w:rPr>
              <w:t>2024</w:t>
            </w:r>
          </w:p>
        </w:tc>
        <w:tc>
          <w:tcPr>
            <w:tcW w:w="6900" w:type="dxa"/>
            <w:gridSpan w:val="2"/>
            <w:shd w:val="clear" w:color="auto" w:fill="C6EFCE"/>
            <w:noWrap/>
          </w:tcPr>
          <w:p w14:paraId="37AFA094" w14:textId="557E3C16" w:rsidR="006578ED" w:rsidRDefault="00A1618E">
            <w:pPr>
              <w:pStyle w:val="P68B1DB1-Normal13"/>
              <w:spacing w:after="0"/>
              <w:rPr>
                <w:rFonts w:eastAsia="Times New Roman" w:cs="Times New Roman"/>
                <w:noProof/>
              </w:rPr>
            </w:pPr>
            <w:r>
              <w:rPr>
                <w:noProof/>
              </w:rPr>
              <w:t>Wejście w życie instrumentu(-ów) prawnego(-ych) ustanawiającego(-ych) system wsparcia zgodnie z wymogami określonymi w opisie środka.</w:t>
            </w:r>
          </w:p>
        </w:tc>
      </w:tr>
      <w:tr w:rsidR="006578ED" w14:paraId="3AFE826F" w14:textId="77777777">
        <w:trPr>
          <w:trHeight w:val="309"/>
        </w:trPr>
        <w:tc>
          <w:tcPr>
            <w:tcW w:w="673" w:type="dxa"/>
            <w:shd w:val="clear" w:color="auto" w:fill="C6EFCE"/>
            <w:noWrap/>
          </w:tcPr>
          <w:p w14:paraId="67ECE505" w14:textId="75CF15BF" w:rsidR="006578ED" w:rsidRDefault="00A1618E">
            <w:pPr>
              <w:pStyle w:val="P68B1DB1-Normal13"/>
              <w:spacing w:after="0"/>
              <w:jc w:val="center"/>
              <w:rPr>
                <w:rFonts w:eastAsia="Times New Roman" w:cs="Times New Roman"/>
                <w:noProof/>
              </w:rPr>
            </w:pPr>
            <w:r>
              <w:rPr>
                <w:noProof/>
              </w:rPr>
              <w:t>481</w:t>
            </w:r>
          </w:p>
        </w:tc>
        <w:tc>
          <w:tcPr>
            <w:tcW w:w="804" w:type="dxa"/>
            <w:shd w:val="clear" w:color="auto" w:fill="C6EFCE"/>
            <w:noWrap/>
          </w:tcPr>
          <w:p w14:paraId="061AD380" w14:textId="77777777" w:rsidR="006578ED" w:rsidRDefault="00A1618E">
            <w:pPr>
              <w:pStyle w:val="P68B1DB1-Normal13"/>
              <w:spacing w:after="0"/>
              <w:jc w:val="center"/>
              <w:rPr>
                <w:rFonts w:eastAsia="Times New Roman" w:cs="Times New Roman"/>
                <w:noProof/>
              </w:rPr>
            </w:pPr>
            <w:r>
              <w:rPr>
                <w:noProof/>
              </w:rPr>
              <w:t>C31.I2</w:t>
            </w:r>
          </w:p>
        </w:tc>
        <w:tc>
          <w:tcPr>
            <w:tcW w:w="900" w:type="dxa"/>
            <w:shd w:val="clear" w:color="auto" w:fill="C6EFCE"/>
            <w:noWrap/>
          </w:tcPr>
          <w:p w14:paraId="4E309171" w14:textId="4A2E3F00" w:rsidR="006578ED" w:rsidRDefault="00AF6B91">
            <w:pPr>
              <w:pStyle w:val="P68B1DB1-Normal13"/>
              <w:spacing w:after="0"/>
              <w:jc w:val="center"/>
              <w:rPr>
                <w:rFonts w:eastAsia="Times New Roman" w:cs="Times New Roman"/>
                <w:noProof/>
              </w:rPr>
            </w:pPr>
            <w:r>
              <w:rPr>
                <w:noProof/>
              </w:rPr>
              <w:t>Cel</w:t>
            </w:r>
          </w:p>
        </w:tc>
        <w:tc>
          <w:tcPr>
            <w:tcW w:w="2296" w:type="dxa"/>
            <w:shd w:val="clear" w:color="auto" w:fill="C6EFCE"/>
            <w:noWrap/>
          </w:tcPr>
          <w:p w14:paraId="384881E1" w14:textId="653D3C75" w:rsidR="006578ED" w:rsidRDefault="00A1618E">
            <w:pPr>
              <w:pStyle w:val="P68B1DB1-Normal13"/>
              <w:spacing w:after="0"/>
              <w:rPr>
                <w:rFonts w:eastAsia="Times New Roman" w:cs="Times New Roman"/>
                <w:noProof/>
              </w:rPr>
            </w:pPr>
            <w:r>
              <w:rPr>
                <w:noProof/>
              </w:rPr>
              <w:t>System wsparcia dla wodoru odnawialnego: Umowy prawne podpisane z beneficjentami końcowymi lub opublikowane uchwały o ostatecznym przyznaniu dotacji (I)</w:t>
            </w:r>
          </w:p>
        </w:tc>
        <w:tc>
          <w:tcPr>
            <w:tcW w:w="1215" w:type="dxa"/>
            <w:shd w:val="clear" w:color="auto" w:fill="C6EFCE"/>
            <w:noWrap/>
          </w:tcPr>
          <w:p w14:paraId="50AB68CF" w14:textId="0E3F4153" w:rsidR="006578ED" w:rsidRDefault="00A1618E">
            <w:pPr>
              <w:pStyle w:val="P68B1DB1-Normal13"/>
              <w:spacing w:after="0"/>
              <w:jc w:val="center"/>
              <w:rPr>
                <w:rFonts w:eastAsia="Times New Roman" w:cs="Times New Roman"/>
                <w:noProof/>
              </w:rPr>
            </w:pPr>
            <w:r>
              <w:rPr>
                <w:noProof/>
              </w:rPr>
              <w:t>Wejście w życie prawnych umów o finansowaniu lub publikacja ostatecznych uchwał o udzieleniu zamówienia</w:t>
            </w:r>
          </w:p>
        </w:tc>
        <w:tc>
          <w:tcPr>
            <w:tcW w:w="600" w:type="dxa"/>
            <w:shd w:val="clear" w:color="auto" w:fill="C6EFCE"/>
            <w:noWrap/>
          </w:tcPr>
          <w:p w14:paraId="5AE09F65" w14:textId="2D70B4BB"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764FC97E" w14:textId="77777777" w:rsidR="006578ED" w:rsidRDefault="00A1618E">
            <w:pPr>
              <w:pStyle w:val="P68B1DB1-Normal13"/>
              <w:spacing w:after="0"/>
              <w:jc w:val="right"/>
              <w:rPr>
                <w:rFonts w:eastAsia="Times New Roman" w:cs="Times New Roman"/>
                <w:noProof/>
              </w:rPr>
            </w:pPr>
            <w:r>
              <w:rPr>
                <w:noProof/>
              </w:rPr>
              <w:t>0</w:t>
            </w:r>
          </w:p>
        </w:tc>
        <w:tc>
          <w:tcPr>
            <w:tcW w:w="556" w:type="dxa"/>
            <w:shd w:val="clear" w:color="auto" w:fill="C6EFCE"/>
            <w:noWrap/>
          </w:tcPr>
          <w:p w14:paraId="6DF1E4E0" w14:textId="57D245B8" w:rsidR="006578ED" w:rsidRDefault="00A1618E">
            <w:pPr>
              <w:pStyle w:val="P68B1DB1-Normal13"/>
              <w:spacing w:after="0"/>
              <w:jc w:val="right"/>
              <w:rPr>
                <w:rFonts w:eastAsia="Times New Roman" w:cs="Times New Roman"/>
                <w:noProof/>
              </w:rPr>
            </w:pPr>
            <w:r>
              <w:rPr>
                <w:noProof/>
              </w:rPr>
              <w:t>50 %</w:t>
            </w:r>
          </w:p>
        </w:tc>
        <w:tc>
          <w:tcPr>
            <w:tcW w:w="426" w:type="dxa"/>
            <w:shd w:val="clear" w:color="auto" w:fill="C6EFCE"/>
            <w:noWrap/>
          </w:tcPr>
          <w:p w14:paraId="73E65A2F" w14:textId="55E8932B" w:rsidR="006578ED" w:rsidRDefault="00EC188C">
            <w:pPr>
              <w:pStyle w:val="P68B1DB1-Normal13"/>
              <w:spacing w:after="0"/>
              <w:jc w:val="center"/>
              <w:rPr>
                <w:rFonts w:eastAsia="Times New Roman" w:cs="Times New Roman"/>
                <w:noProof/>
                <w:highlight w:val="yellow"/>
              </w:rPr>
            </w:pPr>
            <w:r>
              <w:rPr>
                <w:noProof/>
              </w:rPr>
              <w:t>KW. 2</w:t>
            </w:r>
          </w:p>
        </w:tc>
        <w:tc>
          <w:tcPr>
            <w:tcW w:w="502" w:type="dxa"/>
            <w:shd w:val="clear" w:color="auto" w:fill="C6EFCE"/>
            <w:noWrap/>
          </w:tcPr>
          <w:p w14:paraId="671EC42B" w14:textId="4DFFA38D" w:rsidR="006578ED" w:rsidRDefault="00A1618E">
            <w:pPr>
              <w:pStyle w:val="P68B1DB1-Normal13"/>
              <w:spacing w:after="0"/>
              <w:jc w:val="center"/>
              <w:rPr>
                <w:rFonts w:eastAsia="Times New Roman" w:cs="Times New Roman"/>
                <w:noProof/>
                <w:highlight w:val="yellow"/>
              </w:rPr>
            </w:pPr>
            <w:r>
              <w:rPr>
                <w:noProof/>
              </w:rPr>
              <w:t>2025</w:t>
            </w:r>
          </w:p>
        </w:tc>
        <w:tc>
          <w:tcPr>
            <w:tcW w:w="6900" w:type="dxa"/>
            <w:gridSpan w:val="2"/>
            <w:shd w:val="clear" w:color="auto" w:fill="C6EFCE"/>
            <w:noWrap/>
          </w:tcPr>
          <w:p w14:paraId="225892A5" w14:textId="763D4DE7" w:rsidR="006578ED" w:rsidRDefault="00A1618E">
            <w:pPr>
              <w:pStyle w:val="P68B1DB1-Normal13"/>
              <w:spacing w:after="0"/>
              <w:rPr>
                <w:rFonts w:eastAsia="Times New Roman" w:cs="Times New Roman"/>
                <w:noProof/>
              </w:rPr>
            </w:pPr>
            <w:r>
              <w:rPr>
                <w:noProof/>
              </w:rPr>
              <w:t>IDAE opublikował ostateczne uchwały o przyznaniu finansowania lub wejście w życie umów w sprawie finansowania z beneficjentami końcowymi w odniesieniu do co najmniej 50 % inwestycji RRF w system wsparcia (w tym kosztów pośrednich).</w:t>
            </w:r>
          </w:p>
        </w:tc>
      </w:tr>
      <w:tr w:rsidR="006578ED" w14:paraId="263EEC4D" w14:textId="77777777">
        <w:trPr>
          <w:gridAfter w:val="1"/>
          <w:wAfter w:w="31" w:type="dxa"/>
          <w:trHeight w:val="309"/>
        </w:trPr>
        <w:tc>
          <w:tcPr>
            <w:tcW w:w="673" w:type="dxa"/>
            <w:shd w:val="clear" w:color="auto" w:fill="C6EFCE"/>
            <w:noWrap/>
          </w:tcPr>
          <w:p w14:paraId="50DEA288" w14:textId="7A5F7288" w:rsidR="006578ED" w:rsidRDefault="00A1618E">
            <w:pPr>
              <w:pStyle w:val="P68B1DB1-Normal13"/>
              <w:spacing w:after="0"/>
              <w:jc w:val="center"/>
              <w:rPr>
                <w:rFonts w:eastAsia="Times New Roman" w:cs="Times New Roman"/>
                <w:noProof/>
              </w:rPr>
            </w:pPr>
            <w:r>
              <w:rPr>
                <w:noProof/>
              </w:rPr>
              <w:t>482</w:t>
            </w:r>
          </w:p>
        </w:tc>
        <w:tc>
          <w:tcPr>
            <w:tcW w:w="804" w:type="dxa"/>
            <w:shd w:val="clear" w:color="auto" w:fill="C6EFCE"/>
            <w:noWrap/>
          </w:tcPr>
          <w:p w14:paraId="080E1CD1" w14:textId="77777777" w:rsidR="006578ED" w:rsidRDefault="00A1618E">
            <w:pPr>
              <w:pStyle w:val="P68B1DB1-Normal13"/>
              <w:spacing w:after="0"/>
              <w:jc w:val="center"/>
              <w:rPr>
                <w:rFonts w:eastAsia="Times New Roman" w:cs="Times New Roman"/>
                <w:noProof/>
              </w:rPr>
            </w:pPr>
            <w:r>
              <w:rPr>
                <w:noProof/>
              </w:rPr>
              <w:t>C31.I2</w:t>
            </w:r>
          </w:p>
        </w:tc>
        <w:tc>
          <w:tcPr>
            <w:tcW w:w="900" w:type="dxa"/>
            <w:shd w:val="clear" w:color="auto" w:fill="C6EFCE"/>
            <w:noWrap/>
          </w:tcPr>
          <w:p w14:paraId="20743680" w14:textId="3A59DCFC" w:rsidR="006578ED" w:rsidRDefault="00AF6B91">
            <w:pPr>
              <w:pStyle w:val="P68B1DB1-Normal13"/>
              <w:spacing w:after="0"/>
              <w:jc w:val="center"/>
              <w:rPr>
                <w:rFonts w:eastAsia="Times New Roman" w:cs="Times New Roman"/>
                <w:noProof/>
              </w:rPr>
            </w:pPr>
            <w:r>
              <w:rPr>
                <w:noProof/>
              </w:rPr>
              <w:t>Cel</w:t>
            </w:r>
          </w:p>
        </w:tc>
        <w:tc>
          <w:tcPr>
            <w:tcW w:w="2296" w:type="dxa"/>
            <w:shd w:val="clear" w:color="auto" w:fill="C6EFCE"/>
            <w:noWrap/>
          </w:tcPr>
          <w:p w14:paraId="255B854C" w14:textId="33BF1CCC" w:rsidR="006578ED" w:rsidRDefault="00A1618E">
            <w:pPr>
              <w:pStyle w:val="P68B1DB1-Normal13"/>
              <w:spacing w:after="0"/>
              <w:rPr>
                <w:rFonts w:eastAsia="Times New Roman" w:cs="Times New Roman"/>
                <w:noProof/>
              </w:rPr>
            </w:pPr>
            <w:r>
              <w:rPr>
                <w:noProof/>
              </w:rPr>
              <w:t>System wsparcia dla wodoru odnawialnego: Umowy prawne podpisane z beneficjentami końcowymi lub opublikowane uchwały o ostatecznym przyznaniu dotacji (II)</w:t>
            </w:r>
          </w:p>
        </w:tc>
        <w:tc>
          <w:tcPr>
            <w:tcW w:w="1215" w:type="dxa"/>
            <w:shd w:val="clear" w:color="auto" w:fill="C6EFCE"/>
            <w:noWrap/>
          </w:tcPr>
          <w:p w14:paraId="4315824F" w14:textId="2D5722C1" w:rsidR="006578ED" w:rsidRDefault="00A1618E">
            <w:pPr>
              <w:pStyle w:val="P68B1DB1-Normal13"/>
              <w:spacing w:after="0"/>
              <w:jc w:val="center"/>
              <w:rPr>
                <w:rFonts w:eastAsia="Times New Roman" w:cs="Times New Roman"/>
                <w:noProof/>
              </w:rPr>
            </w:pPr>
            <w:r>
              <w:rPr>
                <w:noProof/>
              </w:rPr>
              <w:t>Wejście w życie prawnych umów o finansowaniu lub publikacja ostatecznych uchwał o udzieleniu zamówienia</w:t>
            </w:r>
          </w:p>
        </w:tc>
        <w:tc>
          <w:tcPr>
            <w:tcW w:w="600" w:type="dxa"/>
            <w:shd w:val="clear" w:color="auto" w:fill="C6EFCE"/>
            <w:noWrap/>
          </w:tcPr>
          <w:p w14:paraId="2B34F867" w14:textId="2DC2291D"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2A2A49E2" w14:textId="0CAFFAE8" w:rsidR="006578ED" w:rsidRDefault="00A1618E">
            <w:pPr>
              <w:pStyle w:val="P68B1DB1-Normal13"/>
              <w:spacing w:after="0"/>
              <w:jc w:val="right"/>
              <w:rPr>
                <w:rFonts w:eastAsia="Times New Roman" w:cs="Times New Roman"/>
                <w:noProof/>
              </w:rPr>
            </w:pPr>
            <w:r>
              <w:rPr>
                <w:noProof/>
              </w:rPr>
              <w:t>50 %</w:t>
            </w:r>
          </w:p>
        </w:tc>
        <w:tc>
          <w:tcPr>
            <w:tcW w:w="556" w:type="dxa"/>
            <w:shd w:val="clear" w:color="auto" w:fill="C6EFCE"/>
            <w:noWrap/>
          </w:tcPr>
          <w:p w14:paraId="33611B00" w14:textId="563940B1" w:rsidR="006578ED" w:rsidRDefault="00A1618E">
            <w:pPr>
              <w:pStyle w:val="P68B1DB1-Normal13"/>
              <w:spacing w:after="0"/>
              <w:jc w:val="right"/>
              <w:rPr>
                <w:rFonts w:eastAsia="Times New Roman" w:cs="Times New Roman"/>
                <w:noProof/>
              </w:rPr>
            </w:pPr>
            <w:r>
              <w:rPr>
                <w:noProof/>
              </w:rPr>
              <w:t>100 %</w:t>
            </w:r>
          </w:p>
        </w:tc>
        <w:tc>
          <w:tcPr>
            <w:tcW w:w="426" w:type="dxa"/>
            <w:shd w:val="clear" w:color="auto" w:fill="C6EFCE"/>
            <w:noWrap/>
          </w:tcPr>
          <w:p w14:paraId="2F5595CF" w14:textId="260B8C05" w:rsidR="006578ED" w:rsidRDefault="00EC188C">
            <w:pPr>
              <w:pStyle w:val="P68B1DB1-Normal13"/>
              <w:spacing w:after="0"/>
              <w:jc w:val="center"/>
              <w:rPr>
                <w:rFonts w:eastAsia="Times New Roman" w:cs="Times New Roman"/>
                <w:noProof/>
                <w:highlight w:val="yellow"/>
              </w:rPr>
            </w:pPr>
            <w:r>
              <w:rPr>
                <w:noProof/>
              </w:rPr>
              <w:t>KW. 3</w:t>
            </w:r>
          </w:p>
        </w:tc>
        <w:tc>
          <w:tcPr>
            <w:tcW w:w="502" w:type="dxa"/>
            <w:shd w:val="clear" w:color="auto" w:fill="C6EFCE"/>
            <w:noWrap/>
          </w:tcPr>
          <w:p w14:paraId="0160F2A1" w14:textId="3900C86F" w:rsidR="006578ED" w:rsidRDefault="00A1618E">
            <w:pPr>
              <w:pStyle w:val="P68B1DB1-Normal13"/>
              <w:spacing w:after="0"/>
              <w:jc w:val="center"/>
              <w:rPr>
                <w:rFonts w:eastAsia="Times New Roman" w:cs="Times New Roman"/>
                <w:noProof/>
                <w:highlight w:val="yellow"/>
              </w:rPr>
            </w:pPr>
            <w:r>
              <w:rPr>
                <w:noProof/>
              </w:rPr>
              <w:t>2026</w:t>
            </w:r>
          </w:p>
        </w:tc>
        <w:tc>
          <w:tcPr>
            <w:tcW w:w="6869" w:type="dxa"/>
            <w:shd w:val="clear" w:color="auto" w:fill="C6EFCE"/>
            <w:noWrap/>
          </w:tcPr>
          <w:p w14:paraId="7F48C873" w14:textId="5673CFA2" w:rsidR="006578ED" w:rsidRDefault="00A1618E">
            <w:pPr>
              <w:pStyle w:val="P68B1DB1-Normal13"/>
              <w:spacing w:after="0"/>
              <w:rPr>
                <w:rFonts w:eastAsia="Times New Roman" w:cs="Times New Roman"/>
                <w:noProof/>
              </w:rPr>
            </w:pPr>
            <w:r>
              <w:rPr>
                <w:noProof/>
              </w:rPr>
              <w:t xml:space="preserve">IDAE opublikował ostateczne uchwały o przyznaniu finansowania lub wejście w życie umów w sprawie finansowania z beneficjentami końcowymi w odniesieniu </w:t>
            </w:r>
            <w:r w:rsidRPr="00A1618E">
              <w:rPr>
                <w:noProof/>
                <w:lang w:val="pl-PL"/>
              </w:rPr>
              <w:t>do 1</w:t>
            </w:r>
            <w:r>
              <w:rPr>
                <w:noProof/>
              </w:rPr>
              <w:t>00 % inwestycji RRF w system wsparcia (w tym kosztów pośrednich).</w:t>
            </w:r>
          </w:p>
        </w:tc>
      </w:tr>
      <w:tr w:rsidR="006578ED" w14:paraId="668FE02C" w14:textId="77777777">
        <w:trPr>
          <w:trHeight w:val="309"/>
        </w:trPr>
        <w:tc>
          <w:tcPr>
            <w:tcW w:w="673" w:type="dxa"/>
            <w:shd w:val="clear" w:color="auto" w:fill="C6EFCE"/>
            <w:noWrap/>
          </w:tcPr>
          <w:p w14:paraId="062E20ED" w14:textId="73DA41CE" w:rsidR="006578ED" w:rsidRDefault="00A1618E">
            <w:pPr>
              <w:pStyle w:val="P68B1DB1-Normal13"/>
              <w:spacing w:after="0"/>
              <w:jc w:val="center"/>
              <w:rPr>
                <w:rFonts w:eastAsia="Times New Roman" w:cs="Times New Roman"/>
                <w:noProof/>
              </w:rPr>
            </w:pPr>
            <w:r>
              <w:rPr>
                <w:noProof/>
              </w:rPr>
              <w:t>487</w:t>
            </w:r>
          </w:p>
        </w:tc>
        <w:tc>
          <w:tcPr>
            <w:tcW w:w="804" w:type="dxa"/>
            <w:shd w:val="clear" w:color="auto" w:fill="C6EFCE"/>
            <w:noWrap/>
          </w:tcPr>
          <w:p w14:paraId="32B1D913" w14:textId="171B767F" w:rsidR="006578ED" w:rsidRDefault="00A1618E">
            <w:pPr>
              <w:pStyle w:val="P68B1DB1-Normal13"/>
              <w:spacing w:after="0"/>
              <w:jc w:val="center"/>
              <w:rPr>
                <w:rFonts w:eastAsia="Times New Roman" w:cs="Times New Roman"/>
                <w:noProof/>
              </w:rPr>
            </w:pPr>
            <w:r>
              <w:rPr>
                <w:noProof/>
              </w:rPr>
              <w:t>C31.I3</w:t>
            </w:r>
          </w:p>
        </w:tc>
        <w:tc>
          <w:tcPr>
            <w:tcW w:w="900" w:type="dxa"/>
            <w:shd w:val="clear" w:color="auto" w:fill="C6EFCE"/>
            <w:noWrap/>
          </w:tcPr>
          <w:p w14:paraId="6BE1717C" w14:textId="374F6E33" w:rsidR="006578ED" w:rsidRDefault="00AF6B91">
            <w:pPr>
              <w:pStyle w:val="P68B1DB1-Normal13"/>
              <w:spacing w:after="0"/>
              <w:jc w:val="center"/>
              <w:rPr>
                <w:rFonts w:eastAsia="Times New Roman" w:cs="Times New Roman"/>
                <w:noProof/>
              </w:rPr>
            </w:pPr>
            <w:r>
              <w:rPr>
                <w:noProof/>
              </w:rPr>
              <w:t>Kamień milowy</w:t>
            </w:r>
          </w:p>
        </w:tc>
        <w:tc>
          <w:tcPr>
            <w:tcW w:w="2296" w:type="dxa"/>
            <w:shd w:val="clear" w:color="auto" w:fill="C6EFCE"/>
            <w:noWrap/>
          </w:tcPr>
          <w:p w14:paraId="42CB9C1B" w14:textId="221A96B0" w:rsidR="006578ED" w:rsidRDefault="00A1618E">
            <w:pPr>
              <w:pStyle w:val="P68B1DB1-Normal13"/>
              <w:spacing w:after="0"/>
              <w:rPr>
                <w:rFonts w:eastAsia="Times New Roman" w:cs="Times New Roman"/>
                <w:noProof/>
              </w:rPr>
            </w:pPr>
            <w:r>
              <w:rPr>
                <w:noProof/>
              </w:rPr>
              <w:t>System wsparcia dla łańcucha wartości: Ministerstwo zakończyło inwestycję</w:t>
            </w:r>
          </w:p>
        </w:tc>
        <w:tc>
          <w:tcPr>
            <w:tcW w:w="1215" w:type="dxa"/>
            <w:shd w:val="clear" w:color="auto" w:fill="C6EFCE"/>
            <w:noWrap/>
          </w:tcPr>
          <w:p w14:paraId="18308D9B" w14:textId="7113B2AE" w:rsidR="006578ED" w:rsidRDefault="00A1618E">
            <w:pPr>
              <w:pStyle w:val="P68B1DB1-Normal13"/>
              <w:spacing w:after="0"/>
              <w:jc w:val="center"/>
              <w:rPr>
                <w:rFonts w:eastAsia="Times New Roman" w:cs="Times New Roman"/>
                <w:noProof/>
              </w:rPr>
            </w:pPr>
            <w:r>
              <w:rPr>
                <w:noProof/>
              </w:rPr>
              <w:t>Świadectwo transferu</w:t>
            </w:r>
          </w:p>
        </w:tc>
        <w:tc>
          <w:tcPr>
            <w:tcW w:w="600" w:type="dxa"/>
            <w:shd w:val="clear" w:color="auto" w:fill="C6EFCE"/>
            <w:noWrap/>
          </w:tcPr>
          <w:p w14:paraId="19B525F6" w14:textId="77777777"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557E201D" w14:textId="77777777" w:rsidR="006578ED" w:rsidRDefault="006578ED">
            <w:pPr>
              <w:spacing w:after="0"/>
              <w:jc w:val="right"/>
              <w:rPr>
                <w:rFonts w:ascii="Times New Roman" w:eastAsia="Times New Roman" w:hAnsi="Times New Roman" w:cs="Times New Roman"/>
                <w:noProof/>
                <w:sz w:val="18"/>
              </w:rPr>
            </w:pPr>
          </w:p>
        </w:tc>
        <w:tc>
          <w:tcPr>
            <w:tcW w:w="556" w:type="dxa"/>
            <w:shd w:val="clear" w:color="auto" w:fill="C6EFCE"/>
            <w:noWrap/>
          </w:tcPr>
          <w:p w14:paraId="62A2D8E4" w14:textId="77777777" w:rsidR="006578ED" w:rsidRDefault="006578ED">
            <w:pPr>
              <w:spacing w:after="0"/>
              <w:jc w:val="right"/>
              <w:rPr>
                <w:rFonts w:ascii="Times New Roman" w:eastAsia="Times New Roman" w:hAnsi="Times New Roman" w:cs="Times New Roman"/>
                <w:noProof/>
                <w:sz w:val="18"/>
              </w:rPr>
            </w:pPr>
          </w:p>
        </w:tc>
        <w:tc>
          <w:tcPr>
            <w:tcW w:w="426" w:type="dxa"/>
            <w:shd w:val="clear" w:color="auto" w:fill="C6EFCE"/>
            <w:noWrap/>
          </w:tcPr>
          <w:p w14:paraId="1C67934C" w14:textId="4B22D7C2" w:rsidR="006578ED" w:rsidRDefault="00EC188C">
            <w:pPr>
              <w:pStyle w:val="P68B1DB1-Normal13"/>
              <w:spacing w:after="0"/>
              <w:jc w:val="center"/>
              <w:rPr>
                <w:rFonts w:eastAsia="Times New Roman" w:cs="Times New Roman"/>
                <w:noProof/>
              </w:rPr>
            </w:pPr>
            <w:r>
              <w:rPr>
                <w:noProof/>
              </w:rPr>
              <w:t>KW. 2</w:t>
            </w:r>
          </w:p>
        </w:tc>
        <w:tc>
          <w:tcPr>
            <w:tcW w:w="502" w:type="dxa"/>
            <w:shd w:val="clear" w:color="auto" w:fill="C6EFCE"/>
            <w:noWrap/>
          </w:tcPr>
          <w:p w14:paraId="4C8A96BC" w14:textId="62C2A2B4" w:rsidR="006578ED" w:rsidRDefault="00A1618E">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7BC5991D" w14:textId="5FE8BC70" w:rsidR="006578ED" w:rsidRDefault="00A1618E">
            <w:pPr>
              <w:pStyle w:val="P68B1DB1-Normal13"/>
              <w:spacing w:after="0"/>
              <w:rPr>
                <w:rFonts w:eastAsia="Times New Roman" w:cs="Times New Roman"/>
                <w:noProof/>
              </w:rPr>
            </w:pPr>
            <w:r>
              <w:rPr>
                <w:noProof/>
              </w:rPr>
              <w:t xml:space="preserve">Hiszpania przekazuje kwotę 1000 mln EUR na rzecz IDAE na rzecz systemu wsparcia. </w:t>
            </w:r>
          </w:p>
        </w:tc>
      </w:tr>
      <w:tr w:rsidR="006578ED" w14:paraId="4997CE3A" w14:textId="77777777">
        <w:trPr>
          <w:trHeight w:val="309"/>
        </w:trPr>
        <w:tc>
          <w:tcPr>
            <w:tcW w:w="673" w:type="dxa"/>
            <w:shd w:val="clear" w:color="auto" w:fill="C6EFCE"/>
            <w:noWrap/>
          </w:tcPr>
          <w:p w14:paraId="2C9D9912" w14:textId="07AC69DB" w:rsidR="006578ED" w:rsidRDefault="00A1618E">
            <w:pPr>
              <w:pStyle w:val="P68B1DB1-Normal13"/>
              <w:spacing w:after="0"/>
              <w:jc w:val="center"/>
              <w:rPr>
                <w:rFonts w:eastAsia="Times New Roman" w:cs="Times New Roman"/>
                <w:noProof/>
              </w:rPr>
            </w:pPr>
            <w:r>
              <w:rPr>
                <w:noProof/>
              </w:rPr>
              <w:t>484</w:t>
            </w:r>
          </w:p>
        </w:tc>
        <w:tc>
          <w:tcPr>
            <w:tcW w:w="804" w:type="dxa"/>
            <w:shd w:val="clear" w:color="auto" w:fill="C6EFCE"/>
            <w:noWrap/>
          </w:tcPr>
          <w:p w14:paraId="35061C95" w14:textId="77777777" w:rsidR="006578ED" w:rsidRDefault="00A1618E">
            <w:pPr>
              <w:pStyle w:val="P68B1DB1-Normal13"/>
              <w:spacing w:after="0"/>
              <w:jc w:val="center"/>
              <w:rPr>
                <w:rFonts w:eastAsia="Times New Roman" w:cs="Times New Roman"/>
                <w:noProof/>
              </w:rPr>
            </w:pPr>
            <w:r>
              <w:rPr>
                <w:noProof/>
              </w:rPr>
              <w:t>C31.I3</w:t>
            </w:r>
          </w:p>
        </w:tc>
        <w:tc>
          <w:tcPr>
            <w:tcW w:w="900" w:type="dxa"/>
            <w:shd w:val="clear" w:color="auto" w:fill="C6EFCE"/>
            <w:noWrap/>
          </w:tcPr>
          <w:p w14:paraId="46836030" w14:textId="2115FD57" w:rsidR="006578ED" w:rsidRDefault="00AF6B91">
            <w:pPr>
              <w:pStyle w:val="P68B1DB1-Normal13"/>
              <w:spacing w:after="0"/>
              <w:jc w:val="center"/>
              <w:rPr>
                <w:rFonts w:eastAsia="Times New Roman" w:cs="Times New Roman"/>
                <w:noProof/>
              </w:rPr>
            </w:pPr>
            <w:r>
              <w:rPr>
                <w:noProof/>
              </w:rPr>
              <w:t>Kamień milowy</w:t>
            </w:r>
          </w:p>
        </w:tc>
        <w:tc>
          <w:tcPr>
            <w:tcW w:w="2296" w:type="dxa"/>
            <w:shd w:val="clear" w:color="auto" w:fill="C6EFCE"/>
            <w:noWrap/>
          </w:tcPr>
          <w:p w14:paraId="390DE608" w14:textId="48058EC9" w:rsidR="006578ED" w:rsidRDefault="00A1618E">
            <w:pPr>
              <w:pStyle w:val="P68B1DB1-Normal13"/>
              <w:spacing w:after="0"/>
              <w:rPr>
                <w:rFonts w:eastAsia="Times New Roman" w:cs="Times New Roman"/>
                <w:noProof/>
              </w:rPr>
            </w:pPr>
            <w:r>
              <w:rPr>
                <w:noProof/>
              </w:rPr>
              <w:t>System wsparcia dla łańcucha wartości: Ustanowienie systemu</w:t>
            </w:r>
          </w:p>
        </w:tc>
        <w:tc>
          <w:tcPr>
            <w:tcW w:w="1215" w:type="dxa"/>
            <w:shd w:val="clear" w:color="auto" w:fill="C6EFCE"/>
            <w:noWrap/>
          </w:tcPr>
          <w:p w14:paraId="653E9D84" w14:textId="19EEC7F2" w:rsidR="006578ED" w:rsidRDefault="00A1618E">
            <w:pPr>
              <w:pStyle w:val="P68B1DB1-Normal13"/>
              <w:spacing w:after="0"/>
              <w:jc w:val="center"/>
              <w:rPr>
                <w:rFonts w:eastAsia="Times New Roman" w:cs="Times New Roman"/>
                <w:noProof/>
              </w:rPr>
            </w:pPr>
            <w:r>
              <w:rPr>
                <w:noProof/>
              </w:rPr>
              <w:t>Wejście w życie rozporządzenia ministerialnego</w:t>
            </w:r>
          </w:p>
        </w:tc>
        <w:tc>
          <w:tcPr>
            <w:tcW w:w="600" w:type="dxa"/>
            <w:shd w:val="clear" w:color="auto" w:fill="C6EFCE"/>
            <w:noWrap/>
          </w:tcPr>
          <w:p w14:paraId="2E2DBE46" w14:textId="77777777"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2BE95DCB" w14:textId="77777777" w:rsidR="006578ED" w:rsidRDefault="006578ED">
            <w:pPr>
              <w:spacing w:after="0"/>
              <w:jc w:val="right"/>
              <w:rPr>
                <w:rFonts w:ascii="Times New Roman" w:eastAsia="Times New Roman" w:hAnsi="Times New Roman" w:cs="Times New Roman"/>
                <w:noProof/>
                <w:sz w:val="18"/>
              </w:rPr>
            </w:pPr>
          </w:p>
        </w:tc>
        <w:tc>
          <w:tcPr>
            <w:tcW w:w="556" w:type="dxa"/>
            <w:shd w:val="clear" w:color="auto" w:fill="C6EFCE"/>
            <w:noWrap/>
          </w:tcPr>
          <w:p w14:paraId="32C010D6" w14:textId="77777777" w:rsidR="006578ED" w:rsidRDefault="006578ED">
            <w:pPr>
              <w:spacing w:after="0"/>
              <w:jc w:val="right"/>
              <w:rPr>
                <w:rFonts w:ascii="Times New Roman" w:eastAsia="Times New Roman" w:hAnsi="Times New Roman" w:cs="Times New Roman"/>
                <w:noProof/>
                <w:sz w:val="18"/>
              </w:rPr>
            </w:pPr>
          </w:p>
        </w:tc>
        <w:tc>
          <w:tcPr>
            <w:tcW w:w="426" w:type="dxa"/>
            <w:shd w:val="clear" w:color="auto" w:fill="C6EFCE"/>
            <w:noWrap/>
          </w:tcPr>
          <w:p w14:paraId="0D529E4A" w14:textId="5243822B" w:rsidR="006578ED" w:rsidRDefault="00EC188C">
            <w:pPr>
              <w:pStyle w:val="P68B1DB1-Normal13"/>
              <w:spacing w:after="0"/>
              <w:jc w:val="center"/>
              <w:rPr>
                <w:rFonts w:eastAsia="Times New Roman" w:cs="Times New Roman"/>
                <w:noProof/>
                <w:highlight w:val="yellow"/>
              </w:rPr>
            </w:pPr>
            <w:r>
              <w:rPr>
                <w:noProof/>
              </w:rPr>
              <w:t>KW. 4</w:t>
            </w:r>
          </w:p>
        </w:tc>
        <w:tc>
          <w:tcPr>
            <w:tcW w:w="502" w:type="dxa"/>
            <w:shd w:val="clear" w:color="auto" w:fill="C6EFCE"/>
            <w:noWrap/>
          </w:tcPr>
          <w:p w14:paraId="358F275E" w14:textId="63EF6B72" w:rsidR="006578ED" w:rsidRDefault="00A1618E">
            <w:pPr>
              <w:pStyle w:val="P68B1DB1-Normal13"/>
              <w:spacing w:after="0"/>
              <w:jc w:val="center"/>
              <w:rPr>
                <w:rFonts w:eastAsia="Times New Roman" w:cs="Times New Roman"/>
                <w:noProof/>
                <w:highlight w:val="yellow"/>
              </w:rPr>
            </w:pPr>
            <w:r>
              <w:rPr>
                <w:noProof/>
              </w:rPr>
              <w:t>2024</w:t>
            </w:r>
          </w:p>
        </w:tc>
        <w:tc>
          <w:tcPr>
            <w:tcW w:w="6900" w:type="dxa"/>
            <w:gridSpan w:val="2"/>
            <w:shd w:val="clear" w:color="auto" w:fill="C6EFCE"/>
            <w:noWrap/>
          </w:tcPr>
          <w:p w14:paraId="4FE61A9D" w14:textId="1EB122C7" w:rsidR="006578ED" w:rsidRDefault="00A1618E">
            <w:pPr>
              <w:pStyle w:val="P68B1DB1-Normal13"/>
              <w:spacing w:after="0"/>
              <w:rPr>
                <w:rFonts w:eastAsia="Times New Roman" w:cs="Times New Roman"/>
                <w:noProof/>
              </w:rPr>
            </w:pPr>
            <w:r>
              <w:rPr>
                <w:noProof/>
              </w:rPr>
              <w:t>Wejście w życie instrumentu(-ów) prawnego(-ych) ustanawiającego(-ych) system wsparcia zgodnie z wymogami określonymi w opisie środka.</w:t>
            </w:r>
          </w:p>
        </w:tc>
      </w:tr>
      <w:tr w:rsidR="006578ED" w14:paraId="20ABF11D" w14:textId="77777777">
        <w:trPr>
          <w:trHeight w:val="309"/>
        </w:trPr>
        <w:tc>
          <w:tcPr>
            <w:tcW w:w="673" w:type="dxa"/>
            <w:shd w:val="clear" w:color="auto" w:fill="C6EFCE"/>
            <w:noWrap/>
          </w:tcPr>
          <w:p w14:paraId="5FCF7510" w14:textId="19C6135E" w:rsidR="006578ED" w:rsidRDefault="00A1618E">
            <w:pPr>
              <w:pStyle w:val="P68B1DB1-Normal13"/>
              <w:spacing w:after="0"/>
              <w:jc w:val="center"/>
              <w:rPr>
                <w:rFonts w:eastAsia="Times New Roman" w:cs="Times New Roman"/>
                <w:noProof/>
              </w:rPr>
            </w:pPr>
            <w:r>
              <w:rPr>
                <w:noProof/>
              </w:rPr>
              <w:t>485</w:t>
            </w:r>
          </w:p>
        </w:tc>
        <w:tc>
          <w:tcPr>
            <w:tcW w:w="804" w:type="dxa"/>
            <w:shd w:val="clear" w:color="auto" w:fill="C6EFCE"/>
            <w:noWrap/>
          </w:tcPr>
          <w:p w14:paraId="34CAD987" w14:textId="77777777" w:rsidR="006578ED" w:rsidRDefault="00A1618E">
            <w:pPr>
              <w:pStyle w:val="P68B1DB1-Normal13"/>
              <w:spacing w:after="0"/>
              <w:jc w:val="center"/>
              <w:rPr>
                <w:rFonts w:eastAsia="Times New Roman" w:cs="Times New Roman"/>
                <w:noProof/>
              </w:rPr>
            </w:pPr>
            <w:r>
              <w:rPr>
                <w:noProof/>
              </w:rPr>
              <w:t>C31.I3</w:t>
            </w:r>
          </w:p>
        </w:tc>
        <w:tc>
          <w:tcPr>
            <w:tcW w:w="900" w:type="dxa"/>
            <w:shd w:val="clear" w:color="auto" w:fill="C6EFCE"/>
            <w:noWrap/>
          </w:tcPr>
          <w:p w14:paraId="6507ED67" w14:textId="0CC2DC3E" w:rsidR="006578ED" w:rsidRDefault="00AF6B91">
            <w:pPr>
              <w:pStyle w:val="P68B1DB1-Normal13"/>
              <w:spacing w:after="0"/>
              <w:jc w:val="center"/>
              <w:rPr>
                <w:rFonts w:eastAsia="Times New Roman" w:cs="Times New Roman"/>
                <w:noProof/>
              </w:rPr>
            </w:pPr>
            <w:r>
              <w:rPr>
                <w:noProof/>
              </w:rPr>
              <w:t>Cel</w:t>
            </w:r>
          </w:p>
        </w:tc>
        <w:tc>
          <w:tcPr>
            <w:tcW w:w="2296" w:type="dxa"/>
            <w:shd w:val="clear" w:color="auto" w:fill="C6EFCE"/>
            <w:noWrap/>
          </w:tcPr>
          <w:p w14:paraId="7C2B6EB1" w14:textId="28F49518" w:rsidR="006578ED" w:rsidRDefault="00A1618E">
            <w:pPr>
              <w:pStyle w:val="P68B1DB1-Normal13"/>
              <w:spacing w:after="0"/>
              <w:rPr>
                <w:rFonts w:eastAsia="Times New Roman" w:cs="Times New Roman"/>
                <w:noProof/>
              </w:rPr>
            </w:pPr>
            <w:r>
              <w:rPr>
                <w:noProof/>
              </w:rPr>
              <w:t>System wsparcia dla łańcucha wartości: Umowy prawne podpisane z beneficjentami końcowymi lub opublikowane uchwały o ostatecznym przyznaniu dotacji (I)</w:t>
            </w:r>
          </w:p>
        </w:tc>
        <w:tc>
          <w:tcPr>
            <w:tcW w:w="1215" w:type="dxa"/>
            <w:shd w:val="clear" w:color="auto" w:fill="C6EFCE"/>
            <w:noWrap/>
          </w:tcPr>
          <w:p w14:paraId="29427A2F" w14:textId="534EC16A" w:rsidR="006578ED" w:rsidRDefault="00A1618E">
            <w:pPr>
              <w:pStyle w:val="P68B1DB1-Normal13"/>
              <w:spacing w:after="0"/>
              <w:jc w:val="center"/>
              <w:rPr>
                <w:rFonts w:eastAsia="Times New Roman" w:cs="Times New Roman"/>
                <w:noProof/>
              </w:rPr>
            </w:pPr>
            <w:r>
              <w:rPr>
                <w:noProof/>
              </w:rPr>
              <w:t>Wejście w życie prawnych umów o finansowaniu lub publikacja ostatecznych uchwał o udzieleniu zamówienia</w:t>
            </w:r>
          </w:p>
        </w:tc>
        <w:tc>
          <w:tcPr>
            <w:tcW w:w="600" w:type="dxa"/>
            <w:shd w:val="clear" w:color="auto" w:fill="C6EFCE"/>
            <w:noWrap/>
          </w:tcPr>
          <w:p w14:paraId="7656168B" w14:textId="449AC494"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5FABB88C" w14:textId="77777777" w:rsidR="006578ED" w:rsidRDefault="00A1618E">
            <w:pPr>
              <w:pStyle w:val="P68B1DB1-Normal13"/>
              <w:spacing w:after="0"/>
              <w:jc w:val="right"/>
              <w:rPr>
                <w:rFonts w:eastAsia="Times New Roman" w:cs="Times New Roman"/>
                <w:noProof/>
              </w:rPr>
            </w:pPr>
            <w:r>
              <w:rPr>
                <w:noProof/>
              </w:rPr>
              <w:t>0</w:t>
            </w:r>
          </w:p>
        </w:tc>
        <w:tc>
          <w:tcPr>
            <w:tcW w:w="556" w:type="dxa"/>
            <w:shd w:val="clear" w:color="auto" w:fill="C6EFCE"/>
            <w:noWrap/>
          </w:tcPr>
          <w:p w14:paraId="59D3BBFC" w14:textId="007440EE" w:rsidR="006578ED" w:rsidRDefault="00A1618E">
            <w:pPr>
              <w:pStyle w:val="P68B1DB1-Normal13"/>
              <w:spacing w:after="0"/>
              <w:jc w:val="right"/>
              <w:rPr>
                <w:rFonts w:eastAsia="Times New Roman" w:cs="Times New Roman"/>
                <w:noProof/>
              </w:rPr>
            </w:pPr>
            <w:r>
              <w:rPr>
                <w:noProof/>
              </w:rPr>
              <w:t>50 %</w:t>
            </w:r>
          </w:p>
        </w:tc>
        <w:tc>
          <w:tcPr>
            <w:tcW w:w="426" w:type="dxa"/>
            <w:shd w:val="clear" w:color="auto" w:fill="C6EFCE"/>
            <w:noWrap/>
          </w:tcPr>
          <w:p w14:paraId="2ADF8651" w14:textId="388EA4F0" w:rsidR="006578ED" w:rsidRDefault="00EC188C">
            <w:pPr>
              <w:pStyle w:val="P68B1DB1-Normal13"/>
              <w:spacing w:after="0"/>
              <w:jc w:val="center"/>
              <w:rPr>
                <w:rFonts w:eastAsia="Times New Roman" w:cs="Times New Roman"/>
                <w:noProof/>
              </w:rPr>
            </w:pPr>
            <w:r>
              <w:rPr>
                <w:noProof/>
              </w:rPr>
              <w:t>KW. 2</w:t>
            </w:r>
          </w:p>
        </w:tc>
        <w:tc>
          <w:tcPr>
            <w:tcW w:w="502" w:type="dxa"/>
            <w:shd w:val="clear" w:color="auto" w:fill="C6EFCE"/>
            <w:noWrap/>
          </w:tcPr>
          <w:p w14:paraId="5C30AE1C" w14:textId="77777777" w:rsidR="006578ED" w:rsidRDefault="00A1618E">
            <w:pPr>
              <w:pStyle w:val="P68B1DB1-Normal13"/>
              <w:spacing w:after="0"/>
              <w:jc w:val="center"/>
              <w:rPr>
                <w:rFonts w:eastAsia="Times New Roman" w:cs="Times New Roman"/>
                <w:noProof/>
              </w:rPr>
            </w:pPr>
            <w:r>
              <w:rPr>
                <w:noProof/>
              </w:rPr>
              <w:t>2025</w:t>
            </w:r>
          </w:p>
        </w:tc>
        <w:tc>
          <w:tcPr>
            <w:tcW w:w="6900" w:type="dxa"/>
            <w:gridSpan w:val="2"/>
            <w:shd w:val="clear" w:color="auto" w:fill="C6EFCE"/>
            <w:noWrap/>
          </w:tcPr>
          <w:p w14:paraId="52945C76" w14:textId="7D189CAE" w:rsidR="006578ED" w:rsidRDefault="00A1618E">
            <w:pPr>
              <w:pStyle w:val="P68B1DB1-Normal13"/>
              <w:spacing w:after="0"/>
              <w:rPr>
                <w:rFonts w:eastAsia="Times New Roman" w:cs="Times New Roman"/>
                <w:noProof/>
              </w:rPr>
            </w:pPr>
            <w:r>
              <w:rPr>
                <w:noProof/>
              </w:rPr>
              <w:t>IDAE opublikował ostateczne uchwały o przyznaniu finansowania lub wejście w życie umów w sprawie finansowania z beneficjentami końcowymi w odniesieniu do co najmniej 50 % inwestycji RRF w system wsparcia (w tym kosztów pośrednich).</w:t>
            </w:r>
          </w:p>
        </w:tc>
      </w:tr>
      <w:tr w:rsidR="006578ED" w14:paraId="3AB9A45D" w14:textId="77777777">
        <w:trPr>
          <w:trHeight w:val="309"/>
        </w:trPr>
        <w:tc>
          <w:tcPr>
            <w:tcW w:w="673" w:type="dxa"/>
            <w:shd w:val="clear" w:color="auto" w:fill="C6EFCE"/>
            <w:noWrap/>
          </w:tcPr>
          <w:p w14:paraId="7F4D9BA1" w14:textId="0F164B79" w:rsidR="006578ED" w:rsidRDefault="00A1618E">
            <w:pPr>
              <w:pStyle w:val="P68B1DB1-Normal13"/>
              <w:spacing w:after="0"/>
              <w:jc w:val="center"/>
              <w:rPr>
                <w:rFonts w:eastAsia="Times New Roman" w:cs="Times New Roman"/>
                <w:noProof/>
              </w:rPr>
            </w:pPr>
            <w:r>
              <w:rPr>
                <w:noProof/>
              </w:rPr>
              <w:t>486</w:t>
            </w:r>
          </w:p>
        </w:tc>
        <w:tc>
          <w:tcPr>
            <w:tcW w:w="804" w:type="dxa"/>
            <w:shd w:val="clear" w:color="auto" w:fill="C6EFCE"/>
            <w:noWrap/>
          </w:tcPr>
          <w:p w14:paraId="5F58753C" w14:textId="77777777" w:rsidR="006578ED" w:rsidRDefault="00A1618E">
            <w:pPr>
              <w:pStyle w:val="P68B1DB1-Normal13"/>
              <w:spacing w:after="0"/>
              <w:jc w:val="center"/>
              <w:rPr>
                <w:rFonts w:eastAsia="Times New Roman" w:cs="Times New Roman"/>
                <w:noProof/>
              </w:rPr>
            </w:pPr>
            <w:r>
              <w:rPr>
                <w:noProof/>
              </w:rPr>
              <w:t>C31.I3</w:t>
            </w:r>
          </w:p>
        </w:tc>
        <w:tc>
          <w:tcPr>
            <w:tcW w:w="900" w:type="dxa"/>
            <w:shd w:val="clear" w:color="auto" w:fill="C6EFCE"/>
            <w:noWrap/>
          </w:tcPr>
          <w:p w14:paraId="5F96617A" w14:textId="39BF015E" w:rsidR="006578ED" w:rsidRDefault="00AF6B91">
            <w:pPr>
              <w:pStyle w:val="P68B1DB1-Normal13"/>
              <w:spacing w:after="0"/>
              <w:jc w:val="center"/>
              <w:rPr>
                <w:rFonts w:eastAsia="Times New Roman" w:cs="Times New Roman"/>
                <w:noProof/>
              </w:rPr>
            </w:pPr>
            <w:r>
              <w:rPr>
                <w:noProof/>
              </w:rPr>
              <w:t>Cel</w:t>
            </w:r>
          </w:p>
        </w:tc>
        <w:tc>
          <w:tcPr>
            <w:tcW w:w="2296" w:type="dxa"/>
            <w:shd w:val="clear" w:color="auto" w:fill="C6EFCE"/>
            <w:noWrap/>
          </w:tcPr>
          <w:p w14:paraId="272667A1" w14:textId="5F23C03B" w:rsidR="006578ED" w:rsidRDefault="00A1618E">
            <w:pPr>
              <w:pStyle w:val="P68B1DB1-Normal13"/>
              <w:spacing w:after="0"/>
              <w:rPr>
                <w:rFonts w:eastAsia="Times New Roman" w:cs="Times New Roman"/>
                <w:noProof/>
              </w:rPr>
            </w:pPr>
            <w:r>
              <w:rPr>
                <w:noProof/>
              </w:rPr>
              <w:t>System wsparcia dla łańcucha wartości: Umowy prawne podpisane z beneficjentami końcowymi lub opublikowane uchwały o ostatecznym przyznaniu dotacji (II)</w:t>
            </w:r>
          </w:p>
        </w:tc>
        <w:tc>
          <w:tcPr>
            <w:tcW w:w="1215" w:type="dxa"/>
            <w:shd w:val="clear" w:color="auto" w:fill="C6EFCE"/>
            <w:noWrap/>
          </w:tcPr>
          <w:p w14:paraId="07624AF5" w14:textId="442CACEA" w:rsidR="006578ED" w:rsidRDefault="00A1618E">
            <w:pPr>
              <w:pStyle w:val="P68B1DB1-Normal13"/>
              <w:spacing w:after="0"/>
              <w:jc w:val="center"/>
              <w:rPr>
                <w:rFonts w:eastAsia="Times New Roman" w:cs="Times New Roman"/>
                <w:noProof/>
              </w:rPr>
            </w:pPr>
            <w:r>
              <w:rPr>
                <w:noProof/>
              </w:rPr>
              <w:t>Wejście w życie prawnych umów o finansowaniu lub publikacja ostatecznych uchwał o udzieleniu zamówienia</w:t>
            </w:r>
          </w:p>
        </w:tc>
        <w:tc>
          <w:tcPr>
            <w:tcW w:w="600" w:type="dxa"/>
            <w:shd w:val="clear" w:color="auto" w:fill="C6EFCE"/>
            <w:noWrap/>
          </w:tcPr>
          <w:p w14:paraId="60E246B5" w14:textId="48ACB16E"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63BF8650" w14:textId="241FA0B4" w:rsidR="006578ED" w:rsidRDefault="00A1618E">
            <w:pPr>
              <w:pStyle w:val="P68B1DB1-Normal13"/>
              <w:spacing w:after="0"/>
              <w:jc w:val="right"/>
              <w:rPr>
                <w:rFonts w:eastAsia="Times New Roman" w:cs="Times New Roman"/>
                <w:noProof/>
              </w:rPr>
            </w:pPr>
            <w:r>
              <w:rPr>
                <w:noProof/>
              </w:rPr>
              <w:t>50 %</w:t>
            </w:r>
          </w:p>
        </w:tc>
        <w:tc>
          <w:tcPr>
            <w:tcW w:w="556" w:type="dxa"/>
            <w:shd w:val="clear" w:color="auto" w:fill="C6EFCE"/>
            <w:noWrap/>
          </w:tcPr>
          <w:p w14:paraId="45908EDE" w14:textId="6C64E7C3" w:rsidR="006578ED" w:rsidRDefault="00A1618E">
            <w:pPr>
              <w:pStyle w:val="P68B1DB1-Normal13"/>
              <w:spacing w:after="0"/>
              <w:jc w:val="right"/>
              <w:rPr>
                <w:rFonts w:eastAsia="Times New Roman" w:cs="Times New Roman"/>
                <w:noProof/>
              </w:rPr>
            </w:pPr>
            <w:r>
              <w:rPr>
                <w:noProof/>
              </w:rPr>
              <w:t>100 %</w:t>
            </w:r>
          </w:p>
        </w:tc>
        <w:tc>
          <w:tcPr>
            <w:tcW w:w="426" w:type="dxa"/>
            <w:shd w:val="clear" w:color="auto" w:fill="C6EFCE"/>
            <w:noWrap/>
          </w:tcPr>
          <w:p w14:paraId="55C5B263" w14:textId="4E781F7E" w:rsidR="006578ED" w:rsidRDefault="00EC188C">
            <w:pPr>
              <w:pStyle w:val="P68B1DB1-Normal13"/>
              <w:spacing w:after="0"/>
              <w:jc w:val="center"/>
              <w:rPr>
                <w:rFonts w:eastAsia="Times New Roman" w:cs="Times New Roman"/>
                <w:noProof/>
                <w:highlight w:val="yellow"/>
              </w:rPr>
            </w:pPr>
            <w:r>
              <w:rPr>
                <w:noProof/>
              </w:rPr>
              <w:t>KW. 3</w:t>
            </w:r>
          </w:p>
        </w:tc>
        <w:tc>
          <w:tcPr>
            <w:tcW w:w="502" w:type="dxa"/>
            <w:shd w:val="clear" w:color="auto" w:fill="C6EFCE"/>
            <w:noWrap/>
          </w:tcPr>
          <w:p w14:paraId="1C5974B5" w14:textId="4B6307CC" w:rsidR="006578ED" w:rsidRDefault="00A1618E">
            <w:pPr>
              <w:pStyle w:val="P68B1DB1-Normal13"/>
              <w:spacing w:after="0"/>
              <w:jc w:val="center"/>
              <w:rPr>
                <w:rFonts w:eastAsia="Times New Roman" w:cs="Times New Roman"/>
                <w:noProof/>
                <w:highlight w:val="yellow"/>
              </w:rPr>
            </w:pPr>
            <w:r>
              <w:rPr>
                <w:noProof/>
              </w:rPr>
              <w:t>2026</w:t>
            </w:r>
          </w:p>
        </w:tc>
        <w:tc>
          <w:tcPr>
            <w:tcW w:w="6900" w:type="dxa"/>
            <w:gridSpan w:val="2"/>
            <w:shd w:val="clear" w:color="auto" w:fill="C6EFCE"/>
            <w:noWrap/>
          </w:tcPr>
          <w:p w14:paraId="2EDEF715" w14:textId="7533D0FE" w:rsidR="006578ED" w:rsidRDefault="00A1618E">
            <w:pPr>
              <w:pStyle w:val="P68B1DB1-Normal13"/>
              <w:spacing w:after="0"/>
              <w:rPr>
                <w:rFonts w:eastAsia="Times New Roman" w:cs="Times New Roman"/>
                <w:noProof/>
              </w:rPr>
            </w:pPr>
            <w:r>
              <w:rPr>
                <w:noProof/>
              </w:rPr>
              <w:t>IDAE opublikował ostateczne uchwały o przyznaniu finansowania lub wejście w życie umów w sprawie finansowania z beneficjentami końcowymi w odniesieniu do co najmniej 100 % inwestycji RRF w system wsparcia (w tym kosztów pośrednich). IDAE zapewnia, aby co najmniej 90 % tego finansowania przyczyniało się do realizacji celów klimatycznych przy użyciu metodyki określonej w załączniku VI do rozporządzenia w sprawie RRF.</w:t>
            </w:r>
          </w:p>
        </w:tc>
      </w:tr>
      <w:tr w:rsidR="006578ED" w14:paraId="17361FC2" w14:textId="77777777">
        <w:trPr>
          <w:trHeight w:val="309"/>
        </w:trPr>
        <w:tc>
          <w:tcPr>
            <w:tcW w:w="673" w:type="dxa"/>
            <w:shd w:val="clear" w:color="auto" w:fill="C6EFCE"/>
            <w:noWrap/>
          </w:tcPr>
          <w:p w14:paraId="7120F279" w14:textId="48B38B84" w:rsidR="006578ED" w:rsidRDefault="00A1618E">
            <w:pPr>
              <w:pStyle w:val="P68B1DB1-Normal13"/>
              <w:spacing w:after="0"/>
              <w:jc w:val="center"/>
              <w:rPr>
                <w:rFonts w:eastAsia="Times New Roman" w:cs="Times New Roman"/>
                <w:noProof/>
              </w:rPr>
            </w:pPr>
            <w:r>
              <w:rPr>
                <w:noProof/>
              </w:rPr>
              <w:t>488</w:t>
            </w:r>
          </w:p>
        </w:tc>
        <w:tc>
          <w:tcPr>
            <w:tcW w:w="804" w:type="dxa"/>
            <w:shd w:val="clear" w:color="auto" w:fill="C6EFCE"/>
            <w:noWrap/>
          </w:tcPr>
          <w:p w14:paraId="180307E4" w14:textId="77777777" w:rsidR="006578ED" w:rsidRDefault="00A1618E">
            <w:pPr>
              <w:pStyle w:val="P68B1DB1-Normal13"/>
              <w:spacing w:after="0"/>
              <w:jc w:val="center"/>
              <w:rPr>
                <w:rFonts w:eastAsia="Times New Roman" w:cs="Times New Roman"/>
                <w:noProof/>
              </w:rPr>
            </w:pPr>
            <w:r>
              <w:rPr>
                <w:noProof/>
              </w:rPr>
              <w:t>C31.I4</w:t>
            </w:r>
          </w:p>
        </w:tc>
        <w:tc>
          <w:tcPr>
            <w:tcW w:w="900" w:type="dxa"/>
            <w:shd w:val="clear" w:color="auto" w:fill="C6EFCE"/>
            <w:noWrap/>
          </w:tcPr>
          <w:p w14:paraId="47527A16" w14:textId="3E4AC7E3" w:rsidR="006578ED" w:rsidRDefault="00AF6B91">
            <w:pPr>
              <w:pStyle w:val="P68B1DB1-Normal13"/>
              <w:spacing w:after="0"/>
              <w:jc w:val="center"/>
              <w:rPr>
                <w:rFonts w:eastAsia="Times New Roman" w:cs="Times New Roman"/>
                <w:noProof/>
              </w:rPr>
            </w:pPr>
            <w:r>
              <w:rPr>
                <w:noProof/>
              </w:rPr>
              <w:t>Kamień milowy</w:t>
            </w:r>
          </w:p>
        </w:tc>
        <w:tc>
          <w:tcPr>
            <w:tcW w:w="2296" w:type="dxa"/>
            <w:shd w:val="clear" w:color="auto" w:fill="C6EFCE"/>
            <w:noWrap/>
          </w:tcPr>
          <w:p w14:paraId="42228A0A" w14:textId="77777777" w:rsidR="006578ED" w:rsidRDefault="00A1618E">
            <w:pPr>
              <w:pStyle w:val="P68B1DB1-Normal13"/>
              <w:spacing w:after="0"/>
              <w:rPr>
                <w:rFonts w:eastAsia="Times New Roman" w:cs="Times New Roman"/>
                <w:noProof/>
              </w:rPr>
            </w:pPr>
            <w:r>
              <w:rPr>
                <w:noProof/>
              </w:rPr>
              <w:t>Publikacja kryteriów wyboru projektów dotyczących przesyłu energii elektrycznej</w:t>
            </w:r>
          </w:p>
        </w:tc>
        <w:tc>
          <w:tcPr>
            <w:tcW w:w="1215" w:type="dxa"/>
            <w:shd w:val="clear" w:color="auto" w:fill="C6EFCE"/>
            <w:noWrap/>
          </w:tcPr>
          <w:p w14:paraId="421678A0" w14:textId="00B10C57" w:rsidR="006578ED" w:rsidRDefault="00A1618E">
            <w:pPr>
              <w:pStyle w:val="P68B1DB1-Normal13"/>
              <w:spacing w:after="0"/>
              <w:jc w:val="center"/>
              <w:rPr>
                <w:rFonts w:eastAsia="Times New Roman" w:cs="Times New Roman"/>
                <w:noProof/>
              </w:rPr>
            </w:pPr>
            <w:r>
              <w:rPr>
                <w:noProof/>
              </w:rPr>
              <w:t>Wejście w życie odpowiedniego aktu prawnego</w:t>
            </w:r>
          </w:p>
        </w:tc>
        <w:tc>
          <w:tcPr>
            <w:tcW w:w="600" w:type="dxa"/>
            <w:shd w:val="clear" w:color="auto" w:fill="C6EFCE"/>
            <w:noWrap/>
          </w:tcPr>
          <w:p w14:paraId="731E678A" w14:textId="77777777"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70771C08" w14:textId="77777777" w:rsidR="006578ED" w:rsidRDefault="006578ED">
            <w:pPr>
              <w:spacing w:after="0"/>
              <w:jc w:val="right"/>
              <w:rPr>
                <w:rFonts w:ascii="Times New Roman" w:eastAsia="Times New Roman" w:hAnsi="Times New Roman" w:cs="Times New Roman"/>
                <w:noProof/>
                <w:sz w:val="18"/>
              </w:rPr>
            </w:pPr>
          </w:p>
        </w:tc>
        <w:tc>
          <w:tcPr>
            <w:tcW w:w="556" w:type="dxa"/>
            <w:shd w:val="clear" w:color="auto" w:fill="C6EFCE"/>
            <w:noWrap/>
          </w:tcPr>
          <w:p w14:paraId="247B4556" w14:textId="77777777" w:rsidR="006578ED" w:rsidRDefault="006578ED">
            <w:pPr>
              <w:spacing w:after="0"/>
              <w:jc w:val="right"/>
              <w:rPr>
                <w:rFonts w:ascii="Times New Roman" w:eastAsia="Times New Roman" w:hAnsi="Times New Roman" w:cs="Times New Roman"/>
                <w:noProof/>
                <w:sz w:val="18"/>
              </w:rPr>
            </w:pPr>
          </w:p>
        </w:tc>
        <w:tc>
          <w:tcPr>
            <w:tcW w:w="426" w:type="dxa"/>
            <w:shd w:val="clear" w:color="auto" w:fill="C6EFCE"/>
            <w:noWrap/>
          </w:tcPr>
          <w:p w14:paraId="281FB369" w14:textId="1894F3B8" w:rsidR="006578ED" w:rsidRDefault="00EC188C">
            <w:pPr>
              <w:pStyle w:val="P68B1DB1-Normal13"/>
              <w:spacing w:after="0"/>
              <w:jc w:val="center"/>
              <w:rPr>
                <w:rFonts w:eastAsia="Times New Roman" w:cs="Times New Roman"/>
                <w:noProof/>
              </w:rPr>
            </w:pPr>
            <w:r>
              <w:rPr>
                <w:noProof/>
              </w:rPr>
              <w:t>KW. 1</w:t>
            </w:r>
          </w:p>
        </w:tc>
        <w:tc>
          <w:tcPr>
            <w:tcW w:w="502" w:type="dxa"/>
            <w:shd w:val="clear" w:color="auto" w:fill="C6EFCE"/>
            <w:noWrap/>
          </w:tcPr>
          <w:p w14:paraId="63327B57" w14:textId="77777777" w:rsidR="006578ED" w:rsidRDefault="00A1618E">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22B29B4A" w14:textId="74F2CDB3" w:rsidR="006578ED" w:rsidRDefault="00A1618E">
            <w:pPr>
              <w:pStyle w:val="P68B1DB1-Normal13"/>
              <w:spacing w:after="0"/>
              <w:rPr>
                <w:rFonts w:eastAsia="Times New Roman" w:cs="Times New Roman"/>
                <w:noProof/>
              </w:rPr>
            </w:pPr>
            <w:r>
              <w:rPr>
                <w:noProof/>
              </w:rPr>
              <w:t>Wejście w życie dekretu królewskiego ustanawiającego kryteria kwalifikowalności, które muszą spełniać projekty dotyczące przesyłu energii elektrycznej, które mają zostać wybrane z hiszpańskiego planu rozwoju sieci na lata 2021–2026, w oparciu o:</w:t>
            </w:r>
          </w:p>
          <w:p w14:paraId="38FC21D4" w14:textId="10C72FB9" w:rsidR="006578ED" w:rsidRDefault="00A1618E">
            <w:pPr>
              <w:pStyle w:val="P68B1DB1-ListParagraph14"/>
              <w:numPr>
                <w:ilvl w:val="0"/>
                <w:numId w:val="684"/>
              </w:numPr>
              <w:spacing w:after="0"/>
              <w:rPr>
                <w:rFonts w:eastAsia="Times New Roman" w:cs="Times New Roman"/>
                <w:noProof/>
              </w:rPr>
            </w:pPr>
            <w:r>
              <w:rPr>
                <w:noProof/>
              </w:rPr>
              <w:t>Projekty, które spełniają cele REPowerEU, a w szczególności te, które przyczyniają się do integracji odnawialnych źródeł energii, do dekarbonizacji przemysłu, do bezemisyjnego transportu lub do rozwiązania problemu wewnętrznych zatorów komunikacyjnych; oraz</w:t>
            </w:r>
          </w:p>
          <w:p w14:paraId="3BAA817B" w14:textId="48616F50" w:rsidR="006578ED" w:rsidRDefault="00A1618E">
            <w:pPr>
              <w:pStyle w:val="P68B1DB1-ListParagraph14"/>
              <w:numPr>
                <w:ilvl w:val="0"/>
                <w:numId w:val="684"/>
              </w:numPr>
              <w:spacing w:after="0"/>
              <w:rPr>
                <w:rFonts w:eastAsia="Times New Roman" w:cs="Times New Roman"/>
                <w:noProof/>
              </w:rPr>
            </w:pPr>
            <w:r>
              <w:rPr>
                <w:noProof/>
              </w:rPr>
              <w:t>projekty, które mają zostać ukończone do II kwartału 20</w:t>
            </w:r>
            <w:r w:rsidRPr="00A1618E">
              <w:rPr>
                <w:noProof/>
                <w:lang w:val="pl-PL"/>
              </w:rPr>
              <w:t>26 r.</w:t>
            </w:r>
          </w:p>
        </w:tc>
      </w:tr>
      <w:tr w:rsidR="006578ED" w14:paraId="7A14FA0D" w14:textId="77777777">
        <w:trPr>
          <w:trHeight w:val="309"/>
        </w:trPr>
        <w:tc>
          <w:tcPr>
            <w:tcW w:w="673" w:type="dxa"/>
            <w:shd w:val="clear" w:color="auto" w:fill="C6EFCE"/>
            <w:noWrap/>
          </w:tcPr>
          <w:p w14:paraId="126D0150" w14:textId="6F2C747B" w:rsidR="006578ED" w:rsidRDefault="00A1618E">
            <w:pPr>
              <w:pStyle w:val="P68B1DB1-Normal13"/>
              <w:spacing w:after="0"/>
              <w:jc w:val="center"/>
              <w:rPr>
                <w:rFonts w:eastAsia="Times New Roman" w:cs="Times New Roman"/>
                <w:noProof/>
              </w:rPr>
            </w:pPr>
            <w:r>
              <w:rPr>
                <w:noProof/>
              </w:rPr>
              <w:t>489</w:t>
            </w:r>
          </w:p>
        </w:tc>
        <w:tc>
          <w:tcPr>
            <w:tcW w:w="804" w:type="dxa"/>
            <w:shd w:val="clear" w:color="auto" w:fill="C6EFCE"/>
            <w:noWrap/>
          </w:tcPr>
          <w:p w14:paraId="7AD81780" w14:textId="77777777" w:rsidR="006578ED" w:rsidRDefault="00A1618E">
            <w:pPr>
              <w:pStyle w:val="P68B1DB1-Normal13"/>
              <w:spacing w:after="0"/>
              <w:jc w:val="center"/>
              <w:rPr>
                <w:rFonts w:eastAsia="Times New Roman" w:cs="Times New Roman"/>
                <w:noProof/>
              </w:rPr>
            </w:pPr>
            <w:r>
              <w:rPr>
                <w:noProof/>
              </w:rPr>
              <w:t>C31.I4</w:t>
            </w:r>
          </w:p>
        </w:tc>
        <w:tc>
          <w:tcPr>
            <w:tcW w:w="900" w:type="dxa"/>
            <w:shd w:val="clear" w:color="auto" w:fill="C6EFCE"/>
            <w:noWrap/>
          </w:tcPr>
          <w:p w14:paraId="4F0A879B" w14:textId="077D9DF5" w:rsidR="006578ED" w:rsidRDefault="00AF6B91">
            <w:pPr>
              <w:pStyle w:val="P68B1DB1-Normal13"/>
              <w:spacing w:after="0"/>
              <w:jc w:val="center"/>
              <w:rPr>
                <w:rFonts w:eastAsia="Times New Roman" w:cs="Times New Roman"/>
                <w:noProof/>
              </w:rPr>
            </w:pPr>
            <w:r>
              <w:rPr>
                <w:noProof/>
              </w:rPr>
              <w:t>Kamień milowy</w:t>
            </w:r>
          </w:p>
        </w:tc>
        <w:tc>
          <w:tcPr>
            <w:tcW w:w="2296" w:type="dxa"/>
            <w:shd w:val="clear" w:color="auto" w:fill="C6EFCE"/>
            <w:noWrap/>
          </w:tcPr>
          <w:p w14:paraId="620113C2" w14:textId="77777777" w:rsidR="006578ED" w:rsidRDefault="00A1618E">
            <w:pPr>
              <w:pStyle w:val="P68B1DB1-Normal13"/>
              <w:spacing w:after="0"/>
              <w:rPr>
                <w:rFonts w:eastAsia="Times New Roman" w:cs="Times New Roman"/>
                <w:noProof/>
              </w:rPr>
            </w:pPr>
            <w:r>
              <w:rPr>
                <w:noProof/>
              </w:rPr>
              <w:t>Przyjęcie listy wspieranych projektów dotyczących przesyłu energii elektrycznej</w:t>
            </w:r>
          </w:p>
        </w:tc>
        <w:tc>
          <w:tcPr>
            <w:tcW w:w="1215" w:type="dxa"/>
            <w:shd w:val="clear" w:color="auto" w:fill="C6EFCE"/>
            <w:noWrap/>
          </w:tcPr>
          <w:p w14:paraId="5E5FDA22" w14:textId="77777777" w:rsidR="006578ED" w:rsidRDefault="00A1618E">
            <w:pPr>
              <w:pStyle w:val="P68B1DB1-Normal13"/>
              <w:spacing w:after="0"/>
              <w:jc w:val="center"/>
              <w:rPr>
                <w:rFonts w:eastAsia="Times New Roman" w:cs="Times New Roman"/>
                <w:noProof/>
              </w:rPr>
            </w:pPr>
            <w:r>
              <w:rPr>
                <w:noProof/>
              </w:rPr>
              <w:t>Publikacja listy projektów</w:t>
            </w:r>
          </w:p>
        </w:tc>
        <w:tc>
          <w:tcPr>
            <w:tcW w:w="600" w:type="dxa"/>
            <w:shd w:val="clear" w:color="auto" w:fill="C6EFCE"/>
            <w:noWrap/>
          </w:tcPr>
          <w:p w14:paraId="1E403055" w14:textId="77777777"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1F8AE886" w14:textId="77777777" w:rsidR="006578ED" w:rsidRDefault="006578ED">
            <w:pPr>
              <w:spacing w:after="0"/>
              <w:jc w:val="right"/>
              <w:rPr>
                <w:rFonts w:ascii="Times New Roman" w:eastAsia="Times New Roman" w:hAnsi="Times New Roman" w:cs="Times New Roman"/>
                <w:noProof/>
                <w:sz w:val="18"/>
              </w:rPr>
            </w:pPr>
          </w:p>
        </w:tc>
        <w:tc>
          <w:tcPr>
            <w:tcW w:w="556" w:type="dxa"/>
            <w:shd w:val="clear" w:color="auto" w:fill="C6EFCE"/>
            <w:noWrap/>
          </w:tcPr>
          <w:p w14:paraId="2F0726A3" w14:textId="77777777" w:rsidR="006578ED" w:rsidRDefault="006578ED">
            <w:pPr>
              <w:spacing w:after="0"/>
              <w:jc w:val="right"/>
              <w:rPr>
                <w:rFonts w:ascii="Times New Roman" w:eastAsia="Times New Roman" w:hAnsi="Times New Roman" w:cs="Times New Roman"/>
                <w:noProof/>
                <w:sz w:val="18"/>
              </w:rPr>
            </w:pPr>
          </w:p>
        </w:tc>
        <w:tc>
          <w:tcPr>
            <w:tcW w:w="426" w:type="dxa"/>
            <w:shd w:val="clear" w:color="auto" w:fill="C6EFCE"/>
            <w:noWrap/>
          </w:tcPr>
          <w:p w14:paraId="4061F968" w14:textId="03A95DC7" w:rsidR="006578ED" w:rsidRDefault="00EC188C">
            <w:pPr>
              <w:pStyle w:val="P68B1DB1-Normal13"/>
              <w:spacing w:after="0"/>
              <w:jc w:val="center"/>
              <w:rPr>
                <w:rFonts w:eastAsia="Times New Roman" w:cs="Times New Roman"/>
                <w:noProof/>
              </w:rPr>
            </w:pPr>
            <w:r>
              <w:rPr>
                <w:noProof/>
              </w:rPr>
              <w:t>KW. 4</w:t>
            </w:r>
          </w:p>
        </w:tc>
        <w:tc>
          <w:tcPr>
            <w:tcW w:w="502" w:type="dxa"/>
            <w:shd w:val="clear" w:color="auto" w:fill="C6EFCE"/>
            <w:noWrap/>
          </w:tcPr>
          <w:p w14:paraId="09A9DB7C" w14:textId="77777777" w:rsidR="006578ED" w:rsidRDefault="00A1618E">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5455C936" w14:textId="684A6BA2" w:rsidR="006578ED" w:rsidRDefault="00A1618E">
            <w:pPr>
              <w:pStyle w:val="P68B1DB1-Normal13"/>
              <w:spacing w:after="0"/>
              <w:rPr>
                <w:rFonts w:eastAsia="Times New Roman" w:cs="Times New Roman"/>
                <w:noProof/>
              </w:rPr>
            </w:pPr>
            <w:r>
              <w:rPr>
                <w:noProof/>
              </w:rPr>
              <w:t>Przyjęcie przez właściwe ministerstwo wykazu wspieranych projektów dotyczących przesyłu energii elektrycznej na kwotę 931 mln EUR i zgodnie z kryteriami wyboru wynikającymi z etapu 488.</w:t>
            </w:r>
          </w:p>
        </w:tc>
      </w:tr>
      <w:tr w:rsidR="006578ED" w14:paraId="54FD447B" w14:textId="77777777">
        <w:trPr>
          <w:trHeight w:val="600"/>
        </w:trPr>
        <w:tc>
          <w:tcPr>
            <w:tcW w:w="673" w:type="dxa"/>
            <w:shd w:val="clear" w:color="auto" w:fill="C6EFCE"/>
            <w:noWrap/>
          </w:tcPr>
          <w:p w14:paraId="11C9B1F9" w14:textId="664C8CE7" w:rsidR="006578ED" w:rsidRDefault="00A1618E">
            <w:pPr>
              <w:pStyle w:val="P68B1DB1-Normal13"/>
              <w:spacing w:after="0"/>
              <w:jc w:val="center"/>
              <w:rPr>
                <w:rFonts w:eastAsia="Times New Roman" w:cs="Times New Roman"/>
                <w:noProof/>
              </w:rPr>
            </w:pPr>
            <w:r>
              <w:rPr>
                <w:noProof/>
              </w:rPr>
              <w:t>490</w:t>
            </w:r>
          </w:p>
        </w:tc>
        <w:tc>
          <w:tcPr>
            <w:tcW w:w="804" w:type="dxa"/>
            <w:tcBorders>
              <w:bottom w:val="single" w:sz="4" w:space="0" w:color="auto"/>
            </w:tcBorders>
            <w:shd w:val="clear" w:color="auto" w:fill="C6EFCE"/>
            <w:noWrap/>
          </w:tcPr>
          <w:p w14:paraId="01BD4AA5" w14:textId="77777777" w:rsidR="006578ED" w:rsidRDefault="00A1618E">
            <w:pPr>
              <w:pStyle w:val="P68B1DB1-Normal13"/>
              <w:spacing w:after="0"/>
              <w:jc w:val="center"/>
              <w:rPr>
                <w:rFonts w:eastAsia="Times New Roman" w:cs="Times New Roman"/>
                <w:noProof/>
              </w:rPr>
            </w:pPr>
            <w:r>
              <w:rPr>
                <w:noProof/>
              </w:rPr>
              <w:t>C31.I4</w:t>
            </w:r>
          </w:p>
        </w:tc>
        <w:tc>
          <w:tcPr>
            <w:tcW w:w="900" w:type="dxa"/>
            <w:tcBorders>
              <w:bottom w:val="single" w:sz="4" w:space="0" w:color="auto"/>
            </w:tcBorders>
            <w:shd w:val="clear" w:color="auto" w:fill="C6EFCE"/>
            <w:noWrap/>
          </w:tcPr>
          <w:p w14:paraId="55E53D5C" w14:textId="1609E852" w:rsidR="006578ED" w:rsidRDefault="00AF6B91">
            <w:pPr>
              <w:pStyle w:val="P68B1DB1-Normal13"/>
              <w:spacing w:after="0"/>
              <w:jc w:val="center"/>
              <w:rPr>
                <w:rFonts w:eastAsia="Times New Roman" w:cs="Times New Roman"/>
                <w:noProof/>
              </w:rPr>
            </w:pPr>
            <w:r>
              <w:rPr>
                <w:noProof/>
              </w:rPr>
              <w:t>Kamień milowy</w:t>
            </w:r>
          </w:p>
        </w:tc>
        <w:tc>
          <w:tcPr>
            <w:tcW w:w="2296" w:type="dxa"/>
            <w:tcBorders>
              <w:bottom w:val="single" w:sz="4" w:space="0" w:color="auto"/>
            </w:tcBorders>
            <w:shd w:val="clear" w:color="auto" w:fill="C6EFCE"/>
            <w:noWrap/>
          </w:tcPr>
          <w:p w14:paraId="566FCCB6" w14:textId="4466E6FC" w:rsidR="006578ED" w:rsidRDefault="00A1618E">
            <w:pPr>
              <w:pStyle w:val="P68B1DB1-Normal13"/>
              <w:spacing w:after="0"/>
              <w:rPr>
                <w:rFonts w:eastAsia="Times New Roman" w:cs="Times New Roman"/>
                <w:noProof/>
              </w:rPr>
            </w:pPr>
            <w:r>
              <w:rPr>
                <w:noProof/>
              </w:rPr>
              <w:t>Zakończenie wspieranych projektów dotyczących przesyłu energii elektrycznej</w:t>
            </w:r>
          </w:p>
        </w:tc>
        <w:tc>
          <w:tcPr>
            <w:tcW w:w="1215" w:type="dxa"/>
            <w:tcBorders>
              <w:bottom w:val="single" w:sz="4" w:space="0" w:color="auto"/>
            </w:tcBorders>
            <w:shd w:val="clear" w:color="auto" w:fill="C6EFCE"/>
            <w:noWrap/>
          </w:tcPr>
          <w:p w14:paraId="1A0D4E3E" w14:textId="77777777" w:rsidR="006578ED" w:rsidRDefault="00A1618E">
            <w:pPr>
              <w:pStyle w:val="P68B1DB1-Normal13"/>
              <w:spacing w:after="0"/>
              <w:jc w:val="center"/>
              <w:rPr>
                <w:rFonts w:eastAsia="Times New Roman" w:cs="Times New Roman"/>
                <w:noProof/>
              </w:rPr>
            </w:pPr>
            <w:r>
              <w:rPr>
                <w:noProof/>
              </w:rPr>
              <w:t>Świadectwo ukończenia</w:t>
            </w:r>
          </w:p>
        </w:tc>
        <w:tc>
          <w:tcPr>
            <w:tcW w:w="600" w:type="dxa"/>
            <w:tcBorders>
              <w:bottom w:val="single" w:sz="4" w:space="0" w:color="auto"/>
            </w:tcBorders>
            <w:shd w:val="clear" w:color="auto" w:fill="C6EFCE"/>
            <w:noWrap/>
          </w:tcPr>
          <w:p w14:paraId="0B7F5820" w14:textId="77777777" w:rsidR="006578ED" w:rsidRDefault="006578ED">
            <w:pPr>
              <w:spacing w:after="0"/>
              <w:jc w:val="center"/>
              <w:rPr>
                <w:rFonts w:ascii="Times New Roman" w:eastAsia="Times New Roman" w:hAnsi="Times New Roman" w:cs="Times New Roman"/>
                <w:noProof/>
                <w:sz w:val="18"/>
              </w:rPr>
            </w:pPr>
          </w:p>
        </w:tc>
        <w:tc>
          <w:tcPr>
            <w:tcW w:w="436" w:type="dxa"/>
            <w:tcBorders>
              <w:bottom w:val="single" w:sz="4" w:space="0" w:color="auto"/>
            </w:tcBorders>
            <w:shd w:val="clear" w:color="auto" w:fill="C6EFCE"/>
            <w:noWrap/>
          </w:tcPr>
          <w:p w14:paraId="2F646E8F" w14:textId="77777777" w:rsidR="006578ED" w:rsidRDefault="006578ED">
            <w:pPr>
              <w:spacing w:after="0"/>
              <w:jc w:val="right"/>
              <w:rPr>
                <w:rFonts w:ascii="Times New Roman" w:eastAsia="Times New Roman" w:hAnsi="Times New Roman" w:cs="Times New Roman"/>
                <w:noProof/>
                <w:sz w:val="18"/>
              </w:rPr>
            </w:pPr>
          </w:p>
        </w:tc>
        <w:tc>
          <w:tcPr>
            <w:tcW w:w="556" w:type="dxa"/>
            <w:tcBorders>
              <w:bottom w:val="single" w:sz="4" w:space="0" w:color="auto"/>
            </w:tcBorders>
            <w:shd w:val="clear" w:color="auto" w:fill="C6EFCE"/>
            <w:noWrap/>
          </w:tcPr>
          <w:p w14:paraId="3AF240DC" w14:textId="77777777" w:rsidR="006578ED" w:rsidRDefault="006578ED">
            <w:pPr>
              <w:spacing w:after="0"/>
              <w:jc w:val="right"/>
              <w:rPr>
                <w:rFonts w:ascii="Times New Roman" w:eastAsia="Times New Roman" w:hAnsi="Times New Roman" w:cs="Times New Roman"/>
                <w:noProof/>
                <w:sz w:val="18"/>
              </w:rPr>
            </w:pPr>
          </w:p>
        </w:tc>
        <w:tc>
          <w:tcPr>
            <w:tcW w:w="426" w:type="dxa"/>
            <w:tcBorders>
              <w:bottom w:val="single" w:sz="4" w:space="0" w:color="auto"/>
            </w:tcBorders>
            <w:shd w:val="clear" w:color="auto" w:fill="C6EFCE"/>
            <w:noWrap/>
          </w:tcPr>
          <w:p w14:paraId="7AAF1AC0" w14:textId="14657F9B" w:rsidR="006578ED" w:rsidRDefault="00EC188C">
            <w:pPr>
              <w:pStyle w:val="P68B1DB1-Normal13"/>
              <w:spacing w:after="0"/>
              <w:jc w:val="center"/>
              <w:rPr>
                <w:rFonts w:eastAsia="Times New Roman" w:cs="Times New Roman"/>
                <w:noProof/>
              </w:rPr>
            </w:pPr>
            <w:r>
              <w:rPr>
                <w:noProof/>
              </w:rPr>
              <w:t>KW. 3</w:t>
            </w:r>
          </w:p>
        </w:tc>
        <w:tc>
          <w:tcPr>
            <w:tcW w:w="502" w:type="dxa"/>
            <w:tcBorders>
              <w:bottom w:val="single" w:sz="4" w:space="0" w:color="auto"/>
            </w:tcBorders>
            <w:shd w:val="clear" w:color="auto" w:fill="C6EFCE"/>
            <w:noWrap/>
          </w:tcPr>
          <w:p w14:paraId="2AA227FF" w14:textId="77777777" w:rsidR="006578ED" w:rsidRDefault="00A1618E">
            <w:pPr>
              <w:pStyle w:val="P68B1DB1-Normal13"/>
              <w:spacing w:after="0"/>
              <w:jc w:val="center"/>
              <w:rPr>
                <w:rFonts w:eastAsia="Times New Roman" w:cs="Times New Roman"/>
                <w:noProof/>
              </w:rPr>
            </w:pPr>
            <w:r>
              <w:rPr>
                <w:noProof/>
              </w:rPr>
              <w:t>2026</w:t>
            </w:r>
          </w:p>
        </w:tc>
        <w:tc>
          <w:tcPr>
            <w:tcW w:w="6900" w:type="dxa"/>
            <w:gridSpan w:val="2"/>
            <w:tcBorders>
              <w:bottom w:val="single" w:sz="4" w:space="0" w:color="auto"/>
            </w:tcBorders>
            <w:shd w:val="clear" w:color="auto" w:fill="C6EFCE"/>
            <w:noWrap/>
          </w:tcPr>
          <w:p w14:paraId="29E51903" w14:textId="20E3F562" w:rsidR="006578ED" w:rsidRDefault="00A1618E">
            <w:pPr>
              <w:pStyle w:val="P68B1DB1-Normal13"/>
              <w:spacing w:after="0"/>
              <w:rPr>
                <w:rFonts w:eastAsia="Times New Roman" w:cs="Times New Roman"/>
                <w:noProof/>
              </w:rPr>
            </w:pPr>
            <w:r>
              <w:rPr>
                <w:noProof/>
              </w:rPr>
              <w:t>Zakończenie wspieranych projektów w zakresie przesyłu energii elektrycznej ujętych na liście przyjętej w wyniku Celu Celowego 489.</w:t>
            </w:r>
          </w:p>
        </w:tc>
      </w:tr>
      <w:tr w:rsidR="006578ED" w14:paraId="2BC4AB72" w14:textId="77777777">
        <w:trPr>
          <w:trHeight w:val="309"/>
        </w:trPr>
        <w:tc>
          <w:tcPr>
            <w:tcW w:w="673" w:type="dxa"/>
            <w:shd w:val="clear" w:color="auto" w:fill="C6EFCE"/>
            <w:noWrap/>
          </w:tcPr>
          <w:p w14:paraId="13390BF6" w14:textId="65B90AC1" w:rsidR="006578ED" w:rsidRDefault="00A1618E">
            <w:pPr>
              <w:pStyle w:val="P68B1DB1-Normal13"/>
              <w:spacing w:after="0"/>
              <w:jc w:val="center"/>
              <w:rPr>
                <w:rFonts w:eastAsia="Times New Roman" w:cs="Times New Roman"/>
                <w:noProof/>
              </w:rPr>
            </w:pPr>
            <w:r>
              <w:rPr>
                <w:noProof/>
              </w:rPr>
              <w:t>491</w:t>
            </w:r>
          </w:p>
        </w:tc>
        <w:tc>
          <w:tcPr>
            <w:tcW w:w="804" w:type="dxa"/>
            <w:shd w:val="clear" w:color="auto" w:fill="C6EFCE"/>
            <w:noWrap/>
          </w:tcPr>
          <w:p w14:paraId="0E8C97B7" w14:textId="77777777" w:rsidR="006578ED" w:rsidRDefault="00A1618E">
            <w:pPr>
              <w:pStyle w:val="P68B1DB1-Normal13"/>
              <w:spacing w:after="0"/>
              <w:jc w:val="center"/>
              <w:rPr>
                <w:rFonts w:eastAsia="Times New Roman" w:cs="Times New Roman"/>
                <w:noProof/>
              </w:rPr>
            </w:pPr>
            <w:r>
              <w:rPr>
                <w:noProof/>
              </w:rPr>
              <w:t xml:space="preserve">C31.I5 </w:t>
            </w:r>
          </w:p>
        </w:tc>
        <w:tc>
          <w:tcPr>
            <w:tcW w:w="900" w:type="dxa"/>
            <w:shd w:val="clear" w:color="auto" w:fill="C6EFCE"/>
            <w:noWrap/>
          </w:tcPr>
          <w:p w14:paraId="42A4F590" w14:textId="5FFE8568" w:rsidR="006578ED" w:rsidRDefault="00AF6B91">
            <w:pPr>
              <w:pStyle w:val="P68B1DB1-Normal13"/>
              <w:spacing w:after="0"/>
              <w:jc w:val="center"/>
              <w:rPr>
                <w:rFonts w:eastAsia="Times New Roman" w:cs="Times New Roman"/>
                <w:noProof/>
              </w:rPr>
            </w:pPr>
            <w:r>
              <w:rPr>
                <w:noProof/>
              </w:rPr>
              <w:t>Kamień milowy</w:t>
            </w:r>
          </w:p>
        </w:tc>
        <w:tc>
          <w:tcPr>
            <w:tcW w:w="2296" w:type="dxa"/>
            <w:shd w:val="clear" w:color="auto" w:fill="C6EFCE"/>
            <w:noWrap/>
          </w:tcPr>
          <w:p w14:paraId="4D6D63FD" w14:textId="6CFCDDE6" w:rsidR="006578ED" w:rsidRDefault="00A1618E">
            <w:pPr>
              <w:pStyle w:val="P68B1DB1-Normal13"/>
              <w:spacing w:after="0"/>
              <w:rPr>
                <w:rFonts w:eastAsia="Times New Roman" w:cs="Times New Roman"/>
                <w:noProof/>
              </w:rPr>
            </w:pPr>
            <w:r>
              <w:rPr>
                <w:noProof/>
              </w:rPr>
              <w:t>Publikacja zaproszeń do składania wniosków i zasad regulujących przyznawanie wsparcia na rzecz dekarbonizacji przemysłu</w:t>
            </w:r>
          </w:p>
        </w:tc>
        <w:tc>
          <w:tcPr>
            <w:tcW w:w="1215" w:type="dxa"/>
            <w:shd w:val="clear" w:color="auto" w:fill="C6EFCE"/>
            <w:noWrap/>
          </w:tcPr>
          <w:p w14:paraId="78A1B01B" w14:textId="77777777" w:rsidR="006578ED" w:rsidRDefault="00A1618E">
            <w:pPr>
              <w:pStyle w:val="P68B1DB1-Normal13"/>
              <w:spacing w:after="0"/>
              <w:jc w:val="center"/>
              <w:rPr>
                <w:rFonts w:eastAsia="Times New Roman" w:cs="Times New Roman"/>
                <w:noProof/>
              </w:rPr>
            </w:pPr>
            <w:r>
              <w:rPr>
                <w:noProof/>
              </w:rPr>
              <w:t>Publikacja</w:t>
            </w:r>
          </w:p>
        </w:tc>
        <w:tc>
          <w:tcPr>
            <w:tcW w:w="600" w:type="dxa"/>
            <w:shd w:val="clear" w:color="auto" w:fill="C6EFCE"/>
            <w:noWrap/>
          </w:tcPr>
          <w:p w14:paraId="6DEDFBC9" w14:textId="77777777" w:rsidR="006578ED" w:rsidRDefault="006578ED">
            <w:pPr>
              <w:spacing w:after="0"/>
              <w:jc w:val="center"/>
              <w:rPr>
                <w:rFonts w:ascii="Times New Roman" w:eastAsia="Times New Roman" w:hAnsi="Times New Roman" w:cs="Times New Roman"/>
                <w:noProof/>
                <w:sz w:val="18"/>
              </w:rPr>
            </w:pPr>
          </w:p>
        </w:tc>
        <w:tc>
          <w:tcPr>
            <w:tcW w:w="436" w:type="dxa"/>
            <w:shd w:val="clear" w:color="auto" w:fill="C6EFCE"/>
            <w:noWrap/>
          </w:tcPr>
          <w:p w14:paraId="5DE13126" w14:textId="77777777" w:rsidR="006578ED" w:rsidRDefault="006578ED">
            <w:pPr>
              <w:spacing w:after="0"/>
              <w:jc w:val="right"/>
              <w:rPr>
                <w:rFonts w:ascii="Times New Roman" w:eastAsia="Times New Roman" w:hAnsi="Times New Roman" w:cs="Times New Roman"/>
                <w:noProof/>
                <w:sz w:val="18"/>
              </w:rPr>
            </w:pPr>
          </w:p>
        </w:tc>
        <w:tc>
          <w:tcPr>
            <w:tcW w:w="556" w:type="dxa"/>
            <w:shd w:val="clear" w:color="auto" w:fill="C6EFCE"/>
            <w:noWrap/>
          </w:tcPr>
          <w:p w14:paraId="232764A2" w14:textId="77777777" w:rsidR="006578ED" w:rsidRDefault="006578ED">
            <w:pPr>
              <w:spacing w:after="0"/>
              <w:jc w:val="right"/>
              <w:rPr>
                <w:rFonts w:ascii="Times New Roman" w:eastAsia="Times New Roman" w:hAnsi="Times New Roman" w:cs="Times New Roman"/>
                <w:noProof/>
                <w:sz w:val="18"/>
              </w:rPr>
            </w:pPr>
          </w:p>
        </w:tc>
        <w:tc>
          <w:tcPr>
            <w:tcW w:w="426" w:type="dxa"/>
            <w:shd w:val="clear" w:color="auto" w:fill="C6EFCE"/>
            <w:noWrap/>
          </w:tcPr>
          <w:p w14:paraId="394C6EEC" w14:textId="013E30A9" w:rsidR="006578ED" w:rsidRDefault="00EC188C">
            <w:pPr>
              <w:pStyle w:val="P68B1DB1-Normal13"/>
              <w:spacing w:after="0"/>
              <w:jc w:val="center"/>
              <w:rPr>
                <w:rFonts w:eastAsia="Times New Roman" w:cs="Times New Roman"/>
                <w:noProof/>
              </w:rPr>
            </w:pPr>
            <w:r>
              <w:rPr>
                <w:noProof/>
              </w:rPr>
              <w:t>KW. 2</w:t>
            </w:r>
          </w:p>
        </w:tc>
        <w:tc>
          <w:tcPr>
            <w:tcW w:w="502" w:type="dxa"/>
            <w:shd w:val="clear" w:color="auto" w:fill="C6EFCE"/>
            <w:noWrap/>
          </w:tcPr>
          <w:p w14:paraId="444825EE" w14:textId="77777777" w:rsidR="006578ED" w:rsidRDefault="00A1618E">
            <w:pPr>
              <w:pStyle w:val="P68B1DB1-Normal13"/>
              <w:spacing w:after="0"/>
              <w:jc w:val="center"/>
              <w:rPr>
                <w:rFonts w:eastAsia="Times New Roman" w:cs="Times New Roman"/>
                <w:noProof/>
              </w:rPr>
            </w:pPr>
            <w:r>
              <w:rPr>
                <w:noProof/>
              </w:rPr>
              <w:t>2024</w:t>
            </w:r>
          </w:p>
        </w:tc>
        <w:tc>
          <w:tcPr>
            <w:tcW w:w="6900" w:type="dxa"/>
            <w:gridSpan w:val="2"/>
            <w:shd w:val="clear" w:color="auto" w:fill="C6EFCE"/>
            <w:noWrap/>
          </w:tcPr>
          <w:p w14:paraId="1EE3FF45" w14:textId="1F5BFA5E" w:rsidR="006578ED" w:rsidRDefault="00A1618E">
            <w:pPr>
              <w:pStyle w:val="P68B1DB1-Normal13"/>
              <w:spacing w:after="0"/>
              <w:rPr>
                <w:rFonts w:eastAsia="Times New Roman" w:cs="Times New Roman"/>
                <w:noProof/>
              </w:rPr>
            </w:pPr>
            <w:r>
              <w:rPr>
                <w:noProof/>
              </w:rPr>
              <w:t>Zatwierdzenie zaproszeń do składania wniosków i zasad regulujących wsparcie w formie dotacji na projekty mające na celu obniżenie emisyjności przemysłu wytwórczego, a także rozwój nowych wysoce wydajnych i zdekarbonizowanych zakładów produkcyjnych. Zaproszenia do składania wniosków i zasady regulujące wsparcie w formie dotacji na projekty zapewniają zgodność środka z wytycznymi technicznymi dotyczącymi zasady „nie czyń poważnych szkód” (2021/C58/01) poprzez wykorzystanie wykazu wykluczenia oraz wymóg zgodności z odpowiednimi unijnymi i krajowymi przepisami w zakresie ochrony środowiska.</w:t>
            </w:r>
          </w:p>
        </w:tc>
      </w:tr>
      <w:tr w:rsidR="006578ED" w14:paraId="4128DA45" w14:textId="77777777">
        <w:trPr>
          <w:trHeight w:val="309"/>
        </w:trPr>
        <w:tc>
          <w:tcPr>
            <w:tcW w:w="673" w:type="dxa"/>
            <w:tcBorders>
              <w:bottom w:val="single" w:sz="4" w:space="0" w:color="4F81BD" w:themeColor="accent1"/>
            </w:tcBorders>
            <w:shd w:val="clear" w:color="auto" w:fill="C6EFCE"/>
            <w:noWrap/>
          </w:tcPr>
          <w:p w14:paraId="32F202CA" w14:textId="142D1754" w:rsidR="006578ED" w:rsidRDefault="00A1618E">
            <w:pPr>
              <w:pStyle w:val="P68B1DB1-Normal13"/>
              <w:spacing w:after="0"/>
              <w:jc w:val="center"/>
              <w:rPr>
                <w:rFonts w:eastAsia="Times New Roman" w:cs="Times New Roman"/>
                <w:noProof/>
              </w:rPr>
            </w:pPr>
            <w:r>
              <w:rPr>
                <w:noProof/>
              </w:rPr>
              <w:t>492</w:t>
            </w:r>
          </w:p>
        </w:tc>
        <w:tc>
          <w:tcPr>
            <w:tcW w:w="804" w:type="dxa"/>
            <w:tcBorders>
              <w:bottom w:val="single" w:sz="4" w:space="0" w:color="auto"/>
            </w:tcBorders>
            <w:shd w:val="clear" w:color="auto" w:fill="C6EFCE"/>
            <w:noWrap/>
          </w:tcPr>
          <w:p w14:paraId="0961D913" w14:textId="77777777" w:rsidR="006578ED" w:rsidRDefault="00A1618E">
            <w:pPr>
              <w:pStyle w:val="P68B1DB1-Normal13"/>
              <w:spacing w:after="0"/>
              <w:jc w:val="center"/>
              <w:rPr>
                <w:rFonts w:eastAsia="Times New Roman" w:cs="Times New Roman"/>
                <w:noProof/>
              </w:rPr>
            </w:pPr>
            <w:r>
              <w:rPr>
                <w:noProof/>
              </w:rPr>
              <w:t>C31.I5</w:t>
            </w:r>
          </w:p>
        </w:tc>
        <w:tc>
          <w:tcPr>
            <w:tcW w:w="900" w:type="dxa"/>
            <w:tcBorders>
              <w:bottom w:val="single" w:sz="4" w:space="0" w:color="auto"/>
            </w:tcBorders>
            <w:shd w:val="clear" w:color="auto" w:fill="C6EFCE"/>
            <w:noWrap/>
          </w:tcPr>
          <w:p w14:paraId="09D171A4" w14:textId="31338BD4" w:rsidR="006578ED" w:rsidRDefault="00AF6B91">
            <w:pPr>
              <w:pStyle w:val="P68B1DB1-Normal13"/>
              <w:spacing w:after="0"/>
              <w:jc w:val="center"/>
              <w:rPr>
                <w:rFonts w:eastAsia="Times New Roman" w:cs="Times New Roman"/>
                <w:noProof/>
              </w:rPr>
            </w:pPr>
            <w:r>
              <w:rPr>
                <w:noProof/>
              </w:rPr>
              <w:t>Kamień milowy</w:t>
            </w:r>
          </w:p>
        </w:tc>
        <w:tc>
          <w:tcPr>
            <w:tcW w:w="2296" w:type="dxa"/>
            <w:tcBorders>
              <w:bottom w:val="single" w:sz="4" w:space="0" w:color="auto"/>
            </w:tcBorders>
            <w:shd w:val="clear" w:color="auto" w:fill="C6EFCE"/>
            <w:noWrap/>
          </w:tcPr>
          <w:p w14:paraId="43015BD9" w14:textId="3B2E3125" w:rsidR="006578ED" w:rsidRDefault="00A1618E">
            <w:pPr>
              <w:pStyle w:val="P68B1DB1-Normal13"/>
              <w:spacing w:after="0"/>
              <w:rPr>
                <w:rFonts w:eastAsia="Times New Roman" w:cs="Times New Roman"/>
                <w:noProof/>
              </w:rPr>
            </w:pPr>
            <w:r>
              <w:rPr>
                <w:noProof/>
              </w:rPr>
              <w:t xml:space="preserve">Publikacja nagród za projekty w zakresie dekarbonizacji </w:t>
            </w:r>
          </w:p>
        </w:tc>
        <w:tc>
          <w:tcPr>
            <w:tcW w:w="1215" w:type="dxa"/>
            <w:tcBorders>
              <w:bottom w:val="single" w:sz="4" w:space="0" w:color="auto"/>
            </w:tcBorders>
            <w:shd w:val="clear" w:color="auto" w:fill="C6EFCE"/>
            <w:noWrap/>
          </w:tcPr>
          <w:p w14:paraId="262D614F" w14:textId="3D0ABA2D" w:rsidR="006578ED" w:rsidRDefault="00A1618E">
            <w:pPr>
              <w:pStyle w:val="P68B1DB1-Normal13"/>
              <w:spacing w:after="0"/>
              <w:jc w:val="center"/>
              <w:rPr>
                <w:rFonts w:eastAsia="Times New Roman" w:cs="Times New Roman"/>
                <w:noProof/>
              </w:rPr>
            </w:pPr>
            <w:r>
              <w:rPr>
                <w:noProof/>
              </w:rPr>
              <w:t>Publikacja decyzji o udzieleniu zamówienia</w:t>
            </w:r>
          </w:p>
        </w:tc>
        <w:tc>
          <w:tcPr>
            <w:tcW w:w="600" w:type="dxa"/>
            <w:tcBorders>
              <w:bottom w:val="single" w:sz="4" w:space="0" w:color="auto"/>
            </w:tcBorders>
            <w:shd w:val="clear" w:color="auto" w:fill="C6EFCE"/>
            <w:noWrap/>
          </w:tcPr>
          <w:p w14:paraId="00EBF89E" w14:textId="77777777" w:rsidR="006578ED" w:rsidRDefault="00A1618E">
            <w:pPr>
              <w:pStyle w:val="P68B1DB1-Normal13"/>
              <w:spacing w:after="0"/>
              <w:jc w:val="center"/>
              <w:rPr>
                <w:rFonts w:eastAsia="Times New Roman" w:cs="Times New Roman"/>
                <w:noProof/>
              </w:rPr>
            </w:pPr>
            <w:r>
              <w:rPr>
                <w:noProof/>
              </w:rPr>
              <w:t>Mln</w:t>
            </w:r>
          </w:p>
          <w:p w14:paraId="35FAE67F" w14:textId="5157125C" w:rsidR="006578ED" w:rsidRDefault="00A1618E">
            <w:pPr>
              <w:pStyle w:val="P68B1DB1-Normal13"/>
              <w:spacing w:after="0"/>
              <w:jc w:val="center"/>
              <w:rPr>
                <w:rFonts w:eastAsia="Times New Roman" w:cs="Times New Roman"/>
                <w:noProof/>
              </w:rPr>
            </w:pPr>
            <w:r>
              <w:rPr>
                <w:noProof/>
              </w:rPr>
              <w:t>EUR</w:t>
            </w:r>
          </w:p>
        </w:tc>
        <w:tc>
          <w:tcPr>
            <w:tcW w:w="436" w:type="dxa"/>
            <w:tcBorders>
              <w:bottom w:val="single" w:sz="4" w:space="0" w:color="auto"/>
            </w:tcBorders>
            <w:shd w:val="clear" w:color="auto" w:fill="C6EFCE"/>
            <w:noWrap/>
          </w:tcPr>
          <w:p w14:paraId="756964F5" w14:textId="365F2A8E" w:rsidR="006578ED" w:rsidRDefault="00A1618E">
            <w:pPr>
              <w:pStyle w:val="P68B1DB1-Normal13"/>
              <w:spacing w:after="0"/>
              <w:jc w:val="right"/>
              <w:rPr>
                <w:rFonts w:eastAsia="Times New Roman" w:cs="Times New Roman"/>
                <w:noProof/>
              </w:rPr>
            </w:pPr>
            <w:r>
              <w:rPr>
                <w:noProof/>
              </w:rPr>
              <w:t>0</w:t>
            </w:r>
          </w:p>
        </w:tc>
        <w:tc>
          <w:tcPr>
            <w:tcW w:w="556" w:type="dxa"/>
            <w:tcBorders>
              <w:bottom w:val="single" w:sz="4" w:space="0" w:color="auto"/>
            </w:tcBorders>
            <w:shd w:val="clear" w:color="auto" w:fill="C6EFCE"/>
            <w:noWrap/>
          </w:tcPr>
          <w:p w14:paraId="67530E80" w14:textId="059A78AF" w:rsidR="006578ED" w:rsidRDefault="00A1618E">
            <w:pPr>
              <w:pStyle w:val="P68B1DB1-Normal13"/>
              <w:spacing w:after="0"/>
              <w:jc w:val="right"/>
              <w:rPr>
                <w:rFonts w:eastAsia="Times New Roman" w:cs="Times New Roman"/>
                <w:noProof/>
              </w:rPr>
            </w:pPr>
            <w:r>
              <w:rPr>
                <w:noProof/>
              </w:rPr>
              <w:t>531</w:t>
            </w:r>
          </w:p>
        </w:tc>
        <w:tc>
          <w:tcPr>
            <w:tcW w:w="426" w:type="dxa"/>
            <w:tcBorders>
              <w:bottom w:val="single" w:sz="4" w:space="0" w:color="auto"/>
            </w:tcBorders>
            <w:shd w:val="clear" w:color="auto" w:fill="C6EFCE"/>
            <w:noWrap/>
          </w:tcPr>
          <w:p w14:paraId="78603C4F" w14:textId="4E3D70AB" w:rsidR="006578ED" w:rsidRDefault="00EC188C">
            <w:pPr>
              <w:pStyle w:val="P68B1DB1-Normal13"/>
              <w:spacing w:after="0"/>
              <w:jc w:val="center"/>
              <w:rPr>
                <w:rFonts w:eastAsia="Times New Roman" w:cs="Times New Roman"/>
                <w:noProof/>
              </w:rPr>
            </w:pPr>
            <w:r>
              <w:rPr>
                <w:noProof/>
              </w:rPr>
              <w:t>KW. 4</w:t>
            </w:r>
          </w:p>
        </w:tc>
        <w:tc>
          <w:tcPr>
            <w:tcW w:w="502" w:type="dxa"/>
            <w:tcBorders>
              <w:bottom w:val="single" w:sz="4" w:space="0" w:color="auto"/>
            </w:tcBorders>
            <w:shd w:val="clear" w:color="auto" w:fill="C6EFCE"/>
            <w:noWrap/>
          </w:tcPr>
          <w:p w14:paraId="1EF68D8D" w14:textId="77777777" w:rsidR="006578ED" w:rsidRDefault="00A1618E">
            <w:pPr>
              <w:pStyle w:val="P68B1DB1-Normal13"/>
              <w:spacing w:after="0"/>
              <w:jc w:val="center"/>
              <w:rPr>
                <w:rFonts w:eastAsia="Times New Roman" w:cs="Times New Roman"/>
                <w:noProof/>
              </w:rPr>
            </w:pPr>
            <w:r>
              <w:rPr>
                <w:noProof/>
              </w:rPr>
              <w:t>2024</w:t>
            </w:r>
          </w:p>
        </w:tc>
        <w:tc>
          <w:tcPr>
            <w:tcW w:w="6900" w:type="dxa"/>
            <w:gridSpan w:val="2"/>
            <w:tcBorders>
              <w:bottom w:val="single" w:sz="4" w:space="0" w:color="auto"/>
            </w:tcBorders>
            <w:shd w:val="clear" w:color="auto" w:fill="C6EFCE"/>
            <w:noWrap/>
          </w:tcPr>
          <w:p w14:paraId="693F6C41" w14:textId="3BD56E2A" w:rsidR="006578ED" w:rsidRDefault="00A1618E">
            <w:pPr>
              <w:spacing w:after="0"/>
              <w:rPr>
                <w:rFonts w:ascii="Times New Roman" w:eastAsia="Times New Roman" w:hAnsi="Times New Roman" w:cs="Times New Roman"/>
                <w:noProof/>
                <w:sz w:val="18"/>
              </w:rPr>
            </w:pPr>
            <w:r>
              <w:rPr>
                <w:rFonts w:ascii="Times New Roman" w:hAnsi="Times New Roman"/>
                <w:noProof/>
                <w:sz w:val="18"/>
              </w:rPr>
              <w:t>Beneficjentom końcowym przyznano co najmniej 531 000 000 EUR (przy czym co najmniej 40 % łącznych środków przyczynia się do realizacji celów klimatycznych przy zastosowaniu metodyki określonej w załączniku VI do rozporządzenia w sprawie RRF).</w:t>
            </w:r>
            <w:r>
              <w:rPr>
                <w:noProof/>
              </w:rPr>
              <w:t xml:space="preserve"> </w:t>
            </w:r>
          </w:p>
        </w:tc>
      </w:tr>
      <w:tr w:rsidR="006578ED" w14:paraId="75E9CC47" w14:textId="77777777">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574A6F0B" w14:textId="442675F2" w:rsidR="006578ED" w:rsidRDefault="00A1618E">
            <w:pPr>
              <w:pStyle w:val="P68B1DB1-Normal13"/>
              <w:spacing w:after="0"/>
              <w:jc w:val="center"/>
              <w:rPr>
                <w:rFonts w:eastAsia="Times New Roman" w:cs="Times New Roman"/>
                <w:noProof/>
              </w:rPr>
            </w:pPr>
            <w:r>
              <w:rPr>
                <w:noProof/>
              </w:rPr>
              <w:t>493</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D92DB00" w14:textId="77777777" w:rsidR="006578ED" w:rsidRDefault="00A1618E">
            <w:pPr>
              <w:pStyle w:val="P68B1DB1-Normal13"/>
              <w:spacing w:after="0"/>
              <w:jc w:val="center"/>
              <w:rPr>
                <w:rFonts w:eastAsia="Times New Roman" w:cs="Times New Roman"/>
                <w:noProof/>
              </w:rPr>
            </w:pPr>
            <w:r>
              <w:rPr>
                <w:noProof/>
              </w:rPr>
              <w:t>C31.I5</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65E87F51" w14:textId="7C503EDA" w:rsidR="006578ED" w:rsidRDefault="00AF6B91">
            <w:pPr>
              <w:pStyle w:val="P68B1DB1-Normal13"/>
              <w:spacing w:after="0"/>
              <w:jc w:val="center"/>
              <w:rPr>
                <w:rFonts w:eastAsia="Times New Roman" w:cs="Times New Roman"/>
                <w:noProof/>
              </w:rPr>
            </w:pPr>
            <w:r>
              <w:rPr>
                <w:noProof/>
              </w:rPr>
              <w:t>Kamień milowy</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23692AFB" w14:textId="77777777" w:rsidR="006578ED" w:rsidRDefault="00A1618E">
            <w:pPr>
              <w:pStyle w:val="P68B1DB1-Normal13"/>
              <w:spacing w:after="0"/>
              <w:rPr>
                <w:rFonts w:eastAsia="Times New Roman" w:cs="Times New Roman"/>
                <w:noProof/>
              </w:rPr>
            </w:pPr>
            <w:r>
              <w:rPr>
                <w:noProof/>
              </w:rPr>
              <w:t>Zakończenie projektów dekarbonizacji</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14A2AFE2" w14:textId="77777777" w:rsidR="006578ED" w:rsidRDefault="00A1618E">
            <w:pPr>
              <w:pStyle w:val="P68B1DB1-Normal13"/>
              <w:spacing w:after="0"/>
              <w:jc w:val="center"/>
              <w:rPr>
                <w:rFonts w:eastAsia="Times New Roman" w:cs="Times New Roman"/>
                <w:noProof/>
              </w:rPr>
            </w:pPr>
            <w:r>
              <w:rPr>
                <w:noProof/>
              </w:rPr>
              <w:t>Świadectwo ukończenia</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40423CA1" w14:textId="77777777" w:rsidR="006578ED" w:rsidRDefault="006578ED">
            <w:pPr>
              <w:spacing w:after="0"/>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481CC9EC" w14:textId="4C741D47" w:rsidR="006578ED" w:rsidRDefault="006578ED">
            <w:pPr>
              <w:spacing w:after="0"/>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37B4FFC" w14:textId="77777777" w:rsidR="006578ED" w:rsidRDefault="006578ED">
            <w:pPr>
              <w:spacing w:after="0"/>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7CB82393" w14:textId="0B364FB4" w:rsidR="006578ED" w:rsidRDefault="00EC188C">
            <w:pPr>
              <w:pStyle w:val="P68B1DB1-Normal13"/>
              <w:spacing w:after="0"/>
              <w:jc w:val="center"/>
              <w:rPr>
                <w:rFonts w:eastAsia="Times New Roman" w:cs="Times New Roman"/>
                <w:noProof/>
              </w:rPr>
            </w:pPr>
            <w:r>
              <w:rPr>
                <w:noProof/>
              </w:rPr>
              <w:t>KW. 3</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3F39C4F9" w14:textId="77777777" w:rsidR="006578ED" w:rsidRDefault="00A1618E">
            <w:pPr>
              <w:pStyle w:val="P68B1DB1-Normal13"/>
              <w:spacing w:after="0"/>
              <w:jc w:val="center"/>
              <w:rPr>
                <w:rFonts w:eastAsia="Times New Roman" w:cs="Times New Roman"/>
                <w:noProof/>
              </w:rPr>
            </w:pPr>
            <w:r>
              <w:rPr>
                <w:noProof/>
              </w:rPr>
              <w:t>2026</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264666FD" w14:textId="276FAF49" w:rsidR="006578ED" w:rsidRDefault="00A1618E">
            <w:pPr>
              <w:pStyle w:val="P68B1DB1-Normal13"/>
              <w:spacing w:after="0"/>
              <w:rPr>
                <w:rFonts w:eastAsia="Times New Roman" w:cs="Times New Roman"/>
                <w:noProof/>
              </w:rPr>
            </w:pPr>
            <w:r>
              <w:rPr>
                <w:noProof/>
              </w:rPr>
              <w:t xml:space="preserve">Zakończenie projektów o łącznym budżecie przyznanym w wysokości co najmniej 531 000 000 EUR. </w:t>
            </w:r>
          </w:p>
        </w:tc>
      </w:tr>
      <w:tr w:rsidR="006578ED" w14:paraId="0F90CD58" w14:textId="77777777">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254EADDD" w14:textId="532ABE6B" w:rsidR="006578ED" w:rsidRDefault="00A1618E">
            <w:pPr>
              <w:pStyle w:val="P68B1DB1-Normal13"/>
              <w:jc w:val="center"/>
              <w:rPr>
                <w:rFonts w:eastAsia="Times New Roman" w:cs="Times New Roman"/>
                <w:noProof/>
              </w:rPr>
            </w:pPr>
            <w:r>
              <w:rPr>
                <w:noProof/>
              </w:rPr>
              <w:t>494</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670CAAE" w14:textId="77777777" w:rsidR="006578ED" w:rsidRDefault="00A1618E">
            <w:pPr>
              <w:pStyle w:val="P68B1DB1-Normal13"/>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401C556B" w14:textId="59BCCBC1" w:rsidR="006578ED" w:rsidRDefault="00AF6B91">
            <w:pPr>
              <w:pStyle w:val="P68B1DB1-Normal13"/>
              <w:jc w:val="center"/>
              <w:rPr>
                <w:rFonts w:eastAsia="Times New Roman" w:cs="Times New Roman"/>
                <w:noProof/>
              </w:rPr>
            </w:pPr>
            <w:r>
              <w:rPr>
                <w:noProof/>
              </w:rPr>
              <w:t>Kamień milowy</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1A05CC68" w14:textId="7522C02D" w:rsidR="006578ED" w:rsidRDefault="00A1618E">
            <w:pPr>
              <w:pStyle w:val="P68B1DB1-Normal13"/>
              <w:rPr>
                <w:rFonts w:eastAsia="Times New Roman" w:cs="Times New Roman"/>
                <w:noProof/>
              </w:rPr>
            </w:pPr>
            <w:r>
              <w:rPr>
                <w:noProof/>
              </w:rPr>
              <w:t>Program dotacji na rzecz dekarbonizacji przemysłu: Przekształcenie ENISA w przedsiębiorstwo publiczne</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6B7F5FC9" w14:textId="30F6BBBD" w:rsidR="006578ED" w:rsidRDefault="00A1618E">
            <w:pPr>
              <w:pStyle w:val="P68B1DB1-Normal13"/>
              <w:jc w:val="center"/>
              <w:rPr>
                <w:rFonts w:eastAsia="Times New Roman" w:cs="Times New Roman"/>
                <w:noProof/>
              </w:rPr>
            </w:pPr>
            <w:r>
              <w:rPr>
                <w:noProof/>
              </w:rPr>
              <w:t>Wejście w życie aktu ustawodawczego</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108A9018" w14:textId="77777777" w:rsidR="006578ED" w:rsidRDefault="006578ED">
            <w:pPr>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2EC695C1" w14:textId="77777777" w:rsidR="006578ED" w:rsidRDefault="006578ED">
            <w:pPr>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136BC6F6" w14:textId="77777777" w:rsidR="006578ED" w:rsidRDefault="006578ED">
            <w:pPr>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28BC8789" w14:textId="31F44662" w:rsidR="006578ED" w:rsidRDefault="00EC188C">
            <w:pPr>
              <w:pStyle w:val="P68B1DB1-Normal13"/>
              <w:jc w:val="center"/>
              <w:rPr>
                <w:rFonts w:eastAsia="Times New Roman" w:cs="Times New Roman"/>
                <w:noProof/>
              </w:rPr>
            </w:pPr>
            <w:r>
              <w:rPr>
                <w:noProof/>
              </w:rPr>
              <w:t>KW. 2</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63A86723" w14:textId="77777777" w:rsidR="006578ED" w:rsidRDefault="00A1618E">
            <w:pPr>
              <w:pStyle w:val="P68B1DB1-Normal13"/>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4E8997C9" w14:textId="2CD1A618" w:rsidR="006578ED" w:rsidRDefault="00A1618E">
            <w:pPr>
              <w:pStyle w:val="P68B1DB1-Normal13"/>
              <w:rPr>
                <w:rFonts w:eastAsia="Times New Roman" w:cs="Times New Roman"/>
                <w:noProof/>
              </w:rPr>
            </w:pPr>
            <w:r>
              <w:rPr>
                <w:noProof/>
              </w:rPr>
              <w:t>Wejście w życie odpowiedniego instrumentu ustawodawczego, który przekształca ENISA w przedsiębiorstwo publiczne w celu wdrożenia programu dotacji</w:t>
            </w:r>
          </w:p>
        </w:tc>
      </w:tr>
      <w:tr w:rsidR="006578ED" w14:paraId="6663D00E" w14:textId="77777777">
        <w:trPr>
          <w:trHeight w:val="309"/>
        </w:trPr>
        <w:tc>
          <w:tcPr>
            <w:tcW w:w="673" w:type="dxa"/>
            <w:tcBorders>
              <w:top w:val="single" w:sz="4" w:space="0" w:color="4F81BD" w:themeColor="accent1"/>
              <w:left w:val="single" w:sz="4" w:space="0" w:color="4F81BD" w:themeColor="accent1"/>
              <w:bottom w:val="single" w:sz="4" w:space="0" w:color="4F81BD" w:themeColor="accent1"/>
              <w:right w:val="single" w:sz="4" w:space="0" w:color="auto"/>
            </w:tcBorders>
            <w:shd w:val="clear" w:color="auto" w:fill="C6EFCE"/>
            <w:noWrap/>
          </w:tcPr>
          <w:p w14:paraId="6E4E79B7" w14:textId="5A9BB16C" w:rsidR="006578ED" w:rsidRDefault="00A1618E">
            <w:pPr>
              <w:jc w:val="center"/>
              <w:rPr>
                <w:rFonts w:ascii="Times New Roman" w:eastAsia="Times New Roman" w:hAnsi="Times New Roman" w:cs="Times New Roman"/>
                <w:noProof/>
                <w:sz w:val="18"/>
              </w:rPr>
            </w:pPr>
            <w:r>
              <w:rPr>
                <w:rStyle w:val="normaltextrun"/>
                <w:rFonts w:ascii="Times New Roman" w:hAnsi="Times New Roman"/>
                <w:noProof/>
                <w:sz w:val="18"/>
              </w:rPr>
              <w:t>497</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3A0565E" w14:textId="21F26057" w:rsidR="006578ED" w:rsidRDefault="00A1618E">
            <w:pPr>
              <w:pStyle w:val="P68B1DB1-Normal13"/>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491E3BC6" w14:textId="78E7341C" w:rsidR="006578ED" w:rsidRDefault="00AF6B91">
            <w:pPr>
              <w:pStyle w:val="P68B1DB1-Normal13"/>
              <w:jc w:val="center"/>
              <w:rPr>
                <w:rFonts w:eastAsia="Times New Roman" w:cs="Times New Roman"/>
                <w:noProof/>
              </w:rPr>
            </w:pPr>
            <w:r>
              <w:rPr>
                <w:noProof/>
              </w:rPr>
              <w:t>Kamień milowy</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27E7FCCA" w14:textId="0181D3D1" w:rsidR="006578ED" w:rsidRDefault="00A1618E">
            <w:pPr>
              <w:pStyle w:val="P68B1DB1-Normal13"/>
              <w:rPr>
                <w:rFonts w:eastAsia="Times New Roman" w:cs="Times New Roman"/>
                <w:noProof/>
              </w:rPr>
            </w:pPr>
            <w:r>
              <w:rPr>
                <w:noProof/>
              </w:rPr>
              <w:t>Program dotacji na rzecz dekarbonizacji przemysłu: Ministerstwo zakończyło inwestycję</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09D98D67" w14:textId="4D6F05D8" w:rsidR="006578ED" w:rsidRDefault="00A1618E">
            <w:pPr>
              <w:pStyle w:val="P68B1DB1-Normal13"/>
              <w:jc w:val="center"/>
              <w:rPr>
                <w:rFonts w:eastAsia="Times New Roman" w:cs="Times New Roman"/>
                <w:noProof/>
              </w:rPr>
            </w:pPr>
            <w:r>
              <w:rPr>
                <w:noProof/>
              </w:rPr>
              <w:t>Zaświadczenie o wypłacie dla ENISA</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7A126ED9" w14:textId="77777777" w:rsidR="006578ED" w:rsidRDefault="006578ED">
            <w:pPr>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30337125" w14:textId="77777777" w:rsidR="006578ED" w:rsidRDefault="006578ED">
            <w:pPr>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40886B16" w14:textId="77777777" w:rsidR="006578ED" w:rsidRDefault="006578ED">
            <w:pPr>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C81123E" w14:textId="53FEE675" w:rsidR="006578ED" w:rsidRDefault="00EC188C">
            <w:pPr>
              <w:pStyle w:val="P68B1DB1-Normal13"/>
              <w:jc w:val="center"/>
              <w:rPr>
                <w:rFonts w:eastAsia="Times New Roman" w:cs="Times New Roman"/>
                <w:noProof/>
              </w:rPr>
            </w:pPr>
            <w:r>
              <w:rPr>
                <w:noProof/>
              </w:rPr>
              <w:t>KW. 2</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0EA5B9E8" w14:textId="548F7251" w:rsidR="006578ED" w:rsidRDefault="00A1618E">
            <w:pPr>
              <w:pStyle w:val="P68B1DB1-Normal13"/>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6D9A38B" w14:textId="62547453" w:rsidR="006578ED" w:rsidRDefault="00A1618E">
            <w:pPr>
              <w:pStyle w:val="P68B1DB1-Normal13"/>
              <w:rPr>
                <w:rFonts w:eastAsia="Times New Roman" w:cs="Times New Roman"/>
                <w:noProof/>
              </w:rPr>
            </w:pPr>
            <w:r>
              <w:rPr>
                <w:noProof/>
              </w:rPr>
              <w:t>Hiszpania przekazuje ENISA 430 000 000 EUR na rzecz programu.</w:t>
            </w:r>
          </w:p>
        </w:tc>
      </w:tr>
      <w:tr w:rsidR="006578ED" w14:paraId="0B256555" w14:textId="77777777">
        <w:trPr>
          <w:trHeight w:val="309"/>
        </w:trPr>
        <w:tc>
          <w:tcPr>
            <w:tcW w:w="673" w:type="dxa"/>
            <w:tcBorders>
              <w:top w:val="single" w:sz="4" w:space="0" w:color="auto"/>
              <w:left w:val="single" w:sz="4" w:space="0" w:color="auto"/>
              <w:bottom w:val="single" w:sz="4" w:space="0" w:color="auto"/>
              <w:right w:val="single" w:sz="4" w:space="0" w:color="auto"/>
            </w:tcBorders>
            <w:shd w:val="clear" w:color="auto" w:fill="C6EFCE"/>
            <w:noWrap/>
          </w:tcPr>
          <w:p w14:paraId="41225BD8" w14:textId="3BEAE0A9" w:rsidR="006578ED" w:rsidRDefault="00A1618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495</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5E2A541E" w14:textId="3607417C" w:rsidR="006578ED" w:rsidRDefault="00A1618E">
            <w:pPr>
              <w:pStyle w:val="P68B1DB1-Normal13"/>
              <w:spacing w:after="0"/>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18E9FD42" w14:textId="69A0C7F6" w:rsidR="006578ED" w:rsidRDefault="00AF6B91">
            <w:pPr>
              <w:pStyle w:val="P68B1DB1-Normal13"/>
              <w:spacing w:after="0"/>
              <w:jc w:val="center"/>
              <w:rPr>
                <w:rFonts w:eastAsia="Times New Roman" w:cs="Times New Roman"/>
                <w:noProof/>
              </w:rPr>
            </w:pPr>
            <w:r>
              <w:rPr>
                <w:noProof/>
              </w:rPr>
              <w:t>Kamień milowy</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63A59834" w14:textId="2F5BB03F" w:rsidR="006578ED" w:rsidRDefault="00A1618E">
            <w:pPr>
              <w:pStyle w:val="P68B1DB1-Normal13"/>
              <w:spacing w:after="0"/>
              <w:rPr>
                <w:rFonts w:eastAsia="Times New Roman" w:cs="Times New Roman"/>
                <w:noProof/>
              </w:rPr>
            </w:pPr>
            <w:r>
              <w:rPr>
                <w:noProof/>
              </w:rPr>
              <w:t>Program dotacji na rzecz dekarbonizacji przemysłu: Ustanowienie systemu</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62CCEAD0" w14:textId="4F97B452" w:rsidR="006578ED" w:rsidRDefault="00A1618E">
            <w:pPr>
              <w:pStyle w:val="P68B1DB1-Normal13"/>
              <w:spacing w:after="0"/>
              <w:jc w:val="center"/>
              <w:rPr>
                <w:rFonts w:eastAsia="Times New Roman" w:cs="Times New Roman"/>
                <w:noProof/>
              </w:rPr>
            </w:pPr>
            <w:r>
              <w:rPr>
                <w:noProof/>
              </w:rPr>
              <w:t>Wejście w życie odpowiedniego(-ych) instrumentu(-ów) prawnego(-ych)</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6A592B4A" w14:textId="63D994BD" w:rsidR="006578ED" w:rsidRDefault="006578ED">
            <w:pPr>
              <w:spacing w:after="0"/>
              <w:jc w:val="center"/>
              <w:rPr>
                <w:rFonts w:ascii="Times New Roman" w:eastAsia="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79DEAE24" w14:textId="2D2BF299" w:rsidR="006578ED" w:rsidRDefault="006578ED">
            <w:pPr>
              <w:spacing w:after="0"/>
              <w:jc w:val="right"/>
              <w:rPr>
                <w:rFonts w:ascii="Times New Roman" w:eastAsia="Times New Roman" w:hAnsi="Times New Roman" w:cs="Times New Roman"/>
                <w:noProof/>
                <w:sz w:val="18"/>
              </w:rPr>
            </w:pP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6ECB895F" w14:textId="0A06AC8E" w:rsidR="006578ED" w:rsidRDefault="006578ED">
            <w:pPr>
              <w:spacing w:after="0"/>
              <w:jc w:val="right"/>
              <w:rPr>
                <w:rFonts w:ascii="Times New Roman" w:eastAsia="Times New Roman" w:hAnsi="Times New Roman" w:cs="Times New Roman"/>
                <w:noProof/>
                <w:sz w:val="18"/>
              </w:rPr>
            </w:pP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1161E9BD" w14:textId="34136EFB" w:rsidR="006578ED" w:rsidRDefault="00EC188C">
            <w:pPr>
              <w:pStyle w:val="P68B1DB1-Normal13"/>
              <w:spacing w:after="0"/>
              <w:jc w:val="center"/>
              <w:rPr>
                <w:rFonts w:eastAsia="Times New Roman" w:cs="Times New Roman"/>
                <w:noProof/>
              </w:rPr>
            </w:pPr>
            <w:r>
              <w:rPr>
                <w:noProof/>
              </w:rPr>
              <w:t>KW. 3</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7450C49C" w14:textId="55D6ECE2" w:rsidR="006578ED" w:rsidRDefault="00A1618E">
            <w:pPr>
              <w:pStyle w:val="P68B1DB1-Normal13"/>
              <w:spacing w:after="0"/>
              <w:jc w:val="center"/>
              <w:rPr>
                <w:rFonts w:eastAsia="Times New Roman" w:cs="Times New Roman"/>
                <w:noProof/>
              </w:rPr>
            </w:pPr>
            <w:r>
              <w:rPr>
                <w:noProof/>
              </w:rPr>
              <w:t>2024</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5993836A" w14:textId="7D8D1545" w:rsidR="006578ED" w:rsidRDefault="00A1618E">
            <w:pPr>
              <w:pStyle w:val="P68B1DB1-Normal13"/>
              <w:spacing w:after="0"/>
              <w:rPr>
                <w:rStyle w:val="normaltextrun"/>
                <w:rFonts w:cs="Times New Roman"/>
                <w:noProof/>
              </w:rPr>
            </w:pPr>
            <w:r>
              <w:rPr>
                <w:noProof/>
              </w:rPr>
              <w:t>Wejście w życie instrumentu(-ów) prawnego(-ych) ustanawiającego(-ych) program subsydiowania zgodnie z wymogami określonymi w opisie środka.</w:t>
            </w:r>
          </w:p>
        </w:tc>
      </w:tr>
      <w:tr w:rsidR="006578ED" w14:paraId="53F0675F" w14:textId="77777777">
        <w:trPr>
          <w:trHeight w:val="309"/>
        </w:trPr>
        <w:tc>
          <w:tcPr>
            <w:tcW w:w="673" w:type="dxa"/>
            <w:tcBorders>
              <w:top w:val="single" w:sz="4" w:space="0" w:color="auto"/>
              <w:left w:val="single" w:sz="4" w:space="0" w:color="auto"/>
              <w:bottom w:val="single" w:sz="4" w:space="0" w:color="auto"/>
              <w:right w:val="single" w:sz="4" w:space="0" w:color="auto"/>
            </w:tcBorders>
            <w:shd w:val="clear" w:color="auto" w:fill="C6EFCE"/>
            <w:noWrap/>
          </w:tcPr>
          <w:p w14:paraId="34AD2FF7" w14:textId="137951C1" w:rsidR="006578ED" w:rsidRDefault="00A1618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496</w:t>
            </w:r>
          </w:p>
        </w:tc>
        <w:tc>
          <w:tcPr>
            <w:tcW w:w="804" w:type="dxa"/>
            <w:tcBorders>
              <w:top w:val="single" w:sz="4" w:space="0" w:color="auto"/>
              <w:left w:val="single" w:sz="4" w:space="0" w:color="auto"/>
              <w:bottom w:val="single" w:sz="4" w:space="0" w:color="auto"/>
              <w:right w:val="single" w:sz="4" w:space="0" w:color="auto"/>
            </w:tcBorders>
            <w:shd w:val="clear" w:color="auto" w:fill="C6EFCE"/>
            <w:noWrap/>
          </w:tcPr>
          <w:p w14:paraId="7315F882" w14:textId="74E9207C" w:rsidR="006578ED" w:rsidRDefault="00A1618E">
            <w:pPr>
              <w:pStyle w:val="P68B1DB1-Normal13"/>
              <w:spacing w:after="0"/>
              <w:jc w:val="center"/>
              <w:rPr>
                <w:rFonts w:eastAsia="Times New Roman" w:cs="Times New Roman"/>
                <w:noProof/>
              </w:rPr>
            </w:pPr>
            <w:r>
              <w:rPr>
                <w:noProof/>
              </w:rPr>
              <w:t>C31.I6</w:t>
            </w:r>
          </w:p>
        </w:tc>
        <w:tc>
          <w:tcPr>
            <w:tcW w:w="900" w:type="dxa"/>
            <w:tcBorders>
              <w:top w:val="single" w:sz="4" w:space="0" w:color="auto"/>
              <w:left w:val="single" w:sz="4" w:space="0" w:color="auto"/>
              <w:bottom w:val="single" w:sz="4" w:space="0" w:color="auto"/>
              <w:right w:val="single" w:sz="4" w:space="0" w:color="auto"/>
            </w:tcBorders>
            <w:shd w:val="clear" w:color="auto" w:fill="C6EFCE"/>
            <w:noWrap/>
          </w:tcPr>
          <w:p w14:paraId="2CEB9501" w14:textId="4980DE97" w:rsidR="006578ED" w:rsidRDefault="00AF6B91">
            <w:pPr>
              <w:pStyle w:val="P68B1DB1-Normal13"/>
              <w:spacing w:after="0"/>
              <w:jc w:val="center"/>
              <w:rPr>
                <w:rFonts w:eastAsia="Times New Roman" w:cs="Times New Roman"/>
                <w:noProof/>
              </w:rPr>
            </w:pPr>
            <w:r>
              <w:rPr>
                <w:noProof/>
              </w:rPr>
              <w:t>Cel</w:t>
            </w:r>
          </w:p>
        </w:tc>
        <w:tc>
          <w:tcPr>
            <w:tcW w:w="2296" w:type="dxa"/>
            <w:tcBorders>
              <w:top w:val="single" w:sz="4" w:space="0" w:color="auto"/>
              <w:left w:val="single" w:sz="4" w:space="0" w:color="auto"/>
              <w:bottom w:val="single" w:sz="4" w:space="0" w:color="auto"/>
              <w:right w:val="single" w:sz="4" w:space="0" w:color="auto"/>
            </w:tcBorders>
            <w:shd w:val="clear" w:color="auto" w:fill="C6EFCE"/>
            <w:noWrap/>
          </w:tcPr>
          <w:p w14:paraId="64C011EA" w14:textId="22478D02" w:rsidR="006578ED" w:rsidRDefault="00A1618E">
            <w:pPr>
              <w:pStyle w:val="P68B1DB1-Normal13"/>
              <w:spacing w:after="0"/>
              <w:rPr>
                <w:rFonts w:eastAsia="Times New Roman" w:cs="Times New Roman"/>
                <w:noProof/>
              </w:rPr>
            </w:pPr>
            <w:r>
              <w:rPr>
                <w:noProof/>
              </w:rPr>
              <w:t>Program dotacji na rzecz dekarbonizacji przemysłu: Umowy prawne podpisane z beneficjentami końcowymi lub opublikowane uchwały o ostatecznym przyznaniu dotacji</w:t>
            </w:r>
          </w:p>
        </w:tc>
        <w:tc>
          <w:tcPr>
            <w:tcW w:w="1215" w:type="dxa"/>
            <w:tcBorders>
              <w:top w:val="single" w:sz="4" w:space="0" w:color="auto"/>
              <w:left w:val="single" w:sz="4" w:space="0" w:color="auto"/>
              <w:bottom w:val="single" w:sz="4" w:space="0" w:color="auto"/>
              <w:right w:val="single" w:sz="4" w:space="0" w:color="auto"/>
            </w:tcBorders>
            <w:shd w:val="clear" w:color="auto" w:fill="C6EFCE"/>
            <w:noWrap/>
          </w:tcPr>
          <w:p w14:paraId="377C33F2" w14:textId="48CFEBDA" w:rsidR="006578ED" w:rsidRDefault="00A1618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Wejście w życie opublikowanych prawnie umów o finansowaniu lub ostatecznych uchwał o przyznaniu finansowania</w:t>
            </w:r>
          </w:p>
        </w:tc>
        <w:tc>
          <w:tcPr>
            <w:tcW w:w="600" w:type="dxa"/>
            <w:tcBorders>
              <w:top w:val="single" w:sz="4" w:space="0" w:color="auto"/>
              <w:left w:val="single" w:sz="4" w:space="0" w:color="auto"/>
              <w:bottom w:val="single" w:sz="4" w:space="0" w:color="auto"/>
              <w:right w:val="single" w:sz="4" w:space="0" w:color="auto"/>
            </w:tcBorders>
            <w:shd w:val="clear" w:color="auto" w:fill="C6EFCE"/>
            <w:noWrap/>
          </w:tcPr>
          <w:p w14:paraId="32E1A102" w14:textId="4FC96852" w:rsidR="006578ED" w:rsidRDefault="006578ED">
            <w:pPr>
              <w:spacing w:after="0"/>
              <w:jc w:val="center"/>
              <w:rPr>
                <w:rStyle w:val="eop"/>
                <w:rFonts w:ascii="Times New Roman" w:hAnsi="Times New Roman" w:cs="Times New Roman"/>
                <w:noProof/>
                <w:sz w:val="18"/>
              </w:rPr>
            </w:pPr>
          </w:p>
        </w:tc>
        <w:tc>
          <w:tcPr>
            <w:tcW w:w="436" w:type="dxa"/>
            <w:tcBorders>
              <w:top w:val="single" w:sz="4" w:space="0" w:color="auto"/>
              <w:left w:val="single" w:sz="4" w:space="0" w:color="auto"/>
              <w:bottom w:val="single" w:sz="4" w:space="0" w:color="auto"/>
              <w:right w:val="single" w:sz="4" w:space="0" w:color="auto"/>
            </w:tcBorders>
            <w:shd w:val="clear" w:color="auto" w:fill="C6EFCE"/>
            <w:noWrap/>
          </w:tcPr>
          <w:p w14:paraId="14EA9841" w14:textId="2F0F4DF5" w:rsidR="006578ED" w:rsidRDefault="00A1618E">
            <w:pPr>
              <w:pStyle w:val="P68B1DB1-Normal13"/>
              <w:spacing w:after="0"/>
              <w:jc w:val="right"/>
              <w:rPr>
                <w:rStyle w:val="eop"/>
                <w:rFonts w:cs="Times New Roman"/>
                <w:noProof/>
              </w:rPr>
            </w:pPr>
            <w:r>
              <w:rPr>
                <w:noProof/>
              </w:rPr>
              <w:t>0</w:t>
            </w:r>
          </w:p>
        </w:tc>
        <w:tc>
          <w:tcPr>
            <w:tcW w:w="556" w:type="dxa"/>
            <w:tcBorders>
              <w:top w:val="single" w:sz="4" w:space="0" w:color="auto"/>
              <w:left w:val="single" w:sz="4" w:space="0" w:color="auto"/>
              <w:bottom w:val="single" w:sz="4" w:space="0" w:color="auto"/>
              <w:right w:val="single" w:sz="4" w:space="0" w:color="auto"/>
            </w:tcBorders>
            <w:shd w:val="clear" w:color="auto" w:fill="C6EFCE"/>
            <w:noWrap/>
          </w:tcPr>
          <w:p w14:paraId="06DFB6E1" w14:textId="1B577234" w:rsidR="006578ED" w:rsidRDefault="00A1618E">
            <w:pPr>
              <w:pStyle w:val="P68B1DB1-Normal13"/>
              <w:spacing w:after="0"/>
              <w:jc w:val="right"/>
              <w:rPr>
                <w:rStyle w:val="eop"/>
                <w:rFonts w:cs="Times New Roman"/>
                <w:noProof/>
              </w:rPr>
            </w:pPr>
            <w:r>
              <w:rPr>
                <w:noProof/>
              </w:rPr>
              <w:t>100 %</w:t>
            </w:r>
          </w:p>
        </w:tc>
        <w:tc>
          <w:tcPr>
            <w:tcW w:w="426" w:type="dxa"/>
            <w:tcBorders>
              <w:top w:val="single" w:sz="4" w:space="0" w:color="auto"/>
              <w:left w:val="single" w:sz="4" w:space="0" w:color="auto"/>
              <w:bottom w:val="single" w:sz="4" w:space="0" w:color="auto"/>
              <w:right w:val="single" w:sz="4" w:space="0" w:color="auto"/>
            </w:tcBorders>
            <w:shd w:val="clear" w:color="auto" w:fill="C6EFCE"/>
            <w:noWrap/>
          </w:tcPr>
          <w:p w14:paraId="4F77913B" w14:textId="479B4FD1" w:rsidR="006578ED" w:rsidRDefault="00EC188C">
            <w:pPr>
              <w:pStyle w:val="P68B1DB1-Normal13"/>
              <w:spacing w:after="0"/>
              <w:jc w:val="center"/>
              <w:rPr>
                <w:rFonts w:eastAsia="Times New Roman" w:cs="Times New Roman"/>
                <w:noProof/>
              </w:rPr>
            </w:pPr>
            <w:r>
              <w:rPr>
                <w:noProof/>
              </w:rPr>
              <w:t>KW. 3</w:t>
            </w:r>
          </w:p>
        </w:tc>
        <w:tc>
          <w:tcPr>
            <w:tcW w:w="502" w:type="dxa"/>
            <w:tcBorders>
              <w:top w:val="single" w:sz="4" w:space="0" w:color="auto"/>
              <w:left w:val="single" w:sz="4" w:space="0" w:color="auto"/>
              <w:bottom w:val="single" w:sz="4" w:space="0" w:color="auto"/>
              <w:right w:val="single" w:sz="4" w:space="0" w:color="auto"/>
            </w:tcBorders>
            <w:shd w:val="clear" w:color="auto" w:fill="C6EFCE"/>
            <w:noWrap/>
          </w:tcPr>
          <w:p w14:paraId="390B66D1" w14:textId="66A564EB" w:rsidR="006578ED" w:rsidRDefault="00A1618E">
            <w:pPr>
              <w:pStyle w:val="P68B1DB1-Normal13"/>
              <w:spacing w:after="0"/>
              <w:jc w:val="center"/>
              <w:rPr>
                <w:rFonts w:eastAsia="Times New Roman" w:cs="Times New Roman"/>
                <w:noProof/>
              </w:rPr>
            </w:pPr>
            <w:r>
              <w:rPr>
                <w:noProof/>
              </w:rPr>
              <w:t>2026</w:t>
            </w:r>
          </w:p>
        </w:tc>
        <w:tc>
          <w:tcPr>
            <w:tcW w:w="6900" w:type="dxa"/>
            <w:gridSpan w:val="2"/>
            <w:tcBorders>
              <w:top w:val="single" w:sz="4" w:space="0" w:color="auto"/>
              <w:left w:val="single" w:sz="4" w:space="0" w:color="auto"/>
              <w:bottom w:val="single" w:sz="4" w:space="0" w:color="auto"/>
              <w:right w:val="single" w:sz="4" w:space="0" w:color="auto"/>
            </w:tcBorders>
            <w:shd w:val="clear" w:color="auto" w:fill="C6EFCE"/>
            <w:noWrap/>
          </w:tcPr>
          <w:p w14:paraId="0574265D" w14:textId="4046AE39" w:rsidR="006578ED" w:rsidRDefault="00A1618E">
            <w:pPr>
              <w:pStyle w:val="P68B1DB1-Normal13"/>
              <w:spacing w:after="0"/>
              <w:rPr>
                <w:rFonts w:eastAsia="Times New Roman" w:cs="Times New Roman"/>
                <w:noProof/>
              </w:rPr>
            </w:pPr>
            <w:r>
              <w:rPr>
                <w:noProof/>
              </w:rPr>
              <w:t xml:space="preserve">ENISA publikuje rezolucje w sprawie ostatecznego przyznania finansowania lub zawiera z beneficjentami końcowymi umowy o finansowaniu na kwotę niezbędną do wykorzystania w systemie 100 % inwestycji w ramach RRF (w tym kosztów pośrednich). ENISA zapewnia, aby co najmniej 40 % tego finansowania przyczyniało się do realizacji celów klimatycznych przy użyciu metodyki określonej w załączniku VI do rozporządzenia w sprawie RRF. </w:t>
            </w:r>
          </w:p>
        </w:tc>
      </w:tr>
    </w:tbl>
    <w:p w14:paraId="0C2BD2FC" w14:textId="77777777" w:rsidR="006578ED" w:rsidRDefault="006578ED">
      <w:pPr>
        <w:rPr>
          <w:rFonts w:ascii="Times New Roman" w:hAnsi="Times New Roman" w:cs="Times New Roman"/>
          <w:noProof/>
          <w:highlight w:val="yellow"/>
        </w:rPr>
        <w:sectPr w:rsidR="006578ED" w:rsidSect="00C94F66">
          <w:headerReference w:type="even" r:id="rId573"/>
          <w:headerReference w:type="default" r:id="rId574"/>
          <w:footerReference w:type="even" r:id="rId575"/>
          <w:footerReference w:type="default" r:id="rId576"/>
          <w:headerReference w:type="first" r:id="rId577"/>
          <w:footerReference w:type="first" r:id="rId578"/>
          <w:pgSz w:w="16839" w:h="11907" w:orient="landscape"/>
          <w:pgMar w:top="1417" w:right="1134" w:bottom="1417" w:left="1134" w:header="709" w:footer="709" w:gutter="0"/>
          <w:cols w:space="720"/>
          <w:docGrid w:linePitch="360"/>
        </w:sectPr>
      </w:pPr>
    </w:p>
    <w:p w14:paraId="1B2ECE51" w14:textId="6649AAF8" w:rsidR="006578ED" w:rsidRDefault="00A1618E">
      <w:pPr>
        <w:pStyle w:val="P68B1DB1-Normal42"/>
        <w:ind w:firstLine="720"/>
        <w:rPr>
          <w:b/>
          <w:noProof/>
        </w:rPr>
      </w:pPr>
      <w:r>
        <w:rPr>
          <w:rFonts w:ascii="Times New Roman" w:hAnsi="Times New Roman"/>
          <w:b/>
          <w:noProof/>
          <w:sz w:val="24"/>
        </w:rPr>
        <w:t>AE.3</w:t>
      </w:r>
      <w:r>
        <w:rPr>
          <w:noProof/>
        </w:rPr>
        <w:tab/>
      </w:r>
      <w:r>
        <w:rPr>
          <w:rFonts w:ascii="Times New Roman" w:hAnsi="Times New Roman"/>
          <w:b/>
          <w:noProof/>
          <w:sz w:val="24"/>
        </w:rPr>
        <w:t>Opis reform i inwestycji na potrzeby wsparcia w formie pożyczki</w:t>
      </w:r>
    </w:p>
    <w:p w14:paraId="12871D72" w14:textId="77777777" w:rsidR="006578ED" w:rsidRDefault="00A1618E">
      <w:pPr>
        <w:pStyle w:val="P68B1DB1-Text120"/>
        <w:ind w:left="0"/>
        <w:rPr>
          <w:rFonts w:eastAsia="Times New Roman" w:cs="Times New Roman"/>
          <w:noProof/>
        </w:rPr>
      </w:pPr>
      <w:r>
        <w:rPr>
          <w:noProof/>
        </w:rPr>
        <w:t>Inwestycje 7 (C31.I7) – Inwestycje wspierające dekarbonizację przemysłu (pożyczki)</w:t>
      </w:r>
    </w:p>
    <w:p w14:paraId="5351656B" w14:textId="1D753D46" w:rsidR="006578ED" w:rsidRDefault="00A1618E">
      <w:pPr>
        <w:pStyle w:val="P68B1DB1-Normal4"/>
        <w:spacing w:before="120" w:after="120" w:line="240" w:lineRule="auto"/>
        <w:jc w:val="both"/>
        <w:rPr>
          <w:rFonts w:cs="Times New Roman"/>
          <w:noProof/>
        </w:rPr>
      </w:pPr>
      <w:r>
        <w:rPr>
          <w:noProof/>
        </w:rPr>
        <w:t xml:space="preserve">Celem środka, który jest częścią strategicznego projektu na rzecz dekarbonizacji przemysłu, jest udzielenie wsparcia w formie pożyczek na projekty mające na celu dekarbonizację przemysłu wytwórczego. Ten środek inwestycyjny składa się z co najmniej jednego z trzech różnych kierunków działania wymienionych poniżej: </w:t>
      </w:r>
    </w:p>
    <w:p w14:paraId="2900FDC7" w14:textId="530C2CEB" w:rsidR="006578ED" w:rsidRDefault="00A1618E">
      <w:pPr>
        <w:pStyle w:val="P68B1DB1-ListParagraph7"/>
        <w:numPr>
          <w:ilvl w:val="0"/>
          <w:numId w:val="635"/>
        </w:numPr>
        <w:spacing w:before="120" w:after="120" w:line="240" w:lineRule="auto"/>
        <w:jc w:val="both"/>
        <w:rPr>
          <w:rFonts w:cs="Times New Roman"/>
          <w:noProof/>
        </w:rPr>
      </w:pPr>
      <w:r>
        <w:rPr>
          <w:noProof/>
        </w:rPr>
        <w:t>wsparcie w formie pożyczek dla projektów wdrażających dekarbonizację przemysłu wytwórczego, na przykład projektów ograniczających emisje gazów cieplarnianych;</w:t>
      </w:r>
    </w:p>
    <w:p w14:paraId="3F0388F1" w14:textId="54E9E262" w:rsidR="006578ED" w:rsidRDefault="00A1618E">
      <w:pPr>
        <w:pStyle w:val="P68B1DB1-ListParagraph24"/>
        <w:numPr>
          <w:ilvl w:val="0"/>
          <w:numId w:val="635"/>
        </w:numPr>
        <w:spacing w:before="120" w:after="120" w:line="240" w:lineRule="auto"/>
        <w:jc w:val="both"/>
        <w:rPr>
          <w:rFonts w:cs="Times New Roman"/>
          <w:noProof/>
          <w:sz w:val="24"/>
        </w:rPr>
      </w:pPr>
      <w:r>
        <w:rPr>
          <w:noProof/>
          <w:sz w:val="24"/>
        </w:rPr>
        <w:t>zakończenie projektu pilotażowego mającego na celu zachęcenie przedsiębiorstw do podejmowania inwestycji wiążących się z wysokimi powiązanymi kosztami w duże projekty inwestycyjne w zakresie dekarbonizacji przemysłu i znaczną redukcję emisji gazów cieplarnianych</w:t>
      </w:r>
      <w:r>
        <w:rPr>
          <w:noProof/>
        </w:rPr>
        <w:t xml:space="preserve"> </w:t>
      </w:r>
      <w:r>
        <w:rPr>
          <w:noProof/>
          <w:sz w:val="24"/>
        </w:rPr>
        <w:t>poprzez uiszczenie stałej opłaty za emisję gazów cieplarnianych w danym okresie (kontrakt na transakcje różnicowe dotyczące emisji dwutlenku węgla); oraz</w:t>
      </w:r>
    </w:p>
    <w:p w14:paraId="064740CB" w14:textId="14E34598" w:rsidR="006578ED" w:rsidRDefault="00A1618E">
      <w:pPr>
        <w:pStyle w:val="P68B1DB1-ListParagraph7"/>
        <w:numPr>
          <w:ilvl w:val="0"/>
          <w:numId w:val="635"/>
        </w:numPr>
        <w:spacing w:before="120" w:line="240" w:lineRule="auto"/>
        <w:jc w:val="both"/>
        <w:rPr>
          <w:rFonts w:cs="Times New Roman"/>
          <w:noProof/>
        </w:rPr>
      </w:pPr>
      <w:r>
        <w:rPr>
          <w:noProof/>
        </w:rPr>
        <w:t>wsparcie w formie pożyczek na rozwój nowych wysoce wydajnych i zdekarbonizowanych zakładów produkcyjnych.</w:t>
      </w:r>
    </w:p>
    <w:p w14:paraId="7DA59DDC" w14:textId="615DB985" w:rsidR="006578ED" w:rsidRDefault="00A1618E">
      <w:pPr>
        <w:pStyle w:val="Text1"/>
        <w:spacing w:after="160"/>
        <w:ind w:left="0"/>
        <w:rPr>
          <w:rFonts w:ascii="Times New Roman" w:hAnsi="Times New Roman" w:cs="Times New Roman"/>
          <w:noProof/>
        </w:rPr>
      </w:pPr>
      <w:r>
        <w:rPr>
          <w:rFonts w:ascii="Times New Roman" w:hAnsi="Times New Roman"/>
          <w:noProof/>
        </w:rPr>
        <w:t>Decyzja Rady Ministrów zatwierdzająca PERTE w zakresie dekarbonizacji przemysłu zawiera szczegółowe kryteria wyboru w celu zapewnienia zgodności z wytycznymi technicznymi dotyczącymi zasady „nie czyń poważnych szkód” (2021/C58/01). Aby zapewnić zgodność środka z wytycznymi technicznymi zasady „nie czyń poważnych szkód” (2021/C58/01), kryteria kwalifikowalności zawarte w zakresie wymagań i obowiązków w odniesieniu do przyszłych zaproszeń do składania projektów wykluczają następujący wykaz działań: działania w ramach unijnego systemu handlu uprawnieniami do emisji (ETS) prowadzące do przewidywanych emisji</w:t>
      </w:r>
      <w:r>
        <w:rPr>
          <w:rFonts w:ascii="Times New Roman" w:hAnsi="Times New Roman"/>
          <w:noProof/>
          <w:vertAlign w:val="subscript"/>
        </w:rPr>
        <w:t>ekwiwalentu CO2</w:t>
      </w:r>
      <w:r>
        <w:rPr>
          <w:rFonts w:ascii="Times New Roman" w:hAnsi="Times New Roman"/>
          <w:noProof/>
        </w:rPr>
        <w:t>, które nie są znacznie niższe od odpowiednich poziomów odniesienia dla przydziału bezpłatnych uprawnień</w:t>
      </w:r>
      <w:r>
        <w:rPr>
          <w:rStyle w:val="FootnoteReference"/>
          <w:rFonts w:ascii="Times New Roman" w:hAnsi="Times New Roman" w:cs="Times New Roman"/>
          <w:noProof/>
        </w:rPr>
        <w:footnoteReference w:id="236"/>
      </w:r>
      <w:r>
        <w:rPr>
          <w:rFonts w:ascii="Times New Roman" w:hAnsi="Times New Roman"/>
          <w:noProof/>
        </w:rPr>
        <w:t>; oraz (ii) działalności związanej z paliwami kopalnymi, w tym wykorzystania niższego szczebla, poza systemem handlu uprawnieniami do emisji (ETS)</w:t>
      </w:r>
      <w:r>
        <w:rPr>
          <w:rStyle w:val="FootnoteReference"/>
          <w:rFonts w:ascii="Times New Roman" w:hAnsi="Times New Roman" w:cs="Times New Roman"/>
          <w:noProof/>
        </w:rPr>
        <w:footnoteReference w:id="237"/>
      </w:r>
      <w:r>
        <w:rPr>
          <w:rFonts w:ascii="Times New Roman" w:hAnsi="Times New Roman"/>
          <w:noProof/>
        </w:rPr>
        <w:t xml:space="preserve">. Zakres uprawnień wymaga ponadto, aby można było wybierać wyłącznie działania zgodne z odpowiednimi przepisami unijnymi i krajowymi w zakresie ochrony środowiska. </w:t>
      </w:r>
    </w:p>
    <w:p w14:paraId="55A5FFD9" w14:textId="11BF38E5" w:rsidR="006578ED" w:rsidRDefault="00A1618E">
      <w:pPr>
        <w:pStyle w:val="P68B1DB1-Text119"/>
        <w:ind w:left="0"/>
        <w:rPr>
          <w:rFonts w:cs="Times New Roman"/>
          <w:noProof/>
        </w:rPr>
      </w:pPr>
      <w:r>
        <w:rPr>
          <w:noProof/>
        </w:rPr>
        <w:t xml:space="preserve">Następujące działania w zakresie badań, rozwoju i innowacji w ramach tej inwestycji uznaje się za zgodne z wytycznymi technicznymi dotyczącymi zasady „nie czyń poważnych szkód” (2021/C58/01): Działania w zakresie badań, rozwoju i innowacji w ramach tej inwestycji ukierunkowane na znaczne zwiększenie zrównoważenia środowiskowego przedsiębiorstw (takie jak dekarbonizacja, redukcja zanieczyszczeń i gospodarka o obiegu zamkniętym), jeżeli działania w zakresie badań, rozwoju i innowacji w ramach tej inwestycji koncentrują się przede wszystkim na opracowaniu lub dostosowaniu alternatywnych rozwiązań o możliwie najmniejszym wpływie na środowisko w tym sektorze. </w:t>
      </w:r>
    </w:p>
    <w:p w14:paraId="5C551CA5" w14:textId="5DAD5CD3" w:rsidR="006578ED" w:rsidRDefault="00A1618E">
      <w:pPr>
        <w:pStyle w:val="Text1"/>
        <w:ind w:left="0"/>
        <w:rPr>
          <w:rFonts w:ascii="Times New Roman" w:hAnsi="Times New Roman" w:cs="Times New Roman"/>
          <w:noProof/>
        </w:rPr>
      </w:pPr>
      <w:r>
        <w:rPr>
          <w:rFonts w:ascii="Times New Roman" w:hAnsi="Times New Roman"/>
          <w:noProof/>
        </w:rPr>
        <w:t>Kryteria wyboru zapewniają, aby co najmniej 260 000 000 EUR, co stanowi 40 % szacunkowych kosztów działania, przyczyniało się do realizacji celów związanych ze zmianą klimatu, zgodnie z załącznikiem VI do rozporządzenia w sprawie RRF.</w:t>
      </w:r>
      <w:r>
        <w:rPr>
          <w:rStyle w:val="FootnoteReference"/>
          <w:rFonts w:ascii="Times New Roman" w:hAnsi="Times New Roman" w:cs="Times New Roman"/>
          <w:noProof/>
        </w:rPr>
        <w:footnoteReference w:id="238"/>
      </w:r>
    </w:p>
    <w:p w14:paraId="4838C699" w14:textId="28F9C632" w:rsidR="006578ED" w:rsidRPr="00A1618E" w:rsidRDefault="00A1618E">
      <w:pPr>
        <w:pStyle w:val="P68B1DB1-Normal4"/>
        <w:rPr>
          <w:rFonts w:cs="Times New Roman"/>
          <w:noProof/>
          <w:lang w:val="pl-PL"/>
        </w:rPr>
      </w:pPr>
      <w:r>
        <w:rPr>
          <w:noProof/>
        </w:rPr>
        <w:t>Wszelkie środki powracające związane z operacjami finansowymi są ponownie inwestowane w nowe operacje w tym samym obszarze polityki, w którym objęty jest dany środek, chyba że są one wykorzystywane do obsługi spłat pożyczek w ramach pożyczki w ramach Instrumentu na rzecz Odbudowy i Zwiększania Odporności</w:t>
      </w:r>
      <w:r w:rsidRPr="00A1618E">
        <w:rPr>
          <w:noProof/>
          <w:lang w:val="pl-PL"/>
        </w:rPr>
        <w:t xml:space="preserve">. </w:t>
      </w:r>
    </w:p>
    <w:p w14:paraId="28CAC13E" w14:textId="44F7D3A8" w:rsidR="006578ED" w:rsidRDefault="00A1618E">
      <w:pPr>
        <w:pStyle w:val="P68B1DB1-Normal4"/>
        <w:rPr>
          <w:rFonts w:cs="Times New Roman"/>
          <w:noProof/>
        </w:rPr>
      </w:pPr>
      <w:r>
        <w:rPr>
          <w:noProof/>
        </w:rPr>
        <w:t>Realizacja inwestycji zostanie zakończona do dnia 31 sierpnia 20</w:t>
      </w:r>
      <w:r w:rsidRPr="00A1618E">
        <w:rPr>
          <w:noProof/>
          <w:lang w:val="pl-PL"/>
        </w:rPr>
        <w:t>26 r.</w:t>
      </w:r>
      <w:r>
        <w:rPr>
          <w:noProof/>
        </w:rPr>
        <w:t xml:space="preserve"> </w:t>
      </w:r>
    </w:p>
    <w:p w14:paraId="3315BCF6" w14:textId="7DB44A5B" w:rsidR="006578ED" w:rsidRDefault="00A1618E">
      <w:pPr>
        <w:pStyle w:val="P68B1DB1-Normal6"/>
        <w:rPr>
          <w:rFonts w:cs="Times New Roman"/>
          <w:noProof/>
        </w:rPr>
      </w:pPr>
      <w:r>
        <w:rPr>
          <w:noProof/>
        </w:rPr>
        <w:t>Inwestycje 8 (C31.I8) – System wsparcia projektów dekarbonizacji (pożyczki)</w:t>
      </w:r>
    </w:p>
    <w:p w14:paraId="65D0A169" w14:textId="6DB55A9A" w:rsidR="006578ED" w:rsidRDefault="00A1618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Środek ten polega na inwestycji w system wsparcia zachęcający do prywatnych inwestycji w dekarbonizację przemysłu poprzez pożyczki. </w:t>
      </w:r>
    </w:p>
    <w:p w14:paraId="7B5EE69F" w14:textId="61EF5A70" w:rsidR="006578ED" w:rsidRDefault="00A1618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Program wspiera dekarbonizację procesów przemysłowych oraz rozwój nowych wysoce wydajnych i zdekarbonizowanych zakładów produkcyjnych poprzez udzielanie pożyczek sektorowi prywatnemu w kontekście strategicznego projektu na rzecz dekarbonizacji przemysłu zatwierdzonego przez Radę Ministrów. Na podstawie inwestycji w ramach RRF system wsparcia ma początkowo na celu zapewnienie finansowania w formie pożyczek w wysokości co najmniej 1 050 000 000 EUR.</w:t>
      </w:r>
    </w:p>
    <w:p w14:paraId="02C26E08" w14:textId="5E601F58" w:rsidR="006578ED" w:rsidRDefault="00A1618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Systemem zarządza ENISA jako partner wykonawczy. W celu realizacji tej inwestycji ENISA w odpowiedni akt prawny przekształca ENISA w przedsiębiorstwo publiczne (jest to kamień milowy w ramach inwestycji 6 w ramach komponentu 31 planu odbudowy i zwiększania odporności Hiszpanii).</w:t>
      </w:r>
    </w:p>
    <w:p w14:paraId="7803E91E" w14:textId="6F9EA26F" w:rsidR="006578ED" w:rsidRPr="00A1618E" w:rsidRDefault="00A1618E">
      <w:pPr>
        <w:spacing w:before="120" w:after="120" w:line="240" w:lineRule="auto"/>
        <w:jc w:val="both"/>
        <w:rPr>
          <w:rStyle w:val="normaltextrun"/>
          <w:rFonts w:ascii="Times New Roman" w:eastAsia="Times New Roman" w:hAnsi="Times New Roman" w:cs="Times New Roman"/>
          <w:noProof/>
          <w:sz w:val="24"/>
          <w:lang w:val="pl-PL"/>
        </w:rPr>
      </w:pPr>
      <w:r>
        <w:rPr>
          <w:rStyle w:val="normaltextrun"/>
          <w:rFonts w:ascii="Times New Roman" w:hAnsi="Times New Roman"/>
          <w:noProof/>
          <w:sz w:val="24"/>
        </w:rPr>
        <w:t>W celu realizacji inwestycji w program rząd przyjmuje jeden lub kilka instrumentów prawnych ustanawiających program pożyczkowy, który obejmuje następujące elementy</w:t>
      </w:r>
      <w:r w:rsidRPr="00A1618E">
        <w:rPr>
          <w:rStyle w:val="normaltextrun"/>
          <w:rFonts w:ascii="Times New Roman" w:hAnsi="Times New Roman"/>
          <w:noProof/>
          <w:sz w:val="24"/>
          <w:lang w:val="pl-PL"/>
        </w:rPr>
        <w:t xml:space="preserve">: </w:t>
      </w:r>
    </w:p>
    <w:p w14:paraId="4913174A" w14:textId="3A6A18D9" w:rsidR="006578ED" w:rsidRDefault="00A1618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Opis procesu decyzyjnego w odniesieniu do systemu:</w:t>
      </w:r>
      <w:r>
        <w:rPr>
          <w:rFonts w:ascii="Times New Roman" w:hAnsi="Times New Roman"/>
          <w:noProof/>
        </w:rPr>
        <w:t xml:space="preserve"> </w:t>
      </w:r>
      <w:r>
        <w:rPr>
          <w:rFonts w:ascii="Times New Roman" w:hAnsi="Times New Roman"/>
          <w:noProof/>
          <w:sz w:val="24"/>
        </w:rPr>
        <w:t>Ocena wniosków i wybór beneficjentów, którzy mają zostać uwzględnieni w ostatecznych decyzjach o przyznaniu dotacji lub decyzjach inwestycyjnych w ramach programu, są podejmowane przez komitet inwestycyjny lub inny odpowiedni równoważny organ zarządzający i zatwierdzane większością głosów członków niezależnych od rządu hiszpańskiego, co oznacza, że muszą oni być pracownikami zatrudnionymi przez ENISA lub innymi niezależnymi ekspertami. Ostateczna decyzja inwestycyjna programu ogranicza się do zatwierdzenia (bez zmian) lub korzystania z prawa weta w odniesieniu do decyzji inwestycyjnej zaproponowanej przez komitet inwestycyjny lub odpowiedni równoważny organ zarządzający.</w:t>
      </w:r>
    </w:p>
    <w:p w14:paraId="7C71584E" w14:textId="2D236F41" w:rsidR="006578ED" w:rsidRDefault="00A1618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Wykaz działań na rzecz ekologicznej i cyfrowej transformacji sektora kwalifikujących się do wsparcia, który wynosi co najmniej 1 050 000 000 EUR. Środek ten wspiera innowacyjne projekty wiążące się ze znaczną transformacją przemysłową pod względem efektywności energetycznej, zrównoważonego rozwoju i transformacji cyfrowej sektora.</w:t>
      </w:r>
    </w:p>
    <w:p w14:paraId="29ED13E9" w14:textId="6AB527E0" w:rsidR="006578ED" w:rsidRDefault="00A1618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Wymogi dotyczące zgodności z zasadą „nie czyń poważnych szkód” (DNSH) w ramach Instrumentu na rzecz Odbudowy i Zwiększania Odporności, jak określono w wytycznych technicznych dotyczących zasady „nie czyń poważnych szkód” (2021/C58/01). W szczególności instrument(-y) prawny(-e) wyklucza(-ją) następujący wykaz działań: działania w ramach unijnego systemu handlu uprawnieniami do emisji (ETS) prowadzące do przewidywanych emisji</w:t>
      </w:r>
      <w:r>
        <w:rPr>
          <w:rFonts w:ascii="Times New Roman" w:hAnsi="Times New Roman"/>
          <w:noProof/>
          <w:sz w:val="24"/>
          <w:vertAlign w:val="subscript"/>
        </w:rPr>
        <w:t>ekwiwalentu CO2</w:t>
      </w:r>
      <w:r>
        <w:rPr>
          <w:rFonts w:ascii="Times New Roman" w:hAnsi="Times New Roman"/>
          <w:noProof/>
          <w:sz w:val="24"/>
        </w:rPr>
        <w:t>, które nie są znacznie niższe od odpowiednich poziomów odniesienia dla przydziału bezpłatnych uprawnień</w:t>
      </w:r>
      <w:r>
        <w:rPr>
          <w:rStyle w:val="FootnoteReference"/>
          <w:rFonts w:ascii="Times New Roman" w:hAnsi="Times New Roman" w:cs="Times New Roman"/>
          <w:noProof/>
          <w:sz w:val="24"/>
        </w:rPr>
        <w:footnoteReference w:id="239"/>
      </w:r>
      <w:r>
        <w:rPr>
          <w:rFonts w:ascii="Times New Roman" w:hAnsi="Times New Roman"/>
          <w:noProof/>
          <w:sz w:val="24"/>
        </w:rPr>
        <w:t>; oraz (ii) działalności związanej z paliwami kopalnymi, w tym wykorzystania niższego szczebla, poza systemem handlu uprawnieniami do emisji (ETS)</w:t>
      </w:r>
      <w:r>
        <w:rPr>
          <w:rStyle w:val="FootnoteReference"/>
          <w:rFonts w:ascii="Times New Roman" w:hAnsi="Times New Roman" w:cs="Times New Roman"/>
          <w:noProof/>
          <w:sz w:val="24"/>
        </w:rPr>
        <w:footnoteReference w:id="240"/>
      </w:r>
      <w:r>
        <w:rPr>
          <w:rStyle w:val="normaltextrun"/>
          <w:rFonts w:ascii="Times New Roman" w:hAnsi="Times New Roman"/>
          <w:noProof/>
          <w:sz w:val="24"/>
        </w:rPr>
        <w:t>. Ponadto instrument(-y) prawny(-e) wymaga(-ją) zgodności z odpowiednimi unijnymi i krajowymi przepisami w zakresie ochrony środowiska beneficjentów końcowych programów pożyczkowych. Następujące działania w zakresie badań, rozwoju i innowacji w ramach tej inwestycji uznaje się za zgodne z wytycznymi technicznymi dotyczącymi zasady „nie czyń poważnych szkód” (2021/C58/01): Działania w zakresie badań, rozwoju i innowacji w ramach tej inwestycji ukierunkowane na znaczne zwiększenie zrównoważenia środowiskowego przedsiębiorstw (takie jak dekarbonizacja, redukcja zanieczyszczeń i gospodarka o obiegu zamkniętym), jeżeli działania w zakresie badań, rozwoju i innowacji w ramach tej inwestycji koncentrują się przede wszystkim na opracowaniu lub dostosowaniu alternatywnych rozwiązań o możliwie najmniejszym wpływie na środowisko w tym sektorze. Ponadto instrument(-y) prawny(-e) wymaga(-ją) zgodności z odpowiednimi unijnymi i krajowymi przepisami w zakresie ochrony środowiska beneficjentów końcowych programów pożyczkowych.</w:t>
      </w:r>
    </w:p>
    <w:p w14:paraId="0721A006" w14:textId="63EB6095" w:rsidR="006578ED" w:rsidRDefault="00A1618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Wymogi dotyczące inwestycji w dziedzinie klimatu: co najmniej 420 000 000 EUR z inwestycji RRF w program przyczynia się do realizacji celów związanych ze zmianą klimatu zgodnie z załącznikiem VI do rozporządzenia w sprawie RRF.</w:t>
      </w:r>
      <w:r>
        <w:rPr>
          <w:rStyle w:val="FootnoteReference"/>
          <w:rFonts w:ascii="Times New Roman" w:hAnsi="Times New Roman" w:cs="Times New Roman"/>
          <w:noProof/>
          <w:sz w:val="24"/>
        </w:rPr>
        <w:footnoteReference w:id="241"/>
      </w:r>
    </w:p>
    <w:p w14:paraId="3004B982" w14:textId="23BC7186" w:rsidR="006578ED" w:rsidRDefault="00A1618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Wymóg, aby beneficjenci końcowi systemu pożyczkowego nie otrzymywali wsparcia z innych instrumentów unijnych w celu pokrycia tych samych kosztów.</w:t>
      </w:r>
    </w:p>
    <w:p w14:paraId="404D73F6" w14:textId="58101891" w:rsidR="006578ED" w:rsidRDefault="00A1618E">
      <w:pPr>
        <w:pStyle w:val="ListParagraph"/>
        <w:numPr>
          <w:ilvl w:val="0"/>
          <w:numId w:val="772"/>
        </w:num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 xml:space="preserve">Kwoty objętej programem oraz wymogu reinwestowania wszelkich niewykorzystanych wpływów z programu pożyczkowego w działania wymienione powyżej, w tym </w:t>
      </w:r>
      <w:r w:rsidRPr="00A1618E">
        <w:rPr>
          <w:rStyle w:val="normaltextrun"/>
          <w:rFonts w:ascii="Times New Roman" w:hAnsi="Times New Roman"/>
          <w:noProof/>
          <w:sz w:val="24"/>
          <w:lang w:val="pl-PL"/>
        </w:rPr>
        <w:t>po 2</w:t>
      </w:r>
      <w:r>
        <w:rPr>
          <w:rStyle w:val="normaltextrun"/>
          <w:rFonts w:ascii="Times New Roman" w:hAnsi="Times New Roman"/>
          <w:noProof/>
          <w:sz w:val="24"/>
        </w:rPr>
        <w:t>0</w:t>
      </w:r>
      <w:r w:rsidRPr="00A1618E">
        <w:rPr>
          <w:rStyle w:val="normaltextrun"/>
          <w:rFonts w:ascii="Times New Roman" w:hAnsi="Times New Roman"/>
          <w:noProof/>
          <w:sz w:val="24"/>
          <w:lang w:val="pl-PL"/>
        </w:rPr>
        <w:t>26 r.</w:t>
      </w:r>
    </w:p>
    <w:p w14:paraId="6DCCFD46" w14:textId="7BFA783A" w:rsidR="006578ED" w:rsidRDefault="00A1618E">
      <w:pPr>
        <w:spacing w:before="120" w:after="120" w:line="240" w:lineRule="auto"/>
        <w:jc w:val="both"/>
        <w:rPr>
          <w:rStyle w:val="normaltextrun"/>
          <w:rFonts w:ascii="Times New Roman" w:eastAsia="Times New Roman" w:hAnsi="Times New Roman" w:cs="Times New Roman"/>
          <w:noProof/>
          <w:sz w:val="24"/>
        </w:rPr>
      </w:pPr>
      <w:r>
        <w:rPr>
          <w:rStyle w:val="normaltextrun"/>
          <w:rFonts w:ascii="Times New Roman" w:hAnsi="Times New Roman"/>
          <w:noProof/>
          <w:sz w:val="24"/>
        </w:rPr>
        <w:t>Realizacja inwestycji zostanie zakończona do dnia 31 sierpnia 20</w:t>
      </w:r>
      <w:r w:rsidRPr="00A1618E">
        <w:rPr>
          <w:rStyle w:val="normaltextrun"/>
          <w:rFonts w:ascii="Times New Roman" w:hAnsi="Times New Roman"/>
          <w:noProof/>
          <w:sz w:val="24"/>
          <w:lang w:val="pl-PL"/>
        </w:rPr>
        <w:t>26 r.</w:t>
      </w:r>
    </w:p>
    <w:p w14:paraId="0F91CCEB" w14:textId="62A4A4E1" w:rsidR="006578ED" w:rsidRDefault="00A1618E">
      <w:pPr>
        <w:pStyle w:val="P68B1DB1-Normal8"/>
        <w:spacing w:before="120" w:after="120" w:line="240" w:lineRule="auto"/>
        <w:ind w:left="720" w:hanging="720"/>
        <w:jc w:val="both"/>
        <w:rPr>
          <w:rFonts w:eastAsia="Times New Roman" w:cs="Times New Roman"/>
          <w:b/>
          <w:noProof/>
          <w:sz w:val="24"/>
          <w:u w:val="single"/>
        </w:rPr>
      </w:pPr>
      <w:r>
        <w:rPr>
          <w:noProof/>
          <w:sz w:val="24"/>
        </w:rPr>
        <w:tab/>
      </w:r>
      <w:r>
        <w:rPr>
          <w:b/>
          <w:noProof/>
          <w:sz w:val="24"/>
          <w:u w:val="single"/>
        </w:rPr>
        <w:t>AE.4</w:t>
      </w:r>
      <w:r>
        <w:rPr>
          <w:noProof/>
          <w:u w:val="single"/>
        </w:rPr>
        <w:tab/>
      </w:r>
      <w:r>
        <w:rPr>
          <w:b/>
          <w:noProof/>
          <w:sz w:val="24"/>
          <w:u w:val="single"/>
        </w:rPr>
        <w:t>Cele pośrednie, wartości docelowe, wskaźniki i harmonogram monitorowania i wdrażania wsparcia w formie pożyczki</w:t>
      </w:r>
    </w:p>
    <w:p w14:paraId="1D563C71" w14:textId="7296A316" w:rsidR="006578ED" w:rsidRDefault="00A1618E">
      <w:pPr>
        <w:pStyle w:val="P68B1DB1-Normal18"/>
        <w:spacing w:before="120" w:after="120" w:line="240" w:lineRule="auto"/>
        <w:jc w:val="both"/>
        <w:rPr>
          <w:rFonts w:eastAsia="Times New Roman" w:cs="Times New Roman"/>
          <w:noProof/>
          <w:u w:val="single"/>
        </w:rPr>
        <w:sectPr w:rsidR="006578ED" w:rsidSect="009144BD">
          <w:headerReference w:type="even" r:id="rId579"/>
          <w:headerReference w:type="default" r:id="rId580"/>
          <w:footerReference w:type="even" r:id="rId581"/>
          <w:footerReference w:type="default" r:id="rId582"/>
          <w:headerReference w:type="first" r:id="rId583"/>
          <w:footerReference w:type="first" r:id="rId584"/>
          <w:pgSz w:w="11907" w:h="16839"/>
          <w:pgMar w:top="1134" w:right="1417" w:bottom="1134" w:left="1417" w:header="709" w:footer="709" w:gutter="0"/>
          <w:cols w:space="720"/>
          <w:docGrid w:linePitch="360"/>
        </w:sectPr>
      </w:pPr>
      <w:r>
        <w:rPr>
          <w:noProof/>
        </w:rPr>
        <w:t>Zob. tabela poniżej. Datą odniesienia dla wszystkich wskaźników jest dzień 1 lutego 20</w:t>
      </w:r>
      <w:r w:rsidRPr="00A1618E">
        <w:rPr>
          <w:noProof/>
          <w:lang w:val="pl-PL"/>
        </w:rPr>
        <w:t>22 r.</w:t>
      </w:r>
      <w:r>
        <w:rPr>
          <w:noProof/>
        </w:rPr>
        <w:t xml:space="preserve">, chyba że w opisie działania wskazano inaczej. Kwoty w tabeli nie obejmują VAT. </w:t>
      </w:r>
    </w:p>
    <w:p w14:paraId="71E8FCCD" w14:textId="3C36EC54" w:rsidR="006578ED" w:rsidRDefault="006578ED">
      <w:pPr>
        <w:tabs>
          <w:tab w:val="left" w:pos="3222"/>
        </w:tabs>
        <w:spacing w:before="120" w:after="120" w:line="240" w:lineRule="auto"/>
        <w:jc w:val="both"/>
        <w:rPr>
          <w:rFonts w:ascii="Times New Roman" w:eastAsia="Times New Roman" w:hAnsi="Times New Roman" w:cs="Times New Roman"/>
          <w:i/>
          <w:noProof/>
          <w:sz w:val="24"/>
          <w:u w:val="single"/>
        </w:rPr>
      </w:pPr>
    </w:p>
    <w:tbl>
      <w:tblPr>
        <w:tblW w:w="1531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18"/>
        <w:gridCol w:w="742"/>
        <w:gridCol w:w="850"/>
        <w:gridCol w:w="2519"/>
        <w:gridCol w:w="1025"/>
        <w:gridCol w:w="676"/>
        <w:gridCol w:w="425"/>
        <w:gridCol w:w="567"/>
        <w:gridCol w:w="425"/>
        <w:gridCol w:w="567"/>
        <w:gridCol w:w="6696"/>
      </w:tblGrid>
      <w:tr w:rsidR="006578ED" w14:paraId="4EAD7CF6" w14:textId="77777777">
        <w:trPr>
          <w:trHeight w:val="309"/>
          <w:tblHeader/>
        </w:trPr>
        <w:tc>
          <w:tcPr>
            <w:tcW w:w="818" w:type="dxa"/>
            <w:tcBorders>
              <w:bottom w:val="nil"/>
            </w:tcBorders>
            <w:shd w:val="clear" w:color="auto" w:fill="C6D9F1" w:themeFill="text2" w:themeFillTint="33"/>
            <w:noWrap/>
            <w:vAlign w:val="center"/>
          </w:tcPr>
          <w:p w14:paraId="42C73024" w14:textId="4BDA542B" w:rsidR="006578ED" w:rsidRDefault="00A1618E">
            <w:pPr>
              <w:pStyle w:val="P68B1DB1-Normal8"/>
              <w:spacing w:after="0"/>
              <w:jc w:val="center"/>
              <w:rPr>
                <w:rFonts w:cs="Times New Roman"/>
                <w:b/>
                <w:noProof/>
                <w:sz w:val="18"/>
              </w:rPr>
            </w:pPr>
            <w:r>
              <w:rPr>
                <w:noProof/>
                <w:sz w:val="24"/>
              </w:rPr>
              <w:tab/>
            </w:r>
            <w:r>
              <w:rPr>
                <w:b/>
                <w:noProof/>
                <w:sz w:val="18"/>
              </w:rPr>
              <w:t>Liczba</w:t>
            </w:r>
          </w:p>
        </w:tc>
        <w:tc>
          <w:tcPr>
            <w:tcW w:w="742" w:type="dxa"/>
            <w:tcBorders>
              <w:bottom w:val="nil"/>
            </w:tcBorders>
            <w:shd w:val="clear" w:color="auto" w:fill="C6D9F1" w:themeFill="text2" w:themeFillTint="33"/>
            <w:noWrap/>
            <w:vAlign w:val="center"/>
          </w:tcPr>
          <w:p w14:paraId="6E8EA519" w14:textId="77777777" w:rsidR="006578ED" w:rsidRDefault="00A1618E">
            <w:pPr>
              <w:pStyle w:val="P68B1DB1-Normal12"/>
              <w:spacing w:after="0"/>
              <w:jc w:val="center"/>
              <w:rPr>
                <w:rFonts w:cs="Times New Roman"/>
                <w:noProof/>
              </w:rPr>
            </w:pPr>
            <w:r>
              <w:rPr>
                <w:noProof/>
              </w:rPr>
              <w:t>Środek</w:t>
            </w:r>
          </w:p>
        </w:tc>
        <w:tc>
          <w:tcPr>
            <w:tcW w:w="850" w:type="dxa"/>
            <w:tcBorders>
              <w:bottom w:val="nil"/>
            </w:tcBorders>
            <w:shd w:val="clear" w:color="auto" w:fill="C6D9F1" w:themeFill="text2" w:themeFillTint="33"/>
            <w:noWrap/>
            <w:vAlign w:val="center"/>
          </w:tcPr>
          <w:p w14:paraId="7160AFFB" w14:textId="272AC383" w:rsidR="006578ED" w:rsidRDefault="00EC188C">
            <w:pPr>
              <w:pStyle w:val="P68B1DB1-Normal12"/>
              <w:spacing w:after="0"/>
              <w:jc w:val="center"/>
              <w:rPr>
                <w:rFonts w:cs="Times New Roman"/>
                <w:noProof/>
              </w:rPr>
            </w:pPr>
            <w:r>
              <w:rPr>
                <w:noProof/>
              </w:rPr>
              <w:t>Kamień milowy</w:t>
            </w:r>
            <w:r>
              <w:rPr>
                <w:noProof/>
              </w:rPr>
              <w:br/>
              <w:t xml:space="preserve"> /</w:t>
            </w:r>
            <w:r w:rsidR="00AF6B91">
              <w:rPr>
                <w:noProof/>
              </w:rPr>
              <w:t>Wartość docelowa</w:t>
            </w:r>
          </w:p>
        </w:tc>
        <w:tc>
          <w:tcPr>
            <w:tcW w:w="2519" w:type="dxa"/>
            <w:tcBorders>
              <w:bottom w:val="nil"/>
            </w:tcBorders>
            <w:shd w:val="clear" w:color="auto" w:fill="C6D9F1" w:themeFill="text2" w:themeFillTint="33"/>
            <w:noWrap/>
            <w:vAlign w:val="center"/>
          </w:tcPr>
          <w:p w14:paraId="254C32C9" w14:textId="77777777" w:rsidR="006578ED" w:rsidRDefault="00A1618E">
            <w:pPr>
              <w:pStyle w:val="P68B1DB1-Normal12"/>
              <w:spacing w:after="0"/>
              <w:jc w:val="center"/>
              <w:rPr>
                <w:rFonts w:cs="Times New Roman"/>
                <w:noProof/>
              </w:rPr>
            </w:pPr>
            <w:r>
              <w:rPr>
                <w:noProof/>
              </w:rPr>
              <w:t>Nazwa</w:t>
            </w:r>
          </w:p>
        </w:tc>
        <w:tc>
          <w:tcPr>
            <w:tcW w:w="1025" w:type="dxa"/>
            <w:tcBorders>
              <w:bottom w:val="nil"/>
            </w:tcBorders>
            <w:shd w:val="clear" w:color="auto" w:fill="C6D9F1" w:themeFill="text2" w:themeFillTint="33"/>
            <w:noWrap/>
            <w:vAlign w:val="center"/>
          </w:tcPr>
          <w:p w14:paraId="77451392" w14:textId="77777777" w:rsidR="006578ED" w:rsidRDefault="00A1618E">
            <w:pPr>
              <w:pStyle w:val="P68B1DB1-Normal12"/>
              <w:spacing w:after="0"/>
              <w:jc w:val="center"/>
              <w:rPr>
                <w:rFonts w:cs="Times New Roman"/>
                <w:noProof/>
              </w:rPr>
            </w:pPr>
            <w:r>
              <w:rPr>
                <w:noProof/>
              </w:rPr>
              <w:t>Wskaźnik jakościowy dla celów pośrednich</w:t>
            </w:r>
          </w:p>
        </w:tc>
        <w:tc>
          <w:tcPr>
            <w:tcW w:w="1668" w:type="dxa"/>
            <w:gridSpan w:val="3"/>
            <w:shd w:val="clear" w:color="auto" w:fill="C6D9F1" w:themeFill="text2" w:themeFillTint="33"/>
            <w:noWrap/>
            <w:vAlign w:val="center"/>
          </w:tcPr>
          <w:p w14:paraId="300CBDFA" w14:textId="77777777" w:rsidR="006578ED" w:rsidRDefault="00A1618E">
            <w:pPr>
              <w:pStyle w:val="P68B1DB1-Normal12"/>
              <w:spacing w:after="0"/>
              <w:jc w:val="center"/>
              <w:rPr>
                <w:rFonts w:cs="Times New Roman"/>
                <w:noProof/>
              </w:rPr>
            </w:pPr>
            <w:r>
              <w:rPr>
                <w:noProof/>
              </w:rPr>
              <w:t>Wskaźnik ilościowy dla celu</w:t>
            </w:r>
          </w:p>
        </w:tc>
        <w:tc>
          <w:tcPr>
            <w:tcW w:w="992" w:type="dxa"/>
            <w:gridSpan w:val="2"/>
            <w:shd w:val="clear" w:color="auto" w:fill="C6D9F1" w:themeFill="text2" w:themeFillTint="33"/>
            <w:noWrap/>
            <w:vAlign w:val="center"/>
          </w:tcPr>
          <w:p w14:paraId="73E0F60F" w14:textId="77777777" w:rsidR="006578ED" w:rsidRDefault="00A1618E">
            <w:pPr>
              <w:pStyle w:val="P68B1DB1-Normal12"/>
              <w:spacing w:after="0"/>
              <w:jc w:val="center"/>
              <w:rPr>
                <w:rFonts w:cs="Times New Roman"/>
                <w:noProof/>
              </w:rPr>
            </w:pPr>
            <w:r>
              <w:rPr>
                <w:noProof/>
              </w:rPr>
              <w:t>Czas</w:t>
            </w:r>
          </w:p>
        </w:tc>
        <w:tc>
          <w:tcPr>
            <w:tcW w:w="6696" w:type="dxa"/>
            <w:tcBorders>
              <w:bottom w:val="nil"/>
            </w:tcBorders>
            <w:shd w:val="clear" w:color="auto" w:fill="C6D9F1" w:themeFill="text2" w:themeFillTint="33"/>
            <w:noWrap/>
            <w:vAlign w:val="center"/>
          </w:tcPr>
          <w:p w14:paraId="184CA047" w14:textId="4B0E9D38" w:rsidR="006578ED" w:rsidRDefault="00A1618E">
            <w:pPr>
              <w:pStyle w:val="P68B1DB1-Normal12"/>
              <w:spacing w:after="0"/>
              <w:jc w:val="center"/>
              <w:rPr>
                <w:rFonts w:cs="Times New Roman"/>
                <w:noProof/>
              </w:rPr>
            </w:pPr>
            <w:r>
              <w:rPr>
                <w:noProof/>
              </w:rPr>
              <w:t>Opis każdego celu pośredniego i celu końcowego</w:t>
            </w:r>
          </w:p>
        </w:tc>
      </w:tr>
      <w:tr w:rsidR="006578ED" w14:paraId="0CD0749F" w14:textId="77777777">
        <w:trPr>
          <w:trHeight w:val="309"/>
          <w:tblHeader/>
        </w:trPr>
        <w:tc>
          <w:tcPr>
            <w:tcW w:w="818" w:type="dxa"/>
            <w:tcBorders>
              <w:top w:val="nil"/>
            </w:tcBorders>
            <w:shd w:val="clear" w:color="auto" w:fill="C6D9F1" w:themeFill="text2" w:themeFillTint="33"/>
            <w:noWrap/>
          </w:tcPr>
          <w:p w14:paraId="709FD9E8" w14:textId="77777777" w:rsidR="006578ED" w:rsidRDefault="006578ED">
            <w:pPr>
              <w:spacing w:after="0"/>
              <w:jc w:val="center"/>
              <w:rPr>
                <w:rFonts w:ascii="Times New Roman" w:hAnsi="Times New Roman" w:cs="Times New Roman"/>
                <w:b/>
                <w:noProof/>
                <w:sz w:val="18"/>
              </w:rPr>
            </w:pPr>
          </w:p>
        </w:tc>
        <w:tc>
          <w:tcPr>
            <w:tcW w:w="742" w:type="dxa"/>
            <w:tcBorders>
              <w:top w:val="nil"/>
            </w:tcBorders>
            <w:shd w:val="clear" w:color="auto" w:fill="C6D9F1" w:themeFill="text2" w:themeFillTint="33"/>
            <w:noWrap/>
          </w:tcPr>
          <w:p w14:paraId="3F7792BE" w14:textId="77777777" w:rsidR="006578ED" w:rsidRDefault="006578ED">
            <w:pPr>
              <w:spacing w:after="0"/>
              <w:jc w:val="center"/>
              <w:rPr>
                <w:rFonts w:ascii="Times New Roman" w:hAnsi="Times New Roman" w:cs="Times New Roman"/>
                <w:b/>
                <w:noProof/>
                <w:sz w:val="18"/>
              </w:rPr>
            </w:pPr>
          </w:p>
        </w:tc>
        <w:tc>
          <w:tcPr>
            <w:tcW w:w="850" w:type="dxa"/>
            <w:tcBorders>
              <w:top w:val="nil"/>
            </w:tcBorders>
            <w:shd w:val="clear" w:color="auto" w:fill="C6D9F1" w:themeFill="text2" w:themeFillTint="33"/>
            <w:noWrap/>
          </w:tcPr>
          <w:p w14:paraId="6945476E" w14:textId="77777777" w:rsidR="006578ED" w:rsidRDefault="006578ED">
            <w:pPr>
              <w:spacing w:after="0"/>
              <w:jc w:val="center"/>
              <w:rPr>
                <w:rFonts w:ascii="Times New Roman" w:hAnsi="Times New Roman" w:cs="Times New Roman"/>
                <w:b/>
                <w:noProof/>
                <w:sz w:val="18"/>
              </w:rPr>
            </w:pPr>
          </w:p>
        </w:tc>
        <w:tc>
          <w:tcPr>
            <w:tcW w:w="2519" w:type="dxa"/>
            <w:tcBorders>
              <w:top w:val="nil"/>
            </w:tcBorders>
            <w:shd w:val="clear" w:color="auto" w:fill="C6D9F1" w:themeFill="text2" w:themeFillTint="33"/>
            <w:noWrap/>
          </w:tcPr>
          <w:p w14:paraId="21D240F2" w14:textId="77777777" w:rsidR="006578ED" w:rsidRDefault="006578ED">
            <w:pPr>
              <w:spacing w:after="0"/>
              <w:rPr>
                <w:rFonts w:ascii="Times New Roman" w:hAnsi="Times New Roman" w:cs="Times New Roman"/>
                <w:b/>
                <w:noProof/>
                <w:sz w:val="18"/>
              </w:rPr>
            </w:pPr>
          </w:p>
        </w:tc>
        <w:tc>
          <w:tcPr>
            <w:tcW w:w="1025" w:type="dxa"/>
            <w:tcBorders>
              <w:top w:val="nil"/>
            </w:tcBorders>
            <w:shd w:val="clear" w:color="auto" w:fill="C6D9F1" w:themeFill="text2" w:themeFillTint="33"/>
            <w:noWrap/>
          </w:tcPr>
          <w:p w14:paraId="1A1252AB" w14:textId="77777777" w:rsidR="006578ED" w:rsidRDefault="006578ED">
            <w:pPr>
              <w:spacing w:after="0"/>
              <w:jc w:val="center"/>
              <w:rPr>
                <w:rFonts w:ascii="Times New Roman" w:hAnsi="Times New Roman" w:cs="Times New Roman"/>
                <w:b/>
                <w:noProof/>
                <w:sz w:val="18"/>
              </w:rPr>
            </w:pPr>
          </w:p>
        </w:tc>
        <w:tc>
          <w:tcPr>
            <w:tcW w:w="676" w:type="dxa"/>
            <w:shd w:val="clear" w:color="auto" w:fill="C6D9F1" w:themeFill="text2" w:themeFillTint="33"/>
            <w:noWrap/>
          </w:tcPr>
          <w:p w14:paraId="4BFA19ED" w14:textId="77777777" w:rsidR="006578ED" w:rsidRDefault="00A1618E">
            <w:pPr>
              <w:pStyle w:val="P68B1DB1-Normal12"/>
              <w:spacing w:after="0"/>
              <w:jc w:val="center"/>
              <w:rPr>
                <w:rFonts w:cs="Times New Roman"/>
                <w:noProof/>
              </w:rPr>
            </w:pPr>
            <w:r>
              <w:rPr>
                <w:noProof/>
              </w:rPr>
              <w:t>Jednostka</w:t>
            </w:r>
          </w:p>
        </w:tc>
        <w:tc>
          <w:tcPr>
            <w:tcW w:w="425" w:type="dxa"/>
            <w:shd w:val="clear" w:color="auto" w:fill="C6D9F1" w:themeFill="text2" w:themeFillTint="33"/>
            <w:noWrap/>
          </w:tcPr>
          <w:p w14:paraId="54C16E97" w14:textId="77777777" w:rsidR="006578ED" w:rsidRDefault="00A1618E">
            <w:pPr>
              <w:pStyle w:val="P68B1DB1-Normal12"/>
              <w:spacing w:after="0"/>
              <w:jc w:val="center"/>
              <w:rPr>
                <w:rFonts w:cs="Times New Roman"/>
                <w:noProof/>
              </w:rPr>
            </w:pPr>
            <w:r>
              <w:rPr>
                <w:noProof/>
              </w:rPr>
              <w:t>Wartość wyjściowa</w:t>
            </w:r>
          </w:p>
        </w:tc>
        <w:tc>
          <w:tcPr>
            <w:tcW w:w="567" w:type="dxa"/>
            <w:shd w:val="clear" w:color="auto" w:fill="C6D9F1" w:themeFill="text2" w:themeFillTint="33"/>
            <w:noWrap/>
          </w:tcPr>
          <w:p w14:paraId="1BBC7A5D" w14:textId="77777777" w:rsidR="006578ED" w:rsidRDefault="00A1618E">
            <w:pPr>
              <w:pStyle w:val="P68B1DB1-Normal12"/>
              <w:spacing w:after="0"/>
              <w:jc w:val="center"/>
              <w:rPr>
                <w:rFonts w:cs="Times New Roman"/>
                <w:noProof/>
              </w:rPr>
            </w:pPr>
            <w:r>
              <w:rPr>
                <w:noProof/>
              </w:rPr>
              <w:t>Cel</w:t>
            </w:r>
          </w:p>
        </w:tc>
        <w:tc>
          <w:tcPr>
            <w:tcW w:w="425" w:type="dxa"/>
            <w:shd w:val="clear" w:color="auto" w:fill="C6D9F1" w:themeFill="text2" w:themeFillTint="33"/>
            <w:noWrap/>
          </w:tcPr>
          <w:p w14:paraId="28AEFDA8" w14:textId="77777777" w:rsidR="006578ED" w:rsidRDefault="00A1618E">
            <w:pPr>
              <w:pStyle w:val="P68B1DB1-Normal12"/>
              <w:spacing w:after="0"/>
              <w:jc w:val="center"/>
              <w:rPr>
                <w:rFonts w:cs="Times New Roman"/>
                <w:noProof/>
              </w:rPr>
            </w:pPr>
            <w:r>
              <w:rPr>
                <w:noProof/>
              </w:rPr>
              <w:t>Q</w:t>
            </w:r>
          </w:p>
        </w:tc>
        <w:tc>
          <w:tcPr>
            <w:tcW w:w="567" w:type="dxa"/>
            <w:shd w:val="clear" w:color="auto" w:fill="C6D9F1" w:themeFill="text2" w:themeFillTint="33"/>
            <w:noWrap/>
          </w:tcPr>
          <w:p w14:paraId="5C45CE87" w14:textId="77777777" w:rsidR="006578ED" w:rsidRDefault="00A1618E">
            <w:pPr>
              <w:pStyle w:val="P68B1DB1-Normal12"/>
              <w:spacing w:after="0"/>
              <w:jc w:val="center"/>
              <w:rPr>
                <w:rFonts w:cs="Times New Roman"/>
                <w:noProof/>
              </w:rPr>
            </w:pPr>
            <w:r>
              <w:rPr>
                <w:noProof/>
              </w:rPr>
              <w:t>Rok</w:t>
            </w:r>
          </w:p>
        </w:tc>
        <w:tc>
          <w:tcPr>
            <w:tcW w:w="6696" w:type="dxa"/>
            <w:tcBorders>
              <w:top w:val="nil"/>
            </w:tcBorders>
            <w:shd w:val="clear" w:color="auto" w:fill="C6D9F1" w:themeFill="text2" w:themeFillTint="33"/>
            <w:noWrap/>
          </w:tcPr>
          <w:p w14:paraId="7D10E93B" w14:textId="77777777" w:rsidR="006578ED" w:rsidRDefault="006578ED">
            <w:pPr>
              <w:spacing w:after="0"/>
              <w:rPr>
                <w:rFonts w:ascii="Times New Roman" w:hAnsi="Times New Roman" w:cs="Times New Roman"/>
                <w:b/>
                <w:noProof/>
                <w:sz w:val="18"/>
              </w:rPr>
            </w:pPr>
          </w:p>
        </w:tc>
      </w:tr>
      <w:tr w:rsidR="006578ED" w14:paraId="74F77746" w14:textId="77777777">
        <w:trPr>
          <w:trHeight w:val="309"/>
        </w:trPr>
        <w:tc>
          <w:tcPr>
            <w:tcW w:w="818" w:type="dxa"/>
            <w:shd w:val="clear" w:color="auto" w:fill="C6EFCE"/>
            <w:noWrap/>
          </w:tcPr>
          <w:p w14:paraId="3416B8BA" w14:textId="4BB83DDD" w:rsidR="006578ED" w:rsidRDefault="00A1618E">
            <w:pPr>
              <w:pStyle w:val="P68B1DB1-Normal13"/>
              <w:spacing w:after="0"/>
              <w:jc w:val="center"/>
              <w:rPr>
                <w:rFonts w:eastAsia="Times New Roman" w:cs="Times New Roman"/>
                <w:noProof/>
              </w:rPr>
            </w:pPr>
            <w:r>
              <w:rPr>
                <w:noProof/>
              </w:rPr>
              <w:t>L83</w:t>
            </w:r>
          </w:p>
        </w:tc>
        <w:tc>
          <w:tcPr>
            <w:tcW w:w="742" w:type="dxa"/>
            <w:shd w:val="clear" w:color="auto" w:fill="C6EFCE"/>
            <w:noWrap/>
          </w:tcPr>
          <w:p w14:paraId="66B97D8D" w14:textId="77777777" w:rsidR="006578ED" w:rsidRDefault="00A1618E">
            <w:pPr>
              <w:pStyle w:val="P68B1DB1-Normal13"/>
              <w:spacing w:after="0"/>
              <w:jc w:val="center"/>
              <w:rPr>
                <w:rFonts w:eastAsia="Times New Roman" w:cs="Times New Roman"/>
                <w:noProof/>
              </w:rPr>
            </w:pPr>
            <w:r>
              <w:rPr>
                <w:noProof/>
              </w:rPr>
              <w:t xml:space="preserve">C31.I7 </w:t>
            </w:r>
          </w:p>
        </w:tc>
        <w:tc>
          <w:tcPr>
            <w:tcW w:w="850" w:type="dxa"/>
            <w:shd w:val="clear" w:color="auto" w:fill="C6EFCE"/>
            <w:noWrap/>
          </w:tcPr>
          <w:p w14:paraId="75127D16" w14:textId="6E6B3434" w:rsidR="006578ED" w:rsidRDefault="00AF6B91">
            <w:pPr>
              <w:pStyle w:val="P68B1DB1-Normal13"/>
              <w:spacing w:after="0"/>
              <w:jc w:val="center"/>
              <w:rPr>
                <w:rFonts w:eastAsia="Times New Roman" w:cs="Times New Roman"/>
                <w:noProof/>
              </w:rPr>
            </w:pPr>
            <w:r>
              <w:rPr>
                <w:noProof/>
              </w:rPr>
              <w:t>Kamień milowy</w:t>
            </w:r>
          </w:p>
        </w:tc>
        <w:tc>
          <w:tcPr>
            <w:tcW w:w="2519" w:type="dxa"/>
            <w:shd w:val="clear" w:color="auto" w:fill="C6EFCE"/>
            <w:noWrap/>
          </w:tcPr>
          <w:p w14:paraId="6155A04A" w14:textId="21D36AD0" w:rsidR="006578ED" w:rsidRDefault="00A1618E">
            <w:pPr>
              <w:pStyle w:val="P68B1DB1-Normal13"/>
              <w:spacing w:after="0"/>
              <w:rPr>
                <w:rFonts w:eastAsia="Times New Roman" w:cs="Times New Roman"/>
                <w:noProof/>
              </w:rPr>
            </w:pPr>
            <w:r>
              <w:rPr>
                <w:noProof/>
              </w:rPr>
              <w:t xml:space="preserve">Publikacja zaproszeń do składania wniosków i zasad regulujących przyznawanie wsparcia na rzecz dekarbonizacji przemysłu. </w:t>
            </w:r>
          </w:p>
        </w:tc>
        <w:tc>
          <w:tcPr>
            <w:tcW w:w="1025" w:type="dxa"/>
            <w:shd w:val="clear" w:color="auto" w:fill="C6EFCE"/>
            <w:noWrap/>
          </w:tcPr>
          <w:p w14:paraId="2CF314EB" w14:textId="77777777" w:rsidR="006578ED" w:rsidRDefault="00A1618E">
            <w:pPr>
              <w:pStyle w:val="P68B1DB1-Normal13"/>
              <w:spacing w:after="0"/>
              <w:jc w:val="center"/>
              <w:rPr>
                <w:rFonts w:eastAsia="Times New Roman" w:cs="Times New Roman"/>
                <w:noProof/>
              </w:rPr>
            </w:pPr>
            <w:r>
              <w:rPr>
                <w:noProof/>
              </w:rPr>
              <w:t>Publikacja</w:t>
            </w:r>
          </w:p>
        </w:tc>
        <w:tc>
          <w:tcPr>
            <w:tcW w:w="676" w:type="dxa"/>
            <w:shd w:val="clear" w:color="auto" w:fill="C6EFCE"/>
            <w:noWrap/>
          </w:tcPr>
          <w:p w14:paraId="047653A4" w14:textId="77777777" w:rsidR="006578ED" w:rsidRDefault="006578ED">
            <w:pPr>
              <w:spacing w:after="0"/>
              <w:jc w:val="center"/>
              <w:rPr>
                <w:rFonts w:ascii="Times New Roman" w:eastAsia="Times New Roman" w:hAnsi="Times New Roman" w:cs="Times New Roman"/>
                <w:noProof/>
                <w:sz w:val="18"/>
              </w:rPr>
            </w:pPr>
          </w:p>
        </w:tc>
        <w:tc>
          <w:tcPr>
            <w:tcW w:w="425" w:type="dxa"/>
            <w:shd w:val="clear" w:color="auto" w:fill="C6EFCE"/>
            <w:noWrap/>
          </w:tcPr>
          <w:p w14:paraId="4A736D01" w14:textId="77777777" w:rsidR="006578ED" w:rsidRDefault="006578ED">
            <w:pPr>
              <w:spacing w:after="0"/>
              <w:jc w:val="right"/>
              <w:rPr>
                <w:rFonts w:ascii="Times New Roman" w:eastAsia="Times New Roman" w:hAnsi="Times New Roman" w:cs="Times New Roman"/>
                <w:noProof/>
                <w:sz w:val="18"/>
              </w:rPr>
            </w:pPr>
          </w:p>
        </w:tc>
        <w:tc>
          <w:tcPr>
            <w:tcW w:w="567" w:type="dxa"/>
            <w:shd w:val="clear" w:color="auto" w:fill="C6EFCE"/>
            <w:noWrap/>
          </w:tcPr>
          <w:p w14:paraId="4929A291" w14:textId="77777777" w:rsidR="006578ED" w:rsidRDefault="006578ED">
            <w:pPr>
              <w:spacing w:after="0"/>
              <w:jc w:val="right"/>
              <w:rPr>
                <w:rFonts w:ascii="Times New Roman" w:eastAsia="Times New Roman" w:hAnsi="Times New Roman" w:cs="Times New Roman"/>
                <w:noProof/>
                <w:sz w:val="18"/>
              </w:rPr>
            </w:pPr>
          </w:p>
        </w:tc>
        <w:tc>
          <w:tcPr>
            <w:tcW w:w="425" w:type="dxa"/>
            <w:shd w:val="clear" w:color="auto" w:fill="C6EFCE"/>
            <w:noWrap/>
          </w:tcPr>
          <w:p w14:paraId="5D4E8165" w14:textId="5C998E57" w:rsidR="006578ED" w:rsidRDefault="00EC188C">
            <w:pPr>
              <w:pStyle w:val="P68B1DB1-Normal13"/>
              <w:spacing w:after="0"/>
              <w:jc w:val="center"/>
              <w:rPr>
                <w:rFonts w:eastAsia="Times New Roman" w:cs="Times New Roman"/>
                <w:noProof/>
              </w:rPr>
            </w:pPr>
            <w:r>
              <w:rPr>
                <w:noProof/>
              </w:rPr>
              <w:t>KW. 2</w:t>
            </w:r>
          </w:p>
        </w:tc>
        <w:tc>
          <w:tcPr>
            <w:tcW w:w="567" w:type="dxa"/>
            <w:shd w:val="clear" w:color="auto" w:fill="C6EFCE"/>
            <w:noWrap/>
          </w:tcPr>
          <w:p w14:paraId="27C6EF09" w14:textId="77777777" w:rsidR="006578ED" w:rsidRDefault="00A1618E">
            <w:pPr>
              <w:pStyle w:val="P68B1DB1-Normal13"/>
              <w:spacing w:after="0"/>
              <w:jc w:val="center"/>
              <w:rPr>
                <w:rFonts w:eastAsia="Times New Roman" w:cs="Times New Roman"/>
                <w:noProof/>
              </w:rPr>
            </w:pPr>
            <w:r>
              <w:rPr>
                <w:noProof/>
              </w:rPr>
              <w:t>2024</w:t>
            </w:r>
          </w:p>
        </w:tc>
        <w:tc>
          <w:tcPr>
            <w:tcW w:w="6696" w:type="dxa"/>
            <w:shd w:val="clear" w:color="auto" w:fill="C6EFCE"/>
            <w:noWrap/>
          </w:tcPr>
          <w:p w14:paraId="15CD02F7" w14:textId="4AD690DB" w:rsidR="006578ED" w:rsidRDefault="00A1618E">
            <w:pPr>
              <w:pStyle w:val="P68B1DB1-Normal13"/>
              <w:spacing w:after="0"/>
              <w:rPr>
                <w:rFonts w:eastAsia="Times New Roman" w:cs="Times New Roman"/>
                <w:noProof/>
              </w:rPr>
            </w:pPr>
            <w:r>
              <w:rPr>
                <w:noProof/>
              </w:rPr>
              <w:t>Zatwierdzenie zaproszeń do składania wniosków i zasad regulujących wsparcie w formie pożyczek na projekty na rzecz dekarbonizacji przemysłu wytwórczego oraz rozwoju nowych, wysoce wydajnych i zdekarbonizowanych inwestycji w zakłady produkcyjne. Zaproszenia do składania wniosków i zasady regulujące wsparcie w formie pożyczek na projekty zapewniają zgodność środka z wytycznymi technicznymi dotyczącymi zasady „nie czyń poważnych szkód” (2021/C58/01) poprzez wykorzystanie wykazu wykluczenia oraz wymóg zgodności z odpowiednimi przepisami unijnymi i krajowymi w zakresie ochrony środowiska.</w:t>
            </w:r>
          </w:p>
        </w:tc>
      </w:tr>
      <w:tr w:rsidR="006578ED" w14:paraId="449C83AF" w14:textId="77777777">
        <w:trPr>
          <w:trHeight w:val="309"/>
        </w:trPr>
        <w:tc>
          <w:tcPr>
            <w:tcW w:w="818" w:type="dxa"/>
            <w:shd w:val="clear" w:color="auto" w:fill="C6EFCE"/>
            <w:noWrap/>
          </w:tcPr>
          <w:p w14:paraId="54A7A573" w14:textId="35259F8E" w:rsidR="006578ED" w:rsidRDefault="00A1618E">
            <w:pPr>
              <w:pStyle w:val="P68B1DB1-Normal13"/>
              <w:spacing w:after="0"/>
              <w:jc w:val="center"/>
              <w:rPr>
                <w:rFonts w:eastAsia="Times New Roman" w:cs="Times New Roman"/>
                <w:noProof/>
              </w:rPr>
            </w:pPr>
            <w:r>
              <w:rPr>
                <w:noProof/>
              </w:rPr>
              <w:t>L84</w:t>
            </w:r>
          </w:p>
        </w:tc>
        <w:tc>
          <w:tcPr>
            <w:tcW w:w="742" w:type="dxa"/>
            <w:shd w:val="clear" w:color="auto" w:fill="C6EFCE"/>
            <w:noWrap/>
          </w:tcPr>
          <w:p w14:paraId="3E8311B5" w14:textId="77777777" w:rsidR="006578ED" w:rsidRDefault="00A1618E">
            <w:pPr>
              <w:pStyle w:val="P68B1DB1-Normal13"/>
              <w:spacing w:after="0"/>
              <w:jc w:val="center"/>
              <w:rPr>
                <w:rFonts w:eastAsia="Times New Roman" w:cs="Times New Roman"/>
                <w:noProof/>
              </w:rPr>
            </w:pPr>
            <w:r>
              <w:rPr>
                <w:noProof/>
              </w:rPr>
              <w:t>C31.I7</w:t>
            </w:r>
          </w:p>
        </w:tc>
        <w:tc>
          <w:tcPr>
            <w:tcW w:w="850" w:type="dxa"/>
            <w:shd w:val="clear" w:color="auto" w:fill="C6EFCE"/>
            <w:noWrap/>
          </w:tcPr>
          <w:p w14:paraId="454B19EE" w14:textId="30BFC18B" w:rsidR="006578ED" w:rsidRDefault="00AF6B91">
            <w:pPr>
              <w:pStyle w:val="P68B1DB1-Normal13"/>
              <w:spacing w:after="0"/>
              <w:jc w:val="center"/>
              <w:rPr>
                <w:rFonts w:eastAsia="Times New Roman" w:cs="Times New Roman"/>
                <w:noProof/>
              </w:rPr>
            </w:pPr>
            <w:r>
              <w:rPr>
                <w:noProof/>
              </w:rPr>
              <w:t>Cel</w:t>
            </w:r>
          </w:p>
        </w:tc>
        <w:tc>
          <w:tcPr>
            <w:tcW w:w="2519" w:type="dxa"/>
            <w:shd w:val="clear" w:color="auto" w:fill="C6EFCE"/>
            <w:noWrap/>
          </w:tcPr>
          <w:p w14:paraId="6D2E9CBF" w14:textId="054739E2" w:rsidR="006578ED" w:rsidRDefault="00A1618E">
            <w:pPr>
              <w:pStyle w:val="P68B1DB1-Normal13"/>
              <w:spacing w:after="0"/>
              <w:rPr>
                <w:rFonts w:eastAsia="Times New Roman" w:cs="Times New Roman"/>
                <w:noProof/>
              </w:rPr>
            </w:pPr>
            <w:r>
              <w:rPr>
                <w:noProof/>
              </w:rPr>
              <w:t>Publikacja nagród za projekty w zakresie dekarbonizacji</w:t>
            </w:r>
          </w:p>
        </w:tc>
        <w:tc>
          <w:tcPr>
            <w:tcW w:w="1025" w:type="dxa"/>
            <w:shd w:val="clear" w:color="auto" w:fill="C6EFCE"/>
            <w:noWrap/>
          </w:tcPr>
          <w:p w14:paraId="30402AB2" w14:textId="77777777" w:rsidR="006578ED" w:rsidRDefault="006578ED">
            <w:pPr>
              <w:spacing w:after="0"/>
              <w:jc w:val="center"/>
              <w:rPr>
                <w:rFonts w:ascii="Times New Roman" w:eastAsia="Times New Roman" w:hAnsi="Times New Roman" w:cs="Times New Roman"/>
                <w:noProof/>
                <w:sz w:val="18"/>
              </w:rPr>
            </w:pPr>
          </w:p>
        </w:tc>
        <w:tc>
          <w:tcPr>
            <w:tcW w:w="676" w:type="dxa"/>
            <w:shd w:val="clear" w:color="auto" w:fill="C6EFCE"/>
            <w:noWrap/>
          </w:tcPr>
          <w:p w14:paraId="28B2CA4E" w14:textId="52D7AA0C" w:rsidR="006578ED" w:rsidRDefault="00A1618E">
            <w:pPr>
              <w:pStyle w:val="P68B1DB1-Normal13"/>
              <w:spacing w:after="0"/>
              <w:jc w:val="center"/>
              <w:rPr>
                <w:rFonts w:eastAsia="Times New Roman" w:cs="Times New Roman"/>
                <w:noProof/>
              </w:rPr>
            </w:pPr>
            <w:r>
              <w:rPr>
                <w:noProof/>
              </w:rPr>
              <w:t>W mln EUR</w:t>
            </w:r>
          </w:p>
        </w:tc>
        <w:tc>
          <w:tcPr>
            <w:tcW w:w="425" w:type="dxa"/>
            <w:shd w:val="clear" w:color="auto" w:fill="C6EFCE"/>
            <w:noWrap/>
          </w:tcPr>
          <w:p w14:paraId="6E07CB6E" w14:textId="77777777" w:rsidR="006578ED" w:rsidRDefault="00A1618E">
            <w:pPr>
              <w:pStyle w:val="P68B1DB1-Normal13"/>
              <w:spacing w:after="0"/>
              <w:jc w:val="right"/>
              <w:rPr>
                <w:rFonts w:eastAsia="Times New Roman" w:cs="Times New Roman"/>
                <w:noProof/>
              </w:rPr>
            </w:pPr>
            <w:r>
              <w:rPr>
                <w:noProof/>
              </w:rPr>
              <w:t>0</w:t>
            </w:r>
          </w:p>
        </w:tc>
        <w:tc>
          <w:tcPr>
            <w:tcW w:w="567" w:type="dxa"/>
            <w:shd w:val="clear" w:color="auto" w:fill="C6EFCE"/>
            <w:noWrap/>
          </w:tcPr>
          <w:p w14:paraId="3C142489" w14:textId="2A692C5B" w:rsidR="006578ED" w:rsidRDefault="00A1618E">
            <w:pPr>
              <w:pStyle w:val="P68B1DB1-Normal13"/>
              <w:spacing w:after="0"/>
              <w:jc w:val="right"/>
              <w:rPr>
                <w:rFonts w:eastAsia="Times New Roman" w:cs="Times New Roman"/>
                <w:noProof/>
              </w:rPr>
            </w:pPr>
            <w:r>
              <w:rPr>
                <w:noProof/>
              </w:rPr>
              <w:t xml:space="preserve">585 </w:t>
            </w:r>
          </w:p>
        </w:tc>
        <w:tc>
          <w:tcPr>
            <w:tcW w:w="425" w:type="dxa"/>
            <w:shd w:val="clear" w:color="auto" w:fill="C6EFCE"/>
            <w:noWrap/>
          </w:tcPr>
          <w:p w14:paraId="6BCA730F" w14:textId="4F0862CF" w:rsidR="006578ED" w:rsidRDefault="00EC188C">
            <w:pPr>
              <w:pStyle w:val="P68B1DB1-Normal13"/>
              <w:spacing w:after="0"/>
              <w:jc w:val="center"/>
              <w:rPr>
                <w:rFonts w:eastAsia="Times New Roman" w:cs="Times New Roman"/>
                <w:noProof/>
              </w:rPr>
            </w:pPr>
            <w:r>
              <w:rPr>
                <w:noProof/>
              </w:rPr>
              <w:t>KW. 4</w:t>
            </w:r>
          </w:p>
        </w:tc>
        <w:tc>
          <w:tcPr>
            <w:tcW w:w="567" w:type="dxa"/>
            <w:shd w:val="clear" w:color="auto" w:fill="C6EFCE"/>
            <w:noWrap/>
          </w:tcPr>
          <w:p w14:paraId="50ACF7BD" w14:textId="77777777" w:rsidR="006578ED" w:rsidRDefault="00A1618E">
            <w:pPr>
              <w:pStyle w:val="P68B1DB1-Normal13"/>
              <w:spacing w:after="0"/>
              <w:jc w:val="center"/>
              <w:rPr>
                <w:rFonts w:eastAsia="Times New Roman" w:cs="Times New Roman"/>
                <w:noProof/>
              </w:rPr>
            </w:pPr>
            <w:r>
              <w:rPr>
                <w:noProof/>
              </w:rPr>
              <w:t>2024</w:t>
            </w:r>
          </w:p>
        </w:tc>
        <w:tc>
          <w:tcPr>
            <w:tcW w:w="6696" w:type="dxa"/>
            <w:shd w:val="clear" w:color="auto" w:fill="C6EFCE"/>
            <w:noWrap/>
          </w:tcPr>
          <w:p w14:paraId="56137C83" w14:textId="1303F626" w:rsidR="006578ED" w:rsidRDefault="00A1618E">
            <w:pPr>
              <w:pStyle w:val="P68B1DB1-Normal13"/>
              <w:spacing w:after="0"/>
              <w:rPr>
                <w:rFonts w:eastAsia="Times New Roman" w:cs="Times New Roman"/>
                <w:noProof/>
              </w:rPr>
            </w:pPr>
            <w:r>
              <w:rPr>
                <w:noProof/>
              </w:rPr>
              <w:t xml:space="preserve">Beneficjentom końcowym przyznano co najmniej 585 000 000 EUR (przy czym co najmniej 40 % łącznych środków przyczynia się do realizacji celów klimatycznych przy zastosowaniu metodyki określonej w załączniku VI do rozporządzenia w sprawie RRF). </w:t>
            </w:r>
          </w:p>
        </w:tc>
      </w:tr>
      <w:tr w:rsidR="006578ED" w14:paraId="446017A3" w14:textId="77777777">
        <w:trPr>
          <w:trHeight w:val="309"/>
        </w:trPr>
        <w:tc>
          <w:tcPr>
            <w:tcW w:w="818" w:type="dxa"/>
            <w:shd w:val="clear" w:color="auto" w:fill="C6EFCE"/>
            <w:noWrap/>
          </w:tcPr>
          <w:p w14:paraId="43749F19" w14:textId="2DF72407" w:rsidR="006578ED" w:rsidRDefault="00A1618E">
            <w:pPr>
              <w:pStyle w:val="P68B1DB1-Normal13"/>
              <w:spacing w:after="0"/>
              <w:jc w:val="center"/>
              <w:rPr>
                <w:rFonts w:eastAsia="Times New Roman" w:cs="Times New Roman"/>
                <w:noProof/>
              </w:rPr>
            </w:pPr>
            <w:r>
              <w:rPr>
                <w:noProof/>
              </w:rPr>
              <w:t>L85</w:t>
            </w:r>
          </w:p>
        </w:tc>
        <w:tc>
          <w:tcPr>
            <w:tcW w:w="742" w:type="dxa"/>
            <w:shd w:val="clear" w:color="auto" w:fill="C6EFCE"/>
            <w:noWrap/>
          </w:tcPr>
          <w:p w14:paraId="6C0869B5" w14:textId="77777777" w:rsidR="006578ED" w:rsidRDefault="00A1618E">
            <w:pPr>
              <w:pStyle w:val="P68B1DB1-Normal13"/>
              <w:spacing w:after="0"/>
              <w:jc w:val="center"/>
              <w:rPr>
                <w:rFonts w:eastAsia="Times New Roman" w:cs="Times New Roman"/>
                <w:noProof/>
              </w:rPr>
            </w:pPr>
            <w:r>
              <w:rPr>
                <w:noProof/>
              </w:rPr>
              <w:t>C31.I7</w:t>
            </w:r>
          </w:p>
        </w:tc>
        <w:tc>
          <w:tcPr>
            <w:tcW w:w="850" w:type="dxa"/>
            <w:shd w:val="clear" w:color="auto" w:fill="C6EFCE"/>
            <w:noWrap/>
          </w:tcPr>
          <w:p w14:paraId="19CC269D" w14:textId="2BBA589B" w:rsidR="006578ED" w:rsidRDefault="00AF6B91">
            <w:pPr>
              <w:pStyle w:val="P68B1DB1-Normal13"/>
              <w:spacing w:after="0"/>
              <w:jc w:val="center"/>
              <w:rPr>
                <w:rFonts w:eastAsia="Times New Roman" w:cs="Times New Roman"/>
                <w:noProof/>
              </w:rPr>
            </w:pPr>
            <w:r>
              <w:rPr>
                <w:noProof/>
              </w:rPr>
              <w:t>Kamień milowy</w:t>
            </w:r>
          </w:p>
        </w:tc>
        <w:tc>
          <w:tcPr>
            <w:tcW w:w="2519" w:type="dxa"/>
            <w:shd w:val="clear" w:color="auto" w:fill="C6EFCE"/>
            <w:noWrap/>
          </w:tcPr>
          <w:p w14:paraId="47F21134" w14:textId="41530ECA" w:rsidR="006578ED" w:rsidRDefault="00A1618E">
            <w:pPr>
              <w:pStyle w:val="P68B1DB1-Normal13"/>
              <w:spacing w:after="0"/>
              <w:rPr>
                <w:rStyle w:val="eop"/>
                <w:noProof/>
              </w:rPr>
            </w:pPr>
            <w:r>
              <w:rPr>
                <w:noProof/>
              </w:rPr>
              <w:t>Zakończenie projektów dekarbonizacji</w:t>
            </w:r>
          </w:p>
        </w:tc>
        <w:tc>
          <w:tcPr>
            <w:tcW w:w="1025" w:type="dxa"/>
            <w:shd w:val="clear" w:color="auto" w:fill="C6EFCE"/>
            <w:noWrap/>
          </w:tcPr>
          <w:p w14:paraId="2C8ACC43" w14:textId="7BB2F7C0" w:rsidR="006578ED" w:rsidRDefault="00A1618E">
            <w:pPr>
              <w:pStyle w:val="P68B1DB1-Normal13"/>
              <w:spacing w:after="0"/>
              <w:jc w:val="center"/>
              <w:rPr>
                <w:rFonts w:eastAsia="Times New Roman" w:cs="Times New Roman"/>
                <w:noProof/>
              </w:rPr>
            </w:pPr>
            <w:r>
              <w:rPr>
                <w:noProof/>
              </w:rPr>
              <w:t>Świadectwo ukończenia</w:t>
            </w:r>
          </w:p>
        </w:tc>
        <w:tc>
          <w:tcPr>
            <w:tcW w:w="676" w:type="dxa"/>
            <w:shd w:val="clear" w:color="auto" w:fill="C6EFCE"/>
            <w:noWrap/>
          </w:tcPr>
          <w:p w14:paraId="63CAEE0B" w14:textId="77777777" w:rsidR="006578ED" w:rsidRDefault="006578ED">
            <w:pPr>
              <w:spacing w:after="0"/>
              <w:jc w:val="center"/>
              <w:rPr>
                <w:rFonts w:ascii="Times New Roman" w:eastAsia="Times New Roman" w:hAnsi="Times New Roman" w:cs="Times New Roman"/>
                <w:noProof/>
                <w:sz w:val="18"/>
              </w:rPr>
            </w:pPr>
          </w:p>
        </w:tc>
        <w:tc>
          <w:tcPr>
            <w:tcW w:w="425" w:type="dxa"/>
            <w:shd w:val="clear" w:color="auto" w:fill="C6EFCE"/>
            <w:noWrap/>
          </w:tcPr>
          <w:p w14:paraId="7B1B15AD" w14:textId="77777777" w:rsidR="006578ED" w:rsidRDefault="006578ED">
            <w:pPr>
              <w:spacing w:after="0"/>
              <w:jc w:val="right"/>
              <w:rPr>
                <w:rFonts w:ascii="Times New Roman" w:eastAsia="Times New Roman" w:hAnsi="Times New Roman" w:cs="Times New Roman"/>
                <w:noProof/>
                <w:sz w:val="18"/>
              </w:rPr>
            </w:pPr>
          </w:p>
        </w:tc>
        <w:tc>
          <w:tcPr>
            <w:tcW w:w="567" w:type="dxa"/>
            <w:shd w:val="clear" w:color="auto" w:fill="C6EFCE"/>
            <w:noWrap/>
          </w:tcPr>
          <w:p w14:paraId="591B8D73" w14:textId="77777777" w:rsidR="006578ED" w:rsidRDefault="006578ED">
            <w:pPr>
              <w:spacing w:after="0"/>
              <w:jc w:val="right"/>
              <w:rPr>
                <w:rFonts w:ascii="Times New Roman" w:eastAsia="Times New Roman" w:hAnsi="Times New Roman" w:cs="Times New Roman"/>
                <w:noProof/>
                <w:sz w:val="18"/>
              </w:rPr>
            </w:pPr>
          </w:p>
        </w:tc>
        <w:tc>
          <w:tcPr>
            <w:tcW w:w="425" w:type="dxa"/>
            <w:shd w:val="clear" w:color="auto" w:fill="C6EFCE"/>
            <w:noWrap/>
          </w:tcPr>
          <w:p w14:paraId="110E5B82" w14:textId="5C546048" w:rsidR="006578ED" w:rsidRDefault="00EC188C">
            <w:pPr>
              <w:pStyle w:val="P68B1DB1-Normal13"/>
              <w:spacing w:after="0"/>
              <w:jc w:val="center"/>
              <w:rPr>
                <w:rFonts w:eastAsia="Times New Roman" w:cs="Times New Roman"/>
                <w:noProof/>
              </w:rPr>
            </w:pPr>
            <w:r>
              <w:rPr>
                <w:noProof/>
              </w:rPr>
              <w:t>KW. 3</w:t>
            </w:r>
          </w:p>
        </w:tc>
        <w:tc>
          <w:tcPr>
            <w:tcW w:w="567" w:type="dxa"/>
            <w:shd w:val="clear" w:color="auto" w:fill="C6EFCE"/>
            <w:noWrap/>
          </w:tcPr>
          <w:p w14:paraId="6ED93ED3" w14:textId="77777777" w:rsidR="006578ED" w:rsidRDefault="00A1618E">
            <w:pPr>
              <w:pStyle w:val="P68B1DB1-Normal13"/>
              <w:spacing w:after="0"/>
              <w:jc w:val="center"/>
              <w:rPr>
                <w:rFonts w:eastAsia="Times New Roman" w:cs="Times New Roman"/>
                <w:noProof/>
              </w:rPr>
            </w:pPr>
            <w:r>
              <w:rPr>
                <w:noProof/>
              </w:rPr>
              <w:t>2026</w:t>
            </w:r>
          </w:p>
        </w:tc>
        <w:tc>
          <w:tcPr>
            <w:tcW w:w="6696" w:type="dxa"/>
            <w:shd w:val="clear" w:color="auto" w:fill="C6EFCE"/>
            <w:noWrap/>
          </w:tcPr>
          <w:p w14:paraId="1F4C1220" w14:textId="17FB6FCA" w:rsidR="006578ED" w:rsidRDefault="00A1618E">
            <w:pPr>
              <w:pStyle w:val="P68B1DB1-Normal13"/>
              <w:spacing w:after="0"/>
              <w:rPr>
                <w:rFonts w:eastAsia="Times New Roman" w:cs="Times New Roman"/>
                <w:noProof/>
              </w:rPr>
            </w:pPr>
            <w:r>
              <w:rPr>
                <w:noProof/>
              </w:rPr>
              <w:t>Zakończenie projektów o łącznym budżecie przyznanym w wysokości co najmniej 585 000 000 EUR</w:t>
            </w:r>
            <w:r w:rsidRPr="00A1618E">
              <w:rPr>
                <w:noProof/>
                <w:lang w:val="pl-PL"/>
              </w:rPr>
              <w:t>. W</w:t>
            </w:r>
            <w:r>
              <w:rPr>
                <w:noProof/>
                <w:lang w:val="pl-PL"/>
              </w:rPr>
              <w:t> </w:t>
            </w:r>
            <w:r>
              <w:rPr>
                <w:noProof/>
              </w:rPr>
              <w:t xml:space="preserve">przypadku finansowania projektu pilotażowego dotyczącego kontraktów na transakcje różnicowe dotyczące emisji dwutlenku węgla, przyznany mu budżet uznaje się za równoważny wielkości gwarancji związanych z umową dotyczącą emisji dwutlenku węgla w odniesieniu do różnic objętych projektem pilotażowym. </w:t>
            </w:r>
          </w:p>
        </w:tc>
      </w:tr>
      <w:tr w:rsidR="006578ED" w14:paraId="52773FAC" w14:textId="77777777">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38CA746C" w14:textId="0371B8C0" w:rsidR="006578ED" w:rsidRDefault="00A1618E">
            <w:pPr>
              <w:spacing w:after="0"/>
              <w:jc w:val="center"/>
              <w:rPr>
                <w:rStyle w:val="normaltextrun"/>
                <w:rFonts w:ascii="Times New Roman" w:hAnsi="Times New Roman" w:cs="Times New Roman"/>
                <w:noProof/>
                <w:sz w:val="18"/>
              </w:rPr>
            </w:pPr>
            <w:r>
              <w:rPr>
                <w:rStyle w:val="normaltextrun"/>
                <w:rFonts w:ascii="Times New Roman" w:hAnsi="Times New Roman"/>
                <w:noProof/>
                <w:sz w:val="18"/>
              </w:rPr>
              <w:t>L86</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49E12D99" w14:textId="49EB613A" w:rsidR="006578ED" w:rsidRDefault="00A1618E">
            <w:pPr>
              <w:pStyle w:val="P68B1DB1-Normal13"/>
              <w:spacing w:after="0"/>
              <w:jc w:val="center"/>
              <w:rPr>
                <w:rFonts w:cs="Times New Roman"/>
                <w:noProof/>
              </w:rPr>
            </w:pPr>
            <w:r>
              <w:rPr>
                <w:noProof/>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5E9F22AB" w14:textId="6280FE92" w:rsidR="006578ED" w:rsidRDefault="00AF6B91">
            <w:pPr>
              <w:pStyle w:val="P68B1DB1-Normal13"/>
              <w:spacing w:after="0"/>
              <w:jc w:val="center"/>
              <w:rPr>
                <w:rFonts w:cs="Times New Roman"/>
                <w:noProof/>
              </w:rPr>
            </w:pPr>
            <w:r>
              <w:rPr>
                <w:noProof/>
              </w:rPr>
              <w:t>Kamień milowy</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1A01DD07" w14:textId="5460E203" w:rsidR="006578ED" w:rsidRDefault="00A1618E">
            <w:pPr>
              <w:spacing w:after="0"/>
              <w:rPr>
                <w:rFonts w:ascii="Times New Roman" w:hAnsi="Times New Roman" w:cs="Times New Roman"/>
                <w:noProof/>
                <w:sz w:val="18"/>
              </w:rPr>
            </w:pPr>
            <w:r>
              <w:rPr>
                <w:rStyle w:val="normaltextrun"/>
                <w:rFonts w:ascii="Times New Roman" w:hAnsi="Times New Roman"/>
                <w:noProof/>
                <w:sz w:val="18"/>
              </w:rPr>
              <w:t>System wsparcia na rzecz dekarbonizacji przemysłu (pożyczki): Ministerstwo zakończyło inwestycję</w:t>
            </w: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54892664" w14:textId="11B65E1C" w:rsidR="006578ED" w:rsidRDefault="00A1618E">
            <w:pPr>
              <w:pStyle w:val="P68B1DB1-Normal13"/>
              <w:spacing w:after="0"/>
              <w:jc w:val="center"/>
              <w:rPr>
                <w:rFonts w:cs="Times New Roman"/>
                <w:noProof/>
              </w:rPr>
            </w:pPr>
            <w:r>
              <w:rPr>
                <w:noProof/>
              </w:rPr>
              <w:t>Zaświadczenie o wypłacie dla ENISA</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2C92A3CB" w14:textId="77777777" w:rsidR="006578ED" w:rsidRDefault="006578ED">
            <w:pPr>
              <w:spacing w:after="0"/>
              <w:jc w:val="center"/>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0A277F1" w14:textId="77777777" w:rsidR="006578ED" w:rsidRDefault="006578ED">
            <w:pPr>
              <w:spacing w:after="0"/>
              <w:jc w:val="right"/>
              <w:rPr>
                <w:rStyle w:val="eop"/>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43E0202F" w14:textId="77777777" w:rsidR="006578ED" w:rsidRDefault="006578ED">
            <w:pPr>
              <w:spacing w:after="0"/>
              <w:jc w:val="right"/>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083F776E" w14:textId="60708468" w:rsidR="006578ED" w:rsidRDefault="00EC188C">
            <w:pPr>
              <w:pStyle w:val="P68B1DB1-Normal13"/>
              <w:spacing w:after="0"/>
              <w:jc w:val="center"/>
              <w:rPr>
                <w:rFonts w:cs="Times New Roman"/>
                <w:noProof/>
              </w:rPr>
            </w:pPr>
            <w:r>
              <w:rPr>
                <w:noProof/>
              </w:rPr>
              <w:t>KW. 2</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5D56DF6" w14:textId="3CC94995" w:rsidR="006578ED" w:rsidRDefault="00A1618E">
            <w:pPr>
              <w:pStyle w:val="P68B1DB1-Normal13"/>
              <w:spacing w:after="0"/>
              <w:jc w:val="center"/>
              <w:rPr>
                <w:rFonts w:cs="Times New Roman"/>
                <w:noProof/>
              </w:rPr>
            </w:pPr>
            <w:r>
              <w:rPr>
                <w:noProof/>
              </w:rPr>
              <w:t>2024</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67E83647" w14:textId="6599CD0C" w:rsidR="006578ED" w:rsidRDefault="00A1618E">
            <w:pPr>
              <w:pStyle w:val="P68B1DB1-Normal13"/>
              <w:spacing w:after="0"/>
              <w:rPr>
                <w:rFonts w:cs="Times New Roman"/>
                <w:noProof/>
              </w:rPr>
            </w:pPr>
            <w:r>
              <w:rPr>
                <w:noProof/>
              </w:rPr>
              <w:t>Hiszpania przekazuje ENISA 1 050 000 000 EUR na rzecz programu.</w:t>
            </w:r>
          </w:p>
        </w:tc>
      </w:tr>
      <w:tr w:rsidR="006578ED" w14:paraId="64B7776B" w14:textId="77777777">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3577A307" w14:textId="1118BCF0" w:rsidR="006578ED" w:rsidRDefault="00A1618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L87</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49B62314" w14:textId="02E31D82" w:rsidR="006578ED" w:rsidRDefault="00A1618E">
            <w:pPr>
              <w:pStyle w:val="P68B1DB1-Normal13"/>
              <w:spacing w:after="0"/>
              <w:jc w:val="center"/>
              <w:rPr>
                <w:rFonts w:eastAsia="Times New Roman" w:cs="Times New Roman"/>
                <w:noProof/>
              </w:rPr>
            </w:pPr>
            <w:r>
              <w:rPr>
                <w:noProof/>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6B6C8071" w14:textId="349159C3" w:rsidR="006578ED" w:rsidRDefault="00AF6B91">
            <w:pPr>
              <w:pStyle w:val="P68B1DB1-Normal13"/>
              <w:spacing w:after="0"/>
              <w:jc w:val="center"/>
              <w:rPr>
                <w:rFonts w:eastAsia="Times New Roman" w:cs="Times New Roman"/>
                <w:noProof/>
              </w:rPr>
            </w:pPr>
            <w:r>
              <w:rPr>
                <w:noProof/>
              </w:rPr>
              <w:t>Kamień milowy</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3C886883" w14:textId="2FF2164B" w:rsidR="006578ED" w:rsidRDefault="00A1618E">
            <w:pPr>
              <w:pStyle w:val="P68B1DB1-Normal13"/>
              <w:spacing w:after="0"/>
              <w:rPr>
                <w:rStyle w:val="normaltextrun"/>
                <w:rFonts w:cs="Times New Roman"/>
                <w:noProof/>
              </w:rPr>
            </w:pPr>
            <w:r>
              <w:rPr>
                <w:noProof/>
              </w:rPr>
              <w:t>Ustanowienie programu pożyczkowego</w:t>
            </w: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581E2E00" w14:textId="517DCBA4" w:rsidR="006578ED" w:rsidRDefault="00A1618E">
            <w:pPr>
              <w:pStyle w:val="P68B1DB1-Normal13"/>
              <w:spacing w:after="0"/>
              <w:jc w:val="center"/>
              <w:rPr>
                <w:rFonts w:eastAsia="Times New Roman" w:cs="Times New Roman"/>
                <w:noProof/>
              </w:rPr>
            </w:pPr>
            <w:r>
              <w:rPr>
                <w:noProof/>
              </w:rPr>
              <w:t>Wejście w życie odpowiedniego(-ych) instrumentu(-ów) prawnego(-ych)</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18D7899F" w14:textId="17FC81FC" w:rsidR="006578ED" w:rsidRDefault="006578ED">
            <w:pPr>
              <w:spacing w:after="0"/>
              <w:jc w:val="center"/>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FC76783" w14:textId="4D136987" w:rsidR="006578ED" w:rsidRDefault="006578ED">
            <w:pPr>
              <w:spacing w:after="0"/>
              <w:jc w:val="right"/>
              <w:rPr>
                <w:rStyle w:val="eop"/>
                <w:rFonts w:ascii="Times New Roman" w:hAnsi="Times New Roman" w:cs="Times New Roman"/>
                <w:noProof/>
                <w:sz w:val="18"/>
              </w:rPr>
            </w:pP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3FDAE2C2" w14:textId="7CC436BB" w:rsidR="006578ED" w:rsidRDefault="006578ED">
            <w:pPr>
              <w:spacing w:after="0"/>
              <w:jc w:val="right"/>
              <w:rPr>
                <w:rStyle w:val="eop"/>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4B3A01F8" w14:textId="767331C1" w:rsidR="006578ED" w:rsidRDefault="00EC188C">
            <w:pPr>
              <w:pStyle w:val="P68B1DB1-Normal13"/>
              <w:spacing w:after="0"/>
              <w:jc w:val="center"/>
              <w:rPr>
                <w:rFonts w:eastAsia="Times New Roman" w:cs="Times New Roman"/>
                <w:noProof/>
              </w:rPr>
            </w:pPr>
            <w:r>
              <w:rPr>
                <w:noProof/>
              </w:rPr>
              <w:t>KW. 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0B6A6A9A" w14:textId="36AE28B5" w:rsidR="006578ED" w:rsidRDefault="00A1618E">
            <w:pPr>
              <w:pStyle w:val="P68B1DB1-Normal13"/>
              <w:spacing w:after="0"/>
              <w:jc w:val="center"/>
              <w:rPr>
                <w:rFonts w:eastAsia="Times New Roman" w:cs="Times New Roman"/>
                <w:noProof/>
              </w:rPr>
            </w:pPr>
            <w:r>
              <w:rPr>
                <w:noProof/>
              </w:rPr>
              <w:t>2024</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0C8851D1" w14:textId="3C05EAFB" w:rsidR="006578ED" w:rsidRDefault="00A1618E">
            <w:pPr>
              <w:pStyle w:val="P68B1DB1-Normal13"/>
              <w:spacing w:after="0"/>
              <w:rPr>
                <w:rFonts w:eastAsia="Times New Roman" w:cs="Times New Roman"/>
                <w:noProof/>
              </w:rPr>
            </w:pPr>
            <w:r>
              <w:rPr>
                <w:noProof/>
              </w:rPr>
              <w:t>Wejście w życie instrumentu(-ów) prawnego(-ych) ustanawiającego(-ych) program pożyczkowy zgodnie z wymogami określonymi w opisie środka.</w:t>
            </w:r>
          </w:p>
        </w:tc>
      </w:tr>
      <w:tr w:rsidR="006578ED" w14:paraId="043D661F" w14:textId="77777777">
        <w:trPr>
          <w:trHeight w:val="309"/>
        </w:trPr>
        <w:tc>
          <w:tcPr>
            <w:tcW w:w="818" w:type="dxa"/>
            <w:tcBorders>
              <w:top w:val="single" w:sz="6" w:space="0" w:color="auto"/>
              <w:left w:val="single" w:sz="6" w:space="0" w:color="auto"/>
              <w:bottom w:val="single" w:sz="6" w:space="0" w:color="auto"/>
              <w:right w:val="single" w:sz="6" w:space="0" w:color="auto"/>
            </w:tcBorders>
            <w:shd w:val="clear" w:color="auto" w:fill="C6EFCE"/>
            <w:noWrap/>
          </w:tcPr>
          <w:p w14:paraId="6D6D426C" w14:textId="7D14F490" w:rsidR="006578ED" w:rsidRDefault="00A1618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L88</w:t>
            </w:r>
          </w:p>
        </w:tc>
        <w:tc>
          <w:tcPr>
            <w:tcW w:w="742" w:type="dxa"/>
            <w:tcBorders>
              <w:top w:val="single" w:sz="4" w:space="0" w:color="auto"/>
              <w:left w:val="single" w:sz="4" w:space="0" w:color="auto"/>
              <w:bottom w:val="single" w:sz="4" w:space="0" w:color="auto"/>
              <w:right w:val="single" w:sz="4" w:space="0" w:color="auto"/>
            </w:tcBorders>
            <w:shd w:val="clear" w:color="auto" w:fill="C6EFCE"/>
            <w:noWrap/>
          </w:tcPr>
          <w:p w14:paraId="139A216C" w14:textId="76534C2C" w:rsidR="006578ED" w:rsidRDefault="00A1618E">
            <w:pPr>
              <w:pStyle w:val="P68B1DB1-Normal13"/>
              <w:spacing w:after="0"/>
              <w:jc w:val="center"/>
              <w:rPr>
                <w:rFonts w:eastAsia="Times New Roman" w:cs="Times New Roman"/>
                <w:noProof/>
              </w:rPr>
            </w:pPr>
            <w:r>
              <w:rPr>
                <w:noProof/>
              </w:rPr>
              <w:t>C31.I8</w:t>
            </w:r>
          </w:p>
        </w:tc>
        <w:tc>
          <w:tcPr>
            <w:tcW w:w="850" w:type="dxa"/>
            <w:tcBorders>
              <w:top w:val="single" w:sz="4" w:space="0" w:color="auto"/>
              <w:left w:val="single" w:sz="4" w:space="0" w:color="auto"/>
              <w:bottom w:val="single" w:sz="4" w:space="0" w:color="auto"/>
              <w:right w:val="single" w:sz="4" w:space="0" w:color="auto"/>
            </w:tcBorders>
            <w:shd w:val="clear" w:color="auto" w:fill="C6EFCE"/>
            <w:noWrap/>
          </w:tcPr>
          <w:p w14:paraId="1B00ED33" w14:textId="5674DC88" w:rsidR="006578ED" w:rsidRDefault="00AF6B91">
            <w:pPr>
              <w:pStyle w:val="P68B1DB1-Normal13"/>
              <w:spacing w:after="0"/>
              <w:jc w:val="center"/>
              <w:rPr>
                <w:rFonts w:eastAsia="Times New Roman" w:cs="Times New Roman"/>
                <w:noProof/>
              </w:rPr>
            </w:pPr>
            <w:r>
              <w:rPr>
                <w:noProof/>
              </w:rPr>
              <w:t>Cel</w:t>
            </w:r>
          </w:p>
        </w:tc>
        <w:tc>
          <w:tcPr>
            <w:tcW w:w="2519" w:type="dxa"/>
            <w:tcBorders>
              <w:top w:val="single" w:sz="4" w:space="0" w:color="auto"/>
              <w:left w:val="single" w:sz="4" w:space="0" w:color="auto"/>
              <w:bottom w:val="single" w:sz="4" w:space="0" w:color="auto"/>
              <w:right w:val="single" w:sz="4" w:space="0" w:color="auto"/>
            </w:tcBorders>
            <w:shd w:val="clear" w:color="auto" w:fill="C6EFCE"/>
            <w:noWrap/>
          </w:tcPr>
          <w:p w14:paraId="72CD1DD2" w14:textId="115D9E09" w:rsidR="006578ED" w:rsidRDefault="00A1618E">
            <w:pPr>
              <w:spacing w:after="0"/>
              <w:rPr>
                <w:rStyle w:val="eop"/>
                <w:rFonts w:ascii="Times New Roman" w:hAnsi="Times New Roman" w:cs="Times New Roman"/>
                <w:noProof/>
                <w:sz w:val="18"/>
              </w:rPr>
            </w:pPr>
            <w:r>
              <w:rPr>
                <w:rStyle w:val="normaltextrun"/>
                <w:rFonts w:ascii="Times New Roman" w:hAnsi="Times New Roman"/>
                <w:noProof/>
                <w:sz w:val="18"/>
              </w:rPr>
              <w:t>System wsparcia na rzecz dekarbonizacji przemysłu (pożyczki): Umowy prawne podpisane z beneficjentami końcowymi lub opublikowane uchwały o ostatecznym przyznaniu dotacji.</w:t>
            </w:r>
          </w:p>
          <w:p w14:paraId="0D988384" w14:textId="6F6031A4" w:rsidR="006578ED" w:rsidRDefault="006578ED">
            <w:pPr>
              <w:spacing w:after="0"/>
              <w:rPr>
                <w:rFonts w:ascii="Times New Roman" w:eastAsia="Times New Roman" w:hAnsi="Times New Roman" w:cs="Times New Roman"/>
                <w:noProof/>
                <w:sz w:val="18"/>
              </w:rPr>
            </w:pPr>
          </w:p>
        </w:tc>
        <w:tc>
          <w:tcPr>
            <w:tcW w:w="1025" w:type="dxa"/>
            <w:tcBorders>
              <w:top w:val="single" w:sz="4" w:space="0" w:color="auto"/>
              <w:left w:val="single" w:sz="4" w:space="0" w:color="auto"/>
              <w:bottom w:val="single" w:sz="4" w:space="0" w:color="auto"/>
              <w:right w:val="single" w:sz="4" w:space="0" w:color="auto"/>
            </w:tcBorders>
            <w:shd w:val="clear" w:color="auto" w:fill="C6EFCE"/>
            <w:noWrap/>
          </w:tcPr>
          <w:p w14:paraId="2EFA0518" w14:textId="7DFE1A2E" w:rsidR="006578ED" w:rsidRDefault="00A1618E">
            <w:pPr>
              <w:spacing w:after="0"/>
              <w:jc w:val="center"/>
              <w:rPr>
                <w:rFonts w:ascii="Times New Roman" w:eastAsia="Times New Roman" w:hAnsi="Times New Roman" w:cs="Times New Roman"/>
                <w:noProof/>
                <w:sz w:val="18"/>
              </w:rPr>
            </w:pPr>
            <w:r>
              <w:rPr>
                <w:rStyle w:val="normaltextrun"/>
                <w:rFonts w:ascii="Times New Roman" w:hAnsi="Times New Roman"/>
                <w:noProof/>
                <w:sz w:val="18"/>
              </w:rPr>
              <w:t xml:space="preserve">Wejście w życie opublikowanych prawnie umów o finansowaniu lub ostatecznych uchwał o przyznaniu finansowania </w:t>
            </w:r>
          </w:p>
        </w:tc>
        <w:tc>
          <w:tcPr>
            <w:tcW w:w="676" w:type="dxa"/>
            <w:tcBorders>
              <w:top w:val="single" w:sz="4" w:space="0" w:color="auto"/>
              <w:left w:val="single" w:sz="4" w:space="0" w:color="auto"/>
              <w:bottom w:val="single" w:sz="4" w:space="0" w:color="auto"/>
              <w:right w:val="single" w:sz="4" w:space="0" w:color="auto"/>
            </w:tcBorders>
            <w:shd w:val="clear" w:color="auto" w:fill="C6EFCE"/>
            <w:noWrap/>
          </w:tcPr>
          <w:p w14:paraId="48A22EA7" w14:textId="5242C00F" w:rsidR="006578ED" w:rsidRDefault="006578ED">
            <w:pPr>
              <w:spacing w:after="0"/>
              <w:jc w:val="center"/>
              <w:rPr>
                <w:rStyle w:val="normaltextrun"/>
                <w:rFonts w:ascii="Times New Roman" w:hAnsi="Times New Roman" w:cs="Times New Roman"/>
                <w:noProof/>
                <w:sz w:val="18"/>
              </w:rPr>
            </w:pP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10E49AB5" w14:textId="65CEF263" w:rsidR="006578ED" w:rsidRDefault="00A1618E">
            <w:pPr>
              <w:pStyle w:val="P68B1DB1-Normal13"/>
              <w:spacing w:after="0"/>
              <w:jc w:val="right"/>
              <w:rPr>
                <w:rFonts w:eastAsia="Times New Roman" w:cs="Times New Roman"/>
                <w:noProof/>
              </w:rPr>
            </w:pPr>
            <w:r>
              <w:rPr>
                <w:noProof/>
              </w:rPr>
              <w:t>0</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2D0FC3A8" w14:textId="0AB369F7" w:rsidR="006578ED" w:rsidRDefault="00A1618E">
            <w:pPr>
              <w:pStyle w:val="P68B1DB1-Normal13"/>
              <w:spacing w:after="0"/>
              <w:jc w:val="right"/>
              <w:rPr>
                <w:rStyle w:val="eop"/>
                <w:rFonts w:cs="Times New Roman"/>
                <w:noProof/>
              </w:rPr>
            </w:pPr>
            <w:r>
              <w:rPr>
                <w:noProof/>
              </w:rPr>
              <w:t xml:space="preserve">100 % </w:t>
            </w:r>
          </w:p>
        </w:tc>
        <w:tc>
          <w:tcPr>
            <w:tcW w:w="425" w:type="dxa"/>
            <w:tcBorders>
              <w:top w:val="single" w:sz="4" w:space="0" w:color="auto"/>
              <w:left w:val="single" w:sz="4" w:space="0" w:color="auto"/>
              <w:bottom w:val="single" w:sz="4" w:space="0" w:color="auto"/>
              <w:right w:val="single" w:sz="4" w:space="0" w:color="auto"/>
            </w:tcBorders>
            <w:shd w:val="clear" w:color="auto" w:fill="C6EFCE"/>
            <w:noWrap/>
          </w:tcPr>
          <w:p w14:paraId="50D1DCD2" w14:textId="4A53C8B1" w:rsidR="006578ED" w:rsidRDefault="00EC188C">
            <w:pPr>
              <w:pStyle w:val="P68B1DB1-Normal13"/>
              <w:spacing w:after="0"/>
              <w:jc w:val="center"/>
              <w:rPr>
                <w:rStyle w:val="eop"/>
                <w:rFonts w:cs="Times New Roman"/>
                <w:noProof/>
              </w:rPr>
            </w:pPr>
            <w:r>
              <w:rPr>
                <w:noProof/>
              </w:rPr>
              <w:t>KW. 3</w:t>
            </w:r>
          </w:p>
        </w:tc>
        <w:tc>
          <w:tcPr>
            <w:tcW w:w="567" w:type="dxa"/>
            <w:tcBorders>
              <w:top w:val="single" w:sz="4" w:space="0" w:color="auto"/>
              <w:left w:val="single" w:sz="4" w:space="0" w:color="auto"/>
              <w:bottom w:val="single" w:sz="4" w:space="0" w:color="auto"/>
              <w:right w:val="single" w:sz="4" w:space="0" w:color="auto"/>
            </w:tcBorders>
            <w:shd w:val="clear" w:color="auto" w:fill="C6EFCE"/>
            <w:noWrap/>
          </w:tcPr>
          <w:p w14:paraId="1E11477F" w14:textId="192BD438" w:rsidR="006578ED" w:rsidRDefault="00A1618E">
            <w:pPr>
              <w:pStyle w:val="P68B1DB1-Normal13"/>
              <w:spacing w:after="0"/>
              <w:jc w:val="center"/>
              <w:rPr>
                <w:rFonts w:eastAsia="Times New Roman" w:cs="Times New Roman"/>
                <w:noProof/>
              </w:rPr>
            </w:pPr>
            <w:r>
              <w:rPr>
                <w:noProof/>
              </w:rPr>
              <w:t>2026</w:t>
            </w:r>
          </w:p>
        </w:tc>
        <w:tc>
          <w:tcPr>
            <w:tcW w:w="6696" w:type="dxa"/>
            <w:tcBorders>
              <w:top w:val="single" w:sz="4" w:space="0" w:color="auto"/>
              <w:left w:val="single" w:sz="4" w:space="0" w:color="auto"/>
              <w:bottom w:val="single" w:sz="4" w:space="0" w:color="auto"/>
              <w:right w:val="single" w:sz="4" w:space="0" w:color="auto"/>
            </w:tcBorders>
            <w:shd w:val="clear" w:color="auto" w:fill="C6EFCE"/>
            <w:noWrap/>
          </w:tcPr>
          <w:p w14:paraId="17F0997F" w14:textId="23FC6855" w:rsidR="006578ED" w:rsidRDefault="00A1618E">
            <w:pPr>
              <w:pStyle w:val="P68B1DB1-Normal13"/>
              <w:spacing w:after="0"/>
              <w:rPr>
                <w:rFonts w:cs="Times New Roman"/>
                <w:noProof/>
              </w:rPr>
            </w:pPr>
            <w:r>
              <w:rPr>
                <w:noProof/>
              </w:rPr>
              <w:t xml:space="preserve">ENISA publikuje rezolucje w sprawie ostatecznego przyznania finansowania lub zawiera z beneficjentami końcowymi umowy o finansowaniu na kwotę niezbędną do wykorzystania w systemie 100 % inwestycji w ramach RRF (w tym kosztów pośrednich). ENISA zapewnia, aby co najmniej 40 % tego finansowania przyczyniało się do realizacji celów klimatycznych przy użyciu metodyki określonej w załączniku VI do rozporządzenia w sprawie RRF. </w:t>
            </w:r>
          </w:p>
        </w:tc>
      </w:tr>
    </w:tbl>
    <w:p w14:paraId="1A8F52C7" w14:textId="77777777" w:rsidR="006578ED" w:rsidRDefault="006578ED">
      <w:pPr>
        <w:rPr>
          <w:rFonts w:ascii="Times New Roman" w:hAnsi="Times New Roman" w:cs="Times New Roman"/>
          <w:noProof/>
        </w:rPr>
      </w:pPr>
    </w:p>
    <w:p w14:paraId="5B1460E4" w14:textId="77777777" w:rsidR="006578ED" w:rsidRDefault="006578ED">
      <w:pPr>
        <w:pStyle w:val="Text1"/>
        <w:ind w:left="0"/>
        <w:rPr>
          <w:rFonts w:ascii="Times New Roman" w:hAnsi="Times New Roman" w:cs="Times New Roman"/>
          <w:noProof/>
        </w:rPr>
        <w:sectPr w:rsidR="006578ED" w:rsidSect="009144BD">
          <w:headerReference w:type="even" r:id="rId585"/>
          <w:headerReference w:type="default" r:id="rId586"/>
          <w:footerReference w:type="even" r:id="rId587"/>
          <w:footerReference w:type="default" r:id="rId588"/>
          <w:headerReference w:type="first" r:id="rId589"/>
          <w:footerReference w:type="first" r:id="rId590"/>
          <w:pgSz w:w="16839" w:h="11907" w:orient="landscape"/>
          <w:pgMar w:top="1417" w:right="1134" w:bottom="1417" w:left="1134" w:header="709" w:footer="709" w:gutter="0"/>
          <w:cols w:space="720"/>
          <w:docGrid w:linePitch="360"/>
        </w:sectPr>
      </w:pPr>
    </w:p>
    <w:p w14:paraId="5B5F53E3" w14:textId="7D311C8C" w:rsidR="006578ED" w:rsidRDefault="00A1618E">
      <w:pPr>
        <w:pStyle w:val="P68B1DB1-Normal43"/>
        <w:numPr>
          <w:ilvl w:val="0"/>
          <w:numId w:val="50"/>
        </w:numPr>
        <w:spacing w:before="120" w:after="120" w:line="240" w:lineRule="auto"/>
        <w:jc w:val="both"/>
        <w:rPr>
          <w:rFonts w:eastAsia="Calibri" w:cs="Times New Roman"/>
          <w:noProof/>
        </w:rPr>
      </w:pPr>
      <w:r>
        <w:rPr>
          <w:noProof/>
        </w:rPr>
        <w:t>Szacunkowy łączny koszt planu odbudowy i zwiększania odporności</w:t>
      </w:r>
    </w:p>
    <w:p w14:paraId="732200E1" w14:textId="384A4796" w:rsidR="006578ED" w:rsidRDefault="00A1618E">
      <w:pPr>
        <w:pStyle w:val="P68B1DB1-Normal4"/>
        <w:spacing w:before="120" w:after="120" w:line="240" w:lineRule="auto"/>
        <w:ind w:left="850"/>
        <w:jc w:val="both"/>
        <w:rPr>
          <w:rFonts w:eastAsia="Calibri" w:cs="Times New Roman"/>
          <w:noProof/>
        </w:rPr>
      </w:pPr>
      <w:r>
        <w:rPr>
          <w:noProof/>
        </w:rPr>
        <w:t>Szacunkowy łączny koszt planu odbudowy i zwiększania odporności Hiszpanii wynosi 163 029 653 473 EUR.</w:t>
      </w:r>
    </w:p>
    <w:p w14:paraId="7A88BAA2" w14:textId="77777777" w:rsidR="006578ED" w:rsidRDefault="006578ED">
      <w:pPr>
        <w:spacing w:before="120" w:after="120" w:line="240" w:lineRule="auto"/>
        <w:jc w:val="both"/>
        <w:rPr>
          <w:rFonts w:ascii="Times New Roman" w:eastAsia="Calibri" w:hAnsi="Times New Roman" w:cs="Times New Roman"/>
          <w:noProof/>
          <w:sz w:val="24"/>
        </w:rPr>
      </w:pPr>
    </w:p>
    <w:p w14:paraId="6A6CE5A4" w14:textId="77777777" w:rsidR="006578ED" w:rsidRDefault="00A1618E">
      <w:pPr>
        <w:pStyle w:val="P68B1DB1-Normal43"/>
        <w:spacing w:before="120" w:after="120" w:line="240" w:lineRule="auto"/>
        <w:jc w:val="both"/>
        <w:rPr>
          <w:rFonts w:eastAsia="Calibri" w:cs="Times New Roman"/>
          <w:noProof/>
        </w:rPr>
      </w:pPr>
      <w:r>
        <w:rPr>
          <w:noProof/>
        </w:rPr>
        <w:t xml:space="preserve">SEKCJA 2: WSPARCIE FINANSOWE </w:t>
      </w:r>
    </w:p>
    <w:p w14:paraId="6EB2AA1A" w14:textId="77777777" w:rsidR="006578ED" w:rsidRDefault="00A1618E">
      <w:pPr>
        <w:pStyle w:val="P68B1DB1-NumPar144"/>
        <w:numPr>
          <w:ilvl w:val="0"/>
          <w:numId w:val="191"/>
        </w:numPr>
        <w:rPr>
          <w:rFonts w:cs="Times New Roman"/>
          <w:noProof/>
        </w:rPr>
      </w:pPr>
      <w:r>
        <w:rPr>
          <w:noProof/>
        </w:rPr>
        <w:t xml:space="preserve">Wkład finansowy </w:t>
      </w:r>
    </w:p>
    <w:p w14:paraId="5734AC5E" w14:textId="7A7CCC71" w:rsidR="006578ED" w:rsidRDefault="00A1618E">
      <w:pPr>
        <w:pStyle w:val="P68B1DB1-Normal4"/>
        <w:spacing w:before="120" w:after="120" w:line="240" w:lineRule="auto"/>
        <w:ind w:left="850"/>
        <w:jc w:val="both"/>
        <w:rPr>
          <w:rFonts w:eastAsia="Calibri" w:cs="Times New Roman"/>
          <w:noProof/>
        </w:rPr>
      </w:pPr>
      <w:r>
        <w:rPr>
          <w:noProof/>
        </w:rPr>
        <w:t>Transze, o których mowa w </w:t>
      </w:r>
      <w:r w:rsidRPr="00A1618E">
        <w:rPr>
          <w:noProof/>
          <w:lang w:val="pl-PL"/>
        </w:rPr>
        <w:t>art. 2</w:t>
      </w:r>
      <w:r>
        <w:rPr>
          <w:noProof/>
        </w:rPr>
        <w:t xml:space="preserve"> </w:t>
      </w:r>
      <w:r w:rsidRPr="00A1618E">
        <w:rPr>
          <w:noProof/>
          <w:lang w:val="pl-PL"/>
        </w:rPr>
        <w:t>ust. 2</w:t>
      </w:r>
      <w:r>
        <w:rPr>
          <w:noProof/>
        </w:rPr>
        <w:t>, mają następującą strukturę:</w:t>
      </w:r>
    </w:p>
    <w:p w14:paraId="24258B11"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Pierwsza transza (wsparcie bezzwrotne): </w:t>
      </w:r>
    </w:p>
    <w:tbl>
      <w:tblPr>
        <w:tblW w:w="9677" w:type="dxa"/>
        <w:tblInd w:w="113" w:type="dxa"/>
        <w:tblLook w:val="04A0" w:firstRow="1" w:lastRow="0" w:firstColumn="1" w:lastColumn="0" w:noHBand="0" w:noVBand="1"/>
      </w:tblPr>
      <w:tblGrid>
        <w:gridCol w:w="1272"/>
        <w:gridCol w:w="1407"/>
        <w:gridCol w:w="1561"/>
        <w:gridCol w:w="6096"/>
        <w:gridCol w:w="13"/>
      </w:tblGrid>
      <w:tr w:rsidR="006578ED" w14:paraId="19034D7E" w14:textId="77777777">
        <w:trPr>
          <w:trHeight w:val="807"/>
          <w:tblHeader/>
        </w:trPr>
        <w:tc>
          <w:tcPr>
            <w:tcW w:w="102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F54C266"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B297E1"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793787"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6109" w:type="dxa"/>
            <w:gridSpan w:val="2"/>
            <w:vMerge w:val="restart"/>
            <w:tcBorders>
              <w:top w:val="single" w:sz="4" w:space="0" w:color="auto"/>
              <w:left w:val="nil"/>
              <w:bottom w:val="single" w:sz="4" w:space="0" w:color="000000"/>
              <w:right w:val="single" w:sz="4" w:space="0" w:color="auto"/>
            </w:tcBorders>
            <w:shd w:val="clear" w:color="auto" w:fill="BDD7EE"/>
            <w:vAlign w:val="center"/>
            <w:hideMark/>
          </w:tcPr>
          <w:p w14:paraId="34541701"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6CAFC044" w14:textId="77777777">
        <w:trPr>
          <w:trHeight w:val="509"/>
        </w:trPr>
        <w:tc>
          <w:tcPr>
            <w:tcW w:w="1027" w:type="dxa"/>
            <w:vMerge/>
            <w:tcBorders>
              <w:top w:val="single" w:sz="4" w:space="0" w:color="auto"/>
              <w:left w:val="single" w:sz="4" w:space="0" w:color="auto"/>
              <w:bottom w:val="single" w:sz="4" w:space="0" w:color="000000"/>
              <w:right w:val="single" w:sz="4" w:space="0" w:color="auto"/>
            </w:tcBorders>
            <w:vAlign w:val="center"/>
            <w:hideMark/>
          </w:tcPr>
          <w:p w14:paraId="2EC0A33B" w14:textId="77777777" w:rsidR="006578ED" w:rsidRDefault="006578ED">
            <w:pPr>
              <w:spacing w:after="0" w:line="240" w:lineRule="auto"/>
              <w:rPr>
                <w:rFonts w:ascii="Times New Roman" w:eastAsia="Times New Roman" w:hAnsi="Times New Roman" w:cs="Times New Roman"/>
                <w:b/>
                <w:noProof/>
                <w:sz w:val="20"/>
              </w:rPr>
            </w:pPr>
          </w:p>
        </w:tc>
        <w:tc>
          <w:tcPr>
            <w:tcW w:w="1407" w:type="dxa"/>
            <w:vMerge/>
            <w:tcBorders>
              <w:top w:val="single" w:sz="4" w:space="0" w:color="auto"/>
              <w:left w:val="single" w:sz="4" w:space="0" w:color="auto"/>
              <w:bottom w:val="single" w:sz="4" w:space="0" w:color="000000"/>
              <w:right w:val="single" w:sz="4" w:space="0" w:color="auto"/>
            </w:tcBorders>
            <w:vAlign w:val="center"/>
            <w:hideMark/>
          </w:tcPr>
          <w:p w14:paraId="2F42DAB6" w14:textId="77777777" w:rsidR="006578ED" w:rsidRDefault="006578ED">
            <w:pPr>
              <w:spacing w:after="0" w:line="240" w:lineRule="auto"/>
              <w:rPr>
                <w:rFonts w:ascii="Times New Roman" w:eastAsia="Times New Roman" w:hAnsi="Times New Roman" w:cs="Times New Roman"/>
                <w:b/>
                <w:noProof/>
                <w:sz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2CD4E83" w14:textId="77777777" w:rsidR="006578ED" w:rsidRDefault="006578ED">
            <w:pPr>
              <w:spacing w:after="0" w:line="240" w:lineRule="auto"/>
              <w:rPr>
                <w:rFonts w:ascii="Times New Roman" w:eastAsia="Times New Roman" w:hAnsi="Times New Roman" w:cs="Times New Roman"/>
                <w:b/>
                <w:noProof/>
                <w:sz w:val="20"/>
              </w:rPr>
            </w:pPr>
          </w:p>
        </w:tc>
        <w:tc>
          <w:tcPr>
            <w:tcW w:w="6109" w:type="dxa"/>
            <w:gridSpan w:val="2"/>
            <w:vMerge/>
            <w:tcBorders>
              <w:top w:val="single" w:sz="4" w:space="0" w:color="auto"/>
              <w:left w:val="nil"/>
              <w:bottom w:val="single" w:sz="4" w:space="0" w:color="000000"/>
              <w:right w:val="single" w:sz="4" w:space="0" w:color="auto"/>
            </w:tcBorders>
            <w:vAlign w:val="center"/>
            <w:hideMark/>
          </w:tcPr>
          <w:p w14:paraId="0949BBA1" w14:textId="77777777" w:rsidR="006578ED" w:rsidRDefault="006578ED">
            <w:pPr>
              <w:spacing w:after="0" w:line="240" w:lineRule="auto"/>
              <w:rPr>
                <w:rFonts w:ascii="Times New Roman" w:eastAsia="Times New Roman" w:hAnsi="Times New Roman" w:cs="Times New Roman"/>
                <w:b/>
                <w:noProof/>
                <w:sz w:val="20"/>
              </w:rPr>
            </w:pPr>
          </w:p>
        </w:tc>
      </w:tr>
      <w:tr w:rsidR="006578ED" w14:paraId="225A0F7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FD40F" w14:textId="77777777" w:rsidR="006578ED" w:rsidRDefault="00A1618E">
            <w:pPr>
              <w:pStyle w:val="P68B1DB1-Normal46"/>
              <w:spacing w:after="0" w:line="240" w:lineRule="auto"/>
              <w:jc w:val="center"/>
              <w:rPr>
                <w:rFonts w:eastAsia="Times New Roman" w:cs="Times New Roman"/>
                <w:noProof/>
              </w:rPr>
            </w:pPr>
            <w:r>
              <w:rPr>
                <w:noProof/>
              </w:rPr>
              <w:t>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62717E5" w14:textId="77777777" w:rsidR="006578ED" w:rsidRDefault="00A1618E">
            <w:pPr>
              <w:pStyle w:val="P68B1DB1-Normal46"/>
              <w:spacing w:after="0" w:line="240" w:lineRule="auto"/>
              <w:jc w:val="center"/>
              <w:rPr>
                <w:rFonts w:eastAsia="Times New Roman" w:cs="Times New Roman"/>
                <w:noProof/>
              </w:rPr>
            </w:pPr>
            <w:r>
              <w:rPr>
                <w:noProof/>
              </w:rPr>
              <w:t>C1.R1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CC7ADE" w14:textId="3EFCA0FC"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39265DA" w14:textId="71B2DDA2" w:rsidR="006578ED" w:rsidRDefault="00A1618E">
            <w:pPr>
              <w:pStyle w:val="P68B1DB1-Normal46"/>
              <w:spacing w:after="0" w:line="240" w:lineRule="auto"/>
              <w:rPr>
                <w:rFonts w:eastAsia="Times New Roman" w:cs="Times New Roman"/>
                <w:noProof/>
              </w:rPr>
            </w:pPr>
            <w:r>
              <w:rPr>
                <w:noProof/>
              </w:rPr>
              <w:t>Postanowienie TMA/178/2020 i dekret królewski z mocą ustawy 23/2020</w:t>
            </w:r>
          </w:p>
        </w:tc>
      </w:tr>
      <w:tr w:rsidR="006578ED" w14:paraId="2480D24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0F6B8B" w14:textId="77777777" w:rsidR="006578ED" w:rsidRDefault="00A1618E">
            <w:pPr>
              <w:pStyle w:val="P68B1DB1-Normal46"/>
              <w:spacing w:after="0" w:line="240" w:lineRule="auto"/>
              <w:jc w:val="center"/>
              <w:rPr>
                <w:rFonts w:eastAsia="Times New Roman" w:cs="Times New Roman"/>
                <w:noProof/>
              </w:rPr>
            </w:pPr>
            <w:r>
              <w:rPr>
                <w:noProof/>
              </w:rPr>
              <w:t>21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E9D9941" w14:textId="77777777" w:rsidR="006578ED" w:rsidRDefault="00A1618E">
            <w:pPr>
              <w:pStyle w:val="P68B1DB1-Normal46"/>
              <w:spacing w:after="0" w:line="240" w:lineRule="auto"/>
              <w:jc w:val="center"/>
              <w:rPr>
                <w:rFonts w:eastAsia="Times New Roman" w:cs="Times New Roman"/>
                <w:noProof/>
              </w:rPr>
            </w:pPr>
            <w:r>
              <w:rPr>
                <w:noProof/>
              </w:rPr>
              <w:t>C2.R1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F0CF980" w14:textId="56CD6A8F"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FCC87C1" w14:textId="22DE73EB" w:rsidR="006578ED" w:rsidRDefault="00A1618E">
            <w:pPr>
              <w:pStyle w:val="P68B1DB1-Normal46"/>
              <w:spacing w:after="0" w:line="240" w:lineRule="auto"/>
              <w:rPr>
                <w:rFonts w:eastAsia="Times New Roman" w:cs="Times New Roman"/>
                <w:noProof/>
              </w:rPr>
            </w:pPr>
            <w:r>
              <w:rPr>
                <w:noProof/>
              </w:rPr>
              <w:t xml:space="preserve">Wejście w życie hiszpańskiej agendy miejskiej i długoterminowej strategii renowacji energetycznej w sektorze budowlanym w Hiszpanii </w:t>
            </w:r>
          </w:p>
        </w:tc>
      </w:tr>
      <w:tr w:rsidR="006578ED" w14:paraId="415FB51A"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10AFFB" w14:textId="77777777" w:rsidR="006578ED" w:rsidRDefault="00A1618E">
            <w:pPr>
              <w:pStyle w:val="P68B1DB1-Normal46"/>
              <w:spacing w:after="0" w:line="240" w:lineRule="auto"/>
              <w:jc w:val="center"/>
              <w:rPr>
                <w:rFonts w:eastAsia="Times New Roman" w:cs="Times New Roman"/>
                <w:noProof/>
              </w:rPr>
            </w:pPr>
            <w:r>
              <w:rPr>
                <w:noProof/>
              </w:rPr>
              <w:t>39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43C327D" w14:textId="77777777" w:rsidR="006578ED" w:rsidRDefault="00A1618E">
            <w:pPr>
              <w:pStyle w:val="P68B1DB1-Normal46"/>
              <w:spacing w:after="0" w:line="240" w:lineRule="auto"/>
              <w:jc w:val="center"/>
              <w:rPr>
                <w:rFonts w:eastAsia="Times New Roman" w:cs="Times New Roman"/>
                <w:noProof/>
              </w:rPr>
            </w:pPr>
            <w:r>
              <w:rPr>
                <w:noProof/>
              </w:rPr>
              <w:t>C3.R1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699418" w14:textId="715CDFEF"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163166A" w14:textId="0AF224EA" w:rsidR="006578ED" w:rsidRDefault="00A1618E">
            <w:pPr>
              <w:pStyle w:val="P68B1DB1-Normal46"/>
              <w:spacing w:after="0" w:line="240" w:lineRule="auto"/>
              <w:rPr>
                <w:rFonts w:eastAsia="Times New Roman" w:cs="Times New Roman"/>
                <w:noProof/>
              </w:rPr>
            </w:pPr>
            <w:r>
              <w:rPr>
                <w:noProof/>
              </w:rPr>
              <w:t xml:space="preserve">Wejście w życie dekretu królewskiego z mocą ustawy 5/2020 w sprawie pilnych środków dotyczących rolnictwa i żywności oraz ustawy </w:t>
            </w:r>
            <w:r w:rsidRPr="00A1618E">
              <w:rPr>
                <w:noProof/>
                <w:lang w:val="pl-PL"/>
              </w:rPr>
              <w:t>nr 8</w:t>
            </w:r>
            <w:r>
              <w:rPr>
                <w:noProof/>
              </w:rPr>
              <w:t>/2020 w sprawie zmiany ustawy 12/2013 w sprawie środków na rzecz poprawy funkcjonowania łańcucha żywnościowego</w:t>
            </w:r>
          </w:p>
        </w:tc>
      </w:tr>
      <w:tr w:rsidR="006578ED" w14:paraId="256249B1"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B3830F" w14:textId="77777777" w:rsidR="006578ED" w:rsidRDefault="00A1618E">
            <w:pPr>
              <w:pStyle w:val="P68B1DB1-Normal46"/>
              <w:spacing w:after="0" w:line="240" w:lineRule="auto"/>
              <w:jc w:val="center"/>
              <w:rPr>
                <w:rFonts w:eastAsia="Times New Roman" w:cs="Times New Roman"/>
                <w:noProof/>
              </w:rPr>
            </w:pPr>
            <w:r>
              <w:rPr>
                <w:noProof/>
              </w:rPr>
              <w:t>63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4B79D67" w14:textId="77777777" w:rsidR="006578ED" w:rsidRDefault="00A1618E">
            <w:pPr>
              <w:pStyle w:val="P68B1DB1-Normal46"/>
              <w:spacing w:after="0" w:line="240" w:lineRule="auto"/>
              <w:jc w:val="center"/>
              <w:rPr>
                <w:rFonts w:eastAsia="Times New Roman" w:cs="Times New Roman"/>
                <w:noProof/>
              </w:rPr>
            </w:pPr>
            <w:r>
              <w:rPr>
                <w:noProof/>
              </w:rPr>
              <w:t>C4.R2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31E7925" w14:textId="29D4968A"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31A5CAF" w14:textId="377D94D4" w:rsidR="006578ED" w:rsidRDefault="00A1618E">
            <w:pPr>
              <w:pStyle w:val="P68B1DB1-Normal46"/>
              <w:spacing w:after="0" w:line="240" w:lineRule="auto"/>
              <w:rPr>
                <w:rFonts w:eastAsia="Times New Roman" w:cs="Times New Roman"/>
                <w:noProof/>
              </w:rPr>
            </w:pPr>
            <w:r>
              <w:rPr>
                <w:noProof/>
              </w:rPr>
              <w:t>Przyjęcie krajowej strategii na rzecz zielonej infrastruktury, łączności i odbudowy ekologicznej</w:t>
            </w:r>
          </w:p>
        </w:tc>
      </w:tr>
      <w:tr w:rsidR="006578ED" w14:paraId="01448C79"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6B1D3E9" w14:textId="77777777" w:rsidR="006578ED" w:rsidRDefault="00A1618E">
            <w:pPr>
              <w:pStyle w:val="P68B1DB1-Normal46"/>
              <w:spacing w:after="0" w:line="240" w:lineRule="auto"/>
              <w:jc w:val="center"/>
              <w:rPr>
                <w:rFonts w:eastAsia="Times New Roman" w:cs="Times New Roman"/>
                <w:noProof/>
              </w:rPr>
            </w:pPr>
            <w:r>
              <w:rPr>
                <w:noProof/>
              </w:rPr>
              <w:t>82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F1B5C80" w14:textId="77777777" w:rsidR="006578ED" w:rsidRDefault="00A1618E">
            <w:pPr>
              <w:pStyle w:val="P68B1DB1-Normal46"/>
              <w:spacing w:after="0" w:line="240" w:lineRule="auto"/>
              <w:jc w:val="center"/>
              <w:rPr>
                <w:rFonts w:eastAsia="Times New Roman" w:cs="Times New Roman"/>
                <w:noProof/>
              </w:rPr>
            </w:pPr>
            <w:r>
              <w:rPr>
                <w:noProof/>
              </w:rPr>
              <w:t>C6.R1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7B85F95" w14:textId="2296AFB6"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737C31B" w14:textId="515A4B23" w:rsidR="006578ED" w:rsidRDefault="00A1618E">
            <w:pPr>
              <w:pStyle w:val="P68B1DB1-Normal46"/>
              <w:spacing w:after="0" w:line="240" w:lineRule="auto"/>
              <w:rPr>
                <w:rFonts w:eastAsia="Times New Roman" w:cs="Times New Roman"/>
                <w:noProof/>
              </w:rPr>
            </w:pPr>
            <w:r>
              <w:rPr>
                <w:noProof/>
              </w:rPr>
              <w:t>Strategia na rzecz zrównoważonej, bezpiecznej i opartej na sieci mobilności (konsultacje publiczne)</w:t>
            </w:r>
          </w:p>
        </w:tc>
      </w:tr>
      <w:tr w:rsidR="006578ED" w14:paraId="7297BF1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CDB122" w14:textId="77777777" w:rsidR="006578ED" w:rsidRDefault="00A1618E">
            <w:pPr>
              <w:pStyle w:val="P68B1DB1-Normal46"/>
              <w:spacing w:after="0" w:line="240" w:lineRule="auto"/>
              <w:jc w:val="center"/>
              <w:rPr>
                <w:rFonts w:eastAsia="Times New Roman" w:cs="Times New Roman"/>
                <w:noProof/>
              </w:rPr>
            </w:pPr>
            <w:r>
              <w:rPr>
                <w:noProof/>
              </w:rPr>
              <w:t>102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7114184" w14:textId="77777777" w:rsidR="006578ED" w:rsidRDefault="00A1618E">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C0B33EE" w14:textId="6451A4A6"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4D3F62C" w14:textId="029474A3" w:rsidR="006578ED" w:rsidRDefault="00A1618E">
            <w:pPr>
              <w:pStyle w:val="P68B1DB1-Normal46"/>
              <w:spacing w:after="0" w:line="240" w:lineRule="auto"/>
              <w:rPr>
                <w:rFonts w:eastAsia="Times New Roman" w:cs="Times New Roman"/>
                <w:noProof/>
              </w:rPr>
            </w:pPr>
            <w:r>
              <w:rPr>
                <w:noProof/>
              </w:rPr>
              <w:t>Wejście w życie dekretu królewskiego z mocą ustawy 23/2020 (środki w dziedzinie energii)</w:t>
            </w:r>
          </w:p>
        </w:tc>
      </w:tr>
      <w:tr w:rsidR="006578ED" w14:paraId="3728630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8BA02A" w14:textId="77777777" w:rsidR="006578ED" w:rsidRDefault="00A1618E">
            <w:pPr>
              <w:pStyle w:val="P68B1DB1-Normal46"/>
              <w:spacing w:after="0" w:line="240" w:lineRule="auto"/>
              <w:jc w:val="center"/>
              <w:rPr>
                <w:rFonts w:eastAsia="Times New Roman" w:cs="Times New Roman"/>
                <w:noProof/>
              </w:rPr>
            </w:pPr>
            <w:r>
              <w:rPr>
                <w:noProof/>
              </w:rPr>
              <w:t>103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18C4301" w14:textId="77777777" w:rsidR="006578ED" w:rsidRDefault="00A1618E">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CF3255F" w14:textId="7CDA9633"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6EDAD91" w14:textId="45C7CBBB" w:rsidR="006578ED" w:rsidRDefault="00A1618E">
            <w:pPr>
              <w:pStyle w:val="P68B1DB1-Normal46"/>
              <w:spacing w:after="0" w:line="240" w:lineRule="auto"/>
              <w:rPr>
                <w:rFonts w:eastAsia="Times New Roman" w:cs="Times New Roman"/>
                <w:noProof/>
              </w:rPr>
            </w:pPr>
            <w:r>
              <w:rPr>
                <w:noProof/>
              </w:rPr>
              <w:t>Wejście w życie dekretu królewskiego 960/2020 (system gospodarczy dotyczący energii ze źródeł odnawialnych)</w:t>
            </w:r>
          </w:p>
        </w:tc>
      </w:tr>
      <w:tr w:rsidR="006578ED" w14:paraId="7A01B14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6BC4BC" w14:textId="77777777" w:rsidR="006578ED" w:rsidRDefault="00A1618E">
            <w:pPr>
              <w:pStyle w:val="P68B1DB1-Normal46"/>
              <w:spacing w:after="0" w:line="240" w:lineRule="auto"/>
              <w:jc w:val="center"/>
              <w:rPr>
                <w:rFonts w:eastAsia="Times New Roman" w:cs="Times New Roman"/>
                <w:noProof/>
              </w:rPr>
            </w:pPr>
            <w:r>
              <w:rPr>
                <w:noProof/>
              </w:rPr>
              <w:t>104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86714D2" w14:textId="77777777" w:rsidR="006578ED" w:rsidRDefault="00A1618E">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596A2CB" w14:textId="50E039D3"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EF00BCE" w14:textId="054BC0CC" w:rsidR="006578ED" w:rsidRDefault="00A1618E">
            <w:pPr>
              <w:pStyle w:val="P68B1DB1-Normal46"/>
              <w:spacing w:after="0" w:line="240" w:lineRule="auto"/>
              <w:rPr>
                <w:rFonts w:eastAsia="Times New Roman" w:cs="Times New Roman"/>
                <w:noProof/>
              </w:rPr>
            </w:pPr>
            <w:r>
              <w:rPr>
                <w:noProof/>
              </w:rPr>
              <w:t>Wejście w życie dekretu królewskiego 1183/2020 (przyłączenie odnawialnych źródeł energii do sieci elektroenergetycznej)</w:t>
            </w:r>
          </w:p>
        </w:tc>
      </w:tr>
      <w:tr w:rsidR="006578ED" w14:paraId="51C4256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FBE483" w14:textId="77777777" w:rsidR="006578ED" w:rsidRDefault="00A1618E">
            <w:pPr>
              <w:pStyle w:val="P68B1DB1-Normal46"/>
              <w:spacing w:after="0" w:line="240" w:lineRule="auto"/>
              <w:jc w:val="center"/>
              <w:rPr>
                <w:rFonts w:eastAsia="Times New Roman" w:cs="Times New Roman"/>
                <w:noProof/>
              </w:rPr>
            </w:pPr>
            <w:r>
              <w:rPr>
                <w:noProof/>
              </w:rPr>
              <w:t>105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37A5413" w14:textId="77777777" w:rsidR="006578ED" w:rsidRDefault="00A1618E">
            <w:pPr>
              <w:pStyle w:val="P68B1DB1-Normal46"/>
              <w:spacing w:after="0" w:line="240" w:lineRule="auto"/>
              <w:jc w:val="center"/>
              <w:rPr>
                <w:rFonts w:eastAsia="Times New Roman" w:cs="Times New Roman"/>
                <w:noProof/>
              </w:rPr>
            </w:pPr>
            <w:r>
              <w:rPr>
                <w:noProof/>
              </w:rPr>
              <w:t>C7.R1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6F8389D" w14:textId="27809232"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BA0C577" w14:textId="5AA02884" w:rsidR="006578ED" w:rsidRDefault="00A1618E">
            <w:pPr>
              <w:pStyle w:val="P68B1DB1-Normal46"/>
              <w:spacing w:after="0" w:line="240" w:lineRule="auto"/>
              <w:rPr>
                <w:rFonts w:eastAsia="Times New Roman" w:cs="Times New Roman"/>
                <w:noProof/>
              </w:rPr>
            </w:pPr>
            <w:r>
              <w:rPr>
                <w:noProof/>
              </w:rPr>
              <w:t xml:space="preserve">Wejście w życie ustawy o zmianie klimatu i transformacji energetycznej </w:t>
            </w:r>
          </w:p>
        </w:tc>
      </w:tr>
      <w:tr w:rsidR="006578ED" w14:paraId="0D65DCDF"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CDB7240" w14:textId="77777777" w:rsidR="006578ED" w:rsidRDefault="00A1618E">
            <w:pPr>
              <w:pStyle w:val="P68B1DB1-Normal46"/>
              <w:spacing w:after="0" w:line="240" w:lineRule="auto"/>
              <w:jc w:val="center"/>
              <w:rPr>
                <w:rFonts w:eastAsia="Times New Roman" w:cs="Times New Roman"/>
                <w:noProof/>
              </w:rPr>
            </w:pPr>
            <w:r>
              <w:rPr>
                <w:noProof/>
              </w:rPr>
              <w:t>121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9BAE3EE" w14:textId="77777777" w:rsidR="006578ED" w:rsidRDefault="00A1618E">
            <w:pPr>
              <w:pStyle w:val="P68B1DB1-Normal46"/>
              <w:spacing w:after="0" w:line="240" w:lineRule="auto"/>
              <w:jc w:val="center"/>
              <w:rPr>
                <w:rFonts w:eastAsia="Times New Roman" w:cs="Times New Roman"/>
                <w:noProof/>
              </w:rPr>
            </w:pPr>
            <w:r>
              <w:rPr>
                <w:noProof/>
              </w:rPr>
              <w:t>C8.R1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C703D7" w14:textId="4F892839"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AEB3BE6" w14:textId="77777777" w:rsidR="006578ED" w:rsidRDefault="00A1618E">
            <w:pPr>
              <w:pStyle w:val="P68B1DB1-Normal46"/>
              <w:spacing w:after="0" w:line="240" w:lineRule="auto"/>
              <w:rPr>
                <w:rFonts w:eastAsia="Times New Roman" w:cs="Times New Roman"/>
                <w:noProof/>
              </w:rPr>
            </w:pPr>
            <w:r>
              <w:rPr>
                <w:noProof/>
              </w:rPr>
              <w:t>Zatwierdzenie długoterminowej strategii dekarbonizacji („ELP2050”).</w:t>
            </w:r>
          </w:p>
        </w:tc>
      </w:tr>
      <w:tr w:rsidR="006578ED" w14:paraId="5F4A8EF4"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7D70339" w14:textId="77777777" w:rsidR="006578ED" w:rsidRDefault="00A1618E">
            <w:pPr>
              <w:pStyle w:val="P68B1DB1-Normal46"/>
              <w:spacing w:after="0" w:line="240" w:lineRule="auto"/>
              <w:jc w:val="center"/>
              <w:rPr>
                <w:rFonts w:eastAsia="Times New Roman" w:cs="Times New Roman"/>
                <w:noProof/>
              </w:rPr>
            </w:pPr>
            <w:r>
              <w:rPr>
                <w:noProof/>
              </w:rPr>
              <w:t>122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EA35BA1" w14:textId="77777777" w:rsidR="006578ED" w:rsidRDefault="00A1618E">
            <w:pPr>
              <w:pStyle w:val="P68B1DB1-Normal46"/>
              <w:spacing w:after="0" w:line="240" w:lineRule="auto"/>
              <w:jc w:val="center"/>
              <w:rPr>
                <w:rFonts w:eastAsia="Times New Roman" w:cs="Times New Roman"/>
                <w:noProof/>
              </w:rPr>
            </w:pPr>
            <w:r>
              <w:rPr>
                <w:noProof/>
              </w:rPr>
              <w:t>C8.R2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BFEF2A0" w14:textId="2BF4A8A9"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AEB460" w14:textId="366D8E27" w:rsidR="006578ED" w:rsidRDefault="00A1618E">
            <w:pPr>
              <w:pStyle w:val="P68B1DB1-Normal46"/>
              <w:spacing w:after="0" w:line="240" w:lineRule="auto"/>
              <w:rPr>
                <w:rFonts w:eastAsia="Times New Roman" w:cs="Times New Roman"/>
                <w:noProof/>
              </w:rPr>
            </w:pPr>
            <w:r>
              <w:rPr>
                <w:noProof/>
              </w:rPr>
              <w:t>Wejście w życie reform w zakresie planowania, ustawodawstwa i regulacji w celu promowania rozwoju rozwiązań w zakresie magazynowania energii.</w:t>
            </w:r>
          </w:p>
        </w:tc>
      </w:tr>
      <w:tr w:rsidR="006578ED" w14:paraId="102F31C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5B1CCD" w14:textId="77777777" w:rsidR="006578ED" w:rsidRDefault="00A1618E">
            <w:pPr>
              <w:pStyle w:val="P68B1DB1-Normal46"/>
              <w:spacing w:after="0" w:line="240" w:lineRule="auto"/>
              <w:jc w:val="center"/>
              <w:rPr>
                <w:rFonts w:eastAsia="Times New Roman" w:cs="Times New Roman"/>
                <w:noProof/>
              </w:rPr>
            </w:pPr>
            <w:r>
              <w:rPr>
                <w:noProof/>
              </w:rPr>
              <w:t>129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46CCF79" w14:textId="77777777" w:rsidR="006578ED" w:rsidRDefault="00A1618E">
            <w:pPr>
              <w:pStyle w:val="P68B1DB1-Normal46"/>
              <w:spacing w:after="0" w:line="240" w:lineRule="auto"/>
              <w:jc w:val="center"/>
              <w:rPr>
                <w:rFonts w:eastAsia="Times New Roman" w:cs="Times New Roman"/>
                <w:noProof/>
              </w:rPr>
            </w:pPr>
            <w:r>
              <w:rPr>
                <w:noProof/>
              </w:rPr>
              <w:t>C9.R1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7D60171E" w14:textId="1E4EEA22"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A63C2A5" w14:textId="1188A8AA" w:rsidR="006578ED" w:rsidRDefault="00A1618E">
            <w:pPr>
              <w:pStyle w:val="P68B1DB1-Normal46"/>
              <w:spacing w:after="0" w:line="240" w:lineRule="auto"/>
              <w:rPr>
                <w:rFonts w:eastAsia="Times New Roman" w:cs="Times New Roman"/>
                <w:noProof/>
              </w:rPr>
            </w:pPr>
            <w:r>
              <w:rPr>
                <w:noProof/>
              </w:rPr>
              <w:t xml:space="preserve">Plan działania w zakresie wodoru </w:t>
            </w:r>
          </w:p>
        </w:tc>
      </w:tr>
      <w:tr w:rsidR="006578ED" w14:paraId="3AFE742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944540" w14:textId="77777777" w:rsidR="006578ED" w:rsidRDefault="00A1618E">
            <w:pPr>
              <w:pStyle w:val="P68B1DB1-Normal46"/>
              <w:spacing w:after="0" w:line="240" w:lineRule="auto"/>
              <w:jc w:val="center"/>
              <w:rPr>
                <w:rFonts w:eastAsia="Times New Roman" w:cs="Times New Roman"/>
                <w:noProof/>
              </w:rPr>
            </w:pPr>
            <w:r>
              <w:rPr>
                <w:noProof/>
              </w:rPr>
              <w:t>137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C31926D" w14:textId="77777777" w:rsidR="006578ED" w:rsidRDefault="00A1618E">
            <w:pPr>
              <w:pStyle w:val="P68B1DB1-Normal46"/>
              <w:spacing w:after="0" w:line="240" w:lineRule="auto"/>
              <w:jc w:val="center"/>
              <w:rPr>
                <w:rFonts w:eastAsia="Times New Roman" w:cs="Times New Roman"/>
                <w:noProof/>
              </w:rPr>
            </w:pPr>
            <w:r>
              <w:rPr>
                <w:noProof/>
              </w:rPr>
              <w:t>C10.R1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4CB21E9" w14:textId="3DA77FB5"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FE0B7F9" w14:textId="77777777" w:rsidR="006578ED" w:rsidRDefault="00A1618E">
            <w:pPr>
              <w:pStyle w:val="P68B1DB1-Normal46"/>
              <w:spacing w:after="0" w:line="240" w:lineRule="auto"/>
              <w:rPr>
                <w:rFonts w:eastAsia="Times New Roman" w:cs="Times New Roman"/>
                <w:noProof/>
              </w:rPr>
            </w:pPr>
            <w:r>
              <w:rPr>
                <w:noProof/>
              </w:rPr>
              <w:t xml:space="preserve">Utworzenie Instytutu Funduszu na rzecz Sprawiedliwej Transformacji </w:t>
            </w:r>
          </w:p>
        </w:tc>
      </w:tr>
      <w:tr w:rsidR="006578ED" w14:paraId="1C1B59B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EBA7B1E" w14:textId="77777777" w:rsidR="006578ED" w:rsidRDefault="00A1618E">
            <w:pPr>
              <w:pStyle w:val="P68B1DB1-Normal46"/>
              <w:spacing w:after="0" w:line="240" w:lineRule="auto"/>
              <w:jc w:val="center"/>
              <w:rPr>
                <w:rFonts w:eastAsia="Times New Roman" w:cs="Times New Roman"/>
                <w:noProof/>
              </w:rPr>
            </w:pPr>
            <w:r>
              <w:rPr>
                <w:noProof/>
              </w:rPr>
              <w:t>144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3121945" w14:textId="77777777" w:rsidR="006578ED" w:rsidRDefault="00A1618E">
            <w:pPr>
              <w:pStyle w:val="P68B1DB1-Normal46"/>
              <w:spacing w:after="0" w:line="240" w:lineRule="auto"/>
              <w:jc w:val="center"/>
              <w:rPr>
                <w:rFonts w:eastAsia="Times New Roman" w:cs="Times New Roman"/>
                <w:noProof/>
              </w:rPr>
            </w:pPr>
            <w:r>
              <w:rPr>
                <w:noProof/>
              </w:rPr>
              <w:t>C11.R1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8605112" w14:textId="3AAB1BF8"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212F3AF" w14:textId="0A111A23" w:rsidR="006578ED" w:rsidRDefault="00A1618E">
            <w:pPr>
              <w:pStyle w:val="P68B1DB1-Normal46"/>
              <w:spacing w:after="0" w:line="240" w:lineRule="auto"/>
              <w:rPr>
                <w:rFonts w:eastAsia="Times New Roman" w:cs="Times New Roman"/>
                <w:noProof/>
              </w:rPr>
            </w:pPr>
            <w:r>
              <w:rPr>
                <w:noProof/>
              </w:rPr>
              <w:t>Wejście w życie aktu ustawodawczego mającego na celu ograniczenie zatrudnienia na czas określony w administracji publicznej</w:t>
            </w:r>
          </w:p>
        </w:tc>
      </w:tr>
      <w:tr w:rsidR="006578ED" w14:paraId="4B8826F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04E8758" w14:textId="77777777" w:rsidR="006578ED" w:rsidRDefault="00A1618E">
            <w:pPr>
              <w:pStyle w:val="P68B1DB1-Normal46"/>
              <w:spacing w:after="0" w:line="240" w:lineRule="auto"/>
              <w:jc w:val="center"/>
              <w:rPr>
                <w:rFonts w:eastAsia="Times New Roman" w:cs="Times New Roman"/>
                <w:noProof/>
              </w:rPr>
            </w:pPr>
            <w:r>
              <w:rPr>
                <w:noProof/>
              </w:rPr>
              <w:t>151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FAB1316" w14:textId="77777777" w:rsidR="006578ED" w:rsidRDefault="00A1618E">
            <w:pPr>
              <w:pStyle w:val="P68B1DB1-Normal46"/>
              <w:spacing w:after="0" w:line="240" w:lineRule="auto"/>
              <w:jc w:val="center"/>
              <w:rPr>
                <w:rFonts w:eastAsia="Times New Roman" w:cs="Times New Roman"/>
                <w:noProof/>
              </w:rPr>
            </w:pPr>
            <w:r>
              <w:rPr>
                <w:noProof/>
              </w:rPr>
              <w:t>C11.R2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107FDD9" w14:textId="6EA5288F"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AA232EA" w14:textId="33A8B366" w:rsidR="006578ED" w:rsidRDefault="00A1618E">
            <w:pPr>
              <w:pStyle w:val="P68B1DB1-Normal46"/>
              <w:spacing w:after="0" w:line="240" w:lineRule="auto"/>
              <w:rPr>
                <w:rFonts w:eastAsia="Times New Roman" w:cs="Times New Roman"/>
                <w:noProof/>
              </w:rPr>
            </w:pPr>
            <w:r>
              <w:rPr>
                <w:noProof/>
              </w:rPr>
              <w:t xml:space="preserve">Wejście w życie ustawy </w:t>
            </w:r>
            <w:r w:rsidRPr="00A1618E">
              <w:rPr>
                <w:noProof/>
                <w:lang w:val="pl-PL"/>
              </w:rPr>
              <w:t>nr 3</w:t>
            </w:r>
            <w:r>
              <w:rPr>
                <w:noProof/>
              </w:rPr>
              <w:t>/2020 o środkach proceduralnych i organizacyjnych w dziedzinie wymiaru sprawiedliwości</w:t>
            </w:r>
          </w:p>
        </w:tc>
      </w:tr>
      <w:tr w:rsidR="006578ED" w14:paraId="6ECFDD41"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14C3B35" w14:textId="77777777" w:rsidR="006578ED" w:rsidRDefault="00A1618E">
            <w:pPr>
              <w:pStyle w:val="P68B1DB1-Normal46"/>
              <w:spacing w:after="0" w:line="240" w:lineRule="auto"/>
              <w:jc w:val="center"/>
              <w:rPr>
                <w:rFonts w:eastAsia="Times New Roman" w:cs="Times New Roman"/>
                <w:noProof/>
              </w:rPr>
            </w:pPr>
            <w:r>
              <w:rPr>
                <w:noProof/>
              </w:rPr>
              <w:t>153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48839CC" w14:textId="77777777" w:rsidR="006578ED" w:rsidRDefault="00A1618E">
            <w:pPr>
              <w:pStyle w:val="P68B1DB1-Normal46"/>
              <w:spacing w:after="0" w:line="240" w:lineRule="auto"/>
              <w:jc w:val="center"/>
              <w:rPr>
                <w:rFonts w:eastAsia="Times New Roman" w:cs="Times New Roman"/>
                <w:noProof/>
              </w:rPr>
            </w:pPr>
            <w:r>
              <w:rPr>
                <w:noProof/>
              </w:rPr>
              <w:t>C11.R3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91DFCE9" w14:textId="35151645"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E7C3A28" w14:textId="2D22EB77" w:rsidR="006578ED" w:rsidRDefault="00A1618E">
            <w:pPr>
              <w:pStyle w:val="P68B1DB1-Normal46"/>
              <w:spacing w:after="0" w:line="240" w:lineRule="auto"/>
              <w:rPr>
                <w:rFonts w:eastAsia="Times New Roman" w:cs="Times New Roman"/>
                <w:noProof/>
              </w:rPr>
            </w:pPr>
            <w:r>
              <w:rPr>
                <w:noProof/>
              </w:rPr>
              <w:t>Wejście w życie dekretu królewskiego 937/2020 w sprawie regulacji Caja General de Depósitos</w:t>
            </w:r>
          </w:p>
        </w:tc>
      </w:tr>
      <w:tr w:rsidR="006578ED" w14:paraId="14EC4688"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6806D1" w14:textId="77777777" w:rsidR="006578ED" w:rsidRDefault="00A1618E">
            <w:pPr>
              <w:pStyle w:val="P68B1DB1-Normal46"/>
              <w:spacing w:after="0" w:line="240" w:lineRule="auto"/>
              <w:jc w:val="center"/>
              <w:rPr>
                <w:rFonts w:eastAsia="Times New Roman" w:cs="Times New Roman"/>
                <w:noProof/>
              </w:rPr>
            </w:pPr>
            <w:r>
              <w:rPr>
                <w:noProof/>
              </w:rPr>
              <w:t>154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CDA51AD" w14:textId="77777777" w:rsidR="006578ED" w:rsidRDefault="00A1618E">
            <w:pPr>
              <w:pStyle w:val="P68B1DB1-Normal46"/>
              <w:spacing w:after="0" w:line="240" w:lineRule="auto"/>
              <w:jc w:val="center"/>
              <w:rPr>
                <w:rFonts w:eastAsia="Times New Roman" w:cs="Times New Roman"/>
                <w:noProof/>
              </w:rPr>
            </w:pPr>
            <w:r>
              <w:rPr>
                <w:noProof/>
              </w:rPr>
              <w:t>C11.R3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7C13D7" w14:textId="09F60993"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9120F94" w14:textId="537A95CB" w:rsidR="006578ED" w:rsidRDefault="00A1618E">
            <w:pPr>
              <w:pStyle w:val="P68B1DB1-Normal46"/>
              <w:spacing w:after="0" w:line="240" w:lineRule="auto"/>
              <w:rPr>
                <w:rFonts w:eastAsia="Times New Roman" w:cs="Times New Roman"/>
                <w:noProof/>
              </w:rPr>
            </w:pPr>
            <w:r>
              <w:rPr>
                <w:noProof/>
              </w:rPr>
              <w:t>Wejście w życie dekretu królewskiego zatwierdzającego rozporządzenie wykonawcze do ustawy 22/2015 z dnia 20 lipca 20</w:t>
            </w:r>
            <w:r w:rsidRPr="00A1618E">
              <w:rPr>
                <w:noProof/>
                <w:lang w:val="pl-PL"/>
              </w:rPr>
              <w:t>15 r.</w:t>
            </w:r>
            <w:r>
              <w:rPr>
                <w:noProof/>
              </w:rPr>
              <w:t xml:space="preserve"> w sprawie kontroli rachunków</w:t>
            </w:r>
          </w:p>
        </w:tc>
      </w:tr>
      <w:tr w:rsidR="006578ED" w14:paraId="0910866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75A97DD" w14:textId="77777777" w:rsidR="006578ED" w:rsidRDefault="00A1618E">
            <w:pPr>
              <w:pStyle w:val="P68B1DB1-Normal46"/>
              <w:spacing w:after="0" w:line="240" w:lineRule="auto"/>
              <w:jc w:val="center"/>
              <w:rPr>
                <w:rFonts w:eastAsia="Times New Roman" w:cs="Times New Roman"/>
                <w:noProof/>
              </w:rPr>
            </w:pPr>
            <w:r>
              <w:rPr>
                <w:noProof/>
              </w:rPr>
              <w:t>157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980C58F" w14:textId="77777777" w:rsidR="006578ED" w:rsidRDefault="00A1618E">
            <w:pPr>
              <w:pStyle w:val="P68B1DB1-Normal46"/>
              <w:spacing w:after="0" w:line="240" w:lineRule="auto"/>
              <w:jc w:val="center"/>
              <w:rPr>
                <w:rFonts w:eastAsia="Times New Roman" w:cs="Times New Roman"/>
                <w:noProof/>
              </w:rPr>
            </w:pPr>
            <w:r>
              <w:rPr>
                <w:noProof/>
              </w:rPr>
              <w:t>C11.R5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27FBB4" w14:textId="49DBA7B3"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4F012DE" w14:textId="52698FB9" w:rsidR="006578ED" w:rsidRDefault="00A1618E">
            <w:pPr>
              <w:pStyle w:val="P68B1DB1-Normal46"/>
              <w:spacing w:after="0" w:line="240" w:lineRule="auto"/>
              <w:rPr>
                <w:rFonts w:eastAsia="Times New Roman" w:cs="Times New Roman"/>
                <w:noProof/>
              </w:rPr>
            </w:pPr>
            <w:r>
              <w:rPr>
                <w:noProof/>
              </w:rPr>
              <w:t>Wejście w życie dekretu królewskiego z mocą ustawy 36/2020 w sprawie wdrożenia planu odbudowy, transformacji i zwiększania odporności</w:t>
            </w:r>
          </w:p>
        </w:tc>
      </w:tr>
      <w:tr w:rsidR="006578ED" w14:paraId="11B8D24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00AFED" w14:textId="77777777" w:rsidR="006578ED" w:rsidRDefault="00A1618E">
            <w:pPr>
              <w:pStyle w:val="P68B1DB1-Normal46"/>
              <w:spacing w:after="0" w:line="240" w:lineRule="auto"/>
              <w:jc w:val="center"/>
              <w:rPr>
                <w:rFonts w:eastAsia="Times New Roman" w:cs="Times New Roman"/>
                <w:noProof/>
              </w:rPr>
            </w:pPr>
            <w:r>
              <w:rPr>
                <w:noProof/>
              </w:rPr>
              <w:t>158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769EBC4" w14:textId="77777777" w:rsidR="006578ED" w:rsidRDefault="00A1618E">
            <w:pPr>
              <w:pStyle w:val="P68B1DB1-Normal46"/>
              <w:spacing w:after="0" w:line="240" w:lineRule="auto"/>
              <w:jc w:val="center"/>
              <w:rPr>
                <w:rFonts w:eastAsia="Times New Roman" w:cs="Times New Roman"/>
                <w:noProof/>
              </w:rPr>
            </w:pPr>
            <w:r>
              <w:rPr>
                <w:noProof/>
              </w:rPr>
              <w:t>C11.R5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586A1C8" w14:textId="1AE3E837"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8F95EDA" w14:textId="795F4FB1" w:rsidR="006578ED" w:rsidRDefault="00A1618E">
            <w:pPr>
              <w:pStyle w:val="P68B1DB1-Normal46"/>
              <w:spacing w:after="0" w:line="240" w:lineRule="auto"/>
              <w:rPr>
                <w:rFonts w:eastAsia="Times New Roman" w:cs="Times New Roman"/>
                <w:noProof/>
              </w:rPr>
            </w:pPr>
            <w:r>
              <w:rPr>
                <w:noProof/>
              </w:rPr>
              <w:t>Utworzenie nowych organów w ramach instytucji rządowych na szczeblu centralnym w celu monitorowania wdrażania, kontroli i audytu planu.</w:t>
            </w:r>
          </w:p>
        </w:tc>
      </w:tr>
      <w:tr w:rsidR="006578ED" w14:paraId="3139CDE1" w14:textId="77777777">
        <w:trPr>
          <w:gridAfter w:val="1"/>
          <w:wAfter w:w="13" w:type="dxa"/>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C51AE2" w14:textId="77777777" w:rsidR="006578ED" w:rsidRDefault="00A1618E">
            <w:pPr>
              <w:pStyle w:val="P68B1DB1-Normal46"/>
              <w:spacing w:after="0" w:line="240" w:lineRule="auto"/>
              <w:jc w:val="center"/>
              <w:rPr>
                <w:rFonts w:eastAsia="Times New Roman" w:cs="Times New Roman"/>
                <w:noProof/>
              </w:rPr>
            </w:pPr>
            <w:r>
              <w:rPr>
                <w:noProof/>
              </w:rPr>
              <w:t>159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8A4FDCE" w14:textId="77777777" w:rsidR="006578ED" w:rsidRDefault="00A1618E">
            <w:pPr>
              <w:pStyle w:val="P68B1DB1-Normal46"/>
              <w:spacing w:after="0" w:line="240" w:lineRule="auto"/>
              <w:jc w:val="center"/>
              <w:rPr>
                <w:rFonts w:eastAsia="Times New Roman" w:cs="Times New Roman"/>
                <w:noProof/>
              </w:rPr>
            </w:pPr>
            <w:r>
              <w:rPr>
                <w:noProof/>
              </w:rPr>
              <w:t>C11.R5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CA9C066" w14:textId="04BBEF0D" w:rsidR="006578ED" w:rsidRDefault="00AF6B91">
            <w:pPr>
              <w:pStyle w:val="P68B1DB1-Normal46"/>
              <w:spacing w:after="0" w:line="240" w:lineRule="auto"/>
              <w:jc w:val="center"/>
              <w:rPr>
                <w:rFonts w:eastAsia="Times New Roman" w:cs="Times New Roman"/>
                <w:noProof/>
              </w:rPr>
            </w:pPr>
            <w:r>
              <w:rPr>
                <w:noProof/>
              </w:rPr>
              <w:t>Kamień milowy</w:t>
            </w:r>
          </w:p>
        </w:tc>
        <w:tc>
          <w:tcPr>
            <w:tcW w:w="6096" w:type="dxa"/>
            <w:tcBorders>
              <w:top w:val="single" w:sz="4" w:space="0" w:color="auto"/>
              <w:left w:val="nil"/>
              <w:bottom w:val="single" w:sz="4" w:space="0" w:color="auto"/>
              <w:right w:val="single" w:sz="4" w:space="0" w:color="auto"/>
            </w:tcBorders>
            <w:shd w:val="clear" w:color="auto" w:fill="C6EFCE"/>
            <w:noWrap/>
            <w:vAlign w:val="bottom"/>
          </w:tcPr>
          <w:p w14:paraId="3746C67F" w14:textId="7B142860" w:rsidR="006578ED" w:rsidRDefault="00A1618E">
            <w:pPr>
              <w:pStyle w:val="P68B1DB1-Normal46"/>
              <w:spacing w:after="0" w:line="240" w:lineRule="auto"/>
              <w:rPr>
                <w:rFonts w:eastAsia="Times New Roman" w:cs="Times New Roman"/>
                <w:noProof/>
              </w:rPr>
            </w:pPr>
            <w:r>
              <w:rPr>
                <w:noProof/>
              </w:rPr>
              <w:t>Zarządzenie określające procedury i format informacji, które mają być udostępniane na potrzeby monitorowania RRP i księgowania wydatków</w:t>
            </w:r>
          </w:p>
        </w:tc>
      </w:tr>
      <w:tr w:rsidR="006578ED" w14:paraId="4F59C612" w14:textId="77777777">
        <w:trPr>
          <w:gridAfter w:val="1"/>
          <w:wAfter w:w="13" w:type="dxa"/>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9BFF1E" w14:textId="77777777" w:rsidR="006578ED" w:rsidRDefault="00A1618E">
            <w:pPr>
              <w:pStyle w:val="P68B1DB1-Normal46"/>
              <w:spacing w:after="0" w:line="240" w:lineRule="auto"/>
              <w:jc w:val="center"/>
              <w:rPr>
                <w:rFonts w:eastAsia="Times New Roman" w:cs="Times New Roman"/>
                <w:noProof/>
              </w:rPr>
            </w:pPr>
            <w:r>
              <w:rPr>
                <w:noProof/>
              </w:rPr>
              <w:t>173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896D53A" w14:textId="77777777" w:rsidR="006578ED" w:rsidRDefault="00A1618E">
            <w:pPr>
              <w:pStyle w:val="P68B1DB1-Normal46"/>
              <w:spacing w:after="0" w:line="240" w:lineRule="auto"/>
              <w:jc w:val="center"/>
              <w:rPr>
                <w:rFonts w:eastAsia="Times New Roman" w:cs="Times New Roman"/>
                <w:noProof/>
              </w:rPr>
            </w:pPr>
            <w:r>
              <w:rPr>
                <w:noProof/>
              </w:rPr>
              <w:t>C11.I5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D7ED5CE" w14:textId="635D1316" w:rsidR="006578ED" w:rsidRDefault="00AF6B91">
            <w:pPr>
              <w:pStyle w:val="P68B1DB1-Normal46"/>
              <w:spacing w:after="0" w:line="240" w:lineRule="auto"/>
              <w:jc w:val="center"/>
              <w:rPr>
                <w:rFonts w:eastAsia="Times New Roman" w:cs="Times New Roman"/>
                <w:noProof/>
              </w:rPr>
            </w:pPr>
            <w:r>
              <w:rPr>
                <w:noProof/>
              </w:rPr>
              <w:t>Kamień milowy</w:t>
            </w:r>
          </w:p>
        </w:tc>
        <w:tc>
          <w:tcPr>
            <w:tcW w:w="6096" w:type="dxa"/>
            <w:tcBorders>
              <w:top w:val="single" w:sz="4" w:space="0" w:color="auto"/>
              <w:left w:val="nil"/>
              <w:bottom w:val="single" w:sz="4" w:space="0" w:color="auto"/>
              <w:right w:val="single" w:sz="4" w:space="0" w:color="auto"/>
            </w:tcBorders>
            <w:shd w:val="clear" w:color="auto" w:fill="C6EFCE"/>
            <w:noWrap/>
            <w:vAlign w:val="bottom"/>
          </w:tcPr>
          <w:p w14:paraId="45DD2178" w14:textId="0C6AE339" w:rsidR="006578ED" w:rsidRDefault="00A1618E">
            <w:pPr>
              <w:pStyle w:val="P68B1DB1-Normal46"/>
              <w:spacing w:after="0" w:line="240" w:lineRule="auto"/>
              <w:rPr>
                <w:rFonts w:eastAsia="Times New Roman" w:cs="Times New Roman"/>
                <w:noProof/>
              </w:rPr>
            </w:pPr>
            <w:r>
              <w:rPr>
                <w:noProof/>
              </w:rPr>
              <w:t>Zintegrowany system informacyjny Instrumentu na rzecz Odbudowy i Zwiększania Odporności</w:t>
            </w:r>
          </w:p>
        </w:tc>
      </w:tr>
      <w:tr w:rsidR="006578ED" w14:paraId="0089867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68863F" w14:textId="77777777" w:rsidR="006578ED" w:rsidRDefault="00A1618E">
            <w:pPr>
              <w:pStyle w:val="P68B1DB1-Normal46"/>
              <w:spacing w:after="0" w:line="240" w:lineRule="auto"/>
              <w:jc w:val="center"/>
              <w:rPr>
                <w:rFonts w:eastAsia="Times New Roman" w:cs="Times New Roman"/>
                <w:noProof/>
              </w:rPr>
            </w:pPr>
            <w:r>
              <w:rPr>
                <w:noProof/>
              </w:rPr>
              <w:t>177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6F31A85" w14:textId="77777777" w:rsidR="006578ED" w:rsidRDefault="00A1618E">
            <w:pPr>
              <w:pStyle w:val="P68B1DB1-Normal46"/>
              <w:spacing w:after="0" w:line="240" w:lineRule="auto"/>
              <w:jc w:val="center"/>
              <w:rPr>
                <w:rFonts w:eastAsia="Times New Roman" w:cs="Times New Roman"/>
                <w:noProof/>
              </w:rPr>
            </w:pPr>
            <w:r>
              <w:rPr>
                <w:noProof/>
              </w:rPr>
              <w:t>C12.R2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74D2F12" w14:textId="40BF553A"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7137558" w14:textId="6BDEFE39" w:rsidR="006578ED" w:rsidRDefault="00A1618E">
            <w:pPr>
              <w:pStyle w:val="P68B1DB1-Normal46"/>
              <w:spacing w:after="0" w:line="240" w:lineRule="auto"/>
              <w:rPr>
                <w:rFonts w:eastAsia="Times New Roman" w:cs="Times New Roman"/>
                <w:noProof/>
              </w:rPr>
            </w:pPr>
            <w:r>
              <w:rPr>
                <w:noProof/>
              </w:rPr>
              <w:t>Hiszpańska strategia na rzecz gospodarki o obiegu zamkniętym (EEEC)</w:t>
            </w:r>
          </w:p>
        </w:tc>
      </w:tr>
      <w:tr w:rsidR="006578ED" w14:paraId="47407B3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F8405F" w14:textId="77777777" w:rsidR="006578ED" w:rsidRDefault="00A1618E">
            <w:pPr>
              <w:pStyle w:val="P68B1DB1-Normal46"/>
              <w:spacing w:after="0" w:line="240" w:lineRule="auto"/>
              <w:jc w:val="center"/>
              <w:rPr>
                <w:rFonts w:eastAsia="Times New Roman" w:cs="Times New Roman"/>
                <w:noProof/>
              </w:rPr>
            </w:pPr>
            <w:r>
              <w:rPr>
                <w:noProof/>
              </w:rPr>
              <w:t>181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CCA5EBE" w14:textId="77777777" w:rsidR="006578ED" w:rsidRDefault="00A1618E">
            <w:pPr>
              <w:pStyle w:val="P68B1DB1-Normal46"/>
              <w:spacing w:after="0" w:line="240" w:lineRule="auto"/>
              <w:jc w:val="center"/>
              <w:rPr>
                <w:rFonts w:eastAsia="Times New Roman" w:cs="Times New Roman"/>
                <w:noProof/>
              </w:rPr>
            </w:pPr>
            <w:r>
              <w:rPr>
                <w:noProof/>
              </w:rPr>
              <w:t>C12.I2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AA18959" w14:textId="28CFABEE"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21EEB95" w14:textId="7AD3D27A" w:rsidR="006578ED" w:rsidRDefault="00A1618E">
            <w:pPr>
              <w:pStyle w:val="P68B1DB1-Normal46"/>
              <w:spacing w:after="0" w:line="240" w:lineRule="auto"/>
              <w:rPr>
                <w:rFonts w:eastAsia="Times New Roman" w:cs="Times New Roman"/>
                <w:noProof/>
              </w:rPr>
            </w:pPr>
            <w:r>
              <w:rPr>
                <w:noProof/>
              </w:rPr>
              <w:t>Plan wzmocnienia łańcucha wartości przemysłu motoryzacyjnego na rzecz zrównoważonej i opartej na sieci mobilności</w:t>
            </w:r>
          </w:p>
        </w:tc>
      </w:tr>
      <w:tr w:rsidR="006578ED" w14:paraId="7D88A5E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C3966B" w14:textId="77777777" w:rsidR="006578ED" w:rsidRDefault="00A1618E">
            <w:pPr>
              <w:pStyle w:val="P68B1DB1-Normal46"/>
              <w:spacing w:after="0" w:line="240" w:lineRule="auto"/>
              <w:jc w:val="center"/>
              <w:rPr>
                <w:rFonts w:eastAsia="Times New Roman" w:cs="Times New Roman"/>
                <w:noProof/>
              </w:rPr>
            </w:pPr>
            <w:r>
              <w:rPr>
                <w:noProof/>
              </w:rPr>
              <w:t>199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D6E4B81" w14:textId="77777777" w:rsidR="006578ED" w:rsidRDefault="00A1618E">
            <w:pPr>
              <w:pStyle w:val="P68B1DB1-Normal46"/>
              <w:spacing w:after="0" w:line="240" w:lineRule="auto"/>
              <w:jc w:val="center"/>
              <w:rPr>
                <w:rFonts w:eastAsia="Times New Roman" w:cs="Times New Roman"/>
                <w:noProof/>
              </w:rPr>
            </w:pPr>
            <w:r>
              <w:rPr>
                <w:noProof/>
              </w:rPr>
              <w:t>C13.I3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B537C63" w14:textId="1C0AA748"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CD7CAB6" w14:textId="77777777" w:rsidR="006578ED" w:rsidRDefault="00A1618E">
            <w:pPr>
              <w:pStyle w:val="P68B1DB1-Normal46"/>
              <w:spacing w:after="0" w:line="240" w:lineRule="auto"/>
              <w:rPr>
                <w:rFonts w:eastAsia="Times New Roman" w:cs="Times New Roman"/>
                <w:noProof/>
              </w:rPr>
            </w:pPr>
            <w:r>
              <w:rPr>
                <w:noProof/>
              </w:rPr>
              <w:t>Plan cyfryzacji MŚP na lata 2021–2025</w:t>
            </w:r>
          </w:p>
        </w:tc>
      </w:tr>
      <w:tr w:rsidR="006578ED" w14:paraId="15A33561"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5227AC" w14:textId="77777777" w:rsidR="006578ED" w:rsidRDefault="00A1618E">
            <w:pPr>
              <w:pStyle w:val="P68B1DB1-Normal46"/>
              <w:spacing w:after="0" w:line="240" w:lineRule="auto"/>
              <w:jc w:val="center"/>
              <w:rPr>
                <w:rFonts w:eastAsia="Times New Roman" w:cs="Times New Roman"/>
                <w:noProof/>
              </w:rPr>
            </w:pPr>
            <w:r>
              <w:rPr>
                <w:noProof/>
              </w:rPr>
              <w:t>214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0C8E2B4" w14:textId="77777777" w:rsidR="006578ED" w:rsidRDefault="00A1618E">
            <w:pPr>
              <w:pStyle w:val="P68B1DB1-Normal46"/>
              <w:spacing w:after="0" w:line="240" w:lineRule="auto"/>
              <w:jc w:val="center"/>
              <w:rPr>
                <w:rFonts w:eastAsia="Times New Roman" w:cs="Times New Roman"/>
                <w:noProof/>
              </w:rPr>
            </w:pPr>
            <w:r>
              <w:rPr>
                <w:noProof/>
              </w:rPr>
              <w:t>C14.R1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5ADD88D" w14:textId="6DF71193"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95965CD" w14:textId="77777777" w:rsidR="006578ED" w:rsidRDefault="00A1618E">
            <w:pPr>
              <w:pStyle w:val="P68B1DB1-Normal46"/>
              <w:spacing w:after="0" w:line="240" w:lineRule="auto"/>
              <w:rPr>
                <w:rFonts w:eastAsia="Times New Roman" w:cs="Times New Roman"/>
                <w:noProof/>
              </w:rPr>
            </w:pPr>
            <w:r>
              <w:rPr>
                <w:noProof/>
              </w:rPr>
              <w:t>Plan promowania sektora turystyki</w:t>
            </w:r>
          </w:p>
        </w:tc>
      </w:tr>
      <w:tr w:rsidR="006578ED" w14:paraId="41036978"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437DCA" w14:textId="77777777" w:rsidR="006578ED" w:rsidRDefault="00A1618E">
            <w:pPr>
              <w:pStyle w:val="P68B1DB1-Normal46"/>
              <w:spacing w:after="0" w:line="240" w:lineRule="auto"/>
              <w:jc w:val="center"/>
              <w:rPr>
                <w:rFonts w:eastAsia="Times New Roman" w:cs="Times New Roman"/>
                <w:noProof/>
              </w:rPr>
            </w:pPr>
            <w:r>
              <w:rPr>
                <w:noProof/>
              </w:rPr>
              <w:t>215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53D8707" w14:textId="77777777" w:rsidR="006578ED" w:rsidRDefault="00A1618E">
            <w:pPr>
              <w:pStyle w:val="P68B1DB1-Normal46"/>
              <w:spacing w:after="0" w:line="240" w:lineRule="auto"/>
              <w:jc w:val="center"/>
              <w:rPr>
                <w:rFonts w:eastAsia="Times New Roman" w:cs="Times New Roman"/>
                <w:noProof/>
              </w:rPr>
            </w:pPr>
            <w:r>
              <w:rPr>
                <w:noProof/>
              </w:rPr>
              <w:t>C14.R1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471C673" w14:textId="1768505F"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BD6F861" w14:textId="77777777" w:rsidR="006578ED" w:rsidRDefault="00A1618E">
            <w:pPr>
              <w:pStyle w:val="P68B1DB1-Normal46"/>
              <w:spacing w:after="0" w:line="240" w:lineRule="auto"/>
              <w:rPr>
                <w:rFonts w:eastAsia="Times New Roman" w:cs="Times New Roman"/>
                <w:noProof/>
              </w:rPr>
            </w:pPr>
            <w:r>
              <w:rPr>
                <w:noProof/>
              </w:rPr>
              <w:t>Uruchomienie strony internetowej „DATAESTUR” gromadzącej dane na temat turystyki</w:t>
            </w:r>
          </w:p>
        </w:tc>
      </w:tr>
      <w:tr w:rsidR="006578ED" w14:paraId="61B30B6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F1FE54" w14:textId="77777777" w:rsidR="006578ED" w:rsidRDefault="00A1618E">
            <w:pPr>
              <w:pStyle w:val="P68B1DB1-Normal46"/>
              <w:spacing w:after="0" w:line="240" w:lineRule="auto"/>
              <w:jc w:val="center"/>
              <w:rPr>
                <w:rFonts w:eastAsia="Times New Roman" w:cs="Times New Roman"/>
                <w:noProof/>
              </w:rPr>
            </w:pPr>
            <w:r>
              <w:rPr>
                <w:noProof/>
              </w:rPr>
              <w:t>230</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0B6BF45" w14:textId="77777777" w:rsidR="006578ED" w:rsidRDefault="00A1618E">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DD4A358" w14:textId="09356A06"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18B2263" w14:textId="3C15FFBF" w:rsidR="006578ED" w:rsidRDefault="00A1618E">
            <w:pPr>
              <w:pStyle w:val="P68B1DB1-Normal46"/>
              <w:spacing w:after="0" w:line="240" w:lineRule="auto"/>
              <w:rPr>
                <w:rFonts w:eastAsia="Times New Roman" w:cs="Times New Roman"/>
                <w:noProof/>
              </w:rPr>
            </w:pPr>
            <w:r>
              <w:rPr>
                <w:noProof/>
              </w:rPr>
              <w:t>Plan i strategia cyfrowej Hiszpanii 2025 na rzecz promowania technologii 5G</w:t>
            </w:r>
          </w:p>
        </w:tc>
      </w:tr>
      <w:tr w:rsidR="006578ED" w14:paraId="33B6CDC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CC852CB" w14:textId="77777777" w:rsidR="006578ED" w:rsidRDefault="00A1618E">
            <w:pPr>
              <w:pStyle w:val="P68B1DB1-Normal46"/>
              <w:spacing w:after="0" w:line="240" w:lineRule="auto"/>
              <w:jc w:val="center"/>
              <w:rPr>
                <w:rFonts w:eastAsia="Times New Roman" w:cs="Times New Roman"/>
                <w:noProof/>
              </w:rPr>
            </w:pPr>
            <w:r>
              <w:rPr>
                <w:noProof/>
              </w:rPr>
              <w:t>231</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C1D0553" w14:textId="77777777" w:rsidR="006578ED" w:rsidRDefault="00A1618E">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061F0E2" w14:textId="3377B3C8"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862DCA0" w14:textId="77777777" w:rsidR="006578ED" w:rsidRDefault="00A1618E">
            <w:pPr>
              <w:pStyle w:val="P68B1DB1-Normal46"/>
              <w:spacing w:after="0" w:line="240" w:lineRule="auto"/>
              <w:rPr>
                <w:rFonts w:eastAsia="Times New Roman" w:cs="Times New Roman"/>
                <w:noProof/>
              </w:rPr>
            </w:pPr>
            <w:r>
              <w:rPr>
                <w:noProof/>
              </w:rPr>
              <w:t>Uwolnienie pasma częstotliwości 700 MHz</w:t>
            </w:r>
          </w:p>
        </w:tc>
      </w:tr>
      <w:tr w:rsidR="006578ED" w14:paraId="2CE7277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700209C" w14:textId="77777777" w:rsidR="006578ED" w:rsidRDefault="00A1618E">
            <w:pPr>
              <w:pStyle w:val="P68B1DB1-Normal46"/>
              <w:spacing w:after="0" w:line="240" w:lineRule="auto"/>
              <w:jc w:val="center"/>
              <w:rPr>
                <w:rFonts w:eastAsia="Times New Roman" w:cs="Times New Roman"/>
                <w:noProof/>
              </w:rPr>
            </w:pPr>
            <w:r>
              <w:rPr>
                <w:noProof/>
              </w:rPr>
              <w:t>249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AEFBCB1" w14:textId="77777777" w:rsidR="006578ED" w:rsidRDefault="00A1618E">
            <w:pPr>
              <w:pStyle w:val="P68B1DB1-Normal46"/>
              <w:spacing w:after="0" w:line="240" w:lineRule="auto"/>
              <w:jc w:val="center"/>
              <w:rPr>
                <w:rFonts w:eastAsia="Times New Roman" w:cs="Times New Roman"/>
                <w:noProof/>
              </w:rPr>
            </w:pPr>
            <w:r>
              <w:rPr>
                <w:noProof/>
              </w:rPr>
              <w:t>C16.R1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A2698BC" w14:textId="2A334C5A"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5BE343F" w14:textId="77777777" w:rsidR="006578ED" w:rsidRDefault="00A1618E">
            <w:pPr>
              <w:pStyle w:val="P68B1DB1-Normal46"/>
              <w:spacing w:after="0" w:line="240" w:lineRule="auto"/>
              <w:rPr>
                <w:rFonts w:eastAsia="Times New Roman" w:cs="Times New Roman"/>
                <w:noProof/>
              </w:rPr>
            </w:pPr>
            <w:r>
              <w:rPr>
                <w:noProof/>
              </w:rPr>
              <w:t xml:space="preserve">Krajowa strategia na rzecz sztucznej inteligencji </w:t>
            </w:r>
          </w:p>
        </w:tc>
      </w:tr>
      <w:tr w:rsidR="006578ED" w14:paraId="4362552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AE193CA" w14:textId="77777777" w:rsidR="006578ED" w:rsidRDefault="00A1618E">
            <w:pPr>
              <w:pStyle w:val="P68B1DB1-Normal46"/>
              <w:spacing w:after="0" w:line="240" w:lineRule="auto"/>
              <w:jc w:val="center"/>
              <w:rPr>
                <w:rFonts w:eastAsia="Times New Roman" w:cs="Times New Roman"/>
                <w:noProof/>
              </w:rPr>
            </w:pPr>
            <w:r>
              <w:rPr>
                <w:noProof/>
              </w:rPr>
              <w:t>255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AEF6F84" w14:textId="77777777" w:rsidR="006578ED" w:rsidRDefault="00A1618E">
            <w:pPr>
              <w:pStyle w:val="P68B1DB1-Normal46"/>
              <w:spacing w:after="0" w:line="240" w:lineRule="auto"/>
              <w:jc w:val="center"/>
              <w:rPr>
                <w:rFonts w:eastAsia="Times New Roman" w:cs="Times New Roman"/>
                <w:noProof/>
              </w:rPr>
            </w:pPr>
            <w:r>
              <w:rPr>
                <w:noProof/>
              </w:rPr>
              <w:t>C17.R2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961190" w14:textId="118BA6F0"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2CAFD4" w14:textId="40D56C43" w:rsidR="006578ED" w:rsidRDefault="00A1618E">
            <w:pPr>
              <w:pStyle w:val="P68B1DB1-Normal46"/>
              <w:spacing w:after="0" w:line="240" w:lineRule="auto"/>
              <w:rPr>
                <w:rFonts w:eastAsia="Times New Roman" w:cs="Times New Roman"/>
                <w:noProof/>
              </w:rPr>
            </w:pPr>
            <w:r>
              <w:rPr>
                <w:noProof/>
              </w:rPr>
              <w:t>Publikacja hiszpańskiej strategii na rzecz nauki, technologii i innowacji na lata 2021–2027</w:t>
            </w:r>
          </w:p>
        </w:tc>
      </w:tr>
      <w:tr w:rsidR="006578ED" w14:paraId="1B21B86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E695378" w14:textId="77777777" w:rsidR="006578ED" w:rsidRDefault="00A1618E">
            <w:pPr>
              <w:pStyle w:val="P68B1DB1-Normal46"/>
              <w:spacing w:after="0" w:line="240" w:lineRule="auto"/>
              <w:jc w:val="center"/>
              <w:rPr>
                <w:rFonts w:eastAsia="Times New Roman" w:cs="Times New Roman"/>
                <w:noProof/>
              </w:rPr>
            </w:pPr>
            <w:r>
              <w:rPr>
                <w:noProof/>
              </w:rPr>
              <w:t>257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19B3F312" w14:textId="77777777" w:rsidR="006578ED" w:rsidRDefault="00A1618E">
            <w:pPr>
              <w:pStyle w:val="P68B1DB1-Normal46"/>
              <w:spacing w:after="0" w:line="240" w:lineRule="auto"/>
              <w:jc w:val="center"/>
              <w:rPr>
                <w:rFonts w:eastAsia="Times New Roman" w:cs="Times New Roman"/>
                <w:noProof/>
              </w:rPr>
            </w:pPr>
            <w:r>
              <w:rPr>
                <w:noProof/>
              </w:rPr>
              <w:t>C17.R3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780B02A" w14:textId="6E9F8ACC"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F2FEB2" w14:textId="3AAA4B5D" w:rsidR="006578ED" w:rsidRDefault="00A1618E">
            <w:pPr>
              <w:pStyle w:val="P68B1DB1-Normal46"/>
              <w:spacing w:after="0" w:line="240" w:lineRule="auto"/>
              <w:rPr>
                <w:rFonts w:eastAsia="Times New Roman" w:cs="Times New Roman"/>
                <w:noProof/>
              </w:rPr>
            </w:pPr>
            <w:r>
              <w:rPr>
                <w:noProof/>
              </w:rPr>
              <w:t xml:space="preserve">Wejście w życie dekretu królewskiego w sprawie reorganizacji publicznych organizacji badawczych. </w:t>
            </w:r>
          </w:p>
        </w:tc>
      </w:tr>
      <w:tr w:rsidR="006578ED" w14:paraId="31BB636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7ACE531" w14:textId="77777777" w:rsidR="006578ED" w:rsidRDefault="00A1618E">
            <w:pPr>
              <w:pStyle w:val="P68B1DB1-Normal46"/>
              <w:spacing w:after="0" w:line="240" w:lineRule="auto"/>
              <w:jc w:val="center"/>
              <w:rPr>
                <w:rFonts w:eastAsia="Times New Roman" w:cs="Times New Roman"/>
                <w:noProof/>
              </w:rPr>
            </w:pPr>
            <w:r>
              <w:rPr>
                <w:noProof/>
              </w:rPr>
              <w:t>285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EE18076" w14:textId="77777777" w:rsidR="006578ED" w:rsidRDefault="00A1618E">
            <w:pPr>
              <w:pStyle w:val="P68B1DB1-Normal46"/>
              <w:spacing w:after="0" w:line="240" w:lineRule="auto"/>
              <w:jc w:val="center"/>
              <w:rPr>
                <w:rFonts w:eastAsia="Times New Roman" w:cs="Times New Roman"/>
                <w:noProof/>
              </w:rPr>
            </w:pPr>
            <w:r>
              <w:rPr>
                <w:noProof/>
              </w:rPr>
              <w:t>C19.R1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C0A0BDA" w14:textId="0C620B5E"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87593FE" w14:textId="77777777" w:rsidR="006578ED" w:rsidRDefault="00A1618E">
            <w:pPr>
              <w:pStyle w:val="P68B1DB1-Normal46"/>
              <w:spacing w:after="0" w:line="240" w:lineRule="auto"/>
              <w:rPr>
                <w:rFonts w:eastAsia="Times New Roman" w:cs="Times New Roman"/>
                <w:noProof/>
              </w:rPr>
            </w:pPr>
            <w:r>
              <w:rPr>
                <w:noProof/>
              </w:rPr>
              <w:t>Zatwierdzenie krajowego planu kompetencji cyfrowych przez Radę Ministrów</w:t>
            </w:r>
          </w:p>
        </w:tc>
      </w:tr>
      <w:tr w:rsidR="006578ED" w14:paraId="65CB87EA"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CE0F7A6" w14:textId="77777777" w:rsidR="006578ED" w:rsidRDefault="00A1618E">
            <w:pPr>
              <w:pStyle w:val="P68B1DB1-Normal46"/>
              <w:spacing w:after="0" w:line="240" w:lineRule="auto"/>
              <w:jc w:val="center"/>
              <w:rPr>
                <w:rFonts w:eastAsia="Times New Roman" w:cs="Times New Roman"/>
                <w:noProof/>
              </w:rPr>
            </w:pPr>
            <w:r>
              <w:rPr>
                <w:noProof/>
              </w:rPr>
              <w:t>295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D8992F7" w14:textId="77777777" w:rsidR="006578ED" w:rsidRDefault="00A1618E">
            <w:pPr>
              <w:pStyle w:val="P68B1DB1-Normal46"/>
              <w:spacing w:after="0" w:line="240" w:lineRule="auto"/>
              <w:jc w:val="center"/>
              <w:rPr>
                <w:rFonts w:eastAsia="Times New Roman" w:cs="Times New Roman"/>
                <w:noProof/>
              </w:rPr>
            </w:pPr>
            <w:r>
              <w:rPr>
                <w:noProof/>
              </w:rPr>
              <w:t>C20.R1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1D7EAB8" w14:textId="3D0BFC97"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3545847" w14:textId="63B3A513" w:rsidR="006578ED" w:rsidRDefault="00A1618E">
            <w:pPr>
              <w:pStyle w:val="P68B1DB1-Normal46"/>
              <w:spacing w:after="0" w:line="240" w:lineRule="auto"/>
              <w:rPr>
                <w:rFonts w:eastAsia="Times New Roman" w:cs="Times New Roman"/>
                <w:noProof/>
              </w:rPr>
            </w:pPr>
            <w:r>
              <w:rPr>
                <w:noProof/>
              </w:rPr>
              <w:t>Plan modernizacji kształcenia zawodowego i powiązany dekret królewski z mocą ustawy</w:t>
            </w:r>
          </w:p>
        </w:tc>
      </w:tr>
      <w:tr w:rsidR="006578ED" w14:paraId="0F90DF7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2A10F8" w14:textId="77777777" w:rsidR="006578ED" w:rsidRDefault="00A1618E">
            <w:pPr>
              <w:pStyle w:val="P68B1DB1-Normal46"/>
              <w:spacing w:after="0" w:line="240" w:lineRule="auto"/>
              <w:jc w:val="center"/>
              <w:rPr>
                <w:rFonts w:eastAsia="Times New Roman" w:cs="Times New Roman"/>
                <w:noProof/>
              </w:rPr>
            </w:pPr>
            <w:r>
              <w:rPr>
                <w:noProof/>
              </w:rPr>
              <w:t>303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4D9E8B1" w14:textId="77777777" w:rsidR="006578ED" w:rsidRDefault="00A1618E">
            <w:pPr>
              <w:pStyle w:val="P68B1DB1-Normal46"/>
              <w:spacing w:after="0" w:line="240" w:lineRule="auto"/>
              <w:jc w:val="center"/>
              <w:rPr>
                <w:rFonts w:eastAsia="Times New Roman" w:cs="Times New Roman"/>
                <w:noProof/>
              </w:rPr>
            </w:pPr>
            <w:r>
              <w:rPr>
                <w:noProof/>
              </w:rPr>
              <w:t>C21.R1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6C085AC" w14:textId="084AD8F1"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2D4FA3E" w14:textId="5F484E81" w:rsidR="006578ED" w:rsidRDefault="00A1618E">
            <w:pPr>
              <w:pStyle w:val="P68B1DB1-Normal46"/>
              <w:spacing w:after="0" w:line="240" w:lineRule="auto"/>
              <w:rPr>
                <w:rFonts w:eastAsia="Times New Roman" w:cs="Times New Roman"/>
                <w:noProof/>
              </w:rPr>
            </w:pPr>
            <w:r>
              <w:rPr>
                <w:noProof/>
              </w:rPr>
              <w:t xml:space="preserve">Wejście w życie ustawy organicznej o edukacji </w:t>
            </w:r>
          </w:p>
        </w:tc>
      </w:tr>
      <w:tr w:rsidR="006578ED" w14:paraId="41765BB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D88708" w14:textId="77777777" w:rsidR="006578ED" w:rsidRDefault="00A1618E">
            <w:pPr>
              <w:pStyle w:val="P68B1DB1-Normal46"/>
              <w:spacing w:after="0" w:line="240" w:lineRule="auto"/>
              <w:jc w:val="center"/>
              <w:rPr>
                <w:rFonts w:eastAsia="Times New Roman" w:cs="Times New Roman"/>
                <w:noProof/>
              </w:rPr>
            </w:pPr>
            <w:r>
              <w:rPr>
                <w:noProof/>
              </w:rPr>
              <w:t>318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4C11259" w14:textId="77777777" w:rsidR="006578ED" w:rsidRDefault="00A1618E">
            <w:pPr>
              <w:pStyle w:val="P68B1DB1-Normal46"/>
              <w:spacing w:after="0" w:line="240" w:lineRule="auto"/>
              <w:jc w:val="center"/>
              <w:rPr>
                <w:rFonts w:eastAsia="Times New Roman" w:cs="Times New Roman"/>
                <w:noProof/>
              </w:rPr>
            </w:pPr>
            <w:r>
              <w:rPr>
                <w:noProof/>
              </w:rPr>
              <w:t>C22.R5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DE9D55E" w14:textId="26536B7E"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AB6CB5" w14:textId="19C81454" w:rsidR="006578ED" w:rsidRDefault="00A1618E">
            <w:pPr>
              <w:pStyle w:val="P68B1DB1-Normal46"/>
              <w:spacing w:after="0" w:line="240" w:lineRule="auto"/>
              <w:rPr>
                <w:rFonts w:eastAsia="Times New Roman" w:cs="Times New Roman"/>
                <w:noProof/>
              </w:rPr>
            </w:pPr>
            <w:r>
              <w:rPr>
                <w:noProof/>
              </w:rPr>
              <w:t>Wejście w życie dekretu królewskiego z mocą ustawy 20/2020 z dnia 29 maja w sprawie zatwierdzenia minimalnego dochodu niezbędnego</w:t>
            </w:r>
          </w:p>
        </w:tc>
      </w:tr>
      <w:tr w:rsidR="006578ED" w14:paraId="1C570DE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A9F810" w14:textId="77777777" w:rsidR="006578ED" w:rsidRDefault="00A1618E">
            <w:pPr>
              <w:pStyle w:val="P68B1DB1-Normal46"/>
              <w:spacing w:after="0" w:line="240" w:lineRule="auto"/>
              <w:jc w:val="center"/>
              <w:rPr>
                <w:rFonts w:eastAsia="Times New Roman" w:cs="Times New Roman"/>
                <w:noProof/>
              </w:rPr>
            </w:pPr>
            <w:r>
              <w:rPr>
                <w:noProof/>
              </w:rPr>
              <w:t>329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79E6391" w14:textId="77777777" w:rsidR="006578ED" w:rsidRDefault="00A1618E">
            <w:pPr>
              <w:pStyle w:val="P68B1DB1-Normal46"/>
              <w:spacing w:after="0" w:line="240" w:lineRule="auto"/>
              <w:jc w:val="center"/>
              <w:rPr>
                <w:rFonts w:eastAsia="Times New Roman" w:cs="Times New Roman"/>
                <w:noProof/>
              </w:rPr>
            </w:pPr>
            <w:r>
              <w:rPr>
                <w:noProof/>
              </w:rPr>
              <w:t>C23.R1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25E7EED" w14:textId="2D2213C3"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E382E5B" w14:textId="209D638E" w:rsidR="006578ED" w:rsidRDefault="00A1618E">
            <w:pPr>
              <w:pStyle w:val="P68B1DB1-Normal46"/>
              <w:spacing w:after="0" w:line="240" w:lineRule="auto"/>
              <w:rPr>
                <w:rFonts w:eastAsia="Times New Roman" w:cs="Times New Roman"/>
                <w:noProof/>
              </w:rPr>
            </w:pPr>
            <w:r>
              <w:rPr>
                <w:noProof/>
              </w:rPr>
              <w:t>Wejście w życie dwóch królewskich dekretów z mocą ustawy regulujących pracę na odległość w sektorze prywatnym i w administracji publicznej</w:t>
            </w:r>
          </w:p>
        </w:tc>
      </w:tr>
      <w:tr w:rsidR="006578ED" w14:paraId="6C75E026"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2BC731D" w14:textId="77777777" w:rsidR="006578ED" w:rsidRDefault="00A1618E">
            <w:pPr>
              <w:pStyle w:val="P68B1DB1-Normal46"/>
              <w:spacing w:after="0" w:line="240" w:lineRule="auto"/>
              <w:jc w:val="center"/>
              <w:rPr>
                <w:rFonts w:eastAsia="Times New Roman" w:cs="Times New Roman"/>
                <w:noProof/>
              </w:rPr>
            </w:pPr>
            <w:r>
              <w:rPr>
                <w:noProof/>
              </w:rPr>
              <w:t>330</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298FB79" w14:textId="77777777" w:rsidR="006578ED" w:rsidRDefault="00A1618E">
            <w:pPr>
              <w:pStyle w:val="P68B1DB1-Normal46"/>
              <w:spacing w:after="0" w:line="240" w:lineRule="auto"/>
              <w:jc w:val="center"/>
              <w:rPr>
                <w:rFonts w:eastAsia="Times New Roman" w:cs="Times New Roman"/>
                <w:noProof/>
              </w:rPr>
            </w:pPr>
            <w:r>
              <w:rPr>
                <w:noProof/>
              </w:rPr>
              <w:t>C23.R2</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1F425ED" w14:textId="7A0EFA78"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E5FCE2F" w14:textId="75C981A6" w:rsidR="006578ED" w:rsidRDefault="00A1618E">
            <w:pPr>
              <w:pStyle w:val="P68B1DB1-Normal46"/>
              <w:spacing w:after="0" w:line="240" w:lineRule="auto"/>
              <w:rPr>
                <w:rFonts w:eastAsia="Times New Roman" w:cs="Times New Roman"/>
                <w:noProof/>
              </w:rPr>
            </w:pPr>
            <w:r>
              <w:rPr>
                <w:noProof/>
              </w:rPr>
              <w:t>Wejście w życie dwóch rozporządzeń w sprawie równości wynagrodzeń kobiet i mężczyzn oraz planów na rzecz równości i ich rejestracji</w:t>
            </w:r>
          </w:p>
        </w:tc>
      </w:tr>
      <w:tr w:rsidR="006578ED" w14:paraId="44371A8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251469" w14:textId="77777777" w:rsidR="006578ED" w:rsidRDefault="00A1618E">
            <w:pPr>
              <w:pStyle w:val="P68B1DB1-Normal46"/>
              <w:spacing w:after="0" w:line="240" w:lineRule="auto"/>
              <w:jc w:val="center"/>
              <w:rPr>
                <w:rFonts w:eastAsia="Times New Roman" w:cs="Times New Roman"/>
                <w:noProof/>
              </w:rPr>
            </w:pPr>
            <w:r>
              <w:rPr>
                <w:noProof/>
              </w:rPr>
              <w:t>333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068CA457" w14:textId="77777777" w:rsidR="006578ED" w:rsidRDefault="00A1618E">
            <w:pPr>
              <w:pStyle w:val="P68B1DB1-Normal46"/>
              <w:spacing w:after="0" w:line="240" w:lineRule="auto"/>
              <w:jc w:val="center"/>
              <w:rPr>
                <w:rFonts w:eastAsia="Times New Roman" w:cs="Times New Roman"/>
                <w:noProof/>
              </w:rPr>
            </w:pPr>
            <w:r>
              <w:rPr>
                <w:noProof/>
              </w:rPr>
              <w:t>C23.R5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8946D1" w14:textId="795918F9"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96EA185" w14:textId="13B6992B" w:rsidR="006578ED" w:rsidRDefault="00A1618E">
            <w:pPr>
              <w:pStyle w:val="P68B1DB1-Normal46"/>
              <w:spacing w:after="0" w:line="240" w:lineRule="auto"/>
              <w:rPr>
                <w:rFonts w:eastAsia="Times New Roman" w:cs="Times New Roman"/>
                <w:noProof/>
              </w:rPr>
            </w:pPr>
            <w:r>
              <w:rPr>
                <w:noProof/>
              </w:rPr>
              <w:t xml:space="preserve">Wejście w życie planu działania na rzecz walki z bezrobociem młodzieży </w:t>
            </w:r>
          </w:p>
        </w:tc>
      </w:tr>
      <w:tr w:rsidR="006578ED" w14:paraId="59388524"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1014ACB" w14:textId="77777777" w:rsidR="006578ED" w:rsidRDefault="00A1618E">
            <w:pPr>
              <w:pStyle w:val="P68B1DB1-Normal46"/>
              <w:spacing w:after="0" w:line="240" w:lineRule="auto"/>
              <w:jc w:val="center"/>
              <w:rPr>
                <w:rFonts w:eastAsia="Times New Roman" w:cs="Times New Roman"/>
                <w:noProof/>
              </w:rPr>
            </w:pPr>
            <w:r>
              <w:rPr>
                <w:noProof/>
              </w:rPr>
              <w:t>363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99F057D" w14:textId="77777777" w:rsidR="006578ED" w:rsidRDefault="00A1618E">
            <w:pPr>
              <w:pStyle w:val="P68B1DB1-Normal46"/>
              <w:spacing w:after="0" w:line="240" w:lineRule="auto"/>
              <w:jc w:val="center"/>
              <w:rPr>
                <w:rFonts w:eastAsia="Times New Roman" w:cs="Times New Roman"/>
                <w:noProof/>
              </w:rPr>
            </w:pPr>
            <w:r>
              <w:rPr>
                <w:noProof/>
              </w:rPr>
              <w:t>C25.R1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4A29201" w14:textId="69AB708E"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BC82B78" w14:textId="77777777" w:rsidR="006578ED" w:rsidRDefault="00A1618E">
            <w:pPr>
              <w:pStyle w:val="P68B1DB1-Normal46"/>
              <w:spacing w:after="0" w:line="240" w:lineRule="auto"/>
              <w:rPr>
                <w:rFonts w:eastAsia="Times New Roman" w:cs="Times New Roman"/>
                <w:noProof/>
              </w:rPr>
            </w:pPr>
            <w:r>
              <w:rPr>
                <w:noProof/>
              </w:rPr>
              <w:t>Plan „Hiszpania, centrum audiowizualne Europy”.</w:t>
            </w:r>
          </w:p>
        </w:tc>
      </w:tr>
      <w:tr w:rsidR="006578ED" w14:paraId="4FA78BE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589B27" w14:textId="77777777" w:rsidR="006578ED" w:rsidRDefault="00A1618E">
            <w:pPr>
              <w:pStyle w:val="P68B1DB1-Normal46"/>
              <w:spacing w:after="0" w:line="240" w:lineRule="auto"/>
              <w:jc w:val="center"/>
              <w:rPr>
                <w:rFonts w:eastAsia="Times New Roman" w:cs="Times New Roman"/>
                <w:noProof/>
              </w:rPr>
            </w:pPr>
            <w:r>
              <w:rPr>
                <w:noProof/>
              </w:rPr>
              <w:t>385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A4528A5" w14:textId="77777777" w:rsidR="006578ED" w:rsidRDefault="00A1618E">
            <w:pPr>
              <w:pStyle w:val="P68B1DB1-Normal46"/>
              <w:spacing w:after="0" w:line="240" w:lineRule="auto"/>
              <w:jc w:val="center"/>
              <w:rPr>
                <w:rFonts w:eastAsia="Times New Roman" w:cs="Times New Roman"/>
                <w:noProof/>
              </w:rPr>
            </w:pPr>
            <w:r>
              <w:rPr>
                <w:noProof/>
              </w:rPr>
              <w:t>C28.R1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A3516FC" w14:textId="25CFF96E"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1BFA19B" w14:textId="74AF245A" w:rsidR="006578ED" w:rsidRDefault="00A1618E">
            <w:pPr>
              <w:pStyle w:val="P68B1DB1-Normal46"/>
              <w:spacing w:after="0" w:line="240" w:lineRule="auto"/>
              <w:rPr>
                <w:rFonts w:eastAsia="Times New Roman" w:cs="Times New Roman"/>
                <w:noProof/>
              </w:rPr>
            </w:pPr>
            <w:r>
              <w:rPr>
                <w:noProof/>
              </w:rPr>
              <w:t>Środki polityki fiskalnej przyjęte w 2020 i 20</w:t>
            </w:r>
            <w:r w:rsidRPr="00A1618E">
              <w:rPr>
                <w:noProof/>
                <w:lang w:val="pl-PL"/>
              </w:rPr>
              <w:t>21 r.</w:t>
            </w:r>
            <w:r>
              <w:rPr>
                <w:noProof/>
              </w:rPr>
              <w:t xml:space="preserve"> w celu złagodzenia skutków pandemii COVID-19.</w:t>
            </w:r>
          </w:p>
        </w:tc>
      </w:tr>
      <w:tr w:rsidR="006578ED" w14:paraId="2BF8B17A"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9AEF987" w14:textId="77777777" w:rsidR="006578ED" w:rsidRDefault="00A1618E">
            <w:pPr>
              <w:pStyle w:val="P68B1DB1-Normal46"/>
              <w:spacing w:after="0" w:line="240" w:lineRule="auto"/>
              <w:jc w:val="center"/>
              <w:rPr>
                <w:rFonts w:eastAsia="Times New Roman" w:cs="Times New Roman"/>
                <w:noProof/>
              </w:rPr>
            </w:pPr>
            <w:r>
              <w:rPr>
                <w:noProof/>
              </w:rPr>
              <w:t>387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8A79D5C" w14:textId="77777777" w:rsidR="006578ED" w:rsidRDefault="00A1618E">
            <w:pPr>
              <w:pStyle w:val="P68B1DB1-Normal46"/>
              <w:spacing w:after="0" w:line="240" w:lineRule="auto"/>
              <w:jc w:val="center"/>
              <w:rPr>
                <w:rFonts w:eastAsia="Times New Roman" w:cs="Times New Roman"/>
                <w:noProof/>
              </w:rPr>
            </w:pPr>
            <w:r>
              <w:rPr>
                <w:noProof/>
              </w:rPr>
              <w:t>C28.R3</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14CD326" w14:textId="4C77E6DC"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B4D350C" w14:textId="77777777" w:rsidR="006578ED" w:rsidRDefault="00A1618E">
            <w:pPr>
              <w:pStyle w:val="P68B1DB1-Normal46"/>
              <w:spacing w:after="0" w:line="240" w:lineRule="auto"/>
              <w:rPr>
                <w:rFonts w:eastAsia="Times New Roman" w:cs="Times New Roman"/>
                <w:noProof/>
              </w:rPr>
            </w:pPr>
            <w:r>
              <w:rPr>
                <w:noProof/>
              </w:rPr>
              <w:t>Mianowanie komitetu ekspertów przez sekretarza stanu finansów.</w:t>
            </w:r>
          </w:p>
        </w:tc>
      </w:tr>
      <w:tr w:rsidR="006578ED" w14:paraId="2DD40F4E"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EBD5DEC" w14:textId="77777777" w:rsidR="006578ED" w:rsidRDefault="00A1618E">
            <w:pPr>
              <w:pStyle w:val="P68B1DB1-Normal46"/>
              <w:spacing w:after="0" w:line="240" w:lineRule="auto"/>
              <w:jc w:val="center"/>
              <w:rPr>
                <w:rFonts w:eastAsia="Times New Roman" w:cs="Times New Roman"/>
                <w:noProof/>
              </w:rPr>
            </w:pPr>
            <w:r>
              <w:rPr>
                <w:noProof/>
              </w:rPr>
              <w:t>392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1C92750" w14:textId="77777777" w:rsidR="006578ED" w:rsidRDefault="00A1618E">
            <w:pPr>
              <w:pStyle w:val="P68B1DB1-Normal46"/>
              <w:spacing w:after="0" w:line="240" w:lineRule="auto"/>
              <w:jc w:val="center"/>
              <w:rPr>
                <w:rFonts w:eastAsia="Times New Roman" w:cs="Times New Roman"/>
                <w:noProof/>
              </w:rPr>
            </w:pPr>
            <w:r>
              <w:rPr>
                <w:noProof/>
              </w:rPr>
              <w:t>C28.R5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CF5F636" w14:textId="6F621D8C"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2F360C3" w14:textId="77777777" w:rsidR="006578ED" w:rsidRDefault="00A1618E">
            <w:pPr>
              <w:pStyle w:val="P68B1DB1-Normal46"/>
              <w:spacing w:after="0" w:line="240" w:lineRule="auto"/>
              <w:rPr>
                <w:rFonts w:eastAsia="Times New Roman" w:cs="Times New Roman"/>
                <w:noProof/>
              </w:rPr>
            </w:pPr>
            <w:r>
              <w:rPr>
                <w:noProof/>
              </w:rPr>
              <w:t>Podatek od usług cyfrowych</w:t>
            </w:r>
          </w:p>
        </w:tc>
      </w:tr>
      <w:tr w:rsidR="006578ED" w14:paraId="19A73E5B"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BDD7B" w14:textId="77777777" w:rsidR="006578ED" w:rsidRDefault="00A1618E">
            <w:pPr>
              <w:pStyle w:val="P68B1DB1-Normal46"/>
              <w:spacing w:after="0" w:line="240" w:lineRule="auto"/>
              <w:jc w:val="center"/>
              <w:rPr>
                <w:rFonts w:eastAsia="Times New Roman" w:cs="Times New Roman"/>
                <w:noProof/>
              </w:rPr>
            </w:pPr>
            <w:r>
              <w:rPr>
                <w:noProof/>
              </w:rPr>
              <w:t>393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E4C8FB9" w14:textId="77777777" w:rsidR="006578ED" w:rsidRDefault="00A1618E">
            <w:pPr>
              <w:pStyle w:val="P68B1DB1-Normal46"/>
              <w:spacing w:after="0" w:line="240" w:lineRule="auto"/>
              <w:jc w:val="center"/>
              <w:rPr>
                <w:rFonts w:eastAsia="Times New Roman" w:cs="Times New Roman"/>
                <w:noProof/>
              </w:rPr>
            </w:pPr>
            <w:r>
              <w:rPr>
                <w:noProof/>
              </w:rPr>
              <w:t>C28.R6</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A329674" w14:textId="04219958"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1C2CFB6" w14:textId="77777777" w:rsidR="006578ED" w:rsidRDefault="00A1618E">
            <w:pPr>
              <w:pStyle w:val="P68B1DB1-Normal46"/>
              <w:spacing w:after="0" w:line="240" w:lineRule="auto"/>
              <w:rPr>
                <w:rFonts w:eastAsia="Times New Roman" w:cs="Times New Roman"/>
                <w:noProof/>
              </w:rPr>
            </w:pPr>
            <w:r>
              <w:rPr>
                <w:noProof/>
              </w:rPr>
              <w:t>Podatek od transakcji finansowych</w:t>
            </w:r>
          </w:p>
        </w:tc>
      </w:tr>
      <w:tr w:rsidR="006578ED" w14:paraId="4FDBCE8D"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0FD63E" w14:textId="77777777" w:rsidR="006578ED" w:rsidRDefault="00A1618E">
            <w:pPr>
              <w:pStyle w:val="P68B1DB1-Normal46"/>
              <w:spacing w:after="0" w:line="240" w:lineRule="auto"/>
              <w:jc w:val="center"/>
              <w:rPr>
                <w:rFonts w:eastAsia="Times New Roman" w:cs="Times New Roman"/>
                <w:noProof/>
              </w:rPr>
            </w:pPr>
            <w:r>
              <w:rPr>
                <w:noProof/>
              </w:rPr>
              <w:t>394</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A9AD04E" w14:textId="77777777" w:rsidR="006578ED" w:rsidRDefault="00A1618E">
            <w:pPr>
              <w:pStyle w:val="P68B1DB1-Normal46"/>
              <w:spacing w:after="0" w:line="240" w:lineRule="auto"/>
              <w:jc w:val="center"/>
              <w:rPr>
                <w:rFonts w:eastAsia="Times New Roman" w:cs="Times New Roman"/>
                <w:noProof/>
              </w:rPr>
            </w:pPr>
            <w:r>
              <w:rPr>
                <w:noProof/>
              </w:rPr>
              <w:t>C28.R7</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60361A9F" w14:textId="7FAFD205"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16A8413F" w14:textId="2B3361AA" w:rsidR="006578ED" w:rsidRDefault="00A1618E">
            <w:pPr>
              <w:pStyle w:val="P68B1DB1-Normal46"/>
              <w:spacing w:after="0" w:line="240" w:lineRule="auto"/>
              <w:rPr>
                <w:rFonts w:eastAsia="Times New Roman" w:cs="Times New Roman"/>
                <w:noProof/>
              </w:rPr>
            </w:pPr>
            <w:r>
              <w:rPr>
                <w:noProof/>
              </w:rPr>
              <w:t>Zmiany podatku dochodowego od osób fizycznych i podatku od majątku w 20</w:t>
            </w:r>
            <w:r w:rsidRPr="00A1618E">
              <w:rPr>
                <w:noProof/>
                <w:lang w:val="pl-PL"/>
              </w:rPr>
              <w:t>21 r.</w:t>
            </w:r>
          </w:p>
        </w:tc>
      </w:tr>
      <w:tr w:rsidR="006578ED" w14:paraId="7E5243A2"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E8FC7B2" w14:textId="77777777" w:rsidR="006578ED" w:rsidRDefault="00A1618E">
            <w:pPr>
              <w:pStyle w:val="P68B1DB1-Normal46"/>
              <w:spacing w:after="0" w:line="240" w:lineRule="auto"/>
              <w:jc w:val="center"/>
              <w:rPr>
                <w:rFonts w:eastAsia="Times New Roman" w:cs="Times New Roman"/>
                <w:noProof/>
              </w:rPr>
            </w:pPr>
            <w:r>
              <w:rPr>
                <w:noProof/>
              </w:rPr>
              <w:t>395</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CECD4A7" w14:textId="77777777" w:rsidR="006578ED" w:rsidRDefault="00A1618E">
            <w:pPr>
              <w:pStyle w:val="P68B1DB1-Normal46"/>
              <w:spacing w:after="0" w:line="240" w:lineRule="auto"/>
              <w:jc w:val="center"/>
              <w:rPr>
                <w:rFonts w:eastAsia="Times New Roman" w:cs="Times New Roman"/>
                <w:noProof/>
              </w:rPr>
            </w:pPr>
            <w:r>
              <w:rPr>
                <w:noProof/>
              </w:rPr>
              <w:t>C28.R8</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14A6CE1B" w14:textId="376E4A75"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5E3DA791" w14:textId="0F95FE43" w:rsidR="006578ED" w:rsidRDefault="00A1618E">
            <w:pPr>
              <w:pStyle w:val="P68B1DB1-Normal46"/>
              <w:spacing w:after="0" w:line="240" w:lineRule="auto"/>
              <w:rPr>
                <w:rFonts w:eastAsia="Times New Roman" w:cs="Times New Roman"/>
                <w:noProof/>
              </w:rPr>
            </w:pPr>
            <w:r>
              <w:rPr>
                <w:noProof/>
              </w:rPr>
              <w:t>Zmiany w podatku dochodowym od osób prawnych w 20</w:t>
            </w:r>
            <w:r w:rsidRPr="00A1618E">
              <w:rPr>
                <w:noProof/>
                <w:lang w:val="pl-PL"/>
              </w:rPr>
              <w:t>21 r.</w:t>
            </w:r>
          </w:p>
        </w:tc>
      </w:tr>
      <w:tr w:rsidR="006578ED" w14:paraId="7722624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4F99583" w14:textId="77777777" w:rsidR="006578ED" w:rsidRDefault="00A1618E">
            <w:pPr>
              <w:pStyle w:val="P68B1DB1-Normal46"/>
              <w:spacing w:after="0" w:line="240" w:lineRule="auto"/>
              <w:jc w:val="center"/>
              <w:rPr>
                <w:rFonts w:eastAsia="Times New Roman" w:cs="Times New Roman"/>
                <w:noProof/>
              </w:rPr>
            </w:pPr>
            <w:r>
              <w:rPr>
                <w:noProof/>
              </w:rPr>
              <w:t>396</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5E99F93" w14:textId="77777777" w:rsidR="006578ED" w:rsidRDefault="00A1618E">
            <w:pPr>
              <w:pStyle w:val="P68B1DB1-Normal46"/>
              <w:spacing w:after="0" w:line="240" w:lineRule="auto"/>
              <w:jc w:val="center"/>
              <w:rPr>
                <w:rFonts w:eastAsia="Times New Roman" w:cs="Times New Roman"/>
                <w:noProof/>
              </w:rPr>
            </w:pPr>
            <w:r>
              <w:rPr>
                <w:noProof/>
              </w:rPr>
              <w:t>C28.R9</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4E9BB433" w14:textId="1E5467E1"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465CF4A6" w14:textId="3D8456CF" w:rsidR="006578ED" w:rsidRDefault="00A1618E">
            <w:pPr>
              <w:pStyle w:val="P68B1DB1-Normal46"/>
              <w:spacing w:after="0" w:line="240" w:lineRule="auto"/>
              <w:rPr>
                <w:rFonts w:eastAsia="Times New Roman" w:cs="Times New Roman"/>
                <w:noProof/>
              </w:rPr>
            </w:pPr>
            <w:r>
              <w:rPr>
                <w:noProof/>
              </w:rPr>
              <w:t>Zmiany podatków pośrednich w 20</w:t>
            </w:r>
            <w:r w:rsidRPr="00A1618E">
              <w:rPr>
                <w:noProof/>
                <w:lang w:val="pl-PL"/>
              </w:rPr>
              <w:t>21 r.</w:t>
            </w:r>
          </w:p>
        </w:tc>
      </w:tr>
      <w:tr w:rsidR="006578ED" w14:paraId="47016335"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209BFF" w14:textId="77777777" w:rsidR="006578ED" w:rsidRDefault="00A1618E">
            <w:pPr>
              <w:pStyle w:val="P68B1DB1-Normal46"/>
              <w:spacing w:after="0" w:line="240" w:lineRule="auto"/>
              <w:jc w:val="center"/>
              <w:rPr>
                <w:rFonts w:eastAsia="Times New Roman" w:cs="Times New Roman"/>
                <w:noProof/>
              </w:rPr>
            </w:pPr>
            <w:r>
              <w:rPr>
                <w:noProof/>
              </w:rPr>
              <w:t>397</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670D88FC" w14:textId="77777777" w:rsidR="006578ED" w:rsidRDefault="00A1618E">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D4D156D" w14:textId="58EA24BA"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13B9CF6" w14:textId="22E26AFF" w:rsidR="006578ED" w:rsidRDefault="00A1618E">
            <w:pPr>
              <w:pStyle w:val="P68B1DB1-Normal46"/>
              <w:spacing w:after="0" w:line="240" w:lineRule="auto"/>
              <w:rPr>
                <w:rFonts w:eastAsia="Times New Roman" w:cs="Times New Roman"/>
                <w:noProof/>
              </w:rPr>
            </w:pPr>
            <w:r>
              <w:rPr>
                <w:noProof/>
              </w:rPr>
              <w:t>Utworzenie w Ministerstwie Finansów stałego zespołu odpowiedzialnego za aktywne monitorowanie wdrażania wyników przeglądów wydatków i zatwierdzanie zarządzenia opracowywania rocznej ustawy budżetowej</w:t>
            </w:r>
          </w:p>
        </w:tc>
      </w:tr>
      <w:tr w:rsidR="006578ED" w14:paraId="0185B913"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B47B9EE" w14:textId="77777777" w:rsidR="006578ED" w:rsidRDefault="00A1618E">
            <w:pPr>
              <w:pStyle w:val="P68B1DB1-Normal46"/>
              <w:spacing w:after="0" w:line="240" w:lineRule="auto"/>
              <w:jc w:val="center"/>
              <w:rPr>
                <w:rFonts w:eastAsia="Times New Roman" w:cs="Times New Roman"/>
                <w:noProof/>
              </w:rPr>
            </w:pPr>
            <w:r>
              <w:rPr>
                <w:noProof/>
              </w:rPr>
              <w:t>398</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29B4927D" w14:textId="77777777" w:rsidR="006578ED" w:rsidRDefault="00A1618E">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F6493A3" w14:textId="101800AB"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0809FF8" w14:textId="77777777" w:rsidR="006578ED" w:rsidRDefault="00A1618E">
            <w:pPr>
              <w:pStyle w:val="P68B1DB1-Normal46"/>
              <w:spacing w:after="0" w:line="240" w:lineRule="auto"/>
              <w:rPr>
                <w:rFonts w:eastAsia="Times New Roman" w:cs="Times New Roman"/>
                <w:noProof/>
              </w:rPr>
            </w:pPr>
            <w:r>
              <w:rPr>
                <w:noProof/>
              </w:rPr>
              <w:t>Etap III przeglądu wydatków</w:t>
            </w:r>
          </w:p>
        </w:tc>
      </w:tr>
      <w:tr w:rsidR="006578ED" w14:paraId="339E507F"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19C86D" w14:textId="77777777" w:rsidR="006578ED" w:rsidRDefault="00A1618E">
            <w:pPr>
              <w:pStyle w:val="P68B1DB1-Normal46"/>
              <w:spacing w:after="0" w:line="240" w:lineRule="auto"/>
              <w:jc w:val="center"/>
              <w:rPr>
                <w:rFonts w:eastAsia="Times New Roman" w:cs="Times New Roman"/>
                <w:noProof/>
              </w:rPr>
            </w:pPr>
            <w:r>
              <w:rPr>
                <w:noProof/>
              </w:rPr>
              <w:t>399</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22AABC1" w14:textId="77777777" w:rsidR="006578ED" w:rsidRDefault="00A1618E">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A0BEC42" w14:textId="04F1B279"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267362B4" w14:textId="1AF3C5C3" w:rsidR="006578ED" w:rsidRDefault="00A1618E">
            <w:pPr>
              <w:pStyle w:val="P68B1DB1-Normal46"/>
              <w:spacing w:after="0" w:line="240" w:lineRule="auto"/>
              <w:rPr>
                <w:rFonts w:eastAsia="Times New Roman" w:cs="Times New Roman"/>
                <w:noProof/>
              </w:rPr>
            </w:pPr>
            <w:r>
              <w:rPr>
                <w:noProof/>
              </w:rPr>
              <w:t>Utworzenie stałej jednostki w ramach AIReF odpowiedzialnej za przeprowadzanie przeglądów wydatków z upoważnienia rządu.</w:t>
            </w:r>
          </w:p>
        </w:tc>
      </w:tr>
      <w:tr w:rsidR="006578ED" w14:paraId="0C03F910"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82E3B3" w14:textId="77777777" w:rsidR="006578ED" w:rsidRDefault="00A1618E">
            <w:pPr>
              <w:pStyle w:val="P68B1DB1-Normal46"/>
              <w:spacing w:after="0" w:line="240" w:lineRule="auto"/>
              <w:jc w:val="center"/>
              <w:rPr>
                <w:rFonts w:eastAsia="Times New Roman" w:cs="Times New Roman"/>
                <w:noProof/>
              </w:rPr>
            </w:pPr>
            <w:r>
              <w:rPr>
                <w:noProof/>
              </w:rPr>
              <w:t>406</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47663E21" w14:textId="77777777" w:rsidR="006578ED" w:rsidRDefault="00A1618E">
            <w:pPr>
              <w:pStyle w:val="P68B1DB1-Normal46"/>
              <w:spacing w:after="0" w:line="240" w:lineRule="auto"/>
              <w:jc w:val="center"/>
              <w:rPr>
                <w:rFonts w:eastAsia="Times New Roman" w:cs="Times New Roman"/>
                <w:noProof/>
              </w:rPr>
            </w:pPr>
            <w:r>
              <w:rPr>
                <w:noProof/>
              </w:rPr>
              <w:t>C30.R1</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86A4FF4" w14:textId="268B549D"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618A26EB" w14:textId="77777777" w:rsidR="006578ED" w:rsidRDefault="00A1618E">
            <w:pPr>
              <w:pStyle w:val="P68B1DB1-Normal46"/>
              <w:spacing w:after="0" w:line="240" w:lineRule="auto"/>
              <w:rPr>
                <w:rFonts w:eastAsia="Times New Roman" w:cs="Times New Roman"/>
                <w:noProof/>
              </w:rPr>
            </w:pPr>
            <w:r>
              <w:rPr>
                <w:noProof/>
              </w:rPr>
              <w:t>Rozdział finansowania zabezpieczenia społecznego</w:t>
            </w:r>
          </w:p>
        </w:tc>
      </w:tr>
      <w:tr w:rsidR="006578ED" w14:paraId="53616CB8"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769FAD" w14:textId="77777777" w:rsidR="006578ED" w:rsidRDefault="00A1618E">
            <w:pPr>
              <w:pStyle w:val="P68B1DB1-Normal46"/>
              <w:spacing w:after="0" w:line="240" w:lineRule="auto"/>
              <w:jc w:val="center"/>
              <w:rPr>
                <w:rFonts w:eastAsia="Times New Roman" w:cs="Times New Roman"/>
                <w:noProof/>
              </w:rPr>
            </w:pPr>
            <w:r>
              <w:rPr>
                <w:noProof/>
              </w:rPr>
              <w:t>412</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54D8608D" w14:textId="77777777" w:rsidR="006578ED" w:rsidRDefault="00A1618E">
            <w:pPr>
              <w:pStyle w:val="P68B1DB1-Normal46"/>
              <w:spacing w:after="0" w:line="240" w:lineRule="auto"/>
              <w:jc w:val="center"/>
              <w:rPr>
                <w:rFonts w:eastAsia="Times New Roman" w:cs="Times New Roman"/>
                <w:noProof/>
              </w:rPr>
            </w:pPr>
            <w:r>
              <w:rPr>
                <w:noProof/>
              </w:rPr>
              <w:t>C30.R4</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0BFCDD9D" w14:textId="27AFB256"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7ECE8215" w14:textId="660A695D" w:rsidR="006578ED" w:rsidRDefault="00A1618E">
            <w:pPr>
              <w:pStyle w:val="P68B1DB1-Normal46"/>
              <w:spacing w:after="0" w:line="240" w:lineRule="auto"/>
              <w:rPr>
                <w:rFonts w:eastAsia="Times New Roman" w:cs="Times New Roman"/>
                <w:noProof/>
              </w:rPr>
            </w:pPr>
            <w:r>
              <w:rPr>
                <w:noProof/>
              </w:rPr>
              <w:t>Usprawnienie dodatków z tytułu macierzyństwa</w:t>
            </w:r>
          </w:p>
        </w:tc>
      </w:tr>
      <w:tr w:rsidR="006578ED" w14:paraId="7400C45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B94A9E1" w14:textId="77777777" w:rsidR="006578ED" w:rsidRDefault="00A1618E">
            <w:pPr>
              <w:pStyle w:val="P68B1DB1-Normal46"/>
              <w:spacing w:after="0" w:line="240" w:lineRule="auto"/>
              <w:jc w:val="center"/>
              <w:rPr>
                <w:rFonts w:eastAsia="Times New Roman" w:cs="Times New Roman"/>
                <w:noProof/>
              </w:rPr>
            </w:pPr>
            <w:r>
              <w:rPr>
                <w:noProof/>
              </w:rPr>
              <w:t>413</w:t>
            </w: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7146112D" w14:textId="77777777" w:rsidR="006578ED" w:rsidRDefault="00A1618E">
            <w:pPr>
              <w:pStyle w:val="P68B1DB1-Normal46"/>
              <w:spacing w:after="0" w:line="240" w:lineRule="auto"/>
              <w:jc w:val="center"/>
              <w:rPr>
                <w:rFonts w:eastAsia="Times New Roman" w:cs="Times New Roman"/>
                <w:noProof/>
              </w:rPr>
            </w:pPr>
            <w:r>
              <w:rPr>
                <w:noProof/>
              </w:rPr>
              <w:t>C30.R5</w:t>
            </w: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280DCF87" w14:textId="70D79930" w:rsidR="006578ED" w:rsidRDefault="00AF6B91">
            <w:pPr>
              <w:pStyle w:val="P68B1DB1-Normal46"/>
              <w:spacing w:after="0" w:line="240" w:lineRule="auto"/>
              <w:jc w:val="center"/>
              <w:rPr>
                <w:rFonts w:eastAsia="Times New Roman" w:cs="Times New Roman"/>
                <w:noProof/>
              </w:rPr>
            </w:pPr>
            <w:r>
              <w:rPr>
                <w:noProof/>
              </w:rPr>
              <w:t>Kamień milowy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34DF4257" w14:textId="5F6E9DC9" w:rsidR="006578ED" w:rsidRDefault="00A1618E">
            <w:pPr>
              <w:pStyle w:val="P68B1DB1-Normal46"/>
              <w:spacing w:after="0" w:line="240" w:lineRule="auto"/>
              <w:rPr>
                <w:rFonts w:eastAsia="Times New Roman" w:cs="Times New Roman"/>
                <w:noProof/>
              </w:rPr>
            </w:pPr>
            <w:r>
              <w:rPr>
                <w:noProof/>
              </w:rPr>
              <w:t>Przegląd ulg podatkowych związanych z obecnym systemem dodatkowych emerytur</w:t>
            </w:r>
          </w:p>
        </w:tc>
      </w:tr>
      <w:tr w:rsidR="006578ED" w14:paraId="1FBF7217" w14:textId="77777777">
        <w:trPr>
          <w:trHeight w:val="268"/>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C793B69" w14:textId="77777777" w:rsidR="006578ED" w:rsidRDefault="006578ED">
            <w:pPr>
              <w:spacing w:after="0" w:line="240" w:lineRule="auto"/>
              <w:jc w:val="center"/>
              <w:rPr>
                <w:rFonts w:ascii="Times New Roman" w:eastAsia="Times New Roman" w:hAnsi="Times New Roman" w:cs="Times New Roman"/>
                <w:noProof/>
                <w:sz w:val="20"/>
              </w:rPr>
            </w:pPr>
          </w:p>
        </w:tc>
        <w:tc>
          <w:tcPr>
            <w:tcW w:w="1407" w:type="dxa"/>
            <w:tcBorders>
              <w:top w:val="single" w:sz="4" w:space="0" w:color="auto"/>
              <w:left w:val="nil"/>
              <w:bottom w:val="single" w:sz="4" w:space="0" w:color="auto"/>
              <w:right w:val="single" w:sz="4" w:space="0" w:color="auto"/>
            </w:tcBorders>
            <w:shd w:val="clear" w:color="auto" w:fill="C6EFCE"/>
            <w:noWrap/>
            <w:vAlign w:val="center"/>
          </w:tcPr>
          <w:p w14:paraId="31E90416" w14:textId="77777777" w:rsidR="006578ED" w:rsidRDefault="006578ED">
            <w:pPr>
              <w:spacing w:after="0" w:line="240" w:lineRule="auto"/>
              <w:rPr>
                <w:rFonts w:ascii="Times New Roman" w:eastAsia="Times New Roman" w:hAnsi="Times New Roman" w:cs="Times New Roman"/>
                <w:noProof/>
                <w:sz w:val="20"/>
              </w:rPr>
            </w:pP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534E8AC5" w14:textId="77777777" w:rsidR="006578ED" w:rsidRDefault="00A1618E">
            <w:pPr>
              <w:pStyle w:val="P68B1DB1-Normal45"/>
              <w:spacing w:after="0" w:line="240" w:lineRule="auto"/>
              <w:rPr>
                <w:rFonts w:eastAsia="Times New Roman" w:cs="Times New Roman"/>
                <w:noProof/>
              </w:rPr>
            </w:pPr>
            <w:r>
              <w:rPr>
                <w:noProof/>
              </w:rPr>
              <w:t>Kwota raty</w:t>
            </w:r>
          </w:p>
        </w:tc>
        <w:tc>
          <w:tcPr>
            <w:tcW w:w="6109" w:type="dxa"/>
            <w:gridSpan w:val="2"/>
            <w:tcBorders>
              <w:top w:val="single" w:sz="4" w:space="0" w:color="auto"/>
              <w:left w:val="nil"/>
              <w:bottom w:val="single" w:sz="4" w:space="0" w:color="auto"/>
              <w:right w:val="single" w:sz="4" w:space="0" w:color="auto"/>
            </w:tcBorders>
            <w:shd w:val="clear" w:color="auto" w:fill="C6EFCE"/>
            <w:noWrap/>
            <w:vAlign w:val="center"/>
          </w:tcPr>
          <w:p w14:paraId="072E8C0D" w14:textId="05D2F4A5" w:rsidR="006578ED" w:rsidRDefault="00A1618E">
            <w:pPr>
              <w:pStyle w:val="P68B1DB1-Normal45"/>
              <w:spacing w:after="0" w:line="240" w:lineRule="auto"/>
              <w:rPr>
                <w:rFonts w:eastAsia="Times New Roman" w:cs="Times New Roman"/>
                <w:noProof/>
              </w:rPr>
            </w:pPr>
            <w:r>
              <w:rPr>
                <w:noProof/>
              </w:rPr>
              <w:t>11 494 252 874 EUR</w:t>
            </w:r>
          </w:p>
        </w:tc>
      </w:tr>
    </w:tbl>
    <w:p w14:paraId="0E88AC02" w14:textId="77777777" w:rsidR="006578ED" w:rsidRDefault="006578ED">
      <w:pPr>
        <w:spacing w:before="120" w:after="120" w:line="240" w:lineRule="auto"/>
        <w:jc w:val="both"/>
        <w:rPr>
          <w:rFonts w:ascii="Times New Roman" w:eastAsia="Calibri" w:hAnsi="Times New Roman" w:cs="Times New Roman"/>
          <w:noProof/>
          <w:sz w:val="24"/>
        </w:rPr>
      </w:pPr>
    </w:p>
    <w:p w14:paraId="2C3B7F6D"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Druga transza (wsparcie bezzwrotne): </w:t>
      </w:r>
    </w:p>
    <w:tbl>
      <w:tblPr>
        <w:tblW w:w="9663" w:type="dxa"/>
        <w:tblInd w:w="113" w:type="dxa"/>
        <w:tblLook w:val="04A0" w:firstRow="1" w:lastRow="0" w:firstColumn="1" w:lastColumn="0" w:noHBand="0" w:noVBand="1"/>
      </w:tblPr>
      <w:tblGrid>
        <w:gridCol w:w="1272"/>
        <w:gridCol w:w="1407"/>
        <w:gridCol w:w="1561"/>
        <w:gridCol w:w="6095"/>
      </w:tblGrid>
      <w:tr w:rsidR="006578ED" w14:paraId="49E29A45" w14:textId="77777777">
        <w:trPr>
          <w:trHeight w:val="906"/>
          <w:tblHeader/>
        </w:trPr>
        <w:tc>
          <w:tcPr>
            <w:tcW w:w="102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944301"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0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DB3F00"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90CC157"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6095" w:type="dxa"/>
            <w:vMerge w:val="restart"/>
            <w:tcBorders>
              <w:top w:val="single" w:sz="4" w:space="0" w:color="auto"/>
              <w:left w:val="nil"/>
              <w:bottom w:val="single" w:sz="4" w:space="0" w:color="000000"/>
              <w:right w:val="single" w:sz="4" w:space="0" w:color="auto"/>
            </w:tcBorders>
            <w:shd w:val="clear" w:color="auto" w:fill="BDD7EE"/>
            <w:vAlign w:val="center"/>
            <w:hideMark/>
          </w:tcPr>
          <w:p w14:paraId="4961D985"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48B02ED2" w14:textId="77777777">
        <w:trPr>
          <w:trHeight w:val="509"/>
        </w:trPr>
        <w:tc>
          <w:tcPr>
            <w:tcW w:w="1027" w:type="dxa"/>
            <w:vMerge/>
            <w:tcBorders>
              <w:top w:val="single" w:sz="4" w:space="0" w:color="auto"/>
              <w:left w:val="single" w:sz="4" w:space="0" w:color="auto"/>
              <w:bottom w:val="single" w:sz="4" w:space="0" w:color="000000"/>
              <w:right w:val="single" w:sz="4" w:space="0" w:color="auto"/>
            </w:tcBorders>
            <w:vAlign w:val="center"/>
            <w:hideMark/>
          </w:tcPr>
          <w:p w14:paraId="15452E39" w14:textId="77777777" w:rsidR="006578ED" w:rsidRDefault="006578ED">
            <w:pPr>
              <w:spacing w:after="0" w:line="240" w:lineRule="auto"/>
              <w:rPr>
                <w:rFonts w:ascii="Times New Roman" w:eastAsia="Times New Roman" w:hAnsi="Times New Roman" w:cs="Times New Roman"/>
                <w:b/>
                <w:noProof/>
                <w:sz w:val="20"/>
              </w:rPr>
            </w:pPr>
          </w:p>
        </w:tc>
        <w:tc>
          <w:tcPr>
            <w:tcW w:w="1407" w:type="dxa"/>
            <w:vMerge/>
            <w:tcBorders>
              <w:top w:val="single" w:sz="4" w:space="0" w:color="auto"/>
              <w:left w:val="single" w:sz="4" w:space="0" w:color="auto"/>
              <w:bottom w:val="single" w:sz="4" w:space="0" w:color="000000"/>
              <w:right w:val="single" w:sz="4" w:space="0" w:color="auto"/>
            </w:tcBorders>
            <w:vAlign w:val="center"/>
            <w:hideMark/>
          </w:tcPr>
          <w:p w14:paraId="1A0AFC6D" w14:textId="77777777" w:rsidR="006578ED" w:rsidRDefault="006578ED">
            <w:pPr>
              <w:spacing w:after="0" w:line="240" w:lineRule="auto"/>
              <w:rPr>
                <w:rFonts w:ascii="Times New Roman" w:eastAsia="Times New Roman" w:hAnsi="Times New Roman" w:cs="Times New Roman"/>
                <w:b/>
                <w:noProof/>
                <w:sz w:val="20"/>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282B285" w14:textId="77777777" w:rsidR="006578ED" w:rsidRDefault="006578ED">
            <w:pPr>
              <w:spacing w:after="0" w:line="240" w:lineRule="auto"/>
              <w:rPr>
                <w:rFonts w:ascii="Times New Roman" w:eastAsia="Times New Roman" w:hAnsi="Times New Roman" w:cs="Times New Roman"/>
                <w:b/>
                <w:noProof/>
                <w:sz w:val="20"/>
              </w:rPr>
            </w:pPr>
          </w:p>
        </w:tc>
        <w:tc>
          <w:tcPr>
            <w:tcW w:w="6095" w:type="dxa"/>
            <w:vMerge/>
            <w:tcBorders>
              <w:top w:val="single" w:sz="4" w:space="0" w:color="auto"/>
              <w:left w:val="nil"/>
              <w:bottom w:val="single" w:sz="4" w:space="0" w:color="000000"/>
              <w:right w:val="single" w:sz="4" w:space="0" w:color="auto"/>
            </w:tcBorders>
            <w:vAlign w:val="center"/>
            <w:hideMark/>
          </w:tcPr>
          <w:p w14:paraId="5B0778BF" w14:textId="77777777" w:rsidR="006578ED" w:rsidRDefault="006578ED">
            <w:pPr>
              <w:spacing w:after="0" w:line="240" w:lineRule="auto"/>
              <w:rPr>
                <w:rFonts w:ascii="Times New Roman" w:eastAsia="Times New Roman" w:hAnsi="Times New Roman" w:cs="Times New Roman"/>
                <w:b/>
                <w:noProof/>
                <w:sz w:val="20"/>
              </w:rPr>
            </w:pPr>
          </w:p>
        </w:tc>
      </w:tr>
      <w:tr w:rsidR="006578ED" w14:paraId="1A37BBB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011CA9" w14:textId="77777777" w:rsidR="006578ED" w:rsidRDefault="00A1618E">
            <w:pPr>
              <w:pStyle w:val="P68B1DB1-Normal46"/>
              <w:spacing w:after="0" w:line="240" w:lineRule="auto"/>
              <w:jc w:val="center"/>
              <w:rPr>
                <w:rFonts w:eastAsia="Times New Roman" w:cs="Times New Roman"/>
                <w:noProof/>
              </w:rPr>
            </w:pPr>
            <w:r>
              <w:rPr>
                <w:noProof/>
              </w:rPr>
              <w:t>24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7B5483B" w14:textId="77777777" w:rsidR="006578ED" w:rsidRDefault="00A1618E">
            <w:pPr>
              <w:pStyle w:val="P68B1DB1-Normal46"/>
              <w:spacing w:after="0" w:line="240" w:lineRule="auto"/>
              <w:jc w:val="center"/>
              <w:rPr>
                <w:rFonts w:eastAsia="Times New Roman" w:cs="Times New Roman"/>
                <w:noProof/>
              </w:rPr>
            </w:pPr>
            <w:r>
              <w:rPr>
                <w:noProof/>
              </w:rPr>
              <w:t>C2.R5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A0A1D3" w14:textId="5D00331F"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D6D03CE" w14:textId="026B84D4" w:rsidR="006578ED" w:rsidRDefault="00A1618E">
            <w:pPr>
              <w:pStyle w:val="P68B1DB1-Normal46"/>
              <w:spacing w:after="0" w:line="240" w:lineRule="auto"/>
              <w:rPr>
                <w:rFonts w:eastAsia="Times New Roman" w:cs="Times New Roman"/>
                <w:noProof/>
              </w:rPr>
            </w:pPr>
            <w:r>
              <w:rPr>
                <w:noProof/>
              </w:rPr>
              <w:t xml:space="preserve">Wejście w życie dekretu królewskiego w sprawie biur renowacji („punkty kompleksowej obsługi”) </w:t>
            </w:r>
          </w:p>
        </w:tc>
      </w:tr>
      <w:tr w:rsidR="006578ED" w14:paraId="79DEBF0C"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2A53EB" w14:textId="77777777" w:rsidR="006578ED" w:rsidRDefault="00A1618E">
            <w:pPr>
              <w:pStyle w:val="P68B1DB1-Normal46"/>
              <w:spacing w:after="0" w:line="240" w:lineRule="auto"/>
              <w:jc w:val="center"/>
              <w:rPr>
                <w:rFonts w:eastAsia="Times New Roman" w:cs="Times New Roman"/>
                <w:noProof/>
              </w:rPr>
            </w:pPr>
            <w:r>
              <w:rPr>
                <w:noProof/>
              </w:rPr>
              <w:t>26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DE24DCA" w14:textId="77777777" w:rsidR="006578ED" w:rsidRDefault="00A1618E">
            <w:pPr>
              <w:pStyle w:val="P68B1DB1-Normal46"/>
              <w:spacing w:after="0" w:line="240" w:lineRule="auto"/>
              <w:jc w:val="center"/>
              <w:rPr>
                <w:rFonts w:eastAsia="Times New Roman" w:cs="Times New Roman"/>
                <w:noProof/>
              </w:rPr>
            </w:pPr>
            <w:r>
              <w:rPr>
                <w:noProof/>
              </w:rPr>
              <w:t>C2.I1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DCF1C0B" w14:textId="40658D02"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D73ADC9" w14:textId="5BAA6C40" w:rsidR="006578ED" w:rsidRDefault="00A1618E">
            <w:pPr>
              <w:pStyle w:val="P68B1DB1-Normal46"/>
              <w:spacing w:after="0" w:line="240" w:lineRule="auto"/>
              <w:rPr>
                <w:rFonts w:eastAsia="Times New Roman" w:cs="Times New Roman"/>
                <w:noProof/>
              </w:rPr>
            </w:pPr>
            <w:r>
              <w:rPr>
                <w:noProof/>
              </w:rPr>
              <w:t xml:space="preserve">Wejście w życie dekretu królewskiego w sprawie ram regulacyjnych dotyczących realizacji programu odnowienia; oraz królewski dekret z mocą ustawy regulujący zachęty w zakresie podatku dochodowego od osób fizycznych w celu wsparcia programu </w:t>
            </w:r>
          </w:p>
        </w:tc>
      </w:tr>
      <w:tr w:rsidR="006578ED" w14:paraId="4798EE4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54370D" w14:textId="77777777" w:rsidR="006578ED" w:rsidRDefault="00A1618E">
            <w:pPr>
              <w:pStyle w:val="P68B1DB1-Normal46"/>
              <w:spacing w:after="0" w:line="240" w:lineRule="auto"/>
              <w:jc w:val="center"/>
              <w:rPr>
                <w:rFonts w:eastAsia="Times New Roman" w:cs="Times New Roman"/>
                <w:noProof/>
              </w:rPr>
            </w:pPr>
            <w:r>
              <w:rPr>
                <w:noProof/>
              </w:rPr>
              <w:t>30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6D0EC20" w14:textId="77777777" w:rsidR="006578ED" w:rsidRDefault="00A1618E">
            <w:pPr>
              <w:pStyle w:val="P68B1DB1-Normal46"/>
              <w:spacing w:after="0" w:line="240" w:lineRule="auto"/>
              <w:jc w:val="center"/>
              <w:rPr>
                <w:rFonts w:eastAsia="Times New Roman" w:cs="Times New Roman"/>
                <w:noProof/>
              </w:rPr>
            </w:pPr>
            <w:r>
              <w:rPr>
                <w:noProof/>
              </w:rPr>
              <w:t>C2.I2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7FF71F2" w14:textId="1BC16D9D"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DC34772" w14:textId="43BFF15D" w:rsidR="006578ED" w:rsidRDefault="00A1618E">
            <w:pPr>
              <w:pStyle w:val="P68B1DB1-Normal46"/>
              <w:spacing w:after="0" w:line="240" w:lineRule="auto"/>
              <w:rPr>
                <w:rFonts w:eastAsia="Times New Roman" w:cs="Times New Roman"/>
                <w:noProof/>
              </w:rPr>
            </w:pPr>
            <w:r>
              <w:rPr>
                <w:noProof/>
              </w:rPr>
              <w:t xml:space="preserve">Wejście w życie dekretu królewskiego w sprawie określenia ram regulacyjnych dotyczących realizacji programu na rzecz efektywnych energetycznie mieszkań socjalnych spełniających kryteria efektywności energetycznej </w:t>
            </w:r>
          </w:p>
        </w:tc>
      </w:tr>
      <w:tr w:rsidR="006578ED" w14:paraId="3393379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9079B" w14:textId="77777777" w:rsidR="006578ED" w:rsidRDefault="00A1618E">
            <w:pPr>
              <w:pStyle w:val="P68B1DB1-Normal46"/>
              <w:spacing w:after="0" w:line="240" w:lineRule="auto"/>
              <w:jc w:val="center"/>
              <w:rPr>
                <w:rFonts w:eastAsia="Times New Roman" w:cs="Times New Roman"/>
                <w:noProof/>
              </w:rPr>
            </w:pPr>
            <w:r>
              <w:rPr>
                <w:noProof/>
              </w:rPr>
              <w:t>40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7CA5B6E6" w14:textId="77777777" w:rsidR="006578ED" w:rsidRDefault="00A1618E">
            <w:pPr>
              <w:pStyle w:val="P68B1DB1-Normal46"/>
              <w:spacing w:after="0" w:line="240" w:lineRule="auto"/>
              <w:jc w:val="center"/>
              <w:rPr>
                <w:rFonts w:eastAsia="Times New Roman" w:cs="Times New Roman"/>
                <w:noProof/>
              </w:rPr>
            </w:pPr>
            <w:r>
              <w:rPr>
                <w:noProof/>
              </w:rPr>
              <w:t>C3.R1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C667D7A" w14:textId="43F511FC"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2E8AF21" w14:textId="78694F70" w:rsidR="006578ED" w:rsidRDefault="00A1618E">
            <w:pPr>
              <w:pStyle w:val="P68B1DB1-Normal46"/>
              <w:spacing w:after="0" w:line="240" w:lineRule="auto"/>
              <w:rPr>
                <w:rFonts w:eastAsia="Times New Roman" w:cs="Times New Roman"/>
                <w:noProof/>
              </w:rPr>
            </w:pPr>
            <w:r>
              <w:rPr>
                <w:noProof/>
              </w:rPr>
              <w:t xml:space="preserve">Wejście w życie drugiej zmiany ustawy 12/2013 w sprawie środków na rzecz poprawy funkcjonowania łańcucha żywnościowego </w:t>
            </w:r>
          </w:p>
        </w:tc>
      </w:tr>
      <w:tr w:rsidR="006578ED" w14:paraId="61B9AA8B"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C78075" w14:textId="77777777" w:rsidR="006578ED" w:rsidRDefault="00A1618E">
            <w:pPr>
              <w:pStyle w:val="P68B1DB1-Normal46"/>
              <w:spacing w:after="0" w:line="240" w:lineRule="auto"/>
              <w:jc w:val="center"/>
              <w:rPr>
                <w:rFonts w:eastAsia="Times New Roman" w:cs="Times New Roman"/>
                <w:noProof/>
              </w:rPr>
            </w:pPr>
            <w:r>
              <w:rPr>
                <w:noProof/>
              </w:rPr>
              <w:t>46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D97DD9F" w14:textId="77777777" w:rsidR="006578ED" w:rsidRDefault="00A1618E">
            <w:pPr>
              <w:pStyle w:val="P68B1DB1-Normal46"/>
              <w:spacing w:after="0" w:line="240" w:lineRule="auto"/>
              <w:jc w:val="center"/>
              <w:rPr>
                <w:rFonts w:eastAsia="Times New Roman" w:cs="Times New Roman"/>
                <w:noProof/>
              </w:rPr>
            </w:pPr>
            <w:r>
              <w:rPr>
                <w:noProof/>
              </w:rPr>
              <w:t>C3.I1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61E03C9" w14:textId="00FD8004" w:rsidR="006578ED" w:rsidRDefault="00AF6B91">
            <w:pPr>
              <w:pStyle w:val="P68B1DB1-Normal46"/>
              <w:spacing w:after="0" w:line="240" w:lineRule="auto"/>
              <w:jc w:val="center"/>
              <w:rPr>
                <w:rFonts w:eastAsia="Times New Roman" w:cs="Times New Roman"/>
                <w:noProof/>
              </w:rPr>
            </w:pPr>
            <w:r>
              <w:rPr>
                <w:noProof/>
              </w:rPr>
              <w:t>Cel</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8842CDB" w14:textId="09635FB3" w:rsidR="006578ED" w:rsidRDefault="00A1618E">
            <w:pPr>
              <w:pStyle w:val="P68B1DB1-Normal46"/>
              <w:spacing w:after="0" w:line="240" w:lineRule="auto"/>
              <w:rPr>
                <w:rFonts w:eastAsia="Times New Roman" w:cs="Times New Roman"/>
                <w:noProof/>
              </w:rPr>
            </w:pPr>
            <w:r>
              <w:rPr>
                <w:noProof/>
              </w:rPr>
              <w:t>Wejście w życie umowy między Ministerstwem Rolnictwa, Rybołówstwa i Żywności (MAPA) a SEIASA w celu wsparcia poprawy i trwałości nawadnianych obszarów (etap I)</w:t>
            </w:r>
          </w:p>
        </w:tc>
      </w:tr>
      <w:tr w:rsidR="006578ED" w14:paraId="3B45D08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D0804C" w14:textId="77777777" w:rsidR="006578ED" w:rsidRDefault="00A1618E">
            <w:pPr>
              <w:pStyle w:val="P68B1DB1-Normal46"/>
              <w:spacing w:after="0" w:line="240" w:lineRule="auto"/>
              <w:jc w:val="center"/>
              <w:rPr>
                <w:rFonts w:eastAsia="Times New Roman" w:cs="Times New Roman"/>
                <w:noProof/>
              </w:rPr>
            </w:pPr>
            <w:r>
              <w:rPr>
                <w:noProof/>
              </w:rPr>
              <w:t>56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BD6A95F" w14:textId="77777777" w:rsidR="006578ED" w:rsidRDefault="00A1618E">
            <w:pPr>
              <w:pStyle w:val="P68B1DB1-Normal46"/>
              <w:spacing w:after="0" w:line="240" w:lineRule="auto"/>
              <w:jc w:val="center"/>
              <w:rPr>
                <w:rFonts w:eastAsia="Times New Roman" w:cs="Times New Roman"/>
                <w:noProof/>
              </w:rPr>
            </w:pPr>
            <w:r>
              <w:rPr>
                <w:noProof/>
              </w:rPr>
              <w:t>C3.I7</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52C591D" w14:textId="786AC222"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61635878" w14:textId="73E0C4A4" w:rsidR="006578ED" w:rsidRDefault="00A1618E">
            <w:pPr>
              <w:pStyle w:val="P68B1DB1-Normal46"/>
              <w:spacing w:after="0" w:line="240" w:lineRule="auto"/>
              <w:rPr>
                <w:rFonts w:eastAsia="Times New Roman" w:cs="Times New Roman"/>
                <w:noProof/>
              </w:rPr>
            </w:pPr>
            <w:r>
              <w:rPr>
                <w:noProof/>
              </w:rPr>
              <w:t>Umowy z publicznymi organami badawczymi</w:t>
            </w:r>
          </w:p>
        </w:tc>
      </w:tr>
      <w:tr w:rsidR="006578ED" w14:paraId="6AD2D41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5CC7B3" w14:textId="77777777" w:rsidR="006578ED" w:rsidRDefault="00A1618E">
            <w:pPr>
              <w:pStyle w:val="P68B1DB1-Normal46"/>
              <w:spacing w:after="0" w:line="240" w:lineRule="auto"/>
              <w:jc w:val="center"/>
              <w:rPr>
                <w:rFonts w:eastAsia="Times New Roman" w:cs="Times New Roman"/>
                <w:noProof/>
              </w:rPr>
            </w:pPr>
            <w:r>
              <w:rPr>
                <w:noProof/>
              </w:rPr>
              <w:t>74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265C18C" w14:textId="77777777" w:rsidR="006578ED" w:rsidRDefault="00A1618E">
            <w:pPr>
              <w:pStyle w:val="P68B1DB1-Normal46"/>
              <w:spacing w:after="0" w:line="240" w:lineRule="auto"/>
              <w:jc w:val="center"/>
              <w:rPr>
                <w:rFonts w:eastAsia="Times New Roman" w:cs="Times New Roman"/>
                <w:noProof/>
              </w:rPr>
            </w:pPr>
            <w:r>
              <w:rPr>
                <w:noProof/>
              </w:rPr>
              <w:t>C5.R1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4BECF16" w14:textId="39ECB35F"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71B3BD2" w14:textId="45FD5D94" w:rsidR="006578ED" w:rsidRDefault="00A1618E">
            <w:pPr>
              <w:pStyle w:val="P68B1DB1-Normal46"/>
              <w:spacing w:after="0" w:line="240" w:lineRule="auto"/>
              <w:rPr>
                <w:rFonts w:eastAsia="Times New Roman" w:cs="Times New Roman"/>
                <w:noProof/>
              </w:rPr>
            </w:pPr>
            <w:r>
              <w:rPr>
                <w:noProof/>
              </w:rPr>
              <w:t xml:space="preserve">Wejście w życie zmian do rozporządzenia w sprawie planowania hydrologicznego </w:t>
            </w:r>
          </w:p>
        </w:tc>
      </w:tr>
      <w:tr w:rsidR="006578ED" w14:paraId="6C3BD0AB"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208FFD" w14:textId="77777777" w:rsidR="006578ED" w:rsidRDefault="00A1618E">
            <w:pPr>
              <w:pStyle w:val="P68B1DB1-Normal46"/>
              <w:spacing w:after="0" w:line="240" w:lineRule="auto"/>
              <w:jc w:val="center"/>
              <w:rPr>
                <w:rFonts w:eastAsia="Times New Roman" w:cs="Times New Roman"/>
                <w:noProof/>
              </w:rPr>
            </w:pPr>
            <w:r>
              <w:rPr>
                <w:noProof/>
              </w:rPr>
              <w:t>83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40B7F3" w14:textId="77777777" w:rsidR="006578ED" w:rsidRDefault="00A1618E">
            <w:pPr>
              <w:pStyle w:val="P68B1DB1-Normal46"/>
              <w:spacing w:after="0" w:line="240" w:lineRule="auto"/>
              <w:jc w:val="center"/>
              <w:rPr>
                <w:rFonts w:eastAsia="Times New Roman" w:cs="Times New Roman"/>
                <w:noProof/>
              </w:rPr>
            </w:pPr>
            <w:r>
              <w:rPr>
                <w:noProof/>
              </w:rPr>
              <w:t>C6.R1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6DDB359" w14:textId="3E46991F"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23667E0" w14:textId="349F9131" w:rsidR="006578ED" w:rsidRDefault="00A1618E">
            <w:pPr>
              <w:pStyle w:val="P68B1DB1-Normal46"/>
              <w:spacing w:after="0" w:line="240" w:lineRule="auto"/>
              <w:rPr>
                <w:rFonts w:eastAsia="Times New Roman" w:cs="Times New Roman"/>
                <w:noProof/>
              </w:rPr>
            </w:pPr>
            <w:r>
              <w:rPr>
                <w:noProof/>
              </w:rPr>
              <w:t xml:space="preserve">Strategia na rzecz zrównoważonej, bezpiecznej i opartej na sieci mobilności (zatwierdzenie) </w:t>
            </w:r>
          </w:p>
        </w:tc>
      </w:tr>
      <w:tr w:rsidR="006578ED" w14:paraId="24E452D9"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C11739" w14:textId="77777777" w:rsidR="006578ED" w:rsidRDefault="00A1618E">
            <w:pPr>
              <w:pStyle w:val="P68B1DB1-Normal46"/>
              <w:spacing w:after="0" w:line="240" w:lineRule="auto"/>
              <w:jc w:val="center"/>
              <w:rPr>
                <w:rFonts w:eastAsia="Times New Roman" w:cs="Times New Roman"/>
                <w:noProof/>
              </w:rPr>
            </w:pPr>
            <w:r>
              <w:rPr>
                <w:noProof/>
              </w:rPr>
              <w:t>108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3A4BD27" w14:textId="77777777" w:rsidR="006578ED" w:rsidRDefault="00A1618E">
            <w:pPr>
              <w:pStyle w:val="P68B1DB1-Normal46"/>
              <w:spacing w:after="0" w:line="240" w:lineRule="auto"/>
              <w:jc w:val="center"/>
              <w:rPr>
                <w:rFonts w:eastAsia="Times New Roman" w:cs="Times New Roman"/>
                <w:noProof/>
              </w:rPr>
            </w:pPr>
            <w:r>
              <w:rPr>
                <w:noProof/>
              </w:rPr>
              <w:t>C7.R2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1F933AB" w14:textId="34CE5970"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040114C" w14:textId="77777777" w:rsidR="006578ED" w:rsidRDefault="00A1618E">
            <w:pPr>
              <w:pStyle w:val="P68B1DB1-Normal46"/>
              <w:spacing w:after="0" w:line="240" w:lineRule="auto"/>
              <w:rPr>
                <w:rFonts w:eastAsia="Times New Roman" w:cs="Times New Roman"/>
                <w:noProof/>
              </w:rPr>
            </w:pPr>
            <w:r>
              <w:rPr>
                <w:noProof/>
              </w:rPr>
              <w:t>Krajowa strategia konsumpcji własnej</w:t>
            </w:r>
          </w:p>
        </w:tc>
      </w:tr>
      <w:tr w:rsidR="006578ED" w14:paraId="3A54A1F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4B182F" w14:textId="77777777" w:rsidR="006578ED" w:rsidRDefault="00A1618E">
            <w:pPr>
              <w:pStyle w:val="P68B1DB1-Normal46"/>
              <w:spacing w:after="0" w:line="240" w:lineRule="auto"/>
              <w:jc w:val="center"/>
              <w:rPr>
                <w:rFonts w:eastAsia="Times New Roman" w:cs="Times New Roman"/>
                <w:noProof/>
              </w:rPr>
            </w:pPr>
            <w:r>
              <w:rPr>
                <w:noProof/>
              </w:rPr>
              <w:t>112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9EBBC9B" w14:textId="77777777" w:rsidR="006578ED" w:rsidRDefault="00A1618E">
            <w:pPr>
              <w:pStyle w:val="P68B1DB1-Normal46"/>
              <w:spacing w:after="0" w:line="240" w:lineRule="auto"/>
              <w:jc w:val="center"/>
              <w:rPr>
                <w:rFonts w:eastAsia="Times New Roman" w:cs="Times New Roman"/>
                <w:noProof/>
              </w:rPr>
            </w:pPr>
            <w:r>
              <w:rPr>
                <w:noProof/>
              </w:rPr>
              <w:t>C7.R4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3AF77FA" w14:textId="0D5102BF"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D9A7A5A" w14:textId="0835BD33" w:rsidR="006578ED" w:rsidRDefault="00A1618E">
            <w:pPr>
              <w:pStyle w:val="P68B1DB1-Normal46"/>
              <w:spacing w:after="0" w:line="240" w:lineRule="auto"/>
              <w:rPr>
                <w:rFonts w:eastAsia="Times New Roman" w:cs="Times New Roman"/>
                <w:noProof/>
              </w:rPr>
            </w:pPr>
            <w:r>
              <w:rPr>
                <w:noProof/>
              </w:rPr>
              <w:t>Plan działania na rzecz morskiej energii wiatrowej i innej energii morskiej</w:t>
            </w:r>
          </w:p>
        </w:tc>
      </w:tr>
      <w:tr w:rsidR="006578ED" w14:paraId="7C77981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D56CD2" w14:textId="77777777" w:rsidR="006578ED" w:rsidRDefault="00A1618E">
            <w:pPr>
              <w:pStyle w:val="P68B1DB1-Normal46"/>
              <w:spacing w:after="0" w:line="240" w:lineRule="auto"/>
              <w:jc w:val="center"/>
              <w:rPr>
                <w:rFonts w:eastAsia="Times New Roman" w:cs="Times New Roman"/>
                <w:noProof/>
              </w:rPr>
            </w:pPr>
            <w:r>
              <w:rPr>
                <w:noProof/>
              </w:rPr>
              <w:t>139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5BC9F10" w14:textId="77777777" w:rsidR="006578ED" w:rsidRDefault="00A1618E">
            <w:pPr>
              <w:pStyle w:val="P68B1DB1-Normal46"/>
              <w:spacing w:after="0" w:line="240" w:lineRule="auto"/>
              <w:jc w:val="center"/>
              <w:rPr>
                <w:rFonts w:eastAsia="Times New Roman" w:cs="Times New Roman"/>
                <w:noProof/>
              </w:rPr>
            </w:pPr>
            <w:r>
              <w:rPr>
                <w:noProof/>
              </w:rPr>
              <w:t>C10.I1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2EFC6F" w14:textId="5EFAEEBA"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596FD13" w14:textId="5E25D94A" w:rsidR="006578ED" w:rsidRDefault="00A1618E">
            <w:pPr>
              <w:pStyle w:val="P68B1DB1-Normal46"/>
              <w:spacing w:after="0" w:line="240" w:lineRule="auto"/>
              <w:rPr>
                <w:rFonts w:eastAsia="Times New Roman" w:cs="Times New Roman"/>
                <w:noProof/>
              </w:rPr>
            </w:pPr>
            <w:r>
              <w:rPr>
                <w:noProof/>
              </w:rPr>
              <w:t>Program pomocy szkoleniowej „sprawiedliwa transformacja” i przyznawanie pomocy na rozwój gospodarczy obszarów objętych sprawiedliwą transformacją</w:t>
            </w:r>
          </w:p>
        </w:tc>
      </w:tr>
      <w:tr w:rsidR="006578ED" w14:paraId="2F542DB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11C009" w14:textId="77777777" w:rsidR="006578ED" w:rsidRDefault="00A1618E">
            <w:pPr>
              <w:pStyle w:val="P68B1DB1-Normal46"/>
              <w:spacing w:after="0" w:line="240" w:lineRule="auto"/>
              <w:jc w:val="center"/>
              <w:rPr>
                <w:rFonts w:eastAsia="Times New Roman" w:cs="Times New Roman"/>
                <w:noProof/>
              </w:rPr>
            </w:pPr>
            <w:r>
              <w:rPr>
                <w:noProof/>
              </w:rPr>
              <w:t>155</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B00D67D" w14:textId="77777777" w:rsidR="006578ED" w:rsidRDefault="00A1618E">
            <w:pPr>
              <w:pStyle w:val="P68B1DB1-Normal46"/>
              <w:spacing w:after="0" w:line="240" w:lineRule="auto"/>
              <w:jc w:val="center"/>
              <w:rPr>
                <w:rFonts w:eastAsia="Times New Roman" w:cs="Times New Roman"/>
                <w:noProof/>
              </w:rPr>
            </w:pPr>
            <w:r>
              <w:rPr>
                <w:noProof/>
              </w:rPr>
              <w:t>C11.R4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A313C3F" w14:textId="6F2EF1BD"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DE117A0" w14:textId="4D9D61EC" w:rsidR="006578ED" w:rsidRDefault="00A1618E">
            <w:pPr>
              <w:pStyle w:val="P68B1DB1-Normal46"/>
              <w:spacing w:after="0" w:line="240" w:lineRule="auto"/>
              <w:rPr>
                <w:rFonts w:eastAsia="Times New Roman" w:cs="Times New Roman"/>
                <w:noProof/>
              </w:rPr>
            </w:pPr>
            <w:r>
              <w:rPr>
                <w:noProof/>
              </w:rPr>
              <w:t xml:space="preserve">Wejście w życie rozporządzenia ministerialnego ustanawiającego Krajowy Urząd Oceny </w:t>
            </w:r>
          </w:p>
        </w:tc>
      </w:tr>
      <w:tr w:rsidR="006578ED" w14:paraId="05B6D33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39DBA8" w14:textId="77777777" w:rsidR="006578ED" w:rsidRDefault="00A1618E">
            <w:pPr>
              <w:pStyle w:val="P68B1DB1-Normal46"/>
              <w:spacing w:after="0" w:line="240" w:lineRule="auto"/>
              <w:jc w:val="center"/>
              <w:rPr>
                <w:rFonts w:eastAsia="Times New Roman" w:cs="Times New Roman"/>
                <w:noProof/>
              </w:rPr>
            </w:pPr>
            <w:r>
              <w:rPr>
                <w:noProof/>
              </w:rPr>
              <w:t>189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8AC96B1" w14:textId="77777777" w:rsidR="006578ED" w:rsidRDefault="00A1618E">
            <w:pPr>
              <w:pStyle w:val="P68B1DB1-Normal46"/>
              <w:spacing w:after="0" w:line="240" w:lineRule="auto"/>
              <w:jc w:val="center"/>
              <w:rPr>
                <w:rFonts w:eastAsia="Times New Roman" w:cs="Times New Roman"/>
                <w:noProof/>
              </w:rPr>
            </w:pPr>
            <w:r>
              <w:rPr>
                <w:noProof/>
              </w:rPr>
              <w:t>C13.R1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01DFC42" w14:textId="5D7E3A88"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96368C3" w14:textId="253B5774" w:rsidR="006578ED" w:rsidRDefault="00A1618E">
            <w:pPr>
              <w:pStyle w:val="P68B1DB1-Normal46"/>
              <w:spacing w:after="0" w:line="240" w:lineRule="auto"/>
              <w:rPr>
                <w:rFonts w:eastAsia="Times New Roman" w:cs="Times New Roman"/>
                <w:noProof/>
              </w:rPr>
            </w:pPr>
            <w:r>
              <w:rPr>
                <w:noProof/>
              </w:rPr>
              <w:t xml:space="preserve">Wejście w życie ustawy o zmianie ustawy 34/2006 o dostępie do zawodów adwokatów i radców prawnych </w:t>
            </w:r>
          </w:p>
        </w:tc>
      </w:tr>
      <w:tr w:rsidR="006578ED" w14:paraId="788E0D7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0A3D1" w14:textId="77777777" w:rsidR="006578ED" w:rsidRDefault="00A1618E">
            <w:pPr>
              <w:pStyle w:val="P68B1DB1-Normal46"/>
              <w:spacing w:after="0" w:line="240" w:lineRule="auto"/>
              <w:jc w:val="center"/>
              <w:rPr>
                <w:rFonts w:eastAsia="Times New Roman" w:cs="Times New Roman"/>
                <w:noProof/>
              </w:rPr>
            </w:pPr>
            <w:r>
              <w:rPr>
                <w:noProof/>
              </w:rPr>
              <w:t>216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C29586D" w14:textId="77777777" w:rsidR="006578ED" w:rsidRDefault="00A1618E">
            <w:pPr>
              <w:pStyle w:val="P68B1DB1-Normal46"/>
              <w:spacing w:after="0" w:line="240" w:lineRule="auto"/>
              <w:jc w:val="center"/>
              <w:rPr>
                <w:rFonts w:eastAsia="Times New Roman" w:cs="Times New Roman"/>
                <w:noProof/>
              </w:rPr>
            </w:pPr>
            <w:r>
              <w:rPr>
                <w:noProof/>
              </w:rPr>
              <w:t>C14.R1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9321CB8" w14:textId="462860EB"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284B7DA" w14:textId="4083F38B" w:rsidR="006578ED" w:rsidRDefault="00A1618E">
            <w:pPr>
              <w:pStyle w:val="P68B1DB1-Normal46"/>
              <w:spacing w:after="0" w:line="240" w:lineRule="auto"/>
              <w:rPr>
                <w:rFonts w:eastAsia="Times New Roman" w:cs="Times New Roman"/>
                <w:noProof/>
              </w:rPr>
            </w:pPr>
            <w:r>
              <w:rPr>
                <w:noProof/>
              </w:rPr>
              <w:t xml:space="preserve">Wejście w życie dekretu królewskiego w sprawie wdrożenia Państwowego Funduszu Finansowego na rzecz Konkurencyjności Turystyki </w:t>
            </w:r>
          </w:p>
        </w:tc>
      </w:tr>
      <w:tr w:rsidR="006578ED" w14:paraId="210A1BA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A6B3CA" w14:textId="77777777" w:rsidR="006578ED" w:rsidRDefault="00A1618E">
            <w:pPr>
              <w:pStyle w:val="P68B1DB1-Normal46"/>
              <w:spacing w:after="0" w:line="240" w:lineRule="auto"/>
              <w:jc w:val="center"/>
              <w:rPr>
                <w:rFonts w:eastAsia="Times New Roman" w:cs="Times New Roman"/>
                <w:noProof/>
              </w:rPr>
            </w:pPr>
            <w:r>
              <w:rPr>
                <w:noProof/>
              </w:rPr>
              <w:t>217</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24C4372" w14:textId="77777777" w:rsidR="006578ED" w:rsidRDefault="00A1618E">
            <w:pPr>
              <w:pStyle w:val="P68B1DB1-Normal46"/>
              <w:spacing w:after="0" w:line="240" w:lineRule="auto"/>
              <w:jc w:val="center"/>
              <w:rPr>
                <w:rFonts w:eastAsia="Times New Roman" w:cs="Times New Roman"/>
                <w:noProof/>
              </w:rPr>
            </w:pPr>
            <w:r>
              <w:rPr>
                <w:noProof/>
              </w:rPr>
              <w:t>C14.I1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2C43804" w14:textId="009B80C4" w:rsidR="006578ED" w:rsidRDefault="00AF6B91">
            <w:pPr>
              <w:pStyle w:val="P68B1DB1-Normal46"/>
              <w:spacing w:after="0" w:line="240" w:lineRule="auto"/>
              <w:jc w:val="center"/>
              <w:rPr>
                <w:rFonts w:eastAsia="Times New Roman" w:cs="Times New Roman"/>
                <w:noProof/>
              </w:rPr>
            </w:pPr>
            <w:r>
              <w:rPr>
                <w:noProof/>
              </w:rPr>
              <w:t>Cel</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A5D5DC" w14:textId="54AA6C64" w:rsidR="006578ED" w:rsidRDefault="00A1618E">
            <w:pPr>
              <w:pStyle w:val="P68B1DB1-Normal46"/>
              <w:spacing w:after="0" w:line="240" w:lineRule="auto"/>
              <w:rPr>
                <w:rFonts w:eastAsia="Times New Roman" w:cs="Times New Roman"/>
                <w:noProof/>
              </w:rPr>
            </w:pPr>
            <w:r>
              <w:rPr>
                <w:noProof/>
              </w:rPr>
              <w:t>Przyznawanie środków budżetowych na plany promujące zrównoważony rozwój turystyki w miejscu docelowym</w:t>
            </w:r>
          </w:p>
        </w:tc>
      </w:tr>
      <w:tr w:rsidR="006578ED" w14:paraId="5995A86C"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D4DC59" w14:textId="77777777" w:rsidR="006578ED" w:rsidRDefault="00A1618E">
            <w:pPr>
              <w:pStyle w:val="P68B1DB1-Normal46"/>
              <w:spacing w:after="0" w:line="240" w:lineRule="auto"/>
              <w:jc w:val="center"/>
              <w:rPr>
                <w:rFonts w:eastAsia="Times New Roman" w:cs="Times New Roman"/>
                <w:noProof/>
              </w:rPr>
            </w:pPr>
            <w:r>
              <w:rPr>
                <w:noProof/>
              </w:rPr>
              <w:t>232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015F8A8" w14:textId="77777777" w:rsidR="006578ED" w:rsidRDefault="00A1618E">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5F112F4" w14:textId="21D57F9A"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C71173F" w14:textId="77777777" w:rsidR="006578ED" w:rsidRDefault="00A1618E">
            <w:pPr>
              <w:pStyle w:val="P68B1DB1-Normal46"/>
              <w:spacing w:after="0" w:line="240" w:lineRule="auto"/>
              <w:rPr>
                <w:rFonts w:eastAsia="Times New Roman" w:cs="Times New Roman"/>
                <w:noProof/>
              </w:rPr>
            </w:pPr>
            <w:r>
              <w:rPr>
                <w:noProof/>
              </w:rPr>
              <w:t>Przydział pasma 700 MHz</w:t>
            </w:r>
          </w:p>
        </w:tc>
      </w:tr>
      <w:tr w:rsidR="006578ED" w14:paraId="3F6862D5"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6B1D96" w14:textId="77777777" w:rsidR="006578ED" w:rsidRDefault="00A1618E">
            <w:pPr>
              <w:pStyle w:val="P68B1DB1-Normal46"/>
              <w:spacing w:after="0" w:line="240" w:lineRule="auto"/>
              <w:jc w:val="center"/>
              <w:rPr>
                <w:rFonts w:eastAsia="Times New Roman" w:cs="Times New Roman"/>
                <w:noProof/>
              </w:rPr>
            </w:pPr>
            <w:r>
              <w:rPr>
                <w:noProof/>
              </w:rPr>
              <w:t>233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715AE1F9" w14:textId="77777777" w:rsidR="006578ED" w:rsidRDefault="00A1618E">
            <w:pPr>
              <w:pStyle w:val="P68B1DB1-Normal46"/>
              <w:spacing w:after="0" w:line="240" w:lineRule="auto"/>
              <w:jc w:val="center"/>
              <w:rPr>
                <w:rFonts w:eastAsia="Times New Roman" w:cs="Times New Roman"/>
                <w:noProof/>
              </w:rPr>
            </w:pPr>
            <w:r>
              <w:rPr>
                <w:noProof/>
              </w:rPr>
              <w:t>C15.R2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69C0F88" w14:textId="3B31930E"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6C0CBAD5" w14:textId="3053173B" w:rsidR="006578ED" w:rsidRDefault="00A1618E">
            <w:pPr>
              <w:pStyle w:val="P68B1DB1-Normal46"/>
              <w:spacing w:after="0" w:line="240" w:lineRule="auto"/>
              <w:rPr>
                <w:rFonts w:eastAsia="Times New Roman" w:cs="Times New Roman"/>
                <w:noProof/>
              </w:rPr>
            </w:pPr>
            <w:r>
              <w:rPr>
                <w:noProof/>
              </w:rPr>
              <w:t>Wejście w życie aktu prawnego w sprawie zmniejszenia opodatkowania częstotliwości 5G</w:t>
            </w:r>
          </w:p>
        </w:tc>
      </w:tr>
      <w:tr w:rsidR="006578ED" w14:paraId="143E051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45D1F" w14:textId="77777777" w:rsidR="006578ED" w:rsidRDefault="00A1618E">
            <w:pPr>
              <w:pStyle w:val="P68B1DB1-Normal46"/>
              <w:spacing w:after="0" w:line="240" w:lineRule="auto"/>
              <w:jc w:val="center"/>
              <w:rPr>
                <w:rFonts w:eastAsia="Times New Roman" w:cs="Times New Roman"/>
                <w:noProof/>
              </w:rPr>
            </w:pPr>
            <w:r>
              <w:rPr>
                <w:noProof/>
              </w:rPr>
              <w:t>250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6953CA4" w14:textId="77777777" w:rsidR="006578ED" w:rsidRDefault="00A1618E">
            <w:pPr>
              <w:pStyle w:val="P68B1DB1-Normal46"/>
              <w:spacing w:after="0" w:line="240" w:lineRule="auto"/>
              <w:jc w:val="center"/>
              <w:rPr>
                <w:rFonts w:eastAsia="Times New Roman" w:cs="Times New Roman"/>
                <w:noProof/>
              </w:rPr>
            </w:pPr>
            <w:r>
              <w:rPr>
                <w:noProof/>
              </w:rPr>
              <w:t>C16.R1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64412E7" w14:textId="69621ABB"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C961205" w14:textId="77777777" w:rsidR="006578ED" w:rsidRDefault="00A1618E">
            <w:pPr>
              <w:pStyle w:val="P68B1DB1-Normal46"/>
              <w:spacing w:after="0" w:line="240" w:lineRule="auto"/>
              <w:rPr>
                <w:rFonts w:eastAsia="Times New Roman" w:cs="Times New Roman"/>
                <w:noProof/>
              </w:rPr>
            </w:pPr>
            <w:r>
              <w:rPr>
                <w:noProof/>
              </w:rPr>
              <w:t>Karta praw cyfrowych</w:t>
            </w:r>
          </w:p>
        </w:tc>
      </w:tr>
      <w:tr w:rsidR="006578ED" w14:paraId="3E47B5B5"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55EA78" w14:textId="77777777" w:rsidR="006578ED" w:rsidRDefault="00A1618E">
            <w:pPr>
              <w:pStyle w:val="P68B1DB1-Normal46"/>
              <w:spacing w:after="0" w:line="240" w:lineRule="auto"/>
              <w:jc w:val="center"/>
              <w:rPr>
                <w:rFonts w:eastAsia="Times New Roman" w:cs="Times New Roman"/>
                <w:noProof/>
              </w:rPr>
            </w:pPr>
            <w:r>
              <w:rPr>
                <w:noProof/>
              </w:rPr>
              <w:t>258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10D064" w14:textId="77777777" w:rsidR="006578ED" w:rsidRDefault="00A1618E">
            <w:pPr>
              <w:pStyle w:val="P68B1DB1-Normal46"/>
              <w:spacing w:after="0" w:line="240" w:lineRule="auto"/>
              <w:jc w:val="center"/>
              <w:rPr>
                <w:rFonts w:eastAsia="Times New Roman" w:cs="Times New Roman"/>
                <w:noProof/>
              </w:rPr>
            </w:pPr>
            <w:r>
              <w:rPr>
                <w:noProof/>
              </w:rPr>
              <w:t>C17.I1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9175B27" w14:textId="70C1CC0F" w:rsidR="006578ED" w:rsidRDefault="00AF6B91">
            <w:pPr>
              <w:pStyle w:val="P68B1DB1-Normal46"/>
              <w:spacing w:after="0" w:line="240" w:lineRule="auto"/>
              <w:jc w:val="center"/>
              <w:rPr>
                <w:rFonts w:eastAsia="Times New Roman" w:cs="Times New Roman"/>
                <w:noProof/>
              </w:rPr>
            </w:pPr>
            <w:r>
              <w:rPr>
                <w:noProof/>
              </w:rPr>
              <w:t>Cel</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010C44E" w14:textId="69F9D131" w:rsidR="006578ED" w:rsidRDefault="00A1618E">
            <w:pPr>
              <w:pStyle w:val="P68B1DB1-Normal46"/>
              <w:spacing w:after="0" w:line="240" w:lineRule="auto"/>
              <w:rPr>
                <w:rFonts w:eastAsia="Times New Roman" w:cs="Times New Roman"/>
                <w:noProof/>
              </w:rPr>
            </w:pPr>
            <w:r>
              <w:rPr>
                <w:noProof/>
              </w:rPr>
              <w:t xml:space="preserve">Umowy podpisane przez Ministerstwo Nauki i Innowacji ze wspólnotami autonomicznymi w celu wdrożenia „uzupełniających planów badawczo-rozwojowych”. </w:t>
            </w:r>
          </w:p>
        </w:tc>
      </w:tr>
      <w:tr w:rsidR="006578ED" w14:paraId="6FE2883C"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12C4A2" w14:textId="77777777" w:rsidR="006578ED" w:rsidRDefault="00A1618E">
            <w:pPr>
              <w:pStyle w:val="P68B1DB1-Normal46"/>
              <w:spacing w:after="0" w:line="240" w:lineRule="auto"/>
              <w:jc w:val="center"/>
              <w:rPr>
                <w:rFonts w:eastAsia="Times New Roman" w:cs="Times New Roman"/>
                <w:noProof/>
              </w:rPr>
            </w:pPr>
            <w:r>
              <w:rPr>
                <w:noProof/>
              </w:rPr>
              <w:t>273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B0E5990" w14:textId="77777777" w:rsidR="006578ED" w:rsidRDefault="00A1618E">
            <w:pPr>
              <w:pStyle w:val="P68B1DB1-Normal46"/>
              <w:spacing w:after="0" w:line="240" w:lineRule="auto"/>
              <w:jc w:val="center"/>
              <w:rPr>
                <w:rFonts w:eastAsia="Times New Roman" w:cs="Times New Roman"/>
                <w:noProof/>
              </w:rPr>
            </w:pPr>
            <w:r>
              <w:rPr>
                <w:noProof/>
              </w:rPr>
              <w:t>C18.R1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008EB392" w14:textId="1F32BE1E"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7D8B9BBC" w14:textId="026E1F82" w:rsidR="006578ED" w:rsidRDefault="00A1618E">
            <w:pPr>
              <w:pStyle w:val="P68B1DB1-Normal46"/>
              <w:spacing w:after="0" w:line="240" w:lineRule="auto"/>
              <w:rPr>
                <w:rFonts w:eastAsia="Times New Roman" w:cs="Times New Roman"/>
                <w:noProof/>
              </w:rPr>
            </w:pPr>
            <w:r>
              <w:rPr>
                <w:noProof/>
              </w:rPr>
              <w:t>Plan działania na rzecz opieki podstawowej i środowiskowej</w:t>
            </w:r>
          </w:p>
        </w:tc>
      </w:tr>
      <w:tr w:rsidR="006578ED" w14:paraId="50516EFF"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9164CC" w14:textId="77777777" w:rsidR="006578ED" w:rsidRDefault="00A1618E">
            <w:pPr>
              <w:pStyle w:val="P68B1DB1-Normal46"/>
              <w:spacing w:after="0" w:line="240" w:lineRule="auto"/>
              <w:jc w:val="center"/>
              <w:rPr>
                <w:rFonts w:eastAsia="Times New Roman" w:cs="Times New Roman"/>
                <w:noProof/>
              </w:rPr>
            </w:pPr>
            <w:r>
              <w:rPr>
                <w:noProof/>
              </w:rPr>
              <w:t>278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4D4E1D1" w14:textId="77777777" w:rsidR="006578ED" w:rsidRDefault="00A1618E">
            <w:pPr>
              <w:pStyle w:val="P68B1DB1-Normal46"/>
              <w:spacing w:after="0" w:line="240" w:lineRule="auto"/>
              <w:jc w:val="center"/>
              <w:rPr>
                <w:rFonts w:eastAsia="Times New Roman" w:cs="Times New Roman"/>
                <w:noProof/>
              </w:rPr>
            </w:pPr>
            <w:r>
              <w:rPr>
                <w:noProof/>
              </w:rPr>
              <w:t>C18.I1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5E7E47F" w14:textId="351D09F6"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35A040" w14:textId="0CE5E458" w:rsidR="006578ED" w:rsidRDefault="00A1618E">
            <w:pPr>
              <w:pStyle w:val="P68B1DB1-Normal46"/>
              <w:spacing w:after="0" w:line="240" w:lineRule="auto"/>
              <w:rPr>
                <w:rFonts w:eastAsia="Times New Roman" w:cs="Times New Roman"/>
                <w:noProof/>
              </w:rPr>
            </w:pPr>
            <w:r>
              <w:rPr>
                <w:noProof/>
              </w:rPr>
              <w:t xml:space="preserve">Zatwierdzenie planu inwestycji w sprzęt i dystrybucja środków </w:t>
            </w:r>
          </w:p>
        </w:tc>
      </w:tr>
      <w:tr w:rsidR="006578ED" w14:paraId="664D40DD"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1C0BDE" w14:textId="77777777" w:rsidR="006578ED" w:rsidRDefault="00A1618E">
            <w:pPr>
              <w:pStyle w:val="P68B1DB1-Normal46"/>
              <w:spacing w:after="0" w:line="240" w:lineRule="auto"/>
              <w:jc w:val="center"/>
              <w:rPr>
                <w:rFonts w:eastAsia="Times New Roman" w:cs="Times New Roman"/>
                <w:noProof/>
              </w:rPr>
            </w:pPr>
            <w:r>
              <w:rPr>
                <w:noProof/>
              </w:rPr>
              <w:t>289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2003EAE" w14:textId="77777777" w:rsidR="006578ED" w:rsidRDefault="00A1618E">
            <w:pPr>
              <w:pStyle w:val="P68B1DB1-Normal46"/>
              <w:spacing w:after="0" w:line="240" w:lineRule="auto"/>
              <w:jc w:val="center"/>
              <w:rPr>
                <w:rFonts w:eastAsia="Times New Roman" w:cs="Times New Roman"/>
                <w:noProof/>
              </w:rPr>
            </w:pPr>
            <w:r>
              <w:rPr>
                <w:noProof/>
              </w:rPr>
              <w:t>C19.I2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E717CCA" w14:textId="36D95946"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2CD3A96" w14:textId="16DFA318" w:rsidR="006578ED" w:rsidRDefault="00A1618E">
            <w:pPr>
              <w:pStyle w:val="P68B1DB1-Normal46"/>
              <w:spacing w:after="0" w:line="240" w:lineRule="auto"/>
              <w:rPr>
                <w:rFonts w:eastAsia="Times New Roman" w:cs="Times New Roman"/>
                <w:noProof/>
              </w:rPr>
            </w:pPr>
            <w:r>
              <w:rPr>
                <w:noProof/>
              </w:rPr>
              <w:t>Program wyposażenia szkół publicznych i finansowanych ze środków publicznych w narzędzia cyfrowe</w:t>
            </w:r>
          </w:p>
        </w:tc>
      </w:tr>
      <w:tr w:rsidR="006578ED" w14:paraId="2535707A"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BE5D37" w14:textId="77777777" w:rsidR="006578ED" w:rsidRDefault="00A1618E">
            <w:pPr>
              <w:pStyle w:val="P68B1DB1-Normal46"/>
              <w:spacing w:after="0" w:line="240" w:lineRule="auto"/>
              <w:jc w:val="center"/>
              <w:rPr>
                <w:rFonts w:eastAsia="Times New Roman" w:cs="Times New Roman"/>
                <w:noProof/>
              </w:rPr>
            </w:pPr>
            <w:r>
              <w:rPr>
                <w:noProof/>
              </w:rPr>
              <w:t>306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E0AD547" w14:textId="77777777" w:rsidR="006578ED" w:rsidRDefault="00A1618E">
            <w:pPr>
              <w:pStyle w:val="P68B1DB1-Normal46"/>
              <w:spacing w:after="0" w:line="240" w:lineRule="auto"/>
              <w:jc w:val="center"/>
              <w:rPr>
                <w:rFonts w:eastAsia="Times New Roman" w:cs="Times New Roman"/>
                <w:noProof/>
              </w:rPr>
            </w:pPr>
            <w:r>
              <w:rPr>
                <w:noProof/>
              </w:rPr>
              <w:t>C21.R3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0A4FDE1" w14:textId="5570806A"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4AC6898" w14:textId="12B2CBC6" w:rsidR="006578ED" w:rsidRDefault="00A1618E">
            <w:pPr>
              <w:pStyle w:val="P68B1DB1-Normal46"/>
              <w:spacing w:after="0" w:line="240" w:lineRule="auto"/>
              <w:rPr>
                <w:rFonts w:eastAsia="Times New Roman" w:cs="Times New Roman"/>
                <w:noProof/>
              </w:rPr>
            </w:pPr>
            <w:r>
              <w:rPr>
                <w:noProof/>
              </w:rPr>
              <w:t>Wejście w życie dekretów królewskich w sprawie organizacji uniwersytetów</w:t>
            </w:r>
          </w:p>
        </w:tc>
      </w:tr>
      <w:tr w:rsidR="006578ED" w14:paraId="3FB31BA1"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28C952" w14:textId="77777777" w:rsidR="006578ED" w:rsidRDefault="00A1618E">
            <w:pPr>
              <w:pStyle w:val="P68B1DB1-Normal46"/>
              <w:spacing w:after="0" w:line="240" w:lineRule="auto"/>
              <w:jc w:val="center"/>
              <w:rPr>
                <w:rFonts w:eastAsia="Times New Roman" w:cs="Times New Roman"/>
                <w:noProof/>
              </w:rPr>
            </w:pPr>
            <w:r>
              <w:rPr>
                <w:noProof/>
              </w:rPr>
              <w:t>331</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DC00FD4" w14:textId="77777777" w:rsidR="006578ED" w:rsidRDefault="00A1618E">
            <w:pPr>
              <w:pStyle w:val="P68B1DB1-Normal46"/>
              <w:spacing w:after="0" w:line="240" w:lineRule="auto"/>
              <w:jc w:val="center"/>
              <w:rPr>
                <w:rFonts w:eastAsia="Times New Roman" w:cs="Times New Roman"/>
                <w:noProof/>
              </w:rPr>
            </w:pPr>
            <w:r>
              <w:rPr>
                <w:noProof/>
              </w:rPr>
              <w:t>C23.R3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C2C04F7" w14:textId="5C24758E"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FC7667A" w14:textId="4C59208C" w:rsidR="006578ED" w:rsidRDefault="00A1618E">
            <w:pPr>
              <w:pStyle w:val="P68B1DB1-Normal46"/>
              <w:spacing w:after="0" w:line="240" w:lineRule="auto"/>
              <w:rPr>
                <w:rFonts w:eastAsia="Times New Roman" w:cs="Times New Roman"/>
                <w:noProof/>
              </w:rPr>
            </w:pPr>
            <w:r>
              <w:rPr>
                <w:noProof/>
              </w:rPr>
              <w:t>Wejście w życie dekretu królewskiego z mocą ustawy w sprawie ochrony pracowników prowadzących działalność dystrybucyjną na rzecz osób trzecich przy użyciu środków technologicznych</w:t>
            </w:r>
          </w:p>
        </w:tc>
      </w:tr>
      <w:tr w:rsidR="006578ED" w14:paraId="15080A9A"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7CA00" w14:textId="77777777" w:rsidR="006578ED" w:rsidRDefault="00A1618E">
            <w:pPr>
              <w:pStyle w:val="P68B1DB1-Normal46"/>
              <w:spacing w:after="0" w:line="240" w:lineRule="auto"/>
              <w:jc w:val="center"/>
              <w:rPr>
                <w:rFonts w:eastAsia="Times New Roman" w:cs="Times New Roman"/>
                <w:noProof/>
              </w:rPr>
            </w:pPr>
            <w:r>
              <w:rPr>
                <w:noProof/>
              </w:rPr>
              <w:t>332</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584D4C06" w14:textId="77777777" w:rsidR="006578ED" w:rsidRDefault="00A1618E">
            <w:pPr>
              <w:pStyle w:val="P68B1DB1-Normal46"/>
              <w:spacing w:after="0" w:line="240" w:lineRule="auto"/>
              <w:jc w:val="center"/>
              <w:rPr>
                <w:rFonts w:eastAsia="Times New Roman" w:cs="Times New Roman"/>
                <w:noProof/>
              </w:rPr>
            </w:pPr>
            <w:r>
              <w:rPr>
                <w:noProof/>
              </w:rPr>
              <w:t>C23.R4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86A5CD8" w14:textId="17022EE8"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3789C12" w14:textId="2AC9EF86" w:rsidR="006578ED" w:rsidRDefault="00A1618E">
            <w:pPr>
              <w:pStyle w:val="P68B1DB1-Normal46"/>
              <w:spacing w:after="0" w:line="240" w:lineRule="auto"/>
              <w:rPr>
                <w:rFonts w:eastAsia="Times New Roman" w:cs="Times New Roman"/>
                <w:noProof/>
              </w:rPr>
            </w:pPr>
            <w:r>
              <w:rPr>
                <w:noProof/>
              </w:rPr>
              <w:t>Zmiana statutu pracownika w celu wsparcia ograniczenia zatrudnienia na czas określony poprzez uproszczenie liczby rodzajów umów</w:t>
            </w:r>
          </w:p>
        </w:tc>
      </w:tr>
      <w:tr w:rsidR="006578ED" w14:paraId="62C886C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8B61ED" w14:textId="77777777" w:rsidR="006578ED" w:rsidRDefault="00A1618E">
            <w:pPr>
              <w:pStyle w:val="P68B1DB1-Normal46"/>
              <w:spacing w:after="0" w:line="240" w:lineRule="auto"/>
              <w:jc w:val="center"/>
              <w:rPr>
                <w:rFonts w:eastAsia="Times New Roman" w:cs="Times New Roman"/>
                <w:noProof/>
              </w:rPr>
            </w:pPr>
            <w:r>
              <w:rPr>
                <w:noProof/>
              </w:rPr>
              <w:t>334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E38B2D7" w14:textId="77777777" w:rsidR="006578ED" w:rsidRDefault="00A1618E">
            <w:pPr>
              <w:pStyle w:val="P68B1DB1-Normal46"/>
              <w:spacing w:after="0" w:line="240" w:lineRule="auto"/>
              <w:jc w:val="center"/>
              <w:rPr>
                <w:rFonts w:eastAsia="Times New Roman" w:cs="Times New Roman"/>
                <w:noProof/>
              </w:rPr>
            </w:pPr>
            <w:r>
              <w:rPr>
                <w:noProof/>
              </w:rPr>
              <w:t>C23.R5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031B1C1" w14:textId="09F70C87"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D7D162D" w14:textId="77777777" w:rsidR="006578ED" w:rsidRDefault="00A1618E">
            <w:pPr>
              <w:pStyle w:val="P68B1DB1-Normal46"/>
              <w:spacing w:after="0" w:line="240" w:lineRule="auto"/>
              <w:rPr>
                <w:rFonts w:eastAsia="Times New Roman" w:cs="Times New Roman"/>
                <w:noProof/>
              </w:rPr>
            </w:pPr>
            <w:r>
              <w:rPr>
                <w:noProof/>
              </w:rPr>
              <w:t>Dekret królewski dotyczący nowej hiszpańskiej strategii zatrudnienia na lata 2021–2024</w:t>
            </w:r>
          </w:p>
        </w:tc>
      </w:tr>
      <w:tr w:rsidR="006578ED" w14:paraId="21B068B8"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E65BC0" w14:textId="77777777" w:rsidR="006578ED" w:rsidRDefault="00A1618E">
            <w:pPr>
              <w:pStyle w:val="P68B1DB1-Normal46"/>
              <w:spacing w:after="0" w:line="240" w:lineRule="auto"/>
              <w:jc w:val="center"/>
              <w:rPr>
                <w:rFonts w:eastAsia="Times New Roman" w:cs="Times New Roman"/>
                <w:noProof/>
              </w:rPr>
            </w:pPr>
            <w:r>
              <w:rPr>
                <w:noProof/>
              </w:rPr>
              <w:t>336</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D5AB316" w14:textId="77777777" w:rsidR="006578ED" w:rsidRDefault="00A1618E">
            <w:pPr>
              <w:pStyle w:val="P68B1DB1-Normal46"/>
              <w:spacing w:after="0" w:line="240" w:lineRule="auto"/>
              <w:jc w:val="center"/>
              <w:rPr>
                <w:rFonts w:eastAsia="Times New Roman" w:cs="Times New Roman"/>
                <w:noProof/>
              </w:rPr>
            </w:pPr>
            <w:r>
              <w:rPr>
                <w:noProof/>
              </w:rPr>
              <w:t>C23.R6</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B9520C4" w14:textId="01EF7CA2"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316EDE0" w14:textId="40BE4CC4" w:rsidR="006578ED" w:rsidRDefault="00A1618E">
            <w:pPr>
              <w:pStyle w:val="P68B1DB1-Normal46"/>
              <w:spacing w:after="0" w:line="240" w:lineRule="auto"/>
              <w:rPr>
                <w:rFonts w:eastAsia="Times New Roman" w:cs="Times New Roman"/>
                <w:noProof/>
              </w:rPr>
            </w:pPr>
            <w:r>
              <w:rPr>
                <w:noProof/>
              </w:rPr>
              <w:t>Zmiana statutu pracownika w celu ustanowienia systemu dostosowywania się do wstrząsów cyklicznych i strukturalnych, w tym systemu zapewniającego przedsiębiorstwom wewnętrzną elastyczność i stabilność dla pracowników</w:t>
            </w:r>
          </w:p>
        </w:tc>
      </w:tr>
      <w:tr w:rsidR="006578ED" w14:paraId="2D2B038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AE131F" w14:textId="77777777" w:rsidR="006578ED" w:rsidRDefault="00A1618E">
            <w:pPr>
              <w:pStyle w:val="P68B1DB1-Normal46"/>
              <w:spacing w:after="0" w:line="240" w:lineRule="auto"/>
              <w:jc w:val="center"/>
              <w:rPr>
                <w:rFonts w:eastAsia="Times New Roman" w:cs="Times New Roman"/>
                <w:noProof/>
              </w:rPr>
            </w:pPr>
            <w:r>
              <w:rPr>
                <w:noProof/>
              </w:rPr>
              <w:t>338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C204030" w14:textId="77777777" w:rsidR="006578ED" w:rsidRDefault="00A1618E">
            <w:pPr>
              <w:pStyle w:val="P68B1DB1-Normal46"/>
              <w:spacing w:after="0" w:line="240" w:lineRule="auto"/>
              <w:jc w:val="center"/>
              <w:rPr>
                <w:rFonts w:eastAsia="Times New Roman" w:cs="Times New Roman"/>
                <w:noProof/>
              </w:rPr>
            </w:pPr>
            <w:r>
              <w:rPr>
                <w:noProof/>
              </w:rPr>
              <w:t>C23.R8</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C4B468E" w14:textId="4CE50E6E"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EDE9C9D" w14:textId="73E62202" w:rsidR="006578ED" w:rsidRDefault="00A1618E">
            <w:pPr>
              <w:pStyle w:val="P68B1DB1-Normal46"/>
              <w:spacing w:after="0" w:line="240" w:lineRule="auto"/>
              <w:rPr>
                <w:rFonts w:eastAsia="Times New Roman" w:cs="Times New Roman"/>
                <w:noProof/>
              </w:rPr>
            </w:pPr>
            <w:r>
              <w:rPr>
                <w:noProof/>
              </w:rPr>
              <w:t xml:space="preserve">Zmiana statutu pracownika w celu poprawy przepisów prawnych regulujących rokowania zbiorowe </w:t>
            </w:r>
          </w:p>
        </w:tc>
      </w:tr>
      <w:tr w:rsidR="006578ED" w14:paraId="11FCB514"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326F36" w14:textId="77777777" w:rsidR="006578ED" w:rsidRDefault="00A1618E">
            <w:pPr>
              <w:pStyle w:val="P68B1DB1-Normal46"/>
              <w:spacing w:after="0" w:line="240" w:lineRule="auto"/>
              <w:jc w:val="center"/>
              <w:rPr>
                <w:rFonts w:eastAsia="Times New Roman" w:cs="Times New Roman"/>
                <w:noProof/>
              </w:rPr>
            </w:pPr>
            <w:r>
              <w:rPr>
                <w:noProof/>
              </w:rPr>
              <w:t>339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7E1546B" w14:textId="77777777" w:rsidR="006578ED" w:rsidRDefault="00A1618E">
            <w:pPr>
              <w:pStyle w:val="P68B1DB1-Normal46"/>
              <w:spacing w:after="0" w:line="240" w:lineRule="auto"/>
              <w:jc w:val="center"/>
              <w:rPr>
                <w:rFonts w:eastAsia="Times New Roman" w:cs="Times New Roman"/>
                <w:noProof/>
              </w:rPr>
            </w:pPr>
            <w:r>
              <w:rPr>
                <w:noProof/>
              </w:rPr>
              <w:t>C23.R9</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A7052A1" w14:textId="3D713FB4"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221EC873" w14:textId="3F965BB8" w:rsidR="006578ED" w:rsidRDefault="00A1618E">
            <w:pPr>
              <w:pStyle w:val="P68B1DB1-Normal46"/>
              <w:spacing w:after="0" w:line="240" w:lineRule="auto"/>
              <w:rPr>
                <w:rFonts w:eastAsia="Times New Roman" w:cs="Times New Roman"/>
                <w:noProof/>
              </w:rPr>
            </w:pPr>
            <w:r>
              <w:rPr>
                <w:noProof/>
              </w:rPr>
              <w:t>Zmiana statutu pracownika w celu poprawy praw osób pracujących w przedsiębiorstwach będących podwykonawcami</w:t>
            </w:r>
          </w:p>
        </w:tc>
      </w:tr>
      <w:tr w:rsidR="006578ED" w14:paraId="6171C868"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BB76D1" w14:textId="77777777" w:rsidR="006578ED" w:rsidRDefault="00A1618E">
            <w:pPr>
              <w:pStyle w:val="P68B1DB1-Normal46"/>
              <w:spacing w:after="0" w:line="240" w:lineRule="auto"/>
              <w:jc w:val="center"/>
              <w:rPr>
                <w:rFonts w:eastAsia="Times New Roman" w:cs="Times New Roman"/>
                <w:noProof/>
              </w:rPr>
            </w:pPr>
            <w:r>
              <w:rPr>
                <w:noProof/>
              </w:rPr>
              <w:t>345</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00C9EC66" w14:textId="77777777" w:rsidR="006578ED" w:rsidRDefault="00A1618E">
            <w:pPr>
              <w:pStyle w:val="P68B1DB1-Normal46"/>
              <w:spacing w:after="0" w:line="240" w:lineRule="auto"/>
              <w:jc w:val="center"/>
              <w:rPr>
                <w:rFonts w:eastAsia="Times New Roman" w:cs="Times New Roman"/>
                <w:noProof/>
              </w:rPr>
            </w:pPr>
            <w:r>
              <w:rPr>
                <w:noProof/>
              </w:rPr>
              <w:t>C23.I4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5D7EA892" w14:textId="3D245D68"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F15C6A0" w14:textId="3DCECEBF" w:rsidR="006578ED" w:rsidRDefault="00A1618E">
            <w:pPr>
              <w:pStyle w:val="P68B1DB1-Normal46"/>
              <w:spacing w:after="0" w:line="240" w:lineRule="auto"/>
              <w:rPr>
                <w:rFonts w:eastAsia="Times New Roman" w:cs="Times New Roman"/>
                <w:noProof/>
              </w:rPr>
            </w:pPr>
            <w:r>
              <w:rPr>
                <w:noProof/>
              </w:rPr>
              <w:t xml:space="preserve">Zatwierdzenie regionalnego przydziału środków na projekty terytorialne dla słabszych grup społecznych, przedsiębiorczości i mikroprzedsiębiorstw. </w:t>
            </w:r>
          </w:p>
        </w:tc>
      </w:tr>
      <w:tr w:rsidR="006578ED" w14:paraId="7D5A64A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222747" w14:textId="77777777" w:rsidR="006578ED" w:rsidRDefault="00A1618E">
            <w:pPr>
              <w:pStyle w:val="P68B1DB1-Normal46"/>
              <w:spacing w:after="0" w:line="240" w:lineRule="auto"/>
              <w:jc w:val="center"/>
              <w:rPr>
                <w:rFonts w:eastAsia="Times New Roman" w:cs="Times New Roman"/>
                <w:noProof/>
              </w:rPr>
            </w:pPr>
            <w:r>
              <w:rPr>
                <w:noProof/>
              </w:rPr>
              <w:t>378</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A49C567" w14:textId="77777777" w:rsidR="006578ED" w:rsidRDefault="00A1618E">
            <w:pPr>
              <w:pStyle w:val="P68B1DB1-Normal46"/>
              <w:spacing w:after="0" w:line="240" w:lineRule="auto"/>
              <w:jc w:val="center"/>
              <w:rPr>
                <w:rFonts w:eastAsia="Times New Roman" w:cs="Times New Roman"/>
                <w:noProof/>
              </w:rPr>
            </w:pPr>
            <w:r>
              <w:rPr>
                <w:noProof/>
              </w:rPr>
              <w:t>C27.R2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B26EEDD" w14:textId="435175C0" w:rsidR="006578ED" w:rsidRDefault="00AF6B91">
            <w:pPr>
              <w:pStyle w:val="P68B1DB1-Normal46"/>
              <w:spacing w:after="0" w:line="240" w:lineRule="auto"/>
              <w:jc w:val="center"/>
              <w:rPr>
                <w:rFonts w:eastAsia="Times New Roman" w:cs="Times New Roman"/>
                <w:noProof/>
              </w:rPr>
            </w:pPr>
            <w:r>
              <w:rPr>
                <w:noProof/>
              </w:rPr>
              <w:t>Cel</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FA66416" w14:textId="77777777" w:rsidR="006578ED" w:rsidRDefault="00A1618E">
            <w:pPr>
              <w:pStyle w:val="P68B1DB1-Normal46"/>
              <w:spacing w:after="0" w:line="240" w:lineRule="auto"/>
              <w:rPr>
                <w:rFonts w:eastAsia="Times New Roman" w:cs="Times New Roman"/>
                <w:noProof/>
              </w:rPr>
            </w:pPr>
            <w:r>
              <w:rPr>
                <w:noProof/>
              </w:rPr>
              <w:t>Modernizacja Urzędu Skarbowego – Liczba pracowników Urzędu Skarbowego</w:t>
            </w:r>
          </w:p>
        </w:tc>
      </w:tr>
      <w:tr w:rsidR="006578ED" w14:paraId="399D84E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D336A7" w14:textId="77777777" w:rsidR="006578ED" w:rsidRDefault="00A1618E">
            <w:pPr>
              <w:pStyle w:val="P68B1DB1-Normal46"/>
              <w:spacing w:after="0" w:line="240" w:lineRule="auto"/>
              <w:jc w:val="center"/>
              <w:rPr>
                <w:rFonts w:eastAsia="Times New Roman" w:cs="Times New Roman"/>
                <w:noProof/>
              </w:rPr>
            </w:pPr>
            <w:r>
              <w:rPr>
                <w:noProof/>
              </w:rPr>
              <w:t>379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4E46721" w14:textId="77777777" w:rsidR="006578ED" w:rsidRDefault="00A1618E">
            <w:pPr>
              <w:pStyle w:val="P68B1DB1-Normal46"/>
              <w:spacing w:after="0" w:line="240" w:lineRule="auto"/>
              <w:jc w:val="center"/>
              <w:rPr>
                <w:rFonts w:eastAsia="Times New Roman" w:cs="Times New Roman"/>
                <w:noProof/>
              </w:rPr>
            </w:pPr>
            <w:r>
              <w:rPr>
                <w:noProof/>
              </w:rPr>
              <w:t>C27.R2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39553B40" w14:textId="3530D98E" w:rsidR="006578ED" w:rsidRDefault="00AF6B91">
            <w:pPr>
              <w:pStyle w:val="P68B1DB1-Normal46"/>
              <w:spacing w:after="0" w:line="240" w:lineRule="auto"/>
              <w:jc w:val="center"/>
              <w:rPr>
                <w:rFonts w:eastAsia="Times New Roman" w:cs="Times New Roman"/>
                <w:noProof/>
              </w:rPr>
            </w:pPr>
            <w:r>
              <w:rPr>
                <w:noProof/>
              </w:rPr>
              <w:t>Cel</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5CECD0F" w14:textId="77777777" w:rsidR="006578ED" w:rsidRDefault="00A1618E">
            <w:pPr>
              <w:pStyle w:val="P68B1DB1-Normal46"/>
              <w:spacing w:after="0" w:line="240" w:lineRule="auto"/>
              <w:rPr>
                <w:rFonts w:eastAsia="Times New Roman" w:cs="Times New Roman"/>
                <w:noProof/>
              </w:rPr>
            </w:pPr>
            <w:r>
              <w:rPr>
                <w:noProof/>
              </w:rPr>
              <w:t>Modernizacja urzędu skarbowego – postępowania podatkowe</w:t>
            </w:r>
          </w:p>
        </w:tc>
      </w:tr>
      <w:tr w:rsidR="006578ED" w14:paraId="6102C70A"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FF69B4" w14:textId="77777777" w:rsidR="006578ED" w:rsidRDefault="00A1618E">
            <w:pPr>
              <w:pStyle w:val="P68B1DB1-Normal46"/>
              <w:spacing w:after="0" w:line="240" w:lineRule="auto"/>
              <w:jc w:val="center"/>
              <w:rPr>
                <w:rFonts w:eastAsia="Times New Roman" w:cs="Times New Roman"/>
                <w:noProof/>
              </w:rPr>
            </w:pPr>
            <w:r>
              <w:rPr>
                <w:noProof/>
              </w:rPr>
              <w:t>380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387008B" w14:textId="77777777" w:rsidR="006578ED" w:rsidRDefault="00A1618E">
            <w:pPr>
              <w:pStyle w:val="P68B1DB1-Normal46"/>
              <w:spacing w:after="0" w:line="240" w:lineRule="auto"/>
              <w:jc w:val="center"/>
              <w:rPr>
                <w:rFonts w:eastAsia="Times New Roman" w:cs="Times New Roman"/>
                <w:noProof/>
              </w:rPr>
            </w:pPr>
            <w:r>
              <w:rPr>
                <w:noProof/>
              </w:rPr>
              <w:t>C27.R3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D2CD2E6" w14:textId="4F8A0ECA" w:rsidR="006578ED" w:rsidRDefault="00AF6B91">
            <w:pPr>
              <w:pStyle w:val="P68B1DB1-Normal46"/>
              <w:spacing w:after="0" w:line="240" w:lineRule="auto"/>
              <w:jc w:val="center"/>
              <w:rPr>
                <w:rFonts w:eastAsia="Times New Roman" w:cs="Times New Roman"/>
                <w:noProof/>
              </w:rPr>
            </w:pPr>
            <w:r>
              <w:rPr>
                <w:noProof/>
              </w:rPr>
              <w:t>Cel</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4BA3ABCD" w14:textId="5AAF8929" w:rsidR="006578ED" w:rsidRDefault="00A1618E">
            <w:pPr>
              <w:pStyle w:val="P68B1DB1-Normal46"/>
              <w:spacing w:after="0" w:line="240" w:lineRule="auto"/>
              <w:rPr>
                <w:rFonts w:eastAsia="Times New Roman" w:cs="Times New Roman"/>
                <w:noProof/>
              </w:rPr>
            </w:pPr>
            <w:r>
              <w:rPr>
                <w:noProof/>
              </w:rPr>
              <w:t>Świadczenie zwiększonej pomocy podatnikom – sieć Sociedades została zmodernizowana i dostępna dla co najmniej 1666123 podatników.</w:t>
            </w:r>
          </w:p>
        </w:tc>
      </w:tr>
      <w:tr w:rsidR="006578ED" w14:paraId="7F48A70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9AB63B" w14:textId="77777777" w:rsidR="006578ED" w:rsidRDefault="00A1618E">
            <w:pPr>
              <w:pStyle w:val="P68B1DB1-Normal46"/>
              <w:spacing w:after="0" w:line="240" w:lineRule="auto"/>
              <w:jc w:val="center"/>
              <w:rPr>
                <w:rFonts w:eastAsia="Times New Roman" w:cs="Times New Roman"/>
                <w:noProof/>
              </w:rPr>
            </w:pPr>
            <w:r>
              <w:rPr>
                <w:noProof/>
              </w:rPr>
              <w:t>381</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44DC8FB" w14:textId="77777777" w:rsidR="006578ED" w:rsidRDefault="00A1618E">
            <w:pPr>
              <w:pStyle w:val="P68B1DB1-Normal46"/>
              <w:spacing w:after="0" w:line="240" w:lineRule="auto"/>
              <w:jc w:val="center"/>
              <w:rPr>
                <w:rFonts w:eastAsia="Times New Roman" w:cs="Times New Roman"/>
                <w:noProof/>
              </w:rPr>
            </w:pPr>
            <w:r>
              <w:rPr>
                <w:noProof/>
              </w:rPr>
              <w:t>C27.R3</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77240CF6" w14:textId="7726E630" w:rsidR="006578ED" w:rsidRDefault="00AF6B91">
            <w:pPr>
              <w:pStyle w:val="P68B1DB1-Normal46"/>
              <w:spacing w:after="0" w:line="240" w:lineRule="auto"/>
              <w:jc w:val="center"/>
              <w:rPr>
                <w:rFonts w:eastAsia="Times New Roman" w:cs="Times New Roman"/>
                <w:noProof/>
              </w:rPr>
            </w:pPr>
            <w:r>
              <w:rPr>
                <w:noProof/>
              </w:rPr>
              <w:t>Cel</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D123A05" w14:textId="5DD7E2D1" w:rsidR="006578ED" w:rsidRDefault="00A1618E">
            <w:pPr>
              <w:pStyle w:val="P68B1DB1-Normal46"/>
              <w:spacing w:after="0" w:line="240" w:lineRule="auto"/>
              <w:rPr>
                <w:rFonts w:eastAsia="Times New Roman" w:cs="Times New Roman"/>
                <w:noProof/>
              </w:rPr>
            </w:pPr>
            <w:r>
              <w:rPr>
                <w:noProof/>
              </w:rPr>
              <w:t>Udzielanie zwiększonej pomocy podatnikom – sieć Renta Web zmodernizowana i dostępna dla co najmniej 1779505 podatników</w:t>
            </w:r>
          </w:p>
        </w:tc>
      </w:tr>
      <w:tr w:rsidR="006578ED" w14:paraId="5D1E0B5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BE5B9" w14:textId="77777777" w:rsidR="006578ED" w:rsidRDefault="00A1618E">
            <w:pPr>
              <w:pStyle w:val="P68B1DB1-Normal46"/>
              <w:spacing w:after="0" w:line="240" w:lineRule="auto"/>
              <w:jc w:val="center"/>
              <w:rPr>
                <w:rFonts w:eastAsia="Times New Roman" w:cs="Times New Roman"/>
                <w:noProof/>
              </w:rPr>
            </w:pPr>
            <w:r>
              <w:rPr>
                <w:noProof/>
              </w:rPr>
              <w:t>383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1E8B690" w14:textId="77777777" w:rsidR="006578ED" w:rsidRDefault="00A1618E">
            <w:pPr>
              <w:pStyle w:val="P68B1DB1-Normal46"/>
              <w:spacing w:after="0" w:line="240" w:lineRule="auto"/>
              <w:jc w:val="center"/>
              <w:rPr>
                <w:rFonts w:eastAsia="Times New Roman" w:cs="Times New Roman"/>
                <w:noProof/>
              </w:rPr>
            </w:pPr>
            <w:r>
              <w:rPr>
                <w:noProof/>
              </w:rPr>
              <w:t>C27.R4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27B06950" w14:textId="3451E8C8" w:rsidR="006578ED" w:rsidRDefault="00AF6B91">
            <w:pPr>
              <w:pStyle w:val="P68B1DB1-Normal46"/>
              <w:spacing w:after="0" w:line="240" w:lineRule="auto"/>
              <w:jc w:val="center"/>
              <w:rPr>
                <w:rFonts w:eastAsia="Times New Roman" w:cs="Times New Roman"/>
                <w:noProof/>
              </w:rPr>
            </w:pPr>
            <w:r>
              <w:rPr>
                <w:noProof/>
              </w:rPr>
              <w:t>Cel</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35C4E1FA" w14:textId="77777777" w:rsidR="006578ED" w:rsidRDefault="00A1618E">
            <w:pPr>
              <w:pStyle w:val="P68B1DB1-Normal46"/>
              <w:spacing w:after="0" w:line="240" w:lineRule="auto"/>
              <w:rPr>
                <w:rFonts w:eastAsia="Times New Roman" w:cs="Times New Roman"/>
                <w:noProof/>
              </w:rPr>
            </w:pPr>
            <w:r>
              <w:rPr>
                <w:noProof/>
              </w:rPr>
              <w:t xml:space="preserve">Wymiar międzynarodowy – zidentyfikowani zarejestrowani podatnicy zagraniczni </w:t>
            </w:r>
          </w:p>
        </w:tc>
      </w:tr>
      <w:tr w:rsidR="006578ED" w14:paraId="11B29C5D"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4A5C213" w14:textId="77777777" w:rsidR="006578ED" w:rsidRDefault="00A1618E">
            <w:pPr>
              <w:pStyle w:val="P68B1DB1-Normal46"/>
              <w:spacing w:after="0" w:line="240" w:lineRule="auto"/>
              <w:jc w:val="center"/>
              <w:rPr>
                <w:rFonts w:eastAsia="Times New Roman" w:cs="Times New Roman"/>
                <w:noProof/>
              </w:rPr>
            </w:pPr>
            <w:r>
              <w:rPr>
                <w:noProof/>
              </w:rPr>
              <w:t>384</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461338F4" w14:textId="77777777" w:rsidR="006578ED" w:rsidRDefault="00A1618E">
            <w:pPr>
              <w:pStyle w:val="P68B1DB1-Normal46"/>
              <w:spacing w:after="0" w:line="240" w:lineRule="auto"/>
              <w:jc w:val="center"/>
              <w:rPr>
                <w:rFonts w:eastAsia="Times New Roman" w:cs="Times New Roman"/>
                <w:noProof/>
              </w:rPr>
            </w:pPr>
            <w:r>
              <w:rPr>
                <w:noProof/>
              </w:rPr>
              <w:t>C27.R5</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6A7CD19D" w14:textId="3C7C3D06" w:rsidR="006578ED" w:rsidRDefault="00AF6B91">
            <w:pPr>
              <w:pStyle w:val="P68B1DB1-Normal46"/>
              <w:spacing w:after="0" w:line="240" w:lineRule="auto"/>
              <w:jc w:val="center"/>
              <w:rPr>
                <w:rFonts w:eastAsia="Times New Roman" w:cs="Times New Roman"/>
                <w:noProof/>
              </w:rPr>
            </w:pPr>
            <w:r>
              <w:rPr>
                <w:noProof/>
              </w:rPr>
              <w:t>Cel</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182603B" w14:textId="77777777" w:rsidR="006578ED" w:rsidRDefault="00A1618E">
            <w:pPr>
              <w:pStyle w:val="P68B1DB1-Normal46"/>
              <w:spacing w:after="0" w:line="240" w:lineRule="auto"/>
              <w:rPr>
                <w:rFonts w:eastAsia="Times New Roman" w:cs="Times New Roman"/>
                <w:noProof/>
              </w:rPr>
            </w:pPr>
            <w:r>
              <w:rPr>
                <w:noProof/>
              </w:rPr>
              <w:t>Model współpracy – Sprawozdania dotyczące przejrzystości</w:t>
            </w:r>
          </w:p>
        </w:tc>
      </w:tr>
      <w:tr w:rsidR="006578ED" w14:paraId="410E88F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2568F7" w14:textId="77777777" w:rsidR="006578ED" w:rsidRDefault="00A1618E">
            <w:pPr>
              <w:pStyle w:val="P68B1DB1-Normal46"/>
              <w:spacing w:after="0" w:line="240" w:lineRule="auto"/>
              <w:jc w:val="center"/>
              <w:rPr>
                <w:rFonts w:eastAsia="Times New Roman" w:cs="Times New Roman"/>
                <w:noProof/>
              </w:rPr>
            </w:pPr>
            <w:r>
              <w:rPr>
                <w:noProof/>
              </w:rPr>
              <w:t>389</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123882A8" w14:textId="77777777" w:rsidR="006578ED" w:rsidRDefault="00A1618E">
            <w:pPr>
              <w:pStyle w:val="P68B1DB1-Normal46"/>
              <w:spacing w:after="0" w:line="240" w:lineRule="auto"/>
              <w:jc w:val="center"/>
              <w:rPr>
                <w:rFonts w:eastAsia="Times New Roman" w:cs="Times New Roman"/>
                <w:noProof/>
              </w:rPr>
            </w:pPr>
            <w:r>
              <w:rPr>
                <w:noProof/>
              </w:rPr>
              <w:t>C28.R4</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1CF91FFB" w14:textId="69C461F5"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1C4C9576" w14:textId="659948EC" w:rsidR="006578ED" w:rsidRDefault="00A1618E">
            <w:pPr>
              <w:pStyle w:val="P68B1DB1-Normal46"/>
              <w:spacing w:after="0" w:line="240" w:lineRule="auto"/>
              <w:rPr>
                <w:rFonts w:eastAsia="Times New Roman" w:cs="Times New Roman"/>
                <w:noProof/>
              </w:rPr>
            </w:pPr>
            <w:r>
              <w:rPr>
                <w:noProof/>
              </w:rPr>
              <w:t>Podatki od produktów jednorazowego użytku z tworzyw sztucznych i odpadów</w:t>
            </w:r>
          </w:p>
        </w:tc>
      </w:tr>
      <w:tr w:rsidR="006578ED" w14:paraId="1405C776"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A92EF0" w14:textId="77777777" w:rsidR="006578ED" w:rsidRDefault="00A1618E">
            <w:pPr>
              <w:pStyle w:val="P68B1DB1-Normal46"/>
              <w:spacing w:after="0" w:line="240" w:lineRule="auto"/>
              <w:jc w:val="center"/>
              <w:rPr>
                <w:rFonts w:eastAsia="Times New Roman" w:cs="Times New Roman"/>
                <w:noProof/>
              </w:rPr>
            </w:pPr>
            <w:r>
              <w:rPr>
                <w:noProof/>
              </w:rPr>
              <w:t>400</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67AAAC5" w14:textId="77777777" w:rsidR="006578ED" w:rsidRDefault="00A1618E">
            <w:pPr>
              <w:pStyle w:val="P68B1DB1-Normal46"/>
              <w:spacing w:after="0" w:line="240" w:lineRule="auto"/>
              <w:jc w:val="center"/>
              <w:rPr>
                <w:rFonts w:eastAsia="Times New Roman" w:cs="Times New Roman"/>
                <w:noProof/>
              </w:rPr>
            </w:pPr>
            <w:r>
              <w:rPr>
                <w:noProof/>
              </w:rPr>
              <w:t>C29.R1</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AF60B87" w14:textId="41A8979C"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C250A37" w14:textId="77777777" w:rsidR="006578ED" w:rsidRDefault="00A1618E">
            <w:pPr>
              <w:pStyle w:val="P68B1DB1-Normal46"/>
              <w:spacing w:after="0" w:line="240" w:lineRule="auto"/>
              <w:rPr>
                <w:rFonts w:eastAsia="Times New Roman" w:cs="Times New Roman"/>
                <w:noProof/>
              </w:rPr>
            </w:pPr>
            <w:r>
              <w:rPr>
                <w:noProof/>
              </w:rPr>
              <w:t>Zatwierdzenie przez Radę Ministrów nowego cyklu (2022–26) przeglądów wydatków, które zostaną zlecone AIReF.</w:t>
            </w:r>
          </w:p>
        </w:tc>
      </w:tr>
      <w:tr w:rsidR="006578ED" w14:paraId="32948522"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A76D" w14:textId="77777777" w:rsidR="006578ED" w:rsidRDefault="00A1618E">
            <w:pPr>
              <w:pStyle w:val="P68B1DB1-Normal46"/>
              <w:spacing w:after="0" w:line="240" w:lineRule="auto"/>
              <w:jc w:val="center"/>
              <w:rPr>
                <w:rFonts w:eastAsia="Times New Roman" w:cs="Times New Roman"/>
                <w:noProof/>
              </w:rPr>
            </w:pPr>
            <w:r>
              <w:rPr>
                <w:noProof/>
              </w:rPr>
              <w:t>403</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6C40C4DB" w14:textId="77777777" w:rsidR="006578ED" w:rsidRDefault="00A1618E">
            <w:pPr>
              <w:pStyle w:val="P68B1DB1-Normal46"/>
              <w:spacing w:after="0" w:line="240" w:lineRule="auto"/>
              <w:jc w:val="center"/>
              <w:rPr>
                <w:rFonts w:eastAsia="Times New Roman" w:cs="Times New Roman"/>
                <w:noProof/>
              </w:rPr>
            </w:pPr>
            <w:r>
              <w:rPr>
                <w:noProof/>
              </w:rPr>
              <w:t>C29.R2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0BCCF19C" w14:textId="04DBFE7B"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505D9E73" w14:textId="77777777" w:rsidR="006578ED" w:rsidRDefault="00A1618E">
            <w:pPr>
              <w:pStyle w:val="P68B1DB1-Normal46"/>
              <w:spacing w:after="0" w:line="240" w:lineRule="auto"/>
              <w:rPr>
                <w:rFonts w:eastAsia="Times New Roman" w:cs="Times New Roman"/>
                <w:noProof/>
              </w:rPr>
            </w:pPr>
            <w:r>
              <w:rPr>
                <w:noProof/>
              </w:rPr>
              <w:t>Sprawozdanie dotyczące dostosowania budżetu do celów zrównoważonego rozwoju</w:t>
            </w:r>
          </w:p>
        </w:tc>
      </w:tr>
      <w:tr w:rsidR="006578ED" w14:paraId="49B99F65"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C43DA6" w14:textId="77777777" w:rsidR="006578ED" w:rsidRDefault="00A1618E">
            <w:pPr>
              <w:pStyle w:val="P68B1DB1-Normal46"/>
              <w:spacing w:after="0" w:line="240" w:lineRule="auto"/>
              <w:jc w:val="center"/>
              <w:rPr>
                <w:rFonts w:eastAsia="Times New Roman" w:cs="Times New Roman"/>
                <w:noProof/>
              </w:rPr>
            </w:pPr>
            <w:r>
              <w:rPr>
                <w:noProof/>
              </w:rPr>
              <w:t>407</w:t>
            </w: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317DCA0B" w14:textId="77777777" w:rsidR="006578ED" w:rsidRDefault="00A1618E">
            <w:pPr>
              <w:pStyle w:val="P68B1DB1-Normal46"/>
              <w:spacing w:after="0" w:line="240" w:lineRule="auto"/>
              <w:jc w:val="center"/>
              <w:rPr>
                <w:rFonts w:eastAsia="Times New Roman" w:cs="Times New Roman"/>
                <w:noProof/>
              </w:rPr>
            </w:pPr>
            <w:r>
              <w:rPr>
                <w:noProof/>
              </w:rPr>
              <w:t>C30.R2</w:t>
            </w:r>
          </w:p>
        </w:tc>
        <w:tc>
          <w:tcPr>
            <w:tcW w:w="1134" w:type="dxa"/>
            <w:tcBorders>
              <w:top w:val="single" w:sz="4" w:space="0" w:color="auto"/>
              <w:left w:val="nil"/>
              <w:bottom w:val="single" w:sz="4" w:space="0" w:color="auto"/>
              <w:right w:val="single" w:sz="4" w:space="0" w:color="auto"/>
            </w:tcBorders>
            <w:shd w:val="clear" w:color="auto" w:fill="C6EFCE"/>
            <w:noWrap/>
            <w:vAlign w:val="bottom"/>
          </w:tcPr>
          <w:p w14:paraId="41BCDF70" w14:textId="546C1F03" w:rsidR="006578ED" w:rsidRDefault="00AF6B91">
            <w:pPr>
              <w:pStyle w:val="P68B1DB1-Normal46"/>
              <w:spacing w:after="0" w:line="240" w:lineRule="auto"/>
              <w:jc w:val="center"/>
              <w:rPr>
                <w:rFonts w:eastAsia="Times New Roman" w:cs="Times New Roman"/>
                <w:noProof/>
              </w:rPr>
            </w:pPr>
            <w:r>
              <w:rPr>
                <w:noProof/>
              </w:rPr>
              <w:t>Kamień milowy</w:t>
            </w:r>
          </w:p>
        </w:tc>
        <w:tc>
          <w:tcPr>
            <w:tcW w:w="6095" w:type="dxa"/>
            <w:tcBorders>
              <w:top w:val="single" w:sz="4" w:space="0" w:color="auto"/>
              <w:left w:val="nil"/>
              <w:bottom w:val="single" w:sz="4" w:space="0" w:color="auto"/>
              <w:right w:val="single" w:sz="4" w:space="0" w:color="auto"/>
            </w:tcBorders>
            <w:shd w:val="clear" w:color="auto" w:fill="C6EFCE"/>
            <w:noWrap/>
            <w:vAlign w:val="bottom"/>
          </w:tcPr>
          <w:p w14:paraId="05D4A48E" w14:textId="09264C9D" w:rsidR="006578ED" w:rsidRDefault="00A1618E">
            <w:pPr>
              <w:pStyle w:val="P68B1DB1-Normal46"/>
              <w:spacing w:after="0" w:line="240" w:lineRule="auto"/>
              <w:rPr>
                <w:rFonts w:eastAsia="Times New Roman" w:cs="Times New Roman"/>
                <w:noProof/>
              </w:rPr>
            </w:pPr>
            <w:r>
              <w:rPr>
                <w:noProof/>
              </w:rPr>
              <w:t>Utrzymanie siły nabywczej emerytur i dostosowanie rzeczywistego wieku przejścia na emeryturę do ustawowego wieku emerytalnego</w:t>
            </w:r>
          </w:p>
        </w:tc>
      </w:tr>
      <w:tr w:rsidR="006578ED" w14:paraId="45708A50" w14:textId="77777777">
        <w:trPr>
          <w:trHeight w:val="302"/>
        </w:trPr>
        <w:tc>
          <w:tcPr>
            <w:tcW w:w="102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24CE4A" w14:textId="77777777" w:rsidR="006578ED" w:rsidRDefault="006578ED">
            <w:pPr>
              <w:spacing w:after="0" w:line="240" w:lineRule="auto"/>
              <w:jc w:val="center"/>
              <w:rPr>
                <w:rFonts w:ascii="Times New Roman" w:eastAsia="Times New Roman" w:hAnsi="Times New Roman" w:cs="Times New Roman"/>
                <w:noProof/>
                <w:sz w:val="20"/>
              </w:rPr>
            </w:pPr>
          </w:p>
        </w:tc>
        <w:tc>
          <w:tcPr>
            <w:tcW w:w="1407" w:type="dxa"/>
            <w:tcBorders>
              <w:top w:val="single" w:sz="4" w:space="0" w:color="auto"/>
              <w:left w:val="nil"/>
              <w:bottom w:val="single" w:sz="4" w:space="0" w:color="auto"/>
              <w:right w:val="single" w:sz="4" w:space="0" w:color="auto"/>
            </w:tcBorders>
            <w:shd w:val="clear" w:color="auto" w:fill="C6EFCE"/>
            <w:noWrap/>
            <w:vAlign w:val="bottom"/>
          </w:tcPr>
          <w:p w14:paraId="2C0ADC9A" w14:textId="77777777" w:rsidR="006578ED" w:rsidRDefault="006578ED">
            <w:pPr>
              <w:spacing w:after="0" w:line="240" w:lineRule="auto"/>
              <w:jc w:val="center"/>
              <w:rPr>
                <w:rFonts w:ascii="Times New Roman" w:eastAsia="Times New Roman" w:hAnsi="Times New Roman" w:cs="Times New Roman"/>
                <w:noProof/>
                <w:sz w:val="20"/>
              </w:rPr>
            </w:pPr>
          </w:p>
        </w:tc>
        <w:tc>
          <w:tcPr>
            <w:tcW w:w="1134" w:type="dxa"/>
            <w:tcBorders>
              <w:top w:val="single" w:sz="4" w:space="0" w:color="auto"/>
              <w:left w:val="nil"/>
              <w:bottom w:val="single" w:sz="4" w:space="0" w:color="auto"/>
              <w:right w:val="single" w:sz="4" w:space="0" w:color="auto"/>
            </w:tcBorders>
            <w:shd w:val="clear" w:color="auto" w:fill="C6EFCE"/>
            <w:noWrap/>
            <w:vAlign w:val="center"/>
          </w:tcPr>
          <w:p w14:paraId="37BDD331" w14:textId="77777777" w:rsidR="006578ED" w:rsidRDefault="00A1618E">
            <w:pPr>
              <w:pStyle w:val="P68B1DB1-Normal45"/>
              <w:spacing w:after="0" w:line="240" w:lineRule="auto"/>
              <w:jc w:val="center"/>
              <w:rPr>
                <w:rFonts w:eastAsia="Times New Roman" w:cs="Times New Roman"/>
                <w:noProof/>
              </w:rPr>
            </w:pPr>
            <w:r>
              <w:rPr>
                <w:noProof/>
              </w:rPr>
              <w:t>Kwota raty</w:t>
            </w:r>
          </w:p>
        </w:tc>
        <w:tc>
          <w:tcPr>
            <w:tcW w:w="6095" w:type="dxa"/>
            <w:tcBorders>
              <w:top w:val="single" w:sz="4" w:space="0" w:color="auto"/>
              <w:left w:val="nil"/>
              <w:bottom w:val="single" w:sz="4" w:space="0" w:color="auto"/>
              <w:right w:val="single" w:sz="4" w:space="0" w:color="auto"/>
            </w:tcBorders>
            <w:shd w:val="clear" w:color="auto" w:fill="C6EFCE"/>
            <w:noWrap/>
            <w:vAlign w:val="center"/>
          </w:tcPr>
          <w:p w14:paraId="085BD113" w14:textId="20E59525" w:rsidR="006578ED" w:rsidRDefault="00A1618E">
            <w:pPr>
              <w:pStyle w:val="P68B1DB1-Normal45"/>
              <w:spacing w:after="0" w:line="240" w:lineRule="auto"/>
              <w:rPr>
                <w:rFonts w:eastAsia="Times New Roman" w:cs="Times New Roman"/>
                <w:noProof/>
              </w:rPr>
            </w:pPr>
            <w:r>
              <w:rPr>
                <w:noProof/>
              </w:rPr>
              <w:t>13 793 103 448 EUR</w:t>
            </w:r>
          </w:p>
        </w:tc>
      </w:tr>
    </w:tbl>
    <w:p w14:paraId="0976F2B0" w14:textId="77777777" w:rsidR="006578ED" w:rsidRDefault="006578ED">
      <w:pPr>
        <w:spacing w:before="120" w:after="120" w:line="240" w:lineRule="auto"/>
        <w:jc w:val="both"/>
        <w:rPr>
          <w:rFonts w:ascii="Times New Roman" w:eastAsia="Calibri" w:hAnsi="Times New Roman" w:cs="Times New Roman"/>
          <w:noProof/>
          <w:sz w:val="24"/>
        </w:rPr>
      </w:pPr>
    </w:p>
    <w:p w14:paraId="3348F253"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Trzecia transza (wsparcie bezzwrotne): </w:t>
      </w:r>
    </w:p>
    <w:tbl>
      <w:tblPr>
        <w:tblW w:w="9663" w:type="dxa"/>
        <w:tblInd w:w="113" w:type="dxa"/>
        <w:tblLook w:val="04A0" w:firstRow="1" w:lastRow="0" w:firstColumn="1" w:lastColumn="0" w:noHBand="0" w:noVBand="1"/>
      </w:tblPr>
      <w:tblGrid>
        <w:gridCol w:w="1300"/>
        <w:gridCol w:w="1443"/>
        <w:gridCol w:w="1561"/>
        <w:gridCol w:w="5670"/>
      </w:tblGrid>
      <w:tr w:rsidR="006578ED" w14:paraId="3EF5B9FC"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0853053"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09B8F48"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AD4A0A9"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A2455A0"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415F6468"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3ECD0BC"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F10B47B"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EE8BA03" w14:textId="77777777" w:rsidR="006578ED" w:rsidRDefault="006578ED">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134CB12" w14:textId="77777777" w:rsidR="006578ED" w:rsidRDefault="006578ED">
            <w:pPr>
              <w:spacing w:after="0" w:line="240" w:lineRule="auto"/>
              <w:rPr>
                <w:rFonts w:ascii="Times New Roman" w:eastAsia="Times New Roman" w:hAnsi="Times New Roman" w:cs="Times New Roman"/>
                <w:b/>
                <w:noProof/>
                <w:sz w:val="20"/>
              </w:rPr>
            </w:pPr>
          </w:p>
        </w:tc>
      </w:tr>
      <w:tr w:rsidR="006578ED" w14:paraId="3049448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9BAEB8" w14:textId="77777777" w:rsidR="006578ED" w:rsidRDefault="00A1618E">
            <w:pPr>
              <w:pStyle w:val="P68B1DB1-Normal46"/>
              <w:spacing w:after="0" w:line="240" w:lineRule="auto"/>
              <w:jc w:val="center"/>
              <w:rPr>
                <w:rFonts w:eastAsia="Times New Roman" w:cs="Times New Roman"/>
                <w:noProof/>
              </w:rPr>
            </w:pPr>
            <w:r>
              <w:rPr>
                <w:noProof/>
              </w:rPr>
              <w:t>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A8085" w14:textId="77777777" w:rsidR="006578ED" w:rsidRDefault="00A1618E">
            <w:pPr>
              <w:pStyle w:val="P68B1DB1-Normal46"/>
              <w:spacing w:after="0" w:line="240" w:lineRule="auto"/>
              <w:rPr>
                <w:rFonts w:eastAsia="Times New Roman" w:cs="Times New Roman"/>
                <w:noProof/>
              </w:rPr>
            </w:pPr>
            <w:r>
              <w:rPr>
                <w:noProof/>
              </w:rPr>
              <w:t>C1.R1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12039" w14:textId="23CCBDE1"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EDDD23" w14:textId="1FD8B03C" w:rsidR="006578ED" w:rsidRDefault="00A1618E">
            <w:pPr>
              <w:pStyle w:val="P68B1DB1-Normal46"/>
              <w:spacing w:after="0" w:line="240" w:lineRule="auto"/>
              <w:rPr>
                <w:rFonts w:eastAsia="Times New Roman" w:cs="Times New Roman"/>
                <w:noProof/>
              </w:rPr>
            </w:pPr>
            <w:r>
              <w:rPr>
                <w:noProof/>
              </w:rPr>
              <w:t>Zmiany w kodeksie technicznym budownictwa (do potwierdzenia), w przepisach elektrotechnicznych niskiego napięcia oraz zatwierdzenie dekretu królewskiego w sprawie regulacji publicznych usług ładowania</w:t>
            </w:r>
          </w:p>
        </w:tc>
      </w:tr>
      <w:tr w:rsidR="006578ED" w14:paraId="5EDC68A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D7E850" w14:textId="77777777" w:rsidR="006578ED" w:rsidRDefault="00A1618E">
            <w:pPr>
              <w:pStyle w:val="P68B1DB1-Normal46"/>
              <w:spacing w:after="0" w:line="240" w:lineRule="auto"/>
              <w:jc w:val="center"/>
              <w:rPr>
                <w:rFonts w:eastAsia="Times New Roman" w:cs="Times New Roman"/>
                <w:noProof/>
              </w:rPr>
            </w:pPr>
            <w:r>
              <w:rPr>
                <w:noProof/>
              </w:rPr>
              <w:t>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F7E7AE" w14:textId="77777777" w:rsidR="006578ED" w:rsidRDefault="00A1618E">
            <w:pPr>
              <w:pStyle w:val="P68B1DB1-Normal46"/>
              <w:spacing w:after="0" w:line="240" w:lineRule="auto"/>
              <w:rPr>
                <w:rFonts w:eastAsia="Times New Roman" w:cs="Times New Roman"/>
                <w:noProof/>
              </w:rPr>
            </w:pPr>
            <w:r>
              <w:rPr>
                <w:noProof/>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7FD4E8" w14:textId="26764423"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1781D3" w14:textId="5F9F16EA" w:rsidR="006578ED" w:rsidRDefault="00A1618E">
            <w:pPr>
              <w:pStyle w:val="P68B1DB1-Normal46"/>
              <w:spacing w:after="0" w:line="240" w:lineRule="auto"/>
              <w:rPr>
                <w:rFonts w:eastAsia="Times New Roman" w:cs="Times New Roman"/>
                <w:noProof/>
              </w:rPr>
            </w:pPr>
            <w:r>
              <w:rPr>
                <w:noProof/>
              </w:rPr>
              <w:t xml:space="preserve">Wejście w życie dekretu królewskiego w sprawie zarządzania krajowymi łowiskami </w:t>
            </w:r>
          </w:p>
        </w:tc>
      </w:tr>
      <w:tr w:rsidR="006578ED" w14:paraId="7E0696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A87356" w14:textId="77777777" w:rsidR="006578ED" w:rsidRDefault="00A1618E">
            <w:pPr>
              <w:pStyle w:val="P68B1DB1-Normal46"/>
              <w:spacing w:after="0" w:line="240" w:lineRule="auto"/>
              <w:jc w:val="center"/>
              <w:rPr>
                <w:rFonts w:eastAsia="Times New Roman" w:cs="Times New Roman"/>
                <w:noProof/>
              </w:rPr>
            </w:pPr>
            <w:r>
              <w:rPr>
                <w:noProof/>
              </w:rPr>
              <w:t>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5D96D1" w14:textId="77777777" w:rsidR="006578ED" w:rsidRDefault="00A1618E">
            <w:pPr>
              <w:pStyle w:val="P68B1DB1-Normal46"/>
              <w:spacing w:after="0" w:line="240" w:lineRule="auto"/>
              <w:rPr>
                <w:rFonts w:eastAsia="Times New Roman" w:cs="Times New Roman"/>
                <w:noProof/>
              </w:rPr>
            </w:pPr>
            <w:r>
              <w:rPr>
                <w:noProof/>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F8AF7" w14:textId="67008381"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332B08" w14:textId="292B9E9D" w:rsidR="006578ED" w:rsidRDefault="00A1618E">
            <w:pPr>
              <w:pStyle w:val="P68B1DB1-Normal46"/>
              <w:spacing w:after="0" w:line="240" w:lineRule="auto"/>
              <w:rPr>
                <w:rFonts w:eastAsia="Times New Roman" w:cs="Times New Roman"/>
                <w:noProof/>
              </w:rPr>
            </w:pPr>
            <w:r>
              <w:rPr>
                <w:noProof/>
              </w:rPr>
              <w:t xml:space="preserve">Plan inwestycyjny na rzecz promowania zrównoważonego rozwoju i konkurencyjności rolnictwa i zwierząt gospodarskich </w:t>
            </w:r>
          </w:p>
        </w:tc>
      </w:tr>
      <w:tr w:rsidR="006578ED" w14:paraId="483C799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C1750B" w14:textId="77777777" w:rsidR="006578ED" w:rsidRDefault="00A1618E">
            <w:pPr>
              <w:pStyle w:val="P68B1DB1-Normal46"/>
              <w:spacing w:after="0" w:line="240" w:lineRule="auto"/>
              <w:jc w:val="center"/>
              <w:rPr>
                <w:rFonts w:eastAsia="Times New Roman" w:cs="Times New Roman"/>
                <w:noProof/>
              </w:rPr>
            </w:pPr>
            <w:r>
              <w:rPr>
                <w:noProof/>
              </w:rPr>
              <w:t>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41C1B" w14:textId="77777777" w:rsidR="006578ED" w:rsidRDefault="00A1618E">
            <w:pPr>
              <w:pStyle w:val="P68B1DB1-Normal46"/>
              <w:spacing w:after="0" w:line="240" w:lineRule="auto"/>
              <w:rPr>
                <w:rFonts w:eastAsia="Times New Roman" w:cs="Times New Roman"/>
                <w:noProof/>
              </w:rPr>
            </w:pPr>
            <w:r>
              <w:rPr>
                <w:noProof/>
              </w:rPr>
              <w:t>C3.I7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A73457" w14:textId="4952289C"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A8FC31A" w14:textId="373ADBEB" w:rsidR="006578ED" w:rsidRDefault="00A1618E">
            <w:pPr>
              <w:pStyle w:val="P68B1DB1-Normal46"/>
              <w:spacing w:after="0" w:line="240" w:lineRule="auto"/>
              <w:rPr>
                <w:rFonts w:eastAsia="Times New Roman" w:cs="Times New Roman"/>
                <w:noProof/>
              </w:rPr>
            </w:pPr>
            <w:r>
              <w:rPr>
                <w:noProof/>
              </w:rPr>
              <w:t>Zakup sond akustycznych do badań w rybołówstwie</w:t>
            </w:r>
          </w:p>
        </w:tc>
      </w:tr>
      <w:tr w:rsidR="006578ED" w14:paraId="197099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1151B9" w14:textId="77777777" w:rsidR="006578ED" w:rsidRDefault="00A1618E">
            <w:pPr>
              <w:pStyle w:val="P68B1DB1-Normal46"/>
              <w:spacing w:after="0" w:line="240" w:lineRule="auto"/>
              <w:jc w:val="center"/>
              <w:rPr>
                <w:rFonts w:eastAsia="Times New Roman" w:cs="Times New Roman"/>
                <w:noProof/>
              </w:rPr>
            </w:pPr>
            <w:r>
              <w:rPr>
                <w:noProof/>
              </w:rPr>
              <w:t>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790511" w14:textId="77777777" w:rsidR="006578ED" w:rsidRDefault="00A1618E">
            <w:pPr>
              <w:pStyle w:val="P68B1DB1-Normal46"/>
              <w:spacing w:after="0" w:line="240" w:lineRule="auto"/>
              <w:rPr>
                <w:rFonts w:eastAsia="Times New Roman" w:cs="Times New Roman"/>
                <w:noProof/>
              </w:rPr>
            </w:pPr>
            <w:r>
              <w:rPr>
                <w:noProof/>
              </w:rPr>
              <w:t>C3.I11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C4355D" w14:textId="2007F98C"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54028F8" w14:textId="12E20FF6" w:rsidR="006578ED" w:rsidRDefault="00A1618E">
            <w:pPr>
              <w:pStyle w:val="P68B1DB1-Normal46"/>
              <w:spacing w:after="0" w:line="240" w:lineRule="auto"/>
              <w:rPr>
                <w:rFonts w:eastAsia="Times New Roman" w:cs="Times New Roman"/>
                <w:noProof/>
              </w:rPr>
            </w:pPr>
            <w:r>
              <w:rPr>
                <w:noProof/>
              </w:rPr>
              <w:t>Finansowanie projektów inwestycyjnych w sektorze rybołówstwa</w:t>
            </w:r>
          </w:p>
        </w:tc>
      </w:tr>
      <w:tr w:rsidR="006578ED" w14:paraId="44AA27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BA8A38" w14:textId="77777777" w:rsidR="006578ED" w:rsidRDefault="00A1618E">
            <w:pPr>
              <w:pStyle w:val="P68B1DB1-Normal46"/>
              <w:spacing w:after="0" w:line="240" w:lineRule="auto"/>
              <w:jc w:val="center"/>
              <w:rPr>
                <w:rFonts w:eastAsia="Times New Roman" w:cs="Times New Roman"/>
                <w:noProof/>
              </w:rPr>
            </w:pPr>
            <w:r>
              <w:rPr>
                <w:noProof/>
              </w:rPr>
              <w:t>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5552DA" w14:textId="77777777" w:rsidR="006578ED" w:rsidRDefault="00A1618E">
            <w:pPr>
              <w:pStyle w:val="P68B1DB1-Normal46"/>
              <w:spacing w:after="0" w:line="240" w:lineRule="auto"/>
              <w:rPr>
                <w:rFonts w:eastAsia="Times New Roman" w:cs="Times New Roman"/>
                <w:noProof/>
              </w:rPr>
            </w:pPr>
            <w:r>
              <w:rPr>
                <w:noProof/>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5813C5" w14:textId="5A243C82"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FB243E" w14:textId="61CE3E39" w:rsidR="006578ED" w:rsidRDefault="00A1618E">
            <w:pPr>
              <w:pStyle w:val="P68B1DB1-Normal46"/>
              <w:spacing w:after="0" w:line="240" w:lineRule="auto"/>
              <w:rPr>
                <w:rFonts w:eastAsia="Times New Roman" w:cs="Times New Roman"/>
                <w:noProof/>
              </w:rPr>
            </w:pPr>
            <w:r>
              <w:rPr>
                <w:noProof/>
              </w:rPr>
              <w:t>Udzielanie zamówień na samoloty specjalnego przeznaczenia do gaszenia pożarów oraz utworzenie systemu monitorowania wiedzy o różnorodności biologicznej i zarządzania nią</w:t>
            </w:r>
          </w:p>
        </w:tc>
      </w:tr>
      <w:tr w:rsidR="006578ED" w14:paraId="724B1DF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B776AF" w14:textId="77777777" w:rsidR="006578ED" w:rsidRDefault="00A1618E">
            <w:pPr>
              <w:pStyle w:val="P68B1DB1-Normal46"/>
              <w:spacing w:after="0" w:line="240" w:lineRule="auto"/>
              <w:jc w:val="center"/>
              <w:rPr>
                <w:rFonts w:eastAsia="Times New Roman" w:cs="Times New Roman"/>
                <w:noProof/>
              </w:rPr>
            </w:pPr>
            <w:r>
              <w:rPr>
                <w:noProof/>
              </w:rPr>
              <w:t>110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50FB9A" w14:textId="77777777" w:rsidR="006578ED" w:rsidRDefault="00A1618E">
            <w:pPr>
              <w:pStyle w:val="P68B1DB1-Normal46"/>
              <w:spacing w:after="0" w:line="240" w:lineRule="auto"/>
              <w:rPr>
                <w:rFonts w:eastAsia="Times New Roman" w:cs="Times New Roman"/>
                <w:noProof/>
              </w:rPr>
            </w:pPr>
            <w:r>
              <w:rPr>
                <w:noProof/>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D12F98" w14:textId="0D29EAF4"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1B9C61" w14:textId="77777777" w:rsidR="006578ED" w:rsidRDefault="00A1618E">
            <w:pPr>
              <w:pStyle w:val="P68B1DB1-Normal46"/>
              <w:spacing w:after="0" w:line="240" w:lineRule="auto"/>
              <w:rPr>
                <w:rFonts w:eastAsia="Times New Roman" w:cs="Times New Roman"/>
                <w:noProof/>
              </w:rPr>
            </w:pPr>
            <w:r>
              <w:rPr>
                <w:noProof/>
              </w:rPr>
              <w:t xml:space="preserve">Projekt pilotażowy na rzecz społeczności energetycznych </w:t>
            </w:r>
          </w:p>
        </w:tc>
      </w:tr>
      <w:tr w:rsidR="006578ED" w14:paraId="6A4DED1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A4A34" w14:textId="77777777" w:rsidR="006578ED" w:rsidRDefault="00A1618E">
            <w:pPr>
              <w:pStyle w:val="P68B1DB1-Normal46"/>
              <w:spacing w:after="0" w:line="240" w:lineRule="auto"/>
              <w:jc w:val="center"/>
              <w:rPr>
                <w:rFonts w:eastAsia="Times New Roman" w:cs="Times New Roman"/>
                <w:noProof/>
              </w:rPr>
            </w:pPr>
            <w:r>
              <w:rPr>
                <w:noProof/>
              </w:rPr>
              <w:t>115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8D77E5" w14:textId="77777777" w:rsidR="006578ED" w:rsidRDefault="00A1618E">
            <w:pPr>
              <w:pStyle w:val="P68B1DB1-Normal46"/>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3D5F37" w14:textId="2A7D35C7"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47A7E5A" w14:textId="6F35B262" w:rsidR="006578ED" w:rsidRDefault="00A1618E">
            <w:pPr>
              <w:pStyle w:val="P68B1DB1-Normal46"/>
              <w:spacing w:after="0" w:line="240" w:lineRule="auto"/>
              <w:rPr>
                <w:rFonts w:eastAsia="Times New Roman" w:cs="Times New Roman"/>
                <w:noProof/>
              </w:rPr>
            </w:pPr>
            <w:r>
              <w:rPr>
                <w:noProof/>
              </w:rPr>
              <w:t>Przetarg na wsparcie inwestycyjne na rzecz zdolności innowacyjnych lub o wartości dodanej w zakresie odnawialnych źródeł energii</w:t>
            </w:r>
          </w:p>
        </w:tc>
      </w:tr>
      <w:tr w:rsidR="006578ED" w14:paraId="4DE38C0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DF74E" w14:textId="77777777" w:rsidR="006578ED" w:rsidRDefault="00A1618E">
            <w:pPr>
              <w:pStyle w:val="P68B1DB1-Normal46"/>
              <w:spacing w:after="0" w:line="240" w:lineRule="auto"/>
              <w:jc w:val="center"/>
              <w:rPr>
                <w:rFonts w:eastAsia="Times New Roman" w:cs="Times New Roman"/>
                <w:noProof/>
              </w:rPr>
            </w:pPr>
            <w:r>
              <w:rPr>
                <w:noProof/>
              </w:rPr>
              <w:t>124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5544A7" w14:textId="77777777" w:rsidR="006578ED" w:rsidRDefault="00A1618E">
            <w:pPr>
              <w:pStyle w:val="P68B1DB1-Normal46"/>
              <w:spacing w:after="0" w:line="240" w:lineRule="auto"/>
              <w:rPr>
                <w:rFonts w:eastAsia="Times New Roman" w:cs="Times New Roman"/>
                <w:noProof/>
              </w:rPr>
            </w:pPr>
            <w:r>
              <w:rPr>
                <w:noProof/>
              </w:rPr>
              <w:t>C8.R4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3781ED" w14:textId="24B857FA"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030F9" w14:textId="264F3F2A" w:rsidR="006578ED" w:rsidRDefault="00A1618E">
            <w:pPr>
              <w:pStyle w:val="P68B1DB1-Normal46"/>
              <w:spacing w:after="0" w:line="240" w:lineRule="auto"/>
              <w:rPr>
                <w:rFonts w:eastAsia="Times New Roman" w:cs="Times New Roman"/>
                <w:noProof/>
              </w:rPr>
            </w:pPr>
            <w:r>
              <w:rPr>
                <w:noProof/>
              </w:rPr>
              <w:t>Wejście w życie środków mających na celu promowanie piaskownic regulacyjnych w celu wspierania badań naukowych i innowacji w sektorze energii elektrycznej.</w:t>
            </w:r>
          </w:p>
        </w:tc>
      </w:tr>
      <w:tr w:rsidR="006578ED" w14:paraId="0E23F53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80FFDB" w14:textId="77777777" w:rsidR="006578ED" w:rsidRDefault="00A1618E">
            <w:pPr>
              <w:pStyle w:val="P68B1DB1-Normal46"/>
              <w:spacing w:after="0" w:line="240" w:lineRule="auto"/>
              <w:jc w:val="center"/>
              <w:rPr>
                <w:rFonts w:eastAsia="Times New Roman" w:cs="Times New Roman"/>
                <w:noProof/>
              </w:rPr>
            </w:pPr>
            <w:r>
              <w:rPr>
                <w:noProof/>
              </w:rPr>
              <w:t>130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E43752" w14:textId="77777777" w:rsidR="006578ED" w:rsidRDefault="00A1618E">
            <w:pPr>
              <w:pStyle w:val="P68B1DB1-Normal46"/>
              <w:spacing w:after="0" w:line="240" w:lineRule="auto"/>
              <w:rPr>
                <w:rFonts w:eastAsia="Times New Roman" w:cs="Times New Roman"/>
                <w:noProof/>
              </w:rPr>
            </w:pPr>
            <w:r>
              <w:rPr>
                <w:noProof/>
              </w:rPr>
              <w:t>C9.R1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B188E" w14:textId="46C3AC6A"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5A02A2" w14:textId="3DB18DA0" w:rsidR="006578ED" w:rsidRDefault="00A1618E">
            <w:pPr>
              <w:pStyle w:val="P68B1DB1-Normal46"/>
              <w:spacing w:after="0" w:line="240" w:lineRule="auto"/>
              <w:rPr>
                <w:rFonts w:eastAsia="Times New Roman" w:cs="Times New Roman"/>
                <w:noProof/>
              </w:rPr>
            </w:pPr>
            <w:r>
              <w:rPr>
                <w:noProof/>
              </w:rPr>
              <w:t>Wejście w życie rozporządzenia ustanawiającego gwarancje pochodzenia gazów odnawialnych</w:t>
            </w:r>
          </w:p>
        </w:tc>
      </w:tr>
      <w:tr w:rsidR="006578ED" w14:paraId="027EC3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831C45" w14:textId="77777777" w:rsidR="006578ED" w:rsidRDefault="00A1618E">
            <w:pPr>
              <w:pStyle w:val="P68B1DB1-Normal46"/>
              <w:spacing w:after="0" w:line="240" w:lineRule="auto"/>
              <w:jc w:val="center"/>
              <w:rPr>
                <w:rFonts w:eastAsia="Times New Roman" w:cs="Times New Roman"/>
                <w:noProof/>
              </w:rPr>
            </w:pPr>
            <w:r>
              <w:rPr>
                <w:noProof/>
              </w:rPr>
              <w:t>190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E03C04" w14:textId="77777777" w:rsidR="006578ED" w:rsidRDefault="00A1618E">
            <w:pPr>
              <w:pStyle w:val="P68B1DB1-Normal46"/>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6B1ABB" w14:textId="14F61EA4"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ED3108" w14:textId="53C60FBA" w:rsidR="006578ED" w:rsidRDefault="00A1618E">
            <w:pPr>
              <w:pStyle w:val="P68B1DB1-Normal46"/>
              <w:spacing w:after="0" w:line="240" w:lineRule="auto"/>
              <w:rPr>
                <w:rFonts w:eastAsia="Times New Roman" w:cs="Times New Roman"/>
                <w:noProof/>
              </w:rPr>
            </w:pPr>
            <w:r>
              <w:rPr>
                <w:noProof/>
              </w:rPr>
              <w:t>Wejście w życie ustawy o reformie prawa upadłościowego</w:t>
            </w:r>
          </w:p>
        </w:tc>
      </w:tr>
      <w:tr w:rsidR="006578ED" w14:paraId="2953DD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02D1D" w14:textId="77777777" w:rsidR="006578ED" w:rsidRDefault="00A1618E">
            <w:pPr>
              <w:pStyle w:val="P68B1DB1-Normal46"/>
              <w:spacing w:after="0" w:line="240" w:lineRule="auto"/>
              <w:jc w:val="center"/>
              <w:rPr>
                <w:rFonts w:eastAsia="Times New Roman" w:cs="Times New Roman"/>
                <w:noProof/>
              </w:rPr>
            </w:pPr>
            <w:r>
              <w:rPr>
                <w:noProof/>
              </w:rPr>
              <w:t>229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9F9BDD" w14:textId="77777777" w:rsidR="006578ED" w:rsidRDefault="00A1618E">
            <w:pPr>
              <w:pStyle w:val="P68B1DB1-Normal46"/>
              <w:spacing w:after="0" w:line="240" w:lineRule="auto"/>
              <w:rPr>
                <w:rFonts w:eastAsia="Times New Roman" w:cs="Times New Roman"/>
                <w:noProof/>
              </w:rPr>
            </w:pPr>
            <w:r>
              <w:rPr>
                <w:noProof/>
              </w:rPr>
              <w:t>C15.R1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2B2E1A" w14:textId="0D19B1A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494537D" w14:textId="0D7C4B2E" w:rsidR="006578ED" w:rsidRDefault="00A1618E">
            <w:pPr>
              <w:pStyle w:val="P68B1DB1-Normal46"/>
              <w:spacing w:after="0" w:line="240" w:lineRule="auto"/>
              <w:rPr>
                <w:rFonts w:eastAsia="Times New Roman" w:cs="Times New Roman"/>
                <w:noProof/>
              </w:rPr>
            </w:pPr>
            <w:r>
              <w:rPr>
                <w:noProof/>
              </w:rPr>
              <w:t>Wejście w życie ustawy o telekomunikacji</w:t>
            </w:r>
          </w:p>
        </w:tc>
      </w:tr>
      <w:tr w:rsidR="006578ED" w14:paraId="62FC46C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65FB81" w14:textId="77777777" w:rsidR="006578ED" w:rsidRDefault="00A1618E">
            <w:pPr>
              <w:pStyle w:val="P68B1DB1-Normal46"/>
              <w:spacing w:after="0" w:line="240" w:lineRule="auto"/>
              <w:jc w:val="center"/>
              <w:rPr>
                <w:rFonts w:eastAsia="Times New Roman" w:cs="Times New Roman"/>
                <w:noProof/>
              </w:rPr>
            </w:pPr>
            <w:r>
              <w:rPr>
                <w:noProof/>
              </w:rPr>
              <w:t>254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6E4295" w14:textId="77777777" w:rsidR="006578ED" w:rsidRDefault="00A1618E">
            <w:pPr>
              <w:pStyle w:val="P68B1DB1-Normal46"/>
              <w:spacing w:after="0" w:line="240" w:lineRule="auto"/>
              <w:rPr>
                <w:rFonts w:eastAsia="Times New Roman" w:cs="Times New Roman"/>
                <w:noProof/>
              </w:rPr>
            </w:pPr>
            <w:r>
              <w:rPr>
                <w:noProof/>
              </w:rPr>
              <w:t>C17.R1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FD02E0" w14:textId="66B0E942"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446C8" w14:textId="08BDC311" w:rsidR="006578ED" w:rsidRDefault="00A1618E">
            <w:pPr>
              <w:pStyle w:val="P68B1DB1-Normal46"/>
              <w:spacing w:after="0" w:line="240" w:lineRule="auto"/>
              <w:rPr>
                <w:rFonts w:eastAsia="Times New Roman" w:cs="Times New Roman"/>
                <w:noProof/>
              </w:rPr>
            </w:pPr>
            <w:r>
              <w:rPr>
                <w:noProof/>
              </w:rPr>
              <w:t>Wejście w życie zmiany ustawy 14/2011 z dnia 1 czerwca o nauce, technologii i innowacjach.</w:t>
            </w:r>
          </w:p>
        </w:tc>
      </w:tr>
      <w:tr w:rsidR="006578ED" w14:paraId="1A935B0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348EF3" w14:textId="77777777" w:rsidR="006578ED" w:rsidRDefault="00A1618E">
            <w:pPr>
              <w:pStyle w:val="P68B1DB1-Normal46"/>
              <w:spacing w:after="0" w:line="240" w:lineRule="auto"/>
              <w:jc w:val="center"/>
              <w:rPr>
                <w:rFonts w:eastAsia="Times New Roman" w:cs="Times New Roman"/>
                <w:noProof/>
              </w:rPr>
            </w:pPr>
            <w:r>
              <w:rPr>
                <w:noProof/>
              </w:rPr>
              <w:t>270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5CB268" w14:textId="77777777" w:rsidR="006578ED" w:rsidRDefault="00A1618E">
            <w:pPr>
              <w:pStyle w:val="P68B1DB1-Normal46"/>
              <w:spacing w:after="0" w:line="240" w:lineRule="auto"/>
              <w:rPr>
                <w:rFonts w:eastAsia="Times New Roman" w:cs="Times New Roman"/>
                <w:noProof/>
              </w:rPr>
            </w:pPr>
            <w:r>
              <w:rPr>
                <w:noProof/>
              </w:rPr>
              <w:t>C17.I8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35071E" w14:textId="374A8280"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5ED161" w14:textId="1770D991" w:rsidR="006578ED" w:rsidRDefault="00A1618E">
            <w:pPr>
              <w:pStyle w:val="P68B1DB1-Normal46"/>
              <w:spacing w:after="0" w:line="240" w:lineRule="auto"/>
              <w:rPr>
                <w:rFonts w:eastAsia="Times New Roman" w:cs="Times New Roman"/>
                <w:noProof/>
              </w:rPr>
            </w:pPr>
            <w:r>
              <w:rPr>
                <w:noProof/>
              </w:rPr>
              <w:t xml:space="preserve">Wsparcie dla projektów w zakresie badań, rozwoju i innowacji w dziedzinie zrównoważonego przemysłu motoryzacyjnego </w:t>
            </w:r>
          </w:p>
        </w:tc>
      </w:tr>
      <w:tr w:rsidR="006578ED" w14:paraId="727BAF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178E0F" w14:textId="77777777" w:rsidR="006578ED" w:rsidRDefault="00A1618E">
            <w:pPr>
              <w:pStyle w:val="P68B1DB1-Normal46"/>
              <w:spacing w:after="0" w:line="240" w:lineRule="auto"/>
              <w:jc w:val="center"/>
              <w:rPr>
                <w:rFonts w:eastAsia="Times New Roman" w:cs="Times New Roman"/>
                <w:noProof/>
              </w:rPr>
            </w:pPr>
            <w:r>
              <w:rPr>
                <w:noProof/>
              </w:rPr>
              <w:t>274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1949C" w14:textId="77777777" w:rsidR="006578ED" w:rsidRDefault="00A1618E">
            <w:pPr>
              <w:pStyle w:val="P68B1DB1-Normal46"/>
              <w:spacing w:after="0" w:line="240" w:lineRule="auto"/>
              <w:rPr>
                <w:rFonts w:eastAsia="Times New Roman" w:cs="Times New Roman"/>
                <w:noProof/>
              </w:rPr>
            </w:pPr>
            <w:r>
              <w:rPr>
                <w:noProof/>
              </w:rPr>
              <w:t>C18.R2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39F2998" w14:textId="6AE689D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0B8F0C" w14:textId="1ABC2C50" w:rsidR="006578ED" w:rsidRDefault="00A1618E">
            <w:pPr>
              <w:pStyle w:val="P68B1DB1-Normal46"/>
              <w:spacing w:after="0" w:line="240" w:lineRule="auto"/>
              <w:rPr>
                <w:rFonts w:eastAsia="Times New Roman" w:cs="Times New Roman"/>
                <w:noProof/>
              </w:rPr>
            </w:pPr>
            <w:r>
              <w:rPr>
                <w:noProof/>
              </w:rPr>
              <w:t xml:space="preserve">Zatwierdzenie hiszpańskiej strategii w zakresie zdrowia publicznego </w:t>
            </w:r>
          </w:p>
        </w:tc>
      </w:tr>
      <w:tr w:rsidR="006578ED" w14:paraId="44B0B2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0C8489" w14:textId="77777777" w:rsidR="006578ED" w:rsidRDefault="00A1618E">
            <w:pPr>
              <w:pStyle w:val="P68B1DB1-Normal46"/>
              <w:spacing w:after="0" w:line="240" w:lineRule="auto"/>
              <w:jc w:val="center"/>
              <w:rPr>
                <w:rFonts w:eastAsia="Times New Roman" w:cs="Times New Roman"/>
                <w:noProof/>
              </w:rPr>
            </w:pPr>
            <w:r>
              <w:rPr>
                <w:noProof/>
              </w:rPr>
              <w:t>296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452A4E" w14:textId="77777777" w:rsidR="006578ED" w:rsidRDefault="00A1618E">
            <w:pPr>
              <w:pStyle w:val="P68B1DB1-Normal46"/>
              <w:spacing w:after="0" w:line="240" w:lineRule="auto"/>
              <w:rPr>
                <w:rFonts w:eastAsia="Times New Roman" w:cs="Times New Roman"/>
                <w:noProof/>
              </w:rPr>
            </w:pPr>
            <w:r>
              <w:rPr>
                <w:noProof/>
              </w:rPr>
              <w:t>C20.R2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749E19" w14:textId="2C97C2D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E1DB8F" w14:textId="3A789F0C" w:rsidR="006578ED" w:rsidRDefault="00A1618E">
            <w:pPr>
              <w:pStyle w:val="P68B1DB1-Normal46"/>
              <w:spacing w:after="0" w:line="240" w:lineRule="auto"/>
              <w:rPr>
                <w:rFonts w:eastAsia="Times New Roman" w:cs="Times New Roman"/>
                <w:noProof/>
              </w:rPr>
            </w:pPr>
            <w:r>
              <w:rPr>
                <w:noProof/>
              </w:rPr>
              <w:t>Wejście w życie ustawy o jednolitym zintegrowanym systemie kształcenia zawodowego, której celem jest modernizacja systemu</w:t>
            </w:r>
          </w:p>
        </w:tc>
      </w:tr>
      <w:tr w:rsidR="006578ED" w14:paraId="705E64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BAB3C7" w14:textId="77777777" w:rsidR="006578ED" w:rsidRDefault="00A1618E">
            <w:pPr>
              <w:pStyle w:val="P68B1DB1-Normal46"/>
              <w:spacing w:after="0" w:line="240" w:lineRule="auto"/>
              <w:jc w:val="center"/>
              <w:rPr>
                <w:rFonts w:eastAsia="Times New Roman" w:cs="Times New Roman"/>
                <w:noProof/>
              </w:rPr>
            </w:pPr>
            <w:r>
              <w:rPr>
                <w:noProof/>
              </w:rPr>
              <w:t>304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FB682" w14:textId="77777777" w:rsidR="006578ED" w:rsidRDefault="00A1618E">
            <w:pPr>
              <w:pStyle w:val="P68B1DB1-Normal46"/>
              <w:spacing w:after="0" w:line="240" w:lineRule="auto"/>
              <w:rPr>
                <w:rFonts w:eastAsia="Times New Roman" w:cs="Times New Roman"/>
                <w:noProof/>
              </w:rPr>
            </w:pPr>
            <w:r>
              <w:rPr>
                <w:noProof/>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94B35" w14:textId="1982E0F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6E9A5" w14:textId="229F8396" w:rsidR="006578ED" w:rsidRDefault="00A1618E">
            <w:pPr>
              <w:pStyle w:val="P68B1DB1-Normal46"/>
              <w:spacing w:after="0" w:line="240" w:lineRule="auto"/>
              <w:rPr>
                <w:rFonts w:eastAsia="Times New Roman" w:cs="Times New Roman"/>
                <w:noProof/>
              </w:rPr>
            </w:pPr>
            <w:r>
              <w:rPr>
                <w:noProof/>
              </w:rPr>
              <w:t xml:space="preserve">Wejście w życie dekretu królewskiego w sprawie minimalnych wymogów edukacyjnych </w:t>
            </w:r>
          </w:p>
        </w:tc>
      </w:tr>
      <w:tr w:rsidR="006578ED" w14:paraId="06E9132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3E1722" w14:textId="77777777" w:rsidR="006578ED" w:rsidRDefault="00A1618E">
            <w:pPr>
              <w:pStyle w:val="P68B1DB1-Normal46"/>
              <w:spacing w:after="0" w:line="240" w:lineRule="auto"/>
              <w:jc w:val="center"/>
              <w:rPr>
                <w:rFonts w:eastAsia="Times New Roman" w:cs="Times New Roman"/>
                <w:noProof/>
              </w:rPr>
            </w:pPr>
            <w:r>
              <w:rPr>
                <w:noProof/>
              </w:rPr>
              <w:t>314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0A6638" w14:textId="77777777" w:rsidR="006578ED" w:rsidRDefault="00A1618E">
            <w:pPr>
              <w:pStyle w:val="P68B1DB1-Normal46"/>
              <w:spacing w:after="0" w:line="240" w:lineRule="auto"/>
              <w:rPr>
                <w:rFonts w:eastAsia="Times New Roman" w:cs="Times New Roman"/>
                <w:noProof/>
              </w:rPr>
            </w:pPr>
            <w:r>
              <w:rPr>
                <w:noProof/>
              </w:rPr>
              <w:t>C22.R1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00375A" w14:textId="22DAD02A"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585CB4" w14:textId="2B02E286" w:rsidR="006578ED" w:rsidRDefault="00A1618E">
            <w:pPr>
              <w:pStyle w:val="P68B1DB1-Normal46"/>
              <w:spacing w:after="0" w:line="240" w:lineRule="auto"/>
              <w:rPr>
                <w:rFonts w:eastAsia="Times New Roman" w:cs="Times New Roman"/>
                <w:noProof/>
              </w:rPr>
            </w:pPr>
            <w:r>
              <w:rPr>
                <w:noProof/>
              </w:rPr>
              <w:t xml:space="preserve">Zatwierdzenie przez Radę Terytorialną oceny systemu autonomii i opieki nad osobami zależnymi (SAAD). </w:t>
            </w:r>
          </w:p>
        </w:tc>
      </w:tr>
      <w:tr w:rsidR="006578ED" w14:paraId="37F331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915826" w14:textId="77777777" w:rsidR="006578ED" w:rsidRDefault="00A1618E">
            <w:pPr>
              <w:pStyle w:val="P68B1DB1-Normal46"/>
              <w:spacing w:after="0" w:line="240" w:lineRule="auto"/>
              <w:jc w:val="center"/>
              <w:rPr>
                <w:rFonts w:eastAsia="Times New Roman" w:cs="Times New Roman"/>
                <w:noProof/>
              </w:rPr>
            </w:pPr>
            <w:r>
              <w:rPr>
                <w:noProof/>
              </w:rPr>
              <w:t>317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EF897E" w14:textId="77777777" w:rsidR="006578ED" w:rsidRDefault="00A1618E">
            <w:pPr>
              <w:pStyle w:val="P68B1DB1-Normal46"/>
              <w:spacing w:after="0" w:line="240" w:lineRule="auto"/>
              <w:rPr>
                <w:rFonts w:eastAsia="Times New Roman" w:cs="Times New Roman"/>
                <w:noProof/>
              </w:rPr>
            </w:pPr>
            <w:r>
              <w:rPr>
                <w:noProof/>
              </w:rPr>
              <w:t>C22.R4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07A5888" w14:textId="5CE6EB0B"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A2FDE5" w14:textId="144FD3ED" w:rsidR="006578ED" w:rsidRDefault="00A1618E">
            <w:pPr>
              <w:pStyle w:val="P68B1DB1-Normal46"/>
              <w:spacing w:after="0" w:line="240" w:lineRule="auto"/>
              <w:rPr>
                <w:rFonts w:eastAsia="Times New Roman" w:cs="Times New Roman"/>
                <w:noProof/>
              </w:rPr>
            </w:pPr>
            <w:r>
              <w:rPr>
                <w:noProof/>
              </w:rPr>
              <w:t xml:space="preserve">Wejście w życie reformy ustawodawczej systemu przyjmowania migrantów i osób ubiegających się o ochronę międzynarodową w Hiszpanii </w:t>
            </w:r>
          </w:p>
        </w:tc>
      </w:tr>
      <w:tr w:rsidR="006578ED" w14:paraId="47CAE6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B0EF73" w14:textId="77777777" w:rsidR="006578ED" w:rsidRDefault="00A1618E">
            <w:pPr>
              <w:pStyle w:val="P68B1DB1-Normal46"/>
              <w:spacing w:after="0" w:line="240" w:lineRule="auto"/>
              <w:jc w:val="center"/>
              <w:rPr>
                <w:rFonts w:eastAsia="Times New Roman" w:cs="Times New Roman"/>
                <w:noProof/>
              </w:rPr>
            </w:pPr>
            <w:r>
              <w:rPr>
                <w:noProof/>
              </w:rPr>
              <w:t>350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DEB930" w14:textId="77777777" w:rsidR="006578ED" w:rsidRDefault="00A1618E">
            <w:pPr>
              <w:pStyle w:val="P68B1DB1-Normal46"/>
              <w:spacing w:after="0" w:line="240" w:lineRule="auto"/>
              <w:rPr>
                <w:rFonts w:eastAsia="Times New Roman" w:cs="Times New Roman"/>
                <w:noProof/>
              </w:rPr>
            </w:pPr>
            <w:r>
              <w:rPr>
                <w:noProof/>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7338EF" w14:textId="5B688343"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5C0224" w14:textId="07C1A80D" w:rsidR="006578ED" w:rsidRDefault="00A1618E">
            <w:pPr>
              <w:pStyle w:val="P68B1DB1-Normal46"/>
              <w:spacing w:after="0" w:line="240" w:lineRule="auto"/>
              <w:rPr>
                <w:rFonts w:eastAsia="Times New Roman" w:cs="Times New Roman"/>
                <w:noProof/>
              </w:rPr>
            </w:pPr>
            <w:r>
              <w:rPr>
                <w:noProof/>
              </w:rPr>
              <w:t>Poprawa wskaźnika wykorzystania dochodu minimalnego (IMV) i zwiększenie jego skuteczności dzięki polityce włączenia społecznego</w:t>
            </w:r>
          </w:p>
        </w:tc>
      </w:tr>
      <w:tr w:rsidR="006578ED" w14:paraId="1ABA29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DF3411D" w14:textId="77777777" w:rsidR="006578ED" w:rsidRDefault="00A1618E">
            <w:pPr>
              <w:pStyle w:val="P68B1DB1-Normal46"/>
              <w:spacing w:after="0" w:line="240" w:lineRule="auto"/>
              <w:jc w:val="center"/>
              <w:rPr>
                <w:rFonts w:eastAsia="Times New Roman" w:cs="Times New Roman"/>
                <w:noProof/>
              </w:rPr>
            </w:pPr>
            <w:r>
              <w:rPr>
                <w:noProof/>
              </w:rPr>
              <w:t>360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15E781" w14:textId="77777777" w:rsidR="006578ED" w:rsidRDefault="00A1618E">
            <w:pPr>
              <w:pStyle w:val="P68B1DB1-Normal46"/>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5EFDE7" w14:textId="40E202F9"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F700C" w14:textId="12681883" w:rsidR="006578ED" w:rsidRDefault="00A1618E">
            <w:pPr>
              <w:pStyle w:val="P68B1DB1-Normal46"/>
              <w:spacing w:after="0" w:line="240" w:lineRule="auto"/>
              <w:rPr>
                <w:rFonts w:eastAsia="Times New Roman" w:cs="Times New Roman"/>
                <w:noProof/>
              </w:rPr>
            </w:pPr>
            <w:r>
              <w:rPr>
                <w:noProof/>
              </w:rPr>
              <w:t xml:space="preserve">Cyfryzacja i promowanie głównych usług kulturalnych </w:t>
            </w:r>
          </w:p>
        </w:tc>
      </w:tr>
      <w:tr w:rsidR="006578ED" w14:paraId="47F43A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E120E3" w14:textId="77777777" w:rsidR="006578ED" w:rsidRDefault="00A1618E">
            <w:pPr>
              <w:pStyle w:val="P68B1DB1-Normal46"/>
              <w:spacing w:after="0" w:line="240" w:lineRule="auto"/>
              <w:jc w:val="center"/>
              <w:rPr>
                <w:rFonts w:eastAsia="Times New Roman" w:cs="Times New Roman"/>
                <w:noProof/>
              </w:rPr>
            </w:pPr>
            <w:r>
              <w:rPr>
                <w:noProof/>
              </w:rPr>
              <w:t>364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B798C1" w14:textId="77777777" w:rsidR="006578ED" w:rsidRDefault="00A1618E">
            <w:pPr>
              <w:pStyle w:val="P68B1DB1-Normal46"/>
              <w:spacing w:after="0" w:line="240" w:lineRule="auto"/>
              <w:rPr>
                <w:rFonts w:eastAsia="Times New Roman" w:cs="Times New Roman"/>
                <w:noProof/>
              </w:rPr>
            </w:pPr>
            <w:r>
              <w:rPr>
                <w:noProof/>
              </w:rPr>
              <w:t>C25.R1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6BFA5B" w14:textId="04BA319A"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705185" w14:textId="694AF532" w:rsidR="006578ED" w:rsidRDefault="00A1618E">
            <w:pPr>
              <w:pStyle w:val="P68B1DB1-Normal46"/>
              <w:spacing w:after="0" w:line="240" w:lineRule="auto"/>
              <w:rPr>
                <w:rFonts w:eastAsia="Times New Roman" w:cs="Times New Roman"/>
                <w:noProof/>
              </w:rPr>
            </w:pPr>
            <w:r>
              <w:rPr>
                <w:noProof/>
              </w:rPr>
              <w:t>Wejście w życie ustawy ogólnej o komunikacji audiowizualnej.</w:t>
            </w:r>
          </w:p>
        </w:tc>
      </w:tr>
      <w:tr w:rsidR="006578ED" w14:paraId="76832B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7CC7A1" w14:textId="77777777" w:rsidR="006578ED" w:rsidRDefault="00A1618E">
            <w:pPr>
              <w:pStyle w:val="P68B1DB1-Normal46"/>
              <w:spacing w:after="0" w:line="240" w:lineRule="auto"/>
              <w:jc w:val="center"/>
              <w:rPr>
                <w:rFonts w:eastAsia="Times New Roman" w:cs="Times New Roman"/>
                <w:noProof/>
              </w:rPr>
            </w:pPr>
            <w:r>
              <w:rPr>
                <w:noProof/>
              </w:rPr>
              <w:t>374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036D30" w14:textId="77777777" w:rsidR="006578ED" w:rsidRDefault="00A1618E">
            <w:pPr>
              <w:pStyle w:val="P68B1DB1-Normal46"/>
              <w:spacing w:after="0" w:line="240" w:lineRule="auto"/>
              <w:rPr>
                <w:rFonts w:eastAsia="Times New Roman" w:cs="Times New Roman"/>
                <w:noProof/>
              </w:rPr>
            </w:pPr>
            <w:r>
              <w:rPr>
                <w:noProof/>
              </w:rPr>
              <w:t>C26.I3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80B476" w14:textId="7F718285"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397ED9C" w14:textId="3E58DE3D" w:rsidR="006578ED" w:rsidRDefault="00A1618E">
            <w:pPr>
              <w:pStyle w:val="P68B1DB1-Normal46"/>
              <w:spacing w:after="0" w:line="240" w:lineRule="auto"/>
              <w:rPr>
                <w:rFonts w:eastAsia="Times New Roman" w:cs="Times New Roman"/>
                <w:noProof/>
              </w:rPr>
            </w:pPr>
            <w:r>
              <w:rPr>
                <w:noProof/>
              </w:rPr>
              <w:t xml:space="preserve">Projekty promujące równość w sporcie </w:t>
            </w:r>
          </w:p>
        </w:tc>
      </w:tr>
      <w:tr w:rsidR="006578ED" w14:paraId="744A87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36FEAD" w14:textId="77777777" w:rsidR="006578ED" w:rsidRDefault="00A1618E">
            <w:pPr>
              <w:pStyle w:val="P68B1DB1-Normal46"/>
              <w:spacing w:after="0" w:line="240" w:lineRule="auto"/>
              <w:jc w:val="center"/>
              <w:rPr>
                <w:rFonts w:eastAsia="Times New Roman" w:cs="Times New Roman"/>
                <w:noProof/>
              </w:rPr>
            </w:pPr>
            <w:r>
              <w:rPr>
                <w:noProof/>
              </w:rPr>
              <w:t>376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D505A4" w14:textId="77777777" w:rsidR="006578ED" w:rsidRDefault="00A1618E">
            <w:pPr>
              <w:pStyle w:val="P68B1DB1-Normal46"/>
              <w:spacing w:after="0" w:line="240" w:lineRule="auto"/>
              <w:rPr>
                <w:rFonts w:eastAsia="Times New Roman" w:cs="Times New Roman"/>
                <w:noProof/>
              </w:rPr>
            </w:pPr>
            <w:r>
              <w:rPr>
                <w:noProof/>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4659C4" w14:textId="3228A339"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EE9156" w14:textId="53DCE4C1" w:rsidR="006578ED" w:rsidRDefault="00A1618E">
            <w:pPr>
              <w:pStyle w:val="P68B1DB1-Normal46"/>
              <w:spacing w:after="0" w:line="240" w:lineRule="auto"/>
              <w:rPr>
                <w:rFonts w:eastAsia="Times New Roman" w:cs="Times New Roman"/>
                <w:noProof/>
              </w:rPr>
            </w:pPr>
            <w:r>
              <w:rPr>
                <w:noProof/>
              </w:rPr>
              <w:t>Wejście w życie ustawy o uchylaniu się od opodatkowania i oszustwie podatkowym</w:t>
            </w:r>
          </w:p>
        </w:tc>
      </w:tr>
      <w:tr w:rsidR="006578ED" w14:paraId="035DF41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4F65D9" w14:textId="77777777" w:rsidR="006578ED" w:rsidRDefault="00A1618E">
            <w:pPr>
              <w:pStyle w:val="P68B1DB1-Normal46"/>
              <w:spacing w:after="0" w:line="240" w:lineRule="auto"/>
              <w:jc w:val="center"/>
              <w:rPr>
                <w:rFonts w:eastAsia="Times New Roman" w:cs="Times New Roman"/>
                <w:noProof/>
              </w:rPr>
            </w:pPr>
            <w:r>
              <w:rPr>
                <w:noProof/>
              </w:rPr>
              <w:t>390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03228F" w14:textId="77777777" w:rsidR="006578ED" w:rsidRDefault="00A1618E">
            <w:pPr>
              <w:pStyle w:val="P68B1DB1-Normal46"/>
              <w:spacing w:after="0" w:line="240" w:lineRule="auto"/>
              <w:rPr>
                <w:rFonts w:eastAsia="Times New Roman" w:cs="Times New Roman"/>
                <w:noProof/>
              </w:rPr>
            </w:pPr>
            <w:r>
              <w:rPr>
                <w:noProof/>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A516A91" w14:textId="1C6E8D83"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721360" w14:textId="639E3D19" w:rsidR="006578ED" w:rsidRDefault="00A1618E">
            <w:pPr>
              <w:pStyle w:val="P68B1DB1-Normal46"/>
              <w:spacing w:after="0" w:line="240" w:lineRule="auto"/>
              <w:rPr>
                <w:rFonts w:eastAsia="Times New Roman" w:cs="Times New Roman"/>
                <w:noProof/>
              </w:rPr>
            </w:pPr>
            <w:r>
              <w:rPr>
                <w:noProof/>
              </w:rPr>
              <w:t>Analiza podatku rejestracyjnego od pojazdów i podatku drogowego</w:t>
            </w:r>
          </w:p>
        </w:tc>
      </w:tr>
      <w:tr w:rsidR="006578ED" w14:paraId="7D1130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68C767" w14:textId="77777777" w:rsidR="006578ED" w:rsidRDefault="00A1618E">
            <w:pPr>
              <w:pStyle w:val="P68B1DB1-Normal46"/>
              <w:spacing w:after="0" w:line="240" w:lineRule="auto"/>
              <w:jc w:val="center"/>
              <w:rPr>
                <w:rFonts w:eastAsia="Times New Roman" w:cs="Times New Roman"/>
                <w:noProof/>
              </w:rPr>
            </w:pPr>
            <w:r>
              <w:rPr>
                <w:noProof/>
              </w:rPr>
              <w:t>391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B6A019" w14:textId="77777777" w:rsidR="006578ED" w:rsidRDefault="00A1618E">
            <w:pPr>
              <w:pStyle w:val="P68B1DB1-Normal46"/>
              <w:spacing w:after="0" w:line="240" w:lineRule="auto"/>
              <w:rPr>
                <w:rFonts w:eastAsia="Times New Roman" w:cs="Times New Roman"/>
                <w:noProof/>
              </w:rPr>
            </w:pPr>
            <w:r>
              <w:rPr>
                <w:noProof/>
              </w:rPr>
              <w:t>C28.R4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28A537" w14:textId="65DC192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57096B" w14:textId="61EB9533" w:rsidR="006578ED" w:rsidRDefault="00A1618E">
            <w:pPr>
              <w:pStyle w:val="P68B1DB1-Normal46"/>
              <w:spacing w:after="0" w:line="240" w:lineRule="auto"/>
              <w:rPr>
                <w:rFonts w:eastAsia="Times New Roman" w:cs="Times New Roman"/>
                <w:noProof/>
              </w:rPr>
            </w:pPr>
            <w:r>
              <w:rPr>
                <w:noProof/>
              </w:rPr>
              <w:t xml:space="preserve">Wejście w życie reformy podatku od gazów fluorowanych </w:t>
            </w:r>
          </w:p>
        </w:tc>
      </w:tr>
      <w:tr w:rsidR="006578ED" w14:paraId="3F89D6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8ED2E2" w14:textId="77777777" w:rsidR="006578ED" w:rsidRDefault="00A1618E">
            <w:pPr>
              <w:pStyle w:val="P68B1DB1-Normal46"/>
              <w:spacing w:after="0" w:line="240" w:lineRule="auto"/>
              <w:jc w:val="center"/>
              <w:rPr>
                <w:rFonts w:eastAsia="Times New Roman" w:cs="Times New Roman"/>
                <w:noProof/>
              </w:rPr>
            </w:pPr>
            <w:r>
              <w:rPr>
                <w:noProof/>
              </w:rPr>
              <w:t>401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CF966" w14:textId="77777777" w:rsidR="006578ED" w:rsidRDefault="00A1618E">
            <w:pPr>
              <w:pStyle w:val="P68B1DB1-Normal46"/>
              <w:spacing w:after="0" w:line="240" w:lineRule="auto"/>
              <w:rPr>
                <w:rFonts w:eastAsia="Times New Roman" w:cs="Times New Roman"/>
                <w:noProof/>
              </w:rPr>
            </w:pPr>
            <w:r>
              <w:rPr>
                <w:noProof/>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389AF8" w14:textId="530A719E"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DD890" w14:textId="24A664B6" w:rsidR="006578ED" w:rsidRDefault="00A1618E">
            <w:pPr>
              <w:pStyle w:val="P68B1DB1-Normal46"/>
              <w:spacing w:after="0" w:line="240" w:lineRule="auto"/>
              <w:rPr>
                <w:rFonts w:eastAsia="Times New Roman" w:cs="Times New Roman"/>
                <w:noProof/>
              </w:rPr>
            </w:pPr>
            <w:r>
              <w:rPr>
                <w:noProof/>
              </w:rPr>
              <w:t>Publikacja sprawozdania z monitorowania</w:t>
            </w:r>
          </w:p>
        </w:tc>
      </w:tr>
      <w:tr w:rsidR="006578ED" w14:paraId="0D7700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EAF363" w14:textId="77777777" w:rsidR="006578ED" w:rsidRDefault="00A1618E">
            <w:pPr>
              <w:pStyle w:val="P68B1DB1-Normal46"/>
              <w:spacing w:after="0" w:line="240" w:lineRule="auto"/>
              <w:jc w:val="center"/>
              <w:rPr>
                <w:rFonts w:eastAsia="Times New Roman" w:cs="Times New Roman"/>
                <w:noProof/>
              </w:rPr>
            </w:pPr>
            <w:r>
              <w:rPr>
                <w:noProof/>
              </w:rPr>
              <w:t>411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87F1C9" w14:textId="77777777" w:rsidR="006578ED" w:rsidRDefault="00A1618E">
            <w:pPr>
              <w:pStyle w:val="P68B1DB1-Normal46"/>
              <w:spacing w:after="0" w:line="240" w:lineRule="auto"/>
              <w:rPr>
                <w:rFonts w:eastAsia="Times New Roman" w:cs="Times New Roman"/>
                <w:noProof/>
              </w:rPr>
            </w:pPr>
            <w:r>
              <w:rPr>
                <w:noProof/>
              </w:rPr>
              <w:t>C30.R3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53772D" w14:textId="1D4C3F95"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0FB3F0" w14:textId="77777777" w:rsidR="006578ED" w:rsidRDefault="00A1618E">
            <w:pPr>
              <w:pStyle w:val="P68B1DB1-Normal46"/>
              <w:spacing w:after="0" w:line="240" w:lineRule="auto"/>
              <w:rPr>
                <w:rFonts w:eastAsia="Times New Roman" w:cs="Times New Roman"/>
                <w:noProof/>
              </w:rPr>
            </w:pPr>
            <w:r>
              <w:rPr>
                <w:noProof/>
              </w:rPr>
              <w:t>Reforma systemu składek na ubezpieczenie społeczne dla osób samozatrudnionych</w:t>
            </w:r>
          </w:p>
        </w:tc>
      </w:tr>
      <w:tr w:rsidR="006578ED" w14:paraId="42BC5E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49513B" w14:textId="77777777" w:rsidR="006578ED" w:rsidRDefault="00A1618E">
            <w:pPr>
              <w:pStyle w:val="P68B1DB1-Normal46"/>
              <w:spacing w:after="0" w:line="240" w:lineRule="auto"/>
              <w:jc w:val="center"/>
              <w:rPr>
                <w:rFonts w:eastAsia="Times New Roman" w:cs="Times New Roman"/>
                <w:noProof/>
              </w:rPr>
            </w:pPr>
            <w:r>
              <w:rPr>
                <w:noProof/>
              </w:rPr>
              <w:t>414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BE16DA" w14:textId="77777777" w:rsidR="006578ED" w:rsidRDefault="00A1618E">
            <w:pPr>
              <w:pStyle w:val="P68B1DB1-Normal46"/>
              <w:spacing w:after="0" w:line="240" w:lineRule="auto"/>
              <w:rPr>
                <w:rFonts w:eastAsia="Times New Roman" w:cs="Times New Roman"/>
                <w:noProof/>
              </w:rPr>
            </w:pPr>
            <w:r>
              <w:rPr>
                <w:noProof/>
              </w:rPr>
              <w:t>C30.R5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7FA1E8" w14:textId="775361F3"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730CBB" w14:textId="77777777" w:rsidR="006578ED" w:rsidRDefault="00A1618E">
            <w:pPr>
              <w:pStyle w:val="P68B1DB1-Normal46"/>
              <w:spacing w:after="0" w:line="240" w:lineRule="auto"/>
              <w:rPr>
                <w:rFonts w:eastAsia="Times New Roman" w:cs="Times New Roman"/>
                <w:noProof/>
              </w:rPr>
            </w:pPr>
            <w:r>
              <w:rPr>
                <w:noProof/>
              </w:rPr>
              <w:t>Przegląd obecnego dodatkowego systemu emerytalnego</w:t>
            </w:r>
          </w:p>
        </w:tc>
      </w:tr>
      <w:tr w:rsidR="006578ED" w14:paraId="67E66F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8C505B"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F39404"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8238F1" w14:textId="77777777" w:rsidR="006578ED" w:rsidRDefault="00A1618E">
            <w:pPr>
              <w:pStyle w:val="P68B1DB1-Normal45"/>
              <w:spacing w:after="0" w:line="240" w:lineRule="auto"/>
              <w:rPr>
                <w:rFonts w:eastAsia="Times New Roman" w:cs="Times New Roman"/>
                <w:noProof/>
              </w:rPr>
            </w:pPr>
            <w:r>
              <w:rPr>
                <w:noProof/>
              </w:rPr>
              <w:t>Kwota raty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CF4712" w14:textId="3E00CFF3" w:rsidR="006578ED" w:rsidRDefault="00A1618E">
            <w:pPr>
              <w:pStyle w:val="P68B1DB1-Normal45"/>
              <w:spacing w:after="0" w:line="240" w:lineRule="auto"/>
              <w:rPr>
                <w:rFonts w:eastAsia="Times New Roman" w:cs="Times New Roman"/>
                <w:noProof/>
              </w:rPr>
            </w:pPr>
            <w:r>
              <w:rPr>
                <w:noProof/>
              </w:rPr>
              <w:t>6 896 551 724 EUR</w:t>
            </w:r>
          </w:p>
        </w:tc>
      </w:tr>
    </w:tbl>
    <w:p w14:paraId="0E4ACC87" w14:textId="77777777" w:rsidR="006578ED" w:rsidRDefault="006578ED">
      <w:pPr>
        <w:spacing w:before="120" w:after="120" w:line="240" w:lineRule="auto"/>
        <w:jc w:val="both"/>
        <w:rPr>
          <w:rFonts w:ascii="Times New Roman" w:eastAsia="Calibri" w:hAnsi="Times New Roman" w:cs="Times New Roman"/>
          <w:noProof/>
          <w:sz w:val="24"/>
        </w:rPr>
      </w:pPr>
    </w:p>
    <w:p w14:paraId="6695220B"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Czwarta transza (wsparcie bezzwrotne): </w:t>
      </w:r>
    </w:p>
    <w:tbl>
      <w:tblPr>
        <w:tblW w:w="9663" w:type="dxa"/>
        <w:tblInd w:w="113" w:type="dxa"/>
        <w:tblLook w:val="04A0" w:firstRow="1" w:lastRow="0" w:firstColumn="1" w:lastColumn="0" w:noHBand="0" w:noVBand="1"/>
      </w:tblPr>
      <w:tblGrid>
        <w:gridCol w:w="1300"/>
        <w:gridCol w:w="1443"/>
        <w:gridCol w:w="1561"/>
        <w:gridCol w:w="5670"/>
      </w:tblGrid>
      <w:tr w:rsidR="006578ED" w14:paraId="0556E70F"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247F962"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E36E1F8"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A87B7DF"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3A5A927"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57DCDFA0"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1EACC2A"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A75D6B"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AB7BCF1" w14:textId="77777777" w:rsidR="006578ED" w:rsidRDefault="006578ED">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05D8590C" w14:textId="77777777" w:rsidR="006578ED" w:rsidRDefault="006578ED">
            <w:pPr>
              <w:spacing w:after="0" w:line="240" w:lineRule="auto"/>
              <w:rPr>
                <w:rFonts w:ascii="Times New Roman" w:eastAsia="Times New Roman" w:hAnsi="Times New Roman" w:cs="Times New Roman"/>
                <w:b/>
                <w:noProof/>
                <w:sz w:val="20"/>
              </w:rPr>
            </w:pPr>
          </w:p>
        </w:tc>
      </w:tr>
      <w:tr w:rsidR="006578ED" w14:paraId="1A13C9A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7BD4CA" w14:textId="77777777" w:rsidR="006578ED" w:rsidRDefault="00A1618E">
            <w:pPr>
              <w:pStyle w:val="P68B1DB1-Normal46"/>
              <w:spacing w:after="0" w:line="240" w:lineRule="auto"/>
              <w:jc w:val="center"/>
              <w:rPr>
                <w:rFonts w:eastAsia="Times New Roman" w:cs="Times New Roman"/>
                <w:noProof/>
              </w:rPr>
            </w:pPr>
            <w:r>
              <w:rPr>
                <w:noProof/>
              </w:rPr>
              <w:t>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9F3727" w14:textId="77777777" w:rsidR="006578ED" w:rsidRDefault="00A1618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13B0FA" w14:textId="7D0DD26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9508C" w14:textId="312323D1" w:rsidR="006578ED" w:rsidRDefault="00A1618E">
            <w:pPr>
              <w:pStyle w:val="P68B1DB1-Normal46"/>
              <w:spacing w:after="0" w:line="240" w:lineRule="auto"/>
              <w:rPr>
                <w:rFonts w:eastAsia="Times New Roman" w:cs="Times New Roman"/>
                <w:noProof/>
              </w:rPr>
            </w:pPr>
            <w:r>
              <w:rPr>
                <w:noProof/>
              </w:rPr>
              <w:t>Budżet przeznaczony na zakupy lub przyznane przez gminy w celu promowania mobilności zgodnej z zasadami zrównoważonego rozwoju</w:t>
            </w:r>
          </w:p>
        </w:tc>
      </w:tr>
      <w:tr w:rsidR="006578ED" w14:paraId="159974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4E4E92" w14:textId="77777777" w:rsidR="006578ED" w:rsidRDefault="00A1618E">
            <w:pPr>
              <w:pStyle w:val="P68B1DB1-Normal46"/>
              <w:spacing w:after="0" w:line="240" w:lineRule="auto"/>
              <w:jc w:val="center"/>
              <w:rPr>
                <w:rFonts w:eastAsia="Times New Roman" w:cs="Times New Roman"/>
                <w:noProof/>
              </w:rPr>
            </w:pPr>
            <w:r>
              <w:rPr>
                <w:noProof/>
              </w:rPr>
              <w:t>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28FDC6" w14:textId="77777777" w:rsidR="006578ED" w:rsidRDefault="00A1618E">
            <w:pPr>
              <w:pStyle w:val="P68B1DB1-Normal46"/>
              <w:spacing w:after="0" w:line="240" w:lineRule="auto"/>
              <w:rPr>
                <w:rFonts w:eastAsia="Times New Roman" w:cs="Times New Roman"/>
                <w:noProof/>
              </w:rPr>
            </w:pPr>
            <w:r>
              <w:rPr>
                <w:noProof/>
              </w:rPr>
              <w:t>C2.R3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C5A63" w14:textId="6FE00BA2"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44706B" w14:textId="5DBA9AB5" w:rsidR="006578ED" w:rsidRDefault="00A1618E">
            <w:pPr>
              <w:pStyle w:val="P68B1DB1-Normal46"/>
              <w:spacing w:after="0" w:line="240" w:lineRule="auto"/>
              <w:rPr>
                <w:rFonts w:eastAsia="Times New Roman" w:cs="Times New Roman"/>
                <w:noProof/>
              </w:rPr>
            </w:pPr>
            <w:r>
              <w:rPr>
                <w:noProof/>
              </w:rPr>
              <w:t xml:space="preserve">Wejście w życie ustawy o mieszkalnictwie, w tym działania wspierające zwiększenie podaży mieszkań zgodnie z budynkami o niemal zerowym zużyciu energii </w:t>
            </w:r>
          </w:p>
        </w:tc>
      </w:tr>
      <w:tr w:rsidR="006578ED" w14:paraId="3FCC538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0F164C" w14:textId="77777777" w:rsidR="006578ED" w:rsidRDefault="00A1618E">
            <w:pPr>
              <w:pStyle w:val="P68B1DB1-Normal46"/>
              <w:spacing w:after="0" w:line="240" w:lineRule="auto"/>
              <w:jc w:val="center"/>
              <w:rPr>
                <w:rFonts w:eastAsia="Times New Roman" w:cs="Times New Roman"/>
                <w:noProof/>
              </w:rPr>
            </w:pPr>
            <w:r>
              <w:rPr>
                <w:noProof/>
              </w:rPr>
              <w:t>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72C2A" w14:textId="77777777" w:rsidR="006578ED" w:rsidRDefault="00A1618E">
            <w:pPr>
              <w:pStyle w:val="P68B1DB1-Normal46"/>
              <w:spacing w:after="0" w:line="240" w:lineRule="auto"/>
              <w:rPr>
                <w:rFonts w:eastAsia="Times New Roman" w:cs="Times New Roman"/>
                <w:noProof/>
              </w:rPr>
            </w:pPr>
            <w:r>
              <w:rPr>
                <w:noProof/>
              </w:rPr>
              <w:t>C2.R4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C616D4" w14:textId="710F1CBA"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66BF79" w14:textId="1B8270BF" w:rsidR="006578ED" w:rsidRDefault="00A1618E">
            <w:pPr>
              <w:pStyle w:val="P68B1DB1-Normal46"/>
              <w:spacing w:after="0" w:line="240" w:lineRule="auto"/>
              <w:rPr>
                <w:rFonts w:eastAsia="Times New Roman" w:cs="Times New Roman"/>
                <w:noProof/>
              </w:rPr>
            </w:pPr>
            <w:r>
              <w:rPr>
                <w:noProof/>
              </w:rPr>
              <w:t xml:space="preserve">Wejście w życie ustawy o jakości architektury i środowiska budowlanego </w:t>
            </w:r>
          </w:p>
        </w:tc>
      </w:tr>
      <w:tr w:rsidR="006578ED" w14:paraId="51EA53E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AE5D2F" w14:textId="77777777" w:rsidR="006578ED" w:rsidRDefault="00A1618E">
            <w:pPr>
              <w:pStyle w:val="P68B1DB1-Normal46"/>
              <w:spacing w:after="0" w:line="240" w:lineRule="auto"/>
              <w:jc w:val="center"/>
              <w:rPr>
                <w:rFonts w:eastAsia="Times New Roman" w:cs="Times New Roman"/>
                <w:noProof/>
              </w:rPr>
            </w:pPr>
            <w:r>
              <w:rPr>
                <w:noProof/>
              </w:rPr>
              <w:t>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398B72" w14:textId="77777777" w:rsidR="006578ED" w:rsidRDefault="00A1618E">
            <w:pPr>
              <w:pStyle w:val="P68B1DB1-Normal46"/>
              <w:spacing w:after="0" w:line="240" w:lineRule="auto"/>
              <w:rPr>
                <w:rFonts w:eastAsia="Times New Roman" w:cs="Times New Roman"/>
                <w:noProof/>
              </w:rPr>
            </w:pPr>
            <w:r>
              <w:rPr>
                <w:noProof/>
              </w:rPr>
              <w:t>C2.R6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A7772C" w14:textId="5B44A107"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D9395E5" w14:textId="58699B42" w:rsidR="006578ED" w:rsidRDefault="00A1618E">
            <w:pPr>
              <w:pStyle w:val="P68B1DB1-Normal46"/>
              <w:spacing w:after="0" w:line="240" w:lineRule="auto"/>
              <w:rPr>
                <w:rFonts w:eastAsia="Times New Roman" w:cs="Times New Roman"/>
                <w:noProof/>
              </w:rPr>
            </w:pPr>
            <w:r>
              <w:rPr>
                <w:noProof/>
              </w:rPr>
              <w:t xml:space="preserve">Wejście w życie zmian do horyzontalnej ustawy o własności w celu ułatwienia finansowania odbudowy </w:t>
            </w:r>
          </w:p>
        </w:tc>
      </w:tr>
      <w:tr w:rsidR="006578ED" w14:paraId="23FEC7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A18A14" w14:textId="77777777" w:rsidR="006578ED" w:rsidRDefault="00A1618E">
            <w:pPr>
              <w:pStyle w:val="P68B1DB1-Normal46"/>
              <w:spacing w:after="0" w:line="240" w:lineRule="auto"/>
              <w:jc w:val="center"/>
              <w:rPr>
                <w:rFonts w:eastAsia="Times New Roman" w:cs="Times New Roman"/>
                <w:noProof/>
              </w:rPr>
            </w:pPr>
            <w:r>
              <w:rPr>
                <w:noProof/>
              </w:rPr>
              <w:t>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3AEDD8" w14:textId="77777777" w:rsidR="006578ED" w:rsidRDefault="00A1618E">
            <w:pPr>
              <w:pStyle w:val="P68B1DB1-Normal46"/>
              <w:spacing w:after="0" w:line="240" w:lineRule="auto"/>
              <w:rPr>
                <w:rFonts w:eastAsia="Times New Roman" w:cs="Times New Roman"/>
                <w:noProof/>
              </w:rPr>
            </w:pPr>
            <w:r>
              <w:rPr>
                <w:noProof/>
              </w:rPr>
              <w:t>C2.I6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C34360" w14:textId="7D7AF78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FC6D6D" w14:textId="5D1EB16D" w:rsidR="006578ED" w:rsidRDefault="00A1618E">
            <w:pPr>
              <w:pStyle w:val="P68B1DB1-Normal46"/>
              <w:spacing w:after="0" w:line="240" w:lineRule="auto"/>
              <w:rPr>
                <w:rFonts w:eastAsia="Times New Roman" w:cs="Times New Roman"/>
                <w:noProof/>
              </w:rPr>
            </w:pPr>
            <w:r>
              <w:rPr>
                <w:noProof/>
              </w:rPr>
              <w:t xml:space="preserve">Plany działania w ramach hiszpańskiej agendy miejskiej </w:t>
            </w:r>
          </w:p>
        </w:tc>
      </w:tr>
      <w:tr w:rsidR="006578ED" w14:paraId="7351215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2E446F" w14:textId="77777777" w:rsidR="006578ED" w:rsidRDefault="00A1618E">
            <w:pPr>
              <w:pStyle w:val="P68B1DB1-Normal46"/>
              <w:spacing w:after="0" w:line="240" w:lineRule="auto"/>
              <w:jc w:val="center"/>
              <w:rPr>
                <w:rFonts w:eastAsia="Times New Roman" w:cs="Times New Roman"/>
                <w:noProof/>
              </w:rPr>
            </w:pPr>
            <w:r>
              <w:rPr>
                <w:noProof/>
              </w:rPr>
              <w:t>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3FE90" w14:textId="77777777" w:rsidR="006578ED" w:rsidRDefault="00A1618E">
            <w:pPr>
              <w:pStyle w:val="P68B1DB1-Normal46"/>
              <w:spacing w:after="0" w:line="240" w:lineRule="auto"/>
              <w:rPr>
                <w:rFonts w:eastAsia="Times New Roman" w:cs="Times New Roman"/>
                <w:noProof/>
              </w:rPr>
            </w:pPr>
            <w:r>
              <w:rPr>
                <w:noProof/>
              </w:rPr>
              <w:t>C3.R2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49A28B" w14:textId="725BF4A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ED9A9B" w14:textId="3AA596B0" w:rsidR="006578ED" w:rsidRDefault="00A1618E">
            <w:pPr>
              <w:pStyle w:val="P68B1DB1-Normal46"/>
              <w:spacing w:after="0" w:line="240" w:lineRule="auto"/>
              <w:rPr>
                <w:rFonts w:eastAsia="Times New Roman" w:cs="Times New Roman"/>
                <w:noProof/>
              </w:rPr>
            </w:pPr>
            <w:r>
              <w:rPr>
                <w:noProof/>
              </w:rPr>
              <w:t>Wejście w życie ram regulacyjnych w celu opracowania ogólnego rejestru najlepszych dostępnych technik stosowanych w gospodarstwach rolnych w celu informowania o emisjach zanieczyszczeń i gazów cieplarnianych oraz zreformowania przepisów dotyczących planowania z uwzględnieniem kryteriów dotyczących gospodarstw w różnych sektorach</w:t>
            </w:r>
          </w:p>
        </w:tc>
      </w:tr>
      <w:tr w:rsidR="006578ED" w14:paraId="2003BD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792289" w14:textId="77777777" w:rsidR="006578ED" w:rsidRDefault="00A1618E">
            <w:pPr>
              <w:pStyle w:val="P68B1DB1-Normal46"/>
              <w:spacing w:after="0" w:line="240" w:lineRule="auto"/>
              <w:jc w:val="center"/>
              <w:rPr>
                <w:rFonts w:eastAsia="Times New Roman" w:cs="Times New Roman"/>
                <w:noProof/>
              </w:rPr>
            </w:pPr>
            <w:r>
              <w:rPr>
                <w:noProof/>
              </w:rPr>
              <w:t>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E9518" w14:textId="77777777" w:rsidR="006578ED" w:rsidRDefault="00A1618E">
            <w:pPr>
              <w:pStyle w:val="P68B1DB1-Normal46"/>
              <w:spacing w:after="0" w:line="240" w:lineRule="auto"/>
              <w:rPr>
                <w:rFonts w:eastAsia="Times New Roman" w:cs="Times New Roman"/>
                <w:noProof/>
              </w:rPr>
            </w:pPr>
            <w:r>
              <w:rPr>
                <w:noProof/>
              </w:rPr>
              <w:t>C3.R4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1AA3D1" w14:textId="50624202"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0B6A8F" w14:textId="5C6CA1F4" w:rsidR="006578ED" w:rsidRDefault="00A1618E">
            <w:pPr>
              <w:pStyle w:val="P68B1DB1-Normal46"/>
              <w:spacing w:after="0" w:line="240" w:lineRule="auto"/>
              <w:rPr>
                <w:rFonts w:eastAsia="Times New Roman" w:cs="Times New Roman"/>
                <w:noProof/>
              </w:rPr>
            </w:pPr>
            <w:r>
              <w:rPr>
                <w:noProof/>
              </w:rPr>
              <w:t>Wejście w życie dekretu królewskiego w sprawie mechanizmu zarządzania w celu usprawnienia hiszpańskiego systemu nawadniania.</w:t>
            </w:r>
          </w:p>
        </w:tc>
      </w:tr>
      <w:tr w:rsidR="006578ED" w14:paraId="1070FD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86D165" w14:textId="77777777" w:rsidR="006578ED" w:rsidRDefault="00A1618E">
            <w:pPr>
              <w:pStyle w:val="P68B1DB1-Normal46"/>
              <w:spacing w:after="0" w:line="240" w:lineRule="auto"/>
              <w:jc w:val="center"/>
              <w:rPr>
                <w:rFonts w:eastAsia="Times New Roman" w:cs="Times New Roman"/>
                <w:noProof/>
              </w:rPr>
            </w:pPr>
            <w:r>
              <w:rPr>
                <w:noProof/>
              </w:rPr>
              <w:t>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1BDE84" w14:textId="77777777" w:rsidR="006578ED" w:rsidRDefault="00A1618E">
            <w:pPr>
              <w:pStyle w:val="P68B1DB1-Normal46"/>
              <w:spacing w:after="0" w:line="240" w:lineRule="auto"/>
              <w:rPr>
                <w:rFonts w:eastAsia="Times New Roman" w:cs="Times New Roman"/>
                <w:noProof/>
              </w:rPr>
            </w:pPr>
            <w:r>
              <w:rPr>
                <w:noProof/>
              </w:rPr>
              <w:t>C3.R5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344B18" w14:textId="48984A6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3182BB" w14:textId="13BD5033" w:rsidR="006578ED" w:rsidRDefault="00A1618E">
            <w:pPr>
              <w:pStyle w:val="P68B1DB1-Normal46"/>
              <w:spacing w:after="0" w:line="240" w:lineRule="auto"/>
              <w:rPr>
                <w:rFonts w:eastAsia="Times New Roman" w:cs="Times New Roman"/>
                <w:noProof/>
              </w:rPr>
            </w:pPr>
            <w:r>
              <w:rPr>
                <w:noProof/>
              </w:rPr>
              <w:t>Przyjęcie drugiego planu działania dotyczącego strategii cyfryzacji sektora rolno-spożywczego i obszarów wiejskich.</w:t>
            </w:r>
          </w:p>
        </w:tc>
      </w:tr>
      <w:tr w:rsidR="006578ED" w14:paraId="08936EA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B8037C" w14:textId="77777777" w:rsidR="006578ED" w:rsidRDefault="00A1618E">
            <w:pPr>
              <w:pStyle w:val="P68B1DB1-Normal46"/>
              <w:spacing w:after="0" w:line="240" w:lineRule="auto"/>
              <w:jc w:val="center"/>
              <w:rPr>
                <w:rFonts w:eastAsia="Times New Roman" w:cs="Times New Roman"/>
                <w:noProof/>
              </w:rPr>
            </w:pPr>
            <w:r>
              <w:rPr>
                <w:noProof/>
              </w:rPr>
              <w:t>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6A9CAB" w14:textId="77777777" w:rsidR="006578ED" w:rsidRDefault="00A1618E">
            <w:pPr>
              <w:pStyle w:val="P68B1DB1-Normal46"/>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8FFD3" w14:textId="5418B8CC"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4B01DD" w14:textId="1F40ECBB" w:rsidR="006578ED" w:rsidRDefault="00A1618E">
            <w:pPr>
              <w:pStyle w:val="P68B1DB1-Normal46"/>
              <w:spacing w:after="0" w:line="240" w:lineRule="auto"/>
              <w:rPr>
                <w:rFonts w:eastAsia="Times New Roman" w:cs="Times New Roman"/>
                <w:noProof/>
              </w:rPr>
            </w:pPr>
            <w:r>
              <w:rPr>
                <w:noProof/>
              </w:rPr>
              <w:t>Wdrożenie porozumienia między Ministerstwem Rolnictwa, Rybołówstwa i Żywności (MAPA) a SEIASA w celu wsparcia poprawy i zrównoważenia obszarów nawadnianych (etap II)</w:t>
            </w:r>
          </w:p>
        </w:tc>
      </w:tr>
      <w:tr w:rsidR="006578ED" w14:paraId="6C3C62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09B233" w14:textId="77777777" w:rsidR="006578ED" w:rsidRDefault="00A1618E">
            <w:pPr>
              <w:pStyle w:val="P68B1DB1-Normal46"/>
              <w:spacing w:after="0" w:line="240" w:lineRule="auto"/>
              <w:jc w:val="center"/>
              <w:rPr>
                <w:rFonts w:eastAsia="Times New Roman" w:cs="Times New Roman"/>
                <w:noProof/>
              </w:rPr>
            </w:pPr>
            <w:r>
              <w:rPr>
                <w:noProof/>
              </w:rPr>
              <w:t>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060FB7" w14:textId="77777777" w:rsidR="006578ED" w:rsidRDefault="00A1618E">
            <w:pPr>
              <w:pStyle w:val="P68B1DB1-Normal46"/>
              <w:spacing w:after="0" w:line="240" w:lineRule="auto"/>
              <w:rPr>
                <w:rFonts w:eastAsia="Times New Roman" w:cs="Times New Roman"/>
                <w:noProof/>
              </w:rPr>
            </w:pPr>
            <w:r>
              <w:rPr>
                <w:noProof/>
              </w:rPr>
              <w:t>C3.I6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95BA5F" w14:textId="5351D979"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1B8EA6" w14:textId="77777777" w:rsidR="006578ED" w:rsidRDefault="00A1618E">
            <w:pPr>
              <w:pStyle w:val="P68B1DB1-Normal46"/>
              <w:spacing w:after="0" w:line="240" w:lineRule="auto"/>
              <w:rPr>
                <w:rFonts w:eastAsia="Times New Roman" w:cs="Times New Roman"/>
                <w:noProof/>
              </w:rPr>
            </w:pPr>
            <w:r>
              <w:rPr>
                <w:noProof/>
              </w:rPr>
              <w:t>Zakup sprzętu ICT na potrzeby morskich rezerwatów połowowych oraz kontrakty na zakup statków specjalnego przeznaczenia dla rezerwatów morskich</w:t>
            </w:r>
          </w:p>
        </w:tc>
      </w:tr>
      <w:tr w:rsidR="006578ED" w14:paraId="67314B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A44D1D" w14:textId="77777777" w:rsidR="006578ED" w:rsidRDefault="00A1618E">
            <w:pPr>
              <w:pStyle w:val="P68B1DB1-Normal46"/>
              <w:spacing w:after="0" w:line="240" w:lineRule="auto"/>
              <w:jc w:val="center"/>
              <w:rPr>
                <w:rFonts w:eastAsia="Times New Roman" w:cs="Times New Roman"/>
                <w:noProof/>
              </w:rPr>
            </w:pPr>
            <w:r>
              <w:rPr>
                <w:noProof/>
              </w:rPr>
              <w:t>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2F3FC2" w14:textId="77777777" w:rsidR="006578ED" w:rsidRDefault="00A1618E">
            <w:pPr>
              <w:pStyle w:val="P68B1DB1-Normal46"/>
              <w:spacing w:after="0" w:line="240" w:lineRule="auto"/>
              <w:rPr>
                <w:rFonts w:eastAsia="Times New Roman" w:cs="Times New Roman"/>
                <w:noProof/>
              </w:rPr>
            </w:pPr>
            <w:r>
              <w:rPr>
                <w:noProof/>
              </w:rPr>
              <w:t>C3.I10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ADB05E" w14:textId="4F9F82D7"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E53FD83" w14:textId="2EAF1D6F" w:rsidR="006578ED" w:rsidRDefault="00A1618E">
            <w:pPr>
              <w:pStyle w:val="P68B1DB1-Normal46"/>
              <w:spacing w:after="0" w:line="240" w:lineRule="auto"/>
              <w:rPr>
                <w:rFonts w:eastAsia="Times New Roman" w:cs="Times New Roman"/>
                <w:noProof/>
              </w:rPr>
            </w:pPr>
            <w:r>
              <w:rPr>
                <w:noProof/>
              </w:rPr>
              <w:t xml:space="preserve">Zakup lekkich łodzi patrolowych i pełnomorskich statków patrolowych w celu zwalczania nielegalnych, nieraportowanych i nieuregulowanych połowów </w:t>
            </w:r>
          </w:p>
        </w:tc>
      </w:tr>
      <w:tr w:rsidR="006578ED" w14:paraId="08C877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320C4F" w14:textId="77777777" w:rsidR="006578ED" w:rsidRDefault="00A1618E">
            <w:pPr>
              <w:pStyle w:val="P68B1DB1-Normal46"/>
              <w:spacing w:after="0" w:line="240" w:lineRule="auto"/>
              <w:jc w:val="center"/>
              <w:rPr>
                <w:rFonts w:eastAsia="Times New Roman" w:cs="Times New Roman"/>
                <w:noProof/>
              </w:rPr>
            </w:pPr>
            <w:r>
              <w:rPr>
                <w:noProof/>
              </w:rPr>
              <w:t>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F1D53" w14:textId="77777777" w:rsidR="006578ED" w:rsidRDefault="00A1618E">
            <w:pPr>
              <w:pStyle w:val="P68B1DB1-Normal46"/>
              <w:spacing w:after="0" w:line="240" w:lineRule="auto"/>
              <w:rPr>
                <w:rFonts w:eastAsia="Times New Roman" w:cs="Times New Roman"/>
                <w:noProof/>
              </w:rPr>
            </w:pPr>
            <w:r>
              <w:rPr>
                <w:noProof/>
              </w:rPr>
              <w:t>C4.R1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E4BED7" w14:textId="6FD1BA25"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879EEBC" w14:textId="41F63859" w:rsidR="006578ED" w:rsidRDefault="00A1618E">
            <w:pPr>
              <w:pStyle w:val="P68B1DB1-Normal46"/>
              <w:spacing w:after="0" w:line="240" w:lineRule="auto"/>
              <w:rPr>
                <w:rFonts w:eastAsia="Times New Roman" w:cs="Times New Roman"/>
                <w:noProof/>
              </w:rPr>
            </w:pPr>
            <w:r>
              <w:rPr>
                <w:noProof/>
              </w:rPr>
              <w:t xml:space="preserve">Plan strategiczny na rzecz dziedzictwa naturalnego i różnorodności biologicznej oraz plan dotyczący sieci chronionych obszarów morskich </w:t>
            </w:r>
          </w:p>
        </w:tc>
      </w:tr>
      <w:tr w:rsidR="006578ED" w14:paraId="4D5929E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A58405" w14:textId="77777777" w:rsidR="006578ED" w:rsidRDefault="00A1618E">
            <w:pPr>
              <w:pStyle w:val="P68B1DB1-Normal46"/>
              <w:spacing w:after="0" w:line="240" w:lineRule="auto"/>
              <w:jc w:val="center"/>
              <w:rPr>
                <w:rFonts w:eastAsia="Times New Roman" w:cs="Times New Roman"/>
                <w:noProof/>
              </w:rPr>
            </w:pPr>
            <w:r>
              <w:rPr>
                <w:noProof/>
              </w:rPr>
              <w:t>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C673CF" w14:textId="77777777" w:rsidR="006578ED" w:rsidRDefault="00A1618E">
            <w:pPr>
              <w:pStyle w:val="P68B1DB1-Normal46"/>
              <w:spacing w:after="0" w:line="240" w:lineRule="auto"/>
              <w:rPr>
                <w:rFonts w:eastAsia="Times New Roman" w:cs="Times New Roman"/>
                <w:noProof/>
              </w:rPr>
            </w:pPr>
            <w:r>
              <w:rPr>
                <w:noProof/>
              </w:rPr>
              <w:t>C4.R3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558452" w14:textId="173F4EC3"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C21980" w14:textId="2605FE6E" w:rsidR="006578ED" w:rsidRDefault="00A1618E">
            <w:pPr>
              <w:pStyle w:val="P68B1DB1-Normal46"/>
              <w:spacing w:after="0" w:line="240" w:lineRule="auto"/>
              <w:rPr>
                <w:rFonts w:eastAsia="Times New Roman" w:cs="Times New Roman"/>
                <w:noProof/>
              </w:rPr>
            </w:pPr>
            <w:r>
              <w:rPr>
                <w:noProof/>
              </w:rPr>
              <w:t>Zatwierdzenie hiszpańskiej strategii leśnej i planu wsparcia</w:t>
            </w:r>
          </w:p>
        </w:tc>
      </w:tr>
      <w:tr w:rsidR="006578ED" w14:paraId="63EC54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0AA4E8C" w14:textId="77777777" w:rsidR="006578ED" w:rsidRDefault="00A1618E">
            <w:pPr>
              <w:pStyle w:val="P68B1DB1-Normal46"/>
              <w:spacing w:after="0" w:line="240" w:lineRule="auto"/>
              <w:jc w:val="center"/>
              <w:rPr>
                <w:rFonts w:eastAsia="Times New Roman" w:cs="Times New Roman"/>
                <w:noProof/>
              </w:rPr>
            </w:pPr>
            <w:r>
              <w:rPr>
                <w:noProof/>
              </w:rPr>
              <w:t>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44ED0" w14:textId="77777777" w:rsidR="006578ED" w:rsidRDefault="00A1618E">
            <w:pPr>
              <w:pStyle w:val="P68B1DB1-Normal46"/>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A06870" w14:textId="615292D9"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D37995" w14:textId="77777777" w:rsidR="006578ED" w:rsidRDefault="00A1618E">
            <w:pPr>
              <w:pStyle w:val="P68B1DB1-Normal46"/>
              <w:spacing w:after="0" w:line="240" w:lineRule="auto"/>
              <w:rPr>
                <w:rFonts w:eastAsia="Times New Roman" w:cs="Times New Roman"/>
                <w:noProof/>
              </w:rPr>
            </w:pPr>
            <w:r>
              <w:rPr>
                <w:noProof/>
              </w:rPr>
              <w:t>Przywrócenie ochrony brzegów rzek przed ryzykiem powodziowym</w:t>
            </w:r>
          </w:p>
        </w:tc>
      </w:tr>
      <w:tr w:rsidR="006578ED" w14:paraId="31A1A9A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AFFF7" w14:textId="77777777" w:rsidR="006578ED" w:rsidRDefault="00A1618E">
            <w:pPr>
              <w:pStyle w:val="P68B1DB1-Normal46"/>
              <w:spacing w:after="0" w:line="240" w:lineRule="auto"/>
              <w:jc w:val="center"/>
              <w:rPr>
                <w:rFonts w:eastAsia="Times New Roman" w:cs="Times New Roman"/>
                <w:noProof/>
              </w:rPr>
            </w:pPr>
            <w:r>
              <w:rPr>
                <w:noProof/>
              </w:rPr>
              <w:t>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BAA0DE" w14:textId="77777777" w:rsidR="006578ED" w:rsidRDefault="00A1618E">
            <w:pPr>
              <w:pStyle w:val="P68B1DB1-Normal46"/>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BA1B1F" w14:textId="67661F0C"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AF5021" w14:textId="38E1C56E" w:rsidR="006578ED" w:rsidRDefault="00A1618E">
            <w:pPr>
              <w:pStyle w:val="P68B1DB1-Normal46"/>
              <w:spacing w:after="0" w:line="240" w:lineRule="auto"/>
              <w:rPr>
                <w:rFonts w:eastAsia="Times New Roman" w:cs="Times New Roman"/>
                <w:noProof/>
              </w:rPr>
            </w:pPr>
            <w:r>
              <w:rPr>
                <w:noProof/>
              </w:rPr>
              <w:t xml:space="preserve">Odbudowa zdegradowanych obszarów i ekosystemów w odległości co najmniej 50 kilometrów linii brzegowej </w:t>
            </w:r>
          </w:p>
        </w:tc>
      </w:tr>
      <w:tr w:rsidR="006578ED" w14:paraId="70190CF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F53C57" w14:textId="77777777" w:rsidR="006578ED" w:rsidRDefault="00A1618E">
            <w:pPr>
              <w:pStyle w:val="P68B1DB1-Normal46"/>
              <w:spacing w:after="0" w:line="240" w:lineRule="auto"/>
              <w:jc w:val="center"/>
              <w:rPr>
                <w:rFonts w:eastAsia="Times New Roman" w:cs="Times New Roman"/>
                <w:noProof/>
              </w:rPr>
            </w:pPr>
            <w:r>
              <w:rPr>
                <w:noProof/>
              </w:rPr>
              <w:t>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88795" w14:textId="77777777" w:rsidR="006578ED" w:rsidRDefault="00A1618E">
            <w:pPr>
              <w:pStyle w:val="P68B1DB1-Normal46"/>
              <w:spacing w:after="0" w:line="240" w:lineRule="auto"/>
              <w:rPr>
                <w:rFonts w:eastAsia="Times New Roman" w:cs="Times New Roman"/>
                <w:noProof/>
              </w:rPr>
            </w:pPr>
            <w:r>
              <w:rPr>
                <w:noProof/>
              </w:rPr>
              <w:t>C6.R2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163EE3" w14:textId="04CF992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77698D" w14:textId="77777777" w:rsidR="006578ED" w:rsidRDefault="00A1618E">
            <w:pPr>
              <w:pStyle w:val="P68B1DB1-Normal46"/>
              <w:spacing w:after="0" w:line="240" w:lineRule="auto"/>
              <w:rPr>
                <w:rFonts w:eastAsia="Times New Roman" w:cs="Times New Roman"/>
                <w:noProof/>
              </w:rPr>
            </w:pPr>
            <w:r>
              <w:rPr>
                <w:noProof/>
              </w:rPr>
              <w:t>Orientacyjna strategia kolejowa</w:t>
            </w:r>
          </w:p>
        </w:tc>
      </w:tr>
      <w:tr w:rsidR="006578ED" w14:paraId="587A0E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12D877" w14:textId="77777777" w:rsidR="006578ED" w:rsidRDefault="00A1618E">
            <w:pPr>
              <w:pStyle w:val="P68B1DB1-Normal46"/>
              <w:spacing w:after="0" w:line="240" w:lineRule="auto"/>
              <w:jc w:val="center"/>
              <w:rPr>
                <w:rFonts w:eastAsia="Times New Roman" w:cs="Times New Roman"/>
                <w:noProof/>
              </w:rPr>
            </w:pPr>
            <w:r>
              <w:rPr>
                <w:noProof/>
              </w:rPr>
              <w:t>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070F64" w14:textId="77777777" w:rsidR="006578ED" w:rsidRDefault="00A1618E">
            <w:pPr>
              <w:pStyle w:val="P68B1DB1-Normal46"/>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65815" w14:textId="070A91EA"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ECDCE8F" w14:textId="28BE4A3E" w:rsidR="006578ED" w:rsidRDefault="00A1618E">
            <w:pPr>
              <w:pStyle w:val="P68B1DB1-Normal46"/>
              <w:spacing w:after="0" w:line="240" w:lineRule="auto"/>
              <w:rPr>
                <w:rFonts w:eastAsia="Times New Roman" w:cs="Times New Roman"/>
                <w:noProof/>
              </w:rPr>
            </w:pPr>
            <w:r>
              <w:rPr>
                <w:noProof/>
              </w:rPr>
              <w:t>Sieć bazowa TEN-</w:t>
            </w:r>
            <w:r w:rsidR="00AF6B91">
              <w:rPr>
                <w:noProof/>
              </w:rPr>
              <w:t>Cel</w:t>
            </w:r>
            <w:r>
              <w:rPr>
                <w:noProof/>
              </w:rPr>
              <w:t>: przyznawanie projektów</w:t>
            </w:r>
          </w:p>
        </w:tc>
      </w:tr>
      <w:tr w:rsidR="006578ED" w14:paraId="3617DE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9999CA" w14:textId="77777777" w:rsidR="006578ED" w:rsidRDefault="00A1618E">
            <w:pPr>
              <w:pStyle w:val="P68B1DB1-Normal46"/>
              <w:spacing w:after="0" w:line="240" w:lineRule="auto"/>
              <w:jc w:val="center"/>
              <w:rPr>
                <w:rFonts w:eastAsia="Times New Roman" w:cs="Times New Roman"/>
                <w:noProof/>
              </w:rPr>
            </w:pPr>
            <w:r>
              <w:rPr>
                <w:noProof/>
              </w:rPr>
              <w:t>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ADC23B" w14:textId="77777777" w:rsidR="006578ED" w:rsidRDefault="00A1618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14831" w14:textId="140D4931"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53B7C2E" w14:textId="10B7D540" w:rsidR="006578ED" w:rsidRDefault="00A1618E">
            <w:pPr>
              <w:pStyle w:val="P68B1DB1-Normal46"/>
              <w:spacing w:after="0" w:line="240" w:lineRule="auto"/>
              <w:rPr>
                <w:rFonts w:eastAsia="Times New Roman" w:cs="Times New Roman"/>
                <w:noProof/>
              </w:rPr>
            </w:pPr>
            <w:r>
              <w:rPr>
                <w:noProof/>
              </w:rPr>
              <w:t>Sieć TEN-</w:t>
            </w:r>
            <w:r w:rsidR="00AF6B91">
              <w:rPr>
                <w:noProof/>
              </w:rPr>
              <w:t>Cel</w:t>
            </w:r>
            <w:r>
              <w:rPr>
                <w:noProof/>
              </w:rPr>
              <w:t xml:space="preserve"> różne rodzaje transportu (kolejowe i drogowe): częściowe przyznanie budżetu</w:t>
            </w:r>
          </w:p>
        </w:tc>
      </w:tr>
      <w:tr w:rsidR="006578ED" w14:paraId="2E06108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4B23C" w14:textId="77777777" w:rsidR="006578ED" w:rsidRDefault="00A1618E">
            <w:pPr>
              <w:pStyle w:val="P68B1DB1-Normal46"/>
              <w:spacing w:after="0" w:line="240" w:lineRule="auto"/>
              <w:jc w:val="center"/>
              <w:rPr>
                <w:rFonts w:eastAsia="Times New Roman" w:cs="Times New Roman"/>
                <w:noProof/>
              </w:rPr>
            </w:pPr>
            <w:r>
              <w:rPr>
                <w:noProof/>
              </w:rPr>
              <w:t>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F68948" w14:textId="77777777" w:rsidR="006578ED" w:rsidRDefault="00A1618E">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FD4EB1" w14:textId="6E4C515C"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C0DDB4" w14:textId="44761CBF" w:rsidR="006578ED" w:rsidRDefault="00A1618E">
            <w:pPr>
              <w:pStyle w:val="P68B1DB1-Normal46"/>
              <w:spacing w:after="0" w:line="240" w:lineRule="auto"/>
              <w:rPr>
                <w:rFonts w:eastAsia="Times New Roman" w:cs="Times New Roman"/>
                <w:noProof/>
              </w:rPr>
            </w:pPr>
            <w:r>
              <w:rPr>
                <w:noProof/>
              </w:rPr>
              <w:t xml:space="preserve">Infrastruktura intermodalna i logistyczna: częściowe przyznanie budżetu </w:t>
            </w:r>
          </w:p>
        </w:tc>
      </w:tr>
      <w:tr w:rsidR="006578ED" w14:paraId="0288A6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B56948" w14:textId="77777777" w:rsidR="006578ED" w:rsidRDefault="00A1618E">
            <w:pPr>
              <w:pStyle w:val="P68B1DB1-Normal46"/>
              <w:spacing w:after="0" w:line="240" w:lineRule="auto"/>
              <w:jc w:val="center"/>
              <w:rPr>
                <w:rFonts w:eastAsia="Times New Roman" w:cs="Times New Roman"/>
                <w:noProof/>
              </w:rPr>
            </w:pPr>
            <w:r>
              <w:rPr>
                <w:noProof/>
              </w:rPr>
              <w:t>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94BF40" w14:textId="77777777" w:rsidR="006578ED" w:rsidRDefault="00A1618E">
            <w:pPr>
              <w:pStyle w:val="P68B1DB1-Normal46"/>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7A0120" w14:textId="4DB0B26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89DA4D" w14:textId="3CB5F737" w:rsidR="006578ED" w:rsidRDefault="00A1618E">
            <w:pPr>
              <w:pStyle w:val="P68B1DB1-Normal46"/>
              <w:spacing w:after="0" w:line="240" w:lineRule="auto"/>
              <w:rPr>
                <w:rFonts w:eastAsia="Times New Roman" w:cs="Times New Roman"/>
                <w:noProof/>
              </w:rPr>
            </w:pPr>
            <w:r>
              <w:rPr>
                <w:noProof/>
              </w:rPr>
              <w:t xml:space="preserve">Wsparcie programu na rzecz zrównoważonego i cyfrowego transportu. </w:t>
            </w:r>
          </w:p>
        </w:tc>
      </w:tr>
      <w:tr w:rsidR="006578ED" w14:paraId="551F9F8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5DA1E9" w14:textId="77777777" w:rsidR="006578ED" w:rsidRDefault="00A1618E">
            <w:pPr>
              <w:pStyle w:val="P68B1DB1-Normal46"/>
              <w:spacing w:after="0" w:line="240" w:lineRule="auto"/>
              <w:jc w:val="center"/>
              <w:rPr>
                <w:rFonts w:eastAsia="Times New Roman" w:cs="Times New Roman"/>
                <w:noProof/>
              </w:rPr>
            </w:pPr>
            <w:r>
              <w:rPr>
                <w:noProof/>
              </w:rPr>
              <w:t>140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9533E" w14:textId="77777777" w:rsidR="006578ED" w:rsidRDefault="00A1618E">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9B5C13" w14:textId="12A4711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28039D" w14:textId="6B1EFB2B" w:rsidR="006578ED" w:rsidRDefault="00A1618E">
            <w:pPr>
              <w:pStyle w:val="P68B1DB1-Normal46"/>
              <w:spacing w:after="0" w:line="240" w:lineRule="auto"/>
              <w:rPr>
                <w:rFonts w:eastAsia="Times New Roman" w:cs="Times New Roman"/>
                <w:noProof/>
              </w:rPr>
            </w:pPr>
            <w:r>
              <w:rPr>
                <w:noProof/>
              </w:rPr>
              <w:t>Wsparcie projektów w zakresie infrastruktury środowiskowej, cyfrowej i społecznej.</w:t>
            </w:r>
          </w:p>
        </w:tc>
      </w:tr>
      <w:tr w:rsidR="006578ED" w14:paraId="3D16B0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3739A2" w14:textId="77777777" w:rsidR="006578ED" w:rsidRDefault="00A1618E">
            <w:pPr>
              <w:pStyle w:val="P68B1DB1-Normal46"/>
              <w:spacing w:after="0" w:line="240" w:lineRule="auto"/>
              <w:jc w:val="center"/>
              <w:rPr>
                <w:rFonts w:eastAsia="Times New Roman" w:cs="Times New Roman"/>
                <w:noProof/>
              </w:rPr>
            </w:pPr>
            <w:r>
              <w:rPr>
                <w:noProof/>
              </w:rPr>
              <w:t>145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ADBEA" w14:textId="77777777" w:rsidR="006578ED" w:rsidRDefault="00A1618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C34E3D" w14:textId="6F9714B2"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9D56C5" w14:textId="2611BD4B" w:rsidR="006578ED" w:rsidRDefault="00A1618E">
            <w:pPr>
              <w:pStyle w:val="P68B1DB1-Normal46"/>
              <w:spacing w:after="0" w:line="240" w:lineRule="auto"/>
              <w:rPr>
                <w:rFonts w:eastAsia="Times New Roman" w:cs="Times New Roman"/>
                <w:noProof/>
              </w:rPr>
            </w:pPr>
            <w:r>
              <w:rPr>
                <w:noProof/>
              </w:rPr>
              <w:t>Wejście w życie zmiany ustawy 40/2015 i rozporządzeń ministerialnych wzmacniających współpracę międzyterytorialną</w:t>
            </w:r>
          </w:p>
        </w:tc>
      </w:tr>
      <w:tr w:rsidR="006578ED" w14:paraId="737001F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8CCED4" w14:textId="77777777" w:rsidR="006578ED" w:rsidRDefault="00A1618E">
            <w:pPr>
              <w:pStyle w:val="P68B1DB1-Normal46"/>
              <w:spacing w:after="0" w:line="240" w:lineRule="auto"/>
              <w:jc w:val="center"/>
              <w:rPr>
                <w:rFonts w:eastAsia="Times New Roman" w:cs="Times New Roman"/>
                <w:noProof/>
              </w:rPr>
            </w:pPr>
            <w:r>
              <w:rPr>
                <w:noProof/>
              </w:rPr>
              <w:t>146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E77719" w14:textId="77777777" w:rsidR="006578ED" w:rsidRDefault="00A1618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D1035A" w14:textId="6C96E804"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7A648A" w14:textId="22C71C2B" w:rsidR="006578ED" w:rsidRDefault="00A1618E">
            <w:pPr>
              <w:pStyle w:val="P68B1DB1-Normal46"/>
              <w:spacing w:after="0" w:line="240" w:lineRule="auto"/>
              <w:rPr>
                <w:rFonts w:eastAsia="Times New Roman" w:cs="Times New Roman"/>
                <w:noProof/>
              </w:rPr>
            </w:pPr>
            <w:r>
              <w:rPr>
                <w:noProof/>
              </w:rPr>
              <w:t>Wejście w życie ustawy w celu wzmocnienia oceny polityki publicznej</w:t>
            </w:r>
          </w:p>
        </w:tc>
      </w:tr>
      <w:tr w:rsidR="006578ED" w14:paraId="10CDB6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80FB6" w14:textId="77777777" w:rsidR="006578ED" w:rsidRDefault="00A1618E">
            <w:pPr>
              <w:pStyle w:val="P68B1DB1-Normal46"/>
              <w:spacing w:after="0" w:line="240" w:lineRule="auto"/>
              <w:jc w:val="center"/>
              <w:rPr>
                <w:rFonts w:eastAsia="Times New Roman" w:cs="Times New Roman"/>
                <w:noProof/>
              </w:rPr>
            </w:pPr>
            <w:r>
              <w:rPr>
                <w:noProof/>
              </w:rPr>
              <w:t>147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4F8EC2" w14:textId="77777777" w:rsidR="006578ED" w:rsidRDefault="00A1618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2499EB" w14:textId="38235542"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31A682" w14:textId="5DEAB769" w:rsidR="006578ED" w:rsidRDefault="00A1618E">
            <w:pPr>
              <w:pStyle w:val="P68B1DB1-Normal46"/>
              <w:spacing w:after="0" w:line="240" w:lineRule="auto"/>
              <w:rPr>
                <w:rFonts w:eastAsia="Times New Roman" w:cs="Times New Roman"/>
                <w:noProof/>
              </w:rPr>
            </w:pPr>
            <w:r>
              <w:rPr>
                <w:noProof/>
              </w:rPr>
              <w:t>Wejście w życie reformy ustawy 7/1985 w sprawie lokalnych systemów administracyjnych oraz zmiany dekretu królewskiego 1690/1986 z dnia 11 lipca, w którym zatwierdzono rozporządzenie w sprawie ludności i wyznaczania granic terytorialnych podmiotów lokalnych</w:t>
            </w:r>
          </w:p>
        </w:tc>
      </w:tr>
      <w:tr w:rsidR="006578ED" w14:paraId="771924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992D6" w14:textId="77777777" w:rsidR="006578ED" w:rsidRDefault="00A1618E">
            <w:pPr>
              <w:pStyle w:val="P68B1DB1-Normal46"/>
              <w:spacing w:after="0" w:line="240" w:lineRule="auto"/>
              <w:jc w:val="center"/>
              <w:rPr>
                <w:rFonts w:eastAsia="Times New Roman" w:cs="Times New Roman"/>
                <w:noProof/>
              </w:rPr>
            </w:pPr>
            <w:r>
              <w:rPr>
                <w:noProof/>
              </w:rPr>
              <w:t>148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B2EB78" w14:textId="77777777" w:rsidR="006578ED" w:rsidRDefault="00A1618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001842" w14:textId="664391DF"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6AF889F" w14:textId="7C273AED" w:rsidR="006578ED" w:rsidRDefault="00A1618E">
            <w:pPr>
              <w:pStyle w:val="P68B1DB1-Normal46"/>
              <w:spacing w:after="0" w:line="240" w:lineRule="auto"/>
              <w:rPr>
                <w:rFonts w:eastAsia="Times New Roman" w:cs="Times New Roman"/>
                <w:noProof/>
              </w:rPr>
            </w:pPr>
            <w:r>
              <w:rPr>
                <w:noProof/>
              </w:rPr>
              <w:t>Wejście w życie środków regulacyjnych dotyczących służby cywilnej administracji państwowej</w:t>
            </w:r>
          </w:p>
        </w:tc>
      </w:tr>
      <w:tr w:rsidR="006578ED" w14:paraId="319CC0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8C2D88" w14:textId="77777777" w:rsidR="006578ED" w:rsidRDefault="00A1618E">
            <w:pPr>
              <w:pStyle w:val="P68B1DB1-Normal46"/>
              <w:spacing w:after="0" w:line="240" w:lineRule="auto"/>
              <w:jc w:val="center"/>
              <w:rPr>
                <w:rFonts w:eastAsia="Times New Roman" w:cs="Times New Roman"/>
                <w:noProof/>
              </w:rPr>
            </w:pPr>
            <w:r>
              <w:rPr>
                <w:noProof/>
              </w:rPr>
              <w:t>152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BB7394" w14:textId="77777777" w:rsidR="006578ED" w:rsidRDefault="00A1618E">
            <w:pPr>
              <w:pStyle w:val="P68B1DB1-Normal46"/>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4DBEF2" w14:textId="3A2490B5"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31D02" w14:textId="520EDF3F" w:rsidR="006578ED" w:rsidRDefault="00A1618E">
            <w:pPr>
              <w:pStyle w:val="P68B1DB1-Normal46"/>
              <w:spacing w:after="0" w:line="240" w:lineRule="auto"/>
              <w:rPr>
                <w:rFonts w:eastAsia="Times New Roman" w:cs="Times New Roman"/>
                <w:noProof/>
              </w:rPr>
            </w:pPr>
            <w:r>
              <w:rPr>
                <w:noProof/>
              </w:rPr>
              <w:t>Wejście w życie dekretu królewskiego z mocą ustawy zwiększającego skuteczność postępowań sądowych oraz królewskiego dekretu z mocą ustawy w sprawie efektywności cyfrowej</w:t>
            </w:r>
          </w:p>
        </w:tc>
      </w:tr>
      <w:tr w:rsidR="006578ED" w14:paraId="23C7C83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8EE23F" w14:textId="77777777" w:rsidR="006578ED" w:rsidRDefault="00A1618E">
            <w:pPr>
              <w:pStyle w:val="P68B1DB1-Normal46"/>
              <w:spacing w:after="0" w:line="240" w:lineRule="auto"/>
              <w:jc w:val="center"/>
              <w:rPr>
                <w:rFonts w:eastAsia="Times New Roman" w:cs="Times New Roman"/>
                <w:noProof/>
              </w:rPr>
            </w:pPr>
            <w:r>
              <w:rPr>
                <w:noProof/>
              </w:rPr>
              <w:t>156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8A841F" w14:textId="77777777" w:rsidR="006578ED" w:rsidRDefault="00A1618E">
            <w:pPr>
              <w:pStyle w:val="P68B1DB1-Normal46"/>
              <w:spacing w:after="0" w:line="240" w:lineRule="auto"/>
              <w:rPr>
                <w:rFonts w:eastAsia="Times New Roman" w:cs="Times New Roman"/>
                <w:noProof/>
              </w:rPr>
            </w:pPr>
            <w:r>
              <w:rPr>
                <w:noProof/>
              </w:rPr>
              <w:t>C11.R4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B6F0F" w14:textId="79CFBE7A"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E0451A" w14:textId="77777777" w:rsidR="006578ED" w:rsidRDefault="00A1618E">
            <w:pPr>
              <w:pStyle w:val="P68B1DB1-Normal46"/>
              <w:spacing w:after="0" w:line="240" w:lineRule="auto"/>
              <w:rPr>
                <w:rFonts w:eastAsia="Times New Roman" w:cs="Times New Roman"/>
                <w:noProof/>
              </w:rPr>
            </w:pPr>
            <w:r>
              <w:rPr>
                <w:noProof/>
              </w:rPr>
              <w:t>Krajowa strategia zamówień publicznych</w:t>
            </w:r>
          </w:p>
        </w:tc>
      </w:tr>
      <w:tr w:rsidR="006578ED" w14:paraId="49C72A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57E029" w14:textId="77777777" w:rsidR="006578ED" w:rsidRDefault="00A1618E">
            <w:pPr>
              <w:pStyle w:val="P68B1DB1-Normal46"/>
              <w:spacing w:after="0" w:line="240" w:lineRule="auto"/>
              <w:jc w:val="center"/>
              <w:rPr>
                <w:rFonts w:eastAsia="Times New Roman" w:cs="Times New Roman"/>
                <w:noProof/>
              </w:rPr>
            </w:pPr>
            <w:r>
              <w:rPr>
                <w:noProof/>
              </w:rPr>
              <w:t>164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3F4F00" w14:textId="77777777" w:rsidR="006578ED" w:rsidRDefault="00A1618E">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C67F20" w14:textId="434B3289"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507DD71" w14:textId="77777777" w:rsidR="006578ED" w:rsidRDefault="00A1618E">
            <w:pPr>
              <w:pStyle w:val="P68B1DB1-Normal46"/>
              <w:spacing w:after="0" w:line="240" w:lineRule="auto"/>
              <w:rPr>
                <w:rFonts w:eastAsia="Times New Roman" w:cs="Times New Roman"/>
                <w:noProof/>
              </w:rPr>
            </w:pPr>
            <w:r>
              <w:rPr>
                <w:noProof/>
              </w:rPr>
              <w:t>Postępowanie sądowe prowadzone drogą elektroniczną</w:t>
            </w:r>
          </w:p>
        </w:tc>
      </w:tr>
      <w:tr w:rsidR="006578ED" w14:paraId="6EC9F9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BD9ED7" w14:textId="77777777" w:rsidR="006578ED" w:rsidRDefault="00A1618E">
            <w:pPr>
              <w:pStyle w:val="P68B1DB1-Normal46"/>
              <w:spacing w:after="0" w:line="240" w:lineRule="auto"/>
              <w:jc w:val="center"/>
              <w:rPr>
                <w:rFonts w:eastAsia="Times New Roman" w:cs="Times New Roman"/>
                <w:noProof/>
              </w:rPr>
            </w:pPr>
            <w:r>
              <w:rPr>
                <w:noProof/>
              </w:rPr>
              <w:t>174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D839671" w14:textId="77777777" w:rsidR="006578ED" w:rsidRDefault="00A1618E">
            <w:pPr>
              <w:pStyle w:val="P68B1DB1-Normal46"/>
              <w:spacing w:after="0" w:line="240" w:lineRule="auto"/>
              <w:rPr>
                <w:rFonts w:eastAsia="Times New Roman" w:cs="Times New Roman"/>
                <w:noProof/>
              </w:rPr>
            </w:pPr>
            <w:r>
              <w:rPr>
                <w:noProof/>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2F3C19" w14:textId="00BD33CE"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217D20" w14:textId="562FA474" w:rsidR="006578ED" w:rsidRDefault="00A1618E">
            <w:pPr>
              <w:pStyle w:val="P68B1DB1-Normal46"/>
              <w:spacing w:after="0" w:line="240" w:lineRule="auto"/>
              <w:rPr>
                <w:rFonts w:eastAsia="Times New Roman" w:cs="Times New Roman"/>
                <w:noProof/>
              </w:rPr>
            </w:pPr>
            <w:r>
              <w:rPr>
                <w:noProof/>
              </w:rPr>
              <w:t>Nowe narzędzia i działania komunikacyjne</w:t>
            </w:r>
          </w:p>
        </w:tc>
      </w:tr>
      <w:tr w:rsidR="006578ED" w14:paraId="3DE0152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7AA0DB" w14:textId="77777777" w:rsidR="006578ED" w:rsidRDefault="00A1618E">
            <w:pPr>
              <w:pStyle w:val="P68B1DB1-Normal46"/>
              <w:spacing w:after="0" w:line="240" w:lineRule="auto"/>
              <w:jc w:val="center"/>
              <w:rPr>
                <w:rFonts w:eastAsia="Times New Roman" w:cs="Times New Roman"/>
                <w:noProof/>
              </w:rPr>
            </w:pPr>
            <w:r>
              <w:rPr>
                <w:noProof/>
              </w:rPr>
              <w:t>178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79C5B4" w14:textId="77777777" w:rsidR="006578ED" w:rsidRDefault="00A1618E">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A2638E" w14:textId="5FE6788C"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D21E45" w14:textId="3DF5BA9B" w:rsidR="006578ED" w:rsidRDefault="00A1618E">
            <w:pPr>
              <w:pStyle w:val="P68B1DB1-Normal46"/>
              <w:spacing w:after="0" w:line="240" w:lineRule="auto"/>
              <w:rPr>
                <w:rFonts w:eastAsia="Times New Roman" w:cs="Times New Roman"/>
                <w:noProof/>
              </w:rPr>
            </w:pPr>
            <w:r>
              <w:rPr>
                <w:noProof/>
              </w:rPr>
              <w:t>Wejście w życie aktów stanowiących część pakietu politycznego dotyczącego gospodarki o obiegu zamkniętym</w:t>
            </w:r>
          </w:p>
        </w:tc>
      </w:tr>
      <w:tr w:rsidR="006578ED" w14:paraId="2F2386F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9976ED" w14:textId="77777777" w:rsidR="006578ED" w:rsidRDefault="00A1618E">
            <w:pPr>
              <w:pStyle w:val="P68B1DB1-Normal46"/>
              <w:spacing w:after="0" w:line="240" w:lineRule="auto"/>
              <w:jc w:val="center"/>
              <w:rPr>
                <w:rFonts w:eastAsia="Times New Roman" w:cs="Times New Roman"/>
                <w:noProof/>
              </w:rPr>
            </w:pPr>
            <w:r>
              <w:rPr>
                <w:noProof/>
              </w:rPr>
              <w:t>179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4D8C" w14:textId="77777777" w:rsidR="006578ED" w:rsidRDefault="00A1618E">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CFB979" w14:textId="76284430"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0B009E" w14:textId="4BA9F152" w:rsidR="006578ED" w:rsidRDefault="00A1618E">
            <w:pPr>
              <w:pStyle w:val="P68B1DB1-Normal46"/>
              <w:spacing w:after="0" w:line="240" w:lineRule="auto"/>
              <w:rPr>
                <w:rFonts w:eastAsia="Times New Roman" w:cs="Times New Roman"/>
                <w:noProof/>
              </w:rPr>
            </w:pPr>
            <w:r>
              <w:rPr>
                <w:noProof/>
              </w:rPr>
              <w:t xml:space="preserve">Wejście w życie ustawy o odpadach i zanieczyszczonych glebach </w:t>
            </w:r>
          </w:p>
        </w:tc>
      </w:tr>
      <w:tr w:rsidR="006578ED" w14:paraId="612894E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FC815A" w14:textId="77777777" w:rsidR="006578ED" w:rsidRDefault="00A1618E">
            <w:pPr>
              <w:pStyle w:val="P68B1DB1-Normal46"/>
              <w:spacing w:after="0" w:line="240" w:lineRule="auto"/>
              <w:jc w:val="center"/>
              <w:rPr>
                <w:rFonts w:eastAsia="Times New Roman" w:cs="Times New Roman"/>
                <w:noProof/>
              </w:rPr>
            </w:pPr>
            <w:r>
              <w:rPr>
                <w:noProof/>
              </w:rPr>
              <w:t>182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FB1D34" w14:textId="77777777" w:rsidR="006578ED" w:rsidRDefault="00A1618E">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9C46FB" w14:textId="2BEEBDC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5BF091" w14:textId="31EAFC47" w:rsidR="006578ED" w:rsidRDefault="00A1618E">
            <w:pPr>
              <w:pStyle w:val="P68B1DB1-Normal46"/>
              <w:spacing w:after="0" w:line="240" w:lineRule="auto"/>
              <w:rPr>
                <w:rFonts w:eastAsia="Times New Roman" w:cs="Times New Roman"/>
                <w:noProof/>
              </w:rPr>
            </w:pPr>
            <w:r>
              <w:rPr>
                <w:noProof/>
              </w:rPr>
              <w:t>PERTE w obszarze pojazdów elektrycznych</w:t>
            </w:r>
          </w:p>
        </w:tc>
      </w:tr>
      <w:tr w:rsidR="006578ED" w14:paraId="1D07B1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67FBF" w14:textId="77777777" w:rsidR="006578ED" w:rsidRDefault="00A1618E">
            <w:pPr>
              <w:pStyle w:val="P68B1DB1-Normal46"/>
              <w:spacing w:after="0" w:line="240" w:lineRule="auto"/>
              <w:jc w:val="center"/>
              <w:rPr>
                <w:rFonts w:eastAsia="Times New Roman" w:cs="Times New Roman"/>
                <w:noProof/>
              </w:rPr>
            </w:pPr>
            <w:r>
              <w:rPr>
                <w:noProof/>
              </w:rPr>
              <w:t>183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FA3F1" w14:textId="77777777" w:rsidR="006578ED" w:rsidRDefault="00A1618E">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14193" w14:textId="0950E709"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B3D62E5" w14:textId="7D92A6E1" w:rsidR="006578ED" w:rsidRDefault="00A1618E">
            <w:pPr>
              <w:pStyle w:val="P68B1DB1-Normal46"/>
              <w:spacing w:after="0" w:line="240" w:lineRule="auto"/>
              <w:rPr>
                <w:rFonts w:eastAsia="Times New Roman" w:cs="Times New Roman"/>
                <w:noProof/>
              </w:rPr>
            </w:pPr>
            <w:r>
              <w:rPr>
                <w:noProof/>
              </w:rPr>
              <w:t xml:space="preserve">PERTE w strategicznych obszarach określonych w planie </w:t>
            </w:r>
          </w:p>
        </w:tc>
      </w:tr>
      <w:tr w:rsidR="006578ED" w14:paraId="4D06C3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7776" w14:textId="77777777" w:rsidR="006578ED" w:rsidRDefault="00A1618E">
            <w:pPr>
              <w:pStyle w:val="P68B1DB1-Normal46"/>
              <w:spacing w:after="0" w:line="240" w:lineRule="auto"/>
              <w:jc w:val="center"/>
              <w:rPr>
                <w:rFonts w:eastAsia="Times New Roman" w:cs="Times New Roman"/>
                <w:noProof/>
              </w:rPr>
            </w:pPr>
            <w:r>
              <w:rPr>
                <w:noProof/>
              </w:rPr>
              <w:t>184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4CC8CE" w14:textId="77777777" w:rsidR="006578ED" w:rsidRDefault="00A1618E">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03FA1" w14:textId="60EA8708"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055F78E" w14:textId="4E429034" w:rsidR="006578ED" w:rsidRDefault="00A1618E">
            <w:pPr>
              <w:pStyle w:val="P68B1DB1-Normal46"/>
              <w:spacing w:after="0" w:line="240" w:lineRule="auto"/>
              <w:rPr>
                <w:rFonts w:eastAsia="Times New Roman" w:cs="Times New Roman"/>
                <w:noProof/>
              </w:rPr>
            </w:pPr>
            <w:r>
              <w:rPr>
                <w:noProof/>
              </w:rPr>
              <w:t xml:space="preserve">Innowacyjne projekty na rzecz transformacji przemysłu pod względem efektywności energetycznej, zrównoważonego rozwoju i cyfryzacji </w:t>
            </w:r>
          </w:p>
        </w:tc>
      </w:tr>
      <w:tr w:rsidR="006578ED" w14:paraId="3B0C9B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971D90" w14:textId="77777777" w:rsidR="006578ED" w:rsidRDefault="00A1618E">
            <w:pPr>
              <w:pStyle w:val="P68B1DB1-Normal46"/>
              <w:spacing w:after="0" w:line="240" w:lineRule="auto"/>
              <w:jc w:val="center"/>
              <w:rPr>
                <w:rFonts w:eastAsia="Times New Roman" w:cs="Times New Roman"/>
                <w:noProof/>
              </w:rPr>
            </w:pPr>
            <w:r>
              <w:rPr>
                <w:noProof/>
              </w:rPr>
              <w:t>191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5D536" w14:textId="77777777" w:rsidR="006578ED" w:rsidRDefault="00A1618E">
            <w:pPr>
              <w:pStyle w:val="P68B1DB1-Normal46"/>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E13F6D" w14:textId="6716CED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4B0506" w14:textId="27C0C940" w:rsidR="006578ED" w:rsidRDefault="00A1618E">
            <w:pPr>
              <w:pStyle w:val="P68B1DB1-Normal46"/>
              <w:spacing w:after="0" w:line="240" w:lineRule="auto"/>
              <w:rPr>
                <w:rFonts w:eastAsia="Times New Roman" w:cs="Times New Roman"/>
                <w:noProof/>
              </w:rPr>
            </w:pPr>
            <w:r>
              <w:rPr>
                <w:noProof/>
              </w:rPr>
              <w:t>Wejście w życie ustawy o tworzeniu przedsiębiorstw i wzroście gospodarczym</w:t>
            </w:r>
          </w:p>
        </w:tc>
      </w:tr>
      <w:tr w:rsidR="006578ED" w14:paraId="1F16E3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6AC61" w14:textId="77777777" w:rsidR="006578ED" w:rsidRDefault="00A1618E">
            <w:pPr>
              <w:pStyle w:val="P68B1DB1-Normal46"/>
              <w:spacing w:after="0" w:line="240" w:lineRule="auto"/>
              <w:jc w:val="center"/>
              <w:rPr>
                <w:rFonts w:eastAsia="Times New Roman" w:cs="Times New Roman"/>
                <w:noProof/>
              </w:rPr>
            </w:pPr>
            <w:r>
              <w:rPr>
                <w:noProof/>
              </w:rPr>
              <w:t>192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00037F" w14:textId="77777777" w:rsidR="006578ED" w:rsidRDefault="00A1618E">
            <w:pPr>
              <w:pStyle w:val="P68B1DB1-Normal46"/>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92D529" w14:textId="2264D3F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F085E50" w14:textId="46BF1128" w:rsidR="006578ED" w:rsidRDefault="00A1618E">
            <w:pPr>
              <w:pStyle w:val="P68B1DB1-Normal46"/>
              <w:spacing w:after="0" w:line="240" w:lineRule="auto"/>
              <w:rPr>
                <w:rFonts w:eastAsia="Times New Roman" w:cs="Times New Roman"/>
                <w:noProof/>
              </w:rPr>
            </w:pPr>
            <w:r>
              <w:rPr>
                <w:noProof/>
              </w:rPr>
              <w:t>Wejście w życie ustawy o zakładaniu start-upów</w:t>
            </w:r>
          </w:p>
        </w:tc>
      </w:tr>
      <w:tr w:rsidR="006578ED" w14:paraId="6B8EDE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1FA78F" w14:textId="77777777" w:rsidR="006578ED" w:rsidRDefault="00A1618E">
            <w:pPr>
              <w:pStyle w:val="P68B1DB1-Normal46"/>
              <w:spacing w:after="0" w:line="240" w:lineRule="auto"/>
              <w:jc w:val="center"/>
              <w:rPr>
                <w:rFonts w:eastAsia="Times New Roman" w:cs="Times New Roman"/>
                <w:noProof/>
              </w:rPr>
            </w:pPr>
            <w:r>
              <w:rPr>
                <w:noProof/>
              </w:rPr>
              <w:t>450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6C066B" w14:textId="77777777" w:rsidR="006578ED" w:rsidRDefault="00A1618E">
            <w:pPr>
              <w:pStyle w:val="P68B1DB1-Normal46"/>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3F1F2C" w14:textId="5E52D4E9"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9BAED5" w14:textId="4AD2C893" w:rsidR="006578ED" w:rsidRDefault="00A1618E">
            <w:pPr>
              <w:pStyle w:val="P68B1DB1-Normal46"/>
              <w:spacing w:after="0" w:line="240" w:lineRule="auto"/>
              <w:rPr>
                <w:rFonts w:eastAsia="Times New Roman" w:cs="Times New Roman"/>
                <w:noProof/>
              </w:rPr>
            </w:pPr>
            <w:r>
              <w:rPr>
                <w:noProof/>
              </w:rPr>
              <w:t>Wejście w życie dekretu królewskiego 629/2022 z dnia 26 lipca zmieniającego rozporządzenie ustawy organicznej 4/2000 w sprawie praw i wolności cudzoziemców w Hiszpanii oraz ich integracji społecznej</w:t>
            </w:r>
          </w:p>
        </w:tc>
      </w:tr>
      <w:tr w:rsidR="006578ED" w14:paraId="2C6264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13649" w14:textId="77777777" w:rsidR="006578ED" w:rsidRDefault="00A1618E">
            <w:pPr>
              <w:pStyle w:val="P68B1DB1-Normal46"/>
              <w:spacing w:after="0" w:line="240" w:lineRule="auto"/>
              <w:jc w:val="center"/>
              <w:rPr>
                <w:rFonts w:eastAsia="Times New Roman" w:cs="Times New Roman"/>
                <w:noProof/>
              </w:rPr>
            </w:pPr>
            <w:r>
              <w:rPr>
                <w:noProof/>
              </w:rPr>
              <w:t>200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8C8B93" w14:textId="77777777" w:rsidR="006578ED" w:rsidRDefault="00A1618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3664F" w14:textId="3580236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08D1B8" w14:textId="77777777" w:rsidR="006578ED" w:rsidRDefault="00A1618E">
            <w:pPr>
              <w:pStyle w:val="P68B1DB1-Normal46"/>
              <w:spacing w:after="0" w:line="240" w:lineRule="auto"/>
              <w:rPr>
                <w:rFonts w:eastAsia="Times New Roman" w:cs="Times New Roman"/>
                <w:noProof/>
              </w:rPr>
            </w:pPr>
            <w:r>
              <w:rPr>
                <w:noProof/>
              </w:rPr>
              <w:t>Budżet przeznaczony na program narzędzi cyfrowych</w:t>
            </w:r>
          </w:p>
        </w:tc>
      </w:tr>
      <w:tr w:rsidR="006578ED" w14:paraId="6D562E2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C0CD1B" w14:textId="77777777" w:rsidR="006578ED" w:rsidRDefault="00A1618E">
            <w:pPr>
              <w:pStyle w:val="P68B1DB1-Normal46"/>
              <w:spacing w:after="0" w:line="240" w:lineRule="auto"/>
              <w:jc w:val="center"/>
              <w:rPr>
                <w:rFonts w:eastAsia="Times New Roman" w:cs="Times New Roman"/>
                <w:noProof/>
              </w:rPr>
            </w:pPr>
            <w:r>
              <w:rPr>
                <w:noProof/>
              </w:rPr>
              <w:t>201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896218" w14:textId="77777777" w:rsidR="006578ED" w:rsidRDefault="00A1618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851208" w14:textId="29CCB19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911722E" w14:textId="77777777" w:rsidR="006578ED" w:rsidRDefault="00A1618E">
            <w:pPr>
              <w:pStyle w:val="P68B1DB1-Normal46"/>
              <w:spacing w:after="0" w:line="240" w:lineRule="auto"/>
              <w:rPr>
                <w:rFonts w:eastAsia="Times New Roman" w:cs="Times New Roman"/>
                <w:noProof/>
              </w:rPr>
            </w:pPr>
            <w:r>
              <w:rPr>
                <w:noProof/>
              </w:rPr>
              <w:t>Budżet przeznaczony na rzecz agentów programu zmian</w:t>
            </w:r>
          </w:p>
        </w:tc>
      </w:tr>
      <w:tr w:rsidR="006578ED" w14:paraId="71FEF5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361133" w14:textId="77777777" w:rsidR="006578ED" w:rsidRDefault="00A1618E">
            <w:pPr>
              <w:pStyle w:val="P68B1DB1-Normal46"/>
              <w:spacing w:after="0" w:line="240" w:lineRule="auto"/>
              <w:jc w:val="center"/>
              <w:rPr>
                <w:rFonts w:eastAsia="Times New Roman" w:cs="Times New Roman"/>
                <w:noProof/>
              </w:rPr>
            </w:pPr>
            <w:r>
              <w:rPr>
                <w:noProof/>
              </w:rPr>
              <w:t>202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3E8275" w14:textId="77777777" w:rsidR="006578ED" w:rsidRDefault="00A1618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1F8D6F" w14:textId="6B6398B5"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D81A75F" w14:textId="77777777" w:rsidR="006578ED" w:rsidRDefault="00A1618E">
            <w:pPr>
              <w:pStyle w:val="P68B1DB1-Normal46"/>
              <w:spacing w:after="0" w:line="240" w:lineRule="auto"/>
              <w:rPr>
                <w:rFonts w:eastAsia="Times New Roman" w:cs="Times New Roman"/>
                <w:noProof/>
              </w:rPr>
            </w:pPr>
            <w:r>
              <w:rPr>
                <w:noProof/>
              </w:rPr>
              <w:t>Budżet przeznaczony na program wsparcia innowacyjnych klastrów biznesowych</w:t>
            </w:r>
          </w:p>
        </w:tc>
      </w:tr>
      <w:tr w:rsidR="006578ED" w14:paraId="0125BB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25B11E" w14:textId="77777777" w:rsidR="006578ED" w:rsidRDefault="00A1618E">
            <w:pPr>
              <w:pStyle w:val="P68B1DB1-Normal46"/>
              <w:spacing w:after="0" w:line="240" w:lineRule="auto"/>
              <w:jc w:val="center"/>
              <w:rPr>
                <w:rFonts w:eastAsia="Times New Roman" w:cs="Times New Roman"/>
                <w:noProof/>
              </w:rPr>
            </w:pPr>
            <w:r>
              <w:rPr>
                <w:noProof/>
              </w:rPr>
              <w:t>203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08AFEE" w14:textId="77777777" w:rsidR="006578ED" w:rsidRDefault="00A1618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5203BF" w14:textId="6C516AD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667867" w14:textId="77777777" w:rsidR="006578ED" w:rsidRDefault="00A1618E">
            <w:pPr>
              <w:pStyle w:val="P68B1DB1-Normal46"/>
              <w:spacing w:after="0" w:line="240" w:lineRule="auto"/>
              <w:rPr>
                <w:rFonts w:eastAsia="Times New Roman" w:cs="Times New Roman"/>
                <w:noProof/>
              </w:rPr>
            </w:pPr>
            <w:r>
              <w:rPr>
                <w:noProof/>
              </w:rPr>
              <w:t>Budżet przeznaczony na program centrów innowacji cyfrowych</w:t>
            </w:r>
          </w:p>
        </w:tc>
      </w:tr>
      <w:tr w:rsidR="006578ED" w14:paraId="1B9A0A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5132F" w14:textId="77777777" w:rsidR="006578ED" w:rsidRDefault="00A1618E">
            <w:pPr>
              <w:pStyle w:val="P68B1DB1-Normal46"/>
              <w:spacing w:after="0" w:line="240" w:lineRule="auto"/>
              <w:jc w:val="center"/>
              <w:rPr>
                <w:rFonts w:eastAsia="Times New Roman" w:cs="Times New Roman"/>
                <w:noProof/>
              </w:rPr>
            </w:pPr>
            <w:r>
              <w:rPr>
                <w:noProof/>
              </w:rPr>
              <w:t>218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DBC42" w14:textId="77777777" w:rsidR="006578ED" w:rsidRDefault="00A1618E">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8BE836" w14:textId="0A1CE2BC"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583299" w14:textId="5D4B4F50" w:rsidR="006578ED" w:rsidRDefault="00A1618E">
            <w:pPr>
              <w:pStyle w:val="P68B1DB1-Normal46"/>
              <w:spacing w:after="0" w:line="240" w:lineRule="auto"/>
              <w:rPr>
                <w:rFonts w:eastAsia="Times New Roman" w:cs="Times New Roman"/>
                <w:noProof/>
              </w:rPr>
            </w:pPr>
            <w:r>
              <w:rPr>
                <w:noProof/>
              </w:rPr>
              <w:t>Przyznawanie środków budżetowych na plany promujące zrównoważony rozwój turystyki w miejscu docelowym</w:t>
            </w:r>
          </w:p>
        </w:tc>
      </w:tr>
      <w:tr w:rsidR="006578ED" w14:paraId="4857B8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A3C1CD" w14:textId="77777777" w:rsidR="006578ED" w:rsidRDefault="00A1618E">
            <w:pPr>
              <w:pStyle w:val="P68B1DB1-Normal46"/>
              <w:spacing w:after="0" w:line="240" w:lineRule="auto"/>
              <w:jc w:val="center"/>
              <w:rPr>
                <w:rFonts w:eastAsia="Times New Roman" w:cs="Times New Roman"/>
                <w:noProof/>
              </w:rPr>
            </w:pPr>
            <w:r>
              <w:rPr>
                <w:noProof/>
              </w:rPr>
              <w:t>234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4EE363" w14:textId="77777777" w:rsidR="006578ED" w:rsidRDefault="00A1618E">
            <w:pPr>
              <w:pStyle w:val="P68B1DB1-Normal46"/>
              <w:spacing w:after="0" w:line="240" w:lineRule="auto"/>
              <w:rPr>
                <w:rFonts w:eastAsia="Times New Roman" w:cs="Times New Roman"/>
                <w:noProof/>
              </w:rPr>
            </w:pPr>
            <w:r>
              <w:rPr>
                <w:noProof/>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762801" w14:textId="766E3413"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E97C70" w14:textId="77777777" w:rsidR="006578ED" w:rsidRDefault="00A1618E">
            <w:pPr>
              <w:pStyle w:val="P68B1DB1-Normal46"/>
              <w:spacing w:after="0" w:line="240" w:lineRule="auto"/>
              <w:rPr>
                <w:rFonts w:eastAsia="Times New Roman" w:cs="Times New Roman"/>
                <w:noProof/>
              </w:rPr>
            </w:pPr>
            <w:r>
              <w:rPr>
                <w:noProof/>
              </w:rPr>
              <w:t>Przydział widma radiowego 26 GHz</w:t>
            </w:r>
          </w:p>
        </w:tc>
      </w:tr>
      <w:tr w:rsidR="006578ED" w14:paraId="2F3694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5BF0F1" w14:textId="77777777" w:rsidR="006578ED" w:rsidRDefault="00A1618E">
            <w:pPr>
              <w:pStyle w:val="P68B1DB1-Normal46"/>
              <w:spacing w:after="0" w:line="240" w:lineRule="auto"/>
              <w:jc w:val="center"/>
              <w:rPr>
                <w:rFonts w:eastAsia="Times New Roman" w:cs="Times New Roman"/>
                <w:noProof/>
              </w:rPr>
            </w:pPr>
            <w:r>
              <w:rPr>
                <w:noProof/>
              </w:rPr>
              <w:t>235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3734A7" w14:textId="77777777" w:rsidR="006578ED" w:rsidRDefault="00A1618E">
            <w:pPr>
              <w:pStyle w:val="P68B1DB1-Normal46"/>
              <w:spacing w:after="0" w:line="240" w:lineRule="auto"/>
              <w:rPr>
                <w:rFonts w:eastAsia="Times New Roman" w:cs="Times New Roman"/>
                <w:noProof/>
              </w:rPr>
            </w:pPr>
            <w:r>
              <w:rPr>
                <w:noProof/>
              </w:rPr>
              <w:t>C15.R2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EBC21D" w14:textId="6E248FD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828509" w14:textId="70FBC737" w:rsidR="006578ED" w:rsidRDefault="00A1618E">
            <w:pPr>
              <w:pStyle w:val="P68B1DB1-Normal46"/>
              <w:spacing w:after="0" w:line="240" w:lineRule="auto"/>
              <w:rPr>
                <w:rFonts w:eastAsia="Times New Roman" w:cs="Times New Roman"/>
                <w:noProof/>
              </w:rPr>
            </w:pPr>
            <w:r>
              <w:rPr>
                <w:noProof/>
              </w:rPr>
              <w:t xml:space="preserve">Wejście w życie ustawy o cyberbezpieczeństwie sieci 5G </w:t>
            </w:r>
          </w:p>
        </w:tc>
      </w:tr>
      <w:tr w:rsidR="006578ED" w14:paraId="29F5CC8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E99BA6" w14:textId="77777777" w:rsidR="006578ED" w:rsidRDefault="00A1618E">
            <w:pPr>
              <w:pStyle w:val="P68B1DB1-Normal46"/>
              <w:spacing w:after="0" w:line="240" w:lineRule="auto"/>
              <w:jc w:val="center"/>
              <w:rPr>
                <w:rFonts w:eastAsia="Times New Roman" w:cs="Times New Roman"/>
                <w:noProof/>
              </w:rPr>
            </w:pPr>
            <w:r>
              <w:rPr>
                <w:noProof/>
              </w:rPr>
              <w:t>245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051F06" w14:textId="77777777" w:rsidR="006578ED" w:rsidRDefault="00A1618E">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83FC59" w14:textId="7C11C05C"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74D3FF" w14:textId="067996E8" w:rsidR="006578ED" w:rsidRDefault="00A1618E">
            <w:pPr>
              <w:pStyle w:val="P68B1DB1-Normal46"/>
              <w:spacing w:after="0" w:line="240" w:lineRule="auto"/>
              <w:rPr>
                <w:rFonts w:eastAsia="Times New Roman" w:cs="Times New Roman"/>
                <w:noProof/>
              </w:rPr>
            </w:pPr>
            <w:r>
              <w:rPr>
                <w:noProof/>
              </w:rPr>
              <w:t>Uruchomienie krajowego programu wsparcia przemysłu cybernetycznego, globalnego programu innowacji w dziedzinie bezpieczeństwa i powiązanych działań.</w:t>
            </w:r>
          </w:p>
        </w:tc>
      </w:tr>
      <w:tr w:rsidR="006578ED" w14:paraId="4FBFE52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B450A7" w14:textId="77777777" w:rsidR="006578ED" w:rsidRDefault="00A1618E">
            <w:pPr>
              <w:pStyle w:val="P68B1DB1-Normal46"/>
              <w:spacing w:after="0" w:line="240" w:lineRule="auto"/>
              <w:jc w:val="center"/>
              <w:rPr>
                <w:rFonts w:eastAsia="Times New Roman" w:cs="Times New Roman"/>
                <w:noProof/>
              </w:rPr>
            </w:pPr>
            <w:r>
              <w:rPr>
                <w:noProof/>
              </w:rPr>
              <w:t>247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86E8F2" w14:textId="77777777" w:rsidR="006578ED" w:rsidRDefault="00A1618E">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A329F6" w14:textId="3DCCB959"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8D95FE" w14:textId="5AD5885B" w:rsidR="006578ED" w:rsidRDefault="00A1618E">
            <w:pPr>
              <w:pStyle w:val="P68B1DB1-Normal46"/>
              <w:spacing w:after="0" w:line="240" w:lineRule="auto"/>
              <w:rPr>
                <w:rFonts w:eastAsia="Times New Roman" w:cs="Times New Roman"/>
                <w:noProof/>
              </w:rPr>
            </w:pPr>
            <w:r>
              <w:rPr>
                <w:noProof/>
              </w:rPr>
              <w:t>Wzmocnienie i poprawa zdolności w zakresie cyberbezpieczeństwa: Linia pomocy w zakresie cyberbezpieczeństwa</w:t>
            </w:r>
          </w:p>
        </w:tc>
      </w:tr>
      <w:tr w:rsidR="006578ED" w14:paraId="250C02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C73AB7" w14:textId="77777777" w:rsidR="006578ED" w:rsidRDefault="00A1618E">
            <w:pPr>
              <w:pStyle w:val="P68B1DB1-Normal46"/>
              <w:spacing w:after="0" w:line="240" w:lineRule="auto"/>
              <w:jc w:val="center"/>
              <w:rPr>
                <w:rFonts w:eastAsia="Times New Roman" w:cs="Times New Roman"/>
                <w:noProof/>
              </w:rPr>
            </w:pPr>
            <w:r>
              <w:rPr>
                <w:noProof/>
              </w:rPr>
              <w:t>259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242DFC" w14:textId="77777777" w:rsidR="006578ED" w:rsidRDefault="00A1618E">
            <w:pPr>
              <w:pStyle w:val="P68B1DB1-Normal46"/>
              <w:spacing w:after="0" w:line="240" w:lineRule="auto"/>
              <w:rPr>
                <w:rFonts w:eastAsia="Times New Roman" w:cs="Times New Roman"/>
                <w:noProof/>
              </w:rPr>
            </w:pPr>
            <w:r>
              <w:rPr>
                <w:noProof/>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04FC88" w14:textId="64CE7239"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58BB08" w14:textId="4CC2512A" w:rsidR="006578ED" w:rsidRDefault="00A1618E">
            <w:pPr>
              <w:pStyle w:val="P68B1DB1-Normal46"/>
              <w:spacing w:after="0" w:line="240" w:lineRule="auto"/>
              <w:rPr>
                <w:rFonts w:eastAsia="Times New Roman" w:cs="Times New Roman"/>
                <w:noProof/>
              </w:rPr>
            </w:pPr>
            <w:r>
              <w:rPr>
                <w:noProof/>
              </w:rPr>
              <w:t xml:space="preserve">Nagrody za projekty zwiększające krajową infrastrukturę naukową i potencjał hiszpańskiego systemu technologii i innowacji naukowych oraz umowy dwustronne podpisane z podmiotami międzynarodowymi i inne instrumenty finansowania projektów dotyczących infrastruktury europejskiej i międzynarodowej. </w:t>
            </w:r>
          </w:p>
        </w:tc>
      </w:tr>
      <w:tr w:rsidR="006578ED" w14:paraId="15E654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CE1429" w14:textId="77777777" w:rsidR="006578ED" w:rsidRDefault="00A1618E">
            <w:pPr>
              <w:pStyle w:val="P68B1DB1-Normal46"/>
              <w:spacing w:after="0" w:line="240" w:lineRule="auto"/>
              <w:jc w:val="center"/>
              <w:rPr>
                <w:rFonts w:eastAsia="Times New Roman" w:cs="Times New Roman"/>
                <w:noProof/>
              </w:rPr>
            </w:pPr>
            <w:r>
              <w:rPr>
                <w:noProof/>
              </w:rPr>
              <w:t>261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E846C7" w14:textId="77777777" w:rsidR="006578ED" w:rsidRDefault="00A1618E">
            <w:pPr>
              <w:pStyle w:val="P68B1DB1-Normal46"/>
              <w:spacing w:after="0" w:line="240" w:lineRule="auto"/>
              <w:rPr>
                <w:rFonts w:eastAsia="Times New Roman" w:cs="Times New Roman"/>
                <w:noProof/>
              </w:rPr>
            </w:pPr>
            <w:r>
              <w:rPr>
                <w:noProof/>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F030FD" w14:textId="75785571"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941494" w14:textId="7713558F" w:rsidR="006578ED" w:rsidRDefault="00A1618E">
            <w:pPr>
              <w:pStyle w:val="P68B1DB1-Normal46"/>
              <w:spacing w:after="0" w:line="240" w:lineRule="auto"/>
              <w:rPr>
                <w:rFonts w:eastAsia="Times New Roman" w:cs="Times New Roman"/>
                <w:noProof/>
              </w:rPr>
            </w:pPr>
            <w:r>
              <w:rPr>
                <w:noProof/>
              </w:rPr>
              <w:t xml:space="preserve">Przyznawanie nowych prywatnych, interdyscyplinarnych, publicznych projektów w zakresie badań, rozwoju i innowacji, testów koncepcyjnych, międzynarodowych zaproszeń do składania wniosków oraz nowatorskich badań i rozwoju ukierunkowanych na wyzwania społeczne </w:t>
            </w:r>
          </w:p>
        </w:tc>
      </w:tr>
      <w:tr w:rsidR="006578ED" w14:paraId="075FD5B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39DC1C" w14:textId="77777777" w:rsidR="006578ED" w:rsidRDefault="00A1618E">
            <w:pPr>
              <w:pStyle w:val="P68B1DB1-Normal46"/>
              <w:spacing w:after="0" w:line="240" w:lineRule="auto"/>
              <w:jc w:val="center"/>
              <w:rPr>
                <w:rFonts w:eastAsia="Times New Roman" w:cs="Times New Roman"/>
                <w:noProof/>
              </w:rPr>
            </w:pPr>
            <w:r>
              <w:rPr>
                <w:noProof/>
              </w:rPr>
              <w:t>300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BDEA01" w14:textId="77777777" w:rsidR="006578ED" w:rsidRDefault="00A1618E">
            <w:pPr>
              <w:pStyle w:val="P68B1DB1-Normal46"/>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6D4F2" w14:textId="31B1DB3F"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E424AC" w14:textId="60FB4802" w:rsidR="006578ED" w:rsidRDefault="00A1618E">
            <w:pPr>
              <w:pStyle w:val="P68B1DB1-Normal46"/>
              <w:spacing w:after="0" w:line="240" w:lineRule="auto"/>
              <w:rPr>
                <w:rFonts w:eastAsia="Times New Roman" w:cs="Times New Roman"/>
                <w:noProof/>
              </w:rPr>
            </w:pPr>
            <w:r>
              <w:rPr>
                <w:noProof/>
              </w:rPr>
              <w:t>Co najmniej 50000 nowych miejsc kształcenia i szkolenia zawodowego w porównaniu z końcem 20</w:t>
            </w:r>
            <w:r w:rsidRPr="00A1618E">
              <w:rPr>
                <w:noProof/>
                <w:lang w:val="pl-PL"/>
              </w:rPr>
              <w:t>20 r.</w:t>
            </w:r>
          </w:p>
        </w:tc>
      </w:tr>
      <w:tr w:rsidR="006578ED" w14:paraId="4908B9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97AC39" w14:textId="77777777" w:rsidR="006578ED" w:rsidRDefault="00A1618E">
            <w:pPr>
              <w:pStyle w:val="P68B1DB1-Normal46"/>
              <w:spacing w:after="0" w:line="240" w:lineRule="auto"/>
              <w:jc w:val="center"/>
              <w:rPr>
                <w:rFonts w:eastAsia="Times New Roman" w:cs="Times New Roman"/>
                <w:noProof/>
              </w:rPr>
            </w:pPr>
            <w:r>
              <w:rPr>
                <w:noProof/>
              </w:rPr>
              <w:t>319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B6C427" w14:textId="77777777" w:rsidR="006578ED" w:rsidRDefault="00A1618E">
            <w:pPr>
              <w:pStyle w:val="P68B1DB1-Normal46"/>
              <w:spacing w:after="0" w:line="240" w:lineRule="auto"/>
              <w:rPr>
                <w:rFonts w:eastAsia="Times New Roman" w:cs="Times New Roman"/>
                <w:noProof/>
              </w:rPr>
            </w:pPr>
            <w:r>
              <w:rPr>
                <w:noProof/>
              </w:rPr>
              <w:t>C22.R5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8FBD8C" w14:textId="34459B5A"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67893D" w14:textId="030A2478" w:rsidR="006578ED" w:rsidRDefault="00A1618E">
            <w:pPr>
              <w:pStyle w:val="P68B1DB1-Normal46"/>
              <w:spacing w:after="0" w:line="240" w:lineRule="auto"/>
              <w:rPr>
                <w:rFonts w:eastAsia="Times New Roman" w:cs="Times New Roman"/>
                <w:noProof/>
              </w:rPr>
            </w:pPr>
            <w:r>
              <w:rPr>
                <w:noProof/>
              </w:rPr>
              <w:t>Publikacja „Planu reorganizacji i uproszczenia systemu nieskładkowych korzyści finansowych Generalnej Administracji Państwa”.</w:t>
            </w:r>
          </w:p>
        </w:tc>
      </w:tr>
      <w:tr w:rsidR="006578ED" w14:paraId="6137034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CEF872" w14:textId="77777777" w:rsidR="006578ED" w:rsidRDefault="00A1618E">
            <w:pPr>
              <w:pStyle w:val="P68B1DB1-Normal46"/>
              <w:spacing w:after="0" w:line="240" w:lineRule="auto"/>
              <w:jc w:val="center"/>
              <w:rPr>
                <w:rFonts w:eastAsia="Times New Roman" w:cs="Times New Roman"/>
                <w:noProof/>
              </w:rPr>
            </w:pPr>
            <w:r>
              <w:rPr>
                <w:noProof/>
              </w:rPr>
              <w:t>335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51E3137" w14:textId="77777777" w:rsidR="006578ED" w:rsidRDefault="00A1618E">
            <w:pPr>
              <w:pStyle w:val="P68B1DB1-Normal46"/>
              <w:spacing w:after="0" w:line="240" w:lineRule="auto"/>
              <w:rPr>
                <w:rFonts w:eastAsia="Times New Roman" w:cs="Times New Roman"/>
                <w:noProof/>
              </w:rPr>
            </w:pPr>
            <w:r>
              <w:rPr>
                <w:noProof/>
              </w:rPr>
              <w:t>C23.R5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52D1F0" w14:textId="6C2B115E"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4CBE8C" w14:textId="42865D4E" w:rsidR="006578ED" w:rsidRDefault="00A1618E">
            <w:pPr>
              <w:pStyle w:val="P68B1DB1-Normal46"/>
              <w:spacing w:after="0" w:line="240" w:lineRule="auto"/>
              <w:rPr>
                <w:rFonts w:eastAsia="Times New Roman" w:cs="Times New Roman"/>
                <w:noProof/>
              </w:rPr>
            </w:pPr>
            <w:r>
              <w:rPr>
                <w:noProof/>
              </w:rPr>
              <w:t xml:space="preserve">Wejście w życie zmiany ustawy o zatrudnieniu (królewski dekret ustawodawczy </w:t>
            </w:r>
            <w:r w:rsidRPr="00A1618E">
              <w:rPr>
                <w:noProof/>
                <w:lang w:val="pl-PL"/>
              </w:rPr>
              <w:t>nr 3</w:t>
            </w:r>
            <w:r>
              <w:rPr>
                <w:noProof/>
              </w:rPr>
              <w:t>/2015)</w:t>
            </w:r>
          </w:p>
        </w:tc>
      </w:tr>
      <w:tr w:rsidR="006578ED" w14:paraId="0D8C5F6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D0AF" w14:textId="77777777" w:rsidR="006578ED" w:rsidRDefault="00A1618E">
            <w:pPr>
              <w:pStyle w:val="P68B1DB1-Normal46"/>
              <w:spacing w:after="0" w:line="240" w:lineRule="auto"/>
              <w:jc w:val="center"/>
              <w:rPr>
                <w:rFonts w:eastAsia="Times New Roman" w:cs="Times New Roman"/>
                <w:noProof/>
              </w:rPr>
            </w:pPr>
            <w:r>
              <w:rPr>
                <w:noProof/>
              </w:rPr>
              <w:t>337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007B07" w14:textId="77777777" w:rsidR="006578ED" w:rsidRDefault="00A1618E">
            <w:pPr>
              <w:pStyle w:val="P68B1DB1-Normal46"/>
              <w:spacing w:after="0" w:line="240" w:lineRule="auto"/>
              <w:rPr>
                <w:rFonts w:eastAsia="Times New Roman" w:cs="Times New Roman"/>
                <w:noProof/>
              </w:rPr>
            </w:pPr>
            <w:r>
              <w:rPr>
                <w:noProof/>
              </w:rPr>
              <w:t>C23.R7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7C90E3" w14:textId="5DB01230"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2A09" w14:textId="38080211" w:rsidR="006578ED" w:rsidRDefault="00A1618E">
            <w:pPr>
              <w:pStyle w:val="P68B1DB1-Normal46"/>
              <w:spacing w:after="0" w:line="240" w:lineRule="auto"/>
              <w:rPr>
                <w:rFonts w:eastAsia="Times New Roman" w:cs="Times New Roman"/>
                <w:noProof/>
              </w:rPr>
            </w:pPr>
            <w:r>
              <w:rPr>
                <w:noProof/>
              </w:rPr>
              <w:t>Wejście w życie reformy ustawy 43/2006 w celu uproszczenia i zwiększenia skuteczności systemu zachęt rekrutacyjnych, z uwzględnieniem zaleceń wydanych przez AIReF</w:t>
            </w:r>
          </w:p>
        </w:tc>
      </w:tr>
      <w:tr w:rsidR="006578ED" w14:paraId="3F9525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33EA59" w14:textId="77777777" w:rsidR="006578ED" w:rsidRDefault="00A1618E">
            <w:pPr>
              <w:pStyle w:val="P68B1DB1-Normal46"/>
              <w:spacing w:after="0" w:line="240" w:lineRule="auto"/>
              <w:jc w:val="center"/>
              <w:rPr>
                <w:rFonts w:eastAsia="Times New Roman" w:cs="Times New Roman"/>
                <w:noProof/>
              </w:rPr>
            </w:pPr>
            <w:r>
              <w:rPr>
                <w:noProof/>
              </w:rPr>
              <w:t>340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B23791" w14:textId="77777777" w:rsidR="006578ED" w:rsidRDefault="00A1618E">
            <w:pPr>
              <w:pStyle w:val="P68B1DB1-Normal46"/>
              <w:spacing w:after="0" w:line="240" w:lineRule="auto"/>
              <w:rPr>
                <w:rFonts w:eastAsia="Times New Roman" w:cs="Times New Roman"/>
                <w:noProof/>
              </w:rPr>
            </w:pPr>
            <w:r>
              <w:rPr>
                <w:noProof/>
              </w:rPr>
              <w:t>C23.R10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F0A8A58" w14:textId="677AE017"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6A358D" w14:textId="233D3DF5" w:rsidR="006578ED" w:rsidRDefault="00A1618E">
            <w:pPr>
              <w:pStyle w:val="P68B1DB1-Normal46"/>
              <w:spacing w:after="0" w:line="240" w:lineRule="auto"/>
              <w:rPr>
                <w:rFonts w:eastAsia="Times New Roman" w:cs="Times New Roman"/>
                <w:noProof/>
              </w:rPr>
            </w:pPr>
            <w:r>
              <w:rPr>
                <w:noProof/>
              </w:rPr>
              <w:t>Wejście w życie zmiany królewskiego dekretu ustawodawczego 8/2015 reformującego nieskładkowe wsparcie dla bezrobotnych</w:t>
            </w:r>
          </w:p>
        </w:tc>
      </w:tr>
      <w:tr w:rsidR="006578ED" w14:paraId="1FC884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BE6B0F" w14:textId="77777777" w:rsidR="006578ED" w:rsidRDefault="00A1618E">
            <w:pPr>
              <w:pStyle w:val="P68B1DB1-Normal46"/>
              <w:spacing w:after="0" w:line="240" w:lineRule="auto"/>
              <w:jc w:val="center"/>
              <w:rPr>
                <w:rFonts w:eastAsia="Times New Roman" w:cs="Times New Roman"/>
                <w:noProof/>
              </w:rPr>
            </w:pPr>
            <w:r>
              <w:rPr>
                <w:noProof/>
              </w:rPr>
              <w:t>352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E09E6" w14:textId="77777777" w:rsidR="006578ED" w:rsidRDefault="00A1618E">
            <w:pPr>
              <w:pStyle w:val="P68B1DB1-Normal46"/>
              <w:spacing w:after="0" w:line="240" w:lineRule="auto"/>
              <w:rPr>
                <w:rFonts w:eastAsia="Times New Roman" w:cs="Times New Roman"/>
                <w:noProof/>
              </w:rPr>
            </w:pPr>
            <w:r>
              <w:rPr>
                <w:noProof/>
              </w:rPr>
              <w:t>C24.R1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6E8229" w14:textId="7474D110"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845547" w14:textId="417C7C37" w:rsidR="006578ED" w:rsidRDefault="00A1618E">
            <w:pPr>
              <w:pStyle w:val="P68B1DB1-Normal46"/>
              <w:spacing w:after="0" w:line="240" w:lineRule="auto"/>
              <w:rPr>
                <w:rFonts w:eastAsia="Times New Roman" w:cs="Times New Roman"/>
                <w:noProof/>
              </w:rPr>
            </w:pPr>
            <w:r>
              <w:rPr>
                <w:noProof/>
              </w:rPr>
              <w:t>Wejście w życie statutu artysty, sponsorowanie i system zachęt podatkowych.</w:t>
            </w:r>
          </w:p>
        </w:tc>
      </w:tr>
      <w:tr w:rsidR="006578ED" w14:paraId="150424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977CE6" w14:textId="77777777" w:rsidR="006578ED" w:rsidRDefault="00A1618E">
            <w:pPr>
              <w:pStyle w:val="P68B1DB1-Normal46"/>
              <w:spacing w:after="0" w:line="240" w:lineRule="auto"/>
              <w:jc w:val="center"/>
              <w:rPr>
                <w:rFonts w:eastAsia="Times New Roman" w:cs="Times New Roman"/>
                <w:noProof/>
              </w:rPr>
            </w:pPr>
            <w:r>
              <w:rPr>
                <w:noProof/>
              </w:rPr>
              <w:t>367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9F7465" w14:textId="77777777" w:rsidR="006578ED" w:rsidRDefault="00A1618E">
            <w:pPr>
              <w:pStyle w:val="P68B1DB1-Normal46"/>
              <w:spacing w:after="0" w:line="240" w:lineRule="auto"/>
              <w:rPr>
                <w:rFonts w:eastAsia="Times New Roman" w:cs="Times New Roman"/>
                <w:noProof/>
              </w:rPr>
            </w:pPr>
            <w:r>
              <w:rPr>
                <w:noProof/>
              </w:rPr>
              <w:t>C26.R1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135AA" w14:textId="5464627E"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B46E9C" w14:textId="6D347E4B" w:rsidR="006578ED" w:rsidRDefault="00A1618E">
            <w:pPr>
              <w:pStyle w:val="P68B1DB1-Normal46"/>
              <w:spacing w:after="0" w:line="240" w:lineRule="auto"/>
              <w:rPr>
                <w:rFonts w:eastAsia="Times New Roman" w:cs="Times New Roman"/>
                <w:noProof/>
              </w:rPr>
            </w:pPr>
            <w:r>
              <w:rPr>
                <w:noProof/>
              </w:rPr>
              <w:t xml:space="preserve">Wejście w życie ustawy o sporcie </w:t>
            </w:r>
          </w:p>
        </w:tc>
      </w:tr>
      <w:tr w:rsidR="006578ED" w14:paraId="03964CE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05776F" w14:textId="77777777" w:rsidR="006578ED" w:rsidRDefault="00A1618E">
            <w:pPr>
              <w:pStyle w:val="P68B1DB1-Normal46"/>
              <w:spacing w:after="0" w:line="240" w:lineRule="auto"/>
              <w:jc w:val="center"/>
              <w:rPr>
                <w:rFonts w:eastAsia="Times New Roman" w:cs="Times New Roman"/>
                <w:noProof/>
              </w:rPr>
            </w:pPr>
            <w:r>
              <w:rPr>
                <w:noProof/>
              </w:rPr>
              <w:t>377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C3D3C8" w14:textId="77777777" w:rsidR="006578ED" w:rsidRDefault="00A1618E">
            <w:pPr>
              <w:pStyle w:val="P68B1DB1-Normal46"/>
              <w:spacing w:after="0" w:line="240" w:lineRule="auto"/>
              <w:rPr>
                <w:rFonts w:eastAsia="Times New Roman" w:cs="Times New Roman"/>
                <w:noProof/>
              </w:rPr>
            </w:pPr>
            <w:r>
              <w:rPr>
                <w:noProof/>
              </w:rPr>
              <w:t>C27.R1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A0A687" w14:textId="2CA5EB0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216116" w14:textId="40141730" w:rsidR="006578ED" w:rsidRDefault="00A1618E">
            <w:pPr>
              <w:pStyle w:val="P68B1DB1-Normal46"/>
              <w:spacing w:after="0" w:line="240" w:lineRule="auto"/>
              <w:rPr>
                <w:rFonts w:eastAsia="Times New Roman" w:cs="Times New Roman"/>
                <w:noProof/>
              </w:rPr>
            </w:pPr>
            <w:r>
              <w:rPr>
                <w:noProof/>
              </w:rPr>
              <w:t>Wstępna ocena skutków ustawy o uchylaniu się od opodatkowania i oszustwie podatkowym.</w:t>
            </w:r>
          </w:p>
        </w:tc>
      </w:tr>
      <w:tr w:rsidR="006578ED" w14:paraId="04E54C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101CF2" w14:textId="77777777" w:rsidR="006578ED" w:rsidRDefault="00A1618E">
            <w:pPr>
              <w:pStyle w:val="P68B1DB1-Normal46"/>
              <w:spacing w:after="0" w:line="240" w:lineRule="auto"/>
              <w:jc w:val="center"/>
              <w:rPr>
                <w:rFonts w:eastAsia="Times New Roman" w:cs="Times New Roman"/>
                <w:noProof/>
              </w:rPr>
            </w:pPr>
            <w:r>
              <w:rPr>
                <w:noProof/>
              </w:rPr>
              <w:t>404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333525" w14:textId="77777777" w:rsidR="006578ED" w:rsidRDefault="00A1618E">
            <w:pPr>
              <w:pStyle w:val="P68B1DB1-Normal46"/>
              <w:spacing w:after="0" w:line="240" w:lineRule="auto"/>
              <w:rPr>
                <w:rFonts w:eastAsia="Times New Roman" w:cs="Times New Roman"/>
                <w:noProof/>
              </w:rPr>
            </w:pPr>
            <w:r>
              <w:rPr>
                <w:noProof/>
              </w:rPr>
              <w:t>C29.R3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8AC65A" w14:textId="56C4A8D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E8327A" w14:textId="663734EA" w:rsidR="006578ED" w:rsidRDefault="00A1618E">
            <w:pPr>
              <w:pStyle w:val="P68B1DB1-Normal46"/>
              <w:spacing w:after="0" w:line="240" w:lineRule="auto"/>
              <w:rPr>
                <w:rFonts w:eastAsia="Times New Roman" w:cs="Times New Roman"/>
                <w:noProof/>
              </w:rPr>
            </w:pPr>
            <w:r>
              <w:rPr>
                <w:noProof/>
              </w:rPr>
              <w:t>Sprawozdanie w sprawie dostosowania do ekologicznego planowania budżetu</w:t>
            </w:r>
          </w:p>
        </w:tc>
      </w:tr>
      <w:tr w:rsidR="006578ED" w14:paraId="171B8E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B8D1CA" w14:textId="77777777" w:rsidR="006578ED" w:rsidRDefault="00A1618E">
            <w:pPr>
              <w:pStyle w:val="P68B1DB1-Normal46"/>
              <w:spacing w:after="0" w:line="240" w:lineRule="auto"/>
              <w:jc w:val="center"/>
              <w:rPr>
                <w:rFonts w:eastAsia="Times New Roman" w:cs="Times New Roman"/>
                <w:noProof/>
              </w:rPr>
            </w:pPr>
            <w:r>
              <w:rPr>
                <w:noProof/>
              </w:rPr>
              <w:t>408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551969" w14:textId="77777777" w:rsidR="006578ED" w:rsidRDefault="00A1618E">
            <w:pPr>
              <w:pStyle w:val="P68B1DB1-Normal46"/>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BCA1B1" w14:textId="78DEBC72"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93E740" w14:textId="77777777" w:rsidR="006578ED" w:rsidRDefault="00A1618E">
            <w:pPr>
              <w:pStyle w:val="P68B1DB1-Normal46"/>
              <w:spacing w:after="0" w:line="240" w:lineRule="auto"/>
              <w:rPr>
                <w:rFonts w:eastAsia="Times New Roman" w:cs="Times New Roman"/>
                <w:noProof/>
              </w:rPr>
            </w:pPr>
            <w:r>
              <w:rPr>
                <w:noProof/>
              </w:rPr>
              <w:t xml:space="preserve">Dostosowanie okresu obliczeniowego do celów obliczenia emerytury </w:t>
            </w:r>
          </w:p>
        </w:tc>
      </w:tr>
      <w:tr w:rsidR="006578ED" w14:paraId="4A39ECD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2E9975" w14:textId="77777777" w:rsidR="006578ED" w:rsidRDefault="00A1618E">
            <w:pPr>
              <w:pStyle w:val="P68B1DB1-Normal46"/>
              <w:spacing w:after="0" w:line="240" w:lineRule="auto"/>
              <w:jc w:val="center"/>
              <w:rPr>
                <w:rFonts w:eastAsia="Times New Roman" w:cs="Times New Roman"/>
                <w:noProof/>
              </w:rPr>
            </w:pPr>
            <w:r>
              <w:rPr>
                <w:noProof/>
              </w:rPr>
              <w:t>409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1C1D88B" w14:textId="77777777" w:rsidR="006578ED" w:rsidRDefault="00A1618E">
            <w:pPr>
              <w:pStyle w:val="P68B1DB1-Normal46"/>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9D51CB" w14:textId="0628CFCE"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57B7FC" w14:textId="77777777" w:rsidR="006578ED" w:rsidRDefault="00A1618E">
            <w:pPr>
              <w:pStyle w:val="P68B1DB1-Normal46"/>
              <w:spacing w:after="0" w:line="240" w:lineRule="auto"/>
              <w:rPr>
                <w:rFonts w:eastAsia="Times New Roman" w:cs="Times New Roman"/>
                <w:noProof/>
              </w:rPr>
            </w:pPr>
            <w:r>
              <w:rPr>
                <w:noProof/>
              </w:rPr>
              <w:t>Zastąpienie czynnika zrównoważonego rozwoju mechanizmem sprawiedliwości międzypokoleniowej</w:t>
            </w:r>
          </w:p>
        </w:tc>
      </w:tr>
      <w:tr w:rsidR="006578ED" w14:paraId="2541642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404AC7" w14:textId="77777777" w:rsidR="006578ED" w:rsidRDefault="00A1618E">
            <w:pPr>
              <w:pStyle w:val="P68B1DB1-Normal46"/>
              <w:spacing w:after="0" w:line="240" w:lineRule="auto"/>
              <w:jc w:val="center"/>
              <w:rPr>
                <w:rFonts w:eastAsia="Times New Roman" w:cs="Times New Roman"/>
                <w:noProof/>
              </w:rPr>
            </w:pPr>
            <w:r>
              <w:rPr>
                <w:noProof/>
              </w:rPr>
              <w:t>410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817721" w14:textId="77777777" w:rsidR="006578ED" w:rsidRDefault="00A1618E">
            <w:pPr>
              <w:pStyle w:val="P68B1DB1-Normal46"/>
              <w:spacing w:after="0" w:line="240" w:lineRule="auto"/>
              <w:rPr>
                <w:rFonts w:eastAsia="Times New Roman" w:cs="Times New Roman"/>
                <w:noProof/>
              </w:rPr>
            </w:pPr>
            <w:r>
              <w:rPr>
                <w:noProof/>
              </w:rPr>
              <w:t>C30.R2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C407B9" w14:textId="5C535EC1"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694323" w14:textId="0C0B1DBE" w:rsidR="006578ED" w:rsidRDefault="00A1618E">
            <w:pPr>
              <w:pStyle w:val="P68B1DB1-Normal46"/>
              <w:spacing w:after="0" w:line="240" w:lineRule="auto"/>
              <w:rPr>
                <w:rFonts w:eastAsia="Times New Roman" w:cs="Times New Roman"/>
                <w:noProof/>
              </w:rPr>
            </w:pPr>
            <w:r>
              <w:rPr>
                <w:noProof/>
              </w:rPr>
              <w:t>Zaktualizowane prognozy pokazujące, w jaki sposób reformy emerytalne podjęte w 2021 i 20</w:t>
            </w:r>
            <w:r w:rsidRPr="00A1618E">
              <w:rPr>
                <w:noProof/>
                <w:lang w:val="pl-PL"/>
              </w:rPr>
              <w:t>22 r.</w:t>
            </w:r>
            <w:r>
              <w:rPr>
                <w:noProof/>
              </w:rPr>
              <w:t xml:space="preserve"> zapewniają długoterminową stabilność fiskalną</w:t>
            </w:r>
          </w:p>
        </w:tc>
      </w:tr>
      <w:tr w:rsidR="006578ED" w14:paraId="4CA8C9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AC7FEA" w14:textId="77777777" w:rsidR="006578ED" w:rsidRDefault="00A1618E">
            <w:pPr>
              <w:pStyle w:val="P68B1DB1-Normal46"/>
              <w:spacing w:after="0" w:line="240" w:lineRule="auto"/>
              <w:jc w:val="center"/>
              <w:rPr>
                <w:rFonts w:eastAsia="Times New Roman" w:cs="Times New Roman"/>
                <w:noProof/>
              </w:rPr>
            </w:pPr>
            <w:r>
              <w:rPr>
                <w:noProof/>
              </w:rPr>
              <w:t>415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B419FC" w14:textId="77777777" w:rsidR="006578ED" w:rsidRDefault="00A1618E">
            <w:pPr>
              <w:pStyle w:val="P68B1DB1-Normal46"/>
              <w:spacing w:after="0" w:line="240" w:lineRule="auto"/>
              <w:rPr>
                <w:rFonts w:eastAsia="Times New Roman" w:cs="Times New Roman"/>
                <w:noProof/>
              </w:rPr>
            </w:pPr>
            <w:r>
              <w:rPr>
                <w:noProof/>
              </w:rPr>
              <w:t>C30.R6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55BA8D" w14:textId="5BE379DE"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7E2A389" w14:textId="77777777" w:rsidR="006578ED" w:rsidRDefault="00A1618E">
            <w:pPr>
              <w:pStyle w:val="P68B1DB1-Normal46"/>
              <w:spacing w:after="0" w:line="240" w:lineRule="auto"/>
              <w:rPr>
                <w:rFonts w:eastAsia="Times New Roman" w:cs="Times New Roman"/>
                <w:noProof/>
              </w:rPr>
            </w:pPr>
            <w:r>
              <w:rPr>
                <w:noProof/>
              </w:rPr>
              <w:t>Dostosowanie maksymalnej podstawy składki</w:t>
            </w:r>
          </w:p>
        </w:tc>
      </w:tr>
      <w:tr w:rsidR="006578ED" w14:paraId="2737D7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630D0"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BB6704"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6BDAEC" w14:textId="2E25C3E9" w:rsidR="006578ED" w:rsidRDefault="00A1618E">
            <w:pPr>
              <w:pStyle w:val="P68B1DB1-Normal45"/>
              <w:spacing w:after="0" w:line="240" w:lineRule="auto"/>
              <w:rPr>
                <w:rFonts w:eastAsia="Times New Roman" w:cs="Times New Roman"/>
                <w:noProof/>
              </w:rPr>
            </w:pPr>
            <w:r>
              <w:rPr>
                <w:noProof/>
              </w:rPr>
              <w:t>Kwota raty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BBA5ABD" w14:textId="722451D9" w:rsidR="006578ED" w:rsidRDefault="00A1618E">
            <w:pPr>
              <w:pStyle w:val="P68B1DB1-Normal45"/>
              <w:spacing w:after="0" w:line="240" w:lineRule="auto"/>
              <w:rPr>
                <w:rFonts w:eastAsia="Times New Roman" w:cs="Times New Roman"/>
                <w:noProof/>
              </w:rPr>
            </w:pPr>
            <w:r>
              <w:rPr>
                <w:noProof/>
              </w:rPr>
              <w:t>11 435 531 581 EUR</w:t>
            </w:r>
          </w:p>
        </w:tc>
      </w:tr>
    </w:tbl>
    <w:p w14:paraId="4C121253" w14:textId="77777777" w:rsidR="006578ED" w:rsidRDefault="006578ED">
      <w:pPr>
        <w:spacing w:before="120" w:after="120" w:line="240" w:lineRule="auto"/>
        <w:jc w:val="both"/>
        <w:rPr>
          <w:rFonts w:ascii="Times New Roman" w:eastAsia="Calibri" w:hAnsi="Times New Roman" w:cs="Times New Roman"/>
          <w:noProof/>
          <w:sz w:val="24"/>
        </w:rPr>
      </w:pPr>
    </w:p>
    <w:p w14:paraId="6C55E346"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Piąta transza (wsparcie bezzwrotne): </w:t>
      </w:r>
    </w:p>
    <w:tbl>
      <w:tblPr>
        <w:tblW w:w="9663" w:type="dxa"/>
        <w:tblInd w:w="113" w:type="dxa"/>
        <w:tblLook w:val="04A0" w:firstRow="1" w:lastRow="0" w:firstColumn="1" w:lastColumn="0" w:noHBand="0" w:noVBand="1"/>
      </w:tblPr>
      <w:tblGrid>
        <w:gridCol w:w="1300"/>
        <w:gridCol w:w="1443"/>
        <w:gridCol w:w="1561"/>
        <w:gridCol w:w="5670"/>
      </w:tblGrid>
      <w:tr w:rsidR="006578ED" w14:paraId="7D39B07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5FCEE90"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58E726"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4A878AB"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0E2A0620"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25D26112"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933EA4D"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7B04571"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5064E61A" w14:textId="77777777" w:rsidR="006578ED" w:rsidRDefault="006578ED">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49DC5C6B" w14:textId="77777777" w:rsidR="006578ED" w:rsidRDefault="006578ED">
            <w:pPr>
              <w:spacing w:after="0" w:line="240" w:lineRule="auto"/>
              <w:rPr>
                <w:rFonts w:ascii="Times New Roman" w:eastAsia="Times New Roman" w:hAnsi="Times New Roman" w:cs="Times New Roman"/>
                <w:b/>
                <w:noProof/>
                <w:sz w:val="20"/>
              </w:rPr>
            </w:pPr>
          </w:p>
        </w:tc>
      </w:tr>
      <w:tr w:rsidR="006578ED" w14:paraId="73AA3C5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6B816E" w14:textId="77777777" w:rsidR="006578ED" w:rsidRDefault="00A1618E">
            <w:pPr>
              <w:pStyle w:val="P68B1DB1-Normal46"/>
              <w:spacing w:after="0" w:line="240" w:lineRule="auto"/>
              <w:jc w:val="center"/>
              <w:rPr>
                <w:rFonts w:eastAsia="Times New Roman" w:cs="Times New Roman"/>
                <w:noProof/>
              </w:rPr>
            </w:pPr>
            <w:r>
              <w:rPr>
                <w:noProof/>
              </w:rPr>
              <w:t>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5130DB" w14:textId="77777777" w:rsidR="006578ED" w:rsidRDefault="00A1618E">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BF783" w14:textId="3CD593E9"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E307AC" w14:textId="77777777" w:rsidR="006578ED" w:rsidRDefault="00A1618E">
            <w:pPr>
              <w:pStyle w:val="P68B1DB1-Normal46"/>
              <w:spacing w:after="0" w:line="240" w:lineRule="auto"/>
              <w:rPr>
                <w:rFonts w:eastAsia="Times New Roman" w:cs="Times New Roman"/>
                <w:noProof/>
              </w:rPr>
            </w:pPr>
            <w:r>
              <w:rPr>
                <w:noProof/>
              </w:rPr>
              <w:t xml:space="preserve">Przyznawanie innowacyjnych projektów promujących elektromobilność </w:t>
            </w:r>
          </w:p>
        </w:tc>
      </w:tr>
      <w:tr w:rsidR="006578ED" w14:paraId="1C1B53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9A32DB8" w14:textId="77777777" w:rsidR="006578ED" w:rsidRDefault="00A1618E">
            <w:pPr>
              <w:pStyle w:val="P68B1DB1-Normal46"/>
              <w:spacing w:after="0" w:line="240" w:lineRule="auto"/>
              <w:jc w:val="center"/>
              <w:rPr>
                <w:rFonts w:eastAsia="Times New Roman" w:cs="Times New Roman"/>
                <w:noProof/>
              </w:rPr>
            </w:pPr>
            <w:r>
              <w:rPr>
                <w:noProof/>
              </w:rPr>
              <w:t>21a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1DBB0C" w14:textId="77777777" w:rsidR="006578ED" w:rsidRDefault="00A1618E">
            <w:pPr>
              <w:pStyle w:val="P68B1DB1-Normal46"/>
              <w:spacing w:after="0" w:line="240" w:lineRule="auto"/>
              <w:rPr>
                <w:rFonts w:eastAsia="Times New Roman" w:cs="Times New Roman"/>
                <w:noProof/>
              </w:rPr>
            </w:pPr>
            <w:r>
              <w:rPr>
                <w:noProof/>
              </w:rPr>
              <w:t>C2.R2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9D6E9D" w14:textId="318E053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A939CD" w14:textId="4A108579" w:rsidR="006578ED" w:rsidRDefault="00A1618E">
            <w:pPr>
              <w:pStyle w:val="P68B1DB1-Normal46"/>
              <w:spacing w:after="0" w:line="240" w:lineRule="auto"/>
              <w:rPr>
                <w:rFonts w:eastAsia="Times New Roman" w:cs="Times New Roman"/>
                <w:noProof/>
              </w:rPr>
            </w:pPr>
            <w:r>
              <w:rPr>
                <w:noProof/>
              </w:rPr>
              <w:t>Publikacja zaleceń grup roboczych dotyczących wdrożenia długoterminowej strategii renowacji w Hiszpanii</w:t>
            </w:r>
          </w:p>
        </w:tc>
      </w:tr>
      <w:tr w:rsidR="006578ED" w14:paraId="2ADF48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4A52C" w14:textId="77777777" w:rsidR="006578ED" w:rsidRDefault="00A1618E">
            <w:pPr>
              <w:pStyle w:val="P68B1DB1-Normal46"/>
              <w:spacing w:after="0" w:line="240" w:lineRule="auto"/>
              <w:jc w:val="center"/>
              <w:rPr>
                <w:rFonts w:eastAsia="Times New Roman" w:cs="Times New Roman"/>
                <w:noProof/>
              </w:rPr>
            </w:pPr>
            <w:r>
              <w:rPr>
                <w:noProof/>
              </w:rPr>
              <w:t>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515F4D" w14:textId="77777777" w:rsidR="006578ED" w:rsidRDefault="00A1618E">
            <w:pPr>
              <w:pStyle w:val="P68B1DB1-Normal46"/>
              <w:spacing w:after="0" w:line="240" w:lineRule="auto"/>
              <w:rPr>
                <w:rFonts w:eastAsia="Times New Roman" w:cs="Times New Roman"/>
                <w:noProof/>
              </w:rPr>
            </w:pPr>
            <w:r>
              <w:rPr>
                <w:noProof/>
              </w:rPr>
              <w:t>C3.R3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C1F067" w14:textId="08994C5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C307AAE" w14:textId="5F44065F" w:rsidR="006578ED" w:rsidRDefault="00A1618E">
            <w:pPr>
              <w:pStyle w:val="P68B1DB1-Normal46"/>
              <w:spacing w:after="0" w:line="240" w:lineRule="auto"/>
              <w:rPr>
                <w:rFonts w:eastAsia="Times New Roman" w:cs="Times New Roman"/>
                <w:noProof/>
              </w:rPr>
            </w:pPr>
            <w:r>
              <w:rPr>
                <w:noProof/>
              </w:rPr>
              <w:t>Wejście w życie ram normatywnych dotyczących zrównoważonego żywienia w glebach rolnych.</w:t>
            </w:r>
          </w:p>
        </w:tc>
      </w:tr>
      <w:tr w:rsidR="006578ED" w14:paraId="28E8C2A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E1579E" w14:textId="77777777" w:rsidR="006578ED" w:rsidRDefault="00A1618E">
            <w:pPr>
              <w:pStyle w:val="P68B1DB1-Normal46"/>
              <w:spacing w:after="0" w:line="240" w:lineRule="auto"/>
              <w:jc w:val="center"/>
              <w:rPr>
                <w:rFonts w:eastAsia="Times New Roman" w:cs="Times New Roman"/>
                <w:noProof/>
              </w:rPr>
            </w:pPr>
            <w:r>
              <w:rPr>
                <w:noProof/>
              </w:rPr>
              <w:t>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EB1DBE" w14:textId="77777777" w:rsidR="006578ED" w:rsidRDefault="00A1618E">
            <w:pPr>
              <w:pStyle w:val="P68B1DB1-Normal46"/>
              <w:spacing w:after="0" w:line="240" w:lineRule="auto"/>
              <w:rPr>
                <w:rFonts w:eastAsia="Times New Roman" w:cs="Times New Roman"/>
                <w:noProof/>
              </w:rPr>
            </w:pPr>
            <w:r>
              <w:rPr>
                <w:noProof/>
              </w:rPr>
              <w:t>C3.I5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E0D798" w14:textId="53A90840"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BBBA654" w14:textId="61D1DB1E" w:rsidR="006578ED" w:rsidRDefault="00A1618E">
            <w:pPr>
              <w:pStyle w:val="P68B1DB1-Normal46"/>
              <w:spacing w:after="0" w:line="240" w:lineRule="auto"/>
              <w:rPr>
                <w:rFonts w:eastAsia="Times New Roman" w:cs="Times New Roman"/>
                <w:noProof/>
              </w:rPr>
            </w:pPr>
            <w:r>
              <w:rPr>
                <w:noProof/>
              </w:rPr>
              <w:t>Podpisanie umów między Ministerstwem Rolnictwa, Rybołówstwa i Żywności (MAPA) a ENISA</w:t>
            </w:r>
          </w:p>
        </w:tc>
      </w:tr>
      <w:tr w:rsidR="006578ED" w14:paraId="443DE8E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7F535D" w14:textId="77777777" w:rsidR="006578ED" w:rsidRDefault="00A1618E">
            <w:pPr>
              <w:pStyle w:val="P68B1DB1-Normal46"/>
              <w:spacing w:after="0" w:line="240" w:lineRule="auto"/>
              <w:jc w:val="center"/>
              <w:rPr>
                <w:rFonts w:eastAsia="Times New Roman" w:cs="Times New Roman"/>
                <w:noProof/>
              </w:rPr>
            </w:pPr>
            <w:r>
              <w:rPr>
                <w:noProof/>
              </w:rPr>
              <w:t>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ADC518" w14:textId="77777777" w:rsidR="006578ED" w:rsidRDefault="00A1618E">
            <w:pPr>
              <w:pStyle w:val="P68B1DB1-Normal46"/>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C6EE6EF" w14:textId="7BA31D94"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9E4807" w14:textId="77777777" w:rsidR="006578ED" w:rsidRDefault="00A1618E">
            <w:pPr>
              <w:pStyle w:val="P68B1DB1-Normal46"/>
              <w:spacing w:after="0" w:line="240" w:lineRule="auto"/>
              <w:rPr>
                <w:rFonts w:eastAsia="Times New Roman" w:cs="Times New Roman"/>
                <w:noProof/>
              </w:rPr>
            </w:pPr>
            <w:r>
              <w:rPr>
                <w:noProof/>
              </w:rPr>
              <w:t>Rekultywacja byłych terenów górniczych (co najmniej 20 dawnych terenów górniczych)</w:t>
            </w:r>
          </w:p>
        </w:tc>
      </w:tr>
      <w:tr w:rsidR="006578ED" w14:paraId="5E4090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1D57F0" w14:textId="77777777" w:rsidR="006578ED" w:rsidRDefault="00A1618E">
            <w:pPr>
              <w:pStyle w:val="P68B1DB1-Normal46"/>
              <w:spacing w:after="0" w:line="240" w:lineRule="auto"/>
              <w:jc w:val="center"/>
              <w:rPr>
                <w:rFonts w:eastAsia="Times New Roman" w:cs="Times New Roman"/>
                <w:noProof/>
              </w:rPr>
            </w:pPr>
            <w:r>
              <w:rPr>
                <w:noProof/>
              </w:rPr>
              <w:t>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C3607C" w14:textId="77777777" w:rsidR="006578ED" w:rsidRDefault="00A1618E">
            <w:pPr>
              <w:pStyle w:val="P68B1DB1-Normal46"/>
              <w:spacing w:after="0" w:line="240" w:lineRule="auto"/>
              <w:rPr>
                <w:rFonts w:eastAsia="Times New Roman" w:cs="Times New Roman"/>
                <w:noProof/>
              </w:rPr>
            </w:pPr>
            <w:r>
              <w:rPr>
                <w:noProof/>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596E22" w14:textId="09DED9F9"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E2D636" w14:textId="77777777" w:rsidR="006578ED" w:rsidRDefault="00A1618E">
            <w:pPr>
              <w:pStyle w:val="P68B1DB1-Normal46"/>
              <w:spacing w:after="0" w:line="240" w:lineRule="auto"/>
              <w:rPr>
                <w:rFonts w:eastAsia="Times New Roman" w:cs="Times New Roman"/>
                <w:noProof/>
              </w:rPr>
            </w:pPr>
            <w:r>
              <w:rPr>
                <w:noProof/>
              </w:rPr>
              <w:t xml:space="preserve">Działania na rzecz zrównoważonej gospodarki leśnej </w:t>
            </w:r>
          </w:p>
        </w:tc>
      </w:tr>
      <w:tr w:rsidR="006578ED" w14:paraId="49A460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F4C296" w14:textId="77777777" w:rsidR="006578ED" w:rsidRDefault="00A1618E">
            <w:pPr>
              <w:pStyle w:val="P68B1DB1-Normal46"/>
              <w:spacing w:after="0" w:line="240" w:lineRule="auto"/>
              <w:jc w:val="center"/>
              <w:rPr>
                <w:rFonts w:eastAsia="Times New Roman" w:cs="Times New Roman"/>
                <w:noProof/>
              </w:rPr>
            </w:pPr>
            <w:r>
              <w:rPr>
                <w:noProof/>
              </w:rPr>
              <w:t>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D9DBE4" w14:textId="77777777" w:rsidR="006578ED" w:rsidRDefault="00A1618E">
            <w:pPr>
              <w:pStyle w:val="P68B1DB1-Normal46"/>
              <w:spacing w:after="0" w:line="240" w:lineRule="auto"/>
              <w:rPr>
                <w:rFonts w:eastAsia="Times New Roman" w:cs="Times New Roman"/>
                <w:noProof/>
              </w:rPr>
            </w:pPr>
            <w:r>
              <w:rPr>
                <w:noProof/>
              </w:rPr>
              <w:t>C5.R1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D5AD24" w14:textId="14D5E7B1"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602CD3" w14:textId="098993FB" w:rsidR="006578ED" w:rsidRDefault="00A1618E">
            <w:pPr>
              <w:pStyle w:val="P68B1DB1-Normal46"/>
              <w:spacing w:after="0" w:line="240" w:lineRule="auto"/>
              <w:rPr>
                <w:rFonts w:eastAsia="Times New Roman" w:cs="Times New Roman"/>
                <w:noProof/>
              </w:rPr>
            </w:pPr>
            <w:r>
              <w:rPr>
                <w:noProof/>
              </w:rPr>
              <w:t>Wejście w życie zmiany ustawy Prawo wodne i nowego rozporządzenia zastępującego dekret królewski 1620/2007</w:t>
            </w:r>
          </w:p>
        </w:tc>
      </w:tr>
      <w:tr w:rsidR="006578ED" w14:paraId="0F253F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07FA9F" w14:textId="77777777" w:rsidR="006578ED" w:rsidRDefault="00A1618E">
            <w:pPr>
              <w:pStyle w:val="P68B1DB1-Normal46"/>
              <w:spacing w:after="0" w:line="240" w:lineRule="auto"/>
              <w:jc w:val="center"/>
              <w:rPr>
                <w:rFonts w:eastAsia="Times New Roman" w:cs="Times New Roman"/>
                <w:noProof/>
              </w:rPr>
            </w:pPr>
            <w:r>
              <w:rPr>
                <w:noProof/>
              </w:rPr>
              <w:t>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26878B" w14:textId="77777777" w:rsidR="006578ED" w:rsidRDefault="00A1618E">
            <w:pPr>
              <w:pStyle w:val="P68B1DB1-Normal46"/>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ABAE9" w14:textId="6A950EF3"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E514732" w14:textId="77777777" w:rsidR="006578ED" w:rsidRDefault="00A1618E">
            <w:pPr>
              <w:pStyle w:val="P68B1DB1-Normal46"/>
              <w:spacing w:after="0" w:line="240" w:lineRule="auto"/>
              <w:rPr>
                <w:rFonts w:eastAsia="Times New Roman" w:cs="Times New Roman"/>
                <w:noProof/>
              </w:rPr>
            </w:pPr>
            <w:r>
              <w:rPr>
                <w:noProof/>
              </w:rPr>
              <w:t xml:space="preserve">Ulepszona infrastruktura wodno-ściekowa </w:t>
            </w:r>
          </w:p>
        </w:tc>
      </w:tr>
      <w:tr w:rsidR="006578ED" w14:paraId="4F2DC99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9EB1" w14:textId="77777777" w:rsidR="006578ED" w:rsidRDefault="00A1618E">
            <w:pPr>
              <w:pStyle w:val="P68B1DB1-Normal46"/>
              <w:spacing w:after="0" w:line="240" w:lineRule="auto"/>
              <w:jc w:val="center"/>
              <w:rPr>
                <w:rFonts w:eastAsia="Times New Roman" w:cs="Times New Roman"/>
                <w:noProof/>
              </w:rPr>
            </w:pPr>
            <w:r>
              <w:rPr>
                <w:noProof/>
              </w:rPr>
              <w:t>109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BEA266" w14:textId="77777777" w:rsidR="006578ED" w:rsidRDefault="00A1618E">
            <w:pPr>
              <w:pStyle w:val="P68B1DB1-Normal46"/>
              <w:spacing w:after="0" w:line="240" w:lineRule="auto"/>
              <w:rPr>
                <w:rFonts w:eastAsia="Times New Roman" w:cs="Times New Roman"/>
                <w:noProof/>
              </w:rPr>
            </w:pPr>
            <w:r>
              <w:rPr>
                <w:noProof/>
              </w:rPr>
              <w:t>C7.R2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690270" w14:textId="6B0D3B95"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8F654C" w14:textId="4229CF6B" w:rsidR="006578ED" w:rsidRDefault="00A1618E">
            <w:pPr>
              <w:pStyle w:val="P68B1DB1-Normal46"/>
              <w:spacing w:after="0" w:line="240" w:lineRule="auto"/>
              <w:rPr>
                <w:rFonts w:eastAsia="Times New Roman" w:cs="Times New Roman"/>
                <w:noProof/>
              </w:rPr>
            </w:pPr>
            <w:r>
              <w:rPr>
                <w:noProof/>
              </w:rPr>
              <w:t>Zakończenie działań w ramach krajowej strategii konsumpcji własnej</w:t>
            </w:r>
          </w:p>
        </w:tc>
      </w:tr>
      <w:tr w:rsidR="006578ED" w14:paraId="069F93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B4314" w14:textId="77777777" w:rsidR="006578ED" w:rsidRDefault="00A1618E">
            <w:pPr>
              <w:pStyle w:val="P68B1DB1-Normal46"/>
              <w:spacing w:after="0" w:line="240" w:lineRule="auto"/>
              <w:jc w:val="center"/>
              <w:rPr>
                <w:rFonts w:eastAsia="Times New Roman" w:cs="Times New Roman"/>
                <w:noProof/>
              </w:rPr>
            </w:pPr>
            <w:r>
              <w:rPr>
                <w:noProof/>
              </w:rPr>
              <w:t>113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929F6" w14:textId="77777777" w:rsidR="006578ED" w:rsidRDefault="00A1618E">
            <w:pPr>
              <w:pStyle w:val="P68B1DB1-Normal46"/>
              <w:spacing w:after="0" w:line="240" w:lineRule="auto"/>
              <w:rPr>
                <w:rFonts w:eastAsia="Times New Roman" w:cs="Times New Roman"/>
                <w:noProof/>
              </w:rPr>
            </w:pPr>
            <w:r>
              <w:rPr>
                <w:noProof/>
              </w:rPr>
              <w:t>C7.R4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7B9815" w14:textId="0C5965A1"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286560A" w14:textId="427DAA5D" w:rsidR="006578ED" w:rsidRDefault="00A1618E">
            <w:pPr>
              <w:pStyle w:val="P68B1DB1-Normal46"/>
              <w:spacing w:after="0" w:line="240" w:lineRule="auto"/>
              <w:rPr>
                <w:rFonts w:eastAsia="Times New Roman" w:cs="Times New Roman"/>
                <w:noProof/>
              </w:rPr>
            </w:pPr>
            <w:r>
              <w:rPr>
                <w:noProof/>
              </w:rPr>
              <w:t>Wejście w życie środków regulacyjnych określonych na mapie w odniesieniu do morskiej energii wiatrowej i innej energii morskiej</w:t>
            </w:r>
          </w:p>
        </w:tc>
      </w:tr>
      <w:tr w:rsidR="006578ED" w14:paraId="626A32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EA757C" w14:textId="77777777" w:rsidR="006578ED" w:rsidRDefault="00A1618E">
            <w:pPr>
              <w:pStyle w:val="P68B1DB1-Normal46"/>
              <w:spacing w:after="0" w:line="240" w:lineRule="auto"/>
              <w:jc w:val="center"/>
              <w:rPr>
                <w:rFonts w:eastAsia="Times New Roman" w:cs="Times New Roman"/>
                <w:noProof/>
              </w:rPr>
            </w:pPr>
            <w:r>
              <w:rPr>
                <w:noProof/>
              </w:rPr>
              <w:t>131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9E3AC" w14:textId="77777777" w:rsidR="006578ED" w:rsidRDefault="00A1618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901E37" w14:textId="4553AFA9"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E410ED" w14:textId="1DEA1EB3" w:rsidR="006578ED" w:rsidRDefault="00A1618E">
            <w:pPr>
              <w:pStyle w:val="P68B1DB1-Normal46"/>
              <w:spacing w:after="0" w:line="240" w:lineRule="auto"/>
              <w:rPr>
                <w:rFonts w:eastAsia="Times New Roman" w:cs="Times New Roman"/>
                <w:noProof/>
              </w:rPr>
            </w:pPr>
            <w:r>
              <w:rPr>
                <w:noProof/>
              </w:rPr>
              <w:t>Finansowanie MŚP w celu wzmocnienia łańcucha wartości w zakresie wodoru</w:t>
            </w:r>
          </w:p>
        </w:tc>
      </w:tr>
      <w:tr w:rsidR="006578ED" w14:paraId="72E35E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21A9F" w14:textId="77777777" w:rsidR="006578ED" w:rsidRDefault="00A1618E">
            <w:pPr>
              <w:pStyle w:val="P68B1DB1-Normal46"/>
              <w:spacing w:after="0" w:line="240" w:lineRule="auto"/>
              <w:jc w:val="center"/>
              <w:rPr>
                <w:rFonts w:eastAsia="Times New Roman" w:cs="Times New Roman"/>
                <w:noProof/>
              </w:rPr>
            </w:pPr>
            <w:r>
              <w:rPr>
                <w:noProof/>
              </w:rPr>
              <w:t>138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3F831" w14:textId="77777777" w:rsidR="006578ED" w:rsidRDefault="00A1618E">
            <w:pPr>
              <w:pStyle w:val="P68B1DB1-Normal46"/>
              <w:spacing w:after="0" w:line="240" w:lineRule="auto"/>
              <w:rPr>
                <w:rFonts w:eastAsia="Times New Roman" w:cs="Times New Roman"/>
                <w:noProof/>
              </w:rPr>
            </w:pPr>
            <w:r>
              <w:rPr>
                <w:noProof/>
              </w:rPr>
              <w:t>C10.R1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A52CA5" w14:textId="291BAADA"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AE7C4C" w14:textId="542C29E4" w:rsidR="006578ED" w:rsidRDefault="00A1618E">
            <w:pPr>
              <w:pStyle w:val="P68B1DB1-Normal46"/>
              <w:spacing w:after="0" w:line="240" w:lineRule="auto"/>
              <w:rPr>
                <w:rFonts w:eastAsia="Times New Roman" w:cs="Times New Roman"/>
                <w:noProof/>
              </w:rPr>
            </w:pPr>
            <w:r>
              <w:rPr>
                <w:noProof/>
              </w:rPr>
              <w:t xml:space="preserve">Protokoły sprawiedliwej transformacji i komitet doradczy </w:t>
            </w:r>
          </w:p>
        </w:tc>
      </w:tr>
      <w:tr w:rsidR="006578ED" w14:paraId="70D2BA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BE8D56" w14:textId="77777777" w:rsidR="006578ED" w:rsidRDefault="00A1618E">
            <w:pPr>
              <w:pStyle w:val="P68B1DB1-Normal46"/>
              <w:spacing w:after="0" w:line="240" w:lineRule="auto"/>
              <w:jc w:val="center"/>
              <w:rPr>
                <w:rFonts w:eastAsia="Times New Roman" w:cs="Times New Roman"/>
                <w:noProof/>
              </w:rPr>
            </w:pPr>
            <w:r>
              <w:rPr>
                <w:noProof/>
              </w:rPr>
              <w:t>433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0D5DE" w14:textId="77777777" w:rsidR="006578ED" w:rsidRDefault="00A1618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594CE9" w14:textId="7CA2BE05"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E86760" w14:textId="77777777" w:rsidR="006578ED" w:rsidRDefault="00A1618E">
            <w:pPr>
              <w:pStyle w:val="P68B1DB1-Normal46"/>
              <w:spacing w:after="0" w:line="240" w:lineRule="auto"/>
              <w:rPr>
                <w:rFonts w:eastAsia="Times New Roman" w:cs="Times New Roman"/>
                <w:noProof/>
              </w:rPr>
            </w:pPr>
            <w:r>
              <w:rPr>
                <w:noProof/>
              </w:rPr>
              <w:t>Aktualizacja ram bezpieczeństwa narodowego</w:t>
            </w:r>
          </w:p>
        </w:tc>
      </w:tr>
      <w:tr w:rsidR="006578ED" w14:paraId="275E01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55E853" w14:textId="77777777" w:rsidR="006578ED" w:rsidRDefault="00A1618E">
            <w:pPr>
              <w:pStyle w:val="P68B1DB1-Normal46"/>
              <w:spacing w:after="0" w:line="240" w:lineRule="auto"/>
              <w:jc w:val="center"/>
              <w:rPr>
                <w:rFonts w:eastAsia="Times New Roman" w:cs="Times New Roman"/>
                <w:noProof/>
              </w:rPr>
            </w:pPr>
            <w:r>
              <w:rPr>
                <w:noProof/>
              </w:rPr>
              <w:t>453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DBE907D" w14:textId="77777777" w:rsidR="006578ED" w:rsidRDefault="00A1618E">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BA1189" w14:textId="3AED5E5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3F6DA5" w14:textId="58A1C417" w:rsidR="006578ED" w:rsidRDefault="00A1618E">
            <w:pPr>
              <w:pStyle w:val="P68B1DB1-Normal46"/>
              <w:spacing w:after="0" w:line="240" w:lineRule="auto"/>
              <w:rPr>
                <w:rFonts w:eastAsia="Times New Roman" w:cs="Times New Roman"/>
                <w:noProof/>
              </w:rPr>
            </w:pPr>
            <w:r>
              <w:rPr>
                <w:noProof/>
              </w:rPr>
              <w:t>Uruchomienie krajowego programu wsparcia przemysłu cybernetycznego, globalnego programu innowacji w dziedzinie bezpieczeństwa i powiązanych działań.</w:t>
            </w:r>
          </w:p>
        </w:tc>
      </w:tr>
      <w:tr w:rsidR="006578ED" w14:paraId="604871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62B177" w14:textId="77777777" w:rsidR="006578ED" w:rsidRDefault="00A1618E">
            <w:pPr>
              <w:pStyle w:val="P68B1DB1-Normal46"/>
              <w:spacing w:after="0" w:line="240" w:lineRule="auto"/>
              <w:jc w:val="center"/>
              <w:rPr>
                <w:rFonts w:eastAsia="Times New Roman" w:cs="Times New Roman"/>
                <w:noProof/>
              </w:rPr>
            </w:pPr>
            <w:r>
              <w:rPr>
                <w:noProof/>
              </w:rPr>
              <w:t>307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13F0B6E" w14:textId="77777777" w:rsidR="006578ED" w:rsidRDefault="00A1618E">
            <w:pPr>
              <w:pStyle w:val="P68B1DB1-Normal46"/>
              <w:spacing w:after="0" w:line="240" w:lineRule="auto"/>
              <w:rPr>
                <w:rFonts w:eastAsia="Times New Roman" w:cs="Times New Roman"/>
                <w:noProof/>
              </w:rPr>
            </w:pPr>
            <w:r>
              <w:rPr>
                <w:noProof/>
              </w:rPr>
              <w:t>C21.R3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A655B2" w14:textId="7437DB54"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328C97" w14:textId="04E2B96F" w:rsidR="006578ED" w:rsidRDefault="00A1618E">
            <w:pPr>
              <w:pStyle w:val="P68B1DB1-Normal46"/>
              <w:spacing w:after="0" w:line="240" w:lineRule="auto"/>
              <w:rPr>
                <w:rFonts w:eastAsia="Times New Roman" w:cs="Times New Roman"/>
                <w:noProof/>
              </w:rPr>
            </w:pPr>
            <w:r>
              <w:rPr>
                <w:noProof/>
              </w:rPr>
              <w:t>Wejście w życie ustawy organicznej o systemie szkolnictwa wyższego</w:t>
            </w:r>
          </w:p>
        </w:tc>
      </w:tr>
      <w:tr w:rsidR="006578ED" w14:paraId="0EC9061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3D8DC7" w14:textId="77777777" w:rsidR="006578ED" w:rsidRDefault="00A1618E">
            <w:pPr>
              <w:pStyle w:val="P68B1DB1-Normal46"/>
              <w:spacing w:after="0" w:line="240" w:lineRule="auto"/>
              <w:jc w:val="center"/>
              <w:rPr>
                <w:rFonts w:eastAsia="Times New Roman" w:cs="Times New Roman"/>
                <w:noProof/>
              </w:rPr>
            </w:pPr>
            <w:r>
              <w:rPr>
                <w:noProof/>
              </w:rPr>
              <w:t>468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4F146" w14:textId="77777777" w:rsidR="006578ED" w:rsidRDefault="00A1618E">
            <w:pPr>
              <w:pStyle w:val="P68B1DB1-Normal46"/>
              <w:spacing w:after="0" w:line="240" w:lineRule="auto"/>
              <w:rPr>
                <w:rFonts w:eastAsia="Times New Roman" w:cs="Times New Roman"/>
                <w:noProof/>
              </w:rPr>
            </w:pPr>
            <w:r>
              <w:rPr>
                <w:noProof/>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58C613" w14:textId="1E53976C"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7B390DC" w14:textId="77777777" w:rsidR="006578ED" w:rsidRDefault="00A1618E">
            <w:pPr>
              <w:pStyle w:val="P68B1DB1-Normal46"/>
              <w:spacing w:after="0" w:line="240" w:lineRule="auto"/>
              <w:rPr>
                <w:rFonts w:eastAsia="Times New Roman" w:cs="Times New Roman"/>
                <w:noProof/>
              </w:rPr>
            </w:pPr>
            <w:r>
              <w:rPr>
                <w:noProof/>
              </w:rPr>
              <w:t>Przyjęcie planu działania na rzecz rozwoju mikropoświadczeń uniwersyteckich</w:t>
            </w:r>
          </w:p>
        </w:tc>
      </w:tr>
      <w:tr w:rsidR="006578ED" w14:paraId="5C81DA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0FC573B" w14:textId="77777777" w:rsidR="006578ED" w:rsidRDefault="00A1618E">
            <w:pPr>
              <w:pStyle w:val="P68B1DB1-Normal46"/>
              <w:spacing w:after="0" w:line="240" w:lineRule="auto"/>
              <w:jc w:val="center"/>
              <w:rPr>
                <w:rFonts w:eastAsia="Times New Roman" w:cs="Times New Roman"/>
                <w:noProof/>
              </w:rPr>
            </w:pPr>
            <w:r>
              <w:rPr>
                <w:noProof/>
              </w:rPr>
              <w:t>315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AB6452" w14:textId="77777777" w:rsidR="006578ED" w:rsidRDefault="00A1618E">
            <w:pPr>
              <w:pStyle w:val="P68B1DB1-Normal46"/>
              <w:spacing w:after="0" w:line="240" w:lineRule="auto"/>
              <w:rPr>
                <w:rFonts w:eastAsia="Times New Roman" w:cs="Times New Roman"/>
                <w:noProof/>
              </w:rPr>
            </w:pPr>
            <w:r>
              <w:rPr>
                <w:noProof/>
              </w:rPr>
              <w:t>C22.R2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34A196" w14:textId="6F8AC70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27E4CF" w14:textId="1C4274D7" w:rsidR="006578ED" w:rsidRDefault="00A1618E">
            <w:pPr>
              <w:pStyle w:val="P68B1DB1-Normal46"/>
              <w:spacing w:after="0" w:line="240" w:lineRule="auto"/>
              <w:rPr>
                <w:rFonts w:eastAsia="Times New Roman" w:cs="Times New Roman"/>
                <w:noProof/>
              </w:rPr>
            </w:pPr>
            <w:r>
              <w:rPr>
                <w:noProof/>
              </w:rPr>
              <w:t>Wejście w życie ustawy o usługach socjalnych i rozporządzeń ministerialnych</w:t>
            </w:r>
          </w:p>
        </w:tc>
      </w:tr>
      <w:tr w:rsidR="006578ED" w14:paraId="6E9E7FA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951520" w14:textId="77777777" w:rsidR="006578ED" w:rsidRDefault="00A1618E">
            <w:pPr>
              <w:pStyle w:val="P68B1DB1-Normal46"/>
              <w:spacing w:after="0" w:line="240" w:lineRule="auto"/>
              <w:jc w:val="center"/>
              <w:rPr>
                <w:rFonts w:eastAsia="Times New Roman" w:cs="Times New Roman"/>
                <w:noProof/>
              </w:rPr>
            </w:pPr>
            <w:r>
              <w:rPr>
                <w:noProof/>
              </w:rPr>
              <w:t>316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E5878BD" w14:textId="77777777" w:rsidR="006578ED" w:rsidRDefault="00A1618E">
            <w:pPr>
              <w:pStyle w:val="P68B1DB1-Normal46"/>
              <w:spacing w:after="0" w:line="240" w:lineRule="auto"/>
              <w:rPr>
                <w:rFonts w:eastAsia="Times New Roman" w:cs="Times New Roman"/>
                <w:noProof/>
              </w:rPr>
            </w:pPr>
            <w:r>
              <w:rPr>
                <w:noProof/>
              </w:rPr>
              <w:t>C22.R3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1CDE47" w14:textId="272F7882"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8807C3" w14:textId="074F8DFB" w:rsidR="006578ED" w:rsidRDefault="00A1618E">
            <w:pPr>
              <w:pStyle w:val="P68B1DB1-Normal46"/>
              <w:spacing w:after="0" w:line="240" w:lineRule="auto"/>
              <w:rPr>
                <w:rFonts w:eastAsia="Times New Roman" w:cs="Times New Roman"/>
                <w:noProof/>
              </w:rPr>
            </w:pPr>
            <w:r>
              <w:rPr>
                <w:noProof/>
              </w:rPr>
              <w:t>Wejście w życie ustawy o różnorodności rodzin</w:t>
            </w:r>
          </w:p>
        </w:tc>
      </w:tr>
      <w:tr w:rsidR="006578ED" w14:paraId="376139D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341BE" w14:textId="77777777" w:rsidR="006578ED" w:rsidRDefault="00A1618E">
            <w:pPr>
              <w:pStyle w:val="P68B1DB1-Normal46"/>
              <w:spacing w:after="0" w:line="240" w:lineRule="auto"/>
              <w:jc w:val="center"/>
              <w:rPr>
                <w:rFonts w:eastAsia="Times New Roman" w:cs="Times New Roman"/>
                <w:noProof/>
              </w:rPr>
            </w:pPr>
            <w:r>
              <w:rPr>
                <w:noProof/>
              </w:rPr>
              <w:t>321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4DF26A" w14:textId="77777777" w:rsidR="006578ED" w:rsidRDefault="00A1618E">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597E8F" w14:textId="6E95BE1E"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591AAD" w14:textId="3DDDC803" w:rsidR="006578ED" w:rsidRDefault="00A1618E">
            <w:pPr>
              <w:pStyle w:val="P68B1DB1-Normal46"/>
              <w:spacing w:after="0" w:line="240" w:lineRule="auto"/>
              <w:rPr>
                <w:rFonts w:eastAsia="Times New Roman" w:cs="Times New Roman"/>
                <w:noProof/>
              </w:rPr>
            </w:pPr>
            <w:r>
              <w:rPr>
                <w:noProof/>
              </w:rPr>
              <w:t>Projekty realizowane przez Ministerstwo Praw Społecznych i Agendy 2030</w:t>
            </w:r>
          </w:p>
        </w:tc>
      </w:tr>
      <w:tr w:rsidR="006578ED" w14:paraId="7D9C9B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F3A7AC" w14:textId="77777777" w:rsidR="006578ED" w:rsidRDefault="00A1618E">
            <w:pPr>
              <w:pStyle w:val="P68B1DB1-Normal46"/>
              <w:spacing w:after="0" w:line="240" w:lineRule="auto"/>
              <w:jc w:val="center"/>
              <w:rPr>
                <w:rFonts w:eastAsia="Times New Roman" w:cs="Times New Roman"/>
                <w:noProof/>
              </w:rPr>
            </w:pPr>
            <w:r>
              <w:rPr>
                <w:noProof/>
              </w:rPr>
              <w:t>473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74336C" w14:textId="77777777" w:rsidR="006578ED" w:rsidRDefault="00A1618E">
            <w:pPr>
              <w:pStyle w:val="P68B1DB1-Normal46"/>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E58A15" w14:textId="16A340E2"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5EF04EC" w14:textId="77777777" w:rsidR="006578ED" w:rsidRDefault="00A1618E">
            <w:pPr>
              <w:pStyle w:val="P68B1DB1-Normal46"/>
              <w:spacing w:after="0" w:line="240" w:lineRule="auto"/>
              <w:rPr>
                <w:rFonts w:eastAsia="Times New Roman" w:cs="Times New Roman"/>
                <w:noProof/>
              </w:rPr>
            </w:pPr>
            <w:r>
              <w:rPr>
                <w:noProof/>
              </w:rPr>
              <w:t>Ustanowienie różnych rodzajów usług dla ofiar przemocy seksualnej.</w:t>
            </w:r>
          </w:p>
        </w:tc>
      </w:tr>
      <w:tr w:rsidR="006578ED" w14:paraId="0F1B3C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07D3BF" w14:textId="77777777" w:rsidR="006578ED" w:rsidRDefault="00A1618E">
            <w:pPr>
              <w:pStyle w:val="P68B1DB1-Normal46"/>
              <w:spacing w:after="0" w:line="240" w:lineRule="auto"/>
              <w:jc w:val="center"/>
              <w:rPr>
                <w:rFonts w:eastAsia="Times New Roman" w:cs="Times New Roman"/>
                <w:noProof/>
              </w:rPr>
            </w:pPr>
            <w:r>
              <w:rPr>
                <w:noProof/>
              </w:rPr>
              <w:t>386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5345B0" w14:textId="77777777" w:rsidR="006578ED" w:rsidRDefault="00A1618E">
            <w:pPr>
              <w:pStyle w:val="P68B1DB1-Normal46"/>
              <w:spacing w:after="0" w:line="240" w:lineRule="auto"/>
              <w:rPr>
                <w:rFonts w:eastAsia="Times New Roman" w:cs="Times New Roman"/>
                <w:noProof/>
              </w:rPr>
            </w:pPr>
            <w:r>
              <w:rPr>
                <w:noProof/>
              </w:rPr>
              <w:t>C28.R2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56228" w14:textId="706E530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B35D9E" w14:textId="3DEAB0BB" w:rsidR="006578ED" w:rsidRDefault="00A1618E">
            <w:pPr>
              <w:pStyle w:val="P68B1DB1-Normal46"/>
              <w:spacing w:after="0" w:line="240" w:lineRule="auto"/>
              <w:rPr>
                <w:rFonts w:eastAsia="Times New Roman" w:cs="Times New Roman"/>
                <w:noProof/>
              </w:rPr>
            </w:pPr>
            <w:r>
              <w:rPr>
                <w:noProof/>
              </w:rPr>
              <w:t>Przegląd korzyści podatkowych i zmiany</w:t>
            </w:r>
          </w:p>
        </w:tc>
      </w:tr>
      <w:tr w:rsidR="006578ED" w14:paraId="132D78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D9E8C1" w14:textId="77777777" w:rsidR="006578ED" w:rsidRDefault="00A1618E">
            <w:pPr>
              <w:pStyle w:val="P68B1DB1-Normal46"/>
              <w:spacing w:after="0" w:line="240" w:lineRule="auto"/>
              <w:jc w:val="center"/>
              <w:rPr>
                <w:rFonts w:eastAsia="Times New Roman" w:cs="Times New Roman"/>
                <w:noProof/>
              </w:rPr>
            </w:pPr>
            <w:r>
              <w:rPr>
                <w:noProof/>
              </w:rPr>
              <w:t>388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C2E74B" w14:textId="77777777" w:rsidR="006578ED" w:rsidRDefault="00A1618E">
            <w:pPr>
              <w:pStyle w:val="P68B1DB1-Normal46"/>
              <w:spacing w:after="0" w:line="240" w:lineRule="auto"/>
              <w:rPr>
                <w:rFonts w:eastAsia="Times New Roman" w:cs="Times New Roman"/>
                <w:noProof/>
              </w:rPr>
            </w:pPr>
            <w:r>
              <w:rPr>
                <w:noProof/>
              </w:rPr>
              <w:t>C28.R3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2FDE0B" w14:textId="2EA0F94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6635DE" w14:textId="3446AD9B" w:rsidR="006578ED" w:rsidRDefault="00A1618E">
            <w:pPr>
              <w:pStyle w:val="P68B1DB1-Normal46"/>
              <w:spacing w:after="0" w:line="240" w:lineRule="auto"/>
              <w:rPr>
                <w:rFonts w:eastAsia="Times New Roman" w:cs="Times New Roman"/>
                <w:noProof/>
              </w:rPr>
            </w:pPr>
            <w:r>
              <w:rPr>
                <w:noProof/>
              </w:rPr>
              <w:t>Wejście w życie reform wynikających z zaleceń Komitetu</w:t>
            </w:r>
          </w:p>
        </w:tc>
      </w:tr>
      <w:tr w:rsidR="006578ED" w14:paraId="2B777E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80A45E" w14:textId="77777777" w:rsidR="006578ED" w:rsidRDefault="00A1618E">
            <w:pPr>
              <w:pStyle w:val="P68B1DB1-Normal46"/>
              <w:spacing w:after="0" w:line="240" w:lineRule="auto"/>
              <w:jc w:val="center"/>
              <w:rPr>
                <w:rFonts w:eastAsia="Times New Roman" w:cs="Times New Roman"/>
                <w:noProof/>
              </w:rPr>
            </w:pPr>
            <w:r>
              <w:rPr>
                <w:noProof/>
              </w:rPr>
              <w:t>402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2E9E10" w14:textId="77777777" w:rsidR="006578ED" w:rsidRDefault="00A1618E">
            <w:pPr>
              <w:pStyle w:val="P68B1DB1-Normal46"/>
              <w:spacing w:after="0" w:line="240" w:lineRule="auto"/>
              <w:rPr>
                <w:rFonts w:eastAsia="Times New Roman" w:cs="Times New Roman"/>
                <w:noProof/>
              </w:rPr>
            </w:pPr>
            <w:r>
              <w:rPr>
                <w:noProof/>
              </w:rPr>
              <w:t>C29.R1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72A594" w14:textId="4B182A93"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046E978" w14:textId="77777777" w:rsidR="006578ED" w:rsidRDefault="00A1618E">
            <w:pPr>
              <w:pStyle w:val="P68B1DB1-Normal46"/>
              <w:spacing w:after="0" w:line="240" w:lineRule="auto"/>
              <w:rPr>
                <w:rFonts w:eastAsia="Times New Roman" w:cs="Times New Roman"/>
                <w:noProof/>
              </w:rPr>
            </w:pPr>
            <w:r>
              <w:rPr>
                <w:noProof/>
              </w:rPr>
              <w:t>Etap III przeglądu wydatków</w:t>
            </w:r>
          </w:p>
        </w:tc>
      </w:tr>
      <w:tr w:rsidR="006578ED" w14:paraId="23FB34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DEAFD1"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0BE08F"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B29CB3" w14:textId="57494339" w:rsidR="006578ED" w:rsidRDefault="00A1618E">
            <w:pPr>
              <w:pStyle w:val="P68B1DB1-Normal45"/>
              <w:spacing w:after="0" w:line="240" w:lineRule="auto"/>
              <w:rPr>
                <w:rFonts w:eastAsia="Times New Roman" w:cs="Times New Roman"/>
                <w:noProof/>
              </w:rPr>
            </w:pPr>
            <w:r>
              <w:rPr>
                <w:noProof/>
              </w:rPr>
              <w:t>Kwota raty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6325533" w14:textId="44A2D6E1" w:rsidR="006578ED" w:rsidRDefault="00A1618E">
            <w:pPr>
              <w:pStyle w:val="P68B1DB1-Normal45"/>
              <w:spacing w:after="0" w:line="240" w:lineRule="auto"/>
              <w:rPr>
                <w:rFonts w:eastAsia="Times New Roman" w:cs="Times New Roman"/>
                <w:noProof/>
              </w:rPr>
            </w:pPr>
            <w:r>
              <w:rPr>
                <w:noProof/>
              </w:rPr>
              <w:t>7 671 001 527 EUR</w:t>
            </w:r>
          </w:p>
        </w:tc>
      </w:tr>
    </w:tbl>
    <w:p w14:paraId="0476ED92" w14:textId="77777777" w:rsidR="006578ED" w:rsidRDefault="006578ED">
      <w:pPr>
        <w:spacing w:before="120" w:after="120" w:line="240" w:lineRule="auto"/>
        <w:jc w:val="both"/>
        <w:rPr>
          <w:rFonts w:ascii="Times New Roman" w:eastAsia="Calibri" w:hAnsi="Times New Roman" w:cs="Times New Roman"/>
          <w:noProof/>
          <w:sz w:val="24"/>
        </w:rPr>
      </w:pPr>
    </w:p>
    <w:p w14:paraId="6184B4C8"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Szósta transza (wsparcie bezzwrotne): </w:t>
      </w:r>
    </w:p>
    <w:tbl>
      <w:tblPr>
        <w:tblW w:w="9665" w:type="dxa"/>
        <w:tblInd w:w="113" w:type="dxa"/>
        <w:tblLook w:val="04A0" w:firstRow="1" w:lastRow="0" w:firstColumn="1" w:lastColumn="0" w:noHBand="0" w:noVBand="1"/>
      </w:tblPr>
      <w:tblGrid>
        <w:gridCol w:w="1300"/>
        <w:gridCol w:w="1443"/>
        <w:gridCol w:w="1561"/>
        <w:gridCol w:w="5672"/>
      </w:tblGrid>
      <w:tr w:rsidR="006578ED" w14:paraId="7714E221" w14:textId="77777777">
        <w:trPr>
          <w:trHeight w:val="909"/>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B184615" w14:textId="77777777" w:rsidR="006578ED" w:rsidRDefault="00A1618E">
            <w:pPr>
              <w:pStyle w:val="P68B1DB1-Normal45"/>
              <w:spacing w:after="0" w:line="240" w:lineRule="auto"/>
              <w:jc w:val="center"/>
              <w:rPr>
                <w:rFonts w:eastAsia="Times New Roman" w:cs="Times New Roman"/>
                <w:noProof/>
              </w:rPr>
            </w:pPr>
            <w:bookmarkStart w:id="63" w:name="_Hlk145968623"/>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D455CE9"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90A22D8"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2" w:type="dxa"/>
            <w:vMerge w:val="restart"/>
            <w:tcBorders>
              <w:top w:val="single" w:sz="4" w:space="0" w:color="auto"/>
              <w:left w:val="nil"/>
              <w:bottom w:val="single" w:sz="4" w:space="0" w:color="000000"/>
              <w:right w:val="single" w:sz="4" w:space="0" w:color="auto"/>
            </w:tcBorders>
            <w:shd w:val="clear" w:color="auto" w:fill="BDD7EE"/>
            <w:vAlign w:val="center"/>
            <w:hideMark/>
          </w:tcPr>
          <w:p w14:paraId="74E7AE41"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01CB0D0A"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7340931"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2518AB9"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2D43A0AB" w14:textId="77777777" w:rsidR="006578ED" w:rsidRDefault="006578ED">
            <w:pPr>
              <w:spacing w:after="0" w:line="240" w:lineRule="auto"/>
              <w:rPr>
                <w:rFonts w:ascii="Times New Roman" w:eastAsia="Times New Roman" w:hAnsi="Times New Roman" w:cs="Times New Roman"/>
                <w:b/>
                <w:noProof/>
                <w:sz w:val="20"/>
              </w:rPr>
            </w:pPr>
          </w:p>
        </w:tc>
        <w:tc>
          <w:tcPr>
            <w:tcW w:w="5672" w:type="dxa"/>
            <w:vMerge/>
            <w:tcBorders>
              <w:top w:val="single" w:sz="4" w:space="0" w:color="auto"/>
              <w:left w:val="nil"/>
              <w:bottom w:val="single" w:sz="4" w:space="0" w:color="000000"/>
              <w:right w:val="single" w:sz="4" w:space="0" w:color="auto"/>
            </w:tcBorders>
            <w:vAlign w:val="center"/>
            <w:hideMark/>
          </w:tcPr>
          <w:p w14:paraId="16778236" w14:textId="77777777" w:rsidR="006578ED" w:rsidRDefault="006578ED">
            <w:pPr>
              <w:spacing w:after="0" w:line="240" w:lineRule="auto"/>
              <w:rPr>
                <w:rFonts w:ascii="Times New Roman" w:eastAsia="Times New Roman" w:hAnsi="Times New Roman" w:cs="Times New Roman"/>
                <w:b/>
                <w:noProof/>
                <w:sz w:val="20"/>
              </w:rPr>
            </w:pPr>
          </w:p>
        </w:tc>
      </w:tr>
      <w:tr w:rsidR="006578ED" w14:paraId="1F3B0E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D5DC648" w14:textId="77777777" w:rsidR="006578ED" w:rsidRDefault="00A1618E">
            <w:pPr>
              <w:pStyle w:val="P68B1DB1-Normal46"/>
              <w:spacing w:after="0" w:line="240" w:lineRule="auto"/>
              <w:rPr>
                <w:rFonts w:eastAsia="Times New Roman" w:cs="Times New Roman"/>
                <w:noProof/>
              </w:rPr>
            </w:pPr>
            <w:r>
              <w:rPr>
                <w:noProof/>
              </w:rPr>
              <w:t>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18CC061" w14:textId="77777777" w:rsidR="006578ED" w:rsidRDefault="00A1618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BD0567" w14:textId="5163CEA9"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1853B26" w14:textId="2E8B7723" w:rsidR="006578ED" w:rsidRDefault="00A1618E">
            <w:pPr>
              <w:pStyle w:val="P68B1DB1-Normal46"/>
              <w:spacing w:after="0" w:line="240" w:lineRule="auto"/>
              <w:rPr>
                <w:rFonts w:eastAsia="Times New Roman" w:cs="Times New Roman"/>
                <w:noProof/>
              </w:rPr>
            </w:pPr>
            <w:r>
              <w:rPr>
                <w:noProof/>
              </w:rPr>
              <w:t xml:space="preserve">Budżet przeznaczony na zakupy lub przyznany przez wspólnoty autonomiczne w wysokości co najmniej 900 mln EUR w celu promowania mobilności zgodnej z zasadami zrównoważonego rozwoju </w:t>
            </w:r>
          </w:p>
        </w:tc>
      </w:tr>
      <w:bookmarkEnd w:id="63"/>
      <w:tr w:rsidR="006578ED" w14:paraId="68C38C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88AE58" w14:textId="77777777" w:rsidR="006578ED" w:rsidRDefault="00A1618E">
            <w:pPr>
              <w:pStyle w:val="P68B1DB1-Normal46"/>
              <w:spacing w:after="0" w:line="240" w:lineRule="auto"/>
              <w:rPr>
                <w:rFonts w:eastAsia="Times New Roman" w:cs="Times New Roman"/>
                <w:noProof/>
              </w:rPr>
            </w:pPr>
            <w:r>
              <w:rPr>
                <w:noProof/>
              </w:rPr>
              <w:t>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9951421" w14:textId="77777777" w:rsidR="006578ED" w:rsidRDefault="00A1618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731E545" w14:textId="626072B1"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355326" w14:textId="39B2C556" w:rsidR="006578ED" w:rsidRDefault="00A1618E">
            <w:pPr>
              <w:pStyle w:val="P68B1DB1-Normal46"/>
              <w:spacing w:after="0" w:line="240" w:lineRule="auto"/>
              <w:rPr>
                <w:rFonts w:eastAsia="Times New Roman" w:cs="Times New Roman"/>
                <w:noProof/>
              </w:rPr>
            </w:pPr>
            <w:r>
              <w:rPr>
                <w:noProof/>
              </w:rPr>
              <w:t xml:space="preserve">Ukończone projekty promujące zrównoważoną mobilność, w tym na obszarach miejskich i metropolitalnych </w:t>
            </w:r>
          </w:p>
        </w:tc>
      </w:tr>
      <w:tr w:rsidR="006578ED" w14:paraId="2726397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EF3792" w14:textId="77777777" w:rsidR="006578ED" w:rsidRDefault="00A1618E">
            <w:pPr>
              <w:pStyle w:val="P68B1DB1-Normal46"/>
              <w:spacing w:after="0" w:line="240" w:lineRule="auto"/>
              <w:rPr>
                <w:rFonts w:eastAsia="Times New Roman" w:cs="Times New Roman"/>
                <w:noProof/>
              </w:rPr>
            </w:pPr>
            <w:r>
              <w:rPr>
                <w:noProof/>
              </w:rPr>
              <w:t>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433AD2F" w14:textId="77777777" w:rsidR="006578ED" w:rsidRDefault="00A1618E">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D87D96A" w14:textId="66D20C65"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FAC7C37" w14:textId="18EB3246" w:rsidR="006578ED" w:rsidRDefault="00A1618E">
            <w:pPr>
              <w:pStyle w:val="P68B1DB1-Normal46"/>
              <w:spacing w:after="0" w:line="240" w:lineRule="auto"/>
              <w:rPr>
                <w:rFonts w:eastAsia="Times New Roman" w:cs="Times New Roman"/>
                <w:noProof/>
              </w:rPr>
            </w:pPr>
            <w:r>
              <w:rPr>
                <w:noProof/>
              </w:rPr>
              <w:t xml:space="preserve">Rejestracja wniosków o dotacje dla pojazdów elektrycznych i punktów ładowania </w:t>
            </w:r>
          </w:p>
        </w:tc>
      </w:tr>
      <w:tr w:rsidR="006578ED" w14:paraId="05E01A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77BB97" w14:textId="77777777" w:rsidR="006578ED" w:rsidRDefault="00A1618E">
            <w:pPr>
              <w:pStyle w:val="P68B1DB1-Normal46"/>
              <w:spacing w:after="0" w:line="240" w:lineRule="auto"/>
              <w:rPr>
                <w:rFonts w:eastAsia="Times New Roman" w:cs="Times New Roman"/>
                <w:noProof/>
              </w:rPr>
            </w:pPr>
            <w:r>
              <w:rPr>
                <w:noProof/>
              </w:rPr>
              <w:t>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644129" w14:textId="77777777" w:rsidR="006578ED" w:rsidRDefault="00A1618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24894D" w14:textId="7EFE067D"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B43848" w14:textId="77777777" w:rsidR="006578ED" w:rsidRDefault="00A1618E">
            <w:pPr>
              <w:pStyle w:val="P68B1DB1-Normal46"/>
              <w:spacing w:after="0" w:line="240" w:lineRule="auto"/>
              <w:rPr>
                <w:rFonts w:eastAsia="Times New Roman" w:cs="Times New Roman"/>
                <w:noProof/>
              </w:rPr>
            </w:pPr>
            <w:r>
              <w:rPr>
                <w:noProof/>
              </w:rPr>
              <w:t xml:space="preserve">Krótkie odległości (Cercanías) – linie kolejowe </w:t>
            </w:r>
          </w:p>
        </w:tc>
      </w:tr>
      <w:tr w:rsidR="006578ED" w14:paraId="3C6E39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168029F" w14:textId="77777777" w:rsidR="006578ED" w:rsidRDefault="00A1618E">
            <w:pPr>
              <w:pStyle w:val="P68B1DB1-Normal46"/>
              <w:spacing w:after="0" w:line="240" w:lineRule="auto"/>
              <w:rPr>
                <w:rFonts w:eastAsia="Times New Roman" w:cs="Times New Roman"/>
                <w:noProof/>
              </w:rPr>
            </w:pPr>
            <w:r>
              <w:rPr>
                <w:noProof/>
              </w:rPr>
              <w:t>15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394E5A" w14:textId="77777777" w:rsidR="006578ED" w:rsidRDefault="00A1618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7F9C33" w14:textId="3416330F"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983D24" w14:textId="77777777" w:rsidR="006578ED" w:rsidRDefault="00A1618E">
            <w:pPr>
              <w:pStyle w:val="P68B1DB1-Normal46"/>
              <w:spacing w:after="0" w:line="240" w:lineRule="auto"/>
              <w:rPr>
                <w:rFonts w:eastAsia="Times New Roman" w:cs="Times New Roman"/>
                <w:noProof/>
              </w:rPr>
            </w:pPr>
            <w:r>
              <w:rPr>
                <w:noProof/>
              </w:rPr>
              <w:t xml:space="preserve">Stacje ulepszone dzięki cyfryzacji </w:t>
            </w:r>
          </w:p>
        </w:tc>
      </w:tr>
      <w:tr w:rsidR="006578ED" w14:paraId="108C70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9C645A" w14:textId="77777777" w:rsidR="006578ED" w:rsidRDefault="00A1618E">
            <w:pPr>
              <w:pStyle w:val="P68B1DB1-Normal46"/>
              <w:spacing w:after="0" w:line="240" w:lineRule="auto"/>
              <w:rPr>
                <w:rFonts w:eastAsia="Times New Roman" w:cs="Times New Roman"/>
                <w:noProof/>
              </w:rPr>
            </w:pPr>
            <w:r>
              <w:rPr>
                <w:noProof/>
              </w:rPr>
              <w:t>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9C2C548" w14:textId="77777777" w:rsidR="006578ED" w:rsidRDefault="00A1618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0174D45" w14:textId="189E04AE"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FC4268" w14:textId="77777777" w:rsidR="006578ED" w:rsidRDefault="00A1618E">
            <w:pPr>
              <w:pStyle w:val="P68B1DB1-Normal46"/>
              <w:spacing w:after="0" w:line="240" w:lineRule="auto"/>
              <w:rPr>
                <w:rFonts w:eastAsia="Times New Roman" w:cs="Times New Roman"/>
                <w:noProof/>
              </w:rPr>
            </w:pPr>
            <w:r>
              <w:rPr>
                <w:noProof/>
              </w:rPr>
              <w:t xml:space="preserve">Ulepszone stacje „Cercanías” </w:t>
            </w:r>
          </w:p>
        </w:tc>
      </w:tr>
      <w:tr w:rsidR="006578ED" w14:paraId="0A9C021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D0BE04" w14:textId="77777777" w:rsidR="006578ED" w:rsidRDefault="00A1618E">
            <w:pPr>
              <w:pStyle w:val="P68B1DB1-Normal46"/>
              <w:spacing w:after="0" w:line="240" w:lineRule="auto"/>
              <w:rPr>
                <w:rFonts w:eastAsia="Times New Roman" w:cs="Times New Roman"/>
                <w:noProof/>
              </w:rPr>
            </w:pPr>
            <w:r>
              <w:rPr>
                <w:noProof/>
              </w:rPr>
              <w:t>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1169338" w14:textId="77777777" w:rsidR="006578ED" w:rsidRDefault="00A1618E">
            <w:pPr>
              <w:pStyle w:val="P68B1DB1-Normal46"/>
              <w:spacing w:after="0" w:line="240" w:lineRule="auto"/>
              <w:rPr>
                <w:rFonts w:eastAsia="Times New Roman" w:cs="Times New Roman"/>
                <w:noProof/>
              </w:rPr>
            </w:pPr>
            <w:r>
              <w:rPr>
                <w:noProof/>
              </w:rPr>
              <w:t>C2.I3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A1A9740" w14:textId="457F2614"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2925CE" w14:textId="3D6E3DA1" w:rsidR="006578ED" w:rsidRDefault="00A1618E">
            <w:pPr>
              <w:pStyle w:val="P68B1DB1-Normal46"/>
              <w:spacing w:after="0" w:line="240" w:lineRule="auto"/>
              <w:rPr>
                <w:rFonts w:eastAsia="Times New Roman" w:cs="Times New Roman"/>
                <w:noProof/>
              </w:rPr>
            </w:pPr>
            <w:r>
              <w:rPr>
                <w:noProof/>
              </w:rPr>
              <w:t>Udzielanie zamówień na renowacje budynków mieszkalnych i niemieszkalnych, osiągające średnio co najmniej 30 % redukcję zapotrzebowania na energię pierwotną</w:t>
            </w:r>
          </w:p>
        </w:tc>
      </w:tr>
      <w:tr w:rsidR="006578ED" w14:paraId="4C35979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E09E7CE" w14:textId="77777777" w:rsidR="006578ED" w:rsidRDefault="00A1618E">
            <w:pPr>
              <w:pStyle w:val="P68B1DB1-Normal46"/>
              <w:spacing w:after="0" w:line="240" w:lineRule="auto"/>
              <w:rPr>
                <w:rFonts w:eastAsia="Times New Roman" w:cs="Times New Roman"/>
                <w:noProof/>
              </w:rPr>
            </w:pPr>
            <w:r>
              <w:rPr>
                <w:noProof/>
              </w:rPr>
              <w:t>422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D0E986F" w14:textId="77777777" w:rsidR="006578ED" w:rsidRDefault="00A1618E">
            <w:pPr>
              <w:pStyle w:val="P68B1DB1-Normal46"/>
              <w:spacing w:after="0" w:line="240" w:lineRule="auto"/>
              <w:rPr>
                <w:rFonts w:eastAsia="Times New Roman" w:cs="Times New Roman"/>
                <w:noProof/>
              </w:rPr>
            </w:pPr>
            <w:r>
              <w:rPr>
                <w:noProof/>
              </w:rPr>
              <w:t>C3.R2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3FAC8EB" w14:textId="12089E36"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6FABD1B" w14:textId="0A8997C2" w:rsidR="006578ED" w:rsidRDefault="00A1618E">
            <w:pPr>
              <w:pStyle w:val="P68B1DB1-Normal46"/>
              <w:spacing w:after="0" w:line="240" w:lineRule="auto"/>
              <w:rPr>
                <w:rFonts w:eastAsia="Times New Roman" w:cs="Times New Roman"/>
                <w:noProof/>
              </w:rPr>
            </w:pPr>
            <w:r>
              <w:rPr>
                <w:noProof/>
              </w:rPr>
              <w:t>Wejście w życie rozporządzenia mającego na celu poprawę bioasekuracji transportu zwierząt gospodarskich oraz rozporządzenia w sprawie zrównoważonego stosowania antybiotyków u gatunków zwierząt gospodarskich</w:t>
            </w:r>
          </w:p>
        </w:tc>
      </w:tr>
      <w:tr w:rsidR="006578ED" w14:paraId="021006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045896" w14:textId="77777777" w:rsidR="006578ED" w:rsidRDefault="00A1618E">
            <w:pPr>
              <w:pStyle w:val="P68B1DB1-Normal46"/>
              <w:spacing w:after="0" w:line="240" w:lineRule="auto"/>
              <w:rPr>
                <w:rFonts w:eastAsia="Times New Roman" w:cs="Times New Roman"/>
                <w:noProof/>
              </w:rPr>
            </w:pPr>
            <w:r>
              <w:rPr>
                <w:noProof/>
              </w:rPr>
              <w:t>424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4C75433" w14:textId="77777777" w:rsidR="006578ED" w:rsidRDefault="00A1618E">
            <w:pPr>
              <w:pStyle w:val="P68B1DB1-Normal46"/>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DF5FCFA" w14:textId="2F267024"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F6AB22" w14:textId="38518C23" w:rsidR="006578ED" w:rsidRDefault="00A1618E">
            <w:pPr>
              <w:pStyle w:val="P68B1DB1-Normal46"/>
              <w:spacing w:after="0" w:line="240" w:lineRule="auto"/>
              <w:rPr>
                <w:rFonts w:eastAsia="Times New Roman" w:cs="Times New Roman"/>
                <w:noProof/>
              </w:rPr>
            </w:pPr>
            <w:r>
              <w:rPr>
                <w:noProof/>
              </w:rPr>
              <w:t>Wdrożenie addendum do umowy między Ministerstwem Rolnictwa, Rybołówstwa i Żywności (MAPA) a SEIASA w celu wspierania poprawy i zrównoważonego charakteru obszarów nawadnianych (etap II)</w:t>
            </w:r>
          </w:p>
        </w:tc>
      </w:tr>
      <w:tr w:rsidR="006578ED" w14:paraId="48E49AF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D828D6" w14:textId="77777777" w:rsidR="006578ED" w:rsidRDefault="00A1618E">
            <w:pPr>
              <w:pStyle w:val="P68B1DB1-Normal46"/>
              <w:spacing w:after="0" w:line="240" w:lineRule="auto"/>
              <w:rPr>
                <w:rFonts w:eastAsia="Times New Roman" w:cs="Times New Roman"/>
                <w:noProof/>
              </w:rPr>
            </w:pPr>
            <w:r>
              <w:rPr>
                <w:noProof/>
              </w:rPr>
              <w:t>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EA37CDF" w14:textId="77777777" w:rsidR="006578ED" w:rsidRDefault="00A1618E">
            <w:pPr>
              <w:pStyle w:val="P68B1DB1-Normal46"/>
              <w:spacing w:after="0" w:line="240" w:lineRule="auto"/>
              <w:rPr>
                <w:rFonts w:eastAsia="Times New Roman" w:cs="Times New Roman"/>
                <w:noProof/>
              </w:rPr>
            </w:pPr>
            <w:r>
              <w:rPr>
                <w:noProof/>
              </w:rPr>
              <w:t>C3.I5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0FA73C5" w14:textId="313BF454"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33810AC" w14:textId="765B72CD" w:rsidR="006578ED" w:rsidRDefault="00A1618E">
            <w:pPr>
              <w:pStyle w:val="P68B1DB1-Normal46"/>
              <w:spacing w:after="0" w:line="240" w:lineRule="auto"/>
              <w:rPr>
                <w:rFonts w:eastAsia="Times New Roman" w:cs="Times New Roman"/>
                <w:noProof/>
              </w:rPr>
            </w:pPr>
            <w:r>
              <w:rPr>
                <w:noProof/>
              </w:rPr>
              <w:t>Wsparcie MŚP z sektora rolno-spożywczego w celu realizacji innowacyjnych i cyfrowych projektów biznesowych</w:t>
            </w:r>
          </w:p>
        </w:tc>
      </w:tr>
      <w:tr w:rsidR="006578ED" w14:paraId="72099B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519883E" w14:textId="77777777" w:rsidR="006578ED" w:rsidRDefault="00A1618E">
            <w:pPr>
              <w:pStyle w:val="P68B1DB1-Normal46"/>
              <w:spacing w:after="0" w:line="240" w:lineRule="auto"/>
              <w:rPr>
                <w:rFonts w:eastAsia="Times New Roman" w:cs="Times New Roman"/>
                <w:noProof/>
              </w:rPr>
            </w:pPr>
            <w:r>
              <w:rPr>
                <w:noProof/>
              </w:rPr>
              <w:t>58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F8C60D4" w14:textId="77777777" w:rsidR="006578ED" w:rsidRDefault="00A1618E">
            <w:pPr>
              <w:pStyle w:val="P68B1DB1-Normal46"/>
              <w:spacing w:after="0" w:line="240" w:lineRule="auto"/>
              <w:rPr>
                <w:rFonts w:eastAsia="Times New Roman" w:cs="Times New Roman"/>
                <w:noProof/>
              </w:rPr>
            </w:pPr>
            <w:r>
              <w:rPr>
                <w:noProof/>
              </w:rPr>
              <w:t>C3.I8</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6B8899" w14:textId="749695F3"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64186B" w14:textId="49BD5D2E" w:rsidR="006578ED" w:rsidRDefault="00A1618E">
            <w:pPr>
              <w:pStyle w:val="P68B1DB1-Normal46"/>
              <w:spacing w:after="0" w:line="240" w:lineRule="auto"/>
              <w:rPr>
                <w:rFonts w:eastAsia="Times New Roman" w:cs="Times New Roman"/>
                <w:noProof/>
              </w:rPr>
            </w:pPr>
            <w:r>
              <w:rPr>
                <w:noProof/>
              </w:rPr>
              <w:t>Projekty badawczo-rozwojowe i innowacyjne wspierające odporność i zrównoważony charakter sektora rybołówstwa i akwakultury</w:t>
            </w:r>
          </w:p>
        </w:tc>
      </w:tr>
      <w:tr w:rsidR="006578ED" w14:paraId="353C04A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5A3883C" w14:textId="77777777" w:rsidR="006578ED" w:rsidRDefault="00A1618E">
            <w:pPr>
              <w:pStyle w:val="P68B1DB1-Normal46"/>
              <w:spacing w:after="0" w:line="240" w:lineRule="auto"/>
              <w:rPr>
                <w:rFonts w:eastAsia="Times New Roman" w:cs="Times New Roman"/>
                <w:noProof/>
              </w:rPr>
            </w:pPr>
            <w:r>
              <w:rPr>
                <w:noProof/>
              </w:rPr>
              <w:t>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AE5A9D" w14:textId="77777777" w:rsidR="006578ED" w:rsidRDefault="00A1618E">
            <w:pPr>
              <w:pStyle w:val="P68B1DB1-Normal46"/>
              <w:spacing w:after="0" w:line="240" w:lineRule="auto"/>
              <w:rPr>
                <w:rFonts w:eastAsia="Times New Roman" w:cs="Times New Roman"/>
                <w:noProof/>
              </w:rPr>
            </w:pPr>
            <w:r>
              <w:rPr>
                <w:noProof/>
              </w:rPr>
              <w:t>C3.I9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D6F368" w14:textId="6F5DF50F"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44A35E" w14:textId="39BBDBC5" w:rsidR="006578ED" w:rsidRDefault="00A1618E">
            <w:pPr>
              <w:pStyle w:val="P68B1DB1-Normal46"/>
              <w:spacing w:after="0" w:line="240" w:lineRule="auto"/>
              <w:rPr>
                <w:rFonts w:eastAsia="Times New Roman" w:cs="Times New Roman"/>
                <w:noProof/>
              </w:rPr>
            </w:pPr>
            <w:r>
              <w:rPr>
                <w:noProof/>
              </w:rPr>
              <w:t xml:space="preserve">Cyfrowe wzmocnienie hiszpańskiego systemu informacji o rybołówstwie (SIPE) oraz systemu nadzoru połowów </w:t>
            </w:r>
          </w:p>
        </w:tc>
      </w:tr>
      <w:tr w:rsidR="006578ED" w14:paraId="08B0262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A8C04D0" w14:textId="77777777" w:rsidR="006578ED" w:rsidRDefault="00A1618E">
            <w:pPr>
              <w:pStyle w:val="P68B1DB1-Normal46"/>
              <w:spacing w:after="0" w:line="240" w:lineRule="auto"/>
              <w:rPr>
                <w:rFonts w:eastAsia="Times New Roman" w:cs="Times New Roman"/>
                <w:noProof/>
              </w:rPr>
            </w:pPr>
            <w:r>
              <w:rPr>
                <w:noProof/>
              </w:rPr>
              <w:t>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A18098" w14:textId="77777777" w:rsidR="006578ED" w:rsidRDefault="00A1618E">
            <w:pPr>
              <w:pStyle w:val="P68B1DB1-Normal46"/>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6CF29AC" w14:textId="4FC769AE"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7E9F41" w14:textId="77777777" w:rsidR="006578ED" w:rsidRDefault="00A1618E">
            <w:pPr>
              <w:pStyle w:val="P68B1DB1-Normal46"/>
              <w:spacing w:after="0" w:line="240" w:lineRule="auto"/>
              <w:rPr>
                <w:rFonts w:eastAsia="Times New Roman" w:cs="Times New Roman"/>
                <w:noProof/>
              </w:rPr>
            </w:pPr>
            <w:r>
              <w:rPr>
                <w:noProof/>
              </w:rPr>
              <w:t xml:space="preserve">Morskie obszary chronione </w:t>
            </w:r>
          </w:p>
        </w:tc>
      </w:tr>
      <w:tr w:rsidR="006578ED" w14:paraId="7318357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8B48014" w14:textId="77777777" w:rsidR="006578ED" w:rsidRDefault="00A1618E">
            <w:pPr>
              <w:pStyle w:val="P68B1DB1-Normal46"/>
              <w:spacing w:after="0" w:line="240" w:lineRule="auto"/>
              <w:rPr>
                <w:rFonts w:eastAsia="Times New Roman" w:cs="Times New Roman"/>
                <w:noProof/>
              </w:rPr>
            </w:pPr>
            <w:r>
              <w:rPr>
                <w:noProof/>
              </w:rPr>
              <w:t>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FA27E44" w14:textId="77777777" w:rsidR="006578ED" w:rsidRDefault="00A1618E">
            <w:pPr>
              <w:pStyle w:val="P68B1DB1-Normal46"/>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D2F256" w14:textId="4D0094CB"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2A79BFF" w14:textId="44612053" w:rsidR="006578ED" w:rsidRDefault="00A1618E">
            <w:pPr>
              <w:pStyle w:val="P68B1DB1-Normal46"/>
              <w:spacing w:after="0" w:line="240" w:lineRule="auto"/>
              <w:rPr>
                <w:rFonts w:eastAsia="Times New Roman" w:cs="Times New Roman"/>
                <w:noProof/>
              </w:rPr>
            </w:pPr>
            <w:r>
              <w:rPr>
                <w:noProof/>
              </w:rPr>
              <w:t xml:space="preserve">Udzielanie zamówień na wdrożenie narzędzi służących poprawie wiedzy i wykorzystaniu zasobów wodnych oraz monitorowaniu opadów deszczu i innych danych meteorologicznych </w:t>
            </w:r>
          </w:p>
        </w:tc>
      </w:tr>
      <w:tr w:rsidR="006578ED" w14:paraId="34FE770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C1B47B" w14:textId="77777777" w:rsidR="006578ED" w:rsidRDefault="00A1618E">
            <w:pPr>
              <w:pStyle w:val="P68B1DB1-Normal46"/>
              <w:spacing w:after="0" w:line="240" w:lineRule="auto"/>
              <w:rPr>
                <w:rFonts w:eastAsia="Times New Roman" w:cs="Times New Roman"/>
                <w:noProof/>
              </w:rPr>
            </w:pPr>
            <w:r>
              <w:rPr>
                <w:noProof/>
              </w:rPr>
              <w:t>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35AB65" w14:textId="77777777" w:rsidR="006578ED" w:rsidRDefault="00A1618E">
            <w:pPr>
              <w:pStyle w:val="P68B1DB1-Normal46"/>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FD444B" w14:textId="5C0A5C3F"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E31BBCC" w14:textId="14D381DE" w:rsidR="006578ED" w:rsidRDefault="00A1618E">
            <w:pPr>
              <w:pStyle w:val="P68B1DB1-Normal46"/>
              <w:spacing w:after="0" w:line="240" w:lineRule="auto"/>
              <w:rPr>
                <w:rFonts w:eastAsia="Times New Roman" w:cs="Times New Roman"/>
                <w:noProof/>
              </w:rPr>
            </w:pPr>
            <w:r>
              <w:rPr>
                <w:noProof/>
              </w:rPr>
              <w:t>Odbudowa zdegradowanych obszarów i ekosystemów w odległości co najmniej 100 kilometrów linii brzegowej</w:t>
            </w:r>
          </w:p>
        </w:tc>
      </w:tr>
      <w:tr w:rsidR="006578ED" w14:paraId="7FD3F8F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C7058D" w14:textId="77777777" w:rsidR="006578ED" w:rsidRDefault="00A1618E">
            <w:pPr>
              <w:pStyle w:val="P68B1DB1-Normal46"/>
              <w:spacing w:after="0" w:line="240" w:lineRule="auto"/>
              <w:rPr>
                <w:rFonts w:eastAsia="Times New Roman" w:cs="Times New Roman"/>
                <w:noProof/>
              </w:rPr>
            </w:pPr>
            <w:r>
              <w:rPr>
                <w:noProof/>
              </w:rPr>
              <w:t>106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2CA001" w14:textId="77777777" w:rsidR="006578ED" w:rsidRDefault="00A1618E">
            <w:pPr>
              <w:pStyle w:val="P68B1DB1-Normal46"/>
              <w:spacing w:after="0" w:line="240" w:lineRule="auto"/>
              <w:rPr>
                <w:rFonts w:eastAsia="Times New Roman" w:cs="Times New Roman"/>
                <w:noProof/>
              </w:rPr>
            </w:pPr>
            <w:r>
              <w:rPr>
                <w:noProof/>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3031F88" w14:textId="50400159"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9DD74BB" w14:textId="00363B35" w:rsidR="006578ED" w:rsidRDefault="00A1618E">
            <w:pPr>
              <w:pStyle w:val="P68B1DB1-Normal46"/>
              <w:spacing w:after="0" w:line="240" w:lineRule="auto"/>
              <w:rPr>
                <w:rFonts w:eastAsia="Times New Roman" w:cs="Times New Roman"/>
                <w:noProof/>
              </w:rPr>
            </w:pPr>
            <w:r>
              <w:rPr>
                <w:noProof/>
              </w:rPr>
              <w:t xml:space="preserve">Dodatkowa zdolność produkcyjna w zakresie energii ze źródeł odnawialnych </w:t>
            </w:r>
          </w:p>
        </w:tc>
      </w:tr>
      <w:tr w:rsidR="006578ED" w14:paraId="0E8251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203A73B" w14:textId="77777777" w:rsidR="006578ED" w:rsidRDefault="00A1618E">
            <w:pPr>
              <w:pStyle w:val="P68B1DB1-Normal46"/>
              <w:spacing w:after="0" w:line="240" w:lineRule="auto"/>
              <w:rPr>
                <w:rFonts w:eastAsia="Times New Roman" w:cs="Times New Roman"/>
                <w:noProof/>
              </w:rPr>
            </w:pPr>
            <w:r>
              <w:rPr>
                <w:noProof/>
              </w:rPr>
              <w:t>107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133213A" w14:textId="77777777" w:rsidR="006578ED" w:rsidRDefault="00A1618E">
            <w:pPr>
              <w:pStyle w:val="P68B1DB1-Normal46"/>
              <w:spacing w:after="0" w:line="240" w:lineRule="auto"/>
              <w:rPr>
                <w:rFonts w:eastAsia="Times New Roman" w:cs="Times New Roman"/>
                <w:noProof/>
              </w:rPr>
            </w:pPr>
            <w:r>
              <w:rPr>
                <w:noProof/>
              </w:rPr>
              <w:t>C7.R1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8EA104" w14:textId="5F395DF3"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7C3D2FE" w14:textId="24C190FF" w:rsidR="006578ED" w:rsidRDefault="00A1618E">
            <w:pPr>
              <w:pStyle w:val="P68B1DB1-Normal46"/>
              <w:spacing w:after="0" w:line="240" w:lineRule="auto"/>
              <w:rPr>
                <w:rFonts w:eastAsia="Times New Roman" w:cs="Times New Roman"/>
                <w:noProof/>
              </w:rPr>
            </w:pPr>
            <w:r>
              <w:rPr>
                <w:noProof/>
              </w:rPr>
              <w:t xml:space="preserve">Łączna dodatkowa moc energii ze źródeł odnawialnych zainstalowana w Hiszpanii </w:t>
            </w:r>
          </w:p>
        </w:tc>
      </w:tr>
      <w:tr w:rsidR="006578ED" w14:paraId="0598AA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7CE6FA" w14:textId="77777777" w:rsidR="006578ED" w:rsidRDefault="00A1618E">
            <w:pPr>
              <w:pStyle w:val="P68B1DB1-Normal46"/>
              <w:spacing w:after="0" w:line="240" w:lineRule="auto"/>
              <w:rPr>
                <w:rFonts w:eastAsia="Times New Roman" w:cs="Times New Roman"/>
                <w:noProof/>
              </w:rPr>
            </w:pPr>
            <w:r>
              <w:rPr>
                <w:noProof/>
              </w:rPr>
              <w:t>114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5D200" w14:textId="77777777" w:rsidR="006578ED" w:rsidRDefault="00A1618E">
            <w:pPr>
              <w:pStyle w:val="P68B1DB1-Normal46"/>
              <w:spacing w:after="0" w:line="240" w:lineRule="auto"/>
              <w:rPr>
                <w:rFonts w:eastAsia="Times New Roman" w:cs="Times New Roman"/>
                <w:noProof/>
              </w:rPr>
            </w:pPr>
            <w:r>
              <w:rPr>
                <w:noProof/>
              </w:rPr>
              <w:t>C7.R4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C4600ED" w14:textId="35C03D6F"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49E3D0B" w14:textId="63B5030E" w:rsidR="006578ED" w:rsidRDefault="00A1618E">
            <w:pPr>
              <w:pStyle w:val="P68B1DB1-Normal46"/>
              <w:spacing w:after="0" w:line="240" w:lineRule="auto"/>
              <w:rPr>
                <w:rFonts w:eastAsia="Times New Roman" w:cs="Times New Roman"/>
                <w:noProof/>
              </w:rPr>
            </w:pPr>
            <w:r>
              <w:rPr>
                <w:noProof/>
              </w:rPr>
              <w:t>Zakończenie działań określonych w planie działania dotyczącym biogazu</w:t>
            </w:r>
          </w:p>
        </w:tc>
      </w:tr>
      <w:tr w:rsidR="006578ED" w14:paraId="08B7B0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D6E84F" w14:textId="77777777" w:rsidR="006578ED" w:rsidRDefault="00A1618E">
            <w:pPr>
              <w:pStyle w:val="P68B1DB1-Normal46"/>
              <w:spacing w:after="0" w:line="240" w:lineRule="auto"/>
              <w:rPr>
                <w:rFonts w:eastAsia="Times New Roman" w:cs="Times New Roman"/>
                <w:noProof/>
              </w:rPr>
            </w:pPr>
            <w:r>
              <w:rPr>
                <w:noProof/>
              </w:rPr>
              <w:t>116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B9B0845" w14:textId="77777777" w:rsidR="006578ED" w:rsidRDefault="00A1618E">
            <w:pPr>
              <w:pStyle w:val="P68B1DB1-Normal46"/>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993CA6" w14:textId="783898CA"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2B87044" w14:textId="77777777" w:rsidR="006578ED" w:rsidRDefault="00A1618E">
            <w:pPr>
              <w:pStyle w:val="P68B1DB1-Normal46"/>
              <w:spacing w:after="0" w:line="240" w:lineRule="auto"/>
              <w:rPr>
                <w:rFonts w:eastAsia="Times New Roman" w:cs="Times New Roman"/>
                <w:noProof/>
              </w:rPr>
            </w:pPr>
            <w:r>
              <w:rPr>
                <w:noProof/>
              </w:rPr>
              <w:t>Nowe projekty, technologie lub instalacje infrastruktury morskiej energii odnawialnej</w:t>
            </w:r>
          </w:p>
        </w:tc>
      </w:tr>
      <w:tr w:rsidR="006578ED" w14:paraId="766404C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A0968DB" w14:textId="77777777" w:rsidR="006578ED" w:rsidRDefault="00A1618E">
            <w:pPr>
              <w:pStyle w:val="P68B1DB1-Normal46"/>
              <w:spacing w:after="0" w:line="240" w:lineRule="auto"/>
              <w:rPr>
                <w:rFonts w:eastAsia="Times New Roman" w:cs="Times New Roman"/>
                <w:noProof/>
              </w:rPr>
            </w:pPr>
            <w:r>
              <w:rPr>
                <w:noProof/>
              </w:rPr>
              <w:t>118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08471E" w14:textId="77777777" w:rsidR="006578ED" w:rsidRDefault="00A1618E">
            <w:pPr>
              <w:pStyle w:val="P68B1DB1-Normal46"/>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69D0E29" w14:textId="7AD1F476"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350093" w14:textId="17F06B50" w:rsidR="006578ED" w:rsidRDefault="00A1618E">
            <w:pPr>
              <w:pStyle w:val="P68B1DB1-Normal46"/>
              <w:spacing w:after="0" w:line="240" w:lineRule="auto"/>
              <w:rPr>
                <w:rFonts w:eastAsia="Times New Roman" w:cs="Times New Roman"/>
                <w:noProof/>
              </w:rPr>
            </w:pPr>
            <w:r>
              <w:rPr>
                <w:noProof/>
              </w:rPr>
              <w:t xml:space="preserve">Czysta energia i inteligentne projekty dla wysp </w:t>
            </w:r>
          </w:p>
        </w:tc>
      </w:tr>
      <w:tr w:rsidR="006578ED" w14:paraId="2CEF566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6175BF7" w14:textId="77777777" w:rsidR="006578ED" w:rsidRDefault="00A1618E">
            <w:pPr>
              <w:pStyle w:val="P68B1DB1-Normal46"/>
              <w:spacing w:after="0" w:line="240" w:lineRule="auto"/>
              <w:rPr>
                <w:rFonts w:eastAsia="Times New Roman" w:cs="Times New Roman"/>
                <w:noProof/>
              </w:rPr>
            </w:pPr>
            <w:r>
              <w:rPr>
                <w:noProof/>
              </w:rPr>
              <w:t>123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9301CAC" w14:textId="77777777" w:rsidR="006578ED" w:rsidRDefault="00A1618E">
            <w:pPr>
              <w:pStyle w:val="P68B1DB1-Normal46"/>
              <w:spacing w:after="0" w:line="240" w:lineRule="auto"/>
              <w:rPr>
                <w:rFonts w:eastAsia="Times New Roman" w:cs="Times New Roman"/>
                <w:noProof/>
              </w:rPr>
            </w:pPr>
            <w:r>
              <w:rPr>
                <w:noProof/>
              </w:rPr>
              <w:t>C8.R3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C8DBC2" w14:textId="7C712AA2"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5A38342" w14:textId="3D6E048A" w:rsidR="006578ED" w:rsidRDefault="00A1618E">
            <w:pPr>
              <w:pStyle w:val="P68B1DB1-Normal46"/>
              <w:spacing w:after="0" w:line="240" w:lineRule="auto"/>
              <w:rPr>
                <w:rFonts w:eastAsia="Times New Roman" w:cs="Times New Roman"/>
                <w:noProof/>
              </w:rPr>
            </w:pPr>
            <w:r>
              <w:rPr>
                <w:noProof/>
              </w:rPr>
              <w:t>Wejście w życie środków regulacyjnych służących włączeniu elastyczności i reagowania po stronie popytu.</w:t>
            </w:r>
          </w:p>
        </w:tc>
      </w:tr>
      <w:tr w:rsidR="006578ED" w14:paraId="3D35474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204E1" w14:textId="77777777" w:rsidR="006578ED" w:rsidRDefault="00A1618E">
            <w:pPr>
              <w:pStyle w:val="P68B1DB1-Normal46"/>
              <w:spacing w:after="0" w:line="240" w:lineRule="auto"/>
              <w:rPr>
                <w:rFonts w:eastAsia="Times New Roman" w:cs="Times New Roman"/>
                <w:noProof/>
              </w:rPr>
            </w:pPr>
            <w:r>
              <w:rPr>
                <w:noProof/>
              </w:rPr>
              <w:t>125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1221AD" w14:textId="77777777" w:rsidR="006578ED" w:rsidRDefault="00A1618E">
            <w:pPr>
              <w:pStyle w:val="P68B1DB1-Normal46"/>
              <w:spacing w:after="0" w:line="240" w:lineRule="auto"/>
              <w:rPr>
                <w:rFonts w:eastAsia="Times New Roman" w:cs="Times New Roman"/>
                <w:noProof/>
              </w:rPr>
            </w:pPr>
            <w:r>
              <w:rPr>
                <w:noProof/>
              </w:rPr>
              <w:t>C8.I1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AA2C017" w14:textId="4789D735"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0B00ED1" w14:textId="6F743467" w:rsidR="006578ED" w:rsidRDefault="00A1618E">
            <w:pPr>
              <w:pStyle w:val="P68B1DB1-Normal46"/>
              <w:spacing w:after="0" w:line="240" w:lineRule="auto"/>
              <w:rPr>
                <w:rFonts w:eastAsia="Times New Roman" w:cs="Times New Roman"/>
                <w:noProof/>
              </w:rPr>
            </w:pPr>
            <w:r>
              <w:rPr>
                <w:noProof/>
              </w:rPr>
              <w:t>Przyznanie dotacji na innowacyjne projekty w zakresie magazynowania</w:t>
            </w:r>
          </w:p>
        </w:tc>
      </w:tr>
      <w:tr w:rsidR="006578ED" w14:paraId="08C2DE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FD844E" w14:textId="77777777" w:rsidR="006578ED" w:rsidRDefault="00A1618E">
            <w:pPr>
              <w:pStyle w:val="P68B1DB1-Normal46"/>
              <w:spacing w:after="0" w:line="240" w:lineRule="auto"/>
              <w:rPr>
                <w:rFonts w:eastAsia="Times New Roman" w:cs="Times New Roman"/>
                <w:noProof/>
              </w:rPr>
            </w:pPr>
            <w:r>
              <w:rPr>
                <w:noProof/>
              </w:rPr>
              <w:t>127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BC97FAC" w14:textId="77777777" w:rsidR="006578ED" w:rsidRDefault="00A1618E">
            <w:pPr>
              <w:pStyle w:val="P68B1DB1-Normal46"/>
              <w:spacing w:after="0" w:line="240" w:lineRule="auto"/>
              <w:rPr>
                <w:rFonts w:eastAsia="Times New Roman" w:cs="Times New Roman"/>
                <w:noProof/>
              </w:rPr>
            </w:pPr>
            <w:r>
              <w:rPr>
                <w:noProof/>
              </w:rPr>
              <w:t>C8.I2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C33D36E" w14:textId="2A6661E8"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431D2B" w14:textId="77777777" w:rsidR="006578ED" w:rsidRDefault="00A1618E">
            <w:pPr>
              <w:pStyle w:val="P68B1DB1-Normal46"/>
              <w:spacing w:after="0" w:line="240" w:lineRule="auto"/>
              <w:rPr>
                <w:rFonts w:eastAsia="Times New Roman" w:cs="Times New Roman"/>
                <w:noProof/>
              </w:rPr>
            </w:pPr>
            <w:r>
              <w:rPr>
                <w:noProof/>
              </w:rPr>
              <w:t>Innowacyjne projekty cyfryzacji dystrybucji energii elektrycznej</w:t>
            </w:r>
          </w:p>
        </w:tc>
      </w:tr>
      <w:tr w:rsidR="006578ED" w14:paraId="4750A54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6D8F38B" w14:textId="77777777" w:rsidR="006578ED" w:rsidRDefault="00A1618E">
            <w:pPr>
              <w:pStyle w:val="P68B1DB1-Normal46"/>
              <w:spacing w:after="0" w:line="240" w:lineRule="auto"/>
              <w:rPr>
                <w:rFonts w:eastAsia="Times New Roman" w:cs="Times New Roman"/>
                <w:noProof/>
              </w:rPr>
            </w:pPr>
            <w:r>
              <w:rPr>
                <w:noProof/>
              </w:rPr>
              <w:t>128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03F4F6" w14:textId="77777777" w:rsidR="006578ED" w:rsidRDefault="00A1618E">
            <w:pPr>
              <w:pStyle w:val="P68B1DB1-Normal46"/>
              <w:spacing w:after="0" w:line="240" w:lineRule="auto"/>
              <w:rPr>
                <w:rFonts w:eastAsia="Times New Roman" w:cs="Times New Roman"/>
                <w:noProof/>
              </w:rPr>
            </w:pPr>
            <w:r>
              <w:rPr>
                <w:noProof/>
              </w:rPr>
              <w:t>C8.I3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ED9568F" w14:textId="75EA4C88"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2DA99F1" w14:textId="77777777" w:rsidR="006578ED" w:rsidRDefault="00A1618E">
            <w:pPr>
              <w:pStyle w:val="P68B1DB1-Normal46"/>
              <w:spacing w:after="0" w:line="240" w:lineRule="auto"/>
              <w:rPr>
                <w:rFonts w:eastAsia="Times New Roman" w:cs="Times New Roman"/>
                <w:noProof/>
              </w:rPr>
            </w:pPr>
            <w:r>
              <w:rPr>
                <w:noProof/>
              </w:rPr>
              <w:t>Projekty promujące nowe modele biznesowe na rzecz transformacji energetycznej</w:t>
            </w:r>
          </w:p>
        </w:tc>
      </w:tr>
      <w:tr w:rsidR="006578ED" w14:paraId="21CBD9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E0FF23" w14:textId="77777777" w:rsidR="006578ED" w:rsidRDefault="00A1618E">
            <w:pPr>
              <w:pStyle w:val="P68B1DB1-Normal46"/>
              <w:spacing w:after="0" w:line="240" w:lineRule="auto"/>
              <w:rPr>
                <w:rFonts w:eastAsia="Times New Roman" w:cs="Times New Roman"/>
                <w:noProof/>
              </w:rPr>
            </w:pPr>
            <w:r>
              <w:rPr>
                <w:noProof/>
              </w:rPr>
              <w:t>132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1A8CEF7" w14:textId="77777777" w:rsidR="006578ED" w:rsidRDefault="00A1618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41886EA" w14:textId="05E8EB4C"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FC86C9" w14:textId="41DAD82A" w:rsidR="006578ED" w:rsidRDefault="00A1618E">
            <w:pPr>
              <w:pStyle w:val="P68B1DB1-Normal46"/>
              <w:spacing w:after="0" w:line="240" w:lineRule="auto"/>
              <w:rPr>
                <w:rFonts w:eastAsia="Times New Roman" w:cs="Times New Roman"/>
                <w:noProof/>
              </w:rPr>
            </w:pPr>
            <w:r>
              <w:rPr>
                <w:noProof/>
              </w:rPr>
              <w:t xml:space="preserve">Rozwój technologiczny w łańcuchu wartości wodoru odnawialnego </w:t>
            </w:r>
          </w:p>
        </w:tc>
      </w:tr>
      <w:tr w:rsidR="006578ED" w14:paraId="4C420B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455E0F8" w14:textId="77777777" w:rsidR="006578ED" w:rsidRDefault="00A1618E">
            <w:pPr>
              <w:pStyle w:val="P68B1DB1-Normal46"/>
              <w:spacing w:after="0" w:line="240" w:lineRule="auto"/>
              <w:rPr>
                <w:rFonts w:eastAsia="Times New Roman" w:cs="Times New Roman"/>
                <w:noProof/>
              </w:rPr>
            </w:pPr>
            <w:r>
              <w:rPr>
                <w:noProof/>
              </w:rPr>
              <w:t>133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DA447FD" w14:textId="77777777" w:rsidR="006578ED" w:rsidRDefault="00A1618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26A69BB" w14:textId="2E4F9233"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7672D4E" w14:textId="7096B70F" w:rsidR="006578ED" w:rsidRDefault="00A1618E">
            <w:pPr>
              <w:pStyle w:val="P68B1DB1-Normal46"/>
              <w:spacing w:after="0" w:line="240" w:lineRule="auto"/>
              <w:rPr>
                <w:rFonts w:eastAsia="Times New Roman" w:cs="Times New Roman"/>
                <w:noProof/>
              </w:rPr>
            </w:pPr>
            <w:r>
              <w:rPr>
                <w:noProof/>
              </w:rPr>
              <w:t xml:space="preserve">Klastry wodoru odnawialnego (lub doliny) </w:t>
            </w:r>
          </w:p>
        </w:tc>
      </w:tr>
      <w:tr w:rsidR="006578ED" w14:paraId="6D1C4A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C54143" w14:textId="77777777" w:rsidR="006578ED" w:rsidRDefault="00A1618E">
            <w:pPr>
              <w:pStyle w:val="P68B1DB1-Normal46"/>
              <w:spacing w:after="0" w:line="240" w:lineRule="auto"/>
              <w:rPr>
                <w:rFonts w:eastAsia="Times New Roman" w:cs="Times New Roman"/>
                <w:noProof/>
              </w:rPr>
            </w:pPr>
            <w:r>
              <w:rPr>
                <w:noProof/>
              </w:rPr>
              <w:t>134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6656109" w14:textId="77777777" w:rsidR="006578ED" w:rsidRDefault="00A1618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A486ADE" w14:textId="645F05FB"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7387CE6" w14:textId="60F9A3F2" w:rsidR="006578ED" w:rsidRDefault="00A1618E">
            <w:pPr>
              <w:pStyle w:val="P68B1DB1-Normal46"/>
              <w:spacing w:after="0" w:line="240" w:lineRule="auto"/>
              <w:rPr>
                <w:rFonts w:eastAsia="Times New Roman" w:cs="Times New Roman"/>
                <w:noProof/>
              </w:rPr>
            </w:pPr>
            <w:r>
              <w:rPr>
                <w:noProof/>
              </w:rPr>
              <w:t xml:space="preserve">Projekty pionierskie dotyczące wodoru </w:t>
            </w:r>
          </w:p>
        </w:tc>
      </w:tr>
      <w:tr w:rsidR="006578ED" w14:paraId="050FC5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1635DF3" w14:textId="77777777" w:rsidR="006578ED" w:rsidRDefault="00A1618E">
            <w:pPr>
              <w:pStyle w:val="P68B1DB1-Normal46"/>
              <w:spacing w:after="0" w:line="240" w:lineRule="auto"/>
              <w:rPr>
                <w:rFonts w:eastAsia="Times New Roman" w:cs="Times New Roman"/>
                <w:noProof/>
              </w:rPr>
            </w:pPr>
            <w:r>
              <w:rPr>
                <w:noProof/>
              </w:rPr>
              <w:t>135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C1835E1" w14:textId="77777777" w:rsidR="006578ED" w:rsidRDefault="00A1618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7D7C34B" w14:textId="3662D863"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B6BE3D2" w14:textId="77777777" w:rsidR="006578ED" w:rsidRDefault="00A1618E">
            <w:pPr>
              <w:pStyle w:val="P68B1DB1-Normal46"/>
              <w:spacing w:after="0" w:line="240" w:lineRule="auto"/>
              <w:rPr>
                <w:rFonts w:eastAsia="Times New Roman" w:cs="Times New Roman"/>
                <w:noProof/>
              </w:rPr>
            </w:pPr>
            <w:r>
              <w:rPr>
                <w:noProof/>
              </w:rPr>
              <w:t>Placówki badawcze lub nowe linie produkcyjne.</w:t>
            </w:r>
          </w:p>
        </w:tc>
      </w:tr>
      <w:tr w:rsidR="006578ED" w14:paraId="162253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9140F20" w14:textId="77777777" w:rsidR="006578ED" w:rsidRDefault="00A1618E">
            <w:pPr>
              <w:pStyle w:val="P68B1DB1-Normal46"/>
              <w:spacing w:after="0" w:line="240" w:lineRule="auto"/>
              <w:rPr>
                <w:rFonts w:eastAsia="Times New Roman" w:cs="Times New Roman"/>
                <w:noProof/>
              </w:rPr>
            </w:pPr>
            <w:r>
              <w:rPr>
                <w:noProof/>
              </w:rPr>
              <w:t>149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952641" w14:textId="77777777" w:rsidR="006578ED" w:rsidRDefault="00A1618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1E9471B" w14:textId="1786C9D5"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D59B931" w14:textId="77777777" w:rsidR="006578ED" w:rsidRDefault="00A1618E">
            <w:pPr>
              <w:pStyle w:val="P68B1DB1-Normal46"/>
              <w:spacing w:after="0" w:line="240" w:lineRule="auto"/>
              <w:rPr>
                <w:rFonts w:eastAsia="Times New Roman" w:cs="Times New Roman"/>
                <w:noProof/>
              </w:rPr>
            </w:pPr>
            <w:r>
              <w:rPr>
                <w:noProof/>
              </w:rPr>
              <w:t>Statut nowego organu publicznego oceniającego</w:t>
            </w:r>
          </w:p>
        </w:tc>
      </w:tr>
      <w:tr w:rsidR="006578ED" w14:paraId="0EFDFC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DE2D49E" w14:textId="77777777" w:rsidR="006578ED" w:rsidRDefault="00A1618E">
            <w:pPr>
              <w:pStyle w:val="P68B1DB1-Normal46"/>
              <w:spacing w:after="0" w:line="240" w:lineRule="auto"/>
              <w:rPr>
                <w:rFonts w:eastAsia="Times New Roman" w:cs="Times New Roman"/>
                <w:noProof/>
              </w:rPr>
            </w:pPr>
            <w:r>
              <w:rPr>
                <w:noProof/>
              </w:rPr>
              <w:t>437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2037FD9" w14:textId="77777777" w:rsidR="006578ED" w:rsidRDefault="00A1618E">
            <w:pPr>
              <w:pStyle w:val="P68B1DB1-Normal46"/>
              <w:spacing w:after="0" w:line="240" w:lineRule="auto"/>
              <w:rPr>
                <w:rFonts w:eastAsia="Times New Roman" w:cs="Times New Roman"/>
                <w:noProof/>
              </w:rPr>
            </w:pPr>
            <w:r>
              <w:rPr>
                <w:noProof/>
              </w:rPr>
              <w:t>C11.R3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B4C887E" w14:textId="0DCD6630"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21D0963" w14:textId="77777777" w:rsidR="006578ED" w:rsidRDefault="00A1618E">
            <w:pPr>
              <w:pStyle w:val="P68B1DB1-Normal46"/>
              <w:spacing w:after="0" w:line="240" w:lineRule="auto"/>
              <w:rPr>
                <w:rFonts w:eastAsia="Times New Roman" w:cs="Times New Roman"/>
                <w:noProof/>
              </w:rPr>
            </w:pPr>
            <w:r>
              <w:rPr>
                <w:noProof/>
              </w:rPr>
              <w:t>Publikacja dwuletniego sprawozdania na temat ryzyka związanego ze zmianą klimatu dla systemu finansowego oraz utworzenie Rady ds. Zrównoważonego Finansowania</w:t>
            </w:r>
          </w:p>
        </w:tc>
      </w:tr>
      <w:tr w:rsidR="006578ED" w14:paraId="43CD5C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0DEA669" w14:textId="77777777" w:rsidR="006578ED" w:rsidRDefault="00A1618E">
            <w:pPr>
              <w:pStyle w:val="P68B1DB1-Normal46"/>
              <w:spacing w:after="0" w:line="240" w:lineRule="auto"/>
              <w:rPr>
                <w:rFonts w:eastAsia="Times New Roman" w:cs="Times New Roman"/>
                <w:noProof/>
              </w:rPr>
            </w:pPr>
            <w:r>
              <w:rPr>
                <w:noProof/>
              </w:rPr>
              <w:t>160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8A2EEB3" w14:textId="77777777" w:rsidR="006578ED" w:rsidRDefault="00A1618E">
            <w:pPr>
              <w:pStyle w:val="P68B1DB1-Normal46"/>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DAC19B9" w14:textId="7BC6164E"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E63C019" w14:textId="77777777" w:rsidR="006578ED" w:rsidRDefault="00A1618E">
            <w:pPr>
              <w:pStyle w:val="P68B1DB1-Normal46"/>
              <w:spacing w:after="0" w:line="240" w:lineRule="auto"/>
              <w:rPr>
                <w:rFonts w:eastAsia="Times New Roman" w:cs="Times New Roman"/>
                <w:noProof/>
              </w:rPr>
            </w:pPr>
            <w:r>
              <w:rPr>
                <w:noProof/>
              </w:rPr>
              <w:t>Wzajemne połączenie krajowych platform zamówień publicznych</w:t>
            </w:r>
          </w:p>
        </w:tc>
      </w:tr>
      <w:tr w:rsidR="006578ED" w14:paraId="5F5922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8632133" w14:textId="77777777" w:rsidR="006578ED" w:rsidRDefault="00A1618E">
            <w:pPr>
              <w:pStyle w:val="P68B1DB1-Normal46"/>
              <w:spacing w:after="0" w:line="240" w:lineRule="auto"/>
              <w:rPr>
                <w:rFonts w:eastAsia="Times New Roman" w:cs="Times New Roman"/>
                <w:noProof/>
              </w:rPr>
            </w:pPr>
            <w:r>
              <w:rPr>
                <w:noProof/>
              </w:rPr>
              <w:t>161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D74EC" w14:textId="77777777" w:rsidR="006578ED" w:rsidRDefault="00A1618E">
            <w:pPr>
              <w:pStyle w:val="P68B1DB1-Normal46"/>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F7B61F2" w14:textId="5DF35918"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B693D16" w14:textId="77777777" w:rsidR="006578ED" w:rsidRDefault="00A1618E">
            <w:pPr>
              <w:pStyle w:val="P68B1DB1-Normal46"/>
              <w:spacing w:after="0" w:line="240" w:lineRule="auto"/>
              <w:rPr>
                <w:rFonts w:eastAsia="Times New Roman" w:cs="Times New Roman"/>
                <w:noProof/>
              </w:rPr>
            </w:pPr>
            <w:r>
              <w:rPr>
                <w:noProof/>
              </w:rPr>
              <w:t>Przyznawanie projektów wspierających transformację cyfrową Centralnej Administracji Publicznej</w:t>
            </w:r>
          </w:p>
        </w:tc>
      </w:tr>
      <w:tr w:rsidR="006578ED" w14:paraId="710577E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A07EB4" w14:textId="77777777" w:rsidR="006578ED" w:rsidRDefault="00A1618E">
            <w:pPr>
              <w:pStyle w:val="P68B1DB1-Normal46"/>
              <w:spacing w:after="0" w:line="240" w:lineRule="auto"/>
              <w:rPr>
                <w:rFonts w:eastAsia="Times New Roman" w:cs="Times New Roman"/>
                <w:noProof/>
              </w:rPr>
            </w:pPr>
            <w:r>
              <w:rPr>
                <w:noProof/>
              </w:rPr>
              <w:t>163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D29B914" w14:textId="77777777" w:rsidR="006578ED" w:rsidRDefault="00A1618E">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ADE724" w14:textId="7091FD65"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8936BA" w14:textId="4E2367B1" w:rsidR="006578ED" w:rsidRDefault="00A1618E">
            <w:pPr>
              <w:pStyle w:val="P68B1DB1-Normal46"/>
              <w:spacing w:after="0" w:line="240" w:lineRule="auto"/>
              <w:rPr>
                <w:rFonts w:eastAsia="Times New Roman" w:cs="Times New Roman"/>
                <w:noProof/>
              </w:rPr>
            </w:pPr>
            <w:r>
              <w:rPr>
                <w:noProof/>
              </w:rPr>
              <w:t>Interoperacyjne platformy wymiany danych dotyczących zabezpieczenia społecznego i zdrowia</w:t>
            </w:r>
          </w:p>
        </w:tc>
      </w:tr>
      <w:tr w:rsidR="006578ED" w14:paraId="336DFC1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9D6B0C3" w14:textId="77777777" w:rsidR="006578ED" w:rsidRDefault="00A1618E">
            <w:pPr>
              <w:pStyle w:val="P68B1DB1-Normal46"/>
              <w:spacing w:after="0" w:line="240" w:lineRule="auto"/>
              <w:rPr>
                <w:rFonts w:eastAsia="Times New Roman" w:cs="Times New Roman"/>
                <w:noProof/>
              </w:rPr>
            </w:pPr>
            <w:r>
              <w:rPr>
                <w:noProof/>
              </w:rPr>
              <w:t>165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C4817CF" w14:textId="77777777" w:rsidR="006578ED" w:rsidRDefault="00A1618E">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4C63A7D" w14:textId="339DB72E"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3BEA288" w14:textId="1A14BB39" w:rsidR="006578ED" w:rsidRDefault="00A1618E">
            <w:pPr>
              <w:pStyle w:val="P68B1DB1-Normal46"/>
              <w:spacing w:after="0" w:line="240" w:lineRule="auto"/>
              <w:rPr>
                <w:rFonts w:eastAsia="Times New Roman" w:cs="Times New Roman"/>
                <w:noProof/>
              </w:rPr>
            </w:pPr>
            <w:r>
              <w:rPr>
                <w:noProof/>
              </w:rPr>
              <w:t>Przyznawanie dotacji na projekty wspierające projekty Centralnej Administracji Publicznej związane z cyfryzacją</w:t>
            </w:r>
          </w:p>
        </w:tc>
      </w:tr>
      <w:tr w:rsidR="006578ED" w14:paraId="3B7A13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D6C0F04" w14:textId="77777777" w:rsidR="006578ED" w:rsidRDefault="00A1618E">
            <w:pPr>
              <w:pStyle w:val="P68B1DB1-Normal46"/>
              <w:spacing w:after="0" w:line="240" w:lineRule="auto"/>
              <w:rPr>
                <w:rFonts w:eastAsia="Times New Roman" w:cs="Times New Roman"/>
                <w:noProof/>
              </w:rPr>
            </w:pPr>
            <w:r>
              <w:rPr>
                <w:noProof/>
              </w:rPr>
              <w:t>167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88C313" w14:textId="77777777" w:rsidR="006578ED" w:rsidRDefault="00A1618E">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B099B3" w14:textId="0F889A2F"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4055426" w14:textId="7B945897" w:rsidR="006578ED" w:rsidRDefault="00A1618E">
            <w:pPr>
              <w:pStyle w:val="P68B1DB1-Normal46"/>
              <w:spacing w:after="0" w:line="240" w:lineRule="auto"/>
              <w:rPr>
                <w:rFonts w:eastAsia="Times New Roman" w:cs="Times New Roman"/>
                <w:noProof/>
              </w:rPr>
            </w:pPr>
            <w:r>
              <w:rPr>
                <w:noProof/>
              </w:rPr>
              <w:t>Cyfryzacja podmiotów regionalnych i lokalnych</w:t>
            </w:r>
          </w:p>
        </w:tc>
      </w:tr>
      <w:tr w:rsidR="006578ED" w14:paraId="6E5E3F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557F75F" w14:textId="77777777" w:rsidR="006578ED" w:rsidRDefault="00A1618E">
            <w:pPr>
              <w:pStyle w:val="P68B1DB1-Normal46"/>
              <w:spacing w:after="0" w:line="240" w:lineRule="auto"/>
              <w:rPr>
                <w:rFonts w:eastAsia="Times New Roman" w:cs="Times New Roman"/>
                <w:noProof/>
              </w:rPr>
            </w:pPr>
            <w:r>
              <w:rPr>
                <w:noProof/>
              </w:rPr>
              <w:t>176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AB9D04E" w14:textId="77777777" w:rsidR="006578ED" w:rsidRDefault="00A1618E">
            <w:pPr>
              <w:pStyle w:val="P68B1DB1-Normal46"/>
              <w:spacing w:after="0" w:line="240" w:lineRule="auto"/>
              <w:rPr>
                <w:rFonts w:eastAsia="Times New Roman" w:cs="Times New Roman"/>
                <w:noProof/>
              </w:rPr>
            </w:pPr>
            <w:r>
              <w:rPr>
                <w:noProof/>
              </w:rPr>
              <w:t>C12.R1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78FD2E" w14:textId="4FDF9521"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959411" w14:textId="53F6A133" w:rsidR="006578ED" w:rsidRDefault="00A1618E">
            <w:pPr>
              <w:pStyle w:val="P68B1DB1-Normal46"/>
              <w:spacing w:after="0" w:line="240" w:lineRule="auto"/>
              <w:rPr>
                <w:rFonts w:eastAsia="Times New Roman" w:cs="Times New Roman"/>
                <w:noProof/>
              </w:rPr>
            </w:pPr>
            <w:r>
              <w:rPr>
                <w:noProof/>
              </w:rPr>
              <w:t>Wejście w życie ustawy o przemyśle</w:t>
            </w:r>
          </w:p>
        </w:tc>
      </w:tr>
      <w:tr w:rsidR="006578ED" w14:paraId="7F4ECB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0B7A829" w14:textId="77777777" w:rsidR="006578ED" w:rsidRDefault="00A1618E">
            <w:pPr>
              <w:pStyle w:val="P68B1DB1-Normal46"/>
              <w:spacing w:after="0" w:line="240" w:lineRule="auto"/>
              <w:rPr>
                <w:rFonts w:eastAsia="Times New Roman" w:cs="Times New Roman"/>
                <w:noProof/>
              </w:rPr>
            </w:pPr>
            <w:r>
              <w:rPr>
                <w:noProof/>
              </w:rPr>
              <w:t>187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0BAF474" w14:textId="77777777" w:rsidR="006578ED" w:rsidRDefault="00A1618E">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40CB86" w14:textId="4D8F0F07"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3CCB52A" w14:textId="2955ADB4" w:rsidR="006578ED" w:rsidRDefault="00A1618E">
            <w:pPr>
              <w:pStyle w:val="P68B1DB1-Normal46"/>
              <w:spacing w:after="0" w:line="240" w:lineRule="auto"/>
              <w:rPr>
                <w:rFonts w:eastAsia="Times New Roman" w:cs="Times New Roman"/>
                <w:noProof/>
              </w:rPr>
            </w:pPr>
            <w:r>
              <w:rPr>
                <w:noProof/>
              </w:rPr>
              <w:t>Zakończenie projektów mających na celu wspieranie wdrażania przepisów dotyczących odpadów i promowanie gospodarki o obiegu zamkniętym w przedsiębiorstwie</w:t>
            </w:r>
          </w:p>
        </w:tc>
      </w:tr>
      <w:tr w:rsidR="006578ED" w14:paraId="6C959C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CF00C05" w14:textId="77777777" w:rsidR="006578ED" w:rsidRDefault="00A1618E">
            <w:pPr>
              <w:pStyle w:val="P68B1DB1-Normal46"/>
              <w:spacing w:after="0" w:line="240" w:lineRule="auto"/>
              <w:rPr>
                <w:rFonts w:eastAsia="Times New Roman" w:cs="Times New Roman"/>
                <w:noProof/>
              </w:rPr>
            </w:pPr>
            <w:r>
              <w:rPr>
                <w:noProof/>
              </w:rPr>
              <w:t>451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09E5C5" w14:textId="77777777" w:rsidR="006578ED" w:rsidRDefault="00A1618E">
            <w:pPr>
              <w:pStyle w:val="P68B1DB1-Normal46"/>
              <w:spacing w:after="0" w:line="240" w:lineRule="auto"/>
              <w:rPr>
                <w:rFonts w:eastAsia="Times New Roman" w:cs="Times New Roman"/>
                <w:noProof/>
              </w:rPr>
            </w:pPr>
            <w:r>
              <w:rPr>
                <w:noProof/>
              </w:rPr>
              <w:t>C13.R2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6C09B1F" w14:textId="0818A9C5"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0BC51B" w14:textId="797545DB" w:rsidR="006578ED" w:rsidRDefault="00A1618E">
            <w:pPr>
              <w:pStyle w:val="P68B1DB1-Normal46"/>
              <w:spacing w:after="0" w:line="240" w:lineRule="auto"/>
              <w:rPr>
                <w:rFonts w:eastAsia="Times New Roman" w:cs="Times New Roman"/>
                <w:noProof/>
              </w:rPr>
            </w:pPr>
            <w:r>
              <w:rPr>
                <w:noProof/>
              </w:rPr>
              <w:t>Wejście w życie zmiany ustawy 14/2013 z dnia 27 września o wspieraniu przedsiębiorców i jego umiędzynarodowieniu</w:t>
            </w:r>
          </w:p>
        </w:tc>
      </w:tr>
      <w:tr w:rsidR="006578ED" w14:paraId="578386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2A6EE69" w14:textId="77777777" w:rsidR="006578ED" w:rsidRDefault="00A1618E">
            <w:pPr>
              <w:pStyle w:val="P68B1DB1-Normal46"/>
              <w:spacing w:after="0" w:line="240" w:lineRule="auto"/>
              <w:rPr>
                <w:rFonts w:eastAsia="Times New Roman" w:cs="Times New Roman"/>
                <w:noProof/>
              </w:rPr>
            </w:pPr>
            <w:r>
              <w:rPr>
                <w:noProof/>
              </w:rPr>
              <w:t>194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914F9DB" w14:textId="77777777" w:rsidR="006578ED" w:rsidRDefault="00A1618E">
            <w:pPr>
              <w:pStyle w:val="P68B1DB1-Normal46"/>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4C1F384" w14:textId="29A740CA"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FA7E832" w14:textId="77777777" w:rsidR="006578ED" w:rsidRDefault="00A1618E">
            <w:pPr>
              <w:pStyle w:val="P68B1DB1-Normal46"/>
              <w:spacing w:after="0" w:line="240" w:lineRule="auto"/>
              <w:rPr>
                <w:rFonts w:eastAsia="Times New Roman" w:cs="Times New Roman"/>
                <w:noProof/>
              </w:rPr>
            </w:pPr>
            <w:r>
              <w:rPr>
                <w:noProof/>
              </w:rPr>
              <w:t>Użytkownicy korzystający ze środków mających na celu pobudzenie ekosystemu przedsiębiorczości</w:t>
            </w:r>
          </w:p>
        </w:tc>
      </w:tr>
      <w:tr w:rsidR="006578ED" w14:paraId="1D2EB2D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C9E422" w14:textId="77777777" w:rsidR="006578ED" w:rsidRDefault="00A1618E">
            <w:pPr>
              <w:pStyle w:val="P68B1DB1-Normal46"/>
              <w:spacing w:after="0" w:line="240" w:lineRule="auto"/>
              <w:rPr>
                <w:rFonts w:eastAsia="Times New Roman" w:cs="Times New Roman"/>
                <w:noProof/>
              </w:rPr>
            </w:pPr>
            <w:r>
              <w:rPr>
                <w:noProof/>
              </w:rPr>
              <w:t>196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B41DDF2" w14:textId="77777777" w:rsidR="006578ED" w:rsidRDefault="00A1618E">
            <w:pPr>
              <w:pStyle w:val="P68B1DB1-Normal46"/>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8EC4E79" w14:textId="456F8B4E"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C8B75B0" w14:textId="77777777" w:rsidR="006578ED" w:rsidRDefault="00A1618E">
            <w:pPr>
              <w:pStyle w:val="P68B1DB1-Normal46"/>
              <w:spacing w:after="0" w:line="240" w:lineRule="auto"/>
              <w:rPr>
                <w:rFonts w:eastAsia="Times New Roman" w:cs="Times New Roman"/>
                <w:noProof/>
              </w:rPr>
            </w:pPr>
            <w:r>
              <w:rPr>
                <w:noProof/>
              </w:rPr>
              <w:t>Gwarancja CERSA</w:t>
            </w:r>
          </w:p>
        </w:tc>
      </w:tr>
      <w:tr w:rsidR="006578ED" w14:paraId="32B34F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8F83AD" w14:textId="77777777" w:rsidR="006578ED" w:rsidRDefault="00A1618E">
            <w:pPr>
              <w:pStyle w:val="P68B1DB1-Normal46"/>
              <w:spacing w:after="0" w:line="240" w:lineRule="auto"/>
              <w:rPr>
                <w:rFonts w:eastAsia="Times New Roman" w:cs="Times New Roman"/>
                <w:noProof/>
              </w:rPr>
            </w:pPr>
            <w:r>
              <w:rPr>
                <w:noProof/>
              </w:rPr>
              <w:t>198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BB45B5" w14:textId="77777777" w:rsidR="006578ED" w:rsidRDefault="00A1618E">
            <w:pPr>
              <w:pStyle w:val="P68B1DB1-Normal46"/>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26E23FE" w14:textId="015F7BE4"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667AF0C" w14:textId="565609EF" w:rsidR="006578ED" w:rsidRDefault="00A1618E">
            <w:pPr>
              <w:pStyle w:val="P68B1DB1-Normal46"/>
              <w:spacing w:after="0" w:line="240" w:lineRule="auto"/>
              <w:rPr>
                <w:rFonts w:eastAsia="Times New Roman" w:cs="Times New Roman"/>
                <w:noProof/>
              </w:rPr>
            </w:pPr>
            <w:r>
              <w:rPr>
                <w:noProof/>
              </w:rPr>
              <w:t>Przedsiębiorcy i MŚP wspierani w ramach programu wspierania przedsiębiorczości przemysłowej</w:t>
            </w:r>
          </w:p>
        </w:tc>
      </w:tr>
      <w:tr w:rsidR="006578ED" w14:paraId="1BFDF0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3F0654F" w14:textId="77777777" w:rsidR="006578ED" w:rsidRDefault="00A1618E">
            <w:pPr>
              <w:pStyle w:val="P68B1DB1-Normal46"/>
              <w:spacing w:after="0" w:line="240" w:lineRule="auto"/>
              <w:rPr>
                <w:rFonts w:eastAsia="Times New Roman" w:cs="Times New Roman"/>
                <w:noProof/>
              </w:rPr>
            </w:pPr>
            <w:r>
              <w:rPr>
                <w:noProof/>
              </w:rPr>
              <w:t>205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6B4EE1" w14:textId="77777777" w:rsidR="006578ED" w:rsidRDefault="00A1618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BDFD02" w14:textId="0796C2D1"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A00573" w14:textId="77777777" w:rsidR="006578ED" w:rsidRDefault="00A1618E">
            <w:pPr>
              <w:pStyle w:val="P68B1DB1-Normal46"/>
              <w:spacing w:after="0" w:line="240" w:lineRule="auto"/>
              <w:rPr>
                <w:rFonts w:eastAsia="Times New Roman" w:cs="Times New Roman"/>
                <w:noProof/>
              </w:rPr>
            </w:pPr>
            <w:r>
              <w:rPr>
                <w:noProof/>
              </w:rPr>
              <w:t>Wykonanie budżetu przez agentów programu zmian</w:t>
            </w:r>
          </w:p>
        </w:tc>
      </w:tr>
      <w:tr w:rsidR="006578ED" w14:paraId="7EC7526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80BFB7B" w14:textId="77777777" w:rsidR="006578ED" w:rsidRDefault="00A1618E">
            <w:pPr>
              <w:pStyle w:val="P68B1DB1-Normal46"/>
              <w:spacing w:after="0" w:line="240" w:lineRule="auto"/>
              <w:rPr>
                <w:rFonts w:eastAsia="Times New Roman" w:cs="Times New Roman"/>
                <w:noProof/>
              </w:rPr>
            </w:pPr>
            <w:r>
              <w:rPr>
                <w:noProof/>
              </w:rPr>
              <w:t>206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EBB860E" w14:textId="77777777" w:rsidR="006578ED" w:rsidRDefault="00A1618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12C855" w14:textId="3D3A2A95"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A9C71D2" w14:textId="77777777" w:rsidR="006578ED" w:rsidRDefault="00A1618E">
            <w:pPr>
              <w:pStyle w:val="P68B1DB1-Normal46"/>
              <w:spacing w:after="0" w:line="240" w:lineRule="auto"/>
              <w:rPr>
                <w:rFonts w:eastAsia="Times New Roman" w:cs="Times New Roman"/>
                <w:noProof/>
              </w:rPr>
            </w:pPr>
            <w:r>
              <w:rPr>
                <w:noProof/>
              </w:rPr>
              <w:t xml:space="preserve">Wykonanie budżetu programu wsparcia innowacyjnych klastrów biznesowych </w:t>
            </w:r>
          </w:p>
        </w:tc>
      </w:tr>
      <w:tr w:rsidR="006578ED" w14:paraId="1B56943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FB09CA5" w14:textId="77777777" w:rsidR="006578ED" w:rsidRDefault="00A1618E">
            <w:pPr>
              <w:pStyle w:val="P68B1DB1-Normal46"/>
              <w:spacing w:after="0" w:line="240" w:lineRule="auto"/>
              <w:rPr>
                <w:rFonts w:eastAsia="Times New Roman" w:cs="Times New Roman"/>
                <w:noProof/>
              </w:rPr>
            </w:pPr>
            <w:r>
              <w:rPr>
                <w:noProof/>
              </w:rPr>
              <w:t>207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76495E" w14:textId="77777777" w:rsidR="006578ED" w:rsidRDefault="00A1618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5E99CC6" w14:textId="43CC668D"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E303B0E" w14:textId="77777777" w:rsidR="006578ED" w:rsidRDefault="00A1618E">
            <w:pPr>
              <w:pStyle w:val="P68B1DB1-Normal46"/>
              <w:spacing w:after="0" w:line="240" w:lineRule="auto"/>
              <w:rPr>
                <w:rFonts w:eastAsia="Times New Roman" w:cs="Times New Roman"/>
                <w:noProof/>
              </w:rPr>
            </w:pPr>
            <w:r>
              <w:rPr>
                <w:noProof/>
              </w:rPr>
              <w:t>Wykonanie budżetu programu hubów innowacji cyfrowych</w:t>
            </w:r>
          </w:p>
        </w:tc>
      </w:tr>
      <w:tr w:rsidR="006578ED" w14:paraId="299FB6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3805C24" w14:textId="77777777" w:rsidR="006578ED" w:rsidRDefault="00A1618E">
            <w:pPr>
              <w:pStyle w:val="P68B1DB1-Normal46"/>
              <w:spacing w:after="0" w:line="240" w:lineRule="auto"/>
              <w:rPr>
                <w:rFonts w:eastAsia="Times New Roman" w:cs="Times New Roman"/>
                <w:noProof/>
              </w:rPr>
            </w:pPr>
            <w:r>
              <w:rPr>
                <w:noProof/>
              </w:rPr>
              <w:t>210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E5BB555" w14:textId="77777777" w:rsidR="006578ED" w:rsidRDefault="00A1618E">
            <w:pPr>
              <w:pStyle w:val="P68B1DB1-Normal46"/>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F485911" w14:textId="6F46CA03"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58DBD31" w14:textId="150889F5" w:rsidR="006578ED" w:rsidRDefault="00A1618E">
            <w:pPr>
              <w:pStyle w:val="P68B1DB1-Normal46"/>
              <w:spacing w:after="0" w:line="240" w:lineRule="auto"/>
              <w:rPr>
                <w:rFonts w:eastAsia="Times New Roman" w:cs="Times New Roman"/>
                <w:noProof/>
              </w:rPr>
            </w:pPr>
            <w:r>
              <w:rPr>
                <w:noProof/>
              </w:rPr>
              <w:t>MŚP i stowarzyszenia przedsiębiorców, które otrzymały wsparcie z Funduszu Technologicznego</w:t>
            </w:r>
          </w:p>
        </w:tc>
      </w:tr>
      <w:tr w:rsidR="006578ED" w14:paraId="1751BA0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2455D7" w14:textId="77777777" w:rsidR="006578ED" w:rsidRDefault="00A1618E">
            <w:pPr>
              <w:pStyle w:val="P68B1DB1-Normal46"/>
              <w:spacing w:after="0" w:line="240" w:lineRule="auto"/>
              <w:rPr>
                <w:rFonts w:eastAsia="Times New Roman" w:cs="Times New Roman"/>
                <w:noProof/>
              </w:rPr>
            </w:pPr>
            <w:r>
              <w:rPr>
                <w:noProof/>
              </w:rPr>
              <w:t>219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FFE188F" w14:textId="77777777" w:rsidR="006578ED" w:rsidRDefault="00A1618E">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200FEBE" w14:textId="213D08C8"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397BDD" w14:textId="0F369A97" w:rsidR="006578ED" w:rsidRDefault="00A1618E">
            <w:pPr>
              <w:pStyle w:val="P68B1DB1-Normal46"/>
              <w:spacing w:after="0" w:line="240" w:lineRule="auto"/>
              <w:rPr>
                <w:rFonts w:eastAsia="Times New Roman" w:cs="Times New Roman"/>
                <w:noProof/>
              </w:rPr>
            </w:pPr>
            <w:r>
              <w:rPr>
                <w:noProof/>
              </w:rPr>
              <w:t>Przyznawanie środków budżetowych na plany promujące zrównoważony rozwój turystyki w miejscu docelowym</w:t>
            </w:r>
          </w:p>
        </w:tc>
      </w:tr>
      <w:tr w:rsidR="006578ED" w14:paraId="6DB9E1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59A7C8" w14:textId="77777777" w:rsidR="006578ED" w:rsidRDefault="00A1618E">
            <w:pPr>
              <w:pStyle w:val="P68B1DB1-Normal46"/>
              <w:spacing w:after="0" w:line="240" w:lineRule="auto"/>
              <w:rPr>
                <w:rFonts w:eastAsia="Times New Roman" w:cs="Times New Roman"/>
                <w:noProof/>
              </w:rPr>
            </w:pPr>
            <w:r>
              <w:rPr>
                <w:noProof/>
              </w:rPr>
              <w:t>236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B868151" w14:textId="77777777" w:rsidR="006578ED" w:rsidRDefault="00A1618E">
            <w:pPr>
              <w:pStyle w:val="P68B1DB1-Normal46"/>
              <w:spacing w:after="0" w:line="240" w:lineRule="auto"/>
              <w:rPr>
                <w:rFonts w:eastAsia="Times New Roman" w:cs="Times New Roman"/>
                <w:noProof/>
              </w:rPr>
            </w:pPr>
            <w:r>
              <w:rPr>
                <w:noProof/>
              </w:rPr>
              <w:t>C15.I1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1BDC38" w14:textId="628D19BB"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1DBF104" w14:textId="77777777" w:rsidR="006578ED" w:rsidRDefault="00A1618E">
            <w:pPr>
              <w:pStyle w:val="P68B1DB1-Normal46"/>
              <w:spacing w:after="0" w:line="240" w:lineRule="auto"/>
              <w:rPr>
                <w:rFonts w:eastAsia="Times New Roman" w:cs="Times New Roman"/>
                <w:noProof/>
              </w:rPr>
            </w:pPr>
            <w:r>
              <w:rPr>
                <w:noProof/>
              </w:rPr>
              <w:t>Rozwój ultraszybkich sieci szerokopasmowych: nagroda</w:t>
            </w:r>
          </w:p>
        </w:tc>
      </w:tr>
      <w:tr w:rsidR="006578ED" w14:paraId="5151DB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F09DB34" w14:textId="77777777" w:rsidR="006578ED" w:rsidRDefault="00A1618E">
            <w:pPr>
              <w:pStyle w:val="P68B1DB1-Normal46"/>
              <w:spacing w:after="0" w:line="240" w:lineRule="auto"/>
              <w:rPr>
                <w:rFonts w:eastAsia="Times New Roman" w:cs="Times New Roman"/>
                <w:noProof/>
              </w:rPr>
            </w:pPr>
            <w:r>
              <w:rPr>
                <w:noProof/>
              </w:rPr>
              <w:t>246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82B062D" w14:textId="77777777" w:rsidR="006578ED" w:rsidRDefault="00A1618E">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98AD3C" w14:textId="55664C16"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D3ABC2C" w14:textId="517AC484" w:rsidR="006578ED" w:rsidRDefault="00A1618E">
            <w:pPr>
              <w:pStyle w:val="P68B1DB1-Normal46"/>
              <w:spacing w:after="0" w:line="240" w:lineRule="auto"/>
              <w:rPr>
                <w:rFonts w:eastAsia="Times New Roman" w:cs="Times New Roman"/>
                <w:noProof/>
              </w:rPr>
            </w:pPr>
            <w:r>
              <w:rPr>
                <w:noProof/>
              </w:rPr>
              <w:t>Wzmocnienie i poprawa zdolności w zakresie cyberbezpieczeństwa: Zasoby</w:t>
            </w:r>
          </w:p>
        </w:tc>
      </w:tr>
      <w:tr w:rsidR="006578ED" w14:paraId="18446A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C4D26F6" w14:textId="77777777" w:rsidR="006578ED" w:rsidRDefault="00A1618E">
            <w:pPr>
              <w:pStyle w:val="P68B1DB1-Normal46"/>
              <w:spacing w:after="0" w:line="240" w:lineRule="auto"/>
              <w:rPr>
                <w:rFonts w:eastAsia="Times New Roman" w:cs="Times New Roman"/>
                <w:noProof/>
              </w:rPr>
            </w:pPr>
            <w:r>
              <w:rPr>
                <w:noProof/>
              </w:rPr>
              <w:t>251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6DC8FC5" w14:textId="77777777" w:rsidR="006578ED" w:rsidRDefault="00A1618E">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68461B2" w14:textId="3F12EDD1"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A49711" w14:textId="77777777" w:rsidR="006578ED" w:rsidRDefault="00A1618E">
            <w:pPr>
              <w:pStyle w:val="P68B1DB1-Normal46"/>
              <w:spacing w:after="0" w:line="240" w:lineRule="auto"/>
              <w:rPr>
                <w:rFonts w:eastAsia="Times New Roman" w:cs="Times New Roman"/>
                <w:noProof/>
              </w:rPr>
            </w:pPr>
            <w:r>
              <w:rPr>
                <w:noProof/>
              </w:rPr>
              <w:t xml:space="preserve">Wsparcie dla projektów dotyczących sztucznej inteligencji </w:t>
            </w:r>
          </w:p>
        </w:tc>
      </w:tr>
      <w:tr w:rsidR="006578ED" w14:paraId="3B57AB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AC0113" w14:textId="77777777" w:rsidR="006578ED" w:rsidRDefault="00A1618E">
            <w:pPr>
              <w:pStyle w:val="P68B1DB1-Normal46"/>
              <w:spacing w:after="0" w:line="240" w:lineRule="auto"/>
              <w:rPr>
                <w:rFonts w:eastAsia="Times New Roman" w:cs="Times New Roman"/>
                <w:noProof/>
              </w:rPr>
            </w:pPr>
            <w:r>
              <w:rPr>
                <w:noProof/>
              </w:rPr>
              <w:t>256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8B1ECC0" w14:textId="77777777" w:rsidR="006578ED" w:rsidRDefault="00A1618E">
            <w:pPr>
              <w:pStyle w:val="P68B1DB1-Normal46"/>
              <w:spacing w:after="0" w:line="240" w:lineRule="auto"/>
              <w:rPr>
                <w:rFonts w:eastAsia="Times New Roman" w:cs="Times New Roman"/>
                <w:noProof/>
              </w:rPr>
            </w:pPr>
            <w:r>
              <w:rPr>
                <w:noProof/>
              </w:rPr>
              <w:t>C17.R2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CD45A17" w14:textId="57DAA27D"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991041E" w14:textId="3753A54C" w:rsidR="006578ED" w:rsidRDefault="00A1618E">
            <w:pPr>
              <w:pStyle w:val="P68B1DB1-Normal46"/>
              <w:spacing w:after="0" w:line="240" w:lineRule="auto"/>
              <w:rPr>
                <w:rFonts w:eastAsia="Times New Roman" w:cs="Times New Roman"/>
                <w:noProof/>
              </w:rPr>
            </w:pPr>
            <w:r>
              <w:rPr>
                <w:noProof/>
              </w:rPr>
              <w:t xml:space="preserve">Ocena śródokresowa hiszpańskiej strategii na rzecz nauki, technologii i innowacji na lata 2021–2027 </w:t>
            </w:r>
          </w:p>
        </w:tc>
      </w:tr>
      <w:tr w:rsidR="006578ED" w14:paraId="7DB24D2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65793D" w14:textId="77777777" w:rsidR="006578ED" w:rsidRDefault="00A1618E">
            <w:pPr>
              <w:pStyle w:val="P68B1DB1-Normal46"/>
              <w:spacing w:after="0" w:line="240" w:lineRule="auto"/>
              <w:rPr>
                <w:rFonts w:eastAsia="Times New Roman" w:cs="Times New Roman"/>
                <w:noProof/>
              </w:rPr>
            </w:pPr>
            <w:r>
              <w:rPr>
                <w:noProof/>
              </w:rPr>
              <w:t>265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8E8D661" w14:textId="77777777" w:rsidR="006578ED" w:rsidRDefault="00A1618E">
            <w:pPr>
              <w:pStyle w:val="P68B1DB1-Normal46"/>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7750A14" w14:textId="7AEB6725"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01055A4" w14:textId="580E91C4" w:rsidR="006578ED" w:rsidRDefault="00A1618E">
            <w:pPr>
              <w:pStyle w:val="P68B1DB1-Normal46"/>
              <w:spacing w:after="0" w:line="240" w:lineRule="auto"/>
              <w:rPr>
                <w:rFonts w:eastAsia="Times New Roman" w:cs="Times New Roman"/>
                <w:noProof/>
              </w:rPr>
            </w:pPr>
            <w:r>
              <w:rPr>
                <w:noProof/>
              </w:rPr>
              <w:t xml:space="preserve">Innowacyjne i oparte na technologiach przedsiębiorstwa otrzymały kapitał w ramach programu Innvierte w celu wzmocnienia swojej działalności badawczej na wczesnym etapie </w:t>
            </w:r>
          </w:p>
        </w:tc>
      </w:tr>
      <w:tr w:rsidR="006578ED" w14:paraId="594100D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C4652BE" w14:textId="77777777" w:rsidR="006578ED" w:rsidRDefault="00A1618E">
            <w:pPr>
              <w:pStyle w:val="P68B1DB1-Normal46"/>
              <w:spacing w:after="0" w:line="240" w:lineRule="auto"/>
              <w:rPr>
                <w:rFonts w:eastAsia="Times New Roman" w:cs="Times New Roman"/>
                <w:noProof/>
              </w:rPr>
            </w:pPr>
            <w:r>
              <w:rPr>
                <w:noProof/>
              </w:rPr>
              <w:t>271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0E115D1" w14:textId="77777777" w:rsidR="006578ED" w:rsidRDefault="00A1618E">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60EE81E" w14:textId="1AF75CD2"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4EB7DAD" w14:textId="64137186" w:rsidR="006578ED" w:rsidRDefault="00A1618E">
            <w:pPr>
              <w:pStyle w:val="P68B1DB1-Normal46"/>
              <w:spacing w:after="0" w:line="240" w:lineRule="auto"/>
              <w:rPr>
                <w:rFonts w:eastAsia="Times New Roman" w:cs="Times New Roman"/>
                <w:noProof/>
              </w:rPr>
            </w:pPr>
            <w:r>
              <w:rPr>
                <w:noProof/>
              </w:rPr>
              <w:t xml:space="preserve">Wsparcie dla projektów w zakresie badań, rozwoju i innowacji w dziedzinie lotnictwa i przestrzeni kosmicznej, ze szczególnym uwzględnieniem technologii niskoemisyjnych i bezemisyjnych </w:t>
            </w:r>
          </w:p>
        </w:tc>
      </w:tr>
      <w:tr w:rsidR="006578ED" w14:paraId="35B102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CAB570" w14:textId="77777777" w:rsidR="006578ED" w:rsidRDefault="00A1618E">
            <w:pPr>
              <w:pStyle w:val="P68B1DB1-Normal46"/>
              <w:spacing w:after="0" w:line="240" w:lineRule="auto"/>
              <w:rPr>
                <w:rFonts w:eastAsia="Times New Roman" w:cs="Times New Roman"/>
                <w:noProof/>
              </w:rPr>
            </w:pPr>
            <w:r>
              <w:rPr>
                <w:noProof/>
              </w:rPr>
              <w:t>275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49F6865" w14:textId="77777777" w:rsidR="006578ED" w:rsidRDefault="00A1618E">
            <w:pPr>
              <w:pStyle w:val="P68B1DB1-Normal46"/>
              <w:spacing w:after="0" w:line="240" w:lineRule="auto"/>
              <w:rPr>
                <w:rFonts w:eastAsia="Times New Roman" w:cs="Times New Roman"/>
                <w:noProof/>
              </w:rPr>
            </w:pPr>
            <w:r>
              <w:rPr>
                <w:noProof/>
              </w:rPr>
              <w:t>C18.R3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274DB50" w14:textId="6B51F4FE"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0E3FC3" w14:textId="6C451F9C" w:rsidR="006578ED" w:rsidRDefault="00A1618E">
            <w:pPr>
              <w:pStyle w:val="P68B1DB1-Normal46"/>
              <w:spacing w:after="0" w:line="240" w:lineRule="auto"/>
              <w:rPr>
                <w:rFonts w:eastAsia="Times New Roman" w:cs="Times New Roman"/>
                <w:noProof/>
              </w:rPr>
            </w:pPr>
            <w:r>
              <w:rPr>
                <w:noProof/>
              </w:rPr>
              <w:t>Ustawa o równości, uniwersalności i spójności krajowego systemu opieki zdrowotnej, reorientacja wysoce złożonej opieki i zwiększenie wspólnego portfela usług</w:t>
            </w:r>
          </w:p>
        </w:tc>
      </w:tr>
      <w:tr w:rsidR="006578ED" w14:paraId="37A9E37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2B6A6E6" w14:textId="77777777" w:rsidR="006578ED" w:rsidRDefault="00A1618E">
            <w:pPr>
              <w:pStyle w:val="P68B1DB1-Normal46"/>
              <w:spacing w:after="0" w:line="240" w:lineRule="auto"/>
              <w:rPr>
                <w:rFonts w:eastAsia="Times New Roman" w:cs="Times New Roman"/>
                <w:noProof/>
              </w:rPr>
            </w:pPr>
            <w:r>
              <w:rPr>
                <w:noProof/>
              </w:rPr>
              <w:t>276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2DB234" w14:textId="77777777" w:rsidR="006578ED" w:rsidRDefault="00A1618E">
            <w:pPr>
              <w:pStyle w:val="P68B1DB1-Normal46"/>
              <w:spacing w:after="0" w:line="240" w:lineRule="auto"/>
              <w:rPr>
                <w:rFonts w:eastAsia="Times New Roman" w:cs="Times New Roman"/>
                <w:noProof/>
              </w:rPr>
            </w:pPr>
            <w:r>
              <w:rPr>
                <w:noProof/>
              </w:rPr>
              <w:t>C18.R4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81A36E7" w14:textId="5F8E94D4"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916BB" w14:textId="6F247202" w:rsidR="006578ED" w:rsidRDefault="00A1618E">
            <w:pPr>
              <w:pStyle w:val="P68B1DB1-Normal46"/>
              <w:spacing w:after="0" w:line="240" w:lineRule="auto"/>
              <w:rPr>
                <w:rFonts w:eastAsia="Times New Roman" w:cs="Times New Roman"/>
                <w:noProof/>
              </w:rPr>
            </w:pPr>
            <w:r>
              <w:rPr>
                <w:noProof/>
              </w:rPr>
              <w:t>Ustawa o statucie ramowym personelu służby zdrowia oraz poprawa systemu specjalistycznego szkolenia zdrowotnego</w:t>
            </w:r>
          </w:p>
        </w:tc>
      </w:tr>
      <w:tr w:rsidR="006578ED" w14:paraId="256B8A3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B883CC7" w14:textId="77777777" w:rsidR="006578ED" w:rsidRDefault="00A1618E">
            <w:pPr>
              <w:pStyle w:val="P68B1DB1-Normal46"/>
              <w:spacing w:after="0" w:line="240" w:lineRule="auto"/>
              <w:rPr>
                <w:rFonts w:eastAsia="Times New Roman" w:cs="Times New Roman"/>
                <w:noProof/>
              </w:rPr>
            </w:pPr>
            <w:r>
              <w:rPr>
                <w:noProof/>
              </w:rPr>
              <w:t>277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904B07" w14:textId="77777777" w:rsidR="006578ED" w:rsidRDefault="00A1618E">
            <w:pPr>
              <w:pStyle w:val="P68B1DB1-Normal46"/>
              <w:spacing w:after="0" w:line="240" w:lineRule="auto"/>
              <w:rPr>
                <w:rFonts w:eastAsia="Times New Roman" w:cs="Times New Roman"/>
                <w:noProof/>
              </w:rPr>
            </w:pPr>
            <w:r>
              <w:rPr>
                <w:noProof/>
              </w:rPr>
              <w:t>C18.R5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E9B0FE1" w14:textId="507D5830"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DBCF765" w14:textId="2B673669" w:rsidR="006578ED" w:rsidRDefault="00A1618E">
            <w:pPr>
              <w:pStyle w:val="P68B1DB1-Normal46"/>
              <w:spacing w:after="0" w:line="240" w:lineRule="auto"/>
              <w:rPr>
                <w:rFonts w:eastAsia="Times New Roman" w:cs="Times New Roman"/>
                <w:noProof/>
              </w:rPr>
            </w:pPr>
            <w:r>
              <w:rPr>
                <w:noProof/>
              </w:rPr>
              <w:t xml:space="preserve">Ustawa o gwarancjach i racjonalnym użytkowaniu produktów medycznych </w:t>
            </w:r>
          </w:p>
        </w:tc>
      </w:tr>
      <w:tr w:rsidR="006578ED" w14:paraId="49A09F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9A19C52" w14:textId="77777777" w:rsidR="006578ED" w:rsidRDefault="00A1618E">
            <w:pPr>
              <w:pStyle w:val="P68B1DB1-Normal46"/>
              <w:spacing w:after="0" w:line="240" w:lineRule="auto"/>
              <w:rPr>
                <w:rFonts w:eastAsia="Times New Roman" w:cs="Times New Roman"/>
                <w:noProof/>
              </w:rPr>
            </w:pPr>
            <w:r>
              <w:rPr>
                <w:noProof/>
              </w:rPr>
              <w:t>279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7F6CECE" w14:textId="77777777" w:rsidR="006578ED" w:rsidRDefault="00A1618E">
            <w:pPr>
              <w:pStyle w:val="P68B1DB1-Normal46"/>
              <w:spacing w:after="0" w:line="240" w:lineRule="auto"/>
              <w:rPr>
                <w:rFonts w:eastAsia="Times New Roman" w:cs="Times New Roman"/>
                <w:noProof/>
              </w:rPr>
            </w:pPr>
            <w:r>
              <w:rPr>
                <w:noProof/>
              </w:rPr>
              <w:t>C18.I1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2688696" w14:textId="0D580AAB"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EFFE27C" w14:textId="77777777" w:rsidR="006578ED" w:rsidRDefault="00A1618E">
            <w:pPr>
              <w:pStyle w:val="P68B1DB1-Normal46"/>
              <w:spacing w:after="0" w:line="240" w:lineRule="auto"/>
              <w:rPr>
                <w:rFonts w:eastAsia="Times New Roman" w:cs="Times New Roman"/>
                <w:noProof/>
              </w:rPr>
            </w:pPr>
            <w:r>
              <w:rPr>
                <w:noProof/>
              </w:rPr>
              <w:t xml:space="preserve">Instalacja/odnowienie/rozbudowa urządzeń </w:t>
            </w:r>
          </w:p>
        </w:tc>
      </w:tr>
      <w:tr w:rsidR="006578ED" w14:paraId="016E50E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145715" w14:textId="77777777" w:rsidR="006578ED" w:rsidRDefault="00A1618E">
            <w:pPr>
              <w:pStyle w:val="P68B1DB1-Normal46"/>
              <w:spacing w:after="0" w:line="240" w:lineRule="auto"/>
              <w:rPr>
                <w:rFonts w:eastAsia="Times New Roman" w:cs="Times New Roman"/>
                <w:noProof/>
              </w:rPr>
            </w:pPr>
            <w:r>
              <w:rPr>
                <w:noProof/>
              </w:rPr>
              <w:t>280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5D8915" w14:textId="77777777" w:rsidR="006578ED" w:rsidRDefault="00A1618E">
            <w:pPr>
              <w:pStyle w:val="P68B1DB1-Normal46"/>
              <w:spacing w:after="0" w:line="240" w:lineRule="auto"/>
              <w:rPr>
                <w:rFonts w:eastAsia="Times New Roman" w:cs="Times New Roman"/>
                <w:noProof/>
              </w:rPr>
            </w:pPr>
            <w:r>
              <w:rPr>
                <w:noProof/>
              </w:rPr>
              <w:t>C18.I2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C60DD46" w14:textId="2074BB9E"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7675" w14:textId="671154C5" w:rsidR="006578ED" w:rsidRDefault="00A1618E">
            <w:pPr>
              <w:pStyle w:val="P68B1DB1-Normal46"/>
              <w:spacing w:after="0" w:line="240" w:lineRule="auto"/>
              <w:rPr>
                <w:rFonts w:eastAsia="Times New Roman" w:cs="Times New Roman"/>
                <w:noProof/>
              </w:rPr>
            </w:pPr>
            <w:r>
              <w:rPr>
                <w:noProof/>
              </w:rPr>
              <w:t>Kampanie i działania na rzecz zdrowia publicznego</w:t>
            </w:r>
          </w:p>
        </w:tc>
      </w:tr>
      <w:tr w:rsidR="006578ED" w14:paraId="57FA99B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0228510" w14:textId="77777777" w:rsidR="006578ED" w:rsidRDefault="00A1618E">
            <w:pPr>
              <w:pStyle w:val="P68B1DB1-Normal46"/>
              <w:spacing w:after="0" w:line="240" w:lineRule="auto"/>
              <w:rPr>
                <w:rFonts w:eastAsia="Times New Roman" w:cs="Times New Roman"/>
                <w:noProof/>
              </w:rPr>
            </w:pPr>
            <w:r>
              <w:rPr>
                <w:noProof/>
              </w:rPr>
              <w:t>282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75773CE" w14:textId="77777777" w:rsidR="006578ED" w:rsidRDefault="00A1618E">
            <w:pPr>
              <w:pStyle w:val="P68B1DB1-Normal46"/>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10285A2" w14:textId="417D9A90"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CD531E" w14:textId="626D791E" w:rsidR="006578ED" w:rsidRDefault="00A1618E">
            <w:pPr>
              <w:pStyle w:val="P68B1DB1-Normal46"/>
              <w:spacing w:after="0" w:line="240" w:lineRule="auto"/>
              <w:rPr>
                <w:rFonts w:eastAsia="Times New Roman" w:cs="Times New Roman"/>
                <w:noProof/>
              </w:rPr>
            </w:pPr>
            <w:r>
              <w:rPr>
                <w:noProof/>
              </w:rPr>
              <w:t xml:space="preserve">Pracownicy służby zdrowia wyszkoleni w ramach planów kształcenia ustawicznego </w:t>
            </w:r>
          </w:p>
        </w:tc>
      </w:tr>
      <w:tr w:rsidR="006578ED" w14:paraId="2E466AF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3E8C5EC" w14:textId="77777777" w:rsidR="006578ED" w:rsidRDefault="00A1618E">
            <w:pPr>
              <w:pStyle w:val="P68B1DB1-Normal46"/>
              <w:spacing w:after="0" w:line="240" w:lineRule="auto"/>
              <w:rPr>
                <w:rFonts w:eastAsia="Times New Roman" w:cs="Times New Roman"/>
                <w:noProof/>
              </w:rPr>
            </w:pPr>
            <w:r>
              <w:rPr>
                <w:noProof/>
              </w:rPr>
              <w:t>283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3FDB58A" w14:textId="77777777" w:rsidR="006578ED" w:rsidRDefault="00A1618E">
            <w:pPr>
              <w:pStyle w:val="P68B1DB1-Normal46"/>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72A61EC" w14:textId="4E3E59A8"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FFB7F10" w14:textId="092C6389" w:rsidR="006578ED" w:rsidRDefault="00A1618E">
            <w:pPr>
              <w:pStyle w:val="P68B1DB1-Normal46"/>
              <w:spacing w:after="0" w:line="240" w:lineRule="auto"/>
              <w:rPr>
                <w:rFonts w:eastAsia="Times New Roman" w:cs="Times New Roman"/>
                <w:noProof/>
              </w:rPr>
            </w:pPr>
            <w:r>
              <w:rPr>
                <w:noProof/>
              </w:rPr>
              <w:t>VALTERM ED i platforma oceny technologii medycznych i korzyści krajowego systemu opieki zdrowotnej</w:t>
            </w:r>
          </w:p>
        </w:tc>
      </w:tr>
      <w:tr w:rsidR="006578ED" w14:paraId="3DD0F0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8283FC" w14:textId="77777777" w:rsidR="006578ED" w:rsidRDefault="00A1618E">
            <w:pPr>
              <w:pStyle w:val="P68B1DB1-Normal46"/>
              <w:spacing w:after="0" w:line="240" w:lineRule="auto"/>
              <w:rPr>
                <w:rFonts w:eastAsia="Times New Roman" w:cs="Times New Roman"/>
                <w:noProof/>
              </w:rPr>
            </w:pPr>
            <w:r>
              <w:rPr>
                <w:noProof/>
              </w:rPr>
              <w:t>284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00E36DC" w14:textId="77777777" w:rsidR="006578ED" w:rsidRDefault="00A1618E">
            <w:pPr>
              <w:pStyle w:val="P68B1DB1-Normal46"/>
              <w:spacing w:after="0" w:line="240" w:lineRule="auto"/>
              <w:rPr>
                <w:rFonts w:eastAsia="Times New Roman" w:cs="Times New Roman"/>
                <w:noProof/>
              </w:rPr>
            </w:pPr>
            <w:r>
              <w:rPr>
                <w:noProof/>
              </w:rPr>
              <w:t>C18.I6</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C5B675E" w14:textId="160F9A1F"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9996BFE" w14:textId="77777777" w:rsidR="006578ED" w:rsidRDefault="00A1618E">
            <w:pPr>
              <w:pStyle w:val="P68B1DB1-Normal46"/>
              <w:spacing w:after="0" w:line="240" w:lineRule="auto"/>
              <w:rPr>
                <w:rFonts w:eastAsia="Times New Roman" w:cs="Times New Roman"/>
                <w:noProof/>
              </w:rPr>
            </w:pPr>
            <w:r>
              <w:rPr>
                <w:noProof/>
              </w:rPr>
              <w:t xml:space="preserve">Eksploatacja jeziora danych dotyczących zdrowia </w:t>
            </w:r>
          </w:p>
        </w:tc>
      </w:tr>
      <w:tr w:rsidR="006578ED" w14:paraId="1A979DC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39CABB4" w14:textId="77777777" w:rsidR="006578ED" w:rsidRDefault="00A1618E">
            <w:pPr>
              <w:pStyle w:val="P68B1DB1-Normal46"/>
              <w:spacing w:after="0" w:line="240" w:lineRule="auto"/>
              <w:rPr>
                <w:rFonts w:eastAsia="Times New Roman" w:cs="Times New Roman"/>
                <w:noProof/>
              </w:rPr>
            </w:pPr>
            <w:r>
              <w:rPr>
                <w:noProof/>
              </w:rPr>
              <w:t>286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73C891" w14:textId="77777777" w:rsidR="006578ED" w:rsidRDefault="00A1618E">
            <w:pPr>
              <w:pStyle w:val="P68B1DB1-Normal46"/>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0E25B04" w14:textId="461459EC"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6CA5125" w14:textId="6A14D1F7" w:rsidR="006578ED" w:rsidRDefault="00A1618E">
            <w:pPr>
              <w:pStyle w:val="P68B1DB1-Normal46"/>
              <w:spacing w:after="0" w:line="240" w:lineRule="auto"/>
              <w:rPr>
                <w:rFonts w:eastAsia="Times New Roman" w:cs="Times New Roman"/>
                <w:noProof/>
              </w:rPr>
            </w:pPr>
            <w:r>
              <w:rPr>
                <w:noProof/>
              </w:rPr>
              <w:t>Szkolenie obywateli w zakresie umiejętności cyfrowych.</w:t>
            </w:r>
          </w:p>
        </w:tc>
      </w:tr>
      <w:tr w:rsidR="006578ED" w14:paraId="318F3A7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58BEBFD" w14:textId="77777777" w:rsidR="006578ED" w:rsidRDefault="00A1618E">
            <w:pPr>
              <w:pStyle w:val="P68B1DB1-Normal46"/>
              <w:spacing w:after="0" w:line="240" w:lineRule="auto"/>
              <w:rPr>
                <w:rFonts w:eastAsia="Times New Roman" w:cs="Times New Roman"/>
                <w:noProof/>
              </w:rPr>
            </w:pPr>
            <w:r>
              <w:rPr>
                <w:noProof/>
              </w:rPr>
              <w:t>308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3E91633" w14:textId="77777777" w:rsidR="006578ED" w:rsidRDefault="00A1618E">
            <w:pPr>
              <w:pStyle w:val="P68B1DB1-Normal46"/>
              <w:spacing w:after="0" w:line="240" w:lineRule="auto"/>
              <w:rPr>
                <w:rFonts w:eastAsia="Times New Roman" w:cs="Times New Roman"/>
                <w:noProof/>
              </w:rPr>
            </w:pPr>
            <w:r>
              <w:rPr>
                <w:noProof/>
              </w:rPr>
              <w:t>C21.I1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005770C" w14:textId="13831440"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2CB4DD01" w14:textId="77777777" w:rsidR="006578ED" w:rsidRDefault="00A1618E">
            <w:pPr>
              <w:pStyle w:val="P68B1DB1-Normal46"/>
              <w:spacing w:after="0" w:line="240" w:lineRule="auto"/>
              <w:rPr>
                <w:rFonts w:eastAsia="Times New Roman" w:cs="Times New Roman"/>
                <w:noProof/>
              </w:rPr>
            </w:pPr>
            <w:r>
              <w:rPr>
                <w:noProof/>
              </w:rPr>
              <w:t xml:space="preserve">Nagroda budżetowa za promowanie pierwszego cyklu wczesnej edukacji </w:t>
            </w:r>
          </w:p>
        </w:tc>
      </w:tr>
      <w:tr w:rsidR="006578ED" w14:paraId="376B6D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EC1DB0A" w14:textId="77777777" w:rsidR="006578ED" w:rsidRDefault="00A1618E">
            <w:pPr>
              <w:pStyle w:val="P68B1DB1-Normal46"/>
              <w:spacing w:after="0" w:line="240" w:lineRule="auto"/>
              <w:rPr>
                <w:rFonts w:eastAsia="Times New Roman" w:cs="Times New Roman"/>
                <w:noProof/>
              </w:rPr>
            </w:pPr>
            <w:r>
              <w:rPr>
                <w:noProof/>
              </w:rPr>
              <w:t>312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DFCEE3E" w14:textId="77777777" w:rsidR="006578ED" w:rsidRDefault="00A1618E">
            <w:pPr>
              <w:pStyle w:val="P68B1DB1-Normal46"/>
              <w:spacing w:after="0" w:line="240" w:lineRule="auto"/>
              <w:rPr>
                <w:rFonts w:eastAsia="Times New Roman" w:cs="Times New Roman"/>
                <w:noProof/>
              </w:rPr>
            </w:pPr>
            <w:r>
              <w:rPr>
                <w:noProof/>
              </w:rPr>
              <w:t>C21.I4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B4C91AB" w14:textId="39442110"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37D4275" w14:textId="1EB0D2B8" w:rsidR="006578ED" w:rsidRDefault="00A1618E">
            <w:pPr>
              <w:pStyle w:val="P68B1DB1-Normal46"/>
              <w:spacing w:after="0" w:line="240" w:lineRule="auto"/>
              <w:rPr>
                <w:rFonts w:eastAsia="Times New Roman" w:cs="Times New Roman"/>
                <w:noProof/>
              </w:rPr>
            </w:pPr>
            <w:r>
              <w:rPr>
                <w:noProof/>
              </w:rPr>
              <w:t>Stypendia i stypendia dla studentów podoktorskich, profesorów pomocniczych i naukowców</w:t>
            </w:r>
          </w:p>
        </w:tc>
      </w:tr>
      <w:tr w:rsidR="006578ED" w14:paraId="3C0DB4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F5D4FA3" w14:textId="77777777" w:rsidR="006578ED" w:rsidRDefault="00A1618E">
            <w:pPr>
              <w:pStyle w:val="P68B1DB1-Normal46"/>
              <w:spacing w:after="0" w:line="240" w:lineRule="auto"/>
              <w:rPr>
                <w:rFonts w:eastAsia="Times New Roman" w:cs="Times New Roman"/>
                <w:noProof/>
              </w:rPr>
            </w:pPr>
            <w:r>
              <w:rPr>
                <w:noProof/>
              </w:rPr>
              <w:t>313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C4FC9A" w14:textId="77777777" w:rsidR="006578ED" w:rsidRDefault="00A1618E">
            <w:pPr>
              <w:pStyle w:val="P68B1DB1-Normal46"/>
              <w:spacing w:after="0" w:line="240" w:lineRule="auto"/>
              <w:rPr>
                <w:rFonts w:eastAsia="Times New Roman" w:cs="Times New Roman"/>
                <w:noProof/>
              </w:rPr>
            </w:pPr>
            <w:r>
              <w:rPr>
                <w:noProof/>
              </w:rPr>
              <w:t>C21.I5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51B785D" w14:textId="7A3ACF4D"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09E54827" w14:textId="77777777" w:rsidR="006578ED" w:rsidRDefault="00A1618E">
            <w:pPr>
              <w:pStyle w:val="P68B1DB1-Normal46"/>
              <w:spacing w:after="0" w:line="240" w:lineRule="auto"/>
              <w:rPr>
                <w:rFonts w:eastAsia="Times New Roman" w:cs="Times New Roman"/>
                <w:noProof/>
              </w:rPr>
            </w:pPr>
            <w:r>
              <w:rPr>
                <w:noProof/>
              </w:rPr>
              <w:t xml:space="preserve">Zwiększenie wskaźnika cyfrowego dla szkół wyższych </w:t>
            </w:r>
          </w:p>
        </w:tc>
      </w:tr>
      <w:tr w:rsidR="006578ED" w14:paraId="431C5C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4DCB0AC" w14:textId="77777777" w:rsidR="006578ED" w:rsidRDefault="00A1618E">
            <w:pPr>
              <w:pStyle w:val="P68B1DB1-Normal46"/>
              <w:spacing w:after="0" w:line="240" w:lineRule="auto"/>
              <w:rPr>
                <w:rFonts w:eastAsia="Times New Roman" w:cs="Times New Roman"/>
                <w:noProof/>
              </w:rPr>
            </w:pPr>
            <w:r>
              <w:rPr>
                <w:noProof/>
              </w:rPr>
              <w:t>320</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1729EC9" w14:textId="77777777" w:rsidR="006578ED" w:rsidRDefault="00A1618E">
            <w:pPr>
              <w:pStyle w:val="P68B1DB1-Normal46"/>
              <w:spacing w:after="0" w:line="240" w:lineRule="auto"/>
              <w:rPr>
                <w:rFonts w:eastAsia="Times New Roman" w:cs="Times New Roman"/>
                <w:noProof/>
              </w:rPr>
            </w:pPr>
            <w:r>
              <w:rPr>
                <w:noProof/>
              </w:rPr>
              <w:t>C22.R5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354258DE" w14:textId="6B73795A"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D57F9F0" w14:textId="2996C994" w:rsidR="006578ED" w:rsidRDefault="00A1618E">
            <w:pPr>
              <w:pStyle w:val="P68B1DB1-Normal46"/>
              <w:spacing w:after="0" w:line="240" w:lineRule="auto"/>
              <w:rPr>
                <w:rFonts w:eastAsia="Times New Roman" w:cs="Times New Roman"/>
                <w:noProof/>
              </w:rPr>
            </w:pPr>
            <w:r>
              <w:rPr>
                <w:noProof/>
              </w:rPr>
              <w:t>Wejście w życie przepisów mających na celu reorganizację i uproszczenie systemu nieskładkowych świadczeń finansowych</w:t>
            </w:r>
          </w:p>
        </w:tc>
      </w:tr>
      <w:tr w:rsidR="006578ED" w14:paraId="68C1CF9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20FE5AD" w14:textId="77777777" w:rsidR="006578ED" w:rsidRDefault="00A1618E">
            <w:pPr>
              <w:pStyle w:val="P68B1DB1-Normal46"/>
              <w:spacing w:after="0" w:line="240" w:lineRule="auto"/>
              <w:rPr>
                <w:rFonts w:eastAsia="Times New Roman" w:cs="Times New Roman"/>
                <w:noProof/>
              </w:rPr>
            </w:pPr>
            <w:r>
              <w:rPr>
                <w:noProof/>
              </w:rPr>
              <w:t>324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6EAF6CA" w14:textId="77777777" w:rsidR="006578ED" w:rsidRDefault="00A1618E">
            <w:pPr>
              <w:pStyle w:val="P68B1DB1-Normal46"/>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F0A6E2A" w14:textId="43ABDEF7"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E30FF5F" w14:textId="2AD77568" w:rsidR="006578ED" w:rsidRDefault="00A1618E">
            <w:pPr>
              <w:pStyle w:val="P68B1DB1-Normal46"/>
              <w:spacing w:after="0" w:line="240" w:lineRule="auto"/>
              <w:rPr>
                <w:rFonts w:eastAsia="Times New Roman" w:cs="Times New Roman"/>
                <w:noProof/>
              </w:rPr>
            </w:pPr>
            <w:r>
              <w:rPr>
                <w:noProof/>
              </w:rPr>
              <w:t>Wdrożenie specjalnych narzędzi technologicznych w celu poprawy systemów informacji i zarządzania usługami socjalnymi.</w:t>
            </w:r>
          </w:p>
        </w:tc>
      </w:tr>
      <w:tr w:rsidR="006578ED" w14:paraId="4D2F185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E463CF4" w14:textId="77777777" w:rsidR="006578ED" w:rsidRDefault="00A1618E">
            <w:pPr>
              <w:pStyle w:val="P68B1DB1-Normal46"/>
              <w:spacing w:after="0" w:line="240" w:lineRule="auto"/>
              <w:rPr>
                <w:rFonts w:eastAsia="Times New Roman" w:cs="Times New Roman"/>
                <w:noProof/>
              </w:rPr>
            </w:pPr>
            <w:r>
              <w:rPr>
                <w:noProof/>
              </w:rPr>
              <w:t>341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79D6011" w14:textId="77777777" w:rsidR="006578ED" w:rsidRDefault="00A1618E">
            <w:pPr>
              <w:pStyle w:val="P68B1DB1-Normal46"/>
              <w:spacing w:after="0" w:line="240" w:lineRule="auto"/>
              <w:rPr>
                <w:rFonts w:eastAsia="Times New Roman" w:cs="Times New Roman"/>
                <w:noProof/>
              </w:rPr>
            </w:pPr>
            <w:r>
              <w:rPr>
                <w:noProof/>
              </w:rPr>
              <w:t>C23.R11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7B36BC" w14:textId="08E57539"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EF7383" w14:textId="075964A8" w:rsidR="006578ED" w:rsidRDefault="00A1618E">
            <w:pPr>
              <w:pStyle w:val="P68B1DB1-Normal46"/>
              <w:spacing w:after="0" w:line="240" w:lineRule="auto"/>
              <w:rPr>
                <w:rFonts w:eastAsia="Times New Roman" w:cs="Times New Roman"/>
                <w:noProof/>
              </w:rPr>
            </w:pPr>
            <w:r>
              <w:rPr>
                <w:noProof/>
              </w:rPr>
              <w:t>Zaświadczenia o zakończeniu świadczenia usług w ramach umów na modernizację Państwowej Publicznej Służby Zatrudnienia</w:t>
            </w:r>
          </w:p>
        </w:tc>
      </w:tr>
      <w:tr w:rsidR="006578ED" w14:paraId="2B301B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2C4D051" w14:textId="77777777" w:rsidR="006578ED" w:rsidRDefault="00A1618E">
            <w:pPr>
              <w:pStyle w:val="P68B1DB1-Normal46"/>
              <w:spacing w:after="0" w:line="240" w:lineRule="auto"/>
              <w:rPr>
                <w:rFonts w:eastAsia="Times New Roman" w:cs="Times New Roman"/>
                <w:noProof/>
              </w:rPr>
            </w:pPr>
            <w:r>
              <w:rPr>
                <w:noProof/>
              </w:rPr>
              <w:t>346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37874AF" w14:textId="77777777" w:rsidR="006578ED" w:rsidRDefault="00A1618E">
            <w:pPr>
              <w:pStyle w:val="P68B1DB1-Normal46"/>
              <w:spacing w:after="0" w:line="240" w:lineRule="auto"/>
              <w:rPr>
                <w:rFonts w:eastAsia="Times New Roman" w:cs="Times New Roman"/>
                <w:noProof/>
              </w:rPr>
            </w:pPr>
            <w:r>
              <w:rPr>
                <w:noProof/>
              </w:rPr>
              <w:t>C23.I4</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F2165CB" w14:textId="45AAF977"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F4AFF46" w14:textId="1A2C9F45" w:rsidR="006578ED" w:rsidRDefault="00A1618E">
            <w:pPr>
              <w:pStyle w:val="P68B1DB1-Normal46"/>
              <w:spacing w:after="0" w:line="240" w:lineRule="auto"/>
              <w:rPr>
                <w:rFonts w:eastAsia="Times New Roman" w:cs="Times New Roman"/>
                <w:noProof/>
              </w:rPr>
            </w:pPr>
            <w:r>
              <w:rPr>
                <w:noProof/>
              </w:rPr>
              <w:t>Zakończono projekty terytorialne na rzecz słabszych grup społecznych, przedsiębiorczości i mikroprzedsiębiorstw, w których uczestniczyło co najmniej 39000 pracowników i 64000 przedsiębiorstw.</w:t>
            </w:r>
          </w:p>
        </w:tc>
      </w:tr>
      <w:tr w:rsidR="006578ED" w14:paraId="0767FC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F91C1E8" w14:textId="77777777" w:rsidR="006578ED" w:rsidRDefault="00A1618E">
            <w:pPr>
              <w:pStyle w:val="P68B1DB1-Normal46"/>
              <w:spacing w:after="0" w:line="240" w:lineRule="auto"/>
              <w:rPr>
                <w:rFonts w:eastAsia="Times New Roman" w:cs="Times New Roman"/>
                <w:noProof/>
              </w:rPr>
            </w:pPr>
            <w:r>
              <w:rPr>
                <w:noProof/>
              </w:rPr>
              <w:t>348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45C8DDD0" w14:textId="77777777" w:rsidR="006578ED" w:rsidRDefault="00A1618E">
            <w:pPr>
              <w:pStyle w:val="P68B1DB1-Normal46"/>
              <w:spacing w:after="0" w:line="240" w:lineRule="auto"/>
              <w:rPr>
                <w:rFonts w:eastAsia="Times New Roman" w:cs="Times New Roman"/>
                <w:noProof/>
              </w:rPr>
            </w:pPr>
            <w:r>
              <w:rPr>
                <w:noProof/>
              </w:rPr>
              <w:t>C23.I5</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5F24A35" w14:textId="42AD17A2"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B159E54" w14:textId="77777777" w:rsidR="006578ED" w:rsidRDefault="00A1618E">
            <w:pPr>
              <w:pStyle w:val="P68B1DB1-Normal46"/>
              <w:spacing w:after="0" w:line="240" w:lineRule="auto"/>
              <w:rPr>
                <w:rFonts w:eastAsia="Times New Roman" w:cs="Times New Roman"/>
                <w:noProof/>
              </w:rPr>
            </w:pPr>
            <w:r>
              <w:rPr>
                <w:noProof/>
              </w:rPr>
              <w:t>Działania szkoleniowe dla pracowników publicznych służb zatrudnienia</w:t>
            </w:r>
          </w:p>
        </w:tc>
      </w:tr>
      <w:tr w:rsidR="006578ED" w14:paraId="2AB848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B5CB055" w14:textId="77777777" w:rsidR="006578ED" w:rsidRDefault="00A1618E">
            <w:pPr>
              <w:pStyle w:val="P68B1DB1-Normal46"/>
              <w:spacing w:after="0" w:line="240" w:lineRule="auto"/>
              <w:rPr>
                <w:rFonts w:eastAsia="Times New Roman" w:cs="Times New Roman"/>
                <w:noProof/>
              </w:rPr>
            </w:pPr>
            <w:r>
              <w:rPr>
                <w:noProof/>
              </w:rPr>
              <w:t>353</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DE584FE" w14:textId="77777777" w:rsidR="006578ED" w:rsidRDefault="00A1618E">
            <w:pPr>
              <w:pStyle w:val="P68B1DB1-Normal46"/>
              <w:spacing w:after="0" w:line="240" w:lineRule="auto"/>
              <w:rPr>
                <w:rFonts w:eastAsia="Times New Roman" w:cs="Times New Roman"/>
                <w:noProof/>
              </w:rPr>
            </w:pPr>
            <w:r>
              <w:rPr>
                <w:noProof/>
              </w:rPr>
              <w:t>C24.R2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192BF57E" w14:textId="4AB0FB68"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675A7EF" w14:textId="7554D9C9" w:rsidR="006578ED" w:rsidRDefault="00A1618E">
            <w:pPr>
              <w:pStyle w:val="P68B1DB1-Normal46"/>
              <w:spacing w:after="0" w:line="240" w:lineRule="auto"/>
              <w:rPr>
                <w:rFonts w:eastAsia="Times New Roman" w:cs="Times New Roman"/>
                <w:noProof/>
              </w:rPr>
            </w:pPr>
            <w:r>
              <w:rPr>
                <w:noProof/>
              </w:rPr>
              <w:t>Wejście w życie środków ustawodawczych i regulacyjnych mających na celu wzmocnienie prawa autorskiego i praw pokrewnych</w:t>
            </w:r>
          </w:p>
        </w:tc>
      </w:tr>
      <w:tr w:rsidR="006578ED" w14:paraId="1DC6B8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ABE6351" w14:textId="77777777" w:rsidR="006578ED" w:rsidRDefault="00A1618E">
            <w:pPr>
              <w:pStyle w:val="P68B1DB1-Normal46"/>
              <w:spacing w:after="0" w:line="240" w:lineRule="auto"/>
              <w:rPr>
                <w:rFonts w:eastAsia="Times New Roman" w:cs="Times New Roman"/>
                <w:noProof/>
              </w:rPr>
            </w:pPr>
            <w:r>
              <w:rPr>
                <w:noProof/>
              </w:rPr>
              <w:t>354</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4F51AB3" w14:textId="77777777" w:rsidR="006578ED" w:rsidRDefault="00A1618E">
            <w:pPr>
              <w:pStyle w:val="P68B1DB1-Normal46"/>
              <w:spacing w:after="0" w:line="240" w:lineRule="auto"/>
              <w:rPr>
                <w:rFonts w:eastAsia="Times New Roman" w:cs="Times New Roman"/>
                <w:noProof/>
              </w:rPr>
            </w:pPr>
            <w:r>
              <w:rPr>
                <w:noProof/>
              </w:rPr>
              <w:t>C24.I1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0E4407" w14:textId="1CA30F3D"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054BC41" w14:textId="77777777" w:rsidR="006578ED" w:rsidRDefault="00A1618E">
            <w:pPr>
              <w:pStyle w:val="P68B1DB1-Normal46"/>
              <w:spacing w:after="0" w:line="240" w:lineRule="auto"/>
              <w:rPr>
                <w:rFonts w:eastAsia="Times New Roman" w:cs="Times New Roman"/>
                <w:noProof/>
              </w:rPr>
            </w:pPr>
            <w:r>
              <w:rPr>
                <w:noProof/>
              </w:rPr>
              <w:t xml:space="preserve">Wzmocnienie konkurencyjności przemysłu kulturalnego </w:t>
            </w:r>
          </w:p>
        </w:tc>
      </w:tr>
      <w:tr w:rsidR="006578ED" w14:paraId="55BFAE6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6BAFF444" w14:textId="77777777" w:rsidR="006578ED" w:rsidRDefault="00A1618E">
            <w:pPr>
              <w:pStyle w:val="P68B1DB1-Normal46"/>
              <w:spacing w:after="0" w:line="240" w:lineRule="auto"/>
              <w:rPr>
                <w:rFonts w:eastAsia="Times New Roman" w:cs="Times New Roman"/>
                <w:noProof/>
              </w:rPr>
            </w:pPr>
            <w:r>
              <w:rPr>
                <w:noProof/>
              </w:rPr>
              <w:t>355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83AD50E" w14:textId="77777777" w:rsidR="006578ED" w:rsidRDefault="00A1618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40C59C4" w14:textId="7B207889"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48DCB2AF" w14:textId="105D5820" w:rsidR="006578ED" w:rsidRDefault="00A1618E">
            <w:pPr>
              <w:pStyle w:val="P68B1DB1-Normal46"/>
              <w:spacing w:after="0" w:line="240" w:lineRule="auto"/>
              <w:rPr>
                <w:rFonts w:eastAsia="Times New Roman" w:cs="Times New Roman"/>
                <w:noProof/>
              </w:rPr>
            </w:pPr>
            <w:r>
              <w:rPr>
                <w:noProof/>
              </w:rPr>
              <w:t>Modernizacja infrastruktury sztuki widowiskowej i muzycznej oraz zrównoważone zarządzanie nią</w:t>
            </w:r>
          </w:p>
        </w:tc>
      </w:tr>
      <w:tr w:rsidR="006578ED" w14:paraId="271FE2D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593770C" w14:textId="77777777" w:rsidR="006578ED" w:rsidRDefault="00A1618E">
            <w:pPr>
              <w:pStyle w:val="P68B1DB1-Normal46"/>
              <w:spacing w:after="0" w:line="240" w:lineRule="auto"/>
              <w:rPr>
                <w:rFonts w:eastAsia="Times New Roman" w:cs="Times New Roman"/>
                <w:noProof/>
              </w:rPr>
            </w:pPr>
            <w:r>
              <w:rPr>
                <w:noProof/>
              </w:rPr>
              <w:t>357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4ACCF7" w14:textId="77777777" w:rsidR="006578ED" w:rsidRDefault="00A1618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1A6161E" w14:textId="7E924470"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AB566F" w14:textId="77777777" w:rsidR="006578ED" w:rsidRDefault="00A1618E">
            <w:pPr>
              <w:pStyle w:val="P68B1DB1-Normal46"/>
              <w:spacing w:after="0" w:line="240" w:lineRule="auto"/>
              <w:rPr>
                <w:rFonts w:eastAsia="Times New Roman" w:cs="Times New Roman"/>
                <w:noProof/>
              </w:rPr>
            </w:pPr>
            <w:r>
              <w:rPr>
                <w:noProof/>
              </w:rPr>
              <w:t>Licencje na książki elektroniczne dla bibliotek</w:t>
            </w:r>
          </w:p>
        </w:tc>
      </w:tr>
      <w:tr w:rsidR="006578ED" w14:paraId="3327BE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0D4E88DC" w14:textId="77777777" w:rsidR="006578ED" w:rsidRDefault="00A1618E">
            <w:pPr>
              <w:pStyle w:val="P68B1DB1-Normal46"/>
              <w:spacing w:after="0" w:line="240" w:lineRule="auto"/>
              <w:rPr>
                <w:rFonts w:eastAsia="Times New Roman" w:cs="Times New Roman"/>
                <w:noProof/>
              </w:rPr>
            </w:pPr>
            <w:r>
              <w:rPr>
                <w:noProof/>
              </w:rPr>
              <w:t>359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8E51439" w14:textId="77777777" w:rsidR="006578ED" w:rsidRDefault="00A1618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2745A04E" w14:textId="171E9B65"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523A2C2" w14:textId="18EAA5B3" w:rsidR="006578ED" w:rsidRDefault="00A1618E">
            <w:pPr>
              <w:pStyle w:val="P68B1DB1-Normal46"/>
              <w:spacing w:after="0" w:line="240" w:lineRule="auto"/>
              <w:rPr>
                <w:rFonts w:eastAsia="Times New Roman" w:cs="Times New Roman"/>
                <w:noProof/>
              </w:rPr>
            </w:pPr>
            <w:r>
              <w:rPr>
                <w:noProof/>
              </w:rPr>
              <w:t xml:space="preserve">Pobudzanie inicjatyw kulturalnych i kreatywnych </w:t>
            </w:r>
          </w:p>
        </w:tc>
      </w:tr>
      <w:tr w:rsidR="006578ED" w14:paraId="02EDE7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6D07008" w14:textId="77777777" w:rsidR="006578ED" w:rsidRDefault="00A1618E">
            <w:pPr>
              <w:pStyle w:val="P68B1DB1-Normal46"/>
              <w:spacing w:after="0" w:line="240" w:lineRule="auto"/>
              <w:rPr>
                <w:rFonts w:eastAsia="Times New Roman" w:cs="Times New Roman"/>
                <w:noProof/>
              </w:rPr>
            </w:pPr>
            <w:r>
              <w:rPr>
                <w:noProof/>
              </w:rPr>
              <w:t>361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566B267" w14:textId="77777777" w:rsidR="006578ED" w:rsidRDefault="00A1618E">
            <w:pPr>
              <w:pStyle w:val="P68B1DB1-Normal46"/>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FD70EE7" w14:textId="3AF3A7DE"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863ACED" w14:textId="45C8DCA9" w:rsidR="006578ED" w:rsidRDefault="00A1618E">
            <w:pPr>
              <w:pStyle w:val="P68B1DB1-Normal46"/>
              <w:spacing w:after="0" w:line="240" w:lineRule="auto"/>
              <w:rPr>
                <w:rFonts w:eastAsia="Times New Roman" w:cs="Times New Roman"/>
                <w:noProof/>
              </w:rPr>
            </w:pPr>
            <w:r>
              <w:rPr>
                <w:noProof/>
              </w:rPr>
              <w:t xml:space="preserve">Zakończenie cyfryzacji i promowania głównych usług kulturalnych </w:t>
            </w:r>
          </w:p>
        </w:tc>
      </w:tr>
      <w:tr w:rsidR="006578ED" w14:paraId="1CF326C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7BD126B5" w14:textId="77777777" w:rsidR="006578ED" w:rsidRDefault="00A1618E">
            <w:pPr>
              <w:pStyle w:val="P68B1DB1-Normal46"/>
              <w:spacing w:after="0" w:line="240" w:lineRule="auto"/>
              <w:rPr>
                <w:rFonts w:eastAsia="Times New Roman" w:cs="Times New Roman"/>
                <w:noProof/>
              </w:rPr>
            </w:pPr>
            <w:r>
              <w:rPr>
                <w:noProof/>
              </w:rPr>
              <w:t>362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1C6E4BF" w14:textId="77777777" w:rsidR="006578ED" w:rsidRDefault="00A1618E">
            <w:pPr>
              <w:pStyle w:val="P68B1DB1-Normal46"/>
              <w:spacing w:after="0" w:line="240" w:lineRule="auto"/>
              <w:rPr>
                <w:rFonts w:eastAsia="Times New Roman" w:cs="Times New Roman"/>
                <w:noProof/>
              </w:rPr>
            </w:pPr>
            <w:r>
              <w:rPr>
                <w:noProof/>
              </w:rPr>
              <w:t>C24.I3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64228A9" w14:textId="10A8C764"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31EBADB" w14:textId="77777777" w:rsidR="006578ED" w:rsidRDefault="00A1618E">
            <w:pPr>
              <w:pStyle w:val="P68B1DB1-Normal46"/>
              <w:spacing w:after="0" w:line="240" w:lineRule="auto"/>
              <w:rPr>
                <w:rFonts w:eastAsia="Times New Roman" w:cs="Times New Roman"/>
                <w:noProof/>
              </w:rPr>
            </w:pPr>
            <w:r>
              <w:rPr>
                <w:noProof/>
              </w:rPr>
              <w:t xml:space="preserve">Zakończenie cyfryzacji dziedzictwa bibliograficznego </w:t>
            </w:r>
          </w:p>
        </w:tc>
      </w:tr>
      <w:tr w:rsidR="006578ED" w14:paraId="0453C6C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7232AC9" w14:textId="77777777" w:rsidR="006578ED" w:rsidRDefault="00A1618E">
            <w:pPr>
              <w:pStyle w:val="P68B1DB1-Normal46"/>
              <w:spacing w:after="0" w:line="240" w:lineRule="auto"/>
              <w:rPr>
                <w:rFonts w:eastAsia="Times New Roman" w:cs="Times New Roman"/>
                <w:noProof/>
              </w:rPr>
            </w:pPr>
            <w:r>
              <w:rPr>
                <w:noProof/>
              </w:rPr>
              <w:t>365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B2D24FA" w14:textId="77777777" w:rsidR="006578ED" w:rsidRDefault="00A1618E">
            <w:pPr>
              <w:pStyle w:val="P68B1DB1-Normal46"/>
              <w:spacing w:after="0" w:line="240" w:lineRule="auto"/>
              <w:rPr>
                <w:rFonts w:eastAsia="Times New Roman" w:cs="Times New Roman"/>
                <w:noProof/>
              </w:rPr>
            </w:pPr>
            <w:r>
              <w:rPr>
                <w:noProof/>
              </w:rPr>
              <w:t>C25.R1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DF0815B" w14:textId="3F14B87F"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3E9F6789" w14:textId="59835363" w:rsidR="006578ED" w:rsidRDefault="00A1618E">
            <w:pPr>
              <w:pStyle w:val="P68B1DB1-Normal46"/>
              <w:spacing w:after="0" w:line="240" w:lineRule="auto"/>
              <w:rPr>
                <w:rFonts w:eastAsia="Times New Roman" w:cs="Times New Roman"/>
                <w:noProof/>
              </w:rPr>
            </w:pPr>
            <w:r>
              <w:rPr>
                <w:noProof/>
              </w:rPr>
              <w:t xml:space="preserve"> Wejście w życie ustawy o kinie. </w:t>
            </w:r>
          </w:p>
        </w:tc>
      </w:tr>
      <w:tr w:rsidR="006578ED" w14:paraId="08128E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1CFD186F" w14:textId="77777777" w:rsidR="006578ED" w:rsidRDefault="00A1618E">
            <w:pPr>
              <w:pStyle w:val="P68B1DB1-Normal46"/>
              <w:spacing w:after="0" w:line="240" w:lineRule="auto"/>
              <w:rPr>
                <w:rFonts w:eastAsia="Times New Roman" w:cs="Times New Roman"/>
                <w:noProof/>
              </w:rPr>
            </w:pPr>
            <w:r>
              <w:rPr>
                <w:noProof/>
              </w:rPr>
              <w:t>366</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349F1BE3" w14:textId="77777777" w:rsidR="006578ED" w:rsidRDefault="00A1618E">
            <w:pPr>
              <w:pStyle w:val="P68B1DB1-Normal46"/>
              <w:spacing w:after="0" w:line="240" w:lineRule="auto"/>
              <w:rPr>
                <w:rFonts w:eastAsia="Times New Roman" w:cs="Times New Roman"/>
                <w:noProof/>
              </w:rPr>
            </w:pPr>
            <w:r>
              <w:rPr>
                <w:noProof/>
              </w:rPr>
              <w:t>C25.I1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6FDAAD5" w14:textId="1EF0E7A7"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C8F7F46" w14:textId="0C2B3C99" w:rsidR="006578ED" w:rsidRDefault="00A1618E">
            <w:pPr>
              <w:pStyle w:val="P68B1DB1-Normal46"/>
              <w:spacing w:after="0" w:line="240" w:lineRule="auto"/>
              <w:rPr>
                <w:rFonts w:eastAsia="Times New Roman" w:cs="Times New Roman"/>
                <w:noProof/>
              </w:rPr>
            </w:pPr>
            <w:r>
              <w:rPr>
                <w:noProof/>
              </w:rPr>
              <w:t>Wspieranie MŚP w sektorze audiowizualnym.</w:t>
            </w:r>
          </w:p>
        </w:tc>
      </w:tr>
      <w:tr w:rsidR="006578ED" w14:paraId="3D380C4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4AFA376F" w14:textId="77777777" w:rsidR="006578ED" w:rsidRDefault="00A1618E">
            <w:pPr>
              <w:pStyle w:val="P68B1DB1-Normal46"/>
              <w:spacing w:after="0" w:line="240" w:lineRule="auto"/>
              <w:rPr>
                <w:rFonts w:eastAsia="Times New Roman" w:cs="Times New Roman"/>
                <w:noProof/>
              </w:rPr>
            </w:pPr>
            <w:r>
              <w:rPr>
                <w:noProof/>
              </w:rPr>
              <w:t>368</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C2D6A33" w14:textId="77777777" w:rsidR="006578ED" w:rsidRDefault="00A1618E">
            <w:pPr>
              <w:pStyle w:val="P68B1DB1-Normal46"/>
              <w:spacing w:after="0" w:line="240" w:lineRule="auto"/>
              <w:rPr>
                <w:rFonts w:eastAsia="Times New Roman" w:cs="Times New Roman"/>
                <w:noProof/>
              </w:rPr>
            </w:pPr>
            <w:r>
              <w:rPr>
                <w:noProof/>
              </w:rPr>
              <w:t>C26.R2</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5500E4D" w14:textId="4B5AFF3B"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B418FD8" w14:textId="4E05B2B4" w:rsidR="006578ED" w:rsidRDefault="00A1618E">
            <w:pPr>
              <w:pStyle w:val="P68B1DB1-Normal46"/>
              <w:spacing w:after="0" w:line="240" w:lineRule="auto"/>
              <w:rPr>
                <w:rFonts w:eastAsia="Times New Roman" w:cs="Times New Roman"/>
                <w:noProof/>
              </w:rPr>
            </w:pPr>
            <w:r>
              <w:rPr>
                <w:noProof/>
              </w:rPr>
              <w:t xml:space="preserve">Wejście w życie ustawy o regulacji niektórych zawodów sportowych </w:t>
            </w:r>
          </w:p>
        </w:tc>
      </w:tr>
      <w:tr w:rsidR="006578ED" w14:paraId="337BDD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A3C3CEA" w14:textId="77777777" w:rsidR="006578ED" w:rsidRDefault="00A1618E">
            <w:pPr>
              <w:pStyle w:val="P68B1DB1-Normal46"/>
              <w:spacing w:after="0" w:line="240" w:lineRule="auto"/>
              <w:rPr>
                <w:rFonts w:eastAsia="Times New Roman" w:cs="Times New Roman"/>
                <w:noProof/>
              </w:rPr>
            </w:pPr>
            <w:r>
              <w:rPr>
                <w:noProof/>
              </w:rPr>
              <w:t>369</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63F9A22A" w14:textId="77777777" w:rsidR="006578ED" w:rsidRDefault="00A1618E">
            <w:pPr>
              <w:pStyle w:val="P68B1DB1-Normal46"/>
              <w:spacing w:after="0" w:line="240" w:lineRule="auto"/>
              <w:rPr>
                <w:rFonts w:eastAsia="Times New Roman" w:cs="Times New Roman"/>
                <w:noProof/>
              </w:rPr>
            </w:pPr>
            <w:r>
              <w:rPr>
                <w:noProof/>
              </w:rPr>
              <w:t>C26.R3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ACF1832" w14:textId="420B2916"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75E0286D" w14:textId="41101BAE" w:rsidR="006578ED" w:rsidRDefault="00A1618E">
            <w:pPr>
              <w:pStyle w:val="P68B1DB1-Normal46"/>
              <w:spacing w:after="0" w:line="240" w:lineRule="auto"/>
              <w:rPr>
                <w:rFonts w:eastAsia="Times New Roman" w:cs="Times New Roman"/>
                <w:noProof/>
              </w:rPr>
            </w:pPr>
            <w:r>
              <w:rPr>
                <w:noProof/>
              </w:rPr>
              <w:t>Krajowa strategia promowania sportu przeciwko siedzącemu trybowi życia i brakowi aktywności fizycznej</w:t>
            </w:r>
          </w:p>
        </w:tc>
      </w:tr>
      <w:tr w:rsidR="006578ED" w14:paraId="63AE35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31FE92F6" w14:textId="77777777" w:rsidR="006578ED" w:rsidRDefault="00A1618E">
            <w:pPr>
              <w:pStyle w:val="P68B1DB1-Normal46"/>
              <w:spacing w:after="0" w:line="240" w:lineRule="auto"/>
              <w:rPr>
                <w:rFonts w:eastAsia="Times New Roman" w:cs="Times New Roman"/>
                <w:noProof/>
              </w:rPr>
            </w:pPr>
            <w:r>
              <w:rPr>
                <w:noProof/>
              </w:rPr>
              <w:t>371</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E58BF7C" w14:textId="77777777" w:rsidR="006578ED" w:rsidRDefault="00A1618E">
            <w:pPr>
              <w:pStyle w:val="P68B1DB1-Normal46"/>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7DB6C2E6" w14:textId="0CB0D232"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75FDD00" w14:textId="77777777" w:rsidR="006578ED" w:rsidRDefault="00A1618E">
            <w:pPr>
              <w:pStyle w:val="P68B1DB1-Normal46"/>
              <w:spacing w:after="0" w:line="240" w:lineRule="auto"/>
              <w:rPr>
                <w:rFonts w:eastAsia="Times New Roman" w:cs="Times New Roman"/>
                <w:noProof/>
              </w:rPr>
            </w:pPr>
            <w:r>
              <w:rPr>
                <w:noProof/>
              </w:rPr>
              <w:t xml:space="preserve">Ośrodki medycyny sportowej </w:t>
            </w:r>
          </w:p>
        </w:tc>
      </w:tr>
      <w:tr w:rsidR="006578ED" w14:paraId="4DC1DF3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D38C439" w14:textId="77777777" w:rsidR="006578ED" w:rsidRDefault="00A1618E">
            <w:pPr>
              <w:pStyle w:val="P68B1DB1-Normal46"/>
              <w:spacing w:after="0" w:line="240" w:lineRule="auto"/>
              <w:rPr>
                <w:rFonts w:eastAsia="Times New Roman" w:cs="Times New Roman"/>
                <w:noProof/>
              </w:rPr>
            </w:pPr>
            <w:r>
              <w:rPr>
                <w:noProof/>
              </w:rPr>
              <w:t>375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75CC9000" w14:textId="77777777" w:rsidR="006578ED" w:rsidRDefault="00A1618E">
            <w:pPr>
              <w:pStyle w:val="P68B1DB1-Normal46"/>
              <w:spacing w:after="0" w:line="240" w:lineRule="auto"/>
              <w:rPr>
                <w:rFonts w:eastAsia="Times New Roman" w:cs="Times New Roman"/>
                <w:noProof/>
              </w:rPr>
            </w:pPr>
            <w:r>
              <w:rPr>
                <w:noProof/>
              </w:rPr>
              <w:t>C26.I3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43BD5346" w14:textId="3B748122" w:rsidR="006578ED" w:rsidRDefault="00AF6B91">
            <w:pPr>
              <w:pStyle w:val="P68B1DB1-Normal46"/>
              <w:spacing w:after="0" w:line="240" w:lineRule="auto"/>
              <w:rPr>
                <w:rFonts w:eastAsia="Times New Roman" w:cs="Times New Roman"/>
                <w:noProof/>
              </w:rPr>
            </w:pPr>
            <w:r>
              <w:rPr>
                <w:noProof/>
              </w:rPr>
              <w:t>Cel</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51308742" w14:textId="5D26F6BE" w:rsidR="006578ED" w:rsidRDefault="00A1618E">
            <w:pPr>
              <w:pStyle w:val="P68B1DB1-Normal46"/>
              <w:spacing w:after="0" w:line="240" w:lineRule="auto"/>
              <w:rPr>
                <w:rFonts w:eastAsia="Times New Roman" w:cs="Times New Roman"/>
                <w:noProof/>
              </w:rPr>
            </w:pPr>
            <w:r>
              <w:rPr>
                <w:noProof/>
              </w:rPr>
              <w:t>Zakończenie działań w ramach planu społecznego na rzecz sportu</w:t>
            </w:r>
          </w:p>
        </w:tc>
      </w:tr>
      <w:tr w:rsidR="006578ED" w14:paraId="47BA7F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19D44EE" w14:textId="77777777" w:rsidR="006578ED" w:rsidRDefault="00A1618E">
            <w:pPr>
              <w:pStyle w:val="P68B1DB1-Normal46"/>
              <w:spacing w:after="0" w:line="240" w:lineRule="auto"/>
              <w:rPr>
                <w:rFonts w:eastAsia="Times New Roman" w:cs="Times New Roman"/>
                <w:noProof/>
              </w:rPr>
            </w:pPr>
            <w:r>
              <w:rPr>
                <w:noProof/>
              </w:rPr>
              <w:t>382</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296A3348" w14:textId="77777777" w:rsidR="006578ED" w:rsidRDefault="00A1618E">
            <w:pPr>
              <w:pStyle w:val="P68B1DB1-Normal46"/>
              <w:spacing w:after="0" w:line="240" w:lineRule="auto"/>
              <w:rPr>
                <w:rFonts w:eastAsia="Times New Roman" w:cs="Times New Roman"/>
                <w:noProof/>
              </w:rPr>
            </w:pPr>
            <w:r>
              <w:rPr>
                <w:noProof/>
              </w:rPr>
              <w:t>C27.R3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6A3E1C4F" w14:textId="06004E80"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BD0E3A7" w14:textId="77777777" w:rsidR="006578ED" w:rsidRDefault="00A1618E">
            <w:pPr>
              <w:pStyle w:val="P68B1DB1-Normal46"/>
              <w:spacing w:after="0" w:line="240" w:lineRule="auto"/>
              <w:rPr>
                <w:rFonts w:eastAsia="Times New Roman" w:cs="Times New Roman"/>
                <w:noProof/>
              </w:rPr>
            </w:pPr>
            <w:r>
              <w:rPr>
                <w:noProof/>
              </w:rPr>
              <w:t>Realizacja czterech platform wsparcia cyfrowego</w:t>
            </w:r>
          </w:p>
        </w:tc>
      </w:tr>
      <w:tr w:rsidR="006578ED" w14:paraId="256ED7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58BAE2EA" w14:textId="77777777" w:rsidR="006578ED" w:rsidRDefault="00A1618E">
            <w:pPr>
              <w:pStyle w:val="P68B1DB1-Normal46"/>
              <w:spacing w:after="0" w:line="240" w:lineRule="auto"/>
              <w:rPr>
                <w:rFonts w:eastAsia="Times New Roman" w:cs="Times New Roman"/>
                <w:noProof/>
              </w:rPr>
            </w:pPr>
            <w:r>
              <w:rPr>
                <w:noProof/>
              </w:rPr>
              <w:t>405</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149FFD6F" w14:textId="77777777" w:rsidR="006578ED" w:rsidRDefault="00A1618E">
            <w:pPr>
              <w:pStyle w:val="P68B1DB1-Normal46"/>
              <w:spacing w:after="0" w:line="240" w:lineRule="auto"/>
              <w:rPr>
                <w:rFonts w:eastAsia="Times New Roman" w:cs="Times New Roman"/>
                <w:noProof/>
              </w:rPr>
            </w:pPr>
            <w:r>
              <w:rPr>
                <w:noProof/>
              </w:rPr>
              <w:t>C29.R3</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58CA374E" w14:textId="545EF3B7"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60B89D13" w14:textId="38583671" w:rsidR="006578ED" w:rsidRDefault="00A1618E">
            <w:pPr>
              <w:pStyle w:val="P68B1DB1-Normal46"/>
              <w:spacing w:after="0" w:line="240" w:lineRule="auto"/>
              <w:rPr>
                <w:rFonts w:eastAsia="Times New Roman" w:cs="Times New Roman"/>
                <w:noProof/>
              </w:rPr>
            </w:pPr>
            <w:r>
              <w:rPr>
                <w:noProof/>
              </w:rPr>
              <w:t>Sprawozdanie w sprawie dostosowania do ekologicznego planowania budżetu</w:t>
            </w:r>
          </w:p>
        </w:tc>
      </w:tr>
      <w:tr w:rsidR="006578ED" w14:paraId="75490AE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8584954" w14:textId="77777777" w:rsidR="006578ED" w:rsidRDefault="00A1618E">
            <w:pPr>
              <w:pStyle w:val="P68B1DB1-Normal46"/>
              <w:spacing w:after="0" w:line="240" w:lineRule="auto"/>
              <w:rPr>
                <w:rFonts w:eastAsia="Times New Roman" w:cs="Times New Roman"/>
                <w:noProof/>
              </w:rPr>
            </w:pPr>
            <w:r>
              <w:rPr>
                <w:noProof/>
              </w:rPr>
              <w:t>477</w:t>
            </w: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5E01EE29" w14:textId="77777777" w:rsidR="006578ED" w:rsidRDefault="00A1618E">
            <w:pPr>
              <w:pStyle w:val="P68B1DB1-Normal46"/>
              <w:spacing w:after="0" w:line="240" w:lineRule="auto"/>
              <w:rPr>
                <w:rFonts w:eastAsia="Times New Roman" w:cs="Times New Roman"/>
                <w:noProof/>
              </w:rPr>
            </w:pPr>
            <w:r>
              <w:rPr>
                <w:noProof/>
              </w:rPr>
              <w:t>C31.R1</w:t>
            </w:r>
          </w:p>
        </w:tc>
        <w:tc>
          <w:tcPr>
            <w:tcW w:w="1250" w:type="dxa"/>
            <w:tcBorders>
              <w:top w:val="single" w:sz="4" w:space="0" w:color="auto"/>
              <w:left w:val="nil"/>
              <w:bottom w:val="single" w:sz="4" w:space="0" w:color="auto"/>
              <w:right w:val="single" w:sz="4" w:space="0" w:color="auto"/>
            </w:tcBorders>
            <w:shd w:val="clear" w:color="auto" w:fill="C6EFCE"/>
            <w:noWrap/>
            <w:vAlign w:val="center"/>
          </w:tcPr>
          <w:p w14:paraId="0B1A8226" w14:textId="1765DC39" w:rsidR="006578ED" w:rsidRDefault="00AF6B91">
            <w:pPr>
              <w:pStyle w:val="P68B1DB1-Normal46"/>
              <w:spacing w:after="0" w:line="240" w:lineRule="auto"/>
              <w:rPr>
                <w:rFonts w:eastAsia="Times New Roman" w:cs="Times New Roman"/>
                <w:noProof/>
              </w:rPr>
            </w:pPr>
            <w:r>
              <w:rPr>
                <w:noProof/>
              </w:rPr>
              <w:t>Kamień milowy</w:t>
            </w:r>
          </w:p>
        </w:tc>
        <w:tc>
          <w:tcPr>
            <w:tcW w:w="5672" w:type="dxa"/>
            <w:tcBorders>
              <w:top w:val="single" w:sz="4" w:space="0" w:color="auto"/>
              <w:left w:val="nil"/>
              <w:bottom w:val="single" w:sz="4" w:space="0" w:color="auto"/>
              <w:right w:val="single" w:sz="4" w:space="0" w:color="auto"/>
            </w:tcBorders>
            <w:shd w:val="clear" w:color="auto" w:fill="C6EFCE"/>
            <w:noWrap/>
            <w:vAlign w:val="center"/>
          </w:tcPr>
          <w:p w14:paraId="12FFAAD3" w14:textId="7A3FB541" w:rsidR="006578ED" w:rsidRDefault="00A1618E">
            <w:pPr>
              <w:pStyle w:val="P68B1DB1-Normal46"/>
              <w:spacing w:after="0" w:line="240" w:lineRule="auto"/>
              <w:rPr>
                <w:rFonts w:eastAsia="Times New Roman" w:cs="Times New Roman"/>
                <w:noProof/>
              </w:rPr>
            </w:pPr>
            <w:r>
              <w:rPr>
                <w:noProof/>
              </w:rPr>
              <w:t>Reforma usprawniająca wydawanie pozwoleń na produkcję energii ze źródeł odnawialnych i infrastrukturę sieci elektroenergetyczną</w:t>
            </w:r>
          </w:p>
        </w:tc>
      </w:tr>
      <w:tr w:rsidR="006578ED" w14:paraId="197CC35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center"/>
          </w:tcPr>
          <w:p w14:paraId="2B555C68" w14:textId="77777777" w:rsidR="006578ED" w:rsidRDefault="006578ED">
            <w:pPr>
              <w:spacing w:after="0" w:line="240" w:lineRule="auto"/>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center"/>
          </w:tcPr>
          <w:p w14:paraId="04C6D7CE"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519B07" w14:textId="623FC744" w:rsidR="006578ED" w:rsidRDefault="00A1618E">
            <w:pPr>
              <w:pStyle w:val="P68B1DB1-Normal45"/>
              <w:spacing w:after="0" w:line="240" w:lineRule="auto"/>
              <w:rPr>
                <w:rFonts w:eastAsia="Times New Roman" w:cs="Times New Roman"/>
                <w:noProof/>
              </w:rPr>
            </w:pPr>
            <w:r>
              <w:rPr>
                <w:noProof/>
              </w:rPr>
              <w:t>Kwota raty</w:t>
            </w:r>
          </w:p>
        </w:tc>
        <w:tc>
          <w:tcPr>
            <w:tcW w:w="5672" w:type="dxa"/>
            <w:tcBorders>
              <w:top w:val="single" w:sz="4" w:space="0" w:color="auto"/>
              <w:left w:val="nil"/>
              <w:bottom w:val="single" w:sz="4" w:space="0" w:color="auto"/>
              <w:right w:val="single" w:sz="4" w:space="0" w:color="auto"/>
            </w:tcBorders>
            <w:shd w:val="clear" w:color="auto" w:fill="C6EFCE"/>
            <w:noWrap/>
            <w:vAlign w:val="bottom"/>
          </w:tcPr>
          <w:p w14:paraId="64B5474A" w14:textId="55ED68B5" w:rsidR="006578ED" w:rsidRDefault="00A1618E">
            <w:pPr>
              <w:pStyle w:val="P68B1DB1-Normal45"/>
              <w:spacing w:after="0" w:line="240" w:lineRule="auto"/>
              <w:rPr>
                <w:rFonts w:eastAsia="Times New Roman" w:cs="Times New Roman"/>
                <w:noProof/>
              </w:rPr>
            </w:pPr>
            <w:r>
              <w:rPr>
                <w:noProof/>
              </w:rPr>
              <w:t>4 076 613 963 EUR</w:t>
            </w:r>
          </w:p>
        </w:tc>
      </w:tr>
    </w:tbl>
    <w:p w14:paraId="2A6E8E49" w14:textId="77777777" w:rsidR="006578ED" w:rsidRDefault="006578ED">
      <w:pPr>
        <w:spacing w:before="120" w:after="120" w:line="240" w:lineRule="auto"/>
        <w:jc w:val="both"/>
        <w:rPr>
          <w:rFonts w:ascii="Times New Roman" w:eastAsia="Calibri" w:hAnsi="Times New Roman" w:cs="Times New Roman"/>
          <w:noProof/>
          <w:sz w:val="20"/>
        </w:rPr>
      </w:pPr>
    </w:p>
    <w:p w14:paraId="6E555F62"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Siódma transza (bezzwrotne wsparcie): </w:t>
      </w:r>
    </w:p>
    <w:tbl>
      <w:tblPr>
        <w:tblW w:w="9697" w:type="dxa"/>
        <w:tblInd w:w="113" w:type="dxa"/>
        <w:tblLook w:val="04A0" w:firstRow="1" w:lastRow="0" w:firstColumn="1" w:lastColumn="0" w:noHBand="0" w:noVBand="1"/>
      </w:tblPr>
      <w:tblGrid>
        <w:gridCol w:w="1300"/>
        <w:gridCol w:w="1443"/>
        <w:gridCol w:w="1561"/>
        <w:gridCol w:w="5704"/>
      </w:tblGrid>
      <w:tr w:rsidR="006578ED" w14:paraId="65CCA49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C391CC6"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611C09B"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216CAA2"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704" w:type="dxa"/>
            <w:vMerge w:val="restart"/>
            <w:tcBorders>
              <w:top w:val="single" w:sz="4" w:space="0" w:color="auto"/>
              <w:left w:val="nil"/>
              <w:bottom w:val="single" w:sz="4" w:space="0" w:color="000000"/>
              <w:right w:val="single" w:sz="4" w:space="0" w:color="auto"/>
            </w:tcBorders>
            <w:shd w:val="clear" w:color="auto" w:fill="BDD7EE"/>
            <w:vAlign w:val="center"/>
            <w:hideMark/>
          </w:tcPr>
          <w:p w14:paraId="7F6877E6"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274F07CF"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6D346BD"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24DB39A"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9EFE700" w14:textId="77777777" w:rsidR="006578ED" w:rsidRDefault="006578ED">
            <w:pPr>
              <w:spacing w:after="0" w:line="240" w:lineRule="auto"/>
              <w:rPr>
                <w:rFonts w:ascii="Times New Roman" w:eastAsia="Times New Roman" w:hAnsi="Times New Roman" w:cs="Times New Roman"/>
                <w:b/>
                <w:noProof/>
                <w:sz w:val="20"/>
              </w:rPr>
            </w:pPr>
          </w:p>
        </w:tc>
        <w:tc>
          <w:tcPr>
            <w:tcW w:w="5704" w:type="dxa"/>
            <w:vMerge/>
            <w:tcBorders>
              <w:top w:val="single" w:sz="4" w:space="0" w:color="auto"/>
              <w:left w:val="nil"/>
              <w:bottom w:val="single" w:sz="4" w:space="0" w:color="000000"/>
              <w:right w:val="single" w:sz="4" w:space="0" w:color="auto"/>
            </w:tcBorders>
            <w:vAlign w:val="center"/>
            <w:hideMark/>
          </w:tcPr>
          <w:p w14:paraId="237DAC7D" w14:textId="77777777" w:rsidR="006578ED" w:rsidRDefault="006578ED">
            <w:pPr>
              <w:spacing w:after="0" w:line="240" w:lineRule="auto"/>
              <w:rPr>
                <w:rFonts w:ascii="Times New Roman" w:eastAsia="Times New Roman" w:hAnsi="Times New Roman" w:cs="Times New Roman"/>
                <w:b/>
                <w:noProof/>
                <w:sz w:val="20"/>
              </w:rPr>
            </w:pPr>
          </w:p>
        </w:tc>
      </w:tr>
      <w:tr w:rsidR="006578ED" w14:paraId="2964FF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EB6638" w14:textId="77777777" w:rsidR="006578ED" w:rsidRDefault="00A1618E">
            <w:pPr>
              <w:pStyle w:val="P68B1DB1-Normal46"/>
              <w:spacing w:after="0" w:line="240" w:lineRule="auto"/>
              <w:jc w:val="center"/>
              <w:rPr>
                <w:rFonts w:eastAsia="Times New Roman" w:cs="Times New Roman"/>
                <w:noProof/>
              </w:rPr>
            </w:pPr>
            <w:r>
              <w:rPr>
                <w:noProof/>
              </w:rPr>
              <w:t>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BD39E6" w14:textId="77777777" w:rsidR="006578ED" w:rsidRDefault="00A1618E">
            <w:pPr>
              <w:pStyle w:val="P68B1DB1-Normal46"/>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63184C" w14:textId="51E34209"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CA82375" w14:textId="28777B58" w:rsidR="006578ED" w:rsidRDefault="00A1618E">
            <w:pPr>
              <w:pStyle w:val="P68B1DB1-Normal46"/>
              <w:spacing w:after="0" w:line="240" w:lineRule="auto"/>
              <w:rPr>
                <w:rFonts w:eastAsia="Times New Roman" w:cs="Times New Roman"/>
                <w:noProof/>
              </w:rPr>
            </w:pPr>
            <w:r>
              <w:rPr>
                <w:noProof/>
              </w:rPr>
              <w:t xml:space="preserve">Przyjęcie ustawy o mobilności zgodnej z zasadami zrównoważonego rozwoju </w:t>
            </w:r>
          </w:p>
        </w:tc>
      </w:tr>
      <w:tr w:rsidR="006578ED" w14:paraId="4241E1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8C6947" w14:textId="77777777" w:rsidR="006578ED" w:rsidRDefault="00A1618E">
            <w:pPr>
              <w:pStyle w:val="P68B1DB1-Normal46"/>
              <w:spacing w:after="0" w:line="240" w:lineRule="auto"/>
              <w:jc w:val="center"/>
              <w:rPr>
                <w:rFonts w:eastAsia="Times New Roman" w:cs="Times New Roman"/>
                <w:noProof/>
              </w:rPr>
            </w:pPr>
            <w:r>
              <w:rPr>
                <w:noProof/>
              </w:rPr>
              <w:t>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FABB3" w14:textId="77777777" w:rsidR="006578ED" w:rsidRDefault="00A1618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5AC2DF" w14:textId="01ED230A"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F2E4D7" w14:textId="0736BC58" w:rsidR="006578ED" w:rsidRDefault="00A1618E">
            <w:pPr>
              <w:pStyle w:val="P68B1DB1-Normal46"/>
              <w:spacing w:after="0" w:line="240" w:lineRule="auto"/>
              <w:rPr>
                <w:rFonts w:eastAsia="Times New Roman" w:cs="Times New Roman"/>
                <w:noProof/>
              </w:rPr>
            </w:pPr>
            <w:r>
              <w:rPr>
                <w:noProof/>
              </w:rPr>
              <w:t>Budżet przeznaczony na zakupy lub przyznane przez gminy w celu promowania mobilności zgodnej z zasadami zrównoważonego rozwoju</w:t>
            </w:r>
          </w:p>
        </w:tc>
      </w:tr>
      <w:tr w:rsidR="006578ED" w14:paraId="4C0929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72CE58" w14:textId="77777777" w:rsidR="006578ED" w:rsidRDefault="00A1618E">
            <w:pPr>
              <w:pStyle w:val="P68B1DB1-Normal46"/>
              <w:spacing w:after="0" w:line="240" w:lineRule="auto"/>
              <w:jc w:val="center"/>
              <w:rPr>
                <w:rFonts w:eastAsia="Times New Roman" w:cs="Times New Roman"/>
                <w:noProof/>
              </w:rPr>
            </w:pPr>
            <w:r>
              <w:rPr>
                <w:noProof/>
              </w:rPr>
              <w:t>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62F070" w14:textId="77777777" w:rsidR="006578ED" w:rsidRDefault="00A1618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AEFD3D" w14:textId="4B6FD383"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5CD14" w14:textId="77777777" w:rsidR="006578ED" w:rsidRDefault="00A1618E">
            <w:pPr>
              <w:pStyle w:val="P68B1DB1-Normal46"/>
              <w:spacing w:after="0" w:line="240" w:lineRule="auto"/>
              <w:rPr>
                <w:rFonts w:eastAsia="Times New Roman" w:cs="Times New Roman"/>
                <w:noProof/>
              </w:rPr>
            </w:pPr>
            <w:r>
              <w:rPr>
                <w:noProof/>
              </w:rPr>
              <w:t>Przyznawanie nagród za projekty mające na celu poprawę nowych form mobilności na drogach państwowych</w:t>
            </w:r>
          </w:p>
        </w:tc>
      </w:tr>
      <w:tr w:rsidR="006578ED" w14:paraId="32BAE1C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86CDB5" w14:textId="77777777" w:rsidR="006578ED" w:rsidRDefault="00A1618E">
            <w:pPr>
              <w:pStyle w:val="P68B1DB1-Normal46"/>
              <w:spacing w:after="0" w:line="240" w:lineRule="auto"/>
              <w:jc w:val="center"/>
              <w:rPr>
                <w:rFonts w:eastAsia="Times New Roman" w:cs="Times New Roman"/>
                <w:noProof/>
              </w:rPr>
            </w:pPr>
            <w:r>
              <w:rPr>
                <w:noProof/>
              </w:rPr>
              <w:t>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E5871" w14:textId="77777777" w:rsidR="006578ED" w:rsidRDefault="00A1618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E3D007" w14:textId="5764AF56"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DB06260" w14:textId="50ABA967" w:rsidR="006578ED" w:rsidRDefault="00A1618E">
            <w:pPr>
              <w:pStyle w:val="P68B1DB1-Normal46"/>
              <w:spacing w:after="0" w:line="240" w:lineRule="auto"/>
              <w:rPr>
                <w:rFonts w:eastAsia="Times New Roman" w:cs="Times New Roman"/>
                <w:noProof/>
              </w:rPr>
            </w:pPr>
            <w:r>
              <w:rPr>
                <w:noProof/>
              </w:rPr>
              <w:t xml:space="preserve">Łączny budżet przyznany na inwestycje w krótkodystansowe linie kolejowe </w:t>
            </w:r>
          </w:p>
        </w:tc>
      </w:tr>
      <w:tr w:rsidR="006578ED" w14:paraId="4C83CE9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756903" w14:textId="77777777" w:rsidR="006578ED" w:rsidRDefault="00A1618E">
            <w:pPr>
              <w:pStyle w:val="P68B1DB1-Normal46"/>
              <w:spacing w:after="0" w:line="240" w:lineRule="auto"/>
              <w:jc w:val="center"/>
              <w:rPr>
                <w:rFonts w:eastAsia="Times New Roman" w:cs="Times New Roman"/>
                <w:noProof/>
              </w:rPr>
            </w:pPr>
            <w:r>
              <w:rPr>
                <w:noProof/>
              </w:rPr>
              <w:t>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A7561" w14:textId="77777777" w:rsidR="006578ED" w:rsidRDefault="00A1618E">
            <w:pPr>
              <w:pStyle w:val="P68B1DB1-Normal46"/>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85C32F" w14:textId="2EA74407"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69DBDB6" w14:textId="2D2C5560" w:rsidR="006578ED" w:rsidRDefault="00A1618E">
            <w:pPr>
              <w:pStyle w:val="P68B1DB1-Normal46"/>
              <w:spacing w:after="0" w:line="240" w:lineRule="auto"/>
              <w:rPr>
                <w:rFonts w:eastAsia="Times New Roman" w:cs="Times New Roman"/>
                <w:noProof/>
              </w:rPr>
            </w:pPr>
            <w:r>
              <w:rPr>
                <w:noProof/>
              </w:rPr>
              <w:t>Zakończenie działań w zakresie renowacji mieszkań mieszkalnych lub decyzji o przyznaniu pomocy na realizację działań w zakresie renowacji mieszkań mieszkalnych, osiągnięcie lub dążenie do osiągnięcia średnio co najmniej 30 % zmniejszenia zapotrzebowania na energię pierwotną (co najmniej 231000 działań w co najmniej 160000 unikalnych lokalach mieszkalnych)</w:t>
            </w:r>
          </w:p>
        </w:tc>
      </w:tr>
      <w:tr w:rsidR="006578ED" w14:paraId="7C6C85C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98C6F9" w14:textId="77777777" w:rsidR="006578ED" w:rsidRDefault="00A1618E">
            <w:pPr>
              <w:pStyle w:val="P68B1DB1-Normal46"/>
              <w:spacing w:after="0" w:line="240" w:lineRule="auto"/>
              <w:jc w:val="center"/>
              <w:rPr>
                <w:rFonts w:eastAsia="Times New Roman" w:cs="Times New Roman"/>
                <w:noProof/>
              </w:rPr>
            </w:pPr>
            <w:r>
              <w:rPr>
                <w:noProof/>
              </w:rPr>
              <w:t>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163C0A" w14:textId="77777777" w:rsidR="006578ED" w:rsidRDefault="00A1618E">
            <w:pPr>
              <w:pStyle w:val="P68B1DB1-Normal46"/>
              <w:spacing w:after="0" w:line="240" w:lineRule="auto"/>
              <w:rPr>
                <w:rFonts w:eastAsia="Times New Roman" w:cs="Times New Roman"/>
                <w:noProof/>
              </w:rPr>
            </w:pPr>
            <w:r>
              <w:rPr>
                <w:noProof/>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0A0F97" w14:textId="3F4A42CC"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0050A65" w14:textId="389775DF" w:rsidR="006578ED" w:rsidRDefault="00A1618E">
            <w:pPr>
              <w:pStyle w:val="P68B1DB1-Normal46"/>
              <w:spacing w:after="0" w:line="240" w:lineRule="auto"/>
              <w:rPr>
                <w:rFonts w:eastAsia="Times New Roman" w:cs="Times New Roman"/>
                <w:noProof/>
              </w:rPr>
            </w:pPr>
            <w:r>
              <w:rPr>
                <w:noProof/>
              </w:rPr>
              <w:t>Ukończenie renowacji budynków publicznych w celu zmniejszenia zapotrzebowania na energię pierwotną średnio o co najmniej 30 % (co najmniej 290 000 m²)</w:t>
            </w:r>
          </w:p>
        </w:tc>
      </w:tr>
      <w:tr w:rsidR="006578ED" w14:paraId="46F465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5603C1" w14:textId="77777777" w:rsidR="006578ED" w:rsidRDefault="00A1618E">
            <w:pPr>
              <w:pStyle w:val="P68B1DB1-Normal46"/>
              <w:spacing w:after="0" w:line="240" w:lineRule="auto"/>
              <w:jc w:val="center"/>
              <w:rPr>
                <w:rFonts w:eastAsia="Times New Roman" w:cs="Times New Roman"/>
                <w:noProof/>
              </w:rPr>
            </w:pPr>
            <w:r>
              <w:rPr>
                <w:noProof/>
              </w:rPr>
              <w:t>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DAEDBE" w14:textId="77777777" w:rsidR="006578ED" w:rsidRDefault="00A1618E">
            <w:pPr>
              <w:pStyle w:val="P68B1DB1-Normal46"/>
              <w:spacing w:after="0" w:line="240" w:lineRule="auto"/>
              <w:rPr>
                <w:rFonts w:eastAsia="Times New Roman" w:cs="Times New Roman"/>
                <w:noProof/>
              </w:rPr>
            </w:pPr>
            <w:r>
              <w:rPr>
                <w:noProof/>
              </w:rPr>
              <w:t>C3.I3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DF3157" w14:textId="7E426311"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74D3F6" w14:textId="509C790A" w:rsidR="006578ED" w:rsidRDefault="00A1618E">
            <w:pPr>
              <w:pStyle w:val="P68B1DB1-Normal46"/>
              <w:spacing w:after="0" w:line="240" w:lineRule="auto"/>
              <w:rPr>
                <w:rFonts w:eastAsia="Times New Roman" w:cs="Times New Roman"/>
                <w:noProof/>
              </w:rPr>
            </w:pPr>
            <w:r>
              <w:rPr>
                <w:noProof/>
              </w:rPr>
              <w:t>Ulepszone ośrodki czyszczenia i dezynfekcji oraz ośrodki produkcji materiału przeznaczonego do reprodukcji roślin wraz ze wzmocnionymi systemami szkoleniowymi i bioasekuracji</w:t>
            </w:r>
          </w:p>
        </w:tc>
      </w:tr>
      <w:tr w:rsidR="006578ED" w14:paraId="1558A95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8DD1CC5" w14:textId="77777777" w:rsidR="006578ED" w:rsidRDefault="00A1618E">
            <w:pPr>
              <w:pStyle w:val="P68B1DB1-Normal46"/>
              <w:spacing w:after="0" w:line="240" w:lineRule="auto"/>
              <w:jc w:val="center"/>
              <w:rPr>
                <w:rFonts w:eastAsia="Times New Roman" w:cs="Times New Roman"/>
                <w:noProof/>
              </w:rPr>
            </w:pPr>
            <w:r>
              <w:rPr>
                <w:noProof/>
              </w:rPr>
              <w:t>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A58736" w14:textId="77777777" w:rsidR="006578ED" w:rsidRDefault="00A1618E">
            <w:pPr>
              <w:pStyle w:val="P68B1DB1-Normal46"/>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40EDB1" w14:textId="5E2D262D"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7EB9FA8" w14:textId="78087741" w:rsidR="006578ED" w:rsidRDefault="00A1618E">
            <w:pPr>
              <w:pStyle w:val="P68B1DB1-Normal46"/>
              <w:spacing w:after="0" w:line="240" w:lineRule="auto"/>
              <w:rPr>
                <w:rFonts w:eastAsia="Times New Roman" w:cs="Times New Roman"/>
                <w:noProof/>
              </w:rPr>
            </w:pPr>
            <w:r>
              <w:rPr>
                <w:noProof/>
              </w:rPr>
              <w:t>Sieć bazowa TEN-</w:t>
            </w:r>
            <w:r w:rsidR="00AF6B91">
              <w:rPr>
                <w:noProof/>
              </w:rPr>
              <w:t>Cel</w:t>
            </w:r>
            <w:r>
              <w:rPr>
                <w:noProof/>
              </w:rPr>
              <w:t xml:space="preserve">: postępy w pracach </w:t>
            </w:r>
          </w:p>
        </w:tc>
      </w:tr>
      <w:tr w:rsidR="006578ED" w14:paraId="6C032F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65B9D1" w14:textId="77777777" w:rsidR="006578ED" w:rsidRDefault="00A1618E">
            <w:pPr>
              <w:pStyle w:val="P68B1DB1-Normal46"/>
              <w:spacing w:after="0" w:line="240" w:lineRule="auto"/>
              <w:jc w:val="center"/>
              <w:rPr>
                <w:rFonts w:eastAsia="Times New Roman" w:cs="Times New Roman"/>
                <w:noProof/>
              </w:rPr>
            </w:pPr>
            <w:r>
              <w:rPr>
                <w:noProof/>
              </w:rPr>
              <w:t>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962B6B" w14:textId="77777777" w:rsidR="006578ED" w:rsidRDefault="00A1618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0C6CF4" w14:textId="3EAED9A4"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BCB89D" w14:textId="4922C97E" w:rsidR="006578ED" w:rsidRDefault="00A1618E">
            <w:pPr>
              <w:pStyle w:val="P68B1DB1-Normal46"/>
              <w:spacing w:after="0" w:line="240" w:lineRule="auto"/>
              <w:rPr>
                <w:rFonts w:eastAsia="Times New Roman" w:cs="Times New Roman"/>
                <w:noProof/>
              </w:rPr>
            </w:pPr>
            <w:r>
              <w:rPr>
                <w:noProof/>
              </w:rPr>
              <w:t>Sieć TEN-</w:t>
            </w:r>
            <w:r w:rsidR="00AF6B91">
              <w:rPr>
                <w:noProof/>
              </w:rPr>
              <w:t>Cel</w:t>
            </w:r>
            <w:r>
              <w:rPr>
                <w:noProof/>
              </w:rPr>
              <w:t xml:space="preserve"> nienależąca do sieci bazowej: postępy w pracach kolejowych</w:t>
            </w:r>
          </w:p>
        </w:tc>
      </w:tr>
      <w:tr w:rsidR="006578ED" w14:paraId="39542F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12BFD" w14:textId="77777777" w:rsidR="006578ED" w:rsidRDefault="00A1618E">
            <w:pPr>
              <w:pStyle w:val="P68B1DB1-Normal46"/>
              <w:spacing w:after="0" w:line="240" w:lineRule="auto"/>
              <w:jc w:val="center"/>
              <w:rPr>
                <w:rFonts w:eastAsia="Times New Roman" w:cs="Times New Roman"/>
                <w:noProof/>
              </w:rPr>
            </w:pPr>
            <w:r>
              <w:rPr>
                <w:noProof/>
              </w:rPr>
              <w:t>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16525" w14:textId="77777777" w:rsidR="006578ED" w:rsidRDefault="00A1618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7422D49" w14:textId="70614E72"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0D01220" w14:textId="4613E611" w:rsidR="006578ED" w:rsidRDefault="00A1618E">
            <w:pPr>
              <w:pStyle w:val="P68B1DB1-Normal46"/>
              <w:spacing w:after="0" w:line="240" w:lineRule="auto"/>
              <w:rPr>
                <w:rFonts w:eastAsia="Times New Roman" w:cs="Times New Roman"/>
                <w:noProof/>
              </w:rPr>
            </w:pPr>
            <w:r>
              <w:rPr>
                <w:noProof/>
              </w:rPr>
              <w:t>Jednolita europejska przestrzeń powietrzna: projekt, na który przyznano dofinansowanie, i postępy w realizacji projektów</w:t>
            </w:r>
          </w:p>
        </w:tc>
      </w:tr>
      <w:tr w:rsidR="006578ED" w14:paraId="03956C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BC1941" w14:textId="77777777" w:rsidR="006578ED" w:rsidRDefault="00A1618E">
            <w:pPr>
              <w:pStyle w:val="P68B1DB1-Normal46"/>
              <w:spacing w:after="0" w:line="240" w:lineRule="auto"/>
              <w:jc w:val="center"/>
              <w:rPr>
                <w:rFonts w:eastAsia="Times New Roman" w:cs="Times New Roman"/>
                <w:noProof/>
              </w:rPr>
            </w:pPr>
            <w:r>
              <w:rPr>
                <w:noProof/>
              </w:rPr>
              <w:t>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21BDC2" w14:textId="77777777" w:rsidR="006578ED" w:rsidRDefault="00A1618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79B216" w14:textId="5CC35388"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0B1E470" w14:textId="5E605023" w:rsidR="006578ED" w:rsidRDefault="00A1618E">
            <w:pPr>
              <w:pStyle w:val="P68B1DB1-Normal46"/>
              <w:spacing w:after="0" w:line="240" w:lineRule="auto"/>
              <w:rPr>
                <w:rFonts w:eastAsia="Times New Roman" w:cs="Times New Roman"/>
                <w:noProof/>
              </w:rPr>
            </w:pPr>
            <w:r>
              <w:rPr>
                <w:noProof/>
              </w:rPr>
              <w:t>Cyfryzacja Ministerstwa Transportu, Mobilności i agendy miejskiej</w:t>
            </w:r>
          </w:p>
        </w:tc>
      </w:tr>
      <w:tr w:rsidR="006578ED" w14:paraId="73CD546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757BCA" w14:textId="77777777" w:rsidR="006578ED" w:rsidRDefault="00A1618E">
            <w:pPr>
              <w:pStyle w:val="P68B1DB1-Normal46"/>
              <w:spacing w:after="0" w:line="240" w:lineRule="auto"/>
              <w:jc w:val="center"/>
              <w:rPr>
                <w:rFonts w:eastAsia="Times New Roman" w:cs="Times New Roman"/>
                <w:noProof/>
              </w:rPr>
            </w:pPr>
            <w:r>
              <w:rPr>
                <w:noProof/>
              </w:rPr>
              <w:t>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AAE4E" w14:textId="77777777" w:rsidR="006578ED" w:rsidRDefault="00A1618E">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E9DA978" w14:textId="5D038BBF"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7B5736" w14:textId="3982506D" w:rsidR="006578ED" w:rsidRDefault="00A1618E">
            <w:pPr>
              <w:pStyle w:val="P68B1DB1-Normal46"/>
              <w:spacing w:after="0" w:line="240" w:lineRule="auto"/>
              <w:rPr>
                <w:rFonts w:eastAsia="Times New Roman" w:cs="Times New Roman"/>
                <w:noProof/>
              </w:rPr>
            </w:pPr>
            <w:r>
              <w:rPr>
                <w:noProof/>
              </w:rPr>
              <w:t xml:space="preserve">Wykonanie budżetu infrastruktury intermodalnej i logistycznej </w:t>
            </w:r>
          </w:p>
        </w:tc>
      </w:tr>
      <w:tr w:rsidR="006578ED" w14:paraId="236FAA8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C16EA" w14:textId="77777777" w:rsidR="006578ED" w:rsidRDefault="00A1618E">
            <w:pPr>
              <w:pStyle w:val="P68B1DB1-Normal46"/>
              <w:spacing w:after="0" w:line="240" w:lineRule="auto"/>
              <w:jc w:val="center"/>
              <w:rPr>
                <w:rFonts w:eastAsia="Times New Roman" w:cs="Times New Roman"/>
                <w:noProof/>
              </w:rPr>
            </w:pPr>
            <w:r>
              <w:rPr>
                <w:noProof/>
              </w:rPr>
              <w:t>100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77DB0F" w14:textId="77777777" w:rsidR="006578ED" w:rsidRDefault="00A1618E">
            <w:pPr>
              <w:pStyle w:val="P68B1DB1-Normal46"/>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1BB64D" w14:textId="7BA61930"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82D7860" w14:textId="57626690" w:rsidR="006578ED" w:rsidRDefault="00A1618E">
            <w:pPr>
              <w:pStyle w:val="P68B1DB1-Normal46"/>
              <w:spacing w:after="0" w:line="240" w:lineRule="auto"/>
              <w:rPr>
                <w:rFonts w:eastAsia="Times New Roman" w:cs="Times New Roman"/>
                <w:noProof/>
              </w:rPr>
            </w:pPr>
            <w:r>
              <w:rPr>
                <w:noProof/>
              </w:rPr>
              <w:t>Zrównoważony i cyfrowy transport: rozpoczęcie prac</w:t>
            </w:r>
          </w:p>
        </w:tc>
      </w:tr>
      <w:tr w:rsidR="006578ED" w14:paraId="1E9A01F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EDEAF7" w14:textId="77777777" w:rsidR="006578ED" w:rsidRDefault="00A1618E">
            <w:pPr>
              <w:pStyle w:val="P68B1DB1-Normal46"/>
              <w:spacing w:after="0" w:line="240" w:lineRule="auto"/>
              <w:jc w:val="center"/>
              <w:rPr>
                <w:rFonts w:eastAsia="Times New Roman" w:cs="Times New Roman"/>
                <w:noProof/>
              </w:rPr>
            </w:pPr>
            <w:r>
              <w:rPr>
                <w:noProof/>
              </w:rPr>
              <w:t>111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BCB1C" w14:textId="77777777" w:rsidR="006578ED" w:rsidRDefault="00A1618E">
            <w:pPr>
              <w:pStyle w:val="P68B1DB1-Normal46"/>
              <w:spacing w:after="0" w:line="240" w:lineRule="auto"/>
              <w:rPr>
                <w:rFonts w:eastAsia="Times New Roman" w:cs="Times New Roman"/>
                <w:noProof/>
              </w:rPr>
            </w:pPr>
            <w:r>
              <w:rPr>
                <w:noProof/>
              </w:rPr>
              <w:t>C7.R3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8BF905" w14:textId="29BEAC37"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3DCF46F" w14:textId="5197E66B" w:rsidR="006578ED" w:rsidRDefault="00A1618E">
            <w:pPr>
              <w:pStyle w:val="P68B1DB1-Normal46"/>
              <w:spacing w:after="0" w:line="240" w:lineRule="auto"/>
              <w:rPr>
                <w:rFonts w:eastAsia="Times New Roman" w:cs="Times New Roman"/>
                <w:noProof/>
              </w:rPr>
            </w:pPr>
            <w:r>
              <w:rPr>
                <w:noProof/>
              </w:rPr>
              <w:t>Zakończenie projektów pilotażowych związanych z energią w społecznościach lokalnych</w:t>
            </w:r>
          </w:p>
        </w:tc>
      </w:tr>
      <w:tr w:rsidR="006578ED" w14:paraId="6F3B409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4A510D" w14:textId="77777777" w:rsidR="006578ED" w:rsidRDefault="00A1618E">
            <w:pPr>
              <w:pStyle w:val="P68B1DB1-Normal46"/>
              <w:spacing w:after="0" w:line="240" w:lineRule="auto"/>
              <w:jc w:val="center"/>
              <w:rPr>
                <w:rFonts w:eastAsia="Times New Roman" w:cs="Times New Roman"/>
                <w:noProof/>
              </w:rPr>
            </w:pPr>
            <w:r>
              <w:rPr>
                <w:noProof/>
              </w:rPr>
              <w:t>431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141DE9" w14:textId="77777777" w:rsidR="006578ED" w:rsidRDefault="00A1618E">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C6AB5" w14:textId="2938927C"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266D48" w14:textId="25A94EBD" w:rsidR="006578ED" w:rsidRDefault="00A1618E">
            <w:pPr>
              <w:pStyle w:val="P68B1DB1-Normal46"/>
              <w:spacing w:after="0" w:line="240" w:lineRule="auto"/>
              <w:rPr>
                <w:rFonts w:eastAsia="Times New Roman" w:cs="Times New Roman"/>
                <w:noProof/>
              </w:rPr>
            </w:pPr>
            <w:r>
              <w:rPr>
                <w:noProof/>
              </w:rPr>
              <w:t>Wsparcie projektów w zakresie infrastruktury środowiskowej, cyfrowej i społecznej</w:t>
            </w:r>
          </w:p>
        </w:tc>
      </w:tr>
      <w:tr w:rsidR="006578ED" w14:paraId="2615DC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29CE1A" w14:textId="77777777" w:rsidR="006578ED" w:rsidRDefault="00A1618E">
            <w:pPr>
              <w:pStyle w:val="P68B1DB1-Normal46"/>
              <w:spacing w:after="0" w:line="240" w:lineRule="auto"/>
              <w:jc w:val="center"/>
              <w:rPr>
                <w:rFonts w:eastAsia="Times New Roman" w:cs="Times New Roman"/>
                <w:noProof/>
              </w:rPr>
            </w:pPr>
            <w:r>
              <w:rPr>
                <w:noProof/>
              </w:rPr>
              <w:t>150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D48EFE" w14:textId="77777777" w:rsidR="006578ED" w:rsidRDefault="00A1618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7E6E0F" w14:textId="6684522A"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50E95F" w14:textId="3A953C99" w:rsidR="006578ED" w:rsidRDefault="00A1618E">
            <w:pPr>
              <w:pStyle w:val="P68B1DB1-Normal46"/>
              <w:spacing w:after="0" w:line="240" w:lineRule="auto"/>
              <w:rPr>
                <w:rFonts w:eastAsia="Times New Roman" w:cs="Times New Roman"/>
                <w:noProof/>
              </w:rPr>
            </w:pPr>
            <w:r>
              <w:rPr>
                <w:noProof/>
              </w:rPr>
              <w:t>Stabilizacja zatrudnienia w sektorze publicznym</w:t>
            </w:r>
          </w:p>
        </w:tc>
      </w:tr>
      <w:tr w:rsidR="006578ED" w14:paraId="4197D85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CBE34D" w14:textId="77777777" w:rsidR="006578ED" w:rsidRDefault="00A1618E">
            <w:pPr>
              <w:pStyle w:val="P68B1DB1-Normal46"/>
              <w:spacing w:after="0" w:line="240" w:lineRule="auto"/>
              <w:jc w:val="center"/>
              <w:rPr>
                <w:rFonts w:eastAsia="Times New Roman" w:cs="Times New Roman"/>
                <w:noProof/>
              </w:rPr>
            </w:pPr>
            <w:r>
              <w:rPr>
                <w:noProof/>
              </w:rPr>
              <w:t>432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BD172" w14:textId="77777777" w:rsidR="006578ED" w:rsidRDefault="00A1618E">
            <w:pPr>
              <w:pStyle w:val="P68B1DB1-Normal46"/>
              <w:spacing w:after="0" w:line="240" w:lineRule="auto"/>
              <w:rPr>
                <w:rFonts w:eastAsia="Times New Roman" w:cs="Times New Roman"/>
                <w:noProof/>
              </w:rPr>
            </w:pPr>
            <w:r>
              <w:rPr>
                <w:noProof/>
              </w:rPr>
              <w:t>C11.R1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AFEDF66" w14:textId="4BEAE6FB"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CD35DB" w14:textId="4E101FCB" w:rsidR="006578ED" w:rsidRDefault="00A1618E">
            <w:pPr>
              <w:pStyle w:val="P68B1DB1-Normal46"/>
              <w:spacing w:after="0" w:line="240" w:lineRule="auto"/>
              <w:rPr>
                <w:rFonts w:eastAsia="Times New Roman" w:cs="Times New Roman"/>
                <w:noProof/>
              </w:rPr>
            </w:pPr>
            <w:r>
              <w:rPr>
                <w:noProof/>
              </w:rPr>
              <w:t xml:space="preserve">Ustawa o przejrzystości i uczciwości w działalności grup interesu </w:t>
            </w:r>
          </w:p>
        </w:tc>
      </w:tr>
      <w:tr w:rsidR="006578ED" w14:paraId="5F2BF65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527962" w14:textId="77777777" w:rsidR="006578ED" w:rsidRDefault="00A1618E">
            <w:pPr>
              <w:pStyle w:val="P68B1DB1-Normal46"/>
              <w:spacing w:after="0" w:line="240" w:lineRule="auto"/>
              <w:jc w:val="center"/>
              <w:rPr>
                <w:rFonts w:eastAsia="Times New Roman" w:cs="Times New Roman"/>
                <w:noProof/>
              </w:rPr>
            </w:pPr>
            <w:r>
              <w:rPr>
                <w:noProof/>
              </w:rPr>
              <w:t>434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C079C42" w14:textId="77777777" w:rsidR="006578ED" w:rsidRDefault="00A1618E">
            <w:pPr>
              <w:pStyle w:val="P68B1DB1-Normal46"/>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029353" w14:textId="1E2687E0"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CDAC107" w14:textId="0A8FE371" w:rsidR="006578ED" w:rsidRDefault="00A1618E">
            <w:pPr>
              <w:pStyle w:val="P68B1DB1-Normal46"/>
              <w:spacing w:after="0" w:line="240" w:lineRule="auto"/>
              <w:rPr>
                <w:rFonts w:eastAsia="Times New Roman" w:cs="Times New Roman"/>
                <w:noProof/>
              </w:rPr>
            </w:pPr>
            <w:r>
              <w:rPr>
                <w:noProof/>
              </w:rPr>
              <w:t>Wejście w życie ustawy o efektywności organizacyjnej i proceduralnej</w:t>
            </w:r>
          </w:p>
        </w:tc>
      </w:tr>
      <w:tr w:rsidR="006578ED" w14:paraId="44B195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966EC7" w14:textId="77777777" w:rsidR="006578ED" w:rsidRDefault="00A1618E">
            <w:pPr>
              <w:pStyle w:val="P68B1DB1-Normal46"/>
              <w:spacing w:after="0" w:line="240" w:lineRule="auto"/>
              <w:jc w:val="center"/>
              <w:rPr>
                <w:rFonts w:eastAsia="Times New Roman" w:cs="Times New Roman"/>
                <w:noProof/>
              </w:rPr>
            </w:pPr>
            <w:r>
              <w:rPr>
                <w:noProof/>
              </w:rPr>
              <w:t>435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2495D9" w14:textId="77777777" w:rsidR="006578ED" w:rsidRDefault="00A1618E">
            <w:pPr>
              <w:pStyle w:val="P68B1DB1-Normal46"/>
              <w:spacing w:after="0" w:line="240" w:lineRule="auto"/>
              <w:rPr>
                <w:rFonts w:eastAsia="Times New Roman" w:cs="Times New Roman"/>
                <w:noProof/>
              </w:rPr>
            </w:pPr>
            <w:r>
              <w:rPr>
                <w:noProof/>
              </w:rPr>
              <w:t>C11.R2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95593C" w14:textId="336BE86D"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48D1D80" w14:textId="5917662F" w:rsidR="006578ED" w:rsidRDefault="00A1618E">
            <w:pPr>
              <w:pStyle w:val="P68B1DB1-Normal46"/>
              <w:spacing w:after="0" w:line="240" w:lineRule="auto"/>
              <w:rPr>
                <w:rFonts w:eastAsia="Times New Roman" w:cs="Times New Roman"/>
                <w:noProof/>
              </w:rPr>
            </w:pPr>
            <w:r>
              <w:rPr>
                <w:noProof/>
              </w:rPr>
              <w:t>Wejście w życie ustawy o prawie do obrony</w:t>
            </w:r>
          </w:p>
        </w:tc>
      </w:tr>
      <w:tr w:rsidR="006578ED" w14:paraId="74BD08B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AE61F0" w14:textId="77777777" w:rsidR="006578ED" w:rsidRDefault="00A1618E">
            <w:pPr>
              <w:pStyle w:val="P68B1DB1-Normal46"/>
              <w:spacing w:after="0" w:line="240" w:lineRule="auto"/>
              <w:jc w:val="center"/>
              <w:rPr>
                <w:rFonts w:eastAsia="Times New Roman" w:cs="Times New Roman"/>
                <w:noProof/>
              </w:rPr>
            </w:pPr>
            <w:r>
              <w:rPr>
                <w:noProof/>
              </w:rPr>
              <w:t>436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F029D4" w14:textId="77777777" w:rsidR="006578ED" w:rsidRDefault="00A1618E">
            <w:pPr>
              <w:pStyle w:val="P68B1DB1-Normal46"/>
              <w:spacing w:after="0" w:line="240" w:lineRule="auto"/>
              <w:rPr>
                <w:rFonts w:eastAsia="Times New Roman" w:cs="Times New Roman"/>
                <w:noProof/>
              </w:rPr>
            </w:pPr>
            <w:r>
              <w:rPr>
                <w:noProof/>
              </w:rPr>
              <w:t>C11.R3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16462" w14:textId="673DA8B3"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F4F08C" w14:textId="678872F1" w:rsidR="006578ED" w:rsidRDefault="00A1618E">
            <w:pPr>
              <w:pStyle w:val="P68B1DB1-Normal46"/>
              <w:spacing w:after="0" w:line="240" w:lineRule="auto"/>
              <w:rPr>
                <w:rFonts w:eastAsia="Times New Roman" w:cs="Times New Roman"/>
                <w:noProof/>
              </w:rPr>
            </w:pPr>
            <w:r>
              <w:rPr>
                <w:noProof/>
              </w:rPr>
              <w:t>Wejście w życie ustawy o usługach dla klientów oraz ustawy ustanawiającej Urząd Ochrony Klientów Finansowych</w:t>
            </w:r>
          </w:p>
        </w:tc>
      </w:tr>
      <w:tr w:rsidR="006578ED" w14:paraId="2A08DFA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0551B8" w14:textId="77777777" w:rsidR="006578ED" w:rsidRDefault="00A1618E">
            <w:pPr>
              <w:pStyle w:val="P68B1DB1-Normal46"/>
              <w:spacing w:after="0" w:line="240" w:lineRule="auto"/>
              <w:jc w:val="center"/>
              <w:rPr>
                <w:rFonts w:eastAsia="Times New Roman" w:cs="Times New Roman"/>
                <w:noProof/>
              </w:rPr>
            </w:pPr>
            <w:r>
              <w:rPr>
                <w:noProof/>
              </w:rPr>
              <w:t>170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1CBA83" w14:textId="77777777" w:rsidR="006578ED" w:rsidRDefault="00A1618E">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F2C160C" w14:textId="0CE8A789"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5697C3" w14:textId="71874FF6" w:rsidR="006578ED" w:rsidRDefault="00A1618E">
            <w:pPr>
              <w:pStyle w:val="P68B1DB1-Normal46"/>
              <w:spacing w:after="0" w:line="240" w:lineRule="auto"/>
              <w:rPr>
                <w:rFonts w:eastAsia="Times New Roman" w:cs="Times New Roman"/>
                <w:noProof/>
              </w:rPr>
            </w:pPr>
            <w:r>
              <w:rPr>
                <w:noProof/>
              </w:rPr>
              <w:t>Renowacja pojazdów w administracji publicznej</w:t>
            </w:r>
          </w:p>
        </w:tc>
      </w:tr>
      <w:tr w:rsidR="006578ED" w14:paraId="2DBCE79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797611" w14:textId="77777777" w:rsidR="006578ED" w:rsidRDefault="00A1618E">
            <w:pPr>
              <w:pStyle w:val="P68B1DB1-Normal46"/>
              <w:spacing w:after="0" w:line="240" w:lineRule="auto"/>
              <w:jc w:val="center"/>
              <w:rPr>
                <w:rFonts w:eastAsia="Times New Roman" w:cs="Times New Roman"/>
                <w:noProof/>
              </w:rPr>
            </w:pPr>
            <w:r>
              <w:rPr>
                <w:noProof/>
              </w:rPr>
              <w:t>171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B346F1" w14:textId="77777777" w:rsidR="006578ED" w:rsidRDefault="00A1618E">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7B53A15" w14:textId="05CCFB89"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8209C1" w14:textId="77777777" w:rsidR="006578ED" w:rsidRDefault="00A1618E">
            <w:pPr>
              <w:pStyle w:val="P68B1DB1-Normal46"/>
              <w:spacing w:after="0" w:line="240" w:lineRule="auto"/>
              <w:rPr>
                <w:rFonts w:eastAsia="Times New Roman" w:cs="Times New Roman"/>
                <w:noProof/>
              </w:rPr>
            </w:pPr>
            <w:r>
              <w:rPr>
                <w:noProof/>
              </w:rPr>
              <w:t>Termomodernizacja budynków publicznych (140 000 m²)</w:t>
            </w:r>
          </w:p>
        </w:tc>
      </w:tr>
      <w:tr w:rsidR="006578ED" w14:paraId="72B6ED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0D415B" w14:textId="77777777" w:rsidR="006578ED" w:rsidRDefault="00A1618E">
            <w:pPr>
              <w:pStyle w:val="P68B1DB1-Normal46"/>
              <w:spacing w:after="0" w:line="240" w:lineRule="auto"/>
              <w:jc w:val="center"/>
              <w:rPr>
                <w:rFonts w:eastAsia="Times New Roman" w:cs="Times New Roman"/>
                <w:noProof/>
              </w:rPr>
            </w:pPr>
            <w:r>
              <w:rPr>
                <w:noProof/>
              </w:rPr>
              <w:t>185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910E0E" w14:textId="77777777" w:rsidR="006578ED" w:rsidRDefault="00A1618E">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D532A9" w14:textId="77AA2D6F"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0555BD" w14:textId="5004A12A" w:rsidR="006578ED" w:rsidRDefault="00A1618E">
            <w:pPr>
              <w:pStyle w:val="P68B1DB1-Normal46"/>
              <w:spacing w:after="0" w:line="240" w:lineRule="auto"/>
              <w:rPr>
                <w:rFonts w:eastAsia="Times New Roman" w:cs="Times New Roman"/>
                <w:noProof/>
              </w:rPr>
            </w:pPr>
            <w:r>
              <w:rPr>
                <w:noProof/>
              </w:rPr>
              <w:t xml:space="preserve">Wykonanie budżetu PERTE i innowacyjnych projektów na rzecz transformacji przemysłu </w:t>
            </w:r>
          </w:p>
        </w:tc>
      </w:tr>
      <w:tr w:rsidR="006578ED" w14:paraId="285904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B1112B" w14:textId="77777777" w:rsidR="006578ED" w:rsidRDefault="00A1618E">
            <w:pPr>
              <w:pStyle w:val="P68B1DB1-Normal46"/>
              <w:spacing w:after="0" w:line="240" w:lineRule="auto"/>
              <w:jc w:val="center"/>
              <w:rPr>
                <w:rFonts w:eastAsia="Times New Roman" w:cs="Times New Roman"/>
                <w:noProof/>
              </w:rPr>
            </w:pPr>
            <w:r>
              <w:rPr>
                <w:noProof/>
              </w:rPr>
              <w:t>440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EC8BCB" w14:textId="77777777" w:rsidR="006578ED" w:rsidRDefault="00A1618E">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BBB740" w14:textId="4C36B04A"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671D730" w14:textId="77777777" w:rsidR="006578ED" w:rsidRDefault="00A1618E">
            <w:pPr>
              <w:pStyle w:val="P68B1DB1-Normal46"/>
              <w:spacing w:after="0" w:line="240" w:lineRule="auto"/>
              <w:rPr>
                <w:rFonts w:eastAsia="Times New Roman" w:cs="Times New Roman"/>
                <w:noProof/>
              </w:rPr>
            </w:pPr>
            <w:r>
              <w:rPr>
                <w:noProof/>
              </w:rPr>
              <w:t>Grupa robocza Komisji Koordynacyjnej ds. Odpadów odpowiedzialna za monitorowanie przestrzegania przepisów dotyczących odpadów</w:t>
            </w:r>
          </w:p>
        </w:tc>
      </w:tr>
      <w:tr w:rsidR="006578ED" w14:paraId="3361C54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FF7E6F" w14:textId="77777777" w:rsidR="006578ED" w:rsidRDefault="00A1618E">
            <w:pPr>
              <w:pStyle w:val="P68B1DB1-Normal46"/>
              <w:spacing w:after="0" w:line="240" w:lineRule="auto"/>
              <w:jc w:val="center"/>
              <w:rPr>
                <w:rFonts w:eastAsia="Times New Roman" w:cs="Times New Roman"/>
                <w:noProof/>
              </w:rPr>
            </w:pPr>
            <w:r>
              <w:rPr>
                <w:noProof/>
              </w:rPr>
              <w:t>442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677A" w14:textId="77777777" w:rsidR="006578ED" w:rsidRDefault="00A1618E">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668969A" w14:textId="21AB6593"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665F46" w14:textId="2A608507" w:rsidR="006578ED" w:rsidRDefault="00A1618E">
            <w:pPr>
              <w:pStyle w:val="P68B1DB1-Normal46"/>
              <w:spacing w:after="0" w:line="240" w:lineRule="auto"/>
              <w:rPr>
                <w:rFonts w:eastAsia="Times New Roman" w:cs="Times New Roman"/>
                <w:noProof/>
              </w:rPr>
            </w:pPr>
            <w:r>
              <w:rPr>
                <w:noProof/>
              </w:rPr>
              <w:t>Dystrybucja dotacji na realizację projektów związanych z wdrażaniem odpadów.</w:t>
            </w:r>
          </w:p>
        </w:tc>
      </w:tr>
      <w:tr w:rsidR="006578ED" w14:paraId="7B4A908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DA7EF3" w14:textId="77777777" w:rsidR="006578ED" w:rsidRDefault="00A1618E">
            <w:pPr>
              <w:pStyle w:val="P68B1DB1-Normal46"/>
              <w:spacing w:after="0" w:line="240" w:lineRule="auto"/>
              <w:jc w:val="center"/>
              <w:rPr>
                <w:rFonts w:eastAsia="Times New Roman" w:cs="Times New Roman"/>
                <w:noProof/>
              </w:rPr>
            </w:pPr>
            <w:r>
              <w:rPr>
                <w:noProof/>
              </w:rPr>
              <w:t>446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450CAB" w14:textId="77777777" w:rsidR="006578ED" w:rsidRDefault="00A1618E">
            <w:pPr>
              <w:pStyle w:val="P68B1DB1-Normal46"/>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103AE2C" w14:textId="07CB05D7"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53DB4B7" w14:textId="60605BC5" w:rsidR="006578ED" w:rsidRDefault="00A1618E">
            <w:pPr>
              <w:pStyle w:val="P68B1DB1-Normal46"/>
              <w:spacing w:after="0" w:line="240" w:lineRule="auto"/>
              <w:rPr>
                <w:rFonts w:eastAsia="Times New Roman" w:cs="Times New Roman"/>
                <w:noProof/>
              </w:rPr>
            </w:pPr>
            <w:r>
              <w:rPr>
                <w:noProof/>
              </w:rPr>
              <w:t>Program dotacji wspierający gospodarkę o obiegu zamkniętym: Ustanowienie programu subsydiowania</w:t>
            </w:r>
          </w:p>
        </w:tc>
      </w:tr>
      <w:tr w:rsidR="006578ED" w14:paraId="17C0FD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9809F2" w14:textId="77777777" w:rsidR="006578ED" w:rsidRDefault="00A1618E">
            <w:pPr>
              <w:pStyle w:val="P68B1DB1-Normal46"/>
              <w:spacing w:after="0" w:line="240" w:lineRule="auto"/>
              <w:jc w:val="center"/>
              <w:rPr>
                <w:rFonts w:eastAsia="Times New Roman" w:cs="Times New Roman"/>
                <w:noProof/>
              </w:rPr>
            </w:pPr>
            <w:r>
              <w:rPr>
                <w:noProof/>
              </w:rPr>
              <w:t>448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C28705" w14:textId="77777777" w:rsidR="006578ED" w:rsidRDefault="00A1618E">
            <w:pPr>
              <w:pStyle w:val="P68B1DB1-Normal46"/>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EC29944" w14:textId="60465F1F"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7EA65C" w14:textId="67D7095F" w:rsidR="006578ED" w:rsidRDefault="00A1618E">
            <w:pPr>
              <w:pStyle w:val="P68B1DB1-Normal46"/>
              <w:spacing w:after="0" w:line="240" w:lineRule="auto"/>
              <w:rPr>
                <w:rFonts w:eastAsia="Times New Roman" w:cs="Times New Roman"/>
                <w:noProof/>
              </w:rPr>
            </w:pPr>
            <w:r>
              <w:rPr>
                <w:noProof/>
              </w:rPr>
              <w:t>Program dotacji wspierający gospodarkę o obiegu zamkniętym: Ministerstwo zakończyło inwestycję </w:t>
            </w:r>
          </w:p>
        </w:tc>
      </w:tr>
      <w:tr w:rsidR="006578ED" w14:paraId="5B68DA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C6140F" w14:textId="77777777" w:rsidR="006578ED" w:rsidRDefault="00A1618E">
            <w:pPr>
              <w:pStyle w:val="P68B1DB1-Normal46"/>
              <w:spacing w:after="0" w:line="240" w:lineRule="auto"/>
              <w:jc w:val="center"/>
              <w:rPr>
                <w:rFonts w:eastAsia="Times New Roman" w:cs="Times New Roman"/>
                <w:noProof/>
              </w:rPr>
            </w:pPr>
            <w:r>
              <w:rPr>
                <w:noProof/>
              </w:rPr>
              <w:t>448a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C73C5" w14:textId="77777777" w:rsidR="006578ED" w:rsidRDefault="00A1618E">
            <w:pPr>
              <w:pStyle w:val="P68B1DB1-Normal46"/>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F20AC2" w14:textId="75F70D9F"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93852C" w14:textId="77777777" w:rsidR="006578ED" w:rsidRDefault="00A1618E">
            <w:pPr>
              <w:pStyle w:val="P68B1DB1-Normal46"/>
              <w:spacing w:after="0" w:line="240" w:lineRule="auto"/>
              <w:rPr>
                <w:rFonts w:eastAsia="Times New Roman" w:cs="Times New Roman"/>
                <w:noProof/>
              </w:rPr>
            </w:pPr>
            <w:r>
              <w:rPr>
                <w:noProof/>
              </w:rPr>
              <w:t>Program dotacji dla sektora pojazdów elektrycznych (dotacje): Ministerstwo zakończyło inwestycję</w:t>
            </w:r>
          </w:p>
        </w:tc>
      </w:tr>
      <w:tr w:rsidR="006578ED" w14:paraId="330F2B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A1A0CF" w14:textId="77777777" w:rsidR="006578ED" w:rsidRDefault="00A1618E">
            <w:pPr>
              <w:pStyle w:val="P68B1DB1-Normal46"/>
              <w:spacing w:after="0" w:line="240" w:lineRule="auto"/>
              <w:jc w:val="center"/>
              <w:rPr>
                <w:rFonts w:eastAsia="Times New Roman" w:cs="Times New Roman"/>
                <w:noProof/>
              </w:rPr>
            </w:pPr>
            <w:r>
              <w:rPr>
                <w:noProof/>
              </w:rPr>
              <w:t>448b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31272" w14:textId="77777777" w:rsidR="006578ED" w:rsidRDefault="00A1618E">
            <w:pPr>
              <w:pStyle w:val="P68B1DB1-Normal46"/>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0772D0" w14:textId="25F80B96"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2CC4F68" w14:textId="77777777" w:rsidR="006578ED" w:rsidRDefault="00A1618E">
            <w:pPr>
              <w:pStyle w:val="P68B1DB1-Normal46"/>
              <w:spacing w:after="0" w:line="240" w:lineRule="auto"/>
              <w:rPr>
                <w:rFonts w:eastAsia="Times New Roman" w:cs="Times New Roman"/>
                <w:noProof/>
              </w:rPr>
            </w:pPr>
            <w:r>
              <w:rPr>
                <w:noProof/>
              </w:rPr>
              <w:t>Program dotacji dla sektora pojazdów elektrycznych (dotacje); Ustanowienie programu subsydiowania</w:t>
            </w:r>
          </w:p>
        </w:tc>
      </w:tr>
      <w:tr w:rsidR="006578ED" w14:paraId="753422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FD706E" w14:textId="77777777" w:rsidR="006578ED" w:rsidRDefault="00A1618E">
            <w:pPr>
              <w:pStyle w:val="P68B1DB1-Normal46"/>
              <w:spacing w:after="0" w:line="240" w:lineRule="auto"/>
              <w:jc w:val="center"/>
              <w:rPr>
                <w:rFonts w:eastAsia="Times New Roman" w:cs="Times New Roman"/>
                <w:noProof/>
              </w:rPr>
            </w:pPr>
            <w:r>
              <w:rPr>
                <w:noProof/>
              </w:rPr>
              <w:t>452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CF1A09" w14:textId="77777777" w:rsidR="006578ED" w:rsidRDefault="00A1618E">
            <w:pPr>
              <w:pStyle w:val="P68B1DB1-Normal46"/>
              <w:spacing w:after="0" w:line="240" w:lineRule="auto"/>
              <w:rPr>
                <w:rFonts w:eastAsia="Times New Roman" w:cs="Times New Roman"/>
                <w:noProof/>
              </w:rPr>
            </w:pPr>
            <w:r>
              <w:rPr>
                <w:noProof/>
              </w:rPr>
              <w:t>C13.R3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26783B" w14:textId="556A0D8C"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2DF224F" w14:textId="4AF3C282" w:rsidR="006578ED" w:rsidRDefault="00A1618E">
            <w:pPr>
              <w:pStyle w:val="P68B1DB1-Normal46"/>
              <w:spacing w:after="0" w:line="240" w:lineRule="auto"/>
              <w:rPr>
                <w:rFonts w:eastAsia="Times New Roman" w:cs="Times New Roman"/>
                <w:noProof/>
              </w:rPr>
            </w:pPr>
            <w:r>
              <w:rPr>
                <w:noProof/>
              </w:rPr>
              <w:t>Środki mające na celu poprawę dostępu MŚP do finansowania poprzez zmiany w ustawie 6/2023 z 17 marca 20</w:t>
            </w:r>
            <w:r w:rsidRPr="00A1618E">
              <w:rPr>
                <w:noProof/>
                <w:lang w:val="pl-PL"/>
              </w:rPr>
              <w:t>23 r.</w:t>
            </w:r>
          </w:p>
        </w:tc>
      </w:tr>
      <w:tr w:rsidR="006578ED" w14:paraId="049603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29E7E0" w14:textId="77777777" w:rsidR="006578ED" w:rsidRDefault="00A1618E">
            <w:pPr>
              <w:pStyle w:val="P68B1DB1-Normal46"/>
              <w:spacing w:after="0" w:line="240" w:lineRule="auto"/>
              <w:jc w:val="center"/>
              <w:rPr>
                <w:rFonts w:eastAsia="Times New Roman" w:cs="Times New Roman"/>
                <w:noProof/>
              </w:rPr>
            </w:pPr>
            <w:r>
              <w:rPr>
                <w:noProof/>
              </w:rPr>
              <w:t>193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B15EC2" w14:textId="77777777" w:rsidR="006578ED" w:rsidRDefault="00A1618E">
            <w:pPr>
              <w:pStyle w:val="P68B1DB1-Normal46"/>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8CFEFD" w14:textId="4D380A68"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D1EE076" w14:textId="77777777" w:rsidR="006578ED" w:rsidRDefault="00A1618E">
            <w:pPr>
              <w:pStyle w:val="P68B1DB1-Normal46"/>
              <w:spacing w:after="0" w:line="240" w:lineRule="auto"/>
              <w:rPr>
                <w:rFonts w:eastAsia="Times New Roman" w:cs="Times New Roman"/>
                <w:noProof/>
              </w:rPr>
            </w:pPr>
            <w:r>
              <w:rPr>
                <w:noProof/>
              </w:rPr>
              <w:t>Przedsiębiorcy lub MŚP korzystający ze środków mających na celu pobudzenie ekosystemu przedsiębiorczości</w:t>
            </w:r>
          </w:p>
        </w:tc>
      </w:tr>
      <w:tr w:rsidR="006578ED" w14:paraId="22DD66F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180ADF" w14:textId="77777777" w:rsidR="006578ED" w:rsidRDefault="00A1618E">
            <w:pPr>
              <w:pStyle w:val="P68B1DB1-Normal46"/>
              <w:spacing w:after="0" w:line="240" w:lineRule="auto"/>
              <w:jc w:val="center"/>
              <w:rPr>
                <w:rFonts w:eastAsia="Times New Roman" w:cs="Times New Roman"/>
                <w:noProof/>
              </w:rPr>
            </w:pPr>
            <w:r>
              <w:rPr>
                <w:noProof/>
              </w:rPr>
              <w:t>195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65CCA0" w14:textId="77777777" w:rsidR="006578ED" w:rsidRDefault="00A1618E">
            <w:pPr>
              <w:pStyle w:val="P68B1DB1-Normal46"/>
              <w:spacing w:after="0" w:line="240" w:lineRule="auto"/>
              <w:rPr>
                <w:rFonts w:eastAsia="Times New Roman" w:cs="Times New Roman"/>
                <w:noProof/>
              </w:rPr>
            </w:pPr>
            <w:r>
              <w:rPr>
                <w:noProof/>
              </w:rPr>
              <w:t>C13.I1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67F821" w14:textId="48489383"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A6FA4E" w14:textId="54B020AC" w:rsidR="006578ED" w:rsidRDefault="00A1618E">
            <w:pPr>
              <w:pStyle w:val="P68B1DB1-Normal46"/>
              <w:spacing w:after="0" w:line="240" w:lineRule="auto"/>
              <w:rPr>
                <w:rFonts w:eastAsia="Times New Roman" w:cs="Times New Roman"/>
                <w:noProof/>
              </w:rPr>
            </w:pPr>
            <w:r>
              <w:rPr>
                <w:noProof/>
              </w:rPr>
              <w:t>Rozpowszechnianie, komunikacja i finansowanie innych działań</w:t>
            </w:r>
          </w:p>
        </w:tc>
      </w:tr>
      <w:tr w:rsidR="006578ED" w14:paraId="0116F93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C3E966" w14:textId="77777777" w:rsidR="006578ED" w:rsidRDefault="00A1618E">
            <w:pPr>
              <w:pStyle w:val="P68B1DB1-Normal46"/>
              <w:spacing w:after="0" w:line="240" w:lineRule="auto"/>
              <w:jc w:val="center"/>
              <w:rPr>
                <w:rFonts w:eastAsia="Times New Roman" w:cs="Times New Roman"/>
                <w:noProof/>
              </w:rPr>
            </w:pPr>
            <w:r>
              <w:rPr>
                <w:noProof/>
              </w:rPr>
              <w:t>197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DDB576" w14:textId="77777777" w:rsidR="006578ED" w:rsidRDefault="00A1618E">
            <w:pPr>
              <w:pStyle w:val="P68B1DB1-Normal46"/>
              <w:spacing w:after="0" w:line="240" w:lineRule="auto"/>
              <w:rPr>
                <w:rFonts w:eastAsia="Times New Roman" w:cs="Times New Roman"/>
                <w:noProof/>
              </w:rPr>
            </w:pPr>
            <w:r>
              <w:rPr>
                <w:noProof/>
              </w:rPr>
              <w:t>C13.I2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874DAD" w14:textId="3CACF003"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5BBCF93" w14:textId="7E05070C" w:rsidR="006578ED" w:rsidRDefault="00A1618E">
            <w:pPr>
              <w:pStyle w:val="P68B1DB1-Normal46"/>
              <w:spacing w:after="0" w:line="240" w:lineRule="auto"/>
              <w:rPr>
                <w:rFonts w:eastAsia="Times New Roman" w:cs="Times New Roman"/>
                <w:noProof/>
              </w:rPr>
            </w:pPr>
            <w:r>
              <w:rPr>
                <w:noProof/>
              </w:rPr>
              <w:t>MŚP wspierane w ramach programu „Umiejętności na rzecz wzrostu MŚP”</w:t>
            </w:r>
          </w:p>
        </w:tc>
      </w:tr>
      <w:tr w:rsidR="006578ED" w14:paraId="229C2A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62AEE1" w14:textId="77777777" w:rsidR="006578ED" w:rsidRDefault="00A1618E">
            <w:pPr>
              <w:pStyle w:val="P68B1DB1-Normal46"/>
              <w:spacing w:after="0" w:line="240" w:lineRule="auto"/>
              <w:jc w:val="center"/>
              <w:rPr>
                <w:rFonts w:eastAsia="Times New Roman" w:cs="Times New Roman"/>
                <w:noProof/>
              </w:rPr>
            </w:pPr>
            <w:r>
              <w:rPr>
                <w:noProof/>
              </w:rPr>
              <w:t>204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DBE507" w14:textId="77777777" w:rsidR="006578ED" w:rsidRDefault="00A1618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E0313" w14:textId="4047257D"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CF8DF51" w14:textId="235A87BA" w:rsidR="006578ED" w:rsidRDefault="00A1618E">
            <w:pPr>
              <w:pStyle w:val="P68B1DB1-Normal46"/>
              <w:spacing w:after="0" w:line="240" w:lineRule="auto"/>
              <w:rPr>
                <w:rFonts w:eastAsia="Times New Roman" w:cs="Times New Roman"/>
                <w:noProof/>
              </w:rPr>
            </w:pPr>
            <w:r>
              <w:rPr>
                <w:noProof/>
              </w:rPr>
              <w:t>MŚP wspierane w ramach programu narzędzi cyfrowych</w:t>
            </w:r>
          </w:p>
        </w:tc>
      </w:tr>
      <w:tr w:rsidR="006578ED" w14:paraId="3058F70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1559B7" w14:textId="77777777" w:rsidR="006578ED" w:rsidRDefault="00A1618E">
            <w:pPr>
              <w:pStyle w:val="P68B1DB1-Normal46"/>
              <w:spacing w:after="0" w:line="240" w:lineRule="auto"/>
              <w:jc w:val="center"/>
              <w:rPr>
                <w:rFonts w:eastAsia="Times New Roman" w:cs="Times New Roman"/>
                <w:noProof/>
              </w:rPr>
            </w:pPr>
            <w:r>
              <w:rPr>
                <w:noProof/>
              </w:rPr>
              <w:t>211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A1F9673" w14:textId="77777777" w:rsidR="006578ED" w:rsidRDefault="00A1618E">
            <w:pPr>
              <w:pStyle w:val="P68B1DB1-Normal46"/>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DB92DD" w14:textId="303EC3BC"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A9E275D" w14:textId="77777777" w:rsidR="006578ED" w:rsidRDefault="00A1618E">
            <w:pPr>
              <w:pStyle w:val="P68B1DB1-Normal46"/>
              <w:spacing w:after="0" w:line="240" w:lineRule="auto"/>
              <w:rPr>
                <w:rFonts w:eastAsia="Times New Roman" w:cs="Times New Roman"/>
                <w:noProof/>
              </w:rPr>
            </w:pPr>
            <w:r>
              <w:rPr>
                <w:noProof/>
              </w:rPr>
              <w:t>Działania modernizacyjne na rynkach gminnych lub obszarach handlowych</w:t>
            </w:r>
          </w:p>
        </w:tc>
      </w:tr>
      <w:tr w:rsidR="006578ED" w14:paraId="64E44A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96BA8" w14:textId="77777777" w:rsidR="006578ED" w:rsidRDefault="00A1618E">
            <w:pPr>
              <w:pStyle w:val="P68B1DB1-Normal46"/>
              <w:spacing w:after="0" w:line="240" w:lineRule="auto"/>
              <w:jc w:val="center"/>
              <w:rPr>
                <w:rFonts w:eastAsia="Times New Roman" w:cs="Times New Roman"/>
                <w:noProof/>
              </w:rPr>
            </w:pPr>
            <w:r>
              <w:rPr>
                <w:noProof/>
              </w:rPr>
              <w:t>212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73FB00" w14:textId="77777777" w:rsidR="006578ED" w:rsidRDefault="00A1618E">
            <w:pPr>
              <w:pStyle w:val="P68B1DB1-Normal46"/>
              <w:spacing w:after="0" w:line="240" w:lineRule="auto"/>
              <w:rPr>
                <w:rFonts w:eastAsia="Times New Roman" w:cs="Times New Roman"/>
                <w:noProof/>
              </w:rPr>
            </w:pPr>
            <w:r>
              <w:rPr>
                <w:noProof/>
              </w:rPr>
              <w:t>C13.I4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710937" w14:textId="04C9F615"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7B5122" w14:textId="00083B25" w:rsidR="006578ED" w:rsidRDefault="00A1618E">
            <w:pPr>
              <w:pStyle w:val="P68B1DB1-Normal46"/>
              <w:spacing w:after="0" w:line="240" w:lineRule="auto"/>
              <w:rPr>
                <w:rFonts w:eastAsia="Times New Roman" w:cs="Times New Roman"/>
                <w:noProof/>
              </w:rPr>
            </w:pPr>
            <w:r>
              <w:rPr>
                <w:noProof/>
              </w:rPr>
              <w:t>Modernizacja infrastruktury rynkowej w małych gminach</w:t>
            </w:r>
          </w:p>
        </w:tc>
      </w:tr>
      <w:tr w:rsidR="006578ED" w14:paraId="26BEA0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FCF0D1" w14:textId="77777777" w:rsidR="006578ED" w:rsidRDefault="00A1618E">
            <w:pPr>
              <w:pStyle w:val="P68B1DB1-Normal46"/>
              <w:spacing w:after="0" w:line="240" w:lineRule="auto"/>
              <w:jc w:val="center"/>
              <w:rPr>
                <w:rFonts w:eastAsia="Times New Roman" w:cs="Times New Roman"/>
                <w:noProof/>
              </w:rPr>
            </w:pPr>
            <w:r>
              <w:rPr>
                <w:noProof/>
              </w:rPr>
              <w:t>213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AF3C13" w14:textId="77777777" w:rsidR="006578ED" w:rsidRDefault="00A1618E">
            <w:pPr>
              <w:pStyle w:val="P68B1DB1-Normal46"/>
              <w:spacing w:after="0" w:line="240" w:lineRule="auto"/>
              <w:rPr>
                <w:rFonts w:eastAsia="Times New Roman" w:cs="Times New Roman"/>
                <w:noProof/>
              </w:rPr>
            </w:pPr>
            <w:r>
              <w:rPr>
                <w:noProof/>
              </w:rPr>
              <w:t>C13.I5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A05694" w14:textId="04B43CFD"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265604" w14:textId="0DD68DDB" w:rsidR="006578ED" w:rsidRDefault="00A1618E">
            <w:pPr>
              <w:pStyle w:val="P68B1DB1-Normal46"/>
              <w:spacing w:after="0" w:line="240" w:lineRule="auto"/>
              <w:rPr>
                <w:rFonts w:eastAsia="Times New Roman" w:cs="Times New Roman"/>
                <w:noProof/>
              </w:rPr>
            </w:pPr>
            <w:r>
              <w:rPr>
                <w:noProof/>
              </w:rPr>
              <w:t>Przedsiębiorstwa uczestniczące w projektach wspierających ich umiędzynarodowienie</w:t>
            </w:r>
          </w:p>
        </w:tc>
      </w:tr>
      <w:tr w:rsidR="006578ED" w14:paraId="77AB901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2638A0" w14:textId="77777777" w:rsidR="006578ED" w:rsidRDefault="00A1618E">
            <w:pPr>
              <w:pStyle w:val="P68B1DB1-Normal46"/>
              <w:spacing w:after="0" w:line="240" w:lineRule="auto"/>
              <w:jc w:val="center"/>
              <w:rPr>
                <w:rFonts w:eastAsia="Times New Roman" w:cs="Times New Roman"/>
                <w:noProof/>
              </w:rPr>
            </w:pPr>
            <w:r>
              <w:rPr>
                <w:noProof/>
              </w:rPr>
              <w:t>220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574C09" w14:textId="77777777" w:rsidR="006578ED" w:rsidRDefault="00A1618E">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0CBD20" w14:textId="0DA99C77"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2C055E3" w14:textId="4DB663D3" w:rsidR="006578ED" w:rsidRDefault="00A1618E">
            <w:pPr>
              <w:pStyle w:val="P68B1DB1-Normal46"/>
              <w:spacing w:after="0" w:line="240" w:lineRule="auto"/>
              <w:rPr>
                <w:rFonts w:eastAsia="Times New Roman" w:cs="Times New Roman"/>
                <w:noProof/>
              </w:rPr>
            </w:pPr>
            <w:r>
              <w:rPr>
                <w:noProof/>
              </w:rPr>
              <w:t>Ukończenie planów promujących zrównoważony charakter turystyki w miejscu docelowym</w:t>
            </w:r>
          </w:p>
        </w:tc>
      </w:tr>
      <w:tr w:rsidR="006578ED" w14:paraId="713A70E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C3F67D" w14:textId="77777777" w:rsidR="006578ED" w:rsidRDefault="00A1618E">
            <w:pPr>
              <w:pStyle w:val="P68B1DB1-Normal46"/>
              <w:spacing w:after="0" w:line="240" w:lineRule="auto"/>
              <w:jc w:val="center"/>
              <w:rPr>
                <w:rFonts w:eastAsia="Times New Roman" w:cs="Times New Roman"/>
                <w:noProof/>
              </w:rPr>
            </w:pPr>
            <w:r>
              <w:rPr>
                <w:noProof/>
              </w:rPr>
              <w:t>225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D3BFFF" w14:textId="77777777" w:rsidR="006578ED" w:rsidRDefault="00A1618E">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798862" w14:textId="54CF5D1B"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71DD0E" w14:textId="42A8CE7B" w:rsidR="006578ED" w:rsidRDefault="00A1618E">
            <w:pPr>
              <w:pStyle w:val="P68B1DB1-Normal46"/>
              <w:spacing w:after="0" w:line="240" w:lineRule="auto"/>
              <w:rPr>
                <w:rFonts w:eastAsia="Times New Roman" w:cs="Times New Roman"/>
                <w:noProof/>
              </w:rPr>
            </w:pPr>
            <w:r>
              <w:rPr>
                <w:noProof/>
              </w:rPr>
              <w:t>Projekty ukierunkowane na obszary komercyjne położone na obszarach lokalnych o dużym napływie turystycznym</w:t>
            </w:r>
          </w:p>
        </w:tc>
      </w:tr>
      <w:tr w:rsidR="006578ED" w14:paraId="5F56413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A0A097C" w14:textId="77777777" w:rsidR="006578ED" w:rsidRDefault="00A1618E">
            <w:pPr>
              <w:pStyle w:val="P68B1DB1-Normal46"/>
              <w:spacing w:after="0" w:line="240" w:lineRule="auto"/>
              <w:jc w:val="center"/>
              <w:rPr>
                <w:rFonts w:eastAsia="Times New Roman" w:cs="Times New Roman"/>
                <w:noProof/>
              </w:rPr>
            </w:pPr>
            <w:r>
              <w:rPr>
                <w:noProof/>
              </w:rPr>
              <w:t>238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1AC379" w14:textId="77777777" w:rsidR="006578ED" w:rsidRDefault="00A1618E">
            <w:pPr>
              <w:pStyle w:val="P68B1DB1-Normal46"/>
              <w:spacing w:after="0" w:line="240" w:lineRule="auto"/>
              <w:rPr>
                <w:rFonts w:eastAsia="Times New Roman" w:cs="Times New Roman"/>
                <w:noProof/>
              </w:rPr>
            </w:pPr>
            <w:r>
              <w:rPr>
                <w:noProof/>
              </w:rPr>
              <w:t>C15.I2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C9C23E" w14:textId="1CD56EBC"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E2D6A5C" w14:textId="3DD43D74" w:rsidR="006578ED" w:rsidRDefault="00A1618E">
            <w:pPr>
              <w:pStyle w:val="P68B1DB1-Normal46"/>
              <w:spacing w:after="0" w:line="240" w:lineRule="auto"/>
              <w:rPr>
                <w:rFonts w:eastAsia="Times New Roman" w:cs="Times New Roman"/>
                <w:noProof/>
              </w:rPr>
            </w:pPr>
            <w:r>
              <w:rPr>
                <w:noProof/>
              </w:rPr>
              <w:t xml:space="preserve">Poprawa łączności w kluczowych ośrodkach i sektorach </w:t>
            </w:r>
          </w:p>
        </w:tc>
      </w:tr>
      <w:tr w:rsidR="006578ED" w14:paraId="3703242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B107CC7" w14:textId="77777777" w:rsidR="006578ED" w:rsidRDefault="00A1618E">
            <w:pPr>
              <w:pStyle w:val="P68B1DB1-Normal46"/>
              <w:spacing w:after="0" w:line="240" w:lineRule="auto"/>
              <w:jc w:val="center"/>
              <w:rPr>
                <w:rFonts w:eastAsia="Times New Roman" w:cs="Times New Roman"/>
                <w:noProof/>
              </w:rPr>
            </w:pPr>
            <w:r>
              <w:rPr>
                <w:noProof/>
              </w:rPr>
              <w:t>239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8F8EB3" w14:textId="77777777" w:rsidR="006578ED" w:rsidRDefault="00A1618E">
            <w:pPr>
              <w:pStyle w:val="P68B1DB1-Normal46"/>
              <w:spacing w:after="0" w:line="240" w:lineRule="auto"/>
              <w:rPr>
                <w:rFonts w:eastAsia="Times New Roman" w:cs="Times New Roman"/>
                <w:noProof/>
              </w:rPr>
            </w:pPr>
            <w:r>
              <w:rPr>
                <w:noProof/>
              </w:rPr>
              <w:t>C15.I3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2298B" w14:textId="7DDD69B8"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8E07C08" w14:textId="451D39DE" w:rsidR="006578ED" w:rsidRDefault="00A1618E">
            <w:pPr>
              <w:pStyle w:val="P68B1DB1-Normal46"/>
              <w:spacing w:after="0" w:line="240" w:lineRule="auto"/>
              <w:rPr>
                <w:rFonts w:eastAsia="Times New Roman" w:cs="Times New Roman"/>
                <w:noProof/>
              </w:rPr>
            </w:pPr>
            <w:r>
              <w:rPr>
                <w:noProof/>
              </w:rPr>
              <w:t xml:space="preserve">Bony na łączność dla MŚP i słabszych grup społecznych </w:t>
            </w:r>
          </w:p>
        </w:tc>
      </w:tr>
      <w:tr w:rsidR="006578ED" w14:paraId="5EEFDB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8E1568" w14:textId="77777777" w:rsidR="006578ED" w:rsidRDefault="00A1618E">
            <w:pPr>
              <w:pStyle w:val="P68B1DB1-Normal46"/>
              <w:spacing w:after="0" w:line="240" w:lineRule="auto"/>
              <w:jc w:val="center"/>
              <w:rPr>
                <w:rFonts w:eastAsia="Times New Roman" w:cs="Times New Roman"/>
                <w:noProof/>
              </w:rPr>
            </w:pPr>
            <w:r>
              <w:rPr>
                <w:noProof/>
              </w:rPr>
              <w:t>240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D7DD37" w14:textId="77777777" w:rsidR="006578ED" w:rsidRDefault="00A1618E">
            <w:pPr>
              <w:pStyle w:val="P68B1DB1-Normal46"/>
              <w:spacing w:after="0" w:line="240" w:lineRule="auto"/>
              <w:rPr>
                <w:rFonts w:eastAsia="Times New Roman" w:cs="Times New Roman"/>
                <w:noProof/>
              </w:rPr>
            </w:pPr>
            <w:r>
              <w:rPr>
                <w:noProof/>
              </w:rPr>
              <w:t>C15.I4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34E8E27" w14:textId="46D289F0"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7B03BB9" w14:textId="45D11D66" w:rsidR="006578ED" w:rsidRDefault="00A1618E">
            <w:pPr>
              <w:pStyle w:val="P68B1DB1-Normal46"/>
              <w:spacing w:after="0" w:line="240" w:lineRule="auto"/>
              <w:rPr>
                <w:rFonts w:eastAsia="Times New Roman" w:cs="Times New Roman"/>
                <w:noProof/>
              </w:rPr>
            </w:pPr>
            <w:r>
              <w:rPr>
                <w:noProof/>
              </w:rPr>
              <w:t>Dostosowanie infrastruktury telekomunikacyjnej w budynkach</w:t>
            </w:r>
          </w:p>
        </w:tc>
      </w:tr>
      <w:tr w:rsidR="006578ED" w14:paraId="5E4A97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C8BA60" w14:textId="77777777" w:rsidR="006578ED" w:rsidRDefault="00A1618E">
            <w:pPr>
              <w:pStyle w:val="P68B1DB1-Normal46"/>
              <w:spacing w:after="0" w:line="240" w:lineRule="auto"/>
              <w:jc w:val="center"/>
              <w:rPr>
                <w:rFonts w:eastAsia="Times New Roman" w:cs="Times New Roman"/>
                <w:noProof/>
              </w:rPr>
            </w:pPr>
            <w:r>
              <w:rPr>
                <w:noProof/>
              </w:rPr>
              <w:t>241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A2D262" w14:textId="77777777" w:rsidR="006578ED" w:rsidRDefault="00A1618E">
            <w:pPr>
              <w:pStyle w:val="P68B1DB1-Normal46"/>
              <w:spacing w:after="0" w:line="240" w:lineRule="auto"/>
              <w:rPr>
                <w:rFonts w:eastAsia="Times New Roman" w:cs="Times New Roman"/>
                <w:noProof/>
              </w:rPr>
            </w:pPr>
            <w:r>
              <w:rPr>
                <w:noProof/>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6DEDD0" w14:textId="55F75C35"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2493A33" w14:textId="77777777" w:rsidR="006578ED" w:rsidRDefault="00A1618E">
            <w:pPr>
              <w:pStyle w:val="P68B1DB1-Normal46"/>
              <w:spacing w:after="0" w:line="240" w:lineRule="auto"/>
              <w:rPr>
                <w:rFonts w:eastAsia="Times New Roman" w:cs="Times New Roman"/>
                <w:noProof/>
              </w:rPr>
            </w:pPr>
            <w:r>
              <w:rPr>
                <w:noProof/>
              </w:rPr>
              <w:t>Poprawa transgranicznej infrastruktury cyfrowej: nagroda</w:t>
            </w:r>
          </w:p>
        </w:tc>
      </w:tr>
      <w:tr w:rsidR="006578ED" w14:paraId="4A8693A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E93EC2E" w14:textId="77777777" w:rsidR="006578ED" w:rsidRDefault="00A1618E">
            <w:pPr>
              <w:pStyle w:val="P68B1DB1-Normal46"/>
              <w:spacing w:after="0" w:line="240" w:lineRule="auto"/>
              <w:jc w:val="center"/>
              <w:rPr>
                <w:rFonts w:eastAsia="Times New Roman" w:cs="Times New Roman"/>
                <w:noProof/>
              </w:rPr>
            </w:pPr>
            <w:r>
              <w:rPr>
                <w:noProof/>
              </w:rPr>
              <w:t>243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D886D7" w14:textId="77777777" w:rsidR="006578ED" w:rsidRDefault="00A1618E">
            <w:pPr>
              <w:pStyle w:val="P68B1DB1-Normal46"/>
              <w:spacing w:after="0" w:line="240" w:lineRule="auto"/>
              <w:rPr>
                <w:rFonts w:eastAsia="Times New Roman" w:cs="Times New Roman"/>
                <w:noProof/>
              </w:rPr>
            </w:pPr>
            <w:r>
              <w:rPr>
                <w:noProof/>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B9AFC2" w14:textId="4A1FC2AD"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A989484" w14:textId="77777777" w:rsidR="006578ED" w:rsidRDefault="00A1618E">
            <w:pPr>
              <w:pStyle w:val="P68B1DB1-Normal46"/>
              <w:spacing w:after="0" w:line="240" w:lineRule="auto"/>
              <w:rPr>
                <w:rFonts w:eastAsia="Times New Roman" w:cs="Times New Roman"/>
                <w:noProof/>
              </w:rPr>
            </w:pPr>
            <w:r>
              <w:rPr>
                <w:noProof/>
              </w:rPr>
              <w:t>Wdrażanie technologii 5G: nagroda</w:t>
            </w:r>
          </w:p>
        </w:tc>
      </w:tr>
      <w:tr w:rsidR="006578ED" w14:paraId="649C100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DB1F59" w14:textId="77777777" w:rsidR="006578ED" w:rsidRDefault="00A1618E">
            <w:pPr>
              <w:pStyle w:val="P68B1DB1-Normal46"/>
              <w:spacing w:after="0" w:line="240" w:lineRule="auto"/>
              <w:jc w:val="center"/>
              <w:rPr>
                <w:rFonts w:eastAsia="Times New Roman" w:cs="Times New Roman"/>
                <w:noProof/>
              </w:rPr>
            </w:pPr>
            <w:r>
              <w:rPr>
                <w:noProof/>
              </w:rPr>
              <w:t>458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4E5D38" w14:textId="77777777" w:rsidR="006578ED" w:rsidRDefault="00A1618E">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5AF68D" w14:textId="1B40A354"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DB14476" w14:textId="09DB4BD7" w:rsidR="006578ED" w:rsidRDefault="00A1618E">
            <w:pPr>
              <w:pStyle w:val="P68B1DB1-Normal46"/>
              <w:spacing w:after="0" w:line="240" w:lineRule="auto"/>
              <w:rPr>
                <w:rFonts w:eastAsia="Times New Roman" w:cs="Times New Roman"/>
                <w:noProof/>
              </w:rPr>
            </w:pPr>
            <w:r>
              <w:rPr>
                <w:noProof/>
              </w:rPr>
              <w:t>Piaskownice regulacyjne i hiszpańska Agencja ds. Nadzoru Sztucznej Inteligencji (AESIA)</w:t>
            </w:r>
          </w:p>
        </w:tc>
      </w:tr>
      <w:tr w:rsidR="006578ED" w14:paraId="6887505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2208A81" w14:textId="77777777" w:rsidR="006578ED" w:rsidRDefault="00A1618E">
            <w:pPr>
              <w:pStyle w:val="P68B1DB1-Normal46"/>
              <w:spacing w:after="0" w:line="240" w:lineRule="auto"/>
              <w:jc w:val="center"/>
              <w:rPr>
                <w:rFonts w:eastAsia="Times New Roman" w:cs="Times New Roman"/>
                <w:noProof/>
              </w:rPr>
            </w:pPr>
            <w:r>
              <w:rPr>
                <w:noProof/>
              </w:rPr>
              <w:t>262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6E5127" w14:textId="77777777" w:rsidR="006578ED" w:rsidRDefault="00A1618E">
            <w:pPr>
              <w:pStyle w:val="P68B1DB1-Normal46"/>
              <w:spacing w:after="0" w:line="240" w:lineRule="auto"/>
              <w:rPr>
                <w:rFonts w:eastAsia="Times New Roman" w:cs="Times New Roman"/>
                <w:noProof/>
              </w:rPr>
            </w:pPr>
            <w:r>
              <w:rPr>
                <w:noProof/>
              </w:rPr>
              <w:t>C17.I3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2C1A4A" w14:textId="14DA0833"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AF9498C" w14:textId="63B2C701" w:rsidR="006578ED" w:rsidRDefault="00A1618E">
            <w:pPr>
              <w:pStyle w:val="P68B1DB1-Normal46"/>
              <w:spacing w:after="0" w:line="240" w:lineRule="auto"/>
              <w:rPr>
                <w:rFonts w:eastAsia="Times New Roman" w:cs="Times New Roman"/>
                <w:noProof/>
              </w:rPr>
            </w:pPr>
            <w:r>
              <w:rPr>
                <w:noProof/>
              </w:rPr>
              <w:t>Zatwierdzenie projektów w zakresie badań naukowych i innowacji, w których co najmniej 35 % jest związanych z transformacją ekologiczną i cyfrową</w:t>
            </w:r>
          </w:p>
        </w:tc>
      </w:tr>
      <w:tr w:rsidR="006578ED" w14:paraId="1944C8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21A9DE" w14:textId="77777777" w:rsidR="006578ED" w:rsidRDefault="00A1618E">
            <w:pPr>
              <w:pStyle w:val="P68B1DB1-Normal46"/>
              <w:spacing w:after="0" w:line="240" w:lineRule="auto"/>
              <w:jc w:val="center"/>
              <w:rPr>
                <w:rFonts w:eastAsia="Times New Roman" w:cs="Times New Roman"/>
                <w:noProof/>
              </w:rPr>
            </w:pPr>
            <w:r>
              <w:rPr>
                <w:noProof/>
              </w:rPr>
              <w:t>263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7E6D15" w14:textId="77777777" w:rsidR="006578ED" w:rsidRDefault="00A1618E">
            <w:pPr>
              <w:pStyle w:val="P68B1DB1-Normal46"/>
              <w:spacing w:after="0" w:line="240" w:lineRule="auto"/>
              <w:rPr>
                <w:rFonts w:eastAsia="Times New Roman" w:cs="Times New Roman"/>
                <w:noProof/>
              </w:rPr>
            </w:pPr>
            <w:r>
              <w:rPr>
                <w:noProof/>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2BAAC0" w14:textId="4244C3B0"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74265B7" w14:textId="7CD6DA89" w:rsidR="006578ED" w:rsidRDefault="00A1618E">
            <w:pPr>
              <w:pStyle w:val="P68B1DB1-Normal46"/>
              <w:spacing w:after="0" w:line="240" w:lineRule="auto"/>
              <w:rPr>
                <w:rFonts w:eastAsia="Times New Roman" w:cs="Times New Roman"/>
                <w:noProof/>
              </w:rPr>
            </w:pPr>
            <w:r>
              <w:rPr>
                <w:noProof/>
              </w:rPr>
              <w:t xml:space="preserve">Wsparcie kariery naukowej poprzez stypendia i dotacje </w:t>
            </w:r>
          </w:p>
        </w:tc>
      </w:tr>
      <w:tr w:rsidR="006578ED" w14:paraId="37C7F2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EC9676A" w14:textId="77777777" w:rsidR="006578ED" w:rsidRDefault="00A1618E">
            <w:pPr>
              <w:pStyle w:val="P68B1DB1-Normal46"/>
              <w:spacing w:after="0" w:line="240" w:lineRule="auto"/>
              <w:jc w:val="center"/>
              <w:rPr>
                <w:rFonts w:eastAsia="Times New Roman" w:cs="Times New Roman"/>
                <w:noProof/>
              </w:rPr>
            </w:pPr>
            <w:r>
              <w:rPr>
                <w:noProof/>
              </w:rPr>
              <w:t>266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F9156B4" w14:textId="77777777" w:rsidR="006578ED" w:rsidRDefault="00A1618E">
            <w:pPr>
              <w:pStyle w:val="P68B1DB1-Normal46"/>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B80158" w14:textId="645B97ED"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F187187" w14:textId="1D4716FA" w:rsidR="006578ED" w:rsidRDefault="00A1618E">
            <w:pPr>
              <w:pStyle w:val="P68B1DB1-Normal46"/>
              <w:spacing w:after="0" w:line="240" w:lineRule="auto"/>
              <w:rPr>
                <w:rFonts w:eastAsia="Times New Roman" w:cs="Times New Roman"/>
                <w:noProof/>
              </w:rPr>
            </w:pPr>
            <w:r>
              <w:rPr>
                <w:noProof/>
              </w:rPr>
              <w:t>Wspieranie młodych przedsiębiorstw opartych na technologii w realizacji ich biznesplanów.</w:t>
            </w:r>
          </w:p>
        </w:tc>
      </w:tr>
      <w:tr w:rsidR="006578ED" w14:paraId="16E558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AA3EC5" w14:textId="77777777" w:rsidR="006578ED" w:rsidRDefault="00A1618E">
            <w:pPr>
              <w:pStyle w:val="P68B1DB1-Normal46"/>
              <w:spacing w:after="0" w:line="240" w:lineRule="auto"/>
              <w:jc w:val="center"/>
              <w:rPr>
                <w:rFonts w:eastAsia="Times New Roman" w:cs="Times New Roman"/>
                <w:noProof/>
              </w:rPr>
            </w:pPr>
            <w:r>
              <w:rPr>
                <w:noProof/>
              </w:rPr>
              <w:t>267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36C2A3" w14:textId="77777777" w:rsidR="006578ED" w:rsidRDefault="00A1618E">
            <w:pPr>
              <w:pStyle w:val="P68B1DB1-Normal46"/>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D5D476" w14:textId="6A8D3B31"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44866A" w14:textId="117C04B2" w:rsidR="006578ED" w:rsidRDefault="00A1618E">
            <w:pPr>
              <w:pStyle w:val="P68B1DB1-Normal46"/>
              <w:spacing w:after="0" w:line="240" w:lineRule="auto"/>
              <w:rPr>
                <w:rFonts w:eastAsia="Times New Roman" w:cs="Times New Roman"/>
                <w:noProof/>
              </w:rPr>
            </w:pPr>
            <w:r>
              <w:rPr>
                <w:noProof/>
              </w:rPr>
              <w:t>Wspieranie projektów mających na celu wzmocnienie zdolności strategicznych i umiędzynarodowienie krajowego systemu opieki zdrowotnej, projektów związanych ze strategią precyzyjnej medycyny spersonalizowanej oraz wkładu w publiczne i prywatne narzędzie inwestycyjne w terapie zaawansowane.</w:t>
            </w:r>
          </w:p>
        </w:tc>
      </w:tr>
      <w:tr w:rsidR="006578ED" w14:paraId="4314A8D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78E92B" w14:textId="77777777" w:rsidR="006578ED" w:rsidRDefault="00A1618E">
            <w:pPr>
              <w:pStyle w:val="P68B1DB1-Normal46"/>
              <w:spacing w:after="0" w:line="240" w:lineRule="auto"/>
              <w:jc w:val="center"/>
              <w:rPr>
                <w:rFonts w:eastAsia="Times New Roman" w:cs="Times New Roman"/>
                <w:noProof/>
              </w:rPr>
            </w:pPr>
            <w:r>
              <w:rPr>
                <w:noProof/>
              </w:rPr>
              <w:t>461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96121A" w14:textId="77777777" w:rsidR="006578ED" w:rsidRDefault="00A1618E">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415679" w14:textId="735D1341"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19F3082" w14:textId="351D4D9B" w:rsidR="006578ED" w:rsidRDefault="00A1618E">
            <w:pPr>
              <w:pStyle w:val="P68B1DB1-Normal46"/>
              <w:spacing w:after="0" w:line="240" w:lineRule="auto"/>
              <w:rPr>
                <w:rFonts w:eastAsia="Times New Roman" w:cs="Times New Roman"/>
                <w:noProof/>
              </w:rPr>
            </w:pPr>
            <w:r>
              <w:rPr>
                <w:noProof/>
              </w:rPr>
              <w:t xml:space="preserve">Publikacja nagród w ramach zaproszeń do składania wniosków dotyczących badań, rozwoju i innowacji w sektorze lotniczym i kosmonautycznym. </w:t>
            </w:r>
          </w:p>
        </w:tc>
      </w:tr>
      <w:tr w:rsidR="006578ED" w14:paraId="5C445A0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9D3F9B" w14:textId="77777777" w:rsidR="006578ED" w:rsidRDefault="00A1618E">
            <w:pPr>
              <w:pStyle w:val="P68B1DB1-Normal46"/>
              <w:spacing w:after="0" w:line="240" w:lineRule="auto"/>
              <w:jc w:val="center"/>
              <w:rPr>
                <w:rFonts w:eastAsia="Times New Roman" w:cs="Times New Roman"/>
                <w:noProof/>
              </w:rPr>
            </w:pPr>
            <w:r>
              <w:rPr>
                <w:noProof/>
              </w:rPr>
              <w:t>287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9DE371" w14:textId="77777777" w:rsidR="006578ED" w:rsidRDefault="00A1618E">
            <w:pPr>
              <w:pStyle w:val="P68B1DB1-Normal46"/>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2B407D" w14:textId="4BCB49E9"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F55DE77" w14:textId="77777777" w:rsidR="006578ED" w:rsidRDefault="00A1618E">
            <w:pPr>
              <w:pStyle w:val="P68B1DB1-Normal46"/>
              <w:spacing w:after="0" w:line="240" w:lineRule="auto"/>
              <w:rPr>
                <w:rFonts w:eastAsia="Times New Roman" w:cs="Times New Roman"/>
                <w:noProof/>
              </w:rPr>
            </w:pPr>
            <w:r>
              <w:rPr>
                <w:noProof/>
              </w:rPr>
              <w:t>Zakończenie działań mających na celu zwiększenie zdolności cyfrowych</w:t>
            </w:r>
          </w:p>
        </w:tc>
      </w:tr>
      <w:tr w:rsidR="006578ED" w14:paraId="05B6EE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3E1CAD" w14:textId="77777777" w:rsidR="006578ED" w:rsidRDefault="00A1618E">
            <w:pPr>
              <w:pStyle w:val="P68B1DB1-Normal46"/>
              <w:spacing w:after="0" w:line="240" w:lineRule="auto"/>
              <w:jc w:val="center"/>
              <w:rPr>
                <w:rFonts w:eastAsia="Times New Roman" w:cs="Times New Roman"/>
                <w:noProof/>
              </w:rPr>
            </w:pPr>
            <w:r>
              <w:rPr>
                <w:noProof/>
              </w:rPr>
              <w:t>293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DEEECA" w14:textId="77777777" w:rsidR="006578ED" w:rsidRDefault="00A1618E">
            <w:pPr>
              <w:pStyle w:val="P68B1DB1-Normal46"/>
              <w:spacing w:after="0" w:line="240" w:lineRule="auto"/>
              <w:rPr>
                <w:rFonts w:eastAsia="Times New Roman" w:cs="Times New Roman"/>
                <w:noProof/>
              </w:rPr>
            </w:pPr>
            <w:r>
              <w:rPr>
                <w:noProof/>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7BA255" w14:textId="4B8BA172"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30F86E7" w14:textId="77777777" w:rsidR="006578ED" w:rsidRDefault="00A1618E">
            <w:pPr>
              <w:pStyle w:val="P68B1DB1-Normal46"/>
              <w:spacing w:after="0" w:line="240" w:lineRule="auto"/>
              <w:rPr>
                <w:rFonts w:eastAsia="Times New Roman" w:cs="Times New Roman"/>
                <w:noProof/>
              </w:rPr>
            </w:pPr>
            <w:r>
              <w:rPr>
                <w:noProof/>
              </w:rPr>
              <w:t xml:space="preserve">Programy stypendialne dla talentów cyfrowych </w:t>
            </w:r>
          </w:p>
        </w:tc>
      </w:tr>
      <w:tr w:rsidR="006578ED" w14:paraId="7E40F4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DE54FB" w14:textId="77777777" w:rsidR="006578ED" w:rsidRDefault="00A1618E">
            <w:pPr>
              <w:pStyle w:val="P68B1DB1-Normal46"/>
              <w:spacing w:after="0" w:line="240" w:lineRule="auto"/>
              <w:jc w:val="center"/>
              <w:rPr>
                <w:rFonts w:eastAsia="Times New Roman" w:cs="Times New Roman"/>
                <w:noProof/>
              </w:rPr>
            </w:pPr>
            <w:r>
              <w:rPr>
                <w:noProof/>
              </w:rPr>
              <w:t>298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F0235" w14:textId="77777777" w:rsidR="006578ED" w:rsidRDefault="00A1618E">
            <w:pPr>
              <w:pStyle w:val="P68B1DB1-Normal46"/>
              <w:spacing w:after="0" w:line="240" w:lineRule="auto"/>
              <w:rPr>
                <w:rFonts w:eastAsia="Times New Roman" w:cs="Times New Roman"/>
                <w:noProof/>
              </w:rPr>
            </w:pPr>
            <w:r>
              <w:rPr>
                <w:noProof/>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B47E6D" w14:textId="0BC4FFCA"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562E6E7" w14:textId="32ACB5A6" w:rsidR="006578ED" w:rsidRDefault="00A1618E">
            <w:pPr>
              <w:pStyle w:val="P68B1DB1-Normal46"/>
              <w:spacing w:after="0" w:line="240" w:lineRule="auto"/>
              <w:rPr>
                <w:rFonts w:eastAsia="Times New Roman" w:cs="Times New Roman"/>
                <w:noProof/>
              </w:rPr>
            </w:pPr>
            <w:r>
              <w:rPr>
                <w:noProof/>
              </w:rPr>
              <w:t xml:space="preserve">Szkolenia modułowe w zakresie podnoszenia i zmiany kwalifikacji osób zatrudnionych i bezrobotnych </w:t>
            </w:r>
          </w:p>
        </w:tc>
      </w:tr>
      <w:tr w:rsidR="006578ED" w14:paraId="5AAAB27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EEB306" w14:textId="77777777" w:rsidR="006578ED" w:rsidRDefault="00A1618E">
            <w:pPr>
              <w:pStyle w:val="P68B1DB1-Normal46"/>
              <w:spacing w:after="0" w:line="240" w:lineRule="auto"/>
              <w:jc w:val="center"/>
              <w:rPr>
                <w:rFonts w:eastAsia="Times New Roman" w:cs="Times New Roman"/>
                <w:noProof/>
              </w:rPr>
            </w:pPr>
            <w:r>
              <w:rPr>
                <w:noProof/>
              </w:rPr>
              <w:t>299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56BF88" w14:textId="77777777" w:rsidR="006578ED" w:rsidRDefault="00A1618E">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FE696B" w14:textId="4521AC64"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91F23BC" w14:textId="33313AE8" w:rsidR="006578ED" w:rsidRDefault="00A1618E">
            <w:pPr>
              <w:pStyle w:val="P68B1DB1-Normal46"/>
              <w:spacing w:after="0" w:line="240" w:lineRule="auto"/>
              <w:rPr>
                <w:rFonts w:eastAsia="Times New Roman" w:cs="Times New Roman"/>
                <w:noProof/>
              </w:rPr>
            </w:pPr>
            <w:r>
              <w:rPr>
                <w:noProof/>
              </w:rPr>
              <w:t>Centra doskonałości i innowacji w dziedzinie szkolenia zawodowego</w:t>
            </w:r>
          </w:p>
        </w:tc>
      </w:tr>
      <w:tr w:rsidR="006578ED" w14:paraId="7863A5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8E8BC0" w14:textId="77777777" w:rsidR="006578ED" w:rsidRDefault="00A1618E">
            <w:pPr>
              <w:pStyle w:val="P68B1DB1-Normal46"/>
              <w:spacing w:after="0" w:line="240" w:lineRule="auto"/>
              <w:jc w:val="center"/>
              <w:rPr>
                <w:rFonts w:eastAsia="Times New Roman" w:cs="Times New Roman"/>
                <w:noProof/>
              </w:rPr>
            </w:pPr>
            <w:r>
              <w:rPr>
                <w:noProof/>
              </w:rPr>
              <w:t>467a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9427E2" w14:textId="77777777" w:rsidR="006578ED" w:rsidRDefault="00A1618E">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CAC87E" w14:textId="289436EF"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87A56E0" w14:textId="77777777" w:rsidR="006578ED" w:rsidRDefault="00A1618E">
            <w:pPr>
              <w:pStyle w:val="P68B1DB1-Normal46"/>
              <w:spacing w:after="0" w:line="240" w:lineRule="auto"/>
              <w:rPr>
                <w:rFonts w:eastAsia="Times New Roman" w:cs="Times New Roman"/>
                <w:noProof/>
              </w:rPr>
            </w:pPr>
            <w:r>
              <w:rPr>
                <w:noProof/>
              </w:rPr>
              <w:t>Tworzenie klas „przedsiębiorczości”</w:t>
            </w:r>
          </w:p>
        </w:tc>
      </w:tr>
      <w:tr w:rsidR="006578ED" w14:paraId="34CC08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D85ABC" w14:textId="77777777" w:rsidR="006578ED" w:rsidRDefault="00A1618E">
            <w:pPr>
              <w:pStyle w:val="P68B1DB1-Normal46"/>
              <w:spacing w:after="0" w:line="240" w:lineRule="auto"/>
              <w:jc w:val="center"/>
              <w:rPr>
                <w:rFonts w:eastAsia="Times New Roman" w:cs="Times New Roman"/>
                <w:noProof/>
              </w:rPr>
            </w:pPr>
            <w:r>
              <w:rPr>
                <w:noProof/>
              </w:rPr>
              <w:t>467b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1D9346" w14:textId="77777777" w:rsidR="006578ED" w:rsidRDefault="00A1618E">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A7A803" w14:textId="1D1C358A"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3E57526" w14:textId="75FFADBB" w:rsidR="006578ED" w:rsidRDefault="00A1618E">
            <w:pPr>
              <w:pStyle w:val="P68B1DB1-Normal46"/>
              <w:spacing w:after="0" w:line="240" w:lineRule="auto"/>
              <w:rPr>
                <w:rFonts w:eastAsia="Times New Roman" w:cs="Times New Roman"/>
                <w:noProof/>
              </w:rPr>
            </w:pPr>
            <w:r>
              <w:rPr>
                <w:noProof/>
              </w:rPr>
              <w:t>Ukończenie szkoleń ekologicznych dla nauczycieli kształcenia i szkolenia zawodowego</w:t>
            </w:r>
          </w:p>
        </w:tc>
      </w:tr>
      <w:tr w:rsidR="006578ED" w14:paraId="4F20B8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72AE9A" w14:textId="77777777" w:rsidR="006578ED" w:rsidRDefault="00A1618E">
            <w:pPr>
              <w:pStyle w:val="P68B1DB1-Normal46"/>
              <w:spacing w:after="0" w:line="240" w:lineRule="auto"/>
              <w:jc w:val="center"/>
              <w:rPr>
                <w:rFonts w:eastAsia="Times New Roman" w:cs="Times New Roman"/>
                <w:noProof/>
              </w:rPr>
            </w:pPr>
            <w:r>
              <w:rPr>
                <w:noProof/>
              </w:rPr>
              <w:t>301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0F554" w14:textId="77777777" w:rsidR="006578ED" w:rsidRDefault="00A1618E">
            <w:pPr>
              <w:pStyle w:val="P68B1DB1-Normal46"/>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DF077E0" w14:textId="321A73A1"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D33967B" w14:textId="77777777" w:rsidR="006578ED" w:rsidRDefault="00A1618E">
            <w:pPr>
              <w:pStyle w:val="P68B1DB1-Normal46"/>
              <w:spacing w:after="0" w:line="240" w:lineRule="auto"/>
              <w:rPr>
                <w:rFonts w:eastAsia="Times New Roman" w:cs="Times New Roman"/>
                <w:noProof/>
              </w:rPr>
            </w:pPr>
            <w:r>
              <w:rPr>
                <w:noProof/>
              </w:rPr>
              <w:t xml:space="preserve">Dwujęzyczne cykle szkolenia zawodowego </w:t>
            </w:r>
          </w:p>
        </w:tc>
      </w:tr>
      <w:tr w:rsidR="006578ED" w14:paraId="6478532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5ECC05" w14:textId="77777777" w:rsidR="006578ED" w:rsidRDefault="00A1618E">
            <w:pPr>
              <w:pStyle w:val="P68B1DB1-Normal46"/>
              <w:spacing w:after="0" w:line="240" w:lineRule="auto"/>
              <w:jc w:val="center"/>
              <w:rPr>
                <w:rFonts w:eastAsia="Times New Roman" w:cs="Times New Roman"/>
                <w:noProof/>
              </w:rPr>
            </w:pPr>
            <w:r>
              <w:rPr>
                <w:noProof/>
              </w:rPr>
              <w:t>305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C5A819" w14:textId="77777777" w:rsidR="006578ED" w:rsidRDefault="00A1618E">
            <w:pPr>
              <w:pStyle w:val="P68B1DB1-Normal46"/>
              <w:spacing w:after="0" w:line="240" w:lineRule="auto"/>
              <w:rPr>
                <w:rFonts w:eastAsia="Times New Roman" w:cs="Times New Roman"/>
                <w:noProof/>
              </w:rPr>
            </w:pPr>
            <w:r>
              <w:rPr>
                <w:noProof/>
              </w:rPr>
              <w:t>C21.R2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CE771D" w14:textId="20411529"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0BC5792" w14:textId="580DCF94" w:rsidR="006578ED" w:rsidRDefault="00A1618E">
            <w:pPr>
              <w:pStyle w:val="P68B1DB1-Normal46"/>
              <w:spacing w:after="0" w:line="240" w:lineRule="auto"/>
              <w:rPr>
                <w:rFonts w:eastAsia="Times New Roman" w:cs="Times New Roman"/>
                <w:noProof/>
              </w:rPr>
            </w:pPr>
            <w:r>
              <w:rPr>
                <w:noProof/>
              </w:rPr>
              <w:t xml:space="preserve">Materiały służące ukierunkowaniu i wspieraniu nauczycieli w realizacji nowego programu nauczania oraz szkolenia specjalistów </w:t>
            </w:r>
          </w:p>
        </w:tc>
      </w:tr>
      <w:tr w:rsidR="006578ED" w14:paraId="7FA7B39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1BEF10" w14:textId="77777777" w:rsidR="006578ED" w:rsidRDefault="00A1618E">
            <w:pPr>
              <w:pStyle w:val="P68B1DB1-Normal46"/>
              <w:spacing w:after="0" w:line="240" w:lineRule="auto"/>
              <w:jc w:val="center"/>
              <w:rPr>
                <w:rFonts w:eastAsia="Times New Roman" w:cs="Times New Roman"/>
                <w:noProof/>
              </w:rPr>
            </w:pPr>
            <w:r>
              <w:rPr>
                <w:noProof/>
              </w:rPr>
              <w:t>310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AF3379" w14:textId="77777777" w:rsidR="006578ED" w:rsidRDefault="00A1618E">
            <w:pPr>
              <w:pStyle w:val="P68B1DB1-Normal46"/>
              <w:spacing w:after="0" w:line="240" w:lineRule="auto"/>
              <w:rPr>
                <w:rFonts w:eastAsia="Times New Roman" w:cs="Times New Roman"/>
                <w:noProof/>
              </w:rPr>
            </w:pPr>
            <w:r>
              <w:rPr>
                <w:noProof/>
              </w:rPr>
              <w:t>C21.I2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5669C5" w14:textId="1C6C554A"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72488F9" w14:textId="67D77E6D" w:rsidR="006578ED" w:rsidRDefault="00A1618E">
            <w:pPr>
              <w:pStyle w:val="P68B1DB1-Normal46"/>
              <w:spacing w:after="0" w:line="240" w:lineRule="auto"/>
              <w:rPr>
                <w:rFonts w:eastAsia="Times New Roman" w:cs="Times New Roman"/>
                <w:noProof/>
              </w:rPr>
            </w:pPr>
            <w:r>
              <w:rPr>
                <w:noProof/>
              </w:rPr>
              <w:t xml:space="preserve">Wsparcie dla szkół w ramach programu PROA+ </w:t>
            </w:r>
          </w:p>
        </w:tc>
      </w:tr>
      <w:tr w:rsidR="006578ED" w14:paraId="6E8AE03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A085DC" w14:textId="77777777" w:rsidR="006578ED" w:rsidRDefault="00A1618E">
            <w:pPr>
              <w:pStyle w:val="P68B1DB1-Normal46"/>
              <w:spacing w:after="0" w:line="240" w:lineRule="auto"/>
              <w:jc w:val="center"/>
              <w:rPr>
                <w:rFonts w:eastAsia="Times New Roman" w:cs="Times New Roman"/>
                <w:noProof/>
              </w:rPr>
            </w:pPr>
            <w:r>
              <w:rPr>
                <w:noProof/>
              </w:rPr>
              <w:t>311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3C2E27" w14:textId="77777777" w:rsidR="006578ED" w:rsidRDefault="00A1618E">
            <w:pPr>
              <w:pStyle w:val="P68B1DB1-Normal46"/>
              <w:spacing w:after="0" w:line="240" w:lineRule="auto"/>
              <w:rPr>
                <w:rFonts w:eastAsia="Times New Roman" w:cs="Times New Roman"/>
                <w:noProof/>
              </w:rPr>
            </w:pPr>
            <w:r>
              <w:rPr>
                <w:noProof/>
              </w:rPr>
              <w:t>C21.I3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C350DB" w14:textId="4BE0CD4F"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F01AE5D" w14:textId="7C9DA8FD" w:rsidR="006578ED" w:rsidRDefault="00A1618E">
            <w:pPr>
              <w:pStyle w:val="P68B1DB1-Normal46"/>
              <w:spacing w:after="0" w:line="240" w:lineRule="auto"/>
              <w:rPr>
                <w:rFonts w:eastAsia="Times New Roman" w:cs="Times New Roman"/>
                <w:noProof/>
              </w:rPr>
            </w:pPr>
            <w:r>
              <w:rPr>
                <w:noProof/>
              </w:rPr>
              <w:t xml:space="preserve">Działy pomocy i poradnictwa dla uczniów znajdujących się w trudnej sytuacji </w:t>
            </w:r>
          </w:p>
        </w:tc>
      </w:tr>
      <w:tr w:rsidR="006578ED" w14:paraId="2A70EA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C904FC" w14:textId="77777777" w:rsidR="006578ED" w:rsidRDefault="00A1618E">
            <w:pPr>
              <w:pStyle w:val="P68B1DB1-Normal46"/>
              <w:spacing w:after="0" w:line="240" w:lineRule="auto"/>
              <w:jc w:val="center"/>
              <w:rPr>
                <w:rFonts w:eastAsia="Times New Roman" w:cs="Times New Roman"/>
                <w:noProof/>
              </w:rPr>
            </w:pPr>
            <w:r>
              <w:rPr>
                <w:noProof/>
              </w:rPr>
              <w:t>470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11163" w14:textId="77777777" w:rsidR="006578ED" w:rsidRDefault="00A1618E">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94D4A3" w14:textId="1E67BE7A"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5AE4A9B" w14:textId="58F7101F" w:rsidR="006578ED" w:rsidRDefault="00A1618E">
            <w:pPr>
              <w:pStyle w:val="P68B1DB1-Normal46"/>
              <w:spacing w:after="0" w:line="240" w:lineRule="auto"/>
              <w:rPr>
                <w:rFonts w:eastAsia="Times New Roman" w:cs="Times New Roman"/>
                <w:noProof/>
              </w:rPr>
            </w:pPr>
            <w:r>
              <w:rPr>
                <w:noProof/>
              </w:rPr>
              <w:t xml:space="preserve">Miejsca zamieszkania, opieki niemieszkalnej i dziennej. </w:t>
            </w:r>
          </w:p>
        </w:tc>
      </w:tr>
      <w:tr w:rsidR="006578ED" w14:paraId="3A9D3BB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E25586" w14:textId="77777777" w:rsidR="006578ED" w:rsidRDefault="00A1618E">
            <w:pPr>
              <w:pStyle w:val="P68B1DB1-Normal46"/>
              <w:spacing w:after="0" w:line="240" w:lineRule="auto"/>
              <w:jc w:val="center"/>
              <w:rPr>
                <w:rFonts w:eastAsia="Times New Roman" w:cs="Times New Roman"/>
                <w:noProof/>
              </w:rPr>
            </w:pPr>
            <w:r>
              <w:rPr>
                <w:noProof/>
              </w:rPr>
              <w:t>326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DF7C1A9" w14:textId="77777777" w:rsidR="006578ED" w:rsidRDefault="00A1618E">
            <w:pPr>
              <w:pStyle w:val="P68B1DB1-Normal46"/>
              <w:spacing w:after="0" w:line="240" w:lineRule="auto"/>
              <w:rPr>
                <w:rFonts w:eastAsia="Times New Roman" w:cs="Times New Roman"/>
                <w:noProof/>
              </w:rPr>
            </w:pPr>
            <w:r>
              <w:rPr>
                <w:noProof/>
              </w:rPr>
              <w:t>C22.I3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CD2AEB" w14:textId="26E211BA"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DF42788" w14:textId="77777777" w:rsidR="006578ED" w:rsidRDefault="00A1618E">
            <w:pPr>
              <w:pStyle w:val="P68B1DB1-Normal46"/>
              <w:spacing w:after="0" w:line="240" w:lineRule="auto"/>
              <w:rPr>
                <w:rFonts w:eastAsia="Times New Roman" w:cs="Times New Roman"/>
                <w:noProof/>
              </w:rPr>
            </w:pPr>
            <w:r>
              <w:rPr>
                <w:noProof/>
              </w:rPr>
              <w:t>Projekty dotyczące poprawy dostępności</w:t>
            </w:r>
          </w:p>
        </w:tc>
      </w:tr>
      <w:tr w:rsidR="006578ED" w14:paraId="13176E7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079A04" w14:textId="77777777" w:rsidR="006578ED" w:rsidRDefault="00A1618E">
            <w:pPr>
              <w:pStyle w:val="P68B1DB1-Normal46"/>
              <w:spacing w:after="0" w:line="240" w:lineRule="auto"/>
              <w:jc w:val="center"/>
              <w:rPr>
                <w:rFonts w:eastAsia="Times New Roman" w:cs="Times New Roman"/>
                <w:noProof/>
              </w:rPr>
            </w:pPr>
            <w:r>
              <w:rPr>
                <w:noProof/>
              </w:rPr>
              <w:t>327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AC6571" w14:textId="77777777" w:rsidR="006578ED" w:rsidRDefault="00A1618E">
            <w:pPr>
              <w:pStyle w:val="P68B1DB1-Normal46"/>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BC7FA8" w14:textId="454836ED"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97A478A" w14:textId="77777777" w:rsidR="006578ED" w:rsidRDefault="00A1618E">
            <w:pPr>
              <w:pStyle w:val="P68B1DB1-Normal46"/>
              <w:spacing w:after="0" w:line="240" w:lineRule="auto"/>
              <w:rPr>
                <w:rFonts w:eastAsia="Times New Roman" w:cs="Times New Roman"/>
                <w:noProof/>
              </w:rPr>
            </w:pPr>
            <w:r>
              <w:rPr>
                <w:noProof/>
              </w:rPr>
              <w:t>Ośrodki dla ofiar przemocy seksualnej.</w:t>
            </w:r>
          </w:p>
        </w:tc>
      </w:tr>
      <w:tr w:rsidR="006578ED" w14:paraId="13BA8C3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F5DCAC" w14:textId="77777777" w:rsidR="006578ED" w:rsidRDefault="00A1618E">
            <w:pPr>
              <w:pStyle w:val="P68B1DB1-Normal46"/>
              <w:spacing w:after="0" w:line="240" w:lineRule="auto"/>
              <w:jc w:val="center"/>
              <w:rPr>
                <w:rFonts w:eastAsia="Times New Roman" w:cs="Times New Roman"/>
                <w:noProof/>
              </w:rPr>
            </w:pPr>
            <w:r>
              <w:rPr>
                <w:noProof/>
              </w:rPr>
              <w:t>347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F5540" w14:textId="77777777" w:rsidR="006578ED" w:rsidRDefault="00A1618E">
            <w:pPr>
              <w:pStyle w:val="P68B1DB1-Normal46"/>
              <w:spacing w:after="0" w:line="240" w:lineRule="auto"/>
              <w:rPr>
                <w:rFonts w:eastAsia="Times New Roman" w:cs="Times New Roman"/>
                <w:noProof/>
              </w:rPr>
            </w:pPr>
            <w:r>
              <w:rPr>
                <w:noProof/>
              </w:rPr>
              <w:t>C23.I5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165CE1" w14:textId="65417E5C"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F5FB67" w14:textId="1C70BA8F" w:rsidR="006578ED" w:rsidRDefault="00A1618E">
            <w:pPr>
              <w:pStyle w:val="P68B1DB1-Normal46"/>
              <w:spacing w:after="0" w:line="240" w:lineRule="auto"/>
              <w:rPr>
                <w:rFonts w:eastAsia="Times New Roman" w:cs="Times New Roman"/>
                <w:noProof/>
              </w:rPr>
            </w:pPr>
            <w:r>
              <w:rPr>
                <w:noProof/>
              </w:rPr>
              <w:t>Publiczne ośrodki poradnictwa, przedsiębiorczości, wsparcia i innowacji na rzecz nowych miejsc pracy są w pełni operacyjne.</w:t>
            </w:r>
          </w:p>
        </w:tc>
      </w:tr>
      <w:tr w:rsidR="006578ED" w14:paraId="38B1B11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A0EB3F" w14:textId="77777777" w:rsidR="006578ED" w:rsidRDefault="00A1618E">
            <w:pPr>
              <w:pStyle w:val="P68B1DB1-Normal46"/>
              <w:spacing w:after="0" w:line="240" w:lineRule="auto"/>
              <w:jc w:val="center"/>
              <w:rPr>
                <w:rFonts w:eastAsia="Times New Roman" w:cs="Times New Roman"/>
                <w:noProof/>
              </w:rPr>
            </w:pPr>
            <w:r>
              <w:rPr>
                <w:noProof/>
              </w:rPr>
              <w:t>351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66DB99D" w14:textId="77777777" w:rsidR="006578ED" w:rsidRDefault="00A1618E">
            <w:pPr>
              <w:pStyle w:val="P68B1DB1-Normal46"/>
              <w:spacing w:after="0" w:line="240" w:lineRule="auto"/>
              <w:rPr>
                <w:rFonts w:eastAsia="Times New Roman" w:cs="Times New Roman"/>
                <w:noProof/>
              </w:rPr>
            </w:pPr>
            <w:r>
              <w:rPr>
                <w:noProof/>
              </w:rPr>
              <w:t>C23.I7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A767AE7" w14:textId="4C63AC38"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E55B29A" w14:textId="1756515A" w:rsidR="006578ED" w:rsidRDefault="00A1618E">
            <w:pPr>
              <w:pStyle w:val="P68B1DB1-Normal46"/>
              <w:spacing w:after="0" w:line="240" w:lineRule="auto"/>
              <w:rPr>
                <w:rFonts w:eastAsia="Times New Roman" w:cs="Times New Roman"/>
                <w:noProof/>
              </w:rPr>
            </w:pPr>
            <w:r>
              <w:rPr>
                <w:noProof/>
              </w:rPr>
              <w:t>Ocena zakresu, skuteczności i powodzenia systemów dochodu minimalnego</w:t>
            </w:r>
          </w:p>
        </w:tc>
      </w:tr>
      <w:tr w:rsidR="006578ED" w14:paraId="168043F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E4600F" w14:textId="77777777" w:rsidR="006578ED" w:rsidRDefault="00A1618E">
            <w:pPr>
              <w:pStyle w:val="P68B1DB1-Normal46"/>
              <w:spacing w:after="0" w:line="240" w:lineRule="auto"/>
              <w:jc w:val="center"/>
              <w:rPr>
                <w:rFonts w:eastAsia="Times New Roman" w:cs="Times New Roman"/>
                <w:noProof/>
              </w:rPr>
            </w:pPr>
            <w:r>
              <w:rPr>
                <w:noProof/>
              </w:rPr>
              <w:t>358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45CD9B" w14:textId="77777777" w:rsidR="006578ED" w:rsidRDefault="00A1618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FED88F3" w14:textId="56503439"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6ABC3B8" w14:textId="77777777" w:rsidR="006578ED" w:rsidRDefault="00A1618E">
            <w:pPr>
              <w:pStyle w:val="P68B1DB1-Normal46"/>
              <w:spacing w:after="0" w:line="240" w:lineRule="auto"/>
              <w:rPr>
                <w:rFonts w:eastAsia="Times New Roman" w:cs="Times New Roman"/>
                <w:noProof/>
              </w:rPr>
            </w:pPr>
            <w:r>
              <w:rPr>
                <w:noProof/>
              </w:rPr>
              <w:t>Zakup książek dla bibliotek</w:t>
            </w:r>
          </w:p>
        </w:tc>
      </w:tr>
      <w:tr w:rsidR="006578ED" w14:paraId="755A2DA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CE1BA" w14:textId="77777777" w:rsidR="006578ED" w:rsidRDefault="00A1618E">
            <w:pPr>
              <w:pStyle w:val="P68B1DB1-Normal46"/>
              <w:spacing w:after="0" w:line="240" w:lineRule="auto"/>
              <w:jc w:val="center"/>
              <w:rPr>
                <w:rFonts w:eastAsia="Times New Roman" w:cs="Times New Roman"/>
                <w:noProof/>
              </w:rPr>
            </w:pPr>
            <w:r>
              <w:rPr>
                <w:noProof/>
              </w:rPr>
              <w:t>476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2C8BD6" w14:textId="77777777" w:rsidR="006578ED" w:rsidRDefault="00A1618E">
            <w:pPr>
              <w:pStyle w:val="P68B1DB1-Normal46"/>
              <w:spacing w:after="0" w:line="240" w:lineRule="auto"/>
              <w:rPr>
                <w:rFonts w:eastAsia="Times New Roman" w:cs="Times New Roman"/>
                <w:noProof/>
              </w:rPr>
            </w:pPr>
            <w:r>
              <w:rPr>
                <w:noProof/>
              </w:rPr>
              <w:t>C25.I1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FD86D5" w14:textId="55173F17" w:rsidR="006578ED" w:rsidRDefault="00AF6B91">
            <w:pPr>
              <w:pStyle w:val="P68B1DB1-Normal46"/>
              <w:spacing w:after="0" w:line="240" w:lineRule="auto"/>
              <w:rPr>
                <w:rFonts w:eastAsia="Times New Roman" w:cs="Times New Roman"/>
                <w:noProof/>
              </w:rPr>
            </w:pPr>
            <w:r>
              <w:rPr>
                <w:noProof/>
              </w:rPr>
              <w:t>Cel</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A2A570B" w14:textId="268D46EF" w:rsidR="006578ED" w:rsidRDefault="00A1618E">
            <w:pPr>
              <w:pStyle w:val="P68B1DB1-Normal46"/>
              <w:spacing w:after="0" w:line="240" w:lineRule="auto"/>
              <w:rPr>
                <w:rFonts w:eastAsia="Times New Roman" w:cs="Times New Roman"/>
                <w:noProof/>
              </w:rPr>
            </w:pPr>
            <w:r>
              <w:rPr>
                <w:noProof/>
              </w:rPr>
              <w:t>Zakończenie projektów wspierających MŚP w sektorze audiowizualnym</w:t>
            </w:r>
          </w:p>
        </w:tc>
      </w:tr>
      <w:tr w:rsidR="006578ED" w14:paraId="407FDED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95D4F5" w14:textId="77777777" w:rsidR="006578ED" w:rsidRDefault="00A1618E">
            <w:pPr>
              <w:pStyle w:val="P68B1DB1-Normal46"/>
              <w:spacing w:after="0" w:line="240" w:lineRule="auto"/>
              <w:jc w:val="center"/>
              <w:rPr>
                <w:rFonts w:eastAsia="Times New Roman" w:cs="Times New Roman"/>
                <w:noProof/>
              </w:rPr>
            </w:pPr>
            <w:r>
              <w:rPr>
                <w:noProof/>
              </w:rPr>
              <w:t>483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176F87" w14:textId="77777777" w:rsidR="006578ED" w:rsidRDefault="00A1618E">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81E748B" w14:textId="7F2BD880"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7369E4EA" w14:textId="77777777" w:rsidR="006578ED" w:rsidRDefault="00A1618E">
            <w:pPr>
              <w:pStyle w:val="P68B1DB1-Normal46"/>
              <w:spacing w:after="0" w:line="240" w:lineRule="auto"/>
              <w:rPr>
                <w:rFonts w:eastAsia="Times New Roman" w:cs="Times New Roman"/>
                <w:noProof/>
              </w:rPr>
            </w:pPr>
            <w:r>
              <w:rPr>
                <w:noProof/>
              </w:rPr>
              <w:t>System wsparcia dla wodoru odnawialnego: Ministerstwo zakończyło inwestycję</w:t>
            </w:r>
          </w:p>
        </w:tc>
      </w:tr>
      <w:tr w:rsidR="006578ED" w14:paraId="041847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94C56F" w14:textId="77777777" w:rsidR="006578ED" w:rsidRDefault="00A1618E">
            <w:pPr>
              <w:pStyle w:val="P68B1DB1-Normal46"/>
              <w:spacing w:after="0" w:line="240" w:lineRule="auto"/>
              <w:jc w:val="center"/>
              <w:rPr>
                <w:rFonts w:eastAsia="Times New Roman" w:cs="Times New Roman"/>
                <w:noProof/>
              </w:rPr>
            </w:pPr>
            <w:r>
              <w:rPr>
                <w:noProof/>
              </w:rPr>
              <w:t>480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66F94E" w14:textId="77777777" w:rsidR="006578ED" w:rsidRDefault="00A1618E">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71834" w14:textId="19C27979"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62E847D3" w14:textId="77777777" w:rsidR="006578ED" w:rsidRDefault="00A1618E">
            <w:pPr>
              <w:pStyle w:val="P68B1DB1-Normal46"/>
              <w:spacing w:after="0" w:line="240" w:lineRule="auto"/>
              <w:rPr>
                <w:rFonts w:eastAsia="Times New Roman" w:cs="Times New Roman"/>
                <w:noProof/>
              </w:rPr>
            </w:pPr>
            <w:r>
              <w:rPr>
                <w:noProof/>
              </w:rPr>
              <w:t>System wsparcia dla wodoru odnawialnego: Ustanowienie systemu</w:t>
            </w:r>
          </w:p>
        </w:tc>
      </w:tr>
      <w:tr w:rsidR="006578ED" w14:paraId="2D659B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830334" w14:textId="77777777" w:rsidR="006578ED" w:rsidRDefault="00A1618E">
            <w:pPr>
              <w:pStyle w:val="P68B1DB1-Normal46"/>
              <w:spacing w:after="0" w:line="240" w:lineRule="auto"/>
              <w:jc w:val="center"/>
              <w:rPr>
                <w:rFonts w:eastAsia="Times New Roman" w:cs="Times New Roman"/>
                <w:noProof/>
              </w:rPr>
            </w:pPr>
            <w:r>
              <w:rPr>
                <w:noProof/>
              </w:rPr>
              <w:t>487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71EBAAE" w14:textId="77777777" w:rsidR="006578ED" w:rsidRDefault="00A1618E">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0EC886B" w14:textId="1D1A3451"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2D3A373B" w14:textId="77777777" w:rsidR="006578ED" w:rsidRDefault="00A1618E">
            <w:pPr>
              <w:pStyle w:val="P68B1DB1-Normal46"/>
              <w:spacing w:after="0" w:line="240" w:lineRule="auto"/>
              <w:rPr>
                <w:rFonts w:eastAsia="Times New Roman" w:cs="Times New Roman"/>
                <w:noProof/>
              </w:rPr>
            </w:pPr>
            <w:r>
              <w:rPr>
                <w:noProof/>
              </w:rPr>
              <w:t>System wsparcia dla łańcucha wartości: Ministerstwo zakończyło inwestycję</w:t>
            </w:r>
          </w:p>
        </w:tc>
      </w:tr>
      <w:tr w:rsidR="006578ED" w14:paraId="4AB30B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080834" w14:textId="77777777" w:rsidR="006578ED" w:rsidRDefault="00A1618E">
            <w:pPr>
              <w:pStyle w:val="P68B1DB1-Normal46"/>
              <w:spacing w:after="0" w:line="240" w:lineRule="auto"/>
              <w:jc w:val="center"/>
              <w:rPr>
                <w:rFonts w:eastAsia="Times New Roman" w:cs="Times New Roman"/>
                <w:noProof/>
              </w:rPr>
            </w:pPr>
            <w:r>
              <w:rPr>
                <w:noProof/>
              </w:rPr>
              <w:t>484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F6C71" w14:textId="77777777" w:rsidR="006578ED" w:rsidRDefault="00A1618E">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5FCB59" w14:textId="2456FA68"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108D3D4" w14:textId="77777777" w:rsidR="006578ED" w:rsidRDefault="00A1618E">
            <w:pPr>
              <w:pStyle w:val="P68B1DB1-Normal46"/>
              <w:spacing w:after="0" w:line="240" w:lineRule="auto"/>
              <w:rPr>
                <w:rFonts w:eastAsia="Times New Roman" w:cs="Times New Roman"/>
                <w:noProof/>
              </w:rPr>
            </w:pPr>
            <w:r>
              <w:rPr>
                <w:noProof/>
              </w:rPr>
              <w:t>System wsparcia dla łańcucha wartości: Ustanowienie systemu</w:t>
            </w:r>
          </w:p>
        </w:tc>
      </w:tr>
      <w:tr w:rsidR="006578ED" w14:paraId="55E81A3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DAD854" w14:textId="77777777" w:rsidR="006578ED" w:rsidRDefault="00A1618E">
            <w:pPr>
              <w:pStyle w:val="P68B1DB1-Normal46"/>
              <w:spacing w:after="0" w:line="240" w:lineRule="auto"/>
              <w:jc w:val="center"/>
              <w:rPr>
                <w:rFonts w:eastAsia="Times New Roman" w:cs="Times New Roman"/>
                <w:noProof/>
              </w:rPr>
            </w:pPr>
            <w:r>
              <w:rPr>
                <w:noProof/>
              </w:rPr>
              <w:t>488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9F8EA" w14:textId="77777777" w:rsidR="006578ED" w:rsidRDefault="00A1618E">
            <w:pPr>
              <w:pStyle w:val="P68B1DB1-Normal46"/>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BF0026" w14:textId="6E96478C"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4C759529" w14:textId="77777777" w:rsidR="006578ED" w:rsidRDefault="00A1618E">
            <w:pPr>
              <w:pStyle w:val="P68B1DB1-Normal46"/>
              <w:spacing w:after="0" w:line="240" w:lineRule="auto"/>
              <w:rPr>
                <w:rFonts w:eastAsia="Times New Roman" w:cs="Times New Roman"/>
                <w:noProof/>
              </w:rPr>
            </w:pPr>
            <w:r>
              <w:rPr>
                <w:noProof/>
              </w:rPr>
              <w:t>Publikacja kryteriów wyboru projektów dotyczących przesyłu energii elektrycznej</w:t>
            </w:r>
          </w:p>
        </w:tc>
      </w:tr>
      <w:tr w:rsidR="006578ED" w14:paraId="3CC80E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418A8A" w14:textId="77777777" w:rsidR="006578ED" w:rsidRDefault="00A1618E">
            <w:pPr>
              <w:pStyle w:val="P68B1DB1-Normal46"/>
              <w:spacing w:after="0" w:line="240" w:lineRule="auto"/>
              <w:jc w:val="center"/>
              <w:rPr>
                <w:rFonts w:eastAsia="Times New Roman" w:cs="Times New Roman"/>
                <w:noProof/>
              </w:rPr>
            </w:pPr>
            <w:r>
              <w:rPr>
                <w:noProof/>
              </w:rPr>
              <w:t>489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6CA794" w14:textId="77777777" w:rsidR="006578ED" w:rsidRDefault="00A1618E">
            <w:pPr>
              <w:pStyle w:val="P68B1DB1-Normal46"/>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658B44" w14:textId="4006D1A9"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29C99E1" w14:textId="77777777" w:rsidR="006578ED" w:rsidRDefault="00A1618E">
            <w:pPr>
              <w:pStyle w:val="P68B1DB1-Normal46"/>
              <w:spacing w:after="0" w:line="240" w:lineRule="auto"/>
              <w:rPr>
                <w:rFonts w:eastAsia="Times New Roman" w:cs="Times New Roman"/>
                <w:noProof/>
              </w:rPr>
            </w:pPr>
            <w:r>
              <w:rPr>
                <w:noProof/>
              </w:rPr>
              <w:t>Przyjęcie listy wspieranych projektów dotyczących przesyłu energii elektrycznej</w:t>
            </w:r>
          </w:p>
        </w:tc>
      </w:tr>
      <w:tr w:rsidR="006578ED" w14:paraId="55C0087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F3562C" w14:textId="77777777" w:rsidR="006578ED" w:rsidRDefault="00A1618E">
            <w:pPr>
              <w:pStyle w:val="P68B1DB1-Normal46"/>
              <w:spacing w:after="0" w:line="240" w:lineRule="auto"/>
              <w:jc w:val="center"/>
              <w:rPr>
                <w:rFonts w:eastAsia="Times New Roman" w:cs="Times New Roman"/>
                <w:noProof/>
              </w:rPr>
            </w:pPr>
            <w:r>
              <w:rPr>
                <w:noProof/>
              </w:rPr>
              <w:t>491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3DCF84" w14:textId="77777777" w:rsidR="006578ED" w:rsidRDefault="00A1618E">
            <w:pPr>
              <w:pStyle w:val="P68B1DB1-Normal46"/>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4EEC9F" w14:textId="61404AD6"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BD8584B" w14:textId="297481B4" w:rsidR="006578ED" w:rsidRDefault="00A1618E">
            <w:pPr>
              <w:pStyle w:val="P68B1DB1-Normal46"/>
              <w:spacing w:after="0" w:line="240" w:lineRule="auto"/>
              <w:rPr>
                <w:rFonts w:eastAsia="Times New Roman" w:cs="Times New Roman"/>
                <w:noProof/>
              </w:rPr>
            </w:pPr>
            <w:r>
              <w:rPr>
                <w:noProof/>
              </w:rPr>
              <w:t xml:space="preserve">Publikacja zaproszeń do składania wniosków i zasad regulujących przyznawanie wsparcia na rzecz dekarbonizacji przemysłu oraz zakończenie badania dotyczącego wdrożenia funduszu zachęcającego przedsiębiorstwa do dekarbonizacji (kontrakt na transakcje różnicowe dotyczące emisji dwutlenku węgla) </w:t>
            </w:r>
          </w:p>
        </w:tc>
      </w:tr>
      <w:tr w:rsidR="006578ED" w14:paraId="3F0B14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129C0B" w14:textId="77777777" w:rsidR="006578ED" w:rsidRDefault="00A1618E">
            <w:pPr>
              <w:pStyle w:val="P68B1DB1-Normal46"/>
              <w:spacing w:after="0" w:line="240" w:lineRule="auto"/>
              <w:jc w:val="center"/>
              <w:rPr>
                <w:rFonts w:eastAsia="Times New Roman" w:cs="Times New Roman"/>
                <w:noProof/>
              </w:rPr>
            </w:pPr>
            <w:r>
              <w:rPr>
                <w:noProof/>
              </w:rPr>
              <w:t>492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F93CC5" w14:textId="77777777" w:rsidR="006578ED" w:rsidRDefault="00A1618E">
            <w:pPr>
              <w:pStyle w:val="P68B1DB1-Normal46"/>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9D252F" w14:textId="2E897242"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A87131" w14:textId="1DD58917" w:rsidR="006578ED" w:rsidRDefault="00A1618E">
            <w:pPr>
              <w:pStyle w:val="P68B1DB1-Normal46"/>
              <w:spacing w:after="0" w:line="240" w:lineRule="auto"/>
              <w:rPr>
                <w:rFonts w:eastAsia="Times New Roman" w:cs="Times New Roman"/>
                <w:noProof/>
              </w:rPr>
            </w:pPr>
            <w:r>
              <w:rPr>
                <w:noProof/>
              </w:rPr>
              <w:t xml:space="preserve">Publikacja nagród za projekty w zakresie dekarbonizacji </w:t>
            </w:r>
          </w:p>
        </w:tc>
      </w:tr>
      <w:tr w:rsidR="006578ED" w14:paraId="0C27A44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2253CE" w14:textId="77777777" w:rsidR="006578ED" w:rsidRDefault="00A1618E">
            <w:pPr>
              <w:pStyle w:val="P68B1DB1-Normal46"/>
              <w:spacing w:after="0" w:line="240" w:lineRule="auto"/>
              <w:jc w:val="center"/>
              <w:rPr>
                <w:rFonts w:eastAsia="Times New Roman" w:cs="Times New Roman"/>
                <w:noProof/>
              </w:rPr>
            </w:pPr>
            <w:r>
              <w:rPr>
                <w:noProof/>
              </w:rPr>
              <w:t>494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F5C2FA" w14:textId="77777777" w:rsidR="006578ED" w:rsidRDefault="00A1618E">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145D30C" w14:textId="6118EB0C"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1EBE78A9" w14:textId="12669888" w:rsidR="006578ED" w:rsidRDefault="00A1618E">
            <w:pPr>
              <w:pStyle w:val="P68B1DB1-Normal46"/>
              <w:spacing w:after="0" w:line="240" w:lineRule="auto"/>
              <w:rPr>
                <w:rFonts w:eastAsia="Times New Roman" w:cs="Times New Roman"/>
                <w:noProof/>
              </w:rPr>
            </w:pPr>
            <w:r>
              <w:rPr>
                <w:noProof/>
              </w:rPr>
              <w:t>Program dotacji na rzecz dekarbonizacji przemysłu: Przekształcenie ENISA w przedsiębiorstwo publiczne</w:t>
            </w:r>
          </w:p>
        </w:tc>
      </w:tr>
      <w:tr w:rsidR="006578ED" w14:paraId="2E0A9E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D5995F" w14:textId="77777777" w:rsidR="006578ED" w:rsidRDefault="00A1618E">
            <w:pPr>
              <w:pStyle w:val="P68B1DB1-Normal46"/>
              <w:spacing w:after="0" w:line="240" w:lineRule="auto"/>
              <w:jc w:val="center"/>
              <w:rPr>
                <w:rFonts w:eastAsia="Times New Roman" w:cs="Times New Roman"/>
                <w:noProof/>
              </w:rPr>
            </w:pPr>
            <w:r>
              <w:rPr>
                <w:noProof/>
              </w:rPr>
              <w:t>497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69B518" w14:textId="77777777" w:rsidR="006578ED" w:rsidRDefault="00A1618E">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A551C8E" w14:textId="16AC5E14"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0E354E54" w14:textId="77777777" w:rsidR="006578ED" w:rsidRDefault="00A1618E">
            <w:pPr>
              <w:pStyle w:val="P68B1DB1-Normal46"/>
              <w:spacing w:after="0" w:line="240" w:lineRule="auto"/>
              <w:rPr>
                <w:rFonts w:eastAsia="Times New Roman" w:cs="Times New Roman"/>
                <w:noProof/>
              </w:rPr>
            </w:pPr>
            <w:r>
              <w:rPr>
                <w:noProof/>
              </w:rPr>
              <w:t>Program dotacji na rzecz dekarbonizacji przemysłu: Ministerstwo zakończyło inwestycję</w:t>
            </w:r>
          </w:p>
        </w:tc>
      </w:tr>
      <w:tr w:rsidR="006578ED" w14:paraId="388A29B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77C724" w14:textId="77777777" w:rsidR="006578ED" w:rsidRDefault="00A1618E">
            <w:pPr>
              <w:pStyle w:val="P68B1DB1-Normal46"/>
              <w:spacing w:after="0" w:line="240" w:lineRule="auto"/>
              <w:jc w:val="center"/>
              <w:rPr>
                <w:rFonts w:eastAsia="Times New Roman" w:cs="Times New Roman"/>
                <w:noProof/>
              </w:rPr>
            </w:pPr>
            <w:r>
              <w:rPr>
                <w:noProof/>
              </w:rPr>
              <w:t>495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FA929" w14:textId="77777777" w:rsidR="006578ED" w:rsidRDefault="00A1618E">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A9781E" w14:textId="7407CE13" w:rsidR="006578ED" w:rsidRDefault="00AF6B91">
            <w:pPr>
              <w:pStyle w:val="P68B1DB1-Normal46"/>
              <w:spacing w:after="0" w:line="240" w:lineRule="auto"/>
              <w:rPr>
                <w:rFonts w:eastAsia="Times New Roman" w:cs="Times New Roman"/>
                <w:noProof/>
              </w:rPr>
            </w:pPr>
            <w:r>
              <w:rPr>
                <w:noProof/>
              </w:rPr>
              <w:t>Kamień milowy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5B71D1CA" w14:textId="77777777" w:rsidR="006578ED" w:rsidRDefault="00A1618E">
            <w:pPr>
              <w:pStyle w:val="P68B1DB1-Normal46"/>
              <w:spacing w:after="0" w:line="240" w:lineRule="auto"/>
              <w:rPr>
                <w:rFonts w:eastAsia="Times New Roman" w:cs="Times New Roman"/>
                <w:noProof/>
              </w:rPr>
            </w:pPr>
            <w:r>
              <w:rPr>
                <w:noProof/>
              </w:rPr>
              <w:t>Program dotacji na rzecz dekarbonizacji przemysłu: Ustanowienie systemu</w:t>
            </w:r>
          </w:p>
        </w:tc>
      </w:tr>
      <w:tr w:rsidR="006578ED" w14:paraId="406E9B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C4F64E"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29E1E2"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CB62E1" w14:textId="75F85337" w:rsidR="006578ED" w:rsidRDefault="00A1618E">
            <w:pPr>
              <w:pStyle w:val="P68B1DB1-Normal45"/>
              <w:spacing w:after="0" w:line="240" w:lineRule="auto"/>
              <w:rPr>
                <w:rFonts w:eastAsia="Times New Roman" w:cs="Times New Roman"/>
                <w:noProof/>
              </w:rPr>
            </w:pPr>
            <w:r>
              <w:rPr>
                <w:noProof/>
              </w:rPr>
              <w:t>Kwota raty</w:t>
            </w:r>
          </w:p>
        </w:tc>
        <w:tc>
          <w:tcPr>
            <w:tcW w:w="5704" w:type="dxa"/>
            <w:tcBorders>
              <w:top w:val="single" w:sz="4" w:space="0" w:color="auto"/>
              <w:left w:val="nil"/>
              <w:bottom w:val="single" w:sz="4" w:space="0" w:color="auto"/>
              <w:right w:val="single" w:sz="4" w:space="0" w:color="auto"/>
            </w:tcBorders>
            <w:shd w:val="clear" w:color="auto" w:fill="C6EFCE"/>
            <w:noWrap/>
            <w:vAlign w:val="bottom"/>
          </w:tcPr>
          <w:p w14:paraId="3A9D5264" w14:textId="7771AB70" w:rsidR="006578ED" w:rsidRDefault="00A1618E">
            <w:pPr>
              <w:pStyle w:val="P68B1DB1-Normal45"/>
              <w:spacing w:after="0" w:line="240" w:lineRule="auto"/>
              <w:rPr>
                <w:rFonts w:eastAsia="Times New Roman" w:cs="Times New Roman"/>
                <w:noProof/>
              </w:rPr>
            </w:pPr>
            <w:r>
              <w:rPr>
                <w:noProof/>
              </w:rPr>
              <w:t>10 261 710 743 EUR</w:t>
            </w:r>
          </w:p>
        </w:tc>
      </w:tr>
    </w:tbl>
    <w:p w14:paraId="2A4D388A" w14:textId="77777777" w:rsidR="006578ED" w:rsidRDefault="006578ED">
      <w:pPr>
        <w:spacing w:before="120" w:after="120" w:line="240" w:lineRule="auto"/>
        <w:jc w:val="both"/>
        <w:rPr>
          <w:rFonts w:ascii="Times New Roman" w:eastAsia="Calibri" w:hAnsi="Times New Roman" w:cs="Times New Roman"/>
          <w:noProof/>
          <w:sz w:val="24"/>
        </w:rPr>
      </w:pPr>
    </w:p>
    <w:p w14:paraId="6F7EC66B"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Ósma transza (bezzwrotne wsparcie): </w:t>
      </w:r>
    </w:p>
    <w:tbl>
      <w:tblPr>
        <w:tblW w:w="9663" w:type="dxa"/>
        <w:tblInd w:w="113" w:type="dxa"/>
        <w:tblLook w:val="04A0" w:firstRow="1" w:lastRow="0" w:firstColumn="1" w:lastColumn="0" w:noHBand="0" w:noVBand="1"/>
      </w:tblPr>
      <w:tblGrid>
        <w:gridCol w:w="1300"/>
        <w:gridCol w:w="1443"/>
        <w:gridCol w:w="1561"/>
        <w:gridCol w:w="5670"/>
      </w:tblGrid>
      <w:tr w:rsidR="006578ED" w14:paraId="37E5C586"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D8EF13A"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C92FBD"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4392E45"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20B0C0EB"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2D2586AB"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4D76A78"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71C2754"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E1DA205" w14:textId="77777777" w:rsidR="006578ED" w:rsidRDefault="006578ED">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01DD9839" w14:textId="77777777" w:rsidR="006578ED" w:rsidRDefault="006578ED">
            <w:pPr>
              <w:spacing w:after="0" w:line="240" w:lineRule="auto"/>
              <w:rPr>
                <w:rFonts w:ascii="Times New Roman" w:eastAsia="Times New Roman" w:hAnsi="Times New Roman" w:cs="Times New Roman"/>
                <w:b/>
                <w:noProof/>
                <w:sz w:val="20"/>
              </w:rPr>
            </w:pPr>
          </w:p>
        </w:tc>
      </w:tr>
      <w:tr w:rsidR="006578ED" w14:paraId="1B2C90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AC1E4D" w14:textId="77777777" w:rsidR="006578ED" w:rsidRDefault="00A1618E">
            <w:pPr>
              <w:pStyle w:val="P68B1DB1-Normal46"/>
              <w:spacing w:after="0" w:line="240" w:lineRule="auto"/>
              <w:jc w:val="center"/>
              <w:rPr>
                <w:rFonts w:eastAsia="Times New Roman" w:cs="Times New Roman"/>
                <w:noProof/>
              </w:rPr>
            </w:pPr>
            <w:r>
              <w:rPr>
                <w:noProof/>
              </w:rPr>
              <w:t>421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1321B9" w14:textId="77777777" w:rsidR="006578ED" w:rsidRDefault="00A1618E">
            <w:pPr>
              <w:pStyle w:val="P68B1DB1-Normal46"/>
              <w:spacing w:after="0" w:line="240" w:lineRule="auto"/>
              <w:rPr>
                <w:rFonts w:eastAsia="Times New Roman" w:cs="Times New Roman"/>
                <w:noProof/>
              </w:rPr>
            </w:pPr>
            <w:r>
              <w:rPr>
                <w:noProof/>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201A76C" w14:textId="059F07C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80C5AE" w14:textId="5765EE58" w:rsidR="006578ED" w:rsidRDefault="00A1618E">
            <w:pPr>
              <w:pStyle w:val="P68B1DB1-Normal46"/>
              <w:spacing w:after="0" w:line="240" w:lineRule="auto"/>
              <w:rPr>
                <w:rFonts w:eastAsia="Times New Roman" w:cs="Times New Roman"/>
                <w:noProof/>
              </w:rPr>
            </w:pPr>
            <w:r>
              <w:rPr>
                <w:noProof/>
              </w:rPr>
              <w:t>Zakończenie budowy laboratorium o poziomie bezpieczeństwa biologicznego 3 oraz Krajowego Laboratorium Zdrowia Roślin.</w:t>
            </w:r>
          </w:p>
        </w:tc>
      </w:tr>
      <w:tr w:rsidR="006578ED" w14:paraId="620768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CBE3AB" w14:textId="77777777" w:rsidR="006578ED" w:rsidRDefault="00A1618E">
            <w:pPr>
              <w:pStyle w:val="P68B1DB1-Normal46"/>
              <w:spacing w:after="0" w:line="240" w:lineRule="auto"/>
              <w:jc w:val="center"/>
              <w:rPr>
                <w:rFonts w:eastAsia="Times New Roman" w:cs="Times New Roman"/>
                <w:noProof/>
              </w:rPr>
            </w:pPr>
            <w:r>
              <w:rPr>
                <w:noProof/>
              </w:rPr>
              <w:t>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E9E234" w14:textId="77777777" w:rsidR="006578ED" w:rsidRDefault="00A1618E">
            <w:pPr>
              <w:pStyle w:val="P68B1DB1-Normal46"/>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979885" w14:textId="4A229565"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C2DF90" w14:textId="59C385E0" w:rsidR="006578ED" w:rsidRDefault="00A1618E">
            <w:pPr>
              <w:pStyle w:val="P68B1DB1-Normal46"/>
              <w:spacing w:after="0" w:line="240" w:lineRule="auto"/>
              <w:rPr>
                <w:rFonts w:eastAsia="Times New Roman" w:cs="Times New Roman"/>
                <w:noProof/>
              </w:rPr>
            </w:pPr>
            <w:r>
              <w:rPr>
                <w:noProof/>
              </w:rPr>
              <w:t xml:space="preserve">Zmniejszenie objętości wody pobieranej z warstw wodonośnych </w:t>
            </w:r>
          </w:p>
        </w:tc>
      </w:tr>
      <w:tr w:rsidR="006578ED" w14:paraId="4E4F04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3F5158" w14:textId="77777777" w:rsidR="006578ED" w:rsidRDefault="00A1618E">
            <w:pPr>
              <w:pStyle w:val="P68B1DB1-Normal46"/>
              <w:spacing w:after="0" w:line="240" w:lineRule="auto"/>
              <w:jc w:val="center"/>
              <w:rPr>
                <w:rFonts w:eastAsia="Times New Roman" w:cs="Times New Roman"/>
                <w:noProof/>
              </w:rPr>
            </w:pPr>
            <w:r>
              <w:rPr>
                <w:noProof/>
              </w:rPr>
              <w:t>168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20704B" w14:textId="77777777" w:rsidR="006578ED" w:rsidRDefault="00A1618E">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880A01F" w14:textId="62930AF6"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8BABEB" w14:textId="02272BC2" w:rsidR="006578ED" w:rsidRDefault="00A1618E">
            <w:pPr>
              <w:pStyle w:val="P68B1DB1-Normal46"/>
              <w:spacing w:after="0" w:line="240" w:lineRule="auto"/>
              <w:rPr>
                <w:rFonts w:eastAsia="Times New Roman" w:cs="Times New Roman"/>
                <w:noProof/>
              </w:rPr>
            </w:pPr>
            <w:r>
              <w:rPr>
                <w:noProof/>
              </w:rPr>
              <w:t>Przyznawanie projektów wspierających transformację cyfrową regionalnych i lokalnych administracji publicznych oraz Ministerstwa Polityki Terytorialnej i Administracji Publicznej</w:t>
            </w:r>
          </w:p>
        </w:tc>
      </w:tr>
      <w:tr w:rsidR="006578ED" w14:paraId="23190C3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596597" w14:textId="77777777" w:rsidR="006578ED" w:rsidRDefault="00A1618E">
            <w:pPr>
              <w:pStyle w:val="P68B1DB1-Normal46"/>
              <w:spacing w:after="0" w:line="240" w:lineRule="auto"/>
              <w:jc w:val="center"/>
              <w:rPr>
                <w:rFonts w:eastAsia="Times New Roman" w:cs="Times New Roman"/>
                <w:noProof/>
              </w:rPr>
            </w:pPr>
            <w:r>
              <w:rPr>
                <w:noProof/>
              </w:rPr>
              <w:t>444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9B39C8" w14:textId="77777777" w:rsidR="006578ED" w:rsidRDefault="00A1618E">
            <w:pPr>
              <w:pStyle w:val="P68B1DB1-Normal46"/>
              <w:spacing w:after="0" w:line="240" w:lineRule="auto"/>
              <w:rPr>
                <w:rFonts w:eastAsia="Times New Roman" w:cs="Times New Roman"/>
                <w:noProof/>
              </w:rPr>
            </w:pPr>
            <w:r>
              <w:rPr>
                <w:noProof/>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48505" w14:textId="560F154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6700913" w14:textId="77777777" w:rsidR="006578ED" w:rsidRDefault="00A1618E">
            <w:pPr>
              <w:pStyle w:val="P68B1DB1-Normal46"/>
              <w:spacing w:after="0" w:line="240" w:lineRule="auto"/>
              <w:rPr>
                <w:rFonts w:eastAsia="Times New Roman" w:cs="Times New Roman"/>
                <w:noProof/>
              </w:rPr>
            </w:pPr>
            <w:r>
              <w:rPr>
                <w:noProof/>
              </w:rPr>
              <w:t xml:space="preserve">CZIP PERTE. Wzmocnienie łańcucha wartości półprzewodników. </w:t>
            </w:r>
          </w:p>
        </w:tc>
      </w:tr>
      <w:tr w:rsidR="006578ED" w14:paraId="079D113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F5C264" w14:textId="77777777" w:rsidR="006578ED" w:rsidRDefault="00A1618E">
            <w:pPr>
              <w:pStyle w:val="P68B1DB1-Normal46"/>
              <w:spacing w:after="0" w:line="240" w:lineRule="auto"/>
              <w:jc w:val="center"/>
              <w:rPr>
                <w:rFonts w:eastAsia="Times New Roman" w:cs="Times New Roman"/>
                <w:noProof/>
              </w:rPr>
            </w:pPr>
            <w:r>
              <w:rPr>
                <w:noProof/>
              </w:rPr>
              <w:t>222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F4334" w14:textId="77777777" w:rsidR="006578ED" w:rsidRDefault="00A1618E">
            <w:pPr>
              <w:pStyle w:val="P68B1DB1-Normal46"/>
              <w:spacing w:after="0" w:line="240" w:lineRule="auto"/>
              <w:rPr>
                <w:rFonts w:eastAsia="Times New Roman" w:cs="Times New Roman"/>
                <w:noProof/>
              </w:rPr>
            </w:pPr>
            <w:r>
              <w:rPr>
                <w:noProof/>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3209AB" w14:textId="58392F6E"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A9AEA1" w14:textId="4A54D159" w:rsidR="006578ED" w:rsidRDefault="00A1618E">
            <w:pPr>
              <w:pStyle w:val="P68B1DB1-Normal46"/>
              <w:spacing w:after="0" w:line="240" w:lineRule="auto"/>
              <w:rPr>
                <w:rFonts w:eastAsia="Times New Roman" w:cs="Times New Roman"/>
                <w:noProof/>
              </w:rPr>
            </w:pPr>
            <w:r>
              <w:rPr>
                <w:noProof/>
              </w:rPr>
              <w:t>Uruchomienie platformy inteligentnej turystyki w sektorze turystyki.</w:t>
            </w:r>
          </w:p>
        </w:tc>
      </w:tr>
      <w:tr w:rsidR="006578ED" w14:paraId="28B0EC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AEDDC" w14:textId="77777777" w:rsidR="006578ED" w:rsidRDefault="00A1618E">
            <w:pPr>
              <w:pStyle w:val="P68B1DB1-Normal46"/>
              <w:spacing w:after="0" w:line="240" w:lineRule="auto"/>
              <w:jc w:val="center"/>
              <w:rPr>
                <w:rFonts w:eastAsia="Times New Roman" w:cs="Times New Roman"/>
                <w:noProof/>
              </w:rPr>
            </w:pPr>
            <w:r>
              <w:rPr>
                <w:noProof/>
              </w:rPr>
              <w:t>223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73DA34" w14:textId="77777777" w:rsidR="006578ED" w:rsidRDefault="00A1618E">
            <w:pPr>
              <w:pStyle w:val="P68B1DB1-Normal46"/>
              <w:spacing w:after="0" w:line="240" w:lineRule="auto"/>
              <w:rPr>
                <w:rFonts w:eastAsia="Times New Roman" w:cs="Times New Roman"/>
                <w:noProof/>
              </w:rPr>
            </w:pPr>
            <w:r>
              <w:rPr>
                <w:noProof/>
              </w:rPr>
              <w:t>C14.I2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86C918" w14:textId="3E9D114E"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BDD6D24" w14:textId="1E2D5DFE" w:rsidR="006578ED" w:rsidRDefault="00A1618E">
            <w:pPr>
              <w:pStyle w:val="P68B1DB1-Normal46"/>
              <w:spacing w:after="0" w:line="240" w:lineRule="auto"/>
              <w:rPr>
                <w:rFonts w:eastAsia="Times New Roman" w:cs="Times New Roman"/>
                <w:noProof/>
              </w:rPr>
            </w:pPr>
            <w:r>
              <w:rPr>
                <w:noProof/>
              </w:rPr>
              <w:t>Beneficjenci innowacyjnych projektów opartych na technologii związanych ze sztuczną inteligencją i innymi technologiami wspomagającymi</w:t>
            </w:r>
          </w:p>
        </w:tc>
      </w:tr>
      <w:tr w:rsidR="006578ED" w14:paraId="694246F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71806D" w14:textId="77777777" w:rsidR="006578ED" w:rsidRDefault="00A1618E">
            <w:pPr>
              <w:pStyle w:val="P68B1DB1-Normal46"/>
              <w:spacing w:after="0" w:line="240" w:lineRule="auto"/>
              <w:jc w:val="center"/>
              <w:rPr>
                <w:rFonts w:eastAsia="Times New Roman" w:cs="Times New Roman"/>
                <w:noProof/>
              </w:rPr>
            </w:pPr>
            <w:r>
              <w:rPr>
                <w:noProof/>
              </w:rPr>
              <w:t>224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589D14" w14:textId="77777777" w:rsidR="006578ED" w:rsidRDefault="00A1618E">
            <w:pPr>
              <w:pStyle w:val="P68B1DB1-Normal46"/>
              <w:spacing w:after="0" w:line="240" w:lineRule="auto"/>
              <w:rPr>
                <w:rFonts w:eastAsia="Times New Roman" w:cs="Times New Roman"/>
                <w:noProof/>
              </w:rPr>
            </w:pPr>
            <w:r>
              <w:rPr>
                <w:noProof/>
              </w:rPr>
              <w:t>C14.I3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8EED0B" w14:textId="6F173890"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328A4AD" w14:textId="28F14E61" w:rsidR="006578ED" w:rsidRDefault="00A1618E">
            <w:pPr>
              <w:pStyle w:val="P68B1DB1-Normal46"/>
              <w:spacing w:after="0" w:line="240" w:lineRule="auto"/>
              <w:rPr>
                <w:rFonts w:eastAsia="Times New Roman" w:cs="Times New Roman"/>
                <w:noProof/>
              </w:rPr>
            </w:pPr>
            <w:r>
              <w:rPr>
                <w:noProof/>
              </w:rPr>
              <w:t>Beneficjenci w regionach pozamiejskich, którzy ukończyli projekty mające na celu poprawę konkurencyjności i zdolności przystosowania się do zmian na rynkach międzynarodowych</w:t>
            </w:r>
          </w:p>
        </w:tc>
      </w:tr>
      <w:tr w:rsidR="006578ED" w14:paraId="7CF46D8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A9E5A0" w14:textId="77777777" w:rsidR="006578ED" w:rsidRDefault="00A1618E">
            <w:pPr>
              <w:pStyle w:val="P68B1DB1-Normal46"/>
              <w:spacing w:after="0" w:line="240" w:lineRule="auto"/>
              <w:jc w:val="center"/>
              <w:rPr>
                <w:rFonts w:eastAsia="Times New Roman" w:cs="Times New Roman"/>
                <w:noProof/>
              </w:rPr>
            </w:pPr>
            <w:r>
              <w:rPr>
                <w:noProof/>
              </w:rPr>
              <w:t>226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6DAE7D1" w14:textId="77777777" w:rsidR="006578ED" w:rsidRDefault="00A1618E">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6FC1BB6" w14:textId="0019A36F"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0BFE657" w14:textId="77777777" w:rsidR="006578ED" w:rsidRDefault="00A1618E">
            <w:pPr>
              <w:pStyle w:val="P68B1DB1-Normal46"/>
              <w:spacing w:after="0" w:line="240" w:lineRule="auto"/>
              <w:rPr>
                <w:rFonts w:eastAsia="Times New Roman" w:cs="Times New Roman"/>
                <w:noProof/>
              </w:rPr>
            </w:pPr>
            <w:r>
              <w:rPr>
                <w:noProof/>
              </w:rPr>
              <w:t xml:space="preserve">Produkty turystyczne dostarczane zgodnie ze strategią turystyczną </w:t>
            </w:r>
          </w:p>
        </w:tc>
      </w:tr>
      <w:tr w:rsidR="006578ED" w14:paraId="6E47BC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1B7AD0" w14:textId="77777777" w:rsidR="006578ED" w:rsidRDefault="00A1618E">
            <w:pPr>
              <w:pStyle w:val="P68B1DB1-Normal46"/>
              <w:spacing w:after="0" w:line="240" w:lineRule="auto"/>
              <w:jc w:val="center"/>
              <w:rPr>
                <w:rFonts w:eastAsia="Times New Roman" w:cs="Times New Roman"/>
                <w:noProof/>
              </w:rPr>
            </w:pPr>
            <w:r>
              <w:rPr>
                <w:noProof/>
              </w:rPr>
              <w:t>227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434737" w14:textId="77777777" w:rsidR="006578ED" w:rsidRDefault="00A1618E">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FF806" w14:textId="79D04C43"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8AADF5D" w14:textId="77777777" w:rsidR="006578ED" w:rsidRDefault="00A1618E">
            <w:pPr>
              <w:pStyle w:val="P68B1DB1-Normal46"/>
              <w:spacing w:after="0" w:line="240" w:lineRule="auto"/>
              <w:rPr>
                <w:rFonts w:eastAsia="Times New Roman" w:cs="Times New Roman"/>
                <w:noProof/>
              </w:rPr>
            </w:pPr>
            <w:r>
              <w:rPr>
                <w:noProof/>
              </w:rPr>
              <w:t>Placówki turystyczne zmniejszają swoje roczne zużycie odpadów lub energii</w:t>
            </w:r>
          </w:p>
        </w:tc>
      </w:tr>
      <w:tr w:rsidR="006578ED" w14:paraId="00F702C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2642F4" w14:textId="77777777" w:rsidR="006578ED" w:rsidRDefault="00A1618E">
            <w:pPr>
              <w:pStyle w:val="P68B1DB1-Normal46"/>
              <w:spacing w:after="0" w:line="240" w:lineRule="auto"/>
              <w:jc w:val="center"/>
              <w:rPr>
                <w:rFonts w:eastAsia="Times New Roman" w:cs="Times New Roman"/>
                <w:noProof/>
              </w:rPr>
            </w:pPr>
            <w:r>
              <w:rPr>
                <w:noProof/>
              </w:rPr>
              <w:t>454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E37976" w14:textId="77777777" w:rsidR="006578ED" w:rsidRDefault="00A1618E">
            <w:pPr>
              <w:pStyle w:val="P68B1DB1-Normal46"/>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8B77026" w14:textId="612382F0"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5611D7" w14:textId="5F384F03" w:rsidR="006578ED" w:rsidRDefault="00A1618E">
            <w:pPr>
              <w:pStyle w:val="P68B1DB1-Normal46"/>
              <w:spacing w:after="0" w:line="240" w:lineRule="auto"/>
              <w:rPr>
                <w:rFonts w:eastAsia="Times New Roman" w:cs="Times New Roman"/>
                <w:noProof/>
              </w:rPr>
            </w:pPr>
            <w:r>
              <w:rPr>
                <w:noProof/>
              </w:rPr>
              <w:t>CZIP PERTE. Wzmocnienie potencjału naukowego, projektowania i innowacyjnej produkcji: nagroda</w:t>
            </w:r>
          </w:p>
        </w:tc>
      </w:tr>
      <w:tr w:rsidR="006578ED" w14:paraId="4F27E4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326370" w14:textId="77777777" w:rsidR="006578ED" w:rsidRDefault="00A1618E">
            <w:pPr>
              <w:pStyle w:val="P68B1DB1-Normal46"/>
              <w:spacing w:after="0" w:line="240" w:lineRule="auto"/>
              <w:jc w:val="center"/>
              <w:rPr>
                <w:rFonts w:eastAsia="Times New Roman" w:cs="Times New Roman"/>
                <w:noProof/>
              </w:rPr>
            </w:pPr>
            <w:r>
              <w:rPr>
                <w:noProof/>
              </w:rPr>
              <w:t>322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1D8B0D" w14:textId="77777777" w:rsidR="006578ED" w:rsidRDefault="00A1618E">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6C5C32" w14:textId="696A22E5"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19C859" w14:textId="03862CE7" w:rsidR="006578ED" w:rsidRDefault="00A1618E">
            <w:pPr>
              <w:pStyle w:val="P68B1DB1-Normal46"/>
              <w:spacing w:after="0" w:line="240" w:lineRule="auto"/>
              <w:rPr>
                <w:rFonts w:eastAsia="Times New Roman" w:cs="Times New Roman"/>
                <w:noProof/>
              </w:rPr>
            </w:pPr>
            <w:r>
              <w:rPr>
                <w:noProof/>
              </w:rPr>
              <w:t xml:space="preserve">Usługi teleopieki domowej w systemie autonomii i opieki nad osobami zależnymi (SAAD) </w:t>
            </w:r>
          </w:p>
        </w:tc>
      </w:tr>
      <w:tr w:rsidR="006578ED" w14:paraId="2BD085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2C51" w14:textId="77777777" w:rsidR="006578ED" w:rsidRDefault="00A1618E">
            <w:pPr>
              <w:pStyle w:val="P68B1DB1-Normal46"/>
              <w:spacing w:after="0" w:line="240" w:lineRule="auto"/>
              <w:jc w:val="center"/>
              <w:rPr>
                <w:rFonts w:eastAsia="Times New Roman" w:cs="Times New Roman"/>
                <w:noProof/>
              </w:rPr>
            </w:pPr>
            <w:r>
              <w:rPr>
                <w:noProof/>
              </w:rPr>
              <w:t>349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C0362" w14:textId="77777777" w:rsidR="006578ED" w:rsidRDefault="00A1618E">
            <w:pPr>
              <w:pStyle w:val="P68B1DB1-Normal46"/>
              <w:spacing w:after="0" w:line="240" w:lineRule="auto"/>
              <w:rPr>
                <w:rFonts w:eastAsia="Times New Roman" w:cs="Times New Roman"/>
                <w:noProof/>
              </w:rPr>
            </w:pPr>
            <w:r>
              <w:rPr>
                <w:noProof/>
              </w:rPr>
              <w:t>C23.I6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4A85EA" w14:textId="67C8F434"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9004E81" w14:textId="4A87240C" w:rsidR="006578ED" w:rsidRDefault="00A1618E">
            <w:pPr>
              <w:pStyle w:val="P68B1DB1-Normal46"/>
              <w:spacing w:after="0" w:line="240" w:lineRule="auto"/>
              <w:rPr>
                <w:rFonts w:eastAsia="Times New Roman" w:cs="Times New Roman"/>
                <w:noProof/>
              </w:rPr>
            </w:pPr>
            <w:r>
              <w:rPr>
                <w:noProof/>
              </w:rPr>
              <w:t>Zakończono projekty z zakresu gospodarki społecznej</w:t>
            </w:r>
          </w:p>
        </w:tc>
      </w:tr>
      <w:tr w:rsidR="006578ED" w14:paraId="26AB80C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96BE06" w14:textId="77777777" w:rsidR="006578ED" w:rsidRDefault="00A1618E">
            <w:pPr>
              <w:pStyle w:val="P68B1DB1-Normal46"/>
              <w:spacing w:after="0" w:line="240" w:lineRule="auto"/>
              <w:jc w:val="center"/>
              <w:rPr>
                <w:rFonts w:eastAsia="Times New Roman" w:cs="Times New Roman"/>
                <w:noProof/>
              </w:rPr>
            </w:pPr>
            <w:r>
              <w:rPr>
                <w:noProof/>
              </w:rPr>
              <w:t>481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04F154" w14:textId="77777777" w:rsidR="006578ED" w:rsidRDefault="00A1618E">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AAF4D1" w14:textId="68860C5C"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07EAC79" w14:textId="47091AED" w:rsidR="006578ED" w:rsidRDefault="00A1618E">
            <w:pPr>
              <w:pStyle w:val="P68B1DB1-Normal46"/>
              <w:spacing w:after="0" w:line="240" w:lineRule="auto"/>
              <w:rPr>
                <w:rFonts w:eastAsia="Times New Roman" w:cs="Times New Roman"/>
                <w:noProof/>
              </w:rPr>
            </w:pPr>
            <w:r>
              <w:rPr>
                <w:noProof/>
              </w:rPr>
              <w:t xml:space="preserve">System wsparcia dla wodoru odnawialnego: Umowy prawne podpisane z beneficjentami końcowymi lub opublikowane uchwały o ostatecznym przyznaniu dotacji (I) </w:t>
            </w:r>
          </w:p>
        </w:tc>
      </w:tr>
      <w:tr w:rsidR="006578ED" w14:paraId="3EAB09A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788F44" w14:textId="77777777" w:rsidR="006578ED" w:rsidRDefault="00A1618E">
            <w:pPr>
              <w:pStyle w:val="P68B1DB1-Normal46"/>
              <w:spacing w:after="0" w:line="240" w:lineRule="auto"/>
              <w:jc w:val="center"/>
              <w:rPr>
                <w:rFonts w:eastAsia="Times New Roman" w:cs="Times New Roman"/>
                <w:noProof/>
              </w:rPr>
            </w:pPr>
            <w:r>
              <w:rPr>
                <w:noProof/>
              </w:rPr>
              <w:t>485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1CDAED" w14:textId="77777777" w:rsidR="006578ED" w:rsidRDefault="00A1618E">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078AEA" w14:textId="1B022013"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692486" w14:textId="26CFC7AB" w:rsidR="006578ED" w:rsidRDefault="00A1618E">
            <w:pPr>
              <w:pStyle w:val="P68B1DB1-Normal46"/>
              <w:spacing w:after="0" w:line="240" w:lineRule="auto"/>
              <w:rPr>
                <w:rFonts w:eastAsia="Times New Roman" w:cs="Times New Roman"/>
                <w:noProof/>
              </w:rPr>
            </w:pPr>
            <w:r>
              <w:rPr>
                <w:noProof/>
              </w:rPr>
              <w:t>System wsparcia dla łańcucha wartości: Umowy prawne podpisane z beneficjentami końcowymi lub opublikowane uchwały o ostatecznym przyznaniu dotacji (I)</w:t>
            </w:r>
          </w:p>
        </w:tc>
      </w:tr>
      <w:tr w:rsidR="006578ED" w14:paraId="59EB80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EE2EAFE"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5DDAA8"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9A2458" w14:textId="5E36F691" w:rsidR="006578ED" w:rsidRDefault="00A1618E">
            <w:pPr>
              <w:pStyle w:val="P68B1DB1-Normal45"/>
              <w:spacing w:after="0" w:line="240" w:lineRule="auto"/>
              <w:rPr>
                <w:rFonts w:eastAsia="Times New Roman" w:cs="Times New Roman"/>
                <w:noProof/>
              </w:rPr>
            </w:pPr>
            <w:r>
              <w:rPr>
                <w:noProof/>
              </w:rPr>
              <w:t>Kwota raty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70F81F" w14:textId="4349DCD0" w:rsidR="006578ED" w:rsidRDefault="00A1618E">
            <w:pPr>
              <w:pStyle w:val="P68B1DB1-Normal45"/>
              <w:spacing w:after="0" w:line="240" w:lineRule="auto"/>
              <w:rPr>
                <w:rFonts w:eastAsia="Times New Roman" w:cs="Times New Roman"/>
                <w:noProof/>
              </w:rPr>
            </w:pPr>
            <w:r>
              <w:rPr>
                <w:noProof/>
              </w:rPr>
              <w:t>573 787 087 EUR</w:t>
            </w:r>
          </w:p>
        </w:tc>
      </w:tr>
    </w:tbl>
    <w:p w14:paraId="718EA2A7" w14:textId="77777777" w:rsidR="006578ED" w:rsidRDefault="006578ED">
      <w:pPr>
        <w:spacing w:before="120" w:after="120" w:line="240" w:lineRule="auto"/>
        <w:jc w:val="both"/>
        <w:rPr>
          <w:rFonts w:ascii="Times New Roman" w:eastAsia="Calibri" w:hAnsi="Times New Roman" w:cs="Times New Roman"/>
          <w:noProof/>
          <w:sz w:val="24"/>
        </w:rPr>
      </w:pPr>
    </w:p>
    <w:p w14:paraId="0802D0D7"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Dziewiąta transza (bezzwrotne wsparcie): </w:t>
      </w:r>
    </w:p>
    <w:tbl>
      <w:tblPr>
        <w:tblW w:w="9605" w:type="dxa"/>
        <w:tblInd w:w="113" w:type="dxa"/>
        <w:tblLook w:val="04A0" w:firstRow="1" w:lastRow="0" w:firstColumn="1" w:lastColumn="0" w:noHBand="0" w:noVBand="1"/>
      </w:tblPr>
      <w:tblGrid>
        <w:gridCol w:w="1300"/>
        <w:gridCol w:w="1443"/>
        <w:gridCol w:w="1561"/>
        <w:gridCol w:w="5612"/>
      </w:tblGrid>
      <w:tr w:rsidR="006578ED" w14:paraId="5CE0D0D8"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F12786F"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2A31A3C"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36323675"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12" w:type="dxa"/>
            <w:vMerge w:val="restart"/>
            <w:tcBorders>
              <w:top w:val="single" w:sz="4" w:space="0" w:color="auto"/>
              <w:left w:val="nil"/>
              <w:bottom w:val="single" w:sz="4" w:space="0" w:color="000000"/>
              <w:right w:val="single" w:sz="4" w:space="0" w:color="auto"/>
            </w:tcBorders>
            <w:shd w:val="clear" w:color="auto" w:fill="BDD7EE"/>
            <w:vAlign w:val="center"/>
            <w:hideMark/>
          </w:tcPr>
          <w:p w14:paraId="3F5FE4FF"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2D9C9877"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7B8CFE0"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480BA34F"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0184ECDD" w14:textId="77777777" w:rsidR="006578ED" w:rsidRDefault="006578ED">
            <w:pPr>
              <w:spacing w:after="0" w:line="240" w:lineRule="auto"/>
              <w:rPr>
                <w:rFonts w:ascii="Times New Roman" w:eastAsia="Times New Roman" w:hAnsi="Times New Roman" w:cs="Times New Roman"/>
                <w:b/>
                <w:noProof/>
                <w:sz w:val="20"/>
              </w:rPr>
            </w:pPr>
          </w:p>
        </w:tc>
        <w:tc>
          <w:tcPr>
            <w:tcW w:w="5612" w:type="dxa"/>
            <w:vMerge/>
            <w:tcBorders>
              <w:top w:val="single" w:sz="4" w:space="0" w:color="auto"/>
              <w:left w:val="nil"/>
              <w:bottom w:val="single" w:sz="4" w:space="0" w:color="000000"/>
              <w:right w:val="single" w:sz="4" w:space="0" w:color="auto"/>
            </w:tcBorders>
            <w:vAlign w:val="center"/>
            <w:hideMark/>
          </w:tcPr>
          <w:p w14:paraId="637F819F" w14:textId="77777777" w:rsidR="006578ED" w:rsidRDefault="006578ED">
            <w:pPr>
              <w:spacing w:after="0" w:line="240" w:lineRule="auto"/>
              <w:rPr>
                <w:rFonts w:ascii="Times New Roman" w:eastAsia="Times New Roman" w:hAnsi="Times New Roman" w:cs="Times New Roman"/>
                <w:b/>
                <w:noProof/>
                <w:sz w:val="20"/>
              </w:rPr>
            </w:pPr>
          </w:p>
        </w:tc>
      </w:tr>
      <w:tr w:rsidR="006578ED" w14:paraId="120AD8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91DB27" w14:textId="77777777" w:rsidR="006578ED" w:rsidRDefault="00A1618E">
            <w:pPr>
              <w:pStyle w:val="P68B1DB1-Normal46"/>
              <w:spacing w:after="0" w:line="240" w:lineRule="auto"/>
              <w:jc w:val="center"/>
              <w:rPr>
                <w:rFonts w:eastAsia="Times New Roman" w:cs="Times New Roman"/>
                <w:noProof/>
              </w:rPr>
            </w:pPr>
            <w:r>
              <w:rPr>
                <w:noProof/>
              </w:rPr>
              <w:t>417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9163C6" w14:textId="77777777" w:rsidR="006578ED" w:rsidRDefault="00A1618E">
            <w:pPr>
              <w:pStyle w:val="P68B1DB1-Normal46"/>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AD7F77" w14:textId="3925C99D"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FFDE96" w14:textId="2003F6C8" w:rsidR="006578ED" w:rsidRDefault="00A1618E">
            <w:pPr>
              <w:pStyle w:val="P68B1DB1-Normal46"/>
              <w:spacing w:after="0" w:line="240" w:lineRule="auto"/>
              <w:rPr>
                <w:rFonts w:eastAsia="Times New Roman" w:cs="Times New Roman"/>
                <w:noProof/>
              </w:rPr>
            </w:pPr>
            <w:r>
              <w:rPr>
                <w:noProof/>
              </w:rPr>
              <w:t xml:space="preserve">Opracowanie oprogramowania do realizacji analizy kosztów i korzyści dla inwestycji w infrastrukturę transportową </w:t>
            </w:r>
          </w:p>
        </w:tc>
      </w:tr>
      <w:tr w:rsidR="006578ED" w14:paraId="3C80F1F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6521A" w14:textId="77777777" w:rsidR="006578ED" w:rsidRDefault="00A1618E">
            <w:pPr>
              <w:pStyle w:val="P68B1DB1-Normal46"/>
              <w:spacing w:after="0" w:line="240" w:lineRule="auto"/>
              <w:jc w:val="center"/>
              <w:rPr>
                <w:rFonts w:eastAsia="Times New Roman" w:cs="Times New Roman"/>
                <w:noProof/>
              </w:rPr>
            </w:pPr>
            <w:r>
              <w:rPr>
                <w:noProof/>
              </w:rPr>
              <w:t>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38719C" w14:textId="77777777" w:rsidR="006578ED" w:rsidRDefault="00A1618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6B3010" w14:textId="23881E2D"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81F86BF" w14:textId="136BDA6C" w:rsidR="006578ED" w:rsidRDefault="00A1618E">
            <w:pPr>
              <w:pStyle w:val="P68B1DB1-Normal46"/>
              <w:spacing w:after="0" w:line="240" w:lineRule="auto"/>
              <w:rPr>
                <w:rFonts w:eastAsia="Times New Roman" w:cs="Times New Roman"/>
                <w:noProof/>
              </w:rPr>
            </w:pPr>
            <w:r>
              <w:rPr>
                <w:noProof/>
              </w:rPr>
              <w:t>Ukończone projekty promujące zrównoważoną mobilność, w tym na obszarach miejskich i metropolitalnych</w:t>
            </w:r>
          </w:p>
        </w:tc>
      </w:tr>
      <w:tr w:rsidR="006578ED" w14:paraId="443B56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CEF532" w14:textId="77777777" w:rsidR="006578ED" w:rsidRDefault="00A1618E">
            <w:pPr>
              <w:pStyle w:val="P68B1DB1-Normal46"/>
              <w:spacing w:after="0" w:line="240" w:lineRule="auto"/>
              <w:jc w:val="center"/>
              <w:rPr>
                <w:rFonts w:eastAsia="Times New Roman" w:cs="Times New Roman"/>
                <w:noProof/>
              </w:rPr>
            </w:pPr>
            <w:r>
              <w:rPr>
                <w:noProof/>
              </w:rPr>
              <w:t>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A14F56" w14:textId="77777777" w:rsidR="006578ED" w:rsidRDefault="00A1618E">
            <w:pPr>
              <w:pStyle w:val="P68B1DB1-Normal46"/>
              <w:spacing w:after="0" w:line="240" w:lineRule="auto"/>
              <w:rPr>
                <w:rFonts w:eastAsia="Times New Roman" w:cs="Times New Roman"/>
                <w:noProof/>
              </w:rPr>
            </w:pPr>
            <w:r>
              <w:rPr>
                <w:noProof/>
              </w:rPr>
              <w:t>C1.I1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6D7DB7" w14:textId="27A576B1"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97CCFC3" w14:textId="0265D55C" w:rsidR="006578ED" w:rsidRDefault="00A1618E">
            <w:pPr>
              <w:pStyle w:val="P68B1DB1-Normal46"/>
              <w:spacing w:after="0" w:line="240" w:lineRule="auto"/>
              <w:rPr>
                <w:rFonts w:eastAsia="Times New Roman" w:cs="Times New Roman"/>
                <w:noProof/>
              </w:rPr>
            </w:pPr>
            <w:r>
              <w:rPr>
                <w:noProof/>
              </w:rPr>
              <w:t>Poprawa dróg państwowych na obszarach miejskich w celu promowania nowych form mobilności</w:t>
            </w:r>
          </w:p>
        </w:tc>
      </w:tr>
      <w:tr w:rsidR="006578ED" w14:paraId="79C6A18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70D8FD" w14:textId="77777777" w:rsidR="006578ED" w:rsidRDefault="00A1618E">
            <w:pPr>
              <w:pStyle w:val="P68B1DB1-Normal46"/>
              <w:spacing w:after="0" w:line="240" w:lineRule="auto"/>
              <w:jc w:val="center"/>
              <w:rPr>
                <w:rFonts w:eastAsia="Times New Roman" w:cs="Times New Roman"/>
                <w:noProof/>
              </w:rPr>
            </w:pPr>
            <w:r>
              <w:rPr>
                <w:noProof/>
              </w:rPr>
              <w:t>419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413FE0" w14:textId="77777777" w:rsidR="006578ED" w:rsidRDefault="00A1618E">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3C1F4F" w14:textId="3184C24B"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A89F69C" w14:textId="2A3B7341" w:rsidR="006578ED" w:rsidRDefault="00A1618E">
            <w:pPr>
              <w:pStyle w:val="P68B1DB1-Normal46"/>
              <w:spacing w:after="0" w:line="240" w:lineRule="auto"/>
              <w:rPr>
                <w:rFonts w:eastAsia="Times New Roman" w:cs="Times New Roman"/>
                <w:noProof/>
              </w:rPr>
            </w:pPr>
            <w:r>
              <w:rPr>
                <w:noProof/>
              </w:rPr>
              <w:t>Zainstalowane pojazdy elektryczne i punkty ładowania</w:t>
            </w:r>
          </w:p>
        </w:tc>
      </w:tr>
      <w:tr w:rsidR="006578ED" w14:paraId="54C957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E9BBE" w14:textId="77777777" w:rsidR="006578ED" w:rsidRDefault="00A1618E">
            <w:pPr>
              <w:pStyle w:val="P68B1DB1-Normal46"/>
              <w:spacing w:after="0" w:line="240" w:lineRule="auto"/>
              <w:jc w:val="center"/>
              <w:rPr>
                <w:rFonts w:eastAsia="Times New Roman" w:cs="Times New Roman"/>
                <w:noProof/>
              </w:rPr>
            </w:pPr>
            <w:r>
              <w:rPr>
                <w:noProof/>
              </w:rPr>
              <w:t>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B19A5C3" w14:textId="77777777" w:rsidR="006578ED" w:rsidRDefault="00A1618E">
            <w:pPr>
              <w:pStyle w:val="P68B1DB1-Normal46"/>
              <w:spacing w:after="0" w:line="240" w:lineRule="auto"/>
              <w:rPr>
                <w:rFonts w:eastAsia="Times New Roman" w:cs="Times New Roman"/>
                <w:noProof/>
              </w:rPr>
            </w:pPr>
            <w:r>
              <w:rPr>
                <w:noProof/>
              </w:rPr>
              <w:t>C1.I2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F8E63B" w14:textId="49822635"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4A54EB6" w14:textId="77777777" w:rsidR="006578ED" w:rsidRDefault="00A1618E">
            <w:pPr>
              <w:pStyle w:val="P68B1DB1-Normal46"/>
              <w:spacing w:after="0" w:line="240" w:lineRule="auto"/>
              <w:rPr>
                <w:rFonts w:eastAsia="Times New Roman" w:cs="Times New Roman"/>
                <w:noProof/>
              </w:rPr>
            </w:pPr>
            <w:r>
              <w:rPr>
                <w:noProof/>
              </w:rPr>
              <w:t>Zakończenie innowacyjnych projektów promujących elektromobilność</w:t>
            </w:r>
          </w:p>
        </w:tc>
      </w:tr>
      <w:tr w:rsidR="006578ED" w14:paraId="156FB5E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2D1E50" w14:textId="77777777" w:rsidR="006578ED" w:rsidRDefault="00A1618E">
            <w:pPr>
              <w:pStyle w:val="P68B1DB1-Normal46"/>
              <w:spacing w:after="0" w:line="240" w:lineRule="auto"/>
              <w:jc w:val="center"/>
              <w:rPr>
                <w:rFonts w:eastAsia="Times New Roman" w:cs="Times New Roman"/>
                <w:noProof/>
              </w:rPr>
            </w:pPr>
            <w:r>
              <w:rPr>
                <w:noProof/>
              </w:rPr>
              <w:t>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F0B1BD" w14:textId="77777777" w:rsidR="006578ED" w:rsidRDefault="00A1618E">
            <w:pPr>
              <w:pStyle w:val="P68B1DB1-Normal46"/>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DF6EDC" w14:textId="6CA5DFBF"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EACC78A" w14:textId="77777777" w:rsidR="006578ED" w:rsidRDefault="00A1618E">
            <w:pPr>
              <w:pStyle w:val="P68B1DB1-Normal46"/>
              <w:spacing w:after="0" w:line="240" w:lineRule="auto"/>
              <w:rPr>
                <w:rFonts w:eastAsia="Times New Roman" w:cs="Times New Roman"/>
                <w:noProof/>
              </w:rPr>
            </w:pPr>
            <w:r>
              <w:rPr>
                <w:noProof/>
              </w:rPr>
              <w:t xml:space="preserve">Morskie obszary chronione </w:t>
            </w:r>
          </w:p>
        </w:tc>
      </w:tr>
      <w:tr w:rsidR="006578ED" w14:paraId="265823B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9A21E4E" w14:textId="77777777" w:rsidR="006578ED" w:rsidRDefault="00A1618E">
            <w:pPr>
              <w:pStyle w:val="P68B1DB1-Normal46"/>
              <w:spacing w:after="0" w:line="240" w:lineRule="auto"/>
              <w:jc w:val="center"/>
              <w:rPr>
                <w:rFonts w:eastAsia="Times New Roman" w:cs="Times New Roman"/>
                <w:noProof/>
              </w:rPr>
            </w:pPr>
            <w:r>
              <w:rPr>
                <w:noProof/>
              </w:rPr>
              <w:t>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7189CD" w14:textId="77777777" w:rsidR="006578ED" w:rsidRDefault="00A1618E">
            <w:pPr>
              <w:pStyle w:val="P68B1DB1-Normal46"/>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C053DE" w14:textId="196FEBA5"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65E2FAF" w14:textId="3C5EA4DF" w:rsidR="006578ED" w:rsidRDefault="00A1618E">
            <w:pPr>
              <w:pStyle w:val="P68B1DB1-Normal46"/>
              <w:spacing w:after="0" w:line="240" w:lineRule="auto"/>
              <w:rPr>
                <w:rFonts w:eastAsia="Times New Roman" w:cs="Times New Roman"/>
                <w:noProof/>
              </w:rPr>
            </w:pPr>
            <w:r>
              <w:rPr>
                <w:noProof/>
              </w:rPr>
              <w:t xml:space="preserve">Działania w zakresie odbudowy ekosystemów </w:t>
            </w:r>
          </w:p>
        </w:tc>
      </w:tr>
      <w:tr w:rsidR="006578ED" w14:paraId="70D7F4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5F06D6" w14:textId="75E6CD12" w:rsidR="006578ED" w:rsidRDefault="00A1618E">
            <w:pPr>
              <w:pStyle w:val="P68B1DB1-Normal46"/>
              <w:spacing w:after="0" w:line="240" w:lineRule="auto"/>
              <w:jc w:val="center"/>
              <w:rPr>
                <w:rFonts w:eastAsia="Times New Roman" w:cs="Times New Roman"/>
                <w:noProof/>
              </w:rPr>
            </w:pPr>
            <w:r>
              <w:rPr>
                <w:noProof/>
              </w:rPr>
              <w:t>81b</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E961409" w14:textId="77777777" w:rsidR="006578ED" w:rsidRDefault="00A1618E">
            <w:pPr>
              <w:pStyle w:val="P68B1DB1-Normal46"/>
              <w:spacing w:after="0" w:line="240" w:lineRule="auto"/>
              <w:rPr>
                <w:rFonts w:eastAsia="Times New Roman" w:cs="Times New Roman"/>
                <w:noProof/>
              </w:rPr>
            </w:pPr>
            <w:r>
              <w:rPr>
                <w:noProof/>
              </w:rPr>
              <w:t>C5.I4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8B8460" w14:textId="335DE904"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207F3" w14:textId="7CEEC058" w:rsidR="006578ED" w:rsidRDefault="00A1618E">
            <w:pPr>
              <w:pStyle w:val="P68B1DB1-Normal46"/>
              <w:spacing w:after="0" w:line="240" w:lineRule="auto"/>
              <w:rPr>
                <w:rFonts w:eastAsia="Times New Roman" w:cs="Times New Roman"/>
                <w:noProof/>
              </w:rPr>
            </w:pPr>
            <w:r>
              <w:rPr>
                <w:noProof/>
              </w:rPr>
              <w:t>Odbudowa zdegradowanych obszarów i ekosystemów w odległości co najmniej 145 kilometrów linii brzegowej</w:t>
            </w:r>
          </w:p>
        </w:tc>
      </w:tr>
      <w:tr w:rsidR="006578ED" w14:paraId="5845764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CBE30A" w14:textId="77777777" w:rsidR="006578ED" w:rsidRDefault="00A1618E">
            <w:pPr>
              <w:pStyle w:val="P68B1DB1-Normal46"/>
              <w:spacing w:after="0" w:line="240" w:lineRule="auto"/>
              <w:jc w:val="center"/>
              <w:rPr>
                <w:rFonts w:eastAsia="Times New Roman" w:cs="Times New Roman"/>
                <w:noProof/>
              </w:rPr>
            </w:pPr>
            <w:r>
              <w:rPr>
                <w:noProof/>
              </w:rPr>
              <w:t>119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D1B8F2" w14:textId="77777777" w:rsidR="006578ED" w:rsidRDefault="00A1618E">
            <w:pPr>
              <w:pStyle w:val="P68B1DB1-Normal46"/>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0EC3D" w14:textId="28224AEE"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163AF36" w14:textId="77777777" w:rsidR="006578ED" w:rsidRDefault="00A1618E">
            <w:pPr>
              <w:pStyle w:val="P68B1DB1-Normal46"/>
              <w:spacing w:after="0" w:line="240" w:lineRule="auto"/>
              <w:rPr>
                <w:rFonts w:eastAsia="Times New Roman" w:cs="Times New Roman"/>
                <w:noProof/>
              </w:rPr>
            </w:pPr>
            <w:r>
              <w:rPr>
                <w:noProof/>
              </w:rPr>
              <w:t>Zakończenie projektów wspierających transformację energetyczną na wyspach</w:t>
            </w:r>
          </w:p>
        </w:tc>
      </w:tr>
      <w:tr w:rsidR="006578ED" w14:paraId="6C041C0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BD8069D" w14:textId="77777777" w:rsidR="006578ED" w:rsidRDefault="00A1618E">
            <w:pPr>
              <w:pStyle w:val="P68B1DB1-Normal46"/>
              <w:spacing w:after="0" w:line="240" w:lineRule="auto"/>
              <w:jc w:val="center"/>
              <w:rPr>
                <w:rFonts w:eastAsia="Times New Roman" w:cs="Times New Roman"/>
                <w:noProof/>
              </w:rPr>
            </w:pPr>
            <w:r>
              <w:rPr>
                <w:noProof/>
              </w:rPr>
              <w:t>141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82C067" w14:textId="77777777" w:rsidR="006578ED" w:rsidRDefault="00A1618E">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1C0391" w14:textId="57199EE4"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5C1847B" w14:textId="3E547139" w:rsidR="006578ED" w:rsidRDefault="00A1618E">
            <w:pPr>
              <w:pStyle w:val="P68B1DB1-Normal46"/>
              <w:spacing w:after="0" w:line="240" w:lineRule="auto"/>
              <w:rPr>
                <w:rFonts w:eastAsia="Times New Roman" w:cs="Times New Roman"/>
                <w:noProof/>
              </w:rPr>
            </w:pPr>
            <w:r>
              <w:rPr>
                <w:noProof/>
              </w:rPr>
              <w:t xml:space="preserve">Pomoc w poszukiwaniu pracy i przekwalifikowanie osób bezrobotnych </w:t>
            </w:r>
          </w:p>
        </w:tc>
      </w:tr>
      <w:tr w:rsidR="006578ED" w14:paraId="53B761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B32A7A" w14:textId="77777777" w:rsidR="006578ED" w:rsidRDefault="00A1618E">
            <w:pPr>
              <w:pStyle w:val="P68B1DB1-Normal46"/>
              <w:spacing w:after="0" w:line="240" w:lineRule="auto"/>
              <w:jc w:val="center"/>
              <w:rPr>
                <w:rFonts w:eastAsia="Times New Roman" w:cs="Times New Roman"/>
                <w:noProof/>
              </w:rPr>
            </w:pPr>
            <w:r>
              <w:rPr>
                <w:noProof/>
              </w:rPr>
              <w:t>142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17B8A" w14:textId="77777777" w:rsidR="006578ED" w:rsidRDefault="00A1618E">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9D224A" w14:textId="15D2786E"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B3963D3" w14:textId="1A21032E" w:rsidR="006578ED" w:rsidRDefault="00A1618E">
            <w:pPr>
              <w:pStyle w:val="P68B1DB1-Normal46"/>
              <w:spacing w:after="0" w:line="240" w:lineRule="auto"/>
              <w:rPr>
                <w:rFonts w:eastAsia="Times New Roman" w:cs="Times New Roman"/>
                <w:noProof/>
              </w:rPr>
            </w:pPr>
            <w:r>
              <w:rPr>
                <w:noProof/>
              </w:rPr>
              <w:t>Projekty inwestycyjne mające na celu dostosowanie zakładów przemysłowych do ekologicznego wodoru i magazynowania energii.</w:t>
            </w:r>
          </w:p>
        </w:tc>
      </w:tr>
      <w:tr w:rsidR="006578ED" w14:paraId="3F6618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D265E80" w14:textId="77777777" w:rsidR="006578ED" w:rsidRDefault="00A1618E">
            <w:pPr>
              <w:pStyle w:val="P68B1DB1-Normal46"/>
              <w:spacing w:after="0" w:line="240" w:lineRule="auto"/>
              <w:jc w:val="center"/>
              <w:rPr>
                <w:rFonts w:eastAsia="Times New Roman" w:cs="Times New Roman"/>
                <w:noProof/>
              </w:rPr>
            </w:pPr>
            <w:r>
              <w:rPr>
                <w:noProof/>
              </w:rPr>
              <w:t>162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042D25" w14:textId="77777777" w:rsidR="006578ED" w:rsidRDefault="00A1618E">
            <w:pPr>
              <w:pStyle w:val="P68B1DB1-Normal46"/>
              <w:spacing w:after="0" w:line="240" w:lineRule="auto"/>
              <w:rPr>
                <w:rFonts w:eastAsia="Times New Roman" w:cs="Times New Roman"/>
                <w:noProof/>
              </w:rPr>
            </w:pPr>
            <w:r>
              <w:rPr>
                <w:noProof/>
              </w:rPr>
              <w:t>C11.I1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449359" w14:textId="744D7606"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D58BEE" w14:textId="77777777" w:rsidR="006578ED" w:rsidRDefault="00A1618E">
            <w:pPr>
              <w:pStyle w:val="P68B1DB1-Normal46"/>
              <w:spacing w:after="0" w:line="240" w:lineRule="auto"/>
              <w:rPr>
                <w:rFonts w:eastAsia="Times New Roman" w:cs="Times New Roman"/>
                <w:noProof/>
              </w:rPr>
            </w:pPr>
            <w:r>
              <w:rPr>
                <w:noProof/>
              </w:rPr>
              <w:t>Zakończenie projektów wspierających transformację cyfrową Centralnej Administracji Publicznej</w:t>
            </w:r>
          </w:p>
        </w:tc>
      </w:tr>
      <w:tr w:rsidR="006578ED" w14:paraId="1B35F4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B5AED2" w14:textId="77777777" w:rsidR="006578ED" w:rsidRDefault="00A1618E">
            <w:pPr>
              <w:pStyle w:val="P68B1DB1-Normal46"/>
              <w:spacing w:after="0" w:line="240" w:lineRule="auto"/>
              <w:jc w:val="center"/>
              <w:rPr>
                <w:rFonts w:eastAsia="Times New Roman" w:cs="Times New Roman"/>
                <w:noProof/>
              </w:rPr>
            </w:pPr>
            <w:r>
              <w:rPr>
                <w:noProof/>
              </w:rPr>
              <w:t>166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00910C" w14:textId="77777777" w:rsidR="006578ED" w:rsidRDefault="00A1618E">
            <w:pPr>
              <w:pStyle w:val="P68B1DB1-Normal46"/>
              <w:spacing w:after="0" w:line="240" w:lineRule="auto"/>
              <w:rPr>
                <w:rFonts w:eastAsia="Times New Roman" w:cs="Times New Roman"/>
                <w:noProof/>
              </w:rPr>
            </w:pPr>
            <w:r>
              <w:rPr>
                <w:noProof/>
              </w:rPr>
              <w:t>C11.I2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C93C46" w14:textId="07B7D252"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21A04C5" w14:textId="1C414408" w:rsidR="006578ED" w:rsidRDefault="00A1618E">
            <w:pPr>
              <w:pStyle w:val="P68B1DB1-Normal46"/>
              <w:spacing w:after="0" w:line="240" w:lineRule="auto"/>
              <w:rPr>
                <w:rFonts w:eastAsia="Times New Roman" w:cs="Times New Roman"/>
                <w:noProof/>
              </w:rPr>
            </w:pPr>
            <w:r>
              <w:rPr>
                <w:noProof/>
              </w:rPr>
              <w:t>Zakończenie projektów wspierających projekty Centralnej Administracji Publicznej związane z cyfryzacją</w:t>
            </w:r>
          </w:p>
        </w:tc>
      </w:tr>
      <w:tr w:rsidR="006578ED" w14:paraId="0C2A75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CD58C" w14:textId="77777777" w:rsidR="006578ED" w:rsidRDefault="00A1618E">
            <w:pPr>
              <w:pStyle w:val="P68B1DB1-Normal46"/>
              <w:spacing w:after="0" w:line="240" w:lineRule="auto"/>
              <w:jc w:val="center"/>
              <w:rPr>
                <w:rFonts w:eastAsia="Times New Roman" w:cs="Times New Roman"/>
                <w:noProof/>
              </w:rPr>
            </w:pPr>
            <w:r>
              <w:rPr>
                <w:noProof/>
              </w:rPr>
              <w:t>441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C9516C" w14:textId="77777777" w:rsidR="006578ED" w:rsidRDefault="00A1618E">
            <w:pPr>
              <w:pStyle w:val="P68B1DB1-Normal46"/>
              <w:spacing w:after="0" w:line="240" w:lineRule="auto"/>
              <w:rPr>
                <w:rFonts w:eastAsia="Times New Roman" w:cs="Times New Roman"/>
                <w:noProof/>
              </w:rPr>
            </w:pPr>
            <w:r>
              <w:rPr>
                <w:noProof/>
              </w:rPr>
              <w:t>C12.R2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575ED" w14:textId="1D6CDDFD"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4C9C8D5" w14:textId="5AD52EE3" w:rsidR="006578ED" w:rsidRDefault="00A1618E">
            <w:pPr>
              <w:pStyle w:val="P68B1DB1-Normal46"/>
              <w:spacing w:after="0" w:line="240" w:lineRule="auto"/>
              <w:rPr>
                <w:rFonts w:eastAsia="Times New Roman" w:cs="Times New Roman"/>
                <w:noProof/>
              </w:rPr>
            </w:pPr>
            <w:r>
              <w:rPr>
                <w:noProof/>
              </w:rPr>
              <w:t>Wejście w życie aktów stanowiących część drugiego pakietu dotyczącego gospodarki o obiegu zamkniętym</w:t>
            </w:r>
          </w:p>
        </w:tc>
      </w:tr>
      <w:tr w:rsidR="006578ED" w14:paraId="2673601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D7C191" w14:textId="77777777" w:rsidR="006578ED" w:rsidRDefault="00A1618E">
            <w:pPr>
              <w:pStyle w:val="P68B1DB1-Normal46"/>
              <w:spacing w:after="0" w:line="240" w:lineRule="auto"/>
              <w:jc w:val="center"/>
              <w:rPr>
                <w:rFonts w:eastAsia="Times New Roman" w:cs="Times New Roman"/>
                <w:noProof/>
              </w:rPr>
            </w:pPr>
            <w:r>
              <w:rPr>
                <w:noProof/>
              </w:rPr>
              <w:t>447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9AA79" w14:textId="77777777" w:rsidR="006578ED" w:rsidRDefault="00A1618E">
            <w:pPr>
              <w:pStyle w:val="P68B1DB1-Normal46"/>
              <w:spacing w:after="0" w:line="240" w:lineRule="auto"/>
              <w:rPr>
                <w:rFonts w:eastAsia="Times New Roman" w:cs="Times New Roman"/>
                <w:noProof/>
              </w:rPr>
            </w:pPr>
            <w:r>
              <w:rPr>
                <w:noProof/>
              </w:rPr>
              <w:t>C12.I5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DB2C8" w14:textId="0026F331"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5407FCB" w14:textId="15F453C1" w:rsidR="006578ED" w:rsidRDefault="00A1618E">
            <w:pPr>
              <w:pStyle w:val="P68B1DB1-Normal46"/>
              <w:spacing w:after="0" w:line="240" w:lineRule="auto"/>
              <w:rPr>
                <w:rFonts w:eastAsia="Times New Roman" w:cs="Times New Roman"/>
                <w:noProof/>
              </w:rPr>
            </w:pPr>
            <w:r>
              <w:rPr>
                <w:noProof/>
              </w:rPr>
              <w:t>Program dotacji wspierający gospodarkę o obiegu zamkniętym: Umowy prawne podpisane z beneficjentami końcowymi lub opublikowane uchwały o ostatecznym przyznaniu dotacji</w:t>
            </w:r>
          </w:p>
        </w:tc>
      </w:tr>
      <w:tr w:rsidR="006578ED" w14:paraId="6DD2677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3B42C7" w14:textId="77777777" w:rsidR="006578ED" w:rsidRDefault="00A1618E">
            <w:pPr>
              <w:pStyle w:val="P68B1DB1-Normal46"/>
              <w:spacing w:after="0" w:line="240" w:lineRule="auto"/>
              <w:jc w:val="center"/>
              <w:rPr>
                <w:rFonts w:eastAsia="Times New Roman" w:cs="Times New Roman"/>
                <w:noProof/>
              </w:rPr>
            </w:pPr>
            <w:r>
              <w:rPr>
                <w:noProof/>
              </w:rPr>
              <w:t>449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7DAB02" w14:textId="77777777" w:rsidR="006578ED" w:rsidRDefault="00A1618E">
            <w:pPr>
              <w:pStyle w:val="P68B1DB1-Normal46"/>
              <w:spacing w:after="0" w:line="240" w:lineRule="auto"/>
              <w:rPr>
                <w:rFonts w:eastAsia="Times New Roman" w:cs="Times New Roman"/>
                <w:noProof/>
              </w:rPr>
            </w:pPr>
            <w:r>
              <w:rPr>
                <w:noProof/>
              </w:rPr>
              <w:t>C13.R1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60F9F" w14:textId="5D9D080E"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461FA76" w14:textId="46BCF67A" w:rsidR="006578ED" w:rsidRDefault="00A1618E">
            <w:pPr>
              <w:pStyle w:val="P68B1DB1-Normal46"/>
              <w:spacing w:after="0" w:line="240" w:lineRule="auto"/>
              <w:rPr>
                <w:rFonts w:eastAsia="Times New Roman" w:cs="Times New Roman"/>
                <w:noProof/>
              </w:rPr>
            </w:pPr>
            <w:r>
              <w:rPr>
                <w:noProof/>
              </w:rPr>
              <w:t>Wejście w życie zmian do ustawy o ochronie konkurencji i jej rozporządzeń</w:t>
            </w:r>
          </w:p>
        </w:tc>
      </w:tr>
      <w:tr w:rsidR="006578ED" w14:paraId="3D9270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D74D84" w14:textId="77777777" w:rsidR="006578ED" w:rsidRDefault="00A1618E">
            <w:pPr>
              <w:pStyle w:val="P68B1DB1-Normal46"/>
              <w:spacing w:after="0" w:line="240" w:lineRule="auto"/>
              <w:jc w:val="center"/>
              <w:rPr>
                <w:rFonts w:eastAsia="Times New Roman" w:cs="Times New Roman"/>
                <w:noProof/>
              </w:rPr>
            </w:pPr>
            <w:r>
              <w:rPr>
                <w:noProof/>
              </w:rPr>
              <w:t>208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C59758" w14:textId="77777777" w:rsidR="006578ED" w:rsidRDefault="00A1618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4BF55E" w14:textId="6C9D1C42"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D10EE4A" w14:textId="77777777" w:rsidR="006578ED" w:rsidRDefault="00A1618E">
            <w:pPr>
              <w:pStyle w:val="P68B1DB1-Normal46"/>
              <w:spacing w:after="0" w:line="240" w:lineRule="auto"/>
              <w:rPr>
                <w:rFonts w:eastAsia="Times New Roman" w:cs="Times New Roman"/>
                <w:noProof/>
              </w:rPr>
            </w:pPr>
            <w:r>
              <w:rPr>
                <w:noProof/>
              </w:rPr>
              <w:t>Zakończenie programu narzędzi cyfrowych</w:t>
            </w:r>
          </w:p>
        </w:tc>
      </w:tr>
      <w:tr w:rsidR="006578ED" w14:paraId="240FCA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E8A89B" w14:textId="77777777" w:rsidR="006578ED" w:rsidRDefault="00A1618E">
            <w:pPr>
              <w:pStyle w:val="P68B1DB1-Normal46"/>
              <w:spacing w:after="0" w:line="240" w:lineRule="auto"/>
              <w:jc w:val="center"/>
              <w:rPr>
                <w:rFonts w:eastAsia="Times New Roman" w:cs="Times New Roman"/>
                <w:noProof/>
              </w:rPr>
            </w:pPr>
            <w:r>
              <w:rPr>
                <w:noProof/>
              </w:rPr>
              <w:t>209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910FC" w14:textId="77777777" w:rsidR="006578ED" w:rsidRDefault="00A1618E">
            <w:pPr>
              <w:pStyle w:val="P68B1DB1-Normal46"/>
              <w:spacing w:after="0" w:line="240" w:lineRule="auto"/>
              <w:rPr>
                <w:rFonts w:eastAsia="Times New Roman" w:cs="Times New Roman"/>
                <w:noProof/>
              </w:rPr>
            </w:pPr>
            <w:r>
              <w:rPr>
                <w:noProof/>
              </w:rPr>
              <w:t>C13.I3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02D62BF" w14:textId="03CFFBA9"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8321301" w14:textId="77777777" w:rsidR="006578ED" w:rsidRDefault="00A1618E">
            <w:pPr>
              <w:pStyle w:val="P68B1DB1-Normal46"/>
              <w:spacing w:after="0" w:line="240" w:lineRule="auto"/>
              <w:rPr>
                <w:rFonts w:eastAsia="Times New Roman" w:cs="Times New Roman"/>
                <w:noProof/>
              </w:rPr>
            </w:pPr>
            <w:r>
              <w:rPr>
                <w:noProof/>
              </w:rPr>
              <w:t>MŚP, które zakończyły działania mające na celu zwiększenie wykorzystania technologii cyfrowych (z wyłączeniem zestawu narzędzi cyfrowych)</w:t>
            </w:r>
          </w:p>
        </w:tc>
      </w:tr>
      <w:tr w:rsidR="006578ED" w14:paraId="0C39C88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CA39BF" w14:textId="77777777" w:rsidR="006578ED" w:rsidRDefault="00A1618E">
            <w:pPr>
              <w:pStyle w:val="P68B1DB1-Normal46"/>
              <w:spacing w:after="0" w:line="240" w:lineRule="auto"/>
              <w:jc w:val="center"/>
              <w:rPr>
                <w:rFonts w:eastAsia="Times New Roman" w:cs="Times New Roman"/>
                <w:noProof/>
              </w:rPr>
            </w:pPr>
            <w:r>
              <w:rPr>
                <w:noProof/>
              </w:rPr>
              <w:t>237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515FB20" w14:textId="77777777" w:rsidR="006578ED" w:rsidRDefault="00A1618E">
            <w:pPr>
              <w:pStyle w:val="P68B1DB1-Normal46"/>
              <w:spacing w:after="0" w:line="240" w:lineRule="auto"/>
              <w:rPr>
                <w:rFonts w:eastAsia="Times New Roman" w:cs="Times New Roman"/>
                <w:noProof/>
              </w:rPr>
            </w:pPr>
            <w:r>
              <w:rPr>
                <w:noProof/>
              </w:rPr>
              <w:t>C15.I1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74FD0F0" w14:textId="12D3D8B3"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C0F90FB" w14:textId="77777777" w:rsidR="006578ED" w:rsidRDefault="00A1618E">
            <w:pPr>
              <w:pStyle w:val="P68B1DB1-Normal46"/>
              <w:spacing w:after="0" w:line="240" w:lineRule="auto"/>
              <w:rPr>
                <w:rFonts w:eastAsia="Times New Roman" w:cs="Times New Roman"/>
                <w:noProof/>
              </w:rPr>
            </w:pPr>
            <w:r>
              <w:rPr>
                <w:noProof/>
              </w:rPr>
              <w:t>Rozwój ultraszybkich sieci szerokopasmowych: Zakończenie projektu</w:t>
            </w:r>
          </w:p>
        </w:tc>
      </w:tr>
      <w:tr w:rsidR="006578ED" w14:paraId="1112D7B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CE8044" w14:textId="77777777" w:rsidR="006578ED" w:rsidRDefault="00A1618E">
            <w:pPr>
              <w:pStyle w:val="P68B1DB1-Normal46"/>
              <w:spacing w:after="0" w:line="240" w:lineRule="auto"/>
              <w:jc w:val="center"/>
              <w:rPr>
                <w:rFonts w:eastAsia="Times New Roman" w:cs="Times New Roman"/>
                <w:noProof/>
              </w:rPr>
            </w:pPr>
            <w:r>
              <w:rPr>
                <w:noProof/>
              </w:rPr>
              <w:t>281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1B8466" w14:textId="77777777" w:rsidR="006578ED" w:rsidRDefault="00A1618E">
            <w:pPr>
              <w:pStyle w:val="P68B1DB1-Normal46"/>
              <w:spacing w:after="0" w:line="240" w:lineRule="auto"/>
              <w:rPr>
                <w:rFonts w:eastAsia="Times New Roman" w:cs="Times New Roman"/>
                <w:noProof/>
              </w:rPr>
            </w:pPr>
            <w:r>
              <w:rPr>
                <w:noProof/>
              </w:rPr>
              <w:t>C18.I3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B312C6" w14:textId="2C8B73C7"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2E407FA" w14:textId="77777777" w:rsidR="006578ED" w:rsidRDefault="00A1618E">
            <w:pPr>
              <w:pStyle w:val="P68B1DB1-Normal46"/>
              <w:spacing w:after="0" w:line="240" w:lineRule="auto"/>
              <w:rPr>
                <w:rFonts w:eastAsia="Times New Roman" w:cs="Times New Roman"/>
                <w:noProof/>
              </w:rPr>
            </w:pPr>
            <w:r>
              <w:rPr>
                <w:noProof/>
              </w:rPr>
              <w:t>System informacyjny sieci nadzoru zdrowia publicznego</w:t>
            </w:r>
          </w:p>
        </w:tc>
      </w:tr>
      <w:tr w:rsidR="006578ED" w14:paraId="3DD392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AE95AEC" w14:textId="77777777" w:rsidR="006578ED" w:rsidRDefault="00A1618E">
            <w:pPr>
              <w:pStyle w:val="P68B1DB1-Normal46"/>
              <w:spacing w:after="0" w:line="240" w:lineRule="auto"/>
              <w:jc w:val="center"/>
              <w:rPr>
                <w:rFonts w:eastAsia="Times New Roman" w:cs="Times New Roman"/>
                <w:noProof/>
              </w:rPr>
            </w:pPr>
            <w:r>
              <w:rPr>
                <w:noProof/>
              </w:rPr>
              <w:t>466a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51DD5D" w14:textId="77777777" w:rsidR="006578ED" w:rsidRDefault="00A1618E">
            <w:pPr>
              <w:pStyle w:val="P68B1DB1-Normal46"/>
              <w:spacing w:after="0" w:line="240" w:lineRule="auto"/>
              <w:rPr>
                <w:rFonts w:eastAsia="Times New Roman" w:cs="Times New Roman"/>
                <w:noProof/>
              </w:rPr>
            </w:pPr>
            <w:r>
              <w:rPr>
                <w:noProof/>
              </w:rPr>
              <w:t>C18.I6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0A5F328" w14:textId="6BAB8643"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96E0C1D" w14:textId="409AF0DC" w:rsidR="006578ED" w:rsidRDefault="00A1618E">
            <w:pPr>
              <w:pStyle w:val="P68B1DB1-Normal46"/>
              <w:spacing w:after="0" w:line="240" w:lineRule="auto"/>
              <w:rPr>
                <w:rFonts w:eastAsia="Times New Roman" w:cs="Times New Roman"/>
                <w:noProof/>
              </w:rPr>
            </w:pPr>
            <w:r>
              <w:rPr>
                <w:noProof/>
              </w:rPr>
              <w:t>Projekty związane z masowym przetwarzaniem danych</w:t>
            </w:r>
          </w:p>
        </w:tc>
      </w:tr>
      <w:tr w:rsidR="006578ED" w14:paraId="4FE0AA9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A5038F" w14:textId="77777777" w:rsidR="006578ED" w:rsidRDefault="00A1618E">
            <w:pPr>
              <w:pStyle w:val="P68B1DB1-Normal46"/>
              <w:spacing w:after="0" w:line="240" w:lineRule="auto"/>
              <w:jc w:val="center"/>
              <w:rPr>
                <w:rFonts w:eastAsia="Times New Roman" w:cs="Times New Roman"/>
                <w:noProof/>
              </w:rPr>
            </w:pPr>
            <w:r>
              <w:rPr>
                <w:noProof/>
              </w:rPr>
              <w:t>290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68C58" w14:textId="77777777" w:rsidR="006578ED" w:rsidRDefault="00A1618E">
            <w:pPr>
              <w:pStyle w:val="P68B1DB1-Normal46"/>
              <w:spacing w:after="0" w:line="240" w:lineRule="auto"/>
              <w:rPr>
                <w:rFonts w:eastAsia="Times New Roman" w:cs="Times New Roman"/>
                <w:noProof/>
              </w:rPr>
            </w:pPr>
            <w:r>
              <w:rPr>
                <w:noProof/>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C2EE7F" w14:textId="098470C5"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A4478F2" w14:textId="77777777" w:rsidR="006578ED" w:rsidRDefault="00A1618E">
            <w:pPr>
              <w:pStyle w:val="P68B1DB1-Normal46"/>
              <w:spacing w:after="0" w:line="240" w:lineRule="auto"/>
              <w:rPr>
                <w:rFonts w:eastAsia="Times New Roman" w:cs="Times New Roman"/>
                <w:noProof/>
              </w:rPr>
            </w:pPr>
            <w:r>
              <w:rPr>
                <w:noProof/>
              </w:rPr>
              <w:t>Zakończenie działań na rzecz transformacji cyfrowej edukacji</w:t>
            </w:r>
          </w:p>
        </w:tc>
      </w:tr>
      <w:tr w:rsidR="006578ED" w14:paraId="3C87039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D320D" w14:textId="77777777" w:rsidR="006578ED" w:rsidRDefault="00A1618E">
            <w:pPr>
              <w:pStyle w:val="P68B1DB1-Normal46"/>
              <w:spacing w:after="0" w:line="240" w:lineRule="auto"/>
              <w:jc w:val="center"/>
              <w:rPr>
                <w:rFonts w:eastAsia="Times New Roman" w:cs="Times New Roman"/>
                <w:noProof/>
              </w:rPr>
            </w:pPr>
            <w:r>
              <w:rPr>
                <w:noProof/>
              </w:rPr>
              <w:t>291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761CB4" w14:textId="77777777" w:rsidR="006578ED" w:rsidRDefault="00A1618E">
            <w:pPr>
              <w:pStyle w:val="P68B1DB1-Normal46"/>
              <w:spacing w:after="0" w:line="240" w:lineRule="auto"/>
              <w:rPr>
                <w:rFonts w:eastAsia="Times New Roman" w:cs="Times New Roman"/>
                <w:noProof/>
              </w:rPr>
            </w:pPr>
            <w:r>
              <w:rPr>
                <w:noProof/>
              </w:rPr>
              <w:t>C19.I2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237E228" w14:textId="0BF2A92C"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4EBFE49" w14:textId="6A3D5E8D" w:rsidR="006578ED" w:rsidRDefault="00A1618E">
            <w:pPr>
              <w:pStyle w:val="P68B1DB1-Normal46"/>
              <w:spacing w:after="0" w:line="240" w:lineRule="auto"/>
              <w:rPr>
                <w:rFonts w:eastAsia="Times New Roman" w:cs="Times New Roman"/>
                <w:noProof/>
              </w:rPr>
            </w:pPr>
            <w:r>
              <w:rPr>
                <w:noProof/>
              </w:rPr>
              <w:t>Zapewnienie podłączonych do sieci urządzeń cyfrowych w szkołach publicznych i finansowanych ze środków publicznych w celu zniwelowania „przepaści cyfrowej” oraz wyposażenie co najmniej 240000 sal lekcyjnych</w:t>
            </w:r>
          </w:p>
        </w:tc>
      </w:tr>
      <w:tr w:rsidR="006578ED" w14:paraId="7D093C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A2C115" w14:textId="77777777" w:rsidR="006578ED" w:rsidRDefault="00A1618E">
            <w:pPr>
              <w:pStyle w:val="P68B1DB1-Normal46"/>
              <w:spacing w:after="0" w:line="240" w:lineRule="auto"/>
              <w:jc w:val="center"/>
              <w:rPr>
                <w:rFonts w:eastAsia="Times New Roman" w:cs="Times New Roman"/>
                <w:noProof/>
              </w:rPr>
            </w:pPr>
            <w:r>
              <w:rPr>
                <w:noProof/>
              </w:rPr>
              <w:t>294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D5FFB2" w14:textId="77777777" w:rsidR="006578ED" w:rsidRDefault="00A1618E">
            <w:pPr>
              <w:pStyle w:val="P68B1DB1-Normal46"/>
              <w:spacing w:after="0" w:line="240" w:lineRule="auto"/>
              <w:rPr>
                <w:rFonts w:eastAsia="Times New Roman" w:cs="Times New Roman"/>
                <w:noProof/>
              </w:rPr>
            </w:pPr>
            <w:r>
              <w:rPr>
                <w:noProof/>
              </w:rPr>
              <w:t>C19.I4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BF2AEE" w14:textId="0199ADDC"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DEA914" w14:textId="5607D88B" w:rsidR="006578ED" w:rsidRDefault="00A1618E">
            <w:pPr>
              <w:pStyle w:val="P68B1DB1-Normal46"/>
              <w:spacing w:after="0" w:line="240" w:lineRule="auto"/>
              <w:rPr>
                <w:rFonts w:eastAsia="Times New Roman" w:cs="Times New Roman"/>
                <w:noProof/>
              </w:rPr>
            </w:pPr>
            <w:r>
              <w:rPr>
                <w:noProof/>
              </w:rPr>
              <w:t>Szkolenie specjalistów w dziedzinie informatyki</w:t>
            </w:r>
          </w:p>
        </w:tc>
      </w:tr>
      <w:tr w:rsidR="006578ED" w14:paraId="5A6389B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52C6F8" w14:textId="77777777" w:rsidR="006578ED" w:rsidRDefault="00A1618E">
            <w:pPr>
              <w:pStyle w:val="P68B1DB1-Normal46"/>
              <w:spacing w:after="0" w:line="240" w:lineRule="auto"/>
              <w:jc w:val="center"/>
              <w:rPr>
                <w:rFonts w:eastAsia="Times New Roman" w:cs="Times New Roman"/>
                <w:noProof/>
              </w:rPr>
            </w:pPr>
            <w:r>
              <w:rPr>
                <w:noProof/>
              </w:rPr>
              <w:t>297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A8141A" w14:textId="77777777" w:rsidR="006578ED" w:rsidRDefault="00A1618E">
            <w:pPr>
              <w:pStyle w:val="P68B1DB1-Normal46"/>
              <w:spacing w:after="0" w:line="240" w:lineRule="auto"/>
              <w:rPr>
                <w:rFonts w:eastAsia="Times New Roman" w:cs="Times New Roman"/>
                <w:noProof/>
              </w:rPr>
            </w:pPr>
            <w:r>
              <w:rPr>
                <w:noProof/>
              </w:rPr>
              <w:t>C20.I1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7F487" w14:textId="77BD8237"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10C92AC" w14:textId="77777777" w:rsidR="006578ED" w:rsidRDefault="00A1618E">
            <w:pPr>
              <w:pStyle w:val="P68B1DB1-Normal46"/>
              <w:spacing w:after="0" w:line="240" w:lineRule="auto"/>
              <w:rPr>
                <w:rFonts w:eastAsia="Times New Roman" w:cs="Times New Roman"/>
                <w:noProof/>
              </w:rPr>
            </w:pPr>
            <w:r>
              <w:rPr>
                <w:noProof/>
              </w:rPr>
              <w:t xml:space="preserve">Nowe jednostki kompetencji Krajowego Katalogu Kwalifikacji Zawodowych </w:t>
            </w:r>
          </w:p>
        </w:tc>
      </w:tr>
      <w:tr w:rsidR="006578ED" w14:paraId="06F7D6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A79C15" w14:textId="77777777" w:rsidR="006578ED" w:rsidRDefault="00A1618E">
            <w:pPr>
              <w:pStyle w:val="P68B1DB1-Normal46"/>
              <w:spacing w:after="0" w:line="240" w:lineRule="auto"/>
              <w:jc w:val="center"/>
              <w:rPr>
                <w:rFonts w:eastAsia="Times New Roman" w:cs="Times New Roman"/>
                <w:noProof/>
              </w:rPr>
            </w:pPr>
            <w:r>
              <w:rPr>
                <w:noProof/>
              </w:rPr>
              <w:t>467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41BAC12" w14:textId="77777777" w:rsidR="006578ED" w:rsidRDefault="00A1618E">
            <w:pPr>
              <w:pStyle w:val="P68B1DB1-Normal46"/>
              <w:spacing w:after="0" w:line="240" w:lineRule="auto"/>
              <w:rPr>
                <w:rFonts w:eastAsia="Times New Roman" w:cs="Times New Roman"/>
                <w:noProof/>
              </w:rPr>
            </w:pPr>
            <w:r>
              <w:rPr>
                <w:noProof/>
              </w:rPr>
              <w:t>C20.I2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A4EB3C" w14:textId="7D72170A"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5E11537" w14:textId="71FF7811" w:rsidR="006578ED" w:rsidRDefault="00A1618E">
            <w:pPr>
              <w:pStyle w:val="P68B1DB1-Normal46"/>
              <w:spacing w:after="0" w:line="240" w:lineRule="auto"/>
              <w:rPr>
                <w:rFonts w:eastAsia="Times New Roman" w:cs="Times New Roman"/>
                <w:noProof/>
              </w:rPr>
            </w:pPr>
            <w:r>
              <w:rPr>
                <w:noProof/>
              </w:rPr>
              <w:t>Przekształcenie sal lekcyjnych w stosowane przestrzenie technologiczne</w:t>
            </w:r>
          </w:p>
        </w:tc>
      </w:tr>
      <w:tr w:rsidR="006578ED" w14:paraId="504ADD0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EF4E9E" w14:textId="77777777" w:rsidR="006578ED" w:rsidRDefault="00A1618E">
            <w:pPr>
              <w:pStyle w:val="P68B1DB1-Normal46"/>
              <w:spacing w:after="0" w:line="240" w:lineRule="auto"/>
              <w:jc w:val="center"/>
              <w:rPr>
                <w:rFonts w:eastAsia="Times New Roman" w:cs="Times New Roman"/>
                <w:noProof/>
              </w:rPr>
            </w:pPr>
            <w:r>
              <w:rPr>
                <w:noProof/>
              </w:rPr>
              <w:t>302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A7EA5A" w14:textId="77777777" w:rsidR="006578ED" w:rsidRDefault="00A1618E">
            <w:pPr>
              <w:pStyle w:val="P68B1DB1-Normal46"/>
              <w:spacing w:after="0" w:line="240" w:lineRule="auto"/>
              <w:rPr>
                <w:rFonts w:eastAsia="Times New Roman" w:cs="Times New Roman"/>
                <w:noProof/>
              </w:rPr>
            </w:pPr>
            <w:r>
              <w:rPr>
                <w:noProof/>
              </w:rPr>
              <w:t>C20.I3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D64859" w14:textId="3FFAE430"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76A26D5F" w14:textId="44551568" w:rsidR="006578ED" w:rsidRDefault="00A1618E">
            <w:pPr>
              <w:pStyle w:val="P68B1DB1-Normal46"/>
              <w:spacing w:after="0" w:line="240" w:lineRule="auto"/>
              <w:rPr>
                <w:rFonts w:eastAsia="Times New Roman" w:cs="Times New Roman"/>
                <w:noProof/>
              </w:rPr>
            </w:pPr>
            <w:r>
              <w:rPr>
                <w:noProof/>
              </w:rPr>
              <w:t>Nowe miejsca kształcenia i szkolenia zawodowego w porównaniu z końcem 20</w:t>
            </w:r>
            <w:r w:rsidRPr="00A1618E">
              <w:rPr>
                <w:noProof/>
                <w:lang w:val="pl-PL"/>
              </w:rPr>
              <w:t>20 r.</w:t>
            </w:r>
          </w:p>
        </w:tc>
      </w:tr>
      <w:tr w:rsidR="006578ED" w14:paraId="1EBEA7A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0F528D" w14:textId="77777777" w:rsidR="006578ED" w:rsidRDefault="00A1618E">
            <w:pPr>
              <w:pStyle w:val="P68B1DB1-Normal46"/>
              <w:spacing w:after="0" w:line="240" w:lineRule="auto"/>
              <w:jc w:val="center"/>
              <w:rPr>
                <w:rFonts w:eastAsia="Times New Roman" w:cs="Times New Roman"/>
                <w:noProof/>
              </w:rPr>
            </w:pPr>
            <w:r>
              <w:rPr>
                <w:noProof/>
              </w:rPr>
              <w:t>309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DDEDDB6" w14:textId="77777777" w:rsidR="006578ED" w:rsidRDefault="00A1618E">
            <w:pPr>
              <w:pStyle w:val="P68B1DB1-Normal46"/>
              <w:spacing w:after="0" w:line="240" w:lineRule="auto"/>
              <w:rPr>
                <w:rFonts w:eastAsia="Times New Roman" w:cs="Times New Roman"/>
                <w:noProof/>
              </w:rPr>
            </w:pPr>
            <w:r>
              <w:rPr>
                <w:noProof/>
              </w:rPr>
              <w:t>C21.I1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EC7DF0" w14:textId="634ABF7B"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0A82C78" w14:textId="77777777" w:rsidR="006578ED" w:rsidRDefault="00A1618E">
            <w:pPr>
              <w:pStyle w:val="P68B1DB1-Normal46"/>
              <w:spacing w:after="0" w:line="240" w:lineRule="auto"/>
              <w:rPr>
                <w:rFonts w:eastAsia="Times New Roman" w:cs="Times New Roman"/>
                <w:noProof/>
              </w:rPr>
            </w:pPr>
            <w:r>
              <w:rPr>
                <w:noProof/>
              </w:rPr>
              <w:t xml:space="preserve">Nowe miejsca dla pierwszego cyklu wczesnej edukacji </w:t>
            </w:r>
          </w:p>
        </w:tc>
      </w:tr>
      <w:tr w:rsidR="006578ED" w14:paraId="2F5D86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1692A" w14:textId="77777777" w:rsidR="006578ED" w:rsidRDefault="00A1618E">
            <w:pPr>
              <w:pStyle w:val="P68B1DB1-Normal46"/>
              <w:spacing w:after="0" w:line="240" w:lineRule="auto"/>
              <w:jc w:val="center"/>
              <w:rPr>
                <w:rFonts w:eastAsia="Times New Roman" w:cs="Times New Roman"/>
                <w:noProof/>
              </w:rPr>
            </w:pPr>
            <w:r>
              <w:rPr>
                <w:noProof/>
              </w:rPr>
              <w:t>325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9C2109" w14:textId="77777777" w:rsidR="006578ED" w:rsidRDefault="00A1618E">
            <w:pPr>
              <w:pStyle w:val="P68B1DB1-Normal46"/>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AC39A0" w14:textId="0C39ABAC"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B2B836B" w14:textId="5BA64C70" w:rsidR="006578ED" w:rsidRDefault="00A1618E">
            <w:pPr>
              <w:pStyle w:val="P68B1DB1-Normal46"/>
              <w:spacing w:after="0" w:line="240" w:lineRule="auto"/>
              <w:rPr>
                <w:rFonts w:eastAsia="Times New Roman" w:cs="Times New Roman"/>
                <w:noProof/>
              </w:rPr>
            </w:pPr>
            <w:r>
              <w:rPr>
                <w:noProof/>
              </w:rPr>
              <w:t xml:space="preserve">Zakończenie projektów transformacji technologicznej usług socjalnych oraz modernizacji infrastruktury i usług związanych z ochroną mieszkaniową i rodzinami zastępczymi </w:t>
            </w:r>
          </w:p>
        </w:tc>
      </w:tr>
      <w:tr w:rsidR="006578ED" w14:paraId="5AAF8CE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0FD5E6" w14:textId="77777777" w:rsidR="006578ED" w:rsidRDefault="00A1618E">
            <w:pPr>
              <w:pStyle w:val="P68B1DB1-Normal46"/>
              <w:spacing w:after="0" w:line="240" w:lineRule="auto"/>
              <w:jc w:val="center"/>
              <w:rPr>
                <w:rFonts w:eastAsia="Times New Roman" w:cs="Times New Roman"/>
                <w:noProof/>
              </w:rPr>
            </w:pPr>
            <w:r>
              <w:rPr>
                <w:noProof/>
              </w:rPr>
              <w:t>471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8DB16C" w14:textId="77777777" w:rsidR="006578ED" w:rsidRDefault="00A1618E">
            <w:pPr>
              <w:pStyle w:val="P68B1DB1-Normal46"/>
              <w:spacing w:after="0" w:line="240" w:lineRule="auto"/>
              <w:rPr>
                <w:rFonts w:eastAsia="Times New Roman" w:cs="Times New Roman"/>
                <w:noProof/>
              </w:rPr>
            </w:pPr>
            <w:r>
              <w:rPr>
                <w:noProof/>
              </w:rPr>
              <w:t>C22.I2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DC400B" w14:textId="0089E358"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E91CE99" w14:textId="77777777" w:rsidR="006578ED" w:rsidRDefault="00A1618E">
            <w:pPr>
              <w:pStyle w:val="P68B1DB1-Normal46"/>
              <w:spacing w:after="0" w:line="240" w:lineRule="auto"/>
              <w:rPr>
                <w:rFonts w:eastAsia="Times New Roman" w:cs="Times New Roman"/>
                <w:noProof/>
              </w:rPr>
            </w:pPr>
            <w:r>
              <w:rPr>
                <w:noProof/>
              </w:rPr>
              <w:t>Realizacja projektów pilotażowych</w:t>
            </w:r>
          </w:p>
        </w:tc>
      </w:tr>
      <w:tr w:rsidR="006578ED" w14:paraId="7D1282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BEA65C" w14:textId="77777777" w:rsidR="006578ED" w:rsidRDefault="00A1618E">
            <w:pPr>
              <w:pStyle w:val="P68B1DB1-Normal46"/>
              <w:spacing w:after="0" w:line="240" w:lineRule="auto"/>
              <w:jc w:val="center"/>
              <w:rPr>
                <w:rFonts w:eastAsia="Times New Roman" w:cs="Times New Roman"/>
                <w:noProof/>
              </w:rPr>
            </w:pPr>
            <w:r>
              <w:rPr>
                <w:noProof/>
              </w:rPr>
              <w:t>472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00E2B9" w14:textId="77777777" w:rsidR="006578ED" w:rsidRDefault="00A1618E">
            <w:pPr>
              <w:pStyle w:val="P68B1DB1-Normal46"/>
              <w:spacing w:after="0" w:line="240" w:lineRule="auto"/>
              <w:rPr>
                <w:rFonts w:eastAsia="Times New Roman" w:cs="Times New Roman"/>
                <w:noProof/>
              </w:rPr>
            </w:pPr>
            <w:r>
              <w:rPr>
                <w:noProof/>
              </w:rPr>
              <w:t>C22.I4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06C21A" w14:textId="723D094B"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235132B1" w14:textId="383877D9" w:rsidR="006578ED" w:rsidRDefault="00A1618E">
            <w:pPr>
              <w:pStyle w:val="P68B1DB1-Normal46"/>
              <w:spacing w:after="0" w:line="240" w:lineRule="auto"/>
              <w:rPr>
                <w:rFonts w:eastAsia="Times New Roman" w:cs="Times New Roman"/>
                <w:noProof/>
              </w:rPr>
            </w:pPr>
            <w:r>
              <w:rPr>
                <w:noProof/>
              </w:rPr>
              <w:t>Inwestycje w usługi telefoniczne i usługi online wspierające ofiary przemocy wobec kobiet</w:t>
            </w:r>
          </w:p>
        </w:tc>
      </w:tr>
      <w:tr w:rsidR="006578ED" w14:paraId="406432F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2805D0" w14:textId="77777777" w:rsidR="006578ED" w:rsidRDefault="00A1618E">
            <w:pPr>
              <w:pStyle w:val="P68B1DB1-Normal46"/>
              <w:spacing w:after="0" w:line="240" w:lineRule="auto"/>
              <w:jc w:val="center"/>
              <w:rPr>
                <w:rFonts w:eastAsia="Times New Roman" w:cs="Times New Roman"/>
                <w:noProof/>
              </w:rPr>
            </w:pPr>
            <w:r>
              <w:rPr>
                <w:noProof/>
              </w:rPr>
              <w:t>342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C73D041" w14:textId="77777777" w:rsidR="006578ED" w:rsidRDefault="00A1618E">
            <w:pPr>
              <w:pStyle w:val="P68B1DB1-Normal46"/>
              <w:spacing w:after="0" w:line="240" w:lineRule="auto"/>
              <w:rPr>
                <w:rFonts w:eastAsia="Times New Roman" w:cs="Times New Roman"/>
                <w:noProof/>
              </w:rPr>
            </w:pPr>
            <w:r>
              <w:rPr>
                <w:noProof/>
              </w:rPr>
              <w:t>C23.I1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0949B3" w14:textId="45C7A248"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5D03B6" w14:textId="77777777" w:rsidR="006578ED" w:rsidRDefault="00A1618E">
            <w:pPr>
              <w:pStyle w:val="P68B1DB1-Normal46"/>
              <w:spacing w:after="0" w:line="240" w:lineRule="auto"/>
              <w:rPr>
                <w:rFonts w:eastAsia="Times New Roman" w:cs="Times New Roman"/>
                <w:noProof/>
              </w:rPr>
            </w:pPr>
            <w:r>
              <w:rPr>
                <w:noProof/>
              </w:rPr>
              <w:t xml:space="preserve">Osoby, które ukończyły programy dla młodzieży. </w:t>
            </w:r>
          </w:p>
        </w:tc>
      </w:tr>
      <w:tr w:rsidR="006578ED" w14:paraId="17BB2E1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04E488" w14:textId="77777777" w:rsidR="006578ED" w:rsidRDefault="00A1618E">
            <w:pPr>
              <w:pStyle w:val="P68B1DB1-Normal46"/>
              <w:spacing w:after="0" w:line="240" w:lineRule="auto"/>
              <w:jc w:val="center"/>
              <w:rPr>
                <w:rFonts w:eastAsia="Times New Roman" w:cs="Times New Roman"/>
                <w:noProof/>
              </w:rPr>
            </w:pPr>
            <w:r>
              <w:rPr>
                <w:noProof/>
              </w:rPr>
              <w:t>343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C02054" w14:textId="77777777" w:rsidR="006578ED" w:rsidRDefault="00A1618E">
            <w:pPr>
              <w:pStyle w:val="P68B1DB1-Normal46"/>
              <w:spacing w:after="0" w:line="240" w:lineRule="auto"/>
              <w:rPr>
                <w:rFonts w:eastAsia="Times New Roman" w:cs="Times New Roman"/>
                <w:noProof/>
              </w:rPr>
            </w:pPr>
            <w:r>
              <w:rPr>
                <w:noProof/>
              </w:rPr>
              <w:t>C23.I2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51813" w14:textId="63B037B3"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A995768" w14:textId="2154ED89" w:rsidR="006578ED" w:rsidRDefault="00A1618E">
            <w:pPr>
              <w:pStyle w:val="P68B1DB1-Normal46"/>
              <w:spacing w:after="0" w:line="240" w:lineRule="auto"/>
              <w:rPr>
                <w:rFonts w:eastAsia="Times New Roman" w:cs="Times New Roman"/>
                <w:noProof/>
              </w:rPr>
            </w:pPr>
            <w:r>
              <w:rPr>
                <w:noProof/>
              </w:rPr>
              <w:t>Osoby, które ukończyły program „Plan Empleo Mujer, obszary wiejskie i miejskie” oraz program na rzecz ofiar przemocy ze względu na płeć i handlu ludźmi</w:t>
            </w:r>
          </w:p>
        </w:tc>
      </w:tr>
      <w:tr w:rsidR="006578ED" w14:paraId="10C7A5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E2EA44" w14:textId="77777777" w:rsidR="006578ED" w:rsidRDefault="00A1618E">
            <w:pPr>
              <w:pStyle w:val="P68B1DB1-Normal46"/>
              <w:spacing w:after="0" w:line="240" w:lineRule="auto"/>
              <w:jc w:val="center"/>
              <w:rPr>
                <w:rFonts w:eastAsia="Times New Roman" w:cs="Times New Roman"/>
                <w:noProof/>
              </w:rPr>
            </w:pPr>
            <w:r>
              <w:rPr>
                <w:noProof/>
              </w:rPr>
              <w:t>344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41ECFF" w14:textId="77777777" w:rsidR="006578ED" w:rsidRDefault="00A1618E">
            <w:pPr>
              <w:pStyle w:val="P68B1DB1-Normal46"/>
              <w:spacing w:after="0" w:line="240" w:lineRule="auto"/>
              <w:rPr>
                <w:rFonts w:eastAsia="Times New Roman" w:cs="Times New Roman"/>
                <w:noProof/>
              </w:rPr>
            </w:pPr>
            <w:r>
              <w:rPr>
                <w:noProof/>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2DD89E" w14:textId="0E57872B"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0BDBF80C" w14:textId="63F1D640" w:rsidR="006578ED" w:rsidRDefault="00A1618E">
            <w:pPr>
              <w:pStyle w:val="P68B1DB1-Normal46"/>
              <w:spacing w:after="0" w:line="240" w:lineRule="auto"/>
              <w:rPr>
                <w:rFonts w:eastAsia="Times New Roman" w:cs="Times New Roman"/>
                <w:noProof/>
              </w:rPr>
            </w:pPr>
            <w:r>
              <w:rPr>
                <w:noProof/>
              </w:rPr>
              <w:t>Osoby, które ukończyły programy szkoleniowe w celu zdobycia umiejętności w zakresie transformacji cyfrowej, ekologicznej i produkcyjnej</w:t>
            </w:r>
          </w:p>
        </w:tc>
      </w:tr>
      <w:tr w:rsidR="006578ED" w14:paraId="229C563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1B4744" w14:textId="77777777" w:rsidR="006578ED" w:rsidRDefault="00A1618E">
            <w:pPr>
              <w:pStyle w:val="P68B1DB1-Normal46"/>
              <w:spacing w:after="0" w:line="240" w:lineRule="auto"/>
              <w:jc w:val="center"/>
              <w:rPr>
                <w:rFonts w:eastAsia="Times New Roman" w:cs="Times New Roman"/>
                <w:noProof/>
              </w:rPr>
            </w:pPr>
            <w:r>
              <w:rPr>
                <w:noProof/>
              </w:rPr>
              <w:t>420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89CC53" w14:textId="77777777" w:rsidR="006578ED" w:rsidRDefault="00A1618E">
            <w:pPr>
              <w:pStyle w:val="P68B1DB1-Normal46"/>
              <w:spacing w:after="0" w:line="240" w:lineRule="auto"/>
              <w:rPr>
                <w:rFonts w:eastAsia="Times New Roman" w:cs="Times New Roman"/>
                <w:noProof/>
              </w:rPr>
            </w:pPr>
            <w:r>
              <w:rPr>
                <w:noProof/>
              </w:rPr>
              <w:t>C23.I3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707714" w14:textId="55A7D9E5"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994F589" w14:textId="76C53C23" w:rsidR="006578ED" w:rsidRDefault="00A1618E">
            <w:pPr>
              <w:pStyle w:val="P68B1DB1-Normal46"/>
              <w:spacing w:after="0" w:line="240" w:lineRule="auto"/>
              <w:rPr>
                <w:rFonts w:eastAsia="Times New Roman" w:cs="Times New Roman"/>
                <w:noProof/>
              </w:rPr>
            </w:pPr>
            <w:r>
              <w:rPr>
                <w:noProof/>
              </w:rPr>
              <w:t>Wykrywanie potrzeb w zakresie umiejętności za pomocą programu badawczego</w:t>
            </w:r>
          </w:p>
        </w:tc>
      </w:tr>
      <w:tr w:rsidR="006578ED" w14:paraId="38ACC6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A581AE" w14:textId="77777777" w:rsidR="006578ED" w:rsidRDefault="00A1618E">
            <w:pPr>
              <w:pStyle w:val="P68B1DB1-Normal46"/>
              <w:spacing w:after="0" w:line="240" w:lineRule="auto"/>
              <w:jc w:val="center"/>
              <w:rPr>
                <w:rFonts w:eastAsia="Times New Roman" w:cs="Times New Roman"/>
                <w:noProof/>
              </w:rPr>
            </w:pPr>
            <w:r>
              <w:rPr>
                <w:noProof/>
              </w:rPr>
              <w:t>356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26CE567" w14:textId="77777777" w:rsidR="006578ED" w:rsidRDefault="00A1618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A95731" w14:textId="171A81CB"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4982C42D" w14:textId="15156203" w:rsidR="006578ED" w:rsidRDefault="00A1618E">
            <w:pPr>
              <w:pStyle w:val="P68B1DB1-Normal46"/>
              <w:spacing w:after="0" w:line="240" w:lineRule="auto"/>
              <w:rPr>
                <w:rFonts w:eastAsia="Times New Roman" w:cs="Times New Roman"/>
                <w:noProof/>
              </w:rPr>
            </w:pPr>
            <w:r>
              <w:rPr>
                <w:noProof/>
              </w:rPr>
              <w:t>Ochrona, odbudowa i poprawa jakości hiszpańskiego dziedzictwa kulturowego</w:t>
            </w:r>
          </w:p>
        </w:tc>
      </w:tr>
      <w:tr w:rsidR="006578ED" w14:paraId="1F8BAF1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56084A" w14:textId="77777777" w:rsidR="006578ED" w:rsidRDefault="00A1618E">
            <w:pPr>
              <w:pStyle w:val="P68B1DB1-Normal46"/>
              <w:spacing w:after="0" w:line="240" w:lineRule="auto"/>
              <w:jc w:val="center"/>
              <w:rPr>
                <w:rFonts w:eastAsia="Times New Roman" w:cs="Times New Roman"/>
                <w:noProof/>
              </w:rPr>
            </w:pPr>
            <w:r>
              <w:rPr>
                <w:noProof/>
              </w:rPr>
              <w:t>370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88F054" w14:textId="77777777" w:rsidR="006578ED" w:rsidRDefault="00A1618E">
            <w:pPr>
              <w:pStyle w:val="P68B1DB1-Normal46"/>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787A25" w14:textId="0069771F"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32F296B0" w14:textId="77777777" w:rsidR="006578ED" w:rsidRDefault="00A1618E">
            <w:pPr>
              <w:pStyle w:val="P68B1DB1-Normal46"/>
              <w:spacing w:after="0" w:line="240" w:lineRule="auto"/>
              <w:rPr>
                <w:rFonts w:eastAsia="Times New Roman" w:cs="Times New Roman"/>
                <w:noProof/>
              </w:rPr>
            </w:pPr>
            <w:r>
              <w:rPr>
                <w:noProof/>
              </w:rPr>
              <w:t>Cyfryzacja sektora sportu</w:t>
            </w:r>
          </w:p>
        </w:tc>
      </w:tr>
      <w:tr w:rsidR="006578ED" w14:paraId="4E96EB1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C8ADF7" w14:textId="77777777" w:rsidR="006578ED" w:rsidRDefault="00A1618E">
            <w:pPr>
              <w:pStyle w:val="P68B1DB1-Normal46"/>
              <w:spacing w:after="0" w:line="240" w:lineRule="auto"/>
              <w:jc w:val="center"/>
              <w:rPr>
                <w:rFonts w:eastAsia="Times New Roman" w:cs="Times New Roman"/>
                <w:noProof/>
              </w:rPr>
            </w:pPr>
            <w:r>
              <w:rPr>
                <w:noProof/>
              </w:rPr>
              <w:t>372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C6C7CD" w14:textId="77777777" w:rsidR="006578ED" w:rsidRDefault="00A1618E">
            <w:pPr>
              <w:pStyle w:val="P68B1DB1-Normal46"/>
              <w:spacing w:after="0" w:line="240" w:lineRule="auto"/>
              <w:rPr>
                <w:rFonts w:eastAsia="Times New Roman" w:cs="Times New Roman"/>
                <w:noProof/>
              </w:rPr>
            </w:pPr>
            <w:r>
              <w:rPr>
                <w:noProof/>
              </w:rPr>
              <w:t>C26.I1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EBF2F7" w14:textId="7A77BF1E" w:rsidR="006578ED" w:rsidRDefault="00AF6B91">
            <w:pPr>
              <w:pStyle w:val="P68B1DB1-Normal46"/>
              <w:spacing w:after="0" w:line="240" w:lineRule="auto"/>
              <w:rPr>
                <w:rFonts w:eastAsia="Times New Roman" w:cs="Times New Roman"/>
                <w:noProof/>
              </w:rPr>
            </w:pPr>
            <w:r>
              <w:rPr>
                <w:noProof/>
              </w:rPr>
              <w:t>Kamień milowy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1BD4D25D" w14:textId="27E32774" w:rsidR="006578ED" w:rsidRDefault="00A1618E">
            <w:pPr>
              <w:pStyle w:val="P68B1DB1-Normal46"/>
              <w:spacing w:after="0" w:line="240" w:lineRule="auto"/>
              <w:rPr>
                <w:rFonts w:eastAsia="Times New Roman" w:cs="Times New Roman"/>
                <w:noProof/>
              </w:rPr>
            </w:pPr>
            <w:r>
              <w:rPr>
                <w:noProof/>
              </w:rPr>
              <w:t>Zakończenie projektów informatycznych w centrach o wysokiej wydajności i w administracji antydopingowej</w:t>
            </w:r>
          </w:p>
        </w:tc>
      </w:tr>
      <w:tr w:rsidR="006578ED" w14:paraId="08473BC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C598C4" w14:textId="77777777" w:rsidR="006578ED" w:rsidRDefault="00A1618E">
            <w:pPr>
              <w:pStyle w:val="P68B1DB1-Normal46"/>
              <w:spacing w:after="0" w:line="240" w:lineRule="auto"/>
              <w:jc w:val="center"/>
              <w:rPr>
                <w:rFonts w:eastAsia="Times New Roman" w:cs="Times New Roman"/>
                <w:noProof/>
              </w:rPr>
            </w:pPr>
            <w:r>
              <w:rPr>
                <w:noProof/>
              </w:rPr>
              <w:t>373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824EA6" w14:textId="77777777" w:rsidR="006578ED" w:rsidRDefault="00A1618E">
            <w:pPr>
              <w:pStyle w:val="P68B1DB1-Normal46"/>
              <w:spacing w:after="0" w:line="240" w:lineRule="auto"/>
              <w:rPr>
                <w:rFonts w:eastAsia="Times New Roman" w:cs="Times New Roman"/>
                <w:noProof/>
              </w:rPr>
            </w:pPr>
            <w:r>
              <w:rPr>
                <w:noProof/>
              </w:rPr>
              <w:t>C26.I2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02008" w14:textId="5CA9E9FE" w:rsidR="006578ED" w:rsidRDefault="00AF6B91">
            <w:pPr>
              <w:pStyle w:val="P68B1DB1-Normal46"/>
              <w:spacing w:after="0" w:line="240" w:lineRule="auto"/>
              <w:rPr>
                <w:rFonts w:eastAsia="Times New Roman" w:cs="Times New Roman"/>
                <w:noProof/>
              </w:rPr>
            </w:pPr>
            <w:r>
              <w:rPr>
                <w:noProof/>
              </w:rPr>
              <w:t>Cel</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54A991B2" w14:textId="1BEF32B5" w:rsidR="006578ED" w:rsidRDefault="00A1618E">
            <w:pPr>
              <w:pStyle w:val="P68B1DB1-Normal46"/>
              <w:spacing w:after="0" w:line="240" w:lineRule="auto"/>
              <w:rPr>
                <w:rFonts w:eastAsia="Times New Roman" w:cs="Times New Roman"/>
                <w:noProof/>
              </w:rPr>
            </w:pPr>
            <w:r>
              <w:rPr>
                <w:noProof/>
              </w:rPr>
              <w:t xml:space="preserve">Renowacja i modernizacja ośrodków technicznych sportu i obiektów sportowych </w:t>
            </w:r>
          </w:p>
        </w:tc>
      </w:tr>
      <w:tr w:rsidR="006578ED" w14:paraId="67CC6DD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B594B2"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7164CAC"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8864C9" w14:textId="57D35939" w:rsidR="006578ED" w:rsidRDefault="00A1618E">
            <w:pPr>
              <w:pStyle w:val="P68B1DB1-Normal45"/>
              <w:spacing w:after="0" w:line="240" w:lineRule="auto"/>
              <w:rPr>
                <w:rFonts w:eastAsia="Times New Roman" w:cs="Times New Roman"/>
                <w:noProof/>
              </w:rPr>
            </w:pPr>
            <w:r>
              <w:rPr>
                <w:noProof/>
              </w:rPr>
              <w:t>Kwota raty</w:t>
            </w:r>
          </w:p>
        </w:tc>
        <w:tc>
          <w:tcPr>
            <w:tcW w:w="5612" w:type="dxa"/>
            <w:tcBorders>
              <w:top w:val="single" w:sz="4" w:space="0" w:color="auto"/>
              <w:left w:val="nil"/>
              <w:bottom w:val="single" w:sz="4" w:space="0" w:color="auto"/>
              <w:right w:val="single" w:sz="4" w:space="0" w:color="auto"/>
            </w:tcBorders>
            <w:shd w:val="clear" w:color="auto" w:fill="C6EFCE"/>
            <w:noWrap/>
            <w:vAlign w:val="bottom"/>
          </w:tcPr>
          <w:p w14:paraId="648F4810" w14:textId="36797311" w:rsidR="006578ED" w:rsidRDefault="00A1618E">
            <w:pPr>
              <w:pStyle w:val="P68B1DB1-Normal45"/>
              <w:spacing w:after="0" w:line="240" w:lineRule="auto"/>
              <w:rPr>
                <w:rFonts w:eastAsia="Times New Roman" w:cs="Times New Roman"/>
                <w:noProof/>
              </w:rPr>
            </w:pPr>
            <w:r>
              <w:rPr>
                <w:noProof/>
              </w:rPr>
              <w:t>5 633 854 130 EUR</w:t>
            </w:r>
          </w:p>
        </w:tc>
      </w:tr>
    </w:tbl>
    <w:p w14:paraId="16B1E38C" w14:textId="77777777" w:rsidR="006578ED" w:rsidRDefault="006578ED">
      <w:pPr>
        <w:spacing w:before="120" w:after="120" w:line="240" w:lineRule="auto"/>
        <w:jc w:val="both"/>
        <w:rPr>
          <w:rFonts w:ascii="Times New Roman" w:eastAsia="Calibri" w:hAnsi="Times New Roman" w:cs="Times New Roman"/>
          <w:noProof/>
          <w:sz w:val="24"/>
        </w:rPr>
      </w:pPr>
    </w:p>
    <w:p w14:paraId="417320EA"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Dziesiąta transza (bezzwrotne wsparcie): </w:t>
      </w:r>
    </w:p>
    <w:tbl>
      <w:tblPr>
        <w:tblW w:w="9600" w:type="dxa"/>
        <w:tblInd w:w="113" w:type="dxa"/>
        <w:tblLook w:val="04A0" w:firstRow="1" w:lastRow="0" w:firstColumn="1" w:lastColumn="0" w:noHBand="0" w:noVBand="1"/>
      </w:tblPr>
      <w:tblGrid>
        <w:gridCol w:w="1300"/>
        <w:gridCol w:w="1443"/>
        <w:gridCol w:w="1561"/>
        <w:gridCol w:w="5607"/>
      </w:tblGrid>
      <w:tr w:rsidR="006578ED" w14:paraId="67D015EC"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8C28D8B"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ABCF3D9"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DE3AA78"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07" w:type="dxa"/>
            <w:vMerge w:val="restart"/>
            <w:tcBorders>
              <w:top w:val="single" w:sz="4" w:space="0" w:color="auto"/>
              <w:left w:val="nil"/>
              <w:bottom w:val="single" w:sz="4" w:space="0" w:color="000000"/>
              <w:right w:val="single" w:sz="4" w:space="0" w:color="auto"/>
            </w:tcBorders>
            <w:shd w:val="clear" w:color="auto" w:fill="BDD7EE"/>
            <w:vAlign w:val="center"/>
            <w:hideMark/>
          </w:tcPr>
          <w:p w14:paraId="420F80E1"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33ADD356"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34E5E4F0"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728C9BBC"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173F5F41" w14:textId="77777777" w:rsidR="006578ED" w:rsidRDefault="006578ED">
            <w:pPr>
              <w:spacing w:after="0" w:line="240" w:lineRule="auto"/>
              <w:rPr>
                <w:rFonts w:ascii="Times New Roman" w:eastAsia="Times New Roman" w:hAnsi="Times New Roman" w:cs="Times New Roman"/>
                <w:b/>
                <w:noProof/>
                <w:sz w:val="20"/>
              </w:rPr>
            </w:pPr>
          </w:p>
        </w:tc>
        <w:tc>
          <w:tcPr>
            <w:tcW w:w="5607" w:type="dxa"/>
            <w:vMerge/>
            <w:tcBorders>
              <w:top w:val="single" w:sz="4" w:space="0" w:color="auto"/>
              <w:left w:val="nil"/>
              <w:bottom w:val="single" w:sz="4" w:space="0" w:color="000000"/>
              <w:right w:val="single" w:sz="4" w:space="0" w:color="auto"/>
            </w:tcBorders>
            <w:vAlign w:val="center"/>
            <w:hideMark/>
          </w:tcPr>
          <w:p w14:paraId="75360013" w14:textId="77777777" w:rsidR="006578ED" w:rsidRDefault="006578ED">
            <w:pPr>
              <w:spacing w:after="0" w:line="240" w:lineRule="auto"/>
              <w:rPr>
                <w:rFonts w:ascii="Times New Roman" w:eastAsia="Times New Roman" w:hAnsi="Times New Roman" w:cs="Times New Roman"/>
                <w:b/>
                <w:noProof/>
                <w:sz w:val="20"/>
              </w:rPr>
            </w:pPr>
          </w:p>
        </w:tc>
      </w:tr>
      <w:tr w:rsidR="006578ED" w14:paraId="129755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E915C97" w14:textId="77777777" w:rsidR="006578ED" w:rsidRDefault="00A1618E">
            <w:pPr>
              <w:pStyle w:val="P68B1DB1-Normal46"/>
              <w:spacing w:after="0" w:line="240" w:lineRule="auto"/>
              <w:jc w:val="center"/>
              <w:rPr>
                <w:rFonts w:eastAsia="Times New Roman" w:cs="Times New Roman"/>
                <w:noProof/>
              </w:rPr>
            </w:pPr>
            <w:r>
              <w:rPr>
                <w:noProof/>
              </w:rPr>
              <w:t>418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99D83C" w14:textId="77777777" w:rsidR="006578ED" w:rsidRDefault="00A1618E">
            <w:pPr>
              <w:pStyle w:val="P68B1DB1-Normal46"/>
              <w:spacing w:after="0" w:line="240" w:lineRule="auto"/>
              <w:rPr>
                <w:rFonts w:eastAsia="Times New Roman" w:cs="Times New Roman"/>
                <w:noProof/>
              </w:rPr>
            </w:pPr>
            <w:r>
              <w:rPr>
                <w:noProof/>
              </w:rPr>
              <w:t>C1.R2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09454C" w14:textId="1925BE71"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B443BD" w14:textId="77777777" w:rsidR="006578ED" w:rsidRDefault="00A1618E">
            <w:pPr>
              <w:pStyle w:val="P68B1DB1-Normal46"/>
              <w:spacing w:after="0" w:line="240" w:lineRule="auto"/>
              <w:rPr>
                <w:rFonts w:eastAsia="Times New Roman" w:cs="Times New Roman"/>
                <w:noProof/>
              </w:rPr>
            </w:pPr>
            <w:r>
              <w:rPr>
                <w:noProof/>
              </w:rPr>
              <w:t>Biuro piaskownicy</w:t>
            </w:r>
          </w:p>
        </w:tc>
      </w:tr>
      <w:tr w:rsidR="006578ED" w14:paraId="31B210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79022F" w14:textId="77777777" w:rsidR="006578ED" w:rsidRDefault="00A1618E">
            <w:pPr>
              <w:pStyle w:val="P68B1DB1-Normal46"/>
              <w:spacing w:after="0" w:line="240" w:lineRule="auto"/>
              <w:jc w:val="center"/>
              <w:rPr>
                <w:rFonts w:eastAsia="Times New Roman" w:cs="Times New Roman"/>
                <w:noProof/>
              </w:rPr>
            </w:pPr>
            <w:r>
              <w:rPr>
                <w:noProof/>
              </w:rPr>
              <w:t>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B5596D1" w14:textId="77777777" w:rsidR="006578ED" w:rsidRDefault="00A1618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87D6A6" w14:textId="2A7477AF"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F42688E" w14:textId="77777777" w:rsidR="006578ED" w:rsidRDefault="00A1618E">
            <w:pPr>
              <w:pStyle w:val="P68B1DB1-Normal46"/>
              <w:spacing w:after="0" w:line="240" w:lineRule="auto"/>
              <w:rPr>
                <w:rFonts w:eastAsia="Times New Roman" w:cs="Times New Roman"/>
                <w:noProof/>
              </w:rPr>
            </w:pPr>
            <w:r>
              <w:rPr>
                <w:noProof/>
              </w:rPr>
              <w:t xml:space="preserve">Zmodernizowane linie kolejowe na krótkich odcinkach (Cercanías) </w:t>
            </w:r>
          </w:p>
        </w:tc>
      </w:tr>
      <w:tr w:rsidR="006578ED" w14:paraId="0E8D627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1D29D2" w14:textId="77777777" w:rsidR="006578ED" w:rsidRDefault="00A1618E">
            <w:pPr>
              <w:pStyle w:val="P68B1DB1-Normal46"/>
              <w:spacing w:after="0" w:line="240" w:lineRule="auto"/>
              <w:jc w:val="center"/>
              <w:rPr>
                <w:rFonts w:eastAsia="Times New Roman" w:cs="Times New Roman"/>
                <w:noProof/>
              </w:rPr>
            </w:pPr>
            <w:r>
              <w:rPr>
                <w:noProof/>
              </w:rPr>
              <w:t>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DA11E3" w14:textId="77777777" w:rsidR="006578ED" w:rsidRDefault="00A1618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CED1EEF" w14:textId="6A4BF958"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C89F20" w14:textId="77777777" w:rsidR="006578ED" w:rsidRDefault="00A1618E">
            <w:pPr>
              <w:pStyle w:val="P68B1DB1-Normal46"/>
              <w:spacing w:after="0" w:line="240" w:lineRule="auto"/>
              <w:rPr>
                <w:rFonts w:eastAsia="Times New Roman" w:cs="Times New Roman"/>
                <w:noProof/>
              </w:rPr>
            </w:pPr>
            <w:r>
              <w:rPr>
                <w:noProof/>
              </w:rPr>
              <w:t xml:space="preserve">Stacje ulepszone dzięki cyfryzacji </w:t>
            </w:r>
          </w:p>
        </w:tc>
      </w:tr>
      <w:tr w:rsidR="006578ED" w14:paraId="46EA26A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07793F" w14:textId="77777777" w:rsidR="006578ED" w:rsidRDefault="00A1618E">
            <w:pPr>
              <w:pStyle w:val="P68B1DB1-Normal46"/>
              <w:spacing w:after="0" w:line="240" w:lineRule="auto"/>
              <w:jc w:val="center"/>
              <w:rPr>
                <w:rFonts w:eastAsia="Times New Roman" w:cs="Times New Roman"/>
                <w:noProof/>
              </w:rPr>
            </w:pPr>
            <w:r>
              <w:rPr>
                <w:noProof/>
              </w:rPr>
              <w:t>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6C3560D" w14:textId="77777777" w:rsidR="006578ED" w:rsidRDefault="00A1618E">
            <w:pPr>
              <w:pStyle w:val="P68B1DB1-Normal46"/>
              <w:spacing w:after="0" w:line="240" w:lineRule="auto"/>
              <w:rPr>
                <w:rFonts w:eastAsia="Times New Roman" w:cs="Times New Roman"/>
                <w:noProof/>
              </w:rPr>
            </w:pPr>
            <w:r>
              <w:rPr>
                <w:noProof/>
              </w:rPr>
              <w:t>C1.I3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C92DB4" w14:textId="21A83ED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EB2B55" w14:textId="77777777" w:rsidR="006578ED" w:rsidRDefault="00A1618E">
            <w:pPr>
              <w:pStyle w:val="P68B1DB1-Normal46"/>
              <w:spacing w:after="0" w:line="240" w:lineRule="auto"/>
              <w:rPr>
                <w:rFonts w:eastAsia="Times New Roman" w:cs="Times New Roman"/>
                <w:noProof/>
              </w:rPr>
            </w:pPr>
            <w:r>
              <w:rPr>
                <w:noProof/>
              </w:rPr>
              <w:t xml:space="preserve">Ulepszone stacje „Cercanías” </w:t>
            </w:r>
          </w:p>
        </w:tc>
      </w:tr>
      <w:tr w:rsidR="006578ED" w14:paraId="666848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D9DF83" w14:textId="77777777" w:rsidR="006578ED" w:rsidRDefault="00A1618E">
            <w:pPr>
              <w:pStyle w:val="P68B1DB1-Normal46"/>
              <w:spacing w:after="0" w:line="240" w:lineRule="auto"/>
              <w:jc w:val="center"/>
              <w:rPr>
                <w:rFonts w:eastAsia="Times New Roman" w:cs="Times New Roman"/>
                <w:noProof/>
              </w:rPr>
            </w:pPr>
            <w:r>
              <w:rPr>
                <w:noProof/>
              </w:rPr>
              <w:t>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606E53" w14:textId="77777777" w:rsidR="006578ED" w:rsidRDefault="00A1618E">
            <w:pPr>
              <w:pStyle w:val="P68B1DB1-Normal46"/>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750F71" w14:textId="4F30194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FDE18BF" w14:textId="77777777" w:rsidR="006578ED" w:rsidRDefault="00A1618E">
            <w:pPr>
              <w:pStyle w:val="P68B1DB1-Normal46"/>
              <w:spacing w:after="0" w:line="240" w:lineRule="auto"/>
              <w:rPr>
                <w:rFonts w:eastAsia="Times New Roman" w:cs="Times New Roman"/>
                <w:noProof/>
              </w:rPr>
            </w:pPr>
            <w:r>
              <w:rPr>
                <w:noProof/>
              </w:rPr>
              <w:t>Ukończono hektary gruntów na obszarach lub dzielnicach podlegających odnowieniu, ze średnim zmniejszeniem zapotrzebowania na energię pierwotną o co najmniej 30 %</w:t>
            </w:r>
          </w:p>
        </w:tc>
      </w:tr>
      <w:tr w:rsidR="006578ED" w14:paraId="5C825F5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A4FF2C" w14:textId="77777777" w:rsidR="006578ED" w:rsidRDefault="00A1618E">
            <w:pPr>
              <w:pStyle w:val="P68B1DB1-Normal46"/>
              <w:spacing w:after="0" w:line="240" w:lineRule="auto"/>
              <w:jc w:val="center"/>
              <w:rPr>
                <w:rFonts w:eastAsia="Times New Roman" w:cs="Times New Roman"/>
                <w:noProof/>
              </w:rPr>
            </w:pPr>
            <w:r>
              <w:rPr>
                <w:noProof/>
              </w:rPr>
              <w:t>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DE1040" w14:textId="77777777" w:rsidR="006578ED" w:rsidRDefault="00A1618E">
            <w:pPr>
              <w:pStyle w:val="P68B1DB1-Normal46"/>
              <w:spacing w:after="0" w:line="240" w:lineRule="auto"/>
              <w:rPr>
                <w:rFonts w:eastAsia="Times New Roman" w:cs="Times New Roman"/>
                <w:noProof/>
              </w:rPr>
            </w:pPr>
            <w:r>
              <w:rPr>
                <w:noProof/>
              </w:rPr>
              <w:t>C2.I1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225C37" w14:textId="21B352DD"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C387236" w14:textId="0D1D0C64" w:rsidR="006578ED" w:rsidRDefault="00A1618E">
            <w:pPr>
              <w:pStyle w:val="P68B1DB1-Normal46"/>
              <w:spacing w:after="0" w:line="240" w:lineRule="auto"/>
              <w:rPr>
                <w:rFonts w:eastAsia="Times New Roman" w:cs="Times New Roman"/>
                <w:noProof/>
              </w:rPr>
            </w:pPr>
            <w:r>
              <w:rPr>
                <w:noProof/>
              </w:rPr>
              <w:t xml:space="preserve">Zakończenie działań w zakresie renowacji mieszkań mieszkalnych, osiągnięcie średnio co najmniej 30 % zmniejszenia zapotrzebowania na energię pierwotną (co najmniej 410000 działań w co najmniej 285000 unikalnych lokalach mieszkalnych) </w:t>
            </w:r>
          </w:p>
        </w:tc>
      </w:tr>
      <w:tr w:rsidR="006578ED" w14:paraId="5080237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090E274" w14:textId="77777777" w:rsidR="006578ED" w:rsidRDefault="00A1618E">
            <w:pPr>
              <w:pStyle w:val="P68B1DB1-Normal46"/>
              <w:spacing w:after="0" w:line="240" w:lineRule="auto"/>
              <w:jc w:val="center"/>
              <w:rPr>
                <w:rFonts w:eastAsia="Times New Roman" w:cs="Times New Roman"/>
                <w:noProof/>
              </w:rPr>
            </w:pPr>
            <w:r>
              <w:rPr>
                <w:noProof/>
              </w:rPr>
              <w:t>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4C3F0E" w14:textId="77777777" w:rsidR="006578ED" w:rsidRDefault="00A1618E">
            <w:pPr>
              <w:pStyle w:val="P68B1DB1-Normal46"/>
              <w:spacing w:after="0" w:line="240" w:lineRule="auto"/>
              <w:rPr>
                <w:rFonts w:eastAsia="Times New Roman" w:cs="Times New Roman"/>
                <w:noProof/>
              </w:rPr>
            </w:pPr>
            <w:r>
              <w:rPr>
                <w:noProof/>
              </w:rPr>
              <w:t>C2.I2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1BB76F" w14:textId="2F75A59F"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58CB68" w14:textId="12056555" w:rsidR="006578ED" w:rsidRDefault="00A1618E">
            <w:pPr>
              <w:pStyle w:val="P68B1DB1-Normal46"/>
              <w:spacing w:after="0" w:line="240" w:lineRule="auto"/>
              <w:rPr>
                <w:rFonts w:eastAsia="Times New Roman" w:cs="Times New Roman"/>
                <w:noProof/>
              </w:rPr>
            </w:pPr>
            <w:r>
              <w:rPr>
                <w:noProof/>
              </w:rPr>
              <w:t>Nowe lokale mieszkalne wybudowane w celu wynajęcia społecznego lub po przystępnych cenach, zgodne z kryteriami efektywności energetycznej</w:t>
            </w:r>
          </w:p>
        </w:tc>
      </w:tr>
      <w:tr w:rsidR="006578ED" w14:paraId="71D0F1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DD0EB4" w14:textId="77777777" w:rsidR="006578ED" w:rsidRDefault="00A1618E">
            <w:pPr>
              <w:pStyle w:val="P68B1DB1-Normal46"/>
              <w:spacing w:after="0" w:line="240" w:lineRule="auto"/>
              <w:jc w:val="center"/>
              <w:rPr>
                <w:rFonts w:eastAsia="Times New Roman" w:cs="Times New Roman"/>
                <w:noProof/>
              </w:rPr>
            </w:pPr>
            <w:r>
              <w:rPr>
                <w:noProof/>
              </w:rPr>
              <w:t>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89E901" w14:textId="77777777" w:rsidR="006578ED" w:rsidRDefault="00A1618E">
            <w:pPr>
              <w:pStyle w:val="P68B1DB1-Normal46"/>
              <w:spacing w:after="0" w:line="240" w:lineRule="auto"/>
              <w:rPr>
                <w:rFonts w:eastAsia="Times New Roman" w:cs="Times New Roman"/>
                <w:noProof/>
              </w:rPr>
            </w:pPr>
            <w:r>
              <w:rPr>
                <w:noProof/>
              </w:rPr>
              <w:t>C2.I3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BCAE7F" w14:textId="3926B139"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7EFD87" w14:textId="0C102561" w:rsidR="006578ED" w:rsidRDefault="00A1618E">
            <w:pPr>
              <w:pStyle w:val="P68B1DB1-Normal46"/>
              <w:spacing w:after="0" w:line="240" w:lineRule="auto"/>
              <w:rPr>
                <w:rFonts w:eastAsia="Times New Roman" w:cs="Times New Roman"/>
                <w:noProof/>
              </w:rPr>
            </w:pPr>
            <w:r>
              <w:rPr>
                <w:noProof/>
              </w:rPr>
              <w:t xml:space="preserve">Zakończenie renowacji budynków mieszkalnych i niemieszkalnych, w celu osiągnięcia redukcji zapotrzebowania na energię pierwotną średnio o co najmniej 30 % </w:t>
            </w:r>
          </w:p>
        </w:tc>
      </w:tr>
      <w:tr w:rsidR="006578ED" w14:paraId="787189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7C005C2" w14:textId="77777777" w:rsidR="006578ED" w:rsidRDefault="00A1618E">
            <w:pPr>
              <w:pStyle w:val="P68B1DB1-Normal46"/>
              <w:spacing w:after="0" w:line="240" w:lineRule="auto"/>
              <w:jc w:val="center"/>
              <w:rPr>
                <w:rFonts w:eastAsia="Times New Roman" w:cs="Times New Roman"/>
                <w:noProof/>
              </w:rPr>
            </w:pPr>
            <w:r>
              <w:rPr>
                <w:noProof/>
              </w:rPr>
              <w:t>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CA9E448" w14:textId="77777777" w:rsidR="006578ED" w:rsidRDefault="00A1618E">
            <w:pPr>
              <w:pStyle w:val="P68B1DB1-Normal46"/>
              <w:spacing w:after="0" w:line="240" w:lineRule="auto"/>
              <w:rPr>
                <w:rFonts w:eastAsia="Times New Roman" w:cs="Times New Roman"/>
                <w:noProof/>
              </w:rPr>
            </w:pPr>
            <w:r>
              <w:rPr>
                <w:noProof/>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CA75AEC" w14:textId="1E4E73B7"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B57F57C" w14:textId="066B9EFD" w:rsidR="006578ED" w:rsidRDefault="00A1618E">
            <w:pPr>
              <w:pStyle w:val="P68B1DB1-Normal46"/>
              <w:spacing w:after="0" w:line="240" w:lineRule="auto"/>
              <w:rPr>
                <w:rFonts w:eastAsia="Times New Roman" w:cs="Times New Roman"/>
                <w:noProof/>
              </w:rPr>
            </w:pPr>
            <w:r>
              <w:rPr>
                <w:noProof/>
              </w:rPr>
              <w:t xml:space="preserve">Renowacja lokali mieszkalnych i budynków niemieszkalnych w gminach, w których liczba mieszkańców wynosi mniej niż 5000, osiągające średnio co najmniej 30 % redukcję zapotrzebowania na energię pierwotną </w:t>
            </w:r>
          </w:p>
        </w:tc>
      </w:tr>
      <w:tr w:rsidR="006578ED" w14:paraId="1E5FC7B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B53CFC" w14:textId="77777777" w:rsidR="006578ED" w:rsidRDefault="00A1618E">
            <w:pPr>
              <w:pStyle w:val="P68B1DB1-Normal46"/>
              <w:spacing w:after="0" w:line="240" w:lineRule="auto"/>
              <w:jc w:val="center"/>
              <w:rPr>
                <w:rFonts w:eastAsia="Times New Roman" w:cs="Times New Roman"/>
                <w:noProof/>
              </w:rPr>
            </w:pPr>
            <w:r>
              <w:rPr>
                <w:noProof/>
              </w:rPr>
              <w:t>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F153A8" w14:textId="77777777" w:rsidR="006578ED" w:rsidRDefault="00A1618E">
            <w:pPr>
              <w:pStyle w:val="P68B1DB1-Normal46"/>
              <w:spacing w:after="0" w:line="240" w:lineRule="auto"/>
              <w:rPr>
                <w:rFonts w:eastAsia="Times New Roman" w:cs="Times New Roman"/>
                <w:noProof/>
              </w:rPr>
            </w:pPr>
            <w:r>
              <w:rPr>
                <w:noProof/>
              </w:rPr>
              <w:t>C2.I4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2233225" w14:textId="4ADA7B00"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476E51" w14:textId="4C77F7A3" w:rsidR="006578ED" w:rsidRDefault="00A1618E">
            <w:pPr>
              <w:pStyle w:val="P68B1DB1-Normal46"/>
              <w:spacing w:after="0" w:line="240" w:lineRule="auto"/>
              <w:rPr>
                <w:rFonts w:eastAsia="Times New Roman" w:cs="Times New Roman"/>
                <w:noProof/>
              </w:rPr>
            </w:pPr>
            <w:r>
              <w:rPr>
                <w:noProof/>
              </w:rPr>
              <w:t xml:space="preserve">Projekty w zakresie czystej energii w gminach liczących mniej niż 5000 mieszkańców </w:t>
            </w:r>
          </w:p>
        </w:tc>
      </w:tr>
      <w:tr w:rsidR="006578ED" w14:paraId="31DA88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7E4B84" w14:textId="77777777" w:rsidR="006578ED" w:rsidRDefault="00A1618E">
            <w:pPr>
              <w:pStyle w:val="P68B1DB1-Normal46"/>
              <w:spacing w:after="0" w:line="240" w:lineRule="auto"/>
              <w:jc w:val="center"/>
              <w:rPr>
                <w:rFonts w:eastAsia="Times New Roman" w:cs="Times New Roman"/>
                <w:noProof/>
              </w:rPr>
            </w:pPr>
            <w:r>
              <w:rPr>
                <w:noProof/>
              </w:rPr>
              <w:t>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723E717" w14:textId="77777777" w:rsidR="006578ED" w:rsidRDefault="00A1618E">
            <w:pPr>
              <w:pStyle w:val="P68B1DB1-Normal46"/>
              <w:spacing w:after="0" w:line="240" w:lineRule="auto"/>
              <w:rPr>
                <w:rFonts w:eastAsia="Times New Roman" w:cs="Times New Roman"/>
                <w:noProof/>
              </w:rPr>
            </w:pPr>
            <w:r>
              <w:rPr>
                <w:noProof/>
              </w:rPr>
              <w:t>C2.I5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765128E" w14:textId="0F67A52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85AA13" w14:textId="084C60DD" w:rsidR="006578ED" w:rsidRDefault="00A1618E">
            <w:pPr>
              <w:pStyle w:val="P68B1DB1-Normal46"/>
              <w:spacing w:after="0" w:line="240" w:lineRule="auto"/>
              <w:rPr>
                <w:rFonts w:eastAsia="Times New Roman" w:cs="Times New Roman"/>
                <w:noProof/>
              </w:rPr>
            </w:pPr>
            <w:r>
              <w:rPr>
                <w:noProof/>
              </w:rPr>
              <w:t xml:space="preserve">Ukończenie renowacji budynków publicznych w celu zmniejszenia zapotrzebowania na energię pierwotną średnio o co najmniej 30 % (co najmniej 1 230 000 m²) </w:t>
            </w:r>
          </w:p>
        </w:tc>
      </w:tr>
      <w:tr w:rsidR="006578ED" w14:paraId="7B54D3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72C6D" w14:textId="77777777" w:rsidR="006578ED" w:rsidRDefault="00A1618E">
            <w:pPr>
              <w:pStyle w:val="P68B1DB1-Normal46"/>
              <w:spacing w:after="0" w:line="240" w:lineRule="auto"/>
              <w:jc w:val="center"/>
              <w:rPr>
                <w:rFonts w:eastAsia="Times New Roman" w:cs="Times New Roman"/>
                <w:noProof/>
              </w:rPr>
            </w:pPr>
            <w:r>
              <w:rPr>
                <w:noProof/>
              </w:rPr>
              <w:t>423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301914" w14:textId="77777777" w:rsidR="006578ED" w:rsidRDefault="00A1618E">
            <w:pPr>
              <w:pStyle w:val="P68B1DB1-Normal46"/>
              <w:spacing w:after="0" w:line="240" w:lineRule="auto"/>
              <w:rPr>
                <w:rFonts w:eastAsia="Times New Roman" w:cs="Times New Roman"/>
                <w:noProof/>
              </w:rPr>
            </w:pPr>
            <w:r>
              <w:rPr>
                <w:noProof/>
              </w:rPr>
              <w:t>C3.R6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53EF90C" w14:textId="71C12C75"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E50099" w14:textId="1224457C" w:rsidR="006578ED" w:rsidRDefault="00A1618E">
            <w:pPr>
              <w:pStyle w:val="P68B1DB1-Normal46"/>
              <w:spacing w:after="0" w:line="240" w:lineRule="auto"/>
              <w:rPr>
                <w:rFonts w:eastAsia="Times New Roman" w:cs="Times New Roman"/>
                <w:noProof/>
              </w:rPr>
            </w:pPr>
            <w:r>
              <w:rPr>
                <w:noProof/>
              </w:rPr>
              <w:t>Wejście w życie nowelizacji ustawy o rybołówstwie oraz ustawy mającej na celu modernizację systemów kontroli, inspekcji i sankcji w dziedzinie rybołówstwa.</w:t>
            </w:r>
          </w:p>
        </w:tc>
      </w:tr>
      <w:tr w:rsidR="006578ED" w14:paraId="6BC531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33B7BC" w14:textId="77777777" w:rsidR="006578ED" w:rsidRDefault="00A1618E">
            <w:pPr>
              <w:pStyle w:val="P68B1DB1-Normal46"/>
              <w:spacing w:after="0" w:line="240" w:lineRule="auto"/>
              <w:jc w:val="center"/>
              <w:rPr>
                <w:rFonts w:eastAsia="Times New Roman" w:cs="Times New Roman"/>
                <w:noProof/>
              </w:rPr>
            </w:pPr>
            <w:r>
              <w:rPr>
                <w:noProof/>
              </w:rPr>
              <w:t>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B1C63C3" w14:textId="77777777" w:rsidR="006578ED" w:rsidRDefault="00A1618E">
            <w:pPr>
              <w:pStyle w:val="P68B1DB1-Normal46"/>
              <w:spacing w:after="0" w:line="240" w:lineRule="auto"/>
              <w:rPr>
                <w:rFonts w:eastAsia="Times New Roman" w:cs="Times New Roman"/>
                <w:noProof/>
              </w:rPr>
            </w:pPr>
            <w:r>
              <w:rPr>
                <w:noProof/>
              </w:rPr>
              <w:t>C3.I1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2C2015" w14:textId="29A7267B"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D7B19A" w14:textId="19326B6D" w:rsidR="006578ED" w:rsidRDefault="00A1618E">
            <w:pPr>
              <w:pStyle w:val="P68B1DB1-Normal46"/>
              <w:spacing w:after="0" w:line="240" w:lineRule="auto"/>
              <w:rPr>
                <w:rFonts w:eastAsia="Times New Roman" w:cs="Times New Roman"/>
                <w:noProof/>
              </w:rPr>
            </w:pPr>
            <w:r>
              <w:rPr>
                <w:noProof/>
              </w:rPr>
              <w:t xml:space="preserve">Modernizacja zmodernizowanych systemów nawadniania pod względem oszczędności wody i efektywności energetycznej </w:t>
            </w:r>
          </w:p>
        </w:tc>
      </w:tr>
      <w:tr w:rsidR="006578ED" w14:paraId="33CF03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6F75382" w14:textId="77777777" w:rsidR="006578ED" w:rsidRDefault="00A1618E">
            <w:pPr>
              <w:pStyle w:val="P68B1DB1-Normal46"/>
              <w:spacing w:after="0" w:line="240" w:lineRule="auto"/>
              <w:jc w:val="center"/>
              <w:rPr>
                <w:rFonts w:eastAsia="Times New Roman" w:cs="Times New Roman"/>
                <w:noProof/>
              </w:rPr>
            </w:pPr>
            <w:r>
              <w:rPr>
                <w:noProof/>
              </w:rPr>
              <w:t>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4B53E7" w14:textId="77777777" w:rsidR="006578ED" w:rsidRDefault="00A1618E">
            <w:pPr>
              <w:pStyle w:val="P68B1DB1-Normal46"/>
              <w:spacing w:after="0" w:line="240" w:lineRule="auto"/>
              <w:rPr>
                <w:rFonts w:eastAsia="Times New Roman" w:cs="Times New Roman"/>
                <w:noProof/>
              </w:rPr>
            </w:pPr>
            <w:r>
              <w:rPr>
                <w:noProof/>
              </w:rPr>
              <w:t>C3.I2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DEAF2B" w14:textId="0CD4D415"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F2CDD4" w14:textId="73D951E4" w:rsidR="006578ED" w:rsidRDefault="00A1618E">
            <w:pPr>
              <w:pStyle w:val="P68B1DB1-Normal46"/>
              <w:spacing w:after="0" w:line="240" w:lineRule="auto"/>
              <w:rPr>
                <w:rFonts w:eastAsia="Times New Roman" w:cs="Times New Roman"/>
                <w:noProof/>
              </w:rPr>
            </w:pPr>
            <w:r>
              <w:rPr>
                <w:noProof/>
              </w:rPr>
              <w:t xml:space="preserve">Ukończenie budowy obiektu dla zwierząt o poziomie bezpieczeństwa biologicznego 3. </w:t>
            </w:r>
          </w:p>
        </w:tc>
      </w:tr>
      <w:tr w:rsidR="006578ED" w14:paraId="7599FF7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BC81CC" w14:textId="77777777" w:rsidR="006578ED" w:rsidRDefault="00A1618E">
            <w:pPr>
              <w:pStyle w:val="P68B1DB1-Normal46"/>
              <w:spacing w:after="0" w:line="240" w:lineRule="auto"/>
              <w:jc w:val="center"/>
              <w:rPr>
                <w:rFonts w:eastAsia="Times New Roman" w:cs="Times New Roman"/>
                <w:noProof/>
              </w:rPr>
            </w:pPr>
            <w:r>
              <w:rPr>
                <w:noProof/>
              </w:rPr>
              <w:t>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CC36E5" w14:textId="77777777" w:rsidR="006578ED" w:rsidRDefault="00A1618E">
            <w:pPr>
              <w:pStyle w:val="P68B1DB1-Normal46"/>
              <w:spacing w:after="0" w:line="240" w:lineRule="auto"/>
              <w:rPr>
                <w:rFonts w:eastAsia="Times New Roman" w:cs="Times New Roman"/>
                <w:noProof/>
              </w:rPr>
            </w:pPr>
            <w:r>
              <w:rPr>
                <w:noProof/>
              </w:rPr>
              <w:t>C3.I4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62A31F" w14:textId="2C543E2B"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188B05" w14:textId="3E4FF93B" w:rsidR="006578ED" w:rsidRDefault="00A1618E">
            <w:pPr>
              <w:pStyle w:val="P68B1DB1-Normal46"/>
              <w:spacing w:after="0" w:line="240" w:lineRule="auto"/>
              <w:rPr>
                <w:rFonts w:eastAsia="Times New Roman" w:cs="Times New Roman"/>
                <w:noProof/>
              </w:rPr>
            </w:pPr>
            <w:r>
              <w:rPr>
                <w:noProof/>
              </w:rPr>
              <w:t xml:space="preserve">Ukończone projekty dotyczące rolnictwa precyzyjnego, efektywności energetycznej, gospodarki o obiegu zamkniętym i wykorzystania energii ze źródeł odnawialnych </w:t>
            </w:r>
          </w:p>
        </w:tc>
      </w:tr>
      <w:tr w:rsidR="006578ED" w14:paraId="51B0F8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EAE228" w14:textId="77777777" w:rsidR="006578ED" w:rsidRDefault="00A1618E">
            <w:pPr>
              <w:pStyle w:val="P68B1DB1-Normal46"/>
              <w:spacing w:after="0" w:line="240" w:lineRule="auto"/>
              <w:jc w:val="center"/>
              <w:rPr>
                <w:rFonts w:eastAsia="Times New Roman" w:cs="Times New Roman"/>
                <w:noProof/>
              </w:rPr>
            </w:pPr>
            <w:r>
              <w:rPr>
                <w:noProof/>
              </w:rPr>
              <w:t>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F2F5AA" w14:textId="77777777" w:rsidR="006578ED" w:rsidRDefault="00A1618E">
            <w:pPr>
              <w:pStyle w:val="P68B1DB1-Normal46"/>
              <w:spacing w:after="0" w:line="240" w:lineRule="auto"/>
              <w:rPr>
                <w:rFonts w:eastAsia="Times New Roman" w:cs="Times New Roman"/>
                <w:noProof/>
              </w:rPr>
            </w:pPr>
            <w:r>
              <w:rPr>
                <w:noProof/>
              </w:rPr>
              <w:t>C4.I1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3C7727E" w14:textId="3CB9E668"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02FA6" w14:textId="1D6BD636" w:rsidR="006578ED" w:rsidRDefault="00A1618E">
            <w:pPr>
              <w:pStyle w:val="P68B1DB1-Normal46"/>
              <w:spacing w:after="0" w:line="240" w:lineRule="auto"/>
              <w:rPr>
                <w:rFonts w:eastAsia="Times New Roman" w:cs="Times New Roman"/>
                <w:noProof/>
              </w:rPr>
            </w:pPr>
            <w:r>
              <w:rPr>
                <w:noProof/>
              </w:rPr>
              <w:t>Ukończenie i uruchomienie systemu monitorowania wiedzy o różnorodności biologicznej i zarządzania nią</w:t>
            </w:r>
          </w:p>
        </w:tc>
      </w:tr>
      <w:tr w:rsidR="006578ED" w14:paraId="5753D94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356B7F" w14:textId="77777777" w:rsidR="006578ED" w:rsidRDefault="00A1618E">
            <w:pPr>
              <w:pStyle w:val="P68B1DB1-Normal46"/>
              <w:spacing w:after="0" w:line="240" w:lineRule="auto"/>
              <w:jc w:val="center"/>
              <w:rPr>
                <w:rFonts w:eastAsia="Times New Roman" w:cs="Times New Roman"/>
                <w:noProof/>
              </w:rPr>
            </w:pPr>
            <w:r>
              <w:rPr>
                <w:noProof/>
              </w:rPr>
              <w:t>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699AD6" w14:textId="77777777" w:rsidR="006578ED" w:rsidRDefault="00A1618E">
            <w:pPr>
              <w:pStyle w:val="P68B1DB1-Normal46"/>
              <w:spacing w:after="0" w:line="240" w:lineRule="auto"/>
              <w:rPr>
                <w:rFonts w:eastAsia="Times New Roman" w:cs="Times New Roman"/>
                <w:noProof/>
              </w:rPr>
            </w:pPr>
            <w:r>
              <w:rPr>
                <w:noProof/>
              </w:rPr>
              <w:t>C4.I2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65EA52" w14:textId="306A5DF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3DB18D2" w14:textId="77777777" w:rsidR="006578ED" w:rsidRDefault="00A1618E">
            <w:pPr>
              <w:pStyle w:val="P68B1DB1-Normal46"/>
              <w:spacing w:after="0" w:line="240" w:lineRule="auto"/>
              <w:rPr>
                <w:rFonts w:eastAsia="Times New Roman" w:cs="Times New Roman"/>
                <w:noProof/>
              </w:rPr>
            </w:pPr>
            <w:r>
              <w:rPr>
                <w:noProof/>
              </w:rPr>
              <w:t>Działania na rzecz ochrony różnorodności biologicznej</w:t>
            </w:r>
          </w:p>
        </w:tc>
      </w:tr>
      <w:tr w:rsidR="006578ED" w14:paraId="4C952A8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339FB" w14:textId="77777777" w:rsidR="006578ED" w:rsidRDefault="00A1618E">
            <w:pPr>
              <w:pStyle w:val="P68B1DB1-Normal46"/>
              <w:spacing w:after="0" w:line="240" w:lineRule="auto"/>
              <w:jc w:val="center"/>
              <w:rPr>
                <w:rFonts w:eastAsia="Times New Roman" w:cs="Times New Roman"/>
                <w:noProof/>
              </w:rPr>
            </w:pPr>
            <w:r>
              <w:rPr>
                <w:noProof/>
              </w:rPr>
              <w:t>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A942D12" w14:textId="77777777" w:rsidR="006578ED" w:rsidRDefault="00A1618E">
            <w:pPr>
              <w:pStyle w:val="P68B1DB1-Normal46"/>
              <w:spacing w:after="0" w:line="240" w:lineRule="auto"/>
              <w:rPr>
                <w:rFonts w:eastAsia="Times New Roman" w:cs="Times New Roman"/>
                <w:noProof/>
              </w:rPr>
            </w:pPr>
            <w:r>
              <w:rPr>
                <w:noProof/>
              </w:rPr>
              <w:t>C4.I3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91F20B" w14:textId="3BF010E4"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FF560E" w14:textId="77777777" w:rsidR="006578ED" w:rsidRDefault="00A1618E">
            <w:pPr>
              <w:pStyle w:val="P68B1DB1-Normal46"/>
              <w:spacing w:after="0" w:line="240" w:lineRule="auto"/>
              <w:rPr>
                <w:rFonts w:eastAsia="Times New Roman" w:cs="Times New Roman"/>
                <w:noProof/>
              </w:rPr>
            </w:pPr>
            <w:r>
              <w:rPr>
                <w:noProof/>
              </w:rPr>
              <w:t>Zakończenie rekultywacji byłych terenów górniczych (co najmniej 30 dawnych terenów górniczych)</w:t>
            </w:r>
          </w:p>
        </w:tc>
      </w:tr>
      <w:tr w:rsidR="006578ED" w14:paraId="378A155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8E70C4" w14:textId="77777777" w:rsidR="006578ED" w:rsidRDefault="00A1618E">
            <w:pPr>
              <w:pStyle w:val="P68B1DB1-Normal46"/>
              <w:spacing w:after="0" w:line="240" w:lineRule="auto"/>
              <w:jc w:val="center"/>
              <w:rPr>
                <w:rFonts w:eastAsia="Times New Roman" w:cs="Times New Roman"/>
                <w:noProof/>
              </w:rPr>
            </w:pPr>
            <w:r>
              <w:rPr>
                <w:noProof/>
              </w:rPr>
              <w:t>425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88C740" w14:textId="77777777" w:rsidR="006578ED" w:rsidRDefault="00A1618E">
            <w:pPr>
              <w:pStyle w:val="P68B1DB1-Normal46"/>
              <w:spacing w:after="0" w:line="240" w:lineRule="auto"/>
              <w:rPr>
                <w:rFonts w:eastAsia="Times New Roman" w:cs="Times New Roman"/>
                <w:noProof/>
              </w:rPr>
            </w:pPr>
            <w:r>
              <w:rPr>
                <w:noProof/>
              </w:rPr>
              <w:t>C4.I4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50B6FF" w14:textId="3027576E"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58918D2" w14:textId="77777777" w:rsidR="006578ED" w:rsidRDefault="00A1618E">
            <w:pPr>
              <w:pStyle w:val="P68B1DB1-Normal46"/>
              <w:spacing w:after="0" w:line="240" w:lineRule="auto"/>
              <w:rPr>
                <w:rFonts w:eastAsia="Times New Roman" w:cs="Times New Roman"/>
                <w:noProof/>
              </w:rPr>
            </w:pPr>
            <w:r>
              <w:rPr>
                <w:noProof/>
              </w:rPr>
              <w:t>Działania na rzecz zrównoważonej gospodarki leśnej (część II)</w:t>
            </w:r>
          </w:p>
        </w:tc>
      </w:tr>
      <w:tr w:rsidR="006578ED" w14:paraId="56F0C58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7629243" w14:textId="77777777" w:rsidR="006578ED" w:rsidRDefault="00A1618E">
            <w:pPr>
              <w:pStyle w:val="P68B1DB1-Normal46"/>
              <w:spacing w:after="0" w:line="240" w:lineRule="auto"/>
              <w:jc w:val="center"/>
              <w:rPr>
                <w:rFonts w:eastAsia="Times New Roman" w:cs="Times New Roman"/>
                <w:noProof/>
              </w:rPr>
            </w:pPr>
            <w:r>
              <w:rPr>
                <w:noProof/>
              </w:rPr>
              <w:t>426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B91E963" w14:textId="77777777" w:rsidR="006578ED" w:rsidRDefault="00A1618E">
            <w:pPr>
              <w:pStyle w:val="P68B1DB1-Normal46"/>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7B334AA" w14:textId="12CC176F"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0F80BFD" w14:textId="1A8CE157" w:rsidR="006578ED" w:rsidRDefault="00A1618E">
            <w:pPr>
              <w:pStyle w:val="P68B1DB1-Normal46"/>
              <w:spacing w:after="0" w:line="240" w:lineRule="auto"/>
              <w:rPr>
                <w:rFonts w:eastAsia="Times New Roman" w:cs="Times New Roman"/>
                <w:noProof/>
              </w:rPr>
            </w:pPr>
            <w:r>
              <w:rPr>
                <w:noProof/>
              </w:rPr>
              <w:t>Oddanie do użytku narzędzi służących poprawie znajomości i wykorzystania zasobów wodnych oraz monitorowaniu opadów deszczu i innych danych meteorologicznych</w:t>
            </w:r>
          </w:p>
        </w:tc>
      </w:tr>
      <w:tr w:rsidR="006578ED" w14:paraId="1B19C0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DD66CA2" w14:textId="77777777" w:rsidR="006578ED" w:rsidRDefault="00A1618E">
            <w:pPr>
              <w:pStyle w:val="P68B1DB1-Normal46"/>
              <w:spacing w:after="0" w:line="240" w:lineRule="auto"/>
              <w:jc w:val="center"/>
              <w:rPr>
                <w:rFonts w:eastAsia="Times New Roman" w:cs="Times New Roman"/>
                <w:noProof/>
              </w:rPr>
            </w:pPr>
            <w:r>
              <w:rPr>
                <w:noProof/>
              </w:rPr>
              <w:t>427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128394" w14:textId="77777777" w:rsidR="006578ED" w:rsidRDefault="00A1618E">
            <w:pPr>
              <w:pStyle w:val="P68B1DB1-Normal46"/>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4EA101" w14:textId="68E3EC6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6836DD8" w14:textId="77777777" w:rsidR="006578ED" w:rsidRDefault="00A1618E">
            <w:pPr>
              <w:pStyle w:val="P68B1DB1-Normal46"/>
              <w:spacing w:after="0" w:line="240" w:lineRule="auto"/>
              <w:rPr>
                <w:rFonts w:eastAsia="Times New Roman" w:cs="Times New Roman"/>
                <w:noProof/>
              </w:rPr>
            </w:pPr>
            <w:r>
              <w:rPr>
                <w:noProof/>
              </w:rPr>
              <w:t>Ulepszona infrastruktura wodno-ściekowa</w:t>
            </w:r>
          </w:p>
        </w:tc>
      </w:tr>
      <w:tr w:rsidR="006578ED" w14:paraId="30CAA2A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5EA731E" w14:textId="77777777" w:rsidR="006578ED" w:rsidRDefault="00A1618E">
            <w:pPr>
              <w:pStyle w:val="P68B1DB1-Normal46"/>
              <w:spacing w:after="0" w:line="240" w:lineRule="auto"/>
              <w:jc w:val="center"/>
              <w:rPr>
                <w:rFonts w:eastAsia="Times New Roman" w:cs="Times New Roman"/>
                <w:noProof/>
              </w:rPr>
            </w:pPr>
            <w:r>
              <w:rPr>
                <w:noProof/>
              </w:rPr>
              <w:t>428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E4F140C" w14:textId="77777777" w:rsidR="006578ED" w:rsidRDefault="00A1618E">
            <w:pPr>
              <w:pStyle w:val="P68B1DB1-Normal46"/>
              <w:spacing w:after="0" w:line="240" w:lineRule="auto"/>
              <w:rPr>
                <w:rFonts w:eastAsia="Times New Roman" w:cs="Times New Roman"/>
                <w:noProof/>
              </w:rPr>
            </w:pPr>
            <w:r>
              <w:rPr>
                <w:noProof/>
              </w:rPr>
              <w:t>C5.I1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0FB82" w14:textId="3E1276BA"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87D7A53" w14:textId="77777777" w:rsidR="006578ED" w:rsidRDefault="00A1618E">
            <w:pPr>
              <w:pStyle w:val="P68B1DB1-Normal46"/>
              <w:spacing w:after="0" w:line="240" w:lineRule="auto"/>
              <w:rPr>
                <w:rFonts w:eastAsia="Times New Roman" w:cs="Times New Roman"/>
                <w:noProof/>
              </w:rPr>
            </w:pPr>
            <w:r>
              <w:rPr>
                <w:noProof/>
              </w:rPr>
              <w:t xml:space="preserve">Ulepszona infrastruktura wodno-ściekowa </w:t>
            </w:r>
          </w:p>
        </w:tc>
      </w:tr>
      <w:tr w:rsidR="006578ED" w14:paraId="03AE29D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8CF056F" w14:textId="77777777" w:rsidR="006578ED" w:rsidRDefault="00A1618E">
            <w:pPr>
              <w:pStyle w:val="P68B1DB1-Normal46"/>
              <w:spacing w:after="0" w:line="240" w:lineRule="auto"/>
              <w:jc w:val="center"/>
              <w:rPr>
                <w:rFonts w:eastAsia="Times New Roman" w:cs="Times New Roman"/>
                <w:noProof/>
              </w:rPr>
            </w:pPr>
            <w:r>
              <w:rPr>
                <w:noProof/>
              </w:rPr>
              <w:t>429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105D92" w14:textId="77777777" w:rsidR="006578ED" w:rsidRDefault="00A1618E">
            <w:pPr>
              <w:pStyle w:val="P68B1DB1-Normal46"/>
              <w:spacing w:after="0" w:line="240" w:lineRule="auto"/>
              <w:rPr>
                <w:rFonts w:eastAsia="Times New Roman" w:cs="Times New Roman"/>
                <w:noProof/>
              </w:rPr>
            </w:pPr>
            <w:r>
              <w:rPr>
                <w:noProof/>
              </w:rPr>
              <w:t>C5.I2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3E2999C" w14:textId="66238BBB"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72BBAE9" w14:textId="1EBEBB17" w:rsidR="006578ED" w:rsidRDefault="00A1618E">
            <w:pPr>
              <w:pStyle w:val="P68B1DB1-Normal46"/>
              <w:spacing w:after="0" w:line="240" w:lineRule="auto"/>
              <w:rPr>
                <w:rFonts w:eastAsia="Times New Roman" w:cs="Times New Roman"/>
                <w:noProof/>
              </w:rPr>
            </w:pPr>
            <w:r>
              <w:rPr>
                <w:noProof/>
              </w:rPr>
              <w:t>Dostawa energii fotowoltaicznej do zakładów odsalania i jej dystrybucja</w:t>
            </w:r>
          </w:p>
        </w:tc>
      </w:tr>
      <w:tr w:rsidR="006578ED" w14:paraId="0379519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8771CC" w14:textId="77777777" w:rsidR="006578ED" w:rsidRDefault="00A1618E">
            <w:pPr>
              <w:pStyle w:val="P68B1DB1-Normal46"/>
              <w:spacing w:after="0" w:line="240" w:lineRule="auto"/>
              <w:jc w:val="center"/>
              <w:rPr>
                <w:rFonts w:eastAsia="Times New Roman" w:cs="Times New Roman"/>
                <w:noProof/>
              </w:rPr>
            </w:pPr>
            <w:r>
              <w:rPr>
                <w:noProof/>
              </w:rPr>
              <w:t>430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6257966" w14:textId="77777777" w:rsidR="006578ED" w:rsidRDefault="00A1618E">
            <w:pPr>
              <w:pStyle w:val="P68B1DB1-Normal46"/>
              <w:spacing w:after="0" w:line="240" w:lineRule="auto"/>
              <w:rPr>
                <w:rFonts w:eastAsia="Times New Roman" w:cs="Times New Roman"/>
                <w:noProof/>
              </w:rPr>
            </w:pPr>
            <w:r>
              <w:rPr>
                <w:noProof/>
              </w:rPr>
              <w:t>C5.I3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AF132D" w14:textId="32143C07"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57F6604" w14:textId="28C13579" w:rsidR="006578ED" w:rsidRDefault="00A1618E">
            <w:pPr>
              <w:pStyle w:val="P68B1DB1-Normal46"/>
              <w:spacing w:after="0" w:line="240" w:lineRule="auto"/>
              <w:rPr>
                <w:rFonts w:eastAsia="Times New Roman" w:cs="Times New Roman"/>
                <w:noProof/>
              </w:rPr>
            </w:pPr>
            <w:r>
              <w:rPr>
                <w:noProof/>
              </w:rPr>
              <w:t>Działania w zakresie PERTE na rzecz cyfryzacji użytkowników wody</w:t>
            </w:r>
          </w:p>
        </w:tc>
      </w:tr>
      <w:tr w:rsidR="006578ED" w14:paraId="1551400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3ADE4C" w14:textId="77777777" w:rsidR="006578ED" w:rsidRDefault="00A1618E">
            <w:pPr>
              <w:pStyle w:val="P68B1DB1-Normal46"/>
              <w:spacing w:after="0" w:line="240" w:lineRule="auto"/>
              <w:jc w:val="center"/>
              <w:rPr>
                <w:rFonts w:eastAsia="Times New Roman" w:cs="Times New Roman"/>
                <w:noProof/>
              </w:rPr>
            </w:pPr>
            <w:r>
              <w:rPr>
                <w:noProof/>
              </w:rPr>
              <w:t>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6EF368" w14:textId="77777777" w:rsidR="006578ED" w:rsidRDefault="00A1618E">
            <w:pPr>
              <w:pStyle w:val="P68B1DB1-Normal46"/>
              <w:spacing w:after="0" w:line="240" w:lineRule="auto"/>
              <w:rPr>
                <w:rFonts w:eastAsia="Times New Roman" w:cs="Times New Roman"/>
                <w:noProof/>
              </w:rPr>
            </w:pPr>
            <w:r>
              <w:rPr>
                <w:noProof/>
              </w:rPr>
              <w:t>C6.I1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7CC8E7" w14:textId="7D283FAE"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423E1" w14:textId="38092A2F" w:rsidR="006578ED" w:rsidRDefault="00A1618E">
            <w:pPr>
              <w:pStyle w:val="P68B1DB1-Normal46"/>
              <w:spacing w:after="0" w:line="240" w:lineRule="auto"/>
              <w:rPr>
                <w:rFonts w:eastAsia="Times New Roman" w:cs="Times New Roman"/>
                <w:noProof/>
              </w:rPr>
            </w:pPr>
            <w:r>
              <w:rPr>
                <w:noProof/>
              </w:rPr>
              <w:t>Sieć bazowa TEN-</w:t>
            </w:r>
            <w:r w:rsidR="00AF6B91">
              <w:rPr>
                <w:noProof/>
              </w:rPr>
              <w:t>Cel</w:t>
            </w:r>
            <w:r>
              <w:rPr>
                <w:noProof/>
              </w:rPr>
              <w:t xml:space="preserve">: zakończenie prac </w:t>
            </w:r>
          </w:p>
        </w:tc>
      </w:tr>
      <w:tr w:rsidR="006578ED" w14:paraId="75F70A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12762E" w14:textId="77777777" w:rsidR="006578ED" w:rsidRDefault="00A1618E">
            <w:pPr>
              <w:pStyle w:val="P68B1DB1-Normal46"/>
              <w:spacing w:after="0" w:line="240" w:lineRule="auto"/>
              <w:jc w:val="center"/>
              <w:rPr>
                <w:rFonts w:eastAsia="Times New Roman" w:cs="Times New Roman"/>
                <w:noProof/>
              </w:rPr>
            </w:pPr>
            <w:r>
              <w:rPr>
                <w:noProof/>
              </w:rPr>
              <w:t>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CA58C" w14:textId="77777777" w:rsidR="006578ED" w:rsidRDefault="00A1618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B778F61" w14:textId="0613BB5B"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4C43377" w14:textId="1027312E" w:rsidR="006578ED" w:rsidRDefault="00A1618E">
            <w:pPr>
              <w:pStyle w:val="P68B1DB1-Normal46"/>
              <w:spacing w:after="0" w:line="240" w:lineRule="auto"/>
              <w:rPr>
                <w:rFonts w:eastAsia="Times New Roman" w:cs="Times New Roman"/>
                <w:noProof/>
              </w:rPr>
            </w:pPr>
            <w:r>
              <w:rPr>
                <w:noProof/>
              </w:rPr>
              <w:t>Nowa lub zmodernizowana sieć TEN-</w:t>
            </w:r>
            <w:r w:rsidR="00AF6B91">
              <w:rPr>
                <w:noProof/>
              </w:rPr>
              <w:t>Cel</w:t>
            </w:r>
            <w:r>
              <w:rPr>
                <w:noProof/>
              </w:rPr>
              <w:t xml:space="preserve">, inne roboty </w:t>
            </w:r>
          </w:p>
        </w:tc>
      </w:tr>
      <w:tr w:rsidR="006578ED" w14:paraId="352D390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161CD18" w14:textId="77777777" w:rsidR="006578ED" w:rsidRDefault="00A1618E">
            <w:pPr>
              <w:pStyle w:val="P68B1DB1-Normal46"/>
              <w:spacing w:after="0" w:line="240" w:lineRule="auto"/>
              <w:jc w:val="center"/>
              <w:rPr>
                <w:rFonts w:eastAsia="Times New Roman" w:cs="Times New Roman"/>
                <w:noProof/>
              </w:rPr>
            </w:pPr>
            <w:r>
              <w:rPr>
                <w:noProof/>
              </w:rPr>
              <w:t>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05CC63" w14:textId="77777777" w:rsidR="006578ED" w:rsidRDefault="00A1618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7ED46C" w14:textId="09113E33"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1A800A2" w14:textId="77777777" w:rsidR="006578ED" w:rsidRDefault="00A1618E">
            <w:pPr>
              <w:pStyle w:val="P68B1DB1-Normal46"/>
              <w:spacing w:after="0" w:line="240" w:lineRule="auto"/>
              <w:rPr>
                <w:rFonts w:eastAsia="Times New Roman" w:cs="Times New Roman"/>
                <w:noProof/>
              </w:rPr>
            </w:pPr>
            <w:r>
              <w:rPr>
                <w:noProof/>
              </w:rPr>
              <w:t>Jednolita europejska przestrzeń powietrzna: zakończenie projektu</w:t>
            </w:r>
          </w:p>
        </w:tc>
      </w:tr>
      <w:tr w:rsidR="006578ED" w14:paraId="4F46257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F22DF2" w14:textId="77777777" w:rsidR="006578ED" w:rsidRDefault="00A1618E">
            <w:pPr>
              <w:pStyle w:val="P68B1DB1-Normal46"/>
              <w:spacing w:after="0" w:line="240" w:lineRule="auto"/>
              <w:jc w:val="center"/>
              <w:rPr>
                <w:rFonts w:eastAsia="Times New Roman" w:cs="Times New Roman"/>
                <w:noProof/>
              </w:rPr>
            </w:pPr>
            <w:r>
              <w:rPr>
                <w:noProof/>
              </w:rPr>
              <w:t>94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D95350" w14:textId="77777777" w:rsidR="006578ED" w:rsidRDefault="00A1618E">
            <w:pPr>
              <w:pStyle w:val="P68B1DB1-Normal46"/>
              <w:spacing w:after="0" w:line="240" w:lineRule="auto"/>
              <w:rPr>
                <w:rFonts w:eastAsia="Times New Roman" w:cs="Times New Roman"/>
                <w:noProof/>
              </w:rPr>
            </w:pPr>
            <w:r>
              <w:rPr>
                <w:noProof/>
              </w:rPr>
              <w:t>C6.I2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5DF8F6" w14:textId="0627A385"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324A121" w14:textId="77777777" w:rsidR="006578ED" w:rsidRDefault="00A1618E">
            <w:pPr>
              <w:pStyle w:val="P68B1DB1-Normal46"/>
              <w:spacing w:after="0" w:line="240" w:lineRule="auto"/>
              <w:rPr>
                <w:rFonts w:eastAsia="Times New Roman" w:cs="Times New Roman"/>
                <w:noProof/>
              </w:rPr>
            </w:pPr>
            <w:r>
              <w:rPr>
                <w:noProof/>
              </w:rPr>
              <w:t xml:space="preserve">Sieć dróg państwowych dostosowana do obowiązujących przepisów </w:t>
            </w:r>
          </w:p>
        </w:tc>
      </w:tr>
      <w:tr w:rsidR="006578ED" w14:paraId="3675B56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17FBBB" w14:textId="77777777" w:rsidR="006578ED" w:rsidRDefault="00A1618E">
            <w:pPr>
              <w:pStyle w:val="P68B1DB1-Normal46"/>
              <w:spacing w:after="0" w:line="240" w:lineRule="auto"/>
              <w:jc w:val="center"/>
              <w:rPr>
                <w:rFonts w:eastAsia="Times New Roman" w:cs="Times New Roman"/>
                <w:noProof/>
              </w:rPr>
            </w:pPr>
            <w:r>
              <w:rPr>
                <w:noProof/>
              </w:rPr>
              <w:t>97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02102F0" w14:textId="77777777" w:rsidR="006578ED" w:rsidRDefault="00A1618E">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7A6809" w14:textId="163445FE"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F5F99C" w14:textId="1D1934F6" w:rsidR="006578ED" w:rsidRDefault="00A1618E">
            <w:pPr>
              <w:pStyle w:val="P68B1DB1-Normal46"/>
              <w:spacing w:after="0" w:line="240" w:lineRule="auto"/>
              <w:rPr>
                <w:rFonts w:eastAsia="Times New Roman" w:cs="Times New Roman"/>
                <w:noProof/>
              </w:rPr>
            </w:pPr>
            <w:r>
              <w:rPr>
                <w:noProof/>
              </w:rPr>
              <w:t xml:space="preserve">Infrastruktura intermodalna i logistyczna </w:t>
            </w:r>
          </w:p>
        </w:tc>
      </w:tr>
      <w:tr w:rsidR="006578ED" w14:paraId="1ACC4A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BE1C0B" w14:textId="77777777" w:rsidR="006578ED" w:rsidRDefault="00A1618E">
            <w:pPr>
              <w:pStyle w:val="P68B1DB1-Normal46"/>
              <w:spacing w:after="0" w:line="240" w:lineRule="auto"/>
              <w:jc w:val="center"/>
              <w:rPr>
                <w:rFonts w:eastAsia="Times New Roman" w:cs="Times New Roman"/>
                <w:noProof/>
              </w:rPr>
            </w:pPr>
            <w:r>
              <w:rPr>
                <w:noProof/>
              </w:rPr>
              <w:t>98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46BF18" w14:textId="77777777" w:rsidR="006578ED" w:rsidRDefault="00A1618E">
            <w:pPr>
              <w:pStyle w:val="P68B1DB1-Normal46"/>
              <w:spacing w:after="0" w:line="240" w:lineRule="auto"/>
              <w:rPr>
                <w:rFonts w:eastAsia="Times New Roman" w:cs="Times New Roman"/>
                <w:noProof/>
              </w:rPr>
            </w:pPr>
            <w:r>
              <w:rPr>
                <w:noProof/>
              </w:rPr>
              <w:t>C6.I3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1DC12E" w14:textId="5000C3AD"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8C3CB" w14:textId="43F3D8DB" w:rsidR="006578ED" w:rsidRDefault="00A1618E">
            <w:pPr>
              <w:pStyle w:val="P68B1DB1-Normal46"/>
              <w:spacing w:after="0" w:line="240" w:lineRule="auto"/>
              <w:rPr>
                <w:rFonts w:eastAsia="Times New Roman" w:cs="Times New Roman"/>
                <w:noProof/>
              </w:rPr>
            </w:pPr>
            <w:r>
              <w:rPr>
                <w:noProof/>
              </w:rPr>
              <w:t xml:space="preserve">Zakończenie projektów w zakresie dostępności kolei i projektów dotyczących trwałości portów </w:t>
            </w:r>
          </w:p>
        </w:tc>
      </w:tr>
      <w:tr w:rsidR="006578ED" w14:paraId="62C2EF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61E851" w14:textId="77777777" w:rsidR="006578ED" w:rsidRDefault="00A1618E">
            <w:pPr>
              <w:pStyle w:val="P68B1DB1-Normal46"/>
              <w:spacing w:after="0" w:line="240" w:lineRule="auto"/>
              <w:jc w:val="center"/>
              <w:rPr>
                <w:rFonts w:eastAsia="Times New Roman" w:cs="Times New Roman"/>
                <w:noProof/>
              </w:rPr>
            </w:pPr>
            <w:r>
              <w:rPr>
                <w:noProof/>
              </w:rPr>
              <w:t>101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1A3CF4" w14:textId="77777777" w:rsidR="006578ED" w:rsidRDefault="00A1618E">
            <w:pPr>
              <w:pStyle w:val="P68B1DB1-Normal46"/>
              <w:spacing w:after="0" w:line="240" w:lineRule="auto"/>
              <w:rPr>
                <w:rFonts w:eastAsia="Times New Roman" w:cs="Times New Roman"/>
                <w:noProof/>
              </w:rPr>
            </w:pPr>
            <w:r>
              <w:rPr>
                <w:noProof/>
              </w:rPr>
              <w:t>C6.I4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EA101BB" w14:textId="00C113AF"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CC3967" w14:textId="57C9F540" w:rsidR="006578ED" w:rsidRDefault="00A1618E">
            <w:pPr>
              <w:pStyle w:val="P68B1DB1-Normal46"/>
              <w:spacing w:after="0" w:line="240" w:lineRule="auto"/>
              <w:rPr>
                <w:rFonts w:eastAsia="Times New Roman" w:cs="Times New Roman"/>
                <w:noProof/>
              </w:rPr>
            </w:pPr>
            <w:r>
              <w:rPr>
                <w:noProof/>
              </w:rPr>
              <w:t>Zrównoważony i cyfrowy transport: zakończenie prac</w:t>
            </w:r>
          </w:p>
        </w:tc>
      </w:tr>
      <w:tr w:rsidR="006578ED" w14:paraId="00A47A8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B67D541" w14:textId="77777777" w:rsidR="006578ED" w:rsidRDefault="00A1618E">
            <w:pPr>
              <w:pStyle w:val="P68B1DB1-Normal46"/>
              <w:spacing w:after="0" w:line="240" w:lineRule="auto"/>
              <w:jc w:val="center"/>
              <w:rPr>
                <w:rFonts w:eastAsia="Times New Roman" w:cs="Times New Roman"/>
                <w:noProof/>
              </w:rPr>
            </w:pPr>
            <w:r>
              <w:rPr>
                <w:noProof/>
              </w:rPr>
              <w:t>117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96D0259" w14:textId="77777777" w:rsidR="006578ED" w:rsidRDefault="00A1618E">
            <w:pPr>
              <w:pStyle w:val="P68B1DB1-Normal46"/>
              <w:spacing w:after="0" w:line="240" w:lineRule="auto"/>
              <w:rPr>
                <w:rFonts w:eastAsia="Times New Roman" w:cs="Times New Roman"/>
                <w:noProof/>
              </w:rPr>
            </w:pPr>
            <w:r>
              <w:rPr>
                <w:noProof/>
              </w:rPr>
              <w:t>C7.I1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FFBAD1" w14:textId="4B39EA03"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EAEBD64" w14:textId="0AB57447" w:rsidR="006578ED" w:rsidRDefault="00A1618E">
            <w:pPr>
              <w:pStyle w:val="P68B1DB1-Normal46"/>
              <w:spacing w:after="0" w:line="240" w:lineRule="auto"/>
              <w:rPr>
                <w:rFonts w:eastAsia="Times New Roman" w:cs="Times New Roman"/>
                <w:noProof/>
              </w:rPr>
            </w:pPr>
            <w:r>
              <w:rPr>
                <w:noProof/>
              </w:rPr>
              <w:t>Dodatkowa zdolność produkcyjna w zakresie innowacyjnej energii ze źródeł odnawialnych o wartości dodanej</w:t>
            </w:r>
          </w:p>
        </w:tc>
      </w:tr>
      <w:tr w:rsidR="006578ED" w14:paraId="7C9458E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D2E50" w14:textId="77777777" w:rsidR="006578ED" w:rsidRDefault="00A1618E">
            <w:pPr>
              <w:pStyle w:val="P68B1DB1-Normal46"/>
              <w:spacing w:after="0" w:line="240" w:lineRule="auto"/>
              <w:jc w:val="center"/>
              <w:rPr>
                <w:rFonts w:eastAsia="Times New Roman" w:cs="Times New Roman"/>
                <w:noProof/>
              </w:rPr>
            </w:pPr>
            <w:r>
              <w:rPr>
                <w:noProof/>
              </w:rPr>
              <w:t>120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E67F6A" w14:textId="77777777" w:rsidR="006578ED" w:rsidRDefault="00A1618E">
            <w:pPr>
              <w:pStyle w:val="P68B1DB1-Normal46"/>
              <w:spacing w:after="0" w:line="240" w:lineRule="auto"/>
              <w:rPr>
                <w:rFonts w:eastAsia="Times New Roman" w:cs="Times New Roman"/>
                <w:noProof/>
              </w:rPr>
            </w:pPr>
            <w:r>
              <w:rPr>
                <w:noProof/>
              </w:rPr>
              <w:t>C7.I2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4B2EE55" w14:textId="6352F76C"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F6E1124" w14:textId="23187B1A" w:rsidR="006578ED" w:rsidRDefault="00A1618E">
            <w:pPr>
              <w:pStyle w:val="P68B1DB1-Normal46"/>
              <w:spacing w:after="0" w:line="240" w:lineRule="auto"/>
              <w:rPr>
                <w:rFonts w:eastAsia="Times New Roman" w:cs="Times New Roman"/>
                <w:noProof/>
              </w:rPr>
            </w:pPr>
            <w:r>
              <w:rPr>
                <w:noProof/>
              </w:rPr>
              <w:t>Dodatkowa zdolność produkcyjna w zakresie energii ze źródeł odnawialnych na wyspach</w:t>
            </w:r>
          </w:p>
        </w:tc>
      </w:tr>
      <w:tr w:rsidR="006578ED" w14:paraId="614DCF1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2C8E4" w14:textId="77777777" w:rsidR="006578ED" w:rsidRDefault="00A1618E">
            <w:pPr>
              <w:pStyle w:val="P68B1DB1-Normal46"/>
              <w:spacing w:after="0" w:line="240" w:lineRule="auto"/>
              <w:jc w:val="center"/>
              <w:rPr>
                <w:rFonts w:eastAsia="Times New Roman" w:cs="Times New Roman"/>
                <w:noProof/>
              </w:rPr>
            </w:pPr>
            <w:r>
              <w:rPr>
                <w:noProof/>
              </w:rPr>
              <w:t>126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81B728" w14:textId="77777777" w:rsidR="006578ED" w:rsidRDefault="00A1618E">
            <w:pPr>
              <w:pStyle w:val="P68B1DB1-Normal46"/>
              <w:spacing w:after="0" w:line="240" w:lineRule="auto"/>
              <w:rPr>
                <w:rFonts w:eastAsia="Times New Roman" w:cs="Times New Roman"/>
                <w:noProof/>
              </w:rPr>
            </w:pPr>
            <w:r>
              <w:rPr>
                <w:noProof/>
              </w:rPr>
              <w:t>C8.I1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A5C5BAF" w14:textId="7B4CEF3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646FA" w14:textId="77777777" w:rsidR="006578ED" w:rsidRDefault="00A1618E">
            <w:pPr>
              <w:pStyle w:val="P68B1DB1-Normal46"/>
              <w:spacing w:after="0" w:line="240" w:lineRule="auto"/>
              <w:rPr>
                <w:rFonts w:eastAsia="Times New Roman" w:cs="Times New Roman"/>
                <w:noProof/>
              </w:rPr>
            </w:pPr>
            <w:r>
              <w:rPr>
                <w:noProof/>
              </w:rPr>
              <w:t xml:space="preserve">Realizacja innowacyjnych projektów magazynowania </w:t>
            </w:r>
          </w:p>
        </w:tc>
      </w:tr>
      <w:tr w:rsidR="006578ED" w14:paraId="08AD8C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10DAEE6" w14:textId="77777777" w:rsidR="006578ED" w:rsidRDefault="00A1618E">
            <w:pPr>
              <w:pStyle w:val="P68B1DB1-Normal46"/>
              <w:spacing w:after="0" w:line="240" w:lineRule="auto"/>
              <w:jc w:val="center"/>
              <w:rPr>
                <w:rFonts w:eastAsia="Times New Roman" w:cs="Times New Roman"/>
                <w:noProof/>
              </w:rPr>
            </w:pPr>
            <w:r>
              <w:rPr>
                <w:noProof/>
              </w:rPr>
              <w:t>136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FB5A5E" w14:textId="77777777" w:rsidR="006578ED" w:rsidRDefault="00A1618E">
            <w:pPr>
              <w:pStyle w:val="P68B1DB1-Normal46"/>
              <w:spacing w:after="0" w:line="240" w:lineRule="auto"/>
              <w:rPr>
                <w:rFonts w:eastAsia="Times New Roman" w:cs="Times New Roman"/>
                <w:noProof/>
              </w:rPr>
            </w:pPr>
            <w:r>
              <w:rPr>
                <w:noProof/>
              </w:rPr>
              <w:t>C9.I1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C66D17" w14:textId="65FA0EF5"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C53DF63" w14:textId="77777777" w:rsidR="006578ED" w:rsidRDefault="00A1618E">
            <w:pPr>
              <w:pStyle w:val="P68B1DB1-Normal46"/>
              <w:spacing w:after="0" w:line="240" w:lineRule="auto"/>
              <w:rPr>
                <w:rFonts w:eastAsia="Times New Roman" w:cs="Times New Roman"/>
                <w:noProof/>
              </w:rPr>
            </w:pPr>
            <w:r>
              <w:rPr>
                <w:noProof/>
              </w:rPr>
              <w:t>Dopuszczalna pojemność elektrolizerów</w:t>
            </w:r>
          </w:p>
        </w:tc>
      </w:tr>
      <w:tr w:rsidR="006578ED" w14:paraId="315D870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502DBF3" w14:textId="77777777" w:rsidR="006578ED" w:rsidRDefault="00A1618E">
            <w:pPr>
              <w:pStyle w:val="P68B1DB1-Normal46"/>
              <w:spacing w:after="0" w:line="240" w:lineRule="auto"/>
              <w:jc w:val="center"/>
              <w:rPr>
                <w:rFonts w:eastAsia="Times New Roman" w:cs="Times New Roman"/>
                <w:noProof/>
              </w:rPr>
            </w:pPr>
            <w:r>
              <w:rPr>
                <w:noProof/>
              </w:rPr>
              <w:t>143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9BCB9F0" w14:textId="77777777" w:rsidR="006578ED" w:rsidRDefault="00A1618E">
            <w:pPr>
              <w:pStyle w:val="P68B1DB1-Normal46"/>
              <w:spacing w:after="0" w:line="240" w:lineRule="auto"/>
              <w:rPr>
                <w:rFonts w:eastAsia="Times New Roman" w:cs="Times New Roman"/>
                <w:noProof/>
              </w:rPr>
            </w:pPr>
            <w:r>
              <w:rPr>
                <w:noProof/>
              </w:rPr>
              <w:t>C10.I1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362306" w14:textId="1838152C"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FEA7A2B" w14:textId="349AA55C" w:rsidR="006578ED" w:rsidRDefault="00A1618E">
            <w:pPr>
              <w:pStyle w:val="P68B1DB1-Normal46"/>
              <w:spacing w:after="0" w:line="240" w:lineRule="auto"/>
              <w:rPr>
                <w:rFonts w:eastAsia="Times New Roman" w:cs="Times New Roman"/>
                <w:noProof/>
              </w:rPr>
            </w:pPr>
            <w:r>
              <w:rPr>
                <w:noProof/>
              </w:rPr>
              <w:t>Tereny rekultywowane w zamkniętych kopalniach węgla lub na obszarach przyległych do elektrowni.</w:t>
            </w:r>
          </w:p>
        </w:tc>
      </w:tr>
      <w:tr w:rsidR="006578ED" w14:paraId="19FA120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131035" w14:textId="77777777" w:rsidR="006578ED" w:rsidRDefault="00A1618E">
            <w:pPr>
              <w:pStyle w:val="P68B1DB1-Normal46"/>
              <w:spacing w:after="0" w:line="240" w:lineRule="auto"/>
              <w:jc w:val="center"/>
              <w:rPr>
                <w:rFonts w:eastAsia="Times New Roman" w:cs="Times New Roman"/>
                <w:noProof/>
              </w:rPr>
            </w:pPr>
            <w:r>
              <w:rPr>
                <w:noProof/>
              </w:rPr>
              <w:t>169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19F37" w14:textId="77777777" w:rsidR="006578ED" w:rsidRDefault="00A1618E">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625D26D" w14:textId="0FB7C01F"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4068A72" w14:textId="522417A7" w:rsidR="006578ED" w:rsidRDefault="00A1618E">
            <w:pPr>
              <w:pStyle w:val="P68B1DB1-Normal46"/>
              <w:spacing w:after="0" w:line="240" w:lineRule="auto"/>
              <w:rPr>
                <w:rFonts w:eastAsia="Times New Roman" w:cs="Times New Roman"/>
                <w:noProof/>
              </w:rPr>
            </w:pPr>
            <w:r>
              <w:rPr>
                <w:noProof/>
              </w:rPr>
              <w:t>Zakończenie wszystkich projektów wspierających transformację cyfrową regionalnych i lokalnych administracji publicznych oraz Ministerstwa Polityki Terytorialnej i Administracji Publicznej</w:t>
            </w:r>
          </w:p>
        </w:tc>
      </w:tr>
      <w:tr w:rsidR="006578ED" w14:paraId="1DB6473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917AFE" w14:textId="77777777" w:rsidR="006578ED" w:rsidRDefault="00A1618E">
            <w:pPr>
              <w:pStyle w:val="P68B1DB1-Normal46"/>
              <w:spacing w:after="0" w:line="240" w:lineRule="auto"/>
              <w:jc w:val="center"/>
              <w:rPr>
                <w:rFonts w:eastAsia="Times New Roman" w:cs="Times New Roman"/>
                <w:noProof/>
              </w:rPr>
            </w:pPr>
            <w:r>
              <w:rPr>
                <w:noProof/>
              </w:rPr>
              <w:t>438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2838D1" w14:textId="77777777" w:rsidR="006578ED" w:rsidRDefault="00A1618E">
            <w:pPr>
              <w:pStyle w:val="P68B1DB1-Normal46"/>
              <w:spacing w:after="0" w:line="240" w:lineRule="auto"/>
              <w:rPr>
                <w:rFonts w:eastAsia="Times New Roman" w:cs="Times New Roman"/>
                <w:noProof/>
              </w:rPr>
            </w:pPr>
            <w:r>
              <w:rPr>
                <w:noProof/>
              </w:rPr>
              <w:t>C11.I3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B187BE6" w14:textId="0C6A3B89"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555F575" w14:textId="77777777" w:rsidR="006578ED" w:rsidRDefault="00A1618E">
            <w:pPr>
              <w:pStyle w:val="P68B1DB1-Normal46"/>
              <w:spacing w:after="0" w:line="240" w:lineRule="auto"/>
              <w:rPr>
                <w:rFonts w:eastAsia="Times New Roman" w:cs="Times New Roman"/>
                <w:noProof/>
              </w:rPr>
            </w:pPr>
            <w:r>
              <w:rPr>
                <w:noProof/>
              </w:rPr>
              <w:t>Wdrożenie planu osobistej opieki cyfrowej</w:t>
            </w:r>
          </w:p>
        </w:tc>
      </w:tr>
      <w:tr w:rsidR="006578ED" w14:paraId="7CBB5F5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D80923" w14:textId="77777777" w:rsidR="006578ED" w:rsidRDefault="00A1618E">
            <w:pPr>
              <w:pStyle w:val="P68B1DB1-Normal46"/>
              <w:spacing w:after="0" w:line="240" w:lineRule="auto"/>
              <w:jc w:val="center"/>
              <w:rPr>
                <w:rFonts w:eastAsia="Times New Roman" w:cs="Times New Roman"/>
                <w:noProof/>
              </w:rPr>
            </w:pPr>
            <w:r>
              <w:rPr>
                <w:noProof/>
              </w:rPr>
              <w:t>172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E367F9" w14:textId="77777777" w:rsidR="006578ED" w:rsidRDefault="00A1618E">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518706F" w14:textId="05919CB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59E15E8" w14:textId="275B3304" w:rsidR="006578ED" w:rsidRDefault="00A1618E">
            <w:pPr>
              <w:pStyle w:val="P68B1DB1-Normal46"/>
              <w:spacing w:after="0" w:line="240" w:lineRule="auto"/>
              <w:rPr>
                <w:rFonts w:eastAsia="Times New Roman" w:cs="Times New Roman"/>
                <w:noProof/>
              </w:rPr>
            </w:pPr>
            <w:r>
              <w:rPr>
                <w:noProof/>
              </w:rPr>
              <w:t>Renowacje energetyczne w budynkach publicznych (1 050 000 m²)</w:t>
            </w:r>
          </w:p>
        </w:tc>
      </w:tr>
      <w:tr w:rsidR="006578ED" w14:paraId="3AEC4A3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456253" w14:textId="77777777" w:rsidR="006578ED" w:rsidRDefault="00A1618E">
            <w:pPr>
              <w:pStyle w:val="P68B1DB1-Normal46"/>
              <w:spacing w:after="0" w:line="240" w:lineRule="auto"/>
              <w:jc w:val="center"/>
              <w:rPr>
                <w:rFonts w:eastAsia="Times New Roman" w:cs="Times New Roman"/>
                <w:noProof/>
              </w:rPr>
            </w:pPr>
            <w:r>
              <w:rPr>
                <w:noProof/>
              </w:rPr>
              <w:t>439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D9DC32" w14:textId="77777777" w:rsidR="006578ED" w:rsidRDefault="00A1618E">
            <w:pPr>
              <w:pStyle w:val="P68B1DB1-Normal46"/>
              <w:spacing w:after="0" w:line="240" w:lineRule="auto"/>
              <w:rPr>
                <w:rFonts w:eastAsia="Times New Roman" w:cs="Times New Roman"/>
                <w:noProof/>
              </w:rPr>
            </w:pPr>
            <w:r>
              <w:rPr>
                <w:noProof/>
              </w:rPr>
              <w:t>C11.I4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3E16666" w14:textId="0A7AF2CF"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2210D3" w14:textId="0785E396" w:rsidR="006578ED" w:rsidRDefault="00A1618E">
            <w:pPr>
              <w:pStyle w:val="P68B1DB1-Normal46"/>
              <w:spacing w:after="0" w:line="240" w:lineRule="auto"/>
              <w:rPr>
                <w:rFonts w:eastAsia="Times New Roman" w:cs="Times New Roman"/>
                <w:noProof/>
              </w:rPr>
            </w:pPr>
            <w:r>
              <w:rPr>
                <w:noProof/>
              </w:rPr>
              <w:t>Wdrażanie systemów fotowoltaicznych lub innych odnawialnych źródeł energii w obiektach administracji centralnej</w:t>
            </w:r>
          </w:p>
        </w:tc>
      </w:tr>
      <w:tr w:rsidR="006578ED" w14:paraId="342E7C5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E7F879" w14:textId="77777777" w:rsidR="006578ED" w:rsidRDefault="00A1618E">
            <w:pPr>
              <w:pStyle w:val="P68B1DB1-Normal46"/>
              <w:spacing w:after="0" w:line="240" w:lineRule="auto"/>
              <w:jc w:val="center"/>
              <w:rPr>
                <w:rFonts w:eastAsia="Times New Roman" w:cs="Times New Roman"/>
                <w:noProof/>
              </w:rPr>
            </w:pPr>
            <w:r>
              <w:rPr>
                <w:noProof/>
              </w:rPr>
              <w:t>175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340149" w14:textId="77777777" w:rsidR="006578ED" w:rsidRDefault="00A1618E">
            <w:pPr>
              <w:pStyle w:val="P68B1DB1-Normal46"/>
              <w:spacing w:after="0" w:line="240" w:lineRule="auto"/>
              <w:rPr>
                <w:rFonts w:eastAsia="Times New Roman" w:cs="Times New Roman"/>
                <w:noProof/>
              </w:rPr>
            </w:pPr>
            <w:r>
              <w:rPr>
                <w:noProof/>
              </w:rPr>
              <w:t>C11.I5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224ABA" w14:textId="00F3F973"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3998921" w14:textId="77777777" w:rsidR="006578ED" w:rsidRDefault="00A1618E">
            <w:pPr>
              <w:pStyle w:val="P68B1DB1-Normal46"/>
              <w:spacing w:after="0" w:line="240" w:lineRule="auto"/>
              <w:rPr>
                <w:rFonts w:eastAsia="Times New Roman" w:cs="Times New Roman"/>
                <w:noProof/>
              </w:rPr>
            </w:pPr>
            <w:r>
              <w:rPr>
                <w:noProof/>
              </w:rPr>
              <w:t xml:space="preserve">Przeszkolony personel administracji publicznej </w:t>
            </w:r>
          </w:p>
        </w:tc>
      </w:tr>
      <w:tr w:rsidR="006578ED" w14:paraId="6DDE5F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6629FE" w14:textId="77777777" w:rsidR="006578ED" w:rsidRDefault="00A1618E">
            <w:pPr>
              <w:pStyle w:val="P68B1DB1-Normal46"/>
              <w:spacing w:after="0" w:line="240" w:lineRule="auto"/>
              <w:jc w:val="center"/>
              <w:rPr>
                <w:rFonts w:eastAsia="Times New Roman" w:cs="Times New Roman"/>
                <w:noProof/>
              </w:rPr>
            </w:pPr>
            <w:r>
              <w:rPr>
                <w:noProof/>
              </w:rPr>
              <w:t>180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865DB2D" w14:textId="77777777" w:rsidR="006578ED" w:rsidRDefault="00A1618E">
            <w:pPr>
              <w:pStyle w:val="P68B1DB1-Normal46"/>
              <w:spacing w:after="0" w:line="240" w:lineRule="auto"/>
              <w:rPr>
                <w:rFonts w:eastAsia="Times New Roman" w:cs="Times New Roman"/>
                <w:noProof/>
              </w:rPr>
            </w:pPr>
            <w:r>
              <w:rPr>
                <w:noProof/>
              </w:rPr>
              <w:t>C12.I1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6962864" w14:textId="3461402C"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9982C0A" w14:textId="7CD1C96D" w:rsidR="006578ED" w:rsidRDefault="00A1618E">
            <w:pPr>
              <w:pStyle w:val="P68B1DB1-Normal46"/>
              <w:spacing w:after="0" w:line="240" w:lineRule="auto"/>
              <w:rPr>
                <w:rFonts w:eastAsia="Times New Roman" w:cs="Times New Roman"/>
                <w:noProof/>
              </w:rPr>
            </w:pPr>
            <w:r>
              <w:rPr>
                <w:noProof/>
              </w:rPr>
              <w:t>Sektorowe i interoperacyjne przestrzenie danych o wysokiej wartości</w:t>
            </w:r>
          </w:p>
        </w:tc>
      </w:tr>
      <w:tr w:rsidR="006578ED" w14:paraId="3354031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70E82C9" w14:textId="77777777" w:rsidR="006578ED" w:rsidRDefault="00A1618E">
            <w:pPr>
              <w:pStyle w:val="P68B1DB1-Normal46"/>
              <w:spacing w:after="0" w:line="240" w:lineRule="auto"/>
              <w:jc w:val="center"/>
              <w:rPr>
                <w:rFonts w:eastAsia="Times New Roman" w:cs="Times New Roman"/>
                <w:noProof/>
              </w:rPr>
            </w:pPr>
            <w:r>
              <w:rPr>
                <w:noProof/>
              </w:rPr>
              <w:t>186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2BC12CA" w14:textId="77777777" w:rsidR="006578ED" w:rsidRDefault="00A1618E">
            <w:pPr>
              <w:pStyle w:val="P68B1DB1-Normal46"/>
              <w:spacing w:after="0" w:line="240" w:lineRule="auto"/>
              <w:rPr>
                <w:rFonts w:eastAsia="Times New Roman" w:cs="Times New Roman"/>
                <w:noProof/>
              </w:rPr>
            </w:pPr>
            <w:r>
              <w:rPr>
                <w:noProof/>
              </w:rPr>
              <w:t>C12.I2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29AAF3" w14:textId="4F74095D"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D8FDE68" w14:textId="2074003B" w:rsidR="006578ED" w:rsidRDefault="00A1618E">
            <w:pPr>
              <w:pStyle w:val="P68B1DB1-Normal46"/>
              <w:spacing w:after="0" w:line="240" w:lineRule="auto"/>
              <w:rPr>
                <w:rFonts w:eastAsia="Times New Roman" w:cs="Times New Roman"/>
                <w:noProof/>
              </w:rPr>
            </w:pPr>
            <w:r>
              <w:rPr>
                <w:noProof/>
              </w:rPr>
              <w:t>Zakończenie programów PERTE i innowacyjnych projektów na rzecz transformacji przemysłu</w:t>
            </w:r>
          </w:p>
        </w:tc>
      </w:tr>
      <w:tr w:rsidR="006578ED" w14:paraId="587C2F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9084661" w14:textId="77777777" w:rsidR="006578ED" w:rsidRDefault="00A1618E">
            <w:pPr>
              <w:pStyle w:val="P68B1DB1-Normal46"/>
              <w:spacing w:after="0" w:line="240" w:lineRule="auto"/>
              <w:jc w:val="center"/>
              <w:rPr>
                <w:rFonts w:eastAsia="Times New Roman" w:cs="Times New Roman"/>
                <w:noProof/>
              </w:rPr>
            </w:pPr>
            <w:r>
              <w:rPr>
                <w:noProof/>
              </w:rPr>
              <w:t>188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D80BEB9" w14:textId="77777777" w:rsidR="006578ED" w:rsidRDefault="00A1618E">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217DA0" w14:textId="43D5D84B"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DD225D" w14:textId="77777777" w:rsidR="006578ED" w:rsidRDefault="00A1618E">
            <w:pPr>
              <w:pStyle w:val="P68B1DB1-Normal46"/>
              <w:spacing w:after="0" w:line="240" w:lineRule="auto"/>
              <w:rPr>
                <w:rFonts w:eastAsia="Times New Roman" w:cs="Times New Roman"/>
                <w:noProof/>
              </w:rPr>
            </w:pPr>
            <w:r>
              <w:rPr>
                <w:noProof/>
              </w:rPr>
              <w:t>Zwiększenie ilości selektywnie zbieranych odpadów komunalnych</w:t>
            </w:r>
          </w:p>
        </w:tc>
      </w:tr>
      <w:tr w:rsidR="006578ED" w14:paraId="6783359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2FEEA0" w14:textId="77777777" w:rsidR="006578ED" w:rsidRDefault="00A1618E">
            <w:pPr>
              <w:pStyle w:val="P68B1DB1-Normal46"/>
              <w:spacing w:after="0" w:line="240" w:lineRule="auto"/>
              <w:jc w:val="center"/>
              <w:rPr>
                <w:rFonts w:eastAsia="Times New Roman" w:cs="Times New Roman"/>
                <w:noProof/>
              </w:rPr>
            </w:pPr>
            <w:r>
              <w:rPr>
                <w:noProof/>
              </w:rPr>
              <w:t>443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E22C71" w14:textId="77777777" w:rsidR="006578ED" w:rsidRDefault="00A1618E">
            <w:pPr>
              <w:pStyle w:val="P68B1DB1-Normal46"/>
              <w:spacing w:after="0" w:line="240" w:lineRule="auto"/>
              <w:rPr>
                <w:rFonts w:eastAsia="Times New Roman" w:cs="Times New Roman"/>
                <w:noProof/>
              </w:rPr>
            </w:pPr>
            <w:r>
              <w:rPr>
                <w:noProof/>
              </w:rPr>
              <w:t>C12.I3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CFCD5B" w14:textId="180164F3"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E0601E3" w14:textId="789C67CD" w:rsidR="006578ED" w:rsidRDefault="00A1618E">
            <w:pPr>
              <w:pStyle w:val="P68B1DB1-Normal46"/>
              <w:spacing w:after="0" w:line="240" w:lineRule="auto"/>
              <w:rPr>
                <w:rFonts w:eastAsia="Times New Roman" w:cs="Times New Roman"/>
                <w:noProof/>
              </w:rPr>
            </w:pPr>
            <w:r>
              <w:rPr>
                <w:noProof/>
              </w:rPr>
              <w:t>Zakończenie projektów w zakresie gospodarowania odpadami</w:t>
            </w:r>
          </w:p>
        </w:tc>
      </w:tr>
      <w:tr w:rsidR="006578ED" w14:paraId="300F476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FAC7AD6" w14:textId="77777777" w:rsidR="006578ED" w:rsidRDefault="00A1618E">
            <w:pPr>
              <w:pStyle w:val="P68B1DB1-Normal46"/>
              <w:spacing w:after="0" w:line="240" w:lineRule="auto"/>
              <w:jc w:val="center"/>
              <w:rPr>
                <w:rFonts w:eastAsia="Times New Roman" w:cs="Times New Roman"/>
                <w:noProof/>
              </w:rPr>
            </w:pPr>
            <w:r>
              <w:rPr>
                <w:noProof/>
              </w:rPr>
              <w:t>445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F1436E" w14:textId="77777777" w:rsidR="006578ED" w:rsidRDefault="00A1618E">
            <w:pPr>
              <w:pStyle w:val="P68B1DB1-Normal46"/>
              <w:spacing w:after="0" w:line="240" w:lineRule="auto"/>
              <w:rPr>
                <w:rFonts w:eastAsia="Times New Roman" w:cs="Times New Roman"/>
                <w:noProof/>
              </w:rPr>
            </w:pPr>
            <w:r>
              <w:rPr>
                <w:noProof/>
              </w:rPr>
              <w:t>C12.I4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B484B6" w14:textId="72196424"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8542B55" w14:textId="6B1183C0" w:rsidR="006578ED" w:rsidRDefault="00A1618E">
            <w:pPr>
              <w:pStyle w:val="P68B1DB1-Normal46"/>
              <w:spacing w:after="0" w:line="240" w:lineRule="auto"/>
              <w:rPr>
                <w:rFonts w:eastAsia="Times New Roman" w:cs="Times New Roman"/>
                <w:noProof/>
              </w:rPr>
            </w:pPr>
            <w:r>
              <w:rPr>
                <w:noProof/>
              </w:rPr>
              <w:t xml:space="preserve">CZIP PERTE. Wzmocnienie łańcucha wartości półprzewodników (II). </w:t>
            </w:r>
          </w:p>
        </w:tc>
      </w:tr>
      <w:tr w:rsidR="006578ED" w14:paraId="00397E4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3306FE" w14:textId="77777777" w:rsidR="006578ED" w:rsidRDefault="00A1618E">
            <w:pPr>
              <w:pStyle w:val="P68B1DB1-Normal46"/>
              <w:spacing w:after="0" w:line="240" w:lineRule="auto"/>
              <w:jc w:val="center"/>
              <w:rPr>
                <w:rFonts w:eastAsia="Times New Roman" w:cs="Times New Roman"/>
                <w:noProof/>
              </w:rPr>
            </w:pPr>
            <w:r>
              <w:rPr>
                <w:noProof/>
              </w:rPr>
              <w:t>448c</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1A0308B" w14:textId="77777777" w:rsidR="006578ED" w:rsidRDefault="00A1618E">
            <w:pPr>
              <w:pStyle w:val="P68B1DB1-Normal46"/>
              <w:spacing w:after="0" w:line="240" w:lineRule="auto"/>
              <w:rPr>
                <w:rFonts w:eastAsia="Times New Roman" w:cs="Times New Roman"/>
                <w:noProof/>
              </w:rPr>
            </w:pPr>
            <w:r>
              <w:rPr>
                <w:noProof/>
              </w:rPr>
              <w:t>C12.I6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72F80D" w14:textId="328E5112"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A2BCFF" w14:textId="58B024B9" w:rsidR="006578ED" w:rsidRDefault="00A1618E">
            <w:pPr>
              <w:pStyle w:val="P68B1DB1-Normal46"/>
              <w:spacing w:after="0" w:line="240" w:lineRule="auto"/>
              <w:rPr>
                <w:rFonts w:eastAsia="Times New Roman" w:cs="Times New Roman"/>
                <w:noProof/>
              </w:rPr>
            </w:pPr>
            <w:r>
              <w:rPr>
                <w:noProof/>
              </w:rPr>
              <w:t>Program dotacji dla sektora pojazdów elektrycznych (dotacje): Umowy prawne podpisane z beneficjentami końcowymi lub opublikowane uchwały o ostatecznym przyznaniu dotacji</w:t>
            </w:r>
          </w:p>
        </w:tc>
      </w:tr>
      <w:tr w:rsidR="006578ED" w14:paraId="48438AC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ADEBAB" w14:textId="77777777" w:rsidR="006578ED" w:rsidRDefault="00A1618E">
            <w:pPr>
              <w:pStyle w:val="P68B1DB1-Normal46"/>
              <w:spacing w:after="0" w:line="240" w:lineRule="auto"/>
              <w:jc w:val="center"/>
              <w:rPr>
                <w:rFonts w:eastAsia="Times New Roman" w:cs="Times New Roman"/>
                <w:noProof/>
              </w:rPr>
            </w:pPr>
            <w:r>
              <w:rPr>
                <w:noProof/>
              </w:rPr>
              <w:t>221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36C75C" w14:textId="77777777" w:rsidR="006578ED" w:rsidRDefault="00A1618E">
            <w:pPr>
              <w:pStyle w:val="P68B1DB1-Normal46"/>
              <w:spacing w:after="0" w:line="240" w:lineRule="auto"/>
              <w:rPr>
                <w:rFonts w:eastAsia="Times New Roman" w:cs="Times New Roman"/>
                <w:noProof/>
              </w:rPr>
            </w:pPr>
            <w:r>
              <w:rPr>
                <w:noProof/>
              </w:rPr>
              <w:t>C14.I1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78AB3D1" w14:textId="45EBD0FB"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F2136E3" w14:textId="77777777" w:rsidR="006578ED" w:rsidRDefault="00A1618E">
            <w:pPr>
              <w:pStyle w:val="P68B1DB1-Normal46"/>
              <w:spacing w:after="0" w:line="240" w:lineRule="auto"/>
              <w:rPr>
                <w:rFonts w:eastAsia="Times New Roman" w:cs="Times New Roman"/>
                <w:noProof/>
              </w:rPr>
            </w:pPr>
            <w:r>
              <w:rPr>
                <w:noProof/>
              </w:rPr>
              <w:t xml:space="preserve">Zakończenie projektów promujących zrównoważony charakter kierunków turystycznych </w:t>
            </w:r>
          </w:p>
        </w:tc>
      </w:tr>
      <w:tr w:rsidR="006578ED" w14:paraId="333BC22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2F550C" w14:textId="77777777" w:rsidR="006578ED" w:rsidRDefault="00A1618E">
            <w:pPr>
              <w:pStyle w:val="P68B1DB1-Normal46"/>
              <w:spacing w:after="0" w:line="240" w:lineRule="auto"/>
              <w:jc w:val="center"/>
              <w:rPr>
                <w:rFonts w:eastAsia="Times New Roman" w:cs="Times New Roman"/>
                <w:noProof/>
              </w:rPr>
            </w:pPr>
            <w:r>
              <w:rPr>
                <w:noProof/>
              </w:rPr>
              <w:t>228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E9103" w14:textId="77777777" w:rsidR="006578ED" w:rsidRDefault="00A1618E">
            <w:pPr>
              <w:pStyle w:val="P68B1DB1-Normal46"/>
              <w:spacing w:after="0" w:line="240" w:lineRule="auto"/>
              <w:rPr>
                <w:rFonts w:eastAsia="Times New Roman" w:cs="Times New Roman"/>
                <w:noProof/>
              </w:rPr>
            </w:pPr>
            <w:r>
              <w:rPr>
                <w:noProof/>
              </w:rPr>
              <w:t>C14.I4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6E1043" w14:textId="4F69C340"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6728A98" w14:textId="73FD9338" w:rsidR="006578ED" w:rsidRDefault="00A1618E">
            <w:pPr>
              <w:pStyle w:val="P68B1DB1-Normal46"/>
              <w:spacing w:after="0" w:line="240" w:lineRule="auto"/>
              <w:rPr>
                <w:rFonts w:eastAsia="Times New Roman" w:cs="Times New Roman"/>
                <w:noProof/>
              </w:rPr>
            </w:pPr>
            <w:r>
              <w:rPr>
                <w:noProof/>
              </w:rPr>
              <w:t>Projekty rewitalizacji obiektów dziedzictwa historycznego o obecnym lub przyszłym przeznaczeniu turystycznym</w:t>
            </w:r>
          </w:p>
        </w:tc>
      </w:tr>
      <w:tr w:rsidR="006578ED" w14:paraId="2D556B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69469AD" w14:textId="77777777" w:rsidR="006578ED" w:rsidRDefault="00A1618E">
            <w:pPr>
              <w:pStyle w:val="P68B1DB1-Normal46"/>
              <w:spacing w:after="0" w:line="240" w:lineRule="auto"/>
              <w:jc w:val="center"/>
              <w:rPr>
                <w:rFonts w:eastAsia="Times New Roman" w:cs="Times New Roman"/>
                <w:noProof/>
              </w:rPr>
            </w:pPr>
            <w:r>
              <w:rPr>
                <w:noProof/>
              </w:rPr>
              <w:t>242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A6CFF6" w14:textId="77777777" w:rsidR="006578ED" w:rsidRDefault="00A1618E">
            <w:pPr>
              <w:pStyle w:val="P68B1DB1-Normal46"/>
              <w:spacing w:after="0" w:line="240" w:lineRule="auto"/>
              <w:rPr>
                <w:rFonts w:eastAsia="Times New Roman" w:cs="Times New Roman"/>
                <w:noProof/>
              </w:rPr>
            </w:pPr>
            <w:r>
              <w:rPr>
                <w:noProof/>
              </w:rPr>
              <w:t>C15.I5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850075" w14:textId="276EA237"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16F7E85" w14:textId="77777777" w:rsidR="006578ED" w:rsidRDefault="00A1618E">
            <w:pPr>
              <w:pStyle w:val="P68B1DB1-Normal46"/>
              <w:spacing w:after="0" w:line="240" w:lineRule="auto"/>
              <w:rPr>
                <w:rFonts w:eastAsia="Times New Roman" w:cs="Times New Roman"/>
                <w:noProof/>
              </w:rPr>
            </w:pPr>
            <w:r>
              <w:rPr>
                <w:noProof/>
              </w:rPr>
              <w:t>Poprawa transgranicznej infrastruktury cyfrowej: zakończenie projektu</w:t>
            </w:r>
          </w:p>
        </w:tc>
      </w:tr>
      <w:tr w:rsidR="006578ED" w14:paraId="50EC3F1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F742DC" w14:textId="77777777" w:rsidR="006578ED" w:rsidRDefault="00A1618E">
            <w:pPr>
              <w:pStyle w:val="P68B1DB1-Normal46"/>
              <w:spacing w:after="0" w:line="240" w:lineRule="auto"/>
              <w:jc w:val="center"/>
              <w:rPr>
                <w:rFonts w:eastAsia="Times New Roman" w:cs="Times New Roman"/>
                <w:noProof/>
              </w:rPr>
            </w:pPr>
            <w:r>
              <w:rPr>
                <w:noProof/>
              </w:rPr>
              <w:t>244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8CCBF0F" w14:textId="77777777" w:rsidR="006578ED" w:rsidRDefault="00A1618E">
            <w:pPr>
              <w:pStyle w:val="P68B1DB1-Normal46"/>
              <w:spacing w:after="0" w:line="240" w:lineRule="auto"/>
              <w:rPr>
                <w:rFonts w:eastAsia="Times New Roman" w:cs="Times New Roman"/>
                <w:noProof/>
              </w:rPr>
            </w:pPr>
            <w:r>
              <w:rPr>
                <w:noProof/>
              </w:rPr>
              <w:t>C15.I6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A8F66" w14:textId="139D3AA4"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EBF394" w14:textId="77777777" w:rsidR="006578ED" w:rsidRDefault="00A1618E">
            <w:pPr>
              <w:pStyle w:val="P68B1DB1-Normal46"/>
              <w:spacing w:after="0" w:line="240" w:lineRule="auto"/>
              <w:rPr>
                <w:rFonts w:eastAsia="Times New Roman" w:cs="Times New Roman"/>
                <w:noProof/>
              </w:rPr>
            </w:pPr>
            <w:r>
              <w:rPr>
                <w:noProof/>
              </w:rPr>
              <w:t>Wdrażanie technologii 5G: Zakończenie projektu</w:t>
            </w:r>
          </w:p>
        </w:tc>
      </w:tr>
      <w:tr w:rsidR="006578ED" w14:paraId="0F8474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23D5CC1" w14:textId="77777777" w:rsidR="006578ED" w:rsidRDefault="00A1618E">
            <w:pPr>
              <w:pStyle w:val="P68B1DB1-Normal46"/>
              <w:spacing w:after="0" w:line="240" w:lineRule="auto"/>
              <w:jc w:val="center"/>
              <w:rPr>
                <w:rFonts w:eastAsia="Times New Roman" w:cs="Times New Roman"/>
                <w:noProof/>
              </w:rPr>
            </w:pPr>
            <w:r>
              <w:rPr>
                <w:noProof/>
              </w:rPr>
              <w:t>248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1C1434" w14:textId="77777777" w:rsidR="006578ED" w:rsidRDefault="00A1618E">
            <w:pPr>
              <w:pStyle w:val="P68B1DB1-Normal46"/>
              <w:spacing w:after="0" w:line="240" w:lineRule="auto"/>
              <w:rPr>
                <w:rFonts w:eastAsia="Times New Roman" w:cs="Times New Roman"/>
                <w:noProof/>
              </w:rPr>
            </w:pPr>
            <w:r>
              <w:rPr>
                <w:noProof/>
              </w:rPr>
              <w:t>C15.I7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4002A7" w14:textId="42034D44"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1B2B2DD" w14:textId="27DF1475" w:rsidR="006578ED" w:rsidRDefault="00A1618E">
            <w:pPr>
              <w:pStyle w:val="P68B1DB1-Normal46"/>
              <w:spacing w:after="0" w:line="240" w:lineRule="auto"/>
              <w:rPr>
                <w:rFonts w:eastAsia="Times New Roman" w:cs="Times New Roman"/>
                <w:noProof/>
              </w:rPr>
            </w:pPr>
            <w:r>
              <w:rPr>
                <w:noProof/>
              </w:rPr>
              <w:t>Zakończenie projektów w ramach krajowego programu wsparcia przemysłu cybernetycznego, globalnego programu innowacji w dziedzinie bezpieczeństwa i powiązanych działań.</w:t>
            </w:r>
          </w:p>
        </w:tc>
      </w:tr>
      <w:tr w:rsidR="006578ED" w14:paraId="22AFB12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844568" w14:textId="77777777" w:rsidR="006578ED" w:rsidRDefault="00A1618E">
            <w:pPr>
              <w:pStyle w:val="P68B1DB1-Normal46"/>
              <w:spacing w:after="0" w:line="240" w:lineRule="auto"/>
              <w:jc w:val="center"/>
              <w:rPr>
                <w:rFonts w:eastAsia="Times New Roman" w:cs="Times New Roman"/>
                <w:noProof/>
              </w:rPr>
            </w:pPr>
            <w:r>
              <w:rPr>
                <w:noProof/>
              </w:rPr>
              <w:t>455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867A20A" w14:textId="77777777" w:rsidR="006578ED" w:rsidRDefault="00A1618E">
            <w:pPr>
              <w:pStyle w:val="P68B1DB1-Normal46"/>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AC02BC2" w14:textId="38834CF3"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95B67F3" w14:textId="1EDBB4F9" w:rsidR="006578ED" w:rsidRDefault="00A1618E">
            <w:pPr>
              <w:pStyle w:val="P68B1DB1-Normal46"/>
              <w:spacing w:after="0" w:line="240" w:lineRule="auto"/>
              <w:rPr>
                <w:rFonts w:eastAsia="Times New Roman" w:cs="Times New Roman"/>
                <w:noProof/>
              </w:rPr>
            </w:pPr>
            <w:r>
              <w:rPr>
                <w:noProof/>
              </w:rPr>
              <w:t>CZIP PERTE. Wzmocnienie potencjału naukowego, projektowania i innowacyjnej produkcji: wypłata.</w:t>
            </w:r>
          </w:p>
        </w:tc>
      </w:tr>
      <w:tr w:rsidR="006578ED" w14:paraId="45C82A4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92B8014" w14:textId="77777777" w:rsidR="006578ED" w:rsidRDefault="00A1618E">
            <w:pPr>
              <w:pStyle w:val="P68B1DB1-Normal46"/>
              <w:spacing w:after="0" w:line="240" w:lineRule="auto"/>
              <w:jc w:val="center"/>
              <w:rPr>
                <w:rFonts w:eastAsia="Times New Roman" w:cs="Times New Roman"/>
                <w:noProof/>
              </w:rPr>
            </w:pPr>
            <w:r>
              <w:rPr>
                <w:noProof/>
              </w:rPr>
              <w:t>456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DD5C7A" w14:textId="77777777" w:rsidR="006578ED" w:rsidRDefault="00A1618E">
            <w:pPr>
              <w:pStyle w:val="P68B1DB1-Normal46"/>
              <w:spacing w:after="0" w:line="240" w:lineRule="auto"/>
              <w:rPr>
                <w:rFonts w:eastAsia="Times New Roman" w:cs="Times New Roman"/>
                <w:noProof/>
              </w:rPr>
            </w:pPr>
            <w:r>
              <w:rPr>
                <w:noProof/>
              </w:rPr>
              <w:t>C15.I8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318CA9" w14:textId="75C2ED34"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6EE0F28" w14:textId="780BC5EF" w:rsidR="006578ED" w:rsidRDefault="00A1618E">
            <w:pPr>
              <w:pStyle w:val="P68B1DB1-Normal46"/>
              <w:spacing w:after="0" w:line="240" w:lineRule="auto"/>
              <w:rPr>
                <w:rFonts w:eastAsia="Times New Roman" w:cs="Times New Roman"/>
                <w:noProof/>
              </w:rPr>
            </w:pPr>
            <w:r>
              <w:rPr>
                <w:noProof/>
              </w:rPr>
              <w:t>CZIP PERTE. Krzesła i talenty w dziedzinie mikroelektroniki</w:t>
            </w:r>
          </w:p>
        </w:tc>
      </w:tr>
      <w:tr w:rsidR="006578ED" w14:paraId="6825FB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B09C659" w14:textId="77777777" w:rsidR="006578ED" w:rsidRDefault="00A1618E">
            <w:pPr>
              <w:pStyle w:val="P68B1DB1-Normal46"/>
              <w:spacing w:after="0" w:line="240" w:lineRule="auto"/>
              <w:jc w:val="center"/>
              <w:rPr>
                <w:rFonts w:eastAsia="Times New Roman" w:cs="Times New Roman"/>
                <w:noProof/>
              </w:rPr>
            </w:pPr>
            <w:r>
              <w:rPr>
                <w:noProof/>
              </w:rPr>
              <w:t>252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B09CB" w14:textId="77777777" w:rsidR="006578ED" w:rsidRDefault="00A1618E">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F8372D6" w14:textId="6E1D37B4"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0D93729" w14:textId="77777777" w:rsidR="006578ED" w:rsidRDefault="00A1618E">
            <w:pPr>
              <w:pStyle w:val="P68B1DB1-Normal46"/>
              <w:spacing w:after="0" w:line="240" w:lineRule="auto"/>
              <w:rPr>
                <w:rFonts w:eastAsia="Times New Roman" w:cs="Times New Roman"/>
                <w:noProof/>
              </w:rPr>
            </w:pPr>
            <w:r>
              <w:rPr>
                <w:noProof/>
              </w:rPr>
              <w:t xml:space="preserve">Misje krajowe, do których adresowano </w:t>
            </w:r>
          </w:p>
        </w:tc>
      </w:tr>
      <w:tr w:rsidR="006578ED" w14:paraId="1615B51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26D042" w14:textId="77777777" w:rsidR="006578ED" w:rsidRDefault="00A1618E">
            <w:pPr>
              <w:pStyle w:val="P68B1DB1-Normal46"/>
              <w:spacing w:after="0" w:line="240" w:lineRule="auto"/>
              <w:jc w:val="center"/>
              <w:rPr>
                <w:rFonts w:eastAsia="Times New Roman" w:cs="Times New Roman"/>
                <w:noProof/>
              </w:rPr>
            </w:pPr>
            <w:r>
              <w:rPr>
                <w:noProof/>
              </w:rPr>
              <w:t>253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101D30" w14:textId="77777777" w:rsidR="006578ED" w:rsidRDefault="00A1618E">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3C9087" w14:textId="1347B5DF"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F817FEF" w14:textId="77777777" w:rsidR="006578ED" w:rsidRDefault="00A1618E">
            <w:pPr>
              <w:pStyle w:val="P68B1DB1-Normal46"/>
              <w:spacing w:after="0" w:line="240" w:lineRule="auto"/>
              <w:rPr>
                <w:rFonts w:eastAsia="Times New Roman" w:cs="Times New Roman"/>
                <w:noProof/>
              </w:rPr>
            </w:pPr>
            <w:r>
              <w:rPr>
                <w:noProof/>
              </w:rPr>
              <w:t xml:space="preserve">Zakończenie projektów dotyczących sztucznej inteligencji </w:t>
            </w:r>
          </w:p>
        </w:tc>
      </w:tr>
      <w:tr w:rsidR="006578ED" w14:paraId="031A7A1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D0EED9" w14:textId="77777777" w:rsidR="006578ED" w:rsidRDefault="00A1618E">
            <w:pPr>
              <w:pStyle w:val="P68B1DB1-Normal46"/>
              <w:spacing w:after="0" w:line="240" w:lineRule="auto"/>
              <w:jc w:val="center"/>
              <w:rPr>
                <w:rFonts w:eastAsia="Times New Roman" w:cs="Times New Roman"/>
                <w:noProof/>
              </w:rPr>
            </w:pPr>
            <w:r>
              <w:rPr>
                <w:noProof/>
              </w:rPr>
              <w:t>457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67DD37" w14:textId="77777777" w:rsidR="006578ED" w:rsidRDefault="00A1618E">
            <w:pPr>
              <w:pStyle w:val="P68B1DB1-Normal46"/>
              <w:spacing w:after="0" w:line="240" w:lineRule="auto"/>
              <w:rPr>
                <w:rFonts w:eastAsia="Times New Roman" w:cs="Times New Roman"/>
                <w:noProof/>
              </w:rPr>
            </w:pPr>
            <w:r>
              <w:rPr>
                <w:noProof/>
              </w:rPr>
              <w:t>C16.R1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9E4D6B" w14:textId="4021AE88"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0CAB74" w14:textId="77777777" w:rsidR="006578ED" w:rsidRDefault="00A1618E">
            <w:pPr>
              <w:pStyle w:val="P68B1DB1-Normal46"/>
              <w:spacing w:after="0" w:line="240" w:lineRule="auto"/>
              <w:rPr>
                <w:rFonts w:eastAsia="Times New Roman" w:cs="Times New Roman"/>
                <w:noProof/>
              </w:rPr>
            </w:pPr>
            <w:r>
              <w:rPr>
                <w:noProof/>
              </w:rPr>
              <w:t>CZIP PERTE. Wzmocnienie ekosystemu kwantowego.</w:t>
            </w:r>
          </w:p>
        </w:tc>
      </w:tr>
      <w:tr w:rsidR="006578ED" w14:paraId="4563F5F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CA0B30" w14:textId="77777777" w:rsidR="006578ED" w:rsidRDefault="00A1618E">
            <w:pPr>
              <w:pStyle w:val="P68B1DB1-Normal46"/>
              <w:spacing w:after="0" w:line="240" w:lineRule="auto"/>
              <w:jc w:val="center"/>
              <w:rPr>
                <w:rFonts w:eastAsia="Times New Roman" w:cs="Times New Roman"/>
                <w:noProof/>
              </w:rPr>
            </w:pPr>
            <w:r>
              <w:rPr>
                <w:noProof/>
              </w:rPr>
              <w:t>260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71BF393" w14:textId="77777777" w:rsidR="006578ED" w:rsidRDefault="00A1618E">
            <w:pPr>
              <w:pStyle w:val="P68B1DB1-Normal46"/>
              <w:spacing w:after="0" w:line="240" w:lineRule="auto"/>
              <w:rPr>
                <w:rFonts w:eastAsia="Times New Roman" w:cs="Times New Roman"/>
                <w:noProof/>
              </w:rPr>
            </w:pPr>
            <w:r>
              <w:rPr>
                <w:noProof/>
              </w:rPr>
              <w:t>C17.I2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5C35A8" w14:textId="7D28ADF6"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A832D0B" w14:textId="4DA2DBC2" w:rsidR="006578ED" w:rsidRDefault="00A1618E">
            <w:pPr>
              <w:pStyle w:val="P68B1DB1-Normal46"/>
              <w:spacing w:after="0" w:line="240" w:lineRule="auto"/>
              <w:rPr>
                <w:rFonts w:eastAsia="Times New Roman" w:cs="Times New Roman"/>
                <w:noProof/>
              </w:rPr>
            </w:pPr>
            <w:r>
              <w:rPr>
                <w:noProof/>
              </w:rPr>
              <w:t>Zakończenie wszystkich projektów zwiększających infrastrukturę naukową i potencjał hiszpańskiego systemu technologii i innowacji naukowych, w tym projektów dotyczących infrastruktury europejskiej i międzynarodowej.</w:t>
            </w:r>
          </w:p>
        </w:tc>
      </w:tr>
      <w:tr w:rsidR="006578ED" w14:paraId="28E085B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E0891C" w14:textId="77777777" w:rsidR="006578ED" w:rsidRDefault="00A1618E">
            <w:pPr>
              <w:pStyle w:val="P68B1DB1-Normal46"/>
              <w:spacing w:after="0" w:line="240" w:lineRule="auto"/>
              <w:jc w:val="center"/>
              <w:rPr>
                <w:rFonts w:eastAsia="Times New Roman" w:cs="Times New Roman"/>
                <w:noProof/>
              </w:rPr>
            </w:pPr>
            <w:r>
              <w:rPr>
                <w:noProof/>
              </w:rPr>
              <w:t>264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F8B25E" w14:textId="77777777" w:rsidR="006578ED" w:rsidRDefault="00A1618E">
            <w:pPr>
              <w:pStyle w:val="P68B1DB1-Normal46"/>
              <w:spacing w:after="0" w:line="240" w:lineRule="auto"/>
              <w:rPr>
                <w:rFonts w:eastAsia="Times New Roman" w:cs="Times New Roman"/>
                <w:noProof/>
              </w:rPr>
            </w:pPr>
            <w:r>
              <w:rPr>
                <w:noProof/>
              </w:rPr>
              <w:t>C17.I4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DF86A7" w14:textId="3D70663B"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B3DB1F3" w14:textId="2E19531E" w:rsidR="006578ED" w:rsidRDefault="00A1618E">
            <w:pPr>
              <w:pStyle w:val="P68B1DB1-Normal46"/>
              <w:spacing w:after="0" w:line="240" w:lineRule="auto"/>
              <w:rPr>
                <w:rFonts w:eastAsia="Times New Roman" w:cs="Times New Roman"/>
                <w:noProof/>
              </w:rPr>
            </w:pPr>
            <w:r>
              <w:rPr>
                <w:noProof/>
              </w:rPr>
              <w:t xml:space="preserve">Zakończenie stypendiów i dotacji wspierających hiszpańską karierę naukową </w:t>
            </w:r>
          </w:p>
        </w:tc>
      </w:tr>
      <w:tr w:rsidR="006578ED" w14:paraId="63809BF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877113A" w14:textId="77777777" w:rsidR="006578ED" w:rsidRDefault="00A1618E">
            <w:pPr>
              <w:pStyle w:val="P68B1DB1-Normal46"/>
              <w:spacing w:after="0" w:line="240" w:lineRule="auto"/>
              <w:jc w:val="center"/>
              <w:rPr>
                <w:rFonts w:eastAsia="Times New Roman" w:cs="Times New Roman"/>
                <w:noProof/>
              </w:rPr>
            </w:pPr>
            <w:r>
              <w:rPr>
                <w:noProof/>
              </w:rPr>
              <w:t>459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DCC40D" w14:textId="77777777" w:rsidR="006578ED" w:rsidRDefault="00A1618E">
            <w:pPr>
              <w:pStyle w:val="P68B1DB1-Normal46"/>
              <w:spacing w:after="0" w:line="240" w:lineRule="auto"/>
              <w:rPr>
                <w:rFonts w:eastAsia="Times New Roman" w:cs="Times New Roman"/>
                <w:noProof/>
              </w:rPr>
            </w:pPr>
            <w:r>
              <w:rPr>
                <w:noProof/>
              </w:rPr>
              <w:t>C17.I5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259E25E" w14:textId="45FFF56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D4DFA1A" w14:textId="4069D4B5" w:rsidR="006578ED" w:rsidRDefault="00A1618E">
            <w:pPr>
              <w:pStyle w:val="P68B1DB1-Normal46"/>
              <w:spacing w:after="0" w:line="240" w:lineRule="auto"/>
              <w:rPr>
                <w:rFonts w:eastAsia="Times New Roman" w:cs="Times New Roman"/>
                <w:noProof/>
              </w:rPr>
            </w:pPr>
            <w:r>
              <w:rPr>
                <w:noProof/>
              </w:rPr>
              <w:t>Zakończenie projektów mających na celu promowanie transferu technologii i wspieranie transferu wyników badań nad technologiami innowacyjnymi</w:t>
            </w:r>
          </w:p>
        </w:tc>
      </w:tr>
      <w:tr w:rsidR="006578ED" w14:paraId="2D131F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7ED7CD9" w14:textId="77777777" w:rsidR="006578ED" w:rsidRDefault="00A1618E">
            <w:pPr>
              <w:pStyle w:val="P68B1DB1-Normal46"/>
              <w:spacing w:after="0" w:line="240" w:lineRule="auto"/>
              <w:jc w:val="center"/>
              <w:rPr>
                <w:rFonts w:eastAsia="Times New Roman" w:cs="Times New Roman"/>
                <w:noProof/>
              </w:rPr>
            </w:pPr>
            <w:r>
              <w:rPr>
                <w:noProof/>
              </w:rPr>
              <w:t>268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DB6A4C" w14:textId="77777777" w:rsidR="006578ED" w:rsidRDefault="00A1618E">
            <w:pPr>
              <w:pStyle w:val="P68B1DB1-Normal46"/>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889BACE" w14:textId="3D5870F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D03877" w14:textId="0D921299" w:rsidR="006578ED" w:rsidRDefault="00A1618E">
            <w:pPr>
              <w:pStyle w:val="P68B1DB1-Normal46"/>
              <w:spacing w:after="0" w:line="240" w:lineRule="auto"/>
              <w:rPr>
                <w:rFonts w:eastAsia="Times New Roman" w:cs="Times New Roman"/>
                <w:noProof/>
              </w:rPr>
            </w:pPr>
            <w:r>
              <w:rPr>
                <w:noProof/>
              </w:rPr>
              <w:t xml:space="preserve">Zakończenie wszystkich projektów mających na celu wzmocnienie badań naukowych i innowacji w sektorze zdrowia. </w:t>
            </w:r>
          </w:p>
        </w:tc>
      </w:tr>
      <w:tr w:rsidR="006578ED" w14:paraId="5CA654F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BD6459" w14:textId="77777777" w:rsidR="006578ED" w:rsidRDefault="00A1618E">
            <w:pPr>
              <w:pStyle w:val="P68B1DB1-Normal46"/>
              <w:spacing w:after="0" w:line="240" w:lineRule="auto"/>
              <w:jc w:val="center"/>
              <w:rPr>
                <w:rFonts w:eastAsia="Times New Roman" w:cs="Times New Roman"/>
                <w:noProof/>
              </w:rPr>
            </w:pPr>
            <w:r>
              <w:rPr>
                <w:noProof/>
              </w:rPr>
              <w:t>460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BF9793" w14:textId="77777777" w:rsidR="006578ED" w:rsidRDefault="00A1618E">
            <w:pPr>
              <w:pStyle w:val="P68B1DB1-Normal46"/>
              <w:spacing w:after="0" w:line="240" w:lineRule="auto"/>
              <w:rPr>
                <w:rFonts w:eastAsia="Times New Roman" w:cs="Times New Roman"/>
                <w:noProof/>
              </w:rPr>
            </w:pPr>
            <w:r>
              <w:rPr>
                <w:noProof/>
              </w:rPr>
              <w:t>C17.I6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626DC28" w14:textId="282EA8F8"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4BD8F11A" w14:textId="19F85A68" w:rsidR="006578ED" w:rsidRDefault="00A1618E">
            <w:pPr>
              <w:pStyle w:val="P68B1DB1-Normal46"/>
              <w:spacing w:after="0" w:line="240" w:lineRule="auto"/>
              <w:rPr>
                <w:rFonts w:eastAsia="Times New Roman" w:cs="Times New Roman"/>
                <w:noProof/>
              </w:rPr>
            </w:pPr>
            <w:r>
              <w:rPr>
                <w:noProof/>
              </w:rPr>
              <w:t xml:space="preserve">Wypłata środków na projekty badawczo-rozwojowe w ramach PERTE Zdrowie </w:t>
            </w:r>
          </w:p>
        </w:tc>
      </w:tr>
      <w:tr w:rsidR="006578ED" w14:paraId="6290EB9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6CF30" w14:textId="77777777" w:rsidR="006578ED" w:rsidRDefault="00A1618E">
            <w:pPr>
              <w:pStyle w:val="P68B1DB1-Normal46"/>
              <w:spacing w:after="0" w:line="240" w:lineRule="auto"/>
              <w:jc w:val="center"/>
              <w:rPr>
                <w:rFonts w:eastAsia="Times New Roman" w:cs="Times New Roman"/>
                <w:noProof/>
              </w:rPr>
            </w:pPr>
            <w:r>
              <w:rPr>
                <w:noProof/>
              </w:rPr>
              <w:t>269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A175282" w14:textId="77777777" w:rsidR="006578ED" w:rsidRDefault="00A1618E">
            <w:pPr>
              <w:pStyle w:val="P68B1DB1-Normal46"/>
              <w:spacing w:after="0" w:line="240" w:lineRule="auto"/>
              <w:rPr>
                <w:rFonts w:eastAsia="Times New Roman" w:cs="Times New Roman"/>
                <w:noProof/>
              </w:rPr>
            </w:pPr>
            <w:r>
              <w:rPr>
                <w:noProof/>
              </w:rPr>
              <w:t>C17.I7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BC5189F" w14:textId="752B0E95"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34E6BF9" w14:textId="206EEE36" w:rsidR="006578ED" w:rsidRDefault="00A1618E">
            <w:pPr>
              <w:pStyle w:val="P68B1DB1-Normal46"/>
              <w:spacing w:after="0" w:line="240" w:lineRule="auto"/>
              <w:rPr>
                <w:rFonts w:eastAsia="Times New Roman" w:cs="Times New Roman"/>
                <w:noProof/>
              </w:rPr>
            </w:pPr>
            <w:r>
              <w:rPr>
                <w:noProof/>
              </w:rPr>
              <w:t xml:space="preserve">Centrum badawczo-rozwojowe w zakresie magazynowania energii </w:t>
            </w:r>
          </w:p>
        </w:tc>
      </w:tr>
      <w:tr w:rsidR="006578ED" w14:paraId="2E344B4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CAC2D7E" w14:textId="77777777" w:rsidR="006578ED" w:rsidRDefault="00A1618E">
            <w:pPr>
              <w:pStyle w:val="P68B1DB1-Normal46"/>
              <w:spacing w:after="0" w:line="240" w:lineRule="auto"/>
              <w:jc w:val="center"/>
              <w:rPr>
                <w:rFonts w:eastAsia="Times New Roman" w:cs="Times New Roman"/>
                <w:noProof/>
              </w:rPr>
            </w:pPr>
            <w:r>
              <w:rPr>
                <w:noProof/>
              </w:rPr>
              <w:t>272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45A28D8" w14:textId="77777777" w:rsidR="006578ED" w:rsidRDefault="00A1618E">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1DDB9DD" w14:textId="7D60BBC5"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30337F" w14:textId="53F6A8CB" w:rsidR="006578ED" w:rsidRDefault="00A1618E">
            <w:pPr>
              <w:pStyle w:val="P68B1DB1-Normal46"/>
              <w:spacing w:after="0" w:line="240" w:lineRule="auto"/>
              <w:rPr>
                <w:rFonts w:eastAsia="Times New Roman" w:cs="Times New Roman"/>
                <w:noProof/>
              </w:rPr>
            </w:pPr>
            <w:r>
              <w:rPr>
                <w:noProof/>
              </w:rPr>
              <w:t xml:space="preserve">Zakończenie projektów w zakresie badań, rozwoju i innowacji w dziedzinie lotnictwa i przestrzeni kosmicznej, ze szczególnym uwzględnieniem niskiej i zerowej emisji </w:t>
            </w:r>
          </w:p>
        </w:tc>
      </w:tr>
      <w:tr w:rsidR="006578ED" w14:paraId="76B53D7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39C3B5" w14:textId="77777777" w:rsidR="006578ED" w:rsidRDefault="00A1618E">
            <w:pPr>
              <w:pStyle w:val="P68B1DB1-Normal46"/>
              <w:spacing w:after="0" w:line="240" w:lineRule="auto"/>
              <w:jc w:val="center"/>
              <w:rPr>
                <w:rFonts w:eastAsia="Times New Roman" w:cs="Times New Roman"/>
                <w:noProof/>
              </w:rPr>
            </w:pPr>
            <w:r>
              <w:rPr>
                <w:noProof/>
              </w:rPr>
              <w:t>462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15BE75" w14:textId="77777777" w:rsidR="006578ED" w:rsidRDefault="00A1618E">
            <w:pPr>
              <w:pStyle w:val="P68B1DB1-Normal46"/>
              <w:spacing w:after="0" w:line="240" w:lineRule="auto"/>
              <w:rPr>
                <w:rFonts w:eastAsia="Times New Roman" w:cs="Times New Roman"/>
                <w:noProof/>
              </w:rPr>
            </w:pPr>
            <w:r>
              <w:rPr>
                <w:noProof/>
              </w:rPr>
              <w:t>C17.I9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388830" w14:textId="76F7F1EF"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CD72AE" w14:textId="16FFFF1E" w:rsidR="006578ED" w:rsidRDefault="00A1618E">
            <w:pPr>
              <w:pStyle w:val="P68B1DB1-Normal46"/>
              <w:spacing w:after="0" w:line="240" w:lineRule="auto"/>
              <w:rPr>
                <w:rFonts w:eastAsia="Times New Roman" w:cs="Times New Roman"/>
                <w:noProof/>
              </w:rPr>
            </w:pPr>
            <w:r>
              <w:rPr>
                <w:noProof/>
              </w:rPr>
              <w:t>Wypłata środków na projekty w ramach PERTE Aerospace.</w:t>
            </w:r>
          </w:p>
        </w:tc>
      </w:tr>
      <w:tr w:rsidR="006578ED" w14:paraId="7A1649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2052B7F" w14:textId="77777777" w:rsidR="006578ED" w:rsidRDefault="00A1618E">
            <w:pPr>
              <w:pStyle w:val="P68B1DB1-Normal46"/>
              <w:spacing w:after="0" w:line="240" w:lineRule="auto"/>
              <w:jc w:val="center"/>
              <w:rPr>
                <w:rFonts w:eastAsia="Times New Roman" w:cs="Times New Roman"/>
                <w:noProof/>
              </w:rPr>
            </w:pPr>
            <w:r>
              <w:rPr>
                <w:noProof/>
              </w:rPr>
              <w:t>463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B627271" w14:textId="77777777" w:rsidR="006578ED" w:rsidRDefault="00A1618E">
            <w:pPr>
              <w:pStyle w:val="P68B1DB1-Normal46"/>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ACD2195" w14:textId="0469268F"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A8E2460" w14:textId="45E32376" w:rsidR="006578ED" w:rsidRDefault="00A1618E">
            <w:pPr>
              <w:pStyle w:val="P68B1DB1-Normal46"/>
              <w:spacing w:after="0" w:line="240" w:lineRule="auto"/>
              <w:rPr>
                <w:rFonts w:eastAsia="Times New Roman" w:cs="Times New Roman"/>
                <w:noProof/>
              </w:rPr>
            </w:pPr>
            <w:r>
              <w:rPr>
                <w:noProof/>
              </w:rPr>
              <w:t>Szkolenie pracowników służby zdrowia i zasoby umożliwiające dzielenie się wiedzą</w:t>
            </w:r>
          </w:p>
        </w:tc>
      </w:tr>
      <w:tr w:rsidR="006578ED" w14:paraId="0DA0FD2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00FB37" w14:textId="77777777" w:rsidR="006578ED" w:rsidRDefault="00A1618E">
            <w:pPr>
              <w:pStyle w:val="P68B1DB1-Normal46"/>
              <w:spacing w:after="0" w:line="240" w:lineRule="auto"/>
              <w:jc w:val="center"/>
              <w:rPr>
                <w:rFonts w:eastAsia="Times New Roman" w:cs="Times New Roman"/>
                <w:noProof/>
              </w:rPr>
            </w:pPr>
            <w:r>
              <w:rPr>
                <w:noProof/>
              </w:rPr>
              <w:t>464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4B240AC" w14:textId="77777777" w:rsidR="006578ED" w:rsidRDefault="00A1618E">
            <w:pPr>
              <w:pStyle w:val="P68B1DB1-Normal46"/>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680290" w14:textId="34B1924F"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23746B9" w14:textId="3AA23053" w:rsidR="006578ED" w:rsidRDefault="00A1618E">
            <w:pPr>
              <w:pStyle w:val="P68B1DB1-Normal46"/>
              <w:spacing w:after="0" w:line="240" w:lineRule="auto"/>
              <w:rPr>
                <w:rFonts w:eastAsia="Times New Roman" w:cs="Times New Roman"/>
                <w:noProof/>
              </w:rPr>
            </w:pPr>
            <w:r>
              <w:rPr>
                <w:noProof/>
              </w:rPr>
              <w:t>Plan racjonalizacji konsumpcji produktów farmaceutycznych i promowania zrównoważonego rozwoju</w:t>
            </w:r>
          </w:p>
        </w:tc>
      </w:tr>
      <w:tr w:rsidR="006578ED" w14:paraId="33D78FD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1C81C1" w14:textId="77777777" w:rsidR="006578ED" w:rsidRDefault="00A1618E">
            <w:pPr>
              <w:pStyle w:val="P68B1DB1-Normal46"/>
              <w:spacing w:after="0" w:line="240" w:lineRule="auto"/>
              <w:jc w:val="center"/>
              <w:rPr>
                <w:rFonts w:eastAsia="Times New Roman" w:cs="Times New Roman"/>
                <w:noProof/>
              </w:rPr>
            </w:pPr>
            <w:r>
              <w:rPr>
                <w:noProof/>
              </w:rPr>
              <w:t>465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4AAB8FC" w14:textId="77777777" w:rsidR="006578ED" w:rsidRDefault="00A1618E">
            <w:pPr>
              <w:pStyle w:val="P68B1DB1-Normal46"/>
              <w:spacing w:after="0" w:line="240" w:lineRule="auto"/>
              <w:rPr>
                <w:rFonts w:eastAsia="Times New Roman" w:cs="Times New Roman"/>
                <w:noProof/>
              </w:rPr>
            </w:pPr>
            <w:r>
              <w:rPr>
                <w:noProof/>
              </w:rPr>
              <w:t>C18.I4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487565E" w14:textId="7BDB9F3B"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7091E2D" w14:textId="164CB14F" w:rsidR="006578ED" w:rsidRDefault="00A1618E">
            <w:pPr>
              <w:pStyle w:val="P68B1DB1-Normal46"/>
              <w:spacing w:after="0" w:line="240" w:lineRule="auto"/>
              <w:rPr>
                <w:rFonts w:eastAsia="Times New Roman" w:cs="Times New Roman"/>
                <w:noProof/>
              </w:rPr>
            </w:pPr>
            <w:r>
              <w:rPr>
                <w:noProof/>
              </w:rPr>
              <w:t xml:space="preserve">Zakończenie projektów mających na celu poprawę opieki zdrowotnej dla pacjentów cierpiących na choroby rzadkie </w:t>
            </w:r>
          </w:p>
        </w:tc>
      </w:tr>
      <w:tr w:rsidR="006578ED" w14:paraId="329A60A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FB72AA9" w14:textId="77777777" w:rsidR="006578ED" w:rsidRDefault="00A1618E">
            <w:pPr>
              <w:pStyle w:val="P68B1DB1-Normal46"/>
              <w:spacing w:after="0" w:line="240" w:lineRule="auto"/>
              <w:jc w:val="center"/>
              <w:rPr>
                <w:rFonts w:eastAsia="Times New Roman" w:cs="Times New Roman"/>
                <w:noProof/>
              </w:rPr>
            </w:pPr>
            <w:r>
              <w:rPr>
                <w:noProof/>
              </w:rPr>
              <w:t>466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EC8EA0" w14:textId="77777777" w:rsidR="006578ED" w:rsidRDefault="00A1618E">
            <w:pPr>
              <w:pStyle w:val="P68B1DB1-Normal46"/>
              <w:spacing w:after="0" w:line="240" w:lineRule="auto"/>
              <w:rPr>
                <w:rFonts w:eastAsia="Times New Roman" w:cs="Times New Roman"/>
                <w:noProof/>
              </w:rPr>
            </w:pPr>
            <w:r>
              <w:rPr>
                <w:noProof/>
              </w:rPr>
              <w:t>C18.I5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E288C6E" w14:textId="179C0FFF"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4A03EEA" w14:textId="518781BE" w:rsidR="006578ED" w:rsidRDefault="00A1618E">
            <w:pPr>
              <w:pStyle w:val="P68B1DB1-Normal46"/>
              <w:spacing w:after="0" w:line="240" w:lineRule="auto"/>
              <w:rPr>
                <w:rFonts w:eastAsia="Times New Roman" w:cs="Times New Roman"/>
                <w:noProof/>
              </w:rPr>
            </w:pPr>
            <w:r>
              <w:rPr>
                <w:noProof/>
              </w:rPr>
              <w:t>Rozszerzenie zakresu usług genomowych w Narodowym Systemie Zdrowia</w:t>
            </w:r>
          </w:p>
        </w:tc>
      </w:tr>
      <w:tr w:rsidR="006578ED" w14:paraId="576B561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77B2270" w14:textId="77777777" w:rsidR="006578ED" w:rsidRDefault="00A1618E">
            <w:pPr>
              <w:pStyle w:val="P68B1DB1-Normal46"/>
              <w:spacing w:after="0" w:line="240" w:lineRule="auto"/>
              <w:jc w:val="center"/>
              <w:rPr>
                <w:rFonts w:eastAsia="Times New Roman" w:cs="Times New Roman"/>
                <w:noProof/>
              </w:rPr>
            </w:pPr>
            <w:r>
              <w:rPr>
                <w:noProof/>
              </w:rPr>
              <w:t>288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E503DE" w14:textId="77777777" w:rsidR="006578ED" w:rsidRDefault="00A1618E">
            <w:pPr>
              <w:pStyle w:val="P68B1DB1-Normal46"/>
              <w:spacing w:after="0" w:line="240" w:lineRule="auto"/>
              <w:rPr>
                <w:rFonts w:eastAsia="Times New Roman" w:cs="Times New Roman"/>
                <w:noProof/>
              </w:rPr>
            </w:pPr>
            <w:r>
              <w:rPr>
                <w:noProof/>
              </w:rPr>
              <w:t>C19.I1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24C0A" w14:textId="0F54E3D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BBC0727" w14:textId="533B62FB" w:rsidR="006578ED" w:rsidRDefault="00A1618E">
            <w:pPr>
              <w:pStyle w:val="P68B1DB1-Normal46"/>
              <w:spacing w:after="0" w:line="240" w:lineRule="auto"/>
              <w:rPr>
                <w:rFonts w:eastAsia="Times New Roman" w:cs="Times New Roman"/>
                <w:noProof/>
              </w:rPr>
            </w:pPr>
            <w:r>
              <w:rPr>
                <w:noProof/>
              </w:rPr>
              <w:t>Szkolenie obywateli w zakresie umiejętności cyfrowych.</w:t>
            </w:r>
          </w:p>
        </w:tc>
      </w:tr>
      <w:tr w:rsidR="006578ED" w14:paraId="439E8C8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BD33C13" w14:textId="77777777" w:rsidR="006578ED" w:rsidRDefault="00A1618E">
            <w:pPr>
              <w:pStyle w:val="P68B1DB1-Normal46"/>
              <w:spacing w:after="0" w:line="240" w:lineRule="auto"/>
              <w:jc w:val="center"/>
              <w:rPr>
                <w:rFonts w:eastAsia="Times New Roman" w:cs="Times New Roman"/>
                <w:noProof/>
              </w:rPr>
            </w:pPr>
            <w:r>
              <w:rPr>
                <w:noProof/>
              </w:rPr>
              <w:t>292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B47ED2" w14:textId="77777777" w:rsidR="006578ED" w:rsidRDefault="00A1618E">
            <w:pPr>
              <w:pStyle w:val="P68B1DB1-Normal46"/>
              <w:spacing w:after="0" w:line="240" w:lineRule="auto"/>
              <w:rPr>
                <w:rFonts w:eastAsia="Times New Roman" w:cs="Times New Roman"/>
                <w:noProof/>
              </w:rPr>
            </w:pPr>
            <w:r>
              <w:rPr>
                <w:noProof/>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71F092" w14:textId="15F452F2"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226BFF3" w14:textId="77777777" w:rsidR="006578ED" w:rsidRDefault="00A1618E">
            <w:pPr>
              <w:pStyle w:val="P68B1DB1-Normal46"/>
              <w:spacing w:after="0" w:line="240" w:lineRule="auto"/>
              <w:rPr>
                <w:rFonts w:eastAsia="Times New Roman" w:cs="Times New Roman"/>
                <w:noProof/>
              </w:rPr>
            </w:pPr>
            <w:r>
              <w:rPr>
                <w:noProof/>
              </w:rPr>
              <w:t>Szkolenie cyfrowe na rzecz zatrudnienia</w:t>
            </w:r>
          </w:p>
        </w:tc>
      </w:tr>
      <w:tr w:rsidR="006578ED" w14:paraId="3EAD16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812D82" w14:textId="77777777" w:rsidR="006578ED" w:rsidRDefault="00A1618E">
            <w:pPr>
              <w:pStyle w:val="P68B1DB1-Normal46"/>
              <w:spacing w:after="0" w:line="240" w:lineRule="auto"/>
              <w:jc w:val="center"/>
              <w:rPr>
                <w:rFonts w:eastAsia="Times New Roman" w:cs="Times New Roman"/>
                <w:noProof/>
              </w:rPr>
            </w:pPr>
            <w:r>
              <w:rPr>
                <w:noProof/>
              </w:rPr>
              <w:t>292a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ABBA0F4" w14:textId="77777777" w:rsidR="006578ED" w:rsidRDefault="00A1618E">
            <w:pPr>
              <w:pStyle w:val="P68B1DB1-Normal46"/>
              <w:spacing w:after="0" w:line="240" w:lineRule="auto"/>
              <w:rPr>
                <w:rFonts w:eastAsia="Times New Roman" w:cs="Times New Roman"/>
                <w:noProof/>
              </w:rPr>
            </w:pPr>
            <w:r>
              <w:rPr>
                <w:noProof/>
              </w:rPr>
              <w:t>C19.I3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B1A8A7A" w14:textId="6D476EA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43F625A" w14:textId="02EE90BD" w:rsidR="006578ED" w:rsidRDefault="00A1618E">
            <w:pPr>
              <w:pStyle w:val="P68B1DB1-Normal46"/>
              <w:spacing w:after="0" w:line="240" w:lineRule="auto"/>
              <w:rPr>
                <w:rFonts w:eastAsia="Times New Roman" w:cs="Times New Roman"/>
                <w:noProof/>
              </w:rPr>
            </w:pPr>
            <w:r>
              <w:rPr>
                <w:noProof/>
              </w:rPr>
              <w:t>Szkolenie cyfrowe w środowisku pracy</w:t>
            </w:r>
          </w:p>
        </w:tc>
      </w:tr>
      <w:tr w:rsidR="006578ED" w14:paraId="5BC6DBA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148C7D2" w14:textId="77777777" w:rsidR="006578ED" w:rsidRDefault="00A1618E">
            <w:pPr>
              <w:pStyle w:val="P68B1DB1-Normal46"/>
              <w:spacing w:after="0" w:line="240" w:lineRule="auto"/>
              <w:jc w:val="center"/>
              <w:rPr>
                <w:rFonts w:eastAsia="Times New Roman" w:cs="Times New Roman"/>
                <w:noProof/>
              </w:rPr>
            </w:pPr>
            <w:r>
              <w:rPr>
                <w:noProof/>
              </w:rPr>
              <w:t>469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0268DC5" w14:textId="77777777" w:rsidR="006578ED" w:rsidRDefault="00A1618E">
            <w:pPr>
              <w:pStyle w:val="P68B1DB1-Normal46"/>
              <w:spacing w:after="0" w:line="240" w:lineRule="auto"/>
              <w:rPr>
                <w:rFonts w:eastAsia="Times New Roman" w:cs="Times New Roman"/>
                <w:noProof/>
              </w:rPr>
            </w:pPr>
            <w:r>
              <w:rPr>
                <w:noProof/>
              </w:rPr>
              <w:t>C21.I6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219872C" w14:textId="46BB765E"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8637D33" w14:textId="77777777" w:rsidR="006578ED" w:rsidRDefault="00A1618E">
            <w:pPr>
              <w:pStyle w:val="P68B1DB1-Normal46"/>
              <w:spacing w:after="0" w:line="240" w:lineRule="auto"/>
              <w:rPr>
                <w:rFonts w:eastAsia="Times New Roman" w:cs="Times New Roman"/>
                <w:noProof/>
              </w:rPr>
            </w:pPr>
            <w:r>
              <w:rPr>
                <w:noProof/>
              </w:rPr>
              <w:t>Mikropoświadczenia wydawane osobom dorosłym</w:t>
            </w:r>
          </w:p>
        </w:tc>
      </w:tr>
      <w:tr w:rsidR="006578ED" w14:paraId="5642E12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E666FE" w14:textId="77777777" w:rsidR="006578ED" w:rsidRDefault="00A1618E">
            <w:pPr>
              <w:pStyle w:val="P68B1DB1-Normal46"/>
              <w:spacing w:after="0" w:line="240" w:lineRule="auto"/>
              <w:jc w:val="center"/>
              <w:rPr>
                <w:rFonts w:eastAsia="Times New Roman" w:cs="Times New Roman"/>
                <w:noProof/>
              </w:rPr>
            </w:pPr>
            <w:r>
              <w:rPr>
                <w:noProof/>
              </w:rPr>
              <w:t>323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0A14BD" w14:textId="77777777" w:rsidR="006578ED" w:rsidRDefault="00A1618E">
            <w:pPr>
              <w:pStyle w:val="P68B1DB1-Normal46"/>
              <w:spacing w:after="0" w:line="240" w:lineRule="auto"/>
              <w:rPr>
                <w:rFonts w:eastAsia="Times New Roman" w:cs="Times New Roman"/>
                <w:noProof/>
              </w:rPr>
            </w:pPr>
            <w:r>
              <w:rPr>
                <w:noProof/>
              </w:rPr>
              <w:t>C22.I1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CA50E2" w14:textId="0B5A9664"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58DA6BF" w14:textId="67B112C8" w:rsidR="006578ED" w:rsidRDefault="00A1618E">
            <w:pPr>
              <w:pStyle w:val="P68B1DB1-Normal46"/>
              <w:spacing w:after="0" w:line="240" w:lineRule="auto"/>
              <w:rPr>
                <w:rFonts w:eastAsia="Times New Roman" w:cs="Times New Roman"/>
                <w:noProof/>
              </w:rPr>
            </w:pPr>
            <w:r>
              <w:rPr>
                <w:noProof/>
              </w:rPr>
              <w:t xml:space="preserve">Miejsca zamieszkania, opieki niemieszkalnej i dziennej. </w:t>
            </w:r>
          </w:p>
        </w:tc>
      </w:tr>
      <w:tr w:rsidR="006578ED" w14:paraId="47C042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EC46112" w14:textId="77777777" w:rsidR="006578ED" w:rsidRDefault="00A1618E">
            <w:pPr>
              <w:pStyle w:val="P68B1DB1-Normal46"/>
              <w:spacing w:after="0" w:line="240" w:lineRule="auto"/>
              <w:jc w:val="center"/>
              <w:rPr>
                <w:rFonts w:eastAsia="Times New Roman" w:cs="Times New Roman"/>
                <w:noProof/>
              </w:rPr>
            </w:pPr>
            <w:r>
              <w:rPr>
                <w:noProof/>
              </w:rPr>
              <w:t>328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CCC974" w14:textId="77777777" w:rsidR="006578ED" w:rsidRDefault="00A1618E">
            <w:pPr>
              <w:pStyle w:val="P68B1DB1-Normal46"/>
              <w:spacing w:after="0" w:line="240" w:lineRule="auto"/>
              <w:rPr>
                <w:rFonts w:eastAsia="Times New Roman" w:cs="Times New Roman"/>
                <w:noProof/>
              </w:rPr>
            </w:pPr>
            <w:r>
              <w:rPr>
                <w:noProof/>
              </w:rPr>
              <w:t>C22.I5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593FC9" w14:textId="0741B1DD"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57F0B0EC" w14:textId="600FFB6F" w:rsidR="006578ED" w:rsidRDefault="00A1618E">
            <w:pPr>
              <w:pStyle w:val="P68B1DB1-Normal46"/>
              <w:spacing w:after="0" w:line="240" w:lineRule="auto"/>
              <w:rPr>
                <w:rFonts w:eastAsia="Times New Roman" w:cs="Times New Roman"/>
                <w:noProof/>
              </w:rPr>
            </w:pPr>
            <w:r>
              <w:rPr>
                <w:noProof/>
              </w:rPr>
              <w:t xml:space="preserve">Potencjał systemu przyjmowania migrantów i osób ubiegających się o ochronę międzynarodową </w:t>
            </w:r>
          </w:p>
        </w:tc>
      </w:tr>
      <w:tr w:rsidR="006578ED" w14:paraId="76F5DFD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BA0B9" w14:textId="77777777" w:rsidR="006578ED" w:rsidRDefault="00A1618E">
            <w:pPr>
              <w:pStyle w:val="P68B1DB1-Normal46"/>
              <w:spacing w:after="0" w:line="240" w:lineRule="auto"/>
              <w:jc w:val="center"/>
              <w:rPr>
                <w:rFonts w:eastAsia="Times New Roman" w:cs="Times New Roman"/>
                <w:noProof/>
              </w:rPr>
            </w:pPr>
            <w:r>
              <w:rPr>
                <w:noProof/>
              </w:rPr>
              <w:t>475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FE1AEEC" w14:textId="77777777" w:rsidR="006578ED" w:rsidRDefault="00A1618E">
            <w:pPr>
              <w:pStyle w:val="P68B1DB1-Normal46"/>
              <w:spacing w:after="0" w:line="240" w:lineRule="auto"/>
              <w:rPr>
                <w:rFonts w:eastAsia="Times New Roman" w:cs="Times New Roman"/>
                <w:noProof/>
              </w:rPr>
            </w:pPr>
            <w:r>
              <w:rPr>
                <w:noProof/>
              </w:rPr>
              <w:t>C24.I1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0008C24" w14:textId="231B10FF"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0D3D4F" w14:textId="1058784C" w:rsidR="006578ED" w:rsidRDefault="00A1618E">
            <w:pPr>
              <w:pStyle w:val="P68B1DB1-Normal46"/>
              <w:spacing w:after="0" w:line="240" w:lineRule="auto"/>
              <w:rPr>
                <w:rFonts w:eastAsia="Times New Roman" w:cs="Times New Roman"/>
                <w:noProof/>
              </w:rPr>
            </w:pPr>
            <w:r>
              <w:rPr>
                <w:noProof/>
              </w:rPr>
              <w:t>Zakończenie inicjatyw i projektów na rzecz wzmocnienia konkurencyjności przemysłu kulturalnego</w:t>
            </w:r>
          </w:p>
        </w:tc>
      </w:tr>
      <w:tr w:rsidR="006578ED" w14:paraId="38B006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198C9F1" w14:textId="77777777" w:rsidR="006578ED" w:rsidRDefault="00A1618E">
            <w:pPr>
              <w:pStyle w:val="P68B1DB1-Normal46"/>
              <w:spacing w:after="0" w:line="240" w:lineRule="auto"/>
              <w:jc w:val="center"/>
              <w:rPr>
                <w:rFonts w:eastAsia="Times New Roman" w:cs="Times New Roman"/>
                <w:noProof/>
              </w:rPr>
            </w:pPr>
            <w:r>
              <w:rPr>
                <w:noProof/>
              </w:rPr>
              <w:t>474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D87FB30" w14:textId="77777777" w:rsidR="006578ED" w:rsidRDefault="00A1618E">
            <w:pPr>
              <w:pStyle w:val="P68B1DB1-Normal46"/>
              <w:spacing w:after="0" w:line="240" w:lineRule="auto"/>
              <w:rPr>
                <w:rFonts w:eastAsia="Times New Roman" w:cs="Times New Roman"/>
                <w:noProof/>
              </w:rPr>
            </w:pPr>
            <w:r>
              <w:rPr>
                <w:noProof/>
              </w:rPr>
              <w:t>C24.I2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4BC5C12" w14:textId="288EF5B8"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24ED4B" w14:textId="7451D155" w:rsidR="006578ED" w:rsidRDefault="00A1618E">
            <w:pPr>
              <w:pStyle w:val="P68B1DB1-Normal46"/>
              <w:spacing w:after="0" w:line="240" w:lineRule="auto"/>
              <w:rPr>
                <w:rFonts w:eastAsia="Times New Roman" w:cs="Times New Roman"/>
                <w:noProof/>
              </w:rPr>
            </w:pPr>
            <w:r>
              <w:rPr>
                <w:noProof/>
              </w:rPr>
              <w:t>Ochrona, odbudowa i poprawa stanu hiszpańskiego dziedzictwa kulturowego (Tabacalera)</w:t>
            </w:r>
          </w:p>
        </w:tc>
      </w:tr>
      <w:tr w:rsidR="006578ED" w14:paraId="58A402D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3E4F637" w14:textId="77777777" w:rsidR="006578ED" w:rsidRDefault="00A1618E">
            <w:pPr>
              <w:pStyle w:val="P68B1DB1-Normal46"/>
              <w:spacing w:after="0" w:line="240" w:lineRule="auto"/>
              <w:jc w:val="center"/>
              <w:rPr>
                <w:rFonts w:eastAsia="Times New Roman" w:cs="Times New Roman"/>
                <w:noProof/>
              </w:rPr>
            </w:pPr>
            <w:r>
              <w:rPr>
                <w:noProof/>
              </w:rPr>
              <w:t>478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C67F7D" w14:textId="77777777" w:rsidR="006578ED" w:rsidRDefault="00A1618E">
            <w:pPr>
              <w:pStyle w:val="P68B1DB1-Normal46"/>
              <w:spacing w:after="0" w:line="240" w:lineRule="auto"/>
              <w:rPr>
                <w:rFonts w:eastAsia="Times New Roman" w:cs="Times New Roman"/>
                <w:noProof/>
              </w:rPr>
            </w:pPr>
            <w:r>
              <w:rPr>
                <w:noProof/>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159A48" w14:textId="4E6C22E1"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2CC74A6" w14:textId="3EA1D043" w:rsidR="006578ED" w:rsidRDefault="00A1618E">
            <w:pPr>
              <w:pStyle w:val="P68B1DB1-Normal46"/>
              <w:spacing w:after="0" w:line="240" w:lineRule="auto"/>
              <w:rPr>
                <w:rFonts w:eastAsia="Times New Roman" w:cs="Times New Roman"/>
                <w:noProof/>
              </w:rPr>
            </w:pPr>
            <w:r>
              <w:rPr>
                <w:noProof/>
              </w:rPr>
              <w:t>Inwestycje promujące magazynowanie energii lub prosumpcję energii w oparciu o produkcję energii ze źródeł odnawialnych lub magazynowanie energii za licznikiem</w:t>
            </w:r>
          </w:p>
        </w:tc>
      </w:tr>
      <w:tr w:rsidR="006578ED" w14:paraId="3A1B992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70E83BF" w14:textId="77777777" w:rsidR="006578ED" w:rsidRDefault="00A1618E">
            <w:pPr>
              <w:pStyle w:val="P68B1DB1-Normal46"/>
              <w:spacing w:after="0" w:line="240" w:lineRule="auto"/>
              <w:jc w:val="center"/>
              <w:rPr>
                <w:rFonts w:eastAsia="Times New Roman" w:cs="Times New Roman"/>
                <w:noProof/>
              </w:rPr>
            </w:pPr>
            <w:r>
              <w:rPr>
                <w:noProof/>
              </w:rPr>
              <w:t>479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E0F759" w14:textId="77777777" w:rsidR="006578ED" w:rsidRDefault="00A1618E">
            <w:pPr>
              <w:pStyle w:val="P68B1DB1-Normal46"/>
              <w:spacing w:after="0" w:line="240" w:lineRule="auto"/>
              <w:rPr>
                <w:rFonts w:eastAsia="Times New Roman" w:cs="Times New Roman"/>
                <w:noProof/>
              </w:rPr>
            </w:pPr>
            <w:r>
              <w:rPr>
                <w:noProof/>
              </w:rPr>
              <w:t>C31.I1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7DFDAE" w14:textId="5F5001EC"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B79C8DC" w14:textId="77777777" w:rsidR="006578ED" w:rsidRDefault="00A1618E">
            <w:pPr>
              <w:pStyle w:val="P68B1DB1-Normal46"/>
              <w:spacing w:after="0" w:line="240" w:lineRule="auto"/>
              <w:rPr>
                <w:rFonts w:eastAsia="Times New Roman" w:cs="Times New Roman"/>
                <w:noProof/>
              </w:rPr>
            </w:pPr>
            <w:r>
              <w:rPr>
                <w:noProof/>
              </w:rPr>
              <w:t>Liczba inicjatyw przeprowadzonych przez społeczności energetyczne</w:t>
            </w:r>
          </w:p>
        </w:tc>
      </w:tr>
      <w:tr w:rsidR="006578ED" w14:paraId="2862131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FCF6979" w14:textId="77777777" w:rsidR="006578ED" w:rsidRDefault="00A1618E">
            <w:pPr>
              <w:pStyle w:val="P68B1DB1-Normal46"/>
              <w:spacing w:after="0" w:line="240" w:lineRule="auto"/>
              <w:jc w:val="center"/>
              <w:rPr>
                <w:rFonts w:eastAsia="Times New Roman" w:cs="Times New Roman"/>
                <w:noProof/>
              </w:rPr>
            </w:pPr>
            <w:r>
              <w:rPr>
                <w:noProof/>
              </w:rPr>
              <w:t>482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30E2DE8" w14:textId="77777777" w:rsidR="006578ED" w:rsidRDefault="00A1618E">
            <w:pPr>
              <w:pStyle w:val="P68B1DB1-Normal46"/>
              <w:spacing w:after="0" w:line="240" w:lineRule="auto"/>
              <w:rPr>
                <w:rFonts w:eastAsia="Times New Roman" w:cs="Times New Roman"/>
                <w:noProof/>
              </w:rPr>
            </w:pPr>
            <w:r>
              <w:rPr>
                <w:noProof/>
              </w:rPr>
              <w:t>C31.I2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2040D26" w14:textId="25BEB319"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60794BE9" w14:textId="370A55FA" w:rsidR="006578ED" w:rsidRDefault="00A1618E">
            <w:pPr>
              <w:pStyle w:val="P68B1DB1-Normal46"/>
              <w:spacing w:after="0" w:line="240" w:lineRule="auto"/>
              <w:rPr>
                <w:rFonts w:eastAsia="Times New Roman" w:cs="Times New Roman"/>
                <w:noProof/>
              </w:rPr>
            </w:pPr>
            <w:r>
              <w:rPr>
                <w:noProof/>
              </w:rPr>
              <w:t>System wsparcia dla wodoru odnawialnego: Umowy prawne podpisane z beneficjentami końcowymi lub opublikowane uchwały o ostatecznym przyznaniu dotacji (II)</w:t>
            </w:r>
          </w:p>
        </w:tc>
      </w:tr>
      <w:tr w:rsidR="006578ED" w14:paraId="68069B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58262D1" w14:textId="77777777" w:rsidR="006578ED" w:rsidRDefault="00A1618E">
            <w:pPr>
              <w:pStyle w:val="P68B1DB1-Normal46"/>
              <w:spacing w:after="0" w:line="240" w:lineRule="auto"/>
              <w:jc w:val="center"/>
              <w:rPr>
                <w:rFonts w:eastAsia="Times New Roman" w:cs="Times New Roman"/>
                <w:noProof/>
              </w:rPr>
            </w:pPr>
            <w:r>
              <w:rPr>
                <w:noProof/>
              </w:rPr>
              <w:t>486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15DE7F" w14:textId="77777777" w:rsidR="006578ED" w:rsidRDefault="00A1618E">
            <w:pPr>
              <w:pStyle w:val="P68B1DB1-Normal46"/>
              <w:spacing w:after="0" w:line="240" w:lineRule="auto"/>
              <w:rPr>
                <w:rFonts w:eastAsia="Times New Roman" w:cs="Times New Roman"/>
                <w:noProof/>
              </w:rPr>
            </w:pPr>
            <w:r>
              <w:rPr>
                <w:noProof/>
              </w:rPr>
              <w:t>C31.I3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055733" w14:textId="0EEB66A6"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37EF07AF" w14:textId="463E902E" w:rsidR="006578ED" w:rsidRDefault="00A1618E">
            <w:pPr>
              <w:pStyle w:val="P68B1DB1-Normal46"/>
              <w:spacing w:after="0" w:line="240" w:lineRule="auto"/>
              <w:rPr>
                <w:rFonts w:eastAsia="Times New Roman" w:cs="Times New Roman"/>
                <w:noProof/>
              </w:rPr>
            </w:pPr>
            <w:r>
              <w:rPr>
                <w:noProof/>
              </w:rPr>
              <w:t>System wsparcia dla łańcucha wartości: Umowy prawne podpisane z beneficjentami końcowymi lub opublikowane uchwały o ostatecznym przyznaniu dotacji (II)</w:t>
            </w:r>
          </w:p>
        </w:tc>
      </w:tr>
      <w:tr w:rsidR="006578ED" w14:paraId="05809D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823F7B" w14:textId="77777777" w:rsidR="006578ED" w:rsidRDefault="00A1618E">
            <w:pPr>
              <w:pStyle w:val="P68B1DB1-Normal46"/>
              <w:spacing w:after="0" w:line="240" w:lineRule="auto"/>
              <w:jc w:val="center"/>
              <w:rPr>
                <w:rFonts w:eastAsia="Times New Roman" w:cs="Times New Roman"/>
                <w:noProof/>
              </w:rPr>
            </w:pPr>
            <w:r>
              <w:rPr>
                <w:noProof/>
              </w:rPr>
              <w:t>490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CA3A94" w14:textId="77777777" w:rsidR="006578ED" w:rsidRDefault="00A1618E">
            <w:pPr>
              <w:pStyle w:val="P68B1DB1-Normal46"/>
              <w:spacing w:after="0" w:line="240" w:lineRule="auto"/>
              <w:rPr>
                <w:rFonts w:eastAsia="Times New Roman" w:cs="Times New Roman"/>
                <w:noProof/>
              </w:rPr>
            </w:pPr>
            <w:r>
              <w:rPr>
                <w:noProof/>
              </w:rPr>
              <w:t>C31.I4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364B5C" w14:textId="707F658E"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19F5CB30" w14:textId="77777777" w:rsidR="006578ED" w:rsidRDefault="00A1618E">
            <w:pPr>
              <w:pStyle w:val="P68B1DB1-Normal46"/>
              <w:spacing w:after="0" w:line="240" w:lineRule="auto"/>
              <w:rPr>
                <w:rFonts w:eastAsia="Times New Roman" w:cs="Times New Roman"/>
                <w:noProof/>
              </w:rPr>
            </w:pPr>
            <w:r>
              <w:rPr>
                <w:noProof/>
              </w:rPr>
              <w:t>Zakończenie wspieranych projektów dotyczących przesyłu energii elektrycznej</w:t>
            </w:r>
          </w:p>
        </w:tc>
      </w:tr>
      <w:tr w:rsidR="006578ED" w14:paraId="5884615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344428" w14:textId="77777777" w:rsidR="006578ED" w:rsidRDefault="00A1618E">
            <w:pPr>
              <w:pStyle w:val="P68B1DB1-Normal46"/>
              <w:spacing w:after="0" w:line="240" w:lineRule="auto"/>
              <w:jc w:val="center"/>
              <w:rPr>
                <w:rFonts w:eastAsia="Times New Roman" w:cs="Times New Roman"/>
                <w:noProof/>
              </w:rPr>
            </w:pPr>
            <w:r>
              <w:rPr>
                <w:noProof/>
              </w:rPr>
              <w:t>493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A278076" w14:textId="77777777" w:rsidR="006578ED" w:rsidRDefault="00A1618E">
            <w:pPr>
              <w:pStyle w:val="P68B1DB1-Normal46"/>
              <w:spacing w:after="0" w:line="240" w:lineRule="auto"/>
              <w:rPr>
                <w:rFonts w:eastAsia="Times New Roman" w:cs="Times New Roman"/>
                <w:noProof/>
              </w:rPr>
            </w:pPr>
            <w:r>
              <w:rPr>
                <w:noProof/>
              </w:rPr>
              <w:t>C31.I5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77DEBE" w14:textId="48EE58A5" w:rsidR="006578ED" w:rsidRDefault="00AF6B91">
            <w:pPr>
              <w:pStyle w:val="P68B1DB1-Normal46"/>
              <w:spacing w:after="0" w:line="240" w:lineRule="auto"/>
              <w:rPr>
                <w:rFonts w:eastAsia="Times New Roman" w:cs="Times New Roman"/>
                <w:noProof/>
              </w:rPr>
            </w:pPr>
            <w:r>
              <w:rPr>
                <w:noProof/>
              </w:rPr>
              <w:t>Kamień milowy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29A921DA" w14:textId="77777777" w:rsidR="006578ED" w:rsidRDefault="00A1618E">
            <w:pPr>
              <w:pStyle w:val="P68B1DB1-Normal46"/>
              <w:spacing w:after="0" w:line="240" w:lineRule="auto"/>
              <w:rPr>
                <w:rFonts w:eastAsia="Times New Roman" w:cs="Times New Roman"/>
                <w:noProof/>
              </w:rPr>
            </w:pPr>
            <w:r>
              <w:rPr>
                <w:noProof/>
              </w:rPr>
              <w:t>Zakończenie projektów dekarbonizacji</w:t>
            </w:r>
          </w:p>
        </w:tc>
      </w:tr>
      <w:tr w:rsidR="006578ED" w14:paraId="7C7B002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981D53" w14:textId="77777777" w:rsidR="006578ED" w:rsidRDefault="00A1618E">
            <w:pPr>
              <w:pStyle w:val="P68B1DB1-Normal46"/>
              <w:spacing w:after="0" w:line="240" w:lineRule="auto"/>
              <w:jc w:val="center"/>
              <w:rPr>
                <w:rFonts w:eastAsia="Times New Roman" w:cs="Times New Roman"/>
                <w:noProof/>
              </w:rPr>
            </w:pPr>
            <w:r>
              <w:rPr>
                <w:noProof/>
              </w:rPr>
              <w:t>496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A9F29D" w14:textId="77777777" w:rsidR="006578ED" w:rsidRDefault="00A1618E">
            <w:pPr>
              <w:pStyle w:val="P68B1DB1-Normal46"/>
              <w:spacing w:after="0" w:line="240" w:lineRule="auto"/>
              <w:rPr>
                <w:rFonts w:eastAsia="Times New Roman" w:cs="Times New Roman"/>
                <w:noProof/>
              </w:rPr>
            </w:pPr>
            <w:r>
              <w:rPr>
                <w:noProof/>
              </w:rPr>
              <w:t>C31.I6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1CD355F" w14:textId="6673E7AB" w:rsidR="006578ED" w:rsidRDefault="00AF6B91">
            <w:pPr>
              <w:pStyle w:val="P68B1DB1-Normal46"/>
              <w:spacing w:after="0" w:line="240" w:lineRule="auto"/>
              <w:rPr>
                <w:rFonts w:eastAsia="Times New Roman" w:cs="Times New Roman"/>
                <w:noProof/>
              </w:rPr>
            </w:pPr>
            <w:r>
              <w:rPr>
                <w:noProof/>
              </w:rPr>
              <w:t>Cel</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08854A2B" w14:textId="4C92E3DD" w:rsidR="006578ED" w:rsidRDefault="00A1618E">
            <w:pPr>
              <w:pStyle w:val="P68B1DB1-Normal46"/>
              <w:spacing w:after="0" w:line="240" w:lineRule="auto"/>
              <w:rPr>
                <w:rFonts w:eastAsia="Times New Roman" w:cs="Times New Roman"/>
                <w:noProof/>
              </w:rPr>
            </w:pPr>
            <w:r>
              <w:rPr>
                <w:noProof/>
              </w:rPr>
              <w:t>Program dotacji na rzecz dekarbonizacji przemysłu: Umowy prawne podpisane z beneficjentami końcowymi lub opublikowane uchwały o ostatecznym przyznaniu dotacji</w:t>
            </w:r>
          </w:p>
        </w:tc>
      </w:tr>
      <w:tr w:rsidR="006578ED" w14:paraId="651D1B6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FEAB7EF"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A9F4CA0"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4B7940" w14:textId="09326149" w:rsidR="006578ED" w:rsidRDefault="00A1618E">
            <w:pPr>
              <w:pStyle w:val="P68B1DB1-Normal45"/>
              <w:spacing w:after="0" w:line="240" w:lineRule="auto"/>
              <w:rPr>
                <w:rFonts w:eastAsia="Times New Roman" w:cs="Times New Roman"/>
                <w:noProof/>
              </w:rPr>
            </w:pPr>
            <w:r>
              <w:rPr>
                <w:noProof/>
              </w:rPr>
              <w:t>Kwota raty</w:t>
            </w:r>
          </w:p>
        </w:tc>
        <w:tc>
          <w:tcPr>
            <w:tcW w:w="5607" w:type="dxa"/>
            <w:tcBorders>
              <w:top w:val="single" w:sz="4" w:space="0" w:color="auto"/>
              <w:left w:val="nil"/>
              <w:bottom w:val="single" w:sz="4" w:space="0" w:color="auto"/>
              <w:right w:val="single" w:sz="4" w:space="0" w:color="auto"/>
            </w:tcBorders>
            <w:shd w:val="clear" w:color="auto" w:fill="C6EFCE"/>
            <w:noWrap/>
            <w:vAlign w:val="bottom"/>
          </w:tcPr>
          <w:p w14:paraId="7677985D" w14:textId="05D07DD9" w:rsidR="006578ED" w:rsidRDefault="00A1618E">
            <w:pPr>
              <w:pStyle w:val="P68B1DB1-Normal45"/>
              <w:spacing w:after="0" w:line="240" w:lineRule="auto"/>
              <w:rPr>
                <w:rFonts w:eastAsia="Times New Roman" w:cs="Times New Roman"/>
                <w:noProof/>
              </w:rPr>
            </w:pPr>
            <w:r>
              <w:rPr>
                <w:noProof/>
              </w:rPr>
              <w:t>8 017 775 948 EUR</w:t>
            </w:r>
          </w:p>
        </w:tc>
      </w:tr>
    </w:tbl>
    <w:p w14:paraId="16D5F339" w14:textId="77777777" w:rsidR="006578ED" w:rsidRDefault="006578ED">
      <w:pPr>
        <w:spacing w:before="120" w:after="120" w:line="240" w:lineRule="auto"/>
        <w:jc w:val="both"/>
        <w:rPr>
          <w:rFonts w:ascii="Times New Roman" w:eastAsia="Calibri" w:hAnsi="Times New Roman" w:cs="Times New Roman"/>
          <w:noProof/>
          <w:sz w:val="24"/>
        </w:rPr>
      </w:pPr>
    </w:p>
    <w:p w14:paraId="4D99498E" w14:textId="77777777" w:rsidR="006578ED" w:rsidRDefault="006578ED">
      <w:pPr>
        <w:spacing w:before="120" w:after="120" w:line="240" w:lineRule="auto"/>
        <w:jc w:val="both"/>
        <w:rPr>
          <w:rFonts w:ascii="Times New Roman" w:eastAsia="Calibri" w:hAnsi="Times New Roman" w:cs="Times New Roman"/>
          <w:noProof/>
          <w:sz w:val="24"/>
        </w:rPr>
      </w:pPr>
    </w:p>
    <w:p w14:paraId="0CA79CFD" w14:textId="30DF263D" w:rsidR="006578ED" w:rsidRDefault="00A1618E">
      <w:pPr>
        <w:pStyle w:val="P68B1DB1-Normal43"/>
        <w:numPr>
          <w:ilvl w:val="0"/>
          <w:numId w:val="50"/>
        </w:numPr>
        <w:spacing w:before="120" w:after="120" w:line="240" w:lineRule="auto"/>
        <w:jc w:val="both"/>
        <w:rPr>
          <w:rFonts w:eastAsia="Calibri" w:cs="Times New Roman"/>
          <w:noProof/>
        </w:rPr>
      </w:pPr>
      <w:r>
        <w:rPr>
          <w:noProof/>
        </w:rPr>
        <w:t xml:space="preserve">Pożyczka </w:t>
      </w:r>
    </w:p>
    <w:p w14:paraId="153E4591" w14:textId="35CF38C5" w:rsidR="006578ED" w:rsidRDefault="00A1618E">
      <w:pPr>
        <w:pStyle w:val="P68B1DB1-Normal4"/>
        <w:spacing w:before="120" w:after="120" w:line="240" w:lineRule="auto"/>
        <w:ind w:left="850"/>
        <w:jc w:val="both"/>
        <w:rPr>
          <w:rFonts w:eastAsia="Calibri" w:cs="Times New Roman"/>
          <w:noProof/>
        </w:rPr>
      </w:pPr>
      <w:r>
        <w:rPr>
          <w:noProof/>
        </w:rPr>
        <w:t>Transze, o których mowa w </w:t>
      </w:r>
      <w:r w:rsidRPr="00A1618E">
        <w:rPr>
          <w:noProof/>
          <w:lang w:val="pl-PL"/>
        </w:rPr>
        <w:t>art. 2</w:t>
      </w:r>
      <w:r>
        <w:rPr>
          <w:noProof/>
        </w:rPr>
        <w:t xml:space="preserve">a </w:t>
      </w:r>
      <w:r w:rsidRPr="00A1618E">
        <w:rPr>
          <w:noProof/>
          <w:lang w:val="pl-PL"/>
        </w:rPr>
        <w:t>ust. 2</w:t>
      </w:r>
      <w:r>
        <w:rPr>
          <w:noProof/>
        </w:rPr>
        <w:t>, są organizowane w następujący sposób:</w:t>
      </w:r>
    </w:p>
    <w:p w14:paraId="37C02A2E"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Pierwsza transza (wsparcie pożyczkowe): </w:t>
      </w:r>
    </w:p>
    <w:tbl>
      <w:tblPr>
        <w:tblW w:w="9663" w:type="dxa"/>
        <w:tblInd w:w="113" w:type="dxa"/>
        <w:tblLook w:val="04A0" w:firstRow="1" w:lastRow="0" w:firstColumn="1" w:lastColumn="0" w:noHBand="0" w:noVBand="1"/>
      </w:tblPr>
      <w:tblGrid>
        <w:gridCol w:w="1300"/>
        <w:gridCol w:w="1443"/>
        <w:gridCol w:w="1561"/>
        <w:gridCol w:w="5670"/>
      </w:tblGrid>
      <w:tr w:rsidR="006578ED" w14:paraId="69124C72" w14:textId="77777777">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1F0831"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B8A25B4"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DD5456D"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59D55B09"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0C3E33E9"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E0BABFE"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0D235C6"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3B65A234" w14:textId="77777777" w:rsidR="006578ED" w:rsidRDefault="006578ED">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450C8459" w14:textId="77777777" w:rsidR="006578ED" w:rsidRDefault="006578ED">
            <w:pPr>
              <w:spacing w:after="0" w:line="240" w:lineRule="auto"/>
              <w:rPr>
                <w:rFonts w:ascii="Times New Roman" w:eastAsia="Times New Roman" w:hAnsi="Times New Roman" w:cs="Times New Roman"/>
                <w:b/>
                <w:noProof/>
                <w:sz w:val="20"/>
              </w:rPr>
            </w:pPr>
          </w:p>
        </w:tc>
      </w:tr>
      <w:tr w:rsidR="006578ED" w14:paraId="7B3EA417" w14:textId="77777777">
        <w:trPr>
          <w:trHeight w:val="302"/>
        </w:trPr>
        <w:tc>
          <w:tcPr>
            <w:tcW w:w="1300" w:type="dxa"/>
            <w:tcBorders>
              <w:top w:val="nil"/>
              <w:left w:val="single" w:sz="4" w:space="0" w:color="auto"/>
              <w:bottom w:val="single" w:sz="4" w:space="0" w:color="auto"/>
              <w:right w:val="single" w:sz="4" w:space="0" w:color="auto"/>
            </w:tcBorders>
            <w:shd w:val="clear" w:color="auto" w:fill="C6EFCE"/>
            <w:noWrap/>
            <w:vAlign w:val="bottom"/>
            <w:hideMark/>
          </w:tcPr>
          <w:p w14:paraId="495A227F" w14:textId="77777777" w:rsidR="006578ED" w:rsidRDefault="00A1618E">
            <w:pPr>
              <w:pStyle w:val="P68B1DB1-Normal46"/>
              <w:spacing w:after="0" w:line="240" w:lineRule="auto"/>
              <w:jc w:val="center"/>
              <w:rPr>
                <w:rFonts w:eastAsia="Times New Roman" w:cs="Times New Roman"/>
                <w:noProof/>
              </w:rPr>
            </w:pPr>
            <w:r>
              <w:rPr>
                <w:noProof/>
              </w:rPr>
              <w:t>L1</w:t>
            </w:r>
          </w:p>
        </w:tc>
        <w:tc>
          <w:tcPr>
            <w:tcW w:w="1443" w:type="dxa"/>
            <w:tcBorders>
              <w:top w:val="nil"/>
              <w:left w:val="nil"/>
              <w:bottom w:val="single" w:sz="4" w:space="0" w:color="auto"/>
              <w:right w:val="single" w:sz="4" w:space="0" w:color="auto"/>
            </w:tcBorders>
            <w:shd w:val="clear" w:color="auto" w:fill="C6EFCE"/>
            <w:noWrap/>
            <w:vAlign w:val="bottom"/>
            <w:hideMark/>
          </w:tcPr>
          <w:p w14:paraId="21EA4C76" w14:textId="77777777" w:rsidR="006578ED" w:rsidRDefault="00A1618E">
            <w:pPr>
              <w:pStyle w:val="P68B1DB1-Normal46"/>
              <w:spacing w:after="0" w:line="240" w:lineRule="auto"/>
              <w:rPr>
                <w:rFonts w:eastAsia="Times New Roman" w:cs="Times New Roman"/>
                <w:noProof/>
              </w:rPr>
            </w:pPr>
            <w:r>
              <w:rPr>
                <w:noProof/>
              </w:rPr>
              <w:t>C1.R3</w:t>
            </w:r>
          </w:p>
        </w:tc>
        <w:tc>
          <w:tcPr>
            <w:tcW w:w="1250" w:type="dxa"/>
            <w:tcBorders>
              <w:top w:val="nil"/>
              <w:left w:val="nil"/>
              <w:bottom w:val="single" w:sz="4" w:space="0" w:color="auto"/>
              <w:right w:val="single" w:sz="4" w:space="0" w:color="auto"/>
            </w:tcBorders>
            <w:shd w:val="clear" w:color="auto" w:fill="C6EFCE"/>
            <w:noWrap/>
            <w:vAlign w:val="bottom"/>
            <w:hideMark/>
          </w:tcPr>
          <w:p w14:paraId="34841B0B" w14:textId="6EDADC8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nil"/>
              <w:left w:val="nil"/>
              <w:bottom w:val="single" w:sz="4" w:space="0" w:color="auto"/>
              <w:right w:val="single" w:sz="4" w:space="0" w:color="auto"/>
            </w:tcBorders>
            <w:shd w:val="clear" w:color="auto" w:fill="C6EFCE"/>
            <w:noWrap/>
            <w:vAlign w:val="bottom"/>
            <w:hideMark/>
          </w:tcPr>
          <w:p w14:paraId="4B0E361C" w14:textId="30264F06" w:rsidR="006578ED" w:rsidRDefault="00A1618E">
            <w:pPr>
              <w:pStyle w:val="P68B1DB1-Normal46"/>
              <w:spacing w:after="0" w:line="240" w:lineRule="auto"/>
              <w:rPr>
                <w:rFonts w:eastAsia="Times New Roman" w:cs="Times New Roman"/>
                <w:noProof/>
              </w:rPr>
            </w:pPr>
            <w:r>
              <w:rPr>
                <w:noProof/>
              </w:rPr>
              <w:t>Wejście w życie dekretu królewskiego w sprawie stref niskiej emisji (LEZ)</w:t>
            </w:r>
          </w:p>
        </w:tc>
      </w:tr>
      <w:tr w:rsidR="006578ED" w14:paraId="7801387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D29F0FB"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D0E92F1"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3280582" w14:textId="77777777" w:rsidR="006578ED" w:rsidRDefault="00A1618E">
            <w:pPr>
              <w:pStyle w:val="P68B1DB1-Normal45"/>
              <w:spacing w:after="0" w:line="240" w:lineRule="auto"/>
              <w:rPr>
                <w:rFonts w:eastAsia="Times New Roman" w:cs="Times New Roman"/>
                <w:noProof/>
              </w:rPr>
            </w:pPr>
            <w:r>
              <w:rPr>
                <w:noProof/>
              </w:rPr>
              <w:t>Kwota raty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6843E3" w14:textId="26061622" w:rsidR="006578ED" w:rsidRDefault="00A1618E">
            <w:pPr>
              <w:pStyle w:val="P68B1DB1-Normal45"/>
              <w:spacing w:after="0" w:line="240" w:lineRule="auto"/>
              <w:rPr>
                <w:rFonts w:eastAsia="Times New Roman" w:cs="Times New Roman"/>
                <w:noProof/>
              </w:rPr>
            </w:pPr>
            <w:r>
              <w:rPr>
                <w:noProof/>
              </w:rPr>
              <w:t>528 000 381 EUR</w:t>
            </w:r>
          </w:p>
        </w:tc>
      </w:tr>
    </w:tbl>
    <w:p w14:paraId="61DF7D93" w14:textId="77777777" w:rsidR="006578ED" w:rsidRDefault="006578ED">
      <w:pPr>
        <w:spacing w:before="120" w:after="120" w:line="240" w:lineRule="auto"/>
        <w:jc w:val="both"/>
        <w:rPr>
          <w:rFonts w:ascii="Times New Roman" w:eastAsia="Calibri" w:hAnsi="Times New Roman" w:cs="Times New Roman"/>
          <w:noProof/>
          <w:sz w:val="24"/>
        </w:rPr>
      </w:pPr>
    </w:p>
    <w:p w14:paraId="55E15C86"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Druga transza (wsparcie pożyczkowe): </w:t>
      </w:r>
    </w:p>
    <w:tbl>
      <w:tblPr>
        <w:tblW w:w="9663" w:type="dxa"/>
        <w:tblInd w:w="113" w:type="dxa"/>
        <w:tblLook w:val="04A0" w:firstRow="1" w:lastRow="0" w:firstColumn="1" w:lastColumn="0" w:noHBand="0" w:noVBand="1"/>
      </w:tblPr>
      <w:tblGrid>
        <w:gridCol w:w="1297"/>
        <w:gridCol w:w="1443"/>
        <w:gridCol w:w="1561"/>
        <w:gridCol w:w="5670"/>
      </w:tblGrid>
      <w:tr w:rsidR="006578ED" w14:paraId="070EFD94" w14:textId="77777777">
        <w:trPr>
          <w:trHeight w:val="906"/>
        </w:trPr>
        <w:tc>
          <w:tcPr>
            <w:tcW w:w="1297"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1A75EA4"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CE68AE0"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436A9049"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6A2E2359"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334484C5" w14:textId="77777777">
        <w:trPr>
          <w:trHeight w:val="509"/>
        </w:trPr>
        <w:tc>
          <w:tcPr>
            <w:tcW w:w="1297" w:type="dxa"/>
            <w:vMerge/>
            <w:tcBorders>
              <w:top w:val="single" w:sz="4" w:space="0" w:color="auto"/>
              <w:left w:val="single" w:sz="4" w:space="0" w:color="auto"/>
              <w:bottom w:val="single" w:sz="4" w:space="0" w:color="000000"/>
              <w:right w:val="single" w:sz="4" w:space="0" w:color="auto"/>
            </w:tcBorders>
            <w:vAlign w:val="center"/>
            <w:hideMark/>
          </w:tcPr>
          <w:p w14:paraId="6522CDFC"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034537BC" w14:textId="77777777" w:rsidR="006578ED" w:rsidRDefault="006578ED">
            <w:pPr>
              <w:spacing w:after="0" w:line="240" w:lineRule="auto"/>
              <w:rPr>
                <w:rFonts w:ascii="Times New Roman" w:eastAsia="Times New Roman" w:hAnsi="Times New Roman" w:cs="Times New Roman"/>
                <w:b/>
                <w:noProof/>
                <w:sz w:val="20"/>
              </w:rPr>
            </w:pPr>
          </w:p>
        </w:tc>
        <w:tc>
          <w:tcPr>
            <w:tcW w:w="1253" w:type="dxa"/>
            <w:vMerge/>
            <w:tcBorders>
              <w:top w:val="single" w:sz="4" w:space="0" w:color="auto"/>
              <w:left w:val="single" w:sz="4" w:space="0" w:color="auto"/>
              <w:bottom w:val="single" w:sz="4" w:space="0" w:color="000000"/>
              <w:right w:val="single" w:sz="4" w:space="0" w:color="auto"/>
            </w:tcBorders>
            <w:vAlign w:val="center"/>
            <w:hideMark/>
          </w:tcPr>
          <w:p w14:paraId="1177CC17" w14:textId="77777777" w:rsidR="006578ED" w:rsidRDefault="006578ED">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3BDD48F4" w14:textId="77777777" w:rsidR="006578ED" w:rsidRDefault="006578ED">
            <w:pPr>
              <w:spacing w:after="0" w:line="240" w:lineRule="auto"/>
              <w:rPr>
                <w:rFonts w:ascii="Times New Roman" w:eastAsia="Times New Roman" w:hAnsi="Times New Roman" w:cs="Times New Roman"/>
                <w:b/>
                <w:noProof/>
                <w:sz w:val="20"/>
              </w:rPr>
            </w:pPr>
          </w:p>
        </w:tc>
      </w:tr>
      <w:tr w:rsidR="006578ED" w14:paraId="38EA10FF"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A64205" w14:textId="77777777" w:rsidR="006578ED" w:rsidRDefault="00A1618E">
            <w:pPr>
              <w:pStyle w:val="P68B1DB1-Normal46"/>
              <w:spacing w:after="0" w:line="240" w:lineRule="auto"/>
              <w:jc w:val="center"/>
              <w:rPr>
                <w:rFonts w:eastAsia="Times New Roman" w:cs="Times New Roman"/>
                <w:noProof/>
              </w:rPr>
            </w:pPr>
            <w:r>
              <w:rPr>
                <w:noProof/>
              </w:rPr>
              <w:t>L4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3FAC76" w14:textId="77777777" w:rsidR="006578ED" w:rsidRDefault="00A1618E">
            <w:pPr>
              <w:pStyle w:val="P68B1DB1-Normal46"/>
              <w:spacing w:after="0" w:line="240" w:lineRule="auto"/>
              <w:rPr>
                <w:rFonts w:eastAsia="Times New Roman" w:cs="Times New Roman"/>
                <w:noProof/>
              </w:rPr>
            </w:pPr>
            <w:r>
              <w:rPr>
                <w:noProof/>
              </w:rPr>
              <w:t>C2.I7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0CC7DAE6" w14:textId="1DB91A87"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A256D96" w14:textId="77777777" w:rsidR="006578ED" w:rsidRDefault="00A1618E">
            <w:pPr>
              <w:pStyle w:val="P68B1DB1-Normal46"/>
              <w:spacing w:after="0" w:line="240" w:lineRule="auto"/>
              <w:rPr>
                <w:rFonts w:eastAsia="Times New Roman" w:cs="Times New Roman"/>
                <w:noProof/>
              </w:rPr>
            </w:pPr>
            <w:r>
              <w:rPr>
                <w:noProof/>
              </w:rPr>
              <w:t>Umowa wykonawcza</w:t>
            </w:r>
          </w:p>
        </w:tc>
      </w:tr>
      <w:tr w:rsidR="006578ED" w14:paraId="156E1DF5"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A06059" w14:textId="77777777" w:rsidR="006578ED" w:rsidRDefault="00A1618E">
            <w:pPr>
              <w:pStyle w:val="P68B1DB1-Normal46"/>
              <w:spacing w:after="0" w:line="240" w:lineRule="auto"/>
              <w:jc w:val="center"/>
              <w:rPr>
                <w:rFonts w:eastAsia="Times New Roman" w:cs="Times New Roman"/>
                <w:noProof/>
              </w:rPr>
            </w:pPr>
            <w:r>
              <w:rPr>
                <w:noProof/>
              </w:rPr>
              <w:t>L10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9D2860" w14:textId="77777777" w:rsidR="006578ED" w:rsidRDefault="00A1618E">
            <w:pPr>
              <w:pStyle w:val="P68B1DB1-Normal46"/>
              <w:spacing w:after="0" w:line="240" w:lineRule="auto"/>
              <w:rPr>
                <w:rFonts w:eastAsia="Times New Roman" w:cs="Times New Roman"/>
                <w:noProof/>
              </w:rPr>
            </w:pPr>
            <w:r>
              <w:rPr>
                <w:noProof/>
              </w:rPr>
              <w:t>C3.I12</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222AFE2" w14:textId="0A84C33B"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C2561C" w14:textId="2666D0DF" w:rsidR="006578ED" w:rsidRDefault="00A1618E">
            <w:pPr>
              <w:pStyle w:val="P68B1DB1-Normal46"/>
              <w:spacing w:after="0" w:line="240" w:lineRule="auto"/>
              <w:rPr>
                <w:rFonts w:eastAsia="Times New Roman" w:cs="Times New Roman"/>
                <w:noProof/>
              </w:rPr>
            </w:pPr>
            <w:r>
              <w:rPr>
                <w:noProof/>
              </w:rPr>
              <w:t>Wdrożenie porozumienia między Ministerstwem Rolnictwa, Rybołówstwa i Żywności (MAPA) a SEIASA w celu wsparcia poprawy i zrównoważenia obszarów nawadnianych (etap III)</w:t>
            </w:r>
          </w:p>
        </w:tc>
      </w:tr>
      <w:tr w:rsidR="006578ED" w14:paraId="78F900DE"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C7FF2CE" w14:textId="77777777" w:rsidR="006578ED" w:rsidRDefault="00A1618E">
            <w:pPr>
              <w:pStyle w:val="P68B1DB1-Normal46"/>
              <w:spacing w:after="0" w:line="240" w:lineRule="auto"/>
              <w:jc w:val="center"/>
              <w:rPr>
                <w:rFonts w:eastAsia="Times New Roman" w:cs="Times New Roman"/>
                <w:noProof/>
              </w:rPr>
            </w:pPr>
            <w:r>
              <w:rPr>
                <w:noProof/>
              </w:rPr>
              <w:t>L25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92A886" w14:textId="77777777" w:rsidR="006578ED" w:rsidRDefault="00A1618E">
            <w:pPr>
              <w:pStyle w:val="P68B1DB1-Normal46"/>
              <w:spacing w:after="0" w:line="240" w:lineRule="auto"/>
              <w:rPr>
                <w:rFonts w:eastAsia="Times New Roman" w:cs="Times New Roman"/>
                <w:noProof/>
              </w:rPr>
            </w:pPr>
            <w:r>
              <w:rPr>
                <w:noProof/>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C57CE6E" w14:textId="4181D6FE"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97432D" w14:textId="64D82E8D" w:rsidR="006578ED" w:rsidRDefault="00A1618E">
            <w:pPr>
              <w:pStyle w:val="P68B1DB1-Normal46"/>
              <w:spacing w:after="0" w:line="240" w:lineRule="auto"/>
              <w:rPr>
                <w:rFonts w:eastAsia="Times New Roman" w:cs="Times New Roman"/>
                <w:noProof/>
              </w:rPr>
            </w:pPr>
            <w:r>
              <w:rPr>
                <w:noProof/>
              </w:rPr>
              <w:t>Porozumienie wykonawcze z ICO w sprawie zielonej linii</w:t>
            </w:r>
          </w:p>
        </w:tc>
      </w:tr>
      <w:tr w:rsidR="006578ED" w14:paraId="32F6F2C5"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A33798" w14:textId="77777777" w:rsidR="006578ED" w:rsidRDefault="00A1618E">
            <w:pPr>
              <w:pStyle w:val="P68B1DB1-Normal46"/>
              <w:spacing w:after="0" w:line="240" w:lineRule="auto"/>
              <w:jc w:val="center"/>
              <w:rPr>
                <w:rFonts w:eastAsia="Times New Roman" w:cs="Times New Roman"/>
                <w:noProof/>
              </w:rPr>
            </w:pPr>
            <w:r>
              <w:rPr>
                <w:noProof/>
              </w:rPr>
              <w:t>L30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79867E9" w14:textId="77777777" w:rsidR="006578ED" w:rsidRDefault="00A1618E">
            <w:pPr>
              <w:pStyle w:val="P68B1DB1-Normal46"/>
              <w:spacing w:after="0" w:line="240" w:lineRule="auto"/>
              <w:rPr>
                <w:rFonts w:eastAsia="Times New Roman" w:cs="Times New Roman"/>
                <w:noProof/>
              </w:rPr>
            </w:pPr>
            <w:r>
              <w:rPr>
                <w:noProof/>
              </w:rPr>
              <w:t>C13.I6</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1CD71722" w14:textId="7EDC5679"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9F43C1" w14:textId="03E554E7" w:rsidR="006578ED" w:rsidRDefault="00A1618E">
            <w:pPr>
              <w:pStyle w:val="P68B1DB1-Normal46"/>
              <w:spacing w:after="0" w:line="240" w:lineRule="auto"/>
              <w:rPr>
                <w:rFonts w:eastAsia="Times New Roman" w:cs="Times New Roman"/>
                <w:noProof/>
              </w:rPr>
            </w:pPr>
            <w:r>
              <w:rPr>
                <w:noProof/>
              </w:rPr>
              <w:t xml:space="preserve">Umowa wykonawcza dotycząca przedsiębiorstw i przedsiębiorców ICO (w tym fundusze kapitałowe) </w:t>
            </w:r>
          </w:p>
        </w:tc>
      </w:tr>
      <w:tr w:rsidR="006578ED" w14:paraId="62DBFCE4"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6CC3720" w14:textId="77777777" w:rsidR="006578ED" w:rsidRDefault="00A1618E">
            <w:pPr>
              <w:pStyle w:val="P68B1DB1-Normal46"/>
              <w:spacing w:after="0" w:line="240" w:lineRule="auto"/>
              <w:jc w:val="center"/>
              <w:rPr>
                <w:rFonts w:eastAsia="Times New Roman" w:cs="Times New Roman"/>
                <w:noProof/>
              </w:rPr>
            </w:pPr>
            <w:r>
              <w:rPr>
                <w:noProof/>
              </w:rPr>
              <w:t>L35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36BA303" w14:textId="77777777" w:rsidR="006578ED" w:rsidRDefault="00A1618E">
            <w:pPr>
              <w:pStyle w:val="P68B1DB1-Normal46"/>
              <w:spacing w:after="0" w:line="240" w:lineRule="auto"/>
              <w:rPr>
                <w:rFonts w:eastAsia="Times New Roman" w:cs="Times New Roman"/>
                <w:noProof/>
              </w:rPr>
            </w:pPr>
            <w:r>
              <w:rPr>
                <w:noProof/>
              </w:rPr>
              <w:t>C13.I7</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73598281" w14:textId="023CD57B"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BF07597" w14:textId="22BBC65F" w:rsidR="006578ED" w:rsidRDefault="00A1618E">
            <w:pPr>
              <w:pStyle w:val="P68B1DB1-Normal46"/>
              <w:spacing w:after="0" w:line="240" w:lineRule="auto"/>
              <w:rPr>
                <w:rFonts w:eastAsia="Times New Roman" w:cs="Times New Roman"/>
                <w:noProof/>
              </w:rPr>
            </w:pPr>
            <w:r>
              <w:rPr>
                <w:noProof/>
              </w:rPr>
              <w:t xml:space="preserve">Następny Fundusz Technicznej – umowa wykonawcza z osią </w:t>
            </w:r>
          </w:p>
        </w:tc>
      </w:tr>
      <w:tr w:rsidR="006578ED" w14:paraId="3B3ADF4C"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81AB45" w14:textId="77777777" w:rsidR="006578ED" w:rsidRDefault="00A1618E">
            <w:pPr>
              <w:pStyle w:val="P68B1DB1-Normal46"/>
              <w:spacing w:after="0" w:line="240" w:lineRule="auto"/>
              <w:jc w:val="center"/>
              <w:rPr>
                <w:rFonts w:eastAsia="Times New Roman" w:cs="Times New Roman"/>
                <w:noProof/>
              </w:rPr>
            </w:pPr>
            <w:r>
              <w:rPr>
                <w:noProof/>
              </w:rPr>
              <w:t>L53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9433E3" w14:textId="77777777" w:rsidR="006578ED" w:rsidRDefault="00A1618E">
            <w:pPr>
              <w:pStyle w:val="P68B1DB1-Normal46"/>
              <w:spacing w:after="0" w:line="240" w:lineRule="auto"/>
              <w:rPr>
                <w:rFonts w:eastAsia="Times New Roman" w:cs="Times New Roman"/>
                <w:noProof/>
              </w:rPr>
            </w:pPr>
            <w:r>
              <w:rPr>
                <w:noProof/>
              </w:rPr>
              <w:t>C13.I13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21973953" w14:textId="288143F2"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7EDEEC" w14:textId="77777777" w:rsidR="006578ED" w:rsidRDefault="00A1618E">
            <w:pPr>
              <w:pStyle w:val="P68B1DB1-Normal46"/>
              <w:spacing w:after="0" w:line="240" w:lineRule="auto"/>
              <w:rPr>
                <w:rFonts w:eastAsia="Times New Roman" w:cs="Times New Roman"/>
                <w:noProof/>
              </w:rPr>
            </w:pPr>
            <w:r>
              <w:rPr>
                <w:noProof/>
              </w:rPr>
              <w:t xml:space="preserve">Regionalny Fundusz na rzecz Zwiększania Odporności: Umowa wykonawcza </w:t>
            </w:r>
          </w:p>
        </w:tc>
      </w:tr>
      <w:tr w:rsidR="006578ED" w14:paraId="5BAD0CF1"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C953F19" w14:textId="77777777" w:rsidR="006578ED" w:rsidRDefault="00A1618E">
            <w:pPr>
              <w:pStyle w:val="P68B1DB1-Normal46"/>
              <w:spacing w:after="0" w:line="240" w:lineRule="auto"/>
              <w:jc w:val="center"/>
              <w:rPr>
                <w:rFonts w:eastAsia="Times New Roman" w:cs="Times New Roman"/>
                <w:noProof/>
              </w:rPr>
            </w:pPr>
            <w:r>
              <w:rPr>
                <w:noProof/>
              </w:rPr>
              <w:t>L63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A28FC6" w14:textId="77777777" w:rsidR="006578ED" w:rsidRDefault="00A1618E">
            <w:pPr>
              <w:pStyle w:val="P68B1DB1-Normal46"/>
              <w:spacing w:after="0" w:line="240" w:lineRule="auto"/>
              <w:rPr>
                <w:rFonts w:eastAsia="Times New Roman" w:cs="Times New Roman"/>
                <w:noProof/>
              </w:rPr>
            </w:pPr>
            <w:r>
              <w:rPr>
                <w:noProof/>
              </w:rPr>
              <w:t>C15.I9</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4B729C22" w14:textId="7A81189E"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DCB233" w14:textId="77777777" w:rsidR="006578ED" w:rsidRDefault="00A1618E">
            <w:pPr>
              <w:pStyle w:val="P68B1DB1-Normal46"/>
              <w:spacing w:after="0" w:line="240" w:lineRule="auto"/>
              <w:rPr>
                <w:rFonts w:eastAsia="Times New Roman" w:cs="Times New Roman"/>
                <w:noProof/>
              </w:rPr>
            </w:pPr>
            <w:r>
              <w:rPr>
                <w:noProof/>
              </w:rPr>
              <w:t>Mechanizm finansowania czipów: Formalne zatwierdzenie mechanizmu finansowania</w:t>
            </w:r>
          </w:p>
        </w:tc>
      </w:tr>
      <w:tr w:rsidR="006578ED" w14:paraId="32057403"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8D65F28" w14:textId="77777777" w:rsidR="006578ED" w:rsidRDefault="00A1618E">
            <w:pPr>
              <w:pStyle w:val="P68B1DB1-Normal46"/>
              <w:spacing w:after="0" w:line="240" w:lineRule="auto"/>
              <w:jc w:val="center"/>
              <w:rPr>
                <w:rFonts w:eastAsia="Times New Roman" w:cs="Times New Roman"/>
                <w:noProof/>
              </w:rPr>
            </w:pPr>
            <w:r>
              <w:rPr>
                <w:noProof/>
              </w:rPr>
              <w:t>L77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30D40B1" w14:textId="77777777" w:rsidR="006578ED" w:rsidRDefault="00A1618E">
            <w:pPr>
              <w:pStyle w:val="P68B1DB1-Normal46"/>
              <w:spacing w:after="0" w:line="240" w:lineRule="auto"/>
              <w:rPr>
                <w:rFonts w:eastAsia="Times New Roman" w:cs="Times New Roman"/>
                <w:noProof/>
              </w:rPr>
            </w:pPr>
            <w:r>
              <w:rPr>
                <w:noProof/>
              </w:rPr>
              <w:t>C25.I3</w:t>
            </w: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5E77CB39" w14:textId="4C8C8C6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4BC2C8A" w14:textId="77777777" w:rsidR="006578ED" w:rsidRDefault="00A1618E">
            <w:pPr>
              <w:pStyle w:val="P68B1DB1-Normal46"/>
              <w:spacing w:after="0" w:line="240" w:lineRule="auto"/>
              <w:rPr>
                <w:rFonts w:eastAsia="Times New Roman" w:cs="Times New Roman"/>
                <w:noProof/>
              </w:rPr>
            </w:pPr>
            <w:r>
              <w:rPr>
                <w:noProof/>
              </w:rPr>
              <w:t xml:space="preserve">Fundusz Centrum Audiowizualnego ICO: Umowa wykonawcza </w:t>
            </w:r>
          </w:p>
        </w:tc>
      </w:tr>
      <w:tr w:rsidR="006578ED" w14:paraId="37E56C78" w14:textId="77777777">
        <w:trPr>
          <w:trHeight w:val="302"/>
        </w:trPr>
        <w:tc>
          <w:tcPr>
            <w:tcW w:w="1297"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ECD007F"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998C115" w14:textId="77777777" w:rsidR="006578ED" w:rsidRDefault="006578ED">
            <w:pPr>
              <w:spacing w:after="0" w:line="240" w:lineRule="auto"/>
              <w:rPr>
                <w:rFonts w:ascii="Times New Roman" w:eastAsia="Times New Roman" w:hAnsi="Times New Roman" w:cs="Times New Roman"/>
                <w:noProof/>
                <w:sz w:val="20"/>
              </w:rPr>
            </w:pPr>
          </w:p>
        </w:tc>
        <w:tc>
          <w:tcPr>
            <w:tcW w:w="1253" w:type="dxa"/>
            <w:tcBorders>
              <w:top w:val="single" w:sz="4" w:space="0" w:color="auto"/>
              <w:left w:val="nil"/>
              <w:bottom w:val="single" w:sz="4" w:space="0" w:color="auto"/>
              <w:right w:val="single" w:sz="4" w:space="0" w:color="auto"/>
            </w:tcBorders>
            <w:shd w:val="clear" w:color="auto" w:fill="C6EFCE"/>
            <w:noWrap/>
            <w:vAlign w:val="bottom"/>
          </w:tcPr>
          <w:p w14:paraId="34341E44" w14:textId="5A729F87" w:rsidR="006578ED" w:rsidRDefault="00A1618E">
            <w:pPr>
              <w:pStyle w:val="P68B1DB1-Normal45"/>
              <w:spacing w:after="0" w:line="240" w:lineRule="auto"/>
              <w:rPr>
                <w:rFonts w:eastAsia="Times New Roman" w:cs="Times New Roman"/>
                <w:noProof/>
              </w:rPr>
            </w:pPr>
            <w:r>
              <w:rPr>
                <w:noProof/>
              </w:rPr>
              <w:t>Kwota raty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79F629" w14:textId="38065E16" w:rsidR="006578ED" w:rsidRDefault="00A1618E">
            <w:pPr>
              <w:pStyle w:val="P68B1DB1-Normal45"/>
              <w:spacing w:after="0" w:line="240" w:lineRule="auto"/>
              <w:rPr>
                <w:rFonts w:eastAsia="Times New Roman" w:cs="Times New Roman"/>
                <w:noProof/>
              </w:rPr>
            </w:pPr>
            <w:r>
              <w:rPr>
                <w:noProof/>
              </w:rPr>
              <w:t>14 916 010 762 EUR</w:t>
            </w:r>
          </w:p>
        </w:tc>
      </w:tr>
    </w:tbl>
    <w:p w14:paraId="07D30D6F" w14:textId="77777777" w:rsidR="006578ED" w:rsidRDefault="006578ED">
      <w:pPr>
        <w:spacing w:before="120" w:after="120" w:line="240" w:lineRule="auto"/>
        <w:jc w:val="both"/>
        <w:rPr>
          <w:rFonts w:ascii="Times New Roman" w:eastAsia="Calibri" w:hAnsi="Times New Roman" w:cs="Times New Roman"/>
          <w:noProof/>
          <w:sz w:val="24"/>
        </w:rPr>
      </w:pPr>
    </w:p>
    <w:p w14:paraId="46B70403" w14:textId="77777777"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Trzecia transza (wsparcie pożyczkowe): </w:t>
      </w:r>
    </w:p>
    <w:tbl>
      <w:tblPr>
        <w:tblW w:w="9663" w:type="dxa"/>
        <w:tblInd w:w="113" w:type="dxa"/>
        <w:tblLook w:val="04A0" w:firstRow="1" w:lastRow="0" w:firstColumn="1" w:lastColumn="0" w:noHBand="0" w:noVBand="1"/>
      </w:tblPr>
      <w:tblGrid>
        <w:gridCol w:w="1300"/>
        <w:gridCol w:w="1443"/>
        <w:gridCol w:w="1561"/>
        <w:gridCol w:w="5670"/>
      </w:tblGrid>
      <w:tr w:rsidR="006578ED" w14:paraId="14C9FC28" w14:textId="77777777">
        <w:trPr>
          <w:trHeight w:val="906"/>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621B2C4"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5D3F494"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F5A907B"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406599CC"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33AA8FF5"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3DB443A"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2DD539AA"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120B5E" w14:textId="77777777" w:rsidR="006578ED" w:rsidRDefault="006578ED">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174B0279" w14:textId="77777777" w:rsidR="006578ED" w:rsidRDefault="006578ED">
            <w:pPr>
              <w:spacing w:after="0" w:line="240" w:lineRule="auto"/>
              <w:rPr>
                <w:rFonts w:ascii="Times New Roman" w:eastAsia="Times New Roman" w:hAnsi="Times New Roman" w:cs="Times New Roman"/>
                <w:b/>
                <w:noProof/>
                <w:sz w:val="20"/>
              </w:rPr>
            </w:pPr>
          </w:p>
        </w:tc>
      </w:tr>
      <w:tr w:rsidR="006578ED" w14:paraId="1AD6171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1618618" w14:textId="77777777" w:rsidR="006578ED" w:rsidRDefault="00A1618E">
            <w:pPr>
              <w:pStyle w:val="P68B1DB1-Normal46"/>
              <w:spacing w:after="0" w:line="240" w:lineRule="auto"/>
              <w:jc w:val="center"/>
              <w:rPr>
                <w:rFonts w:eastAsia="Times New Roman" w:cs="Times New Roman"/>
                <w:noProof/>
              </w:rPr>
            </w:pPr>
            <w:r>
              <w:rPr>
                <w:noProof/>
              </w:rPr>
              <w:t>L12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620344" w14:textId="77777777" w:rsidR="006578ED" w:rsidRDefault="00A1618E">
            <w:pPr>
              <w:pStyle w:val="P68B1DB1-Normal46"/>
              <w:spacing w:after="0" w:line="240" w:lineRule="auto"/>
              <w:rPr>
                <w:rFonts w:eastAsia="Times New Roman" w:cs="Times New Roman"/>
                <w:noProof/>
              </w:rPr>
            </w:pPr>
            <w:r>
              <w:rPr>
                <w:noProof/>
              </w:rPr>
              <w:t>C4.R4</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23F231" w14:textId="74FDF3C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0EF4E7" w14:textId="0F2A7C0B" w:rsidR="006578ED" w:rsidRDefault="00A1618E">
            <w:pPr>
              <w:pStyle w:val="P68B1DB1-Normal46"/>
              <w:spacing w:after="0" w:line="240" w:lineRule="auto"/>
              <w:rPr>
                <w:rFonts w:eastAsia="Times New Roman" w:cs="Times New Roman"/>
                <w:noProof/>
              </w:rPr>
            </w:pPr>
            <w:r>
              <w:rPr>
                <w:noProof/>
              </w:rPr>
              <w:t xml:space="preserve">Przyjęcie krajowej strategii zwalczania pustynnienia i związanego z nią planu działania (2022–2026) oraz utworzenie organów kolegialnych. </w:t>
            </w:r>
          </w:p>
        </w:tc>
      </w:tr>
      <w:tr w:rsidR="006578ED" w14:paraId="76E401A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3FA6E11" w14:textId="77777777" w:rsidR="006578ED" w:rsidRDefault="00A1618E">
            <w:pPr>
              <w:pStyle w:val="P68B1DB1-Normal46"/>
              <w:spacing w:after="0" w:line="240" w:lineRule="auto"/>
              <w:jc w:val="center"/>
              <w:rPr>
                <w:rFonts w:eastAsia="Times New Roman" w:cs="Times New Roman"/>
                <w:noProof/>
              </w:rPr>
            </w:pPr>
            <w:r>
              <w:rPr>
                <w:noProof/>
              </w:rPr>
              <w:t>L15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95D6B87" w14:textId="77777777" w:rsidR="006578ED" w:rsidRDefault="00A1618E">
            <w:pPr>
              <w:pStyle w:val="P68B1DB1-Normal46"/>
              <w:spacing w:after="0" w:line="240" w:lineRule="auto"/>
              <w:rPr>
                <w:rFonts w:eastAsia="Times New Roman" w:cs="Times New Roman"/>
                <w:noProof/>
              </w:rPr>
            </w:pPr>
            <w:r>
              <w:rPr>
                <w:noProof/>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F2DC5B" w14:textId="7C652F1F"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2FC5F63" w14:textId="77777777" w:rsidR="006578ED" w:rsidRDefault="00A1618E">
            <w:pPr>
              <w:pStyle w:val="P68B1DB1-Normal46"/>
              <w:spacing w:after="0" w:line="240" w:lineRule="auto"/>
              <w:rPr>
                <w:rFonts w:eastAsia="Times New Roman" w:cs="Times New Roman"/>
                <w:noProof/>
              </w:rPr>
            </w:pPr>
            <w:r>
              <w:rPr>
                <w:noProof/>
              </w:rPr>
              <w:t>Strategia na rzecz efektywności energetycznej</w:t>
            </w:r>
          </w:p>
        </w:tc>
      </w:tr>
      <w:tr w:rsidR="006578ED" w14:paraId="5A7F8A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202F59" w14:textId="77777777" w:rsidR="006578ED" w:rsidRDefault="00A1618E">
            <w:pPr>
              <w:pStyle w:val="P68B1DB1-Normal46"/>
              <w:spacing w:after="0" w:line="240" w:lineRule="auto"/>
              <w:jc w:val="center"/>
              <w:rPr>
                <w:rFonts w:eastAsia="Times New Roman" w:cs="Times New Roman"/>
                <w:noProof/>
              </w:rPr>
            </w:pPr>
            <w:r>
              <w:rPr>
                <w:noProof/>
              </w:rPr>
              <w:t>L18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C52E7F" w14:textId="77777777" w:rsidR="006578ED" w:rsidRDefault="00A1618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495645B" w14:textId="7D44B4E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2379C99" w14:textId="1C5955F7" w:rsidR="006578ED" w:rsidRDefault="00A1618E">
            <w:pPr>
              <w:pStyle w:val="P68B1DB1-Normal46"/>
              <w:spacing w:after="0" w:line="240" w:lineRule="auto"/>
              <w:rPr>
                <w:rFonts w:eastAsia="Times New Roman" w:cs="Times New Roman"/>
                <w:noProof/>
              </w:rPr>
            </w:pPr>
            <w:r>
              <w:rPr>
                <w:noProof/>
              </w:rPr>
              <w:t>Rozporządzenie ustanawiające Fundusz Bezpieczeństwa i Zwiększania Odporności </w:t>
            </w:r>
          </w:p>
        </w:tc>
      </w:tr>
      <w:tr w:rsidR="006578ED" w14:paraId="73A55D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9F0C422" w14:textId="77777777" w:rsidR="006578ED" w:rsidRDefault="00A1618E">
            <w:pPr>
              <w:pStyle w:val="P68B1DB1-Normal46"/>
              <w:spacing w:after="0" w:line="240" w:lineRule="auto"/>
              <w:jc w:val="center"/>
              <w:rPr>
                <w:rFonts w:eastAsia="Times New Roman" w:cs="Times New Roman"/>
                <w:noProof/>
              </w:rPr>
            </w:pPr>
            <w:r>
              <w:rPr>
                <w:noProof/>
              </w:rPr>
              <w:t>L22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4A14DAD" w14:textId="77777777" w:rsidR="006578ED" w:rsidRDefault="00A1618E">
            <w:pPr>
              <w:pStyle w:val="P68B1DB1-Normal46"/>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B2DD351" w14:textId="6F8FAF9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10B2BA" w14:textId="0030C551" w:rsidR="006578ED" w:rsidRDefault="00A1618E">
            <w:pPr>
              <w:pStyle w:val="P68B1DB1-Normal46"/>
              <w:spacing w:after="0" w:line="240" w:lineRule="auto"/>
              <w:rPr>
                <w:rFonts w:eastAsia="Times New Roman" w:cs="Times New Roman"/>
                <w:noProof/>
              </w:rPr>
            </w:pPr>
            <w:r>
              <w:rPr>
                <w:noProof/>
              </w:rPr>
              <w:t>System wsparcia dla strategicznych projektów w łańcuchu wartości samochodów elektrycznych i rolno-spożywczych (pożyczki): Ministerstwo zakończyło inwestycję</w:t>
            </w:r>
          </w:p>
        </w:tc>
      </w:tr>
      <w:tr w:rsidR="006578ED" w14:paraId="038190D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9FD8F2A" w14:textId="77777777" w:rsidR="006578ED" w:rsidRDefault="00A1618E">
            <w:pPr>
              <w:pStyle w:val="P68B1DB1-Normal46"/>
              <w:spacing w:after="0" w:line="240" w:lineRule="auto"/>
              <w:jc w:val="center"/>
              <w:rPr>
                <w:rFonts w:eastAsia="Times New Roman" w:cs="Times New Roman"/>
                <w:noProof/>
              </w:rPr>
            </w:pPr>
            <w:r>
              <w:rPr>
                <w:noProof/>
              </w:rPr>
              <w:t>L23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6A0835" w14:textId="77777777" w:rsidR="006578ED" w:rsidRDefault="00A1618E">
            <w:pPr>
              <w:pStyle w:val="P68B1DB1-Normal46"/>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C9E42C" w14:textId="757576A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9433CD5" w14:textId="2FF43B6A" w:rsidR="006578ED" w:rsidRDefault="00A1618E">
            <w:pPr>
              <w:pStyle w:val="P68B1DB1-Normal46"/>
              <w:spacing w:after="0" w:line="240" w:lineRule="auto"/>
              <w:rPr>
                <w:rFonts w:eastAsia="Times New Roman" w:cs="Times New Roman"/>
                <w:noProof/>
              </w:rPr>
            </w:pPr>
            <w:r>
              <w:rPr>
                <w:noProof/>
              </w:rPr>
              <w:t>System wsparcia dla strategicznych projektów w łańcuchu wartości samochodów elektrycznych i rolno-spożywczych (pożyczki): Ustanowienie systemu</w:t>
            </w:r>
          </w:p>
        </w:tc>
      </w:tr>
      <w:tr w:rsidR="006578ED" w14:paraId="266D0BB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2E2614" w14:textId="77777777" w:rsidR="006578ED" w:rsidRDefault="00A1618E">
            <w:pPr>
              <w:pStyle w:val="P68B1DB1-Normal46"/>
              <w:spacing w:after="0" w:line="240" w:lineRule="auto"/>
              <w:jc w:val="center"/>
              <w:rPr>
                <w:rFonts w:eastAsia="Times New Roman" w:cs="Times New Roman"/>
                <w:noProof/>
              </w:rPr>
            </w:pPr>
            <w:r>
              <w:rPr>
                <w:noProof/>
              </w:rPr>
              <w:t>L25a</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3778B3B" w14:textId="77777777" w:rsidR="006578ED" w:rsidRDefault="00A1618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53897" w14:textId="05A4F8DD"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AF8D0BF" w14:textId="45D6ACFE" w:rsidR="006578ED" w:rsidRDefault="00A1618E">
            <w:pPr>
              <w:pStyle w:val="P68B1DB1-Normal46"/>
              <w:spacing w:after="0" w:line="240" w:lineRule="auto"/>
              <w:rPr>
                <w:rFonts w:eastAsia="Times New Roman" w:cs="Times New Roman"/>
                <w:noProof/>
              </w:rPr>
            </w:pPr>
            <w:r>
              <w:rPr>
                <w:noProof/>
              </w:rPr>
              <w:t>Zielona linia ICO – umowy prawne podpisane z beneficjentami końcowymi (w tym funduszami kapitałowymi) (I)</w:t>
            </w:r>
          </w:p>
        </w:tc>
      </w:tr>
      <w:tr w:rsidR="006578ED" w14:paraId="4505375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C9E83AA" w14:textId="77777777" w:rsidR="006578ED" w:rsidRDefault="00A1618E">
            <w:pPr>
              <w:pStyle w:val="P68B1DB1-Normal46"/>
              <w:spacing w:after="0" w:line="240" w:lineRule="auto"/>
              <w:jc w:val="center"/>
              <w:rPr>
                <w:rFonts w:eastAsia="Times New Roman" w:cs="Times New Roman"/>
                <w:noProof/>
              </w:rPr>
            </w:pPr>
            <w:r>
              <w:rPr>
                <w:noProof/>
              </w:rPr>
              <w:t>L40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2DD865" w14:textId="77777777" w:rsidR="006578ED" w:rsidRDefault="00A1618E">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1D340AE" w14:textId="13DEC2F1"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3093" w14:textId="77777777" w:rsidR="006578ED" w:rsidRDefault="00A1618E">
            <w:pPr>
              <w:pStyle w:val="P68B1DB1-Normal46"/>
              <w:spacing w:after="0" w:line="240" w:lineRule="auto"/>
              <w:rPr>
                <w:rFonts w:eastAsia="Times New Roman" w:cs="Times New Roman"/>
                <w:noProof/>
              </w:rPr>
            </w:pPr>
            <w:r>
              <w:rPr>
                <w:noProof/>
              </w:rPr>
              <w:t>Foco – rozporządzenia ustanawiające Fundusz</w:t>
            </w:r>
          </w:p>
        </w:tc>
      </w:tr>
      <w:tr w:rsidR="006578ED" w14:paraId="2E61D69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427F5F1" w14:textId="77777777" w:rsidR="006578ED" w:rsidRDefault="00A1618E">
            <w:pPr>
              <w:pStyle w:val="P68B1DB1-Normal46"/>
              <w:spacing w:after="0" w:line="240" w:lineRule="auto"/>
              <w:jc w:val="center"/>
              <w:rPr>
                <w:rFonts w:eastAsia="Times New Roman" w:cs="Times New Roman"/>
                <w:noProof/>
              </w:rPr>
            </w:pPr>
            <w:r>
              <w:rPr>
                <w:noProof/>
              </w:rPr>
              <w:t>L44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C130CC5" w14:textId="77777777" w:rsidR="006578ED" w:rsidRDefault="00A1618E">
            <w:pPr>
              <w:pStyle w:val="P68B1DB1-Normal46"/>
              <w:spacing w:after="0" w:line="240" w:lineRule="auto"/>
              <w:rPr>
                <w:rFonts w:eastAsia="Times New Roman" w:cs="Times New Roman"/>
                <w:noProof/>
              </w:rPr>
            </w:pPr>
            <w:r>
              <w:rPr>
                <w:noProof/>
              </w:rPr>
              <w:t>C13.I9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1DDC2E6" w14:textId="69DF7F92"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8AC985" w14:textId="77777777" w:rsidR="006578ED" w:rsidRDefault="00A1618E">
            <w:pPr>
              <w:pStyle w:val="P68B1DB1-Normal46"/>
              <w:spacing w:after="0" w:line="240" w:lineRule="auto"/>
              <w:rPr>
                <w:rFonts w:eastAsia="Times New Roman" w:cs="Times New Roman"/>
                <w:noProof/>
              </w:rPr>
            </w:pPr>
            <w:r>
              <w:rPr>
                <w:noProof/>
              </w:rPr>
              <w:t>Fundusz Wsparcia Wypłacalności dla Przedsiębiorstw Strategicznych</w:t>
            </w:r>
          </w:p>
        </w:tc>
      </w:tr>
      <w:tr w:rsidR="006578ED" w14:paraId="62B608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A7278FB" w14:textId="77777777" w:rsidR="006578ED" w:rsidRDefault="00A1618E">
            <w:pPr>
              <w:pStyle w:val="P68B1DB1-Normal46"/>
              <w:spacing w:after="0" w:line="240" w:lineRule="auto"/>
              <w:jc w:val="center"/>
              <w:rPr>
                <w:rFonts w:eastAsia="Times New Roman" w:cs="Times New Roman"/>
                <w:noProof/>
              </w:rPr>
            </w:pPr>
            <w:r>
              <w:rPr>
                <w:noProof/>
              </w:rPr>
              <w:t>L47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4982761" w14:textId="77777777" w:rsidR="006578ED" w:rsidRDefault="00A1618E">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C2B60D2" w14:textId="0712C72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72E350E" w14:textId="77777777" w:rsidR="006578ED" w:rsidRDefault="00A1618E">
            <w:pPr>
              <w:pStyle w:val="P68B1DB1-Normal46"/>
              <w:spacing w:after="0" w:line="240" w:lineRule="auto"/>
              <w:rPr>
                <w:rFonts w:eastAsia="Times New Roman" w:cs="Times New Roman"/>
                <w:noProof/>
              </w:rPr>
            </w:pPr>
            <w:r>
              <w:rPr>
                <w:noProof/>
              </w:rPr>
              <w:t>ENISA – Fundusz na rzecz przedsiębiorczości i MŚP – umowa wykonawcza</w:t>
            </w:r>
          </w:p>
        </w:tc>
      </w:tr>
      <w:tr w:rsidR="006578ED" w14:paraId="7DA56D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C756784" w14:textId="77777777" w:rsidR="006578ED" w:rsidRDefault="00A1618E">
            <w:pPr>
              <w:pStyle w:val="P68B1DB1-Normal46"/>
              <w:spacing w:after="0" w:line="240" w:lineRule="auto"/>
              <w:jc w:val="center"/>
              <w:rPr>
                <w:rFonts w:eastAsia="Times New Roman" w:cs="Times New Roman"/>
                <w:noProof/>
              </w:rPr>
            </w:pPr>
            <w:r>
              <w:rPr>
                <w:noProof/>
              </w:rPr>
              <w:t>L51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F113627"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57521C" w14:textId="392A0B20"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AF5AAC7" w14:textId="624B6FD4" w:rsidR="006578ED" w:rsidRDefault="00A1618E">
            <w:pPr>
              <w:pStyle w:val="P68B1DB1-Normal46"/>
              <w:spacing w:after="0" w:line="240" w:lineRule="auto"/>
              <w:rPr>
                <w:rFonts w:eastAsia="Times New Roman" w:cs="Times New Roman"/>
                <w:noProof/>
              </w:rPr>
            </w:pPr>
            <w:r>
              <w:rPr>
                <w:noProof/>
              </w:rPr>
              <w:t>Fundusz odporności regionalnej – InvestEU: Podpisanie porozumienia o wkładzie finansowym między rządem Hiszpanii a Komisją Europejską</w:t>
            </w:r>
          </w:p>
        </w:tc>
      </w:tr>
      <w:tr w:rsidR="006578ED" w14:paraId="5581456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E622151" w14:textId="77777777" w:rsidR="006578ED" w:rsidRDefault="00A1618E">
            <w:pPr>
              <w:pStyle w:val="P68B1DB1-Normal46"/>
              <w:spacing w:after="0" w:line="240" w:lineRule="auto"/>
              <w:jc w:val="center"/>
              <w:rPr>
                <w:rFonts w:eastAsia="Times New Roman" w:cs="Times New Roman"/>
                <w:noProof/>
              </w:rPr>
            </w:pPr>
            <w:r>
              <w:rPr>
                <w:noProof/>
              </w:rPr>
              <w:t>L54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A4FCAA"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57DD03D" w14:textId="3E505B40"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AA7CC5" w14:textId="6B34A29F" w:rsidR="006578ED" w:rsidRDefault="00A1618E">
            <w:pPr>
              <w:pStyle w:val="P68B1DB1-Normal46"/>
              <w:spacing w:after="0" w:line="240" w:lineRule="auto"/>
              <w:rPr>
                <w:rFonts w:eastAsia="Times New Roman" w:cs="Times New Roman"/>
                <w:noProof/>
              </w:rPr>
            </w:pPr>
            <w:r>
              <w:rPr>
                <w:noProof/>
              </w:rPr>
              <w:t>Fundusz na rzecz odporności regionalnej – Inne linie: Umowy prawne podpisane z beneficjentami końcowymi (w tym z funduszami kapitałowymi) (I)</w:t>
            </w:r>
          </w:p>
        </w:tc>
      </w:tr>
      <w:tr w:rsidR="006578ED" w14:paraId="173642B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B50E805" w14:textId="77777777" w:rsidR="006578ED" w:rsidRDefault="00A1618E">
            <w:pPr>
              <w:pStyle w:val="P68B1DB1-Normal46"/>
              <w:spacing w:after="0" w:line="240" w:lineRule="auto"/>
              <w:jc w:val="center"/>
              <w:rPr>
                <w:rFonts w:eastAsia="Times New Roman" w:cs="Times New Roman"/>
                <w:noProof/>
              </w:rPr>
            </w:pPr>
            <w:r>
              <w:rPr>
                <w:noProof/>
              </w:rPr>
              <w:t>L58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9E1F2F7"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C32BDD3" w14:textId="70CD0DA6"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1A94E86" w14:textId="6D0CA3F5" w:rsidR="006578ED" w:rsidRDefault="00A1618E">
            <w:pPr>
              <w:pStyle w:val="P68B1DB1-Normal46"/>
              <w:spacing w:after="0" w:line="240" w:lineRule="auto"/>
              <w:rPr>
                <w:rFonts w:eastAsia="Times New Roman" w:cs="Times New Roman"/>
                <w:noProof/>
              </w:rPr>
            </w:pPr>
            <w:r>
              <w:rPr>
                <w:noProof/>
              </w:rPr>
              <w:t>Fundusz odporności regionalnej – bezpośrednia linia publiczna: Umowy prawne podpisane z beneficjentami końcowymi (I)</w:t>
            </w:r>
          </w:p>
        </w:tc>
      </w:tr>
      <w:tr w:rsidR="006578ED" w14:paraId="42BAD5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7AA7718" w14:textId="77777777" w:rsidR="006578ED" w:rsidRDefault="00A1618E">
            <w:pPr>
              <w:pStyle w:val="P68B1DB1-Normal46"/>
              <w:spacing w:after="0" w:line="240" w:lineRule="auto"/>
              <w:jc w:val="center"/>
              <w:rPr>
                <w:rFonts w:eastAsia="Times New Roman" w:cs="Times New Roman"/>
                <w:noProof/>
              </w:rPr>
            </w:pPr>
            <w:r>
              <w:rPr>
                <w:noProof/>
              </w:rPr>
              <w:t>L68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A79CEE" w14:textId="77777777" w:rsidR="006578ED" w:rsidRDefault="00A1618E">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63BF556" w14:textId="752A4555"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3F916E" w14:textId="560D5BC7" w:rsidR="006578ED" w:rsidRDefault="00A1618E">
            <w:pPr>
              <w:pStyle w:val="P68B1DB1-Normal46"/>
              <w:spacing w:after="0" w:line="240" w:lineRule="auto"/>
              <w:rPr>
                <w:rFonts w:eastAsia="Times New Roman" w:cs="Times New Roman"/>
                <w:noProof/>
              </w:rPr>
            </w:pPr>
            <w:r>
              <w:rPr>
                <w:noProof/>
              </w:rPr>
              <w:t>Zaangażowanie środków finansowych w formie pożyczek na wsparcie sektora zdrowia oraz sektora lotniczego i kosmicznego</w:t>
            </w:r>
          </w:p>
        </w:tc>
      </w:tr>
      <w:tr w:rsidR="006578ED" w14:paraId="250E927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4AC01AE" w14:textId="77777777" w:rsidR="006578ED" w:rsidRDefault="00A1618E">
            <w:pPr>
              <w:pStyle w:val="P68B1DB1-Normal46"/>
              <w:spacing w:after="0" w:line="240" w:lineRule="auto"/>
              <w:jc w:val="center"/>
              <w:rPr>
                <w:rFonts w:eastAsia="Times New Roman" w:cs="Times New Roman"/>
                <w:noProof/>
              </w:rPr>
            </w:pPr>
            <w:r>
              <w:rPr>
                <w:noProof/>
              </w:rPr>
              <w:t>L72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5C91F6B" w14:textId="77777777" w:rsidR="006578ED" w:rsidRDefault="00A1618E">
            <w:pPr>
              <w:pStyle w:val="P68B1DB1-Normal46"/>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C70FFB" w14:textId="2E724E90"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2BCEE4C" w14:textId="77777777" w:rsidR="006578ED" w:rsidRDefault="00A1618E">
            <w:pPr>
              <w:pStyle w:val="P68B1DB1-Normal46"/>
              <w:spacing w:after="0" w:line="240" w:lineRule="auto"/>
              <w:rPr>
                <w:rFonts w:eastAsia="Times New Roman" w:cs="Times New Roman"/>
                <w:noProof/>
              </w:rPr>
            </w:pPr>
            <w:r>
              <w:rPr>
                <w:noProof/>
              </w:rPr>
              <w:t>Fundusz Skutków Społecznych: Rozporządzenie ustanawiające Instrument</w:t>
            </w:r>
          </w:p>
        </w:tc>
      </w:tr>
      <w:tr w:rsidR="006578ED" w14:paraId="27ABB9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B164D5B" w14:textId="77777777" w:rsidR="006578ED" w:rsidRDefault="00A1618E">
            <w:pPr>
              <w:pStyle w:val="P68B1DB1-Normal46"/>
              <w:spacing w:after="0" w:line="240" w:lineRule="auto"/>
              <w:jc w:val="center"/>
              <w:rPr>
                <w:rFonts w:eastAsia="Times New Roman" w:cs="Times New Roman"/>
                <w:noProof/>
              </w:rPr>
            </w:pPr>
            <w:r>
              <w:rPr>
                <w:noProof/>
              </w:rPr>
              <w:t>L83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A27047" w14:textId="77777777" w:rsidR="006578ED" w:rsidRDefault="00A1618E">
            <w:pPr>
              <w:pStyle w:val="P68B1DB1-Normal46"/>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FBA33ED" w14:textId="1C4FCB1B"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566E6AA" w14:textId="4D3FCB7F" w:rsidR="006578ED" w:rsidRDefault="00A1618E">
            <w:pPr>
              <w:pStyle w:val="P68B1DB1-Normal46"/>
              <w:spacing w:after="0" w:line="240" w:lineRule="auto"/>
              <w:rPr>
                <w:rFonts w:eastAsia="Times New Roman" w:cs="Times New Roman"/>
                <w:noProof/>
              </w:rPr>
            </w:pPr>
            <w:r>
              <w:rPr>
                <w:noProof/>
              </w:rPr>
              <w:t xml:space="preserve">Publikacja zaproszeń do składania wniosków i zasad regulujących przyznawanie wsparcia na rzecz dekarbonizacji przemysłu. </w:t>
            </w:r>
          </w:p>
        </w:tc>
      </w:tr>
      <w:tr w:rsidR="006578ED" w14:paraId="1FE21F8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20700CD" w14:textId="77777777" w:rsidR="006578ED" w:rsidRDefault="00A1618E">
            <w:pPr>
              <w:pStyle w:val="P68B1DB1-Normal46"/>
              <w:spacing w:after="0" w:line="240" w:lineRule="auto"/>
              <w:jc w:val="center"/>
              <w:rPr>
                <w:rFonts w:eastAsia="Times New Roman" w:cs="Times New Roman"/>
                <w:noProof/>
              </w:rPr>
            </w:pPr>
            <w:r>
              <w:rPr>
                <w:noProof/>
              </w:rPr>
              <w:t>L84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1B668F3" w14:textId="77777777" w:rsidR="006578ED" w:rsidRDefault="00A1618E">
            <w:pPr>
              <w:pStyle w:val="P68B1DB1-Normal46"/>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DE52020" w14:textId="56FF065B"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0E410B" w14:textId="4C2EB1DD" w:rsidR="006578ED" w:rsidRDefault="00A1618E">
            <w:pPr>
              <w:pStyle w:val="P68B1DB1-Normal46"/>
              <w:spacing w:after="0" w:line="240" w:lineRule="auto"/>
              <w:rPr>
                <w:rFonts w:eastAsia="Times New Roman" w:cs="Times New Roman"/>
                <w:noProof/>
              </w:rPr>
            </w:pPr>
            <w:r>
              <w:rPr>
                <w:noProof/>
              </w:rPr>
              <w:t>Publikacja nagród za projekty w zakresie dekarbonizacji</w:t>
            </w:r>
          </w:p>
        </w:tc>
      </w:tr>
      <w:tr w:rsidR="006578ED" w14:paraId="0CB343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0E08AC2" w14:textId="77777777" w:rsidR="006578ED" w:rsidRDefault="00A1618E">
            <w:pPr>
              <w:pStyle w:val="P68B1DB1-Normal46"/>
              <w:spacing w:after="0" w:line="240" w:lineRule="auto"/>
              <w:jc w:val="center"/>
              <w:rPr>
                <w:rFonts w:eastAsia="Times New Roman" w:cs="Times New Roman"/>
                <w:noProof/>
              </w:rPr>
            </w:pPr>
            <w:r>
              <w:rPr>
                <w:noProof/>
              </w:rPr>
              <w:t>L86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13812F7" w14:textId="77777777" w:rsidR="006578ED" w:rsidRDefault="00A1618E">
            <w:pPr>
              <w:pStyle w:val="P68B1DB1-Normal46"/>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3C4314" w14:textId="086AE16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5E63CB2" w14:textId="77777777" w:rsidR="006578ED" w:rsidRDefault="00A1618E">
            <w:pPr>
              <w:pStyle w:val="P68B1DB1-Normal46"/>
              <w:spacing w:after="0" w:line="240" w:lineRule="auto"/>
              <w:rPr>
                <w:rFonts w:eastAsia="Times New Roman" w:cs="Times New Roman"/>
                <w:noProof/>
              </w:rPr>
            </w:pPr>
            <w:r>
              <w:rPr>
                <w:noProof/>
              </w:rPr>
              <w:t>System wsparcia na rzecz dekarbonizacji przemysłu (pożyczki): Ministerstwo zakończyło inwestycję</w:t>
            </w:r>
          </w:p>
        </w:tc>
      </w:tr>
      <w:tr w:rsidR="006578ED" w14:paraId="7326C18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268AEB" w14:textId="77777777" w:rsidR="006578ED" w:rsidRDefault="00A1618E">
            <w:pPr>
              <w:pStyle w:val="P68B1DB1-Normal46"/>
              <w:spacing w:after="0" w:line="240" w:lineRule="auto"/>
              <w:jc w:val="center"/>
              <w:rPr>
                <w:rFonts w:eastAsia="Times New Roman" w:cs="Times New Roman"/>
                <w:noProof/>
              </w:rPr>
            </w:pPr>
            <w:r>
              <w:rPr>
                <w:noProof/>
              </w:rPr>
              <w:t>L87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2F76" w14:textId="77777777" w:rsidR="006578ED" w:rsidRDefault="00A1618E">
            <w:pPr>
              <w:pStyle w:val="P68B1DB1-Normal46"/>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9A5B6C2" w14:textId="7D5CB7DA"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560F1BE" w14:textId="77777777" w:rsidR="006578ED" w:rsidRDefault="00A1618E">
            <w:pPr>
              <w:pStyle w:val="P68B1DB1-Normal46"/>
              <w:spacing w:after="0" w:line="240" w:lineRule="auto"/>
              <w:rPr>
                <w:rFonts w:eastAsia="Times New Roman" w:cs="Times New Roman"/>
                <w:noProof/>
              </w:rPr>
            </w:pPr>
            <w:r>
              <w:rPr>
                <w:noProof/>
              </w:rPr>
              <w:t>Ustanowienie programu pożyczkowego</w:t>
            </w:r>
          </w:p>
        </w:tc>
      </w:tr>
      <w:tr w:rsidR="006578ED" w14:paraId="50229C7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4144B52"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9A5B23"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1A71918" w14:textId="306429B2" w:rsidR="006578ED" w:rsidRDefault="00A1618E">
            <w:pPr>
              <w:pStyle w:val="P68B1DB1-Normal45"/>
              <w:spacing w:after="0" w:line="240" w:lineRule="auto"/>
              <w:rPr>
                <w:rFonts w:eastAsia="Times New Roman" w:cs="Times New Roman"/>
                <w:noProof/>
              </w:rPr>
            </w:pPr>
            <w:r>
              <w:rPr>
                <w:noProof/>
              </w:rPr>
              <w:t>Kwota raty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27A7D38" w14:textId="628D960C" w:rsidR="006578ED" w:rsidRDefault="00A1618E">
            <w:pPr>
              <w:pStyle w:val="P68B1DB1-Normal45"/>
              <w:spacing w:after="0" w:line="240" w:lineRule="auto"/>
              <w:rPr>
                <w:rFonts w:eastAsia="Times New Roman" w:cs="Times New Roman"/>
                <w:noProof/>
              </w:rPr>
            </w:pPr>
            <w:r>
              <w:rPr>
                <w:noProof/>
              </w:rPr>
              <w:t>16 632 012 000</w:t>
            </w:r>
          </w:p>
        </w:tc>
      </w:tr>
    </w:tbl>
    <w:p w14:paraId="2F080BC8" w14:textId="77777777" w:rsidR="006578ED" w:rsidRDefault="006578ED">
      <w:pPr>
        <w:spacing w:before="120" w:after="120" w:line="240" w:lineRule="auto"/>
        <w:jc w:val="both"/>
        <w:rPr>
          <w:rFonts w:ascii="Times New Roman" w:eastAsia="Calibri" w:hAnsi="Times New Roman" w:cs="Times New Roman"/>
          <w:noProof/>
          <w:sz w:val="24"/>
        </w:rPr>
      </w:pPr>
    </w:p>
    <w:p w14:paraId="62B8B28C" w14:textId="396FC8D8"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Czwarta transza (wsparcie pożyczkowe): </w:t>
      </w:r>
    </w:p>
    <w:tbl>
      <w:tblPr>
        <w:tblW w:w="9663" w:type="dxa"/>
        <w:tblInd w:w="113" w:type="dxa"/>
        <w:tblLook w:val="04A0" w:firstRow="1" w:lastRow="0" w:firstColumn="1" w:lastColumn="0" w:noHBand="0" w:noVBand="1"/>
      </w:tblPr>
      <w:tblGrid>
        <w:gridCol w:w="1300"/>
        <w:gridCol w:w="1443"/>
        <w:gridCol w:w="1561"/>
        <w:gridCol w:w="5670"/>
      </w:tblGrid>
      <w:tr w:rsidR="006578ED" w14:paraId="52A73B5E"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62A69C38"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2CC3F7BF"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5042756"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3B65FCFD"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36F11D18"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49D6D98"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5682685D"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3EA9345" w14:textId="77777777" w:rsidR="006578ED" w:rsidRDefault="006578ED">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3920B5F4" w14:textId="77777777" w:rsidR="006578ED" w:rsidRDefault="006578ED">
            <w:pPr>
              <w:spacing w:after="0" w:line="240" w:lineRule="auto"/>
              <w:rPr>
                <w:rFonts w:ascii="Times New Roman" w:eastAsia="Times New Roman" w:hAnsi="Times New Roman" w:cs="Times New Roman"/>
                <w:b/>
                <w:noProof/>
                <w:sz w:val="20"/>
              </w:rPr>
            </w:pPr>
          </w:p>
        </w:tc>
      </w:tr>
      <w:tr w:rsidR="006578ED" w14:paraId="52775BE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AF5F82F" w14:textId="77777777" w:rsidR="006578ED" w:rsidRDefault="00A1618E">
            <w:pPr>
              <w:pStyle w:val="P68B1DB1-Normal46"/>
              <w:spacing w:after="0" w:line="240" w:lineRule="auto"/>
              <w:jc w:val="center"/>
              <w:rPr>
                <w:rFonts w:eastAsia="Times New Roman" w:cs="Times New Roman"/>
                <w:noProof/>
              </w:rPr>
            </w:pPr>
            <w:r>
              <w:rPr>
                <w:noProof/>
              </w:rPr>
              <w:t>L2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93F1471" w14:textId="77777777" w:rsidR="006578ED" w:rsidRDefault="00A1618E">
            <w:pPr>
              <w:pStyle w:val="P68B1DB1-Normal46"/>
              <w:spacing w:after="0" w:line="240" w:lineRule="auto"/>
              <w:rPr>
                <w:rFonts w:eastAsia="Times New Roman" w:cs="Times New Roman"/>
                <w:noProof/>
              </w:rPr>
            </w:pPr>
            <w:r>
              <w:rPr>
                <w:noProof/>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4000612" w14:textId="2C85E29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F5C445" w14:textId="47F12097" w:rsidR="006578ED" w:rsidRDefault="00A1618E">
            <w:pPr>
              <w:pStyle w:val="P68B1DB1-Normal46"/>
              <w:spacing w:after="0" w:line="240" w:lineRule="auto"/>
              <w:rPr>
                <w:rFonts w:eastAsia="Times New Roman" w:cs="Times New Roman"/>
                <w:noProof/>
              </w:rPr>
            </w:pPr>
            <w:r>
              <w:rPr>
                <w:noProof/>
              </w:rPr>
              <w:t xml:space="preserve">Wejście w życie zmiany tekstu skonsolidowanego ustawy o rekultywacji gruntów i obszarów miejskich </w:t>
            </w:r>
          </w:p>
        </w:tc>
      </w:tr>
      <w:tr w:rsidR="006578ED" w14:paraId="76C020E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84596C2" w14:textId="77777777" w:rsidR="006578ED" w:rsidRDefault="00A1618E">
            <w:pPr>
              <w:pStyle w:val="P68B1DB1-Normal46"/>
              <w:spacing w:after="0" w:line="240" w:lineRule="auto"/>
              <w:jc w:val="center"/>
              <w:rPr>
                <w:rFonts w:eastAsia="Times New Roman" w:cs="Times New Roman"/>
                <w:noProof/>
              </w:rPr>
            </w:pPr>
            <w:r>
              <w:rPr>
                <w:noProof/>
              </w:rPr>
              <w:t>L3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0B56212" w14:textId="77777777" w:rsidR="006578ED" w:rsidRDefault="00A1618E">
            <w:pPr>
              <w:pStyle w:val="P68B1DB1-Normal46"/>
              <w:spacing w:after="0" w:line="240" w:lineRule="auto"/>
              <w:rPr>
                <w:rFonts w:eastAsia="Times New Roman" w:cs="Times New Roman"/>
                <w:noProof/>
              </w:rPr>
            </w:pPr>
            <w:r>
              <w:rPr>
                <w:noProof/>
              </w:rPr>
              <w:t>C2.R7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804553" w14:textId="2BF31F3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F05380" w14:textId="06A43CC2" w:rsidR="006578ED" w:rsidRDefault="00A1618E">
            <w:pPr>
              <w:pStyle w:val="P68B1DB1-Normal46"/>
              <w:spacing w:after="0" w:line="240" w:lineRule="auto"/>
              <w:rPr>
                <w:rFonts w:eastAsia="Times New Roman" w:cs="Times New Roman"/>
                <w:noProof/>
              </w:rPr>
            </w:pPr>
            <w:r>
              <w:rPr>
                <w:noProof/>
              </w:rPr>
              <w:t>Publikacja przewodnika najlepszych praktyk w zakresie uproszczenia i usprawnienia procedur wydawania pozwoleń na planowanie</w:t>
            </w:r>
          </w:p>
        </w:tc>
      </w:tr>
      <w:tr w:rsidR="006578ED" w14:paraId="22618BC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3BA273D" w14:textId="77777777" w:rsidR="006578ED" w:rsidRDefault="00A1618E">
            <w:pPr>
              <w:pStyle w:val="P68B1DB1-Normal46"/>
              <w:spacing w:after="0" w:line="240" w:lineRule="auto"/>
              <w:jc w:val="center"/>
              <w:rPr>
                <w:rFonts w:eastAsia="Times New Roman" w:cs="Times New Roman"/>
                <w:noProof/>
              </w:rPr>
            </w:pPr>
            <w:r>
              <w:rPr>
                <w:noProof/>
              </w:rPr>
              <w:t>L5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7801E5C" w14:textId="77777777" w:rsidR="006578ED" w:rsidRDefault="00A1618E">
            <w:pPr>
              <w:pStyle w:val="P68B1DB1-Normal46"/>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9198909" w14:textId="56C65E0C"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AB0167" w14:textId="535641B0" w:rsidR="006578ED" w:rsidRDefault="00A1618E">
            <w:pPr>
              <w:pStyle w:val="P68B1DB1-Normal46"/>
              <w:spacing w:after="0" w:line="240" w:lineRule="auto"/>
              <w:rPr>
                <w:rFonts w:eastAsia="Times New Roman" w:cs="Times New Roman"/>
                <w:noProof/>
              </w:rPr>
            </w:pPr>
            <w:r>
              <w:rPr>
                <w:noProof/>
              </w:rPr>
              <w:t>Instrument pożyczkowy ICO na rzecz promowania mieszkalnictwa socjalnego: Umowy prawne podpisane z beneficjentami końcowymi (I)</w:t>
            </w:r>
          </w:p>
        </w:tc>
      </w:tr>
      <w:tr w:rsidR="006578ED" w14:paraId="55B5162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3D514E" w14:textId="77777777" w:rsidR="006578ED" w:rsidRDefault="00A1618E">
            <w:pPr>
              <w:pStyle w:val="P68B1DB1-Normal46"/>
              <w:spacing w:after="0" w:line="240" w:lineRule="auto"/>
              <w:jc w:val="center"/>
              <w:rPr>
                <w:rFonts w:eastAsia="Times New Roman" w:cs="Times New Roman"/>
                <w:noProof/>
              </w:rPr>
            </w:pPr>
            <w:r>
              <w:rPr>
                <w:noProof/>
              </w:rPr>
              <w:t>L89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264CD4B" w14:textId="77777777" w:rsidR="006578ED" w:rsidRDefault="00A1618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247350" w14:textId="61B367F4"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1689F53" w14:textId="302887B9" w:rsidR="006578ED" w:rsidRDefault="00A1618E">
            <w:pPr>
              <w:pStyle w:val="P68B1DB1-Normal46"/>
              <w:spacing w:after="0" w:line="240" w:lineRule="auto"/>
              <w:rPr>
                <w:rFonts w:eastAsia="Times New Roman" w:cs="Times New Roman"/>
                <w:noProof/>
              </w:rPr>
            </w:pPr>
            <w:r>
              <w:rPr>
                <w:noProof/>
              </w:rPr>
              <w:t>Przyznawanie projektów mających na celu wzmocnienie zdolności administracji publicznej w zakresie cyberbezpieczeństwa w dziedzinie zapobiegania zagrożeniom cybernetycznym, ich ochrony, wykrywania i reagowania na nie (program cyberbezpieczeństwa)</w:t>
            </w:r>
          </w:p>
        </w:tc>
      </w:tr>
      <w:tr w:rsidR="006578ED" w14:paraId="0584499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1EEE3F" w14:textId="77777777" w:rsidR="006578ED" w:rsidRDefault="00A1618E">
            <w:pPr>
              <w:pStyle w:val="P68B1DB1-Normal46"/>
              <w:spacing w:after="0" w:line="240" w:lineRule="auto"/>
              <w:jc w:val="center"/>
              <w:rPr>
                <w:rFonts w:eastAsia="Times New Roman" w:cs="Times New Roman"/>
                <w:noProof/>
              </w:rPr>
            </w:pPr>
            <w:r>
              <w:rPr>
                <w:noProof/>
              </w:rPr>
              <w:t>L19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0A69CD7" w14:textId="77777777" w:rsidR="006578ED" w:rsidRDefault="00A1618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2DB8F31" w14:textId="7D9A8D31"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C110F4A" w14:textId="7E4309B8" w:rsidR="006578ED" w:rsidRDefault="00A1618E">
            <w:pPr>
              <w:pStyle w:val="P68B1DB1-Normal46"/>
              <w:spacing w:after="0" w:line="240" w:lineRule="auto"/>
              <w:rPr>
                <w:rFonts w:eastAsia="Times New Roman" w:cs="Times New Roman"/>
                <w:noProof/>
              </w:rPr>
            </w:pPr>
            <w:r>
              <w:rPr>
                <w:noProof/>
              </w:rPr>
              <w:t>Fundusz Bezpieczeństwa i Zwiększania Odporności: Prawne umowy o finansowaniu podpisane z beneficjentami końcowymi (w tym z funduszami kapitałowymi) (I)</w:t>
            </w:r>
          </w:p>
        </w:tc>
      </w:tr>
      <w:tr w:rsidR="006578ED" w14:paraId="0FF83B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5CD8775" w14:textId="77777777" w:rsidR="006578ED" w:rsidRDefault="00A1618E">
            <w:pPr>
              <w:pStyle w:val="P68B1DB1-Normal46"/>
              <w:spacing w:after="0" w:line="240" w:lineRule="auto"/>
              <w:jc w:val="center"/>
              <w:rPr>
                <w:rFonts w:eastAsia="Times New Roman" w:cs="Times New Roman"/>
                <w:noProof/>
              </w:rPr>
            </w:pPr>
            <w:r>
              <w:rPr>
                <w:noProof/>
              </w:rPr>
              <w:t>L26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8D26075" w14:textId="77777777" w:rsidR="006578ED" w:rsidRDefault="00A1618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9CB30E3" w14:textId="46EE3D2F"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31F39C5" w14:textId="1A865F5D" w:rsidR="006578ED" w:rsidRDefault="00A1618E">
            <w:pPr>
              <w:pStyle w:val="P68B1DB1-Normal46"/>
              <w:spacing w:after="0" w:line="240" w:lineRule="auto"/>
              <w:rPr>
                <w:rFonts w:eastAsia="Times New Roman" w:cs="Times New Roman"/>
                <w:noProof/>
              </w:rPr>
            </w:pPr>
            <w:r>
              <w:rPr>
                <w:noProof/>
              </w:rPr>
              <w:t>Zielona linia ICO – umowy prawne podpisane z beneficjentami końcowymi (w tym funduszami kapitałowymi) (II)</w:t>
            </w:r>
          </w:p>
        </w:tc>
      </w:tr>
      <w:tr w:rsidR="006578ED" w14:paraId="73D1638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10D4813" w14:textId="77777777" w:rsidR="006578ED" w:rsidRDefault="00A1618E">
            <w:pPr>
              <w:pStyle w:val="P68B1DB1-Normal46"/>
              <w:spacing w:after="0" w:line="240" w:lineRule="auto"/>
              <w:jc w:val="center"/>
              <w:rPr>
                <w:rFonts w:eastAsia="Times New Roman" w:cs="Times New Roman"/>
                <w:noProof/>
              </w:rPr>
            </w:pPr>
            <w:r>
              <w:rPr>
                <w:noProof/>
              </w:rPr>
              <w:t>L31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92DB91" w14:textId="77777777" w:rsidR="006578ED" w:rsidRDefault="00A1618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FE1B45" w14:textId="6487B3A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8691ED9" w14:textId="6F05CB9C" w:rsidR="006578ED" w:rsidRDefault="00A1618E">
            <w:pPr>
              <w:pStyle w:val="P68B1DB1-Normal46"/>
              <w:spacing w:after="0" w:line="240" w:lineRule="auto"/>
              <w:rPr>
                <w:rFonts w:eastAsia="Times New Roman" w:cs="Times New Roman"/>
                <w:noProof/>
              </w:rPr>
            </w:pPr>
            <w:r>
              <w:rPr>
                <w:noProof/>
              </w:rPr>
              <w:t>ICO Enterprises and Entrepreneurs Line – umowy prawne podpisane z beneficjentami końcowymi (w tym funduszami kapitałowymi) (I)</w:t>
            </w:r>
          </w:p>
        </w:tc>
      </w:tr>
      <w:tr w:rsidR="006578ED" w14:paraId="2BEFAD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2E496F3" w14:textId="77777777" w:rsidR="006578ED" w:rsidRDefault="00A1618E">
            <w:pPr>
              <w:pStyle w:val="P68B1DB1-Normal46"/>
              <w:spacing w:after="0" w:line="240" w:lineRule="auto"/>
              <w:jc w:val="center"/>
              <w:rPr>
                <w:rFonts w:eastAsia="Times New Roman" w:cs="Times New Roman"/>
                <w:noProof/>
              </w:rPr>
            </w:pPr>
            <w:r>
              <w:rPr>
                <w:noProof/>
              </w:rPr>
              <w:t>L36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67FBED2" w14:textId="77777777" w:rsidR="006578ED" w:rsidRDefault="00A1618E">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C85042" w14:textId="40764E55"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8BBE93E" w14:textId="7904BFFF" w:rsidR="006578ED" w:rsidRDefault="00A1618E">
            <w:pPr>
              <w:pStyle w:val="P68B1DB1-Normal46"/>
              <w:spacing w:after="0" w:line="240" w:lineRule="auto"/>
              <w:rPr>
                <w:rFonts w:eastAsia="Times New Roman" w:cs="Times New Roman"/>
                <w:noProof/>
              </w:rPr>
            </w:pPr>
            <w:r>
              <w:rPr>
                <w:noProof/>
              </w:rPr>
              <w:t>Kolejna technologia – umowy prawne podpisane z beneficjentami końcowymi i funduszami kapitałowymi (I)</w:t>
            </w:r>
          </w:p>
        </w:tc>
      </w:tr>
      <w:tr w:rsidR="006578ED" w14:paraId="5709ED1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4D9B6D4" w14:textId="77777777" w:rsidR="006578ED" w:rsidRDefault="00A1618E">
            <w:pPr>
              <w:pStyle w:val="P68B1DB1-Normal46"/>
              <w:spacing w:after="0" w:line="240" w:lineRule="auto"/>
              <w:jc w:val="center"/>
              <w:rPr>
                <w:rFonts w:eastAsia="Times New Roman" w:cs="Times New Roman"/>
                <w:noProof/>
              </w:rPr>
            </w:pPr>
            <w:r>
              <w:rPr>
                <w:noProof/>
              </w:rPr>
              <w:t>L41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479CC9" w14:textId="77777777" w:rsidR="006578ED" w:rsidRDefault="00A1618E">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56A696" w14:textId="48672A88"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C417A9E" w14:textId="021913EF" w:rsidR="006578ED" w:rsidRDefault="00A1618E">
            <w:pPr>
              <w:pStyle w:val="P68B1DB1-Normal46"/>
              <w:spacing w:after="0" w:line="240" w:lineRule="auto"/>
              <w:rPr>
                <w:rFonts w:eastAsia="Times New Roman" w:cs="Times New Roman"/>
                <w:noProof/>
              </w:rPr>
            </w:pPr>
            <w:r>
              <w:rPr>
                <w:noProof/>
              </w:rPr>
              <w:t>Foco – umowy prawne podpisane z beneficjentami końcowymi (w tym funduszami kapitałowymi) (I)</w:t>
            </w:r>
          </w:p>
        </w:tc>
      </w:tr>
      <w:tr w:rsidR="006578ED" w14:paraId="435420A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2D98890" w14:textId="77777777" w:rsidR="006578ED" w:rsidRDefault="00A1618E">
            <w:pPr>
              <w:pStyle w:val="P68B1DB1-Normal46"/>
              <w:spacing w:after="0" w:line="240" w:lineRule="auto"/>
              <w:jc w:val="center"/>
              <w:rPr>
                <w:rFonts w:eastAsia="Times New Roman" w:cs="Times New Roman"/>
                <w:noProof/>
              </w:rPr>
            </w:pPr>
            <w:r>
              <w:rPr>
                <w:noProof/>
              </w:rPr>
              <w:t>L45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E58C3CB" w14:textId="77777777" w:rsidR="006578ED" w:rsidRDefault="00A1618E">
            <w:pPr>
              <w:pStyle w:val="P68B1DB1-Normal46"/>
              <w:spacing w:after="0" w:line="240" w:lineRule="auto"/>
              <w:rPr>
                <w:rFonts w:eastAsia="Times New Roman" w:cs="Times New Roman"/>
                <w:noProof/>
              </w:rPr>
            </w:pPr>
            <w:r>
              <w:rPr>
                <w:noProof/>
              </w:rPr>
              <w:t>C13.I10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5C2787" w14:textId="37DCED60"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0652549" w14:textId="77777777" w:rsidR="006578ED" w:rsidRDefault="00A1618E">
            <w:pPr>
              <w:pStyle w:val="P68B1DB1-Normal46"/>
              <w:spacing w:after="0" w:line="240" w:lineRule="auto"/>
              <w:rPr>
                <w:rFonts w:eastAsia="Times New Roman" w:cs="Times New Roman"/>
                <w:noProof/>
              </w:rPr>
            </w:pPr>
            <w:r>
              <w:rPr>
                <w:noProof/>
              </w:rPr>
              <w:t>FONREC</w:t>
            </w:r>
          </w:p>
        </w:tc>
      </w:tr>
      <w:tr w:rsidR="006578ED" w14:paraId="0D7D956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D76B823" w14:textId="77777777" w:rsidR="006578ED" w:rsidRDefault="00A1618E">
            <w:pPr>
              <w:pStyle w:val="P68B1DB1-Normal46"/>
              <w:spacing w:after="0" w:line="240" w:lineRule="auto"/>
              <w:jc w:val="center"/>
              <w:rPr>
                <w:rFonts w:eastAsia="Times New Roman" w:cs="Times New Roman"/>
                <w:noProof/>
              </w:rPr>
            </w:pPr>
            <w:r>
              <w:rPr>
                <w:noProof/>
              </w:rPr>
              <w:t>L48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E82E16C" w14:textId="77777777" w:rsidR="006578ED" w:rsidRDefault="00A1618E">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E0EA362" w14:textId="3DF9A272"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29EB474" w14:textId="47F9EE4A" w:rsidR="006578ED" w:rsidRDefault="00A1618E">
            <w:pPr>
              <w:pStyle w:val="P68B1DB1-Normal46"/>
              <w:spacing w:after="0" w:line="240" w:lineRule="auto"/>
              <w:rPr>
                <w:rFonts w:eastAsia="Times New Roman" w:cs="Times New Roman"/>
                <w:noProof/>
              </w:rPr>
            </w:pPr>
            <w:r>
              <w:rPr>
                <w:noProof/>
              </w:rPr>
              <w:t>Fundusz na rzecz przedsiębiorczości i MŚP ENISA – umowy prawne podpisane z beneficjentami końcowymi</w:t>
            </w:r>
          </w:p>
        </w:tc>
      </w:tr>
      <w:tr w:rsidR="006578ED" w14:paraId="336C8A9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D9E418" w14:textId="77777777" w:rsidR="006578ED" w:rsidRDefault="00A1618E">
            <w:pPr>
              <w:pStyle w:val="P68B1DB1-Normal46"/>
              <w:spacing w:after="0" w:line="240" w:lineRule="auto"/>
              <w:jc w:val="center"/>
              <w:rPr>
                <w:rFonts w:eastAsia="Times New Roman" w:cs="Times New Roman"/>
                <w:noProof/>
              </w:rPr>
            </w:pPr>
            <w:r>
              <w:rPr>
                <w:noProof/>
              </w:rPr>
              <w:t>L55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310255E"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D7646EA" w14:textId="61133CFE"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D8B4897" w14:textId="0183F192" w:rsidR="006578ED" w:rsidRDefault="00A1618E">
            <w:pPr>
              <w:pStyle w:val="P68B1DB1-Normal46"/>
              <w:spacing w:after="0" w:line="240" w:lineRule="auto"/>
              <w:rPr>
                <w:rFonts w:eastAsia="Times New Roman" w:cs="Times New Roman"/>
                <w:noProof/>
              </w:rPr>
            </w:pPr>
            <w:r>
              <w:rPr>
                <w:noProof/>
              </w:rPr>
              <w:t>Fundusz na rzecz odporności regionalnej – Inne linie: Umowy prawne podpisane z beneficjentami końcowymi (w tym z funduszami kapitałowymi) (II)</w:t>
            </w:r>
          </w:p>
        </w:tc>
      </w:tr>
      <w:tr w:rsidR="006578ED" w14:paraId="76C523EB"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0CC1FA" w14:textId="77777777" w:rsidR="006578ED" w:rsidRDefault="00A1618E">
            <w:pPr>
              <w:pStyle w:val="P68B1DB1-Normal46"/>
              <w:spacing w:after="0" w:line="240" w:lineRule="auto"/>
              <w:jc w:val="center"/>
              <w:rPr>
                <w:rFonts w:eastAsia="Times New Roman" w:cs="Times New Roman"/>
                <w:noProof/>
              </w:rPr>
            </w:pPr>
            <w:r>
              <w:rPr>
                <w:noProof/>
              </w:rPr>
              <w:t>L59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27A83D7"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12097CA" w14:textId="65DCE7A1"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A6BDB33" w14:textId="0D769634" w:rsidR="006578ED" w:rsidRDefault="00A1618E">
            <w:pPr>
              <w:pStyle w:val="P68B1DB1-Normal46"/>
              <w:spacing w:after="0" w:line="240" w:lineRule="auto"/>
              <w:rPr>
                <w:rFonts w:eastAsia="Times New Roman" w:cs="Times New Roman"/>
                <w:noProof/>
              </w:rPr>
            </w:pPr>
            <w:r>
              <w:rPr>
                <w:noProof/>
              </w:rPr>
              <w:t>Fundusz odporności regionalnej – bezpośrednia linia publiczna: Umowy prawne podpisane z beneficjentami końcowymi (II)</w:t>
            </w:r>
          </w:p>
        </w:tc>
      </w:tr>
      <w:tr w:rsidR="006578ED" w14:paraId="11DBBF5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FFE55C" w14:textId="77777777" w:rsidR="006578ED" w:rsidRDefault="00A1618E">
            <w:pPr>
              <w:pStyle w:val="P68B1DB1-Normal46"/>
              <w:spacing w:after="0" w:line="240" w:lineRule="auto"/>
              <w:jc w:val="center"/>
              <w:rPr>
                <w:rFonts w:eastAsia="Times New Roman" w:cs="Times New Roman"/>
                <w:noProof/>
              </w:rPr>
            </w:pPr>
            <w:r>
              <w:rPr>
                <w:noProof/>
              </w:rPr>
              <w:t>L64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0EBEFC" w14:textId="77777777" w:rsidR="006578ED" w:rsidRDefault="00A1618E">
            <w:pPr>
              <w:pStyle w:val="P68B1DB1-Normal46"/>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FC184BD" w14:textId="0F43EE80"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E0E3388" w14:textId="15F330AB" w:rsidR="006578ED" w:rsidRDefault="00A1618E">
            <w:pPr>
              <w:pStyle w:val="P68B1DB1-Normal46"/>
              <w:spacing w:after="0" w:line="240" w:lineRule="auto"/>
              <w:rPr>
                <w:rFonts w:eastAsia="Times New Roman" w:cs="Times New Roman"/>
                <w:noProof/>
              </w:rPr>
            </w:pPr>
            <w:r>
              <w:rPr>
                <w:noProof/>
              </w:rPr>
              <w:t>Mechanizm finansowania czipów: Umowy prawne podpisane z beneficjentami końcowymi (I)</w:t>
            </w:r>
          </w:p>
        </w:tc>
      </w:tr>
      <w:tr w:rsidR="006578ED" w14:paraId="46B5BBE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647A19A" w14:textId="77777777" w:rsidR="006578ED" w:rsidRDefault="00A1618E">
            <w:pPr>
              <w:pStyle w:val="P68B1DB1-Normal46"/>
              <w:spacing w:after="0" w:line="240" w:lineRule="auto"/>
              <w:jc w:val="center"/>
              <w:rPr>
                <w:rFonts w:eastAsia="Times New Roman" w:cs="Times New Roman"/>
                <w:noProof/>
              </w:rPr>
            </w:pPr>
            <w:r>
              <w:rPr>
                <w:noProof/>
              </w:rPr>
              <w:t>L78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0F719A" w14:textId="77777777" w:rsidR="006578ED" w:rsidRDefault="00A1618E">
            <w:pPr>
              <w:pStyle w:val="P68B1DB1-Normal46"/>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8606EC" w14:textId="0E9EAFF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CC46DD0" w14:textId="6BE56F5C" w:rsidR="006578ED" w:rsidRDefault="00A1618E">
            <w:pPr>
              <w:pStyle w:val="P68B1DB1-Normal46"/>
              <w:spacing w:after="0" w:line="240" w:lineRule="auto"/>
              <w:rPr>
                <w:rFonts w:eastAsia="Times New Roman" w:cs="Times New Roman"/>
                <w:noProof/>
              </w:rPr>
            </w:pPr>
            <w:r>
              <w:rPr>
                <w:noProof/>
              </w:rPr>
              <w:t xml:space="preserve">Fundusz Centrum Audiowizualnego ICO: Prawne umowy o finansowaniu podpisane z beneficjentami końcowymi (w tym z funduszami kapitałowymi) (I). </w:t>
            </w:r>
          </w:p>
        </w:tc>
      </w:tr>
      <w:tr w:rsidR="006578ED" w14:paraId="7A6E7E7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E51998F"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B7CA8B6"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8613CF0" w14:textId="7E9B26BD" w:rsidR="006578ED" w:rsidRDefault="00A1618E">
            <w:pPr>
              <w:pStyle w:val="P68B1DB1-Normal45"/>
              <w:spacing w:after="0" w:line="240" w:lineRule="auto"/>
              <w:rPr>
                <w:rFonts w:eastAsia="Times New Roman" w:cs="Times New Roman"/>
                <w:noProof/>
              </w:rPr>
            </w:pPr>
            <w:r>
              <w:rPr>
                <w:noProof/>
              </w:rPr>
              <w:t>Kwota raty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56B8F8A" w14:textId="653C51D5" w:rsidR="006578ED" w:rsidRDefault="00A1618E">
            <w:pPr>
              <w:pStyle w:val="P68B1DB1-Normal45"/>
              <w:spacing w:after="0" w:line="240" w:lineRule="auto"/>
              <w:rPr>
                <w:rFonts w:eastAsia="Times New Roman" w:cs="Times New Roman"/>
                <w:noProof/>
              </w:rPr>
            </w:pPr>
            <w:r>
              <w:rPr>
                <w:noProof/>
              </w:rPr>
              <w:t>18 612 013 429 EUR</w:t>
            </w:r>
          </w:p>
        </w:tc>
      </w:tr>
    </w:tbl>
    <w:p w14:paraId="453DEC58" w14:textId="77777777" w:rsidR="006578ED" w:rsidRDefault="006578ED">
      <w:pPr>
        <w:spacing w:before="120" w:after="120" w:line="240" w:lineRule="auto"/>
        <w:jc w:val="both"/>
        <w:rPr>
          <w:rFonts w:ascii="Times New Roman" w:eastAsia="Calibri" w:hAnsi="Times New Roman" w:cs="Times New Roman"/>
          <w:noProof/>
          <w:sz w:val="24"/>
        </w:rPr>
      </w:pPr>
    </w:p>
    <w:p w14:paraId="73A0D850" w14:textId="3248986B"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Piąta transza (wsparcie pożyczkowe): </w:t>
      </w:r>
    </w:p>
    <w:tbl>
      <w:tblPr>
        <w:tblW w:w="9663" w:type="dxa"/>
        <w:tblInd w:w="113" w:type="dxa"/>
        <w:tblLook w:val="04A0" w:firstRow="1" w:lastRow="0" w:firstColumn="1" w:lastColumn="0" w:noHBand="0" w:noVBand="1"/>
      </w:tblPr>
      <w:tblGrid>
        <w:gridCol w:w="1300"/>
        <w:gridCol w:w="1443"/>
        <w:gridCol w:w="1561"/>
        <w:gridCol w:w="5670"/>
      </w:tblGrid>
      <w:tr w:rsidR="006578ED" w14:paraId="486661A0"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C9767ED"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77ADA78"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1F1C12AD"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13052B9A"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07375CFB"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1ABC1730"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CD23AAB"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68218EBB" w14:textId="77777777" w:rsidR="006578ED" w:rsidRDefault="006578ED">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A6D8940" w14:textId="77777777" w:rsidR="006578ED" w:rsidRDefault="006578ED">
            <w:pPr>
              <w:spacing w:after="0" w:line="240" w:lineRule="auto"/>
              <w:rPr>
                <w:rFonts w:ascii="Times New Roman" w:eastAsia="Times New Roman" w:hAnsi="Times New Roman" w:cs="Times New Roman"/>
                <w:b/>
                <w:noProof/>
                <w:sz w:val="20"/>
              </w:rPr>
            </w:pPr>
          </w:p>
        </w:tc>
      </w:tr>
      <w:tr w:rsidR="006578ED" w14:paraId="792590E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F6BEE8" w14:textId="77777777" w:rsidR="006578ED" w:rsidRDefault="00A1618E">
            <w:pPr>
              <w:pStyle w:val="P68B1DB1-Normal46"/>
              <w:spacing w:after="0" w:line="240" w:lineRule="auto"/>
              <w:jc w:val="center"/>
              <w:rPr>
                <w:rFonts w:eastAsia="Times New Roman" w:cs="Times New Roman"/>
                <w:noProof/>
              </w:rPr>
            </w:pPr>
            <w:r>
              <w:rPr>
                <w:noProof/>
              </w:rPr>
              <w:t>L9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206AD30" w14:textId="77777777" w:rsidR="006578ED" w:rsidRDefault="00A1618E">
            <w:pPr>
              <w:pStyle w:val="P68B1DB1-Normal46"/>
              <w:spacing w:after="0" w:line="240" w:lineRule="auto"/>
              <w:rPr>
                <w:rFonts w:eastAsia="Times New Roman" w:cs="Times New Roman"/>
                <w:noProof/>
              </w:rPr>
            </w:pPr>
            <w:r>
              <w:rPr>
                <w:noProof/>
              </w:rPr>
              <w:t>C3.R8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52EDB48" w14:textId="3561CC50"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19F58FC" w14:textId="7DDDCBCA" w:rsidR="006578ED" w:rsidRDefault="00A1618E">
            <w:pPr>
              <w:pStyle w:val="P68B1DB1-Normal46"/>
              <w:spacing w:after="0" w:line="240" w:lineRule="auto"/>
              <w:rPr>
                <w:rFonts w:eastAsia="Times New Roman" w:cs="Times New Roman"/>
                <w:noProof/>
              </w:rPr>
            </w:pPr>
            <w:r>
              <w:rPr>
                <w:noProof/>
              </w:rPr>
              <w:t>Wejście w życie rozporządzenia w sprawie systemu informacyjnego dla gospodarstw rolnych</w:t>
            </w:r>
          </w:p>
        </w:tc>
      </w:tr>
      <w:tr w:rsidR="006578ED" w14:paraId="6197830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A945BEC" w14:textId="77777777" w:rsidR="006578ED" w:rsidRDefault="00A1618E">
            <w:pPr>
              <w:pStyle w:val="P68B1DB1-Normal46"/>
              <w:spacing w:after="0" w:line="240" w:lineRule="auto"/>
              <w:jc w:val="center"/>
              <w:rPr>
                <w:rFonts w:eastAsia="Times New Roman" w:cs="Times New Roman"/>
                <w:noProof/>
              </w:rPr>
            </w:pPr>
            <w:r>
              <w:rPr>
                <w:noProof/>
              </w:rPr>
              <w:t>L16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972874" w14:textId="77777777" w:rsidR="006578ED" w:rsidRDefault="00A1618E">
            <w:pPr>
              <w:pStyle w:val="P68B1DB1-Normal46"/>
              <w:spacing w:after="0" w:line="240" w:lineRule="auto"/>
              <w:rPr>
                <w:rFonts w:eastAsia="Times New Roman" w:cs="Times New Roman"/>
                <w:noProof/>
              </w:rPr>
            </w:pPr>
            <w:r>
              <w:rPr>
                <w:noProof/>
              </w:rPr>
              <w:t>C6.R3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9F7BB0F" w14:textId="744FFA3C"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FD0353F" w14:textId="77777777" w:rsidR="006578ED" w:rsidRDefault="00A1618E">
            <w:pPr>
              <w:pStyle w:val="P68B1DB1-Normal46"/>
              <w:spacing w:after="0" w:line="240" w:lineRule="auto"/>
              <w:rPr>
                <w:rFonts w:eastAsia="Times New Roman" w:cs="Times New Roman"/>
                <w:noProof/>
              </w:rPr>
            </w:pPr>
            <w:r>
              <w:rPr>
                <w:noProof/>
              </w:rPr>
              <w:t>Obliczanie śladu węglowego przez Dyrekcję Generalną ds. Dróg</w:t>
            </w:r>
          </w:p>
        </w:tc>
      </w:tr>
      <w:tr w:rsidR="006578ED" w14:paraId="655A970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8ABF3F" w14:textId="77777777" w:rsidR="006578ED" w:rsidRDefault="00A1618E">
            <w:pPr>
              <w:pStyle w:val="P68B1DB1-Normal46"/>
              <w:spacing w:after="0" w:line="240" w:lineRule="auto"/>
              <w:jc w:val="center"/>
              <w:rPr>
                <w:rFonts w:eastAsia="Times New Roman" w:cs="Times New Roman"/>
                <w:noProof/>
              </w:rPr>
            </w:pPr>
            <w:r>
              <w:rPr>
                <w:noProof/>
              </w:rPr>
              <w:t>L27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1D79899" w14:textId="77777777" w:rsidR="006578ED" w:rsidRDefault="00A1618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05EEB7" w14:textId="119E9FD0"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9A3A0C0" w14:textId="60610B0C" w:rsidR="006578ED" w:rsidRDefault="00A1618E">
            <w:pPr>
              <w:pStyle w:val="P68B1DB1-Normal46"/>
              <w:spacing w:after="0" w:line="240" w:lineRule="auto"/>
              <w:rPr>
                <w:rFonts w:eastAsia="Times New Roman" w:cs="Times New Roman"/>
                <w:noProof/>
              </w:rPr>
            </w:pPr>
            <w:r>
              <w:rPr>
                <w:noProof/>
              </w:rPr>
              <w:t>Zielona linia ICO – umowy prawne podpisane z beneficjentami końcowymi (w tym funduszami kapitałowymi) (III)</w:t>
            </w:r>
          </w:p>
        </w:tc>
      </w:tr>
      <w:tr w:rsidR="006578ED" w14:paraId="6698D36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F61BB7E" w14:textId="77777777" w:rsidR="006578ED" w:rsidRDefault="00A1618E">
            <w:pPr>
              <w:pStyle w:val="P68B1DB1-Normal46"/>
              <w:spacing w:after="0" w:line="240" w:lineRule="auto"/>
              <w:jc w:val="center"/>
              <w:rPr>
                <w:rFonts w:eastAsia="Times New Roman" w:cs="Times New Roman"/>
                <w:noProof/>
              </w:rPr>
            </w:pPr>
            <w:r>
              <w:rPr>
                <w:noProof/>
              </w:rPr>
              <w:t>L32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362AE95" w14:textId="77777777" w:rsidR="006578ED" w:rsidRDefault="00A1618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BD073DA" w14:textId="178408EE"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6F95759" w14:textId="1B3817E6" w:rsidR="006578ED" w:rsidRDefault="00A1618E">
            <w:pPr>
              <w:pStyle w:val="P68B1DB1-Normal46"/>
              <w:spacing w:after="0" w:line="240" w:lineRule="auto"/>
              <w:rPr>
                <w:rFonts w:eastAsia="Times New Roman" w:cs="Times New Roman"/>
                <w:noProof/>
              </w:rPr>
            </w:pPr>
            <w:r>
              <w:rPr>
                <w:noProof/>
              </w:rPr>
              <w:t>ICO Enterprises and Entrepreneurs Line – umowy prawne podpisane z beneficjentami końcowymi (w tym funduszami kapitałowymi) (II)</w:t>
            </w:r>
          </w:p>
        </w:tc>
      </w:tr>
      <w:tr w:rsidR="006578ED" w14:paraId="6DDD1C7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FF35A6F" w14:textId="77777777" w:rsidR="006578ED" w:rsidRDefault="00A1618E">
            <w:pPr>
              <w:pStyle w:val="P68B1DB1-Normal46"/>
              <w:spacing w:after="0" w:line="240" w:lineRule="auto"/>
              <w:jc w:val="center"/>
              <w:rPr>
                <w:rFonts w:eastAsia="Times New Roman" w:cs="Times New Roman"/>
                <w:noProof/>
              </w:rPr>
            </w:pPr>
            <w:r>
              <w:rPr>
                <w:noProof/>
              </w:rPr>
              <w:t>L37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E10E66" w14:textId="77777777" w:rsidR="006578ED" w:rsidRDefault="00A1618E">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5F209C4" w14:textId="6902D97C"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6D6C35" w14:textId="659CE25E" w:rsidR="006578ED" w:rsidRDefault="00A1618E">
            <w:pPr>
              <w:pStyle w:val="P68B1DB1-Normal46"/>
              <w:spacing w:after="0" w:line="240" w:lineRule="auto"/>
              <w:rPr>
                <w:rFonts w:eastAsia="Times New Roman" w:cs="Times New Roman"/>
                <w:noProof/>
              </w:rPr>
            </w:pPr>
            <w:r>
              <w:rPr>
                <w:noProof/>
              </w:rPr>
              <w:t>Kolejna technologia – umowy prawne podpisane z beneficjentami końcowymi i funduszami kapitałowymi (II)</w:t>
            </w:r>
          </w:p>
        </w:tc>
      </w:tr>
      <w:tr w:rsidR="006578ED" w14:paraId="6BA5F2C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6993088" w14:textId="77777777" w:rsidR="006578ED" w:rsidRDefault="00A1618E">
            <w:pPr>
              <w:pStyle w:val="P68B1DB1-Normal46"/>
              <w:spacing w:after="0" w:line="240" w:lineRule="auto"/>
              <w:jc w:val="center"/>
              <w:rPr>
                <w:rFonts w:eastAsia="Times New Roman" w:cs="Times New Roman"/>
                <w:noProof/>
              </w:rPr>
            </w:pPr>
            <w:r>
              <w:rPr>
                <w:noProof/>
              </w:rPr>
              <w:t>L56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DE7B9A2"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C948BA" w14:textId="241FD82F"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DF7EF59" w14:textId="18B7B5EA" w:rsidR="006578ED" w:rsidRDefault="00A1618E">
            <w:pPr>
              <w:pStyle w:val="P68B1DB1-Normal46"/>
              <w:spacing w:after="0" w:line="240" w:lineRule="auto"/>
              <w:rPr>
                <w:rFonts w:eastAsia="Times New Roman" w:cs="Times New Roman"/>
                <w:noProof/>
              </w:rPr>
            </w:pPr>
            <w:r>
              <w:rPr>
                <w:noProof/>
              </w:rPr>
              <w:t>Regionalny Fundusz na rzecz Odporności – Inne linie: Umowy prawne podpisane z beneficjentami końcowymi (w tym z funduszami kapitałowymi) (III)</w:t>
            </w:r>
          </w:p>
        </w:tc>
      </w:tr>
      <w:tr w:rsidR="006578ED" w14:paraId="581A488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85EFCFA" w14:textId="77777777" w:rsidR="006578ED" w:rsidRDefault="00A1618E">
            <w:pPr>
              <w:pStyle w:val="P68B1DB1-Normal46"/>
              <w:spacing w:after="0" w:line="240" w:lineRule="auto"/>
              <w:jc w:val="center"/>
              <w:rPr>
                <w:rFonts w:eastAsia="Times New Roman" w:cs="Times New Roman"/>
                <w:noProof/>
              </w:rPr>
            </w:pPr>
            <w:r>
              <w:rPr>
                <w:noProof/>
              </w:rPr>
              <w:t>L71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1BF071" w14:textId="77777777" w:rsidR="006578ED" w:rsidRDefault="00A1618E">
            <w:pPr>
              <w:pStyle w:val="P68B1DB1-Normal46"/>
              <w:spacing w:after="0" w:line="240" w:lineRule="auto"/>
              <w:rPr>
                <w:rFonts w:eastAsia="Times New Roman" w:cs="Times New Roman"/>
                <w:noProof/>
              </w:rPr>
            </w:pPr>
            <w:r>
              <w:rPr>
                <w:noProof/>
              </w:rPr>
              <w:t>C22.R6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DE3EEEC" w14:textId="1760E11A"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C51C5B4" w14:textId="699518EA" w:rsidR="006578ED" w:rsidRDefault="00A1618E">
            <w:pPr>
              <w:pStyle w:val="P68B1DB1-Normal46"/>
              <w:spacing w:after="0" w:line="240" w:lineRule="auto"/>
              <w:rPr>
                <w:rFonts w:eastAsia="Times New Roman" w:cs="Times New Roman"/>
                <w:noProof/>
              </w:rPr>
            </w:pPr>
            <w:r>
              <w:rPr>
                <w:noProof/>
              </w:rPr>
              <w:t>Wejście w życie odpowiednich przepisów</w:t>
            </w:r>
          </w:p>
        </w:tc>
      </w:tr>
      <w:tr w:rsidR="006578ED" w14:paraId="46B3603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35C6CF6" w14:textId="77777777" w:rsidR="006578ED" w:rsidRDefault="00A1618E">
            <w:pPr>
              <w:pStyle w:val="P68B1DB1-Normal46"/>
              <w:spacing w:after="0" w:line="240" w:lineRule="auto"/>
              <w:jc w:val="center"/>
              <w:rPr>
                <w:rFonts w:eastAsia="Times New Roman" w:cs="Times New Roman"/>
                <w:noProof/>
              </w:rPr>
            </w:pPr>
            <w:r>
              <w:rPr>
                <w:noProof/>
              </w:rPr>
              <w:t>L75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CCC2A8" w14:textId="77777777" w:rsidR="006578ED" w:rsidRDefault="00A1618E">
            <w:pPr>
              <w:pStyle w:val="P68B1DB1-Normal46"/>
              <w:spacing w:after="0" w:line="240" w:lineRule="auto"/>
              <w:rPr>
                <w:rFonts w:eastAsia="Times New Roman" w:cs="Times New Roman"/>
                <w:noProof/>
              </w:rPr>
            </w:pPr>
            <w:r>
              <w:rPr>
                <w:noProof/>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9545DBB" w14:textId="277C2A54"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49C9956" w14:textId="2EBA0234" w:rsidR="006578ED" w:rsidRDefault="00A1618E">
            <w:pPr>
              <w:pStyle w:val="P68B1DB1-Normal46"/>
              <w:spacing w:after="0" w:line="240" w:lineRule="auto"/>
              <w:rPr>
                <w:rFonts w:eastAsia="Times New Roman" w:cs="Times New Roman"/>
                <w:noProof/>
              </w:rPr>
            </w:pPr>
            <w:r>
              <w:rPr>
                <w:noProof/>
              </w:rPr>
              <w:t>Publikacja nagród za finansowanie cyfryzacji i rozpowszechnianie treści projektów</w:t>
            </w:r>
          </w:p>
        </w:tc>
      </w:tr>
      <w:tr w:rsidR="006578ED" w14:paraId="36B5BF2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F7C68D"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B88D9A1"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11B721" w14:textId="6935CAD0" w:rsidR="006578ED" w:rsidRDefault="00A1618E">
            <w:pPr>
              <w:pStyle w:val="P68B1DB1-Normal45"/>
              <w:spacing w:after="0" w:line="240" w:lineRule="auto"/>
              <w:rPr>
                <w:rFonts w:eastAsia="Times New Roman" w:cs="Times New Roman"/>
                <w:noProof/>
              </w:rPr>
            </w:pPr>
            <w:r>
              <w:rPr>
                <w:noProof/>
              </w:rPr>
              <w:t>Kwota raty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EAB24F5" w14:textId="34AA0A01" w:rsidR="006578ED" w:rsidRDefault="00A1618E">
            <w:pPr>
              <w:pStyle w:val="P68B1DB1-Normal45"/>
              <w:spacing w:after="0" w:line="240" w:lineRule="auto"/>
              <w:rPr>
                <w:rFonts w:eastAsia="Times New Roman" w:cs="Times New Roman"/>
                <w:noProof/>
              </w:rPr>
            </w:pPr>
            <w:r>
              <w:rPr>
                <w:noProof/>
              </w:rPr>
              <w:t xml:space="preserve"> 4 224 003 048 EUR</w:t>
            </w:r>
          </w:p>
        </w:tc>
      </w:tr>
    </w:tbl>
    <w:p w14:paraId="5091427A" w14:textId="77777777" w:rsidR="006578ED" w:rsidRDefault="006578ED">
      <w:pPr>
        <w:spacing w:before="120" w:after="120" w:line="240" w:lineRule="auto"/>
        <w:jc w:val="both"/>
        <w:rPr>
          <w:rFonts w:ascii="Times New Roman" w:eastAsia="Calibri" w:hAnsi="Times New Roman" w:cs="Times New Roman"/>
          <w:noProof/>
          <w:sz w:val="24"/>
        </w:rPr>
      </w:pPr>
    </w:p>
    <w:p w14:paraId="6FB014F7" w14:textId="1733FE95" w:rsidR="006578ED" w:rsidRDefault="00A1618E">
      <w:pPr>
        <w:pStyle w:val="P68B1DB1-Normal4"/>
        <w:numPr>
          <w:ilvl w:val="1"/>
          <w:numId w:val="50"/>
        </w:numPr>
        <w:tabs>
          <w:tab w:val="clear" w:pos="6236"/>
          <w:tab w:val="num" w:pos="850"/>
        </w:tabs>
        <w:spacing w:before="120" w:after="120" w:line="240" w:lineRule="auto"/>
        <w:ind w:left="850"/>
        <w:jc w:val="both"/>
        <w:rPr>
          <w:rFonts w:eastAsia="Calibri" w:cs="Times New Roman"/>
          <w:noProof/>
        </w:rPr>
      </w:pPr>
      <w:r>
        <w:rPr>
          <w:noProof/>
        </w:rPr>
        <w:t xml:space="preserve">Szósta transza (wsparcie pożyczkowe): </w:t>
      </w:r>
    </w:p>
    <w:tbl>
      <w:tblPr>
        <w:tblW w:w="9663" w:type="dxa"/>
        <w:tblInd w:w="113" w:type="dxa"/>
        <w:tblLook w:val="04A0" w:firstRow="1" w:lastRow="0" w:firstColumn="1" w:lastColumn="0" w:noHBand="0" w:noVBand="1"/>
      </w:tblPr>
      <w:tblGrid>
        <w:gridCol w:w="1300"/>
        <w:gridCol w:w="1443"/>
        <w:gridCol w:w="1561"/>
        <w:gridCol w:w="5670"/>
      </w:tblGrid>
      <w:tr w:rsidR="006578ED" w14:paraId="0531B7F7" w14:textId="77777777">
        <w:trPr>
          <w:trHeight w:val="906"/>
          <w:tblHead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51212EFB" w14:textId="77777777" w:rsidR="006578ED" w:rsidRDefault="00A1618E">
            <w:pPr>
              <w:pStyle w:val="P68B1DB1-Normal45"/>
              <w:spacing w:after="0" w:line="240" w:lineRule="auto"/>
              <w:jc w:val="center"/>
              <w:rPr>
                <w:rFonts w:eastAsia="Times New Roman" w:cs="Times New Roman"/>
                <w:noProof/>
              </w:rPr>
            </w:pPr>
            <w:r>
              <w:rPr>
                <w:noProof/>
              </w:rPr>
              <w:t>Numer porządkowy</w:t>
            </w:r>
          </w:p>
        </w:tc>
        <w:tc>
          <w:tcPr>
            <w:tcW w:w="1443"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011438B7" w14:textId="77777777" w:rsidR="006578ED" w:rsidRDefault="00A1618E">
            <w:pPr>
              <w:pStyle w:val="P68B1DB1-Normal45"/>
              <w:spacing w:after="0" w:line="240" w:lineRule="auto"/>
              <w:jc w:val="center"/>
              <w:rPr>
                <w:rFonts w:eastAsia="Times New Roman" w:cs="Times New Roman"/>
                <w:noProof/>
              </w:rPr>
            </w:pPr>
            <w:r>
              <w:rPr>
                <w:noProof/>
              </w:rPr>
              <w:t>Powiązane działanie (reforma lub inwestycja)</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BDD7EE"/>
            <w:vAlign w:val="center"/>
            <w:hideMark/>
          </w:tcPr>
          <w:p w14:paraId="7FD07CAC" w14:textId="77777777" w:rsidR="006578ED" w:rsidRDefault="00A1618E">
            <w:pPr>
              <w:pStyle w:val="P68B1DB1-Normal45"/>
              <w:spacing w:after="0" w:line="240" w:lineRule="auto"/>
              <w:jc w:val="center"/>
              <w:rPr>
                <w:rFonts w:eastAsia="Times New Roman" w:cs="Times New Roman"/>
                <w:noProof/>
              </w:rPr>
            </w:pPr>
            <w:r>
              <w:rPr>
                <w:noProof/>
              </w:rPr>
              <w:t>Kamień milowy/wartość docelowa</w:t>
            </w:r>
          </w:p>
        </w:tc>
        <w:tc>
          <w:tcPr>
            <w:tcW w:w="5670" w:type="dxa"/>
            <w:vMerge w:val="restart"/>
            <w:tcBorders>
              <w:top w:val="single" w:sz="4" w:space="0" w:color="auto"/>
              <w:left w:val="nil"/>
              <w:bottom w:val="single" w:sz="4" w:space="0" w:color="000000"/>
              <w:right w:val="single" w:sz="4" w:space="0" w:color="auto"/>
            </w:tcBorders>
            <w:shd w:val="clear" w:color="auto" w:fill="BDD7EE"/>
            <w:vAlign w:val="center"/>
            <w:hideMark/>
          </w:tcPr>
          <w:p w14:paraId="7C4BDB87" w14:textId="77777777" w:rsidR="006578ED" w:rsidRDefault="00A1618E">
            <w:pPr>
              <w:pStyle w:val="P68B1DB1-Normal45"/>
              <w:spacing w:after="0" w:line="240" w:lineRule="auto"/>
              <w:jc w:val="center"/>
              <w:rPr>
                <w:rFonts w:eastAsia="Times New Roman" w:cs="Times New Roman"/>
                <w:noProof/>
              </w:rPr>
            </w:pPr>
            <w:r>
              <w:rPr>
                <w:noProof/>
              </w:rPr>
              <w:t>Nazwa</w:t>
            </w:r>
          </w:p>
        </w:tc>
      </w:tr>
      <w:tr w:rsidR="006578ED" w14:paraId="37F58787" w14:textId="77777777">
        <w:trPr>
          <w:trHeight w:val="509"/>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F6B4430" w14:textId="77777777" w:rsidR="006578ED" w:rsidRDefault="006578ED">
            <w:pPr>
              <w:spacing w:after="0" w:line="240" w:lineRule="auto"/>
              <w:rPr>
                <w:rFonts w:ascii="Times New Roman" w:eastAsia="Times New Roman" w:hAnsi="Times New Roman" w:cs="Times New Roman"/>
                <w:b/>
                <w:noProof/>
                <w:sz w:val="20"/>
              </w:rPr>
            </w:pPr>
          </w:p>
        </w:tc>
        <w:tc>
          <w:tcPr>
            <w:tcW w:w="1443" w:type="dxa"/>
            <w:vMerge/>
            <w:tcBorders>
              <w:top w:val="single" w:sz="4" w:space="0" w:color="auto"/>
              <w:left w:val="single" w:sz="4" w:space="0" w:color="auto"/>
              <w:bottom w:val="single" w:sz="4" w:space="0" w:color="000000"/>
              <w:right w:val="single" w:sz="4" w:space="0" w:color="auto"/>
            </w:tcBorders>
            <w:vAlign w:val="center"/>
            <w:hideMark/>
          </w:tcPr>
          <w:p w14:paraId="3123CDE4" w14:textId="77777777" w:rsidR="006578ED" w:rsidRDefault="006578ED">
            <w:pPr>
              <w:spacing w:after="0" w:line="240" w:lineRule="auto"/>
              <w:rPr>
                <w:rFonts w:ascii="Times New Roman" w:eastAsia="Times New Roman" w:hAnsi="Times New Roman" w:cs="Times New Roman"/>
                <w:b/>
                <w:noProof/>
                <w:sz w:val="20"/>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14:paraId="459E5F3F" w14:textId="77777777" w:rsidR="006578ED" w:rsidRDefault="006578ED">
            <w:pPr>
              <w:spacing w:after="0" w:line="240" w:lineRule="auto"/>
              <w:rPr>
                <w:rFonts w:ascii="Times New Roman" w:eastAsia="Times New Roman" w:hAnsi="Times New Roman" w:cs="Times New Roman"/>
                <w:b/>
                <w:noProof/>
                <w:sz w:val="20"/>
              </w:rPr>
            </w:pPr>
          </w:p>
        </w:tc>
        <w:tc>
          <w:tcPr>
            <w:tcW w:w="5670" w:type="dxa"/>
            <w:vMerge/>
            <w:tcBorders>
              <w:top w:val="single" w:sz="4" w:space="0" w:color="auto"/>
              <w:left w:val="nil"/>
              <w:bottom w:val="single" w:sz="4" w:space="0" w:color="000000"/>
              <w:right w:val="single" w:sz="4" w:space="0" w:color="auto"/>
            </w:tcBorders>
            <w:vAlign w:val="center"/>
            <w:hideMark/>
          </w:tcPr>
          <w:p w14:paraId="67B8CF4C" w14:textId="77777777" w:rsidR="006578ED" w:rsidRDefault="006578ED">
            <w:pPr>
              <w:spacing w:after="0" w:line="240" w:lineRule="auto"/>
              <w:rPr>
                <w:rFonts w:ascii="Times New Roman" w:eastAsia="Times New Roman" w:hAnsi="Times New Roman" w:cs="Times New Roman"/>
                <w:b/>
                <w:noProof/>
                <w:sz w:val="20"/>
              </w:rPr>
            </w:pPr>
          </w:p>
        </w:tc>
      </w:tr>
      <w:tr w:rsidR="006578ED" w14:paraId="265C02A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15D159D" w14:textId="77777777" w:rsidR="006578ED" w:rsidRDefault="00A1618E">
            <w:pPr>
              <w:pStyle w:val="P68B1DB1-Normal46"/>
              <w:spacing w:after="0" w:line="240" w:lineRule="auto"/>
              <w:jc w:val="center"/>
              <w:rPr>
                <w:rFonts w:eastAsia="Times New Roman" w:cs="Times New Roman"/>
                <w:noProof/>
              </w:rPr>
            </w:pPr>
            <w:r>
              <w:rPr>
                <w:noProof/>
              </w:rPr>
              <w:t>L6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B13247E" w14:textId="77777777" w:rsidR="006578ED" w:rsidRDefault="00A1618E">
            <w:pPr>
              <w:pStyle w:val="P68B1DB1-Normal46"/>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86BC44D" w14:textId="35982B0D"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9567F3D" w14:textId="0583EA93" w:rsidR="006578ED" w:rsidRDefault="00A1618E">
            <w:pPr>
              <w:pStyle w:val="P68B1DB1-Normal46"/>
              <w:spacing w:after="0" w:line="240" w:lineRule="auto"/>
              <w:rPr>
                <w:rFonts w:eastAsia="Times New Roman" w:cs="Times New Roman"/>
                <w:noProof/>
              </w:rPr>
            </w:pPr>
            <w:r>
              <w:rPr>
                <w:noProof/>
              </w:rPr>
              <w:t>Instrument pożyczkowy ICO na rzecz promowania mieszkalnictwa socjalnego: Umowy prawne podpisane z beneficjentami końcowymi (II)</w:t>
            </w:r>
          </w:p>
        </w:tc>
      </w:tr>
      <w:tr w:rsidR="006578ED" w14:paraId="3C7E88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06091B3" w14:textId="77777777" w:rsidR="006578ED" w:rsidRDefault="00A1618E">
            <w:pPr>
              <w:pStyle w:val="P68B1DB1-Normal46"/>
              <w:spacing w:after="0" w:line="240" w:lineRule="auto"/>
              <w:jc w:val="center"/>
              <w:rPr>
                <w:rFonts w:eastAsia="Times New Roman" w:cs="Times New Roman"/>
                <w:noProof/>
              </w:rPr>
            </w:pPr>
            <w:r>
              <w:rPr>
                <w:noProof/>
              </w:rPr>
              <w:t>L7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3C23B00" w14:textId="77777777" w:rsidR="006578ED" w:rsidRDefault="00A1618E">
            <w:pPr>
              <w:pStyle w:val="P68B1DB1-Normal46"/>
              <w:spacing w:after="0" w:line="240" w:lineRule="auto"/>
              <w:rPr>
                <w:rFonts w:eastAsia="Times New Roman" w:cs="Times New Roman"/>
                <w:noProof/>
              </w:rPr>
            </w:pPr>
            <w:r>
              <w:rPr>
                <w:noProof/>
              </w:rPr>
              <w:t>C2.I7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5E209B" w14:textId="3B20E29C"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F15A598" w14:textId="77777777" w:rsidR="006578ED" w:rsidRDefault="00A1618E">
            <w:pPr>
              <w:pStyle w:val="P68B1DB1-Normal46"/>
              <w:spacing w:after="0" w:line="240" w:lineRule="auto"/>
              <w:rPr>
                <w:rFonts w:eastAsia="Times New Roman" w:cs="Times New Roman"/>
                <w:noProof/>
              </w:rPr>
            </w:pPr>
            <w:r>
              <w:rPr>
                <w:noProof/>
              </w:rPr>
              <w:t>Instrument pożyczkowy ICO na rzecz promowania mieszkalnictwa socjalnego: Ministerstwo zakończyło inwestycję</w:t>
            </w:r>
          </w:p>
        </w:tc>
      </w:tr>
      <w:tr w:rsidR="006578ED" w14:paraId="44A942A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D4BEB6A" w14:textId="77777777" w:rsidR="006578ED" w:rsidRDefault="00A1618E">
            <w:pPr>
              <w:pStyle w:val="P68B1DB1-Normal46"/>
              <w:spacing w:after="0" w:line="240" w:lineRule="auto"/>
              <w:jc w:val="center"/>
              <w:rPr>
                <w:rFonts w:eastAsia="Times New Roman" w:cs="Times New Roman"/>
                <w:noProof/>
              </w:rPr>
            </w:pPr>
            <w:r>
              <w:rPr>
                <w:noProof/>
              </w:rPr>
              <w:t>L8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4932F6D" w14:textId="77777777" w:rsidR="006578ED" w:rsidRDefault="00A1618E">
            <w:pPr>
              <w:pStyle w:val="P68B1DB1-Normal46"/>
              <w:spacing w:after="0" w:line="240" w:lineRule="auto"/>
              <w:rPr>
                <w:rFonts w:eastAsia="Times New Roman" w:cs="Times New Roman"/>
                <w:noProof/>
              </w:rPr>
            </w:pPr>
            <w:r>
              <w:rPr>
                <w:noProof/>
              </w:rPr>
              <w:t>C3.R7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8F5458" w14:textId="2AC7694C"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EA39573" w14:textId="627C02AA" w:rsidR="006578ED" w:rsidRDefault="00A1618E">
            <w:pPr>
              <w:pStyle w:val="P68B1DB1-Normal46"/>
              <w:spacing w:after="0" w:line="240" w:lineRule="auto"/>
              <w:rPr>
                <w:rFonts w:eastAsia="Times New Roman" w:cs="Times New Roman"/>
                <w:noProof/>
              </w:rPr>
            </w:pPr>
            <w:r>
              <w:rPr>
                <w:noProof/>
              </w:rPr>
              <w:t>Wejście w życie ustawy o zapobieganiu stratom i marnotrawieniu żywności</w:t>
            </w:r>
          </w:p>
        </w:tc>
      </w:tr>
      <w:tr w:rsidR="006578ED" w14:paraId="77D3A13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C6FE840" w14:textId="77777777" w:rsidR="006578ED" w:rsidRDefault="00A1618E">
            <w:pPr>
              <w:pStyle w:val="P68B1DB1-Normal46"/>
              <w:spacing w:after="0" w:line="240" w:lineRule="auto"/>
              <w:jc w:val="center"/>
              <w:rPr>
                <w:rFonts w:eastAsia="Times New Roman" w:cs="Times New Roman"/>
                <w:noProof/>
              </w:rPr>
            </w:pPr>
            <w:r>
              <w:rPr>
                <w:noProof/>
              </w:rPr>
              <w:t>L11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C2DAD53" w14:textId="77777777" w:rsidR="006578ED" w:rsidRDefault="00A1618E">
            <w:pPr>
              <w:pStyle w:val="P68B1DB1-Normal46"/>
              <w:spacing w:after="0" w:line="240" w:lineRule="auto"/>
              <w:rPr>
                <w:rFonts w:eastAsia="Times New Roman" w:cs="Times New Roman"/>
                <w:noProof/>
              </w:rPr>
            </w:pPr>
            <w:r>
              <w:rPr>
                <w:noProof/>
              </w:rPr>
              <w:t>C3.I12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F5F2D54" w14:textId="579F9A95"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5AEA19" w14:textId="57712798" w:rsidR="006578ED" w:rsidRDefault="00A1618E">
            <w:pPr>
              <w:pStyle w:val="P68B1DB1-Normal46"/>
              <w:spacing w:after="0" w:line="240" w:lineRule="auto"/>
              <w:rPr>
                <w:rFonts w:eastAsia="Times New Roman" w:cs="Times New Roman"/>
                <w:noProof/>
              </w:rPr>
            </w:pPr>
            <w:r>
              <w:rPr>
                <w:noProof/>
              </w:rPr>
              <w:t>Modernizacja zmodernizowanych systemów nawadniania pod względem oszczędności wody i efektywności energetycznej</w:t>
            </w:r>
          </w:p>
        </w:tc>
      </w:tr>
      <w:tr w:rsidR="006578ED" w14:paraId="3296460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CDC968C" w14:textId="77777777" w:rsidR="006578ED" w:rsidRDefault="00A1618E">
            <w:pPr>
              <w:pStyle w:val="P68B1DB1-Normal46"/>
              <w:spacing w:after="0" w:line="240" w:lineRule="auto"/>
              <w:jc w:val="center"/>
              <w:rPr>
                <w:rFonts w:eastAsia="Times New Roman" w:cs="Times New Roman"/>
                <w:noProof/>
              </w:rPr>
            </w:pPr>
            <w:r>
              <w:rPr>
                <w:noProof/>
              </w:rPr>
              <w:t>L13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5882B24" w14:textId="77777777" w:rsidR="006578ED" w:rsidRDefault="00A1618E">
            <w:pPr>
              <w:pStyle w:val="P68B1DB1-Normal46"/>
              <w:spacing w:after="0" w:line="240" w:lineRule="auto"/>
              <w:rPr>
                <w:rFonts w:eastAsia="Times New Roman" w:cs="Times New Roman"/>
                <w:noProof/>
              </w:rPr>
            </w:pPr>
            <w:r>
              <w:rPr>
                <w:noProof/>
              </w:rPr>
              <w:t>C5.I5</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3EBB2FB" w14:textId="58537E43"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43E3C26" w14:textId="77777777" w:rsidR="006578ED" w:rsidRDefault="00A1618E">
            <w:pPr>
              <w:pStyle w:val="P68B1DB1-Normal46"/>
              <w:spacing w:after="0" w:line="240" w:lineRule="auto"/>
              <w:rPr>
                <w:rFonts w:eastAsia="Times New Roman" w:cs="Times New Roman"/>
                <w:noProof/>
              </w:rPr>
            </w:pPr>
            <w:r>
              <w:rPr>
                <w:noProof/>
              </w:rPr>
              <w:t>Ograniczenie wydobycia wód podziemnych</w:t>
            </w:r>
          </w:p>
        </w:tc>
      </w:tr>
      <w:tr w:rsidR="006578ED" w14:paraId="1C31B99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A09A501" w14:textId="77777777" w:rsidR="006578ED" w:rsidRDefault="00A1618E">
            <w:pPr>
              <w:pStyle w:val="P68B1DB1-Normal46"/>
              <w:spacing w:after="0" w:line="240" w:lineRule="auto"/>
              <w:jc w:val="center"/>
              <w:rPr>
                <w:rFonts w:eastAsia="Times New Roman" w:cs="Times New Roman"/>
                <w:noProof/>
              </w:rPr>
            </w:pPr>
            <w:r>
              <w:rPr>
                <w:noProof/>
              </w:rPr>
              <w:t>L14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F0BFA1E" w14:textId="77777777" w:rsidR="006578ED" w:rsidRDefault="00A1618E">
            <w:pPr>
              <w:pStyle w:val="P68B1DB1-Normal46"/>
              <w:spacing w:after="0" w:line="240" w:lineRule="auto"/>
              <w:rPr>
                <w:rFonts w:eastAsia="Times New Roman" w:cs="Times New Roman"/>
                <w:noProof/>
              </w:rPr>
            </w:pPr>
            <w:r>
              <w:rPr>
                <w:noProof/>
              </w:rPr>
              <w:t>C5.I6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873A2C" w14:textId="2E8FCFC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3CF8BC5" w14:textId="74251435" w:rsidR="006578ED" w:rsidRDefault="00A1618E">
            <w:pPr>
              <w:pStyle w:val="P68B1DB1-Normal46"/>
              <w:spacing w:after="0" w:line="240" w:lineRule="auto"/>
              <w:rPr>
                <w:rFonts w:eastAsia="Times New Roman" w:cs="Times New Roman"/>
                <w:noProof/>
              </w:rPr>
            </w:pPr>
            <w:r>
              <w:rPr>
                <w:noProof/>
              </w:rPr>
              <w:t>Działania na rzecz cyfryzacji miejskiego cyklu wodnego i sektora przemysłowego</w:t>
            </w:r>
          </w:p>
        </w:tc>
      </w:tr>
      <w:tr w:rsidR="006578ED" w14:paraId="4D68E83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AAACF4" w14:textId="77777777" w:rsidR="006578ED" w:rsidRDefault="00A1618E">
            <w:pPr>
              <w:pStyle w:val="P68B1DB1-Normal46"/>
              <w:spacing w:after="0" w:line="240" w:lineRule="auto"/>
              <w:jc w:val="center"/>
              <w:rPr>
                <w:rFonts w:eastAsia="Times New Roman" w:cs="Times New Roman"/>
                <w:noProof/>
              </w:rPr>
            </w:pPr>
            <w:r>
              <w:rPr>
                <w:noProof/>
              </w:rPr>
              <w:t>L17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0B9DC37" w14:textId="77777777" w:rsidR="006578ED" w:rsidRDefault="00A1618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420013" w14:textId="533F9D8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009A76D" w14:textId="1BF4FFFC" w:rsidR="006578ED" w:rsidRDefault="00A1618E">
            <w:pPr>
              <w:pStyle w:val="P68B1DB1-Normal46"/>
              <w:spacing w:after="0" w:line="240" w:lineRule="auto"/>
              <w:rPr>
                <w:rFonts w:eastAsia="Times New Roman" w:cs="Times New Roman"/>
                <w:noProof/>
              </w:rPr>
            </w:pPr>
            <w:r>
              <w:rPr>
                <w:noProof/>
              </w:rPr>
              <w:t>Zakończenie projektów mających na celu wzmocnienie zdolności administracji publicznej w zakresie cyberbezpieczeństwa w dziedzinie zapobiegania zagrożeniom cybernetycznym, ich ochrony, wykrywania i reagowania na nie (program cyberbezpieczeństwa)</w:t>
            </w:r>
          </w:p>
        </w:tc>
      </w:tr>
      <w:tr w:rsidR="006578ED" w14:paraId="7978858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A1B490" w14:textId="77777777" w:rsidR="006578ED" w:rsidRDefault="00A1618E">
            <w:pPr>
              <w:pStyle w:val="P68B1DB1-Normal46"/>
              <w:spacing w:after="0" w:line="240" w:lineRule="auto"/>
              <w:jc w:val="center"/>
              <w:rPr>
                <w:rFonts w:eastAsia="Times New Roman" w:cs="Times New Roman"/>
                <w:noProof/>
              </w:rPr>
            </w:pPr>
            <w:r>
              <w:rPr>
                <w:noProof/>
              </w:rPr>
              <w:t>L20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298DAB1" w14:textId="77777777" w:rsidR="006578ED" w:rsidRDefault="00A1618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D0AA518" w14:textId="48E9C134"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C6C8008" w14:textId="35544F22" w:rsidR="006578ED" w:rsidRDefault="00A1618E">
            <w:pPr>
              <w:pStyle w:val="P68B1DB1-Normal46"/>
              <w:spacing w:after="0" w:line="240" w:lineRule="auto"/>
              <w:rPr>
                <w:rFonts w:eastAsia="Times New Roman" w:cs="Times New Roman"/>
                <w:noProof/>
              </w:rPr>
            </w:pPr>
            <w:r>
              <w:rPr>
                <w:noProof/>
              </w:rPr>
              <w:t>Fundusz Bezpieczeństwa i Zwiększania Odporności: Prawne umowy o finansowaniu podpisane z beneficjentami końcowymi (w tym z funduszami kapitałowymi) (II)</w:t>
            </w:r>
          </w:p>
        </w:tc>
      </w:tr>
      <w:tr w:rsidR="006578ED" w14:paraId="62640F3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FA8597A" w14:textId="77777777" w:rsidR="006578ED" w:rsidRDefault="00A1618E">
            <w:pPr>
              <w:pStyle w:val="P68B1DB1-Normal46"/>
              <w:spacing w:after="0" w:line="240" w:lineRule="auto"/>
              <w:jc w:val="center"/>
              <w:rPr>
                <w:rFonts w:eastAsia="Times New Roman" w:cs="Times New Roman"/>
                <w:noProof/>
              </w:rPr>
            </w:pPr>
            <w:r>
              <w:rPr>
                <w:noProof/>
              </w:rPr>
              <w:t>L21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87D5C7D" w14:textId="77777777" w:rsidR="006578ED" w:rsidRDefault="00A1618E">
            <w:pPr>
              <w:pStyle w:val="P68B1DB1-Normal46"/>
              <w:spacing w:after="0" w:line="240" w:lineRule="auto"/>
              <w:rPr>
                <w:rFonts w:eastAsia="Times New Roman" w:cs="Times New Roman"/>
                <w:noProof/>
              </w:rPr>
            </w:pPr>
            <w:r>
              <w:rPr>
                <w:noProof/>
              </w:rPr>
              <w:t>C11.I6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C51DF9C" w14:textId="1A7B409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FC1FFE" w14:textId="31E1D1DB" w:rsidR="006578ED" w:rsidRDefault="00A1618E">
            <w:pPr>
              <w:pStyle w:val="P68B1DB1-Normal46"/>
              <w:spacing w:after="0" w:line="240" w:lineRule="auto"/>
              <w:rPr>
                <w:rFonts w:eastAsia="Times New Roman" w:cs="Times New Roman"/>
                <w:noProof/>
              </w:rPr>
            </w:pPr>
            <w:r>
              <w:rPr>
                <w:noProof/>
              </w:rPr>
              <w:t>Fundusz Bezpieczeństwa i Zwiększania Odporności: Ministerstwo zakończyło inwestycję</w:t>
            </w:r>
          </w:p>
        </w:tc>
      </w:tr>
      <w:tr w:rsidR="006578ED" w14:paraId="348EBD2F"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A896CF" w14:textId="77777777" w:rsidR="006578ED" w:rsidRDefault="00A1618E">
            <w:pPr>
              <w:pStyle w:val="P68B1DB1-Normal46"/>
              <w:spacing w:after="0" w:line="240" w:lineRule="auto"/>
              <w:jc w:val="center"/>
              <w:rPr>
                <w:rFonts w:eastAsia="Times New Roman" w:cs="Times New Roman"/>
                <w:noProof/>
              </w:rPr>
            </w:pPr>
            <w:r>
              <w:rPr>
                <w:noProof/>
              </w:rPr>
              <w:t>L24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E5744" w14:textId="77777777" w:rsidR="006578ED" w:rsidRDefault="00A1618E">
            <w:pPr>
              <w:pStyle w:val="P68B1DB1-Normal46"/>
              <w:spacing w:after="0" w:line="240" w:lineRule="auto"/>
              <w:rPr>
                <w:rFonts w:eastAsia="Times New Roman" w:cs="Times New Roman"/>
                <w:noProof/>
              </w:rPr>
            </w:pPr>
            <w:r>
              <w:rPr>
                <w:noProof/>
              </w:rPr>
              <w:t>C12.I7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C56C443" w14:textId="78E8CF8D"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7B42225" w14:textId="076105E7" w:rsidR="006578ED" w:rsidRDefault="00A1618E">
            <w:pPr>
              <w:pStyle w:val="P68B1DB1-Normal46"/>
              <w:spacing w:after="0" w:line="240" w:lineRule="auto"/>
              <w:rPr>
                <w:rFonts w:eastAsia="Times New Roman" w:cs="Times New Roman"/>
                <w:noProof/>
              </w:rPr>
            </w:pPr>
            <w:r>
              <w:rPr>
                <w:noProof/>
              </w:rPr>
              <w:t>System wsparcia dla strategicznych projektów w łańcuchu wartości samochodów elektrycznych i rolno-spożywczych (pożyczki): Umowy prawne podpisane z beneficjentami końcowymi lub opublikowane uchwały o ostatecznym przyznaniu dotacji</w:t>
            </w:r>
          </w:p>
        </w:tc>
      </w:tr>
      <w:tr w:rsidR="006578ED" w14:paraId="39BC99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2FC8273" w14:textId="77777777" w:rsidR="006578ED" w:rsidRDefault="00A1618E">
            <w:pPr>
              <w:pStyle w:val="P68B1DB1-Normal46"/>
              <w:spacing w:after="0" w:line="240" w:lineRule="auto"/>
              <w:jc w:val="center"/>
              <w:rPr>
                <w:rFonts w:eastAsia="Times New Roman" w:cs="Times New Roman"/>
                <w:noProof/>
              </w:rPr>
            </w:pPr>
            <w:r>
              <w:rPr>
                <w:noProof/>
              </w:rPr>
              <w:t>L28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C254F78" w14:textId="77777777" w:rsidR="006578ED" w:rsidRDefault="00A1618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E667255" w14:textId="0137AEA8"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B3CE227" w14:textId="50078791" w:rsidR="006578ED" w:rsidRDefault="00A1618E">
            <w:pPr>
              <w:pStyle w:val="P68B1DB1-Normal46"/>
              <w:spacing w:after="0" w:line="240" w:lineRule="auto"/>
              <w:rPr>
                <w:rFonts w:eastAsia="Times New Roman" w:cs="Times New Roman"/>
                <w:noProof/>
              </w:rPr>
            </w:pPr>
            <w:r>
              <w:rPr>
                <w:noProof/>
              </w:rPr>
              <w:t>Zielona linia ICO – umowy prawne podpisane z beneficjentami końcowymi (w tym funduszami kapitałowymi) (IV)</w:t>
            </w:r>
          </w:p>
        </w:tc>
      </w:tr>
      <w:tr w:rsidR="006578ED" w14:paraId="2BE35B59"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5131F4" w14:textId="77777777" w:rsidR="006578ED" w:rsidRDefault="00A1618E">
            <w:pPr>
              <w:pStyle w:val="P68B1DB1-Normal46"/>
              <w:spacing w:after="0" w:line="240" w:lineRule="auto"/>
              <w:jc w:val="center"/>
              <w:rPr>
                <w:rFonts w:eastAsia="Times New Roman" w:cs="Times New Roman"/>
                <w:noProof/>
              </w:rPr>
            </w:pPr>
            <w:r>
              <w:rPr>
                <w:noProof/>
              </w:rPr>
              <w:t>L29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CF62C77" w14:textId="77777777" w:rsidR="006578ED" w:rsidRDefault="00A1618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B14AE5D" w14:textId="02B4FAC5"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721D85" w14:textId="77777777" w:rsidR="006578ED" w:rsidRDefault="00A1618E">
            <w:pPr>
              <w:pStyle w:val="P68B1DB1-Normal46"/>
              <w:spacing w:after="0" w:line="240" w:lineRule="auto"/>
              <w:rPr>
                <w:rFonts w:eastAsia="Times New Roman" w:cs="Times New Roman"/>
                <w:noProof/>
              </w:rPr>
            </w:pPr>
            <w:r>
              <w:rPr>
                <w:noProof/>
              </w:rPr>
              <w:t>Zielona linia ICO – Ministerstwo zakończyło inwestycję</w:t>
            </w:r>
          </w:p>
        </w:tc>
      </w:tr>
      <w:tr w:rsidR="006578ED" w14:paraId="35EB025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342B9D" w14:textId="77777777" w:rsidR="006578ED" w:rsidRDefault="00A1618E">
            <w:pPr>
              <w:pStyle w:val="P68B1DB1-Normal46"/>
              <w:spacing w:after="0" w:line="240" w:lineRule="auto"/>
              <w:jc w:val="center"/>
              <w:rPr>
                <w:rFonts w:eastAsia="Times New Roman" w:cs="Times New Roman"/>
                <w:noProof/>
              </w:rPr>
            </w:pPr>
            <w:r>
              <w:rPr>
                <w:noProof/>
              </w:rPr>
              <w:t>L33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87A0E6A" w14:textId="77777777" w:rsidR="006578ED" w:rsidRDefault="00A1618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D87ACF5" w14:textId="715F8B9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9031289" w14:textId="1F726CB8" w:rsidR="006578ED" w:rsidRDefault="00A1618E">
            <w:pPr>
              <w:pStyle w:val="P68B1DB1-Normal46"/>
              <w:spacing w:after="0" w:line="240" w:lineRule="auto"/>
              <w:rPr>
                <w:rFonts w:eastAsia="Times New Roman" w:cs="Times New Roman"/>
                <w:noProof/>
              </w:rPr>
            </w:pPr>
            <w:r>
              <w:rPr>
                <w:noProof/>
              </w:rPr>
              <w:t>ICO Enterprises and Entrepreneurs Line – umowy prawne podpisane z beneficjentami końcowymi (w tym funduszami kapitałowymi) (III)</w:t>
            </w:r>
          </w:p>
        </w:tc>
      </w:tr>
      <w:tr w:rsidR="006578ED" w14:paraId="3DF2B4F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C48A29" w14:textId="77777777" w:rsidR="006578ED" w:rsidRDefault="00A1618E">
            <w:pPr>
              <w:pStyle w:val="P68B1DB1-Normal46"/>
              <w:spacing w:after="0" w:line="240" w:lineRule="auto"/>
              <w:jc w:val="center"/>
              <w:rPr>
                <w:rFonts w:eastAsia="Times New Roman" w:cs="Times New Roman"/>
                <w:noProof/>
              </w:rPr>
            </w:pPr>
            <w:r>
              <w:rPr>
                <w:noProof/>
              </w:rPr>
              <w:t>L34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5F50B3A" w14:textId="77777777" w:rsidR="006578ED" w:rsidRDefault="00A1618E">
            <w:pPr>
              <w:pStyle w:val="P68B1DB1-Normal46"/>
              <w:spacing w:after="0" w:line="240" w:lineRule="auto"/>
              <w:rPr>
                <w:rFonts w:eastAsia="Times New Roman" w:cs="Times New Roman"/>
                <w:noProof/>
              </w:rPr>
            </w:pPr>
            <w:r>
              <w:rPr>
                <w:noProof/>
              </w:rPr>
              <w:t>C13.I6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4BCA316" w14:textId="3A3F02A9"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3C955F0" w14:textId="77777777" w:rsidR="006578ED" w:rsidRDefault="00A1618E">
            <w:pPr>
              <w:pStyle w:val="P68B1DB1-Normal46"/>
              <w:spacing w:after="0" w:line="240" w:lineRule="auto"/>
              <w:rPr>
                <w:rFonts w:eastAsia="Times New Roman" w:cs="Times New Roman"/>
                <w:noProof/>
              </w:rPr>
            </w:pPr>
            <w:r>
              <w:rPr>
                <w:noProof/>
              </w:rPr>
              <w:t>ICO Enterprises and Entrepreneurs Line – Ministerstwo ukończyło inwestycję.</w:t>
            </w:r>
          </w:p>
        </w:tc>
      </w:tr>
      <w:tr w:rsidR="006578ED" w14:paraId="411E1AD6"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14A32C" w14:textId="77777777" w:rsidR="006578ED" w:rsidRDefault="00A1618E">
            <w:pPr>
              <w:pStyle w:val="P68B1DB1-Normal46"/>
              <w:spacing w:after="0" w:line="240" w:lineRule="auto"/>
              <w:jc w:val="center"/>
              <w:rPr>
                <w:rFonts w:eastAsia="Times New Roman" w:cs="Times New Roman"/>
                <w:noProof/>
              </w:rPr>
            </w:pPr>
            <w:r>
              <w:rPr>
                <w:noProof/>
              </w:rPr>
              <w:t>L38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9C4A11B" w14:textId="77777777" w:rsidR="006578ED" w:rsidRDefault="00A1618E">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6565A5" w14:textId="45B3C761"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7F946CE" w14:textId="1AC326F2" w:rsidR="006578ED" w:rsidRDefault="00A1618E">
            <w:pPr>
              <w:pStyle w:val="P68B1DB1-Normal46"/>
              <w:spacing w:after="0" w:line="240" w:lineRule="auto"/>
              <w:rPr>
                <w:rFonts w:eastAsia="Times New Roman" w:cs="Times New Roman"/>
                <w:noProof/>
              </w:rPr>
            </w:pPr>
            <w:r>
              <w:rPr>
                <w:noProof/>
              </w:rPr>
              <w:t>Kolejna technologia – umowy prawne podpisane z beneficjentami końcowymi i funduszami kapitałowymi (II)</w:t>
            </w:r>
          </w:p>
        </w:tc>
      </w:tr>
      <w:tr w:rsidR="006578ED" w14:paraId="522583F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F860F4" w14:textId="77777777" w:rsidR="006578ED" w:rsidRDefault="00A1618E">
            <w:pPr>
              <w:pStyle w:val="P68B1DB1-Normal46"/>
              <w:spacing w:after="0" w:line="240" w:lineRule="auto"/>
              <w:jc w:val="center"/>
              <w:rPr>
                <w:rFonts w:eastAsia="Times New Roman" w:cs="Times New Roman"/>
                <w:noProof/>
              </w:rPr>
            </w:pPr>
            <w:r>
              <w:rPr>
                <w:noProof/>
              </w:rPr>
              <w:t>L39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AC48FB" w14:textId="77777777" w:rsidR="006578ED" w:rsidRDefault="00A1618E">
            <w:pPr>
              <w:pStyle w:val="P68B1DB1-Normal46"/>
              <w:spacing w:after="0" w:line="240" w:lineRule="auto"/>
              <w:rPr>
                <w:rFonts w:eastAsia="Times New Roman" w:cs="Times New Roman"/>
                <w:noProof/>
              </w:rPr>
            </w:pPr>
            <w:r>
              <w:rPr>
                <w:noProof/>
              </w:rPr>
              <w:t>C13.I7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D78A4F2" w14:textId="6049FDD4"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85C90A3" w14:textId="77777777" w:rsidR="006578ED" w:rsidRDefault="00A1618E">
            <w:pPr>
              <w:pStyle w:val="P68B1DB1-Normal46"/>
              <w:spacing w:after="0" w:line="240" w:lineRule="auto"/>
              <w:rPr>
                <w:rFonts w:eastAsia="Times New Roman" w:cs="Times New Roman"/>
                <w:noProof/>
              </w:rPr>
            </w:pPr>
            <w:r>
              <w:rPr>
                <w:noProof/>
              </w:rPr>
              <w:t xml:space="preserve">Kolejna technologia – Ministerstwo zakończyło inwestycje. </w:t>
            </w:r>
          </w:p>
        </w:tc>
      </w:tr>
      <w:tr w:rsidR="006578ED" w14:paraId="20BE6FD3"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443C6BD" w14:textId="77777777" w:rsidR="006578ED" w:rsidRDefault="00A1618E">
            <w:pPr>
              <w:pStyle w:val="P68B1DB1-Normal46"/>
              <w:spacing w:after="0" w:line="240" w:lineRule="auto"/>
              <w:jc w:val="center"/>
              <w:rPr>
                <w:rFonts w:eastAsia="Times New Roman" w:cs="Times New Roman"/>
                <w:noProof/>
              </w:rPr>
            </w:pPr>
            <w:r>
              <w:rPr>
                <w:noProof/>
              </w:rPr>
              <w:t>L42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72C02BF" w14:textId="77777777" w:rsidR="006578ED" w:rsidRDefault="00A1618E">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723B2B" w14:textId="38D254EF"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F54BC08" w14:textId="0CA97EA9" w:rsidR="006578ED" w:rsidRDefault="00A1618E">
            <w:pPr>
              <w:pStyle w:val="P68B1DB1-Normal46"/>
              <w:spacing w:after="0" w:line="240" w:lineRule="auto"/>
              <w:rPr>
                <w:rFonts w:eastAsia="Times New Roman" w:cs="Times New Roman"/>
                <w:noProof/>
              </w:rPr>
            </w:pPr>
            <w:r>
              <w:rPr>
                <w:noProof/>
              </w:rPr>
              <w:t>Foco – umowy prawne podpisane z beneficjentami końcowymi (w tym funduszami kapitałowymi) (II)</w:t>
            </w:r>
          </w:p>
        </w:tc>
      </w:tr>
      <w:tr w:rsidR="006578ED" w14:paraId="693BB86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D4C14D" w14:textId="77777777" w:rsidR="006578ED" w:rsidRDefault="00A1618E">
            <w:pPr>
              <w:pStyle w:val="P68B1DB1-Normal46"/>
              <w:spacing w:after="0" w:line="240" w:lineRule="auto"/>
              <w:jc w:val="center"/>
              <w:rPr>
                <w:rFonts w:eastAsia="Times New Roman" w:cs="Times New Roman"/>
                <w:noProof/>
              </w:rPr>
            </w:pPr>
            <w:r>
              <w:rPr>
                <w:noProof/>
              </w:rPr>
              <w:t>L43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088409" w14:textId="77777777" w:rsidR="006578ED" w:rsidRDefault="00A1618E">
            <w:pPr>
              <w:pStyle w:val="P68B1DB1-Normal46"/>
              <w:spacing w:after="0" w:line="240" w:lineRule="auto"/>
              <w:rPr>
                <w:rFonts w:eastAsia="Times New Roman" w:cs="Times New Roman"/>
                <w:noProof/>
              </w:rPr>
            </w:pPr>
            <w:r>
              <w:rPr>
                <w:noProof/>
              </w:rPr>
              <w:t>C13.I8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EBE17AD" w14:textId="1B4A9E6F"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D9F097C" w14:textId="77777777" w:rsidR="006578ED" w:rsidRDefault="00A1618E">
            <w:pPr>
              <w:pStyle w:val="P68B1DB1-Normal46"/>
              <w:spacing w:after="0" w:line="240" w:lineRule="auto"/>
              <w:rPr>
                <w:rFonts w:eastAsia="Times New Roman" w:cs="Times New Roman"/>
                <w:noProof/>
              </w:rPr>
            </w:pPr>
            <w:r>
              <w:rPr>
                <w:noProof/>
              </w:rPr>
              <w:t>Foco – Ministerstwo zakończyło inwestycję.</w:t>
            </w:r>
          </w:p>
        </w:tc>
      </w:tr>
      <w:tr w:rsidR="006578ED" w14:paraId="00FDE08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31D5561" w14:textId="77777777" w:rsidR="006578ED" w:rsidRDefault="00A1618E">
            <w:pPr>
              <w:pStyle w:val="P68B1DB1-Normal46"/>
              <w:spacing w:after="0" w:line="240" w:lineRule="auto"/>
              <w:jc w:val="center"/>
              <w:rPr>
                <w:rFonts w:eastAsia="Times New Roman" w:cs="Times New Roman"/>
                <w:noProof/>
              </w:rPr>
            </w:pPr>
            <w:r>
              <w:rPr>
                <w:noProof/>
              </w:rPr>
              <w:t>L46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761328C" w14:textId="77777777" w:rsidR="006578ED" w:rsidRDefault="00A1618E">
            <w:pPr>
              <w:pStyle w:val="P68B1DB1-Normal46"/>
              <w:spacing w:after="0" w:line="240" w:lineRule="auto"/>
              <w:rPr>
                <w:rFonts w:eastAsia="Times New Roman" w:cs="Times New Roman"/>
                <w:noProof/>
              </w:rPr>
            </w:pPr>
            <w:r>
              <w:rPr>
                <w:noProof/>
              </w:rPr>
              <w:t>C13.I11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6DCE333" w14:textId="17CB791B"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304FA29" w14:textId="77777777" w:rsidR="006578ED" w:rsidRDefault="00A1618E">
            <w:pPr>
              <w:pStyle w:val="P68B1DB1-Normal46"/>
              <w:spacing w:after="0" w:line="240" w:lineRule="auto"/>
              <w:rPr>
                <w:rFonts w:eastAsia="Times New Roman" w:cs="Times New Roman"/>
                <w:noProof/>
              </w:rPr>
            </w:pPr>
            <w:r>
              <w:rPr>
                <w:noProof/>
              </w:rPr>
              <w:t>CERSA</w:t>
            </w:r>
          </w:p>
        </w:tc>
      </w:tr>
      <w:tr w:rsidR="006578ED" w14:paraId="14EB567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69C12AF" w14:textId="77777777" w:rsidR="006578ED" w:rsidRDefault="00A1618E">
            <w:pPr>
              <w:pStyle w:val="P68B1DB1-Normal46"/>
              <w:spacing w:after="0" w:line="240" w:lineRule="auto"/>
              <w:jc w:val="center"/>
              <w:rPr>
                <w:rFonts w:eastAsia="Times New Roman" w:cs="Times New Roman"/>
                <w:noProof/>
              </w:rPr>
            </w:pPr>
            <w:r>
              <w:rPr>
                <w:noProof/>
              </w:rPr>
              <w:t>L49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C85836A" w14:textId="77777777" w:rsidR="006578ED" w:rsidRDefault="00A1618E">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90F558F" w14:textId="5EFAEDB6"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C521B3B" w14:textId="028680A4" w:rsidR="006578ED" w:rsidRDefault="00A1618E">
            <w:pPr>
              <w:pStyle w:val="P68B1DB1-Normal46"/>
              <w:spacing w:after="0" w:line="240" w:lineRule="auto"/>
              <w:rPr>
                <w:rFonts w:eastAsia="Times New Roman" w:cs="Times New Roman"/>
                <w:noProof/>
              </w:rPr>
            </w:pPr>
            <w:r>
              <w:rPr>
                <w:noProof/>
              </w:rPr>
              <w:t>Fundusz na rzecz przedsiębiorczości i MŚP ENISA – umowy prawne podpisane z beneficjentami końcowymi</w:t>
            </w:r>
          </w:p>
        </w:tc>
      </w:tr>
      <w:tr w:rsidR="006578ED" w14:paraId="5443480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360D744" w14:textId="77777777" w:rsidR="006578ED" w:rsidRDefault="00A1618E">
            <w:pPr>
              <w:pStyle w:val="P68B1DB1-Normal46"/>
              <w:spacing w:after="0" w:line="240" w:lineRule="auto"/>
              <w:jc w:val="center"/>
              <w:rPr>
                <w:rFonts w:eastAsia="Times New Roman" w:cs="Times New Roman"/>
                <w:noProof/>
              </w:rPr>
            </w:pPr>
            <w:r>
              <w:rPr>
                <w:noProof/>
              </w:rPr>
              <w:t>L50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52F22D8" w14:textId="77777777" w:rsidR="006578ED" w:rsidRDefault="00A1618E">
            <w:pPr>
              <w:pStyle w:val="P68B1DB1-Normal46"/>
              <w:spacing w:after="0" w:line="240" w:lineRule="auto"/>
              <w:rPr>
                <w:rFonts w:eastAsia="Times New Roman" w:cs="Times New Roman"/>
                <w:noProof/>
              </w:rPr>
            </w:pPr>
            <w:r>
              <w:rPr>
                <w:noProof/>
              </w:rPr>
              <w:t>C13.I12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C589BD4" w14:textId="1B357A81"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5EC1F2" w14:textId="77777777" w:rsidR="006578ED" w:rsidRDefault="00A1618E">
            <w:pPr>
              <w:pStyle w:val="P68B1DB1-Normal46"/>
              <w:spacing w:after="0" w:line="240" w:lineRule="auto"/>
              <w:rPr>
                <w:rFonts w:eastAsia="Times New Roman" w:cs="Times New Roman"/>
                <w:noProof/>
              </w:rPr>
            </w:pPr>
            <w:r>
              <w:rPr>
                <w:noProof/>
              </w:rPr>
              <w:t xml:space="preserve">Fundusz na rzecz Przedsiębiorczości i MŚP ENISA – Ministerstwo ukończyło inwestycje. </w:t>
            </w:r>
          </w:p>
        </w:tc>
      </w:tr>
      <w:tr w:rsidR="006578ED" w14:paraId="3DA437F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42E98E5" w14:textId="77777777" w:rsidR="006578ED" w:rsidRDefault="00A1618E">
            <w:pPr>
              <w:pStyle w:val="P68B1DB1-Normal46"/>
              <w:spacing w:after="0" w:line="240" w:lineRule="auto"/>
              <w:jc w:val="center"/>
              <w:rPr>
                <w:rFonts w:eastAsia="Times New Roman" w:cs="Times New Roman"/>
                <w:noProof/>
              </w:rPr>
            </w:pPr>
            <w:r>
              <w:rPr>
                <w:noProof/>
              </w:rPr>
              <w:t>L52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AAC620E"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423A9D42" w14:textId="4F6ACB11"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DAFD5A6" w14:textId="32243317" w:rsidR="006578ED" w:rsidRDefault="00A1618E">
            <w:pPr>
              <w:pStyle w:val="P68B1DB1-Normal46"/>
              <w:spacing w:after="0" w:line="240" w:lineRule="auto"/>
              <w:rPr>
                <w:rFonts w:eastAsia="Times New Roman" w:cs="Times New Roman"/>
                <w:noProof/>
              </w:rPr>
            </w:pPr>
            <w:r>
              <w:rPr>
                <w:noProof/>
              </w:rPr>
              <w:t>Fundusz odporności regionalnej – InvestEU: Operacje z zakresu finansowania lub inwestycji o wartości co najmniej 500 mln EUR przydzielone na instrument zatwierdzony przez Komitet Inwestycyjny InvestEU.</w:t>
            </w:r>
          </w:p>
        </w:tc>
      </w:tr>
      <w:tr w:rsidR="006578ED" w14:paraId="2C28E13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004DA52" w14:textId="77777777" w:rsidR="006578ED" w:rsidRDefault="00A1618E">
            <w:pPr>
              <w:pStyle w:val="P68B1DB1-Normal46"/>
              <w:spacing w:after="0" w:line="240" w:lineRule="auto"/>
              <w:jc w:val="center"/>
              <w:rPr>
                <w:rFonts w:eastAsia="Times New Roman" w:cs="Times New Roman"/>
                <w:noProof/>
              </w:rPr>
            </w:pPr>
            <w:r>
              <w:rPr>
                <w:noProof/>
              </w:rPr>
              <w:t>L57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5386DD5"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0DA4963" w14:textId="30B610F0"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3E3FF7" w14:textId="1A3E97A9" w:rsidR="006578ED" w:rsidRDefault="00A1618E">
            <w:pPr>
              <w:pStyle w:val="P68B1DB1-Normal46"/>
              <w:spacing w:after="0" w:line="240" w:lineRule="auto"/>
              <w:rPr>
                <w:rFonts w:eastAsia="Times New Roman" w:cs="Times New Roman"/>
                <w:noProof/>
              </w:rPr>
            </w:pPr>
            <w:r>
              <w:rPr>
                <w:noProof/>
              </w:rPr>
              <w:t>Regionalny Fundusz na rzecz Odporności – Inne linie: Umowy prawne podpisane z beneficjentami końcowymi (w tym z funduszami kapitałowymi) (IV)</w:t>
            </w:r>
          </w:p>
        </w:tc>
      </w:tr>
      <w:tr w:rsidR="006578ED" w14:paraId="6FE76760"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755BA53" w14:textId="77777777" w:rsidR="006578ED" w:rsidRDefault="00A1618E">
            <w:pPr>
              <w:pStyle w:val="P68B1DB1-Normal46"/>
              <w:spacing w:after="0" w:line="240" w:lineRule="auto"/>
              <w:jc w:val="center"/>
              <w:rPr>
                <w:rFonts w:eastAsia="Times New Roman" w:cs="Times New Roman"/>
                <w:noProof/>
              </w:rPr>
            </w:pPr>
            <w:r>
              <w:rPr>
                <w:noProof/>
              </w:rPr>
              <w:t>L60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ED9E1D5"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7B9A6DC" w14:textId="15184BFD"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4310C6" w14:textId="6D75C491" w:rsidR="006578ED" w:rsidRDefault="00A1618E">
            <w:pPr>
              <w:pStyle w:val="P68B1DB1-Normal46"/>
              <w:spacing w:after="0" w:line="240" w:lineRule="auto"/>
              <w:rPr>
                <w:rFonts w:eastAsia="Times New Roman" w:cs="Times New Roman"/>
                <w:noProof/>
              </w:rPr>
            </w:pPr>
            <w:r>
              <w:rPr>
                <w:noProof/>
              </w:rPr>
              <w:t>Regionalny Fundusz na rzecz Zwiększania Odporności – wkład w działania na rzecz klimatu</w:t>
            </w:r>
          </w:p>
        </w:tc>
      </w:tr>
      <w:tr w:rsidR="006578ED" w14:paraId="2394C39A"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B75B9D9" w14:textId="77777777" w:rsidR="006578ED" w:rsidRDefault="00A1618E">
            <w:pPr>
              <w:pStyle w:val="P68B1DB1-Normal46"/>
              <w:spacing w:after="0" w:line="240" w:lineRule="auto"/>
              <w:jc w:val="center"/>
              <w:rPr>
                <w:rFonts w:eastAsia="Times New Roman" w:cs="Times New Roman"/>
                <w:noProof/>
              </w:rPr>
            </w:pPr>
            <w:r>
              <w:rPr>
                <w:noProof/>
              </w:rPr>
              <w:t>L61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E6789EF"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5234FF8" w14:textId="73C01953"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26BFB523" w14:textId="0A2DFBFB" w:rsidR="006578ED" w:rsidRDefault="00A1618E">
            <w:pPr>
              <w:pStyle w:val="P68B1DB1-Normal46"/>
              <w:spacing w:after="0" w:line="240" w:lineRule="auto"/>
              <w:rPr>
                <w:rFonts w:eastAsia="Times New Roman" w:cs="Times New Roman"/>
                <w:noProof/>
              </w:rPr>
            </w:pPr>
            <w:r>
              <w:rPr>
                <w:noProof/>
              </w:rPr>
              <w:t>Fundusz odporności regionalnej – bezpośrednia linia publiczna: Zakończenie projektów przez podmioty publiczne</w:t>
            </w:r>
          </w:p>
        </w:tc>
      </w:tr>
      <w:tr w:rsidR="006578ED" w14:paraId="2D6711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D20B427" w14:textId="77777777" w:rsidR="006578ED" w:rsidRDefault="00A1618E">
            <w:pPr>
              <w:pStyle w:val="P68B1DB1-Normal46"/>
              <w:spacing w:after="0" w:line="240" w:lineRule="auto"/>
              <w:jc w:val="center"/>
              <w:rPr>
                <w:rFonts w:eastAsia="Times New Roman" w:cs="Times New Roman"/>
                <w:noProof/>
              </w:rPr>
            </w:pPr>
            <w:r>
              <w:rPr>
                <w:noProof/>
              </w:rPr>
              <w:t>L62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AAC0168" w14:textId="77777777" w:rsidR="006578ED" w:rsidRDefault="00A1618E">
            <w:pPr>
              <w:pStyle w:val="P68B1DB1-Normal46"/>
              <w:spacing w:after="0" w:line="240" w:lineRule="auto"/>
              <w:rPr>
                <w:rFonts w:eastAsia="Times New Roman" w:cs="Times New Roman"/>
                <w:noProof/>
              </w:rPr>
            </w:pPr>
            <w:r>
              <w:rPr>
                <w:noProof/>
              </w:rPr>
              <w:t>C13.I13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3BE9FF8" w14:textId="139D18B1"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30B8E83" w14:textId="18A5E883" w:rsidR="006578ED" w:rsidRDefault="00A1618E">
            <w:pPr>
              <w:pStyle w:val="P68B1DB1-Normal46"/>
              <w:spacing w:after="0" w:line="240" w:lineRule="auto"/>
              <w:rPr>
                <w:rFonts w:eastAsia="Times New Roman" w:cs="Times New Roman"/>
                <w:noProof/>
              </w:rPr>
            </w:pPr>
            <w:r>
              <w:rPr>
                <w:noProof/>
              </w:rPr>
              <w:t>Regionalny Fundusz na rzecz Odporności – Ministerstwo Gospodarki i Transformacji Cyfrowej zakończyło inwestycję</w:t>
            </w:r>
          </w:p>
        </w:tc>
      </w:tr>
      <w:tr w:rsidR="006578ED" w14:paraId="0FBD71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625B9DB" w14:textId="77777777" w:rsidR="006578ED" w:rsidRDefault="00A1618E">
            <w:pPr>
              <w:pStyle w:val="P68B1DB1-Normal46"/>
              <w:spacing w:after="0" w:line="240" w:lineRule="auto"/>
              <w:jc w:val="center"/>
              <w:rPr>
                <w:rFonts w:eastAsia="Times New Roman" w:cs="Times New Roman"/>
                <w:noProof/>
              </w:rPr>
            </w:pPr>
            <w:r>
              <w:rPr>
                <w:noProof/>
              </w:rPr>
              <w:t>L65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57ED96" w14:textId="77777777" w:rsidR="006578ED" w:rsidRDefault="00A1618E">
            <w:pPr>
              <w:pStyle w:val="P68B1DB1-Normal46"/>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84263F7" w14:textId="0005955C"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0601D7B8" w14:textId="615774E5" w:rsidR="006578ED" w:rsidRDefault="00A1618E">
            <w:pPr>
              <w:pStyle w:val="P68B1DB1-Normal46"/>
              <w:spacing w:after="0" w:line="240" w:lineRule="auto"/>
              <w:rPr>
                <w:rFonts w:eastAsia="Times New Roman" w:cs="Times New Roman"/>
                <w:noProof/>
              </w:rPr>
            </w:pPr>
            <w:r>
              <w:rPr>
                <w:noProof/>
              </w:rPr>
              <w:t>Mechanizm finansowania czipów: Umowy prawne podpisane z beneficjentami końcowymi (II)</w:t>
            </w:r>
          </w:p>
        </w:tc>
      </w:tr>
      <w:tr w:rsidR="006578ED" w14:paraId="1488A4A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1AF9CE9" w14:textId="77777777" w:rsidR="006578ED" w:rsidRDefault="00A1618E">
            <w:pPr>
              <w:pStyle w:val="P68B1DB1-Normal46"/>
              <w:spacing w:after="0" w:line="240" w:lineRule="auto"/>
              <w:jc w:val="center"/>
              <w:rPr>
                <w:rFonts w:eastAsia="Times New Roman" w:cs="Times New Roman"/>
                <w:noProof/>
              </w:rPr>
            </w:pPr>
            <w:r>
              <w:rPr>
                <w:noProof/>
              </w:rPr>
              <w:t>L66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9239AF7" w14:textId="77777777" w:rsidR="006578ED" w:rsidRDefault="00A1618E">
            <w:pPr>
              <w:pStyle w:val="P68B1DB1-Normal46"/>
              <w:spacing w:after="0" w:line="240" w:lineRule="auto"/>
              <w:rPr>
                <w:rFonts w:eastAsia="Times New Roman" w:cs="Times New Roman"/>
                <w:noProof/>
              </w:rPr>
            </w:pPr>
            <w:r>
              <w:rPr>
                <w:noProof/>
              </w:rPr>
              <w:t>C15.I9</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5FCED8A" w14:textId="13189AAB"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331B20E" w14:textId="77777777" w:rsidR="006578ED" w:rsidRDefault="00A1618E">
            <w:pPr>
              <w:pStyle w:val="P68B1DB1-Normal46"/>
              <w:spacing w:after="0" w:line="240" w:lineRule="auto"/>
              <w:rPr>
                <w:rFonts w:eastAsia="Times New Roman" w:cs="Times New Roman"/>
                <w:noProof/>
              </w:rPr>
            </w:pPr>
            <w:r>
              <w:rPr>
                <w:noProof/>
              </w:rPr>
              <w:t xml:space="preserve">Mechanizm finansowania czipów: Ministerstwo zakończyło inwestycję. </w:t>
            </w:r>
          </w:p>
        </w:tc>
      </w:tr>
      <w:tr w:rsidR="006578ED" w14:paraId="2A4E33C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59211473" w14:textId="77777777" w:rsidR="006578ED" w:rsidRDefault="00A1618E">
            <w:pPr>
              <w:pStyle w:val="P68B1DB1-Normal46"/>
              <w:spacing w:after="0" w:line="240" w:lineRule="auto"/>
              <w:jc w:val="center"/>
              <w:rPr>
                <w:rFonts w:eastAsia="Times New Roman" w:cs="Times New Roman"/>
                <w:noProof/>
              </w:rPr>
            </w:pPr>
            <w:r>
              <w:rPr>
                <w:noProof/>
              </w:rPr>
              <w:t>L67</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1A56B1" w14:textId="77777777" w:rsidR="006578ED" w:rsidRDefault="00A1618E">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E7CB91D" w14:textId="56A69358"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51D66E31" w14:textId="28C36B78" w:rsidR="006578ED" w:rsidRDefault="00A1618E">
            <w:pPr>
              <w:pStyle w:val="P68B1DB1-Normal46"/>
              <w:spacing w:after="0" w:line="240" w:lineRule="auto"/>
              <w:rPr>
                <w:rFonts w:eastAsia="Times New Roman" w:cs="Times New Roman"/>
                <w:noProof/>
              </w:rPr>
            </w:pPr>
            <w:r>
              <w:rPr>
                <w:noProof/>
              </w:rPr>
              <w:t>Inwestycje w wsparcie kapitałowe w sektorze opieki zdrowotnej</w:t>
            </w:r>
          </w:p>
        </w:tc>
      </w:tr>
      <w:tr w:rsidR="006578ED" w14:paraId="53016EAD"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5253B4D" w14:textId="77777777" w:rsidR="006578ED" w:rsidRDefault="00A1618E">
            <w:pPr>
              <w:pStyle w:val="P68B1DB1-Normal46"/>
              <w:spacing w:after="0" w:line="240" w:lineRule="auto"/>
              <w:jc w:val="center"/>
              <w:rPr>
                <w:rFonts w:eastAsia="Times New Roman" w:cs="Times New Roman"/>
                <w:noProof/>
              </w:rPr>
            </w:pPr>
            <w:r>
              <w:rPr>
                <w:noProof/>
              </w:rPr>
              <w:t>L69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5060C2ED" w14:textId="77777777" w:rsidR="006578ED" w:rsidRDefault="00A1618E">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B22E2A7" w14:textId="0A247195"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45DF15D" w14:textId="5F8164B9" w:rsidR="006578ED" w:rsidRDefault="00A1618E">
            <w:pPr>
              <w:pStyle w:val="P68B1DB1-Normal46"/>
              <w:spacing w:after="0" w:line="240" w:lineRule="auto"/>
              <w:rPr>
                <w:rFonts w:eastAsia="Times New Roman" w:cs="Times New Roman"/>
                <w:noProof/>
              </w:rPr>
            </w:pPr>
            <w:r>
              <w:rPr>
                <w:noProof/>
              </w:rPr>
              <w:t>Wypłata środków w formie pożyczek na wsparcie sektora zdrowia oraz sektora lotniczego i kosmicznego</w:t>
            </w:r>
          </w:p>
        </w:tc>
      </w:tr>
      <w:tr w:rsidR="006578ED" w14:paraId="56BD5FE1"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8FFC048" w14:textId="77777777" w:rsidR="006578ED" w:rsidRDefault="00A1618E">
            <w:pPr>
              <w:pStyle w:val="P68B1DB1-Normal46"/>
              <w:spacing w:after="0" w:line="240" w:lineRule="auto"/>
              <w:jc w:val="center"/>
              <w:rPr>
                <w:rFonts w:eastAsia="Times New Roman" w:cs="Times New Roman"/>
                <w:noProof/>
              </w:rPr>
            </w:pPr>
            <w:r>
              <w:rPr>
                <w:noProof/>
              </w:rPr>
              <w:t>L70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6807768" w14:textId="77777777" w:rsidR="006578ED" w:rsidRDefault="00A1618E">
            <w:pPr>
              <w:pStyle w:val="P68B1DB1-Normal46"/>
              <w:spacing w:after="0" w:line="240" w:lineRule="auto"/>
              <w:rPr>
                <w:rFonts w:eastAsia="Times New Roman" w:cs="Times New Roman"/>
                <w:noProof/>
              </w:rPr>
            </w:pPr>
            <w:r>
              <w:rPr>
                <w:noProof/>
              </w:rPr>
              <w:t>C17.I10</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9717DF7" w14:textId="510B51A8"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1FA3483" w14:textId="2A0E0D35" w:rsidR="006578ED" w:rsidRDefault="00A1618E">
            <w:pPr>
              <w:pStyle w:val="P68B1DB1-Normal46"/>
              <w:spacing w:after="0" w:line="240" w:lineRule="auto"/>
              <w:rPr>
                <w:rFonts w:eastAsia="Times New Roman" w:cs="Times New Roman"/>
                <w:noProof/>
              </w:rPr>
            </w:pPr>
            <w:r>
              <w:rPr>
                <w:noProof/>
              </w:rPr>
              <w:t>Zwiększenie zdolności krajowego systemu opieki zdrowotnej w zakresie badań i rozwoju.</w:t>
            </w:r>
          </w:p>
        </w:tc>
      </w:tr>
      <w:tr w:rsidR="006578ED" w14:paraId="39EBA748"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3A140FDC" w14:textId="77777777" w:rsidR="006578ED" w:rsidRDefault="00A1618E">
            <w:pPr>
              <w:pStyle w:val="P68B1DB1-Normal46"/>
              <w:spacing w:after="0" w:line="240" w:lineRule="auto"/>
              <w:jc w:val="center"/>
              <w:rPr>
                <w:rFonts w:eastAsia="Times New Roman" w:cs="Times New Roman"/>
                <w:noProof/>
              </w:rPr>
            </w:pPr>
            <w:r>
              <w:rPr>
                <w:noProof/>
              </w:rPr>
              <w:t>L73</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2EB12B96" w14:textId="77777777" w:rsidR="006578ED" w:rsidRDefault="00A1618E">
            <w:pPr>
              <w:pStyle w:val="P68B1DB1-Normal46"/>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DE1E9F7" w14:textId="30EFD852"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ED985B8" w14:textId="53DA11DE" w:rsidR="006578ED" w:rsidRDefault="00A1618E">
            <w:pPr>
              <w:pStyle w:val="P68B1DB1-Normal46"/>
              <w:spacing w:after="0" w:line="240" w:lineRule="auto"/>
              <w:rPr>
                <w:rFonts w:eastAsia="Times New Roman" w:cs="Times New Roman"/>
                <w:noProof/>
              </w:rPr>
            </w:pPr>
            <w:r>
              <w:rPr>
                <w:noProof/>
              </w:rPr>
              <w:t>Fundusz Skutków Społecznych: Prawne umowy o finansowaniu podpisane z beneficjentami końcowymi (w tym z funduszami kapitałowymi)</w:t>
            </w:r>
          </w:p>
        </w:tc>
      </w:tr>
      <w:tr w:rsidR="006578ED" w14:paraId="686BCED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07D3AEB" w14:textId="77777777" w:rsidR="006578ED" w:rsidRDefault="00A1618E">
            <w:pPr>
              <w:pStyle w:val="P68B1DB1-Normal46"/>
              <w:spacing w:after="0" w:line="240" w:lineRule="auto"/>
              <w:jc w:val="center"/>
              <w:rPr>
                <w:rFonts w:eastAsia="Times New Roman" w:cs="Times New Roman"/>
                <w:noProof/>
              </w:rPr>
            </w:pPr>
            <w:r>
              <w:rPr>
                <w:noProof/>
              </w:rPr>
              <w:t>L74</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7F4A00F7" w14:textId="77777777" w:rsidR="006578ED" w:rsidRDefault="00A1618E">
            <w:pPr>
              <w:pStyle w:val="P68B1DB1-Normal46"/>
              <w:spacing w:after="0" w:line="240" w:lineRule="auto"/>
              <w:rPr>
                <w:rFonts w:eastAsia="Times New Roman" w:cs="Times New Roman"/>
                <w:noProof/>
              </w:rPr>
            </w:pPr>
            <w:r>
              <w:rPr>
                <w:noProof/>
              </w:rPr>
              <w:t>C22.I6</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5513FB64" w14:textId="36A6ED48"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AA00850" w14:textId="77777777" w:rsidR="006578ED" w:rsidRDefault="00A1618E">
            <w:pPr>
              <w:pStyle w:val="P68B1DB1-Normal46"/>
              <w:spacing w:after="0" w:line="240" w:lineRule="auto"/>
              <w:rPr>
                <w:rFonts w:eastAsia="Times New Roman" w:cs="Times New Roman"/>
                <w:noProof/>
              </w:rPr>
            </w:pPr>
            <w:r>
              <w:rPr>
                <w:noProof/>
              </w:rPr>
              <w:t>Fundusz Skutków Społecznych: Ministerstwo zakończyło inwestycję</w:t>
            </w:r>
          </w:p>
        </w:tc>
      </w:tr>
      <w:tr w:rsidR="006578ED" w14:paraId="4E64FFEE"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0AEBBA0C" w14:textId="77777777" w:rsidR="006578ED" w:rsidRDefault="00A1618E">
            <w:pPr>
              <w:pStyle w:val="P68B1DB1-Normal46"/>
              <w:spacing w:after="0" w:line="240" w:lineRule="auto"/>
              <w:jc w:val="center"/>
              <w:rPr>
                <w:rFonts w:eastAsia="Times New Roman" w:cs="Times New Roman"/>
                <w:noProof/>
              </w:rPr>
            </w:pPr>
            <w:r>
              <w:rPr>
                <w:noProof/>
              </w:rPr>
              <w:t>L76</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04D15F6" w14:textId="77777777" w:rsidR="006578ED" w:rsidRDefault="00A1618E">
            <w:pPr>
              <w:pStyle w:val="P68B1DB1-Normal46"/>
              <w:spacing w:after="0" w:line="240" w:lineRule="auto"/>
              <w:rPr>
                <w:rFonts w:eastAsia="Times New Roman" w:cs="Times New Roman"/>
                <w:noProof/>
              </w:rPr>
            </w:pPr>
            <w:r>
              <w:rPr>
                <w:noProof/>
              </w:rPr>
              <w:t>C25.I2</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7850294C" w14:textId="0B7A2F47"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64D4BE2" w14:textId="707EAAA0" w:rsidR="006578ED" w:rsidRDefault="00A1618E">
            <w:pPr>
              <w:pStyle w:val="P68B1DB1-Normal46"/>
              <w:spacing w:after="0" w:line="240" w:lineRule="auto"/>
              <w:rPr>
                <w:rFonts w:eastAsia="Times New Roman" w:cs="Times New Roman"/>
                <w:noProof/>
              </w:rPr>
            </w:pPr>
            <w:r>
              <w:rPr>
                <w:noProof/>
              </w:rPr>
              <w:t>Realizacja projektów mających na celu cyfryzację i rozpowszechnianie treści</w:t>
            </w:r>
          </w:p>
        </w:tc>
      </w:tr>
      <w:tr w:rsidR="006578ED" w14:paraId="0EEAEAE5"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13BB3DB5" w14:textId="77777777" w:rsidR="006578ED" w:rsidRDefault="00A1618E">
            <w:pPr>
              <w:pStyle w:val="P68B1DB1-Normal46"/>
              <w:spacing w:after="0" w:line="240" w:lineRule="auto"/>
              <w:jc w:val="center"/>
              <w:rPr>
                <w:rFonts w:eastAsia="Times New Roman" w:cs="Times New Roman"/>
                <w:noProof/>
              </w:rPr>
            </w:pPr>
            <w:r>
              <w:rPr>
                <w:noProof/>
              </w:rPr>
              <w:t>L79</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113AFFFB" w14:textId="77777777" w:rsidR="006578ED" w:rsidRDefault="00A1618E">
            <w:pPr>
              <w:pStyle w:val="P68B1DB1-Normal46"/>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F7AEEA4" w14:textId="18CD6B4E"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A21D4BB" w14:textId="29A7D513" w:rsidR="006578ED" w:rsidRDefault="00A1618E">
            <w:pPr>
              <w:pStyle w:val="P68B1DB1-Normal46"/>
              <w:spacing w:after="0" w:line="240" w:lineRule="auto"/>
              <w:rPr>
                <w:rFonts w:eastAsia="Times New Roman" w:cs="Times New Roman"/>
                <w:noProof/>
              </w:rPr>
            </w:pPr>
            <w:r>
              <w:rPr>
                <w:noProof/>
              </w:rPr>
              <w:t>Fundusz Centrum Audiowizualnego ICO: Prawne umowy o finansowaniu podpisane z beneficjentami końcowymi (w tym z funduszami kapitałowymi) (II).</w:t>
            </w:r>
          </w:p>
        </w:tc>
      </w:tr>
      <w:tr w:rsidR="006578ED" w14:paraId="209D0F6C"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65420850" w14:textId="77777777" w:rsidR="006578ED" w:rsidRDefault="00A1618E">
            <w:pPr>
              <w:pStyle w:val="P68B1DB1-Normal46"/>
              <w:spacing w:after="0" w:line="240" w:lineRule="auto"/>
              <w:jc w:val="center"/>
              <w:rPr>
                <w:rFonts w:eastAsia="Times New Roman" w:cs="Times New Roman"/>
                <w:noProof/>
              </w:rPr>
            </w:pPr>
            <w:r>
              <w:rPr>
                <w:noProof/>
              </w:rPr>
              <w:t>L80</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3145DCF3" w14:textId="77777777" w:rsidR="006578ED" w:rsidRDefault="00A1618E">
            <w:pPr>
              <w:pStyle w:val="P68B1DB1-Normal46"/>
              <w:spacing w:after="0" w:line="240" w:lineRule="auto"/>
              <w:rPr>
                <w:rFonts w:eastAsia="Times New Roman" w:cs="Times New Roman"/>
                <w:noProof/>
              </w:rPr>
            </w:pPr>
            <w:r>
              <w:rPr>
                <w:noProof/>
              </w:rPr>
              <w:t>C25.I3</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603A21BA" w14:textId="6B3E5440"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312CD967" w14:textId="77777777" w:rsidR="006578ED" w:rsidRDefault="00A1618E">
            <w:pPr>
              <w:pStyle w:val="P68B1DB1-Normal46"/>
              <w:spacing w:after="0" w:line="240" w:lineRule="auto"/>
              <w:rPr>
                <w:rFonts w:eastAsia="Times New Roman" w:cs="Times New Roman"/>
                <w:noProof/>
              </w:rPr>
            </w:pPr>
            <w:r>
              <w:rPr>
                <w:noProof/>
              </w:rPr>
              <w:t xml:space="preserve">Fundusz Centrum Audiowizualnego ICO: Ministerstwo zakończyło inwestycję </w:t>
            </w:r>
          </w:p>
        </w:tc>
      </w:tr>
      <w:tr w:rsidR="006578ED" w14:paraId="44CDC7A2"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4657541" w14:textId="77777777" w:rsidR="006578ED" w:rsidRDefault="00A1618E">
            <w:pPr>
              <w:pStyle w:val="P68B1DB1-Normal46"/>
              <w:spacing w:after="0" w:line="240" w:lineRule="auto"/>
              <w:jc w:val="center"/>
              <w:rPr>
                <w:rFonts w:eastAsia="Times New Roman" w:cs="Times New Roman"/>
                <w:noProof/>
              </w:rPr>
            </w:pPr>
            <w:r>
              <w:rPr>
                <w:noProof/>
              </w:rPr>
              <w:t>L81</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03502259" w14:textId="77777777" w:rsidR="006578ED" w:rsidRDefault="00A1618E">
            <w:pPr>
              <w:pStyle w:val="P68B1DB1-Normal46"/>
              <w:spacing w:after="0" w:line="240" w:lineRule="auto"/>
              <w:rPr>
                <w:rFonts w:eastAsia="Times New Roman" w:cs="Times New Roman"/>
                <w:noProof/>
              </w:rPr>
            </w:pPr>
            <w:r>
              <w:rPr>
                <w:noProof/>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4425ABE" w14:textId="780612E3"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709FFD85" w14:textId="4B9AF29D" w:rsidR="006578ED" w:rsidRDefault="00A1618E">
            <w:pPr>
              <w:pStyle w:val="P68B1DB1-Normal46"/>
              <w:spacing w:after="0" w:line="240" w:lineRule="auto"/>
              <w:rPr>
                <w:rFonts w:eastAsia="Times New Roman" w:cs="Times New Roman"/>
                <w:noProof/>
              </w:rPr>
            </w:pPr>
            <w:r>
              <w:rPr>
                <w:noProof/>
              </w:rPr>
              <w:t>Zakończenie działań związanych z renowacją lokali mieszkalnych, osiągnięcie poprawy efektywności energetycznej.</w:t>
            </w:r>
          </w:p>
        </w:tc>
      </w:tr>
      <w:tr w:rsidR="006578ED" w14:paraId="0D8996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2570767B" w14:textId="77777777" w:rsidR="006578ED" w:rsidRDefault="00A1618E">
            <w:pPr>
              <w:pStyle w:val="P68B1DB1-Normal46"/>
              <w:spacing w:after="0" w:line="240" w:lineRule="auto"/>
              <w:jc w:val="center"/>
              <w:rPr>
                <w:rFonts w:eastAsia="Times New Roman" w:cs="Times New Roman"/>
                <w:noProof/>
              </w:rPr>
            </w:pPr>
            <w:r>
              <w:rPr>
                <w:noProof/>
              </w:rPr>
              <w:t>L82</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67E2459" w14:textId="77777777" w:rsidR="006578ED" w:rsidRDefault="00A1618E">
            <w:pPr>
              <w:pStyle w:val="P68B1DB1-Normal46"/>
              <w:spacing w:after="0" w:line="240" w:lineRule="auto"/>
              <w:rPr>
                <w:rFonts w:eastAsia="Times New Roman" w:cs="Times New Roman"/>
                <w:noProof/>
              </w:rPr>
            </w:pPr>
            <w:r>
              <w:rPr>
                <w:noProof/>
              </w:rPr>
              <w:t>C28.I1</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1045581B" w14:textId="331545EE"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4F51BB41" w14:textId="1641EF04" w:rsidR="006578ED" w:rsidRDefault="00A1618E">
            <w:pPr>
              <w:pStyle w:val="P68B1DB1-Normal46"/>
              <w:spacing w:after="0" w:line="240" w:lineRule="auto"/>
              <w:rPr>
                <w:rFonts w:eastAsia="Times New Roman" w:cs="Times New Roman"/>
                <w:noProof/>
              </w:rPr>
            </w:pPr>
            <w:r>
              <w:rPr>
                <w:noProof/>
              </w:rPr>
              <w:t xml:space="preserve">Uruchomiona infrastruktura ładowania pojazdów elektrycznych i ładowania </w:t>
            </w:r>
          </w:p>
        </w:tc>
      </w:tr>
      <w:tr w:rsidR="006578ED" w14:paraId="1E387074"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2594665" w14:textId="77777777" w:rsidR="006578ED" w:rsidRDefault="00A1618E">
            <w:pPr>
              <w:pStyle w:val="P68B1DB1-Normal46"/>
              <w:spacing w:after="0" w:line="240" w:lineRule="auto"/>
              <w:jc w:val="center"/>
              <w:rPr>
                <w:rFonts w:eastAsia="Times New Roman" w:cs="Times New Roman"/>
                <w:noProof/>
              </w:rPr>
            </w:pPr>
            <w:r>
              <w:rPr>
                <w:noProof/>
              </w:rPr>
              <w:t>L85</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5EE72C5" w14:textId="77777777" w:rsidR="006578ED" w:rsidRDefault="00A1618E">
            <w:pPr>
              <w:pStyle w:val="P68B1DB1-Normal46"/>
              <w:spacing w:after="0" w:line="240" w:lineRule="auto"/>
              <w:rPr>
                <w:rFonts w:eastAsia="Times New Roman" w:cs="Times New Roman"/>
                <w:noProof/>
              </w:rPr>
            </w:pPr>
            <w:r>
              <w:rPr>
                <w:noProof/>
              </w:rPr>
              <w:t>C31.I7</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07B5E6EE" w14:textId="2DF0C2A6" w:rsidR="006578ED" w:rsidRDefault="00AF6B91">
            <w:pPr>
              <w:pStyle w:val="P68B1DB1-Normal46"/>
              <w:spacing w:after="0" w:line="240" w:lineRule="auto"/>
              <w:rPr>
                <w:rFonts w:eastAsia="Times New Roman" w:cs="Times New Roman"/>
                <w:noProof/>
              </w:rPr>
            </w:pPr>
            <w:r>
              <w:rPr>
                <w:noProof/>
              </w:rPr>
              <w:t>Kamień milowy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868F97F" w14:textId="1051B263" w:rsidR="006578ED" w:rsidRDefault="00A1618E">
            <w:pPr>
              <w:pStyle w:val="P68B1DB1-Normal46"/>
              <w:spacing w:after="0" w:line="240" w:lineRule="auto"/>
              <w:rPr>
                <w:rFonts w:eastAsia="Times New Roman" w:cs="Times New Roman"/>
                <w:noProof/>
              </w:rPr>
            </w:pPr>
            <w:r>
              <w:rPr>
                <w:noProof/>
              </w:rPr>
              <w:t xml:space="preserve">Zakończenie projektów dekarbonizacji, w tym projektu pilotażowego dotyczącego funduszu zachęcającego przedsiębiorstwa do dekarbonizacji (kontrakt na transakcje różnicowe dotyczące dwutlenku węgla) </w:t>
            </w:r>
          </w:p>
        </w:tc>
      </w:tr>
      <w:tr w:rsidR="006578ED" w14:paraId="6567588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763EDA85" w14:textId="77777777" w:rsidR="006578ED" w:rsidRDefault="00A1618E">
            <w:pPr>
              <w:pStyle w:val="P68B1DB1-Normal46"/>
              <w:spacing w:after="0" w:line="240" w:lineRule="auto"/>
              <w:jc w:val="center"/>
              <w:rPr>
                <w:rFonts w:eastAsia="Times New Roman" w:cs="Times New Roman"/>
                <w:noProof/>
              </w:rPr>
            </w:pPr>
            <w:r>
              <w:rPr>
                <w:noProof/>
              </w:rPr>
              <w:t>L88</w:t>
            </w: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64520BFD" w14:textId="77777777" w:rsidR="006578ED" w:rsidRDefault="00A1618E">
            <w:pPr>
              <w:pStyle w:val="P68B1DB1-Normal46"/>
              <w:spacing w:after="0" w:line="240" w:lineRule="auto"/>
              <w:rPr>
                <w:rFonts w:eastAsia="Times New Roman" w:cs="Times New Roman"/>
                <w:noProof/>
              </w:rPr>
            </w:pPr>
            <w:r>
              <w:rPr>
                <w:noProof/>
              </w:rPr>
              <w:t>C31.I8</w:t>
            </w: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3AA2C380" w14:textId="6E26908D" w:rsidR="006578ED" w:rsidRDefault="00AF6B91">
            <w:pPr>
              <w:pStyle w:val="P68B1DB1-Normal46"/>
              <w:spacing w:after="0" w:line="240" w:lineRule="auto"/>
              <w:rPr>
                <w:rFonts w:eastAsia="Times New Roman" w:cs="Times New Roman"/>
                <w:noProof/>
              </w:rPr>
            </w:pPr>
            <w:r>
              <w:rPr>
                <w:noProof/>
              </w:rPr>
              <w:t>Cel</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1132D022" w14:textId="74A59382" w:rsidR="006578ED" w:rsidRDefault="00A1618E">
            <w:pPr>
              <w:pStyle w:val="P68B1DB1-Normal46"/>
              <w:spacing w:after="0" w:line="240" w:lineRule="auto"/>
              <w:rPr>
                <w:rFonts w:eastAsia="Times New Roman" w:cs="Times New Roman"/>
                <w:noProof/>
              </w:rPr>
            </w:pPr>
            <w:r>
              <w:rPr>
                <w:noProof/>
              </w:rPr>
              <w:t>System wsparcia na rzecz dekarbonizacji przemysłu (pożyczki): Umowy prawne podpisane z beneficjentami końcowymi lub opublikowane uchwały o ostatecznym przyznaniu dotacji.</w:t>
            </w:r>
          </w:p>
        </w:tc>
      </w:tr>
      <w:tr w:rsidR="006578ED" w14:paraId="09DDA557" w14:textId="77777777">
        <w:trPr>
          <w:trHeight w:val="302"/>
        </w:trPr>
        <w:tc>
          <w:tcPr>
            <w:tcW w:w="1300" w:type="dxa"/>
            <w:tcBorders>
              <w:top w:val="single" w:sz="4" w:space="0" w:color="auto"/>
              <w:left w:val="single" w:sz="4" w:space="0" w:color="auto"/>
              <w:bottom w:val="single" w:sz="4" w:space="0" w:color="auto"/>
              <w:right w:val="single" w:sz="4" w:space="0" w:color="auto"/>
            </w:tcBorders>
            <w:shd w:val="clear" w:color="auto" w:fill="C6EFCE"/>
            <w:noWrap/>
            <w:vAlign w:val="bottom"/>
          </w:tcPr>
          <w:p w14:paraId="4C6EC0BF" w14:textId="77777777" w:rsidR="006578ED" w:rsidRDefault="006578ED">
            <w:pPr>
              <w:spacing w:after="0" w:line="240" w:lineRule="auto"/>
              <w:jc w:val="center"/>
              <w:rPr>
                <w:rFonts w:ascii="Times New Roman" w:eastAsia="Times New Roman" w:hAnsi="Times New Roman" w:cs="Times New Roman"/>
                <w:noProof/>
                <w:sz w:val="20"/>
              </w:rPr>
            </w:pPr>
          </w:p>
        </w:tc>
        <w:tc>
          <w:tcPr>
            <w:tcW w:w="1443" w:type="dxa"/>
            <w:tcBorders>
              <w:top w:val="single" w:sz="4" w:space="0" w:color="auto"/>
              <w:left w:val="nil"/>
              <w:bottom w:val="single" w:sz="4" w:space="0" w:color="auto"/>
              <w:right w:val="single" w:sz="4" w:space="0" w:color="auto"/>
            </w:tcBorders>
            <w:shd w:val="clear" w:color="auto" w:fill="C6EFCE"/>
            <w:noWrap/>
            <w:vAlign w:val="bottom"/>
          </w:tcPr>
          <w:p w14:paraId="4FE53302" w14:textId="77777777" w:rsidR="006578ED" w:rsidRDefault="006578ED">
            <w:pPr>
              <w:spacing w:after="0" w:line="240" w:lineRule="auto"/>
              <w:rPr>
                <w:rFonts w:ascii="Times New Roman" w:eastAsia="Times New Roman" w:hAnsi="Times New Roman" w:cs="Times New Roman"/>
                <w:noProof/>
                <w:sz w:val="20"/>
              </w:rPr>
            </w:pPr>
          </w:p>
        </w:tc>
        <w:tc>
          <w:tcPr>
            <w:tcW w:w="1250" w:type="dxa"/>
            <w:tcBorders>
              <w:top w:val="single" w:sz="4" w:space="0" w:color="auto"/>
              <w:left w:val="nil"/>
              <w:bottom w:val="single" w:sz="4" w:space="0" w:color="auto"/>
              <w:right w:val="single" w:sz="4" w:space="0" w:color="auto"/>
            </w:tcBorders>
            <w:shd w:val="clear" w:color="auto" w:fill="C6EFCE"/>
            <w:noWrap/>
            <w:vAlign w:val="bottom"/>
          </w:tcPr>
          <w:p w14:paraId="26E2B97B" w14:textId="2D0820E9" w:rsidR="006578ED" w:rsidRDefault="00A1618E">
            <w:pPr>
              <w:pStyle w:val="P68B1DB1-Normal45"/>
              <w:spacing w:after="0" w:line="240" w:lineRule="auto"/>
              <w:rPr>
                <w:rFonts w:eastAsia="Times New Roman" w:cs="Times New Roman"/>
                <w:noProof/>
              </w:rPr>
            </w:pPr>
            <w:r>
              <w:rPr>
                <w:noProof/>
              </w:rPr>
              <w:t>Kwota raty</w:t>
            </w:r>
          </w:p>
        </w:tc>
        <w:tc>
          <w:tcPr>
            <w:tcW w:w="5670" w:type="dxa"/>
            <w:tcBorders>
              <w:top w:val="single" w:sz="4" w:space="0" w:color="auto"/>
              <w:left w:val="nil"/>
              <w:bottom w:val="single" w:sz="4" w:space="0" w:color="auto"/>
              <w:right w:val="single" w:sz="4" w:space="0" w:color="auto"/>
            </w:tcBorders>
            <w:shd w:val="clear" w:color="auto" w:fill="C6EFCE"/>
            <w:noWrap/>
            <w:vAlign w:val="bottom"/>
          </w:tcPr>
          <w:p w14:paraId="62F270C8" w14:textId="0218588F" w:rsidR="006578ED" w:rsidRDefault="00A1618E">
            <w:pPr>
              <w:pStyle w:val="P68B1DB1-Normal45"/>
              <w:spacing w:after="0" w:line="240" w:lineRule="auto"/>
              <w:rPr>
                <w:rFonts w:eastAsia="Times New Roman" w:cs="Times New Roman"/>
                <w:noProof/>
              </w:rPr>
            </w:pPr>
            <w:r>
              <w:rPr>
                <w:noProof/>
              </w:rPr>
              <w:t>28 248 020 381 EUR</w:t>
            </w:r>
          </w:p>
        </w:tc>
      </w:tr>
    </w:tbl>
    <w:p w14:paraId="7DF0D0AC" w14:textId="77777777" w:rsidR="006578ED" w:rsidRDefault="006578ED">
      <w:pPr>
        <w:spacing w:before="120" w:after="120" w:line="240" w:lineRule="auto"/>
        <w:jc w:val="both"/>
        <w:rPr>
          <w:rFonts w:ascii="Times New Roman" w:eastAsia="Calibri" w:hAnsi="Times New Roman" w:cs="Times New Roman"/>
          <w:noProof/>
          <w:sz w:val="24"/>
        </w:rPr>
      </w:pPr>
    </w:p>
    <w:p w14:paraId="1A824DC6" w14:textId="77777777" w:rsidR="006578ED" w:rsidRDefault="006578ED">
      <w:pPr>
        <w:spacing w:before="120" w:after="120" w:line="240" w:lineRule="auto"/>
        <w:jc w:val="both"/>
        <w:rPr>
          <w:rFonts w:ascii="Times New Roman" w:eastAsia="Calibri" w:hAnsi="Times New Roman" w:cs="Times New Roman"/>
          <w:noProof/>
          <w:sz w:val="24"/>
        </w:rPr>
      </w:pPr>
    </w:p>
    <w:p w14:paraId="13EE5F01" w14:textId="77777777" w:rsidR="006578ED" w:rsidRDefault="00A1618E">
      <w:pPr>
        <w:pStyle w:val="P68B1DB1-Normal43"/>
        <w:rPr>
          <w:rFonts w:eastAsia="Calibri" w:cs="Times New Roman"/>
          <w:noProof/>
        </w:rPr>
      </w:pPr>
      <w:r>
        <w:rPr>
          <w:noProof/>
        </w:rPr>
        <w:t xml:space="preserve">SEKCJA 3: UZGODNIENIA DODATKOWE </w:t>
      </w:r>
    </w:p>
    <w:p w14:paraId="3ABF5413" w14:textId="4B9EA128" w:rsidR="006578ED" w:rsidRDefault="00A1618E">
      <w:pPr>
        <w:pStyle w:val="P68B1DB1-NumPar144"/>
        <w:numPr>
          <w:ilvl w:val="0"/>
          <w:numId w:val="782"/>
        </w:numPr>
        <w:rPr>
          <w:rFonts w:cs="Times New Roman"/>
          <w:noProof/>
        </w:rPr>
      </w:pPr>
      <w:r>
        <w:rPr>
          <w:noProof/>
        </w:rPr>
        <w:t>Ustalenia dotyczące monitorowania i realizacji planu odbudowy i zwiększania odporności</w:t>
      </w:r>
    </w:p>
    <w:p w14:paraId="6B0A1AA4" w14:textId="3DA290A7" w:rsidR="006578ED" w:rsidRDefault="00A1618E">
      <w:pPr>
        <w:pStyle w:val="P68B1DB1-Normal4"/>
        <w:spacing w:before="120" w:after="120" w:line="240" w:lineRule="auto"/>
        <w:jc w:val="both"/>
        <w:rPr>
          <w:rFonts w:eastAsia="Calibri" w:cs="Times New Roman"/>
          <w:noProof/>
        </w:rPr>
      </w:pPr>
      <w:r>
        <w:rPr>
          <w:noProof/>
        </w:rPr>
        <w:t xml:space="preserve">Monitorowanie i wdrażanie zmienionego planu odbudowy i zwiększania odporności Hiszpanii określono w dekrecie królewskim z mocą ustawy 36/2020 z dnia 30 grudnia zatwierdzającym pilne środki na rzecz modernizacji administracji publicznej i wdrożenia planu odbudowy („RDL 36/2020”). Są one przeprowadzane zgodnie z następującymi zasadami: </w:t>
      </w:r>
    </w:p>
    <w:p w14:paraId="1F8DFDBA" w14:textId="29E837EA" w:rsidR="006578ED" w:rsidRDefault="00A1618E">
      <w:pPr>
        <w:pStyle w:val="P68B1DB1-ListParagraph7"/>
        <w:numPr>
          <w:ilvl w:val="0"/>
          <w:numId w:val="783"/>
        </w:numPr>
        <w:spacing w:before="120" w:after="120" w:line="240" w:lineRule="auto"/>
        <w:jc w:val="both"/>
        <w:rPr>
          <w:rFonts w:eastAsia="Calibri" w:cs="Times New Roman"/>
          <w:noProof/>
        </w:rPr>
      </w:pPr>
      <w:r>
        <w:rPr>
          <w:noProof/>
        </w:rPr>
        <w:t xml:space="preserve">Powołano Komisję na rzecz Odbudowy, Transformacji i Odporności, w której skład wchodzą wszyscy ministrowie odpowiedzialni za ten plan, a jej przewodniczyć będzie prezydent rządu. Komisja ustanowiła ogólne wytyczne polityczne dotyczące opracowywania i wdrażania planu naprawy gospodarczej i monitoruje jego realizację. Jej prace będą wspomagane przez Komitet Techniczny składający się z 20 członków administracji publicznej, któremu przewodniczy Sekretariat Generalny ds. Funduszy Europejskich. </w:t>
      </w:r>
    </w:p>
    <w:p w14:paraId="254B8963" w14:textId="4E7621EE" w:rsidR="006578ED" w:rsidRDefault="00A1618E">
      <w:pPr>
        <w:pStyle w:val="P68B1DB1-ListParagraph7"/>
        <w:numPr>
          <w:ilvl w:val="0"/>
          <w:numId w:val="783"/>
        </w:numPr>
        <w:spacing w:before="120" w:after="120" w:line="240" w:lineRule="auto"/>
        <w:jc w:val="both"/>
        <w:rPr>
          <w:rFonts w:eastAsia="Calibri" w:cs="Times New Roman"/>
          <w:noProof/>
        </w:rPr>
      </w:pPr>
      <w:r>
        <w:rPr>
          <w:noProof/>
        </w:rPr>
        <w:t xml:space="preserve">Nowo utworzony Sekretariat Generalny ds. Funduszy Europejskich w Ministerstwie Finansów będzie organem odpowiedzialnym za plan wobec Komisji Europejskiej. Organ ten będzie odgrywał kluczową rolę w monitorowaniu składania wniosków o płatność, które będzie oparte na osiągnięciu kamieni milowych i wartości docelowych. </w:t>
      </w:r>
    </w:p>
    <w:p w14:paraId="5DE25302" w14:textId="28053855" w:rsidR="006578ED" w:rsidRDefault="00A1618E">
      <w:pPr>
        <w:pStyle w:val="P68B1DB1-ListParagraph7"/>
        <w:numPr>
          <w:ilvl w:val="0"/>
          <w:numId w:val="783"/>
        </w:numPr>
        <w:spacing w:before="120" w:after="120" w:line="240" w:lineRule="auto"/>
        <w:jc w:val="both"/>
        <w:rPr>
          <w:rFonts w:eastAsia="Calibri" w:cs="Times New Roman"/>
          <w:noProof/>
        </w:rPr>
      </w:pPr>
      <w:r>
        <w:rPr>
          <w:noProof/>
        </w:rPr>
        <w:t xml:space="preserve">Zmieniony plan obejmuje 419 kamieni milowych i wartości docelowych, z których większość odnosi się do </w:t>
      </w:r>
      <w:r w:rsidRPr="00A1618E">
        <w:rPr>
          <w:noProof/>
          <w:lang w:val="pl-PL"/>
        </w:rPr>
        <w:t>lat 2</w:t>
      </w:r>
      <w:r>
        <w:rPr>
          <w:noProof/>
        </w:rPr>
        <w:t xml:space="preserve">021–2023. Proponowane cele pośrednie i końcowe są jasne, a proponowane wskaźniki są odpowiednie, akceptowalne i solidne. </w:t>
      </w:r>
    </w:p>
    <w:p w14:paraId="4E976ED5" w14:textId="449730FE" w:rsidR="006578ED" w:rsidRDefault="00A1618E">
      <w:pPr>
        <w:pStyle w:val="P68B1DB1-ListParagraph7"/>
        <w:numPr>
          <w:ilvl w:val="0"/>
          <w:numId w:val="783"/>
        </w:numPr>
        <w:spacing w:before="120" w:after="120" w:line="240" w:lineRule="auto"/>
        <w:jc w:val="both"/>
        <w:rPr>
          <w:rFonts w:eastAsia="Calibri" w:cs="Times New Roman"/>
          <w:noProof/>
        </w:rPr>
      </w:pPr>
      <w:r>
        <w:rPr>
          <w:noProof/>
        </w:rPr>
        <w:t xml:space="preserve">Podczas gdy ministerstwo odpowiedzialne za każdy środek będzie odpowiedzialne za podejmowanie działań mających na celu osiągnięcie powiązanych celów pośrednich i końcowych zgodnie ze środkami przewidzianymi w budżecie, organem sporządzającym wnioski o płatność do Komisji Europejskiej będzie Sekretariat Generalny ds. Funduszy Europejskich. Do każdego wniosku o płatność dołączana jest deklaracja zarządcza oparta na sprawozdaniach sporządzonych przez organy odpowiedzialne za komponenty. Ponadto główny kontroler administracji państwowej (Intervención General de la Administración del Estado – IGAE) przeprowadzi kontrole w celu poświadczenia osiągnięcia kamieni milowych i celów, a także osiągniętych wyników. Środki przeznaczone na realizację planu zostaną ujęte w budżecie instytucji rządowych na szczeblu centralnym. </w:t>
      </w:r>
    </w:p>
    <w:p w14:paraId="733D840D" w14:textId="25B17C6E" w:rsidR="006578ED" w:rsidRDefault="00A1618E">
      <w:pPr>
        <w:pStyle w:val="P68B1DB1-ListParagraph7"/>
        <w:numPr>
          <w:ilvl w:val="0"/>
          <w:numId w:val="783"/>
        </w:numPr>
        <w:spacing w:before="120" w:after="120" w:line="240" w:lineRule="auto"/>
        <w:jc w:val="both"/>
        <w:rPr>
          <w:rFonts w:eastAsia="Calibri" w:cs="Times New Roman"/>
          <w:noProof/>
        </w:rPr>
      </w:pPr>
      <w:r>
        <w:rPr>
          <w:noProof/>
        </w:rPr>
        <w:t xml:space="preserve">Wprowadzono ustalenia mające na celu zaangażowanie kluczowych podmiotów we wdrażanie planu. W celu ukierunkowania współpracy między regionami, podmiotami lokalnymi i rządami centralnymi w celu wdrożenia planu ustanawia się nową konferencję sektorową dotyczącą planu. Jeżeli chodzi o kontrolę parlamentarną, </w:t>
      </w:r>
      <w:r w:rsidRPr="00A1618E">
        <w:rPr>
          <w:noProof/>
          <w:lang w:val="pl-PL"/>
        </w:rPr>
        <w:t>art. 2</w:t>
      </w:r>
      <w:r>
        <w:rPr>
          <w:noProof/>
        </w:rPr>
        <w:t xml:space="preserve">2 dekretu królewskiego z mocą ustawy </w:t>
      </w:r>
      <w:r w:rsidRPr="00A1618E">
        <w:rPr>
          <w:noProof/>
          <w:lang w:val="pl-PL"/>
        </w:rPr>
        <w:t>nr 3</w:t>
      </w:r>
      <w:r>
        <w:rPr>
          <w:noProof/>
        </w:rPr>
        <w:t>6/2020 stanowi, że rząd co kwartał składa Wspólnej Komisji Parlamentarnej Unii Europejskiej sprawozdanie z postępów w realizacji planu odbudowy, transformacji i zwiększania odporności.</w:t>
      </w:r>
    </w:p>
    <w:p w14:paraId="13C65C14" w14:textId="77777777" w:rsidR="006578ED" w:rsidRDefault="006578ED">
      <w:pPr>
        <w:spacing w:before="120" w:after="120" w:line="240" w:lineRule="auto"/>
        <w:jc w:val="both"/>
        <w:rPr>
          <w:rFonts w:ascii="Times New Roman" w:eastAsia="Calibri" w:hAnsi="Times New Roman" w:cs="Times New Roman"/>
          <w:noProof/>
          <w:sz w:val="24"/>
        </w:rPr>
      </w:pPr>
    </w:p>
    <w:p w14:paraId="3BC72D0E" w14:textId="77777777" w:rsidR="006578ED" w:rsidRDefault="00A1618E">
      <w:pPr>
        <w:pStyle w:val="P68B1DB1-NumPar144"/>
        <w:numPr>
          <w:ilvl w:val="0"/>
          <w:numId w:val="782"/>
        </w:numPr>
        <w:rPr>
          <w:rFonts w:cs="Times New Roman"/>
          <w:noProof/>
        </w:rPr>
      </w:pPr>
      <w:r>
        <w:rPr>
          <w:noProof/>
        </w:rPr>
        <w:t>Ustalenia dotyczące sposobu zapewnienia Komisji pełnego dostępu do danych bazowych</w:t>
      </w:r>
    </w:p>
    <w:p w14:paraId="631837FE" w14:textId="76F6E88C" w:rsidR="006578ED" w:rsidRDefault="00A1618E">
      <w:pPr>
        <w:pStyle w:val="P68B1DB1-Normal4"/>
        <w:spacing w:before="120" w:after="120" w:line="240" w:lineRule="auto"/>
        <w:jc w:val="both"/>
        <w:rPr>
          <w:rFonts w:eastAsia="Calibri" w:cs="Times New Roman"/>
          <w:noProof/>
        </w:rPr>
      </w:pPr>
      <w:r>
        <w:rPr>
          <w:noProof/>
        </w:rPr>
        <w:t>Aby zapewnić Komisji pełny dostęp do odpowiednich danych bazowych, Hiszpania wprowadza następujące ustalenia:</w:t>
      </w:r>
    </w:p>
    <w:p w14:paraId="137EE5D7" w14:textId="5BF4658E" w:rsidR="006578ED" w:rsidRDefault="00A1618E">
      <w:pPr>
        <w:pStyle w:val="P68B1DB1-Normal4"/>
        <w:spacing w:before="120" w:after="120" w:line="240" w:lineRule="auto"/>
        <w:jc w:val="both"/>
        <w:rPr>
          <w:rFonts w:eastAsia="Calibri" w:cs="Times New Roman"/>
          <w:noProof/>
        </w:rPr>
      </w:pPr>
      <w:r>
        <w:rPr>
          <w:noProof/>
        </w:rPr>
        <w:t xml:space="preserve">Sekretariat Generalny ds. Funduszy Europejskich (Ministerstwo Finansów), jako koordynator hiszpańskiego planu odbudowy i zwiększania odporności, jest odpowiedzialny za ogólną realizację zmienionych planów odbudowy i zwiększania odporności, za zapewnienie koordynacji z innymi właściwymi organami w kraju (w tym zapewnienie spójności w odniesieniu do wykorzystania innych funduszy UE), za monitorowanie postępów w osiąganiu kamieni milowych i wartości docelowych, za nadzorowanie i zapewnianie wdrożenia środków kontroli i audytu oraz za dostarczanie wszelkich niezbędnych sprawozdań i wniosków o płatność oraz towarzyszącej im deklaracji zarządczej. Sekretariat Generalny ds. Funduszy Europejskich opiera się na systemie informatycznym („Coffee”), który umożliwia ministerstwom i innym organom wdrażającym, kontrolnym i audytowym kodowanie wszystkich istotnych informacji, w tym sprawozdawczości w zakresie kamieni milowych i wartości docelowych oraz wskaźników monitorowania, sprawozdań z kontroli i audytu oraz sprawozdań z zarządzania organów wdrażających, które mają służyć jako podstawa deklaracji zarządczych dołączanych do wniosków o płatność. System umożliwia również rejestrowanie jakościowych informacji finansowych i innych danych, takich jak dane dotyczące ostatecznych odbiorców, wykonawców i podwykonawców. Organy gromadzą i przechowują również dane dotyczące beneficjentów rzeczywistych, które znajdują się w posiadaniu krajowego urzędu skarbowego. </w:t>
      </w:r>
    </w:p>
    <w:p w14:paraId="06442C18" w14:textId="4AD5ED5F" w:rsidR="006578ED" w:rsidRDefault="00A1618E">
      <w:pPr>
        <w:pStyle w:val="P68B1DB1-Normal4"/>
        <w:spacing w:before="120" w:after="120" w:line="240" w:lineRule="auto"/>
        <w:jc w:val="both"/>
        <w:rPr>
          <w:rFonts w:eastAsia="Calibri" w:cs="Times New Roman"/>
          <w:noProof/>
        </w:rPr>
      </w:pPr>
      <w:r>
        <w:rPr>
          <w:noProof/>
        </w:rPr>
        <w:t>Ponadto w odniesieniu do kamienia milowego 173 oraz zobowiązań dotyczących audytu i kontroli podjętych w kontekście pierwszego wniosku o płatność Hiszpania zawarła dwie umowy mające na celu ułatwienie wymiany informacji na temat beneficjentów rzeczywistych przedsiębiorstw zagranicznych: jeden między Radą Generalną ds. Notarialnych i Agencją Skarbową, a drugi między tą ostatnią a Kolegium Rejestratorów Nieruchomości. Ponadto Hiszpania wydała rozporządzenie ministerialne (zarządzenie HFP/55/2023) upoważniające organy odpowiedzialne za organizację zaproszeń do składania wniosków o dane beneficjentów rzeczywistych od przedsiębiorstw zagranicznych, w odniesieniu do których organy krajowe nie mają informacji w swoich bazach danych.</w:t>
      </w:r>
    </w:p>
    <w:p w14:paraId="005C5709" w14:textId="28CD2B15" w:rsidR="006578ED" w:rsidRDefault="00A1618E">
      <w:pPr>
        <w:pStyle w:val="P68B1DB1-Normal4"/>
        <w:spacing w:before="120" w:after="120" w:line="240" w:lineRule="auto"/>
        <w:jc w:val="both"/>
        <w:rPr>
          <w:rFonts w:eastAsia="Calibri" w:cs="Times New Roman"/>
          <w:noProof/>
        </w:rPr>
      </w:pPr>
      <w:r>
        <w:rPr>
          <w:noProof/>
        </w:rPr>
        <w:t>Ponadto Hiszpania poprawiła dostęp do informacji o beneficjentach rzeczywistych do celów kontroli. W szczególności władze hiszpańskie stworzyły i uruchomiły narzędzie informatyczne do oceny ryzyka zwane „MINERVA” do celów systematycznej kontroli i zapobiegania konfliktom interesów, wykorzystując dane beneficjentów rzeczywistych.</w:t>
      </w:r>
    </w:p>
    <w:p w14:paraId="26C38D62" w14:textId="36AA594C" w:rsidR="006578ED" w:rsidRDefault="00A1618E">
      <w:pPr>
        <w:pStyle w:val="P68B1DB1-Normal4"/>
        <w:spacing w:before="120" w:after="120" w:line="240" w:lineRule="auto"/>
        <w:jc w:val="both"/>
        <w:rPr>
          <w:rFonts w:eastAsia="Calibri" w:cs="Times New Roman"/>
          <w:noProof/>
        </w:rPr>
      </w:pPr>
      <w:r>
        <w:rPr>
          <w:noProof/>
        </w:rPr>
        <w:t>Zgodnie z </w:t>
      </w:r>
      <w:r w:rsidRPr="00A1618E">
        <w:rPr>
          <w:noProof/>
          <w:lang w:val="pl-PL"/>
        </w:rPr>
        <w:t>art. 2</w:t>
      </w:r>
      <w:r>
        <w:rPr>
          <w:noProof/>
        </w:rPr>
        <w:t xml:space="preserve">4 </w:t>
      </w:r>
      <w:r w:rsidRPr="00A1618E">
        <w:rPr>
          <w:noProof/>
          <w:lang w:val="pl-PL"/>
        </w:rPr>
        <w:t>ust. 2</w:t>
      </w:r>
      <w:r>
        <w:rPr>
          <w:noProof/>
        </w:rPr>
        <w:t xml:space="preserve"> rozporządzenia (UE) 2021/241 po osiągnięciu odpowiednich uzgodnionych kamieni milowych i wartości docelowych określonych w sekcji 2.1 niniejszego załącznika Hiszpania przedkłada Komisji należycie uzasadniony wniosek o płatność wkładu finansowego. Hiszpania zapewnia, aby na wniosek Komisja miała pełny dostęp do odpowiednich danych bazowych, które potwierdzają należyte uzasadnienie wniosku o płatność, zarówno do celów oceny wniosku o płatność zgodnie z </w:t>
      </w:r>
      <w:r w:rsidRPr="00A1618E">
        <w:rPr>
          <w:noProof/>
          <w:lang w:val="pl-PL"/>
        </w:rPr>
        <w:t>art. 2</w:t>
      </w:r>
      <w:r>
        <w:rPr>
          <w:noProof/>
        </w:rPr>
        <w:t xml:space="preserve">4 </w:t>
      </w:r>
      <w:r w:rsidRPr="00A1618E">
        <w:rPr>
          <w:noProof/>
          <w:lang w:val="pl-PL"/>
        </w:rPr>
        <w:t>ust. 3</w:t>
      </w:r>
      <w:r>
        <w:rPr>
          <w:noProof/>
        </w:rPr>
        <w:t xml:space="preserve"> rozporządzenia (UE) 2021/241, jak i do celów audytu i kontroli.</w:t>
      </w:r>
    </w:p>
    <w:p w14:paraId="459F1C0A" w14:textId="77777777" w:rsidR="006578ED" w:rsidRDefault="006578ED">
      <w:pPr>
        <w:pStyle w:val="Annexetitre"/>
        <w:rPr>
          <w:noProof/>
        </w:rPr>
      </w:pPr>
    </w:p>
    <w:p w14:paraId="26972EED" w14:textId="77777777" w:rsidR="006578ED" w:rsidRDefault="006578ED">
      <w:pPr>
        <w:pStyle w:val="Text1"/>
        <w:ind w:left="0"/>
        <w:rPr>
          <w:rFonts w:ascii="Times New Roman" w:hAnsi="Times New Roman" w:cs="Times New Roman"/>
          <w:noProof/>
        </w:rPr>
      </w:pPr>
    </w:p>
    <w:sectPr w:rsidR="006578ED">
      <w:headerReference w:type="even" r:id="rId591"/>
      <w:headerReference w:type="default" r:id="rId592"/>
      <w:footerReference w:type="even" r:id="rId593"/>
      <w:footerReference w:type="default" r:id="rId594"/>
      <w:headerReference w:type="first" r:id="rId595"/>
      <w:footerReference w:type="first" r:id="rId596"/>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B66EDE" w14:textId="77777777" w:rsidR="00F75D19" w:rsidRDefault="00F75D19">
      <w:pPr>
        <w:spacing w:after="0" w:line="240" w:lineRule="auto"/>
      </w:pPr>
      <w:r>
        <w:separator/>
      </w:r>
    </w:p>
    <w:p w14:paraId="7DC82A5D" w14:textId="77777777" w:rsidR="00F75D19" w:rsidRDefault="00F75D19"/>
  </w:endnote>
  <w:endnote w:type="continuationSeparator" w:id="0">
    <w:p w14:paraId="51A39409" w14:textId="77777777" w:rsidR="00F75D19" w:rsidRDefault="00F75D19">
      <w:pPr>
        <w:spacing w:after="0" w:line="240" w:lineRule="auto"/>
      </w:pPr>
      <w:r>
        <w:continuationSeparator/>
      </w:r>
    </w:p>
    <w:p w14:paraId="0B730F04" w14:textId="77777777" w:rsidR="00F75D19" w:rsidRDefault="00F75D19"/>
  </w:endnote>
  <w:endnote w:type="continuationNotice" w:id="1">
    <w:p w14:paraId="0A9CA948" w14:textId="77777777" w:rsidR="00F75D19" w:rsidRDefault="00F75D19">
      <w:pPr>
        <w:spacing w:after="0" w:line="240" w:lineRule="auto"/>
      </w:pPr>
    </w:p>
    <w:p w14:paraId="3716DC44" w14:textId="77777777" w:rsidR="00F75D19" w:rsidRDefault="00F75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quot;Times New Roman&quot;,serif">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51D6C" w14:textId="76331ADA" w:rsidR="00C8392B" w:rsidRPr="00184EC9" w:rsidRDefault="00C8392B" w:rsidP="00184EC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E7A2C" w14:textId="77777777" w:rsidR="006578ED" w:rsidRDefault="006578ED">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04CCB" w14:textId="77777777" w:rsidR="006578ED" w:rsidRDefault="006578ED">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627477"/>
      <w:docPartObj>
        <w:docPartGallery w:val="Page Numbers (Bottom of Page)"/>
        <w:docPartUnique/>
      </w:docPartObj>
    </w:sdtPr>
    <w:sdtEndPr>
      <w:rPr>
        <w:noProof/>
      </w:rPr>
    </w:sdtEndPr>
    <w:sdtContent>
      <w:p w14:paraId="232685DF" w14:textId="5BEB9F9E" w:rsidR="006578ED" w:rsidRDefault="00A1618E">
        <w:pPr>
          <w:pStyle w:val="P68B1DB1-Footer51"/>
          <w:jc w:val="center"/>
        </w:pPr>
        <w:r>
          <w:fldChar w:fldCharType="begin"/>
        </w:r>
        <w:r>
          <w:instrText xml:space="preserve"> PAGE   \* MERGEFORMAT </w:instrText>
        </w:r>
        <w:r>
          <w:fldChar w:fldCharType="separate"/>
        </w:r>
        <w:r>
          <w:t>108</w:t>
        </w:r>
        <w:r>
          <w:fldChar w:fldCharType="end"/>
        </w:r>
      </w:p>
    </w:sdtContent>
  </w:sdt>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8AA0D" w14:textId="77777777" w:rsidR="006578ED" w:rsidRDefault="006578ED">
    <w:pPr>
      <w:pStyle w:val="FooterLandscape"/>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6332" w14:textId="77777777" w:rsidR="006578ED" w:rsidRDefault="006578ED">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C2EE2" w14:textId="47BDE62A" w:rsidR="006578ED" w:rsidRDefault="00A1618E">
    <w:pPr>
      <w:pStyle w:val="FooterLandscape"/>
      <w:rPr>
        <w:rFonts w:ascii="Aptos" w:hAnsi="Aptos" w:cs="Aptos"/>
        <w:b/>
      </w:rPr>
    </w:pPr>
    <w:r>
      <w:fldChar w:fldCharType="begin"/>
    </w:r>
    <w:r>
      <w:instrText xml:space="preserve"> PAGE  \* MERGEFORMAT </w:instrText>
    </w:r>
    <w:r>
      <w:fldChar w:fldCharType="separate"/>
    </w:r>
    <w:r>
      <w:t>111</w:t>
    </w:r>
    <w:r>
      <w:fldChar w:fldCharType="end"/>
    </w:r>
    <w:r>
      <w:tab/>
    </w:r>
    <w:r>
      <w:tab/>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0C74" w14:textId="77777777" w:rsidR="006578ED" w:rsidRDefault="006578ED">
    <w:pPr>
      <w:pStyle w:val="FooterLandscape"/>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BD365" w14:textId="77777777" w:rsidR="006578ED" w:rsidRDefault="006578ED">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8499251"/>
      <w:docPartObj>
        <w:docPartGallery w:val="Page Numbers (Bottom of Page)"/>
        <w:docPartUnique/>
      </w:docPartObj>
    </w:sdtPr>
    <w:sdtEndPr>
      <w:rPr>
        <w:noProof/>
      </w:rPr>
    </w:sdtEndPr>
    <w:sdtContent>
      <w:p w14:paraId="477AF136" w14:textId="109FDB34" w:rsidR="006578ED" w:rsidRDefault="00A1618E">
        <w:pPr>
          <w:pStyle w:val="Footer"/>
          <w:jc w:val="center"/>
        </w:pPr>
        <w:r>
          <w:fldChar w:fldCharType="begin"/>
        </w:r>
        <w:r>
          <w:instrText xml:space="preserve"> PAGE   \* MERGEFORMAT </w:instrText>
        </w:r>
        <w:r>
          <w:fldChar w:fldCharType="separate"/>
        </w:r>
        <w:r>
          <w:t>116</w:t>
        </w:r>
        <w:r>
          <w:fldChar w:fldCharType="end"/>
        </w:r>
      </w:p>
    </w:sdtContent>
  </w:sdt>
  <w:p w14:paraId="7B0266EA" w14:textId="5BBB9CCB" w:rsidR="006578ED" w:rsidRDefault="006578ED">
    <w:pPr>
      <w:pStyle w:val="Footer"/>
      <w:jc w:val="cen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8C58E" w14:textId="77777777" w:rsidR="006578ED" w:rsidRDefault="006578ED">
    <w:pPr>
      <w:pStyle w:val="FooterLandscape"/>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886D5" w14:textId="77777777" w:rsidR="006578ED" w:rsidRDefault="006578E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660983"/>
      <w:docPartObj>
        <w:docPartGallery w:val="Page Numbers (Bottom of Page)"/>
        <w:docPartUnique/>
      </w:docPartObj>
    </w:sdtPr>
    <w:sdtEndPr>
      <w:rPr>
        <w:noProof/>
      </w:rPr>
    </w:sdtEndPr>
    <w:sdtContent>
      <w:p w14:paraId="72B3C016" w14:textId="60FE3639" w:rsidR="006578ED" w:rsidRDefault="00A1618E">
        <w:pPr>
          <w:pStyle w:val="P68B1DB1-Footer49"/>
          <w:jc w:val="center"/>
        </w:pPr>
        <w:r>
          <w:fldChar w:fldCharType="begin"/>
        </w:r>
        <w:r>
          <w:instrText xml:space="preserve"> PAGE   \* MERGEFORMAT </w:instrText>
        </w:r>
        <w:r>
          <w:fldChar w:fldCharType="separate"/>
        </w:r>
        <w:r w:rsidR="00B73209">
          <w:rPr>
            <w:noProof/>
          </w:rPr>
          <w:t>17</w:t>
        </w:r>
        <w:r>
          <w:fldChar w:fldCharType="end"/>
        </w:r>
      </w:p>
    </w:sdtContent>
  </w:sdt>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099661"/>
      <w:docPartObj>
        <w:docPartGallery w:val="Page Numbers (Bottom of Page)"/>
        <w:docPartUnique/>
      </w:docPartObj>
    </w:sdtPr>
    <w:sdtEndPr>
      <w:rPr>
        <w:noProof/>
      </w:rPr>
    </w:sdtEndPr>
    <w:sdtContent>
      <w:p w14:paraId="210FE53E" w14:textId="260CBC4D" w:rsidR="006578ED" w:rsidRDefault="00A1618E">
        <w:pPr>
          <w:pStyle w:val="Footer"/>
          <w:jc w:val="center"/>
        </w:pPr>
        <w:r>
          <w:fldChar w:fldCharType="begin"/>
        </w:r>
        <w:r>
          <w:instrText xml:space="preserve"> PAGE   \* MERGEFORMAT </w:instrText>
        </w:r>
        <w:r>
          <w:fldChar w:fldCharType="separate"/>
        </w:r>
        <w:r>
          <w:t>134</w:t>
        </w:r>
        <w:r>
          <w:fldChar w:fldCharType="end"/>
        </w:r>
      </w:p>
    </w:sdtContent>
  </w:sdt>
  <w:p w14:paraId="2720AE6E" w14:textId="77777777" w:rsidR="006578ED" w:rsidRDefault="006578ED">
    <w:pPr>
      <w:pStyle w:val="FooterLandscape"/>
      <w:ind w:left="0"/>
      <w:rPr>
        <w:rFonts w:ascii="Arial" w:hAnsi="Arial" w:cs="Arial"/>
        <w:b/>
        <w:sz w:val="20"/>
      </w:rP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6CCE4" w14:textId="77777777" w:rsidR="006578ED" w:rsidRDefault="006578ED">
    <w:pPr>
      <w:pStyle w:val="FooterLandscape"/>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A8A25" w14:textId="77777777" w:rsidR="006578ED" w:rsidRDefault="006578ED">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098542"/>
      <w:docPartObj>
        <w:docPartGallery w:val="Page Numbers (Bottom of Page)"/>
        <w:docPartUnique/>
      </w:docPartObj>
    </w:sdtPr>
    <w:sdtEndPr>
      <w:rPr>
        <w:noProof/>
      </w:rPr>
    </w:sdtEndPr>
    <w:sdtContent>
      <w:p w14:paraId="18F06A3D" w14:textId="79575EEA" w:rsidR="006578ED" w:rsidRDefault="00A1618E">
        <w:pPr>
          <w:pStyle w:val="Footer"/>
          <w:jc w:val="center"/>
        </w:pPr>
        <w:r>
          <w:fldChar w:fldCharType="begin"/>
        </w:r>
        <w:r>
          <w:instrText xml:space="preserve"> PAGE   \* MERGEFORMAT </w:instrText>
        </w:r>
        <w:r>
          <w:fldChar w:fldCharType="separate"/>
        </w:r>
        <w:r>
          <w:t>135</w:t>
        </w:r>
        <w:r>
          <w:fldChar w:fldCharType="end"/>
        </w:r>
      </w:p>
    </w:sdtContent>
  </w:sdt>
  <w:p w14:paraId="5F96876A" w14:textId="77777777" w:rsidR="006578ED" w:rsidRDefault="006578ED">
    <w:pPr>
      <w:pStyle w:val="FooterLandscape"/>
      <w:ind w:left="0"/>
      <w:rPr>
        <w:rFonts w:ascii="Arial" w:hAnsi="Arial" w:cs="Arial"/>
        <w:b/>
        <w:sz w:val="20"/>
      </w:rP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CCDF1" w14:textId="77777777" w:rsidR="006578ED" w:rsidRDefault="006578ED">
    <w:pPr>
      <w:pStyle w:val="FooterLandscape"/>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7BC96" w14:textId="77777777" w:rsidR="006578ED" w:rsidRDefault="006578ED">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1974439"/>
      <w:docPartObj>
        <w:docPartGallery w:val="Page Numbers (Bottom of Page)"/>
        <w:docPartUnique/>
      </w:docPartObj>
    </w:sdtPr>
    <w:sdtEndPr>
      <w:rPr>
        <w:noProof/>
      </w:rPr>
    </w:sdtEndPr>
    <w:sdtContent>
      <w:p w14:paraId="372E582A" w14:textId="1AE22DF6" w:rsidR="006578ED" w:rsidRDefault="00A1618E">
        <w:pPr>
          <w:pStyle w:val="Footer"/>
          <w:jc w:val="center"/>
        </w:pPr>
        <w:r>
          <w:fldChar w:fldCharType="begin"/>
        </w:r>
        <w:r>
          <w:instrText xml:space="preserve"> PAGE   \* MERGEFORMAT </w:instrText>
        </w:r>
        <w:r>
          <w:fldChar w:fldCharType="separate"/>
        </w:r>
        <w:r>
          <w:t>141</w:t>
        </w:r>
        <w:r>
          <w:fldChar w:fldCharType="end"/>
        </w:r>
      </w:p>
    </w:sdtContent>
  </w:sdt>
  <w:p w14:paraId="4D36BE21" w14:textId="77777777" w:rsidR="006578ED" w:rsidRDefault="006578ED">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55E4" w14:textId="77777777" w:rsidR="006578ED" w:rsidRDefault="006578ED">
    <w:pPr>
      <w:pStyle w:val="FooterLandscape"/>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A6CB0" w14:textId="77777777" w:rsidR="006578ED" w:rsidRDefault="006578ED">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765985"/>
      <w:docPartObj>
        <w:docPartGallery w:val="Page Numbers (Bottom of Page)"/>
        <w:docPartUnique/>
      </w:docPartObj>
    </w:sdtPr>
    <w:sdtEndPr>
      <w:rPr>
        <w:noProof/>
      </w:rPr>
    </w:sdtEndPr>
    <w:sdtContent>
      <w:p w14:paraId="3E7CB7B9" w14:textId="387433BC" w:rsidR="006578ED" w:rsidRDefault="00A1618E">
        <w:pPr>
          <w:pStyle w:val="Footer"/>
          <w:jc w:val="center"/>
        </w:pPr>
        <w:r>
          <w:fldChar w:fldCharType="begin"/>
        </w:r>
        <w:r>
          <w:instrText xml:space="preserve"> PAGE   \* MERGEFORMAT </w:instrText>
        </w:r>
        <w:r>
          <w:fldChar w:fldCharType="separate"/>
        </w:r>
        <w:r>
          <w:t>152</w:t>
        </w:r>
        <w:r>
          <w:fldChar w:fldCharType="end"/>
        </w:r>
      </w:p>
    </w:sdtContent>
  </w:sdt>
  <w:p w14:paraId="44FC6E97" w14:textId="6BEEAD56" w:rsidR="006578ED" w:rsidRDefault="006578ED">
    <w:pPr>
      <w:pStyle w:val="Footer"/>
      <w:ind w:left="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BFDB1" w14:textId="77777777" w:rsidR="006578ED" w:rsidRDefault="006578ED">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C590C" w14:textId="77777777" w:rsidR="006578ED" w:rsidRDefault="006578ED">
    <w:pPr>
      <w:pStyle w:val="FooterLandscape"/>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6200" w14:textId="77777777" w:rsidR="006578ED" w:rsidRDefault="006578ED">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586842"/>
      <w:docPartObj>
        <w:docPartGallery w:val="Page Numbers (Bottom of Page)"/>
        <w:docPartUnique/>
      </w:docPartObj>
    </w:sdtPr>
    <w:sdtEndPr>
      <w:rPr>
        <w:noProof/>
      </w:rPr>
    </w:sdtEndPr>
    <w:sdtContent>
      <w:p w14:paraId="3B527266" w14:textId="27E13424" w:rsidR="006578ED" w:rsidRDefault="00A1618E">
        <w:pPr>
          <w:pStyle w:val="Footer"/>
          <w:jc w:val="center"/>
        </w:pPr>
        <w:r>
          <w:fldChar w:fldCharType="begin"/>
        </w:r>
        <w:r>
          <w:instrText xml:space="preserve"> PAGE   \* MERGEFORMAT </w:instrText>
        </w:r>
        <w:r>
          <w:fldChar w:fldCharType="separate"/>
        </w:r>
        <w:r>
          <w:t>153</w:t>
        </w:r>
        <w:r>
          <w:fldChar w:fldCharType="end"/>
        </w:r>
      </w:p>
    </w:sdtContent>
  </w:sdt>
  <w:p w14:paraId="13FCB833" w14:textId="77777777" w:rsidR="006578ED" w:rsidRDefault="006578ED">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D6517" w14:textId="77777777" w:rsidR="006578ED" w:rsidRDefault="006578ED">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A15B0" w14:textId="77777777" w:rsidR="006578ED" w:rsidRDefault="006578ED">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527556"/>
      <w:docPartObj>
        <w:docPartGallery w:val="Page Numbers (Bottom of Page)"/>
        <w:docPartUnique/>
      </w:docPartObj>
    </w:sdtPr>
    <w:sdtEndPr>
      <w:rPr>
        <w:noProof/>
      </w:rPr>
    </w:sdtEndPr>
    <w:sdtContent>
      <w:p w14:paraId="310B17E9" w14:textId="059A09BF" w:rsidR="006578ED" w:rsidRDefault="00A1618E">
        <w:pPr>
          <w:pStyle w:val="Footer"/>
          <w:jc w:val="center"/>
        </w:pPr>
        <w:r>
          <w:fldChar w:fldCharType="begin"/>
        </w:r>
        <w:r>
          <w:instrText xml:space="preserve"> PAGE   \* MERGEFORMAT </w:instrText>
        </w:r>
        <w:r>
          <w:fldChar w:fldCharType="separate"/>
        </w:r>
        <w:r>
          <w:t>160</w:t>
        </w:r>
        <w:r>
          <w:fldChar w:fldCharType="end"/>
        </w:r>
      </w:p>
    </w:sdtContent>
  </w:sdt>
  <w:p w14:paraId="319EA95A" w14:textId="77777777" w:rsidR="006578ED" w:rsidRDefault="006578ED">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D22CA" w14:textId="77777777" w:rsidR="006578ED" w:rsidRDefault="006578ED">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F965" w14:textId="77777777" w:rsidR="006578ED" w:rsidRDefault="006578ED">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01527"/>
      <w:docPartObj>
        <w:docPartGallery w:val="Page Numbers (Bottom of Page)"/>
        <w:docPartUnique/>
      </w:docPartObj>
    </w:sdtPr>
    <w:sdtEndPr>
      <w:rPr>
        <w:noProof/>
      </w:rPr>
    </w:sdtEndPr>
    <w:sdtContent>
      <w:p w14:paraId="37F086F1" w14:textId="70839971" w:rsidR="006578ED" w:rsidRDefault="00A1618E">
        <w:pPr>
          <w:pStyle w:val="Footer"/>
          <w:jc w:val="center"/>
        </w:pPr>
        <w:r>
          <w:fldChar w:fldCharType="begin"/>
        </w:r>
        <w:r>
          <w:instrText xml:space="preserve"> PAGE   \* MERGEFORMAT </w:instrText>
        </w:r>
        <w:r>
          <w:fldChar w:fldCharType="separate"/>
        </w:r>
        <w:r>
          <w:t>163</w:t>
        </w:r>
        <w:r>
          <w:fldChar w:fldCharType="end"/>
        </w:r>
      </w:p>
    </w:sdtContent>
  </w:sdt>
  <w:p w14:paraId="2175A671" w14:textId="77777777" w:rsidR="006578ED" w:rsidRDefault="006578ED">
    <w:pPr>
      <w:pStyle w:val="FooterLandscape"/>
      <w:rPr>
        <w:rFonts w:ascii="Arial" w:hAnsi="Arial" w:cs="Arial"/>
        <w:b/>
      </w:rP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313C" w14:textId="77777777" w:rsidR="006578ED" w:rsidRDefault="006578E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F163C" w14:textId="77777777" w:rsidR="006578ED" w:rsidRDefault="006578ED">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468BD" w14:textId="77777777" w:rsidR="006578ED" w:rsidRDefault="006578ED">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576163"/>
      <w:docPartObj>
        <w:docPartGallery w:val="Page Numbers (Bottom of Page)"/>
        <w:docPartUnique/>
      </w:docPartObj>
    </w:sdtPr>
    <w:sdtEndPr>
      <w:rPr>
        <w:noProof/>
      </w:rPr>
    </w:sdtEndPr>
    <w:sdtContent>
      <w:p w14:paraId="4F349A1A" w14:textId="01748E80" w:rsidR="006578ED" w:rsidRDefault="00A1618E">
        <w:pPr>
          <w:pStyle w:val="Footer"/>
          <w:jc w:val="center"/>
        </w:pPr>
        <w:r>
          <w:fldChar w:fldCharType="begin"/>
        </w:r>
        <w:r>
          <w:instrText xml:space="preserve"> PAGE   \* MERGEFORMAT </w:instrText>
        </w:r>
        <w:r>
          <w:fldChar w:fldCharType="separate"/>
        </w:r>
        <w:r>
          <w:t>164</w:t>
        </w:r>
        <w:r>
          <w:fldChar w:fldCharType="end"/>
        </w:r>
      </w:p>
    </w:sdtContent>
  </w:sdt>
  <w:p w14:paraId="32CC4AF9" w14:textId="15DCB5BC" w:rsidR="006578ED" w:rsidRDefault="006578ED">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FE793" w14:textId="77777777" w:rsidR="006578ED" w:rsidRDefault="006578ED">
    <w:pPr>
      <w:pStyle w:val="FooterLandscape"/>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5EAC" w14:textId="77777777" w:rsidR="006578ED" w:rsidRDefault="006578ED">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057355"/>
      <w:docPartObj>
        <w:docPartGallery w:val="Page Numbers (Bottom of Page)"/>
        <w:docPartUnique/>
      </w:docPartObj>
    </w:sdtPr>
    <w:sdtEndPr>
      <w:rPr>
        <w:noProof/>
      </w:rPr>
    </w:sdtEndPr>
    <w:sdtContent>
      <w:p w14:paraId="4225757E" w14:textId="6F8B7B1F" w:rsidR="006578ED" w:rsidRDefault="00A1618E">
        <w:pPr>
          <w:pStyle w:val="Footer"/>
          <w:jc w:val="center"/>
        </w:pPr>
        <w:r>
          <w:fldChar w:fldCharType="begin"/>
        </w:r>
        <w:r>
          <w:instrText xml:space="preserve"> PAGE   \* MERGEFORMAT </w:instrText>
        </w:r>
        <w:r>
          <w:fldChar w:fldCharType="separate"/>
        </w:r>
        <w:r>
          <w:t>177</w:t>
        </w:r>
        <w:r>
          <w:fldChar w:fldCharType="end"/>
        </w:r>
      </w:p>
    </w:sdtContent>
  </w:sdt>
  <w:p w14:paraId="53A2E388" w14:textId="77777777" w:rsidR="006578ED" w:rsidRDefault="006578ED">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7B3C1" w14:textId="77777777" w:rsidR="006578ED" w:rsidRDefault="006578ED">
    <w:pPr>
      <w:pStyle w:val="FooterLandscape"/>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08044" w14:textId="77777777" w:rsidR="006578ED" w:rsidRDefault="006578ED">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123526"/>
      <w:docPartObj>
        <w:docPartGallery w:val="Page Numbers (Bottom of Page)"/>
        <w:docPartUnique/>
      </w:docPartObj>
    </w:sdtPr>
    <w:sdtEndPr>
      <w:rPr>
        <w:noProof/>
      </w:rPr>
    </w:sdtEndPr>
    <w:sdtContent>
      <w:p w14:paraId="1ED93B15" w14:textId="54FF3E10" w:rsidR="006578ED" w:rsidRDefault="00A1618E">
        <w:pPr>
          <w:pStyle w:val="Footer"/>
          <w:jc w:val="center"/>
        </w:pPr>
        <w:r>
          <w:fldChar w:fldCharType="begin"/>
        </w:r>
        <w:r>
          <w:instrText xml:space="preserve"> PAGE   \* MERGEFORMAT </w:instrText>
        </w:r>
        <w:r>
          <w:fldChar w:fldCharType="separate"/>
        </w:r>
        <w:r>
          <w:t>187</w:t>
        </w:r>
        <w:r>
          <w:fldChar w:fldCharType="end"/>
        </w:r>
      </w:p>
    </w:sdtContent>
  </w:sdt>
  <w:p w14:paraId="4BAD018D" w14:textId="77777777" w:rsidR="006578ED" w:rsidRDefault="006578ED">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0ED47" w14:textId="77777777" w:rsidR="006578ED" w:rsidRDefault="006578ED">
    <w:pPr>
      <w:pStyle w:val="FooterLandscape"/>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090EE" w14:textId="77777777" w:rsidR="006578ED" w:rsidRDefault="006578E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976782"/>
      <w:docPartObj>
        <w:docPartGallery w:val="Page Numbers (Bottom of Page)"/>
        <w:docPartUnique/>
      </w:docPartObj>
    </w:sdtPr>
    <w:sdtEndPr>
      <w:rPr>
        <w:noProof/>
      </w:rPr>
    </w:sdtEndPr>
    <w:sdtContent>
      <w:p w14:paraId="18B87726" w14:textId="3F9CD65E" w:rsidR="006578ED" w:rsidRDefault="00A1618E">
        <w:pPr>
          <w:pStyle w:val="P68B1DB1-Footer49"/>
          <w:jc w:val="center"/>
        </w:pPr>
        <w:r>
          <w:fldChar w:fldCharType="begin"/>
        </w:r>
        <w:r>
          <w:instrText xml:space="preserve"> PAGE   \* MERGEFORMAT </w:instrText>
        </w:r>
        <w:r>
          <w:fldChar w:fldCharType="separate"/>
        </w:r>
        <w:r w:rsidR="00B73209">
          <w:rPr>
            <w:noProof/>
          </w:rPr>
          <w:t>18</w:t>
        </w:r>
        <w:r>
          <w:fldChar w:fldCharType="end"/>
        </w:r>
      </w:p>
    </w:sdtContent>
  </w:sdt>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343190"/>
      <w:docPartObj>
        <w:docPartGallery w:val="Page Numbers (Bottom of Page)"/>
        <w:docPartUnique/>
      </w:docPartObj>
    </w:sdtPr>
    <w:sdtEndPr>
      <w:rPr>
        <w:noProof/>
      </w:rPr>
    </w:sdtEndPr>
    <w:sdtContent>
      <w:p w14:paraId="75609BFD" w14:textId="5EFCBD1C" w:rsidR="006578ED" w:rsidRDefault="00A1618E">
        <w:pPr>
          <w:pStyle w:val="Footer"/>
          <w:jc w:val="center"/>
        </w:pPr>
        <w:r>
          <w:fldChar w:fldCharType="begin"/>
        </w:r>
        <w:r>
          <w:instrText xml:space="preserve"> PAGE   \* MERGEFORMAT </w:instrText>
        </w:r>
        <w:r>
          <w:fldChar w:fldCharType="separate"/>
        </w:r>
        <w:r>
          <w:t>210</w:t>
        </w:r>
        <w:r>
          <w:fldChar w:fldCharType="end"/>
        </w:r>
      </w:p>
    </w:sdtContent>
  </w:sdt>
  <w:p w14:paraId="576C5D7B" w14:textId="77777777" w:rsidR="006578ED" w:rsidRDefault="006578ED">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5CD44" w14:textId="77777777" w:rsidR="006578ED" w:rsidRDefault="006578ED">
    <w:pPr>
      <w:pStyle w:val="FooterLandscape"/>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3D84" w14:textId="77777777" w:rsidR="006578ED" w:rsidRDefault="006578ED">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503217"/>
      <w:docPartObj>
        <w:docPartGallery w:val="Page Numbers (Bottom of Page)"/>
        <w:docPartUnique/>
      </w:docPartObj>
    </w:sdtPr>
    <w:sdtEndPr>
      <w:rPr>
        <w:noProof/>
      </w:rPr>
    </w:sdtEndPr>
    <w:sdtContent>
      <w:p w14:paraId="7D0A95E6" w14:textId="20EFB816" w:rsidR="006578ED" w:rsidRDefault="00A1618E">
        <w:pPr>
          <w:pStyle w:val="Footer"/>
          <w:jc w:val="center"/>
        </w:pPr>
        <w:r>
          <w:fldChar w:fldCharType="begin"/>
        </w:r>
        <w:r>
          <w:instrText xml:space="preserve"> PAGE   \* MERGEFORMAT </w:instrText>
        </w:r>
        <w:r>
          <w:fldChar w:fldCharType="separate"/>
        </w:r>
        <w:r>
          <w:t>218</w:t>
        </w:r>
        <w:r>
          <w:fldChar w:fldCharType="end"/>
        </w:r>
      </w:p>
    </w:sdtContent>
  </w:sdt>
  <w:p w14:paraId="6D397B69" w14:textId="0CF305B0" w:rsidR="006578ED" w:rsidRDefault="006578ED">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F0528" w14:textId="77777777" w:rsidR="006578ED" w:rsidRDefault="006578ED">
    <w:pPr>
      <w:pStyle w:val="FooterLandscape"/>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B2780" w14:textId="77777777" w:rsidR="006578ED" w:rsidRDefault="006578ED">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206396"/>
      <w:docPartObj>
        <w:docPartGallery w:val="Page Numbers (Bottom of Page)"/>
        <w:docPartUnique/>
      </w:docPartObj>
    </w:sdtPr>
    <w:sdtEndPr>
      <w:rPr>
        <w:noProof/>
      </w:rPr>
    </w:sdtEndPr>
    <w:sdtContent>
      <w:p w14:paraId="21E41CC1" w14:textId="2775E076" w:rsidR="006578ED" w:rsidRDefault="00A1618E">
        <w:pPr>
          <w:pStyle w:val="Footer"/>
          <w:jc w:val="center"/>
        </w:pPr>
        <w:r>
          <w:fldChar w:fldCharType="begin"/>
        </w:r>
        <w:r>
          <w:instrText xml:space="preserve"> PAGE   \* MERGEFORMAT </w:instrText>
        </w:r>
        <w:r>
          <w:fldChar w:fldCharType="separate"/>
        </w:r>
        <w:r>
          <w:t>224</w:t>
        </w:r>
        <w:r>
          <w:fldChar w:fldCharType="end"/>
        </w:r>
      </w:p>
    </w:sdtContent>
  </w:sdt>
  <w:p w14:paraId="28389508" w14:textId="7790FC53" w:rsidR="006578ED" w:rsidRDefault="006578ED">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7B1E" w14:textId="77777777" w:rsidR="006578ED" w:rsidRDefault="006578ED">
    <w:pPr>
      <w:pStyle w:val="FooterLandscape"/>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437D5" w14:textId="77777777" w:rsidR="006578ED" w:rsidRDefault="006578ED">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77242"/>
      <w:docPartObj>
        <w:docPartGallery w:val="Page Numbers (Bottom of Page)"/>
        <w:docPartUnique/>
      </w:docPartObj>
    </w:sdtPr>
    <w:sdtEndPr>
      <w:rPr>
        <w:noProof/>
      </w:rPr>
    </w:sdtEndPr>
    <w:sdtContent>
      <w:p w14:paraId="7418D2CA" w14:textId="7030D8BE" w:rsidR="006578ED" w:rsidRDefault="00A1618E">
        <w:pPr>
          <w:pStyle w:val="Footer"/>
          <w:jc w:val="center"/>
        </w:pPr>
        <w:r>
          <w:fldChar w:fldCharType="begin"/>
        </w:r>
        <w:r>
          <w:instrText xml:space="preserve"> PAGE   \* MERGEFORMAT </w:instrText>
        </w:r>
        <w:r>
          <w:fldChar w:fldCharType="separate"/>
        </w:r>
        <w:r>
          <w:t>228</w:t>
        </w:r>
        <w:r>
          <w:fldChar w:fldCharType="end"/>
        </w:r>
      </w:p>
    </w:sdtContent>
  </w:sdt>
  <w:p w14:paraId="48C8C421" w14:textId="36EEE6CE" w:rsidR="006578ED" w:rsidRDefault="006578ED">
    <w:pPr>
      <w:pStyle w:val="Footer"/>
      <w:tabs>
        <w:tab w:val="clear" w:pos="4535"/>
        <w:tab w:val="center" w:pos="4536"/>
        <w:tab w:val="left" w:pos="5080"/>
      </w:tabs>
      <w:ind w:left="0"/>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2F9C4" w14:textId="77777777" w:rsidR="006578ED" w:rsidRDefault="006578ED">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72D5D" w14:textId="77777777" w:rsidR="006578ED" w:rsidRDefault="006578ED">
    <w:pPr>
      <w:pStyle w:val="FooterLandscape"/>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A67D0" w14:textId="77777777" w:rsidR="006578ED" w:rsidRDefault="006578ED">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015163"/>
      <w:docPartObj>
        <w:docPartGallery w:val="Page Numbers (Bottom of Page)"/>
        <w:docPartUnique/>
      </w:docPartObj>
    </w:sdtPr>
    <w:sdtEndPr>
      <w:rPr>
        <w:noProof/>
      </w:rPr>
    </w:sdtEndPr>
    <w:sdtContent>
      <w:p w14:paraId="70B72CD2" w14:textId="1CF7F4FA" w:rsidR="006578ED" w:rsidRDefault="00A1618E">
        <w:pPr>
          <w:pStyle w:val="Footer"/>
          <w:jc w:val="center"/>
        </w:pPr>
        <w:r>
          <w:fldChar w:fldCharType="begin"/>
        </w:r>
        <w:r>
          <w:instrText xml:space="preserve"> PAGE   \* MERGEFORMAT </w:instrText>
        </w:r>
        <w:r>
          <w:fldChar w:fldCharType="separate"/>
        </w:r>
        <w:r>
          <w:t>233</w:t>
        </w:r>
        <w:r>
          <w:fldChar w:fldCharType="end"/>
        </w:r>
      </w:p>
    </w:sdtContent>
  </w:sdt>
  <w:p w14:paraId="135FD20E" w14:textId="4F090939" w:rsidR="006578ED" w:rsidRDefault="006578ED">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20250" w14:textId="77777777" w:rsidR="006578ED" w:rsidRDefault="006578ED">
    <w:pPr>
      <w:pStyle w:val="FooterLandscape"/>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07F61" w14:textId="77777777" w:rsidR="006578ED" w:rsidRDefault="006578ED">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8413232"/>
      <w:docPartObj>
        <w:docPartGallery w:val="Page Numbers (Bottom of Page)"/>
        <w:docPartUnique/>
      </w:docPartObj>
    </w:sdtPr>
    <w:sdtEndPr>
      <w:rPr>
        <w:noProof/>
      </w:rPr>
    </w:sdtEndPr>
    <w:sdtContent>
      <w:p w14:paraId="6C386728" w14:textId="77777777" w:rsidR="006578ED" w:rsidRDefault="00A1618E">
        <w:pPr>
          <w:pStyle w:val="Footer"/>
          <w:jc w:val="center"/>
        </w:pPr>
        <w:r>
          <w:fldChar w:fldCharType="begin"/>
        </w:r>
        <w:r>
          <w:instrText xml:space="preserve"> PAGE   \* MERGEFORMAT </w:instrText>
        </w:r>
        <w:r>
          <w:fldChar w:fldCharType="separate"/>
        </w:r>
        <w:r>
          <w:t>233</w:t>
        </w:r>
        <w:r>
          <w:fldChar w:fldCharType="end"/>
        </w:r>
      </w:p>
    </w:sdtContent>
  </w:sdt>
  <w:p w14:paraId="4ADA49AA" w14:textId="77777777" w:rsidR="006578ED" w:rsidRDefault="006578ED">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ED0D2" w14:textId="77777777" w:rsidR="006578ED" w:rsidRDefault="006578ED">
    <w:pPr>
      <w:pStyle w:val="FooterLandscape"/>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B1C56" w14:textId="77777777" w:rsidR="006578ED" w:rsidRDefault="006578ED">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52350"/>
      <w:docPartObj>
        <w:docPartGallery w:val="Page Numbers (Bottom of Page)"/>
        <w:docPartUnique/>
      </w:docPartObj>
    </w:sdtPr>
    <w:sdtEndPr>
      <w:rPr>
        <w:noProof/>
      </w:rPr>
    </w:sdtEndPr>
    <w:sdtContent>
      <w:p w14:paraId="7AA5EE2E" w14:textId="6F7DC959" w:rsidR="006578ED" w:rsidRDefault="00A1618E">
        <w:pPr>
          <w:pStyle w:val="Footer"/>
          <w:jc w:val="center"/>
        </w:pPr>
        <w:r>
          <w:fldChar w:fldCharType="begin"/>
        </w:r>
        <w:r>
          <w:instrText xml:space="preserve"> PAGE   \* MERGEFORMAT </w:instrText>
        </w:r>
        <w:r>
          <w:fldChar w:fldCharType="separate"/>
        </w:r>
        <w:r>
          <w:t>239</w:t>
        </w:r>
        <w:r>
          <w:fldChar w:fldCharType="end"/>
        </w:r>
      </w:p>
    </w:sdtContent>
  </w:sdt>
  <w:p w14:paraId="40958AD1" w14:textId="77777777" w:rsidR="006578ED" w:rsidRDefault="006578ED">
    <w:pPr>
      <w:pStyle w:val="FooterLandscape"/>
      <w:rPr>
        <w:b/>
        <w:sz w:val="20"/>
      </w:rP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C6877" w14:textId="77777777" w:rsidR="006578ED" w:rsidRDefault="006578ED">
    <w:pPr>
      <w:pStyle w:val="FooterLandscape"/>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FA9CE" w14:textId="77777777" w:rsidR="006578ED" w:rsidRDefault="006578ED">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9A40F" w14:textId="77777777" w:rsidR="006578ED" w:rsidRDefault="006578ED">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242924"/>
      <w:docPartObj>
        <w:docPartGallery w:val="Page Numbers (Bottom of Page)"/>
        <w:docPartUnique/>
      </w:docPartObj>
    </w:sdtPr>
    <w:sdtEndPr>
      <w:rPr>
        <w:noProof/>
      </w:rPr>
    </w:sdtEndPr>
    <w:sdtContent>
      <w:p w14:paraId="3F003FA4" w14:textId="47A253D1" w:rsidR="006578ED" w:rsidRDefault="00A1618E">
        <w:pPr>
          <w:pStyle w:val="Footer"/>
          <w:jc w:val="center"/>
        </w:pPr>
        <w:r>
          <w:fldChar w:fldCharType="begin"/>
        </w:r>
        <w:r>
          <w:instrText xml:space="preserve"> PAGE   \* MERGEFORMAT </w:instrText>
        </w:r>
        <w:r>
          <w:fldChar w:fldCharType="separate"/>
        </w:r>
        <w:r>
          <w:t>241</w:t>
        </w:r>
        <w:r>
          <w:fldChar w:fldCharType="end"/>
        </w:r>
      </w:p>
    </w:sdtContent>
  </w:sdt>
  <w:p w14:paraId="56BE887B" w14:textId="5958CEBE" w:rsidR="006578ED" w:rsidRDefault="006578ED">
    <w:pPr>
      <w:pStyle w:val="FooterLandscape"/>
      <w:ind w:left="0"/>
      <w:rPr>
        <w:b/>
        <w:sz w:val="20"/>
      </w:rP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90FAC" w14:textId="77777777" w:rsidR="006578ED" w:rsidRDefault="006578ED">
    <w:pPr>
      <w:pStyle w:val="FooterLandscape"/>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1C07F" w14:textId="77777777" w:rsidR="006578ED" w:rsidRDefault="006578ED">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0237091"/>
      <w:docPartObj>
        <w:docPartGallery w:val="Page Numbers (Bottom of Page)"/>
        <w:docPartUnique/>
      </w:docPartObj>
    </w:sdtPr>
    <w:sdtEndPr>
      <w:rPr>
        <w:noProof/>
      </w:rPr>
    </w:sdtEndPr>
    <w:sdtContent>
      <w:p w14:paraId="3DB7F316" w14:textId="397655C3" w:rsidR="006578ED" w:rsidRDefault="00A1618E">
        <w:pPr>
          <w:pStyle w:val="Footer"/>
          <w:jc w:val="center"/>
        </w:pPr>
        <w:r>
          <w:fldChar w:fldCharType="begin"/>
        </w:r>
        <w:r>
          <w:instrText xml:space="preserve"> PAGE   \* MERGEFORMAT </w:instrText>
        </w:r>
        <w:r>
          <w:fldChar w:fldCharType="separate"/>
        </w:r>
        <w:r>
          <w:t>243</w:t>
        </w:r>
        <w:r>
          <w:fldChar w:fldCharType="end"/>
        </w:r>
      </w:p>
    </w:sdtContent>
  </w:sdt>
  <w:p w14:paraId="52914C29" w14:textId="71BF6644" w:rsidR="006578ED" w:rsidRDefault="006578ED">
    <w:pPr>
      <w:pStyle w:val="Footer"/>
      <w:ind w:left="0"/>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B5C6D" w14:textId="77777777" w:rsidR="006578ED" w:rsidRDefault="006578ED">
    <w:pPr>
      <w:pStyle w:val="FooterLandscape"/>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9C0E6" w14:textId="77777777" w:rsidR="006578ED" w:rsidRDefault="006578ED">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797202"/>
      <w:docPartObj>
        <w:docPartGallery w:val="Page Numbers (Bottom of Page)"/>
        <w:docPartUnique/>
      </w:docPartObj>
    </w:sdtPr>
    <w:sdtEndPr>
      <w:rPr>
        <w:noProof/>
      </w:rPr>
    </w:sdtEndPr>
    <w:sdtContent>
      <w:p w14:paraId="3DCE9158" w14:textId="0BC4F5B5" w:rsidR="006578ED" w:rsidRDefault="00A1618E">
        <w:pPr>
          <w:pStyle w:val="Footer"/>
          <w:jc w:val="center"/>
        </w:pPr>
        <w:r>
          <w:fldChar w:fldCharType="begin"/>
        </w:r>
        <w:r>
          <w:instrText xml:space="preserve"> PAGE   \* MERGEFORMAT </w:instrText>
        </w:r>
        <w:r>
          <w:fldChar w:fldCharType="separate"/>
        </w:r>
        <w:r>
          <w:t>246</w:t>
        </w:r>
        <w:r>
          <w:fldChar w:fldCharType="end"/>
        </w:r>
      </w:p>
    </w:sdtContent>
  </w:sdt>
  <w:p w14:paraId="4F6F49C5" w14:textId="4C04849E" w:rsidR="006578ED" w:rsidRDefault="006578ED">
    <w:pPr>
      <w:pStyle w:val="Footer"/>
      <w:ind w:left="0"/>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61E77" w14:textId="77777777" w:rsidR="006578ED" w:rsidRDefault="006578ED">
    <w:pPr>
      <w:pStyle w:val="FooterLandscape"/>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4D40" w14:textId="77777777" w:rsidR="006578ED" w:rsidRDefault="006578E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866895"/>
      <w:docPartObj>
        <w:docPartGallery w:val="Page Numbers (Bottom of Page)"/>
        <w:docPartUnique/>
      </w:docPartObj>
    </w:sdtPr>
    <w:sdtEndPr>
      <w:rPr>
        <w:noProof/>
      </w:rPr>
    </w:sdtEndPr>
    <w:sdtContent>
      <w:p w14:paraId="2FE190ED" w14:textId="75F2A778" w:rsidR="006578ED" w:rsidRDefault="00A1618E">
        <w:pPr>
          <w:pStyle w:val="P68B1DB1-Footer49"/>
          <w:jc w:val="center"/>
        </w:pPr>
        <w:r>
          <w:fldChar w:fldCharType="begin"/>
        </w:r>
        <w:r>
          <w:instrText xml:space="preserve"> PAGE   \* MERGEFORMAT </w:instrText>
        </w:r>
        <w:r>
          <w:fldChar w:fldCharType="separate"/>
        </w:r>
        <w:r w:rsidR="00B73209">
          <w:rPr>
            <w:noProof/>
          </w:rPr>
          <w:t>21</w:t>
        </w:r>
        <w:r>
          <w:fldChar w:fldCharType="end"/>
        </w:r>
      </w:p>
    </w:sdtContent>
  </w:sdt>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86432"/>
      <w:docPartObj>
        <w:docPartGallery w:val="Page Numbers (Bottom of Page)"/>
        <w:docPartUnique/>
      </w:docPartObj>
    </w:sdtPr>
    <w:sdtEndPr>
      <w:rPr>
        <w:noProof/>
      </w:rPr>
    </w:sdtEndPr>
    <w:sdtContent>
      <w:p w14:paraId="1A8C6B19" w14:textId="1E12C865" w:rsidR="006578ED" w:rsidRDefault="00A1618E">
        <w:pPr>
          <w:pStyle w:val="Footer"/>
          <w:jc w:val="center"/>
        </w:pPr>
        <w:r>
          <w:fldChar w:fldCharType="begin"/>
        </w:r>
        <w:r>
          <w:instrText xml:space="preserve"> PAGE   \* MERGEFORMAT </w:instrText>
        </w:r>
        <w:r>
          <w:fldChar w:fldCharType="separate"/>
        </w:r>
        <w:r>
          <w:t>248</w:t>
        </w:r>
        <w:r>
          <w:fldChar w:fldCharType="end"/>
        </w:r>
      </w:p>
    </w:sdtContent>
  </w:sdt>
  <w:p w14:paraId="133A571A" w14:textId="67C7C894" w:rsidR="006578ED" w:rsidRDefault="006578ED">
    <w:pPr>
      <w:pStyle w:val="Footer"/>
      <w:tabs>
        <w:tab w:val="clear" w:pos="4535"/>
        <w:tab w:val="center" w:pos="4536"/>
        <w:tab w:val="left" w:pos="6620"/>
      </w:tabs>
      <w:ind w:left="0"/>
      <w:rPr>
        <w:sz w:val="20"/>
      </w:rP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190BA" w14:textId="77777777" w:rsidR="006578ED" w:rsidRDefault="006578ED">
    <w:pPr>
      <w:pStyle w:val="FooterLandscape"/>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3FF4" w14:textId="77777777" w:rsidR="006578ED" w:rsidRDefault="006578ED">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2363749"/>
      <w:docPartObj>
        <w:docPartGallery w:val="Page Numbers (Bottom of Page)"/>
        <w:docPartUnique/>
      </w:docPartObj>
    </w:sdtPr>
    <w:sdtEndPr>
      <w:rPr>
        <w:noProof/>
      </w:rPr>
    </w:sdtEndPr>
    <w:sdtContent>
      <w:p w14:paraId="56FDE200" w14:textId="519E818A" w:rsidR="006578ED" w:rsidRDefault="00A1618E">
        <w:pPr>
          <w:pStyle w:val="Footer"/>
          <w:jc w:val="center"/>
        </w:pPr>
        <w:r>
          <w:fldChar w:fldCharType="begin"/>
        </w:r>
        <w:r>
          <w:instrText xml:space="preserve"> PAGE   \* MERGEFORMAT </w:instrText>
        </w:r>
        <w:r>
          <w:fldChar w:fldCharType="separate"/>
        </w:r>
        <w:r>
          <w:t>259</w:t>
        </w:r>
        <w:r>
          <w:fldChar w:fldCharType="end"/>
        </w:r>
      </w:p>
    </w:sdtContent>
  </w:sdt>
  <w:p w14:paraId="375DCF8C" w14:textId="0835EC02" w:rsidR="006578ED" w:rsidRDefault="006578ED">
    <w:pPr>
      <w:pStyle w:val="Footer"/>
      <w:ind w:left="0"/>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C6442" w14:textId="77777777" w:rsidR="006578ED" w:rsidRDefault="006578ED">
    <w:pPr>
      <w:pStyle w:val="FooterLandscape"/>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B62F" w14:textId="77777777" w:rsidR="006578ED" w:rsidRDefault="006578ED">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212706"/>
      <w:docPartObj>
        <w:docPartGallery w:val="Page Numbers (Bottom of Page)"/>
        <w:docPartUnique/>
      </w:docPartObj>
    </w:sdtPr>
    <w:sdtEndPr>
      <w:rPr>
        <w:noProof/>
      </w:rPr>
    </w:sdtEndPr>
    <w:sdtContent>
      <w:p w14:paraId="219BAF74" w14:textId="48DC6379" w:rsidR="006578ED" w:rsidRDefault="00A1618E">
        <w:pPr>
          <w:pStyle w:val="Footer"/>
          <w:jc w:val="center"/>
        </w:pPr>
        <w:r>
          <w:fldChar w:fldCharType="begin"/>
        </w:r>
        <w:r>
          <w:instrText xml:space="preserve"> PAGE   \* MERGEFORMAT </w:instrText>
        </w:r>
        <w:r>
          <w:fldChar w:fldCharType="separate"/>
        </w:r>
        <w:r>
          <w:t>267</w:t>
        </w:r>
        <w:r>
          <w:fldChar w:fldCharType="end"/>
        </w:r>
      </w:p>
    </w:sdtContent>
  </w:sdt>
  <w:p w14:paraId="5A510734" w14:textId="612FE9BA" w:rsidR="006578ED" w:rsidRDefault="006578ED">
    <w:pPr>
      <w:pStyle w:val="Footer"/>
      <w:tabs>
        <w:tab w:val="left" w:pos="5520"/>
      </w:tabs>
      <w:ind w:left="0"/>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095A6" w14:textId="77777777" w:rsidR="006578ED" w:rsidRDefault="006578ED">
    <w:pPr>
      <w:pStyle w:val="FooterLandscape"/>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1F4CC" w14:textId="77777777" w:rsidR="006578ED" w:rsidRDefault="006578ED">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445163"/>
      <w:docPartObj>
        <w:docPartGallery w:val="Page Numbers (Bottom of Page)"/>
        <w:docPartUnique/>
      </w:docPartObj>
    </w:sdtPr>
    <w:sdtEndPr>
      <w:rPr>
        <w:noProof/>
      </w:rPr>
    </w:sdtEndPr>
    <w:sdtContent>
      <w:p w14:paraId="0AAFA280" w14:textId="711EB63D" w:rsidR="006578ED" w:rsidRDefault="00A1618E">
        <w:pPr>
          <w:pStyle w:val="Footer"/>
          <w:jc w:val="center"/>
        </w:pPr>
        <w:r>
          <w:fldChar w:fldCharType="begin"/>
        </w:r>
        <w:r>
          <w:instrText xml:space="preserve"> PAGE   \* MERGEFORMAT </w:instrText>
        </w:r>
        <w:r>
          <w:fldChar w:fldCharType="separate"/>
        </w:r>
        <w:r>
          <w:t>269</w:t>
        </w:r>
        <w:r>
          <w:fldChar w:fldCharType="end"/>
        </w:r>
      </w:p>
    </w:sdtContent>
  </w:sdt>
  <w:p w14:paraId="0D4121BF" w14:textId="43B1A1E0" w:rsidR="006578ED" w:rsidRDefault="006578E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05A4" w14:textId="77777777" w:rsidR="006578ED" w:rsidRDefault="006578ED">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46611" w14:textId="77777777" w:rsidR="006578ED" w:rsidRDefault="006578ED">
    <w:pPr>
      <w:pStyle w:val="FooterLandscape"/>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D78C4" w14:textId="77777777" w:rsidR="006578ED" w:rsidRDefault="006578ED">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28930"/>
      <w:docPartObj>
        <w:docPartGallery w:val="Page Numbers (Bottom of Page)"/>
        <w:docPartUnique/>
      </w:docPartObj>
    </w:sdtPr>
    <w:sdtEndPr>
      <w:rPr>
        <w:noProof/>
      </w:rPr>
    </w:sdtEndPr>
    <w:sdtContent>
      <w:p w14:paraId="021C4B02" w14:textId="49E0F8B7" w:rsidR="006578ED" w:rsidRDefault="00A1618E">
        <w:pPr>
          <w:pStyle w:val="Footer"/>
          <w:jc w:val="center"/>
        </w:pPr>
        <w:r>
          <w:fldChar w:fldCharType="begin"/>
        </w:r>
        <w:r>
          <w:instrText xml:space="preserve"> PAGE   \* MERGEFORMAT </w:instrText>
        </w:r>
        <w:r>
          <w:fldChar w:fldCharType="separate"/>
        </w:r>
        <w:r>
          <w:t>271</w:t>
        </w:r>
        <w:r>
          <w:fldChar w:fldCharType="end"/>
        </w:r>
      </w:p>
    </w:sdtContent>
  </w:sdt>
  <w:p w14:paraId="383A62CE" w14:textId="60F64F2F" w:rsidR="006578ED" w:rsidRDefault="006578ED">
    <w:pPr>
      <w:pStyle w:val="Footer"/>
      <w:ind w:left="0"/>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1FB52" w14:textId="77777777" w:rsidR="006578ED" w:rsidRDefault="006578ED">
    <w:pPr>
      <w:pStyle w:val="FooterLandscape"/>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F2765" w14:textId="77777777" w:rsidR="006578ED" w:rsidRDefault="006578ED">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75874"/>
      <w:docPartObj>
        <w:docPartGallery w:val="Page Numbers (Bottom of Page)"/>
        <w:docPartUnique/>
      </w:docPartObj>
    </w:sdtPr>
    <w:sdtEndPr>
      <w:rPr>
        <w:noProof/>
      </w:rPr>
    </w:sdtEndPr>
    <w:sdtContent>
      <w:p w14:paraId="5016570B" w14:textId="56B26390" w:rsidR="006578ED" w:rsidRDefault="00A1618E">
        <w:pPr>
          <w:pStyle w:val="Footer"/>
          <w:jc w:val="center"/>
        </w:pPr>
        <w:r>
          <w:fldChar w:fldCharType="begin"/>
        </w:r>
        <w:r>
          <w:instrText xml:space="preserve"> PAGE   \* MERGEFORMAT </w:instrText>
        </w:r>
        <w:r>
          <w:fldChar w:fldCharType="separate"/>
        </w:r>
        <w:r>
          <w:t>277</w:t>
        </w:r>
        <w:r>
          <w:fldChar w:fldCharType="end"/>
        </w:r>
      </w:p>
    </w:sdtContent>
  </w:sdt>
  <w:p w14:paraId="0E2DC08A" w14:textId="25873C05" w:rsidR="006578ED" w:rsidRDefault="006578ED">
    <w:pPr>
      <w:pStyle w:val="FooterLandscape"/>
      <w:ind w:left="0"/>
      <w:rPr>
        <w:rFonts w:ascii="Arial" w:hAnsi="Arial" w:cs="Arial"/>
        <w:b/>
        <w:sz w:val="20"/>
      </w:rP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76B0" w14:textId="77777777" w:rsidR="006578ED" w:rsidRDefault="006578ED">
    <w:pPr>
      <w:pStyle w:val="FooterLandscape"/>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DF2F2" w14:textId="77777777" w:rsidR="006578ED" w:rsidRDefault="006578ED">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471838"/>
      <w:docPartObj>
        <w:docPartGallery w:val="Page Numbers (Bottom of Page)"/>
        <w:docPartUnique/>
      </w:docPartObj>
    </w:sdtPr>
    <w:sdtEndPr>
      <w:rPr>
        <w:noProof/>
      </w:rPr>
    </w:sdtEndPr>
    <w:sdtContent>
      <w:p w14:paraId="7EF688D6" w14:textId="14A27869" w:rsidR="006578ED" w:rsidRDefault="00A1618E">
        <w:pPr>
          <w:pStyle w:val="Footer"/>
          <w:jc w:val="center"/>
        </w:pPr>
        <w:r>
          <w:fldChar w:fldCharType="begin"/>
        </w:r>
        <w:r>
          <w:instrText xml:space="preserve"> PAGE   \* MERGEFORMAT </w:instrText>
        </w:r>
        <w:r>
          <w:fldChar w:fldCharType="separate"/>
        </w:r>
        <w:r>
          <w:t>283</w:t>
        </w:r>
        <w:r>
          <w:fldChar w:fldCharType="end"/>
        </w:r>
      </w:p>
    </w:sdtContent>
  </w:sdt>
  <w:p w14:paraId="4EEB7122" w14:textId="422BA087" w:rsidR="006578ED" w:rsidRDefault="006578ED">
    <w:pPr>
      <w:pStyle w:val="Footer"/>
      <w:tabs>
        <w:tab w:val="clear" w:pos="4535"/>
        <w:tab w:val="center" w:pos="4536"/>
        <w:tab w:val="left" w:pos="5140"/>
      </w:tabs>
      <w:ind w:left="0"/>
      <w:rPr>
        <w:sz w:val="20"/>
      </w:rP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F446" w14:textId="77777777" w:rsidR="006578ED" w:rsidRDefault="006578ED">
    <w:pPr>
      <w:pStyle w:val="FooterLandscape"/>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7378" w14:textId="77777777" w:rsidR="006578ED" w:rsidRDefault="006578ED">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A8A93" w14:textId="77777777" w:rsidR="006578ED" w:rsidRDefault="006578ED">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344272"/>
      <w:docPartObj>
        <w:docPartGallery w:val="Page Numbers (Bottom of Page)"/>
        <w:docPartUnique/>
      </w:docPartObj>
    </w:sdtPr>
    <w:sdtEndPr>
      <w:rPr>
        <w:noProof/>
      </w:rPr>
    </w:sdtEndPr>
    <w:sdtContent>
      <w:p w14:paraId="2FD345BF" w14:textId="37F2199B" w:rsidR="006578ED" w:rsidRDefault="00A1618E">
        <w:pPr>
          <w:pStyle w:val="Footer"/>
          <w:jc w:val="center"/>
        </w:pPr>
        <w:r>
          <w:fldChar w:fldCharType="begin"/>
        </w:r>
        <w:r>
          <w:instrText xml:space="preserve"> PAGE   \* MERGEFORMAT </w:instrText>
        </w:r>
        <w:r>
          <w:fldChar w:fldCharType="separate"/>
        </w:r>
        <w:r>
          <w:t>285</w:t>
        </w:r>
        <w:r>
          <w:fldChar w:fldCharType="end"/>
        </w:r>
      </w:p>
    </w:sdtContent>
  </w:sdt>
  <w:p w14:paraId="2C897EF3" w14:textId="10A89E72" w:rsidR="006578ED" w:rsidRDefault="006578ED">
    <w:pPr>
      <w:pStyle w:val="FooterLandscape"/>
      <w:ind w:left="0"/>
      <w:rPr>
        <w:rFonts w:ascii="Arial" w:hAnsi="Arial" w:cs="Arial"/>
        <w:b/>
        <w:sz w:val="20"/>
      </w:rP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D139B" w14:textId="77777777" w:rsidR="006578ED" w:rsidRDefault="006578ED">
    <w:pPr>
      <w:pStyle w:val="FooterLandscape"/>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9597E" w14:textId="77777777" w:rsidR="006578ED" w:rsidRDefault="006578ED">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426243"/>
      <w:docPartObj>
        <w:docPartGallery w:val="Page Numbers (Bottom of Page)"/>
        <w:docPartUnique/>
      </w:docPartObj>
    </w:sdtPr>
    <w:sdtEndPr>
      <w:rPr>
        <w:noProof/>
      </w:rPr>
    </w:sdtEndPr>
    <w:sdtContent>
      <w:p w14:paraId="13678546" w14:textId="5DCD1165" w:rsidR="006578ED" w:rsidRDefault="00A1618E">
        <w:pPr>
          <w:pStyle w:val="Footer"/>
          <w:jc w:val="center"/>
        </w:pPr>
        <w:r>
          <w:fldChar w:fldCharType="begin"/>
        </w:r>
        <w:r>
          <w:instrText xml:space="preserve"> PAGE   \* MERGEFORMAT </w:instrText>
        </w:r>
        <w:r>
          <w:fldChar w:fldCharType="separate"/>
        </w:r>
        <w:r>
          <w:t>287</w:t>
        </w:r>
        <w:r>
          <w:fldChar w:fldCharType="end"/>
        </w:r>
      </w:p>
    </w:sdtContent>
  </w:sdt>
  <w:p w14:paraId="0AED6F10" w14:textId="10361349" w:rsidR="006578ED" w:rsidRDefault="006578ED">
    <w:pPr>
      <w:pStyle w:val="Footer"/>
      <w:ind w:left="0"/>
      <w:rPr>
        <w:sz w:val="20"/>
      </w:rPr>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57540" w14:textId="77777777" w:rsidR="006578ED" w:rsidRDefault="006578ED">
    <w:pPr>
      <w:pStyle w:val="FooterLandscape"/>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E1EA9" w14:textId="77777777" w:rsidR="006578ED" w:rsidRDefault="006578ED">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018168"/>
      <w:docPartObj>
        <w:docPartGallery w:val="Page Numbers (Bottom of Page)"/>
        <w:docPartUnique/>
      </w:docPartObj>
    </w:sdtPr>
    <w:sdtEndPr>
      <w:rPr>
        <w:noProof/>
      </w:rPr>
    </w:sdtEndPr>
    <w:sdtContent>
      <w:p w14:paraId="43968FFC" w14:textId="1F21317A" w:rsidR="006578ED" w:rsidRDefault="00A1618E">
        <w:pPr>
          <w:pStyle w:val="Footer"/>
          <w:jc w:val="center"/>
        </w:pPr>
        <w:r>
          <w:fldChar w:fldCharType="begin"/>
        </w:r>
        <w:r>
          <w:instrText xml:space="preserve"> PAGE   \* MERGEFORMAT </w:instrText>
        </w:r>
        <w:r>
          <w:fldChar w:fldCharType="separate"/>
        </w:r>
        <w:r>
          <w:t>291</w:t>
        </w:r>
        <w:r>
          <w:fldChar w:fldCharType="end"/>
        </w:r>
      </w:p>
    </w:sdtContent>
  </w:sdt>
  <w:p w14:paraId="3A9E4DCE" w14:textId="0FDB0F39" w:rsidR="006578ED" w:rsidRDefault="006578ED">
    <w:pPr>
      <w:pStyle w:val="Footer"/>
      <w:ind w:left="0"/>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85649" w14:textId="77777777" w:rsidR="006578ED" w:rsidRDefault="006578ED">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1EBC" w14:textId="77777777" w:rsidR="006578ED" w:rsidRDefault="00657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C1F8" w14:textId="5B69876C" w:rsidR="00C8392B" w:rsidRPr="00184EC9" w:rsidRDefault="00184EC9" w:rsidP="00184EC9">
    <w:pPr>
      <w:pStyle w:val="FooterCoverPage"/>
      <w:rPr>
        <w:rFonts w:ascii="Arial" w:hAnsi="Arial" w:cs="Arial"/>
        <w:b/>
        <w:sz w:val="48"/>
      </w:rPr>
    </w:pPr>
    <w:r w:rsidRPr="00184EC9">
      <w:rPr>
        <w:rFonts w:ascii="Arial" w:hAnsi="Arial" w:cs="Arial"/>
        <w:b/>
        <w:sz w:val="48"/>
      </w:rPr>
      <w:t>PL</w:t>
    </w:r>
    <w:r w:rsidRPr="00184EC9">
      <w:rPr>
        <w:rFonts w:ascii="Arial" w:hAnsi="Arial" w:cs="Arial"/>
        <w:b/>
        <w:sz w:val="48"/>
      </w:rPr>
      <w:tab/>
    </w:r>
    <w:r w:rsidRPr="00184EC9">
      <w:rPr>
        <w:rFonts w:ascii="Arial" w:hAnsi="Arial" w:cs="Arial"/>
        <w:b/>
        <w:sz w:val="48"/>
      </w:rPr>
      <w:tab/>
    </w:r>
    <w:r w:rsidRPr="00184EC9">
      <w:tab/>
    </w:r>
    <w:r w:rsidRPr="00184EC9">
      <w:rPr>
        <w:rFonts w:ascii="Arial" w:hAnsi="Arial" w:cs="Arial"/>
        <w:b/>
        <w:sz w:val="48"/>
      </w:rPr>
      <w:t>PL</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7693896"/>
      <w:docPartObj>
        <w:docPartGallery w:val="Page Numbers (Bottom of Page)"/>
        <w:docPartUnique/>
      </w:docPartObj>
    </w:sdtPr>
    <w:sdtEndPr>
      <w:rPr>
        <w:noProof/>
      </w:rPr>
    </w:sdtEndPr>
    <w:sdtContent>
      <w:p w14:paraId="1C4AC2EA" w14:textId="7AAAD78D" w:rsidR="006578ED" w:rsidRDefault="00A1618E">
        <w:pPr>
          <w:pStyle w:val="P68B1DB1-Footer49"/>
          <w:jc w:val="center"/>
        </w:pPr>
        <w:r>
          <w:fldChar w:fldCharType="begin"/>
        </w:r>
        <w:r>
          <w:instrText xml:space="preserve"> PAGE   \* MERGEFORMAT </w:instrText>
        </w:r>
        <w:r>
          <w:fldChar w:fldCharType="separate"/>
        </w:r>
        <w:r>
          <w:t>27</w:t>
        </w:r>
        <w:r>
          <w:fldChar w:fldCharType="end"/>
        </w:r>
      </w:p>
    </w:sdtContent>
  </w:sdt>
  <w:p w14:paraId="635508F2" w14:textId="007CB464" w:rsidR="006578ED" w:rsidRDefault="006578ED">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812746"/>
      <w:docPartObj>
        <w:docPartGallery w:val="Page Numbers (Bottom of Page)"/>
        <w:docPartUnique/>
      </w:docPartObj>
    </w:sdtPr>
    <w:sdtEndPr>
      <w:rPr>
        <w:noProof/>
      </w:rPr>
    </w:sdtEndPr>
    <w:sdtContent>
      <w:p w14:paraId="246B10B0" w14:textId="5773CA5E" w:rsidR="006578ED" w:rsidRDefault="00A1618E">
        <w:pPr>
          <w:pStyle w:val="Footer"/>
          <w:jc w:val="center"/>
        </w:pPr>
        <w:r>
          <w:fldChar w:fldCharType="begin"/>
        </w:r>
        <w:r>
          <w:instrText xml:space="preserve"> PAGE   \* MERGEFORMAT </w:instrText>
        </w:r>
        <w:r>
          <w:fldChar w:fldCharType="separate"/>
        </w:r>
        <w:r>
          <w:t>293</w:t>
        </w:r>
        <w:r>
          <w:fldChar w:fldCharType="end"/>
        </w:r>
      </w:p>
    </w:sdtContent>
  </w:sdt>
  <w:p w14:paraId="0787A5F8" w14:textId="7E30CE04" w:rsidR="006578ED" w:rsidRDefault="006578ED">
    <w:pPr>
      <w:pStyle w:val="Footer"/>
      <w:ind w:left="0"/>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3C38" w14:textId="77777777" w:rsidR="006578ED" w:rsidRDefault="006578ED">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35747" w14:textId="77777777" w:rsidR="006578ED" w:rsidRDefault="006578ED">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701096"/>
      <w:docPartObj>
        <w:docPartGallery w:val="Page Numbers (Bottom of Page)"/>
        <w:docPartUnique/>
      </w:docPartObj>
    </w:sdtPr>
    <w:sdtEndPr>
      <w:rPr>
        <w:noProof/>
      </w:rPr>
    </w:sdtEndPr>
    <w:sdtContent>
      <w:p w14:paraId="76602E52" w14:textId="10276912" w:rsidR="006578ED" w:rsidRDefault="00A1618E">
        <w:pPr>
          <w:pStyle w:val="Footer"/>
          <w:jc w:val="center"/>
        </w:pPr>
        <w:r>
          <w:fldChar w:fldCharType="begin"/>
        </w:r>
        <w:r>
          <w:instrText xml:space="preserve"> PAGE   \* MERGEFORMAT </w:instrText>
        </w:r>
        <w:r>
          <w:fldChar w:fldCharType="separate"/>
        </w:r>
        <w:r>
          <w:t>299</w:t>
        </w:r>
        <w:r>
          <w:fldChar w:fldCharType="end"/>
        </w:r>
      </w:p>
    </w:sdtContent>
  </w:sdt>
  <w:p w14:paraId="3C3ECB68" w14:textId="3367D77B" w:rsidR="006578ED" w:rsidRDefault="006578ED">
    <w:pPr>
      <w:pStyle w:val="FooterLandscape"/>
      <w:ind w:left="0"/>
      <w:rPr>
        <w:rFonts w:ascii="Arial" w:hAnsi="Arial" w:cs="Arial"/>
        <w:b/>
        <w:sz w:val="20"/>
      </w:rPr>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BD21" w14:textId="77777777" w:rsidR="006578ED" w:rsidRDefault="006578ED">
    <w:pPr>
      <w:pStyle w:val="FooterLandscape"/>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075BA" w14:textId="77777777" w:rsidR="006578ED" w:rsidRDefault="006578ED">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565105"/>
      <w:docPartObj>
        <w:docPartGallery w:val="Page Numbers (Bottom of Page)"/>
        <w:docPartUnique/>
      </w:docPartObj>
    </w:sdtPr>
    <w:sdtEndPr>
      <w:rPr>
        <w:noProof/>
      </w:rPr>
    </w:sdtEndPr>
    <w:sdtContent>
      <w:p w14:paraId="3E7BC28A" w14:textId="52F680C0" w:rsidR="006578ED" w:rsidRDefault="00A1618E">
        <w:pPr>
          <w:pStyle w:val="Footer"/>
          <w:jc w:val="center"/>
        </w:pPr>
        <w:r>
          <w:fldChar w:fldCharType="begin"/>
        </w:r>
        <w:r>
          <w:instrText xml:space="preserve"> PAGE   \* MERGEFORMAT </w:instrText>
        </w:r>
        <w:r>
          <w:fldChar w:fldCharType="separate"/>
        </w:r>
        <w:r>
          <w:t>303</w:t>
        </w:r>
        <w:r>
          <w:fldChar w:fldCharType="end"/>
        </w:r>
      </w:p>
    </w:sdtContent>
  </w:sdt>
  <w:p w14:paraId="2DCC14F4" w14:textId="5C4C2731" w:rsidR="006578ED" w:rsidRDefault="006578ED">
    <w:pPr>
      <w:pStyle w:val="Footer"/>
      <w:ind w:left="0"/>
      <w:rPr>
        <w:sz w:val="20"/>
      </w:rPr>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0185A" w14:textId="77777777" w:rsidR="006578ED" w:rsidRDefault="006578ED">
    <w:pPr>
      <w:pStyle w:val="FooterLandscape"/>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D2E40" w14:textId="77777777" w:rsidR="006578ED" w:rsidRDefault="006578ED">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263641"/>
      <w:docPartObj>
        <w:docPartGallery w:val="Page Numbers (Bottom of Page)"/>
        <w:docPartUnique/>
      </w:docPartObj>
    </w:sdtPr>
    <w:sdtEndPr>
      <w:rPr>
        <w:noProof/>
      </w:rPr>
    </w:sdtEndPr>
    <w:sdtContent>
      <w:p w14:paraId="6366967E" w14:textId="55B61BD7" w:rsidR="006578ED" w:rsidRDefault="00A1618E">
        <w:pPr>
          <w:pStyle w:val="Footer"/>
          <w:jc w:val="center"/>
        </w:pPr>
        <w:r>
          <w:fldChar w:fldCharType="begin"/>
        </w:r>
        <w:r>
          <w:instrText xml:space="preserve"> PAGE   \* MERGEFORMAT </w:instrText>
        </w:r>
        <w:r>
          <w:fldChar w:fldCharType="separate"/>
        </w:r>
        <w:r>
          <w:t>308</w:t>
        </w:r>
        <w:r>
          <w:fldChar w:fldCharType="end"/>
        </w:r>
      </w:p>
    </w:sdtContent>
  </w:sdt>
  <w:p w14:paraId="77D3AE4E" w14:textId="601D6989" w:rsidR="006578ED" w:rsidRDefault="006578ED">
    <w:pPr>
      <w:pStyle w:val="FooterLandscape"/>
      <w:ind w:left="0"/>
      <w:rPr>
        <w:rFonts w:ascii="Arial" w:hAnsi="Arial" w:cs="Arial"/>
        <w:b/>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A4D5" w14:textId="77777777" w:rsidR="006578ED" w:rsidRDefault="006578ED">
    <w:pPr>
      <w:pStyle w:val="FooterLandscape"/>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7FC68" w14:textId="77777777" w:rsidR="006578ED" w:rsidRDefault="006578ED">
    <w:pPr>
      <w:pStyle w:val="FooterLandscape"/>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A278A" w14:textId="77777777" w:rsidR="006578ED" w:rsidRDefault="006578ED">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092906"/>
      <w:docPartObj>
        <w:docPartGallery w:val="Page Numbers (Bottom of Page)"/>
        <w:docPartUnique/>
      </w:docPartObj>
    </w:sdtPr>
    <w:sdtEndPr>
      <w:rPr>
        <w:noProof/>
      </w:rPr>
    </w:sdtEndPr>
    <w:sdtContent>
      <w:p w14:paraId="0B57666B" w14:textId="4656FBFE" w:rsidR="006578ED" w:rsidRDefault="00A1618E">
        <w:pPr>
          <w:pStyle w:val="Footer"/>
          <w:jc w:val="center"/>
        </w:pPr>
        <w:r>
          <w:fldChar w:fldCharType="begin"/>
        </w:r>
        <w:r>
          <w:instrText xml:space="preserve"> PAGE   \* MERGEFORMAT </w:instrText>
        </w:r>
        <w:r>
          <w:fldChar w:fldCharType="separate"/>
        </w:r>
        <w:r>
          <w:t>313</w:t>
        </w:r>
        <w:r>
          <w:fldChar w:fldCharType="end"/>
        </w:r>
      </w:p>
    </w:sdtContent>
  </w:sdt>
  <w:p w14:paraId="0310658A" w14:textId="62B41DD5" w:rsidR="006578ED" w:rsidRDefault="006578ED">
    <w:pPr>
      <w:pStyle w:val="Footer"/>
      <w:ind w:left="0"/>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4E0D" w14:textId="77777777" w:rsidR="006578ED" w:rsidRDefault="006578ED">
    <w:pPr>
      <w:pStyle w:val="FooterLandscape"/>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68432" w14:textId="77777777" w:rsidR="006578ED" w:rsidRDefault="006578ED">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990138"/>
      <w:docPartObj>
        <w:docPartGallery w:val="Page Numbers (Bottom of Page)"/>
        <w:docPartUnique/>
      </w:docPartObj>
    </w:sdtPr>
    <w:sdtEndPr>
      <w:rPr>
        <w:noProof/>
      </w:rPr>
    </w:sdtEndPr>
    <w:sdtContent>
      <w:p w14:paraId="2707BC01" w14:textId="120E26E7" w:rsidR="006578ED" w:rsidRDefault="00A1618E">
        <w:pPr>
          <w:pStyle w:val="Footer"/>
          <w:jc w:val="center"/>
        </w:pPr>
        <w:r>
          <w:fldChar w:fldCharType="begin"/>
        </w:r>
        <w:r>
          <w:instrText xml:space="preserve"> PAGE   \* MERGEFORMAT </w:instrText>
        </w:r>
        <w:r>
          <w:fldChar w:fldCharType="separate"/>
        </w:r>
        <w:r>
          <w:t>317</w:t>
        </w:r>
        <w:r>
          <w:fldChar w:fldCharType="end"/>
        </w:r>
      </w:p>
    </w:sdtContent>
  </w:sdt>
  <w:p w14:paraId="4B22FE2E" w14:textId="517ED67D" w:rsidR="006578ED" w:rsidRDefault="006578ED">
    <w:pPr>
      <w:pStyle w:val="Footer"/>
      <w:ind w:left="0"/>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5FC1" w14:textId="77777777" w:rsidR="006578ED" w:rsidRDefault="006578ED">
    <w:pPr>
      <w:pStyle w:val="FooterLandscape"/>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B2B40" w14:textId="77777777" w:rsidR="006578ED" w:rsidRDefault="006578ED">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3726630"/>
      <w:docPartObj>
        <w:docPartGallery w:val="Page Numbers (Bottom of Page)"/>
        <w:docPartUnique/>
      </w:docPartObj>
    </w:sdtPr>
    <w:sdtEndPr>
      <w:rPr>
        <w:noProof/>
      </w:rPr>
    </w:sdtEndPr>
    <w:sdtContent>
      <w:p w14:paraId="2A773330" w14:textId="43F72769" w:rsidR="006578ED" w:rsidRDefault="00A1618E">
        <w:pPr>
          <w:pStyle w:val="Footer"/>
          <w:jc w:val="center"/>
        </w:pPr>
        <w:r>
          <w:fldChar w:fldCharType="begin"/>
        </w:r>
        <w:r>
          <w:instrText xml:space="preserve"> PAGE   \* MERGEFORMAT </w:instrText>
        </w:r>
        <w:r>
          <w:fldChar w:fldCharType="separate"/>
        </w:r>
        <w:r>
          <w:t>318</w:t>
        </w:r>
        <w:r>
          <w:fldChar w:fldCharType="end"/>
        </w:r>
      </w:p>
    </w:sdtContent>
  </w:sdt>
  <w:p w14:paraId="16721245" w14:textId="4F037817" w:rsidR="006578ED" w:rsidRDefault="006578ED">
    <w:pPr>
      <w:pStyle w:val="Footer"/>
      <w:tabs>
        <w:tab w:val="clear" w:pos="4535"/>
        <w:tab w:val="center" w:pos="4536"/>
        <w:tab w:val="left" w:pos="5580"/>
      </w:tabs>
      <w:ind w:left="0"/>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D5B64" w14:textId="77777777" w:rsidR="006578ED" w:rsidRDefault="006578ED">
    <w:pPr>
      <w:pStyle w:val="FooterLandscape"/>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F58D" w14:textId="77777777" w:rsidR="006578ED" w:rsidRDefault="006578ED">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0B33" w14:textId="77777777" w:rsidR="006578ED" w:rsidRDefault="006578ED">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846978"/>
      <w:docPartObj>
        <w:docPartGallery w:val="Page Numbers (Bottom of Page)"/>
        <w:docPartUnique/>
      </w:docPartObj>
    </w:sdtPr>
    <w:sdtEndPr>
      <w:rPr>
        <w:noProof/>
      </w:rPr>
    </w:sdtEndPr>
    <w:sdtContent>
      <w:p w14:paraId="11FE93EE" w14:textId="7BAFC986" w:rsidR="006578ED" w:rsidRDefault="00A1618E">
        <w:pPr>
          <w:pStyle w:val="Footer"/>
          <w:jc w:val="center"/>
        </w:pPr>
        <w:r>
          <w:fldChar w:fldCharType="begin"/>
        </w:r>
        <w:r>
          <w:instrText xml:space="preserve"> PAGE   \* MERGEFORMAT </w:instrText>
        </w:r>
        <w:r>
          <w:fldChar w:fldCharType="separate"/>
        </w:r>
        <w:r>
          <w:t>327</w:t>
        </w:r>
        <w:r>
          <w:fldChar w:fldCharType="end"/>
        </w:r>
      </w:p>
    </w:sdtContent>
  </w:sdt>
  <w:p w14:paraId="682A4FBA" w14:textId="55AC7773" w:rsidR="006578ED" w:rsidRDefault="006578ED">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BE6AB" w14:textId="77777777" w:rsidR="006578ED" w:rsidRDefault="006578ED">
    <w:pPr>
      <w:pStyle w:val="FooterLandscape"/>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4CD9C" w14:textId="77777777" w:rsidR="006578ED" w:rsidRDefault="006578ED">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2319686"/>
      <w:docPartObj>
        <w:docPartGallery w:val="Page Numbers (Bottom of Page)"/>
        <w:docPartUnique/>
      </w:docPartObj>
    </w:sdtPr>
    <w:sdtEndPr>
      <w:rPr>
        <w:noProof/>
      </w:rPr>
    </w:sdtEndPr>
    <w:sdtContent>
      <w:p w14:paraId="2B855221" w14:textId="671097A3" w:rsidR="006578ED" w:rsidRDefault="00A1618E">
        <w:pPr>
          <w:pStyle w:val="Footer"/>
          <w:jc w:val="center"/>
        </w:pPr>
        <w:r>
          <w:fldChar w:fldCharType="begin"/>
        </w:r>
        <w:r>
          <w:instrText xml:space="preserve"> PAGE   \* MERGEFORMAT </w:instrText>
        </w:r>
        <w:r>
          <w:fldChar w:fldCharType="separate"/>
        </w:r>
        <w:r>
          <w:t>333</w:t>
        </w:r>
        <w:r>
          <w:fldChar w:fldCharType="end"/>
        </w:r>
      </w:p>
    </w:sdtContent>
  </w:sdt>
  <w:p w14:paraId="5824EF79" w14:textId="286E87CC" w:rsidR="006578ED" w:rsidRDefault="006578ED">
    <w:pPr>
      <w:pStyle w:val="Footer"/>
      <w:ind w:left="0"/>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24CB" w14:textId="77777777" w:rsidR="006578ED" w:rsidRDefault="006578ED">
    <w:pPr>
      <w:pStyle w:val="FooterLandscape"/>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C55F2" w14:textId="77777777" w:rsidR="006578ED" w:rsidRDefault="006578ED">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9900454"/>
      <w:docPartObj>
        <w:docPartGallery w:val="Page Numbers (Bottom of Page)"/>
        <w:docPartUnique/>
      </w:docPartObj>
    </w:sdtPr>
    <w:sdtEndPr>
      <w:rPr>
        <w:noProof/>
      </w:rPr>
    </w:sdtEndPr>
    <w:sdtContent>
      <w:p w14:paraId="4FC8241F" w14:textId="02962880" w:rsidR="006578ED" w:rsidRDefault="00A1618E">
        <w:pPr>
          <w:pStyle w:val="Footer"/>
          <w:jc w:val="center"/>
        </w:pPr>
        <w:r>
          <w:fldChar w:fldCharType="begin"/>
        </w:r>
        <w:r>
          <w:instrText xml:space="preserve"> PAGE   \* MERGEFORMAT </w:instrText>
        </w:r>
        <w:r>
          <w:fldChar w:fldCharType="separate"/>
        </w:r>
        <w:r>
          <w:t>338</w:t>
        </w:r>
        <w:r>
          <w:fldChar w:fldCharType="end"/>
        </w:r>
      </w:p>
    </w:sdtContent>
  </w:sdt>
  <w:p w14:paraId="3A9949BB" w14:textId="77777777" w:rsidR="006578ED" w:rsidRDefault="006578ED">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AE10E" w14:textId="77777777" w:rsidR="006578ED" w:rsidRDefault="006578ED">
    <w:pPr>
      <w:pStyle w:val="FooterLandscape"/>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39D37" w14:textId="77777777" w:rsidR="006578ED" w:rsidRDefault="006578E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4758908"/>
      <w:docPartObj>
        <w:docPartGallery w:val="Page Numbers (Bottom of Page)"/>
        <w:docPartUnique/>
      </w:docPartObj>
    </w:sdtPr>
    <w:sdtEndPr>
      <w:rPr>
        <w:rFonts w:ascii="Times New Roman" w:hAnsi="Times New Roman" w:cs="Times New Roman"/>
        <w:noProof/>
      </w:rPr>
    </w:sdtEndPr>
    <w:sdtContent>
      <w:p w14:paraId="63B159F5" w14:textId="66C78741" w:rsidR="006578ED" w:rsidRDefault="00A1618E">
        <w:pPr>
          <w:pStyle w:val="Footer"/>
          <w:jc w:val="center"/>
        </w:pPr>
        <w:r>
          <w:fldChar w:fldCharType="begin"/>
        </w:r>
        <w:r>
          <w:instrText xml:space="preserve"> PAGE   \* MERGEFORMAT </w:instrText>
        </w:r>
        <w:r>
          <w:fldChar w:fldCharType="separate"/>
        </w:r>
        <w:r>
          <w:t>31</w:t>
        </w:r>
        <w:r>
          <w:fldChar w:fldCharType="end"/>
        </w:r>
      </w:p>
    </w:sdtContent>
  </w:sdt>
  <w:p w14:paraId="76FA295A" w14:textId="4B2116A7" w:rsidR="006578ED" w:rsidRDefault="006578ED">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486692"/>
      <w:docPartObj>
        <w:docPartGallery w:val="Page Numbers (Bottom of Page)"/>
        <w:docPartUnique/>
      </w:docPartObj>
    </w:sdtPr>
    <w:sdtEndPr>
      <w:rPr>
        <w:noProof/>
      </w:rPr>
    </w:sdtEndPr>
    <w:sdtContent>
      <w:p w14:paraId="3A3C7ED1" w14:textId="559C79A2" w:rsidR="006578ED" w:rsidRDefault="00A1618E">
        <w:pPr>
          <w:pStyle w:val="Footer"/>
          <w:jc w:val="center"/>
        </w:pPr>
        <w:r>
          <w:fldChar w:fldCharType="begin"/>
        </w:r>
        <w:r>
          <w:instrText xml:space="preserve"> PAGE   \* MERGEFORMAT </w:instrText>
        </w:r>
        <w:r>
          <w:fldChar w:fldCharType="separate"/>
        </w:r>
        <w:r>
          <w:t>341</w:t>
        </w:r>
        <w:r>
          <w:fldChar w:fldCharType="end"/>
        </w:r>
      </w:p>
    </w:sdtContent>
  </w:sdt>
  <w:p w14:paraId="2B7509C5" w14:textId="77777777" w:rsidR="006578ED" w:rsidRDefault="006578ED">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96CE5" w14:textId="77777777" w:rsidR="006578ED" w:rsidRDefault="006578ED">
    <w:pPr>
      <w:pStyle w:val="FooterLandscape"/>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9B4" w14:textId="77777777" w:rsidR="006578ED" w:rsidRDefault="006578ED">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622076"/>
      <w:docPartObj>
        <w:docPartGallery w:val="Page Numbers (Bottom of Page)"/>
        <w:docPartUnique/>
      </w:docPartObj>
    </w:sdtPr>
    <w:sdtEndPr>
      <w:rPr>
        <w:noProof/>
      </w:rPr>
    </w:sdtEndPr>
    <w:sdtContent>
      <w:p w14:paraId="49BCC3D6" w14:textId="17EE71B9" w:rsidR="006578ED" w:rsidRDefault="00A1618E">
        <w:pPr>
          <w:pStyle w:val="Footer"/>
          <w:jc w:val="center"/>
        </w:pPr>
        <w:r>
          <w:fldChar w:fldCharType="begin"/>
        </w:r>
        <w:r>
          <w:instrText xml:space="preserve"> PAGE   \* MERGEFORMAT </w:instrText>
        </w:r>
        <w:r>
          <w:fldChar w:fldCharType="separate"/>
        </w:r>
        <w:r>
          <w:t>344</w:t>
        </w:r>
        <w:r>
          <w:fldChar w:fldCharType="end"/>
        </w:r>
      </w:p>
    </w:sdtContent>
  </w:sdt>
  <w:p w14:paraId="63A8717F" w14:textId="77777777" w:rsidR="006578ED" w:rsidRDefault="006578ED">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228C0" w14:textId="77777777" w:rsidR="006578ED" w:rsidRDefault="006578ED">
    <w:pPr>
      <w:pStyle w:val="FooterLandscape"/>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5BE7" w14:textId="77777777" w:rsidR="006578ED" w:rsidRDefault="006578ED">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333793"/>
      <w:docPartObj>
        <w:docPartGallery w:val="Page Numbers (Bottom of Page)"/>
        <w:docPartUnique/>
      </w:docPartObj>
    </w:sdtPr>
    <w:sdtEndPr>
      <w:rPr>
        <w:noProof/>
      </w:rPr>
    </w:sdtEndPr>
    <w:sdtContent>
      <w:p w14:paraId="2A1729E2" w14:textId="6EF33276" w:rsidR="006578ED" w:rsidRDefault="00A1618E">
        <w:pPr>
          <w:pStyle w:val="Footer"/>
          <w:jc w:val="center"/>
        </w:pPr>
        <w:r>
          <w:fldChar w:fldCharType="begin"/>
        </w:r>
        <w:r>
          <w:instrText xml:space="preserve"> PAGE   \* MERGEFORMAT </w:instrText>
        </w:r>
        <w:r>
          <w:fldChar w:fldCharType="separate"/>
        </w:r>
        <w:r>
          <w:t>344</w:t>
        </w:r>
        <w:r>
          <w:fldChar w:fldCharType="end"/>
        </w:r>
      </w:p>
    </w:sdtContent>
  </w:sdt>
  <w:p w14:paraId="028E5F31" w14:textId="77777777" w:rsidR="006578ED" w:rsidRDefault="006578ED">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E7D94" w14:textId="77777777" w:rsidR="006578ED" w:rsidRDefault="006578ED">
    <w:pPr>
      <w:pStyle w:val="FooterLandscape"/>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89FE0" w14:textId="77777777" w:rsidR="006578ED" w:rsidRDefault="006578ED">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581909"/>
      <w:docPartObj>
        <w:docPartGallery w:val="Page Numbers (Bottom of Page)"/>
        <w:docPartUnique/>
      </w:docPartObj>
    </w:sdtPr>
    <w:sdtEndPr>
      <w:rPr>
        <w:noProof/>
      </w:rPr>
    </w:sdtEndPr>
    <w:sdtContent>
      <w:p w14:paraId="22D079F7" w14:textId="02E3DE52" w:rsidR="006578ED" w:rsidRDefault="00A1618E">
        <w:pPr>
          <w:pStyle w:val="Footer"/>
          <w:jc w:val="center"/>
        </w:pPr>
        <w:r>
          <w:fldChar w:fldCharType="begin"/>
        </w:r>
        <w:r>
          <w:instrText xml:space="preserve"> PAGE   \* MERGEFORMAT </w:instrText>
        </w:r>
        <w:r>
          <w:fldChar w:fldCharType="separate"/>
        </w:r>
        <w:r>
          <w:t>347</w:t>
        </w:r>
        <w:r>
          <w:fldChar w:fldCharType="end"/>
        </w:r>
      </w:p>
    </w:sdtContent>
  </w:sdt>
  <w:p w14:paraId="77A920D4" w14:textId="77777777" w:rsidR="006578ED" w:rsidRDefault="006578E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C268" w14:textId="77777777" w:rsidR="006578ED" w:rsidRDefault="006578ED">
    <w:pPr>
      <w:pStyle w:val="FooterLandscape"/>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59AC1" w14:textId="77777777" w:rsidR="006578ED" w:rsidRDefault="006578ED">
    <w:pPr>
      <w:pStyle w:val="FooterLandscape"/>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D7117" w14:textId="77777777" w:rsidR="006578ED" w:rsidRDefault="006578ED">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665621"/>
      <w:docPartObj>
        <w:docPartGallery w:val="Page Numbers (Bottom of Page)"/>
        <w:docPartUnique/>
      </w:docPartObj>
    </w:sdtPr>
    <w:sdtEndPr>
      <w:rPr>
        <w:noProof/>
      </w:rPr>
    </w:sdtEndPr>
    <w:sdtContent>
      <w:p w14:paraId="51B2B12F" w14:textId="7AD4903B" w:rsidR="006578ED" w:rsidRDefault="00A1618E">
        <w:pPr>
          <w:pStyle w:val="Footer"/>
          <w:jc w:val="center"/>
        </w:pPr>
        <w:r>
          <w:fldChar w:fldCharType="begin"/>
        </w:r>
        <w:r>
          <w:instrText xml:space="preserve"> PAGE   \* MERGEFORMAT </w:instrText>
        </w:r>
        <w:r>
          <w:fldChar w:fldCharType="separate"/>
        </w:r>
        <w:r>
          <w:t>349</w:t>
        </w:r>
        <w:r>
          <w:fldChar w:fldCharType="end"/>
        </w:r>
      </w:p>
    </w:sdtContent>
  </w:sdt>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DD286" w14:textId="77777777" w:rsidR="006578ED" w:rsidRDefault="006578ED">
    <w:pPr>
      <w:pStyle w:val="FooterLandscape"/>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EF54D" w14:textId="77777777" w:rsidR="006578ED" w:rsidRDefault="006578ED">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432814"/>
      <w:docPartObj>
        <w:docPartGallery w:val="Page Numbers (Bottom of Page)"/>
        <w:docPartUnique/>
      </w:docPartObj>
    </w:sdtPr>
    <w:sdtEndPr>
      <w:rPr>
        <w:noProof/>
      </w:rPr>
    </w:sdtEndPr>
    <w:sdtContent>
      <w:p w14:paraId="0128DAF1" w14:textId="47AE1A3A" w:rsidR="006578ED" w:rsidRDefault="00A1618E">
        <w:pPr>
          <w:pStyle w:val="Footer"/>
          <w:jc w:val="center"/>
        </w:pPr>
        <w:r>
          <w:fldChar w:fldCharType="begin"/>
        </w:r>
        <w:r>
          <w:instrText xml:space="preserve"> PAGE   \* MERGEFORMAT </w:instrText>
        </w:r>
        <w:r>
          <w:fldChar w:fldCharType="separate"/>
        </w:r>
        <w:r>
          <w:t>352</w:t>
        </w:r>
        <w:r>
          <w:fldChar w:fldCharType="end"/>
        </w:r>
      </w:p>
    </w:sdtContent>
  </w:sdt>
  <w:p w14:paraId="7EE29105" w14:textId="77777777" w:rsidR="006578ED" w:rsidRDefault="006578ED">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1C8E" w14:textId="77777777" w:rsidR="006578ED" w:rsidRDefault="006578ED">
    <w:pPr>
      <w:pStyle w:val="FooterLandscape"/>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966C8" w14:textId="77777777" w:rsidR="006578ED" w:rsidRDefault="006578ED">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177619"/>
      <w:docPartObj>
        <w:docPartGallery w:val="Page Numbers (Bottom of Page)"/>
        <w:docPartUnique/>
      </w:docPartObj>
    </w:sdtPr>
    <w:sdtEndPr>
      <w:rPr>
        <w:noProof/>
      </w:rPr>
    </w:sdtEndPr>
    <w:sdtContent>
      <w:p w14:paraId="217DFA16" w14:textId="7D30F81C" w:rsidR="006578ED" w:rsidRDefault="00A1618E">
        <w:pPr>
          <w:pStyle w:val="Footer"/>
          <w:jc w:val="center"/>
        </w:pPr>
        <w:r>
          <w:fldChar w:fldCharType="begin"/>
        </w:r>
        <w:r>
          <w:instrText xml:space="preserve"> PAGE   \* MERGEFORMAT </w:instrText>
        </w:r>
        <w:r>
          <w:fldChar w:fldCharType="separate"/>
        </w:r>
        <w:r>
          <w:t>355</w:t>
        </w:r>
        <w:r>
          <w:fldChar w:fldCharType="end"/>
        </w:r>
      </w:p>
    </w:sdtContent>
  </w:sdt>
  <w:p w14:paraId="28804110" w14:textId="77777777" w:rsidR="006578ED" w:rsidRDefault="006578ED">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02CE3" w14:textId="77777777" w:rsidR="006578ED" w:rsidRDefault="006578ED">
    <w:pPr>
      <w:pStyle w:val="FooterLandscape"/>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68038" w14:textId="77777777" w:rsidR="00C8392B" w:rsidRDefault="00C8392B">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DD6EE" w14:textId="77777777" w:rsidR="006578ED" w:rsidRDefault="006578ED">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748499"/>
      <w:docPartObj>
        <w:docPartGallery w:val="Page Numbers (Bottom of Page)"/>
        <w:docPartUnique/>
      </w:docPartObj>
    </w:sdtPr>
    <w:sdtEndPr>
      <w:rPr>
        <w:noProof/>
      </w:rPr>
    </w:sdtEndPr>
    <w:sdtContent>
      <w:p w14:paraId="576A79C7" w14:textId="5AAB5098" w:rsidR="006578ED" w:rsidRDefault="00A1618E">
        <w:pPr>
          <w:pStyle w:val="Footer"/>
          <w:jc w:val="center"/>
        </w:pPr>
        <w:r>
          <w:fldChar w:fldCharType="begin"/>
        </w:r>
        <w:r>
          <w:instrText xml:space="preserve"> PAGE   \* MERGEFORMAT </w:instrText>
        </w:r>
        <w:r>
          <w:fldChar w:fldCharType="separate"/>
        </w:r>
        <w:r>
          <w:t>357</w:t>
        </w:r>
        <w:r>
          <w:fldChar w:fldCharType="end"/>
        </w:r>
      </w:p>
    </w:sdtContent>
  </w:sdt>
  <w:p w14:paraId="4B552D74" w14:textId="443D6F08" w:rsidR="006578ED" w:rsidRDefault="006578ED">
    <w:pPr>
      <w:pStyle w:val="Footer"/>
      <w:ind w:left="0"/>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C8F32" w14:textId="77777777" w:rsidR="006578ED" w:rsidRDefault="006578ED">
    <w:pPr>
      <w:pStyle w:val="FooterLandscape"/>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3CA16" w14:textId="77777777" w:rsidR="006578ED" w:rsidRDefault="006578ED">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451227"/>
      <w:docPartObj>
        <w:docPartGallery w:val="Page Numbers (Bottom of Page)"/>
        <w:docPartUnique/>
      </w:docPartObj>
    </w:sdtPr>
    <w:sdtEndPr>
      <w:rPr>
        <w:noProof/>
      </w:rPr>
    </w:sdtEndPr>
    <w:sdtContent>
      <w:p w14:paraId="6E376000" w14:textId="793FABF6" w:rsidR="006578ED" w:rsidRDefault="00A1618E">
        <w:pPr>
          <w:pStyle w:val="Footer"/>
          <w:jc w:val="center"/>
        </w:pPr>
        <w:r>
          <w:fldChar w:fldCharType="begin"/>
        </w:r>
        <w:r>
          <w:instrText xml:space="preserve"> PAGE   \* MERGEFORMAT </w:instrText>
        </w:r>
        <w:r>
          <w:fldChar w:fldCharType="separate"/>
        </w:r>
        <w:r>
          <w:t>359</w:t>
        </w:r>
        <w:r>
          <w:fldChar w:fldCharType="end"/>
        </w:r>
      </w:p>
    </w:sdtContent>
  </w:sdt>
  <w:p w14:paraId="30D05CCE" w14:textId="71DB4A0C" w:rsidR="006578ED" w:rsidRDefault="006578ED">
    <w:pPr>
      <w:pStyle w:val="Footer"/>
      <w:ind w:left="0"/>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B71AB" w14:textId="77777777" w:rsidR="006578ED" w:rsidRDefault="006578ED">
    <w:pPr>
      <w:pStyle w:val="FooterLandscape"/>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C50D6" w14:textId="77777777" w:rsidR="006578ED" w:rsidRDefault="006578ED">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664375"/>
      <w:docPartObj>
        <w:docPartGallery w:val="Page Numbers (Bottom of Page)"/>
        <w:docPartUnique/>
      </w:docPartObj>
    </w:sdtPr>
    <w:sdtEndPr>
      <w:rPr>
        <w:noProof/>
      </w:rPr>
    </w:sdtEndPr>
    <w:sdtContent>
      <w:p w14:paraId="17DFEBAC" w14:textId="1AB4E6EB" w:rsidR="006578ED" w:rsidRDefault="00A1618E">
        <w:pPr>
          <w:pStyle w:val="Footer"/>
          <w:jc w:val="center"/>
        </w:pPr>
        <w:r>
          <w:fldChar w:fldCharType="begin"/>
        </w:r>
        <w:r>
          <w:instrText xml:space="preserve"> PAGE   \* MERGEFORMAT </w:instrText>
        </w:r>
        <w:r>
          <w:fldChar w:fldCharType="separate"/>
        </w:r>
        <w:r>
          <w:t>363</w:t>
        </w:r>
        <w:r>
          <w:fldChar w:fldCharType="end"/>
        </w:r>
      </w:p>
    </w:sdtContent>
  </w:sdt>
  <w:p w14:paraId="060A94AB" w14:textId="77777777" w:rsidR="006578ED" w:rsidRDefault="006578ED">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EFF43" w14:textId="77777777" w:rsidR="006578ED" w:rsidRDefault="006578ED">
    <w:pPr>
      <w:pStyle w:val="FooterLandscape"/>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53744" w14:textId="77777777" w:rsidR="006578ED" w:rsidRDefault="006578E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36356"/>
      <w:docPartObj>
        <w:docPartGallery w:val="Page Numbers (Bottom of Page)"/>
        <w:docPartUnique/>
      </w:docPartObj>
    </w:sdtPr>
    <w:sdtEndPr>
      <w:rPr>
        <w:rFonts w:ascii="Times New Roman" w:hAnsi="Times New Roman" w:cs="Times New Roman"/>
        <w:noProof/>
      </w:rPr>
    </w:sdtEndPr>
    <w:sdtContent>
      <w:p w14:paraId="64F0440B" w14:textId="77777777" w:rsidR="00C8392B" w:rsidRDefault="00C8392B">
        <w:pPr>
          <w:pStyle w:val="Footer"/>
          <w:jc w:val="center"/>
        </w:pPr>
        <w:r>
          <w:fldChar w:fldCharType="begin"/>
        </w:r>
        <w:r>
          <w:instrText xml:space="preserve"> PAGE   \* MERGEFORMAT </w:instrText>
        </w:r>
        <w:r>
          <w:fldChar w:fldCharType="separate"/>
        </w:r>
        <w:r>
          <w:t>31</w:t>
        </w:r>
        <w:r>
          <w:fldChar w:fldCharType="end"/>
        </w:r>
      </w:p>
    </w:sdtContent>
  </w:sdt>
  <w:p w14:paraId="706F4C09" w14:textId="77777777" w:rsidR="00C8392B" w:rsidRDefault="00C8392B">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156090"/>
      <w:docPartObj>
        <w:docPartGallery w:val="Page Numbers (Bottom of Page)"/>
        <w:docPartUnique/>
      </w:docPartObj>
    </w:sdtPr>
    <w:sdtEndPr>
      <w:rPr>
        <w:noProof/>
      </w:rPr>
    </w:sdtEndPr>
    <w:sdtContent>
      <w:p w14:paraId="2070DDC9" w14:textId="449AD117" w:rsidR="006578ED" w:rsidRDefault="00A1618E">
        <w:pPr>
          <w:pStyle w:val="Footer"/>
          <w:jc w:val="center"/>
        </w:pPr>
        <w:r>
          <w:fldChar w:fldCharType="begin"/>
        </w:r>
        <w:r>
          <w:instrText xml:space="preserve"> PAGE   \* MERGEFORMAT </w:instrText>
        </w:r>
        <w:r>
          <w:fldChar w:fldCharType="separate"/>
        </w:r>
        <w:r>
          <w:t>368</w:t>
        </w:r>
        <w:r>
          <w:fldChar w:fldCharType="end"/>
        </w:r>
      </w:p>
    </w:sdtContent>
  </w:sdt>
  <w:p w14:paraId="78CC5772" w14:textId="77777777" w:rsidR="006578ED" w:rsidRDefault="006578ED">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E8C17" w14:textId="77777777" w:rsidR="006578ED" w:rsidRDefault="006578ED">
    <w:pPr>
      <w:pStyle w:val="FooterLandscape"/>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43E68" w14:textId="77777777" w:rsidR="006578ED" w:rsidRDefault="006578ED">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178488"/>
      <w:docPartObj>
        <w:docPartGallery w:val="Page Numbers (Bottom of Page)"/>
        <w:docPartUnique/>
      </w:docPartObj>
    </w:sdtPr>
    <w:sdtEndPr>
      <w:rPr>
        <w:noProof/>
      </w:rPr>
    </w:sdtEndPr>
    <w:sdtContent>
      <w:p w14:paraId="08E62A2A" w14:textId="40E8BE35" w:rsidR="006578ED" w:rsidRDefault="00A1618E">
        <w:pPr>
          <w:pStyle w:val="Footer"/>
          <w:jc w:val="center"/>
        </w:pPr>
        <w:r>
          <w:fldChar w:fldCharType="begin"/>
        </w:r>
        <w:r>
          <w:instrText xml:space="preserve"> PAGE   \* MERGEFORMAT </w:instrText>
        </w:r>
        <w:r>
          <w:fldChar w:fldCharType="separate"/>
        </w:r>
        <w:r>
          <w:t>369</w:t>
        </w:r>
        <w:r>
          <w:fldChar w:fldCharType="end"/>
        </w:r>
      </w:p>
    </w:sdtContent>
  </w:sdt>
  <w:p w14:paraId="125F711B" w14:textId="4394ACED" w:rsidR="006578ED" w:rsidRDefault="006578ED">
    <w:pPr>
      <w:pStyle w:val="Footer"/>
      <w:ind w:left="0"/>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98CF" w14:textId="77777777" w:rsidR="006578ED" w:rsidRDefault="006578ED">
    <w:pPr>
      <w:pStyle w:val="FooterLandscape"/>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82F7" w14:textId="77777777" w:rsidR="006578ED" w:rsidRDefault="006578ED">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771680"/>
      <w:docPartObj>
        <w:docPartGallery w:val="Page Numbers (Bottom of Page)"/>
        <w:docPartUnique/>
      </w:docPartObj>
    </w:sdtPr>
    <w:sdtEndPr>
      <w:rPr>
        <w:noProof/>
      </w:rPr>
    </w:sdtEndPr>
    <w:sdtContent>
      <w:p w14:paraId="3CE4E6EC" w14:textId="290B843D" w:rsidR="006578ED" w:rsidRDefault="00A1618E">
        <w:pPr>
          <w:pStyle w:val="Footer"/>
          <w:jc w:val="center"/>
        </w:pPr>
        <w:r>
          <w:fldChar w:fldCharType="begin"/>
        </w:r>
        <w:r>
          <w:instrText xml:space="preserve"> PAGE   \* MERGEFORMAT </w:instrText>
        </w:r>
        <w:r>
          <w:fldChar w:fldCharType="separate"/>
        </w:r>
        <w:r>
          <w:t>369</w:t>
        </w:r>
        <w:r>
          <w:fldChar w:fldCharType="end"/>
        </w:r>
      </w:p>
    </w:sdtContent>
  </w:sdt>
  <w:p w14:paraId="4EBA802D" w14:textId="77777777" w:rsidR="006578ED" w:rsidRDefault="006578ED">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9B22A" w14:textId="77777777" w:rsidR="006578ED" w:rsidRDefault="006578ED">
    <w:pPr>
      <w:pStyle w:val="FooterLandscape"/>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5B15" w14:textId="77777777" w:rsidR="006578ED" w:rsidRDefault="006578ED">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7712871"/>
      <w:docPartObj>
        <w:docPartGallery w:val="Page Numbers (Bottom of Page)"/>
        <w:docPartUnique/>
      </w:docPartObj>
    </w:sdtPr>
    <w:sdtEndPr>
      <w:rPr>
        <w:noProof/>
      </w:rPr>
    </w:sdtEndPr>
    <w:sdtContent>
      <w:p w14:paraId="32D95DAF" w14:textId="68C483A2" w:rsidR="006578ED" w:rsidRDefault="00A1618E">
        <w:pPr>
          <w:pStyle w:val="Footer"/>
          <w:jc w:val="center"/>
        </w:pPr>
        <w:r>
          <w:fldChar w:fldCharType="begin"/>
        </w:r>
        <w:r>
          <w:instrText xml:space="preserve"> PAGE   \* MERGEFORMAT </w:instrText>
        </w:r>
        <w:r>
          <w:fldChar w:fldCharType="separate"/>
        </w:r>
        <w:r>
          <w:t>371</w:t>
        </w:r>
        <w:r>
          <w:fldChar w:fldCharType="end"/>
        </w:r>
      </w:p>
    </w:sdtContent>
  </w:sdt>
  <w:p w14:paraId="6245A2E1" w14:textId="77777777" w:rsidR="006578ED" w:rsidRDefault="006578E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62E87" w14:textId="77777777" w:rsidR="00C8392B" w:rsidRDefault="00C8392B">
    <w:pPr>
      <w:pStyle w:val="FooterLandscape"/>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1602" w14:textId="77777777" w:rsidR="006578ED" w:rsidRDefault="006578ED">
    <w:pPr>
      <w:pStyle w:val="FooterLandscape"/>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8EA4" w14:textId="77777777" w:rsidR="006578ED" w:rsidRDefault="006578ED">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0198065"/>
      <w:docPartObj>
        <w:docPartGallery w:val="Page Numbers (Bottom of Page)"/>
        <w:docPartUnique/>
      </w:docPartObj>
    </w:sdtPr>
    <w:sdtEndPr>
      <w:rPr>
        <w:noProof/>
      </w:rPr>
    </w:sdtEndPr>
    <w:sdtContent>
      <w:p w14:paraId="12B66115" w14:textId="55FABEA8" w:rsidR="006578ED" w:rsidRDefault="00A1618E">
        <w:pPr>
          <w:pStyle w:val="Footer"/>
          <w:jc w:val="center"/>
        </w:pPr>
        <w:r>
          <w:fldChar w:fldCharType="begin"/>
        </w:r>
        <w:r>
          <w:instrText xml:space="preserve"> PAGE   \* MERGEFORMAT </w:instrText>
        </w:r>
        <w:r>
          <w:fldChar w:fldCharType="separate"/>
        </w:r>
        <w:r>
          <w:t>374</w:t>
        </w:r>
        <w:r>
          <w:fldChar w:fldCharType="end"/>
        </w:r>
      </w:p>
    </w:sdtContent>
  </w:sdt>
  <w:p w14:paraId="5BD9D493" w14:textId="14A0BE8B" w:rsidR="006578ED" w:rsidRDefault="006578ED">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77072" w14:textId="77777777" w:rsidR="006578ED" w:rsidRDefault="006578ED">
    <w:pPr>
      <w:pStyle w:val="FooterLandscape"/>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CEA9" w14:textId="77777777" w:rsidR="006578ED" w:rsidRDefault="006578ED">
    <w:pPr>
      <w:pStyle w:val="Footer"/>
    </w:pPr>
  </w:p>
  <w:p w14:paraId="2EF633A3" w14:textId="77777777" w:rsidR="006578ED" w:rsidRDefault="006578ED"/>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5439"/>
      <w:docPartObj>
        <w:docPartGallery w:val="Page Numbers (Bottom of Page)"/>
        <w:docPartUnique/>
      </w:docPartObj>
    </w:sdtPr>
    <w:sdtEndPr>
      <w:rPr>
        <w:noProof/>
      </w:rPr>
    </w:sdtEndPr>
    <w:sdtContent>
      <w:p w14:paraId="36D6F23A" w14:textId="0F7126F3" w:rsidR="006578ED" w:rsidRDefault="00A1618E">
        <w:pPr>
          <w:pStyle w:val="Footer"/>
          <w:jc w:val="center"/>
        </w:pPr>
        <w:r>
          <w:fldChar w:fldCharType="begin"/>
        </w:r>
        <w:r>
          <w:instrText xml:space="preserve"> PAGE   \* MERGEFORMAT </w:instrText>
        </w:r>
        <w:r>
          <w:fldChar w:fldCharType="separate"/>
        </w:r>
        <w:r>
          <w:t>378</w:t>
        </w:r>
        <w:r>
          <w:fldChar w:fldCharType="end"/>
        </w:r>
      </w:p>
    </w:sdtContent>
  </w:sdt>
  <w:p w14:paraId="2ECEF8A7" w14:textId="77777777" w:rsidR="006578ED" w:rsidRDefault="006578ED">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111CF" w14:textId="77777777" w:rsidR="006578ED" w:rsidRDefault="006578ED">
    <w:pPr>
      <w:pStyle w:val="FooterLandscape"/>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FCFDB" w14:textId="77777777" w:rsidR="006578ED" w:rsidRDefault="006578ED">
    <w:pPr>
      <w:pStyle w:val="Footer"/>
    </w:pPr>
  </w:p>
  <w:p w14:paraId="61D5BEA0" w14:textId="77777777" w:rsidR="006578ED" w:rsidRDefault="006578ED"/>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932214"/>
      <w:docPartObj>
        <w:docPartGallery w:val="Page Numbers (Bottom of Page)"/>
        <w:docPartUnique/>
      </w:docPartObj>
    </w:sdtPr>
    <w:sdtEndPr>
      <w:rPr>
        <w:noProof/>
      </w:rPr>
    </w:sdtEndPr>
    <w:sdtContent>
      <w:p w14:paraId="468BB847" w14:textId="02EFEBAF" w:rsidR="006578ED" w:rsidRDefault="00A1618E">
        <w:pPr>
          <w:pStyle w:val="Footer"/>
          <w:jc w:val="center"/>
        </w:pPr>
        <w:r>
          <w:fldChar w:fldCharType="begin"/>
        </w:r>
        <w:r>
          <w:instrText xml:space="preserve"> PAGE   \* MERGEFORMAT </w:instrText>
        </w:r>
        <w:r>
          <w:fldChar w:fldCharType="separate"/>
        </w:r>
        <w:r>
          <w:t>381</w:t>
        </w:r>
        <w:r>
          <w:fldChar w:fldCharType="end"/>
        </w:r>
      </w:p>
    </w:sdtContent>
  </w:sdt>
  <w:p w14:paraId="74C76D9E" w14:textId="09E513D1" w:rsidR="006578ED" w:rsidRDefault="006578ED">
    <w:pPr>
      <w:pStyle w:val="FooterLandscape"/>
      <w:ind w:left="0"/>
      <w:rPr>
        <w:rFonts w:ascii="Arial" w:hAnsi="Arial" w:cs="Arial"/>
        <w:b/>
        <w:sz w:val="20"/>
      </w:rPr>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CE846" w14:textId="77777777" w:rsidR="006578ED" w:rsidRDefault="006578ED">
    <w:pPr>
      <w:pStyle w:val="FooterLandscape"/>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2A041" w14:textId="77777777" w:rsidR="00C8392B" w:rsidRDefault="00C8392B">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27D54" w14:textId="77777777" w:rsidR="006578ED" w:rsidRDefault="006578ED">
    <w:pPr>
      <w:pStyle w:val="Footer"/>
    </w:pPr>
  </w:p>
  <w:p w14:paraId="6A0EC6FF" w14:textId="77777777" w:rsidR="006578ED" w:rsidRDefault="006578ED"/>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139078"/>
      <w:docPartObj>
        <w:docPartGallery w:val="Page Numbers (Bottom of Page)"/>
        <w:docPartUnique/>
      </w:docPartObj>
    </w:sdtPr>
    <w:sdtEndPr>
      <w:rPr>
        <w:noProof/>
      </w:rPr>
    </w:sdtEndPr>
    <w:sdtContent>
      <w:p w14:paraId="5D8FCEAC" w14:textId="49313CEA" w:rsidR="006578ED" w:rsidRDefault="00A1618E">
        <w:pPr>
          <w:pStyle w:val="Footer"/>
          <w:jc w:val="center"/>
        </w:pPr>
        <w:r>
          <w:fldChar w:fldCharType="begin"/>
        </w:r>
        <w:r>
          <w:instrText xml:space="preserve"> PAGE   \* MERGEFORMAT </w:instrText>
        </w:r>
        <w:r>
          <w:fldChar w:fldCharType="separate"/>
        </w:r>
        <w:r>
          <w:t>391</w:t>
        </w:r>
        <w:r>
          <w:fldChar w:fldCharType="end"/>
        </w:r>
      </w:p>
    </w:sdtContent>
  </w:sdt>
  <w:p w14:paraId="695C7A4C" w14:textId="77777777" w:rsidR="006578ED" w:rsidRDefault="006578ED">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1735D" w14:textId="77777777" w:rsidR="006578ED" w:rsidRDefault="006578ED">
    <w:pPr>
      <w:pStyle w:val="FooterLandscape"/>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5E008" w14:textId="77777777" w:rsidR="006578ED" w:rsidRDefault="006578ED">
    <w:pPr>
      <w:pStyle w:val="Footer"/>
    </w:pPr>
  </w:p>
  <w:p w14:paraId="40D2860B" w14:textId="77777777" w:rsidR="006578ED" w:rsidRDefault="006578ED"/>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715538"/>
      <w:docPartObj>
        <w:docPartGallery w:val="Page Numbers (Bottom of Page)"/>
        <w:docPartUnique/>
      </w:docPartObj>
    </w:sdtPr>
    <w:sdtEndPr>
      <w:rPr>
        <w:noProof/>
      </w:rPr>
    </w:sdtEndPr>
    <w:sdtContent>
      <w:p w14:paraId="72965ACE" w14:textId="00FABA86" w:rsidR="006578ED" w:rsidRDefault="00A1618E">
        <w:pPr>
          <w:pStyle w:val="Footer"/>
          <w:jc w:val="center"/>
        </w:pPr>
        <w:r>
          <w:fldChar w:fldCharType="begin"/>
        </w:r>
        <w:r>
          <w:instrText xml:space="preserve"> PAGE   \* MERGEFORMAT </w:instrText>
        </w:r>
        <w:r>
          <w:fldChar w:fldCharType="separate"/>
        </w:r>
        <w:r>
          <w:t>395</w:t>
        </w:r>
        <w:r>
          <w:fldChar w:fldCharType="end"/>
        </w:r>
      </w:p>
    </w:sdtContent>
  </w:sdt>
  <w:p w14:paraId="53DBAC7D" w14:textId="77777777" w:rsidR="006578ED" w:rsidRDefault="006578ED">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CB6A2" w14:textId="77777777" w:rsidR="006578ED" w:rsidRDefault="006578ED">
    <w:pPr>
      <w:pStyle w:val="FooterLandscape"/>
    </w:pP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36136" w14:textId="77777777" w:rsidR="006578ED" w:rsidRDefault="006578ED">
    <w:pPr>
      <w:pStyle w:val="Footer"/>
    </w:pPr>
  </w:p>
  <w:p w14:paraId="13A50540" w14:textId="77777777" w:rsidR="006578ED" w:rsidRDefault="006578ED"/>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40480"/>
      <w:docPartObj>
        <w:docPartGallery w:val="Page Numbers (Bottom of Page)"/>
        <w:docPartUnique/>
      </w:docPartObj>
    </w:sdtPr>
    <w:sdtEndPr>
      <w:rPr>
        <w:noProof/>
      </w:rPr>
    </w:sdtEndPr>
    <w:sdtContent>
      <w:p w14:paraId="54B67D44" w14:textId="2DD2652C" w:rsidR="006578ED" w:rsidRDefault="00A1618E">
        <w:pPr>
          <w:pStyle w:val="Footer"/>
          <w:jc w:val="center"/>
        </w:pPr>
        <w:r>
          <w:fldChar w:fldCharType="begin"/>
        </w:r>
        <w:r>
          <w:instrText xml:space="preserve"> PAGE   \* MERGEFORMAT </w:instrText>
        </w:r>
        <w:r>
          <w:fldChar w:fldCharType="separate"/>
        </w:r>
        <w:r>
          <w:t>398</w:t>
        </w:r>
        <w:r>
          <w:fldChar w:fldCharType="end"/>
        </w:r>
      </w:p>
    </w:sdtContent>
  </w:sdt>
  <w:p w14:paraId="215E20B2" w14:textId="77777777" w:rsidR="006578ED" w:rsidRDefault="006578ED"/>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18FB6" w14:textId="77777777" w:rsidR="006578ED" w:rsidRDefault="006578ED">
    <w:pPr>
      <w:pStyle w:val="FooterLandscape"/>
    </w:pP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F7F55" w14:textId="77777777" w:rsidR="006578ED" w:rsidRDefault="006578ED">
    <w:pPr>
      <w:pStyle w:val="Footer"/>
    </w:pPr>
  </w:p>
  <w:p w14:paraId="4864CB8D" w14:textId="77777777" w:rsidR="006578ED" w:rsidRDefault="006578ED"/>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976712"/>
      <w:docPartObj>
        <w:docPartGallery w:val="Page Numbers (Bottom of Page)"/>
        <w:docPartUnique/>
      </w:docPartObj>
    </w:sdtPr>
    <w:sdtEndPr>
      <w:rPr>
        <w:rFonts w:ascii="Times New Roman" w:hAnsi="Times New Roman" w:cs="Times New Roman"/>
        <w:noProof/>
      </w:rPr>
    </w:sdtEndPr>
    <w:sdtContent>
      <w:p w14:paraId="676D23C4" w14:textId="77777777" w:rsidR="00C8392B" w:rsidRDefault="00C8392B">
        <w:pPr>
          <w:pStyle w:val="Footer"/>
          <w:jc w:val="center"/>
        </w:pPr>
        <w:r>
          <w:fldChar w:fldCharType="begin"/>
        </w:r>
        <w:r>
          <w:instrText xml:space="preserve"> PAGE   \* MERGEFORMAT </w:instrText>
        </w:r>
        <w:r>
          <w:fldChar w:fldCharType="separate"/>
        </w:r>
        <w:r>
          <w:t>31</w:t>
        </w:r>
        <w:r>
          <w:fldChar w:fldCharType="end"/>
        </w:r>
      </w:p>
    </w:sdtContent>
  </w:sdt>
  <w:p w14:paraId="61020C4A" w14:textId="77777777" w:rsidR="00C8392B" w:rsidRDefault="00C8392B">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368340"/>
      <w:docPartObj>
        <w:docPartGallery w:val="Page Numbers (Bottom of Page)"/>
        <w:docPartUnique/>
      </w:docPartObj>
    </w:sdtPr>
    <w:sdtEndPr>
      <w:rPr>
        <w:noProof/>
      </w:rPr>
    </w:sdtEndPr>
    <w:sdtContent>
      <w:p w14:paraId="366F77EC" w14:textId="7B800F31" w:rsidR="006578ED" w:rsidRDefault="00A1618E">
        <w:pPr>
          <w:pStyle w:val="Footer"/>
          <w:jc w:val="center"/>
        </w:pPr>
        <w:r>
          <w:fldChar w:fldCharType="begin"/>
        </w:r>
        <w:r>
          <w:instrText xml:space="preserve"> PAGE   \* MERGEFORMAT </w:instrText>
        </w:r>
        <w:r>
          <w:fldChar w:fldCharType="separate"/>
        </w:r>
        <w:r>
          <w:t>400</w:t>
        </w:r>
        <w:r>
          <w:fldChar w:fldCharType="end"/>
        </w:r>
      </w:p>
    </w:sdtContent>
  </w:sdt>
  <w:p w14:paraId="4583CE96" w14:textId="77777777" w:rsidR="006578ED" w:rsidRDefault="006578ED">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2E25" w14:textId="77777777" w:rsidR="006578ED" w:rsidRDefault="006578ED">
    <w:pPr>
      <w:pStyle w:val="FooterLandscap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B6944" w14:textId="77777777" w:rsidR="00184EC9" w:rsidRPr="00184EC9" w:rsidRDefault="00184EC9" w:rsidP="00184EC9">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71EF0" w14:textId="77777777" w:rsidR="00C8392B" w:rsidRDefault="00C8392B">
    <w:pPr>
      <w:pStyle w:val="FooterLandscape"/>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BECC5" w14:textId="77777777" w:rsidR="006578ED" w:rsidRDefault="006578E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7494639"/>
      <w:docPartObj>
        <w:docPartGallery w:val="Page Numbers (Bottom of Page)"/>
        <w:docPartUnique/>
      </w:docPartObj>
    </w:sdtPr>
    <w:sdtEndPr>
      <w:rPr>
        <w:rFonts w:ascii="Times New Roman" w:hAnsi="Times New Roman" w:cs="Times New Roman"/>
        <w:noProof/>
      </w:rPr>
    </w:sdtEndPr>
    <w:sdtContent>
      <w:p w14:paraId="1AE40C83" w14:textId="59403669" w:rsidR="006578ED" w:rsidRDefault="00A1618E">
        <w:pPr>
          <w:pStyle w:val="Footer"/>
          <w:jc w:val="center"/>
        </w:pPr>
        <w:r>
          <w:fldChar w:fldCharType="begin"/>
        </w:r>
        <w:r>
          <w:instrText xml:space="preserve"> PAGE   \* MERGEFORMAT </w:instrText>
        </w:r>
        <w:r>
          <w:fldChar w:fldCharType="separate"/>
        </w:r>
        <w:r>
          <w:t>33</w:t>
        </w:r>
        <w:r>
          <w:fldChar w:fldCharType="end"/>
        </w:r>
      </w:p>
    </w:sdtContent>
  </w:sdt>
  <w:p w14:paraId="6C98887C" w14:textId="5D98094F" w:rsidR="006578ED" w:rsidRDefault="006578E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3A23" w14:textId="77777777" w:rsidR="006578ED" w:rsidRDefault="006578ED">
    <w:pPr>
      <w:pStyle w:val="FooterLandscape"/>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7733" w14:textId="77777777" w:rsidR="006578ED" w:rsidRDefault="006578E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511510"/>
      <w:docPartObj>
        <w:docPartGallery w:val="Page Numbers (Bottom of Page)"/>
        <w:docPartUnique/>
      </w:docPartObj>
    </w:sdtPr>
    <w:sdtEndPr>
      <w:rPr>
        <w:noProof/>
      </w:rPr>
    </w:sdtEndPr>
    <w:sdtContent>
      <w:p w14:paraId="1B451F3F" w14:textId="705EBE89" w:rsidR="006578ED" w:rsidRDefault="00A1618E">
        <w:pPr>
          <w:pStyle w:val="P68B1DB1-Footer49"/>
          <w:jc w:val="center"/>
        </w:pPr>
        <w:r>
          <w:fldChar w:fldCharType="begin"/>
        </w:r>
        <w:r>
          <w:instrText xml:space="preserve"> PAGE   \* MERGEFORMAT </w:instrText>
        </w:r>
        <w:r>
          <w:fldChar w:fldCharType="separate"/>
        </w:r>
        <w:r>
          <w:t>34</w:t>
        </w:r>
        <w: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AE7F5" w14:textId="77777777" w:rsidR="006578ED" w:rsidRDefault="006578ED">
    <w:pPr>
      <w:pStyle w:val="FooterLandscape"/>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EB43" w14:textId="77777777" w:rsidR="006578ED" w:rsidRDefault="006578E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3853421"/>
      <w:docPartObj>
        <w:docPartGallery w:val="Page Numbers (Bottom of Page)"/>
        <w:docPartUnique/>
      </w:docPartObj>
    </w:sdtPr>
    <w:sdtEndPr>
      <w:rPr>
        <w:noProof/>
      </w:rPr>
    </w:sdtEndPr>
    <w:sdtContent>
      <w:p w14:paraId="101CAAF1" w14:textId="32E0F4B0" w:rsidR="006578ED" w:rsidRDefault="00A1618E">
        <w:pPr>
          <w:pStyle w:val="P68B1DB1-Footer49"/>
          <w:jc w:val="center"/>
        </w:pPr>
        <w:r>
          <w:fldChar w:fldCharType="begin"/>
        </w:r>
        <w:r>
          <w:instrText xml:space="preserve"> PAGE   \* MERGEFORMAT </w:instrText>
        </w:r>
        <w:r>
          <w:fldChar w:fldCharType="separate"/>
        </w:r>
        <w:r>
          <w:t>50</w:t>
        </w:r>
        <w:r>
          <w:fldChar w:fldCharType="end"/>
        </w:r>
      </w:p>
    </w:sdtContent>
  </w:sdt>
  <w:p w14:paraId="562ABBA8" w14:textId="12511D5F" w:rsidR="006578ED" w:rsidRDefault="006578ED">
    <w:pPr>
      <w:pStyle w:val="Footer"/>
      <w:ind w:left="0"/>
      <w:rPr>
        <w:rFonts w:ascii="Arial" w:hAnsi="Arial" w:cs="Arial"/>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D2C48" w14:textId="77777777" w:rsidR="006578ED" w:rsidRDefault="006578ED">
    <w:pPr>
      <w:pStyle w:val="FooterLandscap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A720" w14:textId="77777777" w:rsidR="006578ED" w:rsidRDefault="006578E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D487" w14:textId="77777777" w:rsidR="006578ED" w:rsidRDefault="006578E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185743"/>
      <w:docPartObj>
        <w:docPartGallery w:val="Page Numbers (Bottom of Page)"/>
        <w:docPartUnique/>
      </w:docPartObj>
    </w:sdtPr>
    <w:sdtEndPr/>
    <w:sdtContent>
      <w:p w14:paraId="04557E5D" w14:textId="48C95DC2" w:rsidR="006578ED" w:rsidRDefault="00A1618E">
        <w:pPr>
          <w:pStyle w:val="P68B1DB1-Footer50"/>
          <w:jc w:val="center"/>
        </w:pPr>
        <w:r>
          <w:fldChar w:fldCharType="begin"/>
        </w:r>
        <w:r>
          <w:instrText xml:space="preserve"> PAGE   \* MERGEFORMAT </w:instrText>
        </w:r>
        <w:r>
          <w:fldChar w:fldCharType="separate"/>
        </w:r>
        <w:r>
          <w:t>51</w:t>
        </w:r>
        <w: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53D20" w14:textId="77777777" w:rsidR="006578ED" w:rsidRDefault="006578ED">
    <w:pPr>
      <w:pStyle w:val="FooterLandscape"/>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D63E8" w14:textId="77777777" w:rsidR="006578ED" w:rsidRDefault="006578ED">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5216596"/>
      <w:docPartObj>
        <w:docPartGallery w:val="Page Numbers (Bottom of Page)"/>
        <w:docPartUnique/>
      </w:docPartObj>
    </w:sdtPr>
    <w:sdtEndPr/>
    <w:sdtContent>
      <w:p w14:paraId="287D78F0" w14:textId="1E8F939A" w:rsidR="006578ED" w:rsidRDefault="00A1618E">
        <w:pPr>
          <w:pStyle w:val="P68B1DB1-Footer50"/>
          <w:jc w:val="center"/>
        </w:pPr>
        <w:r>
          <w:fldChar w:fldCharType="begin"/>
        </w:r>
        <w:r>
          <w:instrText xml:space="preserve"> PAGE   \* MERGEFORMAT </w:instrText>
        </w:r>
        <w:r>
          <w:fldChar w:fldCharType="separate"/>
        </w:r>
        <w:r>
          <w:t>53</w:t>
        </w:r>
        <w: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169A" w14:textId="77777777" w:rsidR="006578ED" w:rsidRDefault="006578ED">
    <w:pPr>
      <w:pStyle w:val="FooterLandscape"/>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8751" w14:textId="77777777" w:rsidR="006578ED" w:rsidRDefault="006578ED">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023532"/>
      <w:docPartObj>
        <w:docPartGallery w:val="Page Numbers (Bottom of Page)"/>
        <w:docPartUnique/>
      </w:docPartObj>
    </w:sdtPr>
    <w:sdtEndPr>
      <w:rPr>
        <w:rFonts w:ascii="Arial" w:hAnsi="Arial" w:cs="Arial"/>
      </w:rPr>
    </w:sdtEndPr>
    <w:sdtContent>
      <w:p w14:paraId="6D4CAFE4" w14:textId="7397B7DD" w:rsidR="006578ED" w:rsidRDefault="00A1618E">
        <w:pPr>
          <w:pStyle w:val="P68B1DB1-Footer49"/>
          <w:jc w:val="center"/>
          <w:rPr>
            <w:rFonts w:ascii="Arial" w:hAnsi="Arial" w:cs="Arial"/>
          </w:rPr>
        </w:pPr>
        <w:r>
          <w:fldChar w:fldCharType="begin"/>
        </w:r>
        <w:r>
          <w:instrText xml:space="preserve"> PAGE   \* MERGEFORMAT </w:instrText>
        </w:r>
        <w:r>
          <w:fldChar w:fldCharType="separate"/>
        </w:r>
        <w:r>
          <w:t>58</w:t>
        </w:r>
        <w: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FB83" w14:textId="77777777" w:rsidR="006578ED" w:rsidRDefault="006578ED">
    <w:pPr>
      <w:pStyle w:val="FooterLandscape"/>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AF47F" w14:textId="77777777" w:rsidR="006578ED" w:rsidRDefault="006578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71148"/>
      <w:docPartObj>
        <w:docPartGallery w:val="Page Numbers (Bottom of Page)"/>
        <w:docPartUnique/>
      </w:docPartObj>
    </w:sdtPr>
    <w:sdtEndPr>
      <w:rPr>
        <w:noProof/>
      </w:rPr>
    </w:sdtEndPr>
    <w:sdtContent>
      <w:p w14:paraId="2F0C62FC" w14:textId="5F4502FD" w:rsidR="006578ED" w:rsidRDefault="00A1618E">
        <w:pPr>
          <w:pStyle w:val="P68B1DB1-Footer49"/>
          <w:jc w:val="center"/>
        </w:pPr>
        <w:r>
          <w:fldChar w:fldCharType="begin"/>
        </w:r>
        <w:r>
          <w:instrText xml:space="preserve"> PAGE   \* MERGEFORMAT </w:instrText>
        </w:r>
        <w:r>
          <w:fldChar w:fldCharType="separate"/>
        </w:r>
        <w:r w:rsidR="00184EC9">
          <w:rPr>
            <w:noProof/>
          </w:rPr>
          <w:t>1</w:t>
        </w:r>
        <w: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689380"/>
      <w:docPartObj>
        <w:docPartGallery w:val="Page Numbers (Bottom of Page)"/>
        <w:docPartUnique/>
      </w:docPartObj>
    </w:sdtPr>
    <w:sdtEndPr>
      <w:rPr>
        <w:noProof/>
      </w:rPr>
    </w:sdtEndPr>
    <w:sdtContent>
      <w:p w14:paraId="4991C173" w14:textId="7EC9A5B3" w:rsidR="006578ED" w:rsidRDefault="00A1618E">
        <w:pPr>
          <w:pStyle w:val="Footer"/>
          <w:jc w:val="center"/>
        </w:pPr>
        <w:r>
          <w:fldChar w:fldCharType="begin"/>
        </w:r>
        <w:r>
          <w:instrText xml:space="preserve"> PAGE   \* MERGEFORMAT </w:instrText>
        </w:r>
        <w:r>
          <w:fldChar w:fldCharType="separate"/>
        </w:r>
        <w:r>
          <w:t>61</w:t>
        </w:r>
        <w: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B019F" w14:textId="77777777" w:rsidR="006578ED" w:rsidRDefault="006578ED">
    <w:pPr>
      <w:pStyle w:val="FooterLandscape"/>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3D4D3" w14:textId="77777777" w:rsidR="006578ED" w:rsidRDefault="006578ED">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40592"/>
      <w:docPartObj>
        <w:docPartGallery w:val="Page Numbers (Bottom of Page)"/>
        <w:docPartUnique/>
      </w:docPartObj>
    </w:sdtPr>
    <w:sdtEndPr>
      <w:rPr>
        <w:noProof/>
      </w:rPr>
    </w:sdtEndPr>
    <w:sdtContent>
      <w:p w14:paraId="19BA0072" w14:textId="7DB7BC8D" w:rsidR="006578ED" w:rsidRDefault="00A1618E">
        <w:pPr>
          <w:pStyle w:val="Footer"/>
          <w:jc w:val="center"/>
        </w:pPr>
        <w:r>
          <w:fldChar w:fldCharType="begin"/>
        </w:r>
        <w:r>
          <w:instrText xml:space="preserve"> PAGE   \* MERGEFORMAT </w:instrText>
        </w:r>
        <w:r>
          <w:fldChar w:fldCharType="separate"/>
        </w:r>
        <w:r>
          <w:t>62</w:t>
        </w:r>
        <w: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433C0" w14:textId="77777777" w:rsidR="006578ED" w:rsidRDefault="006578ED">
    <w:pPr>
      <w:pStyle w:val="FooterLandscape"/>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53655" w14:textId="77777777" w:rsidR="006578ED" w:rsidRDefault="006578ED">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4823079"/>
      <w:docPartObj>
        <w:docPartGallery w:val="Page Numbers (Bottom of Page)"/>
        <w:docPartUnique/>
      </w:docPartObj>
    </w:sdtPr>
    <w:sdtEndPr>
      <w:rPr>
        <w:noProof/>
      </w:rPr>
    </w:sdtEndPr>
    <w:sdtContent>
      <w:p w14:paraId="1A5E5B62" w14:textId="230547FA" w:rsidR="006578ED" w:rsidRDefault="00A1618E">
        <w:pPr>
          <w:pStyle w:val="Footer"/>
          <w:jc w:val="center"/>
        </w:pPr>
        <w:r>
          <w:fldChar w:fldCharType="begin"/>
        </w:r>
        <w:r>
          <w:instrText xml:space="preserve"> PAGE   \* MERGEFORMAT </w:instrText>
        </w:r>
        <w:r>
          <w:fldChar w:fldCharType="separate"/>
        </w:r>
        <w:r>
          <w:t>63</w:t>
        </w:r>
        <w:r>
          <w:fldChar w:fldCharType="end"/>
        </w:r>
      </w:p>
    </w:sdtContent>
  </w:sdt>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90E8" w14:textId="77777777" w:rsidR="006578ED" w:rsidRDefault="006578ED">
    <w:pPr>
      <w:pStyle w:val="FooterLandscape"/>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F65D8" w14:textId="77777777" w:rsidR="006578ED" w:rsidRDefault="006578ED">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4706756"/>
      <w:docPartObj>
        <w:docPartGallery w:val="Page Numbers (Bottom of Page)"/>
        <w:docPartUnique/>
      </w:docPartObj>
    </w:sdtPr>
    <w:sdtEndPr>
      <w:rPr>
        <w:noProof/>
      </w:rPr>
    </w:sdtEndPr>
    <w:sdtContent>
      <w:p w14:paraId="3E8A7160" w14:textId="0AE5D374" w:rsidR="006578ED" w:rsidRDefault="00A1618E">
        <w:pPr>
          <w:pStyle w:val="P68B1DB1-Footer49"/>
          <w:jc w:val="center"/>
        </w:pPr>
        <w:r>
          <w:fldChar w:fldCharType="begin"/>
        </w:r>
        <w:r>
          <w:instrText xml:space="preserve"> PAGE   \* MERGEFORMAT </w:instrText>
        </w:r>
        <w:r>
          <w:fldChar w:fldCharType="separate"/>
        </w:r>
        <w:r>
          <w:t>67</w:t>
        </w:r>
        <w:r>
          <w:fldChar w:fldCharType="end"/>
        </w:r>
      </w:p>
    </w:sdtContent>
  </w:sdt>
  <w:p w14:paraId="64606157" w14:textId="0E6B1ED4" w:rsidR="006578ED" w:rsidRDefault="006578ED">
    <w:pPr>
      <w:pStyle w:val="Footer"/>
      <w:jc w:val="cen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AFED" w14:textId="77777777" w:rsidR="006578ED" w:rsidRDefault="006578ED">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425CC" w14:textId="77777777" w:rsidR="006578ED" w:rsidRDefault="006578ED">
    <w:pPr>
      <w:pStyle w:val="FooterLandscape"/>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27C88" w14:textId="77777777" w:rsidR="006578ED" w:rsidRDefault="006578ED">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FDEF5" w14:textId="77AB497F" w:rsidR="006578ED" w:rsidRDefault="00A1618E">
    <w:pPr>
      <w:pStyle w:val="FooterLandscape"/>
      <w:rPr>
        <w:rFonts w:ascii="Times New Roman" w:hAnsi="Times New Roman" w:cs="Times New Roman"/>
        <w:b/>
      </w:rPr>
    </w:pPr>
    <w:r>
      <w:rPr>
        <w:rFonts w:ascii="Aptos" w:hAnsi="Aptos"/>
        <w:b/>
        <w:sz w:val="48"/>
      </w:rP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r>
      <w:rPr>
        <w:rFonts w:ascii="Times New Roman" w:hAnsi="Times New Roman"/>
      </w:rPr>
      <w:tab/>
    </w:r>
    <w:r>
      <w:rPr>
        <w:rFonts w:ascii="Times New Roman" w:hAnsi="Times New Roman"/>
      </w:rPr>
      <w:tab/>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E676" w14:textId="77777777" w:rsidR="006578ED" w:rsidRDefault="006578ED">
    <w:pPr>
      <w:pStyle w:val="FooterLandscape"/>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EC7C" w14:textId="77777777" w:rsidR="006578ED" w:rsidRDefault="006578ED">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167355"/>
      <w:docPartObj>
        <w:docPartGallery w:val="Page Numbers (Bottom of Page)"/>
        <w:docPartUnique/>
      </w:docPartObj>
    </w:sdtPr>
    <w:sdtEndPr>
      <w:rPr>
        <w:noProof/>
      </w:rPr>
    </w:sdtEndPr>
    <w:sdtContent>
      <w:p w14:paraId="4633E134" w14:textId="39B3176A" w:rsidR="006578ED" w:rsidRDefault="00A1618E">
        <w:pPr>
          <w:pStyle w:val="Footer"/>
          <w:jc w:val="center"/>
        </w:pPr>
        <w:r>
          <w:fldChar w:fldCharType="begin"/>
        </w:r>
        <w:r>
          <w:instrText xml:space="preserve"> PAGE   \* MERGEFORMAT </w:instrText>
        </w:r>
        <w:r>
          <w:fldChar w:fldCharType="separate"/>
        </w:r>
        <w:r>
          <w:t>72</w:t>
        </w:r>
        <w:r>
          <w:fldChar w:fldCharType="end"/>
        </w:r>
      </w:p>
    </w:sdtContent>
  </w:sdt>
  <w:p w14:paraId="11618484" w14:textId="3F29EB47" w:rsidR="006578ED" w:rsidRDefault="006578ED">
    <w:pPr>
      <w:pStyle w:val="FooterLandscape"/>
      <w:rPr>
        <w:rFonts w:ascii="Aptos" w:hAnsi="Aptos" w:cs="Aptos"/>
        <w:b/>
        <w:sz w:val="20"/>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B89CC" w14:textId="77777777" w:rsidR="006578ED" w:rsidRDefault="006578ED">
    <w:pPr>
      <w:pStyle w:val="FooterLandscape"/>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A123" w14:textId="77777777" w:rsidR="006578ED" w:rsidRDefault="006578ED">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2C917" w14:textId="683B354B" w:rsidR="006578ED" w:rsidRDefault="00A1618E">
    <w:pPr>
      <w:pStyle w:val="FooterLandscape"/>
      <w:rPr>
        <w:rFonts w:ascii="Times New Roman" w:hAnsi="Times New Roman" w:cs="Times New Roman"/>
        <w:b/>
      </w:rPr>
    </w:pPr>
    <w:r>
      <w:rPr>
        <w:rFonts w:ascii="Aptos" w:hAnsi="Aptos"/>
        <w:b/>
        <w:sz w:val="48"/>
      </w:rPr>
      <w:tab/>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73</w:t>
    </w:r>
    <w:r>
      <w:rPr>
        <w:rFonts w:ascii="Times New Roman" w:hAnsi="Times New Roman" w:cs="Times New Roman"/>
      </w:rPr>
      <w:fldChar w:fldCharType="end"/>
    </w:r>
    <w:r>
      <w:rPr>
        <w:rFonts w:ascii="Times New Roman" w:hAnsi="Times New Roman"/>
      </w:rPr>
      <w:tab/>
    </w:r>
    <w:r>
      <w:rPr>
        <w:rFonts w:ascii="Times New Roman" w:hAnsi="Times New Roman"/>
      </w:rPr>
      <w:tab/>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C31F" w14:textId="77777777" w:rsidR="006578ED" w:rsidRDefault="006578ED">
    <w:pPr>
      <w:pStyle w:val="FooterLandscap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7325F" w14:textId="77777777" w:rsidR="006578ED" w:rsidRDefault="006578ED">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2FE7" w14:textId="77777777" w:rsidR="006578ED" w:rsidRDefault="006578ED">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125478"/>
      <w:docPartObj>
        <w:docPartGallery w:val="Page Numbers (Bottom of Page)"/>
        <w:docPartUnique/>
      </w:docPartObj>
    </w:sdtPr>
    <w:sdtEndPr>
      <w:rPr>
        <w:noProof/>
      </w:rPr>
    </w:sdtEndPr>
    <w:sdtContent>
      <w:p w14:paraId="0A2C5F3D" w14:textId="315F0FBB" w:rsidR="006578ED" w:rsidRDefault="00A1618E">
        <w:pPr>
          <w:pStyle w:val="P68B1DB1-Footer49"/>
          <w:jc w:val="center"/>
        </w:pPr>
        <w:r>
          <w:fldChar w:fldCharType="begin"/>
        </w:r>
        <w:r>
          <w:instrText xml:space="preserve"> PAGE   \* MERGEFORMAT </w:instrText>
        </w:r>
        <w:r>
          <w:fldChar w:fldCharType="separate"/>
        </w:r>
        <w:r>
          <w:t>78</w:t>
        </w:r>
        <w:r>
          <w:fldChar w:fldCharType="end"/>
        </w:r>
      </w:p>
    </w:sdtContent>
  </w:sdt>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B37BA" w14:textId="77777777" w:rsidR="006578ED" w:rsidRDefault="006578ED">
    <w:pPr>
      <w:pStyle w:val="FooterLandscape"/>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36D1" w14:textId="77777777" w:rsidR="006578ED" w:rsidRDefault="006578ED">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DC12" w14:textId="7DC078EA" w:rsidR="006578ED" w:rsidRDefault="00A1618E">
    <w:pPr>
      <w:pStyle w:val="FooterLandscape"/>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79</w:t>
    </w:r>
    <w:r>
      <w:rPr>
        <w:sz w:val="20"/>
      </w:rPr>
      <w:fldChar w:fldCharType="end"/>
    </w:r>
    <w:r>
      <w:rPr>
        <w:sz w:val="20"/>
      </w:rPr>
      <w:tab/>
    </w:r>
    <w:r>
      <w:rPr>
        <w:sz w:val="20"/>
      </w:rPr>
      <w:tab/>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CD459" w14:textId="77777777" w:rsidR="006578ED" w:rsidRDefault="006578ED">
    <w:pPr>
      <w:pStyle w:val="FooterLandscape"/>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63357" w14:textId="77777777" w:rsidR="006578ED" w:rsidRDefault="006578ED">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074450"/>
      <w:docPartObj>
        <w:docPartGallery w:val="Page Numbers (Bottom of Page)"/>
        <w:docPartUnique/>
      </w:docPartObj>
    </w:sdtPr>
    <w:sdtEndPr>
      <w:rPr>
        <w:noProof/>
      </w:rPr>
    </w:sdtEndPr>
    <w:sdtContent>
      <w:p w14:paraId="51E9DE6E" w14:textId="0F78EAAE" w:rsidR="006578ED" w:rsidRDefault="00A1618E">
        <w:pPr>
          <w:pStyle w:val="P68B1DB1-Footer51"/>
          <w:jc w:val="center"/>
        </w:pPr>
        <w:r>
          <w:fldChar w:fldCharType="begin"/>
        </w:r>
        <w:r>
          <w:instrText xml:space="preserve"> PAGE   \* MERGEFORMAT </w:instrText>
        </w:r>
        <w:r>
          <w:fldChar w:fldCharType="separate"/>
        </w:r>
        <w:r>
          <w:t>89</w:t>
        </w:r>
        <w:r>
          <w:fldChar w:fldCharType="end"/>
        </w:r>
      </w:p>
    </w:sdtContent>
  </w:sdt>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8F8C" w14:textId="77777777" w:rsidR="006578ED" w:rsidRDefault="006578ED">
    <w:pPr>
      <w:pStyle w:val="FooterLandscape"/>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9706C" w14:textId="77777777" w:rsidR="006578ED" w:rsidRDefault="006578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7525191"/>
      <w:docPartObj>
        <w:docPartGallery w:val="Page Numbers (Bottom of Page)"/>
        <w:docPartUnique/>
      </w:docPartObj>
    </w:sdtPr>
    <w:sdtEndPr>
      <w:rPr>
        <w:noProof/>
      </w:rPr>
    </w:sdtEndPr>
    <w:sdtContent>
      <w:p w14:paraId="3B4ACEE7" w14:textId="0C2F6AA1" w:rsidR="006578ED" w:rsidRDefault="00A1618E">
        <w:pPr>
          <w:pStyle w:val="P68B1DB1-Footer49"/>
          <w:jc w:val="center"/>
        </w:pPr>
        <w:r>
          <w:fldChar w:fldCharType="begin"/>
        </w:r>
        <w:r>
          <w:instrText xml:space="preserve"> PAGE   \* MERGEFORMAT </w:instrText>
        </w:r>
        <w:r>
          <w:fldChar w:fldCharType="separate"/>
        </w:r>
        <w:r w:rsidR="00184EC9">
          <w:rPr>
            <w:noProof/>
          </w:rPr>
          <w:t>8</w:t>
        </w:r>
        <w: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144635"/>
      <w:docPartObj>
        <w:docPartGallery w:val="Page Numbers (Bottom of Page)"/>
        <w:docPartUnique/>
      </w:docPartObj>
    </w:sdtPr>
    <w:sdtEndPr>
      <w:rPr>
        <w:noProof/>
      </w:rPr>
    </w:sdtEndPr>
    <w:sdtContent>
      <w:p w14:paraId="5AD4C00E" w14:textId="3C38A3C1" w:rsidR="006578ED" w:rsidRDefault="00A1618E">
        <w:pPr>
          <w:pStyle w:val="P68B1DB1-Footer52"/>
          <w:jc w:val="center"/>
        </w:pPr>
        <w:r>
          <w:fldChar w:fldCharType="begin"/>
        </w:r>
        <w:r>
          <w:instrText xml:space="preserve"> PAGE   \* MERGEFORMAT </w:instrText>
        </w:r>
        <w:r>
          <w:fldChar w:fldCharType="separate"/>
        </w:r>
        <w:r>
          <w:t>90</w:t>
        </w:r>
        <w:r>
          <w:fldChar w:fldCharType="end"/>
        </w:r>
      </w:p>
    </w:sdtContent>
  </w:sdt>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FC88" w14:textId="77777777" w:rsidR="006578ED" w:rsidRDefault="006578ED">
    <w:pPr>
      <w:pStyle w:val="FooterLandscape"/>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C7CD6" w14:textId="77777777" w:rsidR="006578ED" w:rsidRDefault="006578ED">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684554"/>
      <w:docPartObj>
        <w:docPartGallery w:val="Page Numbers (Bottom of Page)"/>
        <w:docPartUnique/>
      </w:docPartObj>
    </w:sdtPr>
    <w:sdtEndPr>
      <w:rPr>
        <w:noProof/>
      </w:rPr>
    </w:sdtEndPr>
    <w:sdtContent>
      <w:p w14:paraId="34C80394" w14:textId="22C8D60E" w:rsidR="006578ED" w:rsidRDefault="00A1618E">
        <w:pPr>
          <w:pStyle w:val="P68B1DB1-Footer51"/>
          <w:jc w:val="center"/>
        </w:pPr>
        <w:r>
          <w:fldChar w:fldCharType="begin"/>
        </w:r>
        <w:r>
          <w:instrText xml:space="preserve"> PAGE   \* MERGEFORMAT </w:instrText>
        </w:r>
        <w:r>
          <w:fldChar w:fldCharType="separate"/>
        </w:r>
        <w:r>
          <w:t>94</w:t>
        </w:r>
        <w:r>
          <w:fldChar w:fldCharType="end"/>
        </w:r>
      </w:p>
    </w:sdtContent>
  </w:sdt>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01AC" w14:textId="77777777" w:rsidR="006578ED" w:rsidRDefault="006578ED">
    <w:pPr>
      <w:pStyle w:val="FooterLandscape"/>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A1CB" w14:textId="77777777" w:rsidR="006578ED" w:rsidRDefault="006578ED">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F15CB" w14:textId="62D3EAC3" w:rsidR="006578ED" w:rsidRDefault="00A1618E">
    <w:pPr>
      <w:pStyle w:val="FooterLandscape"/>
      <w:ind w:left="0"/>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97</w:t>
    </w:r>
    <w:r>
      <w:rPr>
        <w:sz w:val="20"/>
      </w:rPr>
      <w:fldChar w:fldCharType="end"/>
    </w:r>
    <w:r>
      <w:rPr>
        <w:sz w:val="20"/>
      </w:rPr>
      <w:tab/>
    </w:r>
    <w:r>
      <w:rPr>
        <w:sz w:val="20"/>
      </w:rPr>
      <w:tab/>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37F9" w14:textId="77777777" w:rsidR="006578ED" w:rsidRDefault="006578ED">
    <w:pPr>
      <w:pStyle w:val="FooterLandscape"/>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D492" w14:textId="77777777" w:rsidR="006578ED" w:rsidRDefault="006578ED">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106000"/>
      <w:docPartObj>
        <w:docPartGallery w:val="Page Numbers (Bottom of Page)"/>
        <w:docPartUnique/>
      </w:docPartObj>
    </w:sdtPr>
    <w:sdtEndPr>
      <w:rPr>
        <w:noProof/>
      </w:rPr>
    </w:sdtEndPr>
    <w:sdtContent>
      <w:p w14:paraId="30211570" w14:textId="322AED98" w:rsidR="006578ED" w:rsidRDefault="00A1618E">
        <w:pPr>
          <w:pStyle w:val="P68B1DB1-Footer51"/>
          <w:jc w:val="center"/>
        </w:pPr>
        <w:r>
          <w:fldChar w:fldCharType="begin"/>
        </w:r>
        <w:r>
          <w:instrText xml:space="preserve"> PAGE   \* MERGEFORMAT </w:instrText>
        </w:r>
        <w:r>
          <w:fldChar w:fldCharType="separate"/>
        </w:r>
        <w:r>
          <w:t>101</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A7058" w14:textId="77777777" w:rsidR="006578ED" w:rsidRDefault="006578ED">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DA92C" w14:textId="77777777" w:rsidR="006578ED" w:rsidRDefault="006578ED">
    <w:pPr>
      <w:pStyle w:val="FooterLandscape"/>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7D592" w14:textId="77777777" w:rsidR="006578ED" w:rsidRDefault="006578ED">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2414" w14:textId="6F185D27" w:rsidR="006578ED" w:rsidRDefault="00A1618E">
    <w:pPr>
      <w:pStyle w:val="FooterLandscape"/>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103</w:t>
    </w:r>
    <w:r>
      <w:rPr>
        <w:sz w:val="20"/>
      </w:rPr>
      <w:fldChar w:fldCharType="end"/>
    </w:r>
    <w:r>
      <w:rPr>
        <w:sz w:val="20"/>
      </w:rPr>
      <w:tab/>
    </w:r>
    <w:r>
      <w:rPr>
        <w:sz w:val="20"/>
      </w:rPr>
      <w:tab/>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B5971" w14:textId="77777777" w:rsidR="006578ED" w:rsidRDefault="006578ED">
    <w:pPr>
      <w:pStyle w:val="FooterLandscape"/>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A135" w14:textId="77777777" w:rsidR="006578ED" w:rsidRDefault="006578ED">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94972"/>
      <w:docPartObj>
        <w:docPartGallery w:val="Page Numbers (Bottom of Page)"/>
        <w:docPartUnique/>
      </w:docPartObj>
    </w:sdtPr>
    <w:sdtEndPr>
      <w:rPr>
        <w:noProof/>
      </w:rPr>
    </w:sdtEndPr>
    <w:sdtContent>
      <w:p w14:paraId="4F62A649" w14:textId="4F5C63F7" w:rsidR="006578ED" w:rsidRDefault="00A1618E">
        <w:pPr>
          <w:pStyle w:val="P68B1DB1-Footer51"/>
          <w:jc w:val="center"/>
        </w:pPr>
        <w:r>
          <w:fldChar w:fldCharType="begin"/>
        </w:r>
        <w:r>
          <w:instrText xml:space="preserve"> PAGE   \* MERGEFORMAT </w:instrText>
        </w:r>
        <w:r>
          <w:fldChar w:fldCharType="separate"/>
        </w:r>
        <w:r>
          <w:t>105</w:t>
        </w:r>
        <w:r>
          <w:fldChar w:fldCharType="end"/>
        </w:r>
      </w:p>
    </w:sdtContent>
  </w:sdt>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7069" w14:textId="77777777" w:rsidR="006578ED" w:rsidRDefault="006578ED">
    <w:pPr>
      <w:pStyle w:val="FooterLandscape"/>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AE3EA" w14:textId="77777777" w:rsidR="006578ED" w:rsidRDefault="006578ED">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3E59A" w14:textId="312ACACE" w:rsidR="006578ED" w:rsidRDefault="00A1618E">
    <w:pPr>
      <w:pStyle w:val="FooterLandscape"/>
      <w:rPr>
        <w:rFonts w:ascii="Aptos" w:hAnsi="Aptos" w:cs="Aptos"/>
        <w:b/>
        <w:sz w:val="20"/>
      </w:rPr>
    </w:pPr>
    <w:r>
      <w:rPr>
        <w:sz w:val="20"/>
      </w:rPr>
      <w:fldChar w:fldCharType="begin"/>
    </w:r>
    <w:r>
      <w:rPr>
        <w:sz w:val="20"/>
      </w:rPr>
      <w:instrText xml:space="preserve"> PAGE  \* MERGEFORMAT </w:instrText>
    </w:r>
    <w:r>
      <w:rPr>
        <w:sz w:val="20"/>
      </w:rPr>
      <w:fldChar w:fldCharType="separate"/>
    </w:r>
    <w:r>
      <w:rPr>
        <w:sz w:val="20"/>
      </w:rPr>
      <w:t>107</w:t>
    </w:r>
    <w:r>
      <w:rPr>
        <w:sz w:val="20"/>
      </w:rPr>
      <w:fldChar w:fldCharType="end"/>
    </w:r>
    <w:r>
      <w:rPr>
        <w:sz w:val="20"/>
      </w:rPr>
      <w:tab/>
    </w:r>
    <w:r>
      <w:rPr>
        <w:sz w:val="20"/>
      </w:rPr>
      <w:tab/>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F4880" w14:textId="77777777" w:rsidR="006578ED" w:rsidRDefault="006578ED">
    <w:pPr>
      <w:pStyle w:val="FooterLandscap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63FA3" w14:textId="77777777" w:rsidR="00F75D19" w:rsidRDefault="00F75D19">
      <w:r>
        <w:separator/>
      </w:r>
    </w:p>
  </w:footnote>
  <w:footnote w:type="continuationSeparator" w:id="0">
    <w:p w14:paraId="32A8C84A" w14:textId="77777777" w:rsidR="00F75D19" w:rsidRDefault="00F75D19">
      <w:pPr>
        <w:spacing w:after="0" w:line="240" w:lineRule="auto"/>
      </w:pPr>
      <w:r>
        <w:continuationSeparator/>
      </w:r>
    </w:p>
    <w:p w14:paraId="10188D09" w14:textId="77777777" w:rsidR="00F75D19" w:rsidRDefault="00F75D19"/>
  </w:footnote>
  <w:footnote w:type="continuationNotice" w:id="1">
    <w:p w14:paraId="7E03842E" w14:textId="77777777" w:rsidR="00F75D19" w:rsidRDefault="00F75D19">
      <w:pPr>
        <w:spacing w:after="0" w:line="240" w:lineRule="auto"/>
      </w:pPr>
    </w:p>
    <w:p w14:paraId="67F2DF94" w14:textId="77777777" w:rsidR="00F75D19" w:rsidRDefault="00F75D19"/>
  </w:footnote>
  <w:footnote w:id="2">
    <w:p w14:paraId="2709697D" w14:textId="7B9E05F5"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Zgodnie z definicją zawartą w </w:t>
      </w:r>
      <w:r w:rsidRPr="00A1618E">
        <w:rPr>
          <w:rFonts w:ascii="Times New Roman" w:hAnsi="Times New Roman"/>
          <w:lang w:val="pl-PL"/>
        </w:rPr>
        <w:t>art. 3</w:t>
      </w:r>
      <w:r>
        <w:rPr>
          <w:rFonts w:ascii="Times New Roman" w:hAnsi="Times New Roman"/>
        </w:rPr>
        <w:t xml:space="preserve"> </w:t>
      </w:r>
      <w:r w:rsidRPr="00A1618E">
        <w:rPr>
          <w:rFonts w:ascii="Times New Roman" w:hAnsi="Times New Roman"/>
          <w:lang w:val="pl-PL"/>
        </w:rPr>
        <w:t>pkt 1</w:t>
      </w:r>
      <w:r>
        <w:rPr>
          <w:rFonts w:ascii="Times New Roman" w:hAnsi="Times New Roman"/>
        </w:rPr>
        <w:t>1 rozporządzenia 2019/1242: pojazd bez silnika spalinowego lub z silnikiem spalinowym emitującym mniej niż 1 g CO2/km.</w:t>
      </w:r>
    </w:p>
  </w:footnote>
  <w:footnote w:id="3">
    <w:p w14:paraId="62CABCB5" w14:textId="750E375A"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Zgodnie z definicją w </w:t>
      </w:r>
      <w:r w:rsidRPr="00A1618E">
        <w:rPr>
          <w:rFonts w:ascii="Times New Roman" w:hAnsi="Times New Roman"/>
          <w:lang w:val="pl-PL"/>
        </w:rPr>
        <w:t>art. 3</w:t>
      </w:r>
      <w:r>
        <w:rPr>
          <w:rFonts w:ascii="Times New Roman" w:hAnsi="Times New Roman"/>
        </w:rPr>
        <w:t xml:space="preserve"> </w:t>
      </w:r>
      <w:r w:rsidRPr="00A1618E">
        <w:rPr>
          <w:rFonts w:ascii="Times New Roman" w:hAnsi="Times New Roman"/>
          <w:lang w:val="pl-PL"/>
        </w:rPr>
        <w:t>pkt 1</w:t>
      </w:r>
      <w:r>
        <w:rPr>
          <w:rFonts w:ascii="Times New Roman" w:hAnsi="Times New Roman"/>
        </w:rPr>
        <w:t>2 rozporządzenia (UE) 2019/1242: przy emisji CO2 wynoszącej mniej niż połowę emisji odniesienia CO2 wszystkich pojazdów w podgrupie pojazdów; wartości odniesienia różnią się w zależności od rodzaju samochodu ciężarowego.</w:t>
      </w:r>
    </w:p>
  </w:footnote>
  <w:footnote w:id="4">
    <w:p w14:paraId="41AF84FA" w14:textId="3BC42C35"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Biopaliwa, biopłyny i paliwa z biomasy spełniają kryteria zrównoważonego rozwoju i ograniczenia emisji gazów cieplarnianych określone w </w:t>
      </w:r>
      <w:r w:rsidRPr="00A1618E">
        <w:rPr>
          <w:rFonts w:ascii="Times New Roman" w:hAnsi="Times New Roman"/>
          <w:lang w:val="pl-PL"/>
        </w:rPr>
        <w:t>art. 2</w:t>
      </w:r>
      <w:r>
        <w:rPr>
          <w:rFonts w:ascii="Times New Roman" w:hAnsi="Times New Roman"/>
        </w:rPr>
        <w:t>9–31 oraz przepisy dotyczące biopaliw produkowanych z żywności i paszy określone w </w:t>
      </w:r>
      <w:r w:rsidRPr="00A1618E">
        <w:rPr>
          <w:rFonts w:ascii="Times New Roman" w:hAnsi="Times New Roman"/>
          <w:lang w:val="pl-PL"/>
        </w:rPr>
        <w:t>art. 2</w:t>
      </w:r>
      <w:r>
        <w:rPr>
          <w:rFonts w:ascii="Times New Roman" w:hAnsi="Times New Roman"/>
        </w:rPr>
        <w:t>6 dyrektywy (UE) 2018/2001 w sprawie odnawialnych źródeł energii (REDII) oraz w powiązanych aktach wykonawczych i delegowanych; i wyłącznie biopaliwa, biopłyny i paliwa z biomasy zgodne z dyrektywą REDII były wykorzystywane przez pojazdy wspierane w ramach RRF; z czasem zwiększa się poziom/udział biopaliw, biopłynów i paliw z biomasy w koszyku krajowym.</w:t>
      </w:r>
    </w:p>
  </w:footnote>
  <w:footnote w:id="5">
    <w:p w14:paraId="61975C04" w14:textId="19AA8DA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Biopaliwa, biopłyny i paliwa z biomasy spełniają kryteria zrównoważonego rozwoju i ograniczenia emisji gazów cieplarnianych określone w </w:t>
      </w:r>
      <w:r w:rsidRPr="00A1618E">
        <w:rPr>
          <w:rFonts w:ascii="Times New Roman" w:hAnsi="Times New Roman"/>
          <w:lang w:val="pl-PL"/>
        </w:rPr>
        <w:t>art. 2</w:t>
      </w:r>
      <w:r>
        <w:rPr>
          <w:rFonts w:ascii="Times New Roman" w:hAnsi="Times New Roman"/>
        </w:rPr>
        <w:t>9 31 oraz przepisy dotyczące biopaliw produkowanych z żywności i paszy określone w </w:t>
      </w:r>
      <w:r w:rsidRPr="00A1618E">
        <w:rPr>
          <w:rFonts w:ascii="Times New Roman" w:hAnsi="Times New Roman"/>
          <w:lang w:val="pl-PL"/>
        </w:rPr>
        <w:t>art. 2</w:t>
      </w:r>
      <w:r>
        <w:rPr>
          <w:rFonts w:ascii="Times New Roman" w:hAnsi="Times New Roman"/>
        </w:rPr>
        <w:t>6 dyrektywy (UE) 2018/2001 w sprawie odnawialnych źródeł energii (REDII) oraz w powiązanych aktach wykonawczych i delegowanych; i wyłącznie biopaliwa, biopłyny i paliwa z biomasy zgodne z dyrektywą REDII były wykorzystywane przez pojazdy wspierane w ramach RRF; z czasem zwiększa się poziom/udział biopaliw, biopłynów i paliw z biomasy w koszyku krajowym.</w:t>
      </w:r>
    </w:p>
  </w:footnote>
  <w:footnote w:id="6">
    <w:p w14:paraId="1DE5B045" w14:textId="413F7A2B" w:rsidR="006578ED" w:rsidRDefault="00A1618E">
      <w:pPr>
        <w:pStyle w:val="FootnoteText"/>
        <w:ind w:left="0" w:firstLine="0"/>
      </w:pPr>
      <w:r>
        <w:rPr>
          <w:rStyle w:val="FootnoteReference"/>
        </w:rPr>
        <w:footnoteRef/>
      </w:r>
      <w:r>
        <w:rPr>
          <w:rFonts w:ascii="Times New Roman" w:hAnsi="Times New Roman"/>
          <w:sz w:val="19"/>
        </w:rPr>
        <w:t>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7">
    <w:p w14:paraId="76B6B55A" w14:textId="1085633E" w:rsidR="006578ED" w:rsidRDefault="00A1618E">
      <w:pPr>
        <w:pStyle w:val="FootnoteText"/>
        <w:ind w:left="0" w:firstLine="0"/>
      </w:pPr>
      <w:r>
        <w:rPr>
          <w:rStyle w:val="FootnoteReference"/>
        </w:rPr>
        <w:footnoteRef/>
      </w:r>
      <w:r>
        <w:rPr>
          <w:rFonts w:ascii="Times New Roman" w:hAnsi="Times New Roman"/>
          <w:sz w:val="19"/>
        </w:rPr>
        <w:t xml:space="preserve">W przypadku gdy w ramach wspieranej działalności osiąga się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 </w:t>
      </w:r>
    </w:p>
  </w:footnote>
  <w:footnote w:id="8">
    <w:p w14:paraId="48521E96" w14:textId="7160F4DC"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9">
    <w:p w14:paraId="6F4D6DC3" w14:textId="7B308456"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podejmowanych w ramach tego środka w istniejących zakładach mechaniczno-biologicznego przetwarzania, w przypadku gdy działania w ramach tego środka mają na celu zwiększenie zasobooszczędności lub dostosowanie do operacji recyklingu odpadów segregowanych na kompost bioodpady i beztlenowa fermentacja bioodpadów, pod warunkiem że takie działania w ramach tego środka nie skutkują zwiększeniem zdolności zakładów w zakresie przetwarzania odpadów ani wydłużeniem okresu eksploatacji zakładów; w odniesieniu do których przedstawiono dowody na poziomie zakładu.</w:t>
      </w:r>
    </w:p>
  </w:footnote>
  <w:footnote w:id="10">
    <w:p w14:paraId="222C11A5" w14:textId="1557490C" w:rsidR="006578ED" w:rsidRDefault="00A1618E">
      <w:pPr>
        <w:pStyle w:val="FootnoteText"/>
        <w:ind w:left="0" w:firstLine="0"/>
      </w:pPr>
      <w:r>
        <w:rPr>
          <w:rStyle w:val="FootnoteReference"/>
        </w:rPr>
        <w:footnoteRef/>
      </w:r>
      <w:r>
        <w:rPr>
          <w:rFonts w:ascii="Times New Roman"/>
        </w:rPr>
        <w:t>Beneficjenci ko</w:t>
      </w:r>
      <w:r>
        <w:rPr>
          <w:rFonts w:ascii="Times New Roman"/>
        </w:rPr>
        <w:t></w:t>
      </w:r>
      <w:r>
        <w:rPr>
          <w:rFonts w:ascii="Times New Roman"/>
        </w:rPr>
        <w:t>cowi korzystaj</w:t>
      </w:r>
      <w:r>
        <w:rPr>
          <w:rFonts w:ascii="Times New Roman"/>
        </w:rPr>
        <w:t></w:t>
      </w:r>
      <w:r>
        <w:rPr>
          <w:rFonts w:ascii="Times New Roman"/>
        </w:rPr>
        <w:t>cy z po</w:t>
      </w:r>
      <w:r>
        <w:rPr>
          <w:rFonts w:ascii="Times New Roman"/>
        </w:rPr>
        <w:t></w:t>
      </w:r>
      <w:r>
        <w:rPr>
          <w:rFonts w:ascii="Times New Roman"/>
        </w:rPr>
        <w:t>yczek, po</w:t>
      </w:r>
      <w:r>
        <w:rPr>
          <w:rFonts w:ascii="Times New Roman"/>
        </w:rPr>
        <w:t></w:t>
      </w:r>
      <w:r>
        <w:rPr>
          <w:rFonts w:ascii="Times New Roman"/>
        </w:rPr>
        <w:t>yczek partycypacyjnych, obligacji projektowych, gwarancji lub r</w:t>
      </w:r>
      <w:r>
        <w:rPr>
          <w:rFonts w:ascii="Times New Roman"/>
        </w:rPr>
        <w:t></w:t>
      </w:r>
      <w:r>
        <w:rPr>
          <w:rFonts w:ascii="Times New Roman"/>
        </w:rPr>
        <w:t>wnowa</w:t>
      </w:r>
      <w:r>
        <w:rPr>
          <w:rFonts w:ascii="Times New Roman"/>
        </w:rPr>
        <w:t></w:t>
      </w:r>
      <w:r>
        <w:rPr>
          <w:rFonts w:ascii="Times New Roman"/>
        </w:rPr>
        <w:t>nych instrument</w:t>
      </w:r>
      <w:r>
        <w:rPr>
          <w:rFonts w:ascii="Times New Roman"/>
        </w:rPr>
        <w:t></w:t>
      </w:r>
      <w:r>
        <w:rPr>
          <w:rFonts w:ascii="Times New Roman"/>
        </w:rPr>
        <w:t>w zwi</w:t>
      </w:r>
      <w:r>
        <w:rPr>
          <w:rFonts w:ascii="Times New Roman"/>
        </w:rPr>
        <w:t></w:t>
      </w:r>
      <w:r>
        <w:rPr>
          <w:rFonts w:ascii="Times New Roman"/>
        </w:rPr>
        <w:t>zanych z</w:t>
      </w:r>
      <w:r>
        <w:rPr>
          <w:rFonts w:ascii="Times New Roman"/>
        </w:rPr>
        <w:t></w:t>
      </w:r>
      <w:r>
        <w:rPr>
          <w:rFonts w:ascii="Times New Roman"/>
        </w:rPr>
        <w:t>konkretnymi projektami s</w:t>
      </w:r>
      <w:r>
        <w:rPr>
          <w:rFonts w:ascii="Times New Roman"/>
        </w:rPr>
        <w:t></w:t>
      </w:r>
      <w:r>
        <w:rPr>
          <w:rFonts w:ascii="Times New Roman"/>
        </w:rPr>
        <w:t xml:space="preserve"> zobowi</w:t>
      </w:r>
      <w:r>
        <w:rPr>
          <w:rFonts w:ascii="Times New Roman"/>
        </w:rPr>
        <w:t></w:t>
      </w:r>
      <w:r>
        <w:rPr>
          <w:rFonts w:ascii="Times New Roman"/>
        </w:rPr>
        <w:t>zani do przedstawienia uzasadnienia wybranego obszaru interwencji dla ka</w:t>
      </w:r>
      <w:r>
        <w:rPr>
          <w:rFonts w:ascii="Times New Roman"/>
        </w:rPr>
        <w:t></w:t>
      </w:r>
      <w:r>
        <w:rPr>
          <w:rFonts w:ascii="Times New Roman"/>
        </w:rPr>
        <w:t>dego wspieranego projektu wraz z</w:t>
      </w:r>
      <w:r>
        <w:rPr>
          <w:rFonts w:ascii="Times New Roman"/>
        </w:rPr>
        <w:t></w:t>
      </w:r>
      <w:r>
        <w:rPr>
          <w:rFonts w:ascii="Times New Roman"/>
        </w:rPr>
        <w:t>opisem projektu. Partner wykonawczy jest r</w:t>
      </w:r>
      <w:r>
        <w:rPr>
          <w:rFonts w:ascii="Times New Roman"/>
        </w:rPr>
        <w:t></w:t>
      </w:r>
      <w:r>
        <w:rPr>
          <w:rFonts w:ascii="Times New Roman"/>
        </w:rPr>
        <w:t>wnie</w:t>
      </w:r>
      <w:r>
        <w:rPr>
          <w:rFonts w:ascii="Times New Roman"/>
        </w:rPr>
        <w:t></w:t>
      </w:r>
      <w:r>
        <w:rPr>
          <w:rFonts w:ascii="Times New Roman"/>
        </w:rPr>
        <w:t xml:space="preserve"> zobowi</w:t>
      </w:r>
      <w:r>
        <w:rPr>
          <w:rFonts w:ascii="Times New Roman"/>
        </w:rPr>
        <w:t></w:t>
      </w:r>
      <w:r>
        <w:rPr>
          <w:rFonts w:ascii="Times New Roman"/>
        </w:rPr>
        <w:t>zany do przedstawienia pa</w:t>
      </w:r>
      <w:r>
        <w:rPr>
          <w:rFonts w:ascii="Times New Roman"/>
        </w:rPr>
        <w:t></w:t>
      </w:r>
      <w:r>
        <w:rPr>
          <w:rFonts w:ascii="Times New Roman"/>
        </w:rPr>
        <w:t>stwu cz</w:t>
      </w:r>
      <w:r>
        <w:rPr>
          <w:rFonts w:ascii="Times New Roman"/>
        </w:rPr>
        <w:t></w:t>
      </w:r>
      <w:r>
        <w:rPr>
          <w:rFonts w:ascii="Times New Roman"/>
        </w:rPr>
        <w:t>onkowskiemu p</w:t>
      </w:r>
      <w:r>
        <w:rPr>
          <w:rFonts w:ascii="Times New Roman"/>
        </w:rPr>
        <w:t></w:t>
      </w:r>
      <w:r>
        <w:rPr>
          <w:rFonts w:ascii="Times New Roman"/>
        </w:rPr>
        <w:t></w:t>
      </w:r>
      <w:r>
        <w:rPr>
          <w:rFonts w:ascii="Times New Roman"/>
        </w:rPr>
        <w:t>rocznego sprawozdania z</w:t>
      </w:r>
      <w:r>
        <w:rPr>
          <w:rFonts w:ascii="Times New Roman"/>
        </w:rPr>
        <w:t></w:t>
      </w:r>
      <w:r>
        <w:rPr>
          <w:rFonts w:ascii="Times New Roman"/>
        </w:rPr>
        <w:t>realizacji ka</w:t>
      </w:r>
      <w:r>
        <w:rPr>
          <w:rFonts w:ascii="Times New Roman"/>
        </w:rPr>
        <w:t></w:t>
      </w:r>
      <w:r>
        <w:rPr>
          <w:rFonts w:ascii="Times New Roman"/>
        </w:rPr>
        <w:t>dego projektu/dzia</w:t>
      </w:r>
      <w:r>
        <w:rPr>
          <w:rFonts w:ascii="Times New Roman"/>
        </w:rPr>
        <w:t></w:t>
      </w:r>
      <w:r>
        <w:rPr>
          <w:rFonts w:ascii="Times New Roman"/>
        </w:rPr>
        <w:t xml:space="preserve">ania. </w:t>
      </w:r>
    </w:p>
  </w:footnote>
  <w:footnote w:id="11">
    <w:p w14:paraId="0AF27CE1" w14:textId="5FAA8E62"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12">
    <w:p w14:paraId="50587B3E" w14:textId="6AD8F807"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3">
    <w:p w14:paraId="26F9A219" w14:textId="2A2B7D5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4">
    <w:p w14:paraId="44F31A46" w14:textId="1D6AAE1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5">
    <w:p w14:paraId="63101451" w14:textId="46ECA46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16">
    <w:p w14:paraId="6296EAAA" w14:textId="755B6BC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7">
    <w:p w14:paraId="63F0BE5B" w14:textId="5D153CD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8">
    <w:p w14:paraId="508C08BD" w14:textId="7CB5CD1C"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9">
    <w:p w14:paraId="2799D0F0" w14:textId="5B58ABBA"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Poniżej 50 g CO2/km zgodnie z kategorią „czystych ekologicznie pojazdów” określoną w zmienionej dyrektywie 2009/33/WE w sprawie ekologicznie czystych pojazdów.</w:t>
      </w:r>
    </w:p>
  </w:footnote>
  <w:footnote w:id="20">
    <w:p w14:paraId="52F142FB" w14:textId="34A3F04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Poniżej 50 g CO2/km zgodnie z kategorią „czystych ekologicznie pojazdów” określoną w zmienionej dyrektywie 2009/33/WE w sprawie ekologicznie czystych pojazdów.</w:t>
      </w:r>
    </w:p>
  </w:footnote>
  <w:footnote w:id="21">
    <w:p w14:paraId="6C2BCD9C" w14:textId="057B5E3C" w:rsidR="006578ED" w:rsidRDefault="00A1618E">
      <w:pPr>
        <w:spacing w:after="0"/>
      </w:pPr>
      <w:r>
        <w:rPr>
          <w:rStyle w:val="FootnoteReference"/>
        </w:rPr>
        <w:footnoteRef/>
      </w:r>
      <w:r>
        <w:t xml:space="preserve"> </w:t>
      </w:r>
      <w:r>
        <w:rPr>
          <w:rFonts w:ascii="Times New Roman" w:hAnsi="Times New Roman"/>
          <w:sz w:val="20"/>
        </w:rPr>
        <w:t>Grupa współpracy ds. bezpieczeństwa sieci i informacji, „Cyberbezpieczeństwo sieci 5G – Unijny zestaw narzędzi środków zmniejszających ryzyko”, 01/2020, https://ec.europa.eu/newsroom/dae/document.cfm?doc_id=64468</w:t>
      </w:r>
    </w:p>
  </w:footnote>
  <w:footnote w:id="22">
    <w:p w14:paraId="5CC49010" w14:textId="607A806E" w:rsidR="006578ED" w:rsidRDefault="00A1618E">
      <w:pPr>
        <w:spacing w:after="0"/>
      </w:pPr>
      <w:r>
        <w:rPr>
          <w:rStyle w:val="FootnoteReference"/>
        </w:rPr>
        <w:footnoteRef/>
      </w:r>
      <w:r>
        <w:rPr>
          <w:rFonts w:ascii="Times New Roman" w:hAnsi="Times New Roman"/>
          <w:sz w:val="20"/>
        </w:rPr>
        <w:t>Rozporządzenie Parlamentu Europejskiego i Rady (UE) 2021/697 z dnia 29 kwietnia 20</w:t>
      </w:r>
      <w:r w:rsidRPr="00A1618E">
        <w:rPr>
          <w:rFonts w:ascii="Times New Roman" w:hAnsi="Times New Roman"/>
          <w:sz w:val="20"/>
          <w:lang w:val="pl-PL"/>
        </w:rPr>
        <w:t>21 r.</w:t>
      </w:r>
      <w:r>
        <w:rPr>
          <w:rFonts w:ascii="Times New Roman" w:hAnsi="Times New Roman"/>
          <w:sz w:val="20"/>
        </w:rPr>
        <w:t xml:space="preserve"> ustanawiające Europejski Fundusz Obronny</w:t>
      </w:r>
    </w:p>
  </w:footnote>
  <w:footnote w:id="23">
    <w:p w14:paraId="59F1DBB5" w14:textId="7DAC877B" w:rsidR="006578ED" w:rsidRDefault="00A1618E">
      <w:pPr>
        <w:spacing w:after="0"/>
      </w:pPr>
      <w:r>
        <w:rPr>
          <w:rStyle w:val="FootnoteReference"/>
        </w:rPr>
        <w:footnoteRef/>
      </w:r>
      <w:r>
        <w:rPr>
          <w:rFonts w:ascii="Times New Roman" w:hAnsi="Times New Roman"/>
          <w:sz w:val="20"/>
        </w:rPr>
        <w:t>Rozporządzenie (UE) 2021/696 ustanawiające unijny program kosmiczny i Agencję Unii Europejskiej ds. Programu Kosmicznego</w:t>
      </w:r>
    </w:p>
  </w:footnote>
  <w:footnote w:id="24">
    <w:p w14:paraId="1CFB3942" w14:textId="63FABA6A" w:rsidR="006578ED" w:rsidRDefault="00A1618E">
      <w:pPr>
        <w:spacing w:after="0" w:line="240" w:lineRule="auto"/>
        <w:jc w:val="both"/>
        <w:rPr>
          <w:rFonts w:ascii="Times New Roman" w:eastAsia="Times New Roman" w:hAnsi="Times New Roman" w:cs="Times New Roman"/>
          <w:sz w:val="24"/>
        </w:rPr>
      </w:pPr>
      <w:r>
        <w:rPr>
          <w:rStyle w:val="FootnoteReference"/>
        </w:rPr>
        <w:footnoteRef/>
      </w:r>
      <w:r>
        <w:rPr>
          <w:rFonts w:ascii="Times New Roman" w:hAnsi="Times New Roman"/>
          <w:sz w:val="20"/>
        </w:rPr>
        <w:t>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25">
    <w:p w14:paraId="2901D6EB" w14:textId="75240504" w:rsidR="006578ED" w:rsidRDefault="00A1618E">
      <w:pPr>
        <w:spacing w:before="120" w:after="120" w:line="240" w:lineRule="auto"/>
        <w:jc w:val="both"/>
        <w:rPr>
          <w:rFonts w:ascii="Times New Roman" w:eastAsia="Times New Roman" w:hAnsi="Times New Roman" w:cs="Times New Roman"/>
          <w:sz w:val="24"/>
          <w:shd w:val="clear" w:color="auto" w:fill="FFFFFF"/>
        </w:rPr>
      </w:pPr>
      <w:r>
        <w:rPr>
          <w:rStyle w:val="FootnoteReference"/>
        </w:rPr>
        <w:footnoteRef/>
      </w:r>
      <w:r>
        <w:rPr>
          <w:rFonts w:ascii="Times New Roman" w:hAnsi="Times New Roman"/>
          <w:sz w:val="20"/>
        </w:rPr>
        <w:t xml:space="preserve">W tym działań i aktywów w ramach unijnego systemu handlu uprawnieniami do emisji (ETS) zapewniających prognozowane emisje gazów cieplarnianych, które nie są niższe od odpowiednich wskaźników referencyjnych. W przypadku gdy w ramach wspieranej działalności osiąga się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 </w:t>
      </w:r>
      <w:r>
        <w:rPr>
          <w:rFonts w:ascii="Times New Roman" w:hAnsi="Times New Roman"/>
          <w:sz w:val="20"/>
          <w:shd w:val="clear" w:color="auto" w:fill="FFFFFF"/>
        </w:rPr>
        <w:t>Wdrożenie środka należy zakończyć do dnia 31 sierpnia 20</w:t>
      </w:r>
      <w:r w:rsidRPr="00A1618E">
        <w:rPr>
          <w:rFonts w:ascii="Times New Roman" w:hAnsi="Times New Roman"/>
          <w:sz w:val="20"/>
          <w:shd w:val="clear" w:color="auto" w:fill="FFFFFF"/>
          <w:lang w:val="pl-PL"/>
        </w:rPr>
        <w:t>26 r.</w:t>
      </w:r>
    </w:p>
  </w:footnote>
  <w:footnote w:id="26">
    <w:p w14:paraId="571E7E81" w14:textId="0C025EAD" w:rsidR="006578ED" w:rsidRDefault="00A1618E">
      <w:pPr>
        <w:pStyle w:val="FootnoteText"/>
        <w:ind w:left="0" w:firstLine="0"/>
        <w:jc w:val="left"/>
        <w:rPr>
          <w:sz w:val="22"/>
        </w:rPr>
      </w:pPr>
      <w:r>
        <w:rPr>
          <w:rStyle w:val="FootnoteReference"/>
        </w:rPr>
        <w:footnoteRef/>
      </w:r>
      <w:r>
        <w:t></w:t>
      </w:r>
      <w:r>
        <w:t></w:t>
      </w:r>
      <w:r>
        <w:t></w:t>
      </w:r>
      <w:r>
        <w:t></w:t>
      </w:r>
      <w:r>
        <w:t></w:t>
      </w:r>
      <w:r>
        <w:t></w:t>
      </w:r>
      <w:r>
        <w:t></w:t>
      </w:r>
      <w:r>
        <w:t></w:t>
      </w:r>
      <w:r>
        <w:t></w:t>
      </w:r>
      <w:r>
        <w:t></w:t>
      </w:r>
      <w:r>
        <w:rPr>
          <w:rFonts w:ascii="Times New Roman" w:hAnsi="Times New Roman"/>
        </w:rPr>
        <w:t>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27">
    <w:p w14:paraId="46703EAB" w14:textId="5D3FD83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w przypadku gdy działania w ramach tego środka mają na celu zwiększenie zasobooszczędności lub dostosowanie do operacji recyklingu odpadów segregowanych na kompost bioodpady i beztlenowa fermentacja bioodpadów, pod warunkiem że takie działania w ramach tego środka nie skutkują zwiększeniem zdolności zakładów w zakresie przetwarzania odpadów ani wydłużeniem okresu eksploatacji zakładów; w odniesieniu do których przedstawiono dowody na poziomie zakładu.</w:t>
      </w:r>
    </w:p>
  </w:footnote>
  <w:footnote w:id="28">
    <w:p w14:paraId="3D796719" w14:textId="2A61AD99" w:rsidR="006578ED" w:rsidRDefault="00A1618E">
      <w:pPr>
        <w:spacing w:before="120" w:after="120" w:line="240" w:lineRule="auto"/>
        <w:jc w:val="both"/>
        <w:rPr>
          <w:rFonts w:ascii="Times New Roman" w:eastAsia="Times New Roman" w:hAnsi="Times New Roman" w:cs="Times New Roman"/>
          <w:sz w:val="24"/>
        </w:rPr>
      </w:pPr>
      <w:r>
        <w:rPr>
          <w:rStyle w:val="FootnoteReference"/>
        </w:rPr>
        <w:footnoteRef/>
      </w:r>
      <w:r>
        <w:rPr>
          <w:rFonts w:ascii="Times New Roman" w:hAnsi="Times New Roman"/>
          <w:sz w:val="20"/>
        </w:rPr>
        <w:t>Dyrektywę 2013/34/UE zmieniono dyrektywą (UE) 2022/2464 w sprawie sprawozdawczości przedsiębiorstw w zakresie zrównoważonego rozwoju.</w:t>
      </w:r>
    </w:p>
  </w:footnote>
  <w:footnote w:id="29">
    <w:p w14:paraId="3C8EE0D6" w14:textId="7896E8F1" w:rsidR="006578ED" w:rsidRDefault="00A1618E">
      <w:pPr>
        <w:spacing w:before="120" w:after="120" w:line="240" w:lineRule="auto"/>
        <w:jc w:val="both"/>
      </w:pPr>
      <w:r>
        <w:rPr>
          <w:rStyle w:val="FootnoteReference"/>
        </w:rPr>
        <w:footnoteRef/>
      </w:r>
      <w:r>
        <w:t xml:space="preserve"> </w:t>
      </w:r>
      <w:r>
        <w:rPr>
          <w:rFonts w:ascii="Times New Roman" w:hAnsi="Times New Roman"/>
          <w:sz w:val="20"/>
        </w:rPr>
        <w:t>Z wyjątkiem a) projektów realizowanych w ramach tego środka w zakresie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wolną od paliw kopalnych.</w:t>
      </w:r>
    </w:p>
  </w:footnote>
  <w:footnote w:id="30">
    <w:p w14:paraId="5A02C797" w14:textId="34637176" w:rsidR="006578ED" w:rsidRDefault="00A1618E">
      <w:pPr>
        <w:pStyle w:val="FootnoteText"/>
        <w:ind w:left="0" w:firstLine="0"/>
        <w:rPr>
          <w:sz w:val="16"/>
        </w:rPr>
      </w:pPr>
      <w:r>
        <w:rPr>
          <w:rStyle w:val="FootnoteReference"/>
          <w:sz w:val="18"/>
        </w:rPr>
        <w:footnoteRef/>
      </w:r>
      <w:r>
        <w:rPr>
          <w:rFonts w:ascii="Times New Roman" w:hAnsi="Times New Roman"/>
        </w:rPr>
        <w:t>W przypadku gdy wspierane działanie osiąga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31">
    <w:p w14:paraId="6555F20D" w14:textId="1F193745"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32">
    <w:p w14:paraId="1C473F0A" w14:textId="224F15CC" w:rsidR="006578ED" w:rsidRDefault="00A1618E">
      <w:pPr>
        <w:pStyle w:val="ListParagraph"/>
        <w:ind w:left="0"/>
        <w:jc w:val="both"/>
        <w:rPr>
          <w:rFonts w:ascii="Times New Roman" w:eastAsia="Times New Roman" w:hAnsi="Times New Roman" w:cs="Times New Roman"/>
          <w:sz w:val="20"/>
        </w:rPr>
      </w:pPr>
      <w:r>
        <w:rPr>
          <w:rStyle w:val="FootnoteReference"/>
        </w:rPr>
        <w:footnoteRef/>
      </w:r>
      <w:r>
        <w:t xml:space="preserve"> Wyłączenie</w:t>
      </w:r>
      <w:r>
        <w:rPr>
          <w:rFonts w:ascii="Times New Roman" w:hAnsi="Times New Roman"/>
          <w:sz w:val="20"/>
        </w:rPr>
        <w:t xml:space="preserve">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 </w:t>
      </w:r>
    </w:p>
    <w:p w14:paraId="739E8B04" w14:textId="744A2C36" w:rsidR="006578ED" w:rsidRDefault="006578ED">
      <w:pPr>
        <w:pStyle w:val="FootnoteText"/>
        <w:ind w:left="0" w:firstLine="0"/>
      </w:pPr>
    </w:p>
  </w:footnote>
  <w:footnote w:id="33">
    <w:p w14:paraId="6EC169C1" w14:textId="574B4C5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ab/>
        <w:t>Dz.U. L 169 z 25.6.2019, s. 1–44.</w:t>
      </w:r>
    </w:p>
  </w:footnote>
  <w:footnote w:id="34">
    <w:p w14:paraId="0D03082E" w14:textId="6AEF5DB0" w:rsidR="006578ED" w:rsidRDefault="00A1618E">
      <w:pPr>
        <w:pStyle w:val="FootnoteText"/>
        <w:ind w:left="0" w:firstLine="0"/>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COM(2020) 66 final.</w:t>
      </w:r>
    </w:p>
  </w:footnote>
  <w:footnote w:id="35">
    <w:p w14:paraId="485D71F3" w14:textId="5581EF98" w:rsidR="006578ED" w:rsidRDefault="00A1618E">
      <w:pPr>
        <w:pStyle w:val="FootnoteText"/>
        <w:ind w:left="0" w:firstLine="0"/>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Zob. wniosek dotyczący rozporządzenia Parlamentu Europejskiego i Rady w sprawie europejskiego zarządzania danymi, 25.11.2020, COM(2020) 767 final.</w:t>
      </w:r>
    </w:p>
  </w:footnote>
  <w:footnote w:id="36">
    <w:p w14:paraId="466BEC08" w14:textId="002B9445" w:rsidR="006578ED" w:rsidRDefault="00A1618E">
      <w:pPr>
        <w:pStyle w:val="FootnoteText"/>
        <w:ind w:left="0" w:firstLine="0"/>
        <w:jc w:val="lef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 w:history="1">
        <w:r>
          <w:rPr>
            <w:rStyle w:val="Hyperlink"/>
            <w:rFonts w:ascii="Times New Roman" w:hAnsi="Times New Roman"/>
          </w:rPr>
          <w:t>https://digital-strategy.ec.europa.eu/en/activities/digital-programme</w:t>
        </w:r>
      </w:hyperlink>
    </w:p>
    <w:p w14:paraId="43E95BAE" w14:textId="71DC71D6" w:rsidR="006578ED" w:rsidRDefault="006578ED">
      <w:pPr>
        <w:pStyle w:val="FootnoteText"/>
        <w:ind w:left="0" w:firstLine="0"/>
        <w:jc w:val="left"/>
        <w:rPr>
          <w:rFonts w:ascii="Times New Roman" w:hAnsi="Times New Roman" w:cs="Times New Roman"/>
        </w:rPr>
      </w:pPr>
    </w:p>
  </w:footnote>
  <w:footnote w:id="37">
    <w:p w14:paraId="6A6F0B55" w14:textId="687AA2F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wyjątkiem a) projektów realizowanych w ramach tego środka w zakresie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wolną od paliw kopalnych. </w:t>
      </w:r>
    </w:p>
  </w:footnote>
  <w:footnote w:id="38">
    <w:p w14:paraId="4112B603" w14:textId="5DBF6D4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39">
    <w:p w14:paraId="05DD6DC8" w14:textId="4790E19A"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40">
    <w:p w14:paraId="1AC93939" w14:textId="4D6F517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41">
    <w:p w14:paraId="34A4EF96" w14:textId="7762527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Dz.U. L 57 z 18.2.2021, s. 17–75.</w:t>
      </w:r>
    </w:p>
  </w:footnote>
  <w:footnote w:id="42">
    <w:p w14:paraId="368829F4" w14:textId="6CA5314E"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wyjątkiem a) projektów realizowanych w ramach tego środka dotyczących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wolną od paliw kopalnych.</w:t>
      </w:r>
    </w:p>
  </w:footnote>
  <w:footnote w:id="43">
    <w:p w14:paraId="20BE5507" w14:textId="19BD673E"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44">
    <w:p w14:paraId="40D0A9C9" w14:textId="315A7AE3"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45">
    <w:p w14:paraId="200E5F5C" w14:textId="7AC4B6C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w przypadku gdy działania w ramach tego środka mają na celu zwiększenie zasobooszczędności lub dostosowanie do operacji recyklingu odpadów segregowanych na kompost bioodpady i beztlenowa fermentacja bioodpadów, pod warunkiem że takie działania w ramach tego środka nie skutkują zwiększeniem zdolności zakładów w zakresie przetwarzania odpadów ani wydłużeniem okresu eksploatacji zakładów; w odniesieniu do których przedstawiono dowody na poziomie zakładu.</w:t>
      </w:r>
    </w:p>
  </w:footnote>
  <w:footnote w:id="46">
    <w:p w14:paraId="77D87518" w14:textId="0DF4D43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wyjątkiem a) projektów w ramach tego środka dotyczących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działalności i aktywów, o których mowa w ppkt (ii), w przypadku których stosowanie paliw kopalnych jest tymczasowe i technicznie nieuniknione do celów terminowego przejścia na działalność wolną od paliw kopalnych.</w:t>
      </w:r>
    </w:p>
  </w:footnote>
  <w:footnote w:id="47">
    <w:p w14:paraId="46112024" w14:textId="36BFDD5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48">
    <w:p w14:paraId="1A0AD9D3" w14:textId="6973AD65"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49">
    <w:p w14:paraId="2D5337D7" w14:textId="5C9CA2F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w przypadku gdy działania w ramach tego środka mają na celu zwiększenie zasobooszczędności lub dostosowanie do operacji recyklingu odpadów segregowanych na kompost bioodpady i beztlenowa fermentacja bioodpadów, pod warunkiem że takie działania w ramach tego środka nie skutkują zwiększeniem zdolności zakładów w zakresie przetwarzania odpadów ani wydłużeniem okresu eksploatacji zakładów; w odniesieniu do których przedstawiono dowody na poziomie zakładu.</w:t>
      </w:r>
    </w:p>
  </w:footnote>
  <w:footnote w:id="50">
    <w:p w14:paraId="651AD504" w14:textId="64CA3B88" w:rsidR="006578ED" w:rsidRDefault="00A1618E">
      <w:pPr>
        <w:pStyle w:val="FootnoteText"/>
        <w:ind w:left="0" w:firstLine="0"/>
        <w:rPr>
          <w:rFonts w:eastAsia="Times New Roman" w:cs="Times New Roman"/>
        </w:rPr>
      </w:pPr>
      <w:r>
        <w:rPr>
          <w:rStyle w:val="FootnoteReference"/>
          <w:rFonts w:cs="Times New Roman"/>
        </w:rPr>
        <w:footnoteRef/>
      </w:r>
      <w:r>
        <w:rPr>
          <w:rFonts w:ascii="Times New Roman" w:hAnsi="Times New Roman"/>
        </w:rPr>
        <w:t>Uznaje się, że beneficjent końcowy „znacznie koncentruje się” na danym sektorze lub działalności gospodarczej, jeżeli taki sektor lub działalność została określona jako istotna część działalności gospodarczej beneficjenta końcowego odpowiednio w odniesieniu do przychodów brutto, zysku lub bazy klientów beneficjenta końcowego. Dochód brutto wygenerowany z sektora lub działalności objętej ograniczeniami w żadnym przypadku nie przekracza 50 % dochodu brutto.</w:t>
      </w:r>
    </w:p>
  </w:footnote>
  <w:footnote w:id="51">
    <w:p w14:paraId="516AEBAB" w14:textId="569F5D8B" w:rsidR="006578ED" w:rsidRDefault="00A1618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52">
    <w:p w14:paraId="0DDFEA92" w14:textId="15986921" w:rsidR="006578ED" w:rsidRDefault="00A1618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 tym działań i aktywów w ramach unijnego systemu handlu uprawnieniami do emisji (ETS) zapewniających prognozowane emisje gazów cieplarnianych, które nie są niższe od odpowiednich wskaźników referencyjnych. W przypadku gdy w ramach wspieranej działalności osiąga się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53">
    <w:p w14:paraId="6236A8A5" w14:textId="77777777" w:rsidR="006578ED" w:rsidRDefault="00A1618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Pojazdy zanieczyszczające definiuje się jako pojazdy niebezemisyjne.</w:t>
      </w:r>
    </w:p>
  </w:footnote>
  <w:footnote w:id="54">
    <w:p w14:paraId="65F0B853" w14:textId="20ADD5E6" w:rsidR="006578ED" w:rsidRDefault="00A1618E">
      <w:pPr>
        <w:pStyle w:val="FootnoteText"/>
        <w:ind w:left="0" w:firstLine="0"/>
        <w:rPr>
          <w:rFonts w:eastAsia="Times New Roman" w:cs="Times New Roman"/>
        </w:rPr>
      </w:pPr>
      <w:r>
        <w:rPr>
          <w:rStyle w:val="FootnoteReference"/>
          <w:rFonts w:ascii="Times New Roman" w:hAnsi="Times New Roman" w:cs="Times New Roman"/>
        </w:rPr>
        <w:footnoteRef/>
      </w:r>
      <w:r>
        <w:t></w:t>
      </w:r>
      <w:r>
        <w:t></w:t>
      </w:r>
      <w:r>
        <w:t></w:t>
      </w:r>
      <w:r>
        <w:t></w:t>
      </w:r>
      <w:r>
        <w:t></w:t>
      </w:r>
      <w:r>
        <w:t></w:t>
      </w:r>
      <w:r>
        <w:t></w:t>
      </w:r>
      <w:r>
        <w:t></w:t>
      </w:r>
      <w:r>
        <w:t></w:t>
      </w:r>
      <w:r>
        <w:t></w:t>
      </w:r>
      <w:r>
        <w:rPr>
          <w:rFonts w:ascii="Times New Roman" w:hAnsi="Times New Roman"/>
        </w:rPr>
        <w:t xml:space="preserve"> to nie ma zastosowania do działań prowadzonych w zakładach przeznaczonych wyłącznie do przetwarzania odpadów niebezpiecznych nienadających się do recyklingu oraz do istniejących zakładów, w przypadku gdy działania w ramach tego środka mają na celu zwiększenie efektywności energetycznej, wychwytywanie gazów spalinowych do składowania lub wykorzystania lub odzyskiwanie materiałów z popiołów ze spalania, pod warunkiem że takie działania w ramach tego środka nie skutkują zwiększeniem zdolności zakładów w zakresie przetwarzania odpadów ani wydłużeniem okresu eksploatacji obiektów; w odniesieniu do których przedstawiono dowody na poziomie zakładu</w:t>
      </w:r>
    </w:p>
  </w:footnote>
  <w:footnote w:id="55">
    <w:p w14:paraId="29135868" w14:textId="5A4944EC" w:rsidR="006578ED" w:rsidRPr="00A1618E" w:rsidRDefault="00A1618E">
      <w:pPr>
        <w:pStyle w:val="FootnoteText"/>
        <w:ind w:left="0" w:firstLine="0"/>
        <w:rPr>
          <w:rFonts w:ascii="Times New Roman" w:eastAsia="Times New Roman" w:hAnsi="Times New Roman" w:cs="Times New Roman"/>
          <w:lang w:val="pl-PL"/>
        </w:rPr>
      </w:pPr>
      <w:r>
        <w:rPr>
          <w:rFonts w:ascii="Times New Roman" w:eastAsia="Times New Roman" w:hAnsi="Times New Roman" w:cs="Times New Roman"/>
          <w:sz w:val="14"/>
        </w:rPr>
        <w:footnoteRef/>
      </w:r>
      <w:r>
        <w:rPr>
          <w:rFonts w:ascii="Times New Roman" w:hAnsi="Times New Roman"/>
        </w:rPr>
        <w:t xml:space="preserve"> Beneficjenci końcowi stowarzyszeni z konkretnymi projektami są zobowiązani do przedstawienia uzasadnienia wybranego obszaru interwencji dla każdego wspieranego projektu, wraz z opisem projektu, do celów obliczenia wkładu na rzecz klimatu. Do celów obliczenia wkładu na rzecz klimatu, w przypadku obligacji kapitałowych, quasi-kapitałowych, korporacyjnych lub równoważnych instrumentów, które nie są ukierunkowane na konkretne projekty, stosuje się kryteria nakładające wymóg, aby co najmniej 90 % przychodów odbiorcy w poprzednim roku obrotowym lub przyszłych przychodów zgodnie z biznesplanem pochodziło/będzie generowane z działalności spełniającej odpowiednie kryteria wynikające z mających zastosowanie obszarów interwencji określonych w załączniku VI do rozporządzenia w sprawie RRF. Beneficjenci końcowi z obligacji kapitałowych, quasi-kapitałowych, korporacyjnych lub równoważnych instrumentów, które nie są ukierunkowane na konkretne projekty, przedstawiają uzasadnienie wybranych obszarów interwencji. Partner wykonawczy jest również zobowiązany do przedstawienia państwu członkowskiemu półrocznego sprawozdania z realizacji każdego projektu/działania</w:t>
      </w:r>
      <w:r w:rsidRPr="00A1618E">
        <w:rPr>
          <w:rFonts w:ascii="Times New Roman" w:hAnsi="Times New Roman"/>
          <w:lang w:val="pl-PL"/>
        </w:rPr>
        <w:t xml:space="preserve">. </w:t>
      </w:r>
    </w:p>
    <w:p w14:paraId="359D45F9" w14:textId="66334A9F" w:rsidR="006578ED" w:rsidRDefault="006578ED">
      <w:pPr>
        <w:pStyle w:val="FootnoteText"/>
        <w:ind w:left="0" w:firstLine="0"/>
        <w:rPr>
          <w:rFonts w:ascii="Times New Roman" w:eastAsia="Times New Roman" w:hAnsi="Times New Roman" w:cs="Times New Roman"/>
        </w:rPr>
      </w:pPr>
    </w:p>
  </w:footnote>
  <w:footnote w:id="56">
    <w:p w14:paraId="0B9FB990" w14:textId="1C4760C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wyjątkiem a) projektów realizowanych w ramach tego środka w zakresie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wolną od paliw kopalnych.</w:t>
      </w:r>
    </w:p>
  </w:footnote>
  <w:footnote w:id="57">
    <w:p w14:paraId="099E8303" w14:textId="46D5080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58">
    <w:p w14:paraId="2114B853" w14:textId="198DB7E2"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59">
    <w:p w14:paraId="32EFFE67" w14:textId="1705764E"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w przypadku gdy działania w ramach tego środka mają na celu zwiększenie zasobooszczędności lub dostosowanie do operacji recyklingu odpadów segregowanych na kompost bioodpady i beztlenowa fermentacja bioodpadów, pod warunkiem że takie działania w ramach tego środka nie skutkują zwiększeniem zdolności zakładów w zakresie przetwarzania odpadów ani wydłużeniem okresu eksploatacji zakładów; w odniesieniu do których przedstawiono dowody na poziomie zakładu.</w:t>
      </w:r>
    </w:p>
  </w:footnote>
  <w:footnote w:id="60">
    <w:p w14:paraId="34576CAB" w14:textId="3CCA78BF" w:rsidR="006578ED" w:rsidRDefault="00A1618E">
      <w:pPr>
        <w:pStyle w:val="FootnoteText"/>
        <w:ind w:left="0" w:firstLine="0"/>
      </w:pPr>
      <w:r>
        <w:rPr>
          <w:rStyle w:val="FootnoteReference"/>
        </w:rPr>
        <w:footnoteRef/>
      </w:r>
      <w:r>
        <w:rPr>
          <w:rFonts w:ascii="Times New Roman"/>
        </w:rPr>
        <w:t>Beneficjenci ko</w:t>
      </w:r>
      <w:r>
        <w:rPr>
          <w:rFonts w:ascii="Times New Roman"/>
        </w:rPr>
        <w:t></w:t>
      </w:r>
      <w:r>
        <w:rPr>
          <w:rFonts w:ascii="Times New Roman"/>
        </w:rPr>
        <w:t>cowi korzystaj</w:t>
      </w:r>
      <w:r>
        <w:rPr>
          <w:rFonts w:ascii="Times New Roman"/>
        </w:rPr>
        <w:t></w:t>
      </w:r>
      <w:r>
        <w:rPr>
          <w:rFonts w:ascii="Times New Roman"/>
        </w:rPr>
        <w:t>cy z po</w:t>
      </w:r>
      <w:r>
        <w:rPr>
          <w:rFonts w:ascii="Times New Roman"/>
        </w:rPr>
        <w:t></w:t>
      </w:r>
      <w:r>
        <w:rPr>
          <w:rFonts w:ascii="Times New Roman"/>
        </w:rPr>
        <w:t>yczek, po</w:t>
      </w:r>
      <w:r>
        <w:rPr>
          <w:rFonts w:ascii="Times New Roman"/>
        </w:rPr>
        <w:t></w:t>
      </w:r>
      <w:r>
        <w:rPr>
          <w:rFonts w:ascii="Times New Roman"/>
        </w:rPr>
        <w:t>yczek partycypacyjnych, obligacji projektowych, gwarancji lub r</w:t>
      </w:r>
      <w:r>
        <w:rPr>
          <w:rFonts w:ascii="Times New Roman"/>
        </w:rPr>
        <w:t></w:t>
      </w:r>
      <w:r>
        <w:rPr>
          <w:rFonts w:ascii="Times New Roman"/>
        </w:rPr>
        <w:t>wnowa</w:t>
      </w:r>
      <w:r>
        <w:rPr>
          <w:rFonts w:ascii="Times New Roman"/>
        </w:rPr>
        <w:t></w:t>
      </w:r>
      <w:r>
        <w:rPr>
          <w:rFonts w:ascii="Times New Roman"/>
        </w:rPr>
        <w:t>nych instrument</w:t>
      </w:r>
      <w:r>
        <w:rPr>
          <w:rFonts w:ascii="Times New Roman"/>
        </w:rPr>
        <w:t></w:t>
      </w:r>
      <w:r>
        <w:rPr>
          <w:rFonts w:ascii="Times New Roman"/>
        </w:rPr>
        <w:t>w zwi</w:t>
      </w:r>
      <w:r>
        <w:rPr>
          <w:rFonts w:ascii="Times New Roman"/>
        </w:rPr>
        <w:t></w:t>
      </w:r>
      <w:r>
        <w:rPr>
          <w:rFonts w:ascii="Times New Roman"/>
        </w:rPr>
        <w:t>zanych z</w:t>
      </w:r>
      <w:r>
        <w:rPr>
          <w:rFonts w:ascii="Times New Roman"/>
        </w:rPr>
        <w:t></w:t>
      </w:r>
      <w:r>
        <w:rPr>
          <w:rFonts w:ascii="Times New Roman"/>
        </w:rPr>
        <w:t>konkretnymi projektami s</w:t>
      </w:r>
      <w:r>
        <w:rPr>
          <w:rFonts w:ascii="Times New Roman"/>
        </w:rPr>
        <w:t></w:t>
      </w:r>
      <w:r>
        <w:rPr>
          <w:rFonts w:ascii="Times New Roman"/>
        </w:rPr>
        <w:t xml:space="preserve"> zobowi</w:t>
      </w:r>
      <w:r>
        <w:rPr>
          <w:rFonts w:ascii="Times New Roman"/>
        </w:rPr>
        <w:t></w:t>
      </w:r>
      <w:r>
        <w:rPr>
          <w:rFonts w:ascii="Times New Roman"/>
        </w:rPr>
        <w:t>zani do przedstawienia uzasadnienia wybranego obszaru interwencji dla ka</w:t>
      </w:r>
      <w:r>
        <w:rPr>
          <w:rFonts w:ascii="Times New Roman"/>
        </w:rPr>
        <w:t></w:t>
      </w:r>
      <w:r>
        <w:rPr>
          <w:rFonts w:ascii="Times New Roman"/>
        </w:rPr>
        <w:t>dego wspieranego projektu wraz z</w:t>
      </w:r>
      <w:r>
        <w:rPr>
          <w:rFonts w:ascii="Times New Roman"/>
        </w:rPr>
        <w:t></w:t>
      </w:r>
      <w:r>
        <w:rPr>
          <w:rFonts w:ascii="Times New Roman"/>
        </w:rPr>
        <w:t>opisem projektu. Partner wykonawczy jest r</w:t>
      </w:r>
      <w:r>
        <w:rPr>
          <w:rFonts w:ascii="Times New Roman"/>
        </w:rPr>
        <w:t></w:t>
      </w:r>
      <w:r>
        <w:rPr>
          <w:rFonts w:ascii="Times New Roman"/>
        </w:rPr>
        <w:t>wnie</w:t>
      </w:r>
      <w:r>
        <w:rPr>
          <w:rFonts w:ascii="Times New Roman"/>
        </w:rPr>
        <w:t></w:t>
      </w:r>
      <w:r>
        <w:rPr>
          <w:rFonts w:ascii="Times New Roman"/>
        </w:rPr>
        <w:t xml:space="preserve"> zobowi</w:t>
      </w:r>
      <w:r>
        <w:rPr>
          <w:rFonts w:ascii="Times New Roman"/>
        </w:rPr>
        <w:t></w:t>
      </w:r>
      <w:r>
        <w:rPr>
          <w:rFonts w:ascii="Times New Roman"/>
        </w:rPr>
        <w:t>zany do przedstawienia pa</w:t>
      </w:r>
      <w:r>
        <w:rPr>
          <w:rFonts w:ascii="Times New Roman"/>
        </w:rPr>
        <w:t></w:t>
      </w:r>
      <w:r>
        <w:rPr>
          <w:rFonts w:ascii="Times New Roman"/>
        </w:rPr>
        <w:t>stwu cz</w:t>
      </w:r>
      <w:r>
        <w:rPr>
          <w:rFonts w:ascii="Times New Roman"/>
        </w:rPr>
        <w:t></w:t>
      </w:r>
      <w:r>
        <w:rPr>
          <w:rFonts w:ascii="Times New Roman"/>
        </w:rPr>
        <w:t>onkowskiemu p</w:t>
      </w:r>
      <w:r>
        <w:rPr>
          <w:rFonts w:ascii="Times New Roman"/>
        </w:rPr>
        <w:t></w:t>
      </w:r>
      <w:r>
        <w:rPr>
          <w:rFonts w:ascii="Times New Roman"/>
        </w:rPr>
        <w:t></w:t>
      </w:r>
      <w:r>
        <w:rPr>
          <w:rFonts w:ascii="Times New Roman"/>
        </w:rPr>
        <w:t>rocznego sprawozdania z</w:t>
      </w:r>
      <w:r>
        <w:rPr>
          <w:rFonts w:ascii="Times New Roman"/>
        </w:rPr>
        <w:t></w:t>
      </w:r>
      <w:r>
        <w:rPr>
          <w:rFonts w:ascii="Times New Roman"/>
        </w:rPr>
        <w:t>realizacji ka</w:t>
      </w:r>
      <w:r>
        <w:rPr>
          <w:rFonts w:ascii="Times New Roman"/>
        </w:rPr>
        <w:t></w:t>
      </w:r>
      <w:r>
        <w:rPr>
          <w:rFonts w:ascii="Times New Roman"/>
        </w:rPr>
        <w:t>dego projektu/dzia</w:t>
      </w:r>
      <w:r>
        <w:rPr>
          <w:rFonts w:ascii="Times New Roman"/>
        </w:rPr>
        <w:t></w:t>
      </w:r>
      <w:r>
        <w:rPr>
          <w:rFonts w:ascii="Times New Roman"/>
        </w:rPr>
        <w:t>ania.</w:t>
      </w:r>
    </w:p>
  </w:footnote>
  <w:footnote w:id="61">
    <w:p w14:paraId="441FC4A4" w14:textId="1ACD9991" w:rsidR="006578ED" w:rsidRDefault="00A1618E">
      <w:pPr>
        <w:pStyle w:val="FootnoteText"/>
        <w:ind w:left="0" w:firstLine="0"/>
        <w:rPr>
          <w:rFonts w:ascii="Times New Roman" w:eastAsia="Times New Roman" w:hAnsi="Times New Roman" w:cs="Times New Roman"/>
        </w:rPr>
      </w:pPr>
      <w:r>
        <w:rPr>
          <w:rStyle w:val="FootnoteReference"/>
          <w:rFonts w:ascii="Times New Roman" w:hAnsi="Times New Roman" w:cs="Times New Roman"/>
        </w:rPr>
        <w:footnoteRef/>
      </w:r>
      <w:r>
        <w:rPr>
          <w:rStyle w:val="normaltextrun"/>
          <w:rFonts w:ascii="Times New Roman" w:hAnsi="Times New Roman"/>
        </w:rPr>
        <w:t>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62">
    <w:p w14:paraId="11C7B281" w14:textId="7ACC7C54" w:rsidR="006578ED" w:rsidRDefault="00A1618E">
      <w:pPr>
        <w:pStyle w:val="FootnoteText"/>
        <w:ind w:left="0" w:firstLine="0"/>
      </w:pPr>
      <w:r>
        <w:rPr>
          <w:rStyle w:val="FootnoteReference"/>
        </w:rPr>
        <w:footnoteRef/>
      </w:r>
      <w:r>
        <w:rPr>
          <w:rFonts w:ascii="Times New Roman" w:hAnsi="Times New Roman"/>
        </w:rPr>
        <w:t xml:space="preserve">W przypadku gdy w ramach wspieranej działalności osiąga się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 </w:t>
      </w:r>
    </w:p>
  </w:footnote>
  <w:footnote w:id="63">
    <w:p w14:paraId="3517BA0F" w14:textId="2D0815E2" w:rsidR="006578ED" w:rsidRDefault="00A1618E">
      <w:pPr>
        <w:pStyle w:val="FootnoteText"/>
        <w:ind w:left="0" w:firstLine="0"/>
      </w:pPr>
      <w:r>
        <w:rPr>
          <w:rStyle w:val="FootnoteReference"/>
        </w:rPr>
        <w:footnoteRef/>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Fonts w:ascii="Times New Roman" w:hAnsi="Times New Roman"/>
        </w:rPr>
        <w:t xml:space="preserv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64">
    <w:p w14:paraId="6A4997F4" w14:textId="48ECCF11" w:rsidR="006578ED" w:rsidRDefault="00A1618E">
      <w:pPr>
        <w:pStyle w:val="P68B1DB1-FootnoteText47"/>
        <w:ind w:left="0" w:firstLine="0"/>
        <w:rPr>
          <w:rFonts w:cs="Times New Roman"/>
        </w:rPr>
      </w:pPr>
      <w:r>
        <w:t>Wyłączenie</w:t>
      </w:r>
      <w:r>
        <w:footnoteRef/>
      </w:r>
      <w:r>
        <w:t xml:space="preserve"> to nie ma zastosowania do działań podejmowanych w ramach tego środka w istniejących zakładach mechaniczno-biologicznego przetwarzania, w przypadku gdy działania w ramach tego środka mają na celu zwiększenie zasobooszczędności lub dostosowanie do operacji recyklingu odpadów segregowanych na kompost bioodpady i beztlenowa fermentacja bioodpadów, pod warunkiem że takie działania w ramach tego środka nie skutkują zwiększeniem zdolności zakładów w zakresie przetwarzania odpadów ani wydłużeniem okresu eksploatacji zakładów; w odniesieniu do których przedstawiono dowody na poziomie zakładu.</w:t>
      </w:r>
    </w:p>
  </w:footnote>
  <w:footnote w:id="65">
    <w:p w14:paraId="17035744" w14:textId="513A6650" w:rsidR="006578ED" w:rsidRDefault="00A1618E">
      <w:pPr>
        <w:pStyle w:val="FootnoteText"/>
        <w:ind w:left="0" w:firstLine="0"/>
      </w:pPr>
      <w:r>
        <w:rPr>
          <w:rStyle w:val="FootnoteReference"/>
        </w:rPr>
        <w:footnoteRef/>
      </w:r>
      <w:r>
        <w:rPr>
          <w:rFonts w:ascii="Times New Roman"/>
        </w:rPr>
        <w:t>Beneficjenci ko</w:t>
      </w:r>
      <w:r>
        <w:rPr>
          <w:rFonts w:ascii="Times New Roman"/>
        </w:rPr>
        <w:t></w:t>
      </w:r>
      <w:r>
        <w:rPr>
          <w:rFonts w:ascii="Times New Roman"/>
        </w:rPr>
        <w:t>cowi s</w:t>
      </w:r>
      <w:r>
        <w:rPr>
          <w:rFonts w:ascii="Times New Roman"/>
        </w:rPr>
        <w:t></w:t>
      </w:r>
      <w:r>
        <w:rPr>
          <w:rFonts w:ascii="Times New Roman"/>
        </w:rPr>
        <w:t xml:space="preserve"> zobowi</w:t>
      </w:r>
      <w:r>
        <w:rPr>
          <w:rFonts w:ascii="Times New Roman"/>
        </w:rPr>
        <w:t></w:t>
      </w:r>
      <w:r>
        <w:rPr>
          <w:rFonts w:ascii="Times New Roman"/>
        </w:rPr>
        <w:t>zani do przedstawienia uzasadnienia wybranego obszaru interwencji dla ka</w:t>
      </w:r>
      <w:r>
        <w:rPr>
          <w:rFonts w:ascii="Times New Roman"/>
        </w:rPr>
        <w:t></w:t>
      </w:r>
      <w:r>
        <w:rPr>
          <w:rFonts w:ascii="Times New Roman"/>
        </w:rPr>
        <w:t>dego wspieranego projektu wraz z</w:t>
      </w:r>
      <w:r>
        <w:rPr>
          <w:rFonts w:ascii="Times New Roman"/>
        </w:rPr>
        <w:t></w:t>
      </w:r>
      <w:r>
        <w:rPr>
          <w:rFonts w:ascii="Times New Roman"/>
        </w:rPr>
        <w:t>opisem projektu. Partner wykonawczy jest r</w:t>
      </w:r>
      <w:r>
        <w:rPr>
          <w:rFonts w:ascii="Times New Roman"/>
        </w:rPr>
        <w:t></w:t>
      </w:r>
      <w:r>
        <w:rPr>
          <w:rFonts w:ascii="Times New Roman"/>
        </w:rPr>
        <w:t>wnie</w:t>
      </w:r>
      <w:r>
        <w:rPr>
          <w:rFonts w:ascii="Times New Roman"/>
        </w:rPr>
        <w:t></w:t>
      </w:r>
      <w:r>
        <w:rPr>
          <w:rFonts w:ascii="Times New Roman"/>
        </w:rPr>
        <w:t xml:space="preserve"> zobowi</w:t>
      </w:r>
      <w:r>
        <w:rPr>
          <w:rFonts w:ascii="Times New Roman"/>
        </w:rPr>
        <w:t></w:t>
      </w:r>
      <w:r>
        <w:rPr>
          <w:rFonts w:ascii="Times New Roman"/>
        </w:rPr>
        <w:t>zany do przedstawienia pa</w:t>
      </w:r>
      <w:r>
        <w:rPr>
          <w:rFonts w:ascii="Times New Roman"/>
        </w:rPr>
        <w:t></w:t>
      </w:r>
      <w:r>
        <w:rPr>
          <w:rFonts w:ascii="Times New Roman"/>
        </w:rPr>
        <w:t>stwu cz</w:t>
      </w:r>
      <w:r>
        <w:rPr>
          <w:rFonts w:ascii="Times New Roman"/>
        </w:rPr>
        <w:t></w:t>
      </w:r>
      <w:r>
        <w:rPr>
          <w:rFonts w:ascii="Times New Roman"/>
        </w:rPr>
        <w:t>onkowskiemu p</w:t>
      </w:r>
      <w:r>
        <w:rPr>
          <w:rFonts w:ascii="Times New Roman"/>
        </w:rPr>
        <w:t></w:t>
      </w:r>
      <w:r>
        <w:rPr>
          <w:rFonts w:ascii="Times New Roman"/>
        </w:rPr>
        <w:t></w:t>
      </w:r>
      <w:r>
        <w:rPr>
          <w:rFonts w:ascii="Times New Roman"/>
        </w:rPr>
        <w:t>rocznego sprawozdania z</w:t>
      </w:r>
      <w:r>
        <w:rPr>
          <w:rFonts w:ascii="Times New Roman"/>
        </w:rPr>
        <w:t></w:t>
      </w:r>
      <w:r>
        <w:rPr>
          <w:rFonts w:ascii="Times New Roman"/>
        </w:rPr>
        <w:t>realizacji ka</w:t>
      </w:r>
      <w:r>
        <w:rPr>
          <w:rFonts w:ascii="Times New Roman"/>
        </w:rPr>
        <w:t></w:t>
      </w:r>
      <w:r>
        <w:rPr>
          <w:rFonts w:ascii="Times New Roman"/>
        </w:rPr>
        <w:t>dego projektu/dzia</w:t>
      </w:r>
      <w:r>
        <w:rPr>
          <w:rFonts w:ascii="Times New Roman"/>
        </w:rPr>
        <w:t></w:t>
      </w:r>
      <w:r>
        <w:rPr>
          <w:rFonts w:ascii="Times New Roman"/>
        </w:rPr>
        <w:t>ania.</w:t>
      </w:r>
    </w:p>
  </w:footnote>
  <w:footnote w:id="66">
    <w:p w14:paraId="1388DD03" w14:textId="0D369C63"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67">
    <w:p w14:paraId="049374AA" w14:textId="3ABF1A07"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68">
    <w:p w14:paraId="27EF568E" w14:textId="4E99A49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69">
    <w:p w14:paraId="23D8534A" w14:textId="6410EEFF"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70">
    <w:p w14:paraId="3CFFFF39" w14:textId="4EE379E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71">
    <w:p w14:paraId="43EEF02B" w14:textId="4158F36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72">
    <w:p w14:paraId="40807FE2" w14:textId="0CCCF1C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73">
    <w:p w14:paraId="1CB6C7E9" w14:textId="1C3B5F9A"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74">
    <w:p w14:paraId="2B200213" w14:textId="709B92A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75">
    <w:p w14:paraId="05FC50DF" w14:textId="29C3EBB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76">
    <w:p w14:paraId="3BB736CE" w14:textId="6045C74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77">
    <w:p w14:paraId="7EBE54B9" w14:textId="534B725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78">
    <w:p w14:paraId="66C53FE1" w14:textId="759C586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79">
    <w:p w14:paraId="3830928D" w14:textId="2DAA8E2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80">
    <w:p w14:paraId="3A72EFB5" w14:textId="49C5DC3B"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81">
    <w:p w14:paraId="6662CD57" w14:textId="52148C9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82">
    <w:p w14:paraId="776C7398" w14:textId="5D77169A"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83">
    <w:p w14:paraId="169B8B21" w14:textId="73C2C2B2"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84">
    <w:p w14:paraId="68351CAB" w14:textId="14ECCC3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85">
    <w:p w14:paraId="5899C85A" w14:textId="7A825E13"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86">
    <w:p w14:paraId="1EA804AE" w14:textId="06789358"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87">
    <w:p w14:paraId="2EC854D7" w14:textId="1584ADE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88">
    <w:p w14:paraId="566B7679" w14:textId="3AB7E813"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89">
    <w:p w14:paraId="73ACECE6" w14:textId="30570818"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90">
    <w:p w14:paraId="4C0937CD" w14:textId="71722562"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91">
    <w:p w14:paraId="18AEA43E" w14:textId="7D5C5BA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92">
    <w:p w14:paraId="7EDFA028" w14:textId="58CDA19A"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93">
    <w:p w14:paraId="6410233A" w14:textId="2A53890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94">
    <w:p w14:paraId="5A245C48" w14:textId="782DCD8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95">
    <w:p w14:paraId="3FF52BCB" w14:textId="22AE89AD" w:rsidR="006578ED" w:rsidRDefault="00A1618E">
      <w:pPr>
        <w:pStyle w:val="FootnoteText"/>
        <w:tabs>
          <w:tab w:val="left" w:pos="284"/>
        </w:tabs>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96">
    <w:p w14:paraId="3B9DEB54" w14:textId="691FF89C" w:rsidR="006578ED" w:rsidRDefault="00A1618E">
      <w:pPr>
        <w:pStyle w:val="FootnoteText"/>
        <w:tabs>
          <w:tab w:val="left" w:pos="284"/>
        </w:tabs>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97">
    <w:p w14:paraId="3459D487" w14:textId="76746CB2" w:rsidR="006578ED" w:rsidRDefault="00A1618E">
      <w:pPr>
        <w:pStyle w:val="FootnoteText"/>
        <w:tabs>
          <w:tab w:val="left" w:pos="284"/>
        </w:tabs>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98">
    <w:p w14:paraId="3748429C" w14:textId="72398853" w:rsidR="006578ED" w:rsidRDefault="00A1618E">
      <w:pPr>
        <w:pStyle w:val="FootnoteText"/>
        <w:ind w:left="0" w:firstLine="0"/>
        <w:rPr>
          <w:rFonts w:ascii="Times New Roman" w:eastAsia="Times New Roman" w:hAnsi="Times New Roman" w:cs="Times New Roman"/>
        </w:rPr>
      </w:pPr>
      <w:r>
        <w:rPr>
          <w:rStyle w:val="FootnoteReference"/>
          <w:rFonts w:ascii="Times New Roman" w:hAnsi="Times New Roman" w:cs="Times New Roman"/>
        </w:rPr>
        <w:footnoteRef/>
      </w:r>
      <w:r>
        <w:rPr>
          <w:rStyle w:val="normaltextrun"/>
          <w:rFonts w:ascii="Times New Roman" w:hAnsi="Times New Roman"/>
        </w:rPr>
        <w:t>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99">
    <w:p w14:paraId="52B8012A" w14:textId="3B7F1B82" w:rsidR="006578ED" w:rsidRDefault="00A1618E">
      <w:pPr>
        <w:pStyle w:val="FootnoteText"/>
        <w:ind w:left="0" w:firstLine="0"/>
      </w:pPr>
      <w:r>
        <w:rPr>
          <w:rStyle w:val="FootnoteReference"/>
        </w:rPr>
        <w:footnoteRef/>
      </w:r>
      <w:r>
        <w:rPr>
          <w:rFonts w:ascii="Times New Roman" w:hAnsi="Times New Roman"/>
        </w:rPr>
        <w:t xml:space="preserve">W przypadku gdy w ramach wspieranej działalności osiąga się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 </w:t>
      </w:r>
    </w:p>
  </w:footnote>
  <w:footnote w:id="100">
    <w:p w14:paraId="7FB2A563" w14:textId="60DC8C2E" w:rsidR="006578ED" w:rsidRDefault="00A1618E">
      <w:pPr>
        <w:pStyle w:val="FootnoteText"/>
        <w:ind w:left="0" w:firstLine="0"/>
      </w:pPr>
      <w:r>
        <w:rPr>
          <w:rStyle w:val="FootnoteReference"/>
        </w:rPr>
        <w:footnoteRef/>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Fonts w:ascii="Times New Roman" w:hAnsi="Times New Roman"/>
        </w:rPr>
        <w:t xml:space="preserv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01">
    <w:p w14:paraId="7CF82E2D" w14:textId="34E54713" w:rsidR="006578ED" w:rsidRDefault="00A1618E">
      <w:pPr>
        <w:pStyle w:val="P68B1DB1-FootnoteText47"/>
        <w:ind w:left="0" w:firstLine="0"/>
        <w:rPr>
          <w:rFonts w:cs="Times New Roman"/>
        </w:rPr>
      </w:pPr>
      <w:r>
        <w:t>Wyłączenie</w:t>
      </w:r>
      <w:r>
        <w:footnoteRef/>
      </w:r>
      <w:r>
        <w:t xml:space="preserve"> to nie ma zastosowania do działań podejmowanych w ramach tego środka w istniejących zakładach mechaniczno-biologicznego przetwarzania, w przypadku gdy działania w ramach tego środka mają na celu zwiększenie zasobooszczędności lub dostosowanie do operacji recyklingu odpadów segregowanych na kompost bioodpady i beztlenowa fermentacja bioodpadów, pod warunkiem że takie działania w ramach tego środka nie skutkują zwiększeniem zdolności zakładów w zakresie przetwarzania odpadów ani wydłużeniem okresu eksploatacji zakładów; w odniesieniu do których przedstawiono dowody na poziomie zakładu.</w:t>
      </w:r>
    </w:p>
  </w:footnote>
  <w:footnote w:id="102">
    <w:p w14:paraId="78117A27" w14:textId="204E0EF6" w:rsidR="006578ED" w:rsidRDefault="00A1618E">
      <w:pPr>
        <w:pStyle w:val="FootnoteText"/>
        <w:ind w:left="0" w:firstLine="0"/>
      </w:pPr>
      <w:r>
        <w:rPr>
          <w:rStyle w:val="FootnoteReference"/>
        </w:rPr>
        <w:footnoteRef/>
      </w:r>
      <w:r>
        <w:rPr>
          <w:rFonts w:ascii="Times New Roman"/>
        </w:rPr>
        <w:t>Dyrektyw</w:t>
      </w:r>
      <w:r>
        <w:rPr>
          <w:rFonts w:ascii="Times New Roman"/>
        </w:rPr>
        <w:t></w:t>
      </w:r>
      <w:r>
        <w:rPr>
          <w:rFonts w:ascii="Times New Roman"/>
        </w:rPr>
        <w:t xml:space="preserve"> 2013/34/UE zmieniono dyrektyw</w:t>
      </w:r>
      <w:r>
        <w:rPr>
          <w:rFonts w:ascii="Times New Roman"/>
        </w:rPr>
        <w:t></w:t>
      </w:r>
      <w:r>
        <w:rPr>
          <w:rFonts w:ascii="Times New Roman"/>
        </w:rPr>
        <w:t xml:space="preserve"> (UE) 2022/2464 w</w:t>
      </w:r>
      <w:r>
        <w:rPr>
          <w:rFonts w:ascii="Times New Roman"/>
        </w:rPr>
        <w:t></w:t>
      </w:r>
      <w:r>
        <w:rPr>
          <w:rFonts w:ascii="Times New Roman"/>
        </w:rPr>
        <w:t>sprawie sprawozdawczo</w:t>
      </w:r>
      <w:r>
        <w:rPr>
          <w:rFonts w:ascii="Times New Roman"/>
        </w:rPr>
        <w:t></w:t>
      </w:r>
      <w:r>
        <w:rPr>
          <w:rFonts w:ascii="Times New Roman"/>
        </w:rPr>
        <w:t>ci przedsi</w:t>
      </w:r>
      <w:r>
        <w:rPr>
          <w:rFonts w:ascii="Times New Roman"/>
        </w:rPr>
        <w:t></w:t>
      </w:r>
      <w:r>
        <w:rPr>
          <w:rFonts w:ascii="Times New Roman"/>
        </w:rPr>
        <w:t>biorstw w</w:t>
      </w:r>
      <w:r>
        <w:rPr>
          <w:rFonts w:ascii="Times New Roman"/>
        </w:rPr>
        <w:t></w:t>
      </w:r>
      <w:r>
        <w:rPr>
          <w:rFonts w:ascii="Times New Roman"/>
        </w:rPr>
        <w:t>zakresie zr</w:t>
      </w:r>
      <w:r>
        <w:rPr>
          <w:rFonts w:ascii="Times New Roman"/>
        </w:rPr>
        <w:t></w:t>
      </w:r>
      <w:r>
        <w:rPr>
          <w:rFonts w:ascii="Times New Roman"/>
        </w:rPr>
        <w:t>wnowa</w:t>
      </w:r>
      <w:r>
        <w:rPr>
          <w:rFonts w:ascii="Times New Roman"/>
        </w:rPr>
        <w:t></w:t>
      </w:r>
      <w:r>
        <w:rPr>
          <w:rFonts w:ascii="Times New Roman"/>
        </w:rPr>
        <w:t>onego rozwoju.</w:t>
      </w:r>
    </w:p>
  </w:footnote>
  <w:footnote w:id="103">
    <w:p w14:paraId="51881876" w14:textId="23BE6E24" w:rsidR="006578ED" w:rsidRDefault="00A1618E">
      <w:pPr>
        <w:pStyle w:val="FootnoteText"/>
        <w:ind w:left="0" w:firstLine="0"/>
      </w:pPr>
      <w:r>
        <w:rPr>
          <w:rStyle w:val="FootnoteReference"/>
        </w:rPr>
        <w:footnoteRef/>
      </w:r>
      <w:r>
        <w:rPr>
          <w:rFonts w:ascii="Times New Roman" w:hAnsi="Times New Roman"/>
        </w:rPr>
        <w:t>Z wyjątkiem a) projektów realizowanych w ramach tego środka w zakresie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bezpłatną eksploatację paliw kopalnych, całkowicie z czasem wycofuje paliwa kopalne</w:t>
      </w:r>
      <w:r>
        <w:t></w:t>
      </w:r>
    </w:p>
  </w:footnote>
  <w:footnote w:id="104">
    <w:p w14:paraId="6D1F4F17" w14:textId="12CD0088" w:rsidR="006578ED" w:rsidRDefault="00A1618E">
      <w:pPr>
        <w:pStyle w:val="FootnoteText"/>
        <w:ind w:left="0" w:firstLine="0"/>
      </w:pPr>
      <w:r>
        <w:rPr>
          <w:rStyle w:val="FootnoteReference"/>
        </w:rPr>
        <w:footnoteRef/>
      </w:r>
      <w:r>
        <w:rPr>
          <w:rFonts w:ascii="Times New Roman"/>
        </w:rPr>
        <w:t>W przypadku gdy wspierane dzia</w:t>
      </w:r>
      <w:r>
        <w:rPr>
          <w:rFonts w:ascii="Times New Roman"/>
        </w:rPr>
        <w:t></w:t>
      </w:r>
      <w:r>
        <w:rPr>
          <w:rFonts w:ascii="Times New Roman"/>
        </w:rPr>
        <w:t>anie osi</w:t>
      </w:r>
      <w:r>
        <w:rPr>
          <w:rFonts w:ascii="Times New Roman"/>
        </w:rPr>
        <w:t></w:t>
      </w:r>
      <w:r>
        <w:rPr>
          <w:rFonts w:ascii="Times New Roman"/>
        </w:rPr>
        <w:t>ga prognozowane emisje gaz</w:t>
      </w:r>
      <w:r>
        <w:rPr>
          <w:rFonts w:ascii="Times New Roman"/>
        </w:rPr>
        <w:t></w:t>
      </w:r>
      <w:r>
        <w:rPr>
          <w:rFonts w:ascii="Times New Roman"/>
        </w:rPr>
        <w:t>w cieplarnianych, kt</w:t>
      </w:r>
      <w:r>
        <w:rPr>
          <w:rFonts w:ascii="Times New Roman"/>
        </w:rPr>
        <w:t></w:t>
      </w:r>
      <w:r>
        <w:rPr>
          <w:rFonts w:ascii="Times New Roman"/>
        </w:rPr>
        <w:t>re nie s</w:t>
      </w:r>
      <w:r>
        <w:rPr>
          <w:rFonts w:ascii="Times New Roman"/>
        </w:rPr>
        <w:t></w:t>
      </w:r>
      <w:r>
        <w:rPr>
          <w:rFonts w:ascii="Times New Roman"/>
        </w:rPr>
        <w:t xml:space="preserve"> znacznie ni</w:t>
      </w:r>
      <w:r>
        <w:rPr>
          <w:rFonts w:ascii="Times New Roman"/>
        </w:rPr>
        <w:t></w:t>
      </w:r>
      <w:r>
        <w:rPr>
          <w:rFonts w:ascii="Times New Roman"/>
        </w:rPr>
        <w:t>sze od odpowiednich wska</w:t>
      </w:r>
      <w:r>
        <w:rPr>
          <w:rFonts w:ascii="Times New Roman"/>
        </w:rPr>
        <w:t></w:t>
      </w:r>
      <w:r>
        <w:rPr>
          <w:rFonts w:ascii="Times New Roman"/>
        </w:rPr>
        <w:t>nik</w:t>
      </w:r>
      <w:r>
        <w:rPr>
          <w:rFonts w:ascii="Times New Roman"/>
        </w:rPr>
        <w:t></w:t>
      </w:r>
      <w:r>
        <w:rPr>
          <w:rFonts w:ascii="Times New Roman"/>
        </w:rPr>
        <w:t>w referencyjnych, nale</w:t>
      </w:r>
      <w:r>
        <w:rPr>
          <w:rFonts w:ascii="Times New Roman"/>
        </w:rPr>
        <w:t></w:t>
      </w:r>
      <w:r>
        <w:rPr>
          <w:rFonts w:ascii="Times New Roman"/>
        </w:rPr>
        <w:t>y przedstawi</w:t>
      </w:r>
      <w:r>
        <w:rPr>
          <w:rFonts w:ascii="Times New Roman"/>
        </w:rPr>
        <w:t></w:t>
      </w:r>
      <w:r>
        <w:rPr>
          <w:rFonts w:ascii="Times New Roman"/>
        </w:rPr>
        <w:t xml:space="preserve"> wyja</w:t>
      </w:r>
      <w:r>
        <w:rPr>
          <w:rFonts w:ascii="Times New Roman"/>
        </w:rPr>
        <w:t></w:t>
      </w:r>
      <w:r>
        <w:rPr>
          <w:rFonts w:ascii="Times New Roman"/>
        </w:rPr>
        <w:t>nienie powod</w:t>
      </w:r>
      <w:r>
        <w:rPr>
          <w:rFonts w:ascii="Times New Roman"/>
        </w:rPr>
        <w:t></w:t>
      </w:r>
      <w:r>
        <w:rPr>
          <w:rFonts w:ascii="Times New Roman"/>
        </w:rPr>
        <w:t>w, dla kt</w:t>
      </w:r>
      <w:r>
        <w:rPr>
          <w:rFonts w:ascii="Times New Roman"/>
        </w:rPr>
        <w:t></w:t>
      </w:r>
      <w:r>
        <w:rPr>
          <w:rFonts w:ascii="Times New Roman"/>
        </w:rPr>
        <w:t>rych nie jest to mo</w:t>
      </w:r>
      <w:r>
        <w:rPr>
          <w:rFonts w:ascii="Times New Roman"/>
        </w:rPr>
        <w:t></w:t>
      </w:r>
      <w:r>
        <w:rPr>
          <w:rFonts w:ascii="Times New Roman"/>
        </w:rPr>
        <w:t>liwe. Warto</w:t>
      </w:r>
      <w:r>
        <w:rPr>
          <w:rFonts w:ascii="Times New Roman"/>
        </w:rPr>
        <w:t></w:t>
      </w:r>
      <w:r>
        <w:rPr>
          <w:rFonts w:ascii="Times New Roman"/>
        </w:rPr>
        <w:t>ci odniesienia ustanowione dla przydzia</w:t>
      </w:r>
      <w:r>
        <w:rPr>
          <w:rFonts w:ascii="Times New Roman"/>
        </w:rPr>
        <w:t></w:t>
      </w:r>
      <w:r>
        <w:rPr>
          <w:rFonts w:ascii="Times New Roman"/>
        </w:rPr>
        <w:t>u bezp</w:t>
      </w:r>
      <w:r>
        <w:rPr>
          <w:rFonts w:ascii="Times New Roman"/>
        </w:rPr>
        <w:t></w:t>
      </w:r>
      <w:r>
        <w:rPr>
          <w:rFonts w:ascii="Times New Roman"/>
        </w:rPr>
        <w:t>atnych uprawnie</w:t>
      </w:r>
      <w:r>
        <w:rPr>
          <w:rFonts w:ascii="Times New Roman"/>
        </w:rPr>
        <w:t></w:t>
      </w:r>
      <w:r>
        <w:rPr>
          <w:rFonts w:ascii="Times New Roman"/>
        </w:rPr>
        <w:t xml:space="preserve"> w</w:t>
      </w:r>
      <w:r>
        <w:rPr>
          <w:rFonts w:ascii="Times New Roman"/>
        </w:rPr>
        <w:t></w:t>
      </w:r>
      <w:r>
        <w:rPr>
          <w:rFonts w:ascii="Times New Roman"/>
        </w:rPr>
        <w:t>odniesieniu do dzia</w:t>
      </w:r>
      <w:r>
        <w:rPr>
          <w:rFonts w:ascii="Times New Roman"/>
        </w:rPr>
        <w:t></w:t>
      </w:r>
      <w:r>
        <w:rPr>
          <w:rFonts w:ascii="Times New Roman"/>
        </w:rPr>
        <w:t>a</w:t>
      </w:r>
      <w:r>
        <w:rPr>
          <w:rFonts w:ascii="Times New Roman"/>
        </w:rPr>
        <w:t></w:t>
      </w:r>
      <w:r>
        <w:rPr>
          <w:rFonts w:ascii="Times New Roman"/>
        </w:rPr>
        <w:t xml:space="preserve"> wchodz</w:t>
      </w:r>
      <w:r>
        <w:rPr>
          <w:rFonts w:ascii="Times New Roman"/>
        </w:rPr>
        <w:t></w:t>
      </w:r>
      <w:r>
        <w:rPr>
          <w:rFonts w:ascii="Times New Roman"/>
        </w:rPr>
        <w:t>cych w</w:t>
      </w:r>
      <w:r>
        <w:rPr>
          <w:rFonts w:ascii="Times New Roman"/>
        </w:rPr>
        <w:t></w:t>
      </w:r>
      <w:r>
        <w:rPr>
          <w:rFonts w:ascii="Times New Roman"/>
        </w:rPr>
        <w:t>zakres systemu handlu uprawnieniami do emisji, jak okre</w:t>
      </w:r>
      <w:r>
        <w:rPr>
          <w:rFonts w:ascii="Times New Roman"/>
        </w:rPr>
        <w:t></w:t>
      </w:r>
      <w:r>
        <w:rPr>
          <w:rFonts w:ascii="Times New Roman"/>
        </w:rPr>
        <w:t>lono w</w:t>
      </w:r>
      <w:r>
        <w:rPr>
          <w:rFonts w:ascii="Times New Roman"/>
        </w:rPr>
        <w:t></w:t>
      </w:r>
      <w:r>
        <w:rPr>
          <w:rFonts w:ascii="Times New Roman"/>
        </w:rPr>
        <w:t>rozporz</w:t>
      </w:r>
      <w:r>
        <w:rPr>
          <w:rFonts w:ascii="Times New Roman"/>
        </w:rPr>
        <w:t></w:t>
      </w:r>
      <w:r>
        <w:rPr>
          <w:rFonts w:ascii="Times New Roman"/>
        </w:rPr>
        <w:t>dzeniu wykonawczym Komisji (UE) 2021/447.</w:t>
      </w:r>
    </w:p>
  </w:footnote>
  <w:footnote w:id="105">
    <w:p w14:paraId="652A1898" w14:textId="376EF356"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06">
    <w:p w14:paraId="1AFE6726" w14:textId="1A69D82E"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07">
    <w:p w14:paraId="6ABF1EBF" w14:textId="2480B95A" w:rsidR="006578ED" w:rsidRDefault="00A1618E">
      <w:pPr>
        <w:pStyle w:val="FootnoteText"/>
        <w:ind w:left="0" w:firstLine="0"/>
      </w:pPr>
      <w:r>
        <w:rPr>
          <w:rStyle w:val="FootnoteReference"/>
        </w:rPr>
        <w:footnoteRef/>
      </w:r>
      <w:r>
        <w:rPr>
          <w:rFonts w:ascii="Times New Roman" w:hAnsi="Times New Roman"/>
        </w:rPr>
        <w:t xml:space="preserve">Beneficjenci końcowi korzystający z pożyczek, pożyczek partycypacyjnych, obligacji projektowych, gwarancji lub równoważnych instrumentów związanych z konkretnymi projektami są zobowiązani do przedstawienia uzasadnienia wybranego obszaru interwencji dla każdego wspieranego projektu wraz z opisem projektu. Do celów obliczenia wkładu na rzecz klimatu, w przypadku obligacji kapitałowych, quasi-kapitałowych, korporacyjnych lub równoważnych instrumentów, które nie są ukierunkowane na konkretne projekty, stosuje się kryteria nakładające wymóg, aby co najmniej 90 % przychodów odbiorcy w poprzednim roku obrotowym lub przyszłych przychodów zgodnie z biznesplanem pochodziło/będzie generowane z działalności spełniającej odpowiednie kryteria wynikające z mających zastosowanie obszarów interwencji określonych w załączniku VI do rozporządzenia w sprawie RRF. Beneficjenci końcowi z obligacji kapitałowych, quasi-kapitałowych, korporacyjnych lub równoważnych instrumentów, które nie są ukierunkowane na konkretne projekty, przedstawiają uzasadnienie wybranych obszarów interwencji. Partner wykonawczy jest również zobowiązany do przedstawienia państwu członkowskiemu półrocznego sprawozdania z realizacji każdego projektu/działania. </w:t>
      </w:r>
    </w:p>
  </w:footnote>
  <w:footnote w:id="108">
    <w:p w14:paraId="0499B7C3" w14:textId="3B7A4571" w:rsidR="006578ED" w:rsidRDefault="00A1618E">
      <w:pPr>
        <w:pStyle w:val="FootnoteText"/>
        <w:ind w:left="0" w:firstLine="0"/>
      </w:pPr>
      <w:r>
        <w:rPr>
          <w:rStyle w:val="FootnoteReference"/>
        </w:rPr>
        <w:footnoteRef/>
      </w:r>
      <w:r>
        <w:rPr>
          <w:rStyle w:val="normaltextrun"/>
          <w:rFonts w:ascii="Times New Roman" w:hAnsi="Times New Roman"/>
        </w:rPr>
        <w:t>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109">
    <w:p w14:paraId="33422E83" w14:textId="7EBF30D8" w:rsidR="006578ED" w:rsidRDefault="00A1618E">
      <w:pPr>
        <w:pStyle w:val="FootnoteText"/>
        <w:ind w:left="0" w:firstLine="0"/>
      </w:pPr>
      <w:r>
        <w:rPr>
          <w:rStyle w:val="FootnoteReference"/>
        </w:rPr>
        <w:footnoteRef/>
      </w:r>
      <w:r>
        <w:rPr>
          <w:rStyle w:val="normaltextrun"/>
          <w:rFonts w:ascii="Times New Roman" w:hAnsi="Times New Roman"/>
        </w:rPr>
        <w:t xml:space="preserve">W przypadku gdy w ramach wspieranej działalności osiąga się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 </w:t>
      </w:r>
    </w:p>
  </w:footnote>
  <w:footnote w:id="110">
    <w:p w14:paraId="29199BEA" w14:textId="216DB051" w:rsidR="006578ED" w:rsidRDefault="00A1618E">
      <w:pPr>
        <w:pStyle w:val="FootnoteText"/>
        <w:ind w:left="0" w:firstLine="0"/>
      </w:pPr>
      <w:r>
        <w:rPr>
          <w:rStyle w:val="FootnoteReference"/>
        </w:rPr>
        <w:footnoteRef/>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Style w:val="FootnoteReference"/>
        </w:rPr>
        <w:t></w:t>
      </w:r>
      <w:r>
        <w:rPr>
          <w:rFonts w:ascii="Times New Roman" w:hAnsi="Times New Roman"/>
        </w:rPr>
        <w:t xml:space="preserv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11">
    <w:p w14:paraId="567F38DF" w14:textId="1F5C8804" w:rsidR="006578ED" w:rsidRDefault="00A1618E">
      <w:pPr>
        <w:pStyle w:val="P68B1DB1-FootnoteText47"/>
        <w:ind w:left="0" w:firstLine="0"/>
        <w:rPr>
          <w:rFonts w:cs="Times New Roman"/>
        </w:rPr>
      </w:pPr>
      <w:r>
        <w:t>Wyłączenie</w:t>
      </w:r>
      <w:r>
        <w:footnoteRef/>
      </w:r>
      <w:r>
        <w:t xml:space="preserve"> to nie ma zastosowania do działań podejmowanych w ramach tego środka w istniejących zakładach mechaniczno-biologicznego przetwarzania, w przypadku gdy działania w ramach tego środka mają na celu zwiększenie zasobooszczędności lub dostosowanie do operacji recyklingu odpadów segregowanych na kompost bioodpady i beztlenowa fermentacja bioodpadów, pod warunkiem że takie działania w ramach tego środka nie skutkują zwiększeniem zdolności zakładów w zakresie przetwarzania odpadów ani wydłużeniem okresu eksploatacji zakładów; w odniesieniu do których przedstawiono dowody na poziomie zakładu.</w:t>
      </w:r>
    </w:p>
  </w:footnote>
  <w:footnote w:id="112">
    <w:p w14:paraId="17EBA5CD" w14:textId="444DECC8" w:rsidR="006578ED" w:rsidRDefault="00A1618E">
      <w:pPr>
        <w:pStyle w:val="FootnoteText"/>
        <w:ind w:left="0" w:firstLine="0"/>
      </w:pPr>
      <w:r>
        <w:rPr>
          <w:rStyle w:val="FootnoteReference"/>
        </w:rPr>
        <w:footnoteRef/>
      </w:r>
      <w:r>
        <w:rPr>
          <w:rFonts w:ascii="Times New Roman"/>
        </w:rPr>
        <w:t>Dyrektyw</w:t>
      </w:r>
      <w:r>
        <w:rPr>
          <w:rFonts w:ascii="Times New Roman"/>
        </w:rPr>
        <w:t></w:t>
      </w:r>
      <w:r>
        <w:rPr>
          <w:rFonts w:ascii="Times New Roman"/>
        </w:rPr>
        <w:t xml:space="preserve"> 2013/34/UE zmieniono dyrektyw</w:t>
      </w:r>
      <w:r>
        <w:rPr>
          <w:rFonts w:ascii="Times New Roman"/>
        </w:rPr>
        <w:t></w:t>
      </w:r>
      <w:r>
        <w:rPr>
          <w:rFonts w:ascii="Times New Roman"/>
        </w:rPr>
        <w:t xml:space="preserve"> (UE) 2022/2464 w</w:t>
      </w:r>
      <w:r>
        <w:rPr>
          <w:rFonts w:ascii="Times New Roman"/>
        </w:rPr>
        <w:t></w:t>
      </w:r>
      <w:r>
        <w:rPr>
          <w:rFonts w:ascii="Times New Roman"/>
        </w:rPr>
        <w:t>sprawie sprawozdawczo</w:t>
      </w:r>
      <w:r>
        <w:rPr>
          <w:rFonts w:ascii="Times New Roman"/>
        </w:rPr>
        <w:t></w:t>
      </w:r>
      <w:r>
        <w:rPr>
          <w:rFonts w:ascii="Times New Roman"/>
        </w:rPr>
        <w:t>ci przedsi</w:t>
      </w:r>
      <w:r>
        <w:rPr>
          <w:rFonts w:ascii="Times New Roman"/>
        </w:rPr>
        <w:t></w:t>
      </w:r>
      <w:r>
        <w:rPr>
          <w:rFonts w:ascii="Times New Roman"/>
        </w:rPr>
        <w:t>biorstw w</w:t>
      </w:r>
      <w:r>
        <w:rPr>
          <w:rFonts w:ascii="Times New Roman"/>
        </w:rPr>
        <w:t></w:t>
      </w:r>
      <w:r>
        <w:rPr>
          <w:rFonts w:ascii="Times New Roman"/>
        </w:rPr>
        <w:t>zakresie zr</w:t>
      </w:r>
      <w:r>
        <w:rPr>
          <w:rFonts w:ascii="Times New Roman"/>
        </w:rPr>
        <w:t></w:t>
      </w:r>
      <w:r>
        <w:rPr>
          <w:rFonts w:ascii="Times New Roman"/>
        </w:rPr>
        <w:t>wnowa</w:t>
      </w:r>
      <w:r>
        <w:rPr>
          <w:rFonts w:ascii="Times New Roman"/>
        </w:rPr>
        <w:t></w:t>
      </w:r>
      <w:r>
        <w:rPr>
          <w:rFonts w:ascii="Times New Roman"/>
        </w:rPr>
        <w:t>onego rozwoju.</w:t>
      </w:r>
    </w:p>
  </w:footnote>
  <w:footnote w:id="113">
    <w:p w14:paraId="5F4F1B0D" w14:textId="53AA6083" w:rsidR="006578ED" w:rsidRDefault="00A1618E">
      <w:pPr>
        <w:pStyle w:val="FootnoteText"/>
        <w:ind w:left="0" w:firstLine="0"/>
      </w:pPr>
      <w:r>
        <w:rPr>
          <w:rStyle w:val="FootnoteReference"/>
        </w:rPr>
        <w:footnoteRef/>
      </w:r>
      <w:r>
        <w:rPr>
          <w:rStyle w:val="normaltextrun"/>
          <w:rFonts w:ascii="Times New Roman" w:hAnsi="Times New Roman"/>
        </w:rPr>
        <w:t>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114">
    <w:p w14:paraId="2AD5FCBD" w14:textId="6F606541" w:rsidR="006578ED" w:rsidRDefault="00A1618E">
      <w:pPr>
        <w:pStyle w:val="FootnoteText"/>
        <w:ind w:left="0" w:firstLine="0"/>
      </w:pPr>
      <w:r>
        <w:rPr>
          <w:rStyle w:val="FootnoteReference"/>
        </w:rPr>
        <w:footnoteRef/>
      </w:r>
      <w:r>
        <w:rPr>
          <w:rFonts w:ascii="Times New Roman"/>
        </w:rPr>
        <w:t>W przypadku gdy wspierane dzia</w:t>
      </w:r>
      <w:r>
        <w:rPr>
          <w:rFonts w:ascii="Times New Roman"/>
        </w:rPr>
        <w:t></w:t>
      </w:r>
      <w:r>
        <w:rPr>
          <w:rFonts w:ascii="Times New Roman"/>
        </w:rPr>
        <w:t>anie osi</w:t>
      </w:r>
      <w:r>
        <w:rPr>
          <w:rFonts w:ascii="Times New Roman"/>
        </w:rPr>
        <w:t></w:t>
      </w:r>
      <w:r>
        <w:rPr>
          <w:rFonts w:ascii="Times New Roman"/>
        </w:rPr>
        <w:t>ga prognozowane emisje gaz</w:t>
      </w:r>
      <w:r>
        <w:rPr>
          <w:rFonts w:ascii="Times New Roman"/>
        </w:rPr>
        <w:t></w:t>
      </w:r>
      <w:r>
        <w:rPr>
          <w:rFonts w:ascii="Times New Roman"/>
        </w:rPr>
        <w:t>w cieplarnianych, kt</w:t>
      </w:r>
      <w:r>
        <w:rPr>
          <w:rFonts w:ascii="Times New Roman"/>
        </w:rPr>
        <w:t></w:t>
      </w:r>
      <w:r>
        <w:rPr>
          <w:rFonts w:ascii="Times New Roman"/>
        </w:rPr>
        <w:t>re nie s</w:t>
      </w:r>
      <w:r>
        <w:rPr>
          <w:rFonts w:ascii="Times New Roman"/>
        </w:rPr>
        <w:t></w:t>
      </w:r>
      <w:r>
        <w:rPr>
          <w:rFonts w:ascii="Times New Roman"/>
        </w:rPr>
        <w:t xml:space="preserve"> znacznie ni</w:t>
      </w:r>
      <w:r>
        <w:rPr>
          <w:rFonts w:ascii="Times New Roman"/>
        </w:rPr>
        <w:t></w:t>
      </w:r>
      <w:r>
        <w:rPr>
          <w:rFonts w:ascii="Times New Roman"/>
        </w:rPr>
        <w:t>sze od odpowiednich wska</w:t>
      </w:r>
      <w:r>
        <w:rPr>
          <w:rFonts w:ascii="Times New Roman"/>
        </w:rPr>
        <w:t></w:t>
      </w:r>
      <w:r>
        <w:rPr>
          <w:rFonts w:ascii="Times New Roman"/>
        </w:rPr>
        <w:t>nik</w:t>
      </w:r>
      <w:r>
        <w:rPr>
          <w:rFonts w:ascii="Times New Roman"/>
        </w:rPr>
        <w:t></w:t>
      </w:r>
      <w:r>
        <w:rPr>
          <w:rFonts w:ascii="Times New Roman"/>
        </w:rPr>
        <w:t>w referencyjnych, nale</w:t>
      </w:r>
      <w:r>
        <w:rPr>
          <w:rFonts w:ascii="Times New Roman"/>
        </w:rPr>
        <w:t></w:t>
      </w:r>
      <w:r>
        <w:rPr>
          <w:rFonts w:ascii="Times New Roman"/>
        </w:rPr>
        <w:t>y przedstawi</w:t>
      </w:r>
      <w:r>
        <w:rPr>
          <w:rFonts w:ascii="Times New Roman"/>
        </w:rPr>
        <w:t></w:t>
      </w:r>
      <w:r>
        <w:rPr>
          <w:rFonts w:ascii="Times New Roman"/>
        </w:rPr>
        <w:t xml:space="preserve"> wyja</w:t>
      </w:r>
      <w:r>
        <w:rPr>
          <w:rFonts w:ascii="Times New Roman"/>
        </w:rPr>
        <w:t></w:t>
      </w:r>
      <w:r>
        <w:rPr>
          <w:rFonts w:ascii="Times New Roman"/>
        </w:rPr>
        <w:t>nienie powod</w:t>
      </w:r>
      <w:r>
        <w:rPr>
          <w:rFonts w:ascii="Times New Roman"/>
        </w:rPr>
        <w:t></w:t>
      </w:r>
      <w:r>
        <w:rPr>
          <w:rFonts w:ascii="Times New Roman"/>
        </w:rPr>
        <w:t>w, dla kt</w:t>
      </w:r>
      <w:r>
        <w:rPr>
          <w:rFonts w:ascii="Times New Roman"/>
        </w:rPr>
        <w:t></w:t>
      </w:r>
      <w:r>
        <w:rPr>
          <w:rFonts w:ascii="Times New Roman"/>
        </w:rPr>
        <w:t>rych nie jest to mo</w:t>
      </w:r>
      <w:r>
        <w:rPr>
          <w:rFonts w:ascii="Times New Roman"/>
        </w:rPr>
        <w:t></w:t>
      </w:r>
      <w:r>
        <w:rPr>
          <w:rFonts w:ascii="Times New Roman"/>
        </w:rPr>
        <w:t>liwe. Warto</w:t>
      </w:r>
      <w:r>
        <w:rPr>
          <w:rFonts w:ascii="Times New Roman"/>
        </w:rPr>
        <w:t></w:t>
      </w:r>
      <w:r>
        <w:rPr>
          <w:rFonts w:ascii="Times New Roman"/>
        </w:rPr>
        <w:t>ci odniesienia ustanowione dla przydzia</w:t>
      </w:r>
      <w:r>
        <w:rPr>
          <w:rFonts w:ascii="Times New Roman"/>
        </w:rPr>
        <w:t></w:t>
      </w:r>
      <w:r>
        <w:rPr>
          <w:rFonts w:ascii="Times New Roman"/>
        </w:rPr>
        <w:t>u bezp</w:t>
      </w:r>
      <w:r>
        <w:rPr>
          <w:rFonts w:ascii="Times New Roman"/>
        </w:rPr>
        <w:t></w:t>
      </w:r>
      <w:r>
        <w:rPr>
          <w:rFonts w:ascii="Times New Roman"/>
        </w:rPr>
        <w:t>atnych uprawnie</w:t>
      </w:r>
      <w:r>
        <w:rPr>
          <w:rFonts w:ascii="Times New Roman"/>
        </w:rPr>
        <w:t></w:t>
      </w:r>
      <w:r>
        <w:rPr>
          <w:rFonts w:ascii="Times New Roman"/>
        </w:rPr>
        <w:t xml:space="preserve"> w</w:t>
      </w:r>
      <w:r>
        <w:rPr>
          <w:rFonts w:ascii="Times New Roman"/>
        </w:rPr>
        <w:t></w:t>
      </w:r>
      <w:r>
        <w:rPr>
          <w:rFonts w:ascii="Times New Roman"/>
        </w:rPr>
        <w:t>odniesieniu do dzia</w:t>
      </w:r>
      <w:r>
        <w:rPr>
          <w:rFonts w:ascii="Times New Roman"/>
        </w:rPr>
        <w:t></w:t>
      </w:r>
      <w:r>
        <w:rPr>
          <w:rFonts w:ascii="Times New Roman"/>
        </w:rPr>
        <w:t>a</w:t>
      </w:r>
      <w:r>
        <w:rPr>
          <w:rFonts w:ascii="Times New Roman"/>
        </w:rPr>
        <w:t></w:t>
      </w:r>
      <w:r>
        <w:rPr>
          <w:rFonts w:ascii="Times New Roman"/>
        </w:rPr>
        <w:t xml:space="preserve"> wchodz</w:t>
      </w:r>
      <w:r>
        <w:rPr>
          <w:rFonts w:ascii="Times New Roman"/>
        </w:rPr>
        <w:t></w:t>
      </w:r>
      <w:r>
        <w:rPr>
          <w:rFonts w:ascii="Times New Roman"/>
        </w:rPr>
        <w:t>cych w</w:t>
      </w:r>
      <w:r>
        <w:rPr>
          <w:rFonts w:ascii="Times New Roman"/>
        </w:rPr>
        <w:t></w:t>
      </w:r>
      <w:r>
        <w:rPr>
          <w:rFonts w:ascii="Times New Roman"/>
        </w:rPr>
        <w:t>zakres systemu handlu uprawnieniami do emisji, jak okre</w:t>
      </w:r>
      <w:r>
        <w:rPr>
          <w:rFonts w:ascii="Times New Roman"/>
        </w:rPr>
        <w:t></w:t>
      </w:r>
      <w:r>
        <w:rPr>
          <w:rFonts w:ascii="Times New Roman"/>
        </w:rPr>
        <w:t>lono w</w:t>
      </w:r>
      <w:r>
        <w:rPr>
          <w:rFonts w:ascii="Times New Roman"/>
        </w:rPr>
        <w:t></w:t>
      </w:r>
      <w:r>
        <w:rPr>
          <w:rFonts w:ascii="Times New Roman"/>
        </w:rPr>
        <w:t>rozporz</w:t>
      </w:r>
      <w:r>
        <w:rPr>
          <w:rFonts w:ascii="Times New Roman"/>
        </w:rPr>
        <w:t></w:t>
      </w:r>
      <w:r>
        <w:rPr>
          <w:rFonts w:ascii="Times New Roman"/>
        </w:rPr>
        <w:t>dzeniu wykonawczym Komisji (UE) 2021/447.</w:t>
      </w:r>
    </w:p>
  </w:footnote>
  <w:footnote w:id="115">
    <w:p w14:paraId="2FC76721" w14:textId="5746FE0E"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16">
    <w:p w14:paraId="34A94635" w14:textId="5C380EF0"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17">
    <w:p w14:paraId="33E3A5FA" w14:textId="6639906D" w:rsidR="006578ED" w:rsidRDefault="00A1618E">
      <w:pPr>
        <w:pStyle w:val="FootnoteText"/>
        <w:ind w:left="0" w:firstLine="0"/>
      </w:pPr>
      <w:r>
        <w:rPr>
          <w:rStyle w:val="FootnoteReference"/>
        </w:rPr>
        <w:footnoteRef/>
      </w:r>
      <w:r>
        <w:rPr>
          <w:rFonts w:ascii="Times New Roman" w:hAnsi="Times New Roman"/>
        </w:rPr>
        <w:t xml:space="preserve">Do celów obliczania wkładu cyfrowego, w przypadku obligacji kapitałowych, quasi-kapitałowych, korporacyjnych lub równoważnych instrumentów, które nie są ukierunkowane na konkretne projekty, stosuje się kryteria nakładające wymóg, aby co najmniej 90 % przychodów odbiorcy w poprzednim roku obrotowym lub przyszłych przychodów zgodnie z biznesplanem pochodziło lub będzie pochodziło z działalności, która spełnia odpowiednie kryteria wynikające z mających zastosowanie obszarów interwencji określonych w załączniku VII do rozporządzenia w sprawie RRF. </w:t>
      </w:r>
    </w:p>
  </w:footnote>
  <w:footnote w:id="118">
    <w:p w14:paraId="326C811D" w14:textId="4E49B30B"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Dyrektywę 2013/34/UE zmieniono dyrektywą (UE) 2022/2464 w sprawie sprawozdawczości przedsiębiorstw w zakresie zrównoważonego rozwoju.</w:t>
      </w:r>
    </w:p>
  </w:footnote>
  <w:footnote w:id="119">
    <w:p w14:paraId="07A1FD78" w14:textId="6398502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wyjątkiem a) projektów realizowanych w ramach tego środka w zakresie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bezpłatną eksploatację paliw kopalnych, oraz całkowicie z czasem wycofuje paliwa kopalne.</w:t>
      </w:r>
    </w:p>
  </w:footnote>
  <w:footnote w:id="120">
    <w:p w14:paraId="6C85A674" w14:textId="3C98A1E3"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 </w:t>
      </w:r>
    </w:p>
  </w:footnote>
  <w:footnote w:id="121">
    <w:p w14:paraId="5E4FA361" w14:textId="46A4DDCF"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 </w:t>
      </w:r>
    </w:p>
  </w:footnote>
  <w:footnote w:id="122">
    <w:p w14:paraId="303BA82A" w14:textId="2072B881" w:rsidR="006578ED" w:rsidRDefault="00A1618E">
      <w:pPr>
        <w:pStyle w:val="FootnoteText"/>
        <w:ind w:left="0" w:firstLine="0"/>
        <w:rPr>
          <w:rFonts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 </w:t>
      </w:r>
    </w:p>
  </w:footnote>
  <w:footnote w:id="123">
    <w:p w14:paraId="5E76761E" w14:textId="002091F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Do celów obliczania wkładu cyfrowego, w przypadku obligacji kapitałowych, quasi-kapitałowych, korporacyjnych lub równoważnych instrumentów, które nie są ukierunkowane na konkretne projekty, stosuje się kryteria nakładające wymóg, aby co najmniej 90 % przychodów odbiorcy w poprzednim roku obrotowym lub przyszłych przychodów zgodnie z biznesplanem pochodziło/będzie generowane z działalności spełniającej odpowiednie kryteria wynikające z mających zastosowanie obszarów interwencji określonych w załączniku VII do rozporządzenia w sprawie RRF. </w:t>
      </w:r>
    </w:p>
  </w:footnote>
  <w:footnote w:id="124">
    <w:p w14:paraId="5E6C3D45" w14:textId="33EC004F" w:rsidR="006578ED" w:rsidRDefault="00A1618E">
      <w:pPr>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Grupa współpracy ds. bezpieczeństwa sieci i informacji, „Cyberbezpieczeństwo sieci 5G – Unijny zestaw narzędzi środków zmniejszających ryzyko”, 01/2020, https://ec.europa.eu/newsroom/dae/document.cfm?doc_id=64468</w:t>
      </w:r>
    </w:p>
  </w:footnote>
  <w:footnote w:id="125">
    <w:p w14:paraId="79775987" w14:textId="40977830" w:rsidR="006578ED" w:rsidRDefault="00A1618E">
      <w:pPr>
        <w:spacing w:after="0"/>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Rozporządzenie Parlamentu Europejskiego i Rady (UE) 2021/697 z dnia 29 kwietnia 20</w:t>
      </w:r>
      <w:r w:rsidRPr="00A1618E">
        <w:rPr>
          <w:rFonts w:ascii="Times New Roman" w:hAnsi="Times New Roman"/>
          <w:sz w:val="20"/>
          <w:lang w:val="pl-PL"/>
        </w:rPr>
        <w:t>21 r.</w:t>
      </w:r>
      <w:r>
        <w:rPr>
          <w:rFonts w:ascii="Times New Roman" w:hAnsi="Times New Roman"/>
          <w:sz w:val="20"/>
        </w:rPr>
        <w:t xml:space="preserve"> ustanawiające Europejski Fundusz Obronny</w:t>
      </w:r>
    </w:p>
  </w:footnote>
  <w:footnote w:id="126">
    <w:p w14:paraId="72B28B99" w14:textId="37CF6B91" w:rsidR="006578ED" w:rsidRDefault="00A1618E">
      <w:pPr>
        <w:spacing w:after="0"/>
      </w:pPr>
      <w:r>
        <w:rPr>
          <w:rStyle w:val="FootnoteReference"/>
          <w:rFonts w:ascii="Times New Roman" w:hAnsi="Times New Roman" w:cs="Times New Roman"/>
          <w:sz w:val="20"/>
        </w:rPr>
        <w:footnoteRef/>
      </w:r>
      <w:r>
        <w:rPr>
          <w:rFonts w:ascii="Times New Roman" w:hAnsi="Times New Roman"/>
          <w:sz w:val="20"/>
        </w:rPr>
        <w:t xml:space="preserve"> Rozporządzenie (UE) 2021/696 ustanawiające unijny program kosmiczny i Agencję Unii Europejskiej ds. Programu Kosmicznego</w:t>
      </w:r>
    </w:p>
  </w:footnote>
  <w:footnote w:id="127">
    <w:p w14:paraId="4067BF7D" w14:textId="5A53765D" w:rsidR="006578ED" w:rsidRDefault="00A1618E">
      <w:pPr>
        <w:spacing w:after="0" w:line="240" w:lineRule="auto"/>
        <w:jc w:val="both"/>
        <w:rPr>
          <w:rFonts w:ascii="Times New Roman" w:eastAsia="Times New Roman" w:hAnsi="Times New Roman" w:cs="Times New Roman"/>
          <w:sz w:val="24"/>
        </w:rPr>
      </w:pPr>
      <w:r>
        <w:rPr>
          <w:rStyle w:val="FootnoteReference"/>
        </w:rPr>
        <w:footnoteRef/>
      </w:r>
      <w:r>
        <w:rPr>
          <w:rFonts w:ascii="Times New Roman" w:hAnsi="Times New Roman"/>
          <w:sz w:val="20"/>
        </w:rPr>
        <w:t>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128">
    <w:p w14:paraId="6729EEF5" w14:textId="7D50E56B" w:rsidR="006578ED" w:rsidRDefault="00A1618E">
      <w:pPr>
        <w:spacing w:after="0" w:line="240" w:lineRule="auto"/>
        <w:jc w:val="both"/>
        <w:rPr>
          <w:rFonts w:ascii="Times New Roman" w:eastAsia="Times New Roman" w:hAnsi="Times New Roman" w:cs="Times New Roman"/>
          <w:sz w:val="24"/>
          <w:shd w:val="clear" w:color="auto" w:fill="FFFFFF"/>
        </w:rPr>
      </w:pPr>
      <w:r>
        <w:rPr>
          <w:rStyle w:val="FootnoteReference"/>
        </w:rPr>
        <w:footnoteRef/>
      </w:r>
      <w:r>
        <w:rPr>
          <w:rFonts w:ascii="Times New Roman" w:hAnsi="Times New Roman"/>
          <w:sz w:val="20"/>
        </w:rPr>
        <w:t>W tym działań i aktywów w ramach unijnego systemu handlu uprawnieniami do emisji (ETS) zapewniających prognozowane emisje gazów cieplarnianych, które nie są niższe od odpowiednich wskaźników referencyjnych. W przypadku gdy w ramach wspieranej działalności osiąga się prognozowane emisje gazów cieplarnianych, które nie są znacznie niższe od odpowiednich wskaźników referencyjnych, należy przedstawić wyjaśnienie powodów, dla których nie jest to możliwe. Wskaźniki referencyjne ustanowione na potrzeby przydziału bezpłatnych uprawnień w</w:t>
      </w:r>
      <w:r>
        <w:rPr>
          <w:rFonts w:ascii="Times New Roman" w:hAnsi="Times New Roman"/>
          <w:sz w:val="20"/>
          <w:shd w:val="clear" w:color="auto" w:fill="FFFFFF"/>
        </w:rPr>
        <w:t>odniesieniu do działań wchodzących w zakres systemu handlu uprawnieniami do emisji, jak określono w rozporządzeniu wykonawczym Komisji (UE) 2021/447.</w:t>
      </w:r>
    </w:p>
  </w:footnote>
  <w:footnote w:id="129">
    <w:p w14:paraId="6F7DB3F9" w14:textId="74344504"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30">
    <w:p w14:paraId="446E45FA" w14:textId="226A5C0F"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31">
    <w:p w14:paraId="144E1564" w14:textId="53AEBDB5" w:rsidR="006578ED" w:rsidRDefault="00A1618E">
      <w:pPr>
        <w:spacing w:after="0"/>
      </w:pPr>
      <w:r>
        <w:rPr>
          <w:rStyle w:val="FootnoteReference"/>
        </w:rPr>
        <w:footnoteRef/>
      </w:r>
      <w:r>
        <w:t xml:space="preserve"> </w:t>
      </w:r>
      <w:r>
        <w:rPr>
          <w:rFonts w:ascii="Times New Roman" w:hAnsi="Times New Roman"/>
          <w:sz w:val="20"/>
        </w:rPr>
        <w:t>Uznaje się, że beneficjent końcowy „znacznie koncentruje się” na danym sektorze lub działalności gospodarczej, jeżeli taki sektor lub działalność została określona jako istotna część działalności gospodarczej beneficjenta końcowego odpowiednio w odniesieniu do przychodów brutto, zysku lub bazy klientów beneficjenta końcowego. Dochód brutto wygenerowany z sektora lub działalności objętej ograniczeniami w żadnym przypadku nie przekracza 50 % dochodu brutto.</w:t>
      </w:r>
    </w:p>
  </w:footnote>
  <w:footnote w:id="132">
    <w:p w14:paraId="1CB55135" w14:textId="41AC3477" w:rsidR="006578ED" w:rsidRDefault="00A1618E">
      <w:pPr>
        <w:pStyle w:val="FootnoteText"/>
        <w:ind w:left="0" w:firstLine="0"/>
      </w:pPr>
      <w:r>
        <w:rPr>
          <w:rStyle w:val="FootnoteReference"/>
        </w:rPr>
        <w:footnoteRef/>
      </w:r>
      <w:r>
        <w:rPr>
          <w:rFonts w:ascii="Times New Roman" w:hAnsi="Times New Roman"/>
        </w:rPr>
        <w:t>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133">
    <w:p w14:paraId="5F2ACA3A" w14:textId="6349D5CF" w:rsidR="006578ED" w:rsidRDefault="00A1618E">
      <w:pPr>
        <w:pStyle w:val="FootnoteText"/>
        <w:ind w:left="0" w:firstLine="0"/>
      </w:pPr>
      <w:r>
        <w:rPr>
          <w:rStyle w:val="FootnoteReference"/>
        </w:rPr>
        <w:footnoteRef/>
      </w:r>
      <w:r>
        <w:rPr>
          <w:rFonts w:ascii="Times New Roman"/>
        </w:rPr>
        <w:t>W tym dzia</w:t>
      </w:r>
      <w:r>
        <w:rPr>
          <w:rFonts w:ascii="Times New Roman"/>
        </w:rPr>
        <w:t></w:t>
      </w:r>
      <w:r>
        <w:rPr>
          <w:rFonts w:ascii="Times New Roman"/>
        </w:rPr>
        <w:t>a</w:t>
      </w:r>
      <w:r>
        <w:rPr>
          <w:rFonts w:ascii="Times New Roman"/>
        </w:rPr>
        <w:t></w:t>
      </w:r>
      <w:r>
        <w:rPr>
          <w:rFonts w:ascii="Times New Roman"/>
        </w:rPr>
        <w:t xml:space="preserve"> i</w:t>
      </w:r>
      <w:r>
        <w:rPr>
          <w:rFonts w:ascii="Times New Roman"/>
        </w:rPr>
        <w:t></w:t>
      </w:r>
      <w:r>
        <w:rPr>
          <w:rFonts w:ascii="Times New Roman"/>
        </w:rPr>
        <w:t>aktyw</w:t>
      </w:r>
      <w:r>
        <w:rPr>
          <w:rFonts w:ascii="Times New Roman"/>
        </w:rPr>
        <w:t></w:t>
      </w:r>
      <w:r>
        <w:rPr>
          <w:rFonts w:ascii="Times New Roman"/>
        </w:rPr>
        <w:t>w w</w:t>
      </w:r>
      <w:r>
        <w:rPr>
          <w:rFonts w:ascii="Times New Roman"/>
        </w:rPr>
        <w:t></w:t>
      </w:r>
      <w:r>
        <w:rPr>
          <w:rFonts w:ascii="Times New Roman"/>
        </w:rPr>
        <w:t>ramach unijnego systemu handlu uprawnieniami do emisji (ETS) zapewniaj</w:t>
      </w:r>
      <w:r>
        <w:rPr>
          <w:rFonts w:ascii="Times New Roman"/>
        </w:rPr>
        <w:t></w:t>
      </w:r>
      <w:r>
        <w:rPr>
          <w:rFonts w:ascii="Times New Roman"/>
        </w:rPr>
        <w:t>cych prognozowane emisje gaz</w:t>
      </w:r>
      <w:r>
        <w:rPr>
          <w:rFonts w:ascii="Times New Roman"/>
        </w:rPr>
        <w:t></w:t>
      </w:r>
      <w:r>
        <w:rPr>
          <w:rFonts w:ascii="Times New Roman"/>
        </w:rPr>
        <w:t>w cieplarnianych, kt</w:t>
      </w:r>
      <w:r>
        <w:rPr>
          <w:rFonts w:ascii="Times New Roman"/>
        </w:rPr>
        <w:t></w:t>
      </w:r>
      <w:r>
        <w:rPr>
          <w:rFonts w:ascii="Times New Roman"/>
        </w:rPr>
        <w:t>re nie s</w:t>
      </w:r>
      <w:r>
        <w:rPr>
          <w:rFonts w:ascii="Times New Roman"/>
        </w:rPr>
        <w:t></w:t>
      </w:r>
      <w:r>
        <w:rPr>
          <w:rFonts w:ascii="Times New Roman"/>
        </w:rPr>
        <w:t xml:space="preserve"> ni</w:t>
      </w:r>
      <w:r>
        <w:rPr>
          <w:rFonts w:ascii="Times New Roman"/>
        </w:rPr>
        <w:t></w:t>
      </w:r>
      <w:r>
        <w:rPr>
          <w:rFonts w:ascii="Times New Roman"/>
        </w:rPr>
        <w:t>sze od odpowiednich wska</w:t>
      </w:r>
      <w:r>
        <w:rPr>
          <w:rFonts w:ascii="Times New Roman"/>
        </w:rPr>
        <w:t></w:t>
      </w:r>
      <w:r>
        <w:rPr>
          <w:rFonts w:ascii="Times New Roman"/>
        </w:rPr>
        <w:t>nik</w:t>
      </w:r>
      <w:r>
        <w:rPr>
          <w:rFonts w:ascii="Times New Roman"/>
        </w:rPr>
        <w:t></w:t>
      </w:r>
      <w:r>
        <w:rPr>
          <w:rFonts w:ascii="Times New Roman"/>
        </w:rPr>
        <w:t>w referencyjnych. W</w:t>
      </w:r>
      <w:r>
        <w:rPr>
          <w:rFonts w:ascii="Times New Roman"/>
        </w:rPr>
        <w:t></w:t>
      </w:r>
      <w:r>
        <w:rPr>
          <w:rFonts w:ascii="Times New Roman"/>
        </w:rPr>
        <w:t>przypadku gdy w</w:t>
      </w:r>
      <w:r>
        <w:rPr>
          <w:rFonts w:ascii="Times New Roman"/>
        </w:rPr>
        <w:t></w:t>
      </w:r>
      <w:r>
        <w:rPr>
          <w:rFonts w:ascii="Times New Roman"/>
        </w:rPr>
        <w:t>ramach wspieranej dzia</w:t>
      </w:r>
      <w:r>
        <w:rPr>
          <w:rFonts w:ascii="Times New Roman"/>
        </w:rPr>
        <w:t></w:t>
      </w:r>
      <w:r>
        <w:rPr>
          <w:rFonts w:ascii="Times New Roman"/>
        </w:rPr>
        <w:t>alno</w:t>
      </w:r>
      <w:r>
        <w:rPr>
          <w:rFonts w:ascii="Times New Roman"/>
        </w:rPr>
        <w:t></w:t>
      </w:r>
      <w:r>
        <w:rPr>
          <w:rFonts w:ascii="Times New Roman"/>
        </w:rPr>
        <w:t>ci osi</w:t>
      </w:r>
      <w:r>
        <w:rPr>
          <w:rFonts w:ascii="Times New Roman"/>
        </w:rPr>
        <w:t></w:t>
      </w:r>
      <w:r>
        <w:rPr>
          <w:rFonts w:ascii="Times New Roman"/>
        </w:rPr>
        <w:t>ga si</w:t>
      </w:r>
      <w:r>
        <w:rPr>
          <w:rFonts w:ascii="Times New Roman"/>
        </w:rPr>
        <w:t></w:t>
      </w:r>
      <w:r>
        <w:rPr>
          <w:rFonts w:ascii="Times New Roman"/>
        </w:rPr>
        <w:t xml:space="preserve"> prognozowane emisje gaz</w:t>
      </w:r>
      <w:r>
        <w:rPr>
          <w:rFonts w:ascii="Times New Roman"/>
        </w:rPr>
        <w:t></w:t>
      </w:r>
      <w:r>
        <w:rPr>
          <w:rFonts w:ascii="Times New Roman"/>
        </w:rPr>
        <w:t>w cieplarnianych, kt</w:t>
      </w:r>
      <w:r>
        <w:rPr>
          <w:rFonts w:ascii="Times New Roman"/>
        </w:rPr>
        <w:t></w:t>
      </w:r>
      <w:r>
        <w:rPr>
          <w:rFonts w:ascii="Times New Roman"/>
        </w:rPr>
        <w:t>re nie s</w:t>
      </w:r>
      <w:r>
        <w:rPr>
          <w:rFonts w:ascii="Times New Roman"/>
        </w:rPr>
        <w:t></w:t>
      </w:r>
      <w:r>
        <w:rPr>
          <w:rFonts w:ascii="Times New Roman"/>
        </w:rPr>
        <w:t xml:space="preserve"> znacznie ni</w:t>
      </w:r>
      <w:r>
        <w:rPr>
          <w:rFonts w:ascii="Times New Roman"/>
        </w:rPr>
        <w:t></w:t>
      </w:r>
      <w:r>
        <w:rPr>
          <w:rFonts w:ascii="Times New Roman"/>
        </w:rPr>
        <w:t>sze od odpowiednich wska</w:t>
      </w:r>
      <w:r>
        <w:rPr>
          <w:rFonts w:ascii="Times New Roman"/>
        </w:rPr>
        <w:t></w:t>
      </w:r>
      <w:r>
        <w:rPr>
          <w:rFonts w:ascii="Times New Roman"/>
        </w:rPr>
        <w:t>nik</w:t>
      </w:r>
      <w:r>
        <w:rPr>
          <w:rFonts w:ascii="Times New Roman"/>
        </w:rPr>
        <w:t></w:t>
      </w:r>
      <w:r>
        <w:rPr>
          <w:rFonts w:ascii="Times New Roman"/>
        </w:rPr>
        <w:t>w referencyjnych, nale</w:t>
      </w:r>
      <w:r>
        <w:rPr>
          <w:rFonts w:ascii="Times New Roman"/>
        </w:rPr>
        <w:t></w:t>
      </w:r>
      <w:r>
        <w:rPr>
          <w:rFonts w:ascii="Times New Roman"/>
        </w:rPr>
        <w:t>y przedstawi</w:t>
      </w:r>
      <w:r>
        <w:rPr>
          <w:rFonts w:ascii="Times New Roman"/>
        </w:rPr>
        <w:t></w:t>
      </w:r>
      <w:r>
        <w:rPr>
          <w:rFonts w:ascii="Times New Roman"/>
        </w:rPr>
        <w:t xml:space="preserve"> wyja</w:t>
      </w:r>
      <w:r>
        <w:rPr>
          <w:rFonts w:ascii="Times New Roman"/>
        </w:rPr>
        <w:t></w:t>
      </w:r>
      <w:r>
        <w:rPr>
          <w:rFonts w:ascii="Times New Roman"/>
        </w:rPr>
        <w:t>nienie powod</w:t>
      </w:r>
      <w:r>
        <w:rPr>
          <w:rFonts w:ascii="Times New Roman"/>
        </w:rPr>
        <w:t></w:t>
      </w:r>
      <w:r>
        <w:rPr>
          <w:rFonts w:ascii="Times New Roman"/>
        </w:rPr>
        <w:t>w, dla kt</w:t>
      </w:r>
      <w:r>
        <w:rPr>
          <w:rFonts w:ascii="Times New Roman"/>
        </w:rPr>
        <w:t></w:t>
      </w:r>
      <w:r>
        <w:rPr>
          <w:rFonts w:ascii="Times New Roman"/>
        </w:rPr>
        <w:t>rych nie jest to mo</w:t>
      </w:r>
      <w:r>
        <w:rPr>
          <w:rFonts w:ascii="Times New Roman"/>
        </w:rPr>
        <w:t></w:t>
      </w:r>
      <w:r>
        <w:rPr>
          <w:rFonts w:ascii="Times New Roman"/>
        </w:rPr>
        <w:t>liwe. Warto</w:t>
      </w:r>
      <w:r>
        <w:rPr>
          <w:rFonts w:ascii="Times New Roman"/>
        </w:rPr>
        <w:t></w:t>
      </w:r>
      <w:r>
        <w:rPr>
          <w:rFonts w:ascii="Times New Roman"/>
        </w:rPr>
        <w:t>ci odniesienia ustanowione dla przydzia</w:t>
      </w:r>
      <w:r>
        <w:rPr>
          <w:rFonts w:ascii="Times New Roman"/>
        </w:rPr>
        <w:t></w:t>
      </w:r>
      <w:r>
        <w:rPr>
          <w:rFonts w:ascii="Times New Roman"/>
        </w:rPr>
        <w:t>u bezp</w:t>
      </w:r>
      <w:r>
        <w:rPr>
          <w:rFonts w:ascii="Times New Roman"/>
        </w:rPr>
        <w:t></w:t>
      </w:r>
      <w:r>
        <w:rPr>
          <w:rFonts w:ascii="Times New Roman"/>
        </w:rPr>
        <w:t>atnych uprawnie</w:t>
      </w:r>
      <w:r>
        <w:rPr>
          <w:rFonts w:ascii="Times New Roman"/>
        </w:rPr>
        <w:t></w:t>
      </w:r>
      <w:r>
        <w:rPr>
          <w:rFonts w:ascii="Times New Roman"/>
        </w:rPr>
        <w:t xml:space="preserve"> w</w:t>
      </w:r>
      <w:r>
        <w:rPr>
          <w:rFonts w:ascii="Times New Roman"/>
        </w:rPr>
        <w:t></w:t>
      </w:r>
      <w:r>
        <w:rPr>
          <w:rFonts w:ascii="Times New Roman"/>
        </w:rPr>
        <w:t>odniesieniu do dzia</w:t>
      </w:r>
      <w:r>
        <w:rPr>
          <w:rFonts w:ascii="Times New Roman"/>
        </w:rPr>
        <w:t></w:t>
      </w:r>
      <w:r>
        <w:rPr>
          <w:rFonts w:ascii="Times New Roman"/>
        </w:rPr>
        <w:t>a</w:t>
      </w:r>
      <w:r>
        <w:rPr>
          <w:rFonts w:ascii="Times New Roman"/>
        </w:rPr>
        <w:t></w:t>
      </w:r>
      <w:r>
        <w:rPr>
          <w:rFonts w:ascii="Times New Roman"/>
        </w:rPr>
        <w:t xml:space="preserve"> wchodz</w:t>
      </w:r>
      <w:r>
        <w:rPr>
          <w:rFonts w:ascii="Times New Roman"/>
        </w:rPr>
        <w:t></w:t>
      </w:r>
      <w:r>
        <w:rPr>
          <w:rFonts w:ascii="Times New Roman"/>
        </w:rPr>
        <w:t>cych w</w:t>
      </w:r>
      <w:r>
        <w:rPr>
          <w:rFonts w:ascii="Times New Roman"/>
        </w:rPr>
        <w:t></w:t>
      </w:r>
      <w:r>
        <w:rPr>
          <w:rFonts w:ascii="Times New Roman"/>
        </w:rPr>
        <w:t>zakres systemu handlu uprawnieniami do emisji, jak okre</w:t>
      </w:r>
      <w:r>
        <w:rPr>
          <w:rFonts w:ascii="Times New Roman"/>
        </w:rPr>
        <w:t></w:t>
      </w:r>
      <w:r>
        <w:rPr>
          <w:rFonts w:ascii="Times New Roman"/>
        </w:rPr>
        <w:t>lono w</w:t>
      </w:r>
      <w:r>
        <w:rPr>
          <w:rFonts w:ascii="Times New Roman"/>
        </w:rPr>
        <w:t></w:t>
      </w:r>
      <w:r>
        <w:rPr>
          <w:rFonts w:ascii="Times New Roman"/>
        </w:rPr>
        <w:t>rozporz</w:t>
      </w:r>
      <w:r>
        <w:rPr>
          <w:rFonts w:ascii="Times New Roman"/>
        </w:rPr>
        <w:t></w:t>
      </w:r>
      <w:r>
        <w:rPr>
          <w:rFonts w:ascii="Times New Roman"/>
        </w:rPr>
        <w:t>dzeniu wykonawczym Komisji (UE) 2021/447.</w:t>
      </w:r>
    </w:p>
  </w:footnote>
  <w:footnote w:id="134">
    <w:p w14:paraId="03D47B69" w14:textId="70D3DC79" w:rsidR="006578ED" w:rsidRDefault="00A1618E">
      <w:pPr>
        <w:pStyle w:val="FootnoteText"/>
        <w:ind w:left="0" w:firstLine="0"/>
      </w:pPr>
      <w:r>
        <w:rPr>
          <w:rStyle w:val="FootnoteReference"/>
        </w:rPr>
        <w:footnoteRef/>
      </w:r>
      <w:r>
        <w:rPr>
          <w:rFonts w:ascii="Times New Roman"/>
        </w:rPr>
        <w:t>Pojazdy zanieczyszczaj</w:t>
      </w:r>
      <w:r>
        <w:rPr>
          <w:rFonts w:ascii="Times New Roman"/>
        </w:rPr>
        <w:t></w:t>
      </w:r>
      <w:r>
        <w:rPr>
          <w:rFonts w:ascii="Times New Roman"/>
        </w:rPr>
        <w:t>ce definiuje si</w:t>
      </w:r>
      <w:r>
        <w:rPr>
          <w:rFonts w:ascii="Times New Roman"/>
        </w:rPr>
        <w:t></w:t>
      </w:r>
      <w:r>
        <w:rPr>
          <w:rFonts w:ascii="Times New Roman"/>
        </w:rPr>
        <w:t xml:space="preserve"> jako pojazdy niebezemisyjne.</w:t>
      </w:r>
    </w:p>
  </w:footnote>
  <w:footnote w:id="135">
    <w:p w14:paraId="03BE60AC" w14:textId="724FAA94"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prowadzonych w zakładach przeznaczonych wyłącznie do przetwarzania odpadów niebezpiecznych nienadających się do recyklingu oraz do istniejących zakładów, w przypadku gdy działania w ramach tego środka mają na celu zwiększenie efektywności energetycznej, wychwytywanie gazów spalinowych do składowania lub wykorzystania lub odzyskiwanie materiałów z popiołów ze spalania, pod warunkiem że takie działania w ramach tego środka nie skutkują zwiększeniem zdolności zakładów w zakresie przetwarzania odpadów ani wydłużeniem okresu eksploatacji obiektów; w odniesieniu do których przedstawiono dowody na poziomie zakładu.</w:t>
      </w:r>
    </w:p>
  </w:footnote>
  <w:footnote w:id="136">
    <w:p w14:paraId="62EE6026" w14:textId="0C5BC03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137">
    <w:p w14:paraId="651F7B0D" w14:textId="5419994A" w:rsidR="006578ED" w:rsidRDefault="00A1618E">
      <w:pPr>
        <w:pStyle w:val="FootnoteText"/>
        <w:ind w:left="0" w:firstLine="0"/>
      </w:pPr>
      <w:r>
        <w:rPr>
          <w:rStyle w:val="FootnoteReference"/>
          <w:rFonts w:ascii="Times New Roman" w:hAnsi="Times New Roman"/>
        </w:rPr>
        <w:footnoteRef/>
      </w:r>
      <w:r>
        <w:rPr>
          <w:rFonts w:ascii="Times New Roman" w:hAnsi="Times New Roman"/>
        </w:rPr>
        <w:t>W przypadku gdy w ramach wspieranej działalności osiąga się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38">
    <w:p w14:paraId="6B92AA74" w14:textId="13E79F9F" w:rsidR="006578ED" w:rsidRDefault="00A1618E">
      <w:pPr>
        <w:spacing w:before="120" w:after="12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139">
    <w:p w14:paraId="74A21594" w14:textId="05BBA706" w:rsidR="006578ED" w:rsidRDefault="00A1618E">
      <w:pPr>
        <w:spacing w:before="120" w:after="120" w:line="240" w:lineRule="auto"/>
        <w:jc w:val="both"/>
        <w:rPr>
          <w:rFonts w:ascii="Times New Roman" w:eastAsia="Times New Roman" w:hAnsi="Times New Roman" w:cs="Times New Roman"/>
          <w:sz w:val="20"/>
          <w:shd w:val="clear" w:color="auto" w:fill="FFFFFF"/>
        </w:rPr>
      </w:pPr>
      <w:r>
        <w:rPr>
          <w:rStyle w:val="FootnoteReference"/>
          <w:rFonts w:ascii="Times New Roman" w:hAnsi="Times New Roman" w:cs="Times New Roman"/>
          <w:sz w:val="20"/>
        </w:rPr>
        <w:footnoteRef/>
      </w:r>
      <w:r>
        <w:rPr>
          <w:rFonts w:ascii="Times New Roman" w:hAnsi="Times New Roman"/>
          <w:sz w:val="20"/>
        </w:rPr>
        <w:t xml:space="preserve"> W tym działań i aktywów w ramach unijnego systemu handlu uprawnieniami do emisji (ETS) zapewniających prognozowane emisje gazów cieplarnianych, które nie są niższe od odpowiednich wskaźników referencyjnych. W przypadku gdy w ramach wspieranej działalności osiąga się prognozowane emisje gazów cieplarnianych, które nie są znacznie niższe od odpowiednich wskaźników referencyjnych, należy przedstawić wyjaśnienie powodów, dla których nie jest to możliwe. Wskaźniki referencyjne ustanowione na potrzeby przydziału bezpłatnych uprawnień w</w:t>
      </w:r>
      <w:r>
        <w:rPr>
          <w:rFonts w:ascii="Times New Roman" w:hAnsi="Times New Roman"/>
          <w:sz w:val="20"/>
          <w:shd w:val="clear" w:color="auto" w:fill="FFFFFF"/>
        </w:rPr>
        <w:t>odniesieniu do działań wchodzących w zakres systemu handlu uprawnieniami do emisji, jak określono w rozporządzeniu wykonawczym Komisji (UE) 2021/447.</w:t>
      </w:r>
    </w:p>
  </w:footnote>
  <w:footnote w:id="140">
    <w:p w14:paraId="06BE09BB" w14:textId="1183BCE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41">
    <w:p w14:paraId="43880B13" w14:textId="072BC123" w:rsidR="006578ED" w:rsidRDefault="00A1618E">
      <w:pPr>
        <w:pStyle w:val="FootnoteText"/>
        <w:ind w:left="0" w:firstLine="0"/>
      </w:pPr>
      <w:r>
        <w:rPr>
          <w:rStyle w:val="FootnoteReference"/>
          <w:rFonts w:ascii="Times New Roman" w:hAnsi="Times New Roman" w:cs="Times New Roman"/>
        </w:rPr>
        <w:footnoteRef/>
      </w:r>
      <w:r>
        <w:rPr>
          <w:rFonts w:ascii="Times New Roman" w:hAnsi="Times New Roman"/>
        </w:rPr>
        <w:t>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42">
    <w:p w14:paraId="2F461A80" w14:textId="2B0C4E88" w:rsidR="006578ED" w:rsidRDefault="00A1618E">
      <w:pPr>
        <w:spacing w:before="120" w:after="12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Dyrektywę 2013/34/UE zmieniono dyrektywą (UE) 2022/2464 w sprawie sprawozdawczości przedsiębiorstw w zakresie zrównoważonego rozwoju.</w:t>
      </w:r>
    </w:p>
  </w:footnote>
  <w:footnote w:id="143">
    <w:p w14:paraId="2F73802F" w14:textId="2F6CB224" w:rsidR="006578ED" w:rsidRDefault="00A1618E">
      <w:pPr>
        <w:spacing w:before="120" w:after="120" w:line="240" w:lineRule="auto"/>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Z wyjątkiem a) projektów realizowanych w ramach tego środka w zakresie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bezpłatną eksploatację paliw kopalnych, całkowicie z czasem wycofuje paliwa kopalne.</w:t>
      </w:r>
    </w:p>
  </w:footnote>
  <w:footnote w:id="144">
    <w:p w14:paraId="7D096330" w14:textId="0BE3A55F"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W przypadku gdy wspierane działanie osiąga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45">
    <w:p w14:paraId="6C2F19A7" w14:textId="5BF85188"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46">
    <w:p w14:paraId="65F80730" w14:textId="1C2547B2" w:rsidR="006578ED" w:rsidRDefault="00A1618E">
      <w:pPr>
        <w:pStyle w:val="ListParagraph"/>
        <w:ind w:left="0"/>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 </w:t>
      </w:r>
    </w:p>
    <w:p w14:paraId="7738AF73" w14:textId="77777777" w:rsidR="006578ED" w:rsidRDefault="006578ED">
      <w:pPr>
        <w:pStyle w:val="FootnoteText"/>
        <w:ind w:left="0" w:firstLine="0"/>
      </w:pPr>
    </w:p>
  </w:footnote>
  <w:footnote w:id="147">
    <w:p w14:paraId="6A8687C4" w14:textId="3829A54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Beneficjenci końcowi korzystający z pożyczek, pożyczek partycypacyjnych, obligacji projektowych, gwarancji lub równoważnych instrumentów związanych z konkretnymi projektami są zobowiązani do przedstawienia uzasadnienia wybranego obszaru interwencji dla każdego wspieranego projektu wraz z opisem projektu. Do celów obliczenia wkładu na rzecz klimatu, w przypadku obligacji kapitałowych, quasi-kapitałowych, korporacyjnych lub równoważnych instrumentów, które nie są ukierunkowane na konkretne projekty, stosuje się kryteria nakładające wymóg, aby co najmniej 90 % przychodów odbiorcy w poprzednim roku obrotowym lub przyszłych przychodów zgodnie z biznesplanem pochodziło/będzie generowane z działalności spełniającej odpowiednie kryteria wynikające z mających zastosowanie obszarów interwencji określonych w załączniku VI do rozporządzenia w sprawie RRF. Beneficjenci końcowi z obligacji kapitałowych, quasi-kapitałowych, korporacyjnych lub równoważnych instrumentów, które nie są ukierunkowane na konkretne projekty, przedstawiają uzasadnienie wybranych obszarów interwencji. Partner wykonawczy jest również zobowiązany do przedstawienia państwu członkowskiemu półrocznego sprawozdania z realizacji każdego projektu/działania.</w:t>
      </w:r>
    </w:p>
  </w:footnote>
  <w:footnote w:id="148">
    <w:p w14:paraId="4A7FBCDF" w14:textId="47F33ADE" w:rsidR="006578ED" w:rsidRDefault="00A1618E">
      <w:pPr>
        <w:spacing w:before="160" w:after="0" w:line="240" w:lineRule="auto"/>
        <w:jc w:val="both"/>
        <w:rPr>
          <w:rFonts w:ascii="Times New Roman" w:eastAsia="Times New Roman" w:hAnsi="Times New Roman" w:cs="Times New Roman"/>
          <w:sz w:val="24"/>
        </w:rPr>
      </w:pPr>
      <w:r>
        <w:rPr>
          <w:rStyle w:val="FootnoteReference"/>
        </w:rPr>
        <w:footnoteRef/>
      </w:r>
      <w:r>
        <w:t xml:space="preserve"> </w:t>
      </w:r>
      <w:r>
        <w:rPr>
          <w:rFonts w:ascii="Times New Roman" w:hAnsi="Times New Roman"/>
          <w:sz w:val="20"/>
        </w:rPr>
        <w:t>Z wyjątkiem a) projektów dotyczących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149">
    <w:p w14:paraId="784A8839" w14:textId="27B44227" w:rsidR="006578ED" w:rsidRDefault="00A1618E">
      <w:pPr>
        <w:pStyle w:val="FootnoteText"/>
        <w:ind w:left="0" w:firstLine="0"/>
      </w:pPr>
      <w:r>
        <w:rPr>
          <w:rStyle w:val="FootnoteReference"/>
        </w:rPr>
        <w:footnoteRef/>
      </w:r>
      <w:r>
        <w:rPr>
          <w:rFonts w:ascii="Times New Roman"/>
        </w:rPr>
        <w:t>W przypadku gdy w</w:t>
      </w:r>
      <w:r>
        <w:rPr>
          <w:rFonts w:ascii="Times New Roman"/>
        </w:rPr>
        <w:t></w:t>
      </w:r>
      <w:r>
        <w:rPr>
          <w:rFonts w:ascii="Times New Roman"/>
        </w:rPr>
        <w:t>ramach wspieranej dzia</w:t>
      </w:r>
      <w:r>
        <w:rPr>
          <w:rFonts w:ascii="Times New Roman"/>
        </w:rPr>
        <w:t></w:t>
      </w:r>
      <w:r>
        <w:rPr>
          <w:rFonts w:ascii="Times New Roman"/>
        </w:rPr>
        <w:t>alno</w:t>
      </w:r>
      <w:r>
        <w:rPr>
          <w:rFonts w:ascii="Times New Roman"/>
        </w:rPr>
        <w:t></w:t>
      </w:r>
      <w:r>
        <w:rPr>
          <w:rFonts w:ascii="Times New Roman"/>
        </w:rPr>
        <w:t>ci osi</w:t>
      </w:r>
      <w:r>
        <w:rPr>
          <w:rFonts w:ascii="Times New Roman"/>
        </w:rPr>
        <w:t></w:t>
      </w:r>
      <w:r>
        <w:rPr>
          <w:rFonts w:ascii="Times New Roman"/>
        </w:rPr>
        <w:t>ga si</w:t>
      </w:r>
      <w:r>
        <w:rPr>
          <w:rFonts w:ascii="Times New Roman"/>
        </w:rPr>
        <w:t></w:t>
      </w:r>
      <w:r>
        <w:rPr>
          <w:rFonts w:ascii="Times New Roman"/>
        </w:rPr>
        <w:t xml:space="preserve"> prognozowane emisje gaz</w:t>
      </w:r>
      <w:r>
        <w:rPr>
          <w:rFonts w:ascii="Times New Roman"/>
        </w:rPr>
        <w:t></w:t>
      </w:r>
      <w:r>
        <w:rPr>
          <w:rFonts w:ascii="Times New Roman"/>
        </w:rPr>
        <w:t>w cieplarnianych, kt</w:t>
      </w:r>
      <w:r>
        <w:rPr>
          <w:rFonts w:ascii="Times New Roman"/>
        </w:rPr>
        <w:t></w:t>
      </w:r>
      <w:r>
        <w:rPr>
          <w:rFonts w:ascii="Times New Roman"/>
        </w:rPr>
        <w:t>re nie s</w:t>
      </w:r>
      <w:r>
        <w:rPr>
          <w:rFonts w:ascii="Times New Roman"/>
        </w:rPr>
        <w:t></w:t>
      </w:r>
      <w:r>
        <w:rPr>
          <w:rFonts w:ascii="Times New Roman"/>
        </w:rPr>
        <w:t xml:space="preserve"> znacznie ni</w:t>
      </w:r>
      <w:r>
        <w:rPr>
          <w:rFonts w:ascii="Times New Roman"/>
        </w:rPr>
        <w:t></w:t>
      </w:r>
      <w:r>
        <w:rPr>
          <w:rFonts w:ascii="Times New Roman"/>
        </w:rPr>
        <w:t>sze od odpowiednich wska</w:t>
      </w:r>
      <w:r>
        <w:rPr>
          <w:rFonts w:ascii="Times New Roman"/>
        </w:rPr>
        <w:t></w:t>
      </w:r>
      <w:r>
        <w:rPr>
          <w:rFonts w:ascii="Times New Roman"/>
        </w:rPr>
        <w:t>nik</w:t>
      </w:r>
      <w:r>
        <w:rPr>
          <w:rFonts w:ascii="Times New Roman"/>
        </w:rPr>
        <w:t></w:t>
      </w:r>
      <w:r>
        <w:rPr>
          <w:rFonts w:ascii="Times New Roman"/>
        </w:rPr>
        <w:t>w referencyjnych, nale</w:t>
      </w:r>
      <w:r>
        <w:rPr>
          <w:rFonts w:ascii="Times New Roman"/>
        </w:rPr>
        <w:t></w:t>
      </w:r>
      <w:r>
        <w:rPr>
          <w:rFonts w:ascii="Times New Roman"/>
        </w:rPr>
        <w:t>y przedstawi</w:t>
      </w:r>
      <w:r>
        <w:rPr>
          <w:rFonts w:ascii="Times New Roman"/>
        </w:rPr>
        <w:t></w:t>
      </w:r>
      <w:r>
        <w:rPr>
          <w:rFonts w:ascii="Times New Roman"/>
        </w:rPr>
        <w:t xml:space="preserve"> wyja</w:t>
      </w:r>
      <w:r>
        <w:rPr>
          <w:rFonts w:ascii="Times New Roman"/>
        </w:rPr>
        <w:t></w:t>
      </w:r>
      <w:r>
        <w:rPr>
          <w:rFonts w:ascii="Times New Roman"/>
        </w:rPr>
        <w:t>nienie powod</w:t>
      </w:r>
      <w:r>
        <w:rPr>
          <w:rFonts w:ascii="Times New Roman"/>
        </w:rPr>
        <w:t></w:t>
      </w:r>
      <w:r>
        <w:rPr>
          <w:rFonts w:ascii="Times New Roman"/>
        </w:rPr>
        <w:t>w, dla kt</w:t>
      </w:r>
      <w:r>
        <w:rPr>
          <w:rFonts w:ascii="Times New Roman"/>
        </w:rPr>
        <w:t></w:t>
      </w:r>
      <w:r>
        <w:rPr>
          <w:rFonts w:ascii="Times New Roman"/>
        </w:rPr>
        <w:t>rych nie jest to mo</w:t>
      </w:r>
      <w:r>
        <w:rPr>
          <w:rFonts w:ascii="Times New Roman"/>
        </w:rPr>
        <w:t></w:t>
      </w:r>
      <w:r>
        <w:rPr>
          <w:rFonts w:ascii="Times New Roman"/>
        </w:rPr>
        <w:t>liwe. Warto</w:t>
      </w:r>
      <w:r>
        <w:rPr>
          <w:rFonts w:ascii="Times New Roman"/>
        </w:rPr>
        <w:t></w:t>
      </w:r>
      <w:r>
        <w:rPr>
          <w:rFonts w:ascii="Times New Roman"/>
        </w:rPr>
        <w:t>ci odniesienia ustanowione dla przydzia</w:t>
      </w:r>
      <w:r>
        <w:rPr>
          <w:rFonts w:ascii="Times New Roman"/>
        </w:rPr>
        <w:t></w:t>
      </w:r>
      <w:r>
        <w:rPr>
          <w:rFonts w:ascii="Times New Roman"/>
        </w:rPr>
        <w:t>u bezp</w:t>
      </w:r>
      <w:r>
        <w:rPr>
          <w:rFonts w:ascii="Times New Roman"/>
        </w:rPr>
        <w:t></w:t>
      </w:r>
      <w:r>
        <w:rPr>
          <w:rFonts w:ascii="Times New Roman"/>
        </w:rPr>
        <w:t>atnych uprawnie</w:t>
      </w:r>
      <w:r>
        <w:rPr>
          <w:rFonts w:ascii="Times New Roman"/>
        </w:rPr>
        <w:t></w:t>
      </w:r>
      <w:r>
        <w:rPr>
          <w:rFonts w:ascii="Times New Roman"/>
        </w:rPr>
        <w:t xml:space="preserve"> w</w:t>
      </w:r>
      <w:r>
        <w:rPr>
          <w:rFonts w:ascii="Times New Roman"/>
        </w:rPr>
        <w:t></w:t>
      </w:r>
      <w:r>
        <w:rPr>
          <w:rFonts w:ascii="Times New Roman"/>
        </w:rPr>
        <w:t>odniesieniu do dzia</w:t>
      </w:r>
      <w:r>
        <w:rPr>
          <w:rFonts w:ascii="Times New Roman"/>
        </w:rPr>
        <w:t></w:t>
      </w:r>
      <w:r>
        <w:rPr>
          <w:rFonts w:ascii="Times New Roman"/>
        </w:rPr>
        <w:t>a</w:t>
      </w:r>
      <w:r>
        <w:rPr>
          <w:rFonts w:ascii="Times New Roman"/>
        </w:rPr>
        <w:t></w:t>
      </w:r>
      <w:r>
        <w:rPr>
          <w:rFonts w:ascii="Times New Roman"/>
        </w:rPr>
        <w:t xml:space="preserve"> wchodz</w:t>
      </w:r>
      <w:r>
        <w:rPr>
          <w:rFonts w:ascii="Times New Roman"/>
        </w:rPr>
        <w:t></w:t>
      </w:r>
      <w:r>
        <w:rPr>
          <w:rFonts w:ascii="Times New Roman"/>
        </w:rPr>
        <w:t>cych w</w:t>
      </w:r>
      <w:r>
        <w:rPr>
          <w:rFonts w:ascii="Times New Roman"/>
        </w:rPr>
        <w:t></w:t>
      </w:r>
      <w:r>
        <w:rPr>
          <w:rFonts w:ascii="Times New Roman"/>
        </w:rPr>
        <w:t>zakres systemu handlu uprawnieniami do emisji, jak okre</w:t>
      </w:r>
      <w:r>
        <w:rPr>
          <w:rFonts w:ascii="Times New Roman"/>
        </w:rPr>
        <w:t></w:t>
      </w:r>
      <w:r>
        <w:rPr>
          <w:rFonts w:ascii="Times New Roman"/>
        </w:rPr>
        <w:t>lono w</w:t>
      </w:r>
      <w:r>
        <w:rPr>
          <w:rFonts w:ascii="Times New Roman"/>
        </w:rPr>
        <w:t></w:t>
      </w:r>
      <w:r>
        <w:rPr>
          <w:rFonts w:ascii="Times New Roman"/>
        </w:rPr>
        <w:t>rozporz</w:t>
      </w:r>
      <w:r>
        <w:rPr>
          <w:rFonts w:ascii="Times New Roman"/>
        </w:rPr>
        <w:t></w:t>
      </w:r>
      <w:r>
        <w:rPr>
          <w:rFonts w:ascii="Times New Roman"/>
        </w:rPr>
        <w:t>dzeniu wykonawczym Komisji (UE) 2021/447.</w:t>
      </w:r>
    </w:p>
  </w:footnote>
  <w:footnote w:id="150">
    <w:p w14:paraId="01BAF0D9" w14:textId="7F446EEF" w:rsidR="006578ED" w:rsidRPr="00A1618E" w:rsidRDefault="00A1618E">
      <w:pPr>
        <w:pStyle w:val="FootnoteText"/>
        <w:ind w:left="0" w:firstLine="0"/>
        <w:rPr>
          <w:lang w:val="pl-PL"/>
        </w:rPr>
      </w:pPr>
      <w:r>
        <w:rPr>
          <w:rStyle w:val="FootnoteReference"/>
        </w:rPr>
        <w:footnoteRef/>
      </w:r>
      <w:r>
        <w:t></w:t>
      </w:r>
      <w:r>
        <w:t></w:t>
      </w:r>
      <w:r>
        <w:t></w:t>
      </w:r>
      <w:r>
        <w:t></w:t>
      </w:r>
      <w:r>
        <w:t></w:t>
      </w:r>
      <w:r>
        <w:t></w:t>
      </w:r>
      <w:r>
        <w:t></w:t>
      </w:r>
      <w:r>
        <w:t></w:t>
      </w:r>
      <w:r>
        <w:t></w:t>
      </w:r>
      <w:r>
        <w:t></w:t>
      </w:r>
      <w:r>
        <w:rPr>
          <w:rFonts w:ascii="Times New Roman" w:hAnsi="Times New Roman"/>
        </w:rPr>
        <w:t>to nie ma zastosowania do działań prowadzonych w zakładach przeznaczonych wyłącznie do przetwarzania odpadów niebezpiecznych nienadających się do recyklingu oraz do istniejących zakładów, w przypadku gdy działania te mają na celu zwiększenie efektywności energetycznej, wychwytywanie gazów spalinowych do składowania lub wykorzystania lub odzyskiwanie materiałów z popiołów ze spalania, pod warunkiem że takie działania nie skutkują zwiększeniem zdolności zakładów w zakresie przetwarzania odpadów ani wydłużeniem okresu eksploatacji obiektów; w odniesieniu do których przedstawiono dowody na poziomie zakładu</w:t>
      </w:r>
      <w:r w:rsidRPr="00A1618E">
        <w:rPr>
          <w:rFonts w:ascii="Times New Roman" w:hAnsi="Times New Roman"/>
          <w:lang w:val="pl-PL"/>
        </w:rPr>
        <w:t xml:space="preserve">. </w:t>
      </w:r>
    </w:p>
  </w:footnote>
  <w:footnote w:id="151">
    <w:p w14:paraId="53F002F8" w14:textId="049CB1DC"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prowadzonych w istniejących zakładach mechaniczno-biologicznego przetwarzania, w przypadku gdy działania te mają na celu zwiększenie efektywności energetycznej lub dostosowanie do operacji recyklingu odpadów segregowanych na kompost bioodpady i beztlenowa fermentacja bioodpadów, pod warunkiem że takie działania nie skutkują zwiększeniem zdolności zakładów w zakresie przetwarzania odpadów ani wydłużeniem okresu eksploatacji zakładów; w odniesieniu do których przedstawiono dowody na poziomie zakładu.</w:t>
      </w:r>
    </w:p>
  </w:footnote>
  <w:footnote w:id="152">
    <w:p w14:paraId="3F60B53A" w14:textId="772B2C1C"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153">
    <w:p w14:paraId="7C155246" w14:textId="6A8D28A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54">
    <w:p w14:paraId="59025053" w14:textId="5AFE3028"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55">
    <w:p w14:paraId="48D05499" w14:textId="554D45F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56">
    <w:p w14:paraId="7B4A4041" w14:textId="7BE004D5"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157">
    <w:p w14:paraId="6A8FF32C" w14:textId="41953B6E"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58">
    <w:p w14:paraId="2F70DF0A" w14:textId="5B8C846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59">
    <w:p w14:paraId="1829465F" w14:textId="6AE4D7F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60">
    <w:p w14:paraId="4C7A2D7C" w14:textId="1CF000B7" w:rsidR="006578ED" w:rsidRDefault="00A1618E">
      <w:pPr>
        <w:pStyle w:val="FootnoteText"/>
        <w:ind w:left="0" w:firstLine="0"/>
      </w:pPr>
      <w:r>
        <w:rPr>
          <w:rStyle w:val="FootnoteReference"/>
        </w:rPr>
        <w:footnoteRef/>
      </w:r>
      <w:r>
        <w:rPr>
          <w:rFonts w:ascii="Times New Roman" w:hAnsi="Times New Roman"/>
        </w:rPr>
        <w:t>Do celów obliczania wkładu cyfrowego, w przypadku obligacji kapitałowych, quasi-kapitałowych, korporacyjnych lub równoważnych instrumentów, które nie są ukierunkowane na konkretne projekty, polityka inwestycyjna wymaga, aby co najmniej 90 % przychodów odbiorcy w poprzednim roku obrotowym lub przyszłych przychodów zgodnie z planem biznesowym pochodziło z działalności zgodnej z mającymi zastosowanie obszarami interwencji określonymi w załączniku VII do rozporządzenia w sprawie RRF.</w:t>
      </w:r>
    </w:p>
  </w:footnote>
  <w:footnote w:id="161">
    <w:p w14:paraId="7E9565A1" w14:textId="22423BC5"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162">
    <w:p w14:paraId="4468CBEC" w14:textId="7C5B8C8F"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63">
    <w:p w14:paraId="0363EF16" w14:textId="747036C5"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64">
    <w:p w14:paraId="2BD7C402" w14:textId="43B60B9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65">
    <w:p w14:paraId="0F87503B" w14:textId="24E4EC5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166">
    <w:p w14:paraId="551D9032" w14:textId="70B813F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67">
    <w:p w14:paraId="6A31A0CF" w14:textId="6D571BBE"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68">
    <w:p w14:paraId="0CF30C74" w14:textId="5611BB9B"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69">
    <w:p w14:paraId="63317D27" w14:textId="3462D858"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Wskaźniki referencyjne ustanowione na potrzeby przydziału bezpłatnych uprawnień w odniesieniu do działań i instalacji objętych zakresem systemu handlu uprawnieniami do emisji, jak określono w rozporządzeniu wykonawczym Komisji (UE) 2021/447.</w:t>
      </w:r>
    </w:p>
  </w:footnote>
  <w:footnote w:id="170">
    <w:p w14:paraId="7C9B3827" w14:textId="1543B21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171">
    <w:p w14:paraId="69C61B17" w14:textId="77BEE8E2"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172">
    <w:p w14:paraId="700A22FC" w14:textId="48B473E5"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73">
    <w:p w14:paraId="4FED1163" w14:textId="0CA0D747"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74">
    <w:p w14:paraId="54C0D5E9" w14:textId="7BB74505"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75">
    <w:p w14:paraId="04DB2869" w14:textId="1AF5B14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wyjątkiem projektów w ramach tego działania dotyczących wytwarzania energii elektrycznej lub ciepła, a także powiązanej infrastruktury przesyłowej i dystrybucyjnej z wykorzystaniem gazu ziemnego, które są zgodne z warunkami określonymi w załączniku III do wytycznych technicznych „nie czyń poważnych szkód” (2021/C58/01). </w:t>
      </w:r>
    </w:p>
  </w:footnote>
  <w:footnote w:id="176">
    <w:p w14:paraId="66A9F2AC" w14:textId="082DB69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77">
    <w:p w14:paraId="20CFA8F9" w14:textId="7754120B"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78">
    <w:p w14:paraId="59920EEE" w14:textId="48CA78E8"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79">
    <w:p w14:paraId="53539C52" w14:textId="6C2B9923"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wyjątkiem a) projektów realizowanych w ramach tego środka w zakresie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wolną od paliw kopalnych.</w:t>
      </w:r>
    </w:p>
  </w:footnote>
  <w:footnote w:id="180">
    <w:p w14:paraId="49A0EA27" w14:textId="35EDF7C7"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81">
    <w:p w14:paraId="3D43B761" w14:textId="09FF8E0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182">
    <w:p w14:paraId="69DEDC94" w14:textId="53B62093"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w przypadku gdy działania w ramach tego środka mają na celu zwiększenie efektywności energetycznej lub dostosowanie do operacji recyklingu odpadów segregowanych na kompost bioodpady i beztlenowa fermentacja bioodpadów, pod warunkiem że takie działania w ramach tego środka nie skutkują zwiększeniem zdolności zakładów w zakresie przetwarzania odpadów lub wydłużeniem okresu eksploatacji zakładów; w odniesieniu do których przedstawiono dowody na poziomie zakładu.</w:t>
      </w:r>
    </w:p>
  </w:footnote>
  <w:footnote w:id="183">
    <w:p w14:paraId="25C0F987" w14:textId="4A109DF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Z wyjątkiem a) projektów realizowanych w ramach tego środka w zakresie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wolną od paliw kopalnych.</w:t>
      </w:r>
    </w:p>
  </w:footnote>
  <w:footnote w:id="184">
    <w:p w14:paraId="773168C3" w14:textId="622B3BE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W przypadku gdy wspierane działanie osiąga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185">
    <w:p w14:paraId="3D8CEDF0" w14:textId="0C67FFCE"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w:t>
      </w:r>
      <w:r>
        <w:rPr>
          <w:rStyle w:val="normaltextrun"/>
          <w:rFonts w:ascii="Times New Roman" w:hAnsi="Times New Roman"/>
          <w:shd w:val="clear" w:color="auto" w:fill="FFFFFF"/>
        </w:rPr>
        <w:t>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  </w:t>
      </w:r>
    </w:p>
  </w:footnote>
  <w:footnote w:id="186">
    <w:p w14:paraId="6290D5A5" w14:textId="3716EDB5"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w:t>
      </w:r>
      <w:r>
        <w:rPr>
          <w:rStyle w:val="normaltextrun"/>
          <w:rFonts w:ascii="Times New Roman" w:hAnsi="Times New Roman"/>
          <w:shd w:val="clear" w:color="auto" w:fill="FFFFFF"/>
        </w:rPr>
        <w:t>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  </w:t>
      </w:r>
    </w:p>
  </w:footnote>
  <w:footnote w:id="187">
    <w:p w14:paraId="69610364" w14:textId="0FFDDA45"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Z wyjątkiem a) projektów realizowanych w ramach tego środka w zakresie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wolną od paliw kopalnych.</w:t>
      </w:r>
    </w:p>
  </w:footnote>
  <w:footnote w:id="188">
    <w:p w14:paraId="49CBF51C" w14:textId="443FE91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shd w:val="clear" w:color="auto" w:fill="FFFFFF"/>
        </w:rPr>
        <w:t>W przypadku gdy wspierane działanie osiąga prognozowane emisje gazów cieplarnianych, które nie są znacznie niższe od odpowiednich wskaźników referencyjnych, należy przedstawić wyjaśnienie powodów, dla których nie jest to możliwe. Poziomy odniesienia ustanowione na potrzeby przydziału bezpłatnych uprawnień w odniesieniu do działań wchodzących w zakres systemu handlu uprawnieniami do emisji, jak określono w rozporządzeniu wykonawczym Komisji (UE) 2021/447</w:t>
      </w:r>
    </w:p>
  </w:footnote>
  <w:footnote w:id="189">
    <w:p w14:paraId="30870E96" w14:textId="4C0C298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w:t>
      </w:r>
      <w:r>
        <w:rPr>
          <w:rStyle w:val="normaltextrun"/>
          <w:rFonts w:ascii="Times New Roman" w:hAnsi="Times New Roman"/>
          <w:shd w:val="clear" w:color="auto" w:fill="FFFFFF"/>
        </w:rPr>
        <w:t>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  </w:t>
      </w:r>
    </w:p>
  </w:footnote>
  <w:footnote w:id="190">
    <w:p w14:paraId="48475B0C" w14:textId="4EE840C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w:t>
      </w:r>
      <w:r>
        <w:rPr>
          <w:rStyle w:val="normaltextrun"/>
          <w:rFonts w:ascii="Times New Roman" w:hAnsi="Times New Roman"/>
          <w:shd w:val="clear" w:color="auto" w:fill="FFFFFF"/>
        </w:rPr>
        <w:t>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  </w:t>
      </w:r>
    </w:p>
  </w:footnote>
  <w:footnote w:id="191">
    <w:p w14:paraId="2F391CBB" w14:textId="7CE14D94" w:rsidR="006578ED" w:rsidRDefault="00A1618E">
      <w:pPr>
        <w:spacing w:before="120" w:after="120" w:line="240" w:lineRule="auto"/>
        <w:jc w:val="both"/>
        <w:rPr>
          <w:rFonts w:ascii="Times New Roman" w:eastAsia="Times New Roman" w:hAnsi="Times New Roman" w:cs="Times New Roman"/>
          <w:sz w:val="24"/>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20"/>
        </w:rPr>
        <w:t>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192">
    <w:p w14:paraId="3D0FFA9D" w14:textId="20EEAAAD" w:rsidR="006578ED" w:rsidRDefault="00A1618E">
      <w:pPr>
        <w:spacing w:before="120" w:after="120" w:line="240" w:lineRule="auto"/>
        <w:jc w:val="both"/>
        <w:rPr>
          <w:rFonts w:ascii="Times New Roman" w:eastAsia="Times New Roman" w:hAnsi="Times New Roman" w:cs="Times New Roman"/>
          <w:sz w:val="24"/>
          <w:shd w:val="clear" w:color="auto" w:fill="FFFFFF"/>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20"/>
        </w:rPr>
        <w:t>W tym działań i aktywów w ramach unijnego systemu handlu uprawnieniami do emisji (ETS) zapewniających prognozowane emisje gazów cieplarnianych, które nie są niższe od odpowiednich wskaźników referencyjnych. W przypadku gdy w ramach wspieranej działalności osiąga się prognozowane emisje gazów cieplarnianych, które nie są znacznie niższe od odpowiednich wskaźników referencyjnych, należy przedstawić wyjaśnienie powodów, dla których nie jest to możliwe. Wskaźniki referencyjne ustanowione na potrzeby przydziału bezpłatnych uprawnień w</w:t>
      </w:r>
      <w:r>
        <w:rPr>
          <w:rFonts w:ascii="Times New Roman" w:hAnsi="Times New Roman"/>
          <w:sz w:val="20"/>
          <w:shd w:val="clear" w:color="auto" w:fill="FFFFFF"/>
        </w:rPr>
        <w:t>odniesieniu do działań wchodzących w zakres systemu handlu uprawnieniami do emisji, jak określono w rozporządzeniu wykonawczym Komisji (UE) 2021/447.</w:t>
      </w:r>
    </w:p>
  </w:footnote>
  <w:footnote w:id="193">
    <w:p w14:paraId="21DC4060" w14:textId="2F853509" w:rsidR="006578ED" w:rsidRDefault="00A1618E">
      <w:pPr>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sz w:val="20"/>
        </w:rPr>
        <w:t>Uznaje się, że beneficjent końcowy „znacznie koncentruje się” na danym sektorze lub działalności gospodarczej, jeżeli taki sektor lub działalność została określona jako istotna część działalności gospodarczej beneficjenta końcowego odpowiednio w odniesieniu do przychodów brutto, zysku lub bazy klientów beneficjenta końcowego. Dochód brutto wygenerowany z sektora lub działalności objętej ograniczeniami w żadnym przypadku nie przekracza 50 % dochodu brutto.</w:t>
      </w:r>
    </w:p>
  </w:footnote>
  <w:footnote w:id="194">
    <w:p w14:paraId="41EB7FD2" w14:textId="700E61B0" w:rsidR="006578ED" w:rsidRDefault="00A1618E">
      <w:pPr>
        <w:pStyle w:val="FootnoteText"/>
        <w:ind w:left="0" w:firstLine="0"/>
      </w:pPr>
      <w:r>
        <w:rPr>
          <w:rStyle w:val="FootnoteReference"/>
        </w:rPr>
        <w:footnoteRef/>
      </w:r>
      <w:r>
        <w:rPr>
          <w:rFonts w:ascii="Times New Roman" w:hAnsi="Times New Roman"/>
        </w:rPr>
        <w:t>Z wyjątkiem a) aktywów i działań związanych z wytwarzaniem energii elektrycznej lub ciepła, a także związanej z nimi infrastruktury przesyłowej i dystrybucyjnej z wykorzystaniem gazu ziemnego, które są zgodne z warunkami określonymi w załączniku III do wytycznych technicznych dotyczących zasady „nie czyń poważnych szkód” (2021/C58/01) oraz b) działań i aktywów, o których mowa w ppkt (ii), w przypadku których stosowanie paliw kopalnych jest tymczasowe i technicznie nieuniknione do celów terminowego przejścia na działalność bez udziału paliw kopalnych.</w:t>
      </w:r>
    </w:p>
  </w:footnote>
  <w:footnote w:id="195">
    <w:p w14:paraId="02936313" w14:textId="666E3845" w:rsidR="006578ED" w:rsidRDefault="00A1618E">
      <w:pPr>
        <w:pStyle w:val="FootnoteText"/>
        <w:ind w:left="0" w:firstLine="0"/>
      </w:pPr>
      <w:r>
        <w:rPr>
          <w:rStyle w:val="FootnoteReference"/>
        </w:rPr>
        <w:footnoteRef/>
      </w:r>
      <w:r>
        <w:rPr>
          <w:rFonts w:ascii="Times New Roman"/>
        </w:rPr>
        <w:t>W tym dzia</w:t>
      </w:r>
      <w:r>
        <w:rPr>
          <w:rFonts w:ascii="Times New Roman"/>
        </w:rPr>
        <w:t></w:t>
      </w:r>
      <w:r>
        <w:rPr>
          <w:rFonts w:ascii="Times New Roman"/>
        </w:rPr>
        <w:t>a</w:t>
      </w:r>
      <w:r>
        <w:rPr>
          <w:rFonts w:ascii="Times New Roman"/>
        </w:rPr>
        <w:t></w:t>
      </w:r>
      <w:r>
        <w:rPr>
          <w:rFonts w:ascii="Times New Roman"/>
        </w:rPr>
        <w:t xml:space="preserve"> i</w:t>
      </w:r>
      <w:r>
        <w:rPr>
          <w:rFonts w:ascii="Times New Roman"/>
        </w:rPr>
        <w:t></w:t>
      </w:r>
      <w:r>
        <w:rPr>
          <w:rFonts w:ascii="Times New Roman"/>
        </w:rPr>
        <w:t>aktyw</w:t>
      </w:r>
      <w:r>
        <w:rPr>
          <w:rFonts w:ascii="Times New Roman"/>
        </w:rPr>
        <w:t></w:t>
      </w:r>
      <w:r>
        <w:rPr>
          <w:rFonts w:ascii="Times New Roman"/>
        </w:rPr>
        <w:t>w w</w:t>
      </w:r>
      <w:r>
        <w:rPr>
          <w:rFonts w:ascii="Times New Roman"/>
        </w:rPr>
        <w:t></w:t>
      </w:r>
      <w:r>
        <w:rPr>
          <w:rFonts w:ascii="Times New Roman"/>
        </w:rPr>
        <w:t>ramach unijnego systemu handlu uprawnieniami do emisji (ETS) zapewniaj</w:t>
      </w:r>
      <w:r>
        <w:rPr>
          <w:rFonts w:ascii="Times New Roman"/>
        </w:rPr>
        <w:t></w:t>
      </w:r>
      <w:r>
        <w:rPr>
          <w:rFonts w:ascii="Times New Roman"/>
        </w:rPr>
        <w:t>cych prognozowane emisje gaz</w:t>
      </w:r>
      <w:r>
        <w:rPr>
          <w:rFonts w:ascii="Times New Roman"/>
        </w:rPr>
        <w:t></w:t>
      </w:r>
      <w:r>
        <w:rPr>
          <w:rFonts w:ascii="Times New Roman"/>
        </w:rPr>
        <w:t>w cieplarnianych, kt</w:t>
      </w:r>
      <w:r>
        <w:rPr>
          <w:rFonts w:ascii="Times New Roman"/>
        </w:rPr>
        <w:t></w:t>
      </w:r>
      <w:r>
        <w:rPr>
          <w:rFonts w:ascii="Times New Roman"/>
        </w:rPr>
        <w:t>re nie s</w:t>
      </w:r>
      <w:r>
        <w:rPr>
          <w:rFonts w:ascii="Times New Roman"/>
        </w:rPr>
        <w:t></w:t>
      </w:r>
      <w:r>
        <w:rPr>
          <w:rFonts w:ascii="Times New Roman"/>
        </w:rPr>
        <w:t xml:space="preserve"> ni</w:t>
      </w:r>
      <w:r>
        <w:rPr>
          <w:rFonts w:ascii="Times New Roman"/>
        </w:rPr>
        <w:t></w:t>
      </w:r>
      <w:r>
        <w:rPr>
          <w:rFonts w:ascii="Times New Roman"/>
        </w:rPr>
        <w:t>sze od odpowiednich wska</w:t>
      </w:r>
      <w:r>
        <w:rPr>
          <w:rFonts w:ascii="Times New Roman"/>
        </w:rPr>
        <w:t></w:t>
      </w:r>
      <w:r>
        <w:rPr>
          <w:rFonts w:ascii="Times New Roman"/>
        </w:rPr>
        <w:t>nik</w:t>
      </w:r>
      <w:r>
        <w:rPr>
          <w:rFonts w:ascii="Times New Roman"/>
        </w:rPr>
        <w:t></w:t>
      </w:r>
      <w:r>
        <w:rPr>
          <w:rFonts w:ascii="Times New Roman"/>
        </w:rPr>
        <w:t>w referencyjnych. W</w:t>
      </w:r>
      <w:r>
        <w:rPr>
          <w:rFonts w:ascii="Times New Roman"/>
        </w:rPr>
        <w:t></w:t>
      </w:r>
      <w:r>
        <w:rPr>
          <w:rFonts w:ascii="Times New Roman"/>
        </w:rPr>
        <w:t>przypadku gdy w</w:t>
      </w:r>
      <w:r>
        <w:rPr>
          <w:rFonts w:ascii="Times New Roman"/>
        </w:rPr>
        <w:t></w:t>
      </w:r>
      <w:r>
        <w:rPr>
          <w:rFonts w:ascii="Times New Roman"/>
        </w:rPr>
        <w:t>ramach wspieranej dzia</w:t>
      </w:r>
      <w:r>
        <w:rPr>
          <w:rFonts w:ascii="Times New Roman"/>
        </w:rPr>
        <w:t></w:t>
      </w:r>
      <w:r>
        <w:rPr>
          <w:rFonts w:ascii="Times New Roman"/>
        </w:rPr>
        <w:t>alno</w:t>
      </w:r>
      <w:r>
        <w:rPr>
          <w:rFonts w:ascii="Times New Roman"/>
        </w:rPr>
        <w:t></w:t>
      </w:r>
      <w:r>
        <w:rPr>
          <w:rFonts w:ascii="Times New Roman"/>
        </w:rPr>
        <w:t>ci osi</w:t>
      </w:r>
      <w:r>
        <w:rPr>
          <w:rFonts w:ascii="Times New Roman"/>
        </w:rPr>
        <w:t></w:t>
      </w:r>
      <w:r>
        <w:rPr>
          <w:rFonts w:ascii="Times New Roman"/>
        </w:rPr>
        <w:t>ga si</w:t>
      </w:r>
      <w:r>
        <w:rPr>
          <w:rFonts w:ascii="Times New Roman"/>
        </w:rPr>
        <w:t></w:t>
      </w:r>
      <w:r>
        <w:rPr>
          <w:rFonts w:ascii="Times New Roman"/>
        </w:rPr>
        <w:t xml:space="preserve"> prognozowane emisje gaz</w:t>
      </w:r>
      <w:r>
        <w:rPr>
          <w:rFonts w:ascii="Times New Roman"/>
        </w:rPr>
        <w:t></w:t>
      </w:r>
      <w:r>
        <w:rPr>
          <w:rFonts w:ascii="Times New Roman"/>
        </w:rPr>
        <w:t>w cieplarnianych, kt</w:t>
      </w:r>
      <w:r>
        <w:rPr>
          <w:rFonts w:ascii="Times New Roman"/>
        </w:rPr>
        <w:t></w:t>
      </w:r>
      <w:r>
        <w:rPr>
          <w:rFonts w:ascii="Times New Roman"/>
        </w:rPr>
        <w:t>re nie s</w:t>
      </w:r>
      <w:r>
        <w:rPr>
          <w:rFonts w:ascii="Times New Roman"/>
        </w:rPr>
        <w:t></w:t>
      </w:r>
      <w:r>
        <w:rPr>
          <w:rFonts w:ascii="Times New Roman"/>
        </w:rPr>
        <w:t xml:space="preserve"> znacznie ni</w:t>
      </w:r>
      <w:r>
        <w:rPr>
          <w:rFonts w:ascii="Times New Roman"/>
        </w:rPr>
        <w:t></w:t>
      </w:r>
      <w:r>
        <w:rPr>
          <w:rFonts w:ascii="Times New Roman"/>
        </w:rPr>
        <w:t>sze od odpowiednich wska</w:t>
      </w:r>
      <w:r>
        <w:rPr>
          <w:rFonts w:ascii="Times New Roman"/>
        </w:rPr>
        <w:t></w:t>
      </w:r>
      <w:r>
        <w:rPr>
          <w:rFonts w:ascii="Times New Roman"/>
        </w:rPr>
        <w:t>nik</w:t>
      </w:r>
      <w:r>
        <w:rPr>
          <w:rFonts w:ascii="Times New Roman"/>
        </w:rPr>
        <w:t></w:t>
      </w:r>
      <w:r>
        <w:rPr>
          <w:rFonts w:ascii="Times New Roman"/>
        </w:rPr>
        <w:t>w referencyjnych, nale</w:t>
      </w:r>
      <w:r>
        <w:rPr>
          <w:rFonts w:ascii="Times New Roman"/>
        </w:rPr>
        <w:t></w:t>
      </w:r>
      <w:r>
        <w:rPr>
          <w:rFonts w:ascii="Times New Roman"/>
        </w:rPr>
        <w:t>y przedstawi</w:t>
      </w:r>
      <w:r>
        <w:rPr>
          <w:rFonts w:ascii="Times New Roman"/>
        </w:rPr>
        <w:t></w:t>
      </w:r>
      <w:r>
        <w:rPr>
          <w:rFonts w:ascii="Times New Roman"/>
        </w:rPr>
        <w:t xml:space="preserve"> wyja</w:t>
      </w:r>
      <w:r>
        <w:rPr>
          <w:rFonts w:ascii="Times New Roman"/>
        </w:rPr>
        <w:t></w:t>
      </w:r>
      <w:r>
        <w:rPr>
          <w:rFonts w:ascii="Times New Roman"/>
        </w:rPr>
        <w:t>nienie powod</w:t>
      </w:r>
      <w:r>
        <w:rPr>
          <w:rFonts w:ascii="Times New Roman"/>
        </w:rPr>
        <w:t></w:t>
      </w:r>
      <w:r>
        <w:rPr>
          <w:rFonts w:ascii="Times New Roman"/>
        </w:rPr>
        <w:t>w, dla kt</w:t>
      </w:r>
      <w:r>
        <w:rPr>
          <w:rFonts w:ascii="Times New Roman"/>
        </w:rPr>
        <w:t></w:t>
      </w:r>
      <w:r>
        <w:rPr>
          <w:rFonts w:ascii="Times New Roman"/>
        </w:rPr>
        <w:t>rych nie jest to mo</w:t>
      </w:r>
      <w:r>
        <w:rPr>
          <w:rFonts w:ascii="Times New Roman"/>
        </w:rPr>
        <w:t></w:t>
      </w:r>
      <w:r>
        <w:rPr>
          <w:rFonts w:ascii="Times New Roman"/>
        </w:rPr>
        <w:t>liwe. Warto</w:t>
      </w:r>
      <w:r>
        <w:rPr>
          <w:rFonts w:ascii="Times New Roman"/>
        </w:rPr>
        <w:t></w:t>
      </w:r>
      <w:r>
        <w:rPr>
          <w:rFonts w:ascii="Times New Roman"/>
        </w:rPr>
        <w:t>ci odniesienia ustanowione dla przydzia</w:t>
      </w:r>
      <w:r>
        <w:rPr>
          <w:rFonts w:ascii="Times New Roman"/>
        </w:rPr>
        <w:t></w:t>
      </w:r>
      <w:r>
        <w:rPr>
          <w:rFonts w:ascii="Times New Roman"/>
        </w:rPr>
        <w:t>u bezp</w:t>
      </w:r>
      <w:r>
        <w:rPr>
          <w:rFonts w:ascii="Times New Roman"/>
        </w:rPr>
        <w:t></w:t>
      </w:r>
      <w:r>
        <w:rPr>
          <w:rFonts w:ascii="Times New Roman"/>
        </w:rPr>
        <w:t>atnych uprawnie</w:t>
      </w:r>
      <w:r>
        <w:rPr>
          <w:rFonts w:ascii="Times New Roman"/>
        </w:rPr>
        <w:t></w:t>
      </w:r>
      <w:r>
        <w:rPr>
          <w:rFonts w:ascii="Times New Roman"/>
        </w:rPr>
        <w:t xml:space="preserve"> w</w:t>
      </w:r>
      <w:r>
        <w:rPr>
          <w:rFonts w:ascii="Times New Roman"/>
        </w:rPr>
        <w:t></w:t>
      </w:r>
      <w:r>
        <w:rPr>
          <w:rFonts w:ascii="Times New Roman"/>
        </w:rPr>
        <w:t>odniesieniu do dzia</w:t>
      </w:r>
      <w:r>
        <w:rPr>
          <w:rFonts w:ascii="Times New Roman"/>
        </w:rPr>
        <w:t></w:t>
      </w:r>
      <w:r>
        <w:rPr>
          <w:rFonts w:ascii="Times New Roman"/>
        </w:rPr>
        <w:t>a</w:t>
      </w:r>
      <w:r>
        <w:rPr>
          <w:rFonts w:ascii="Times New Roman"/>
        </w:rPr>
        <w:t></w:t>
      </w:r>
      <w:r>
        <w:rPr>
          <w:rFonts w:ascii="Times New Roman"/>
        </w:rPr>
        <w:t xml:space="preserve"> wchodz</w:t>
      </w:r>
      <w:r>
        <w:rPr>
          <w:rFonts w:ascii="Times New Roman"/>
        </w:rPr>
        <w:t></w:t>
      </w:r>
      <w:r>
        <w:rPr>
          <w:rFonts w:ascii="Times New Roman"/>
        </w:rPr>
        <w:t>cych w</w:t>
      </w:r>
      <w:r>
        <w:rPr>
          <w:rFonts w:ascii="Times New Roman"/>
        </w:rPr>
        <w:t></w:t>
      </w:r>
      <w:r>
        <w:rPr>
          <w:rFonts w:ascii="Times New Roman"/>
        </w:rPr>
        <w:t>zakres systemu handlu uprawnieniami do emisji, jak okre</w:t>
      </w:r>
      <w:r>
        <w:rPr>
          <w:rFonts w:ascii="Times New Roman"/>
        </w:rPr>
        <w:t></w:t>
      </w:r>
      <w:r>
        <w:rPr>
          <w:rFonts w:ascii="Times New Roman"/>
        </w:rPr>
        <w:t>lono w</w:t>
      </w:r>
      <w:r>
        <w:rPr>
          <w:rFonts w:ascii="Times New Roman"/>
        </w:rPr>
        <w:t></w:t>
      </w:r>
      <w:r>
        <w:rPr>
          <w:rFonts w:ascii="Times New Roman"/>
        </w:rPr>
        <w:t>rozporz</w:t>
      </w:r>
      <w:r>
        <w:rPr>
          <w:rFonts w:ascii="Times New Roman"/>
        </w:rPr>
        <w:t></w:t>
      </w:r>
      <w:r>
        <w:rPr>
          <w:rFonts w:ascii="Times New Roman"/>
        </w:rPr>
        <w:t>dzeniu wykonawczym Komisji (UE) 2021/447.</w:t>
      </w:r>
    </w:p>
  </w:footnote>
  <w:footnote w:id="196">
    <w:p w14:paraId="6B4C83D3" w14:textId="77777777" w:rsidR="006578ED" w:rsidRDefault="00A1618E">
      <w:pPr>
        <w:pStyle w:val="FootnoteText"/>
        <w:ind w:left="0" w:firstLine="0"/>
      </w:pPr>
      <w:r>
        <w:rPr>
          <w:rStyle w:val="FootnoteReference"/>
        </w:rPr>
        <w:footnoteRef/>
      </w:r>
      <w:r>
        <w:rPr>
          <w:rFonts w:ascii="Times New Roman"/>
        </w:rPr>
        <w:t>Pojazdy zanieczyszczaj</w:t>
      </w:r>
      <w:r>
        <w:rPr>
          <w:rFonts w:ascii="Times New Roman"/>
        </w:rPr>
        <w:t></w:t>
      </w:r>
      <w:r>
        <w:rPr>
          <w:rFonts w:ascii="Times New Roman"/>
        </w:rPr>
        <w:t>ce definiuje si</w:t>
      </w:r>
      <w:r>
        <w:rPr>
          <w:rFonts w:ascii="Times New Roman"/>
        </w:rPr>
        <w:t></w:t>
      </w:r>
      <w:r>
        <w:rPr>
          <w:rFonts w:ascii="Times New Roman"/>
        </w:rPr>
        <w:t xml:space="preserve"> jako pojazdy niebezemisyjne.</w:t>
      </w:r>
    </w:p>
  </w:footnote>
  <w:footnote w:id="197">
    <w:p w14:paraId="716A3122" w14:textId="2379405B" w:rsidR="006578ED" w:rsidRDefault="00A1618E">
      <w:pPr>
        <w:pStyle w:val="FootnoteText"/>
        <w:ind w:left="0" w:firstLine="0"/>
      </w:pPr>
      <w:r>
        <w:rPr>
          <w:rStyle w:val="FootnoteReference"/>
        </w:rPr>
        <w:footnoteRef/>
      </w:r>
      <w:r>
        <w:t></w:t>
      </w:r>
      <w:r>
        <w:t></w:t>
      </w:r>
      <w:r>
        <w:t></w:t>
      </w:r>
      <w:r>
        <w:t></w:t>
      </w:r>
      <w:r>
        <w:t></w:t>
      </w:r>
      <w:r>
        <w:t></w:t>
      </w:r>
      <w:r>
        <w:t></w:t>
      </w:r>
      <w:r>
        <w:t></w:t>
      </w:r>
      <w:r>
        <w:t></w:t>
      </w:r>
      <w:r>
        <w:t></w:t>
      </w:r>
      <w:r>
        <w:rPr>
          <w:rFonts w:ascii="Times New Roman" w:hAnsi="Times New Roman"/>
        </w:rPr>
        <w:t>to nie ma zastosowania do działań prowadzonych w zakładach przeznaczonych wyłącznie do przetwarzania odpadów niebezpiecznych nienadających się do recyklingu oraz do istniejących zakładów, w przypadku gdy działania w ramach tego środka mają na celu zwiększenie efektywności energetycznej, wychwytywanie gazów spalinowych do składowania lub wykorzystania lub odzyskiwanie materiałów z popiołów ze spalania, pod warunkiem że takie działania w ramach tego środka nie skutkują zwiększeniem zdolności zakładów w zakresie przetwarzania odpadów ani wydłużeniem okresu eksploatacji obiektów; w odniesieniu do których przedstawiono dowody na poziomie zakładu.</w:t>
      </w:r>
    </w:p>
  </w:footnote>
  <w:footnote w:id="198">
    <w:p w14:paraId="313F7A79" w14:textId="0A51292F"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199">
    <w:p w14:paraId="6B4A4879" w14:textId="596E2DFE"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200">
    <w:p w14:paraId="1BCB45F7" w14:textId="1A8B5C0F"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201">
    <w:p w14:paraId="6047DFE2" w14:textId="4DFE9423"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202">
    <w:p w14:paraId="4064C20F" w14:textId="11DBF568"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203">
    <w:p w14:paraId="747594EF" w14:textId="0BFAD3EA"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204">
    <w:p w14:paraId="5DDF8CB5" w14:textId="6F70EA82"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205">
    <w:p w14:paraId="6425ED91" w14:textId="03F3EC2D"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206">
    <w:p w14:paraId="1E17D082" w14:textId="2B9EB59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Wyjątkiem projektów w ramach tego środka dotyczących wytwarzania energii elektrycznej lub ciepła, a także powiązanej infrastruktury przesyłowej i dystrybucyjnej wykorzystującej gaz ziemny, które są zgodne z warunkami określonymi w załączniku III do wytycznych technicznych „Nie czyń poważnych szkód” (2021/C58/01).</w:t>
      </w:r>
    </w:p>
  </w:footnote>
  <w:footnote w:id="207">
    <w:p w14:paraId="12A6D63C" w14:textId="7AF01123"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208">
    <w:p w14:paraId="25756875" w14:textId="714F1F3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209">
    <w:p w14:paraId="24350DDF" w14:textId="64F5A4D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odpadów, w przypadku gdy działania w ramach tego środka mają na celu zwiększenie efektywności energetycznej lub dostosowanie do procesów recyklingu odpadów posegregowanych w celu kompostowania bioodpadów i fermentacji beztlenowej bioodpadów,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210">
    <w:p w14:paraId="0F440B49" w14:textId="6A36EB3B" w:rsidR="006578ED" w:rsidRDefault="00A1618E">
      <w:pPr>
        <w:pStyle w:val="FootnoteText"/>
        <w:ind w:left="0" w:firstLine="0"/>
      </w:pPr>
      <w:r>
        <w:rPr>
          <w:rStyle w:val="FootnoteReference"/>
        </w:rPr>
        <w:footnoteRef/>
      </w:r>
      <w:r>
        <w:rPr>
          <w:rFonts w:ascii="Times New Roman" w:hAnsi="Times New Roman"/>
        </w:rPr>
        <w:t>Do celów obliczania wkładu cyfrowego, w przypadku obligacji kapitałowych, quasi-kapitałowych, korporacyjnych lub równoważnych instrumentów, które nie są ukierunkowane na konkretne projekty, stosuje się kryteria nakładające wymóg, aby co najmniej 90 % przychodów odbiorcy w poprzednim roku obrotowym lub przyszłych przychodów zgodnie z biznesplanem pochodziło/będzie generowane z działalności spełniającej odpowiednie kryteria wynikające z mających zastosowanie obszarów interwencji określonych w załączniku VII do rozporządzenia w sprawie RRF.</w:t>
      </w:r>
    </w:p>
  </w:footnote>
  <w:footnote w:id="211">
    <w:p w14:paraId="13C1CB53" w14:textId="77777777"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Dz.U. L 153 Z 18.6.2010.</w:t>
      </w:r>
    </w:p>
  </w:footnote>
  <w:footnote w:id="212">
    <w:p w14:paraId="0CA1E2C8" w14:textId="0DD789C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Pojazdy niskoemisyjne definiuje się jako pojazdy emitujące mniej niż 50 g CO2/km.</w:t>
      </w:r>
    </w:p>
  </w:footnote>
  <w:footnote w:id="213">
    <w:p w14:paraId="5CEC2E10" w14:textId="7BD6D5E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Zalecenia zawarte w pakcie z Toledo opublikowano w Dzienniku Urzędowym 10 listopada 20</w:t>
      </w:r>
      <w:r w:rsidRPr="00A1618E">
        <w:rPr>
          <w:rFonts w:ascii="Times New Roman" w:hAnsi="Times New Roman"/>
          <w:lang w:val="pl-PL"/>
        </w:rPr>
        <w:t>20 r.</w:t>
      </w:r>
      <w:r>
        <w:rPr>
          <w:rFonts w:ascii="Times New Roman" w:hAnsi="Times New Roman"/>
        </w:rPr>
        <w:t xml:space="preserve">: </w:t>
      </w:r>
      <w:hyperlink r:id="rId2" w:history="1">
        <w:r>
          <w:rPr>
            <w:rStyle w:val="Hyperlink"/>
            <w:rFonts w:ascii="Times New Roman" w:hAnsi="Times New Roman"/>
            <w:color w:val="auto"/>
          </w:rPr>
          <w:t>https://www.congreso.es/public_oficiales/L14/CONG/BOCG/D/BOCG-14-D-175.PDF</w:t>
        </w:r>
      </w:hyperlink>
      <w:r>
        <w:rPr>
          <w:rFonts w:ascii="Times New Roman" w:hAnsi="Times New Roman"/>
        </w:rPr>
        <w:t xml:space="preserve">. </w:t>
      </w:r>
    </w:p>
  </w:footnote>
  <w:footnote w:id="214">
    <w:p w14:paraId="43BF0FF9" w14:textId="5DD4DE8A" w:rsidR="006578ED" w:rsidRDefault="00A1618E">
      <w:pPr>
        <w:pStyle w:val="FootnoteText"/>
        <w:ind w:left="0" w:firstLine="0"/>
        <w:rPr>
          <w:rFonts w:eastAsia="Times New Roman" w:cs="Times New Roman"/>
        </w:rPr>
      </w:pPr>
      <w:r>
        <w:rPr>
          <w:rStyle w:val="FootnoteReference"/>
          <w:rFonts w:cs="Times New Roman"/>
        </w:rPr>
        <w:footnoteRef/>
      </w:r>
      <w:r>
        <w:rPr>
          <w:rFonts w:ascii="Times New Roman" w:hAnsi="Times New Roman"/>
        </w:rPr>
        <w:t>Uznaje się, że beneficjent końcowy „znacznie koncentruje się” na danym sektorze lub działalności gospodarczej, jeżeli taki sektor lub działalność została określona jako istotna część działalności gospodarczej beneficjenta końcowego odpowiednio w odniesieniu do przychodów brutto, zysku lub bazy klientów beneficjenta końcowego. Dochód brutto wygenerowany z sektora lub działalności objętej ograniczeniami w żadnym przypadku nie przekracza 50 % dochodu brutto.</w:t>
      </w:r>
    </w:p>
  </w:footnote>
  <w:footnote w:id="215">
    <w:p w14:paraId="13D49EF3" w14:textId="33293DA4" w:rsidR="006578ED" w:rsidRDefault="00A1618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Z wyjątkiem a) aktywów i działań związanych z wytwarzaniem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działalności i aktywów, o których mowa w ppkt (ii), w przypadku których stosowanie paliw kopalnych jest tymczasowe i technicznie nieuniknione do celów terminowego przejścia na działalność wolną od paliw kopalnych.</w:t>
      </w:r>
    </w:p>
  </w:footnote>
  <w:footnote w:id="216">
    <w:p w14:paraId="5EE27B6F" w14:textId="4E1B9C35" w:rsidR="006578ED" w:rsidRDefault="00A1618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 tym działań i aktywów w ramach unijnego systemu handlu uprawnieniami do emisji (ETS) zapewniających prognozowane emisje gazów cieplarnianych, które nie są niższe od odpowiednich wskaźników referencyjnych. W przypadku gdy w ramach wspieranej działalności osiąga się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217">
    <w:p w14:paraId="31A64324" w14:textId="77777777" w:rsidR="006578ED" w:rsidRDefault="00A1618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Pojazdy zanieczyszczające definiuje się jako pojazdy niebezemisyjne.</w:t>
      </w:r>
    </w:p>
  </w:footnote>
  <w:footnote w:id="218">
    <w:p w14:paraId="526A928B" w14:textId="78B9C5A5" w:rsidR="006578ED" w:rsidRDefault="00A1618E">
      <w:pPr>
        <w:pStyle w:val="FootnoteText"/>
        <w:ind w:left="0" w:firstLine="0"/>
        <w:rPr>
          <w:rFonts w:eastAsia="Times New Roman" w:cs="Times New Roman"/>
        </w:rPr>
      </w:pPr>
      <w:r>
        <w:rPr>
          <w:rStyle w:val="FootnoteReference"/>
          <w:rFonts w:cs="Times New Roman"/>
        </w:rPr>
        <w:footnoteRef/>
      </w:r>
      <w:r>
        <w:rPr>
          <w:rFonts w:ascii="Times New Roman" w:hAnsi="Times New Roman"/>
        </w:rPr>
        <w:t>Jego wyłączenie nie ma zastosowania do działań prowadzonych w zakładach przeznaczonych wyłącznie do przetwarzania odpadów niebezpiecznych nienadających się do recyklingu oraz w istniejących zakładach, w przypadku gdy działania w ramach tego środka mają na celu zwiększenie efektywności energetycznej, wychwytywanie gazów spalinowych przeznaczonych do składowania lub wykorzystania lub odzyskiwanie materiałów z popiołów ze spalania, pod warunkiem że takie działania w ramach tego środka nie skutkują zwiększeniem zdolności zakładów w zakresie przetwarzania odpadów ani wydłużeniem okresu eksploatacji obiektów; w odniesieniu do których przedstawiono dowody na poziomie zakładu</w:t>
      </w:r>
    </w:p>
  </w:footnote>
  <w:footnote w:id="219">
    <w:p w14:paraId="487957F0" w14:textId="5850C95C"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Beneficjenci końcowi stowarzyszeni z konkretnymi projektami są zobowiązani do przedstawienia uzasadnienia wybranego obszaru interwencji dla każdego wspieranego projektu, wraz z opisem projektu, do celów obliczenia wkładu na rzecz klimatu. Do celów obliczenia wkładu na rzecz klimatu, w przypadku obligacji kapitałowych, quasi-kapitałowych, korporacyjnych lub równoważnych instrumentów, które nie są ukierunkowane na konkretne projekty, stosuje się kryteria nakładające wymóg, aby co najmniej 90 % przychodów odbiorcy w poprzednim roku obrotowym lub przyszłych przychodów zgodnie z biznesplanem pochodziło/będzie generowane z działalności spełniającej odpowiednie kryteria wynikające z mających zastosowanie obszarów interwencji określonych w załączniku VI do rozporządzenia w sprawie RRF. Beneficjenci końcowi z obligacji kapitałowych, quasi-kapitałowych, korporacyjnych lub równoważnych instrumentów, które nie są ukierunkowane na konkretne projekty, przedstawiają uzasadnienie wybranych obszarów interwencji. Partner wykonawczy jest również zobowiązany do przedstawienia państwu członkowskiemu półrocznego sprawozdania z realizacji każdego projektu/działania.</w:t>
      </w:r>
    </w:p>
  </w:footnote>
  <w:footnote w:id="220">
    <w:p w14:paraId="0CEAF157" w14:textId="14A70AE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wyjątkiem a) projektów w ramach tego środka dotyczących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działalności i aktywów, o których mowa w ppkt (ii), w przypadku których stosowanie paliw kopalnych jest tymczasowe i technicznie nieuniknione do celów terminowego przejścia na działalność wolną od paliw kopalnych.</w:t>
      </w:r>
    </w:p>
  </w:footnote>
  <w:footnote w:id="221">
    <w:p w14:paraId="2C3945BD" w14:textId="58791EDF"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222">
    <w:p w14:paraId="2C3520CE" w14:textId="66810CEE"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w ramach tego środka w zakładach przeznaczonych wyłącznie do przetwarzania odpadów niebezpiecznych nienadających się do recyklingu oraz do istniejących zakładów, w których działania w ramach tego środka mają na celu zwiększenie efektywności energetycznej, wychwytywanie gazów spalinowych do składowania lub wykorzystania lub odzyskiwanie materiałów z popiołów spalania, pod warunkiem że takie działania w ramach tego środka nie prowadzą do zwiększenia zdolności zakładów w zakresie przetwarzania odpadów ani do wydłużenia okresu eksploatacji zakładów; w odniesieniu do których przedstawiono dowody na poziomie zakładu.</w:t>
      </w:r>
    </w:p>
  </w:footnote>
  <w:footnote w:id="223">
    <w:p w14:paraId="0D383AB5" w14:textId="4728C014"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Wyłączenie to nie ma zastosowania do działań podejmowanych w ramach tego środka w istniejących zakładach mechaniczno-biologicznego przetwarzania, w przypadku gdy działania w ramach tego środka mają na celu zwiększenie zasobooszczędności lub dostosowanie do operacji recyklingu odpadów segregowanych na kompost bioodpady i beztlenowa fermentacja bioodpadów, pod warunkiem że takie działania w ramach tego środka nie skutkują zwiększeniem zdolności zakładów w zakresie przetwarzania odpadów ani wydłużeniem okresu eksploatacji zakładów; w odniesieniu do których przedstawiono dowody na poziomie zakładu.</w:t>
      </w:r>
    </w:p>
  </w:footnote>
  <w:footnote w:id="224">
    <w:p w14:paraId="4130EA40" w14:textId="5C662B27" w:rsidR="006578ED" w:rsidRDefault="00A1618E">
      <w:pPr>
        <w:pStyle w:val="FootnoteText"/>
        <w:ind w:left="0" w:firstLine="0"/>
        <w:rPr>
          <w:rFonts w:eastAsia="Times New Roman" w:cs="Times New Roman"/>
        </w:rPr>
      </w:pPr>
      <w:r>
        <w:rPr>
          <w:rStyle w:val="FootnoteReference"/>
          <w:rFonts w:cs="Times New Roman"/>
        </w:rPr>
        <w:footnoteRef/>
      </w:r>
      <w:r>
        <w:rPr>
          <w:rFonts w:ascii="Times New Roman" w:hAnsi="Times New Roman"/>
        </w:rPr>
        <w:t>Uznaje się, że beneficjent końcowy „znacznie koncentruje się” na danym sektorze lub działalności gospodarczej, jeżeli taki sektor lub działalność została określona jako istotna część działalności gospodarczej beneficjenta końcowego odpowiednio w odniesieniu do przychodów brutto, zysku lub bazy klientów beneficjenta końcowego. Dochód brutto wygenerowany z sektora lub działalności objętej ograniczeniami w żadnym przypadku nie przekracza 50 % dochodu brutto.</w:t>
      </w:r>
    </w:p>
  </w:footnote>
  <w:footnote w:id="225">
    <w:p w14:paraId="0C977172" w14:textId="591ED4D3" w:rsidR="006578ED" w:rsidRDefault="00A1618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Z wyjątkiem a) aktywów i działań związanych z wytwarzaniem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działalności i aktywów, o których mowa w ppkt (ii), w przypadku których stosowanie paliw kopalnych jest tymczasowe i technicznie nieuniknione do celów terminowego przejścia na działalność wolną od paliw kopalnych.</w:t>
      </w:r>
    </w:p>
  </w:footnote>
  <w:footnote w:id="226">
    <w:p w14:paraId="28E7CDE0" w14:textId="7831E1E1" w:rsidR="006578ED" w:rsidRDefault="00A1618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 tym działań i aktywów w ramach unijnego systemu handlu uprawnieniami do emisji (ETS) zapewniających prognozowane emisje gazów cieplarnianych, które nie są niższe od odpowiednich wskaźników referencyjnych. W przypadku gdy w ramach wspieranej działalności osiąga się prognozowane emisje gazów cieplarnianych, które nie są znacznie niższe od odpowiednich wskaźników referencyjnych, należy przedstawić wyjaśnienie powodów,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227">
    <w:p w14:paraId="5FD1CB56" w14:textId="77777777" w:rsidR="006578ED" w:rsidRDefault="00A1618E">
      <w:pPr>
        <w:spacing w:after="0" w:line="240" w:lineRule="auto"/>
        <w:jc w:val="both"/>
        <w:rPr>
          <w:rFonts w:ascii="Times New Roman" w:eastAsia="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Pojazdy zanieczyszczające definiuje się jako pojazdy niebezemisyjne.</w:t>
      </w:r>
    </w:p>
  </w:footnote>
  <w:footnote w:id="228">
    <w:p w14:paraId="0E728E98" w14:textId="2161894B" w:rsidR="006578ED" w:rsidRDefault="00A1618E">
      <w:pPr>
        <w:pStyle w:val="FootnoteText"/>
        <w:ind w:left="0" w:firstLine="0"/>
        <w:rPr>
          <w:rFonts w:eastAsia="Times New Roman" w:cs="Times New Roman"/>
        </w:rPr>
      </w:pPr>
      <w:r>
        <w:rPr>
          <w:rStyle w:val="FootnoteReference"/>
          <w:rFonts w:cs="Times New Roman"/>
        </w:rPr>
        <w:footnoteRef/>
      </w:r>
      <w:r>
        <w:rPr>
          <w:rFonts w:ascii="Times New Roman" w:hAnsi="Times New Roman"/>
        </w:rPr>
        <w:t>Jego wyłączenie nie ma zastosowania do działań prowadzonych w zakładach przeznaczonych wyłącznie do przetwarzania odpadów niebezpiecznych nienadających się do recyklingu oraz w istniejących zakładach, w przypadku gdy działania w ramach tego środka mają na celu zwiększenie efektywności energetycznej, wychwytywanie gazów spalinowych przeznaczonych do składowania lub wykorzystania lub odzyskiwanie materiałów z popiołów ze spalania, pod warunkiem że takie działania w ramach tego środka nie skutkują zwiększeniem zdolności zakładów w zakresie przetwarzania odpadów ani wydłużeniem okresu eksploatacji obiektów; w odniesieniu do których przedstawiono dowody na poziomie zakładu</w:t>
      </w:r>
    </w:p>
  </w:footnote>
  <w:footnote w:id="229">
    <w:p w14:paraId="0D7294A6" w14:textId="66E3C106"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Style w:val="normaltextrun"/>
          <w:rFonts w:ascii="Times New Roman" w:hAnsi="Times New Roman"/>
          <w:bdr w:val="none" w:sz="0" w:space="0" w:color="auto" w:frame="1"/>
        </w:rPr>
        <w:t xml:space="preserve">Beneficjenci końcowi stowarzyszeni z konkretnymi projektami są zobowiązani do przedstawienia uzasadnienia wybranego obszaru interwencji dla każdego wspieranego projektu, wraz z opisem projektu, do celów obliczenia wkładu na rzecz klimatu. </w:t>
      </w:r>
      <w:r>
        <w:rPr>
          <w:rFonts w:ascii="Times New Roman" w:hAnsi="Times New Roman"/>
        </w:rPr>
        <w:t>Do celów obliczenia wkładu na rzecz klimatu, w przypadku obligacji kapitałowych, quasi-kapitałowych, korporacyjnych lub równoważnych instrumentów, które nie są ukierunkowane na konkretne projekty, stosuje się kryteria nakładające wymóg, aby co najmniej 90 % przychodów odbiorcy w poprzednim roku obrotowym lub przyszłych przychodów zgodnie z biznesplanem pochodziło/będzie generowane z działalności spełniającej odpowiednie kryteria wynikające z mających zastosowanie obszarów interwencji określonych w załączniku VI do rozporządzenia w sprawie RRF. Beneficjenci końcowi z obligacji kapitałowych, quasi-kapitałowych, korporacyjnych lub równoważnych instrumentów, które nie są ukierunkowane na konkretne projekty, przedstawiają uzasadnienie wybranych obszarów interwencji. Partner wykonawczy jest również zobowiązany do przedstawienia państwu członkowskiemu półrocznego sprawozdania z realizacji każdego projektu/działania.</w:t>
      </w:r>
    </w:p>
  </w:footnote>
  <w:footnote w:id="230">
    <w:p w14:paraId="6CE385F1" w14:textId="003DE8A9"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231">
    <w:p w14:paraId="6F965A25" w14:textId="0A553FB2"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Z wyjątkiem a) projektów w ramach tego środka dotyczących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działalności i aktywów, o których mowa w ppkt (i), w przypadku których stosowanie paliw kopalnych jest tymczasowe i technicznie nieuniknione do celów terminowego przejścia na działalność bez udziału paliw kopalnych.  </w:t>
      </w:r>
    </w:p>
  </w:footnote>
  <w:footnote w:id="232">
    <w:p w14:paraId="760D3759" w14:textId="5C087980"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Beneficjenci końcowi stowarzyszeni z konkretnymi projektami są zobowiązani do przedstawienia uzasadnienia wybranego obszaru interwencji dla każdego wspieranego projektu, wraz z opisem projektu, do celów obliczenia wkładu na rzecz klimatu. Partner wykonawczy jest również zobowiązany do przedstawienia państwu członkowskiemu półrocznego sprawozdania z realizacji każdego projektu/działania.</w:t>
      </w:r>
    </w:p>
  </w:footnote>
  <w:footnote w:id="233">
    <w:p w14:paraId="6356E7D5" w14:textId="6340DE9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234">
    <w:p w14:paraId="37BEC07E" w14:textId="3EDD39A3" w:rsidR="006578ED" w:rsidRPr="00A1618E" w:rsidRDefault="00A1618E">
      <w:pPr>
        <w:pStyle w:val="FootnoteText"/>
        <w:ind w:left="0" w:firstLine="0"/>
        <w:rPr>
          <w:rFonts w:ascii="Times New Roman" w:hAnsi="Times New Roman" w:cs="Times New Roman"/>
          <w:lang w:val="pl-PL"/>
        </w:rPr>
      </w:pPr>
      <w:r>
        <w:rPr>
          <w:rStyle w:val="FootnoteReference"/>
          <w:rFonts w:ascii="Times New Roman" w:hAnsi="Times New Roman" w:cs="Times New Roman"/>
        </w:rPr>
        <w:footnoteRef/>
      </w:r>
      <w:r>
        <w:rPr>
          <w:rFonts w:ascii="Times New Roman" w:hAnsi="Times New Roman"/>
        </w:rPr>
        <w:t xml:space="preserve"> Z wyjątkiem a) projektów w ramach tego środka dotyczących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działalności i aktywów, o których mowa w ppkt (i), w przypadku których stosowanie paliw kopalnych jest tymczasowe i technicznie nieuniknione do celów terminowego przejścia na działalność bez udziału paliw kopalnych</w:t>
      </w:r>
      <w:r w:rsidRPr="00A1618E">
        <w:rPr>
          <w:rFonts w:ascii="Times New Roman" w:hAnsi="Times New Roman"/>
          <w:lang w:val="pl-PL"/>
        </w:rPr>
        <w:t xml:space="preserve">. </w:t>
      </w:r>
    </w:p>
  </w:footnote>
  <w:footnote w:id="235">
    <w:p w14:paraId="5FA2FFA8" w14:textId="3067CBE7" w:rsidR="006578ED" w:rsidRDefault="00A1618E">
      <w:pPr>
        <w:pStyle w:val="FootnoteText"/>
        <w:ind w:left="0" w:firstLine="0"/>
      </w:pPr>
      <w:r>
        <w:rPr>
          <w:rStyle w:val="FootnoteReference"/>
        </w:rPr>
        <w:footnoteRef/>
      </w:r>
      <w:r>
        <w:rPr>
          <w:rFonts w:ascii="Times New Roman"/>
        </w:rPr>
        <w:t>Beneficjenci ko</w:t>
      </w:r>
      <w:r>
        <w:rPr>
          <w:rFonts w:ascii="Times New Roman"/>
        </w:rPr>
        <w:t></w:t>
      </w:r>
      <w:r>
        <w:rPr>
          <w:rFonts w:ascii="Times New Roman"/>
        </w:rPr>
        <w:t>cowi korzystaj</w:t>
      </w:r>
      <w:r>
        <w:rPr>
          <w:rFonts w:ascii="Times New Roman"/>
        </w:rPr>
        <w:t></w:t>
      </w:r>
      <w:r>
        <w:rPr>
          <w:rFonts w:ascii="Times New Roman"/>
        </w:rPr>
        <w:t>cy z po</w:t>
      </w:r>
      <w:r>
        <w:rPr>
          <w:rFonts w:ascii="Times New Roman"/>
        </w:rPr>
        <w:t></w:t>
      </w:r>
      <w:r>
        <w:rPr>
          <w:rFonts w:ascii="Times New Roman"/>
        </w:rPr>
        <w:t>yczek, po</w:t>
      </w:r>
      <w:r>
        <w:rPr>
          <w:rFonts w:ascii="Times New Roman"/>
        </w:rPr>
        <w:t></w:t>
      </w:r>
      <w:r>
        <w:rPr>
          <w:rFonts w:ascii="Times New Roman"/>
        </w:rPr>
        <w:t>yczek partycypacyjnych, obligacji projektowych, gwarancji lub r</w:t>
      </w:r>
      <w:r>
        <w:rPr>
          <w:rFonts w:ascii="Times New Roman"/>
        </w:rPr>
        <w:t></w:t>
      </w:r>
      <w:r>
        <w:rPr>
          <w:rFonts w:ascii="Times New Roman"/>
        </w:rPr>
        <w:t>wnowa</w:t>
      </w:r>
      <w:r>
        <w:rPr>
          <w:rFonts w:ascii="Times New Roman"/>
        </w:rPr>
        <w:t></w:t>
      </w:r>
      <w:r>
        <w:rPr>
          <w:rFonts w:ascii="Times New Roman"/>
        </w:rPr>
        <w:t>nych instrument</w:t>
      </w:r>
      <w:r>
        <w:rPr>
          <w:rFonts w:ascii="Times New Roman"/>
        </w:rPr>
        <w:t></w:t>
      </w:r>
      <w:r>
        <w:rPr>
          <w:rFonts w:ascii="Times New Roman"/>
        </w:rPr>
        <w:t>w zwi</w:t>
      </w:r>
      <w:r>
        <w:rPr>
          <w:rFonts w:ascii="Times New Roman"/>
        </w:rPr>
        <w:t></w:t>
      </w:r>
      <w:r>
        <w:rPr>
          <w:rFonts w:ascii="Times New Roman"/>
        </w:rPr>
        <w:t>zanych z</w:t>
      </w:r>
      <w:r>
        <w:rPr>
          <w:rFonts w:ascii="Times New Roman"/>
        </w:rPr>
        <w:t></w:t>
      </w:r>
      <w:r>
        <w:rPr>
          <w:rFonts w:ascii="Times New Roman"/>
        </w:rPr>
        <w:t>konkretnymi projektami s</w:t>
      </w:r>
      <w:r>
        <w:rPr>
          <w:rFonts w:ascii="Times New Roman"/>
        </w:rPr>
        <w:t></w:t>
      </w:r>
      <w:r>
        <w:rPr>
          <w:rFonts w:ascii="Times New Roman"/>
        </w:rPr>
        <w:t xml:space="preserve"> zobowi</w:t>
      </w:r>
      <w:r>
        <w:rPr>
          <w:rFonts w:ascii="Times New Roman"/>
        </w:rPr>
        <w:t></w:t>
      </w:r>
      <w:r>
        <w:rPr>
          <w:rFonts w:ascii="Times New Roman"/>
        </w:rPr>
        <w:t>zani do przedstawienia uzasadnienia wybranego obszaru interwencji dla ka</w:t>
      </w:r>
      <w:r>
        <w:rPr>
          <w:rFonts w:ascii="Times New Roman"/>
        </w:rPr>
        <w:t></w:t>
      </w:r>
      <w:r>
        <w:rPr>
          <w:rFonts w:ascii="Times New Roman"/>
        </w:rPr>
        <w:t>dego wspieranego projektu wraz z</w:t>
      </w:r>
      <w:r>
        <w:rPr>
          <w:rFonts w:ascii="Times New Roman"/>
        </w:rPr>
        <w:t></w:t>
      </w:r>
      <w:r>
        <w:rPr>
          <w:rFonts w:ascii="Times New Roman"/>
        </w:rPr>
        <w:t>opisem projektu. Partner wykonawczy jest r</w:t>
      </w:r>
      <w:r>
        <w:rPr>
          <w:rFonts w:ascii="Times New Roman"/>
        </w:rPr>
        <w:t></w:t>
      </w:r>
      <w:r>
        <w:rPr>
          <w:rFonts w:ascii="Times New Roman"/>
        </w:rPr>
        <w:t>wnie</w:t>
      </w:r>
      <w:r>
        <w:rPr>
          <w:rFonts w:ascii="Times New Roman"/>
        </w:rPr>
        <w:t></w:t>
      </w:r>
      <w:r>
        <w:rPr>
          <w:rFonts w:ascii="Times New Roman"/>
        </w:rPr>
        <w:t xml:space="preserve"> zobowi</w:t>
      </w:r>
      <w:r>
        <w:rPr>
          <w:rFonts w:ascii="Times New Roman"/>
        </w:rPr>
        <w:t></w:t>
      </w:r>
      <w:r>
        <w:rPr>
          <w:rFonts w:ascii="Times New Roman"/>
        </w:rPr>
        <w:t>zany do przedstawienia pa</w:t>
      </w:r>
      <w:r>
        <w:rPr>
          <w:rFonts w:ascii="Times New Roman"/>
        </w:rPr>
        <w:t></w:t>
      </w:r>
      <w:r>
        <w:rPr>
          <w:rFonts w:ascii="Times New Roman"/>
        </w:rPr>
        <w:t>stwu cz</w:t>
      </w:r>
      <w:r>
        <w:rPr>
          <w:rFonts w:ascii="Times New Roman"/>
        </w:rPr>
        <w:t></w:t>
      </w:r>
      <w:r>
        <w:rPr>
          <w:rFonts w:ascii="Times New Roman"/>
        </w:rPr>
        <w:t>onkowskiemu p</w:t>
      </w:r>
      <w:r>
        <w:rPr>
          <w:rFonts w:ascii="Times New Roman"/>
        </w:rPr>
        <w:t></w:t>
      </w:r>
      <w:r>
        <w:rPr>
          <w:rFonts w:ascii="Times New Roman"/>
        </w:rPr>
        <w:t></w:t>
      </w:r>
      <w:r>
        <w:rPr>
          <w:rFonts w:ascii="Times New Roman"/>
        </w:rPr>
        <w:t>rocznego sprawozdania z</w:t>
      </w:r>
      <w:r>
        <w:rPr>
          <w:rFonts w:ascii="Times New Roman"/>
        </w:rPr>
        <w:t></w:t>
      </w:r>
      <w:r>
        <w:rPr>
          <w:rFonts w:ascii="Times New Roman"/>
        </w:rPr>
        <w:t>realizacji ka</w:t>
      </w:r>
      <w:r>
        <w:rPr>
          <w:rFonts w:ascii="Times New Roman"/>
        </w:rPr>
        <w:t></w:t>
      </w:r>
      <w:r>
        <w:rPr>
          <w:rFonts w:ascii="Times New Roman"/>
        </w:rPr>
        <w:t>dego projektu/dzia</w:t>
      </w:r>
      <w:r>
        <w:rPr>
          <w:rFonts w:ascii="Times New Roman"/>
        </w:rPr>
        <w:t></w:t>
      </w:r>
      <w:r>
        <w:rPr>
          <w:rFonts w:ascii="Times New Roman"/>
        </w:rPr>
        <w:t>ania.</w:t>
      </w:r>
    </w:p>
  </w:footnote>
  <w:footnote w:id="236">
    <w:p w14:paraId="6868A12E" w14:textId="787EF22F" w:rsidR="006578ED" w:rsidRDefault="00A1618E">
      <w:pPr>
        <w:pStyle w:val="P68B1DB1-Text148"/>
        <w:ind w:left="0"/>
        <w:rPr>
          <w:rFonts w:cs="Times New Roman"/>
        </w:rPr>
      </w:pPr>
      <w:r>
        <w:footnoteRef/>
      </w:r>
      <w:r>
        <w:t>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237">
    <w:p w14:paraId="10FC5D32" w14:textId="6CFD891B" w:rsidR="006578ED" w:rsidRDefault="00A1618E">
      <w:pPr>
        <w:pStyle w:val="P68B1DB1-Text148"/>
        <w:ind w:left="0"/>
        <w:rPr>
          <w:rFonts w:cs="Times New Roman"/>
        </w:rPr>
      </w:pPr>
      <w:r>
        <w:footnoteRef/>
      </w:r>
      <w:r>
        <w:t>Z wyjątkiem a) projektów w ramach tego środka dotyczących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działalności i aktywów, o których mowa w ppkt (i), w przypadku których stosowanie paliw kopalnych jest tymczasowe i technicznie nieuniknione do celów terminowego przejścia na działalność bez udziału paliw kopalnych.</w:t>
      </w:r>
      <w:r>
        <w:rPr>
          <w:shd w:val="clear" w:color="auto" w:fill="E6E6E6"/>
        </w:rPr>
        <w:t xml:space="preserve"> </w:t>
      </w:r>
    </w:p>
  </w:footnote>
  <w:footnote w:id="238">
    <w:p w14:paraId="3C9007D4" w14:textId="64C25E31" w:rsidR="006578ED" w:rsidRDefault="00A1618E">
      <w:pPr>
        <w:pStyle w:val="FootnoteText"/>
        <w:ind w:left="0" w:firstLine="0"/>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Beneficjenci końcowi stowarzyszeni z konkretnymi projektami są zobowiązani do przedstawienia uzasadnienia wybranego obszaru interwencji dla każdego wspieranego projektu, wraz z opisem projektu, do celów obliczenia wkładu na rzecz klimatu. Partner wykonawczy jest również zobowiązany do przedstawienia państwu członkowskiemu półrocznego sprawozdania z realizacji każdego projektu/działania.</w:t>
      </w:r>
    </w:p>
  </w:footnote>
  <w:footnote w:id="239">
    <w:p w14:paraId="1233B08D" w14:textId="783F37AE" w:rsidR="006578ED" w:rsidRDefault="00A1618E">
      <w:pPr>
        <w:pStyle w:val="P68B1DB1-Text148"/>
        <w:ind w:left="0"/>
        <w:rPr>
          <w:rFonts w:cs="Times New Roman"/>
        </w:rPr>
      </w:pPr>
      <w:r>
        <w:footnoteRef/>
      </w:r>
      <w:r>
        <w:t>W przypadku gdy wspierane działanie osiąga prognozowane emisje gazów cieplarnianych, które nie są znacznie niższe niż odpowiednie wskaźniki, należy przedstawić wyjaśnienie przyczyn, dla których nie jest to możliwe. Wartości odniesienia ustanowione dla przydziału bezpłatnych uprawnień w odniesieniu do działań wchodzących w zakres systemu handlu uprawnieniami do emisji, jak określono w rozporządzeniu wykonawczym Komisji (UE) 2021/447.</w:t>
      </w:r>
    </w:p>
  </w:footnote>
  <w:footnote w:id="240">
    <w:p w14:paraId="6408CE36" w14:textId="5B4B5F0D" w:rsidR="006578ED" w:rsidRDefault="00A1618E">
      <w:pPr>
        <w:pStyle w:val="P68B1DB1-Text148"/>
        <w:ind w:left="0"/>
        <w:rPr>
          <w:rFonts w:cs="Times New Roman"/>
        </w:rPr>
      </w:pPr>
      <w:r>
        <w:footnoteRef/>
      </w:r>
      <w:r>
        <w:t>Z wyjątkiem a) projektów w ramach tego środka dotyczących wytwarzania energii elektrycznej lub ciepła, a także powiązanej infrastruktury przesyłowej i dystrybucyjnej z wykorzystaniem gazu ziemnego, które są zgodne z warunkami określonymi w załączniku III do wytycznych technicznych dotyczących zasady „nie czyń poważnych szkód” (2021/C58/01); oraz b) działalności i aktywów, o których mowa w ppkt (i), w przypadku których stosowanie paliw kopalnych jest tymczasowe i technicznie nieuniknione do celów terminowego przejścia na działalność bez udziału paliw kopalnych.</w:t>
      </w:r>
      <w:r>
        <w:rPr>
          <w:shd w:val="clear" w:color="auto" w:fill="E6E6E6"/>
        </w:rPr>
        <w:t xml:space="preserve"> </w:t>
      </w:r>
    </w:p>
  </w:footnote>
  <w:footnote w:id="241">
    <w:p w14:paraId="1E257A9A" w14:textId="5A89F002" w:rsidR="006578ED" w:rsidRDefault="00A1618E">
      <w:pPr>
        <w:pStyle w:val="FootnoteText"/>
        <w:ind w:left="0" w:firstLine="0"/>
      </w:pPr>
      <w:r>
        <w:rPr>
          <w:rStyle w:val="FootnoteReference"/>
        </w:rPr>
        <w:footnoteRef/>
      </w:r>
      <w:r>
        <w:rPr>
          <w:rFonts w:ascii="Times New Roman"/>
        </w:rPr>
        <w:t>Beneficjenci ko</w:t>
      </w:r>
      <w:r>
        <w:rPr>
          <w:rFonts w:ascii="Times New Roman"/>
        </w:rPr>
        <w:t></w:t>
      </w:r>
      <w:r>
        <w:rPr>
          <w:rFonts w:ascii="Times New Roman"/>
        </w:rPr>
        <w:t>cowi korzystaj</w:t>
      </w:r>
      <w:r>
        <w:rPr>
          <w:rFonts w:ascii="Times New Roman"/>
        </w:rPr>
        <w:t></w:t>
      </w:r>
      <w:r>
        <w:rPr>
          <w:rFonts w:ascii="Times New Roman"/>
        </w:rPr>
        <w:t>cy z po</w:t>
      </w:r>
      <w:r>
        <w:rPr>
          <w:rFonts w:ascii="Times New Roman"/>
        </w:rPr>
        <w:t></w:t>
      </w:r>
      <w:r>
        <w:rPr>
          <w:rFonts w:ascii="Times New Roman"/>
        </w:rPr>
        <w:t>yczek, po</w:t>
      </w:r>
      <w:r>
        <w:rPr>
          <w:rFonts w:ascii="Times New Roman"/>
        </w:rPr>
        <w:t></w:t>
      </w:r>
      <w:r>
        <w:rPr>
          <w:rFonts w:ascii="Times New Roman"/>
        </w:rPr>
        <w:t>yczek partycypacyjnych, obligacji projektowych, gwarancji lub r</w:t>
      </w:r>
      <w:r>
        <w:rPr>
          <w:rFonts w:ascii="Times New Roman"/>
        </w:rPr>
        <w:t></w:t>
      </w:r>
      <w:r>
        <w:rPr>
          <w:rFonts w:ascii="Times New Roman"/>
        </w:rPr>
        <w:t>wnowa</w:t>
      </w:r>
      <w:r>
        <w:rPr>
          <w:rFonts w:ascii="Times New Roman"/>
        </w:rPr>
        <w:t></w:t>
      </w:r>
      <w:r>
        <w:rPr>
          <w:rFonts w:ascii="Times New Roman"/>
        </w:rPr>
        <w:t>nych instrument</w:t>
      </w:r>
      <w:r>
        <w:rPr>
          <w:rFonts w:ascii="Times New Roman"/>
        </w:rPr>
        <w:t></w:t>
      </w:r>
      <w:r>
        <w:rPr>
          <w:rFonts w:ascii="Times New Roman"/>
        </w:rPr>
        <w:t>w zwi</w:t>
      </w:r>
      <w:r>
        <w:rPr>
          <w:rFonts w:ascii="Times New Roman"/>
        </w:rPr>
        <w:t></w:t>
      </w:r>
      <w:r>
        <w:rPr>
          <w:rFonts w:ascii="Times New Roman"/>
        </w:rPr>
        <w:t>zanych z</w:t>
      </w:r>
      <w:r>
        <w:rPr>
          <w:rFonts w:ascii="Times New Roman"/>
        </w:rPr>
        <w:t></w:t>
      </w:r>
      <w:r>
        <w:rPr>
          <w:rFonts w:ascii="Times New Roman"/>
        </w:rPr>
        <w:t>konkretnymi projektami s</w:t>
      </w:r>
      <w:r>
        <w:rPr>
          <w:rFonts w:ascii="Times New Roman"/>
        </w:rPr>
        <w:t></w:t>
      </w:r>
      <w:r>
        <w:rPr>
          <w:rFonts w:ascii="Times New Roman"/>
        </w:rPr>
        <w:t xml:space="preserve"> zobowi</w:t>
      </w:r>
      <w:r>
        <w:rPr>
          <w:rFonts w:ascii="Times New Roman"/>
        </w:rPr>
        <w:t></w:t>
      </w:r>
      <w:r>
        <w:rPr>
          <w:rFonts w:ascii="Times New Roman"/>
        </w:rPr>
        <w:t>zani do przedstawienia uzasadnienia wybranego obszaru interwencji dla ka</w:t>
      </w:r>
      <w:r>
        <w:rPr>
          <w:rFonts w:ascii="Times New Roman"/>
        </w:rPr>
        <w:t></w:t>
      </w:r>
      <w:r>
        <w:rPr>
          <w:rFonts w:ascii="Times New Roman"/>
        </w:rPr>
        <w:t>dego wspieranego projektu wraz z</w:t>
      </w:r>
      <w:r>
        <w:rPr>
          <w:rFonts w:ascii="Times New Roman"/>
        </w:rPr>
        <w:t></w:t>
      </w:r>
      <w:r>
        <w:rPr>
          <w:rFonts w:ascii="Times New Roman"/>
        </w:rPr>
        <w:t>opisem projektu. Partner wykonawczy jest r</w:t>
      </w:r>
      <w:r>
        <w:rPr>
          <w:rFonts w:ascii="Times New Roman"/>
        </w:rPr>
        <w:t></w:t>
      </w:r>
      <w:r>
        <w:rPr>
          <w:rFonts w:ascii="Times New Roman"/>
        </w:rPr>
        <w:t>wnie</w:t>
      </w:r>
      <w:r>
        <w:rPr>
          <w:rFonts w:ascii="Times New Roman"/>
        </w:rPr>
        <w:t></w:t>
      </w:r>
      <w:r>
        <w:rPr>
          <w:rFonts w:ascii="Times New Roman"/>
        </w:rPr>
        <w:t xml:space="preserve"> zobowi</w:t>
      </w:r>
      <w:r>
        <w:rPr>
          <w:rFonts w:ascii="Times New Roman"/>
        </w:rPr>
        <w:t></w:t>
      </w:r>
      <w:r>
        <w:rPr>
          <w:rFonts w:ascii="Times New Roman"/>
        </w:rPr>
        <w:t>zany do przedstawienia pa</w:t>
      </w:r>
      <w:r>
        <w:rPr>
          <w:rFonts w:ascii="Times New Roman"/>
        </w:rPr>
        <w:t></w:t>
      </w:r>
      <w:r>
        <w:rPr>
          <w:rFonts w:ascii="Times New Roman"/>
        </w:rPr>
        <w:t>stwu cz</w:t>
      </w:r>
      <w:r>
        <w:rPr>
          <w:rFonts w:ascii="Times New Roman"/>
        </w:rPr>
        <w:t></w:t>
      </w:r>
      <w:r>
        <w:rPr>
          <w:rFonts w:ascii="Times New Roman"/>
        </w:rPr>
        <w:t>onkowskiemu p</w:t>
      </w:r>
      <w:r>
        <w:rPr>
          <w:rFonts w:ascii="Times New Roman"/>
        </w:rPr>
        <w:t></w:t>
      </w:r>
      <w:r>
        <w:rPr>
          <w:rFonts w:ascii="Times New Roman"/>
        </w:rPr>
        <w:t></w:t>
      </w:r>
      <w:r>
        <w:rPr>
          <w:rFonts w:ascii="Times New Roman"/>
        </w:rPr>
        <w:t>rocznego sprawozdania z</w:t>
      </w:r>
      <w:r>
        <w:rPr>
          <w:rFonts w:ascii="Times New Roman"/>
        </w:rPr>
        <w:t></w:t>
      </w:r>
      <w:r>
        <w:rPr>
          <w:rFonts w:ascii="Times New Roman"/>
        </w:rPr>
        <w:t>realizacji ka</w:t>
      </w:r>
      <w:r>
        <w:rPr>
          <w:rFonts w:ascii="Times New Roman"/>
        </w:rPr>
        <w:t></w:t>
      </w:r>
      <w:r>
        <w:rPr>
          <w:rFonts w:ascii="Times New Roman"/>
        </w:rPr>
        <w:t>dego projektu/dzia</w:t>
      </w:r>
      <w:r>
        <w:rPr>
          <w:rFonts w:ascii="Times New Roman"/>
        </w:rPr>
        <w:t></w:t>
      </w:r>
      <w:r>
        <w:rPr>
          <w:rFonts w:ascii="Times New Roman"/>
        </w:rPr>
        <w:t>ania.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21174" w14:textId="77777777" w:rsidR="00184EC9" w:rsidRPr="00184EC9" w:rsidRDefault="00184EC9" w:rsidP="00184EC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A880C" w14:textId="77777777" w:rsidR="006578ED" w:rsidRDefault="006578ED">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20B7F" w14:textId="77777777" w:rsidR="006578ED" w:rsidRDefault="006578ED">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A9A35" w14:textId="77777777" w:rsidR="006578ED" w:rsidRDefault="006578ED">
    <w:pPr>
      <w:pStyle w:val="HeaderSensitivityRight"/>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2B8F9" w14:textId="77777777" w:rsidR="006578ED" w:rsidRDefault="006578ED">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622BD" w14:textId="77777777" w:rsidR="006578ED" w:rsidRDefault="006578ED">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5953D" w14:textId="77777777" w:rsidR="006578ED" w:rsidRDefault="006578ED">
    <w:pPr>
      <w:pStyle w:val="HeaderSensitivityRight"/>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100A" w14:textId="77777777" w:rsidR="006578ED" w:rsidRDefault="006578ED">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8E6FD" w14:textId="77777777" w:rsidR="006578ED" w:rsidRDefault="006578ED">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35D76" w14:textId="77777777" w:rsidR="006578ED" w:rsidRDefault="006578ED">
    <w:pPr>
      <w:pStyle w:val="HeaderSensitivityRigh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DD031" w14:textId="77777777" w:rsidR="006578ED" w:rsidRDefault="006578ED">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E7C52" w14:textId="77777777" w:rsidR="006578ED" w:rsidRDefault="006578E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D53C2" w14:textId="77777777" w:rsidR="006578ED" w:rsidRDefault="006578ED">
    <w:pPr>
      <w:pStyle w:val="HeaderSensitivityRight"/>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2A093" w14:textId="77777777" w:rsidR="006578ED" w:rsidRDefault="006578ED">
    <w:pPr>
      <w:pStyle w:val="HeaderSensitivityRigh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FFEBD" w14:textId="77777777" w:rsidR="006578ED" w:rsidRDefault="006578ED">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55F6" w14:textId="77777777" w:rsidR="006578ED" w:rsidRDefault="006578ED">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35CA3" w14:textId="77777777" w:rsidR="006578ED" w:rsidRDefault="006578ED">
    <w:pPr>
      <w:pStyle w:val="HeaderSensitivityRigh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B53C1" w14:textId="77777777" w:rsidR="006578ED" w:rsidRDefault="006578ED">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E7B0" w14:textId="77777777" w:rsidR="006578ED" w:rsidRDefault="006578ED">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C91D" w14:textId="77777777" w:rsidR="006578ED" w:rsidRDefault="006578ED">
    <w:pPr>
      <w:pStyle w:val="HeaderSensitivityRigh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3804D" w14:textId="77777777" w:rsidR="006578ED" w:rsidRDefault="006578ED">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51C32" w14:textId="77777777" w:rsidR="006578ED" w:rsidRDefault="006578ED">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7C8CE" w14:textId="77777777" w:rsidR="006578ED" w:rsidRDefault="006578ED">
    <w:pPr>
      <w:pStyle w:val="HeaderSensitivityRigh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953D2" w14:textId="77777777" w:rsidR="006578ED" w:rsidRDefault="006578ED">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23390" w14:textId="77777777" w:rsidR="006578ED" w:rsidRDefault="006578ED">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21B6E" w14:textId="77777777" w:rsidR="006578ED" w:rsidRDefault="006578ED">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42D17" w14:textId="77777777" w:rsidR="006578ED" w:rsidRDefault="006578ED">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2C87C" w14:textId="77777777" w:rsidR="006578ED" w:rsidRDefault="006578ED">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7B6E1" w14:textId="77777777" w:rsidR="006578ED" w:rsidRDefault="006578ED">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BB283" w14:textId="77777777" w:rsidR="006578ED" w:rsidRDefault="006578ED">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40E5" w14:textId="77777777" w:rsidR="006578ED" w:rsidRDefault="006578ED">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E49EC" w14:textId="77777777" w:rsidR="006578ED" w:rsidRDefault="006578ED">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374A" w14:textId="77777777" w:rsidR="006578ED" w:rsidRDefault="006578ED">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A353" w14:textId="77777777" w:rsidR="006578ED" w:rsidRDefault="006578E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90DC7" w14:textId="77777777" w:rsidR="006578ED" w:rsidRDefault="006578ED">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5E72D" w14:textId="77777777" w:rsidR="006578ED" w:rsidRDefault="006578ED">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D877D" w14:textId="77777777" w:rsidR="006578ED" w:rsidRDefault="006578ED">
    <w:pPr>
      <w:pStyle w:val="HeaderSensitivityRigh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20545" w14:textId="77777777" w:rsidR="006578ED" w:rsidRDefault="006578ED">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316FA" w14:textId="77777777" w:rsidR="006578ED" w:rsidRDefault="006578ED">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8188E" w14:textId="77777777" w:rsidR="006578ED" w:rsidRDefault="006578ED">
    <w:pPr>
      <w:pStyle w:val="HeaderSensitivityRight"/>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42ACE" w14:textId="77777777" w:rsidR="006578ED" w:rsidRDefault="006578ED">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A155" w14:textId="77777777" w:rsidR="006578ED" w:rsidRDefault="006578ED">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C8C54" w14:textId="77777777" w:rsidR="006578ED" w:rsidRDefault="006578ED">
    <w:pPr>
      <w:pStyle w:val="HeaderSensitivityRight"/>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7F12C" w14:textId="77777777" w:rsidR="006578ED" w:rsidRDefault="006578ED">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E33DD" w14:textId="77777777" w:rsidR="006578ED" w:rsidRDefault="006578E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8A922" w14:textId="77777777" w:rsidR="006578ED" w:rsidRDefault="006578ED">
    <w:pPr>
      <w:pStyle w:val="HeaderSensitivityRight"/>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6AEA0" w14:textId="77777777" w:rsidR="006578ED" w:rsidRDefault="006578ED">
    <w:pPr>
      <w:pStyle w:val="HeaderSensitivityRight"/>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D01A" w14:textId="77777777" w:rsidR="006578ED" w:rsidRDefault="006578ED">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E73E8" w14:textId="77777777" w:rsidR="006578ED" w:rsidRDefault="006578ED">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68A82" w14:textId="77777777" w:rsidR="006578ED" w:rsidRDefault="006578ED">
    <w:pPr>
      <w:pStyle w:val="HeaderSensitivityRight"/>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4B85B" w14:textId="77777777" w:rsidR="006578ED" w:rsidRDefault="006578ED">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39E94" w14:textId="77777777" w:rsidR="006578ED" w:rsidRDefault="006578ED">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E1C3E" w14:textId="77777777" w:rsidR="006578ED" w:rsidRDefault="006578ED">
    <w:pPr>
      <w:pStyle w:val="HeaderSensitivityRight"/>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8C6E7" w14:textId="77777777" w:rsidR="006578ED" w:rsidRDefault="006578ED">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2A91" w14:textId="77777777" w:rsidR="006578ED" w:rsidRDefault="006578ED">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88D6C" w14:textId="77777777" w:rsidR="006578ED" w:rsidRDefault="006578ED">
    <w:pPr>
      <w:pStyle w:val="HeaderSensitivityRigh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31FD" w14:textId="77777777" w:rsidR="006578ED" w:rsidRDefault="006578ED">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D8239" w14:textId="77777777" w:rsidR="006578ED" w:rsidRDefault="006578ED">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B3C72" w14:textId="77777777" w:rsidR="006578ED" w:rsidRDefault="006578ED">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500DF" w14:textId="77777777" w:rsidR="006578ED" w:rsidRDefault="006578ED">
    <w:pPr>
      <w:pStyle w:val="HeaderSensitivityRight"/>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D604" w14:textId="77777777" w:rsidR="006578ED" w:rsidRDefault="006578ED">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C2639" w14:textId="77777777" w:rsidR="006578ED" w:rsidRDefault="006578ED">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35135" w14:textId="77777777" w:rsidR="006578ED" w:rsidRDefault="006578ED">
    <w:pPr>
      <w:pStyle w:val="HeaderSensitivityRight"/>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EC8F" w14:textId="77777777" w:rsidR="006578ED" w:rsidRDefault="006578ED">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8D236" w14:textId="77777777" w:rsidR="006578ED" w:rsidRDefault="006578ED">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6AEA" w14:textId="77777777" w:rsidR="006578ED" w:rsidRDefault="006578ED">
    <w:pPr>
      <w:pStyle w:val="HeaderSensitivityRight"/>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CD92" w14:textId="77777777" w:rsidR="006578ED" w:rsidRDefault="006578E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A520" w14:textId="77777777" w:rsidR="006578ED" w:rsidRDefault="006578ED">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6C147" w14:textId="77777777" w:rsidR="006578ED" w:rsidRDefault="006578ED">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69BC8" w14:textId="77777777" w:rsidR="006578ED" w:rsidRDefault="006578ED">
    <w:pPr>
      <w:pStyle w:val="HeaderSensitivityRight"/>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2103" w14:textId="77777777" w:rsidR="006578ED" w:rsidRDefault="006578ED">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CE89F" w14:textId="77777777" w:rsidR="006578ED" w:rsidRDefault="006578ED">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076B5" w14:textId="77777777" w:rsidR="006578ED" w:rsidRDefault="006578ED">
    <w:pPr>
      <w:pStyle w:val="HeaderSensitivityRight"/>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208DC" w14:textId="77777777" w:rsidR="006578ED" w:rsidRDefault="006578ED">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4A4E7" w14:textId="77777777" w:rsidR="006578ED" w:rsidRDefault="006578ED">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E977" w14:textId="77777777" w:rsidR="006578ED" w:rsidRDefault="006578ED">
    <w:pPr>
      <w:pStyle w:val="HeaderSensitivityRight"/>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51D65" w14:textId="77777777" w:rsidR="006578ED" w:rsidRDefault="006578ED">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32DE4" w14:textId="77777777" w:rsidR="006578ED" w:rsidRDefault="006578E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5776F" w14:textId="77777777" w:rsidR="006578ED" w:rsidRDefault="006578ED">
    <w:pPr>
      <w:pStyle w:val="HeaderSensitivityRight"/>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B2300" w14:textId="77777777" w:rsidR="006578ED" w:rsidRDefault="006578ED">
    <w:pPr>
      <w:pStyle w:val="HeaderSensitivityRight"/>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7EB48" w14:textId="77777777" w:rsidR="006578ED" w:rsidRDefault="006578ED">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23A56" w14:textId="77777777" w:rsidR="006578ED" w:rsidRDefault="006578ED">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B3285" w14:textId="77777777" w:rsidR="006578ED" w:rsidRDefault="006578ED">
    <w:pPr>
      <w:pStyle w:val="HeaderSensitivityRight"/>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ACE28" w14:textId="77777777" w:rsidR="006578ED" w:rsidRDefault="006578ED">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0DBBC" w14:textId="77777777" w:rsidR="006578ED" w:rsidRDefault="006578ED">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1E169" w14:textId="77777777" w:rsidR="006578ED" w:rsidRDefault="006578ED">
    <w:pPr>
      <w:pStyle w:val="HeaderSensitivityRight"/>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ABB26" w14:textId="77777777" w:rsidR="006578ED" w:rsidRDefault="006578ED">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0CA7" w14:textId="77777777" w:rsidR="006578ED" w:rsidRDefault="006578ED">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3178C" w14:textId="77777777" w:rsidR="006578ED" w:rsidRDefault="006578ED">
    <w:pPr>
      <w:pStyle w:val="HeaderSensitivityRigh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8183" w14:textId="77777777" w:rsidR="006578ED" w:rsidRDefault="006578ED">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7E7C7" w14:textId="77777777" w:rsidR="006578ED" w:rsidRDefault="006578ED">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EE8E9" w14:textId="77777777" w:rsidR="006578ED" w:rsidRDefault="006578ED">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F691" w14:textId="77777777" w:rsidR="006578ED" w:rsidRDefault="006578ED">
    <w:pPr>
      <w:pStyle w:val="HeaderSensitivityRight"/>
    </w:pPr>
  </w:p>
  <w:p w14:paraId="7AFEC7F4" w14:textId="77777777" w:rsidR="006578ED" w:rsidRDefault="006578ED">
    <w:pPr>
      <w:pStyle w:val="HeaderSensitivityRight"/>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21EC" w14:textId="77777777" w:rsidR="006578ED" w:rsidRDefault="006578ED">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DDF64" w14:textId="77777777" w:rsidR="006578ED" w:rsidRDefault="006578ED">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ACBAD" w14:textId="77777777" w:rsidR="006578ED" w:rsidRDefault="006578ED">
    <w:pPr>
      <w:pStyle w:val="HeaderSensitivityRight"/>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14D68" w14:textId="77777777" w:rsidR="006578ED" w:rsidRDefault="006578ED">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F8E05" w14:textId="77777777" w:rsidR="006578ED" w:rsidRDefault="006578ED">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14FE" w14:textId="77777777" w:rsidR="006578ED" w:rsidRDefault="006578ED">
    <w:pPr>
      <w:pStyle w:val="HeaderSensitivityRight"/>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2AD9" w14:textId="77777777" w:rsidR="006578ED" w:rsidRDefault="006578E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0D4CB" w14:textId="77777777" w:rsidR="006578ED" w:rsidRDefault="006578ED">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D251E" w14:textId="77777777" w:rsidR="006578ED" w:rsidRDefault="006578ED">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24553" w14:textId="77777777" w:rsidR="006578ED" w:rsidRDefault="006578ED">
    <w:pPr>
      <w:pStyle w:val="HeaderSensitivityRight"/>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4DBB" w14:textId="77777777" w:rsidR="006578ED" w:rsidRDefault="006578ED">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C786D" w14:textId="77777777" w:rsidR="006578ED" w:rsidRDefault="006578ED">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C6A03" w14:textId="77777777" w:rsidR="006578ED" w:rsidRDefault="006578ED">
    <w:pPr>
      <w:pStyle w:val="HeaderSensitivityRight"/>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BC85C" w14:textId="77777777" w:rsidR="006578ED" w:rsidRDefault="006578ED">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D97B4" w14:textId="77777777" w:rsidR="006578ED" w:rsidRDefault="006578ED">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EF9A" w14:textId="77777777" w:rsidR="006578ED" w:rsidRDefault="006578ED">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8795B" w14:textId="77777777" w:rsidR="006578ED" w:rsidRDefault="006578ED">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F44E4" w14:textId="77777777" w:rsidR="006578ED" w:rsidRDefault="006578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94AAF" w14:textId="77777777" w:rsidR="00184EC9" w:rsidRPr="00184EC9" w:rsidRDefault="00184EC9" w:rsidP="00184EC9">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5F54F" w14:textId="77777777" w:rsidR="006578ED" w:rsidRDefault="006578ED">
    <w:pPr>
      <w:pStyle w:val="HeaderSensitivityRight"/>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24BE0" w14:textId="77777777" w:rsidR="006578ED" w:rsidRDefault="006578ED">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BB890" w14:textId="77777777" w:rsidR="006578ED" w:rsidRDefault="006578ED">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2872D" w14:textId="77777777" w:rsidR="006578ED" w:rsidRDefault="006578ED">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CDCD3" w14:textId="77777777" w:rsidR="006578ED" w:rsidRDefault="006578ED">
    <w:pPr>
      <w:pStyle w:val="HeaderSensitivityRight"/>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830F5" w14:textId="77777777" w:rsidR="006578ED" w:rsidRDefault="006578ED">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ED7F" w14:textId="77777777" w:rsidR="006578ED" w:rsidRDefault="006578ED">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F186C" w14:textId="77777777" w:rsidR="006578ED" w:rsidRDefault="006578ED">
    <w:pPr>
      <w:pStyle w:val="HeaderSensitivityRight"/>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AB8AF" w14:textId="77777777" w:rsidR="006578ED" w:rsidRDefault="006578ED">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51C90" w14:textId="77777777" w:rsidR="006578ED" w:rsidRDefault="006578ED">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849E1" w14:textId="77777777" w:rsidR="006578ED" w:rsidRDefault="006578ED">
    <w:pPr>
      <w:pStyle w:val="HeaderSensitivityRigh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BAC8F" w14:textId="77777777" w:rsidR="006578ED" w:rsidRDefault="006578ED">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C3A80" w14:textId="77777777" w:rsidR="006578ED" w:rsidRDefault="006578ED">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0F93" w14:textId="77777777" w:rsidR="006578ED" w:rsidRDefault="006578ED">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AA77F" w14:textId="77777777" w:rsidR="006578ED" w:rsidRDefault="006578ED">
    <w:pPr>
      <w:pStyle w:val="HeaderSensitivityRight"/>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93CCF" w14:textId="77777777" w:rsidR="006578ED" w:rsidRDefault="006578ED">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83EBC" w14:textId="77777777" w:rsidR="006578ED" w:rsidRDefault="006578ED">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26BD4" w14:textId="77777777" w:rsidR="006578ED" w:rsidRDefault="006578ED">
    <w:pPr>
      <w:pStyle w:val="HeaderSensitivityRight"/>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1265" w14:textId="77777777" w:rsidR="006578ED" w:rsidRDefault="006578ED">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EE3A7" w14:textId="77777777" w:rsidR="006578ED" w:rsidRDefault="006578ED">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0DFE4" w14:textId="77777777" w:rsidR="006578ED" w:rsidRDefault="006578ED">
    <w:pPr>
      <w:pStyle w:val="HeaderSensitivityRight"/>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68BA7" w14:textId="77777777" w:rsidR="006578ED" w:rsidRDefault="006578E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E3F6" w14:textId="77777777" w:rsidR="006578ED" w:rsidRDefault="006578ED">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4542A" w14:textId="77777777" w:rsidR="006578ED" w:rsidRDefault="006578ED">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788C9" w14:textId="77777777" w:rsidR="006578ED" w:rsidRDefault="006578ED">
    <w:pPr>
      <w:pStyle w:val="HeaderSensitivityRight"/>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A1DD8" w14:textId="77777777" w:rsidR="006578ED" w:rsidRDefault="006578ED">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B44B" w14:textId="77777777" w:rsidR="006578ED" w:rsidRDefault="006578ED">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4FA3F" w14:textId="77777777" w:rsidR="006578ED" w:rsidRDefault="006578ED">
    <w:pPr>
      <w:pStyle w:val="HeaderSensitivityRight"/>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8D015" w14:textId="77777777" w:rsidR="006578ED" w:rsidRDefault="006578ED">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DD1D9" w14:textId="77777777" w:rsidR="006578ED" w:rsidRDefault="006578ED">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C15F" w14:textId="77777777" w:rsidR="006578ED" w:rsidRDefault="006578ED">
    <w:pPr>
      <w:pStyle w:val="HeaderSensitivityRight"/>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D68F0" w14:textId="77777777" w:rsidR="006578ED" w:rsidRDefault="006578ED">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82B0B" w14:textId="77777777" w:rsidR="006578ED" w:rsidRDefault="006578E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34AF6" w14:textId="77777777" w:rsidR="006578ED" w:rsidRDefault="006578ED">
    <w:pPr>
      <w:pStyle w:val="HeaderSensitivityRight"/>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CD80" w14:textId="77777777" w:rsidR="006578ED" w:rsidRDefault="006578ED">
    <w:pPr>
      <w:pStyle w:val="HeaderSensitivityRight"/>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BE8C5" w14:textId="77777777" w:rsidR="006578ED" w:rsidRDefault="006578ED">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5194" w14:textId="77777777" w:rsidR="006578ED" w:rsidRDefault="006578ED">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D2DCD" w14:textId="77777777" w:rsidR="006578ED" w:rsidRDefault="006578ED">
    <w:pPr>
      <w:pStyle w:val="HeaderSensitivityRight"/>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088A3" w14:textId="77777777" w:rsidR="006578ED" w:rsidRDefault="006578ED">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0A7B" w14:textId="77777777" w:rsidR="006578ED" w:rsidRDefault="006578ED">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FD3F8" w14:textId="77777777" w:rsidR="006578ED" w:rsidRDefault="006578ED">
    <w:pPr>
      <w:pStyle w:val="HeaderSensitivityRight"/>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91C33" w14:textId="77777777" w:rsidR="006578ED" w:rsidRDefault="006578ED">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BAA08" w14:textId="77777777" w:rsidR="006578ED" w:rsidRDefault="006578ED">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B1274" w14:textId="77777777" w:rsidR="006578ED" w:rsidRDefault="006578ED">
    <w:pPr>
      <w:pStyle w:val="HeaderSensitivityRigh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2798" w14:textId="77777777" w:rsidR="006578ED" w:rsidRDefault="006578ED">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427CB" w14:textId="77777777" w:rsidR="006578ED" w:rsidRDefault="006578ED">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F5A4" w14:textId="77777777" w:rsidR="006578ED" w:rsidRDefault="006578ED">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A15EC" w14:textId="77777777" w:rsidR="006578ED" w:rsidRDefault="006578ED">
    <w:pPr>
      <w:pStyle w:val="HeaderSensitivityRight"/>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5BE8" w14:textId="77777777" w:rsidR="006578ED" w:rsidRDefault="006578ED">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E50E5" w14:textId="77777777" w:rsidR="006578ED" w:rsidRDefault="006578ED">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64FB" w14:textId="77777777" w:rsidR="006578ED" w:rsidRDefault="006578ED">
    <w:pPr>
      <w:pStyle w:val="HeaderSensitivityRight"/>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9BDD7" w14:textId="77777777" w:rsidR="006578ED" w:rsidRDefault="006578ED">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1D1C" w14:textId="77777777" w:rsidR="006578ED" w:rsidRDefault="006578ED">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10982" w14:textId="77777777" w:rsidR="006578ED" w:rsidRDefault="006578ED">
    <w:pPr>
      <w:pStyle w:val="HeaderSensitivityRight"/>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FB2D" w14:textId="77777777" w:rsidR="006578ED" w:rsidRDefault="006578E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A8601" w14:textId="77777777" w:rsidR="00C8392B" w:rsidRDefault="00C8392B">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2648" w14:textId="77777777" w:rsidR="006578ED" w:rsidRDefault="006578ED">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06525" w14:textId="77777777" w:rsidR="006578ED" w:rsidRDefault="006578ED">
    <w:pPr>
      <w:pStyle w:val="HeaderSensitivityRight"/>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7D287" w14:textId="77777777" w:rsidR="006578ED" w:rsidRDefault="006578ED">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E8BFC" w14:textId="77777777" w:rsidR="006578ED" w:rsidRDefault="006578ED">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5B9C5" w14:textId="77777777" w:rsidR="006578ED" w:rsidRDefault="006578ED">
    <w:pPr>
      <w:pStyle w:val="HeaderSensitivityRight"/>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AE40" w14:textId="77777777" w:rsidR="006578ED" w:rsidRDefault="006578ED">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29514" w14:textId="77777777" w:rsidR="006578ED" w:rsidRDefault="006578ED">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2DD0F" w14:textId="77777777" w:rsidR="006578ED" w:rsidRDefault="006578ED">
    <w:pPr>
      <w:pStyle w:val="HeaderSensitivityRight"/>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496A3" w14:textId="77777777" w:rsidR="006578ED" w:rsidRDefault="006578ED">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17B1B" w14:textId="77777777" w:rsidR="006578ED" w:rsidRDefault="006578E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17AF3" w14:textId="77777777" w:rsidR="00C8392B" w:rsidRDefault="00C8392B">
    <w:pPr>
      <w:pStyle w:val="HeaderSensitivityRight"/>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8792" w14:textId="77777777" w:rsidR="006578ED" w:rsidRDefault="006578ED">
    <w:pPr>
      <w:pStyle w:val="HeaderSensitivityRight"/>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C3C52" w14:textId="77777777" w:rsidR="006578ED" w:rsidRDefault="006578ED">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3348D" w14:textId="77777777" w:rsidR="006578ED" w:rsidRDefault="006578ED">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A5C85" w14:textId="77777777" w:rsidR="006578ED" w:rsidRDefault="006578ED">
    <w:pPr>
      <w:pStyle w:val="HeaderSensitivityRight"/>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1EA1D" w14:textId="77777777" w:rsidR="006578ED" w:rsidRDefault="006578ED">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A64B6" w14:textId="77777777" w:rsidR="006578ED" w:rsidRDefault="006578ED">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3E17" w14:textId="77777777" w:rsidR="006578ED" w:rsidRDefault="006578ED">
    <w:pPr>
      <w:pStyle w:val="HeaderSensitivityRight"/>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7E02" w14:textId="77777777" w:rsidR="006578ED" w:rsidRDefault="006578ED">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A6764" w14:textId="77777777" w:rsidR="006578ED" w:rsidRDefault="006578ED">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F3CA7" w14:textId="4608651B" w:rsidR="006578ED" w:rsidRDefault="006578ED">
    <w:pPr>
      <w:pStyle w:val="Header"/>
      <w:jc w:val="center"/>
    </w:pPr>
  </w:p>
  <w:p w14:paraId="3E93F50B" w14:textId="77777777" w:rsidR="006578ED" w:rsidRDefault="006578ED">
    <w:pPr>
      <w:pStyle w:val="HeaderSensitivityRigh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F063B" w14:textId="77777777" w:rsidR="00C8392B" w:rsidRDefault="00C8392B">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220E1" w14:textId="77777777" w:rsidR="006578ED" w:rsidRDefault="006578ED">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AA47D" w14:textId="77777777" w:rsidR="006578ED" w:rsidRDefault="006578ED">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F3AF" w14:textId="77777777" w:rsidR="006578ED" w:rsidRDefault="006578ED">
    <w:pPr>
      <w:pStyle w:val="HeaderSensitivityRight"/>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198B4" w14:textId="77777777" w:rsidR="006578ED" w:rsidRDefault="006578ED">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61936" w14:textId="77777777" w:rsidR="006578ED" w:rsidRDefault="006578ED">
    <w:pPr>
      <w:pStyle w:val="Header"/>
    </w:pPr>
  </w:p>
  <w:p w14:paraId="097212D3" w14:textId="77777777" w:rsidR="006578ED" w:rsidRDefault="006578ED"/>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D3FB3" w14:textId="77777777" w:rsidR="006578ED" w:rsidRDefault="006578ED">
    <w:pPr>
      <w:pStyle w:val="HeaderSensitivityRight"/>
    </w:pPr>
  </w:p>
  <w:p w14:paraId="0911757F" w14:textId="77777777" w:rsidR="006578ED" w:rsidRDefault="006578ED"/>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B07C" w14:textId="77777777" w:rsidR="006578ED" w:rsidRDefault="006578ED">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755A" w14:textId="77777777" w:rsidR="006578ED" w:rsidRDefault="006578ED">
    <w:pPr>
      <w:pStyle w:val="Header"/>
    </w:pPr>
  </w:p>
  <w:p w14:paraId="0562C51B" w14:textId="77777777" w:rsidR="006578ED" w:rsidRDefault="006578ED"/>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2B57" w14:textId="77777777" w:rsidR="006578ED" w:rsidRDefault="006578ED">
    <w:pPr>
      <w:pStyle w:val="HeaderSensitivityRight"/>
    </w:pPr>
  </w:p>
  <w:p w14:paraId="10146766" w14:textId="77777777" w:rsidR="006578ED" w:rsidRDefault="006578ED"/>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2F12E" w14:textId="77777777" w:rsidR="006578ED" w:rsidRDefault="006578E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495EF" w14:textId="77777777" w:rsidR="00C8392B" w:rsidRDefault="00C8392B">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ABD42" w14:textId="77777777" w:rsidR="006578ED" w:rsidRDefault="006578ED">
    <w:pPr>
      <w:pStyle w:val="Header"/>
    </w:pPr>
  </w:p>
  <w:p w14:paraId="7D5B71D4" w14:textId="77777777" w:rsidR="006578ED" w:rsidRDefault="006578ED"/>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4F785" w14:textId="77777777" w:rsidR="006578ED" w:rsidRDefault="006578ED">
    <w:pPr>
      <w:pStyle w:val="HeaderSensitivityRight"/>
    </w:pPr>
  </w:p>
  <w:p w14:paraId="07D86CDE" w14:textId="77777777" w:rsidR="006578ED" w:rsidRDefault="006578ED"/>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0904" w14:textId="77777777" w:rsidR="006578ED" w:rsidRDefault="006578ED">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A0AC" w14:textId="77777777" w:rsidR="006578ED" w:rsidRDefault="006578ED">
    <w:pPr>
      <w:pStyle w:val="Header"/>
    </w:pPr>
  </w:p>
  <w:p w14:paraId="5A7AF15D" w14:textId="77777777" w:rsidR="006578ED" w:rsidRDefault="006578ED"/>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03EDE" w14:textId="77777777" w:rsidR="006578ED" w:rsidRDefault="006578ED">
    <w:pPr>
      <w:pStyle w:val="HeaderSensitivityRight"/>
    </w:pPr>
  </w:p>
  <w:p w14:paraId="5E86F948" w14:textId="77777777" w:rsidR="006578ED" w:rsidRDefault="006578ED"/>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F3CD3" w14:textId="77777777" w:rsidR="006578ED" w:rsidRDefault="006578ED">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57F45" w14:textId="77777777" w:rsidR="006578ED" w:rsidRDefault="006578ED">
    <w:pPr>
      <w:pStyle w:val="Header"/>
    </w:pPr>
  </w:p>
  <w:p w14:paraId="6B4087FA" w14:textId="77777777" w:rsidR="006578ED" w:rsidRDefault="006578ED"/>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E8EB" w14:textId="77777777" w:rsidR="006578ED" w:rsidRDefault="006578ED">
    <w:pPr>
      <w:pStyle w:val="HeaderSensitivityRight"/>
    </w:pPr>
  </w:p>
  <w:p w14:paraId="7422408E" w14:textId="77777777" w:rsidR="006578ED" w:rsidRDefault="006578ED"/>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ED0B3" w14:textId="77777777" w:rsidR="006578ED" w:rsidRDefault="006578ED">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E96A2" w14:textId="77777777" w:rsidR="006578ED" w:rsidRDefault="006578ED">
    <w:pPr>
      <w:pStyle w:val="Header"/>
    </w:pPr>
  </w:p>
  <w:p w14:paraId="0F05B6BF" w14:textId="77777777" w:rsidR="006578ED" w:rsidRDefault="006578ED"/>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7F296" w14:textId="77777777" w:rsidR="00C8392B" w:rsidRDefault="00C8392B">
    <w:pPr>
      <w:pStyle w:val="HeaderSensitivityRight"/>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344EA" w14:textId="77777777" w:rsidR="006578ED" w:rsidRDefault="006578ED">
    <w:pPr>
      <w:pStyle w:val="HeaderSensitivityRight"/>
    </w:pPr>
  </w:p>
  <w:p w14:paraId="1BC7AAFD" w14:textId="77777777" w:rsidR="006578ED" w:rsidRDefault="006578ED"/>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1D7B9" w14:textId="77777777" w:rsidR="006578ED" w:rsidRDefault="006578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CE7EF" w14:textId="77777777" w:rsidR="00184EC9" w:rsidRPr="00184EC9" w:rsidRDefault="00184EC9" w:rsidP="00184EC9">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6919B" w14:textId="77777777" w:rsidR="00C8392B" w:rsidRDefault="00C8392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0293" w14:textId="77777777" w:rsidR="006578ED" w:rsidRDefault="006578E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AF2B7" w14:textId="77777777" w:rsidR="006578ED" w:rsidRDefault="006578ED">
    <w:pPr>
      <w:pStyle w:val="HeaderSensitivityRigh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E312" w14:textId="77777777" w:rsidR="006578ED" w:rsidRDefault="006578E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23B45" w14:textId="77777777" w:rsidR="006578ED" w:rsidRDefault="006578E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608EF" w14:textId="77777777" w:rsidR="006578ED" w:rsidRDefault="006578ED">
    <w:pPr>
      <w:pStyle w:val="HeaderSensitivityRigh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8CF8" w14:textId="77777777" w:rsidR="006578ED" w:rsidRDefault="006578E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FD40" w14:textId="77777777" w:rsidR="006578ED" w:rsidRDefault="006578E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3B16" w14:textId="77777777" w:rsidR="006578ED" w:rsidRDefault="006578ED">
    <w:pPr>
      <w:pStyle w:val="HeaderSensitivityRigh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1D1D4" w14:textId="77777777" w:rsidR="006578ED" w:rsidRDefault="006578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F3892" w14:textId="77777777" w:rsidR="006578ED" w:rsidRDefault="006578E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2BC45" w14:textId="77777777" w:rsidR="006578ED" w:rsidRDefault="006578E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D2915" w14:textId="77777777" w:rsidR="006578ED" w:rsidRDefault="006578ED">
    <w:pPr>
      <w:pStyle w:val="HeaderSensitivityRigh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49866" w14:textId="77777777" w:rsidR="006578ED" w:rsidRDefault="006578E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40E0" w14:textId="77777777" w:rsidR="006578ED" w:rsidRDefault="006578E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B05DE" w14:textId="77777777" w:rsidR="006578ED" w:rsidRDefault="006578ED">
    <w:pPr>
      <w:pStyle w:val="HeaderSensitivityRigh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6AA81" w14:textId="77777777" w:rsidR="006578ED" w:rsidRDefault="006578E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53FC6" w14:textId="77777777" w:rsidR="006578ED" w:rsidRDefault="006578E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BF58C" w14:textId="77777777" w:rsidR="006578ED" w:rsidRDefault="006578ED">
    <w:pPr>
      <w:pStyle w:val="HeaderSensitivityRigh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C9D5F" w14:textId="77777777" w:rsidR="006578ED" w:rsidRDefault="006578E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CD01" w14:textId="77777777" w:rsidR="006578ED" w:rsidRDefault="006578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6500" w14:textId="77777777" w:rsidR="006578ED" w:rsidRDefault="006578ED">
    <w:pPr>
      <w:pStyle w:val="HeaderSensitivityRigh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8ACFC" w14:textId="77777777" w:rsidR="006578ED" w:rsidRDefault="006578ED">
    <w:pPr>
      <w:pStyle w:val="HeaderSensitivityRigh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E47F7" w14:textId="77777777" w:rsidR="006578ED" w:rsidRDefault="006578E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35F5" w14:textId="77777777" w:rsidR="006578ED" w:rsidRDefault="006578E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EB829" w14:textId="77777777" w:rsidR="006578ED" w:rsidRDefault="006578ED">
    <w:pPr>
      <w:pStyle w:val="HeaderSensitivityRigh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9B76A" w14:textId="77777777" w:rsidR="006578ED" w:rsidRDefault="006578ED">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CF6DB" w14:textId="77777777" w:rsidR="006578ED" w:rsidRDefault="006578E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0C947" w14:textId="77777777" w:rsidR="006578ED" w:rsidRDefault="006578ED">
    <w:pPr>
      <w:pStyle w:val="HeaderSensitivityRigh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2F95E" w14:textId="77777777" w:rsidR="006578ED" w:rsidRDefault="006578ED">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E47C2" w14:textId="77777777" w:rsidR="006578ED" w:rsidRDefault="006578E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32BFB" w14:textId="77777777" w:rsidR="006578ED" w:rsidRDefault="006578ED">
    <w:pPr>
      <w:pStyle w:val="HeaderSensitivity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F150" w14:textId="77777777" w:rsidR="006578ED" w:rsidRDefault="006578E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FA3C" w14:textId="77777777" w:rsidR="006578ED" w:rsidRDefault="006578E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62636" w14:textId="77777777" w:rsidR="006578ED" w:rsidRDefault="006578ED">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1E4F5" w14:textId="77777777" w:rsidR="006578ED" w:rsidRDefault="006578ED">
    <w:pPr>
      <w:pStyle w:val="HeaderSensitivityRigh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08E0" w14:textId="77777777" w:rsidR="006578ED" w:rsidRDefault="006578E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389AB" w14:textId="77777777" w:rsidR="006578ED" w:rsidRDefault="006578E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FEC5C" w14:textId="77777777" w:rsidR="006578ED" w:rsidRDefault="006578ED">
    <w:pPr>
      <w:pStyle w:val="HeaderSensitivityRigh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5870B" w14:textId="77777777" w:rsidR="006578ED" w:rsidRDefault="006578ED">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F7C16" w14:textId="77777777" w:rsidR="006578ED" w:rsidRDefault="006578ED">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6FF1F" w14:textId="77777777" w:rsidR="006578ED" w:rsidRDefault="006578ED">
    <w:pPr>
      <w:pStyle w:val="HeaderSensitivityRigh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A051" w14:textId="77777777" w:rsidR="006578ED" w:rsidRDefault="006578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E7A80" w14:textId="77777777" w:rsidR="006578ED" w:rsidRDefault="006578E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82F3C" w14:textId="77777777" w:rsidR="006578ED" w:rsidRDefault="006578ED">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E3489" w14:textId="77777777" w:rsidR="006578ED" w:rsidRDefault="006578ED">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5D00" w14:textId="77777777" w:rsidR="006578ED" w:rsidRDefault="006578ED">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7610E" w14:textId="77777777" w:rsidR="006578ED" w:rsidRDefault="006578ED">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52BA6" w14:textId="77777777" w:rsidR="006578ED" w:rsidRDefault="006578ED">
    <w:pPr>
      <w:pStyle w:val="HeaderSensitivityRigh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AD45" w14:textId="77777777" w:rsidR="006578ED" w:rsidRDefault="006578ED">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42F1D" w14:textId="77777777" w:rsidR="006578ED" w:rsidRDefault="006578ED">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D2828" w14:textId="77777777" w:rsidR="006578ED" w:rsidRDefault="006578ED">
    <w:pPr>
      <w:pStyle w:val="HeaderSensitivityRigh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2752B" w14:textId="77777777" w:rsidR="006578ED" w:rsidRDefault="006578ED">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2CC9B" w14:textId="77777777" w:rsidR="006578ED" w:rsidRDefault="006578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65479" w14:textId="77777777" w:rsidR="006578ED" w:rsidRDefault="006578ED">
    <w:pPr>
      <w:pStyle w:val="HeaderSensitivityRigh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C17E9" w14:textId="77777777" w:rsidR="006578ED" w:rsidRDefault="006578ED">
    <w:pPr>
      <w:pStyle w:val="HeaderSensitivityRigh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4B18D" w14:textId="77777777" w:rsidR="006578ED" w:rsidRDefault="006578ED">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EA057" w14:textId="77777777" w:rsidR="006578ED" w:rsidRDefault="006578ED">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DC4AD" w14:textId="77777777" w:rsidR="006578ED" w:rsidRDefault="006578ED">
    <w:pPr>
      <w:pStyle w:val="HeaderSensitivityRigh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5CAC" w14:textId="77777777" w:rsidR="006578ED" w:rsidRDefault="006578ED">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EAE01" w14:textId="77777777" w:rsidR="006578ED" w:rsidRDefault="006578ED">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6F7AA" w14:textId="77777777" w:rsidR="006578ED" w:rsidRDefault="006578ED">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BAADD" w14:textId="77777777" w:rsidR="006578ED" w:rsidRDefault="006578ED">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44DA" w14:textId="77777777" w:rsidR="006578ED" w:rsidRDefault="006578ED">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92296" w14:textId="77777777" w:rsidR="006578ED" w:rsidRDefault="006578ED">
    <w:pPr>
      <w:pStyle w:val="HeaderSensitivity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2F28E" w14:textId="77777777" w:rsidR="006578ED" w:rsidRDefault="006578ED">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165FA" w14:textId="77777777" w:rsidR="006578ED" w:rsidRDefault="006578ED">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1A375" w14:textId="77777777" w:rsidR="006578ED" w:rsidRDefault="006578ED">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D7399" w14:textId="77777777" w:rsidR="006578ED" w:rsidRDefault="006578ED">
    <w:pPr>
      <w:pStyle w:val="HeaderSensitivityRigh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FA7C8" w14:textId="77777777" w:rsidR="006578ED" w:rsidRDefault="006578ED">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13355" w14:textId="77777777" w:rsidR="006578ED" w:rsidRDefault="006578ED">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909B0" w14:textId="77777777" w:rsidR="006578ED" w:rsidRDefault="006578ED">
    <w:pPr>
      <w:pStyle w:val="HeaderSensitivityRight"/>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38875" w14:textId="77777777" w:rsidR="006578ED" w:rsidRDefault="006578ED">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646EB" w14:textId="77777777" w:rsidR="006578ED" w:rsidRDefault="006578ED">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B6A3E" w14:textId="77777777" w:rsidR="006578ED" w:rsidRDefault="006578ED">
    <w:pPr>
      <w:pStyle w:val="HeaderSensitivityRigh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BCB4C" w14:textId="77777777" w:rsidR="006578ED" w:rsidRDefault="006578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egoe UI" w:hAnsi="Segoe UI" w:hint="default"/>
      </w:rPr>
    </w:lvl>
  </w:abstractNum>
  <w:abstractNum w:abstractNumId="1"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egoe UI" w:hAnsi="Segoe UI" w:hint="default"/>
      </w:rPr>
    </w:lvl>
  </w:abstractNum>
  <w:abstractNum w:abstractNumId="2"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egoe UI" w:hAnsi="Segoe UI" w:hint="default"/>
      </w:rPr>
    </w:lvl>
  </w:abstractNum>
  <w:abstractNum w:abstractNumId="3"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egoe UI" w:hAnsi="Segoe UI" w:hint="default"/>
      </w:rPr>
    </w:lvl>
  </w:abstractNum>
  <w:abstractNum w:abstractNumId="5" w15:restartNumberingAfterBreak="0">
    <w:nsid w:val="00417A79"/>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6" w15:restartNumberingAfterBreak="0">
    <w:nsid w:val="004D1FBB"/>
    <w:multiLevelType w:val="hybridMultilevel"/>
    <w:tmpl w:val="FFFFFFFF"/>
    <w:lvl w:ilvl="0" w:tplc="DD56CDB6">
      <w:start w:val="1"/>
      <w:numFmt w:val="bullet"/>
      <w:lvlText w:val="o"/>
      <w:lvlJc w:val="left"/>
      <w:pPr>
        <w:ind w:left="720" w:hanging="360"/>
      </w:pPr>
      <w:rPr>
        <w:rFonts w:ascii="&quot;Courier New&quot;" w:hAnsi="&quot;Courier New&quot;" w:hint="default"/>
      </w:rPr>
    </w:lvl>
    <w:lvl w:ilvl="1" w:tplc="4BC4FF74">
      <w:start w:val="1"/>
      <w:numFmt w:val="bullet"/>
      <w:lvlText w:val="o"/>
      <w:lvlJc w:val="left"/>
      <w:pPr>
        <w:ind w:left="1440" w:hanging="360"/>
      </w:pPr>
      <w:rPr>
        <w:rFonts w:ascii="Courier New" w:hAnsi="Courier New" w:hint="default"/>
      </w:rPr>
    </w:lvl>
    <w:lvl w:ilvl="2" w:tplc="C68EC658">
      <w:start w:val="1"/>
      <w:numFmt w:val="bullet"/>
      <w:lvlText w:val=""/>
      <w:lvlJc w:val="left"/>
      <w:pPr>
        <w:ind w:left="2160" w:hanging="360"/>
      </w:pPr>
      <w:rPr>
        <w:rFonts w:ascii="Wingdings" w:hAnsi="Wingdings" w:hint="default"/>
      </w:rPr>
    </w:lvl>
    <w:lvl w:ilvl="3" w:tplc="AA645220">
      <w:start w:val="1"/>
      <w:numFmt w:val="bullet"/>
      <w:lvlText w:val=""/>
      <w:lvlJc w:val="left"/>
      <w:pPr>
        <w:ind w:left="2880" w:hanging="360"/>
      </w:pPr>
      <w:rPr>
        <w:rFonts w:ascii="Symbol" w:hAnsi="Symbol" w:hint="default"/>
      </w:rPr>
    </w:lvl>
    <w:lvl w:ilvl="4" w:tplc="FA5AF430">
      <w:start w:val="1"/>
      <w:numFmt w:val="bullet"/>
      <w:lvlText w:val="o"/>
      <w:lvlJc w:val="left"/>
      <w:pPr>
        <w:ind w:left="3600" w:hanging="360"/>
      </w:pPr>
      <w:rPr>
        <w:rFonts w:ascii="Courier New" w:hAnsi="Courier New" w:hint="default"/>
      </w:rPr>
    </w:lvl>
    <w:lvl w:ilvl="5" w:tplc="912CBD80">
      <w:start w:val="1"/>
      <w:numFmt w:val="bullet"/>
      <w:lvlText w:val=""/>
      <w:lvlJc w:val="left"/>
      <w:pPr>
        <w:ind w:left="4320" w:hanging="360"/>
      </w:pPr>
      <w:rPr>
        <w:rFonts w:ascii="Wingdings" w:hAnsi="Wingdings" w:hint="default"/>
      </w:rPr>
    </w:lvl>
    <w:lvl w:ilvl="6" w:tplc="57F49B96">
      <w:start w:val="1"/>
      <w:numFmt w:val="bullet"/>
      <w:lvlText w:val=""/>
      <w:lvlJc w:val="left"/>
      <w:pPr>
        <w:ind w:left="5040" w:hanging="360"/>
      </w:pPr>
      <w:rPr>
        <w:rFonts w:ascii="Symbol" w:hAnsi="Symbol" w:hint="default"/>
      </w:rPr>
    </w:lvl>
    <w:lvl w:ilvl="7" w:tplc="56FC67CC">
      <w:start w:val="1"/>
      <w:numFmt w:val="bullet"/>
      <w:lvlText w:val="o"/>
      <w:lvlJc w:val="left"/>
      <w:pPr>
        <w:ind w:left="5760" w:hanging="360"/>
      </w:pPr>
      <w:rPr>
        <w:rFonts w:ascii="Courier New" w:hAnsi="Courier New" w:hint="default"/>
      </w:rPr>
    </w:lvl>
    <w:lvl w:ilvl="8" w:tplc="53845150">
      <w:start w:val="1"/>
      <w:numFmt w:val="bullet"/>
      <w:lvlText w:val=""/>
      <w:lvlJc w:val="left"/>
      <w:pPr>
        <w:ind w:left="6480" w:hanging="360"/>
      </w:pPr>
      <w:rPr>
        <w:rFonts w:ascii="Wingdings" w:hAnsi="Wingdings" w:hint="default"/>
      </w:rPr>
    </w:lvl>
  </w:abstractNum>
  <w:abstractNum w:abstractNumId="7" w15:restartNumberingAfterBreak="0">
    <w:nsid w:val="00516230"/>
    <w:multiLevelType w:val="hybridMultilevel"/>
    <w:tmpl w:val="E83ABE2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0B1369F"/>
    <w:multiLevelType w:val="multilevel"/>
    <w:tmpl w:val="41C4788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0EA3C85"/>
    <w:multiLevelType w:val="hybridMultilevel"/>
    <w:tmpl w:val="19DEA45A"/>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0EB7539"/>
    <w:multiLevelType w:val="multilevel"/>
    <w:tmpl w:val="B3AA2D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1566728"/>
    <w:multiLevelType w:val="hybridMultilevel"/>
    <w:tmpl w:val="01D6B39C"/>
    <w:lvl w:ilvl="0" w:tplc="2ABE3490">
      <w:start w:val="6"/>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1B075CA"/>
    <w:multiLevelType w:val="hybridMultilevel"/>
    <w:tmpl w:val="FFFFFFFF"/>
    <w:lvl w:ilvl="0" w:tplc="2478814C">
      <w:start w:val="1"/>
      <w:numFmt w:val="bullet"/>
      <w:lvlText w:val=""/>
      <w:lvlJc w:val="left"/>
      <w:pPr>
        <w:ind w:left="720" w:hanging="360"/>
      </w:pPr>
      <w:rPr>
        <w:rFonts w:ascii="Segoe UI" w:hAnsi="Segoe UI" w:hint="default"/>
      </w:rPr>
    </w:lvl>
    <w:lvl w:ilvl="1" w:tplc="D4E03EA6">
      <w:start w:val="1"/>
      <w:numFmt w:val="bullet"/>
      <w:lvlText w:val="o"/>
      <w:lvlJc w:val="left"/>
      <w:pPr>
        <w:ind w:left="1440" w:hanging="360"/>
      </w:pPr>
      <w:rPr>
        <w:rFonts w:ascii="Courier New" w:hAnsi="Courier New" w:hint="default"/>
      </w:rPr>
    </w:lvl>
    <w:lvl w:ilvl="2" w:tplc="B74A024C">
      <w:start w:val="1"/>
      <w:numFmt w:val="bullet"/>
      <w:lvlText w:val=""/>
      <w:lvlJc w:val="left"/>
      <w:pPr>
        <w:ind w:left="2160" w:hanging="360"/>
      </w:pPr>
      <w:rPr>
        <w:rFonts w:ascii="Cambria Math" w:hAnsi="Cambria Math" w:hint="default"/>
      </w:rPr>
    </w:lvl>
    <w:lvl w:ilvl="3" w:tplc="85AA3D16">
      <w:start w:val="1"/>
      <w:numFmt w:val="bullet"/>
      <w:lvlText w:val=""/>
      <w:lvlJc w:val="left"/>
      <w:pPr>
        <w:ind w:left="2880" w:hanging="360"/>
      </w:pPr>
      <w:rPr>
        <w:rFonts w:ascii="Segoe UI" w:hAnsi="Segoe UI" w:hint="default"/>
      </w:rPr>
    </w:lvl>
    <w:lvl w:ilvl="4" w:tplc="D0FCD500">
      <w:start w:val="1"/>
      <w:numFmt w:val="bullet"/>
      <w:lvlText w:val="o"/>
      <w:lvlJc w:val="left"/>
      <w:pPr>
        <w:ind w:left="3600" w:hanging="360"/>
      </w:pPr>
      <w:rPr>
        <w:rFonts w:ascii="Courier New" w:hAnsi="Courier New" w:hint="default"/>
      </w:rPr>
    </w:lvl>
    <w:lvl w:ilvl="5" w:tplc="1AB4C24A">
      <w:start w:val="1"/>
      <w:numFmt w:val="bullet"/>
      <w:lvlText w:val=""/>
      <w:lvlJc w:val="left"/>
      <w:pPr>
        <w:ind w:left="4320" w:hanging="360"/>
      </w:pPr>
      <w:rPr>
        <w:rFonts w:ascii="Cambria Math" w:hAnsi="Cambria Math" w:hint="default"/>
      </w:rPr>
    </w:lvl>
    <w:lvl w:ilvl="6" w:tplc="1C0EB27A">
      <w:start w:val="1"/>
      <w:numFmt w:val="bullet"/>
      <w:lvlText w:val=""/>
      <w:lvlJc w:val="left"/>
      <w:pPr>
        <w:ind w:left="5040" w:hanging="360"/>
      </w:pPr>
      <w:rPr>
        <w:rFonts w:ascii="Segoe UI" w:hAnsi="Segoe UI" w:hint="default"/>
      </w:rPr>
    </w:lvl>
    <w:lvl w:ilvl="7" w:tplc="925E9846">
      <w:start w:val="1"/>
      <w:numFmt w:val="bullet"/>
      <w:lvlText w:val="o"/>
      <w:lvlJc w:val="left"/>
      <w:pPr>
        <w:ind w:left="5760" w:hanging="360"/>
      </w:pPr>
      <w:rPr>
        <w:rFonts w:ascii="Courier New" w:hAnsi="Courier New" w:hint="default"/>
      </w:rPr>
    </w:lvl>
    <w:lvl w:ilvl="8" w:tplc="3A8EC54A">
      <w:start w:val="1"/>
      <w:numFmt w:val="bullet"/>
      <w:lvlText w:val=""/>
      <w:lvlJc w:val="left"/>
      <w:pPr>
        <w:ind w:left="6480" w:hanging="360"/>
      </w:pPr>
      <w:rPr>
        <w:rFonts w:ascii="Cambria Math" w:hAnsi="Cambria Math" w:hint="default"/>
      </w:rPr>
    </w:lvl>
  </w:abstractNum>
  <w:abstractNum w:abstractNumId="13" w15:restartNumberingAfterBreak="0">
    <w:nsid w:val="01CF0F7B"/>
    <w:multiLevelType w:val="hybridMultilevel"/>
    <w:tmpl w:val="8E643414"/>
    <w:lvl w:ilvl="0" w:tplc="FFFFFFFF">
      <w:start w:val="1"/>
      <w:numFmt w:val="bullet"/>
      <w:lvlText w:val=""/>
      <w:lvlJc w:val="left"/>
      <w:pPr>
        <w:ind w:left="720" w:hanging="360"/>
      </w:pPr>
      <w:rPr>
        <w:rFonts w:ascii="Symbol" w:hAnsi="Symbol" w:hint="default"/>
        <w:b/>
        <w:bCs/>
      </w:rPr>
    </w:lvl>
    <w:lvl w:ilvl="1" w:tplc="1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1E15330"/>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1F77FC6"/>
    <w:multiLevelType w:val="hybridMultilevel"/>
    <w:tmpl w:val="2B909DD6"/>
    <w:lvl w:ilvl="0" w:tplc="18090001">
      <w:start w:val="1"/>
      <w:numFmt w:val="bullet"/>
      <w:lvlText w:val=""/>
      <w:lvlJc w:val="left"/>
      <w:pPr>
        <w:ind w:left="1069" w:hanging="360"/>
      </w:pPr>
      <w:rPr>
        <w:rFonts w:ascii="Symbol" w:hAnsi="Symbol" w:hint="default"/>
        <w:b w:val="0"/>
        <w:bCs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023E2662"/>
    <w:multiLevelType w:val="hybridMultilevel"/>
    <w:tmpl w:val="8A30D2AE"/>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7" w15:restartNumberingAfterBreak="0">
    <w:nsid w:val="025368DE"/>
    <w:multiLevelType w:val="multilevel"/>
    <w:tmpl w:val="90802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2680501"/>
    <w:multiLevelType w:val="hybridMultilevel"/>
    <w:tmpl w:val="E9EA5A2C"/>
    <w:lvl w:ilvl="0" w:tplc="E2903D6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2EB10ED"/>
    <w:multiLevelType w:val="multilevel"/>
    <w:tmpl w:val="1F068C1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2FC31BF"/>
    <w:multiLevelType w:val="hybridMultilevel"/>
    <w:tmpl w:val="411EA7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032A12F1"/>
    <w:multiLevelType w:val="hybridMultilevel"/>
    <w:tmpl w:val="6C52FE32"/>
    <w:lvl w:ilvl="0" w:tplc="0816001B">
      <w:start w:val="1"/>
      <w:numFmt w:val="lowerRoman"/>
      <w:lvlText w:val="%1."/>
      <w:lvlJc w:val="right"/>
      <w:pPr>
        <w:ind w:left="785" w:hanging="360"/>
      </w:p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03406DD5"/>
    <w:multiLevelType w:val="hybridMultilevel"/>
    <w:tmpl w:val="89087F6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03481329"/>
    <w:multiLevelType w:val="hybridMultilevel"/>
    <w:tmpl w:val="6CAA352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0348229A"/>
    <w:multiLevelType w:val="hybridMultilevel"/>
    <w:tmpl w:val="396C76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34E7B81"/>
    <w:multiLevelType w:val="multilevel"/>
    <w:tmpl w:val="9C8E69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34F594C"/>
    <w:multiLevelType w:val="hybridMultilevel"/>
    <w:tmpl w:val="FFFFFFFF"/>
    <w:lvl w:ilvl="0" w:tplc="62F00CD8">
      <w:start w:val="1"/>
      <w:numFmt w:val="decimal"/>
      <w:lvlText w:val="%1."/>
      <w:lvlJc w:val="left"/>
      <w:pPr>
        <w:ind w:left="720" w:hanging="360"/>
      </w:pPr>
    </w:lvl>
    <w:lvl w:ilvl="1" w:tplc="1B74962E">
      <w:start w:val="1"/>
      <w:numFmt w:val="lowerLetter"/>
      <w:lvlText w:val="%2."/>
      <w:lvlJc w:val="left"/>
      <w:pPr>
        <w:ind w:left="1440" w:hanging="360"/>
      </w:pPr>
    </w:lvl>
    <w:lvl w:ilvl="2" w:tplc="CE06363E">
      <w:start w:val="1"/>
      <w:numFmt w:val="lowerRoman"/>
      <w:lvlText w:val="%3."/>
      <w:lvlJc w:val="right"/>
      <w:pPr>
        <w:ind w:left="2160" w:hanging="180"/>
      </w:pPr>
    </w:lvl>
    <w:lvl w:ilvl="3" w:tplc="7B0E5298">
      <w:start w:val="1"/>
      <w:numFmt w:val="decimal"/>
      <w:lvlText w:val="%4."/>
      <w:lvlJc w:val="left"/>
      <w:pPr>
        <w:ind w:left="2880" w:hanging="360"/>
      </w:pPr>
    </w:lvl>
    <w:lvl w:ilvl="4" w:tplc="1AD26024">
      <w:start w:val="1"/>
      <w:numFmt w:val="lowerLetter"/>
      <w:lvlText w:val="%5."/>
      <w:lvlJc w:val="left"/>
      <w:pPr>
        <w:ind w:left="3600" w:hanging="360"/>
      </w:pPr>
    </w:lvl>
    <w:lvl w:ilvl="5" w:tplc="D0C6C3C6">
      <w:start w:val="1"/>
      <w:numFmt w:val="lowerRoman"/>
      <w:lvlText w:val="%6."/>
      <w:lvlJc w:val="right"/>
      <w:pPr>
        <w:ind w:left="4320" w:hanging="180"/>
      </w:pPr>
    </w:lvl>
    <w:lvl w:ilvl="6" w:tplc="FDA2C45A">
      <w:start w:val="1"/>
      <w:numFmt w:val="decimal"/>
      <w:lvlText w:val="%7."/>
      <w:lvlJc w:val="left"/>
      <w:pPr>
        <w:ind w:left="5040" w:hanging="360"/>
      </w:pPr>
    </w:lvl>
    <w:lvl w:ilvl="7" w:tplc="5226FE5E">
      <w:start w:val="1"/>
      <w:numFmt w:val="lowerLetter"/>
      <w:lvlText w:val="%8."/>
      <w:lvlJc w:val="left"/>
      <w:pPr>
        <w:ind w:left="5760" w:hanging="360"/>
      </w:pPr>
    </w:lvl>
    <w:lvl w:ilvl="8" w:tplc="04A47EC2">
      <w:start w:val="1"/>
      <w:numFmt w:val="lowerRoman"/>
      <w:lvlText w:val="%9."/>
      <w:lvlJc w:val="right"/>
      <w:pPr>
        <w:ind w:left="6480" w:hanging="180"/>
      </w:pPr>
    </w:lvl>
  </w:abstractNum>
  <w:abstractNum w:abstractNumId="27" w15:restartNumberingAfterBreak="0">
    <w:nsid w:val="03743AFF"/>
    <w:multiLevelType w:val="hybridMultilevel"/>
    <w:tmpl w:val="FFFFFFFF"/>
    <w:lvl w:ilvl="0" w:tplc="27CAEB4E">
      <w:start w:val="1"/>
      <w:numFmt w:val="bullet"/>
      <w:lvlText w:val="·"/>
      <w:lvlJc w:val="left"/>
      <w:pPr>
        <w:ind w:left="720" w:hanging="360"/>
      </w:pPr>
      <w:rPr>
        <w:rFonts w:ascii="Symbol" w:hAnsi="Symbol" w:hint="default"/>
      </w:rPr>
    </w:lvl>
    <w:lvl w:ilvl="1" w:tplc="AC386D5C">
      <w:start w:val="1"/>
      <w:numFmt w:val="bullet"/>
      <w:lvlText w:val="o"/>
      <w:lvlJc w:val="left"/>
      <w:pPr>
        <w:ind w:left="1440" w:hanging="360"/>
      </w:pPr>
      <w:rPr>
        <w:rFonts w:ascii="Courier New" w:hAnsi="Courier New" w:hint="default"/>
      </w:rPr>
    </w:lvl>
    <w:lvl w:ilvl="2" w:tplc="CF42BB0E">
      <w:start w:val="1"/>
      <w:numFmt w:val="bullet"/>
      <w:lvlText w:val=""/>
      <w:lvlJc w:val="left"/>
      <w:pPr>
        <w:ind w:left="2160" w:hanging="360"/>
      </w:pPr>
      <w:rPr>
        <w:rFonts w:ascii="Wingdings" w:hAnsi="Wingdings" w:hint="default"/>
      </w:rPr>
    </w:lvl>
    <w:lvl w:ilvl="3" w:tplc="99863D88">
      <w:start w:val="1"/>
      <w:numFmt w:val="bullet"/>
      <w:lvlText w:val=""/>
      <w:lvlJc w:val="left"/>
      <w:pPr>
        <w:ind w:left="2880" w:hanging="360"/>
      </w:pPr>
      <w:rPr>
        <w:rFonts w:ascii="Symbol" w:hAnsi="Symbol" w:hint="default"/>
      </w:rPr>
    </w:lvl>
    <w:lvl w:ilvl="4" w:tplc="0E94865A">
      <w:start w:val="1"/>
      <w:numFmt w:val="bullet"/>
      <w:lvlText w:val="o"/>
      <w:lvlJc w:val="left"/>
      <w:pPr>
        <w:ind w:left="3600" w:hanging="360"/>
      </w:pPr>
      <w:rPr>
        <w:rFonts w:ascii="Courier New" w:hAnsi="Courier New" w:hint="default"/>
      </w:rPr>
    </w:lvl>
    <w:lvl w:ilvl="5" w:tplc="C7440B5A">
      <w:start w:val="1"/>
      <w:numFmt w:val="bullet"/>
      <w:lvlText w:val=""/>
      <w:lvlJc w:val="left"/>
      <w:pPr>
        <w:ind w:left="4320" w:hanging="360"/>
      </w:pPr>
      <w:rPr>
        <w:rFonts w:ascii="Wingdings" w:hAnsi="Wingdings" w:hint="default"/>
      </w:rPr>
    </w:lvl>
    <w:lvl w:ilvl="6" w:tplc="B714F44E">
      <w:start w:val="1"/>
      <w:numFmt w:val="bullet"/>
      <w:lvlText w:val=""/>
      <w:lvlJc w:val="left"/>
      <w:pPr>
        <w:ind w:left="5040" w:hanging="360"/>
      </w:pPr>
      <w:rPr>
        <w:rFonts w:ascii="Symbol" w:hAnsi="Symbol" w:hint="default"/>
      </w:rPr>
    </w:lvl>
    <w:lvl w:ilvl="7" w:tplc="0BD442C0">
      <w:start w:val="1"/>
      <w:numFmt w:val="bullet"/>
      <w:lvlText w:val="o"/>
      <w:lvlJc w:val="left"/>
      <w:pPr>
        <w:ind w:left="5760" w:hanging="360"/>
      </w:pPr>
      <w:rPr>
        <w:rFonts w:ascii="Courier New" w:hAnsi="Courier New" w:hint="default"/>
      </w:rPr>
    </w:lvl>
    <w:lvl w:ilvl="8" w:tplc="4F9C97A6">
      <w:start w:val="1"/>
      <w:numFmt w:val="bullet"/>
      <w:lvlText w:val=""/>
      <w:lvlJc w:val="left"/>
      <w:pPr>
        <w:ind w:left="6480" w:hanging="360"/>
      </w:pPr>
      <w:rPr>
        <w:rFonts w:ascii="Wingdings" w:hAnsi="Wingdings" w:hint="default"/>
      </w:rPr>
    </w:lvl>
  </w:abstractNum>
  <w:abstractNum w:abstractNumId="28" w15:restartNumberingAfterBreak="0">
    <w:nsid w:val="03C9F471"/>
    <w:multiLevelType w:val="hybridMultilevel"/>
    <w:tmpl w:val="AFA28C60"/>
    <w:lvl w:ilvl="0" w:tplc="E61EA238">
      <w:start w:val="1"/>
      <w:numFmt w:val="bullet"/>
      <w:lvlText w:val="-"/>
      <w:lvlJc w:val="left"/>
      <w:pPr>
        <w:ind w:left="720" w:hanging="360"/>
      </w:pPr>
      <w:rPr>
        <w:rFonts w:ascii="Calibri" w:hAnsi="Calibri" w:hint="default"/>
      </w:rPr>
    </w:lvl>
    <w:lvl w:ilvl="1" w:tplc="C9568992">
      <w:start w:val="1"/>
      <w:numFmt w:val="bullet"/>
      <w:lvlText w:val="o"/>
      <w:lvlJc w:val="left"/>
      <w:pPr>
        <w:ind w:left="1440" w:hanging="360"/>
      </w:pPr>
      <w:rPr>
        <w:rFonts w:ascii="Courier New" w:hAnsi="Courier New" w:hint="default"/>
      </w:rPr>
    </w:lvl>
    <w:lvl w:ilvl="2" w:tplc="51F0FE2E">
      <w:start w:val="1"/>
      <w:numFmt w:val="bullet"/>
      <w:lvlText w:val=""/>
      <w:lvlJc w:val="left"/>
      <w:pPr>
        <w:ind w:left="2160" w:hanging="360"/>
      </w:pPr>
      <w:rPr>
        <w:rFonts w:ascii="Wingdings" w:hAnsi="Wingdings" w:hint="default"/>
      </w:rPr>
    </w:lvl>
    <w:lvl w:ilvl="3" w:tplc="D85AAEF2">
      <w:start w:val="1"/>
      <w:numFmt w:val="bullet"/>
      <w:lvlText w:val=""/>
      <w:lvlJc w:val="left"/>
      <w:pPr>
        <w:ind w:left="2880" w:hanging="360"/>
      </w:pPr>
      <w:rPr>
        <w:rFonts w:ascii="Symbol" w:hAnsi="Symbol" w:hint="default"/>
      </w:rPr>
    </w:lvl>
    <w:lvl w:ilvl="4" w:tplc="E4A4FB26">
      <w:start w:val="1"/>
      <w:numFmt w:val="bullet"/>
      <w:lvlText w:val="o"/>
      <w:lvlJc w:val="left"/>
      <w:pPr>
        <w:ind w:left="3600" w:hanging="360"/>
      </w:pPr>
      <w:rPr>
        <w:rFonts w:ascii="Courier New" w:hAnsi="Courier New" w:hint="default"/>
      </w:rPr>
    </w:lvl>
    <w:lvl w:ilvl="5" w:tplc="99C2294A">
      <w:start w:val="1"/>
      <w:numFmt w:val="bullet"/>
      <w:lvlText w:val=""/>
      <w:lvlJc w:val="left"/>
      <w:pPr>
        <w:ind w:left="4320" w:hanging="360"/>
      </w:pPr>
      <w:rPr>
        <w:rFonts w:ascii="Wingdings" w:hAnsi="Wingdings" w:hint="default"/>
      </w:rPr>
    </w:lvl>
    <w:lvl w:ilvl="6" w:tplc="426E0228">
      <w:start w:val="1"/>
      <w:numFmt w:val="bullet"/>
      <w:lvlText w:val=""/>
      <w:lvlJc w:val="left"/>
      <w:pPr>
        <w:ind w:left="5040" w:hanging="360"/>
      </w:pPr>
      <w:rPr>
        <w:rFonts w:ascii="Symbol" w:hAnsi="Symbol" w:hint="default"/>
      </w:rPr>
    </w:lvl>
    <w:lvl w:ilvl="7" w:tplc="1B34EE0C">
      <w:start w:val="1"/>
      <w:numFmt w:val="bullet"/>
      <w:lvlText w:val="o"/>
      <w:lvlJc w:val="left"/>
      <w:pPr>
        <w:ind w:left="5760" w:hanging="360"/>
      </w:pPr>
      <w:rPr>
        <w:rFonts w:ascii="Courier New" w:hAnsi="Courier New" w:hint="default"/>
      </w:rPr>
    </w:lvl>
    <w:lvl w:ilvl="8" w:tplc="C5D28D24">
      <w:start w:val="1"/>
      <w:numFmt w:val="bullet"/>
      <w:lvlText w:val=""/>
      <w:lvlJc w:val="left"/>
      <w:pPr>
        <w:ind w:left="6480" w:hanging="360"/>
      </w:pPr>
      <w:rPr>
        <w:rFonts w:ascii="Wingdings" w:hAnsi="Wingdings" w:hint="default"/>
      </w:rPr>
    </w:lvl>
  </w:abstractNum>
  <w:abstractNum w:abstractNumId="29" w15:restartNumberingAfterBreak="0">
    <w:nsid w:val="03D957F2"/>
    <w:multiLevelType w:val="hybridMultilevel"/>
    <w:tmpl w:val="6CD00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4002F2C"/>
    <w:multiLevelType w:val="hybridMultilevel"/>
    <w:tmpl w:val="B2608760"/>
    <w:lvl w:ilvl="0" w:tplc="18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04463084"/>
    <w:multiLevelType w:val="multilevel"/>
    <w:tmpl w:val="EC587F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0480447B"/>
    <w:multiLevelType w:val="multilevel"/>
    <w:tmpl w:val="B1AA47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48A554F"/>
    <w:multiLevelType w:val="multilevel"/>
    <w:tmpl w:val="F7A2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9E6B04"/>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4C41057"/>
    <w:multiLevelType w:val="multilevel"/>
    <w:tmpl w:val="3B12AD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04C64932"/>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4CE5C47"/>
    <w:multiLevelType w:val="hybridMultilevel"/>
    <w:tmpl w:val="FFFFFFFF"/>
    <w:lvl w:ilvl="0" w:tplc="5016EA9C">
      <w:start w:val="1"/>
      <w:numFmt w:val="bullet"/>
      <w:lvlText w:val="o"/>
      <w:lvlJc w:val="left"/>
      <w:pPr>
        <w:ind w:left="720" w:hanging="360"/>
      </w:pPr>
      <w:rPr>
        <w:rFonts w:ascii="&quot;Courier New&quot;" w:hAnsi="&quot;Courier New&quot;" w:hint="default"/>
      </w:rPr>
    </w:lvl>
    <w:lvl w:ilvl="1" w:tplc="1560760A">
      <w:start w:val="1"/>
      <w:numFmt w:val="bullet"/>
      <w:lvlText w:val="o"/>
      <w:lvlJc w:val="left"/>
      <w:pPr>
        <w:ind w:left="1440" w:hanging="360"/>
      </w:pPr>
      <w:rPr>
        <w:rFonts w:ascii="Courier New" w:hAnsi="Courier New" w:hint="default"/>
      </w:rPr>
    </w:lvl>
    <w:lvl w:ilvl="2" w:tplc="B92A1B88">
      <w:start w:val="1"/>
      <w:numFmt w:val="bullet"/>
      <w:lvlText w:val=""/>
      <w:lvlJc w:val="left"/>
      <w:pPr>
        <w:ind w:left="2160" w:hanging="360"/>
      </w:pPr>
      <w:rPr>
        <w:rFonts w:ascii="Wingdings" w:hAnsi="Wingdings" w:hint="default"/>
      </w:rPr>
    </w:lvl>
    <w:lvl w:ilvl="3" w:tplc="9D9C119C">
      <w:start w:val="1"/>
      <w:numFmt w:val="bullet"/>
      <w:lvlText w:val=""/>
      <w:lvlJc w:val="left"/>
      <w:pPr>
        <w:ind w:left="2880" w:hanging="360"/>
      </w:pPr>
      <w:rPr>
        <w:rFonts w:ascii="Symbol" w:hAnsi="Symbol" w:hint="default"/>
      </w:rPr>
    </w:lvl>
    <w:lvl w:ilvl="4" w:tplc="0F1C236A">
      <w:start w:val="1"/>
      <w:numFmt w:val="bullet"/>
      <w:lvlText w:val="o"/>
      <w:lvlJc w:val="left"/>
      <w:pPr>
        <w:ind w:left="3600" w:hanging="360"/>
      </w:pPr>
      <w:rPr>
        <w:rFonts w:ascii="Courier New" w:hAnsi="Courier New" w:hint="default"/>
      </w:rPr>
    </w:lvl>
    <w:lvl w:ilvl="5" w:tplc="E9DAF420">
      <w:start w:val="1"/>
      <w:numFmt w:val="bullet"/>
      <w:lvlText w:val=""/>
      <w:lvlJc w:val="left"/>
      <w:pPr>
        <w:ind w:left="4320" w:hanging="360"/>
      </w:pPr>
      <w:rPr>
        <w:rFonts w:ascii="Wingdings" w:hAnsi="Wingdings" w:hint="default"/>
      </w:rPr>
    </w:lvl>
    <w:lvl w:ilvl="6" w:tplc="110C3B7C">
      <w:start w:val="1"/>
      <w:numFmt w:val="bullet"/>
      <w:lvlText w:val=""/>
      <w:lvlJc w:val="left"/>
      <w:pPr>
        <w:ind w:left="5040" w:hanging="360"/>
      </w:pPr>
      <w:rPr>
        <w:rFonts w:ascii="Symbol" w:hAnsi="Symbol" w:hint="default"/>
      </w:rPr>
    </w:lvl>
    <w:lvl w:ilvl="7" w:tplc="7AF8F33C">
      <w:start w:val="1"/>
      <w:numFmt w:val="bullet"/>
      <w:lvlText w:val="o"/>
      <w:lvlJc w:val="left"/>
      <w:pPr>
        <w:ind w:left="5760" w:hanging="360"/>
      </w:pPr>
      <w:rPr>
        <w:rFonts w:ascii="Courier New" w:hAnsi="Courier New" w:hint="default"/>
      </w:rPr>
    </w:lvl>
    <w:lvl w:ilvl="8" w:tplc="D64E0F80">
      <w:start w:val="1"/>
      <w:numFmt w:val="bullet"/>
      <w:lvlText w:val=""/>
      <w:lvlJc w:val="left"/>
      <w:pPr>
        <w:ind w:left="6480" w:hanging="360"/>
      </w:pPr>
      <w:rPr>
        <w:rFonts w:ascii="Wingdings" w:hAnsi="Wingdings" w:hint="default"/>
      </w:rPr>
    </w:lvl>
  </w:abstractNum>
  <w:abstractNum w:abstractNumId="38" w15:restartNumberingAfterBreak="0">
    <w:nsid w:val="050E1257"/>
    <w:multiLevelType w:val="hybridMultilevel"/>
    <w:tmpl w:val="C87E44E6"/>
    <w:lvl w:ilvl="0" w:tplc="08090017">
      <w:start w:val="1"/>
      <w:numFmt w:val="lowerLetter"/>
      <w:lvlText w:val="%1)"/>
      <w:lvlJc w:val="left"/>
      <w:pPr>
        <w:ind w:left="1080" w:hanging="360"/>
      </w:pPr>
    </w:lvl>
    <w:lvl w:ilvl="1" w:tplc="7C460208">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0535968D"/>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5826CD4"/>
    <w:multiLevelType w:val="hybridMultilevel"/>
    <w:tmpl w:val="A2A079AE"/>
    <w:lvl w:ilvl="0" w:tplc="224AE4EC">
      <w:start w:val="1"/>
      <w:numFmt w:val="bullet"/>
      <w:lvlText w:val="•"/>
      <w:lvlJc w:val="left"/>
      <w:pPr>
        <w:ind w:left="720" w:hanging="360"/>
      </w:pPr>
      <w:rPr>
        <w:rFonts w:ascii="Symbol" w:eastAsiaTheme="minorHAnsi" w:hAnsi="Symbol" w:cs="Symbo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Cambria Math" w:hAnsi="Cambria Math" w:hint="default"/>
      </w:rPr>
    </w:lvl>
    <w:lvl w:ilvl="3" w:tplc="08090001" w:tentative="1">
      <w:start w:val="1"/>
      <w:numFmt w:val="bullet"/>
      <w:lvlText w:val=""/>
      <w:lvlJc w:val="left"/>
      <w:pPr>
        <w:ind w:left="2531" w:hanging="360"/>
      </w:pPr>
      <w:rPr>
        <w:rFonts w:ascii="Segoe UI" w:hAnsi="Segoe UI"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Cambria Math" w:hAnsi="Cambria Math" w:hint="default"/>
      </w:rPr>
    </w:lvl>
    <w:lvl w:ilvl="6" w:tplc="08090001" w:tentative="1">
      <w:start w:val="1"/>
      <w:numFmt w:val="bullet"/>
      <w:lvlText w:val=""/>
      <w:lvlJc w:val="left"/>
      <w:pPr>
        <w:ind w:left="4691" w:hanging="360"/>
      </w:pPr>
      <w:rPr>
        <w:rFonts w:ascii="Segoe UI" w:hAnsi="Segoe UI"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Cambria Math" w:hAnsi="Cambria Math" w:hint="default"/>
      </w:rPr>
    </w:lvl>
  </w:abstractNum>
  <w:abstractNum w:abstractNumId="41" w15:restartNumberingAfterBreak="0">
    <w:nsid w:val="05BC1A19"/>
    <w:multiLevelType w:val="hybridMultilevel"/>
    <w:tmpl w:val="AF3AB1D0"/>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05FE0FF0"/>
    <w:multiLevelType w:val="multilevel"/>
    <w:tmpl w:val="47B2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6105125"/>
    <w:multiLevelType w:val="hybridMultilevel"/>
    <w:tmpl w:val="FA764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6319363"/>
    <w:multiLevelType w:val="hybridMultilevel"/>
    <w:tmpl w:val="FFFFFFFF"/>
    <w:lvl w:ilvl="0" w:tplc="9C54F358">
      <w:start w:val="1"/>
      <w:numFmt w:val="decimal"/>
      <w:lvlText w:val="%1)"/>
      <w:lvlJc w:val="left"/>
      <w:pPr>
        <w:ind w:left="720" w:hanging="360"/>
      </w:pPr>
    </w:lvl>
    <w:lvl w:ilvl="1" w:tplc="33663A5E">
      <w:start w:val="1"/>
      <w:numFmt w:val="lowerLetter"/>
      <w:lvlText w:val="%2."/>
      <w:lvlJc w:val="left"/>
      <w:pPr>
        <w:ind w:left="1440" w:hanging="360"/>
      </w:pPr>
    </w:lvl>
    <w:lvl w:ilvl="2" w:tplc="AEC8D5DE">
      <w:start w:val="1"/>
      <w:numFmt w:val="lowerRoman"/>
      <w:lvlText w:val="%3."/>
      <w:lvlJc w:val="right"/>
      <w:pPr>
        <w:ind w:left="2160" w:hanging="180"/>
      </w:pPr>
    </w:lvl>
    <w:lvl w:ilvl="3" w:tplc="591290C2">
      <w:start w:val="1"/>
      <w:numFmt w:val="decimal"/>
      <w:lvlText w:val="%4."/>
      <w:lvlJc w:val="left"/>
      <w:pPr>
        <w:ind w:left="2880" w:hanging="360"/>
      </w:pPr>
    </w:lvl>
    <w:lvl w:ilvl="4" w:tplc="DFB48A9C">
      <w:start w:val="1"/>
      <w:numFmt w:val="lowerLetter"/>
      <w:lvlText w:val="%5."/>
      <w:lvlJc w:val="left"/>
      <w:pPr>
        <w:ind w:left="3600" w:hanging="360"/>
      </w:pPr>
    </w:lvl>
    <w:lvl w:ilvl="5" w:tplc="F5B2562E">
      <w:start w:val="1"/>
      <w:numFmt w:val="lowerRoman"/>
      <w:lvlText w:val="%6."/>
      <w:lvlJc w:val="right"/>
      <w:pPr>
        <w:ind w:left="4320" w:hanging="180"/>
      </w:pPr>
    </w:lvl>
    <w:lvl w:ilvl="6" w:tplc="A3CC79EC">
      <w:start w:val="1"/>
      <w:numFmt w:val="decimal"/>
      <w:lvlText w:val="%7."/>
      <w:lvlJc w:val="left"/>
      <w:pPr>
        <w:ind w:left="5040" w:hanging="360"/>
      </w:pPr>
    </w:lvl>
    <w:lvl w:ilvl="7" w:tplc="C2503260">
      <w:start w:val="1"/>
      <w:numFmt w:val="lowerLetter"/>
      <w:lvlText w:val="%8."/>
      <w:lvlJc w:val="left"/>
      <w:pPr>
        <w:ind w:left="5760" w:hanging="360"/>
      </w:pPr>
    </w:lvl>
    <w:lvl w:ilvl="8" w:tplc="D3BED5D0">
      <w:start w:val="1"/>
      <w:numFmt w:val="lowerRoman"/>
      <w:lvlText w:val="%9."/>
      <w:lvlJc w:val="right"/>
      <w:pPr>
        <w:ind w:left="6480" w:hanging="180"/>
      </w:pPr>
    </w:lvl>
  </w:abstractNum>
  <w:abstractNum w:abstractNumId="45" w15:restartNumberingAfterBreak="0">
    <w:nsid w:val="066F7625"/>
    <w:multiLevelType w:val="hybridMultilevel"/>
    <w:tmpl w:val="55064DD2"/>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711284B"/>
    <w:multiLevelType w:val="hybridMultilevel"/>
    <w:tmpl w:val="FFFFFFFF"/>
    <w:lvl w:ilvl="0" w:tplc="7F94DA00">
      <w:start w:val="1"/>
      <w:numFmt w:val="bullet"/>
      <w:lvlText w:val=""/>
      <w:lvlJc w:val="left"/>
      <w:pPr>
        <w:ind w:left="720" w:hanging="360"/>
      </w:pPr>
      <w:rPr>
        <w:rFonts w:ascii="Segoe UI" w:hAnsi="Segoe UI" w:hint="default"/>
      </w:rPr>
    </w:lvl>
    <w:lvl w:ilvl="1" w:tplc="BA6E8C88">
      <w:start w:val="1"/>
      <w:numFmt w:val="bullet"/>
      <w:lvlText w:val="o"/>
      <w:lvlJc w:val="left"/>
      <w:pPr>
        <w:ind w:left="1440" w:hanging="360"/>
      </w:pPr>
      <w:rPr>
        <w:rFonts w:ascii="Courier New" w:hAnsi="Courier New" w:hint="default"/>
      </w:rPr>
    </w:lvl>
    <w:lvl w:ilvl="2" w:tplc="9F32DACC">
      <w:start w:val="1"/>
      <w:numFmt w:val="bullet"/>
      <w:lvlText w:val=""/>
      <w:lvlJc w:val="left"/>
      <w:pPr>
        <w:ind w:left="2160" w:hanging="360"/>
      </w:pPr>
      <w:rPr>
        <w:rFonts w:ascii="Cambria Math" w:hAnsi="Cambria Math" w:hint="default"/>
      </w:rPr>
    </w:lvl>
    <w:lvl w:ilvl="3" w:tplc="58CC1120">
      <w:start w:val="1"/>
      <w:numFmt w:val="bullet"/>
      <w:lvlText w:val=""/>
      <w:lvlJc w:val="left"/>
      <w:pPr>
        <w:ind w:left="2880" w:hanging="360"/>
      </w:pPr>
      <w:rPr>
        <w:rFonts w:ascii="Segoe UI" w:hAnsi="Segoe UI" w:hint="default"/>
      </w:rPr>
    </w:lvl>
    <w:lvl w:ilvl="4" w:tplc="585414AA">
      <w:start w:val="1"/>
      <w:numFmt w:val="bullet"/>
      <w:lvlText w:val="o"/>
      <w:lvlJc w:val="left"/>
      <w:pPr>
        <w:ind w:left="3600" w:hanging="360"/>
      </w:pPr>
      <w:rPr>
        <w:rFonts w:ascii="Courier New" w:hAnsi="Courier New" w:hint="default"/>
      </w:rPr>
    </w:lvl>
    <w:lvl w:ilvl="5" w:tplc="41802D32">
      <w:start w:val="1"/>
      <w:numFmt w:val="bullet"/>
      <w:lvlText w:val=""/>
      <w:lvlJc w:val="left"/>
      <w:pPr>
        <w:ind w:left="4320" w:hanging="360"/>
      </w:pPr>
      <w:rPr>
        <w:rFonts w:ascii="Cambria Math" w:hAnsi="Cambria Math" w:hint="default"/>
      </w:rPr>
    </w:lvl>
    <w:lvl w:ilvl="6" w:tplc="38AA3490">
      <w:start w:val="1"/>
      <w:numFmt w:val="bullet"/>
      <w:lvlText w:val=""/>
      <w:lvlJc w:val="left"/>
      <w:pPr>
        <w:ind w:left="5040" w:hanging="360"/>
      </w:pPr>
      <w:rPr>
        <w:rFonts w:ascii="Segoe UI" w:hAnsi="Segoe UI" w:hint="default"/>
      </w:rPr>
    </w:lvl>
    <w:lvl w:ilvl="7" w:tplc="C7967A46">
      <w:start w:val="1"/>
      <w:numFmt w:val="bullet"/>
      <w:lvlText w:val="o"/>
      <w:lvlJc w:val="left"/>
      <w:pPr>
        <w:ind w:left="5760" w:hanging="360"/>
      </w:pPr>
      <w:rPr>
        <w:rFonts w:ascii="Courier New" w:hAnsi="Courier New" w:hint="default"/>
      </w:rPr>
    </w:lvl>
    <w:lvl w:ilvl="8" w:tplc="50CE440A">
      <w:start w:val="1"/>
      <w:numFmt w:val="bullet"/>
      <w:lvlText w:val=""/>
      <w:lvlJc w:val="left"/>
      <w:pPr>
        <w:ind w:left="6480" w:hanging="360"/>
      </w:pPr>
      <w:rPr>
        <w:rFonts w:ascii="Cambria Math" w:hAnsi="Cambria Math" w:hint="default"/>
      </w:rPr>
    </w:lvl>
  </w:abstractNum>
  <w:abstractNum w:abstractNumId="47" w15:restartNumberingAfterBreak="0">
    <w:nsid w:val="071A117D"/>
    <w:multiLevelType w:val="hybridMultilevel"/>
    <w:tmpl w:val="21DC5784"/>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8" w15:restartNumberingAfterBreak="0">
    <w:nsid w:val="078935CE"/>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07FB552C"/>
    <w:multiLevelType w:val="hybridMultilevel"/>
    <w:tmpl w:val="653062C2"/>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0" w15:restartNumberingAfterBreak="0">
    <w:nsid w:val="08030763"/>
    <w:multiLevelType w:val="hybridMultilevel"/>
    <w:tmpl w:val="B7E447DA"/>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15:restartNumberingAfterBreak="0">
    <w:nsid w:val="081826EA"/>
    <w:multiLevelType w:val="multilevel"/>
    <w:tmpl w:val="29A03D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8600127"/>
    <w:multiLevelType w:val="hybridMultilevel"/>
    <w:tmpl w:val="85F45C0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08915652"/>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4" w15:restartNumberingAfterBreak="0">
    <w:nsid w:val="08AB27CD"/>
    <w:multiLevelType w:val="hybridMultilevel"/>
    <w:tmpl w:val="6184950E"/>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15:restartNumberingAfterBreak="0">
    <w:nsid w:val="090A7704"/>
    <w:multiLevelType w:val="hybridMultilevel"/>
    <w:tmpl w:val="FFFFFFFF"/>
    <w:lvl w:ilvl="0" w:tplc="81D8DC54">
      <w:start w:val="4"/>
      <w:numFmt w:val="decimal"/>
      <w:lvlText w:val="%1."/>
      <w:lvlJc w:val="left"/>
      <w:pPr>
        <w:ind w:left="720" w:hanging="360"/>
      </w:pPr>
    </w:lvl>
    <w:lvl w:ilvl="1" w:tplc="3D72931C">
      <w:start w:val="1"/>
      <w:numFmt w:val="lowerLetter"/>
      <w:lvlText w:val="%2."/>
      <w:lvlJc w:val="left"/>
      <w:pPr>
        <w:ind w:left="1440" w:hanging="360"/>
      </w:pPr>
    </w:lvl>
    <w:lvl w:ilvl="2" w:tplc="0346ECB2">
      <w:start w:val="1"/>
      <w:numFmt w:val="lowerRoman"/>
      <w:lvlText w:val="%3."/>
      <w:lvlJc w:val="right"/>
      <w:pPr>
        <w:ind w:left="2160" w:hanging="180"/>
      </w:pPr>
    </w:lvl>
    <w:lvl w:ilvl="3" w:tplc="FE3A9B7A">
      <w:start w:val="1"/>
      <w:numFmt w:val="decimal"/>
      <w:lvlText w:val="%4."/>
      <w:lvlJc w:val="left"/>
      <w:pPr>
        <w:ind w:left="2880" w:hanging="360"/>
      </w:pPr>
    </w:lvl>
    <w:lvl w:ilvl="4" w:tplc="FC9460FA">
      <w:start w:val="1"/>
      <w:numFmt w:val="lowerLetter"/>
      <w:lvlText w:val="%5."/>
      <w:lvlJc w:val="left"/>
      <w:pPr>
        <w:ind w:left="3600" w:hanging="360"/>
      </w:pPr>
    </w:lvl>
    <w:lvl w:ilvl="5" w:tplc="C3701342">
      <w:start w:val="1"/>
      <w:numFmt w:val="lowerRoman"/>
      <w:lvlText w:val="%6."/>
      <w:lvlJc w:val="right"/>
      <w:pPr>
        <w:ind w:left="4320" w:hanging="180"/>
      </w:pPr>
    </w:lvl>
    <w:lvl w:ilvl="6" w:tplc="39721A80">
      <w:start w:val="1"/>
      <w:numFmt w:val="decimal"/>
      <w:lvlText w:val="%7."/>
      <w:lvlJc w:val="left"/>
      <w:pPr>
        <w:ind w:left="5040" w:hanging="360"/>
      </w:pPr>
    </w:lvl>
    <w:lvl w:ilvl="7" w:tplc="E7A2D6BE">
      <w:start w:val="1"/>
      <w:numFmt w:val="lowerLetter"/>
      <w:lvlText w:val="%8."/>
      <w:lvlJc w:val="left"/>
      <w:pPr>
        <w:ind w:left="5760" w:hanging="360"/>
      </w:pPr>
    </w:lvl>
    <w:lvl w:ilvl="8" w:tplc="DC6A6FA6">
      <w:start w:val="1"/>
      <w:numFmt w:val="lowerRoman"/>
      <w:lvlText w:val="%9."/>
      <w:lvlJc w:val="right"/>
      <w:pPr>
        <w:ind w:left="6480" w:hanging="180"/>
      </w:pPr>
    </w:lvl>
  </w:abstractNum>
  <w:abstractNum w:abstractNumId="56" w15:restartNumberingAfterBreak="0">
    <w:nsid w:val="092CF653"/>
    <w:multiLevelType w:val="hybridMultilevel"/>
    <w:tmpl w:val="FFFFFFFF"/>
    <w:lvl w:ilvl="0" w:tplc="6E86AD7E">
      <w:numFmt w:val="none"/>
      <w:lvlText w:val=""/>
      <w:lvlJc w:val="left"/>
      <w:pPr>
        <w:tabs>
          <w:tab w:val="num" w:pos="360"/>
        </w:tabs>
      </w:pPr>
    </w:lvl>
    <w:lvl w:ilvl="1" w:tplc="2A50994A">
      <w:start w:val="1"/>
      <w:numFmt w:val="lowerLetter"/>
      <w:lvlText w:val="%2."/>
      <w:lvlJc w:val="left"/>
      <w:pPr>
        <w:ind w:left="1440" w:hanging="360"/>
      </w:pPr>
    </w:lvl>
    <w:lvl w:ilvl="2" w:tplc="1E061FCE">
      <w:start w:val="1"/>
      <w:numFmt w:val="lowerRoman"/>
      <w:lvlText w:val="%3."/>
      <w:lvlJc w:val="right"/>
      <w:pPr>
        <w:ind w:left="2160" w:hanging="180"/>
      </w:pPr>
    </w:lvl>
    <w:lvl w:ilvl="3" w:tplc="9EDE48C4">
      <w:start w:val="1"/>
      <w:numFmt w:val="decimal"/>
      <w:lvlText w:val="%4."/>
      <w:lvlJc w:val="left"/>
      <w:pPr>
        <w:ind w:left="2880" w:hanging="360"/>
      </w:pPr>
    </w:lvl>
    <w:lvl w:ilvl="4" w:tplc="07105AD8">
      <w:start w:val="1"/>
      <w:numFmt w:val="lowerLetter"/>
      <w:lvlText w:val="%5."/>
      <w:lvlJc w:val="left"/>
      <w:pPr>
        <w:ind w:left="3600" w:hanging="360"/>
      </w:pPr>
    </w:lvl>
    <w:lvl w:ilvl="5" w:tplc="98DE21A6">
      <w:start w:val="1"/>
      <w:numFmt w:val="lowerRoman"/>
      <w:lvlText w:val="%6."/>
      <w:lvlJc w:val="right"/>
      <w:pPr>
        <w:ind w:left="4320" w:hanging="180"/>
      </w:pPr>
    </w:lvl>
    <w:lvl w:ilvl="6" w:tplc="5EDA3080">
      <w:start w:val="1"/>
      <w:numFmt w:val="decimal"/>
      <w:lvlText w:val="%7."/>
      <w:lvlJc w:val="left"/>
      <w:pPr>
        <w:ind w:left="5040" w:hanging="360"/>
      </w:pPr>
    </w:lvl>
    <w:lvl w:ilvl="7" w:tplc="21400CA8">
      <w:start w:val="1"/>
      <w:numFmt w:val="lowerLetter"/>
      <w:lvlText w:val="%8."/>
      <w:lvlJc w:val="left"/>
      <w:pPr>
        <w:ind w:left="5760" w:hanging="360"/>
      </w:pPr>
    </w:lvl>
    <w:lvl w:ilvl="8" w:tplc="DC60D61E">
      <w:start w:val="1"/>
      <w:numFmt w:val="lowerRoman"/>
      <w:lvlText w:val="%9."/>
      <w:lvlJc w:val="right"/>
      <w:pPr>
        <w:ind w:left="6480" w:hanging="180"/>
      </w:pPr>
    </w:lvl>
  </w:abstractNum>
  <w:abstractNum w:abstractNumId="57" w15:restartNumberingAfterBreak="0">
    <w:nsid w:val="094251BF"/>
    <w:multiLevelType w:val="hybridMultilevel"/>
    <w:tmpl w:val="AEC40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095C39A3"/>
    <w:multiLevelType w:val="hybridMultilevel"/>
    <w:tmpl w:val="FFFFFFFF"/>
    <w:lvl w:ilvl="0" w:tplc="B82885BA">
      <w:start w:val="1"/>
      <w:numFmt w:val="bullet"/>
      <w:lvlText w:val="o"/>
      <w:lvlJc w:val="left"/>
      <w:pPr>
        <w:ind w:left="720" w:hanging="360"/>
      </w:pPr>
      <w:rPr>
        <w:rFonts w:ascii="&quot;Courier New&quot;" w:hAnsi="&quot;Courier New&quot;" w:hint="default"/>
      </w:rPr>
    </w:lvl>
    <w:lvl w:ilvl="1" w:tplc="D49294FA">
      <w:start w:val="1"/>
      <w:numFmt w:val="bullet"/>
      <w:lvlText w:val="o"/>
      <w:lvlJc w:val="left"/>
      <w:pPr>
        <w:ind w:left="1440" w:hanging="360"/>
      </w:pPr>
      <w:rPr>
        <w:rFonts w:ascii="Courier New" w:hAnsi="Courier New" w:hint="default"/>
      </w:rPr>
    </w:lvl>
    <w:lvl w:ilvl="2" w:tplc="ADFAF67C">
      <w:start w:val="1"/>
      <w:numFmt w:val="bullet"/>
      <w:lvlText w:val=""/>
      <w:lvlJc w:val="left"/>
      <w:pPr>
        <w:ind w:left="2160" w:hanging="360"/>
      </w:pPr>
      <w:rPr>
        <w:rFonts w:ascii="Wingdings" w:hAnsi="Wingdings" w:hint="default"/>
      </w:rPr>
    </w:lvl>
    <w:lvl w:ilvl="3" w:tplc="A9D03620">
      <w:start w:val="1"/>
      <w:numFmt w:val="bullet"/>
      <w:lvlText w:val=""/>
      <w:lvlJc w:val="left"/>
      <w:pPr>
        <w:ind w:left="2880" w:hanging="360"/>
      </w:pPr>
      <w:rPr>
        <w:rFonts w:ascii="Symbol" w:hAnsi="Symbol" w:hint="default"/>
      </w:rPr>
    </w:lvl>
    <w:lvl w:ilvl="4" w:tplc="D4927346">
      <w:start w:val="1"/>
      <w:numFmt w:val="bullet"/>
      <w:lvlText w:val="o"/>
      <w:lvlJc w:val="left"/>
      <w:pPr>
        <w:ind w:left="3600" w:hanging="360"/>
      </w:pPr>
      <w:rPr>
        <w:rFonts w:ascii="Courier New" w:hAnsi="Courier New" w:hint="default"/>
      </w:rPr>
    </w:lvl>
    <w:lvl w:ilvl="5" w:tplc="D0ACD724">
      <w:start w:val="1"/>
      <w:numFmt w:val="bullet"/>
      <w:lvlText w:val=""/>
      <w:lvlJc w:val="left"/>
      <w:pPr>
        <w:ind w:left="4320" w:hanging="360"/>
      </w:pPr>
      <w:rPr>
        <w:rFonts w:ascii="Wingdings" w:hAnsi="Wingdings" w:hint="default"/>
      </w:rPr>
    </w:lvl>
    <w:lvl w:ilvl="6" w:tplc="01D82A24">
      <w:start w:val="1"/>
      <w:numFmt w:val="bullet"/>
      <w:lvlText w:val=""/>
      <w:lvlJc w:val="left"/>
      <w:pPr>
        <w:ind w:left="5040" w:hanging="360"/>
      </w:pPr>
      <w:rPr>
        <w:rFonts w:ascii="Symbol" w:hAnsi="Symbol" w:hint="default"/>
      </w:rPr>
    </w:lvl>
    <w:lvl w:ilvl="7" w:tplc="12F834AA">
      <w:start w:val="1"/>
      <w:numFmt w:val="bullet"/>
      <w:lvlText w:val="o"/>
      <w:lvlJc w:val="left"/>
      <w:pPr>
        <w:ind w:left="5760" w:hanging="360"/>
      </w:pPr>
      <w:rPr>
        <w:rFonts w:ascii="Courier New" w:hAnsi="Courier New" w:hint="default"/>
      </w:rPr>
    </w:lvl>
    <w:lvl w:ilvl="8" w:tplc="C42C4738">
      <w:start w:val="1"/>
      <w:numFmt w:val="bullet"/>
      <w:lvlText w:val=""/>
      <w:lvlJc w:val="left"/>
      <w:pPr>
        <w:ind w:left="6480" w:hanging="360"/>
      </w:pPr>
      <w:rPr>
        <w:rFonts w:ascii="Wingdings" w:hAnsi="Wingdings" w:hint="default"/>
      </w:rPr>
    </w:lvl>
  </w:abstractNum>
  <w:abstractNum w:abstractNumId="59" w15:restartNumberingAfterBreak="0">
    <w:nsid w:val="09618A4B"/>
    <w:multiLevelType w:val="hybridMultilevel"/>
    <w:tmpl w:val="FFFFFFFF"/>
    <w:lvl w:ilvl="0" w:tplc="4BFC8CC8">
      <w:start w:val="8"/>
      <w:numFmt w:val="decimal"/>
      <w:lvlText w:val="%1."/>
      <w:lvlJc w:val="left"/>
      <w:pPr>
        <w:ind w:left="720" w:hanging="360"/>
      </w:pPr>
    </w:lvl>
    <w:lvl w:ilvl="1" w:tplc="722EAE72">
      <w:start w:val="1"/>
      <w:numFmt w:val="lowerLetter"/>
      <w:lvlText w:val="%2."/>
      <w:lvlJc w:val="left"/>
      <w:pPr>
        <w:ind w:left="1440" w:hanging="360"/>
      </w:pPr>
    </w:lvl>
    <w:lvl w:ilvl="2" w:tplc="D400947C">
      <w:start w:val="1"/>
      <w:numFmt w:val="lowerRoman"/>
      <w:lvlText w:val="%3."/>
      <w:lvlJc w:val="right"/>
      <w:pPr>
        <w:ind w:left="2160" w:hanging="180"/>
      </w:pPr>
    </w:lvl>
    <w:lvl w:ilvl="3" w:tplc="FA3EABE8">
      <w:start w:val="1"/>
      <w:numFmt w:val="decimal"/>
      <w:lvlText w:val="%4."/>
      <w:lvlJc w:val="left"/>
      <w:pPr>
        <w:ind w:left="2880" w:hanging="360"/>
      </w:pPr>
    </w:lvl>
    <w:lvl w:ilvl="4" w:tplc="7C00B2E2">
      <w:start w:val="1"/>
      <w:numFmt w:val="lowerLetter"/>
      <w:lvlText w:val="%5."/>
      <w:lvlJc w:val="left"/>
      <w:pPr>
        <w:ind w:left="3600" w:hanging="360"/>
      </w:pPr>
    </w:lvl>
    <w:lvl w:ilvl="5" w:tplc="1196E89C">
      <w:start w:val="1"/>
      <w:numFmt w:val="lowerRoman"/>
      <w:lvlText w:val="%6."/>
      <w:lvlJc w:val="right"/>
      <w:pPr>
        <w:ind w:left="4320" w:hanging="180"/>
      </w:pPr>
    </w:lvl>
    <w:lvl w:ilvl="6" w:tplc="6A2A25CA">
      <w:start w:val="1"/>
      <w:numFmt w:val="decimal"/>
      <w:lvlText w:val="%7."/>
      <w:lvlJc w:val="left"/>
      <w:pPr>
        <w:ind w:left="5040" w:hanging="360"/>
      </w:pPr>
    </w:lvl>
    <w:lvl w:ilvl="7" w:tplc="09A69496">
      <w:start w:val="1"/>
      <w:numFmt w:val="lowerLetter"/>
      <w:lvlText w:val="%8."/>
      <w:lvlJc w:val="left"/>
      <w:pPr>
        <w:ind w:left="5760" w:hanging="360"/>
      </w:pPr>
    </w:lvl>
    <w:lvl w:ilvl="8" w:tplc="C5FCE866">
      <w:start w:val="1"/>
      <w:numFmt w:val="lowerRoman"/>
      <w:lvlText w:val="%9."/>
      <w:lvlJc w:val="right"/>
      <w:pPr>
        <w:ind w:left="6480" w:hanging="180"/>
      </w:pPr>
    </w:lvl>
  </w:abstractNum>
  <w:abstractNum w:abstractNumId="60" w15:restartNumberingAfterBreak="0">
    <w:nsid w:val="09F123B6"/>
    <w:multiLevelType w:val="hybridMultilevel"/>
    <w:tmpl w:val="4A8E832E"/>
    <w:lvl w:ilvl="0" w:tplc="D8C0D6E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1" w15:restartNumberingAfterBreak="0">
    <w:nsid w:val="09FC4086"/>
    <w:multiLevelType w:val="hybridMultilevel"/>
    <w:tmpl w:val="FFFFFFFF"/>
    <w:lvl w:ilvl="0" w:tplc="99CCAA5A">
      <w:start w:val="11"/>
      <w:numFmt w:val="decimal"/>
      <w:lvlText w:val="%1."/>
      <w:lvlJc w:val="left"/>
      <w:pPr>
        <w:ind w:left="720" w:hanging="360"/>
      </w:pPr>
    </w:lvl>
    <w:lvl w:ilvl="1" w:tplc="E67CABD0">
      <w:start w:val="1"/>
      <w:numFmt w:val="lowerLetter"/>
      <w:lvlText w:val="%2."/>
      <w:lvlJc w:val="left"/>
      <w:pPr>
        <w:ind w:left="1440" w:hanging="360"/>
      </w:pPr>
    </w:lvl>
    <w:lvl w:ilvl="2" w:tplc="DC4A8930">
      <w:start w:val="1"/>
      <w:numFmt w:val="lowerRoman"/>
      <w:lvlText w:val="%3."/>
      <w:lvlJc w:val="right"/>
      <w:pPr>
        <w:ind w:left="2160" w:hanging="180"/>
      </w:pPr>
    </w:lvl>
    <w:lvl w:ilvl="3" w:tplc="7FD0D4F4">
      <w:start w:val="1"/>
      <w:numFmt w:val="decimal"/>
      <w:lvlText w:val="%4."/>
      <w:lvlJc w:val="left"/>
      <w:pPr>
        <w:ind w:left="2880" w:hanging="360"/>
      </w:pPr>
    </w:lvl>
    <w:lvl w:ilvl="4" w:tplc="11867ED0">
      <w:start w:val="1"/>
      <w:numFmt w:val="lowerLetter"/>
      <w:lvlText w:val="%5."/>
      <w:lvlJc w:val="left"/>
      <w:pPr>
        <w:ind w:left="3600" w:hanging="360"/>
      </w:pPr>
    </w:lvl>
    <w:lvl w:ilvl="5" w:tplc="82BA9FB8">
      <w:start w:val="1"/>
      <w:numFmt w:val="lowerRoman"/>
      <w:lvlText w:val="%6."/>
      <w:lvlJc w:val="right"/>
      <w:pPr>
        <w:ind w:left="4320" w:hanging="180"/>
      </w:pPr>
    </w:lvl>
    <w:lvl w:ilvl="6" w:tplc="07828226">
      <w:start w:val="1"/>
      <w:numFmt w:val="decimal"/>
      <w:lvlText w:val="%7."/>
      <w:lvlJc w:val="left"/>
      <w:pPr>
        <w:ind w:left="5040" w:hanging="360"/>
      </w:pPr>
    </w:lvl>
    <w:lvl w:ilvl="7" w:tplc="912842AE">
      <w:start w:val="1"/>
      <w:numFmt w:val="lowerLetter"/>
      <w:lvlText w:val="%8."/>
      <w:lvlJc w:val="left"/>
      <w:pPr>
        <w:ind w:left="5760" w:hanging="360"/>
      </w:pPr>
    </w:lvl>
    <w:lvl w:ilvl="8" w:tplc="7D56D82A">
      <w:start w:val="1"/>
      <w:numFmt w:val="lowerRoman"/>
      <w:lvlText w:val="%9."/>
      <w:lvlJc w:val="right"/>
      <w:pPr>
        <w:ind w:left="6480" w:hanging="180"/>
      </w:pPr>
    </w:lvl>
  </w:abstractNum>
  <w:abstractNum w:abstractNumId="62" w15:restartNumberingAfterBreak="0">
    <w:nsid w:val="0A1F0A60"/>
    <w:multiLevelType w:val="hybridMultilevel"/>
    <w:tmpl w:val="D8C4788E"/>
    <w:lvl w:ilvl="0" w:tplc="18090017">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3" w15:restartNumberingAfterBreak="0">
    <w:nsid w:val="0A687BAC"/>
    <w:multiLevelType w:val="multilevel"/>
    <w:tmpl w:val="9BF22E1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4" w15:restartNumberingAfterBreak="0">
    <w:nsid w:val="0A6D252C"/>
    <w:multiLevelType w:val="hybridMultilevel"/>
    <w:tmpl w:val="92FAF1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 w15:restartNumberingAfterBreak="0">
    <w:nsid w:val="0A7E4021"/>
    <w:multiLevelType w:val="hybridMultilevel"/>
    <w:tmpl w:val="EA1CB52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0AB042EB"/>
    <w:multiLevelType w:val="hybridMultilevel"/>
    <w:tmpl w:val="98267608"/>
    <w:lvl w:ilvl="0" w:tplc="FFFFFFFF">
      <w:start w:val="1"/>
      <w:numFmt w:val="lowerLetter"/>
      <w:lvlText w:val="%1."/>
      <w:lvlJc w:val="left"/>
      <w:pPr>
        <w:ind w:left="720" w:hanging="360"/>
      </w:pPr>
    </w:lvl>
    <w:lvl w:ilvl="1" w:tplc="B7303C30">
      <w:start w:val="2"/>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0AC48331"/>
    <w:multiLevelType w:val="hybridMultilevel"/>
    <w:tmpl w:val="FFFFFFFF"/>
    <w:lvl w:ilvl="0" w:tplc="2FB0F470">
      <w:start w:val="9"/>
      <w:numFmt w:val="decimal"/>
      <w:lvlText w:val="%1."/>
      <w:lvlJc w:val="left"/>
      <w:pPr>
        <w:ind w:left="720" w:hanging="360"/>
      </w:pPr>
    </w:lvl>
    <w:lvl w:ilvl="1" w:tplc="262CDB7C">
      <w:start w:val="1"/>
      <w:numFmt w:val="lowerLetter"/>
      <w:lvlText w:val="%2."/>
      <w:lvlJc w:val="left"/>
      <w:pPr>
        <w:ind w:left="1440" w:hanging="360"/>
      </w:pPr>
    </w:lvl>
    <w:lvl w:ilvl="2" w:tplc="CD189A4A">
      <w:start w:val="1"/>
      <w:numFmt w:val="lowerRoman"/>
      <w:lvlText w:val="%3."/>
      <w:lvlJc w:val="right"/>
      <w:pPr>
        <w:ind w:left="2160" w:hanging="180"/>
      </w:pPr>
    </w:lvl>
    <w:lvl w:ilvl="3" w:tplc="A3CC37DC">
      <w:start w:val="1"/>
      <w:numFmt w:val="decimal"/>
      <w:lvlText w:val="%4."/>
      <w:lvlJc w:val="left"/>
      <w:pPr>
        <w:ind w:left="2880" w:hanging="360"/>
      </w:pPr>
    </w:lvl>
    <w:lvl w:ilvl="4" w:tplc="6040F492">
      <w:start w:val="1"/>
      <w:numFmt w:val="lowerLetter"/>
      <w:lvlText w:val="%5."/>
      <w:lvlJc w:val="left"/>
      <w:pPr>
        <w:ind w:left="3600" w:hanging="360"/>
      </w:pPr>
    </w:lvl>
    <w:lvl w:ilvl="5" w:tplc="20C6B424">
      <w:start w:val="1"/>
      <w:numFmt w:val="lowerRoman"/>
      <w:lvlText w:val="%6."/>
      <w:lvlJc w:val="right"/>
      <w:pPr>
        <w:ind w:left="4320" w:hanging="180"/>
      </w:pPr>
    </w:lvl>
    <w:lvl w:ilvl="6" w:tplc="567C5EAC">
      <w:start w:val="1"/>
      <w:numFmt w:val="decimal"/>
      <w:lvlText w:val="%7."/>
      <w:lvlJc w:val="left"/>
      <w:pPr>
        <w:ind w:left="5040" w:hanging="360"/>
      </w:pPr>
    </w:lvl>
    <w:lvl w:ilvl="7" w:tplc="87900506">
      <w:start w:val="1"/>
      <w:numFmt w:val="lowerLetter"/>
      <w:lvlText w:val="%8."/>
      <w:lvlJc w:val="left"/>
      <w:pPr>
        <w:ind w:left="5760" w:hanging="360"/>
      </w:pPr>
    </w:lvl>
    <w:lvl w:ilvl="8" w:tplc="0E120AE6">
      <w:start w:val="1"/>
      <w:numFmt w:val="lowerRoman"/>
      <w:lvlText w:val="%9."/>
      <w:lvlJc w:val="right"/>
      <w:pPr>
        <w:ind w:left="6480" w:hanging="180"/>
      </w:pPr>
    </w:lvl>
  </w:abstractNum>
  <w:abstractNum w:abstractNumId="68" w15:restartNumberingAfterBreak="0">
    <w:nsid w:val="0ACA247E"/>
    <w:multiLevelType w:val="hybridMultilevel"/>
    <w:tmpl w:val="70ACF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ACC680F"/>
    <w:multiLevelType w:val="multilevel"/>
    <w:tmpl w:val="9DD0A3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AF577BC"/>
    <w:multiLevelType w:val="multilevel"/>
    <w:tmpl w:val="8A66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B0B67BF"/>
    <w:multiLevelType w:val="hybridMultilevel"/>
    <w:tmpl w:val="AC1C5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0B206FD5"/>
    <w:multiLevelType w:val="hybridMultilevel"/>
    <w:tmpl w:val="37F4E0E2"/>
    <w:lvl w:ilvl="0" w:tplc="F1503CAC">
      <w:start w:val="12"/>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0B4910E7"/>
    <w:multiLevelType w:val="hybridMultilevel"/>
    <w:tmpl w:val="2DB4A476"/>
    <w:lvl w:ilvl="0" w:tplc="FF9A50B0">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0B533329"/>
    <w:multiLevelType w:val="hybridMultilevel"/>
    <w:tmpl w:val="C3427584"/>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75" w15:restartNumberingAfterBreak="0">
    <w:nsid w:val="0B8939DC"/>
    <w:multiLevelType w:val="multilevel"/>
    <w:tmpl w:val="C660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BA727C9"/>
    <w:multiLevelType w:val="hybridMultilevel"/>
    <w:tmpl w:val="FFFFFFFF"/>
    <w:lvl w:ilvl="0" w:tplc="DA00AD48">
      <w:start w:val="1"/>
      <w:numFmt w:val="bullet"/>
      <w:lvlText w:val=""/>
      <w:lvlJc w:val="left"/>
      <w:pPr>
        <w:ind w:left="720" w:hanging="360"/>
      </w:pPr>
      <w:rPr>
        <w:rFonts w:ascii="Symbol" w:hAnsi="Symbol" w:hint="default"/>
      </w:rPr>
    </w:lvl>
    <w:lvl w:ilvl="1" w:tplc="1F601CFA">
      <w:start w:val="1"/>
      <w:numFmt w:val="bullet"/>
      <w:lvlText w:val="-"/>
      <w:lvlJc w:val="left"/>
      <w:pPr>
        <w:ind w:left="1440" w:hanging="360"/>
      </w:pPr>
      <w:rPr>
        <w:rFonts w:ascii="Calibri" w:hAnsi="Calibri" w:hint="default"/>
      </w:rPr>
    </w:lvl>
    <w:lvl w:ilvl="2" w:tplc="F334B0C0">
      <w:start w:val="1"/>
      <w:numFmt w:val="bullet"/>
      <w:lvlText w:val=""/>
      <w:lvlJc w:val="left"/>
      <w:pPr>
        <w:ind w:left="2160" w:hanging="360"/>
      </w:pPr>
      <w:rPr>
        <w:rFonts w:ascii="Wingdings" w:hAnsi="Wingdings" w:hint="default"/>
      </w:rPr>
    </w:lvl>
    <w:lvl w:ilvl="3" w:tplc="26004220">
      <w:start w:val="1"/>
      <w:numFmt w:val="bullet"/>
      <w:lvlText w:val=""/>
      <w:lvlJc w:val="left"/>
      <w:pPr>
        <w:ind w:left="2880" w:hanging="360"/>
      </w:pPr>
      <w:rPr>
        <w:rFonts w:ascii="Symbol" w:hAnsi="Symbol" w:hint="default"/>
      </w:rPr>
    </w:lvl>
    <w:lvl w:ilvl="4" w:tplc="52C01A7E">
      <w:start w:val="1"/>
      <w:numFmt w:val="bullet"/>
      <w:lvlText w:val="o"/>
      <w:lvlJc w:val="left"/>
      <w:pPr>
        <w:ind w:left="3600" w:hanging="360"/>
      </w:pPr>
      <w:rPr>
        <w:rFonts w:ascii="Courier New" w:hAnsi="Courier New" w:hint="default"/>
      </w:rPr>
    </w:lvl>
    <w:lvl w:ilvl="5" w:tplc="DE061B64">
      <w:start w:val="1"/>
      <w:numFmt w:val="bullet"/>
      <w:lvlText w:val=""/>
      <w:lvlJc w:val="left"/>
      <w:pPr>
        <w:ind w:left="4320" w:hanging="360"/>
      </w:pPr>
      <w:rPr>
        <w:rFonts w:ascii="Wingdings" w:hAnsi="Wingdings" w:hint="default"/>
      </w:rPr>
    </w:lvl>
    <w:lvl w:ilvl="6" w:tplc="47726038">
      <w:start w:val="1"/>
      <w:numFmt w:val="bullet"/>
      <w:lvlText w:val=""/>
      <w:lvlJc w:val="left"/>
      <w:pPr>
        <w:ind w:left="5040" w:hanging="360"/>
      </w:pPr>
      <w:rPr>
        <w:rFonts w:ascii="Symbol" w:hAnsi="Symbol" w:hint="default"/>
      </w:rPr>
    </w:lvl>
    <w:lvl w:ilvl="7" w:tplc="CDAA6838">
      <w:start w:val="1"/>
      <w:numFmt w:val="bullet"/>
      <w:lvlText w:val="o"/>
      <w:lvlJc w:val="left"/>
      <w:pPr>
        <w:ind w:left="5760" w:hanging="360"/>
      </w:pPr>
      <w:rPr>
        <w:rFonts w:ascii="Courier New" w:hAnsi="Courier New" w:hint="default"/>
      </w:rPr>
    </w:lvl>
    <w:lvl w:ilvl="8" w:tplc="B98A9C26">
      <w:start w:val="1"/>
      <w:numFmt w:val="bullet"/>
      <w:lvlText w:val=""/>
      <w:lvlJc w:val="left"/>
      <w:pPr>
        <w:ind w:left="6480" w:hanging="360"/>
      </w:pPr>
      <w:rPr>
        <w:rFonts w:ascii="Wingdings" w:hAnsi="Wingdings" w:hint="default"/>
      </w:rPr>
    </w:lvl>
  </w:abstractNum>
  <w:abstractNum w:abstractNumId="77" w15:restartNumberingAfterBreak="0">
    <w:nsid w:val="0BCC2112"/>
    <w:multiLevelType w:val="hybridMultilevel"/>
    <w:tmpl w:val="FFFFFFFF"/>
    <w:lvl w:ilvl="0" w:tplc="F24CEC56">
      <w:start w:val="1"/>
      <w:numFmt w:val="bullet"/>
      <w:lvlText w:val=""/>
      <w:lvlJc w:val="left"/>
      <w:pPr>
        <w:ind w:left="720" w:hanging="360"/>
      </w:pPr>
      <w:rPr>
        <w:rFonts w:ascii="Symbol" w:hAnsi="Symbol" w:hint="default"/>
      </w:rPr>
    </w:lvl>
    <w:lvl w:ilvl="1" w:tplc="45649E9C">
      <w:start w:val="1"/>
      <w:numFmt w:val="bullet"/>
      <w:lvlText w:val="-"/>
      <w:lvlJc w:val="left"/>
      <w:pPr>
        <w:ind w:left="1440" w:hanging="360"/>
      </w:pPr>
      <w:rPr>
        <w:rFonts w:ascii="Calibri" w:hAnsi="Calibri" w:hint="default"/>
      </w:rPr>
    </w:lvl>
    <w:lvl w:ilvl="2" w:tplc="3CFE64FC">
      <w:start w:val="1"/>
      <w:numFmt w:val="bullet"/>
      <w:lvlText w:val=""/>
      <w:lvlJc w:val="left"/>
      <w:pPr>
        <w:ind w:left="2160" w:hanging="360"/>
      </w:pPr>
      <w:rPr>
        <w:rFonts w:ascii="Wingdings" w:hAnsi="Wingdings" w:hint="default"/>
      </w:rPr>
    </w:lvl>
    <w:lvl w:ilvl="3" w:tplc="83307060">
      <w:start w:val="1"/>
      <w:numFmt w:val="bullet"/>
      <w:lvlText w:val=""/>
      <w:lvlJc w:val="left"/>
      <w:pPr>
        <w:ind w:left="2880" w:hanging="360"/>
      </w:pPr>
      <w:rPr>
        <w:rFonts w:ascii="Symbol" w:hAnsi="Symbol" w:hint="default"/>
      </w:rPr>
    </w:lvl>
    <w:lvl w:ilvl="4" w:tplc="A3941560">
      <w:start w:val="1"/>
      <w:numFmt w:val="bullet"/>
      <w:lvlText w:val="o"/>
      <w:lvlJc w:val="left"/>
      <w:pPr>
        <w:ind w:left="3600" w:hanging="360"/>
      </w:pPr>
      <w:rPr>
        <w:rFonts w:ascii="Courier New" w:hAnsi="Courier New" w:hint="default"/>
      </w:rPr>
    </w:lvl>
    <w:lvl w:ilvl="5" w:tplc="691A649E">
      <w:start w:val="1"/>
      <w:numFmt w:val="bullet"/>
      <w:lvlText w:val=""/>
      <w:lvlJc w:val="left"/>
      <w:pPr>
        <w:ind w:left="4320" w:hanging="360"/>
      </w:pPr>
      <w:rPr>
        <w:rFonts w:ascii="Wingdings" w:hAnsi="Wingdings" w:hint="default"/>
      </w:rPr>
    </w:lvl>
    <w:lvl w:ilvl="6" w:tplc="5BC29AD6">
      <w:start w:val="1"/>
      <w:numFmt w:val="bullet"/>
      <w:lvlText w:val=""/>
      <w:lvlJc w:val="left"/>
      <w:pPr>
        <w:ind w:left="5040" w:hanging="360"/>
      </w:pPr>
      <w:rPr>
        <w:rFonts w:ascii="Symbol" w:hAnsi="Symbol" w:hint="default"/>
      </w:rPr>
    </w:lvl>
    <w:lvl w:ilvl="7" w:tplc="A3C076E0">
      <w:start w:val="1"/>
      <w:numFmt w:val="bullet"/>
      <w:lvlText w:val="o"/>
      <w:lvlJc w:val="left"/>
      <w:pPr>
        <w:ind w:left="5760" w:hanging="360"/>
      </w:pPr>
      <w:rPr>
        <w:rFonts w:ascii="Courier New" w:hAnsi="Courier New" w:hint="default"/>
      </w:rPr>
    </w:lvl>
    <w:lvl w:ilvl="8" w:tplc="E7D69C9E">
      <w:start w:val="1"/>
      <w:numFmt w:val="bullet"/>
      <w:lvlText w:val=""/>
      <w:lvlJc w:val="left"/>
      <w:pPr>
        <w:ind w:left="6480" w:hanging="360"/>
      </w:pPr>
      <w:rPr>
        <w:rFonts w:ascii="Wingdings" w:hAnsi="Wingdings" w:hint="default"/>
      </w:rPr>
    </w:lvl>
  </w:abstractNum>
  <w:abstractNum w:abstractNumId="78" w15:restartNumberingAfterBreak="0">
    <w:nsid w:val="0BF72E00"/>
    <w:multiLevelType w:val="hybridMultilevel"/>
    <w:tmpl w:val="DD2CA33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0C385703"/>
    <w:multiLevelType w:val="hybridMultilevel"/>
    <w:tmpl w:val="FFFFFFFF"/>
    <w:lvl w:ilvl="0" w:tplc="FFFFFFFF">
      <w:start w:val="1"/>
      <w:numFmt w:val="decimal"/>
      <w:lvlText w:val="%1."/>
      <w:lvlJc w:val="left"/>
      <w:pPr>
        <w:ind w:left="720" w:hanging="360"/>
      </w:pPr>
      <w:rPr>
        <w:rFonts w:hint="default"/>
      </w:rPr>
    </w:lvl>
    <w:lvl w:ilvl="1" w:tplc="26F87DA6">
      <w:start w:val="1"/>
      <w:numFmt w:val="bullet"/>
      <w:lvlText w:val="o"/>
      <w:lvlJc w:val="left"/>
      <w:pPr>
        <w:ind w:left="1440" w:hanging="360"/>
      </w:pPr>
      <w:rPr>
        <w:rFonts w:ascii="Courier New" w:hAnsi="Courier New" w:hint="default"/>
      </w:rPr>
    </w:lvl>
    <w:lvl w:ilvl="2" w:tplc="EBE4107C">
      <w:start w:val="1"/>
      <w:numFmt w:val="bullet"/>
      <w:lvlText w:val=""/>
      <w:lvlJc w:val="left"/>
      <w:pPr>
        <w:ind w:left="2160" w:hanging="360"/>
      </w:pPr>
      <w:rPr>
        <w:rFonts w:ascii="Wingdings" w:hAnsi="Wingdings" w:hint="default"/>
      </w:rPr>
    </w:lvl>
    <w:lvl w:ilvl="3" w:tplc="C1DEE4CC">
      <w:start w:val="1"/>
      <w:numFmt w:val="bullet"/>
      <w:lvlText w:val=""/>
      <w:lvlJc w:val="left"/>
      <w:pPr>
        <w:ind w:left="2880" w:hanging="360"/>
      </w:pPr>
      <w:rPr>
        <w:rFonts w:ascii="Symbol" w:hAnsi="Symbol" w:hint="default"/>
      </w:rPr>
    </w:lvl>
    <w:lvl w:ilvl="4" w:tplc="0388E032">
      <w:start w:val="1"/>
      <w:numFmt w:val="bullet"/>
      <w:lvlText w:val="o"/>
      <w:lvlJc w:val="left"/>
      <w:pPr>
        <w:ind w:left="3600" w:hanging="360"/>
      </w:pPr>
      <w:rPr>
        <w:rFonts w:ascii="Courier New" w:hAnsi="Courier New" w:hint="default"/>
      </w:rPr>
    </w:lvl>
    <w:lvl w:ilvl="5" w:tplc="8410B7A0">
      <w:start w:val="1"/>
      <w:numFmt w:val="bullet"/>
      <w:lvlText w:val=""/>
      <w:lvlJc w:val="left"/>
      <w:pPr>
        <w:ind w:left="4320" w:hanging="360"/>
      </w:pPr>
      <w:rPr>
        <w:rFonts w:ascii="Wingdings" w:hAnsi="Wingdings" w:hint="default"/>
      </w:rPr>
    </w:lvl>
    <w:lvl w:ilvl="6" w:tplc="06A65D1C">
      <w:start w:val="1"/>
      <w:numFmt w:val="bullet"/>
      <w:lvlText w:val=""/>
      <w:lvlJc w:val="left"/>
      <w:pPr>
        <w:ind w:left="5040" w:hanging="360"/>
      </w:pPr>
      <w:rPr>
        <w:rFonts w:ascii="Symbol" w:hAnsi="Symbol" w:hint="default"/>
      </w:rPr>
    </w:lvl>
    <w:lvl w:ilvl="7" w:tplc="84809D22">
      <w:start w:val="1"/>
      <w:numFmt w:val="bullet"/>
      <w:lvlText w:val="o"/>
      <w:lvlJc w:val="left"/>
      <w:pPr>
        <w:ind w:left="5760" w:hanging="360"/>
      </w:pPr>
      <w:rPr>
        <w:rFonts w:ascii="Courier New" w:hAnsi="Courier New" w:hint="default"/>
      </w:rPr>
    </w:lvl>
    <w:lvl w:ilvl="8" w:tplc="CB204382">
      <w:start w:val="1"/>
      <w:numFmt w:val="bullet"/>
      <w:lvlText w:val=""/>
      <w:lvlJc w:val="left"/>
      <w:pPr>
        <w:ind w:left="6480" w:hanging="360"/>
      </w:pPr>
      <w:rPr>
        <w:rFonts w:ascii="Wingdings" w:hAnsi="Wingdings" w:hint="default"/>
      </w:rPr>
    </w:lvl>
  </w:abstractNum>
  <w:abstractNum w:abstractNumId="80" w15:restartNumberingAfterBreak="0">
    <w:nsid w:val="0C622675"/>
    <w:multiLevelType w:val="hybridMultilevel"/>
    <w:tmpl w:val="FFFFFFFF"/>
    <w:lvl w:ilvl="0" w:tplc="4A3AF234">
      <w:start w:val="1"/>
      <w:numFmt w:val="bullet"/>
      <w:lvlText w:val=""/>
      <w:lvlJc w:val="left"/>
      <w:pPr>
        <w:ind w:left="720" w:hanging="360"/>
      </w:pPr>
      <w:rPr>
        <w:rFonts w:ascii="Symbol" w:hAnsi="Symbol" w:hint="default"/>
      </w:rPr>
    </w:lvl>
    <w:lvl w:ilvl="1" w:tplc="6660098C">
      <w:start w:val="1"/>
      <w:numFmt w:val="bullet"/>
      <w:lvlText w:val="o"/>
      <w:lvlJc w:val="left"/>
      <w:pPr>
        <w:ind w:left="1440" w:hanging="360"/>
      </w:pPr>
      <w:rPr>
        <w:rFonts w:ascii="Courier New" w:hAnsi="Courier New" w:hint="default"/>
      </w:rPr>
    </w:lvl>
    <w:lvl w:ilvl="2" w:tplc="89448F32">
      <w:start w:val="1"/>
      <w:numFmt w:val="bullet"/>
      <w:lvlText w:val=""/>
      <w:lvlJc w:val="left"/>
      <w:pPr>
        <w:ind w:left="2160" w:hanging="360"/>
      </w:pPr>
      <w:rPr>
        <w:rFonts w:ascii="Wingdings" w:hAnsi="Wingdings" w:hint="default"/>
      </w:rPr>
    </w:lvl>
    <w:lvl w:ilvl="3" w:tplc="F92815AA">
      <w:start w:val="1"/>
      <w:numFmt w:val="bullet"/>
      <w:lvlText w:val=""/>
      <w:lvlJc w:val="left"/>
      <w:pPr>
        <w:ind w:left="2880" w:hanging="360"/>
      </w:pPr>
      <w:rPr>
        <w:rFonts w:ascii="Symbol" w:hAnsi="Symbol" w:hint="default"/>
      </w:rPr>
    </w:lvl>
    <w:lvl w:ilvl="4" w:tplc="849E1B70">
      <w:start w:val="1"/>
      <w:numFmt w:val="bullet"/>
      <w:lvlText w:val="o"/>
      <w:lvlJc w:val="left"/>
      <w:pPr>
        <w:ind w:left="3600" w:hanging="360"/>
      </w:pPr>
      <w:rPr>
        <w:rFonts w:ascii="Courier New" w:hAnsi="Courier New" w:hint="default"/>
      </w:rPr>
    </w:lvl>
    <w:lvl w:ilvl="5" w:tplc="E9D407D2">
      <w:start w:val="1"/>
      <w:numFmt w:val="bullet"/>
      <w:lvlText w:val=""/>
      <w:lvlJc w:val="left"/>
      <w:pPr>
        <w:ind w:left="4320" w:hanging="360"/>
      </w:pPr>
      <w:rPr>
        <w:rFonts w:ascii="Wingdings" w:hAnsi="Wingdings" w:hint="default"/>
      </w:rPr>
    </w:lvl>
    <w:lvl w:ilvl="6" w:tplc="5A98CC66">
      <w:start w:val="1"/>
      <w:numFmt w:val="bullet"/>
      <w:lvlText w:val=""/>
      <w:lvlJc w:val="left"/>
      <w:pPr>
        <w:ind w:left="5040" w:hanging="360"/>
      </w:pPr>
      <w:rPr>
        <w:rFonts w:ascii="Symbol" w:hAnsi="Symbol" w:hint="default"/>
      </w:rPr>
    </w:lvl>
    <w:lvl w:ilvl="7" w:tplc="E638B9CA">
      <w:start w:val="1"/>
      <w:numFmt w:val="bullet"/>
      <w:lvlText w:val="o"/>
      <w:lvlJc w:val="left"/>
      <w:pPr>
        <w:ind w:left="5760" w:hanging="360"/>
      </w:pPr>
      <w:rPr>
        <w:rFonts w:ascii="Courier New" w:hAnsi="Courier New" w:hint="default"/>
      </w:rPr>
    </w:lvl>
    <w:lvl w:ilvl="8" w:tplc="0EDC8CBE">
      <w:start w:val="1"/>
      <w:numFmt w:val="bullet"/>
      <w:lvlText w:val=""/>
      <w:lvlJc w:val="left"/>
      <w:pPr>
        <w:ind w:left="6480" w:hanging="360"/>
      </w:pPr>
      <w:rPr>
        <w:rFonts w:ascii="Wingdings" w:hAnsi="Wingdings" w:hint="default"/>
      </w:rPr>
    </w:lvl>
  </w:abstractNum>
  <w:abstractNum w:abstractNumId="81" w15:restartNumberingAfterBreak="0">
    <w:nsid w:val="0C64098B"/>
    <w:multiLevelType w:val="hybridMultilevel"/>
    <w:tmpl w:val="798EB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0CADF933"/>
    <w:multiLevelType w:val="hybridMultilevel"/>
    <w:tmpl w:val="FFFFFFFF"/>
    <w:lvl w:ilvl="0" w:tplc="43D21D2C">
      <w:start w:val="1"/>
      <w:numFmt w:val="bullet"/>
      <w:lvlText w:val=""/>
      <w:lvlJc w:val="left"/>
      <w:pPr>
        <w:ind w:left="720" w:hanging="360"/>
      </w:pPr>
      <w:rPr>
        <w:rFonts w:ascii="Symbol" w:hAnsi="Symbol" w:hint="default"/>
      </w:rPr>
    </w:lvl>
    <w:lvl w:ilvl="1" w:tplc="8E605A44">
      <w:start w:val="1"/>
      <w:numFmt w:val="bullet"/>
      <w:lvlText w:val="o"/>
      <w:lvlJc w:val="left"/>
      <w:pPr>
        <w:ind w:left="1440" w:hanging="360"/>
      </w:pPr>
      <w:rPr>
        <w:rFonts w:ascii="Courier New" w:hAnsi="Courier New" w:hint="default"/>
      </w:rPr>
    </w:lvl>
    <w:lvl w:ilvl="2" w:tplc="671052A8">
      <w:start w:val="1"/>
      <w:numFmt w:val="bullet"/>
      <w:lvlText w:val=""/>
      <w:lvlJc w:val="left"/>
      <w:pPr>
        <w:ind w:left="2160" w:hanging="360"/>
      </w:pPr>
      <w:rPr>
        <w:rFonts w:ascii="Wingdings" w:hAnsi="Wingdings" w:hint="default"/>
      </w:rPr>
    </w:lvl>
    <w:lvl w:ilvl="3" w:tplc="5C3A8554">
      <w:start w:val="1"/>
      <w:numFmt w:val="bullet"/>
      <w:lvlText w:val=""/>
      <w:lvlJc w:val="left"/>
      <w:pPr>
        <w:ind w:left="2880" w:hanging="360"/>
      </w:pPr>
      <w:rPr>
        <w:rFonts w:ascii="Symbol" w:hAnsi="Symbol" w:hint="default"/>
      </w:rPr>
    </w:lvl>
    <w:lvl w:ilvl="4" w:tplc="6554A2CC">
      <w:start w:val="1"/>
      <w:numFmt w:val="bullet"/>
      <w:lvlText w:val="o"/>
      <w:lvlJc w:val="left"/>
      <w:pPr>
        <w:ind w:left="3600" w:hanging="360"/>
      </w:pPr>
      <w:rPr>
        <w:rFonts w:ascii="Courier New" w:hAnsi="Courier New" w:hint="default"/>
      </w:rPr>
    </w:lvl>
    <w:lvl w:ilvl="5" w:tplc="0AF6D1D4">
      <w:start w:val="1"/>
      <w:numFmt w:val="bullet"/>
      <w:lvlText w:val=""/>
      <w:lvlJc w:val="left"/>
      <w:pPr>
        <w:ind w:left="4320" w:hanging="360"/>
      </w:pPr>
      <w:rPr>
        <w:rFonts w:ascii="Wingdings" w:hAnsi="Wingdings" w:hint="default"/>
      </w:rPr>
    </w:lvl>
    <w:lvl w:ilvl="6" w:tplc="3AF2A014">
      <w:start w:val="1"/>
      <w:numFmt w:val="bullet"/>
      <w:lvlText w:val=""/>
      <w:lvlJc w:val="left"/>
      <w:pPr>
        <w:ind w:left="5040" w:hanging="360"/>
      </w:pPr>
      <w:rPr>
        <w:rFonts w:ascii="Symbol" w:hAnsi="Symbol" w:hint="default"/>
      </w:rPr>
    </w:lvl>
    <w:lvl w:ilvl="7" w:tplc="AE4AC69A">
      <w:start w:val="1"/>
      <w:numFmt w:val="bullet"/>
      <w:lvlText w:val="o"/>
      <w:lvlJc w:val="left"/>
      <w:pPr>
        <w:ind w:left="5760" w:hanging="360"/>
      </w:pPr>
      <w:rPr>
        <w:rFonts w:ascii="Courier New" w:hAnsi="Courier New" w:hint="default"/>
      </w:rPr>
    </w:lvl>
    <w:lvl w:ilvl="8" w:tplc="AFF49730">
      <w:start w:val="1"/>
      <w:numFmt w:val="bullet"/>
      <w:lvlText w:val=""/>
      <w:lvlJc w:val="left"/>
      <w:pPr>
        <w:ind w:left="6480" w:hanging="360"/>
      </w:pPr>
      <w:rPr>
        <w:rFonts w:ascii="Wingdings" w:hAnsi="Wingdings" w:hint="default"/>
      </w:rPr>
    </w:lvl>
  </w:abstractNum>
  <w:abstractNum w:abstractNumId="83" w15:restartNumberingAfterBreak="0">
    <w:nsid w:val="0CDA48BB"/>
    <w:multiLevelType w:val="hybridMultilevel"/>
    <w:tmpl w:val="D68650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15:restartNumberingAfterBreak="0">
    <w:nsid w:val="0D453578"/>
    <w:multiLevelType w:val="hybridMultilevel"/>
    <w:tmpl w:val="E376D2F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15:restartNumberingAfterBreak="0">
    <w:nsid w:val="0D965EC9"/>
    <w:multiLevelType w:val="hybridMultilevel"/>
    <w:tmpl w:val="193C5F88"/>
    <w:lvl w:ilvl="0" w:tplc="FFFFFFFF">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6" w15:restartNumberingAfterBreak="0">
    <w:nsid w:val="0DE41DAE"/>
    <w:multiLevelType w:val="hybridMultilevel"/>
    <w:tmpl w:val="C97C373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0E3B2876"/>
    <w:multiLevelType w:val="hybridMultilevel"/>
    <w:tmpl w:val="ED267130"/>
    <w:lvl w:ilvl="0" w:tplc="08090001">
      <w:start w:val="1"/>
      <w:numFmt w:val="bullet"/>
      <w:lvlText w:val=""/>
      <w:lvlJc w:val="left"/>
      <w:pPr>
        <w:ind w:left="1429" w:hanging="360"/>
      </w:pPr>
      <w:rPr>
        <w:rFonts w:ascii="Segoe UI" w:hAnsi="Segoe U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Cambria Math" w:hAnsi="Cambria Math" w:hint="default"/>
      </w:rPr>
    </w:lvl>
    <w:lvl w:ilvl="3" w:tplc="04090001" w:tentative="1">
      <w:start w:val="1"/>
      <w:numFmt w:val="bullet"/>
      <w:lvlText w:val=""/>
      <w:lvlJc w:val="left"/>
      <w:pPr>
        <w:ind w:left="3589" w:hanging="360"/>
      </w:pPr>
      <w:rPr>
        <w:rFonts w:ascii="Segoe UI" w:hAnsi="Segoe UI"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Cambria Math" w:hAnsi="Cambria Math" w:hint="default"/>
      </w:rPr>
    </w:lvl>
    <w:lvl w:ilvl="6" w:tplc="04090001" w:tentative="1">
      <w:start w:val="1"/>
      <w:numFmt w:val="bullet"/>
      <w:lvlText w:val=""/>
      <w:lvlJc w:val="left"/>
      <w:pPr>
        <w:ind w:left="5749" w:hanging="360"/>
      </w:pPr>
      <w:rPr>
        <w:rFonts w:ascii="Segoe UI" w:hAnsi="Segoe UI"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Cambria Math" w:hAnsi="Cambria Math" w:hint="default"/>
      </w:rPr>
    </w:lvl>
  </w:abstractNum>
  <w:abstractNum w:abstractNumId="88" w15:restartNumberingAfterBreak="0">
    <w:nsid w:val="0E67283E"/>
    <w:multiLevelType w:val="hybridMultilevel"/>
    <w:tmpl w:val="37AAE84C"/>
    <w:lvl w:ilvl="0" w:tplc="F2F660E2">
      <w:numFmt w:val="bullet"/>
      <w:lvlText w:val="•"/>
      <w:lvlJc w:val="left"/>
      <w:pPr>
        <w:ind w:left="360" w:hanging="360"/>
      </w:pPr>
      <w:rPr>
        <w:rFonts w:ascii="Symbol" w:eastAsiaTheme="minorHAnsi"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Cambria Math" w:hAnsi="Cambria Math" w:hint="default"/>
      </w:rPr>
    </w:lvl>
    <w:lvl w:ilvl="3" w:tplc="0C0A0001">
      <w:start w:val="1"/>
      <w:numFmt w:val="bullet"/>
      <w:lvlText w:val=""/>
      <w:lvlJc w:val="left"/>
      <w:pPr>
        <w:ind w:left="2520" w:hanging="360"/>
      </w:pPr>
      <w:rPr>
        <w:rFonts w:ascii="Segoe UI" w:hAnsi="Segoe UI"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Cambria Math" w:hAnsi="Cambria Math" w:hint="default"/>
      </w:rPr>
    </w:lvl>
    <w:lvl w:ilvl="6" w:tplc="0C0A0001">
      <w:start w:val="1"/>
      <w:numFmt w:val="bullet"/>
      <w:lvlText w:val=""/>
      <w:lvlJc w:val="left"/>
      <w:pPr>
        <w:ind w:left="4680" w:hanging="360"/>
      </w:pPr>
      <w:rPr>
        <w:rFonts w:ascii="Segoe UI" w:hAnsi="Segoe UI"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Cambria Math" w:hAnsi="Cambria Math" w:hint="default"/>
      </w:rPr>
    </w:lvl>
  </w:abstractNum>
  <w:abstractNum w:abstractNumId="89" w15:restartNumberingAfterBreak="0">
    <w:nsid w:val="0ED541BB"/>
    <w:multiLevelType w:val="multilevel"/>
    <w:tmpl w:val="E55E0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0EF5261A"/>
    <w:multiLevelType w:val="hybridMultilevel"/>
    <w:tmpl w:val="FFFFFFFF"/>
    <w:lvl w:ilvl="0" w:tplc="6AF22888">
      <w:start w:val="4"/>
      <w:numFmt w:val="decimal"/>
      <w:lvlText w:val="%1."/>
      <w:lvlJc w:val="left"/>
      <w:pPr>
        <w:ind w:left="720" w:hanging="360"/>
      </w:pPr>
    </w:lvl>
    <w:lvl w:ilvl="1" w:tplc="2E9CA70C">
      <w:start w:val="1"/>
      <w:numFmt w:val="lowerLetter"/>
      <w:lvlText w:val="%2."/>
      <w:lvlJc w:val="left"/>
      <w:pPr>
        <w:ind w:left="1440" w:hanging="360"/>
      </w:pPr>
    </w:lvl>
    <w:lvl w:ilvl="2" w:tplc="F8E04C10">
      <w:start w:val="1"/>
      <w:numFmt w:val="lowerRoman"/>
      <w:lvlText w:val="%3."/>
      <w:lvlJc w:val="right"/>
      <w:pPr>
        <w:ind w:left="2160" w:hanging="180"/>
      </w:pPr>
    </w:lvl>
    <w:lvl w:ilvl="3" w:tplc="68CE2BEE">
      <w:start w:val="1"/>
      <w:numFmt w:val="decimal"/>
      <w:lvlText w:val="%4."/>
      <w:lvlJc w:val="left"/>
      <w:pPr>
        <w:ind w:left="2880" w:hanging="360"/>
      </w:pPr>
    </w:lvl>
    <w:lvl w:ilvl="4" w:tplc="AA4EE106">
      <w:start w:val="1"/>
      <w:numFmt w:val="lowerLetter"/>
      <w:lvlText w:val="%5."/>
      <w:lvlJc w:val="left"/>
      <w:pPr>
        <w:ind w:left="3600" w:hanging="360"/>
      </w:pPr>
    </w:lvl>
    <w:lvl w:ilvl="5" w:tplc="3300EA02">
      <w:start w:val="1"/>
      <w:numFmt w:val="lowerRoman"/>
      <w:lvlText w:val="%6."/>
      <w:lvlJc w:val="right"/>
      <w:pPr>
        <w:ind w:left="4320" w:hanging="180"/>
      </w:pPr>
    </w:lvl>
    <w:lvl w:ilvl="6" w:tplc="0CD2333E">
      <w:start w:val="1"/>
      <w:numFmt w:val="decimal"/>
      <w:lvlText w:val="%7."/>
      <w:lvlJc w:val="left"/>
      <w:pPr>
        <w:ind w:left="5040" w:hanging="360"/>
      </w:pPr>
    </w:lvl>
    <w:lvl w:ilvl="7" w:tplc="4E1E6E8A">
      <w:start w:val="1"/>
      <w:numFmt w:val="lowerLetter"/>
      <w:lvlText w:val="%8."/>
      <w:lvlJc w:val="left"/>
      <w:pPr>
        <w:ind w:left="5760" w:hanging="360"/>
      </w:pPr>
    </w:lvl>
    <w:lvl w:ilvl="8" w:tplc="1AE64628">
      <w:start w:val="1"/>
      <w:numFmt w:val="lowerRoman"/>
      <w:lvlText w:val="%9."/>
      <w:lvlJc w:val="right"/>
      <w:pPr>
        <w:ind w:left="6480" w:hanging="180"/>
      </w:pPr>
    </w:lvl>
  </w:abstractNum>
  <w:abstractNum w:abstractNumId="91" w15:restartNumberingAfterBreak="0">
    <w:nsid w:val="0F073155"/>
    <w:multiLevelType w:val="multilevel"/>
    <w:tmpl w:val="8FF08B1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0F1A7815"/>
    <w:multiLevelType w:val="hybridMultilevel"/>
    <w:tmpl w:val="44280D2C"/>
    <w:lvl w:ilvl="0" w:tplc="ECE83E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F4A355E"/>
    <w:multiLevelType w:val="hybridMultilevel"/>
    <w:tmpl w:val="A9269AF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4" w15:restartNumberingAfterBreak="0">
    <w:nsid w:val="0F9EC93B"/>
    <w:multiLevelType w:val="hybridMultilevel"/>
    <w:tmpl w:val="BCF6CC0A"/>
    <w:lvl w:ilvl="0" w:tplc="495A55B8">
      <w:start w:val="3"/>
      <w:numFmt w:val="lowerLetter"/>
      <w:lvlText w:val="%1."/>
      <w:lvlJc w:val="left"/>
      <w:pPr>
        <w:ind w:left="720" w:hanging="360"/>
      </w:pPr>
    </w:lvl>
    <w:lvl w:ilvl="1" w:tplc="F4C4BEFC">
      <w:start w:val="1"/>
      <w:numFmt w:val="lowerLetter"/>
      <w:lvlText w:val="%2."/>
      <w:lvlJc w:val="left"/>
      <w:pPr>
        <w:ind w:left="1440" w:hanging="360"/>
      </w:pPr>
    </w:lvl>
    <w:lvl w:ilvl="2" w:tplc="5F6C3B0A">
      <w:start w:val="1"/>
      <w:numFmt w:val="lowerRoman"/>
      <w:lvlText w:val="%3."/>
      <w:lvlJc w:val="right"/>
      <w:pPr>
        <w:ind w:left="2160" w:hanging="180"/>
      </w:pPr>
    </w:lvl>
    <w:lvl w:ilvl="3" w:tplc="6040D4AC">
      <w:start w:val="1"/>
      <w:numFmt w:val="decimal"/>
      <w:lvlText w:val="%4."/>
      <w:lvlJc w:val="left"/>
      <w:pPr>
        <w:ind w:left="2880" w:hanging="360"/>
      </w:pPr>
    </w:lvl>
    <w:lvl w:ilvl="4" w:tplc="417C95AC">
      <w:start w:val="1"/>
      <w:numFmt w:val="lowerLetter"/>
      <w:lvlText w:val="%5."/>
      <w:lvlJc w:val="left"/>
      <w:pPr>
        <w:ind w:left="3600" w:hanging="360"/>
      </w:pPr>
    </w:lvl>
    <w:lvl w:ilvl="5" w:tplc="7D246146">
      <w:start w:val="1"/>
      <w:numFmt w:val="lowerRoman"/>
      <w:lvlText w:val="%6."/>
      <w:lvlJc w:val="right"/>
      <w:pPr>
        <w:ind w:left="4320" w:hanging="180"/>
      </w:pPr>
    </w:lvl>
    <w:lvl w:ilvl="6" w:tplc="4672E726">
      <w:start w:val="1"/>
      <w:numFmt w:val="decimal"/>
      <w:lvlText w:val="%7."/>
      <w:lvlJc w:val="left"/>
      <w:pPr>
        <w:ind w:left="5040" w:hanging="360"/>
      </w:pPr>
    </w:lvl>
    <w:lvl w:ilvl="7" w:tplc="5E345262">
      <w:start w:val="1"/>
      <w:numFmt w:val="lowerLetter"/>
      <w:lvlText w:val="%8."/>
      <w:lvlJc w:val="left"/>
      <w:pPr>
        <w:ind w:left="5760" w:hanging="360"/>
      </w:pPr>
    </w:lvl>
    <w:lvl w:ilvl="8" w:tplc="F404CBA0">
      <w:start w:val="1"/>
      <w:numFmt w:val="lowerRoman"/>
      <w:lvlText w:val="%9."/>
      <w:lvlJc w:val="right"/>
      <w:pPr>
        <w:ind w:left="6480" w:hanging="180"/>
      </w:pPr>
    </w:lvl>
  </w:abstractNum>
  <w:abstractNum w:abstractNumId="95" w15:restartNumberingAfterBreak="0">
    <w:nsid w:val="0FC4125E"/>
    <w:multiLevelType w:val="hybridMultilevel"/>
    <w:tmpl w:val="954E797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0FCD64C0"/>
    <w:multiLevelType w:val="hybridMultilevel"/>
    <w:tmpl w:val="11540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1018BE72"/>
    <w:multiLevelType w:val="hybridMultilevel"/>
    <w:tmpl w:val="346205C2"/>
    <w:lvl w:ilvl="0" w:tplc="1EB693CC">
      <w:start w:val="1"/>
      <w:numFmt w:val="bullet"/>
      <w:lvlText w:val="-"/>
      <w:lvlJc w:val="left"/>
      <w:pPr>
        <w:ind w:left="720" w:hanging="360"/>
      </w:pPr>
      <w:rPr>
        <w:rFonts w:ascii="Symbol" w:hAnsi="Symbol" w:hint="default"/>
      </w:rPr>
    </w:lvl>
    <w:lvl w:ilvl="1" w:tplc="A3B4DCB2">
      <w:start w:val="1"/>
      <w:numFmt w:val="bullet"/>
      <w:lvlText w:val="o"/>
      <w:lvlJc w:val="left"/>
      <w:pPr>
        <w:ind w:left="1440" w:hanging="360"/>
      </w:pPr>
      <w:rPr>
        <w:rFonts w:ascii="Courier New" w:hAnsi="Courier New" w:hint="default"/>
      </w:rPr>
    </w:lvl>
    <w:lvl w:ilvl="2" w:tplc="1C72C88A">
      <w:start w:val="1"/>
      <w:numFmt w:val="bullet"/>
      <w:lvlText w:val=""/>
      <w:lvlJc w:val="left"/>
      <w:pPr>
        <w:ind w:left="2160" w:hanging="360"/>
      </w:pPr>
      <w:rPr>
        <w:rFonts w:ascii="Wingdings" w:hAnsi="Wingdings" w:hint="default"/>
      </w:rPr>
    </w:lvl>
    <w:lvl w:ilvl="3" w:tplc="F35C92E4">
      <w:start w:val="1"/>
      <w:numFmt w:val="bullet"/>
      <w:lvlText w:val=""/>
      <w:lvlJc w:val="left"/>
      <w:pPr>
        <w:ind w:left="2880" w:hanging="360"/>
      </w:pPr>
      <w:rPr>
        <w:rFonts w:ascii="Symbol" w:hAnsi="Symbol" w:hint="default"/>
      </w:rPr>
    </w:lvl>
    <w:lvl w:ilvl="4" w:tplc="D4EC0148">
      <w:start w:val="1"/>
      <w:numFmt w:val="bullet"/>
      <w:lvlText w:val="o"/>
      <w:lvlJc w:val="left"/>
      <w:pPr>
        <w:ind w:left="3600" w:hanging="360"/>
      </w:pPr>
      <w:rPr>
        <w:rFonts w:ascii="Courier New" w:hAnsi="Courier New" w:hint="default"/>
      </w:rPr>
    </w:lvl>
    <w:lvl w:ilvl="5" w:tplc="A33E1036">
      <w:start w:val="1"/>
      <w:numFmt w:val="bullet"/>
      <w:lvlText w:val=""/>
      <w:lvlJc w:val="left"/>
      <w:pPr>
        <w:ind w:left="4320" w:hanging="360"/>
      </w:pPr>
      <w:rPr>
        <w:rFonts w:ascii="Wingdings" w:hAnsi="Wingdings" w:hint="default"/>
      </w:rPr>
    </w:lvl>
    <w:lvl w:ilvl="6" w:tplc="2988C5D8">
      <w:start w:val="1"/>
      <w:numFmt w:val="bullet"/>
      <w:lvlText w:val=""/>
      <w:lvlJc w:val="left"/>
      <w:pPr>
        <w:ind w:left="5040" w:hanging="360"/>
      </w:pPr>
      <w:rPr>
        <w:rFonts w:ascii="Symbol" w:hAnsi="Symbol" w:hint="default"/>
      </w:rPr>
    </w:lvl>
    <w:lvl w:ilvl="7" w:tplc="6952EB84">
      <w:start w:val="1"/>
      <w:numFmt w:val="bullet"/>
      <w:lvlText w:val="o"/>
      <w:lvlJc w:val="left"/>
      <w:pPr>
        <w:ind w:left="5760" w:hanging="360"/>
      </w:pPr>
      <w:rPr>
        <w:rFonts w:ascii="Courier New" w:hAnsi="Courier New" w:hint="default"/>
      </w:rPr>
    </w:lvl>
    <w:lvl w:ilvl="8" w:tplc="D5500054">
      <w:start w:val="1"/>
      <w:numFmt w:val="bullet"/>
      <w:lvlText w:val=""/>
      <w:lvlJc w:val="left"/>
      <w:pPr>
        <w:ind w:left="6480" w:hanging="360"/>
      </w:pPr>
      <w:rPr>
        <w:rFonts w:ascii="Wingdings" w:hAnsi="Wingdings" w:hint="default"/>
      </w:rPr>
    </w:lvl>
  </w:abstractNum>
  <w:abstractNum w:abstractNumId="98" w15:restartNumberingAfterBreak="0">
    <w:nsid w:val="105F45AC"/>
    <w:multiLevelType w:val="hybridMultilevel"/>
    <w:tmpl w:val="F8C08386"/>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99" w15:restartNumberingAfterBreak="0">
    <w:nsid w:val="10D4510F"/>
    <w:multiLevelType w:val="hybridMultilevel"/>
    <w:tmpl w:val="620A8790"/>
    <w:lvl w:ilvl="0" w:tplc="FFFFFFFF">
      <w:start w:val="1"/>
      <w:numFmt w:val="decimal"/>
      <w:lvlText w:val="%1."/>
      <w:lvlJc w:val="left"/>
      <w:pPr>
        <w:ind w:left="720" w:hanging="360"/>
      </w:pPr>
    </w:lvl>
    <w:lvl w:ilvl="1" w:tplc="18090019">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0DD1C07"/>
    <w:multiLevelType w:val="hybridMultilevel"/>
    <w:tmpl w:val="C852AC98"/>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1" w15:restartNumberingAfterBreak="0">
    <w:nsid w:val="10E60BDD"/>
    <w:multiLevelType w:val="multilevel"/>
    <w:tmpl w:val="92369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13130FF"/>
    <w:multiLevelType w:val="hybridMultilevel"/>
    <w:tmpl w:val="A9CEE1DE"/>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11634740"/>
    <w:multiLevelType w:val="hybridMultilevel"/>
    <w:tmpl w:val="6256D3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4" w15:restartNumberingAfterBreak="0">
    <w:nsid w:val="11743401"/>
    <w:multiLevelType w:val="hybridMultilevel"/>
    <w:tmpl w:val="CDDADF36"/>
    <w:lvl w:ilvl="0" w:tplc="04100017">
      <w:start w:val="1"/>
      <w:numFmt w:val="lowerLetter"/>
      <w:lvlText w:val="%1)"/>
      <w:lvlJc w:val="left"/>
      <w:pPr>
        <w:ind w:left="1444" w:hanging="735"/>
      </w:pPr>
      <w:rPr>
        <w:rFonts w:hint="default"/>
      </w:rPr>
    </w:lvl>
    <w:lvl w:ilvl="1" w:tplc="9820750A">
      <w:numFmt w:val="bullet"/>
      <w:lvlText w:val="•"/>
      <w:lvlJc w:val="left"/>
      <w:pPr>
        <w:ind w:left="1815" w:hanging="735"/>
      </w:pPr>
      <w:rPr>
        <w:rFonts w:ascii="Symbol" w:eastAsiaTheme="minorHAnsi" w:hAnsi="Symbol" w:cs="Symbol"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105" w15:restartNumberingAfterBreak="0">
    <w:nsid w:val="11B5132B"/>
    <w:multiLevelType w:val="hybridMultilevel"/>
    <w:tmpl w:val="40A2F008"/>
    <w:lvl w:ilvl="0" w:tplc="FF80976C">
      <w:start w:val="3"/>
      <w:numFmt w:val="lowerLetter"/>
      <w:lvlText w:val="%1."/>
      <w:lvlJc w:val="left"/>
      <w:pPr>
        <w:ind w:left="720" w:hanging="360"/>
      </w:pPr>
      <w:rPr>
        <w:rFonts w:hint="default"/>
        <w:color w:val="4F81BD"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6" w15:restartNumberingAfterBreak="0">
    <w:nsid w:val="11D961B3"/>
    <w:multiLevelType w:val="multilevel"/>
    <w:tmpl w:val="BE5C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21550B3"/>
    <w:multiLevelType w:val="hybridMultilevel"/>
    <w:tmpl w:val="71728E8E"/>
    <w:lvl w:ilvl="0" w:tplc="18090001">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ambria Math" w:hAnsi="Cambria Math" w:cs="Cambria Math"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Courier New" w:hAnsi="Courier New" w:hint="default"/>
      </w:rPr>
    </w:lvl>
    <w:lvl w:ilvl="4" w:tplc="18090003" w:tentative="1">
      <w:start w:val="1"/>
      <w:numFmt w:val="bullet"/>
      <w:lvlText w:val="o"/>
      <w:lvlJc w:val="left"/>
      <w:pPr>
        <w:ind w:left="3600" w:hanging="360"/>
      </w:pPr>
      <w:rPr>
        <w:rFonts w:ascii="Cambria Math" w:hAnsi="Cambria Math" w:cs="Cambria Math"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Courier New" w:hAnsi="Courier New" w:hint="default"/>
      </w:rPr>
    </w:lvl>
    <w:lvl w:ilvl="7" w:tplc="18090003" w:tentative="1">
      <w:start w:val="1"/>
      <w:numFmt w:val="bullet"/>
      <w:lvlText w:val="o"/>
      <w:lvlJc w:val="left"/>
      <w:pPr>
        <w:ind w:left="5760" w:hanging="360"/>
      </w:pPr>
      <w:rPr>
        <w:rFonts w:ascii="Cambria Math" w:hAnsi="Cambria Math" w:cs="Cambria Math" w:hint="default"/>
      </w:rPr>
    </w:lvl>
    <w:lvl w:ilvl="8" w:tplc="18090005" w:tentative="1">
      <w:start w:val="1"/>
      <w:numFmt w:val="bullet"/>
      <w:lvlText w:val=""/>
      <w:lvlJc w:val="left"/>
      <w:pPr>
        <w:ind w:left="6480" w:hanging="360"/>
      </w:pPr>
      <w:rPr>
        <w:rFonts w:ascii="Wingdings" w:hAnsi="Wingdings" w:hint="default"/>
      </w:rPr>
    </w:lvl>
  </w:abstractNum>
  <w:abstractNum w:abstractNumId="108" w15:restartNumberingAfterBreak="0">
    <w:nsid w:val="12190814"/>
    <w:multiLevelType w:val="hybridMultilevel"/>
    <w:tmpl w:val="5524BAE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23B1C5D"/>
    <w:multiLevelType w:val="multilevel"/>
    <w:tmpl w:val="C38661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245C6DA"/>
    <w:multiLevelType w:val="hybridMultilevel"/>
    <w:tmpl w:val="FFFFFFFF"/>
    <w:lvl w:ilvl="0" w:tplc="A54E0964">
      <w:start w:val="1"/>
      <w:numFmt w:val="bullet"/>
      <w:lvlText w:val=""/>
      <w:lvlJc w:val="left"/>
      <w:pPr>
        <w:ind w:left="720" w:hanging="360"/>
      </w:pPr>
      <w:rPr>
        <w:rFonts w:ascii="Segoe UI" w:hAnsi="Segoe UI" w:hint="default"/>
      </w:rPr>
    </w:lvl>
    <w:lvl w:ilvl="1" w:tplc="9AD0B79A">
      <w:start w:val="1"/>
      <w:numFmt w:val="bullet"/>
      <w:lvlText w:val="o"/>
      <w:lvlJc w:val="left"/>
      <w:pPr>
        <w:ind w:left="1440" w:hanging="360"/>
      </w:pPr>
      <w:rPr>
        <w:rFonts w:ascii="Courier New" w:hAnsi="Courier New" w:hint="default"/>
      </w:rPr>
    </w:lvl>
    <w:lvl w:ilvl="2" w:tplc="34D0659E">
      <w:start w:val="1"/>
      <w:numFmt w:val="bullet"/>
      <w:lvlText w:val=""/>
      <w:lvlJc w:val="left"/>
      <w:pPr>
        <w:ind w:left="2160" w:hanging="360"/>
      </w:pPr>
      <w:rPr>
        <w:rFonts w:ascii="Cambria Math" w:hAnsi="Cambria Math" w:hint="default"/>
      </w:rPr>
    </w:lvl>
    <w:lvl w:ilvl="3" w:tplc="C8AAADAA">
      <w:start w:val="1"/>
      <w:numFmt w:val="bullet"/>
      <w:lvlText w:val=""/>
      <w:lvlJc w:val="left"/>
      <w:pPr>
        <w:ind w:left="2880" w:hanging="360"/>
      </w:pPr>
      <w:rPr>
        <w:rFonts w:ascii="Segoe UI" w:hAnsi="Segoe UI" w:hint="default"/>
      </w:rPr>
    </w:lvl>
    <w:lvl w:ilvl="4" w:tplc="C90EB8D8">
      <w:start w:val="1"/>
      <w:numFmt w:val="bullet"/>
      <w:lvlText w:val="o"/>
      <w:lvlJc w:val="left"/>
      <w:pPr>
        <w:ind w:left="3600" w:hanging="360"/>
      </w:pPr>
      <w:rPr>
        <w:rFonts w:ascii="Courier New" w:hAnsi="Courier New" w:hint="default"/>
      </w:rPr>
    </w:lvl>
    <w:lvl w:ilvl="5" w:tplc="CA28F91E">
      <w:start w:val="1"/>
      <w:numFmt w:val="bullet"/>
      <w:lvlText w:val=""/>
      <w:lvlJc w:val="left"/>
      <w:pPr>
        <w:ind w:left="4320" w:hanging="360"/>
      </w:pPr>
      <w:rPr>
        <w:rFonts w:ascii="Cambria Math" w:hAnsi="Cambria Math" w:hint="default"/>
      </w:rPr>
    </w:lvl>
    <w:lvl w:ilvl="6" w:tplc="B5F6132C">
      <w:start w:val="1"/>
      <w:numFmt w:val="bullet"/>
      <w:lvlText w:val=""/>
      <w:lvlJc w:val="left"/>
      <w:pPr>
        <w:ind w:left="5040" w:hanging="360"/>
      </w:pPr>
      <w:rPr>
        <w:rFonts w:ascii="Segoe UI" w:hAnsi="Segoe UI" w:hint="default"/>
      </w:rPr>
    </w:lvl>
    <w:lvl w:ilvl="7" w:tplc="F7EA639E">
      <w:start w:val="1"/>
      <w:numFmt w:val="bullet"/>
      <w:lvlText w:val="o"/>
      <w:lvlJc w:val="left"/>
      <w:pPr>
        <w:ind w:left="5760" w:hanging="360"/>
      </w:pPr>
      <w:rPr>
        <w:rFonts w:ascii="Courier New" w:hAnsi="Courier New" w:hint="default"/>
      </w:rPr>
    </w:lvl>
    <w:lvl w:ilvl="8" w:tplc="1E0AD124">
      <w:start w:val="1"/>
      <w:numFmt w:val="bullet"/>
      <w:lvlText w:val=""/>
      <w:lvlJc w:val="left"/>
      <w:pPr>
        <w:ind w:left="6480" w:hanging="360"/>
      </w:pPr>
      <w:rPr>
        <w:rFonts w:ascii="Cambria Math" w:hAnsi="Cambria Math" w:hint="default"/>
      </w:rPr>
    </w:lvl>
  </w:abstractNum>
  <w:abstractNum w:abstractNumId="111" w15:restartNumberingAfterBreak="0">
    <w:nsid w:val="128948C5"/>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12B29CC8"/>
    <w:multiLevelType w:val="hybridMultilevel"/>
    <w:tmpl w:val="FFFFFFFF"/>
    <w:lvl w:ilvl="0" w:tplc="16A2BBB4">
      <w:start w:val="1"/>
      <w:numFmt w:val="bullet"/>
      <w:lvlText w:val="-"/>
      <w:lvlJc w:val="left"/>
      <w:pPr>
        <w:ind w:left="720" w:hanging="360"/>
      </w:pPr>
      <w:rPr>
        <w:rFonts w:ascii="Times New Roman" w:hAnsi="Times New Roman" w:hint="default"/>
      </w:rPr>
    </w:lvl>
    <w:lvl w:ilvl="1" w:tplc="7D4C53B8">
      <w:start w:val="1"/>
      <w:numFmt w:val="bullet"/>
      <w:lvlText w:val="o"/>
      <w:lvlJc w:val="left"/>
      <w:pPr>
        <w:ind w:left="1440" w:hanging="360"/>
      </w:pPr>
      <w:rPr>
        <w:rFonts w:ascii="Courier New" w:hAnsi="Courier New" w:hint="default"/>
      </w:rPr>
    </w:lvl>
    <w:lvl w:ilvl="2" w:tplc="1D0215B4">
      <w:start w:val="1"/>
      <w:numFmt w:val="bullet"/>
      <w:lvlText w:val=""/>
      <w:lvlJc w:val="left"/>
      <w:pPr>
        <w:ind w:left="2160" w:hanging="360"/>
      </w:pPr>
      <w:rPr>
        <w:rFonts w:ascii="Wingdings" w:hAnsi="Wingdings" w:hint="default"/>
      </w:rPr>
    </w:lvl>
    <w:lvl w:ilvl="3" w:tplc="EB50036C">
      <w:start w:val="1"/>
      <w:numFmt w:val="bullet"/>
      <w:lvlText w:val=""/>
      <w:lvlJc w:val="left"/>
      <w:pPr>
        <w:ind w:left="2880" w:hanging="360"/>
      </w:pPr>
      <w:rPr>
        <w:rFonts w:ascii="Symbol" w:hAnsi="Symbol" w:hint="default"/>
      </w:rPr>
    </w:lvl>
    <w:lvl w:ilvl="4" w:tplc="C6FC388A">
      <w:start w:val="1"/>
      <w:numFmt w:val="bullet"/>
      <w:lvlText w:val="o"/>
      <w:lvlJc w:val="left"/>
      <w:pPr>
        <w:ind w:left="3600" w:hanging="360"/>
      </w:pPr>
      <w:rPr>
        <w:rFonts w:ascii="Courier New" w:hAnsi="Courier New" w:hint="default"/>
      </w:rPr>
    </w:lvl>
    <w:lvl w:ilvl="5" w:tplc="81E22EFE">
      <w:start w:val="1"/>
      <w:numFmt w:val="bullet"/>
      <w:lvlText w:val=""/>
      <w:lvlJc w:val="left"/>
      <w:pPr>
        <w:ind w:left="4320" w:hanging="360"/>
      </w:pPr>
      <w:rPr>
        <w:rFonts w:ascii="Wingdings" w:hAnsi="Wingdings" w:hint="default"/>
      </w:rPr>
    </w:lvl>
    <w:lvl w:ilvl="6" w:tplc="17323E42">
      <w:start w:val="1"/>
      <w:numFmt w:val="bullet"/>
      <w:lvlText w:val=""/>
      <w:lvlJc w:val="left"/>
      <w:pPr>
        <w:ind w:left="5040" w:hanging="360"/>
      </w:pPr>
      <w:rPr>
        <w:rFonts w:ascii="Symbol" w:hAnsi="Symbol" w:hint="default"/>
      </w:rPr>
    </w:lvl>
    <w:lvl w:ilvl="7" w:tplc="BA109A92">
      <w:start w:val="1"/>
      <w:numFmt w:val="bullet"/>
      <w:lvlText w:val="o"/>
      <w:lvlJc w:val="left"/>
      <w:pPr>
        <w:ind w:left="5760" w:hanging="360"/>
      </w:pPr>
      <w:rPr>
        <w:rFonts w:ascii="Courier New" w:hAnsi="Courier New" w:hint="default"/>
      </w:rPr>
    </w:lvl>
    <w:lvl w:ilvl="8" w:tplc="733E9AB8">
      <w:start w:val="1"/>
      <w:numFmt w:val="bullet"/>
      <w:lvlText w:val=""/>
      <w:lvlJc w:val="left"/>
      <w:pPr>
        <w:ind w:left="6480" w:hanging="360"/>
      </w:pPr>
      <w:rPr>
        <w:rFonts w:ascii="Wingdings" w:hAnsi="Wingdings" w:hint="default"/>
      </w:rPr>
    </w:lvl>
  </w:abstractNum>
  <w:abstractNum w:abstractNumId="113" w15:restartNumberingAfterBreak="0">
    <w:nsid w:val="12C11C1B"/>
    <w:multiLevelType w:val="multilevel"/>
    <w:tmpl w:val="EE2EF1D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4" w15:restartNumberingAfterBreak="0">
    <w:nsid w:val="12CD02A7"/>
    <w:multiLevelType w:val="multilevel"/>
    <w:tmpl w:val="E99490FC"/>
    <w:lvl w:ilvl="0">
      <w:start w:val="1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5" w15:restartNumberingAfterBreak="0">
    <w:nsid w:val="13124584"/>
    <w:multiLevelType w:val="hybridMultilevel"/>
    <w:tmpl w:val="FFFFFFFF"/>
    <w:lvl w:ilvl="0" w:tplc="692402EC">
      <w:start w:val="1"/>
      <w:numFmt w:val="bullet"/>
      <w:lvlText w:val=""/>
      <w:lvlJc w:val="left"/>
      <w:pPr>
        <w:ind w:left="720" w:hanging="360"/>
      </w:pPr>
      <w:rPr>
        <w:rFonts w:ascii="Symbol" w:hAnsi="Symbol" w:hint="default"/>
      </w:rPr>
    </w:lvl>
    <w:lvl w:ilvl="1" w:tplc="89CA6D74">
      <w:start w:val="1"/>
      <w:numFmt w:val="bullet"/>
      <w:lvlText w:val="o"/>
      <w:lvlJc w:val="left"/>
      <w:pPr>
        <w:ind w:left="1440" w:hanging="360"/>
      </w:pPr>
      <w:rPr>
        <w:rFonts w:ascii="Courier New" w:hAnsi="Courier New" w:hint="default"/>
      </w:rPr>
    </w:lvl>
    <w:lvl w:ilvl="2" w:tplc="52DA10C0">
      <w:start w:val="1"/>
      <w:numFmt w:val="bullet"/>
      <w:lvlText w:val=""/>
      <w:lvlJc w:val="left"/>
      <w:pPr>
        <w:ind w:left="2160" w:hanging="360"/>
      </w:pPr>
      <w:rPr>
        <w:rFonts w:ascii="Wingdings" w:hAnsi="Wingdings" w:hint="default"/>
      </w:rPr>
    </w:lvl>
    <w:lvl w:ilvl="3" w:tplc="0CF6A8D8">
      <w:start w:val="1"/>
      <w:numFmt w:val="bullet"/>
      <w:lvlText w:val=""/>
      <w:lvlJc w:val="left"/>
      <w:pPr>
        <w:ind w:left="2880" w:hanging="360"/>
      </w:pPr>
      <w:rPr>
        <w:rFonts w:ascii="Symbol" w:hAnsi="Symbol" w:hint="default"/>
      </w:rPr>
    </w:lvl>
    <w:lvl w:ilvl="4" w:tplc="0638FA6E">
      <w:start w:val="1"/>
      <w:numFmt w:val="bullet"/>
      <w:lvlText w:val="o"/>
      <w:lvlJc w:val="left"/>
      <w:pPr>
        <w:ind w:left="3600" w:hanging="360"/>
      </w:pPr>
      <w:rPr>
        <w:rFonts w:ascii="Courier New" w:hAnsi="Courier New" w:hint="default"/>
      </w:rPr>
    </w:lvl>
    <w:lvl w:ilvl="5" w:tplc="D8BA0D6C">
      <w:start w:val="1"/>
      <w:numFmt w:val="bullet"/>
      <w:lvlText w:val=""/>
      <w:lvlJc w:val="left"/>
      <w:pPr>
        <w:ind w:left="4320" w:hanging="360"/>
      </w:pPr>
      <w:rPr>
        <w:rFonts w:ascii="Wingdings" w:hAnsi="Wingdings" w:hint="default"/>
      </w:rPr>
    </w:lvl>
    <w:lvl w:ilvl="6" w:tplc="2F08C9A6">
      <w:start w:val="1"/>
      <w:numFmt w:val="bullet"/>
      <w:lvlText w:val=""/>
      <w:lvlJc w:val="left"/>
      <w:pPr>
        <w:ind w:left="5040" w:hanging="360"/>
      </w:pPr>
      <w:rPr>
        <w:rFonts w:ascii="Symbol" w:hAnsi="Symbol" w:hint="default"/>
      </w:rPr>
    </w:lvl>
    <w:lvl w:ilvl="7" w:tplc="74B83C84">
      <w:start w:val="1"/>
      <w:numFmt w:val="bullet"/>
      <w:lvlText w:val="o"/>
      <w:lvlJc w:val="left"/>
      <w:pPr>
        <w:ind w:left="5760" w:hanging="360"/>
      </w:pPr>
      <w:rPr>
        <w:rFonts w:ascii="Courier New" w:hAnsi="Courier New" w:hint="default"/>
      </w:rPr>
    </w:lvl>
    <w:lvl w:ilvl="8" w:tplc="032AA6FE">
      <w:start w:val="1"/>
      <w:numFmt w:val="bullet"/>
      <w:lvlText w:val=""/>
      <w:lvlJc w:val="left"/>
      <w:pPr>
        <w:ind w:left="6480" w:hanging="360"/>
      </w:pPr>
      <w:rPr>
        <w:rFonts w:ascii="Wingdings" w:hAnsi="Wingdings" w:hint="default"/>
      </w:rPr>
    </w:lvl>
  </w:abstractNum>
  <w:abstractNum w:abstractNumId="116" w15:restartNumberingAfterBreak="0">
    <w:nsid w:val="131CC598"/>
    <w:multiLevelType w:val="hybridMultilevel"/>
    <w:tmpl w:val="FFFFFFFF"/>
    <w:lvl w:ilvl="0" w:tplc="367EF668">
      <w:start w:val="6"/>
      <w:numFmt w:val="decimal"/>
      <w:lvlText w:val="%1."/>
      <w:lvlJc w:val="left"/>
      <w:pPr>
        <w:ind w:left="720" w:hanging="360"/>
      </w:pPr>
    </w:lvl>
    <w:lvl w:ilvl="1" w:tplc="B3429812">
      <w:start w:val="1"/>
      <w:numFmt w:val="lowerLetter"/>
      <w:lvlText w:val="%2."/>
      <w:lvlJc w:val="left"/>
      <w:pPr>
        <w:ind w:left="1440" w:hanging="360"/>
      </w:pPr>
    </w:lvl>
    <w:lvl w:ilvl="2" w:tplc="8CC274D2">
      <w:start w:val="1"/>
      <w:numFmt w:val="lowerRoman"/>
      <w:lvlText w:val="%3."/>
      <w:lvlJc w:val="right"/>
      <w:pPr>
        <w:ind w:left="2160" w:hanging="180"/>
      </w:pPr>
    </w:lvl>
    <w:lvl w:ilvl="3" w:tplc="162CFD30">
      <w:start w:val="1"/>
      <w:numFmt w:val="decimal"/>
      <w:lvlText w:val="%4."/>
      <w:lvlJc w:val="left"/>
      <w:pPr>
        <w:ind w:left="2880" w:hanging="360"/>
      </w:pPr>
    </w:lvl>
    <w:lvl w:ilvl="4" w:tplc="CEF4E0E6">
      <w:start w:val="1"/>
      <w:numFmt w:val="lowerLetter"/>
      <w:lvlText w:val="%5."/>
      <w:lvlJc w:val="left"/>
      <w:pPr>
        <w:ind w:left="3600" w:hanging="360"/>
      </w:pPr>
    </w:lvl>
    <w:lvl w:ilvl="5" w:tplc="7722E234">
      <w:start w:val="1"/>
      <w:numFmt w:val="lowerRoman"/>
      <w:lvlText w:val="%6."/>
      <w:lvlJc w:val="right"/>
      <w:pPr>
        <w:ind w:left="4320" w:hanging="180"/>
      </w:pPr>
    </w:lvl>
    <w:lvl w:ilvl="6" w:tplc="6DC8E9CA">
      <w:start w:val="1"/>
      <w:numFmt w:val="decimal"/>
      <w:lvlText w:val="%7."/>
      <w:lvlJc w:val="left"/>
      <w:pPr>
        <w:ind w:left="5040" w:hanging="360"/>
      </w:pPr>
    </w:lvl>
    <w:lvl w:ilvl="7" w:tplc="74E85A12">
      <w:start w:val="1"/>
      <w:numFmt w:val="lowerLetter"/>
      <w:lvlText w:val="%8."/>
      <w:lvlJc w:val="left"/>
      <w:pPr>
        <w:ind w:left="5760" w:hanging="360"/>
      </w:pPr>
    </w:lvl>
    <w:lvl w:ilvl="8" w:tplc="FD9E5536">
      <w:start w:val="1"/>
      <w:numFmt w:val="lowerRoman"/>
      <w:lvlText w:val="%9."/>
      <w:lvlJc w:val="right"/>
      <w:pPr>
        <w:ind w:left="6480" w:hanging="180"/>
      </w:pPr>
    </w:lvl>
  </w:abstractNum>
  <w:abstractNum w:abstractNumId="117" w15:restartNumberingAfterBreak="0">
    <w:nsid w:val="132A5AEA"/>
    <w:multiLevelType w:val="hybridMultilevel"/>
    <w:tmpl w:val="F68861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8" w15:restartNumberingAfterBreak="0">
    <w:nsid w:val="132D68F1"/>
    <w:multiLevelType w:val="hybridMultilevel"/>
    <w:tmpl w:val="72546D48"/>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9" w15:restartNumberingAfterBreak="0">
    <w:nsid w:val="133059F6"/>
    <w:multiLevelType w:val="multilevel"/>
    <w:tmpl w:val="EF3C8E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135F6B00"/>
    <w:multiLevelType w:val="hybridMultilevel"/>
    <w:tmpl w:val="FFFFFFFF"/>
    <w:lvl w:ilvl="0" w:tplc="C64E16A0">
      <w:start w:val="1"/>
      <w:numFmt w:val="bullet"/>
      <w:lvlText w:val="-"/>
      <w:lvlJc w:val="left"/>
      <w:pPr>
        <w:ind w:left="720" w:hanging="360"/>
      </w:pPr>
      <w:rPr>
        <w:rFonts w:ascii="Wingdings" w:hAnsi="Wingdings" w:hint="default"/>
      </w:rPr>
    </w:lvl>
    <w:lvl w:ilvl="1" w:tplc="43E2910C">
      <w:start w:val="1"/>
      <w:numFmt w:val="bullet"/>
      <w:lvlText w:val="o"/>
      <w:lvlJc w:val="left"/>
      <w:pPr>
        <w:ind w:left="1440" w:hanging="360"/>
      </w:pPr>
      <w:rPr>
        <w:rFonts w:ascii="Courier New" w:hAnsi="Courier New" w:hint="default"/>
      </w:rPr>
    </w:lvl>
    <w:lvl w:ilvl="2" w:tplc="F69C44A2">
      <w:start w:val="1"/>
      <w:numFmt w:val="bullet"/>
      <w:lvlText w:val=""/>
      <w:lvlJc w:val="left"/>
      <w:pPr>
        <w:ind w:left="2160" w:hanging="360"/>
      </w:pPr>
      <w:rPr>
        <w:rFonts w:ascii="Cambria Math" w:hAnsi="Cambria Math" w:hint="default"/>
      </w:rPr>
    </w:lvl>
    <w:lvl w:ilvl="3" w:tplc="5B4CF836">
      <w:start w:val="1"/>
      <w:numFmt w:val="bullet"/>
      <w:lvlText w:val=""/>
      <w:lvlJc w:val="left"/>
      <w:pPr>
        <w:ind w:left="2880" w:hanging="360"/>
      </w:pPr>
      <w:rPr>
        <w:rFonts w:ascii="Segoe UI" w:hAnsi="Segoe UI" w:hint="default"/>
      </w:rPr>
    </w:lvl>
    <w:lvl w:ilvl="4" w:tplc="F9C2180C">
      <w:start w:val="1"/>
      <w:numFmt w:val="bullet"/>
      <w:lvlText w:val="o"/>
      <w:lvlJc w:val="left"/>
      <w:pPr>
        <w:ind w:left="3600" w:hanging="360"/>
      </w:pPr>
      <w:rPr>
        <w:rFonts w:ascii="Courier New" w:hAnsi="Courier New" w:hint="default"/>
      </w:rPr>
    </w:lvl>
    <w:lvl w:ilvl="5" w:tplc="DC6CA3AC">
      <w:start w:val="1"/>
      <w:numFmt w:val="bullet"/>
      <w:lvlText w:val=""/>
      <w:lvlJc w:val="left"/>
      <w:pPr>
        <w:ind w:left="4320" w:hanging="360"/>
      </w:pPr>
      <w:rPr>
        <w:rFonts w:ascii="Cambria Math" w:hAnsi="Cambria Math" w:hint="default"/>
      </w:rPr>
    </w:lvl>
    <w:lvl w:ilvl="6" w:tplc="AF04AB2A">
      <w:start w:val="1"/>
      <w:numFmt w:val="bullet"/>
      <w:lvlText w:val=""/>
      <w:lvlJc w:val="left"/>
      <w:pPr>
        <w:ind w:left="5040" w:hanging="360"/>
      </w:pPr>
      <w:rPr>
        <w:rFonts w:ascii="Segoe UI" w:hAnsi="Segoe UI" w:hint="default"/>
      </w:rPr>
    </w:lvl>
    <w:lvl w:ilvl="7" w:tplc="11DA4A76">
      <w:start w:val="1"/>
      <w:numFmt w:val="bullet"/>
      <w:lvlText w:val="o"/>
      <w:lvlJc w:val="left"/>
      <w:pPr>
        <w:ind w:left="5760" w:hanging="360"/>
      </w:pPr>
      <w:rPr>
        <w:rFonts w:ascii="Courier New" w:hAnsi="Courier New" w:hint="default"/>
      </w:rPr>
    </w:lvl>
    <w:lvl w:ilvl="8" w:tplc="11CC3B60">
      <w:start w:val="1"/>
      <w:numFmt w:val="bullet"/>
      <w:lvlText w:val=""/>
      <w:lvlJc w:val="left"/>
      <w:pPr>
        <w:ind w:left="6480" w:hanging="360"/>
      </w:pPr>
      <w:rPr>
        <w:rFonts w:ascii="Cambria Math" w:hAnsi="Cambria Math" w:hint="default"/>
      </w:rPr>
    </w:lvl>
  </w:abstractNum>
  <w:abstractNum w:abstractNumId="121" w15:restartNumberingAfterBreak="0">
    <w:nsid w:val="13944325"/>
    <w:multiLevelType w:val="multilevel"/>
    <w:tmpl w:val="5096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3AD68B3"/>
    <w:multiLevelType w:val="hybridMultilevel"/>
    <w:tmpl w:val="FFFFFFFF"/>
    <w:lvl w:ilvl="0" w:tplc="2FD09CFA">
      <w:start w:val="1"/>
      <w:numFmt w:val="bullet"/>
      <w:lvlText w:val=""/>
      <w:lvlJc w:val="left"/>
      <w:pPr>
        <w:ind w:left="720" w:hanging="360"/>
      </w:pPr>
      <w:rPr>
        <w:rFonts w:ascii="Symbol" w:hAnsi="Symbol" w:hint="default"/>
      </w:rPr>
    </w:lvl>
    <w:lvl w:ilvl="1" w:tplc="BF7EDE30">
      <w:start w:val="1"/>
      <w:numFmt w:val="bullet"/>
      <w:lvlText w:val="-"/>
      <w:lvlJc w:val="left"/>
      <w:pPr>
        <w:ind w:left="1440" w:hanging="360"/>
      </w:pPr>
      <w:rPr>
        <w:rFonts w:ascii="Calibri" w:hAnsi="Calibri" w:hint="default"/>
      </w:rPr>
    </w:lvl>
    <w:lvl w:ilvl="2" w:tplc="5D0872FE">
      <w:start w:val="1"/>
      <w:numFmt w:val="bullet"/>
      <w:lvlText w:val=""/>
      <w:lvlJc w:val="left"/>
      <w:pPr>
        <w:ind w:left="2160" w:hanging="360"/>
      </w:pPr>
      <w:rPr>
        <w:rFonts w:ascii="Wingdings" w:hAnsi="Wingdings" w:hint="default"/>
      </w:rPr>
    </w:lvl>
    <w:lvl w:ilvl="3" w:tplc="0884FD24">
      <w:start w:val="1"/>
      <w:numFmt w:val="bullet"/>
      <w:lvlText w:val=""/>
      <w:lvlJc w:val="left"/>
      <w:pPr>
        <w:ind w:left="2880" w:hanging="360"/>
      </w:pPr>
      <w:rPr>
        <w:rFonts w:ascii="Symbol" w:hAnsi="Symbol" w:hint="default"/>
      </w:rPr>
    </w:lvl>
    <w:lvl w:ilvl="4" w:tplc="FA427D1A">
      <w:start w:val="1"/>
      <w:numFmt w:val="bullet"/>
      <w:lvlText w:val="o"/>
      <w:lvlJc w:val="left"/>
      <w:pPr>
        <w:ind w:left="3600" w:hanging="360"/>
      </w:pPr>
      <w:rPr>
        <w:rFonts w:ascii="Courier New" w:hAnsi="Courier New" w:hint="default"/>
      </w:rPr>
    </w:lvl>
    <w:lvl w:ilvl="5" w:tplc="AD60C208">
      <w:start w:val="1"/>
      <w:numFmt w:val="bullet"/>
      <w:lvlText w:val=""/>
      <w:lvlJc w:val="left"/>
      <w:pPr>
        <w:ind w:left="4320" w:hanging="360"/>
      </w:pPr>
      <w:rPr>
        <w:rFonts w:ascii="Wingdings" w:hAnsi="Wingdings" w:hint="default"/>
      </w:rPr>
    </w:lvl>
    <w:lvl w:ilvl="6" w:tplc="43B49CA2">
      <w:start w:val="1"/>
      <w:numFmt w:val="bullet"/>
      <w:lvlText w:val=""/>
      <w:lvlJc w:val="left"/>
      <w:pPr>
        <w:ind w:left="5040" w:hanging="360"/>
      </w:pPr>
      <w:rPr>
        <w:rFonts w:ascii="Symbol" w:hAnsi="Symbol" w:hint="default"/>
      </w:rPr>
    </w:lvl>
    <w:lvl w:ilvl="7" w:tplc="603E9BF2">
      <w:start w:val="1"/>
      <w:numFmt w:val="bullet"/>
      <w:lvlText w:val="o"/>
      <w:lvlJc w:val="left"/>
      <w:pPr>
        <w:ind w:left="5760" w:hanging="360"/>
      </w:pPr>
      <w:rPr>
        <w:rFonts w:ascii="Courier New" w:hAnsi="Courier New" w:hint="default"/>
      </w:rPr>
    </w:lvl>
    <w:lvl w:ilvl="8" w:tplc="352641AE">
      <w:start w:val="1"/>
      <w:numFmt w:val="bullet"/>
      <w:lvlText w:val=""/>
      <w:lvlJc w:val="left"/>
      <w:pPr>
        <w:ind w:left="6480" w:hanging="360"/>
      </w:pPr>
      <w:rPr>
        <w:rFonts w:ascii="Wingdings" w:hAnsi="Wingdings" w:hint="default"/>
      </w:rPr>
    </w:lvl>
  </w:abstractNum>
  <w:abstractNum w:abstractNumId="123" w15:restartNumberingAfterBreak="0">
    <w:nsid w:val="13DF7C00"/>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13DF7C88"/>
    <w:multiLevelType w:val="multilevel"/>
    <w:tmpl w:val="A036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3E03BBE"/>
    <w:multiLevelType w:val="multilevel"/>
    <w:tmpl w:val="671AB17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3FB7914"/>
    <w:multiLevelType w:val="hybridMultilevel"/>
    <w:tmpl w:val="FFFFFFFF"/>
    <w:lvl w:ilvl="0" w:tplc="E6644CCE">
      <w:start w:val="1"/>
      <w:numFmt w:val="bullet"/>
      <w:lvlText w:val=""/>
      <w:lvlJc w:val="left"/>
      <w:pPr>
        <w:ind w:left="720" w:hanging="360"/>
      </w:pPr>
      <w:rPr>
        <w:rFonts w:ascii="Segoe UI" w:hAnsi="Segoe UI" w:hint="default"/>
      </w:rPr>
    </w:lvl>
    <w:lvl w:ilvl="1" w:tplc="08609144">
      <w:start w:val="1"/>
      <w:numFmt w:val="bullet"/>
      <w:lvlText w:val="o"/>
      <w:lvlJc w:val="left"/>
      <w:pPr>
        <w:ind w:left="1440" w:hanging="360"/>
      </w:pPr>
      <w:rPr>
        <w:rFonts w:ascii="Courier New" w:hAnsi="Courier New" w:hint="default"/>
      </w:rPr>
    </w:lvl>
    <w:lvl w:ilvl="2" w:tplc="46302E14">
      <w:start w:val="1"/>
      <w:numFmt w:val="bullet"/>
      <w:lvlText w:val=""/>
      <w:lvlJc w:val="left"/>
      <w:pPr>
        <w:ind w:left="2160" w:hanging="360"/>
      </w:pPr>
      <w:rPr>
        <w:rFonts w:ascii="Cambria Math" w:hAnsi="Cambria Math" w:hint="default"/>
      </w:rPr>
    </w:lvl>
    <w:lvl w:ilvl="3" w:tplc="45AEA71E">
      <w:start w:val="1"/>
      <w:numFmt w:val="bullet"/>
      <w:lvlText w:val=""/>
      <w:lvlJc w:val="left"/>
      <w:pPr>
        <w:ind w:left="2880" w:hanging="360"/>
      </w:pPr>
      <w:rPr>
        <w:rFonts w:ascii="Segoe UI" w:hAnsi="Segoe UI" w:hint="default"/>
      </w:rPr>
    </w:lvl>
    <w:lvl w:ilvl="4" w:tplc="DCFA0596">
      <w:start w:val="1"/>
      <w:numFmt w:val="bullet"/>
      <w:lvlText w:val="o"/>
      <w:lvlJc w:val="left"/>
      <w:pPr>
        <w:ind w:left="3600" w:hanging="360"/>
      </w:pPr>
      <w:rPr>
        <w:rFonts w:ascii="Courier New" w:hAnsi="Courier New" w:hint="default"/>
      </w:rPr>
    </w:lvl>
    <w:lvl w:ilvl="5" w:tplc="A1EAF564">
      <w:start w:val="1"/>
      <w:numFmt w:val="bullet"/>
      <w:lvlText w:val=""/>
      <w:lvlJc w:val="left"/>
      <w:pPr>
        <w:ind w:left="4320" w:hanging="360"/>
      </w:pPr>
      <w:rPr>
        <w:rFonts w:ascii="Cambria Math" w:hAnsi="Cambria Math" w:hint="default"/>
      </w:rPr>
    </w:lvl>
    <w:lvl w:ilvl="6" w:tplc="AB3830B2">
      <w:start w:val="1"/>
      <w:numFmt w:val="bullet"/>
      <w:lvlText w:val=""/>
      <w:lvlJc w:val="left"/>
      <w:pPr>
        <w:ind w:left="5040" w:hanging="360"/>
      </w:pPr>
      <w:rPr>
        <w:rFonts w:ascii="Segoe UI" w:hAnsi="Segoe UI" w:hint="default"/>
      </w:rPr>
    </w:lvl>
    <w:lvl w:ilvl="7" w:tplc="A89CF254">
      <w:start w:val="1"/>
      <w:numFmt w:val="bullet"/>
      <w:lvlText w:val="o"/>
      <w:lvlJc w:val="left"/>
      <w:pPr>
        <w:ind w:left="5760" w:hanging="360"/>
      </w:pPr>
      <w:rPr>
        <w:rFonts w:ascii="Courier New" w:hAnsi="Courier New" w:hint="default"/>
      </w:rPr>
    </w:lvl>
    <w:lvl w:ilvl="8" w:tplc="0CAA5174">
      <w:start w:val="1"/>
      <w:numFmt w:val="bullet"/>
      <w:lvlText w:val=""/>
      <w:lvlJc w:val="left"/>
      <w:pPr>
        <w:ind w:left="6480" w:hanging="360"/>
      </w:pPr>
      <w:rPr>
        <w:rFonts w:ascii="Cambria Math" w:hAnsi="Cambria Math" w:hint="default"/>
      </w:rPr>
    </w:lvl>
  </w:abstractNum>
  <w:abstractNum w:abstractNumId="127" w15:restartNumberingAfterBreak="0">
    <w:nsid w:val="143D2CF2"/>
    <w:multiLevelType w:val="hybridMultilevel"/>
    <w:tmpl w:val="E5E082A8"/>
    <w:lvl w:ilvl="0" w:tplc="08090017">
      <w:start w:val="1"/>
      <w:numFmt w:val="lowerLetter"/>
      <w:lvlText w:val="%1)"/>
      <w:lvlJc w:val="left"/>
      <w:pPr>
        <w:ind w:left="360" w:hanging="360"/>
      </w:pPr>
    </w:lvl>
    <w:lvl w:ilvl="1" w:tplc="0410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145231BC"/>
    <w:multiLevelType w:val="multilevel"/>
    <w:tmpl w:val="89C27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45F24DE"/>
    <w:multiLevelType w:val="multilevel"/>
    <w:tmpl w:val="E002623E"/>
    <w:lvl w:ilvl="0">
      <w:start w:val="4"/>
      <w:numFmt w:val="lowerLetter"/>
      <w:lvlText w:val="%1."/>
      <w:lvlJc w:val="left"/>
      <w:pPr>
        <w:tabs>
          <w:tab w:val="num" w:pos="720"/>
        </w:tabs>
        <w:ind w:left="720" w:hanging="360"/>
      </w:pPr>
    </w:lvl>
    <w:lvl w:ilvl="1">
      <w:start w:val="2023"/>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0" w15:restartNumberingAfterBreak="0">
    <w:nsid w:val="147F7C40"/>
    <w:multiLevelType w:val="multilevel"/>
    <w:tmpl w:val="F1ACF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4E55253"/>
    <w:multiLevelType w:val="hybridMultilevel"/>
    <w:tmpl w:val="161EF6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2" w15:restartNumberingAfterBreak="0">
    <w:nsid w:val="15225C80"/>
    <w:multiLevelType w:val="hybridMultilevel"/>
    <w:tmpl w:val="D996C9CC"/>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133" w15:restartNumberingAfterBreak="0">
    <w:nsid w:val="152BD716"/>
    <w:multiLevelType w:val="multilevel"/>
    <w:tmpl w:val="FFFFFFFF"/>
    <w:lvl w:ilvl="0">
      <w:start w:val="1"/>
      <w:numFmt w:val="decimal"/>
      <w:lvlText w:val="%1."/>
      <w:lvlJc w:val="left"/>
      <w:pPr>
        <w:ind w:left="720" w:hanging="360"/>
      </w:pPr>
    </w:lvl>
    <w:lvl w:ilvl="1">
      <w:start w:val="1"/>
      <w:numFmt w:val="lowerLetter"/>
      <w:lvlText w:val="%1."/>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156B6A43"/>
    <w:multiLevelType w:val="hybridMultilevel"/>
    <w:tmpl w:val="C820240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5" w15:restartNumberingAfterBreak="0">
    <w:nsid w:val="15CA0880"/>
    <w:multiLevelType w:val="hybridMultilevel"/>
    <w:tmpl w:val="6B425758"/>
    <w:lvl w:ilvl="0" w:tplc="FFFFFFFF">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36" w15:restartNumberingAfterBreak="0">
    <w:nsid w:val="15DCBDAA"/>
    <w:multiLevelType w:val="hybridMultilevel"/>
    <w:tmpl w:val="FFFFFFFF"/>
    <w:lvl w:ilvl="0" w:tplc="35EAA3CC">
      <w:start w:val="1"/>
      <w:numFmt w:val="bullet"/>
      <w:lvlText w:val=""/>
      <w:lvlJc w:val="left"/>
      <w:pPr>
        <w:ind w:left="720" w:hanging="360"/>
      </w:pPr>
      <w:rPr>
        <w:rFonts w:ascii="Segoe UI" w:hAnsi="Segoe UI" w:hint="default"/>
      </w:rPr>
    </w:lvl>
    <w:lvl w:ilvl="1" w:tplc="43E27F94">
      <w:start w:val="1"/>
      <w:numFmt w:val="bullet"/>
      <w:lvlText w:val="o"/>
      <w:lvlJc w:val="left"/>
      <w:pPr>
        <w:ind w:left="1440" w:hanging="360"/>
      </w:pPr>
      <w:rPr>
        <w:rFonts w:ascii="Courier New" w:hAnsi="Courier New" w:hint="default"/>
      </w:rPr>
    </w:lvl>
    <w:lvl w:ilvl="2" w:tplc="CC56AAA8">
      <w:start w:val="1"/>
      <w:numFmt w:val="bullet"/>
      <w:lvlText w:val=""/>
      <w:lvlJc w:val="left"/>
      <w:pPr>
        <w:ind w:left="2160" w:hanging="360"/>
      </w:pPr>
      <w:rPr>
        <w:rFonts w:ascii="Cambria Math" w:hAnsi="Cambria Math" w:hint="default"/>
      </w:rPr>
    </w:lvl>
    <w:lvl w:ilvl="3" w:tplc="9254356A">
      <w:start w:val="1"/>
      <w:numFmt w:val="bullet"/>
      <w:lvlText w:val=""/>
      <w:lvlJc w:val="left"/>
      <w:pPr>
        <w:ind w:left="2880" w:hanging="360"/>
      </w:pPr>
      <w:rPr>
        <w:rFonts w:ascii="Segoe UI" w:hAnsi="Segoe UI" w:hint="default"/>
      </w:rPr>
    </w:lvl>
    <w:lvl w:ilvl="4" w:tplc="A5D8D5CA">
      <w:start w:val="1"/>
      <w:numFmt w:val="bullet"/>
      <w:lvlText w:val="o"/>
      <w:lvlJc w:val="left"/>
      <w:pPr>
        <w:ind w:left="3600" w:hanging="360"/>
      </w:pPr>
      <w:rPr>
        <w:rFonts w:ascii="Courier New" w:hAnsi="Courier New" w:hint="default"/>
      </w:rPr>
    </w:lvl>
    <w:lvl w:ilvl="5" w:tplc="2CBA3158">
      <w:start w:val="1"/>
      <w:numFmt w:val="bullet"/>
      <w:lvlText w:val=""/>
      <w:lvlJc w:val="left"/>
      <w:pPr>
        <w:ind w:left="4320" w:hanging="360"/>
      </w:pPr>
      <w:rPr>
        <w:rFonts w:ascii="Cambria Math" w:hAnsi="Cambria Math" w:hint="default"/>
      </w:rPr>
    </w:lvl>
    <w:lvl w:ilvl="6" w:tplc="55CE145A">
      <w:start w:val="1"/>
      <w:numFmt w:val="bullet"/>
      <w:lvlText w:val=""/>
      <w:lvlJc w:val="left"/>
      <w:pPr>
        <w:ind w:left="5040" w:hanging="360"/>
      </w:pPr>
      <w:rPr>
        <w:rFonts w:ascii="Segoe UI" w:hAnsi="Segoe UI" w:hint="default"/>
      </w:rPr>
    </w:lvl>
    <w:lvl w:ilvl="7" w:tplc="1F56A178">
      <w:start w:val="1"/>
      <w:numFmt w:val="bullet"/>
      <w:lvlText w:val="o"/>
      <w:lvlJc w:val="left"/>
      <w:pPr>
        <w:ind w:left="5760" w:hanging="360"/>
      </w:pPr>
      <w:rPr>
        <w:rFonts w:ascii="Courier New" w:hAnsi="Courier New" w:hint="default"/>
      </w:rPr>
    </w:lvl>
    <w:lvl w:ilvl="8" w:tplc="FAE00FD0">
      <w:start w:val="1"/>
      <w:numFmt w:val="bullet"/>
      <w:lvlText w:val=""/>
      <w:lvlJc w:val="left"/>
      <w:pPr>
        <w:ind w:left="6480" w:hanging="360"/>
      </w:pPr>
      <w:rPr>
        <w:rFonts w:ascii="Cambria Math" w:hAnsi="Cambria Math" w:hint="default"/>
      </w:rPr>
    </w:lvl>
  </w:abstractNum>
  <w:abstractNum w:abstractNumId="137" w15:restartNumberingAfterBreak="0">
    <w:nsid w:val="16311B8D"/>
    <w:multiLevelType w:val="multilevel"/>
    <w:tmpl w:val="5088DD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168A62A0"/>
    <w:multiLevelType w:val="hybridMultilevel"/>
    <w:tmpl w:val="F6B41F1E"/>
    <w:lvl w:ilvl="0" w:tplc="2A789E00">
      <w:start w:val="1"/>
      <w:numFmt w:val="lowerRoman"/>
      <w:lvlText w:val="%1."/>
      <w:lvlJc w:val="right"/>
      <w:pPr>
        <w:ind w:left="1080" w:hanging="720"/>
      </w:pPr>
      <w:rPr>
        <w:rFonts w:hint="default"/>
      </w:rPr>
    </w:lvl>
    <w:lvl w:ilvl="1" w:tplc="B7303C30">
      <w:start w:val="2"/>
      <w:numFmt w:val="bullet"/>
      <w:lvlText w:val="-"/>
      <w:lvlJc w:val="left"/>
      <w:pPr>
        <w:ind w:left="144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1697510B"/>
    <w:multiLevelType w:val="hybridMultilevel"/>
    <w:tmpl w:val="FD88D5BA"/>
    <w:lvl w:ilvl="0" w:tplc="0809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140" w15:restartNumberingAfterBreak="0">
    <w:nsid w:val="16B83602"/>
    <w:multiLevelType w:val="hybridMultilevel"/>
    <w:tmpl w:val="FFFFFFFF"/>
    <w:lvl w:ilvl="0" w:tplc="D81AD85A">
      <w:start w:val="12"/>
      <w:numFmt w:val="decimal"/>
      <w:lvlText w:val="%1."/>
      <w:lvlJc w:val="left"/>
      <w:pPr>
        <w:ind w:left="720" w:hanging="360"/>
      </w:pPr>
    </w:lvl>
    <w:lvl w:ilvl="1" w:tplc="AE600D4E">
      <w:start w:val="1"/>
      <w:numFmt w:val="lowerLetter"/>
      <w:lvlText w:val="%2."/>
      <w:lvlJc w:val="left"/>
      <w:pPr>
        <w:ind w:left="1440" w:hanging="360"/>
      </w:pPr>
    </w:lvl>
    <w:lvl w:ilvl="2" w:tplc="C5A0487C">
      <w:start w:val="1"/>
      <w:numFmt w:val="lowerRoman"/>
      <w:lvlText w:val="%3."/>
      <w:lvlJc w:val="right"/>
      <w:pPr>
        <w:ind w:left="2160" w:hanging="180"/>
      </w:pPr>
    </w:lvl>
    <w:lvl w:ilvl="3" w:tplc="1BD04700">
      <w:start w:val="1"/>
      <w:numFmt w:val="decimal"/>
      <w:lvlText w:val="%4."/>
      <w:lvlJc w:val="left"/>
      <w:pPr>
        <w:ind w:left="2880" w:hanging="360"/>
      </w:pPr>
    </w:lvl>
    <w:lvl w:ilvl="4" w:tplc="354026D6">
      <w:start w:val="1"/>
      <w:numFmt w:val="lowerLetter"/>
      <w:lvlText w:val="%5."/>
      <w:lvlJc w:val="left"/>
      <w:pPr>
        <w:ind w:left="3600" w:hanging="360"/>
      </w:pPr>
    </w:lvl>
    <w:lvl w:ilvl="5" w:tplc="22C2B9D2">
      <w:start w:val="1"/>
      <w:numFmt w:val="lowerRoman"/>
      <w:lvlText w:val="%6."/>
      <w:lvlJc w:val="right"/>
      <w:pPr>
        <w:ind w:left="4320" w:hanging="180"/>
      </w:pPr>
    </w:lvl>
    <w:lvl w:ilvl="6" w:tplc="280802DC">
      <w:start w:val="1"/>
      <w:numFmt w:val="decimal"/>
      <w:lvlText w:val="%7."/>
      <w:lvlJc w:val="left"/>
      <w:pPr>
        <w:ind w:left="5040" w:hanging="360"/>
      </w:pPr>
    </w:lvl>
    <w:lvl w:ilvl="7" w:tplc="FA8A068E">
      <w:start w:val="1"/>
      <w:numFmt w:val="lowerLetter"/>
      <w:lvlText w:val="%8."/>
      <w:lvlJc w:val="left"/>
      <w:pPr>
        <w:ind w:left="5760" w:hanging="360"/>
      </w:pPr>
    </w:lvl>
    <w:lvl w:ilvl="8" w:tplc="D7928F34">
      <w:start w:val="1"/>
      <w:numFmt w:val="lowerRoman"/>
      <w:lvlText w:val="%9."/>
      <w:lvlJc w:val="right"/>
      <w:pPr>
        <w:ind w:left="6480" w:hanging="180"/>
      </w:pPr>
    </w:lvl>
  </w:abstractNum>
  <w:abstractNum w:abstractNumId="141" w15:restartNumberingAfterBreak="0">
    <w:nsid w:val="16BD8D73"/>
    <w:multiLevelType w:val="hybridMultilevel"/>
    <w:tmpl w:val="FFFFFFFF"/>
    <w:lvl w:ilvl="0" w:tplc="FB58280E">
      <w:start w:val="1"/>
      <w:numFmt w:val="bullet"/>
      <w:lvlText w:val="·"/>
      <w:lvlJc w:val="left"/>
      <w:pPr>
        <w:ind w:left="720" w:hanging="360"/>
      </w:pPr>
      <w:rPr>
        <w:rFonts w:ascii="Symbol" w:hAnsi="Symbol" w:hint="default"/>
      </w:rPr>
    </w:lvl>
    <w:lvl w:ilvl="1" w:tplc="0096EE6A">
      <w:start w:val="1"/>
      <w:numFmt w:val="bullet"/>
      <w:lvlText w:val="o"/>
      <w:lvlJc w:val="left"/>
      <w:pPr>
        <w:ind w:left="1440" w:hanging="360"/>
      </w:pPr>
      <w:rPr>
        <w:rFonts w:ascii="Courier New" w:hAnsi="Courier New" w:hint="default"/>
      </w:rPr>
    </w:lvl>
    <w:lvl w:ilvl="2" w:tplc="0EF2E08E">
      <w:start w:val="1"/>
      <w:numFmt w:val="bullet"/>
      <w:lvlText w:val=""/>
      <w:lvlJc w:val="left"/>
      <w:pPr>
        <w:ind w:left="2160" w:hanging="360"/>
      </w:pPr>
      <w:rPr>
        <w:rFonts w:ascii="Wingdings" w:hAnsi="Wingdings" w:hint="default"/>
      </w:rPr>
    </w:lvl>
    <w:lvl w:ilvl="3" w:tplc="386626AC">
      <w:start w:val="1"/>
      <w:numFmt w:val="bullet"/>
      <w:lvlText w:val=""/>
      <w:lvlJc w:val="left"/>
      <w:pPr>
        <w:ind w:left="2880" w:hanging="360"/>
      </w:pPr>
      <w:rPr>
        <w:rFonts w:ascii="Symbol" w:hAnsi="Symbol" w:hint="default"/>
      </w:rPr>
    </w:lvl>
    <w:lvl w:ilvl="4" w:tplc="FDC8A05E">
      <w:start w:val="1"/>
      <w:numFmt w:val="bullet"/>
      <w:lvlText w:val="o"/>
      <w:lvlJc w:val="left"/>
      <w:pPr>
        <w:ind w:left="3600" w:hanging="360"/>
      </w:pPr>
      <w:rPr>
        <w:rFonts w:ascii="Courier New" w:hAnsi="Courier New" w:hint="default"/>
      </w:rPr>
    </w:lvl>
    <w:lvl w:ilvl="5" w:tplc="C9A41C04">
      <w:start w:val="1"/>
      <w:numFmt w:val="bullet"/>
      <w:lvlText w:val=""/>
      <w:lvlJc w:val="left"/>
      <w:pPr>
        <w:ind w:left="4320" w:hanging="360"/>
      </w:pPr>
      <w:rPr>
        <w:rFonts w:ascii="Wingdings" w:hAnsi="Wingdings" w:hint="default"/>
      </w:rPr>
    </w:lvl>
    <w:lvl w:ilvl="6" w:tplc="4E08E5BC">
      <w:start w:val="1"/>
      <w:numFmt w:val="bullet"/>
      <w:lvlText w:val=""/>
      <w:lvlJc w:val="left"/>
      <w:pPr>
        <w:ind w:left="5040" w:hanging="360"/>
      </w:pPr>
      <w:rPr>
        <w:rFonts w:ascii="Symbol" w:hAnsi="Symbol" w:hint="default"/>
      </w:rPr>
    </w:lvl>
    <w:lvl w:ilvl="7" w:tplc="D9228FA4">
      <w:start w:val="1"/>
      <w:numFmt w:val="bullet"/>
      <w:lvlText w:val="o"/>
      <w:lvlJc w:val="left"/>
      <w:pPr>
        <w:ind w:left="5760" w:hanging="360"/>
      </w:pPr>
      <w:rPr>
        <w:rFonts w:ascii="Courier New" w:hAnsi="Courier New" w:hint="default"/>
      </w:rPr>
    </w:lvl>
    <w:lvl w:ilvl="8" w:tplc="185E3B4A">
      <w:start w:val="1"/>
      <w:numFmt w:val="bullet"/>
      <w:lvlText w:val=""/>
      <w:lvlJc w:val="left"/>
      <w:pPr>
        <w:ind w:left="6480" w:hanging="360"/>
      </w:pPr>
      <w:rPr>
        <w:rFonts w:ascii="Wingdings" w:hAnsi="Wingdings" w:hint="default"/>
      </w:rPr>
    </w:lvl>
  </w:abstractNum>
  <w:abstractNum w:abstractNumId="142" w15:restartNumberingAfterBreak="0">
    <w:nsid w:val="16E2119D"/>
    <w:multiLevelType w:val="hybridMultilevel"/>
    <w:tmpl w:val="FFFFFFFF"/>
    <w:lvl w:ilvl="0" w:tplc="613CA06A">
      <w:start w:val="1"/>
      <w:numFmt w:val="bullet"/>
      <w:lvlText w:val="o"/>
      <w:lvlJc w:val="left"/>
      <w:pPr>
        <w:ind w:left="720" w:hanging="360"/>
      </w:pPr>
      <w:rPr>
        <w:rFonts w:ascii="&quot;Courier New&quot;" w:hAnsi="&quot;Courier New&quot;" w:hint="default"/>
      </w:rPr>
    </w:lvl>
    <w:lvl w:ilvl="1" w:tplc="AE76813E">
      <w:start w:val="1"/>
      <w:numFmt w:val="bullet"/>
      <w:lvlText w:val="o"/>
      <w:lvlJc w:val="left"/>
      <w:pPr>
        <w:ind w:left="1440" w:hanging="360"/>
      </w:pPr>
      <w:rPr>
        <w:rFonts w:ascii="Courier New" w:hAnsi="Courier New" w:hint="default"/>
      </w:rPr>
    </w:lvl>
    <w:lvl w:ilvl="2" w:tplc="913C3326">
      <w:start w:val="1"/>
      <w:numFmt w:val="bullet"/>
      <w:lvlText w:val=""/>
      <w:lvlJc w:val="left"/>
      <w:pPr>
        <w:ind w:left="2160" w:hanging="360"/>
      </w:pPr>
      <w:rPr>
        <w:rFonts w:ascii="Wingdings" w:hAnsi="Wingdings" w:hint="default"/>
      </w:rPr>
    </w:lvl>
    <w:lvl w:ilvl="3" w:tplc="9BFA3142">
      <w:start w:val="1"/>
      <w:numFmt w:val="bullet"/>
      <w:lvlText w:val=""/>
      <w:lvlJc w:val="left"/>
      <w:pPr>
        <w:ind w:left="2880" w:hanging="360"/>
      </w:pPr>
      <w:rPr>
        <w:rFonts w:ascii="Symbol" w:hAnsi="Symbol" w:hint="default"/>
      </w:rPr>
    </w:lvl>
    <w:lvl w:ilvl="4" w:tplc="18A49514">
      <w:start w:val="1"/>
      <w:numFmt w:val="bullet"/>
      <w:lvlText w:val="o"/>
      <w:lvlJc w:val="left"/>
      <w:pPr>
        <w:ind w:left="3600" w:hanging="360"/>
      </w:pPr>
      <w:rPr>
        <w:rFonts w:ascii="Courier New" w:hAnsi="Courier New" w:hint="default"/>
      </w:rPr>
    </w:lvl>
    <w:lvl w:ilvl="5" w:tplc="8D009E16">
      <w:start w:val="1"/>
      <w:numFmt w:val="bullet"/>
      <w:lvlText w:val=""/>
      <w:lvlJc w:val="left"/>
      <w:pPr>
        <w:ind w:left="4320" w:hanging="360"/>
      </w:pPr>
      <w:rPr>
        <w:rFonts w:ascii="Wingdings" w:hAnsi="Wingdings" w:hint="default"/>
      </w:rPr>
    </w:lvl>
    <w:lvl w:ilvl="6" w:tplc="1B8AFBB4">
      <w:start w:val="1"/>
      <w:numFmt w:val="bullet"/>
      <w:lvlText w:val=""/>
      <w:lvlJc w:val="left"/>
      <w:pPr>
        <w:ind w:left="5040" w:hanging="360"/>
      </w:pPr>
      <w:rPr>
        <w:rFonts w:ascii="Symbol" w:hAnsi="Symbol" w:hint="default"/>
      </w:rPr>
    </w:lvl>
    <w:lvl w:ilvl="7" w:tplc="AF4EB9AC">
      <w:start w:val="1"/>
      <w:numFmt w:val="bullet"/>
      <w:lvlText w:val="o"/>
      <w:lvlJc w:val="left"/>
      <w:pPr>
        <w:ind w:left="5760" w:hanging="360"/>
      </w:pPr>
      <w:rPr>
        <w:rFonts w:ascii="Courier New" w:hAnsi="Courier New" w:hint="default"/>
      </w:rPr>
    </w:lvl>
    <w:lvl w:ilvl="8" w:tplc="7C32FDB4">
      <w:start w:val="1"/>
      <w:numFmt w:val="bullet"/>
      <w:lvlText w:val=""/>
      <w:lvlJc w:val="left"/>
      <w:pPr>
        <w:ind w:left="6480" w:hanging="360"/>
      </w:pPr>
      <w:rPr>
        <w:rFonts w:ascii="Wingdings" w:hAnsi="Wingdings" w:hint="default"/>
      </w:rPr>
    </w:lvl>
  </w:abstractNum>
  <w:abstractNum w:abstractNumId="143" w15:restartNumberingAfterBreak="0">
    <w:nsid w:val="16F339BD"/>
    <w:multiLevelType w:val="hybridMultilevel"/>
    <w:tmpl w:val="FFFFFFFF"/>
    <w:lvl w:ilvl="0" w:tplc="19BEF37A">
      <w:start w:val="1"/>
      <w:numFmt w:val="bullet"/>
      <w:lvlText w:val=""/>
      <w:lvlJc w:val="left"/>
      <w:pPr>
        <w:ind w:left="720" w:hanging="360"/>
      </w:pPr>
      <w:rPr>
        <w:rFonts w:ascii="Symbol" w:hAnsi="Symbol" w:hint="default"/>
      </w:rPr>
    </w:lvl>
    <w:lvl w:ilvl="1" w:tplc="120493A4">
      <w:start w:val="1"/>
      <w:numFmt w:val="bullet"/>
      <w:lvlText w:val="-"/>
      <w:lvlJc w:val="left"/>
      <w:pPr>
        <w:ind w:left="1440" w:hanging="360"/>
      </w:pPr>
      <w:rPr>
        <w:rFonts w:ascii="Calibri" w:hAnsi="Calibri" w:hint="default"/>
      </w:rPr>
    </w:lvl>
    <w:lvl w:ilvl="2" w:tplc="7598CDE6">
      <w:start w:val="1"/>
      <w:numFmt w:val="bullet"/>
      <w:lvlText w:val=""/>
      <w:lvlJc w:val="left"/>
      <w:pPr>
        <w:ind w:left="2160" w:hanging="360"/>
      </w:pPr>
      <w:rPr>
        <w:rFonts w:ascii="Wingdings" w:hAnsi="Wingdings" w:hint="default"/>
      </w:rPr>
    </w:lvl>
    <w:lvl w:ilvl="3" w:tplc="822C59DA">
      <w:start w:val="1"/>
      <w:numFmt w:val="bullet"/>
      <w:lvlText w:val=""/>
      <w:lvlJc w:val="left"/>
      <w:pPr>
        <w:ind w:left="2880" w:hanging="360"/>
      </w:pPr>
      <w:rPr>
        <w:rFonts w:ascii="Symbol" w:hAnsi="Symbol" w:hint="default"/>
      </w:rPr>
    </w:lvl>
    <w:lvl w:ilvl="4" w:tplc="6382D4BA">
      <w:start w:val="1"/>
      <w:numFmt w:val="bullet"/>
      <w:lvlText w:val="o"/>
      <w:lvlJc w:val="left"/>
      <w:pPr>
        <w:ind w:left="3600" w:hanging="360"/>
      </w:pPr>
      <w:rPr>
        <w:rFonts w:ascii="Courier New" w:hAnsi="Courier New" w:hint="default"/>
      </w:rPr>
    </w:lvl>
    <w:lvl w:ilvl="5" w:tplc="7236F44C">
      <w:start w:val="1"/>
      <w:numFmt w:val="bullet"/>
      <w:lvlText w:val=""/>
      <w:lvlJc w:val="left"/>
      <w:pPr>
        <w:ind w:left="4320" w:hanging="360"/>
      </w:pPr>
      <w:rPr>
        <w:rFonts w:ascii="Wingdings" w:hAnsi="Wingdings" w:hint="default"/>
      </w:rPr>
    </w:lvl>
    <w:lvl w:ilvl="6" w:tplc="977AA446">
      <w:start w:val="1"/>
      <w:numFmt w:val="bullet"/>
      <w:lvlText w:val=""/>
      <w:lvlJc w:val="left"/>
      <w:pPr>
        <w:ind w:left="5040" w:hanging="360"/>
      </w:pPr>
      <w:rPr>
        <w:rFonts w:ascii="Symbol" w:hAnsi="Symbol" w:hint="default"/>
      </w:rPr>
    </w:lvl>
    <w:lvl w:ilvl="7" w:tplc="C3A2CB9E">
      <w:start w:val="1"/>
      <w:numFmt w:val="bullet"/>
      <w:lvlText w:val="o"/>
      <w:lvlJc w:val="left"/>
      <w:pPr>
        <w:ind w:left="5760" w:hanging="360"/>
      </w:pPr>
      <w:rPr>
        <w:rFonts w:ascii="Courier New" w:hAnsi="Courier New" w:hint="default"/>
      </w:rPr>
    </w:lvl>
    <w:lvl w:ilvl="8" w:tplc="1E089CC4">
      <w:start w:val="1"/>
      <w:numFmt w:val="bullet"/>
      <w:lvlText w:val=""/>
      <w:lvlJc w:val="left"/>
      <w:pPr>
        <w:ind w:left="6480" w:hanging="360"/>
      </w:pPr>
      <w:rPr>
        <w:rFonts w:ascii="Wingdings" w:hAnsi="Wingdings" w:hint="default"/>
      </w:rPr>
    </w:lvl>
  </w:abstractNum>
  <w:abstractNum w:abstractNumId="144" w15:restartNumberingAfterBreak="0">
    <w:nsid w:val="16FE42D5"/>
    <w:multiLevelType w:val="hybridMultilevel"/>
    <w:tmpl w:val="1809001D"/>
    <w:lvl w:ilvl="0" w:tplc="823C9A8C">
      <w:start w:val="1"/>
      <w:numFmt w:val="bullet"/>
      <w:lvlText w:val=""/>
      <w:lvlJc w:val="left"/>
      <w:pPr>
        <w:ind w:left="360" w:hanging="360"/>
      </w:pPr>
    </w:lvl>
    <w:lvl w:ilvl="1" w:tplc="92B015E4">
      <w:start w:val="1"/>
      <w:numFmt w:val="lowerLetter"/>
      <w:lvlText w:val="%2)"/>
      <w:lvlJc w:val="left"/>
      <w:pPr>
        <w:ind w:left="720" w:hanging="360"/>
      </w:pPr>
    </w:lvl>
    <w:lvl w:ilvl="2" w:tplc="3214B6D8">
      <w:start w:val="1"/>
      <w:numFmt w:val="lowerRoman"/>
      <w:lvlText w:val="%3)"/>
      <w:lvlJc w:val="left"/>
      <w:pPr>
        <w:ind w:left="1080" w:hanging="360"/>
      </w:pPr>
    </w:lvl>
    <w:lvl w:ilvl="3" w:tplc="0F768270">
      <w:start w:val="1"/>
      <w:numFmt w:val="decimal"/>
      <w:lvlText w:val="(%4)"/>
      <w:lvlJc w:val="left"/>
      <w:pPr>
        <w:ind w:left="1440" w:hanging="360"/>
      </w:pPr>
    </w:lvl>
    <w:lvl w:ilvl="4" w:tplc="94B42FB0">
      <w:start w:val="1"/>
      <w:numFmt w:val="lowerLetter"/>
      <w:lvlText w:val="(%5)"/>
      <w:lvlJc w:val="left"/>
      <w:pPr>
        <w:ind w:left="1800" w:hanging="360"/>
      </w:pPr>
    </w:lvl>
    <w:lvl w:ilvl="5" w:tplc="BFF6B416">
      <w:start w:val="1"/>
      <w:numFmt w:val="lowerRoman"/>
      <w:lvlText w:val="(%6)"/>
      <w:lvlJc w:val="left"/>
      <w:pPr>
        <w:ind w:left="2160" w:hanging="360"/>
      </w:pPr>
    </w:lvl>
    <w:lvl w:ilvl="6" w:tplc="4866DEE0">
      <w:start w:val="1"/>
      <w:numFmt w:val="decimal"/>
      <w:lvlText w:val="%7."/>
      <w:lvlJc w:val="left"/>
      <w:pPr>
        <w:ind w:left="2520" w:hanging="360"/>
      </w:pPr>
    </w:lvl>
    <w:lvl w:ilvl="7" w:tplc="BCE6487C">
      <w:start w:val="1"/>
      <w:numFmt w:val="lowerLetter"/>
      <w:lvlText w:val="%8."/>
      <w:lvlJc w:val="left"/>
      <w:pPr>
        <w:ind w:left="2880" w:hanging="360"/>
      </w:pPr>
    </w:lvl>
    <w:lvl w:ilvl="8" w:tplc="3F9CCE28">
      <w:start w:val="1"/>
      <w:numFmt w:val="lowerRoman"/>
      <w:lvlText w:val="%9."/>
      <w:lvlJc w:val="left"/>
      <w:pPr>
        <w:ind w:left="3240" w:hanging="360"/>
      </w:pPr>
    </w:lvl>
  </w:abstractNum>
  <w:abstractNum w:abstractNumId="145" w15:restartNumberingAfterBreak="0">
    <w:nsid w:val="17070BCB"/>
    <w:multiLevelType w:val="multilevel"/>
    <w:tmpl w:val="528088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171A697E"/>
    <w:multiLevelType w:val="hybridMultilevel"/>
    <w:tmpl w:val="C7B8929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172AE620"/>
    <w:multiLevelType w:val="hybridMultilevel"/>
    <w:tmpl w:val="FFFFFFFF"/>
    <w:lvl w:ilvl="0" w:tplc="85DCC0C0">
      <w:start w:val="1"/>
      <w:numFmt w:val="bullet"/>
      <w:lvlText w:val="·"/>
      <w:lvlJc w:val="left"/>
      <w:pPr>
        <w:ind w:left="720" w:hanging="360"/>
      </w:pPr>
      <w:rPr>
        <w:rFonts w:ascii="Symbol" w:hAnsi="Symbol" w:hint="default"/>
      </w:rPr>
    </w:lvl>
    <w:lvl w:ilvl="1" w:tplc="31FE3C28">
      <w:start w:val="1"/>
      <w:numFmt w:val="bullet"/>
      <w:lvlText w:val="o"/>
      <w:lvlJc w:val="left"/>
      <w:pPr>
        <w:ind w:left="1440" w:hanging="360"/>
      </w:pPr>
      <w:rPr>
        <w:rFonts w:ascii="Courier New" w:hAnsi="Courier New" w:hint="default"/>
      </w:rPr>
    </w:lvl>
    <w:lvl w:ilvl="2" w:tplc="35E4E2B0">
      <w:start w:val="1"/>
      <w:numFmt w:val="bullet"/>
      <w:lvlText w:val=""/>
      <w:lvlJc w:val="left"/>
      <w:pPr>
        <w:ind w:left="2160" w:hanging="360"/>
      </w:pPr>
      <w:rPr>
        <w:rFonts w:ascii="Wingdings" w:hAnsi="Wingdings" w:hint="default"/>
      </w:rPr>
    </w:lvl>
    <w:lvl w:ilvl="3" w:tplc="1376F07C">
      <w:start w:val="1"/>
      <w:numFmt w:val="bullet"/>
      <w:lvlText w:val=""/>
      <w:lvlJc w:val="left"/>
      <w:pPr>
        <w:ind w:left="2880" w:hanging="360"/>
      </w:pPr>
      <w:rPr>
        <w:rFonts w:ascii="Symbol" w:hAnsi="Symbol" w:hint="default"/>
      </w:rPr>
    </w:lvl>
    <w:lvl w:ilvl="4" w:tplc="8356E9A6">
      <w:start w:val="1"/>
      <w:numFmt w:val="bullet"/>
      <w:lvlText w:val="o"/>
      <w:lvlJc w:val="left"/>
      <w:pPr>
        <w:ind w:left="3600" w:hanging="360"/>
      </w:pPr>
      <w:rPr>
        <w:rFonts w:ascii="Courier New" w:hAnsi="Courier New" w:hint="default"/>
      </w:rPr>
    </w:lvl>
    <w:lvl w:ilvl="5" w:tplc="4D14875E">
      <w:start w:val="1"/>
      <w:numFmt w:val="bullet"/>
      <w:lvlText w:val=""/>
      <w:lvlJc w:val="left"/>
      <w:pPr>
        <w:ind w:left="4320" w:hanging="360"/>
      </w:pPr>
      <w:rPr>
        <w:rFonts w:ascii="Wingdings" w:hAnsi="Wingdings" w:hint="default"/>
      </w:rPr>
    </w:lvl>
    <w:lvl w:ilvl="6" w:tplc="BD18DA40">
      <w:start w:val="1"/>
      <w:numFmt w:val="bullet"/>
      <w:lvlText w:val=""/>
      <w:lvlJc w:val="left"/>
      <w:pPr>
        <w:ind w:left="5040" w:hanging="360"/>
      </w:pPr>
      <w:rPr>
        <w:rFonts w:ascii="Symbol" w:hAnsi="Symbol" w:hint="default"/>
      </w:rPr>
    </w:lvl>
    <w:lvl w:ilvl="7" w:tplc="6E7CEB2C">
      <w:start w:val="1"/>
      <w:numFmt w:val="bullet"/>
      <w:lvlText w:val="o"/>
      <w:lvlJc w:val="left"/>
      <w:pPr>
        <w:ind w:left="5760" w:hanging="360"/>
      </w:pPr>
      <w:rPr>
        <w:rFonts w:ascii="Courier New" w:hAnsi="Courier New" w:hint="default"/>
      </w:rPr>
    </w:lvl>
    <w:lvl w:ilvl="8" w:tplc="8DAC9A2C">
      <w:start w:val="1"/>
      <w:numFmt w:val="bullet"/>
      <w:lvlText w:val=""/>
      <w:lvlJc w:val="left"/>
      <w:pPr>
        <w:ind w:left="6480" w:hanging="360"/>
      </w:pPr>
      <w:rPr>
        <w:rFonts w:ascii="Wingdings" w:hAnsi="Wingdings" w:hint="default"/>
      </w:rPr>
    </w:lvl>
  </w:abstractNum>
  <w:abstractNum w:abstractNumId="148" w15:restartNumberingAfterBreak="0">
    <w:nsid w:val="174C0401"/>
    <w:multiLevelType w:val="hybridMultilevel"/>
    <w:tmpl w:val="02F4A94C"/>
    <w:lvl w:ilvl="0" w:tplc="A5D6A21A">
      <w:start w:val="7"/>
      <w:numFmt w:val="lowerRoman"/>
      <w:lvlText w:val="%1."/>
      <w:lvlJc w:val="right"/>
      <w:pPr>
        <w:ind w:left="720" w:hanging="360"/>
      </w:pPr>
      <w:rPr>
        <w:rFonts w:hint="default"/>
        <w:color w:val="4F81BD"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175320BD"/>
    <w:multiLevelType w:val="hybridMultilevel"/>
    <w:tmpl w:val="827677EE"/>
    <w:lvl w:ilvl="0" w:tplc="FFFFFFFF">
      <w:start w:val="1"/>
      <w:numFmt w:val="lowerLetter"/>
      <w:lvlText w:val="%1)"/>
      <w:lvlJc w:val="left"/>
      <w:pPr>
        <w:ind w:left="720" w:hanging="360"/>
      </w:pPr>
    </w:lvl>
    <w:lvl w:ilvl="1" w:tplc="2822E80E">
      <w:start w:val="1"/>
      <w:numFmt w:val="lowerLetter"/>
      <w:lvlText w:val="%2."/>
      <w:lvlJc w:val="left"/>
      <w:pPr>
        <w:ind w:left="1440" w:hanging="360"/>
      </w:pPr>
    </w:lvl>
    <w:lvl w:ilvl="2" w:tplc="F84E68BC">
      <w:start w:val="1"/>
      <w:numFmt w:val="lowerRoman"/>
      <w:lvlText w:val="%3."/>
      <w:lvlJc w:val="right"/>
      <w:pPr>
        <w:ind w:left="2160" w:hanging="180"/>
      </w:pPr>
    </w:lvl>
    <w:lvl w:ilvl="3" w:tplc="80A24C0A">
      <w:start w:val="1"/>
      <w:numFmt w:val="decimal"/>
      <w:lvlText w:val="%4."/>
      <w:lvlJc w:val="left"/>
      <w:pPr>
        <w:ind w:left="2880" w:hanging="360"/>
      </w:pPr>
    </w:lvl>
    <w:lvl w:ilvl="4" w:tplc="A216A36A">
      <w:start w:val="1"/>
      <w:numFmt w:val="lowerLetter"/>
      <w:lvlText w:val="%5."/>
      <w:lvlJc w:val="left"/>
      <w:pPr>
        <w:ind w:left="3600" w:hanging="360"/>
      </w:pPr>
    </w:lvl>
    <w:lvl w:ilvl="5" w:tplc="81367842">
      <w:start w:val="1"/>
      <w:numFmt w:val="lowerRoman"/>
      <w:lvlText w:val="%6."/>
      <w:lvlJc w:val="right"/>
      <w:pPr>
        <w:ind w:left="4320" w:hanging="180"/>
      </w:pPr>
    </w:lvl>
    <w:lvl w:ilvl="6" w:tplc="ED78C922">
      <w:start w:val="1"/>
      <w:numFmt w:val="decimal"/>
      <w:lvlText w:val="%7."/>
      <w:lvlJc w:val="left"/>
      <w:pPr>
        <w:ind w:left="5040" w:hanging="360"/>
      </w:pPr>
    </w:lvl>
    <w:lvl w:ilvl="7" w:tplc="D9DC85F2">
      <w:start w:val="1"/>
      <w:numFmt w:val="lowerLetter"/>
      <w:lvlText w:val="%8."/>
      <w:lvlJc w:val="left"/>
      <w:pPr>
        <w:ind w:left="5760" w:hanging="360"/>
      </w:pPr>
    </w:lvl>
    <w:lvl w:ilvl="8" w:tplc="22CC4B32">
      <w:start w:val="1"/>
      <w:numFmt w:val="lowerRoman"/>
      <w:lvlText w:val="%9."/>
      <w:lvlJc w:val="right"/>
      <w:pPr>
        <w:ind w:left="6480" w:hanging="180"/>
      </w:pPr>
    </w:lvl>
  </w:abstractNum>
  <w:abstractNum w:abstractNumId="150" w15:restartNumberingAfterBreak="0">
    <w:nsid w:val="175C52A5"/>
    <w:multiLevelType w:val="multilevel"/>
    <w:tmpl w:val="7F880D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1" w15:restartNumberingAfterBreak="0">
    <w:nsid w:val="175F447F"/>
    <w:multiLevelType w:val="multilevel"/>
    <w:tmpl w:val="1E6C58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177F18D1"/>
    <w:multiLevelType w:val="hybridMultilevel"/>
    <w:tmpl w:val="3506A872"/>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3" w15:restartNumberingAfterBreak="0">
    <w:nsid w:val="17AE1517"/>
    <w:multiLevelType w:val="hybridMultilevel"/>
    <w:tmpl w:val="88EC5F1A"/>
    <w:lvl w:ilvl="0" w:tplc="58C26BEA">
      <w:numFmt w:val="bullet"/>
      <w:lvlText w:val="-"/>
      <w:lvlJc w:val="left"/>
      <w:pPr>
        <w:ind w:left="720" w:hanging="360"/>
      </w:pPr>
      <w:rPr>
        <w:rFonts w:ascii="Times New Roman" w:eastAsia="Times New Roman" w:hAnsi="Times New Roman" w:cs="Times New Roman" w:hint="default"/>
        <w:b/>
        <w:color w:val="4471C4"/>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4" w15:restartNumberingAfterBreak="0">
    <w:nsid w:val="17E31F37"/>
    <w:multiLevelType w:val="multilevel"/>
    <w:tmpl w:val="750E313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5" w15:restartNumberingAfterBreak="0">
    <w:nsid w:val="17F7E91D"/>
    <w:multiLevelType w:val="hybridMultilevel"/>
    <w:tmpl w:val="FFFFFFFF"/>
    <w:lvl w:ilvl="0" w:tplc="06CE4D6E">
      <w:start w:val="1"/>
      <w:numFmt w:val="decimal"/>
      <w:lvlText w:val="%1."/>
      <w:lvlJc w:val="left"/>
      <w:pPr>
        <w:ind w:left="720" w:hanging="360"/>
      </w:pPr>
    </w:lvl>
    <w:lvl w:ilvl="1" w:tplc="F88A5140">
      <w:start w:val="1"/>
      <w:numFmt w:val="lowerLetter"/>
      <w:lvlText w:val="%2."/>
      <w:lvlJc w:val="left"/>
      <w:pPr>
        <w:ind w:left="1440" w:hanging="360"/>
      </w:pPr>
    </w:lvl>
    <w:lvl w:ilvl="2" w:tplc="7DD83C00">
      <w:start w:val="1"/>
      <w:numFmt w:val="lowerRoman"/>
      <w:lvlText w:val="%3."/>
      <w:lvlJc w:val="right"/>
      <w:pPr>
        <w:ind w:left="2160" w:hanging="180"/>
      </w:pPr>
    </w:lvl>
    <w:lvl w:ilvl="3" w:tplc="42262488">
      <w:start w:val="1"/>
      <w:numFmt w:val="decimal"/>
      <w:lvlText w:val="%4."/>
      <w:lvlJc w:val="left"/>
      <w:pPr>
        <w:ind w:left="2880" w:hanging="360"/>
      </w:pPr>
    </w:lvl>
    <w:lvl w:ilvl="4" w:tplc="DDB61756">
      <w:start w:val="1"/>
      <w:numFmt w:val="lowerLetter"/>
      <w:lvlText w:val="%5."/>
      <w:lvlJc w:val="left"/>
      <w:pPr>
        <w:ind w:left="3600" w:hanging="360"/>
      </w:pPr>
    </w:lvl>
    <w:lvl w:ilvl="5" w:tplc="9C3418C6">
      <w:start w:val="1"/>
      <w:numFmt w:val="lowerRoman"/>
      <w:lvlText w:val="%6."/>
      <w:lvlJc w:val="right"/>
      <w:pPr>
        <w:ind w:left="4320" w:hanging="180"/>
      </w:pPr>
    </w:lvl>
    <w:lvl w:ilvl="6" w:tplc="CCAA5372">
      <w:start w:val="1"/>
      <w:numFmt w:val="decimal"/>
      <w:lvlText w:val="%7."/>
      <w:lvlJc w:val="left"/>
      <w:pPr>
        <w:ind w:left="5040" w:hanging="360"/>
      </w:pPr>
    </w:lvl>
    <w:lvl w:ilvl="7" w:tplc="A364A22A">
      <w:start w:val="1"/>
      <w:numFmt w:val="lowerLetter"/>
      <w:lvlText w:val="%8."/>
      <w:lvlJc w:val="left"/>
      <w:pPr>
        <w:ind w:left="5760" w:hanging="360"/>
      </w:pPr>
    </w:lvl>
    <w:lvl w:ilvl="8" w:tplc="CF2EBD62">
      <w:start w:val="1"/>
      <w:numFmt w:val="lowerRoman"/>
      <w:lvlText w:val="%9."/>
      <w:lvlJc w:val="right"/>
      <w:pPr>
        <w:ind w:left="6480" w:hanging="180"/>
      </w:pPr>
    </w:lvl>
  </w:abstractNum>
  <w:abstractNum w:abstractNumId="156" w15:restartNumberingAfterBreak="0">
    <w:nsid w:val="180E159D"/>
    <w:multiLevelType w:val="multilevel"/>
    <w:tmpl w:val="CD2C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189538D0"/>
    <w:multiLevelType w:val="multilevel"/>
    <w:tmpl w:val="9184F3D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9" w15:restartNumberingAfterBreak="0">
    <w:nsid w:val="18F52294"/>
    <w:multiLevelType w:val="hybridMultilevel"/>
    <w:tmpl w:val="EDD0EC6E"/>
    <w:lvl w:ilvl="0" w:tplc="6DE8B5BE">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0" w15:restartNumberingAfterBreak="0">
    <w:nsid w:val="190C54CA"/>
    <w:multiLevelType w:val="hybridMultilevel"/>
    <w:tmpl w:val="FFFFFFFF"/>
    <w:lvl w:ilvl="0" w:tplc="0FACBD9A">
      <w:start w:val="1"/>
      <w:numFmt w:val="lowerLetter"/>
      <w:lvlText w:val="%1."/>
      <w:lvlJc w:val="left"/>
      <w:pPr>
        <w:ind w:left="720" w:hanging="360"/>
      </w:pPr>
    </w:lvl>
    <w:lvl w:ilvl="1" w:tplc="6CF8024C">
      <w:start w:val="1"/>
      <w:numFmt w:val="lowerRoman"/>
      <w:lvlText w:val="%2."/>
      <w:lvlJc w:val="right"/>
      <w:pPr>
        <w:ind w:left="1440" w:hanging="360"/>
      </w:pPr>
    </w:lvl>
    <w:lvl w:ilvl="2" w:tplc="6B58957E">
      <w:start w:val="1"/>
      <w:numFmt w:val="lowerRoman"/>
      <w:lvlText w:val="%3."/>
      <w:lvlJc w:val="right"/>
      <w:pPr>
        <w:ind w:left="2160" w:hanging="180"/>
      </w:pPr>
    </w:lvl>
    <w:lvl w:ilvl="3" w:tplc="9C0E3714">
      <w:start w:val="1"/>
      <w:numFmt w:val="decimal"/>
      <w:lvlText w:val="%4."/>
      <w:lvlJc w:val="left"/>
      <w:pPr>
        <w:ind w:left="2880" w:hanging="360"/>
      </w:pPr>
    </w:lvl>
    <w:lvl w:ilvl="4" w:tplc="7D76AFA8">
      <w:start w:val="1"/>
      <w:numFmt w:val="lowerLetter"/>
      <w:lvlText w:val="%5."/>
      <w:lvlJc w:val="left"/>
      <w:pPr>
        <w:ind w:left="3600" w:hanging="360"/>
      </w:pPr>
    </w:lvl>
    <w:lvl w:ilvl="5" w:tplc="595CAD86">
      <w:start w:val="1"/>
      <w:numFmt w:val="lowerRoman"/>
      <w:lvlText w:val="%6."/>
      <w:lvlJc w:val="right"/>
      <w:pPr>
        <w:ind w:left="4320" w:hanging="180"/>
      </w:pPr>
    </w:lvl>
    <w:lvl w:ilvl="6" w:tplc="96688CAC">
      <w:start w:val="1"/>
      <w:numFmt w:val="decimal"/>
      <w:lvlText w:val="%7."/>
      <w:lvlJc w:val="left"/>
      <w:pPr>
        <w:ind w:left="5040" w:hanging="360"/>
      </w:pPr>
    </w:lvl>
    <w:lvl w:ilvl="7" w:tplc="1680A0D2">
      <w:start w:val="1"/>
      <w:numFmt w:val="lowerLetter"/>
      <w:lvlText w:val="%8."/>
      <w:lvlJc w:val="left"/>
      <w:pPr>
        <w:ind w:left="5760" w:hanging="360"/>
      </w:pPr>
    </w:lvl>
    <w:lvl w:ilvl="8" w:tplc="174AF652">
      <w:start w:val="1"/>
      <w:numFmt w:val="lowerRoman"/>
      <w:lvlText w:val="%9."/>
      <w:lvlJc w:val="right"/>
      <w:pPr>
        <w:ind w:left="6480" w:hanging="180"/>
      </w:pPr>
    </w:lvl>
  </w:abstractNum>
  <w:abstractNum w:abstractNumId="161" w15:restartNumberingAfterBreak="0">
    <w:nsid w:val="1911A4DB"/>
    <w:multiLevelType w:val="hybridMultilevel"/>
    <w:tmpl w:val="FFFFFFFF"/>
    <w:lvl w:ilvl="0" w:tplc="455EA81A">
      <w:start w:val="1"/>
      <w:numFmt w:val="bullet"/>
      <w:lvlText w:val=""/>
      <w:lvlJc w:val="left"/>
      <w:pPr>
        <w:ind w:left="720" w:hanging="360"/>
      </w:pPr>
      <w:rPr>
        <w:rFonts w:ascii="Symbol" w:hAnsi="Symbol" w:hint="default"/>
      </w:rPr>
    </w:lvl>
    <w:lvl w:ilvl="1" w:tplc="65FCEC66">
      <w:start w:val="1"/>
      <w:numFmt w:val="bullet"/>
      <w:lvlText w:val="o"/>
      <w:lvlJc w:val="left"/>
      <w:pPr>
        <w:ind w:left="1440" w:hanging="360"/>
      </w:pPr>
      <w:rPr>
        <w:rFonts w:ascii="Courier New" w:hAnsi="Courier New" w:hint="default"/>
      </w:rPr>
    </w:lvl>
    <w:lvl w:ilvl="2" w:tplc="A6220DF8">
      <w:start w:val="1"/>
      <w:numFmt w:val="bullet"/>
      <w:lvlText w:val="§"/>
      <w:lvlJc w:val="left"/>
      <w:pPr>
        <w:ind w:left="2160" w:hanging="360"/>
      </w:pPr>
      <w:rPr>
        <w:rFonts w:ascii="Wingdings" w:hAnsi="Wingdings" w:hint="default"/>
      </w:rPr>
    </w:lvl>
    <w:lvl w:ilvl="3" w:tplc="5CBCEBAA">
      <w:start w:val="1"/>
      <w:numFmt w:val="bullet"/>
      <w:lvlText w:val=""/>
      <w:lvlJc w:val="left"/>
      <w:pPr>
        <w:ind w:left="2880" w:hanging="360"/>
      </w:pPr>
      <w:rPr>
        <w:rFonts w:ascii="Symbol" w:hAnsi="Symbol" w:hint="default"/>
      </w:rPr>
    </w:lvl>
    <w:lvl w:ilvl="4" w:tplc="766A6638">
      <w:start w:val="1"/>
      <w:numFmt w:val="bullet"/>
      <w:lvlText w:val="o"/>
      <w:lvlJc w:val="left"/>
      <w:pPr>
        <w:ind w:left="3600" w:hanging="360"/>
      </w:pPr>
      <w:rPr>
        <w:rFonts w:ascii="Courier New" w:hAnsi="Courier New" w:hint="default"/>
      </w:rPr>
    </w:lvl>
    <w:lvl w:ilvl="5" w:tplc="C7D6D318">
      <w:start w:val="1"/>
      <w:numFmt w:val="bullet"/>
      <w:lvlText w:val=""/>
      <w:lvlJc w:val="left"/>
      <w:pPr>
        <w:ind w:left="4320" w:hanging="360"/>
      </w:pPr>
      <w:rPr>
        <w:rFonts w:ascii="Wingdings" w:hAnsi="Wingdings" w:hint="default"/>
      </w:rPr>
    </w:lvl>
    <w:lvl w:ilvl="6" w:tplc="D5326C18">
      <w:start w:val="1"/>
      <w:numFmt w:val="bullet"/>
      <w:lvlText w:val=""/>
      <w:lvlJc w:val="left"/>
      <w:pPr>
        <w:ind w:left="5040" w:hanging="360"/>
      </w:pPr>
      <w:rPr>
        <w:rFonts w:ascii="Symbol" w:hAnsi="Symbol" w:hint="default"/>
      </w:rPr>
    </w:lvl>
    <w:lvl w:ilvl="7" w:tplc="379A8996">
      <w:start w:val="1"/>
      <w:numFmt w:val="bullet"/>
      <w:lvlText w:val="o"/>
      <w:lvlJc w:val="left"/>
      <w:pPr>
        <w:ind w:left="5760" w:hanging="360"/>
      </w:pPr>
      <w:rPr>
        <w:rFonts w:ascii="Courier New" w:hAnsi="Courier New" w:hint="default"/>
      </w:rPr>
    </w:lvl>
    <w:lvl w:ilvl="8" w:tplc="D89EA68C">
      <w:start w:val="1"/>
      <w:numFmt w:val="bullet"/>
      <w:lvlText w:val=""/>
      <w:lvlJc w:val="left"/>
      <w:pPr>
        <w:ind w:left="6480" w:hanging="360"/>
      </w:pPr>
      <w:rPr>
        <w:rFonts w:ascii="Wingdings" w:hAnsi="Wingdings" w:hint="default"/>
      </w:rPr>
    </w:lvl>
  </w:abstractNum>
  <w:abstractNum w:abstractNumId="162" w15:restartNumberingAfterBreak="0">
    <w:nsid w:val="192607B3"/>
    <w:multiLevelType w:val="hybridMultilevel"/>
    <w:tmpl w:val="812E4DBA"/>
    <w:lvl w:ilvl="0" w:tplc="0B90F794">
      <w:numFmt w:val="bullet"/>
      <w:lvlText w:val="•"/>
      <w:lvlJc w:val="left"/>
      <w:pPr>
        <w:ind w:left="720" w:hanging="360"/>
      </w:pPr>
      <w:rPr>
        <w:rFonts w:ascii="Symbol" w:eastAsiaTheme="minorHAnsi"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163" w15:restartNumberingAfterBreak="0">
    <w:nsid w:val="194D4AEC"/>
    <w:multiLevelType w:val="hybridMultilevel"/>
    <w:tmpl w:val="774C0776"/>
    <w:lvl w:ilvl="0" w:tplc="080C0001">
      <w:start w:val="1"/>
      <w:numFmt w:val="bullet"/>
      <w:lvlText w:val=""/>
      <w:lvlJc w:val="left"/>
      <w:pPr>
        <w:ind w:left="1146" w:hanging="360"/>
      </w:pPr>
      <w:rPr>
        <w:rFonts w:ascii="Symbol" w:hAnsi="Symbol"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64" w15:restartNumberingAfterBreak="0">
    <w:nsid w:val="19E93DA4"/>
    <w:multiLevelType w:val="multilevel"/>
    <w:tmpl w:val="1E0887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A4B63A7"/>
    <w:multiLevelType w:val="hybridMultilevel"/>
    <w:tmpl w:val="B824E7E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6" w15:restartNumberingAfterBreak="0">
    <w:nsid w:val="1A5DFAFD"/>
    <w:multiLevelType w:val="hybridMultilevel"/>
    <w:tmpl w:val="FFFFFFFF"/>
    <w:lvl w:ilvl="0" w:tplc="E2903D62">
      <w:start w:val="1"/>
      <w:numFmt w:val="decimal"/>
      <w:lvlText w:val="%1."/>
      <w:lvlJc w:val="left"/>
      <w:pPr>
        <w:ind w:left="1080" w:hanging="360"/>
      </w:pPr>
    </w:lvl>
    <w:lvl w:ilvl="1" w:tplc="515E0DF4">
      <w:start w:val="1"/>
      <w:numFmt w:val="lowerLetter"/>
      <w:lvlText w:val="%2."/>
      <w:lvlJc w:val="left"/>
      <w:pPr>
        <w:ind w:left="1800" w:hanging="360"/>
      </w:pPr>
    </w:lvl>
    <w:lvl w:ilvl="2" w:tplc="95F09ACA">
      <w:start w:val="1"/>
      <w:numFmt w:val="lowerRoman"/>
      <w:lvlText w:val="%3."/>
      <w:lvlJc w:val="right"/>
      <w:pPr>
        <w:ind w:left="2520" w:hanging="180"/>
      </w:pPr>
    </w:lvl>
    <w:lvl w:ilvl="3" w:tplc="E764A776">
      <w:start w:val="1"/>
      <w:numFmt w:val="decimal"/>
      <w:lvlText w:val="%4."/>
      <w:lvlJc w:val="left"/>
      <w:pPr>
        <w:ind w:left="3240" w:hanging="360"/>
      </w:pPr>
    </w:lvl>
    <w:lvl w:ilvl="4" w:tplc="E292A3D2">
      <w:start w:val="1"/>
      <w:numFmt w:val="lowerLetter"/>
      <w:lvlText w:val="%5."/>
      <w:lvlJc w:val="left"/>
      <w:pPr>
        <w:ind w:left="3960" w:hanging="360"/>
      </w:pPr>
    </w:lvl>
    <w:lvl w:ilvl="5" w:tplc="5EF2F5D4">
      <w:start w:val="1"/>
      <w:numFmt w:val="lowerRoman"/>
      <w:lvlText w:val="%6."/>
      <w:lvlJc w:val="right"/>
      <w:pPr>
        <w:ind w:left="4680" w:hanging="180"/>
      </w:pPr>
    </w:lvl>
    <w:lvl w:ilvl="6" w:tplc="8F82D18E">
      <w:start w:val="1"/>
      <w:numFmt w:val="decimal"/>
      <w:lvlText w:val="%7."/>
      <w:lvlJc w:val="left"/>
      <w:pPr>
        <w:ind w:left="5400" w:hanging="360"/>
      </w:pPr>
    </w:lvl>
    <w:lvl w:ilvl="7" w:tplc="EE7C9662">
      <w:start w:val="1"/>
      <w:numFmt w:val="lowerLetter"/>
      <w:lvlText w:val="%8."/>
      <w:lvlJc w:val="left"/>
      <w:pPr>
        <w:ind w:left="6120" w:hanging="360"/>
      </w:pPr>
    </w:lvl>
    <w:lvl w:ilvl="8" w:tplc="B2AC04C6">
      <w:start w:val="1"/>
      <w:numFmt w:val="lowerRoman"/>
      <w:lvlText w:val="%9."/>
      <w:lvlJc w:val="right"/>
      <w:pPr>
        <w:ind w:left="6840" w:hanging="180"/>
      </w:pPr>
    </w:lvl>
  </w:abstractNum>
  <w:abstractNum w:abstractNumId="167" w15:restartNumberingAfterBreak="0">
    <w:nsid w:val="1A7FFF7F"/>
    <w:multiLevelType w:val="hybridMultilevel"/>
    <w:tmpl w:val="FFFFFFFF"/>
    <w:lvl w:ilvl="0" w:tplc="DBE47A76">
      <w:start w:val="1"/>
      <w:numFmt w:val="bullet"/>
      <w:lvlText w:val="o"/>
      <w:lvlJc w:val="left"/>
      <w:pPr>
        <w:ind w:left="720" w:hanging="360"/>
      </w:pPr>
      <w:rPr>
        <w:rFonts w:ascii="&quot;Courier New&quot;" w:hAnsi="&quot;Courier New&quot;" w:hint="default"/>
      </w:rPr>
    </w:lvl>
    <w:lvl w:ilvl="1" w:tplc="95B02ABC">
      <w:start w:val="1"/>
      <w:numFmt w:val="bullet"/>
      <w:lvlText w:val="o"/>
      <w:lvlJc w:val="left"/>
      <w:pPr>
        <w:ind w:left="1440" w:hanging="360"/>
      </w:pPr>
      <w:rPr>
        <w:rFonts w:ascii="Courier New" w:hAnsi="Courier New" w:hint="default"/>
      </w:rPr>
    </w:lvl>
    <w:lvl w:ilvl="2" w:tplc="CE0C4E50">
      <w:start w:val="1"/>
      <w:numFmt w:val="bullet"/>
      <w:lvlText w:val=""/>
      <w:lvlJc w:val="left"/>
      <w:pPr>
        <w:ind w:left="2160" w:hanging="360"/>
      </w:pPr>
      <w:rPr>
        <w:rFonts w:ascii="Wingdings" w:hAnsi="Wingdings" w:hint="default"/>
      </w:rPr>
    </w:lvl>
    <w:lvl w:ilvl="3" w:tplc="D08E6D00">
      <w:start w:val="1"/>
      <w:numFmt w:val="bullet"/>
      <w:lvlText w:val=""/>
      <w:lvlJc w:val="left"/>
      <w:pPr>
        <w:ind w:left="2880" w:hanging="360"/>
      </w:pPr>
      <w:rPr>
        <w:rFonts w:ascii="Symbol" w:hAnsi="Symbol" w:hint="default"/>
      </w:rPr>
    </w:lvl>
    <w:lvl w:ilvl="4" w:tplc="34A29F2A">
      <w:start w:val="1"/>
      <w:numFmt w:val="bullet"/>
      <w:lvlText w:val="o"/>
      <w:lvlJc w:val="left"/>
      <w:pPr>
        <w:ind w:left="3600" w:hanging="360"/>
      </w:pPr>
      <w:rPr>
        <w:rFonts w:ascii="Courier New" w:hAnsi="Courier New" w:hint="default"/>
      </w:rPr>
    </w:lvl>
    <w:lvl w:ilvl="5" w:tplc="8B90AC04">
      <w:start w:val="1"/>
      <w:numFmt w:val="bullet"/>
      <w:lvlText w:val=""/>
      <w:lvlJc w:val="left"/>
      <w:pPr>
        <w:ind w:left="4320" w:hanging="360"/>
      </w:pPr>
      <w:rPr>
        <w:rFonts w:ascii="Wingdings" w:hAnsi="Wingdings" w:hint="default"/>
      </w:rPr>
    </w:lvl>
    <w:lvl w:ilvl="6" w:tplc="A5924F2E">
      <w:start w:val="1"/>
      <w:numFmt w:val="bullet"/>
      <w:lvlText w:val=""/>
      <w:lvlJc w:val="left"/>
      <w:pPr>
        <w:ind w:left="5040" w:hanging="360"/>
      </w:pPr>
      <w:rPr>
        <w:rFonts w:ascii="Symbol" w:hAnsi="Symbol" w:hint="default"/>
      </w:rPr>
    </w:lvl>
    <w:lvl w:ilvl="7" w:tplc="E868805E">
      <w:start w:val="1"/>
      <w:numFmt w:val="bullet"/>
      <w:lvlText w:val="o"/>
      <w:lvlJc w:val="left"/>
      <w:pPr>
        <w:ind w:left="5760" w:hanging="360"/>
      </w:pPr>
      <w:rPr>
        <w:rFonts w:ascii="Courier New" w:hAnsi="Courier New" w:hint="default"/>
      </w:rPr>
    </w:lvl>
    <w:lvl w:ilvl="8" w:tplc="1018C856">
      <w:start w:val="1"/>
      <w:numFmt w:val="bullet"/>
      <w:lvlText w:val=""/>
      <w:lvlJc w:val="left"/>
      <w:pPr>
        <w:ind w:left="6480" w:hanging="360"/>
      </w:pPr>
      <w:rPr>
        <w:rFonts w:ascii="Wingdings" w:hAnsi="Wingdings" w:hint="default"/>
      </w:rPr>
    </w:lvl>
  </w:abstractNum>
  <w:abstractNum w:abstractNumId="168" w15:restartNumberingAfterBreak="0">
    <w:nsid w:val="1AB540A8"/>
    <w:multiLevelType w:val="hybridMultilevel"/>
    <w:tmpl w:val="3A1E0F3A"/>
    <w:lvl w:ilvl="0" w:tplc="7DE891F8">
      <w:start w:val="1"/>
      <w:numFmt w:val="lowerRoman"/>
      <w:lvlText w:val="%1."/>
      <w:lvlJc w:val="right"/>
      <w:pPr>
        <w:ind w:left="1440" w:hanging="360"/>
      </w:pPr>
      <w:rPr>
        <w:b w:val="0"/>
        <w:bCs/>
        <w:color w:val="4F81BD" w:themeColor="accent1"/>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69"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0" w15:restartNumberingAfterBreak="0">
    <w:nsid w:val="1B60664A"/>
    <w:multiLevelType w:val="hybridMultilevel"/>
    <w:tmpl w:val="FFFFFFFF"/>
    <w:lvl w:ilvl="0" w:tplc="B8EE1040">
      <w:start w:val="1"/>
      <w:numFmt w:val="bullet"/>
      <w:lvlText w:val="o"/>
      <w:lvlJc w:val="left"/>
      <w:pPr>
        <w:ind w:left="720" w:hanging="360"/>
      </w:pPr>
      <w:rPr>
        <w:rFonts w:ascii="&quot;Courier New&quot;" w:hAnsi="&quot;Courier New&quot;" w:hint="default"/>
      </w:rPr>
    </w:lvl>
    <w:lvl w:ilvl="1" w:tplc="EB4C651A">
      <w:start w:val="1"/>
      <w:numFmt w:val="bullet"/>
      <w:lvlText w:val="o"/>
      <w:lvlJc w:val="left"/>
      <w:pPr>
        <w:ind w:left="1440" w:hanging="360"/>
      </w:pPr>
      <w:rPr>
        <w:rFonts w:ascii="Courier New" w:hAnsi="Courier New" w:hint="default"/>
      </w:rPr>
    </w:lvl>
    <w:lvl w:ilvl="2" w:tplc="263E9C30">
      <w:start w:val="1"/>
      <w:numFmt w:val="bullet"/>
      <w:lvlText w:val=""/>
      <w:lvlJc w:val="left"/>
      <w:pPr>
        <w:ind w:left="2160" w:hanging="360"/>
      </w:pPr>
      <w:rPr>
        <w:rFonts w:ascii="Wingdings" w:hAnsi="Wingdings" w:hint="default"/>
      </w:rPr>
    </w:lvl>
    <w:lvl w:ilvl="3" w:tplc="4A7492DE">
      <w:start w:val="1"/>
      <w:numFmt w:val="bullet"/>
      <w:lvlText w:val=""/>
      <w:lvlJc w:val="left"/>
      <w:pPr>
        <w:ind w:left="2880" w:hanging="360"/>
      </w:pPr>
      <w:rPr>
        <w:rFonts w:ascii="Symbol" w:hAnsi="Symbol" w:hint="default"/>
      </w:rPr>
    </w:lvl>
    <w:lvl w:ilvl="4" w:tplc="C12E9ADC">
      <w:start w:val="1"/>
      <w:numFmt w:val="bullet"/>
      <w:lvlText w:val="o"/>
      <w:lvlJc w:val="left"/>
      <w:pPr>
        <w:ind w:left="3600" w:hanging="360"/>
      </w:pPr>
      <w:rPr>
        <w:rFonts w:ascii="Courier New" w:hAnsi="Courier New" w:hint="default"/>
      </w:rPr>
    </w:lvl>
    <w:lvl w:ilvl="5" w:tplc="849608DC">
      <w:start w:val="1"/>
      <w:numFmt w:val="bullet"/>
      <w:lvlText w:val=""/>
      <w:lvlJc w:val="left"/>
      <w:pPr>
        <w:ind w:left="4320" w:hanging="360"/>
      </w:pPr>
      <w:rPr>
        <w:rFonts w:ascii="Wingdings" w:hAnsi="Wingdings" w:hint="default"/>
      </w:rPr>
    </w:lvl>
    <w:lvl w:ilvl="6" w:tplc="43B622B6">
      <w:start w:val="1"/>
      <w:numFmt w:val="bullet"/>
      <w:lvlText w:val=""/>
      <w:lvlJc w:val="left"/>
      <w:pPr>
        <w:ind w:left="5040" w:hanging="360"/>
      </w:pPr>
      <w:rPr>
        <w:rFonts w:ascii="Symbol" w:hAnsi="Symbol" w:hint="default"/>
      </w:rPr>
    </w:lvl>
    <w:lvl w:ilvl="7" w:tplc="E5DCEF84">
      <w:start w:val="1"/>
      <w:numFmt w:val="bullet"/>
      <w:lvlText w:val="o"/>
      <w:lvlJc w:val="left"/>
      <w:pPr>
        <w:ind w:left="5760" w:hanging="360"/>
      </w:pPr>
      <w:rPr>
        <w:rFonts w:ascii="Courier New" w:hAnsi="Courier New" w:hint="default"/>
      </w:rPr>
    </w:lvl>
    <w:lvl w:ilvl="8" w:tplc="51269408">
      <w:start w:val="1"/>
      <w:numFmt w:val="bullet"/>
      <w:lvlText w:val=""/>
      <w:lvlJc w:val="left"/>
      <w:pPr>
        <w:ind w:left="6480" w:hanging="360"/>
      </w:pPr>
      <w:rPr>
        <w:rFonts w:ascii="Wingdings" w:hAnsi="Wingdings" w:hint="default"/>
      </w:rPr>
    </w:lvl>
  </w:abstractNum>
  <w:abstractNum w:abstractNumId="171" w15:restartNumberingAfterBreak="0">
    <w:nsid w:val="1BAD28DC"/>
    <w:multiLevelType w:val="hybridMultilevel"/>
    <w:tmpl w:val="FFFFFFFF"/>
    <w:lvl w:ilvl="0" w:tplc="B89CB830">
      <w:start w:val="1"/>
      <w:numFmt w:val="bullet"/>
      <w:lvlText w:val=""/>
      <w:lvlJc w:val="left"/>
      <w:pPr>
        <w:ind w:left="720" w:hanging="360"/>
      </w:pPr>
      <w:rPr>
        <w:rFonts w:ascii="Segoe UI" w:hAnsi="Segoe UI" w:hint="default"/>
      </w:rPr>
    </w:lvl>
    <w:lvl w:ilvl="1" w:tplc="7D742AD4">
      <w:start w:val="1"/>
      <w:numFmt w:val="bullet"/>
      <w:lvlText w:val="o"/>
      <w:lvlJc w:val="left"/>
      <w:pPr>
        <w:ind w:left="1440" w:hanging="360"/>
      </w:pPr>
      <w:rPr>
        <w:rFonts w:ascii="Courier New" w:hAnsi="Courier New" w:hint="default"/>
      </w:rPr>
    </w:lvl>
    <w:lvl w:ilvl="2" w:tplc="5352EB2E">
      <w:start w:val="1"/>
      <w:numFmt w:val="bullet"/>
      <w:lvlText w:val=""/>
      <w:lvlJc w:val="left"/>
      <w:pPr>
        <w:ind w:left="2160" w:hanging="360"/>
      </w:pPr>
      <w:rPr>
        <w:rFonts w:ascii="Cambria Math" w:hAnsi="Cambria Math" w:hint="default"/>
      </w:rPr>
    </w:lvl>
    <w:lvl w:ilvl="3" w:tplc="FA24F754">
      <w:start w:val="1"/>
      <w:numFmt w:val="bullet"/>
      <w:lvlText w:val=""/>
      <w:lvlJc w:val="left"/>
      <w:pPr>
        <w:ind w:left="2880" w:hanging="360"/>
      </w:pPr>
      <w:rPr>
        <w:rFonts w:ascii="Segoe UI" w:hAnsi="Segoe UI" w:hint="default"/>
      </w:rPr>
    </w:lvl>
    <w:lvl w:ilvl="4" w:tplc="1BCCE446">
      <w:start w:val="1"/>
      <w:numFmt w:val="bullet"/>
      <w:lvlText w:val="o"/>
      <w:lvlJc w:val="left"/>
      <w:pPr>
        <w:ind w:left="3600" w:hanging="360"/>
      </w:pPr>
      <w:rPr>
        <w:rFonts w:ascii="Courier New" w:hAnsi="Courier New" w:hint="default"/>
      </w:rPr>
    </w:lvl>
    <w:lvl w:ilvl="5" w:tplc="CE9836C6">
      <w:start w:val="1"/>
      <w:numFmt w:val="bullet"/>
      <w:lvlText w:val=""/>
      <w:lvlJc w:val="left"/>
      <w:pPr>
        <w:ind w:left="4320" w:hanging="360"/>
      </w:pPr>
      <w:rPr>
        <w:rFonts w:ascii="Cambria Math" w:hAnsi="Cambria Math" w:hint="default"/>
      </w:rPr>
    </w:lvl>
    <w:lvl w:ilvl="6" w:tplc="C110173C">
      <w:start w:val="1"/>
      <w:numFmt w:val="bullet"/>
      <w:lvlText w:val=""/>
      <w:lvlJc w:val="left"/>
      <w:pPr>
        <w:ind w:left="5040" w:hanging="360"/>
      </w:pPr>
      <w:rPr>
        <w:rFonts w:ascii="Segoe UI" w:hAnsi="Segoe UI" w:hint="default"/>
      </w:rPr>
    </w:lvl>
    <w:lvl w:ilvl="7" w:tplc="D6507C64">
      <w:start w:val="1"/>
      <w:numFmt w:val="bullet"/>
      <w:lvlText w:val="o"/>
      <w:lvlJc w:val="left"/>
      <w:pPr>
        <w:ind w:left="5760" w:hanging="360"/>
      </w:pPr>
      <w:rPr>
        <w:rFonts w:ascii="Courier New" w:hAnsi="Courier New" w:hint="default"/>
      </w:rPr>
    </w:lvl>
    <w:lvl w:ilvl="8" w:tplc="674A1674">
      <w:start w:val="1"/>
      <w:numFmt w:val="bullet"/>
      <w:lvlText w:val=""/>
      <w:lvlJc w:val="left"/>
      <w:pPr>
        <w:ind w:left="6480" w:hanging="360"/>
      </w:pPr>
      <w:rPr>
        <w:rFonts w:ascii="Cambria Math" w:hAnsi="Cambria Math" w:hint="default"/>
      </w:rPr>
    </w:lvl>
  </w:abstractNum>
  <w:abstractNum w:abstractNumId="172" w15:restartNumberingAfterBreak="0">
    <w:nsid w:val="1BB40FF4"/>
    <w:multiLevelType w:val="multilevel"/>
    <w:tmpl w:val="60785D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1BBC89D2"/>
    <w:multiLevelType w:val="hybridMultilevel"/>
    <w:tmpl w:val="FFFFFFFF"/>
    <w:lvl w:ilvl="0" w:tplc="58A075AA">
      <w:start w:val="6"/>
      <w:numFmt w:val="decimal"/>
      <w:lvlText w:val="%1."/>
      <w:lvlJc w:val="left"/>
      <w:pPr>
        <w:ind w:left="720" w:hanging="360"/>
      </w:pPr>
    </w:lvl>
    <w:lvl w:ilvl="1" w:tplc="7BA28180">
      <w:start w:val="1"/>
      <w:numFmt w:val="lowerLetter"/>
      <w:lvlText w:val="%2."/>
      <w:lvlJc w:val="left"/>
      <w:pPr>
        <w:ind w:left="1440" w:hanging="360"/>
      </w:pPr>
    </w:lvl>
    <w:lvl w:ilvl="2" w:tplc="93163FDC">
      <w:start w:val="1"/>
      <w:numFmt w:val="lowerRoman"/>
      <w:lvlText w:val="%3."/>
      <w:lvlJc w:val="right"/>
      <w:pPr>
        <w:ind w:left="2160" w:hanging="180"/>
      </w:pPr>
    </w:lvl>
    <w:lvl w:ilvl="3" w:tplc="699E2C3E">
      <w:start w:val="1"/>
      <w:numFmt w:val="decimal"/>
      <w:lvlText w:val="%4."/>
      <w:lvlJc w:val="left"/>
      <w:pPr>
        <w:ind w:left="2880" w:hanging="360"/>
      </w:pPr>
    </w:lvl>
    <w:lvl w:ilvl="4" w:tplc="9B12844E">
      <w:start w:val="1"/>
      <w:numFmt w:val="lowerLetter"/>
      <w:lvlText w:val="%5."/>
      <w:lvlJc w:val="left"/>
      <w:pPr>
        <w:ind w:left="3600" w:hanging="360"/>
      </w:pPr>
    </w:lvl>
    <w:lvl w:ilvl="5" w:tplc="188AB13C">
      <w:start w:val="1"/>
      <w:numFmt w:val="lowerRoman"/>
      <w:lvlText w:val="%6."/>
      <w:lvlJc w:val="right"/>
      <w:pPr>
        <w:ind w:left="4320" w:hanging="180"/>
      </w:pPr>
    </w:lvl>
    <w:lvl w:ilvl="6" w:tplc="D3A4D292">
      <w:start w:val="1"/>
      <w:numFmt w:val="decimal"/>
      <w:lvlText w:val="%7."/>
      <w:lvlJc w:val="left"/>
      <w:pPr>
        <w:ind w:left="5040" w:hanging="360"/>
      </w:pPr>
    </w:lvl>
    <w:lvl w:ilvl="7" w:tplc="AF56F00A">
      <w:start w:val="1"/>
      <w:numFmt w:val="lowerLetter"/>
      <w:lvlText w:val="%8."/>
      <w:lvlJc w:val="left"/>
      <w:pPr>
        <w:ind w:left="5760" w:hanging="360"/>
      </w:pPr>
    </w:lvl>
    <w:lvl w:ilvl="8" w:tplc="30C09FB2">
      <w:start w:val="1"/>
      <w:numFmt w:val="lowerRoman"/>
      <w:lvlText w:val="%9."/>
      <w:lvlJc w:val="right"/>
      <w:pPr>
        <w:ind w:left="6480" w:hanging="180"/>
      </w:pPr>
    </w:lvl>
  </w:abstractNum>
  <w:abstractNum w:abstractNumId="174" w15:restartNumberingAfterBreak="0">
    <w:nsid w:val="1C912417"/>
    <w:multiLevelType w:val="multilevel"/>
    <w:tmpl w:val="6FEE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C9663C3"/>
    <w:multiLevelType w:val="hybridMultilevel"/>
    <w:tmpl w:val="C2AA9766"/>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6" w15:restartNumberingAfterBreak="0">
    <w:nsid w:val="1CCB4B20"/>
    <w:multiLevelType w:val="hybridMultilevel"/>
    <w:tmpl w:val="BB32ED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7" w15:restartNumberingAfterBreak="0">
    <w:nsid w:val="1CCBE4A3"/>
    <w:multiLevelType w:val="hybridMultilevel"/>
    <w:tmpl w:val="FFFFFFFF"/>
    <w:lvl w:ilvl="0" w:tplc="169A5CEE">
      <w:start w:val="4"/>
      <w:numFmt w:val="decimal"/>
      <w:lvlText w:val="%1."/>
      <w:lvlJc w:val="left"/>
      <w:pPr>
        <w:ind w:left="720" w:hanging="360"/>
      </w:pPr>
    </w:lvl>
    <w:lvl w:ilvl="1" w:tplc="7C904576">
      <w:start w:val="1"/>
      <w:numFmt w:val="lowerLetter"/>
      <w:lvlText w:val="%2."/>
      <w:lvlJc w:val="left"/>
      <w:pPr>
        <w:ind w:left="1440" w:hanging="360"/>
      </w:pPr>
    </w:lvl>
    <w:lvl w:ilvl="2" w:tplc="2D8EEED8">
      <w:start w:val="1"/>
      <w:numFmt w:val="lowerRoman"/>
      <w:lvlText w:val="%3."/>
      <w:lvlJc w:val="right"/>
      <w:pPr>
        <w:ind w:left="2160" w:hanging="180"/>
      </w:pPr>
    </w:lvl>
    <w:lvl w:ilvl="3" w:tplc="7CB2500A">
      <w:start w:val="1"/>
      <w:numFmt w:val="decimal"/>
      <w:lvlText w:val="%4."/>
      <w:lvlJc w:val="left"/>
      <w:pPr>
        <w:ind w:left="2880" w:hanging="360"/>
      </w:pPr>
    </w:lvl>
    <w:lvl w:ilvl="4" w:tplc="FC3E8126">
      <w:start w:val="1"/>
      <w:numFmt w:val="lowerLetter"/>
      <w:lvlText w:val="%5."/>
      <w:lvlJc w:val="left"/>
      <w:pPr>
        <w:ind w:left="3600" w:hanging="360"/>
      </w:pPr>
    </w:lvl>
    <w:lvl w:ilvl="5" w:tplc="05E8D93E">
      <w:start w:val="1"/>
      <w:numFmt w:val="lowerRoman"/>
      <w:lvlText w:val="%6."/>
      <w:lvlJc w:val="right"/>
      <w:pPr>
        <w:ind w:left="4320" w:hanging="180"/>
      </w:pPr>
    </w:lvl>
    <w:lvl w:ilvl="6" w:tplc="DD6862F4">
      <w:start w:val="1"/>
      <w:numFmt w:val="decimal"/>
      <w:lvlText w:val="%7."/>
      <w:lvlJc w:val="left"/>
      <w:pPr>
        <w:ind w:left="5040" w:hanging="360"/>
      </w:pPr>
    </w:lvl>
    <w:lvl w:ilvl="7" w:tplc="92707230">
      <w:start w:val="1"/>
      <w:numFmt w:val="lowerLetter"/>
      <w:lvlText w:val="%8."/>
      <w:lvlJc w:val="left"/>
      <w:pPr>
        <w:ind w:left="5760" w:hanging="360"/>
      </w:pPr>
    </w:lvl>
    <w:lvl w:ilvl="8" w:tplc="3FAC0E32">
      <w:start w:val="1"/>
      <w:numFmt w:val="lowerRoman"/>
      <w:lvlText w:val="%9."/>
      <w:lvlJc w:val="right"/>
      <w:pPr>
        <w:ind w:left="6480" w:hanging="180"/>
      </w:pPr>
    </w:lvl>
  </w:abstractNum>
  <w:abstractNum w:abstractNumId="178" w15:restartNumberingAfterBreak="0">
    <w:nsid w:val="1D033DC7"/>
    <w:multiLevelType w:val="multilevel"/>
    <w:tmpl w:val="904AF75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1D0F04A0"/>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0" w15:restartNumberingAfterBreak="0">
    <w:nsid w:val="1D3B0F62"/>
    <w:multiLevelType w:val="hybridMultilevel"/>
    <w:tmpl w:val="3CE0C580"/>
    <w:lvl w:ilvl="0" w:tplc="1F6E05A8">
      <w:start w:val="25"/>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15:restartNumberingAfterBreak="0">
    <w:nsid w:val="1D5EF0CD"/>
    <w:multiLevelType w:val="hybridMultilevel"/>
    <w:tmpl w:val="FFFFFFFF"/>
    <w:lvl w:ilvl="0" w:tplc="5AA26166">
      <w:start w:val="9"/>
      <w:numFmt w:val="decimal"/>
      <w:lvlText w:val="%1."/>
      <w:lvlJc w:val="left"/>
      <w:pPr>
        <w:ind w:left="720" w:hanging="360"/>
      </w:pPr>
    </w:lvl>
    <w:lvl w:ilvl="1" w:tplc="0F7413DC">
      <w:start w:val="1"/>
      <w:numFmt w:val="lowerLetter"/>
      <w:lvlText w:val="%2."/>
      <w:lvlJc w:val="left"/>
      <w:pPr>
        <w:ind w:left="1440" w:hanging="360"/>
      </w:pPr>
    </w:lvl>
    <w:lvl w:ilvl="2" w:tplc="1D3A98DC">
      <w:start w:val="1"/>
      <w:numFmt w:val="lowerRoman"/>
      <w:lvlText w:val="%3."/>
      <w:lvlJc w:val="right"/>
      <w:pPr>
        <w:ind w:left="2160" w:hanging="180"/>
      </w:pPr>
    </w:lvl>
    <w:lvl w:ilvl="3" w:tplc="D19CC3C0">
      <w:start w:val="1"/>
      <w:numFmt w:val="decimal"/>
      <w:lvlText w:val="%4."/>
      <w:lvlJc w:val="left"/>
      <w:pPr>
        <w:ind w:left="2880" w:hanging="360"/>
      </w:pPr>
    </w:lvl>
    <w:lvl w:ilvl="4" w:tplc="3224F878">
      <w:start w:val="1"/>
      <w:numFmt w:val="lowerLetter"/>
      <w:lvlText w:val="%5."/>
      <w:lvlJc w:val="left"/>
      <w:pPr>
        <w:ind w:left="3600" w:hanging="360"/>
      </w:pPr>
    </w:lvl>
    <w:lvl w:ilvl="5" w:tplc="95F676AA">
      <w:start w:val="1"/>
      <w:numFmt w:val="lowerRoman"/>
      <w:lvlText w:val="%6."/>
      <w:lvlJc w:val="right"/>
      <w:pPr>
        <w:ind w:left="4320" w:hanging="180"/>
      </w:pPr>
    </w:lvl>
    <w:lvl w:ilvl="6" w:tplc="EA82F9EC">
      <w:start w:val="1"/>
      <w:numFmt w:val="decimal"/>
      <w:lvlText w:val="%7."/>
      <w:lvlJc w:val="left"/>
      <w:pPr>
        <w:ind w:left="5040" w:hanging="360"/>
      </w:pPr>
    </w:lvl>
    <w:lvl w:ilvl="7" w:tplc="948E84EA">
      <w:start w:val="1"/>
      <w:numFmt w:val="lowerLetter"/>
      <w:lvlText w:val="%8."/>
      <w:lvlJc w:val="left"/>
      <w:pPr>
        <w:ind w:left="5760" w:hanging="360"/>
      </w:pPr>
    </w:lvl>
    <w:lvl w:ilvl="8" w:tplc="A68CF282">
      <w:start w:val="1"/>
      <w:numFmt w:val="lowerRoman"/>
      <w:lvlText w:val="%9."/>
      <w:lvlJc w:val="right"/>
      <w:pPr>
        <w:ind w:left="6480" w:hanging="180"/>
      </w:pPr>
    </w:lvl>
  </w:abstractNum>
  <w:abstractNum w:abstractNumId="182" w15:restartNumberingAfterBreak="0">
    <w:nsid w:val="1DC17AA4"/>
    <w:multiLevelType w:val="hybridMultilevel"/>
    <w:tmpl w:val="FFFFFFFF"/>
    <w:lvl w:ilvl="0" w:tplc="1DF0C1C8">
      <w:start w:val="1"/>
      <w:numFmt w:val="bullet"/>
      <w:lvlText w:val=""/>
      <w:lvlJc w:val="left"/>
      <w:pPr>
        <w:ind w:left="720" w:hanging="360"/>
      </w:pPr>
      <w:rPr>
        <w:rFonts w:ascii="Symbol" w:hAnsi="Symbol" w:hint="default"/>
      </w:rPr>
    </w:lvl>
    <w:lvl w:ilvl="1" w:tplc="CFBE2B5C">
      <w:start w:val="1"/>
      <w:numFmt w:val="bullet"/>
      <w:lvlText w:val="o"/>
      <w:lvlJc w:val="left"/>
      <w:pPr>
        <w:ind w:left="1440" w:hanging="360"/>
      </w:pPr>
      <w:rPr>
        <w:rFonts w:ascii="Courier New" w:hAnsi="Courier New" w:hint="default"/>
      </w:rPr>
    </w:lvl>
    <w:lvl w:ilvl="2" w:tplc="E1AE82BE">
      <w:start w:val="1"/>
      <w:numFmt w:val="bullet"/>
      <w:lvlText w:val=""/>
      <w:lvlJc w:val="left"/>
      <w:pPr>
        <w:ind w:left="2160" w:hanging="360"/>
      </w:pPr>
      <w:rPr>
        <w:rFonts w:ascii="Wingdings" w:hAnsi="Wingdings" w:hint="default"/>
      </w:rPr>
    </w:lvl>
    <w:lvl w:ilvl="3" w:tplc="25302BBE">
      <w:start w:val="1"/>
      <w:numFmt w:val="bullet"/>
      <w:lvlText w:val=""/>
      <w:lvlJc w:val="left"/>
      <w:pPr>
        <w:ind w:left="2880" w:hanging="360"/>
      </w:pPr>
      <w:rPr>
        <w:rFonts w:ascii="Symbol" w:hAnsi="Symbol" w:hint="default"/>
      </w:rPr>
    </w:lvl>
    <w:lvl w:ilvl="4" w:tplc="777C3C68">
      <w:start w:val="1"/>
      <w:numFmt w:val="bullet"/>
      <w:lvlText w:val="o"/>
      <w:lvlJc w:val="left"/>
      <w:pPr>
        <w:ind w:left="3600" w:hanging="360"/>
      </w:pPr>
      <w:rPr>
        <w:rFonts w:ascii="Courier New" w:hAnsi="Courier New" w:hint="default"/>
      </w:rPr>
    </w:lvl>
    <w:lvl w:ilvl="5" w:tplc="E286D97A">
      <w:start w:val="1"/>
      <w:numFmt w:val="bullet"/>
      <w:lvlText w:val=""/>
      <w:lvlJc w:val="left"/>
      <w:pPr>
        <w:ind w:left="4320" w:hanging="360"/>
      </w:pPr>
      <w:rPr>
        <w:rFonts w:ascii="Wingdings" w:hAnsi="Wingdings" w:hint="default"/>
      </w:rPr>
    </w:lvl>
    <w:lvl w:ilvl="6" w:tplc="CC821F8E">
      <w:start w:val="1"/>
      <w:numFmt w:val="bullet"/>
      <w:lvlText w:val=""/>
      <w:lvlJc w:val="left"/>
      <w:pPr>
        <w:ind w:left="5040" w:hanging="360"/>
      </w:pPr>
      <w:rPr>
        <w:rFonts w:ascii="Symbol" w:hAnsi="Symbol" w:hint="default"/>
      </w:rPr>
    </w:lvl>
    <w:lvl w:ilvl="7" w:tplc="1228F2C0">
      <w:start w:val="1"/>
      <w:numFmt w:val="bullet"/>
      <w:lvlText w:val="o"/>
      <w:lvlJc w:val="left"/>
      <w:pPr>
        <w:ind w:left="5760" w:hanging="360"/>
      </w:pPr>
      <w:rPr>
        <w:rFonts w:ascii="Courier New" w:hAnsi="Courier New" w:hint="default"/>
      </w:rPr>
    </w:lvl>
    <w:lvl w:ilvl="8" w:tplc="503205EC">
      <w:start w:val="1"/>
      <w:numFmt w:val="bullet"/>
      <w:lvlText w:val=""/>
      <w:lvlJc w:val="left"/>
      <w:pPr>
        <w:ind w:left="6480" w:hanging="360"/>
      </w:pPr>
      <w:rPr>
        <w:rFonts w:ascii="Wingdings" w:hAnsi="Wingdings" w:hint="default"/>
      </w:rPr>
    </w:lvl>
  </w:abstractNum>
  <w:abstractNum w:abstractNumId="183" w15:restartNumberingAfterBreak="0">
    <w:nsid w:val="1DC87C10"/>
    <w:multiLevelType w:val="hybridMultilevel"/>
    <w:tmpl w:val="F7121D94"/>
    <w:lvl w:ilvl="0" w:tplc="3552DF72">
      <w:start w:val="1"/>
      <w:numFmt w:val="lowerLetter"/>
      <w:lvlText w:val="%1."/>
      <w:lvlJc w:val="left"/>
      <w:pPr>
        <w:ind w:left="720" w:hanging="360"/>
      </w:pPr>
    </w:lvl>
    <w:lvl w:ilvl="1" w:tplc="B1DA723A">
      <w:start w:val="1"/>
      <w:numFmt w:val="lowerLetter"/>
      <w:lvlText w:val="%2."/>
      <w:lvlJc w:val="left"/>
      <w:pPr>
        <w:ind w:left="1440" w:hanging="360"/>
      </w:pPr>
    </w:lvl>
    <w:lvl w:ilvl="2" w:tplc="A212FD38">
      <w:start w:val="1"/>
      <w:numFmt w:val="lowerRoman"/>
      <w:lvlText w:val="%3."/>
      <w:lvlJc w:val="right"/>
      <w:pPr>
        <w:ind w:left="2160" w:hanging="180"/>
      </w:pPr>
    </w:lvl>
    <w:lvl w:ilvl="3" w:tplc="08D2B136">
      <w:start w:val="1"/>
      <w:numFmt w:val="decimal"/>
      <w:lvlText w:val="%4."/>
      <w:lvlJc w:val="left"/>
      <w:pPr>
        <w:ind w:left="2880" w:hanging="360"/>
      </w:pPr>
    </w:lvl>
    <w:lvl w:ilvl="4" w:tplc="CFD6CD62">
      <w:start w:val="1"/>
      <w:numFmt w:val="lowerLetter"/>
      <w:lvlText w:val="%5."/>
      <w:lvlJc w:val="left"/>
      <w:pPr>
        <w:ind w:left="3600" w:hanging="360"/>
      </w:pPr>
    </w:lvl>
    <w:lvl w:ilvl="5" w:tplc="C56AEF8C">
      <w:start w:val="1"/>
      <w:numFmt w:val="lowerRoman"/>
      <w:lvlText w:val="%6."/>
      <w:lvlJc w:val="right"/>
      <w:pPr>
        <w:ind w:left="4320" w:hanging="180"/>
      </w:pPr>
    </w:lvl>
    <w:lvl w:ilvl="6" w:tplc="8A86B7A0">
      <w:start w:val="1"/>
      <w:numFmt w:val="decimal"/>
      <w:lvlText w:val="%7."/>
      <w:lvlJc w:val="left"/>
      <w:pPr>
        <w:ind w:left="5040" w:hanging="360"/>
      </w:pPr>
    </w:lvl>
    <w:lvl w:ilvl="7" w:tplc="1F2C5B74">
      <w:start w:val="1"/>
      <w:numFmt w:val="lowerLetter"/>
      <w:lvlText w:val="%8."/>
      <w:lvlJc w:val="left"/>
      <w:pPr>
        <w:ind w:left="5760" w:hanging="360"/>
      </w:pPr>
    </w:lvl>
    <w:lvl w:ilvl="8" w:tplc="F932B108">
      <w:start w:val="1"/>
      <w:numFmt w:val="lowerRoman"/>
      <w:lvlText w:val="%9."/>
      <w:lvlJc w:val="right"/>
      <w:pPr>
        <w:ind w:left="6480" w:hanging="180"/>
      </w:pPr>
    </w:lvl>
  </w:abstractNum>
  <w:abstractNum w:abstractNumId="184" w15:restartNumberingAfterBreak="0">
    <w:nsid w:val="1E832D1B"/>
    <w:multiLevelType w:val="hybridMultilevel"/>
    <w:tmpl w:val="254E87B4"/>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5" w15:restartNumberingAfterBreak="0">
    <w:nsid w:val="1E9A5DD5"/>
    <w:multiLevelType w:val="hybridMultilevel"/>
    <w:tmpl w:val="8A429BBE"/>
    <w:lvl w:ilvl="0" w:tplc="3850D732">
      <w:start w:val="1"/>
      <w:numFmt w:val="bullet"/>
      <w:lvlText w:val=""/>
      <w:lvlJc w:val="left"/>
      <w:pPr>
        <w:ind w:left="720" w:hanging="360"/>
      </w:pPr>
      <w:rPr>
        <w:rFonts w:ascii="Symbol" w:hAnsi="Symbol" w:hint="default"/>
      </w:rPr>
    </w:lvl>
    <w:lvl w:ilvl="1" w:tplc="5A7264BC">
      <w:start w:val="1"/>
      <w:numFmt w:val="bullet"/>
      <w:lvlText w:val="o"/>
      <w:lvlJc w:val="left"/>
      <w:pPr>
        <w:ind w:left="1440" w:hanging="360"/>
      </w:pPr>
      <w:rPr>
        <w:rFonts w:ascii="Courier New" w:hAnsi="Courier New" w:hint="default"/>
      </w:rPr>
    </w:lvl>
    <w:lvl w:ilvl="2" w:tplc="E14CE09C">
      <w:start w:val="1"/>
      <w:numFmt w:val="bullet"/>
      <w:lvlText w:val=""/>
      <w:lvlJc w:val="left"/>
      <w:pPr>
        <w:ind w:left="2160" w:hanging="360"/>
      </w:pPr>
      <w:rPr>
        <w:rFonts w:ascii="Wingdings" w:hAnsi="Wingdings" w:hint="default"/>
      </w:rPr>
    </w:lvl>
    <w:lvl w:ilvl="3" w:tplc="78D6246C">
      <w:start w:val="1"/>
      <w:numFmt w:val="bullet"/>
      <w:lvlText w:val=""/>
      <w:lvlJc w:val="left"/>
      <w:pPr>
        <w:ind w:left="2880" w:hanging="360"/>
      </w:pPr>
      <w:rPr>
        <w:rFonts w:ascii="Symbol" w:hAnsi="Symbol" w:hint="default"/>
      </w:rPr>
    </w:lvl>
    <w:lvl w:ilvl="4" w:tplc="C23E426C">
      <w:start w:val="1"/>
      <w:numFmt w:val="bullet"/>
      <w:lvlText w:val="o"/>
      <w:lvlJc w:val="left"/>
      <w:pPr>
        <w:ind w:left="3600" w:hanging="360"/>
      </w:pPr>
      <w:rPr>
        <w:rFonts w:ascii="Courier New" w:hAnsi="Courier New" w:hint="default"/>
      </w:rPr>
    </w:lvl>
    <w:lvl w:ilvl="5" w:tplc="7CD4317E">
      <w:start w:val="1"/>
      <w:numFmt w:val="bullet"/>
      <w:lvlText w:val=""/>
      <w:lvlJc w:val="left"/>
      <w:pPr>
        <w:ind w:left="4320" w:hanging="360"/>
      </w:pPr>
      <w:rPr>
        <w:rFonts w:ascii="Wingdings" w:hAnsi="Wingdings" w:hint="default"/>
      </w:rPr>
    </w:lvl>
    <w:lvl w:ilvl="6" w:tplc="3D44E254">
      <w:start w:val="1"/>
      <w:numFmt w:val="bullet"/>
      <w:lvlText w:val=""/>
      <w:lvlJc w:val="left"/>
      <w:pPr>
        <w:ind w:left="5040" w:hanging="360"/>
      </w:pPr>
      <w:rPr>
        <w:rFonts w:ascii="Symbol" w:hAnsi="Symbol" w:hint="default"/>
      </w:rPr>
    </w:lvl>
    <w:lvl w:ilvl="7" w:tplc="6A98C89C">
      <w:start w:val="1"/>
      <w:numFmt w:val="bullet"/>
      <w:lvlText w:val="o"/>
      <w:lvlJc w:val="left"/>
      <w:pPr>
        <w:ind w:left="5760" w:hanging="360"/>
      </w:pPr>
      <w:rPr>
        <w:rFonts w:ascii="Courier New" w:hAnsi="Courier New" w:hint="default"/>
      </w:rPr>
    </w:lvl>
    <w:lvl w:ilvl="8" w:tplc="A6662AB8">
      <w:start w:val="1"/>
      <w:numFmt w:val="bullet"/>
      <w:lvlText w:val=""/>
      <w:lvlJc w:val="left"/>
      <w:pPr>
        <w:ind w:left="6480" w:hanging="360"/>
      </w:pPr>
      <w:rPr>
        <w:rFonts w:ascii="Wingdings" w:hAnsi="Wingdings" w:hint="default"/>
      </w:rPr>
    </w:lvl>
  </w:abstractNum>
  <w:abstractNum w:abstractNumId="186" w15:restartNumberingAfterBreak="0">
    <w:nsid w:val="1E9E592C"/>
    <w:multiLevelType w:val="hybridMultilevel"/>
    <w:tmpl w:val="6FB88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1EAA26B3"/>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188" w15:restartNumberingAfterBreak="0">
    <w:nsid w:val="1EAC68F1"/>
    <w:multiLevelType w:val="hybridMultilevel"/>
    <w:tmpl w:val="41E8D650"/>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9" w15:restartNumberingAfterBreak="0">
    <w:nsid w:val="1EF2EC73"/>
    <w:multiLevelType w:val="hybridMultilevel"/>
    <w:tmpl w:val="E3A267EC"/>
    <w:lvl w:ilvl="0" w:tplc="4C82A8B8">
      <w:start w:val="1"/>
      <w:numFmt w:val="bullet"/>
      <w:lvlText w:val="-"/>
      <w:lvlJc w:val="left"/>
      <w:pPr>
        <w:ind w:left="720" w:hanging="360"/>
      </w:pPr>
      <w:rPr>
        <w:rFonts w:ascii="Symbol" w:hAnsi="Symbol" w:hint="default"/>
      </w:rPr>
    </w:lvl>
    <w:lvl w:ilvl="1" w:tplc="2DE2B662">
      <w:start w:val="1"/>
      <w:numFmt w:val="bullet"/>
      <w:lvlText w:val="o"/>
      <w:lvlJc w:val="left"/>
      <w:pPr>
        <w:ind w:left="1440" w:hanging="360"/>
      </w:pPr>
      <w:rPr>
        <w:rFonts w:ascii="Courier New" w:hAnsi="Courier New" w:hint="default"/>
      </w:rPr>
    </w:lvl>
    <w:lvl w:ilvl="2" w:tplc="3F42369C">
      <w:start w:val="1"/>
      <w:numFmt w:val="bullet"/>
      <w:lvlText w:val=""/>
      <w:lvlJc w:val="left"/>
      <w:pPr>
        <w:ind w:left="2160" w:hanging="360"/>
      </w:pPr>
      <w:rPr>
        <w:rFonts w:ascii="Wingdings" w:hAnsi="Wingdings" w:hint="default"/>
      </w:rPr>
    </w:lvl>
    <w:lvl w:ilvl="3" w:tplc="85CEC0E0">
      <w:start w:val="1"/>
      <w:numFmt w:val="bullet"/>
      <w:lvlText w:val=""/>
      <w:lvlJc w:val="left"/>
      <w:pPr>
        <w:ind w:left="2880" w:hanging="360"/>
      </w:pPr>
      <w:rPr>
        <w:rFonts w:ascii="Symbol" w:hAnsi="Symbol" w:hint="default"/>
      </w:rPr>
    </w:lvl>
    <w:lvl w:ilvl="4" w:tplc="EAB824B0">
      <w:start w:val="1"/>
      <w:numFmt w:val="bullet"/>
      <w:lvlText w:val="o"/>
      <w:lvlJc w:val="left"/>
      <w:pPr>
        <w:ind w:left="3600" w:hanging="360"/>
      </w:pPr>
      <w:rPr>
        <w:rFonts w:ascii="Courier New" w:hAnsi="Courier New" w:hint="default"/>
      </w:rPr>
    </w:lvl>
    <w:lvl w:ilvl="5" w:tplc="E5860CEE">
      <w:start w:val="1"/>
      <w:numFmt w:val="bullet"/>
      <w:lvlText w:val=""/>
      <w:lvlJc w:val="left"/>
      <w:pPr>
        <w:ind w:left="4320" w:hanging="360"/>
      </w:pPr>
      <w:rPr>
        <w:rFonts w:ascii="Wingdings" w:hAnsi="Wingdings" w:hint="default"/>
      </w:rPr>
    </w:lvl>
    <w:lvl w:ilvl="6" w:tplc="6C1269E4">
      <w:start w:val="1"/>
      <w:numFmt w:val="bullet"/>
      <w:lvlText w:val=""/>
      <w:lvlJc w:val="left"/>
      <w:pPr>
        <w:ind w:left="5040" w:hanging="360"/>
      </w:pPr>
      <w:rPr>
        <w:rFonts w:ascii="Symbol" w:hAnsi="Symbol" w:hint="default"/>
      </w:rPr>
    </w:lvl>
    <w:lvl w:ilvl="7" w:tplc="C1928E2E">
      <w:start w:val="1"/>
      <w:numFmt w:val="bullet"/>
      <w:lvlText w:val="o"/>
      <w:lvlJc w:val="left"/>
      <w:pPr>
        <w:ind w:left="5760" w:hanging="360"/>
      </w:pPr>
      <w:rPr>
        <w:rFonts w:ascii="Courier New" w:hAnsi="Courier New" w:hint="default"/>
      </w:rPr>
    </w:lvl>
    <w:lvl w:ilvl="8" w:tplc="DE00459A">
      <w:start w:val="1"/>
      <w:numFmt w:val="bullet"/>
      <w:lvlText w:val=""/>
      <w:lvlJc w:val="left"/>
      <w:pPr>
        <w:ind w:left="6480" w:hanging="360"/>
      </w:pPr>
      <w:rPr>
        <w:rFonts w:ascii="Wingdings" w:hAnsi="Wingdings" w:hint="default"/>
      </w:rPr>
    </w:lvl>
  </w:abstractNum>
  <w:abstractNum w:abstractNumId="190" w15:restartNumberingAfterBreak="0">
    <w:nsid w:val="1EF42DD0"/>
    <w:multiLevelType w:val="hybridMultilevel"/>
    <w:tmpl w:val="A06264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1" w15:restartNumberingAfterBreak="0">
    <w:nsid w:val="1EF63531"/>
    <w:multiLevelType w:val="hybridMultilevel"/>
    <w:tmpl w:val="FFFFFFFF"/>
    <w:lvl w:ilvl="0" w:tplc="E76A602C">
      <w:start w:val="1"/>
      <w:numFmt w:val="bullet"/>
      <w:lvlText w:val=""/>
      <w:lvlJc w:val="left"/>
      <w:pPr>
        <w:ind w:left="720" w:hanging="360"/>
      </w:pPr>
      <w:rPr>
        <w:rFonts w:ascii="Segoe UI" w:hAnsi="Segoe UI" w:hint="default"/>
      </w:rPr>
    </w:lvl>
    <w:lvl w:ilvl="1" w:tplc="D78CBC28">
      <w:start w:val="1"/>
      <w:numFmt w:val="bullet"/>
      <w:lvlText w:val="o"/>
      <w:lvlJc w:val="left"/>
      <w:pPr>
        <w:ind w:left="1440" w:hanging="360"/>
      </w:pPr>
      <w:rPr>
        <w:rFonts w:ascii="Courier New" w:hAnsi="Courier New" w:hint="default"/>
      </w:rPr>
    </w:lvl>
    <w:lvl w:ilvl="2" w:tplc="057CD43A">
      <w:start w:val="1"/>
      <w:numFmt w:val="bullet"/>
      <w:lvlText w:val=""/>
      <w:lvlJc w:val="left"/>
      <w:pPr>
        <w:ind w:left="2160" w:hanging="360"/>
      </w:pPr>
      <w:rPr>
        <w:rFonts w:ascii="Cambria Math" w:hAnsi="Cambria Math" w:hint="default"/>
      </w:rPr>
    </w:lvl>
    <w:lvl w:ilvl="3" w:tplc="75549562">
      <w:start w:val="1"/>
      <w:numFmt w:val="bullet"/>
      <w:lvlText w:val=""/>
      <w:lvlJc w:val="left"/>
      <w:pPr>
        <w:ind w:left="2880" w:hanging="360"/>
      </w:pPr>
      <w:rPr>
        <w:rFonts w:ascii="Segoe UI" w:hAnsi="Segoe UI" w:hint="default"/>
      </w:rPr>
    </w:lvl>
    <w:lvl w:ilvl="4" w:tplc="6D46B136">
      <w:start w:val="1"/>
      <w:numFmt w:val="bullet"/>
      <w:lvlText w:val="o"/>
      <w:lvlJc w:val="left"/>
      <w:pPr>
        <w:ind w:left="3600" w:hanging="360"/>
      </w:pPr>
      <w:rPr>
        <w:rFonts w:ascii="Courier New" w:hAnsi="Courier New" w:hint="default"/>
      </w:rPr>
    </w:lvl>
    <w:lvl w:ilvl="5" w:tplc="04A0AA44">
      <w:start w:val="1"/>
      <w:numFmt w:val="bullet"/>
      <w:lvlText w:val=""/>
      <w:lvlJc w:val="left"/>
      <w:pPr>
        <w:ind w:left="4320" w:hanging="360"/>
      </w:pPr>
      <w:rPr>
        <w:rFonts w:ascii="Cambria Math" w:hAnsi="Cambria Math" w:hint="default"/>
      </w:rPr>
    </w:lvl>
    <w:lvl w:ilvl="6" w:tplc="896C637C">
      <w:start w:val="1"/>
      <w:numFmt w:val="bullet"/>
      <w:lvlText w:val=""/>
      <w:lvlJc w:val="left"/>
      <w:pPr>
        <w:ind w:left="5040" w:hanging="360"/>
      </w:pPr>
      <w:rPr>
        <w:rFonts w:ascii="Segoe UI" w:hAnsi="Segoe UI" w:hint="default"/>
      </w:rPr>
    </w:lvl>
    <w:lvl w:ilvl="7" w:tplc="1AFCAB9A">
      <w:start w:val="1"/>
      <w:numFmt w:val="bullet"/>
      <w:lvlText w:val="o"/>
      <w:lvlJc w:val="left"/>
      <w:pPr>
        <w:ind w:left="5760" w:hanging="360"/>
      </w:pPr>
      <w:rPr>
        <w:rFonts w:ascii="Courier New" w:hAnsi="Courier New" w:hint="default"/>
      </w:rPr>
    </w:lvl>
    <w:lvl w:ilvl="8" w:tplc="ACAA6306">
      <w:start w:val="1"/>
      <w:numFmt w:val="bullet"/>
      <w:lvlText w:val=""/>
      <w:lvlJc w:val="left"/>
      <w:pPr>
        <w:ind w:left="6480" w:hanging="360"/>
      </w:pPr>
      <w:rPr>
        <w:rFonts w:ascii="Cambria Math" w:hAnsi="Cambria Math" w:hint="default"/>
      </w:rPr>
    </w:lvl>
  </w:abstractNum>
  <w:abstractNum w:abstractNumId="192" w15:restartNumberingAfterBreak="0">
    <w:nsid w:val="1F2917EA"/>
    <w:multiLevelType w:val="multilevel"/>
    <w:tmpl w:val="3F0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F4A0A56"/>
    <w:multiLevelType w:val="hybridMultilevel"/>
    <w:tmpl w:val="793EDDF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4" w15:restartNumberingAfterBreak="0">
    <w:nsid w:val="1F867D0D"/>
    <w:multiLevelType w:val="hybridMultilevel"/>
    <w:tmpl w:val="AF5A99A4"/>
    <w:lvl w:ilvl="0" w:tplc="892E0A2C">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5" w15:restartNumberingAfterBreak="0">
    <w:nsid w:val="1F8FDFE6"/>
    <w:multiLevelType w:val="hybridMultilevel"/>
    <w:tmpl w:val="FFFFFFFF"/>
    <w:lvl w:ilvl="0" w:tplc="B3B6FF2A">
      <w:start w:val="1"/>
      <w:numFmt w:val="bullet"/>
      <w:lvlText w:val=""/>
      <w:lvlJc w:val="left"/>
      <w:pPr>
        <w:ind w:left="720" w:hanging="360"/>
      </w:pPr>
      <w:rPr>
        <w:rFonts w:ascii="Symbol" w:hAnsi="Symbol" w:hint="default"/>
      </w:rPr>
    </w:lvl>
    <w:lvl w:ilvl="1" w:tplc="972E2E84">
      <w:start w:val="1"/>
      <w:numFmt w:val="bullet"/>
      <w:lvlText w:val="-"/>
      <w:lvlJc w:val="left"/>
      <w:pPr>
        <w:ind w:left="1440" w:hanging="360"/>
      </w:pPr>
      <w:rPr>
        <w:rFonts w:ascii="Calibri" w:hAnsi="Calibri" w:hint="default"/>
      </w:rPr>
    </w:lvl>
    <w:lvl w:ilvl="2" w:tplc="0B1464CA">
      <w:start w:val="1"/>
      <w:numFmt w:val="bullet"/>
      <w:lvlText w:val=""/>
      <w:lvlJc w:val="left"/>
      <w:pPr>
        <w:ind w:left="2160" w:hanging="360"/>
      </w:pPr>
      <w:rPr>
        <w:rFonts w:ascii="Wingdings" w:hAnsi="Wingdings" w:hint="default"/>
      </w:rPr>
    </w:lvl>
    <w:lvl w:ilvl="3" w:tplc="F8A6C55C">
      <w:start w:val="1"/>
      <w:numFmt w:val="bullet"/>
      <w:lvlText w:val=""/>
      <w:lvlJc w:val="left"/>
      <w:pPr>
        <w:ind w:left="2880" w:hanging="360"/>
      </w:pPr>
      <w:rPr>
        <w:rFonts w:ascii="Symbol" w:hAnsi="Symbol" w:hint="default"/>
      </w:rPr>
    </w:lvl>
    <w:lvl w:ilvl="4" w:tplc="092C5D50">
      <w:start w:val="1"/>
      <w:numFmt w:val="bullet"/>
      <w:lvlText w:val="o"/>
      <w:lvlJc w:val="left"/>
      <w:pPr>
        <w:ind w:left="3600" w:hanging="360"/>
      </w:pPr>
      <w:rPr>
        <w:rFonts w:ascii="Courier New" w:hAnsi="Courier New" w:hint="default"/>
      </w:rPr>
    </w:lvl>
    <w:lvl w:ilvl="5" w:tplc="2DD488FA">
      <w:start w:val="1"/>
      <w:numFmt w:val="bullet"/>
      <w:lvlText w:val=""/>
      <w:lvlJc w:val="left"/>
      <w:pPr>
        <w:ind w:left="4320" w:hanging="360"/>
      </w:pPr>
      <w:rPr>
        <w:rFonts w:ascii="Wingdings" w:hAnsi="Wingdings" w:hint="default"/>
      </w:rPr>
    </w:lvl>
    <w:lvl w:ilvl="6" w:tplc="76760C90">
      <w:start w:val="1"/>
      <w:numFmt w:val="bullet"/>
      <w:lvlText w:val=""/>
      <w:lvlJc w:val="left"/>
      <w:pPr>
        <w:ind w:left="5040" w:hanging="360"/>
      </w:pPr>
      <w:rPr>
        <w:rFonts w:ascii="Symbol" w:hAnsi="Symbol" w:hint="default"/>
      </w:rPr>
    </w:lvl>
    <w:lvl w:ilvl="7" w:tplc="58B80C26">
      <w:start w:val="1"/>
      <w:numFmt w:val="bullet"/>
      <w:lvlText w:val="o"/>
      <w:lvlJc w:val="left"/>
      <w:pPr>
        <w:ind w:left="5760" w:hanging="360"/>
      </w:pPr>
      <w:rPr>
        <w:rFonts w:ascii="Courier New" w:hAnsi="Courier New" w:hint="default"/>
      </w:rPr>
    </w:lvl>
    <w:lvl w:ilvl="8" w:tplc="7C764058">
      <w:start w:val="1"/>
      <w:numFmt w:val="bullet"/>
      <w:lvlText w:val=""/>
      <w:lvlJc w:val="left"/>
      <w:pPr>
        <w:ind w:left="6480" w:hanging="360"/>
      </w:pPr>
      <w:rPr>
        <w:rFonts w:ascii="Wingdings" w:hAnsi="Wingdings" w:hint="default"/>
      </w:rPr>
    </w:lvl>
  </w:abstractNum>
  <w:abstractNum w:abstractNumId="196" w15:restartNumberingAfterBreak="0">
    <w:nsid w:val="1FA373CD"/>
    <w:multiLevelType w:val="hybridMultilevel"/>
    <w:tmpl w:val="A2E0DA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7" w15:restartNumberingAfterBreak="0">
    <w:nsid w:val="1FA52BE5"/>
    <w:multiLevelType w:val="multilevel"/>
    <w:tmpl w:val="765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FAC5028"/>
    <w:multiLevelType w:val="multilevel"/>
    <w:tmpl w:val="9E22EC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1FC57EB4"/>
    <w:multiLevelType w:val="hybridMultilevel"/>
    <w:tmpl w:val="82DCD27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0" w15:restartNumberingAfterBreak="0">
    <w:nsid w:val="1FD32F02"/>
    <w:multiLevelType w:val="hybridMultilevel"/>
    <w:tmpl w:val="1BA6F6AC"/>
    <w:lvl w:ilvl="0" w:tplc="1809001B">
      <w:start w:val="1"/>
      <w:numFmt w:val="lowerRoman"/>
      <w:lvlText w:val="%1."/>
      <w:lvlJc w:val="right"/>
      <w:pPr>
        <w:ind w:left="1440" w:hanging="360"/>
      </w:pPr>
      <w:rPr>
        <w:rFonts w:hint="default"/>
      </w:rPr>
    </w:lvl>
    <w:lvl w:ilvl="1" w:tplc="2D9C0DB8">
      <w:start w:val="1"/>
      <w:numFmt w:val="bullet"/>
      <w:lvlText w:val="o"/>
      <w:lvlJc w:val="left"/>
      <w:pPr>
        <w:ind w:left="2160" w:hanging="360"/>
      </w:pPr>
      <w:rPr>
        <w:rFonts w:ascii="Courier New" w:hAnsi="Courier New" w:hint="default"/>
      </w:rPr>
    </w:lvl>
    <w:lvl w:ilvl="2" w:tplc="932C93D8">
      <w:start w:val="1"/>
      <w:numFmt w:val="bullet"/>
      <w:lvlText w:val=""/>
      <w:lvlJc w:val="left"/>
      <w:pPr>
        <w:ind w:left="2880" w:hanging="360"/>
      </w:pPr>
      <w:rPr>
        <w:rFonts w:ascii="Wingdings" w:hAnsi="Wingdings" w:hint="default"/>
      </w:rPr>
    </w:lvl>
    <w:lvl w:ilvl="3" w:tplc="4B16F8DA">
      <w:start w:val="1"/>
      <w:numFmt w:val="bullet"/>
      <w:lvlText w:val=""/>
      <w:lvlJc w:val="left"/>
      <w:pPr>
        <w:ind w:left="3600" w:hanging="360"/>
      </w:pPr>
      <w:rPr>
        <w:rFonts w:ascii="Symbol" w:hAnsi="Symbol" w:hint="default"/>
      </w:rPr>
    </w:lvl>
    <w:lvl w:ilvl="4" w:tplc="5D448ABE">
      <w:start w:val="1"/>
      <w:numFmt w:val="bullet"/>
      <w:lvlText w:val="o"/>
      <w:lvlJc w:val="left"/>
      <w:pPr>
        <w:ind w:left="4320" w:hanging="360"/>
      </w:pPr>
      <w:rPr>
        <w:rFonts w:ascii="Courier New" w:hAnsi="Courier New" w:hint="default"/>
      </w:rPr>
    </w:lvl>
    <w:lvl w:ilvl="5" w:tplc="FF9CD1CA">
      <w:start w:val="1"/>
      <w:numFmt w:val="bullet"/>
      <w:lvlText w:val=""/>
      <w:lvlJc w:val="left"/>
      <w:pPr>
        <w:ind w:left="5040" w:hanging="360"/>
      </w:pPr>
      <w:rPr>
        <w:rFonts w:ascii="Wingdings" w:hAnsi="Wingdings" w:hint="default"/>
      </w:rPr>
    </w:lvl>
    <w:lvl w:ilvl="6" w:tplc="C0668976">
      <w:start w:val="1"/>
      <w:numFmt w:val="bullet"/>
      <w:lvlText w:val=""/>
      <w:lvlJc w:val="left"/>
      <w:pPr>
        <w:ind w:left="5760" w:hanging="360"/>
      </w:pPr>
      <w:rPr>
        <w:rFonts w:ascii="Symbol" w:hAnsi="Symbol" w:hint="default"/>
      </w:rPr>
    </w:lvl>
    <w:lvl w:ilvl="7" w:tplc="D562BF1E">
      <w:start w:val="1"/>
      <w:numFmt w:val="bullet"/>
      <w:lvlText w:val="o"/>
      <w:lvlJc w:val="left"/>
      <w:pPr>
        <w:ind w:left="6480" w:hanging="360"/>
      </w:pPr>
      <w:rPr>
        <w:rFonts w:ascii="Courier New" w:hAnsi="Courier New" w:hint="default"/>
      </w:rPr>
    </w:lvl>
    <w:lvl w:ilvl="8" w:tplc="8EC21BFE">
      <w:start w:val="1"/>
      <w:numFmt w:val="bullet"/>
      <w:lvlText w:val=""/>
      <w:lvlJc w:val="left"/>
      <w:pPr>
        <w:ind w:left="7200" w:hanging="360"/>
      </w:pPr>
      <w:rPr>
        <w:rFonts w:ascii="Wingdings" w:hAnsi="Wingdings" w:hint="default"/>
      </w:rPr>
    </w:lvl>
  </w:abstractNum>
  <w:abstractNum w:abstractNumId="201" w15:restartNumberingAfterBreak="0">
    <w:nsid w:val="1FE2A96D"/>
    <w:multiLevelType w:val="hybridMultilevel"/>
    <w:tmpl w:val="FFFFFFFF"/>
    <w:lvl w:ilvl="0" w:tplc="4C105798">
      <w:start w:val="1"/>
      <w:numFmt w:val="bullet"/>
      <w:lvlText w:val="·"/>
      <w:lvlJc w:val="left"/>
      <w:pPr>
        <w:ind w:left="720" w:hanging="360"/>
      </w:pPr>
      <w:rPr>
        <w:rFonts w:ascii="Symbol" w:hAnsi="Symbol" w:hint="default"/>
      </w:rPr>
    </w:lvl>
    <w:lvl w:ilvl="1" w:tplc="BBD2FF70">
      <w:start w:val="1"/>
      <w:numFmt w:val="bullet"/>
      <w:lvlText w:val="o"/>
      <w:lvlJc w:val="left"/>
      <w:pPr>
        <w:ind w:left="1440" w:hanging="360"/>
      </w:pPr>
      <w:rPr>
        <w:rFonts w:ascii="Courier New" w:hAnsi="Courier New" w:hint="default"/>
      </w:rPr>
    </w:lvl>
    <w:lvl w:ilvl="2" w:tplc="3A068084">
      <w:start w:val="1"/>
      <w:numFmt w:val="bullet"/>
      <w:pStyle w:val="LegalNumPar3"/>
      <w:lvlText w:val=""/>
      <w:lvlJc w:val="left"/>
      <w:pPr>
        <w:ind w:left="2160" w:hanging="360"/>
      </w:pPr>
      <w:rPr>
        <w:rFonts w:ascii="Wingdings" w:hAnsi="Wingdings" w:hint="default"/>
      </w:rPr>
    </w:lvl>
    <w:lvl w:ilvl="3" w:tplc="DF5C69DE">
      <w:start w:val="1"/>
      <w:numFmt w:val="bullet"/>
      <w:lvlText w:val=""/>
      <w:lvlJc w:val="left"/>
      <w:pPr>
        <w:ind w:left="2880" w:hanging="360"/>
      </w:pPr>
      <w:rPr>
        <w:rFonts w:ascii="Symbol" w:hAnsi="Symbol" w:hint="default"/>
      </w:rPr>
    </w:lvl>
    <w:lvl w:ilvl="4" w:tplc="0A7ECCBC">
      <w:start w:val="1"/>
      <w:numFmt w:val="bullet"/>
      <w:lvlText w:val="o"/>
      <w:lvlJc w:val="left"/>
      <w:pPr>
        <w:ind w:left="3600" w:hanging="360"/>
      </w:pPr>
      <w:rPr>
        <w:rFonts w:ascii="Courier New" w:hAnsi="Courier New" w:hint="default"/>
      </w:rPr>
    </w:lvl>
    <w:lvl w:ilvl="5" w:tplc="C48E069A">
      <w:start w:val="1"/>
      <w:numFmt w:val="bullet"/>
      <w:lvlText w:val=""/>
      <w:lvlJc w:val="left"/>
      <w:pPr>
        <w:ind w:left="4320" w:hanging="360"/>
      </w:pPr>
      <w:rPr>
        <w:rFonts w:ascii="Wingdings" w:hAnsi="Wingdings" w:hint="default"/>
      </w:rPr>
    </w:lvl>
    <w:lvl w:ilvl="6" w:tplc="C5E21020">
      <w:start w:val="1"/>
      <w:numFmt w:val="bullet"/>
      <w:lvlText w:val=""/>
      <w:lvlJc w:val="left"/>
      <w:pPr>
        <w:ind w:left="5040" w:hanging="360"/>
      </w:pPr>
      <w:rPr>
        <w:rFonts w:ascii="Symbol" w:hAnsi="Symbol" w:hint="default"/>
      </w:rPr>
    </w:lvl>
    <w:lvl w:ilvl="7" w:tplc="0100CFE2">
      <w:start w:val="1"/>
      <w:numFmt w:val="bullet"/>
      <w:lvlText w:val="o"/>
      <w:lvlJc w:val="left"/>
      <w:pPr>
        <w:ind w:left="5760" w:hanging="360"/>
      </w:pPr>
      <w:rPr>
        <w:rFonts w:ascii="Courier New" w:hAnsi="Courier New" w:hint="default"/>
      </w:rPr>
    </w:lvl>
    <w:lvl w:ilvl="8" w:tplc="9D56902C">
      <w:start w:val="1"/>
      <w:numFmt w:val="bullet"/>
      <w:lvlText w:val=""/>
      <w:lvlJc w:val="left"/>
      <w:pPr>
        <w:ind w:left="6480" w:hanging="360"/>
      </w:pPr>
      <w:rPr>
        <w:rFonts w:ascii="Wingdings" w:hAnsi="Wingdings" w:hint="default"/>
      </w:rPr>
    </w:lvl>
  </w:abstractNum>
  <w:abstractNum w:abstractNumId="202" w15:restartNumberingAfterBreak="0">
    <w:nsid w:val="1FF6510E"/>
    <w:multiLevelType w:val="hybridMultilevel"/>
    <w:tmpl w:val="91641C6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3" w15:restartNumberingAfterBreak="0">
    <w:nsid w:val="1FFE2FD8"/>
    <w:multiLevelType w:val="hybridMultilevel"/>
    <w:tmpl w:val="FFFFFFFF"/>
    <w:lvl w:ilvl="0" w:tplc="8C8A30C2">
      <w:start w:val="1"/>
      <w:numFmt w:val="bullet"/>
      <w:lvlText w:val=""/>
      <w:lvlJc w:val="left"/>
      <w:pPr>
        <w:ind w:left="720" w:hanging="360"/>
      </w:pPr>
      <w:rPr>
        <w:rFonts w:ascii="Courier New" w:hAnsi="Courier New" w:hint="default"/>
      </w:rPr>
    </w:lvl>
    <w:lvl w:ilvl="1" w:tplc="E6B68BD2">
      <w:start w:val="1"/>
      <w:numFmt w:val="bullet"/>
      <w:lvlText w:val="o"/>
      <w:lvlJc w:val="left"/>
      <w:pPr>
        <w:ind w:left="1440" w:hanging="360"/>
      </w:pPr>
      <w:rPr>
        <w:rFonts w:ascii="Cambria Math" w:hAnsi="Cambria Math" w:hint="default"/>
      </w:rPr>
    </w:lvl>
    <w:lvl w:ilvl="2" w:tplc="9C3E761A">
      <w:start w:val="1"/>
      <w:numFmt w:val="bullet"/>
      <w:lvlText w:val=""/>
      <w:lvlJc w:val="left"/>
      <w:pPr>
        <w:ind w:left="2160" w:hanging="360"/>
      </w:pPr>
      <w:rPr>
        <w:rFonts w:ascii="Wingdings" w:hAnsi="Wingdings" w:hint="default"/>
      </w:rPr>
    </w:lvl>
    <w:lvl w:ilvl="3" w:tplc="5E3A3288">
      <w:start w:val="1"/>
      <w:numFmt w:val="bullet"/>
      <w:lvlText w:val=""/>
      <w:lvlJc w:val="left"/>
      <w:pPr>
        <w:ind w:left="2880" w:hanging="360"/>
      </w:pPr>
      <w:rPr>
        <w:rFonts w:ascii="Courier New" w:hAnsi="Courier New" w:hint="default"/>
      </w:rPr>
    </w:lvl>
    <w:lvl w:ilvl="4" w:tplc="177C66E8">
      <w:start w:val="1"/>
      <w:numFmt w:val="bullet"/>
      <w:lvlText w:val="o"/>
      <w:lvlJc w:val="left"/>
      <w:pPr>
        <w:ind w:left="3600" w:hanging="360"/>
      </w:pPr>
      <w:rPr>
        <w:rFonts w:ascii="Cambria Math" w:hAnsi="Cambria Math" w:hint="default"/>
      </w:rPr>
    </w:lvl>
    <w:lvl w:ilvl="5" w:tplc="34B2EA7E">
      <w:start w:val="1"/>
      <w:numFmt w:val="bullet"/>
      <w:lvlText w:val=""/>
      <w:lvlJc w:val="left"/>
      <w:pPr>
        <w:ind w:left="4320" w:hanging="360"/>
      </w:pPr>
      <w:rPr>
        <w:rFonts w:ascii="Wingdings" w:hAnsi="Wingdings" w:hint="default"/>
      </w:rPr>
    </w:lvl>
    <w:lvl w:ilvl="6" w:tplc="9D567332">
      <w:start w:val="1"/>
      <w:numFmt w:val="bullet"/>
      <w:lvlText w:val=""/>
      <w:lvlJc w:val="left"/>
      <w:pPr>
        <w:ind w:left="5040" w:hanging="360"/>
      </w:pPr>
      <w:rPr>
        <w:rFonts w:ascii="Courier New" w:hAnsi="Courier New" w:hint="default"/>
      </w:rPr>
    </w:lvl>
    <w:lvl w:ilvl="7" w:tplc="C5C25534">
      <w:start w:val="1"/>
      <w:numFmt w:val="bullet"/>
      <w:lvlText w:val="o"/>
      <w:lvlJc w:val="left"/>
      <w:pPr>
        <w:ind w:left="5760" w:hanging="360"/>
      </w:pPr>
      <w:rPr>
        <w:rFonts w:ascii="Cambria Math" w:hAnsi="Cambria Math" w:hint="default"/>
      </w:rPr>
    </w:lvl>
    <w:lvl w:ilvl="8" w:tplc="35BA6FEE">
      <w:start w:val="1"/>
      <w:numFmt w:val="bullet"/>
      <w:lvlText w:val=""/>
      <w:lvlJc w:val="left"/>
      <w:pPr>
        <w:ind w:left="6480" w:hanging="360"/>
      </w:pPr>
      <w:rPr>
        <w:rFonts w:ascii="Wingdings" w:hAnsi="Wingdings" w:hint="default"/>
      </w:rPr>
    </w:lvl>
  </w:abstractNum>
  <w:abstractNum w:abstractNumId="204" w15:restartNumberingAfterBreak="0">
    <w:nsid w:val="2037C66A"/>
    <w:multiLevelType w:val="hybridMultilevel"/>
    <w:tmpl w:val="FFFFFFFF"/>
    <w:lvl w:ilvl="0" w:tplc="6A34D0E2">
      <w:start w:val="1"/>
      <w:numFmt w:val="bullet"/>
      <w:lvlText w:val="·"/>
      <w:lvlJc w:val="left"/>
      <w:pPr>
        <w:ind w:left="720" w:hanging="360"/>
      </w:pPr>
      <w:rPr>
        <w:rFonts w:ascii="Symbol" w:hAnsi="Symbol" w:hint="default"/>
      </w:rPr>
    </w:lvl>
    <w:lvl w:ilvl="1" w:tplc="0A06E67A">
      <w:start w:val="1"/>
      <w:numFmt w:val="bullet"/>
      <w:lvlText w:val="o"/>
      <w:lvlJc w:val="left"/>
      <w:pPr>
        <w:ind w:left="1440" w:hanging="360"/>
      </w:pPr>
      <w:rPr>
        <w:rFonts w:ascii="Courier New" w:hAnsi="Courier New" w:hint="default"/>
      </w:rPr>
    </w:lvl>
    <w:lvl w:ilvl="2" w:tplc="710A20FA">
      <w:start w:val="1"/>
      <w:numFmt w:val="bullet"/>
      <w:lvlText w:val=""/>
      <w:lvlJc w:val="left"/>
      <w:pPr>
        <w:ind w:left="2160" w:hanging="360"/>
      </w:pPr>
      <w:rPr>
        <w:rFonts w:ascii="Wingdings" w:hAnsi="Wingdings" w:hint="default"/>
      </w:rPr>
    </w:lvl>
    <w:lvl w:ilvl="3" w:tplc="7EBEA020">
      <w:start w:val="1"/>
      <w:numFmt w:val="bullet"/>
      <w:lvlText w:val=""/>
      <w:lvlJc w:val="left"/>
      <w:pPr>
        <w:ind w:left="2880" w:hanging="360"/>
      </w:pPr>
      <w:rPr>
        <w:rFonts w:ascii="Symbol" w:hAnsi="Symbol" w:hint="default"/>
      </w:rPr>
    </w:lvl>
    <w:lvl w:ilvl="4" w:tplc="892A8BFE">
      <w:start w:val="1"/>
      <w:numFmt w:val="bullet"/>
      <w:lvlText w:val="o"/>
      <w:lvlJc w:val="left"/>
      <w:pPr>
        <w:ind w:left="3600" w:hanging="360"/>
      </w:pPr>
      <w:rPr>
        <w:rFonts w:ascii="Courier New" w:hAnsi="Courier New" w:hint="default"/>
      </w:rPr>
    </w:lvl>
    <w:lvl w:ilvl="5" w:tplc="1196F89A">
      <w:start w:val="1"/>
      <w:numFmt w:val="bullet"/>
      <w:lvlText w:val=""/>
      <w:lvlJc w:val="left"/>
      <w:pPr>
        <w:ind w:left="4320" w:hanging="360"/>
      </w:pPr>
      <w:rPr>
        <w:rFonts w:ascii="Wingdings" w:hAnsi="Wingdings" w:hint="default"/>
      </w:rPr>
    </w:lvl>
    <w:lvl w:ilvl="6" w:tplc="EBD046C0">
      <w:start w:val="1"/>
      <w:numFmt w:val="bullet"/>
      <w:lvlText w:val=""/>
      <w:lvlJc w:val="left"/>
      <w:pPr>
        <w:ind w:left="5040" w:hanging="360"/>
      </w:pPr>
      <w:rPr>
        <w:rFonts w:ascii="Symbol" w:hAnsi="Symbol" w:hint="default"/>
      </w:rPr>
    </w:lvl>
    <w:lvl w:ilvl="7" w:tplc="B82613D8">
      <w:start w:val="1"/>
      <w:numFmt w:val="bullet"/>
      <w:lvlText w:val="o"/>
      <w:lvlJc w:val="left"/>
      <w:pPr>
        <w:ind w:left="5760" w:hanging="360"/>
      </w:pPr>
      <w:rPr>
        <w:rFonts w:ascii="Courier New" w:hAnsi="Courier New" w:hint="default"/>
      </w:rPr>
    </w:lvl>
    <w:lvl w:ilvl="8" w:tplc="B8E80D06">
      <w:start w:val="1"/>
      <w:numFmt w:val="bullet"/>
      <w:lvlText w:val=""/>
      <w:lvlJc w:val="left"/>
      <w:pPr>
        <w:ind w:left="6480" w:hanging="360"/>
      </w:pPr>
      <w:rPr>
        <w:rFonts w:ascii="Wingdings" w:hAnsi="Wingdings" w:hint="default"/>
      </w:rPr>
    </w:lvl>
  </w:abstractNum>
  <w:abstractNum w:abstractNumId="205" w15:restartNumberingAfterBreak="0">
    <w:nsid w:val="205E6EFE"/>
    <w:multiLevelType w:val="multilevel"/>
    <w:tmpl w:val="AE6E3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20661B2B"/>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07" w15:restartNumberingAfterBreak="0">
    <w:nsid w:val="20AA53D0"/>
    <w:multiLevelType w:val="hybridMultilevel"/>
    <w:tmpl w:val="23DC3B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8" w15:restartNumberingAfterBreak="0">
    <w:nsid w:val="20CA250E"/>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9" w15:restartNumberingAfterBreak="0">
    <w:nsid w:val="21031EDB"/>
    <w:multiLevelType w:val="hybridMultilevel"/>
    <w:tmpl w:val="E95CF80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0" w15:restartNumberingAfterBreak="0">
    <w:nsid w:val="212F5199"/>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2168403C"/>
    <w:multiLevelType w:val="hybridMultilevel"/>
    <w:tmpl w:val="E99CBD8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12" w15:restartNumberingAfterBreak="0">
    <w:nsid w:val="21967B8E"/>
    <w:multiLevelType w:val="multilevel"/>
    <w:tmpl w:val="FFFFFFFF"/>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21DC26E2"/>
    <w:multiLevelType w:val="multilevel"/>
    <w:tmpl w:val="C00E4B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21E32FB7"/>
    <w:multiLevelType w:val="multilevel"/>
    <w:tmpl w:val="95542B6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1E75F17"/>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15:restartNumberingAfterBreak="0">
    <w:nsid w:val="221C1B56"/>
    <w:multiLevelType w:val="hybridMultilevel"/>
    <w:tmpl w:val="FFFFFFFF"/>
    <w:lvl w:ilvl="0" w:tplc="3A86AD1A">
      <w:start w:val="6"/>
      <w:numFmt w:val="decimal"/>
      <w:lvlText w:val="%1."/>
      <w:lvlJc w:val="left"/>
      <w:pPr>
        <w:ind w:left="720" w:hanging="360"/>
      </w:pPr>
    </w:lvl>
    <w:lvl w:ilvl="1" w:tplc="669CEEBA">
      <w:start w:val="1"/>
      <w:numFmt w:val="lowerLetter"/>
      <w:lvlText w:val="%2."/>
      <w:lvlJc w:val="left"/>
      <w:pPr>
        <w:ind w:left="1440" w:hanging="360"/>
      </w:pPr>
    </w:lvl>
    <w:lvl w:ilvl="2" w:tplc="F86AA534">
      <w:start w:val="1"/>
      <w:numFmt w:val="lowerRoman"/>
      <w:lvlText w:val="%3."/>
      <w:lvlJc w:val="right"/>
      <w:pPr>
        <w:ind w:left="2160" w:hanging="180"/>
      </w:pPr>
    </w:lvl>
    <w:lvl w:ilvl="3" w:tplc="6D9C95AA">
      <w:start w:val="1"/>
      <w:numFmt w:val="decimal"/>
      <w:lvlText w:val="%4."/>
      <w:lvlJc w:val="left"/>
      <w:pPr>
        <w:ind w:left="2880" w:hanging="360"/>
      </w:pPr>
    </w:lvl>
    <w:lvl w:ilvl="4" w:tplc="027CA6F2">
      <w:start w:val="1"/>
      <w:numFmt w:val="lowerLetter"/>
      <w:lvlText w:val="%5."/>
      <w:lvlJc w:val="left"/>
      <w:pPr>
        <w:ind w:left="3600" w:hanging="360"/>
      </w:pPr>
    </w:lvl>
    <w:lvl w:ilvl="5" w:tplc="07B63906">
      <w:start w:val="1"/>
      <w:numFmt w:val="lowerRoman"/>
      <w:lvlText w:val="%6."/>
      <w:lvlJc w:val="right"/>
      <w:pPr>
        <w:ind w:left="4320" w:hanging="180"/>
      </w:pPr>
    </w:lvl>
    <w:lvl w:ilvl="6" w:tplc="0A9EC6EC">
      <w:start w:val="1"/>
      <w:numFmt w:val="decimal"/>
      <w:lvlText w:val="%7."/>
      <w:lvlJc w:val="left"/>
      <w:pPr>
        <w:ind w:left="5040" w:hanging="360"/>
      </w:pPr>
    </w:lvl>
    <w:lvl w:ilvl="7" w:tplc="F008F128">
      <w:start w:val="1"/>
      <w:numFmt w:val="lowerLetter"/>
      <w:lvlText w:val="%8."/>
      <w:lvlJc w:val="left"/>
      <w:pPr>
        <w:ind w:left="5760" w:hanging="360"/>
      </w:pPr>
    </w:lvl>
    <w:lvl w:ilvl="8" w:tplc="3BAEEEF6">
      <w:start w:val="1"/>
      <w:numFmt w:val="lowerRoman"/>
      <w:lvlText w:val="%9."/>
      <w:lvlJc w:val="right"/>
      <w:pPr>
        <w:ind w:left="6480" w:hanging="180"/>
      </w:pPr>
    </w:lvl>
  </w:abstractNum>
  <w:abstractNum w:abstractNumId="217" w15:restartNumberingAfterBreak="0">
    <w:nsid w:val="224B3FAA"/>
    <w:multiLevelType w:val="multilevel"/>
    <w:tmpl w:val="5FAEF1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25BAEB2"/>
    <w:multiLevelType w:val="hybridMultilevel"/>
    <w:tmpl w:val="AB7EB6C8"/>
    <w:lvl w:ilvl="0" w:tplc="9EB06766">
      <w:start w:val="1"/>
      <w:numFmt w:val="bullet"/>
      <w:lvlText w:val="-"/>
      <w:lvlJc w:val="left"/>
      <w:pPr>
        <w:ind w:left="720" w:hanging="360"/>
      </w:pPr>
      <w:rPr>
        <w:rFonts w:ascii="Symbol" w:hAnsi="Symbol" w:hint="default"/>
      </w:rPr>
    </w:lvl>
    <w:lvl w:ilvl="1" w:tplc="0B842BD4">
      <w:start w:val="1"/>
      <w:numFmt w:val="bullet"/>
      <w:lvlText w:val="o"/>
      <w:lvlJc w:val="left"/>
      <w:pPr>
        <w:ind w:left="1440" w:hanging="360"/>
      </w:pPr>
      <w:rPr>
        <w:rFonts w:ascii="Courier New" w:hAnsi="Courier New" w:hint="default"/>
      </w:rPr>
    </w:lvl>
    <w:lvl w:ilvl="2" w:tplc="EB7A46CC">
      <w:start w:val="1"/>
      <w:numFmt w:val="bullet"/>
      <w:lvlText w:val=""/>
      <w:lvlJc w:val="left"/>
      <w:pPr>
        <w:ind w:left="2160" w:hanging="360"/>
      </w:pPr>
      <w:rPr>
        <w:rFonts w:ascii="Wingdings" w:hAnsi="Wingdings" w:hint="default"/>
      </w:rPr>
    </w:lvl>
    <w:lvl w:ilvl="3" w:tplc="812CD752">
      <w:start w:val="1"/>
      <w:numFmt w:val="bullet"/>
      <w:lvlText w:val=""/>
      <w:lvlJc w:val="left"/>
      <w:pPr>
        <w:ind w:left="2880" w:hanging="360"/>
      </w:pPr>
      <w:rPr>
        <w:rFonts w:ascii="Symbol" w:hAnsi="Symbol" w:hint="default"/>
      </w:rPr>
    </w:lvl>
    <w:lvl w:ilvl="4" w:tplc="1CBE133A">
      <w:start w:val="1"/>
      <w:numFmt w:val="bullet"/>
      <w:lvlText w:val="o"/>
      <w:lvlJc w:val="left"/>
      <w:pPr>
        <w:ind w:left="3600" w:hanging="360"/>
      </w:pPr>
      <w:rPr>
        <w:rFonts w:ascii="Courier New" w:hAnsi="Courier New" w:hint="default"/>
      </w:rPr>
    </w:lvl>
    <w:lvl w:ilvl="5" w:tplc="E7B6AD7A">
      <w:start w:val="1"/>
      <w:numFmt w:val="bullet"/>
      <w:lvlText w:val=""/>
      <w:lvlJc w:val="left"/>
      <w:pPr>
        <w:ind w:left="4320" w:hanging="360"/>
      </w:pPr>
      <w:rPr>
        <w:rFonts w:ascii="Wingdings" w:hAnsi="Wingdings" w:hint="default"/>
      </w:rPr>
    </w:lvl>
    <w:lvl w:ilvl="6" w:tplc="D45C4A9E">
      <w:start w:val="1"/>
      <w:numFmt w:val="bullet"/>
      <w:lvlText w:val=""/>
      <w:lvlJc w:val="left"/>
      <w:pPr>
        <w:ind w:left="5040" w:hanging="360"/>
      </w:pPr>
      <w:rPr>
        <w:rFonts w:ascii="Symbol" w:hAnsi="Symbol" w:hint="default"/>
      </w:rPr>
    </w:lvl>
    <w:lvl w:ilvl="7" w:tplc="E3E8E42C">
      <w:start w:val="1"/>
      <w:numFmt w:val="bullet"/>
      <w:lvlText w:val="o"/>
      <w:lvlJc w:val="left"/>
      <w:pPr>
        <w:ind w:left="5760" w:hanging="360"/>
      </w:pPr>
      <w:rPr>
        <w:rFonts w:ascii="Courier New" w:hAnsi="Courier New" w:hint="default"/>
      </w:rPr>
    </w:lvl>
    <w:lvl w:ilvl="8" w:tplc="2506B31C">
      <w:start w:val="1"/>
      <w:numFmt w:val="bullet"/>
      <w:lvlText w:val=""/>
      <w:lvlJc w:val="left"/>
      <w:pPr>
        <w:ind w:left="6480" w:hanging="360"/>
      </w:pPr>
      <w:rPr>
        <w:rFonts w:ascii="Wingdings" w:hAnsi="Wingdings" w:hint="default"/>
      </w:rPr>
    </w:lvl>
  </w:abstractNum>
  <w:abstractNum w:abstractNumId="219" w15:restartNumberingAfterBreak="0">
    <w:nsid w:val="22E44180"/>
    <w:multiLevelType w:val="multilevel"/>
    <w:tmpl w:val="4B16EF00"/>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6236"/>
        </w:tabs>
        <w:ind w:left="6236"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0" w15:restartNumberingAfterBreak="0">
    <w:nsid w:val="23471337"/>
    <w:multiLevelType w:val="hybridMultilevel"/>
    <w:tmpl w:val="AF68C1C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1" w15:restartNumberingAfterBreak="0">
    <w:nsid w:val="2349D677"/>
    <w:multiLevelType w:val="hybridMultilevel"/>
    <w:tmpl w:val="FFFFFFFF"/>
    <w:lvl w:ilvl="0" w:tplc="31B2F49E">
      <w:start w:val="1"/>
      <w:numFmt w:val="bullet"/>
      <w:lvlText w:val="·"/>
      <w:lvlJc w:val="left"/>
      <w:pPr>
        <w:ind w:left="720" w:hanging="360"/>
      </w:pPr>
      <w:rPr>
        <w:rFonts w:ascii="Symbol" w:hAnsi="Symbol" w:hint="default"/>
      </w:rPr>
    </w:lvl>
    <w:lvl w:ilvl="1" w:tplc="03B45972">
      <w:start w:val="1"/>
      <w:numFmt w:val="bullet"/>
      <w:lvlText w:val="o"/>
      <w:lvlJc w:val="left"/>
      <w:pPr>
        <w:ind w:left="1440" w:hanging="360"/>
      </w:pPr>
      <w:rPr>
        <w:rFonts w:ascii="Courier New" w:hAnsi="Courier New" w:hint="default"/>
      </w:rPr>
    </w:lvl>
    <w:lvl w:ilvl="2" w:tplc="F21259EE">
      <w:start w:val="1"/>
      <w:numFmt w:val="bullet"/>
      <w:lvlText w:val=""/>
      <w:lvlJc w:val="left"/>
      <w:pPr>
        <w:ind w:left="2160" w:hanging="360"/>
      </w:pPr>
      <w:rPr>
        <w:rFonts w:ascii="Wingdings" w:hAnsi="Wingdings" w:hint="default"/>
      </w:rPr>
    </w:lvl>
    <w:lvl w:ilvl="3" w:tplc="783E4C9A">
      <w:start w:val="1"/>
      <w:numFmt w:val="bullet"/>
      <w:lvlText w:val=""/>
      <w:lvlJc w:val="left"/>
      <w:pPr>
        <w:ind w:left="2880" w:hanging="360"/>
      </w:pPr>
      <w:rPr>
        <w:rFonts w:ascii="Symbol" w:hAnsi="Symbol" w:hint="default"/>
      </w:rPr>
    </w:lvl>
    <w:lvl w:ilvl="4" w:tplc="120CC240">
      <w:start w:val="1"/>
      <w:numFmt w:val="bullet"/>
      <w:lvlText w:val="o"/>
      <w:lvlJc w:val="left"/>
      <w:pPr>
        <w:ind w:left="3600" w:hanging="360"/>
      </w:pPr>
      <w:rPr>
        <w:rFonts w:ascii="Courier New" w:hAnsi="Courier New" w:hint="default"/>
      </w:rPr>
    </w:lvl>
    <w:lvl w:ilvl="5" w:tplc="8858F81C">
      <w:start w:val="1"/>
      <w:numFmt w:val="bullet"/>
      <w:lvlText w:val=""/>
      <w:lvlJc w:val="left"/>
      <w:pPr>
        <w:ind w:left="4320" w:hanging="360"/>
      </w:pPr>
      <w:rPr>
        <w:rFonts w:ascii="Wingdings" w:hAnsi="Wingdings" w:hint="default"/>
      </w:rPr>
    </w:lvl>
    <w:lvl w:ilvl="6" w:tplc="D5944A32">
      <w:start w:val="1"/>
      <w:numFmt w:val="bullet"/>
      <w:lvlText w:val=""/>
      <w:lvlJc w:val="left"/>
      <w:pPr>
        <w:ind w:left="5040" w:hanging="360"/>
      </w:pPr>
      <w:rPr>
        <w:rFonts w:ascii="Symbol" w:hAnsi="Symbol" w:hint="default"/>
      </w:rPr>
    </w:lvl>
    <w:lvl w:ilvl="7" w:tplc="F3EC6E24">
      <w:start w:val="1"/>
      <w:numFmt w:val="bullet"/>
      <w:lvlText w:val="o"/>
      <w:lvlJc w:val="left"/>
      <w:pPr>
        <w:ind w:left="5760" w:hanging="360"/>
      </w:pPr>
      <w:rPr>
        <w:rFonts w:ascii="Courier New" w:hAnsi="Courier New" w:hint="default"/>
      </w:rPr>
    </w:lvl>
    <w:lvl w:ilvl="8" w:tplc="CFE04244">
      <w:start w:val="1"/>
      <w:numFmt w:val="bullet"/>
      <w:lvlText w:val=""/>
      <w:lvlJc w:val="left"/>
      <w:pPr>
        <w:ind w:left="6480" w:hanging="360"/>
      </w:pPr>
      <w:rPr>
        <w:rFonts w:ascii="Wingdings" w:hAnsi="Wingdings" w:hint="default"/>
      </w:rPr>
    </w:lvl>
  </w:abstractNum>
  <w:abstractNum w:abstractNumId="222" w15:restartNumberingAfterBreak="0">
    <w:nsid w:val="2398492B"/>
    <w:multiLevelType w:val="multilevel"/>
    <w:tmpl w:val="690698C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239F3794"/>
    <w:multiLevelType w:val="hybridMultilevel"/>
    <w:tmpl w:val="BD4215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4" w15:restartNumberingAfterBreak="0">
    <w:nsid w:val="23D67882"/>
    <w:multiLevelType w:val="multilevel"/>
    <w:tmpl w:val="C4E86C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23ED68BB"/>
    <w:multiLevelType w:val="hybridMultilevel"/>
    <w:tmpl w:val="46C2EA6C"/>
    <w:lvl w:ilvl="0" w:tplc="F29E19DE">
      <w:start w:val="1"/>
      <w:numFmt w:val="bullet"/>
      <w:lvlText w:val=""/>
      <w:lvlJc w:val="left"/>
      <w:pPr>
        <w:ind w:left="720" w:hanging="360"/>
      </w:pPr>
      <w:rPr>
        <w:rFonts w:ascii="Segoe UI" w:hAnsi="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Cambria Math" w:hAnsi="Cambria Math" w:hint="default"/>
      </w:rPr>
    </w:lvl>
    <w:lvl w:ilvl="3" w:tplc="08090001">
      <w:start w:val="1"/>
      <w:numFmt w:val="bullet"/>
      <w:lvlText w:val=""/>
      <w:lvlJc w:val="left"/>
      <w:pPr>
        <w:ind w:left="2880" w:hanging="360"/>
      </w:pPr>
      <w:rPr>
        <w:rFonts w:ascii="Segoe UI" w:hAnsi="Segoe UI"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Cambria Math" w:hAnsi="Cambria Math" w:hint="default"/>
      </w:rPr>
    </w:lvl>
    <w:lvl w:ilvl="6" w:tplc="08090001">
      <w:start w:val="1"/>
      <w:numFmt w:val="bullet"/>
      <w:lvlText w:val=""/>
      <w:lvlJc w:val="left"/>
      <w:pPr>
        <w:ind w:left="5040" w:hanging="360"/>
      </w:pPr>
      <w:rPr>
        <w:rFonts w:ascii="Segoe UI" w:hAnsi="Segoe UI"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Cambria Math" w:hAnsi="Cambria Math" w:hint="default"/>
      </w:rPr>
    </w:lvl>
  </w:abstractNum>
  <w:abstractNum w:abstractNumId="226" w15:restartNumberingAfterBreak="0">
    <w:nsid w:val="24371AD6"/>
    <w:multiLevelType w:val="multilevel"/>
    <w:tmpl w:val="66CABC7C"/>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7" w15:restartNumberingAfterBreak="0">
    <w:nsid w:val="24690017"/>
    <w:multiLevelType w:val="hybridMultilevel"/>
    <w:tmpl w:val="FD7C0AE4"/>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8" w15:restartNumberingAfterBreak="0">
    <w:nsid w:val="2494C848"/>
    <w:multiLevelType w:val="hybridMultilevel"/>
    <w:tmpl w:val="FFFFFFFF"/>
    <w:lvl w:ilvl="0" w:tplc="5F328E78">
      <w:start w:val="1"/>
      <w:numFmt w:val="decimal"/>
      <w:lvlText w:val="%1)"/>
      <w:lvlJc w:val="left"/>
      <w:pPr>
        <w:ind w:left="720" w:hanging="360"/>
      </w:pPr>
    </w:lvl>
    <w:lvl w:ilvl="1" w:tplc="13564B42">
      <w:start w:val="1"/>
      <w:numFmt w:val="lowerLetter"/>
      <w:lvlText w:val="%2."/>
      <w:lvlJc w:val="left"/>
      <w:pPr>
        <w:ind w:left="1440" w:hanging="360"/>
      </w:pPr>
    </w:lvl>
    <w:lvl w:ilvl="2" w:tplc="8668E534">
      <w:start w:val="1"/>
      <w:numFmt w:val="lowerRoman"/>
      <w:lvlText w:val="%3."/>
      <w:lvlJc w:val="right"/>
      <w:pPr>
        <w:ind w:left="2160" w:hanging="180"/>
      </w:pPr>
    </w:lvl>
    <w:lvl w:ilvl="3" w:tplc="A30C9548">
      <w:start w:val="1"/>
      <w:numFmt w:val="decimal"/>
      <w:lvlText w:val="%4."/>
      <w:lvlJc w:val="left"/>
      <w:pPr>
        <w:ind w:left="2880" w:hanging="360"/>
      </w:pPr>
    </w:lvl>
    <w:lvl w:ilvl="4" w:tplc="67C8F23C">
      <w:start w:val="1"/>
      <w:numFmt w:val="lowerLetter"/>
      <w:lvlText w:val="%5."/>
      <w:lvlJc w:val="left"/>
      <w:pPr>
        <w:ind w:left="3600" w:hanging="360"/>
      </w:pPr>
    </w:lvl>
    <w:lvl w:ilvl="5" w:tplc="8C32C8A0">
      <w:start w:val="1"/>
      <w:numFmt w:val="lowerRoman"/>
      <w:lvlText w:val="%6."/>
      <w:lvlJc w:val="right"/>
      <w:pPr>
        <w:ind w:left="4320" w:hanging="180"/>
      </w:pPr>
    </w:lvl>
    <w:lvl w:ilvl="6" w:tplc="1ADE28DA">
      <w:start w:val="1"/>
      <w:numFmt w:val="decimal"/>
      <w:lvlText w:val="%7."/>
      <w:lvlJc w:val="left"/>
      <w:pPr>
        <w:ind w:left="5040" w:hanging="360"/>
      </w:pPr>
    </w:lvl>
    <w:lvl w:ilvl="7" w:tplc="C130E88C">
      <w:start w:val="1"/>
      <w:numFmt w:val="lowerLetter"/>
      <w:lvlText w:val="%8."/>
      <w:lvlJc w:val="left"/>
      <w:pPr>
        <w:ind w:left="5760" w:hanging="360"/>
      </w:pPr>
    </w:lvl>
    <w:lvl w:ilvl="8" w:tplc="DBFAA8CE">
      <w:start w:val="1"/>
      <w:numFmt w:val="lowerRoman"/>
      <w:lvlText w:val="%9."/>
      <w:lvlJc w:val="right"/>
      <w:pPr>
        <w:ind w:left="6480" w:hanging="180"/>
      </w:pPr>
    </w:lvl>
  </w:abstractNum>
  <w:abstractNum w:abstractNumId="229" w15:restartNumberingAfterBreak="0">
    <w:nsid w:val="25404E49"/>
    <w:multiLevelType w:val="hybridMultilevel"/>
    <w:tmpl w:val="19064A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0" w15:restartNumberingAfterBreak="0">
    <w:nsid w:val="25D2335B"/>
    <w:multiLevelType w:val="multilevel"/>
    <w:tmpl w:val="CD1063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262C11A4"/>
    <w:multiLevelType w:val="multilevel"/>
    <w:tmpl w:val="E9DA17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63B6DE3"/>
    <w:multiLevelType w:val="hybridMultilevel"/>
    <w:tmpl w:val="25B4C256"/>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33" w15:restartNumberingAfterBreak="0">
    <w:nsid w:val="26474AC4"/>
    <w:multiLevelType w:val="hybridMultilevel"/>
    <w:tmpl w:val="449A5922"/>
    <w:lvl w:ilvl="0" w:tplc="FDA2DF24">
      <w:start w:val="1"/>
      <w:numFmt w:val="bullet"/>
      <w:lvlText w:val=""/>
      <w:lvlJc w:val="left"/>
      <w:pPr>
        <w:ind w:left="720" w:hanging="360"/>
      </w:pPr>
      <w:rPr>
        <w:rFonts w:ascii="Symbol" w:hAnsi="Symbol" w:hint="default"/>
      </w:rPr>
    </w:lvl>
    <w:lvl w:ilvl="1" w:tplc="FBFA27CC">
      <w:start w:val="1"/>
      <w:numFmt w:val="bullet"/>
      <w:lvlText w:val="o"/>
      <w:lvlJc w:val="left"/>
      <w:pPr>
        <w:ind w:left="1440" w:hanging="360"/>
      </w:pPr>
      <w:rPr>
        <w:rFonts w:ascii="Courier New" w:hAnsi="Courier New" w:hint="default"/>
      </w:rPr>
    </w:lvl>
    <w:lvl w:ilvl="2" w:tplc="21BEBB74">
      <w:start w:val="1"/>
      <w:numFmt w:val="bullet"/>
      <w:lvlText w:val=""/>
      <w:lvlJc w:val="left"/>
      <w:pPr>
        <w:ind w:left="2160" w:hanging="360"/>
      </w:pPr>
      <w:rPr>
        <w:rFonts w:ascii="Wingdings" w:hAnsi="Wingdings" w:hint="default"/>
      </w:rPr>
    </w:lvl>
    <w:lvl w:ilvl="3" w:tplc="E65AC2DC">
      <w:start w:val="1"/>
      <w:numFmt w:val="bullet"/>
      <w:lvlText w:val=""/>
      <w:lvlJc w:val="left"/>
      <w:pPr>
        <w:ind w:left="2880" w:hanging="360"/>
      </w:pPr>
      <w:rPr>
        <w:rFonts w:ascii="Symbol" w:hAnsi="Symbol" w:hint="default"/>
      </w:rPr>
    </w:lvl>
    <w:lvl w:ilvl="4" w:tplc="01C8B9AE">
      <w:start w:val="1"/>
      <w:numFmt w:val="bullet"/>
      <w:lvlText w:val="o"/>
      <w:lvlJc w:val="left"/>
      <w:pPr>
        <w:ind w:left="3600" w:hanging="360"/>
      </w:pPr>
      <w:rPr>
        <w:rFonts w:ascii="Courier New" w:hAnsi="Courier New" w:hint="default"/>
      </w:rPr>
    </w:lvl>
    <w:lvl w:ilvl="5" w:tplc="D4322414">
      <w:start w:val="1"/>
      <w:numFmt w:val="bullet"/>
      <w:lvlText w:val=""/>
      <w:lvlJc w:val="left"/>
      <w:pPr>
        <w:ind w:left="4320" w:hanging="360"/>
      </w:pPr>
      <w:rPr>
        <w:rFonts w:ascii="Wingdings" w:hAnsi="Wingdings" w:hint="default"/>
      </w:rPr>
    </w:lvl>
    <w:lvl w:ilvl="6" w:tplc="789C5A18">
      <w:start w:val="1"/>
      <w:numFmt w:val="bullet"/>
      <w:lvlText w:val=""/>
      <w:lvlJc w:val="left"/>
      <w:pPr>
        <w:ind w:left="5040" w:hanging="360"/>
      </w:pPr>
      <w:rPr>
        <w:rFonts w:ascii="Symbol" w:hAnsi="Symbol" w:hint="default"/>
      </w:rPr>
    </w:lvl>
    <w:lvl w:ilvl="7" w:tplc="C75EDAE4">
      <w:start w:val="1"/>
      <w:numFmt w:val="bullet"/>
      <w:lvlText w:val="o"/>
      <w:lvlJc w:val="left"/>
      <w:pPr>
        <w:ind w:left="5760" w:hanging="360"/>
      </w:pPr>
      <w:rPr>
        <w:rFonts w:ascii="Courier New" w:hAnsi="Courier New" w:hint="default"/>
      </w:rPr>
    </w:lvl>
    <w:lvl w:ilvl="8" w:tplc="045A5832">
      <w:start w:val="1"/>
      <w:numFmt w:val="bullet"/>
      <w:lvlText w:val=""/>
      <w:lvlJc w:val="left"/>
      <w:pPr>
        <w:ind w:left="6480" w:hanging="360"/>
      </w:pPr>
      <w:rPr>
        <w:rFonts w:ascii="Wingdings" w:hAnsi="Wingdings" w:hint="default"/>
      </w:rPr>
    </w:lvl>
  </w:abstractNum>
  <w:abstractNum w:abstractNumId="234" w15:restartNumberingAfterBreak="0">
    <w:nsid w:val="26512302"/>
    <w:multiLevelType w:val="hybridMultilevel"/>
    <w:tmpl w:val="A430446C"/>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5" w15:restartNumberingAfterBreak="0">
    <w:nsid w:val="267E785F"/>
    <w:multiLevelType w:val="hybridMultilevel"/>
    <w:tmpl w:val="701E8B0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267E7C63"/>
    <w:multiLevelType w:val="hybridMultilevel"/>
    <w:tmpl w:val="89B6A706"/>
    <w:lvl w:ilvl="0" w:tplc="18090001">
      <w:start w:val="1"/>
      <w:numFmt w:val="bullet"/>
      <w:lvlText w:val=""/>
      <w:lvlJc w:val="left"/>
      <w:pPr>
        <w:ind w:left="360" w:hanging="360"/>
      </w:pPr>
      <w:rPr>
        <w:rFonts w:ascii="Segoe UI" w:hAnsi="Segoe UI" w:hint="default"/>
      </w:rPr>
    </w:lvl>
    <w:lvl w:ilvl="1" w:tplc="18090003" w:tentative="1">
      <w:start w:val="1"/>
      <w:numFmt w:val="bullet"/>
      <w:lvlText w:val="o"/>
      <w:lvlJc w:val="left"/>
      <w:pPr>
        <w:ind w:left="1080" w:hanging="360"/>
      </w:pPr>
      <w:rPr>
        <w:rFonts w:ascii="@MS Mincho" w:hAnsi="@MS Mincho" w:cs="@MS Mincho" w:hint="default"/>
      </w:rPr>
    </w:lvl>
    <w:lvl w:ilvl="2" w:tplc="18090005" w:tentative="1">
      <w:start w:val="1"/>
      <w:numFmt w:val="bullet"/>
      <w:lvlText w:val=""/>
      <w:lvlJc w:val="left"/>
      <w:pPr>
        <w:ind w:left="1800" w:hanging="360"/>
      </w:pPr>
      <w:rPr>
        <w:rFonts w:ascii="Symbol" w:hAnsi="Symbol"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MS Mincho" w:hAnsi="@MS Mincho" w:cs="@MS Mincho" w:hint="default"/>
      </w:rPr>
    </w:lvl>
    <w:lvl w:ilvl="5" w:tplc="18090005" w:tentative="1">
      <w:start w:val="1"/>
      <w:numFmt w:val="bullet"/>
      <w:lvlText w:val=""/>
      <w:lvlJc w:val="left"/>
      <w:pPr>
        <w:ind w:left="3960" w:hanging="360"/>
      </w:pPr>
      <w:rPr>
        <w:rFonts w:ascii="Symbol" w:hAnsi="Symbol"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MS Mincho" w:hAnsi="@MS Mincho" w:cs="@MS Mincho" w:hint="default"/>
      </w:rPr>
    </w:lvl>
    <w:lvl w:ilvl="8" w:tplc="18090005" w:tentative="1">
      <w:start w:val="1"/>
      <w:numFmt w:val="bullet"/>
      <w:lvlText w:val=""/>
      <w:lvlJc w:val="left"/>
      <w:pPr>
        <w:ind w:left="6120" w:hanging="360"/>
      </w:pPr>
      <w:rPr>
        <w:rFonts w:ascii="Symbol" w:hAnsi="Symbol" w:hint="default"/>
      </w:rPr>
    </w:lvl>
  </w:abstractNum>
  <w:abstractNum w:abstractNumId="237" w15:restartNumberingAfterBreak="0">
    <w:nsid w:val="26AC4092"/>
    <w:multiLevelType w:val="hybridMultilevel"/>
    <w:tmpl w:val="B1FCB9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8" w15:restartNumberingAfterBreak="0">
    <w:nsid w:val="26BD585B"/>
    <w:multiLevelType w:val="multilevel"/>
    <w:tmpl w:val="A17CA3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6CB29BA"/>
    <w:multiLevelType w:val="hybridMultilevel"/>
    <w:tmpl w:val="0896B9DA"/>
    <w:lvl w:ilvl="0" w:tplc="6C30E62A">
      <w:start w:val="1"/>
      <w:numFmt w:val="bullet"/>
      <w:lvlText w:val="-"/>
      <w:lvlJc w:val="left"/>
      <w:pPr>
        <w:ind w:left="720" w:hanging="360"/>
      </w:pPr>
      <w:rPr>
        <w:rFonts w:ascii="Calibri" w:hAnsi="Calibri" w:hint="default"/>
      </w:rPr>
    </w:lvl>
    <w:lvl w:ilvl="1" w:tplc="A0D82BA2">
      <w:start w:val="1"/>
      <w:numFmt w:val="bullet"/>
      <w:lvlText w:val="o"/>
      <w:lvlJc w:val="left"/>
      <w:pPr>
        <w:ind w:left="1440" w:hanging="360"/>
      </w:pPr>
      <w:rPr>
        <w:rFonts w:ascii="Courier New" w:hAnsi="Courier New" w:hint="default"/>
      </w:rPr>
    </w:lvl>
    <w:lvl w:ilvl="2" w:tplc="4816CCB8">
      <w:start w:val="1"/>
      <w:numFmt w:val="bullet"/>
      <w:lvlText w:val=""/>
      <w:lvlJc w:val="left"/>
      <w:pPr>
        <w:ind w:left="2160" w:hanging="360"/>
      </w:pPr>
      <w:rPr>
        <w:rFonts w:ascii="Wingdings" w:hAnsi="Wingdings" w:hint="default"/>
      </w:rPr>
    </w:lvl>
    <w:lvl w:ilvl="3" w:tplc="498CDB6E">
      <w:start w:val="1"/>
      <w:numFmt w:val="bullet"/>
      <w:lvlText w:val=""/>
      <w:lvlJc w:val="left"/>
      <w:pPr>
        <w:ind w:left="2880" w:hanging="360"/>
      </w:pPr>
      <w:rPr>
        <w:rFonts w:ascii="Symbol" w:hAnsi="Symbol" w:hint="default"/>
      </w:rPr>
    </w:lvl>
    <w:lvl w:ilvl="4" w:tplc="B4607B30">
      <w:start w:val="1"/>
      <w:numFmt w:val="bullet"/>
      <w:lvlText w:val="o"/>
      <w:lvlJc w:val="left"/>
      <w:pPr>
        <w:ind w:left="3600" w:hanging="360"/>
      </w:pPr>
      <w:rPr>
        <w:rFonts w:ascii="Courier New" w:hAnsi="Courier New" w:hint="default"/>
      </w:rPr>
    </w:lvl>
    <w:lvl w:ilvl="5" w:tplc="733C4D3C">
      <w:start w:val="1"/>
      <w:numFmt w:val="bullet"/>
      <w:lvlText w:val=""/>
      <w:lvlJc w:val="left"/>
      <w:pPr>
        <w:ind w:left="4320" w:hanging="360"/>
      </w:pPr>
      <w:rPr>
        <w:rFonts w:ascii="Wingdings" w:hAnsi="Wingdings" w:hint="default"/>
      </w:rPr>
    </w:lvl>
    <w:lvl w:ilvl="6" w:tplc="4F84C98E">
      <w:start w:val="1"/>
      <w:numFmt w:val="bullet"/>
      <w:lvlText w:val=""/>
      <w:lvlJc w:val="left"/>
      <w:pPr>
        <w:ind w:left="5040" w:hanging="360"/>
      </w:pPr>
      <w:rPr>
        <w:rFonts w:ascii="Symbol" w:hAnsi="Symbol" w:hint="default"/>
      </w:rPr>
    </w:lvl>
    <w:lvl w:ilvl="7" w:tplc="F9B2DB46">
      <w:start w:val="1"/>
      <w:numFmt w:val="bullet"/>
      <w:lvlText w:val="o"/>
      <w:lvlJc w:val="left"/>
      <w:pPr>
        <w:ind w:left="5760" w:hanging="360"/>
      </w:pPr>
      <w:rPr>
        <w:rFonts w:ascii="Courier New" w:hAnsi="Courier New" w:hint="default"/>
      </w:rPr>
    </w:lvl>
    <w:lvl w:ilvl="8" w:tplc="C464C74A">
      <w:start w:val="1"/>
      <w:numFmt w:val="bullet"/>
      <w:lvlText w:val=""/>
      <w:lvlJc w:val="left"/>
      <w:pPr>
        <w:ind w:left="6480" w:hanging="360"/>
      </w:pPr>
      <w:rPr>
        <w:rFonts w:ascii="Wingdings" w:hAnsi="Wingdings" w:hint="default"/>
      </w:rPr>
    </w:lvl>
  </w:abstractNum>
  <w:abstractNum w:abstractNumId="240" w15:restartNumberingAfterBreak="0">
    <w:nsid w:val="26E01D97"/>
    <w:multiLevelType w:val="hybridMultilevel"/>
    <w:tmpl w:val="EA822BFE"/>
    <w:lvl w:ilvl="0" w:tplc="38662FF4">
      <w:numFmt w:val="bullet"/>
      <w:lvlText w:val="-"/>
      <w:lvlJc w:val="left"/>
      <w:pPr>
        <w:ind w:left="720" w:hanging="360"/>
      </w:pPr>
      <w:rPr>
        <w:rFonts w:ascii="Calibri" w:eastAsia="Times New Roman" w:hAnsi="Calibri" w:cs="Calibri" w:hint="default"/>
        <w:b/>
        <w:color w:val="000000"/>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1" w15:restartNumberingAfterBreak="0">
    <w:nsid w:val="27329CF0"/>
    <w:multiLevelType w:val="hybridMultilevel"/>
    <w:tmpl w:val="FFFFFFFF"/>
    <w:lvl w:ilvl="0" w:tplc="3D926846">
      <w:start w:val="11"/>
      <w:numFmt w:val="decimal"/>
      <w:lvlText w:val="%1."/>
      <w:lvlJc w:val="left"/>
      <w:pPr>
        <w:ind w:left="720" w:hanging="360"/>
      </w:pPr>
    </w:lvl>
    <w:lvl w:ilvl="1" w:tplc="B34C0416">
      <w:start w:val="1"/>
      <w:numFmt w:val="lowerLetter"/>
      <w:lvlText w:val="%2."/>
      <w:lvlJc w:val="left"/>
      <w:pPr>
        <w:ind w:left="1440" w:hanging="360"/>
      </w:pPr>
    </w:lvl>
    <w:lvl w:ilvl="2" w:tplc="2D8A7CEA">
      <w:start w:val="1"/>
      <w:numFmt w:val="lowerRoman"/>
      <w:lvlText w:val="%3."/>
      <w:lvlJc w:val="right"/>
      <w:pPr>
        <w:ind w:left="2160" w:hanging="180"/>
      </w:pPr>
    </w:lvl>
    <w:lvl w:ilvl="3" w:tplc="A3021550">
      <w:start w:val="1"/>
      <w:numFmt w:val="decimal"/>
      <w:lvlText w:val="%4."/>
      <w:lvlJc w:val="left"/>
      <w:pPr>
        <w:ind w:left="2880" w:hanging="360"/>
      </w:pPr>
    </w:lvl>
    <w:lvl w:ilvl="4" w:tplc="F4D2B036">
      <w:start w:val="1"/>
      <w:numFmt w:val="lowerLetter"/>
      <w:lvlText w:val="%5."/>
      <w:lvlJc w:val="left"/>
      <w:pPr>
        <w:ind w:left="3600" w:hanging="360"/>
      </w:pPr>
    </w:lvl>
    <w:lvl w:ilvl="5" w:tplc="9B1060B6">
      <w:start w:val="1"/>
      <w:numFmt w:val="lowerRoman"/>
      <w:lvlText w:val="%6."/>
      <w:lvlJc w:val="right"/>
      <w:pPr>
        <w:ind w:left="4320" w:hanging="180"/>
      </w:pPr>
    </w:lvl>
    <w:lvl w:ilvl="6" w:tplc="975AF560">
      <w:start w:val="1"/>
      <w:numFmt w:val="decimal"/>
      <w:lvlText w:val="%7."/>
      <w:lvlJc w:val="left"/>
      <w:pPr>
        <w:ind w:left="5040" w:hanging="360"/>
      </w:pPr>
    </w:lvl>
    <w:lvl w:ilvl="7" w:tplc="E4B6A196">
      <w:start w:val="1"/>
      <w:numFmt w:val="lowerLetter"/>
      <w:lvlText w:val="%8."/>
      <w:lvlJc w:val="left"/>
      <w:pPr>
        <w:ind w:left="5760" w:hanging="360"/>
      </w:pPr>
    </w:lvl>
    <w:lvl w:ilvl="8" w:tplc="99E0A448">
      <w:start w:val="1"/>
      <w:numFmt w:val="lowerRoman"/>
      <w:lvlText w:val="%9."/>
      <w:lvlJc w:val="right"/>
      <w:pPr>
        <w:ind w:left="6480" w:hanging="180"/>
      </w:pPr>
    </w:lvl>
  </w:abstractNum>
  <w:abstractNum w:abstractNumId="242" w15:restartNumberingAfterBreak="0">
    <w:nsid w:val="27680DC2"/>
    <w:multiLevelType w:val="hybridMultilevel"/>
    <w:tmpl w:val="B36EFB98"/>
    <w:lvl w:ilvl="0" w:tplc="080C001B">
      <w:start w:val="1"/>
      <w:numFmt w:val="lowerRoman"/>
      <w:lvlText w:val="%1."/>
      <w:lvlJc w:val="right"/>
      <w:pPr>
        <w:ind w:left="2138" w:hanging="360"/>
      </w:pPr>
    </w:lvl>
    <w:lvl w:ilvl="1" w:tplc="080C0019" w:tentative="1">
      <w:start w:val="1"/>
      <w:numFmt w:val="lowerLetter"/>
      <w:lvlText w:val="%2."/>
      <w:lvlJc w:val="left"/>
      <w:pPr>
        <w:ind w:left="2858" w:hanging="360"/>
      </w:pPr>
    </w:lvl>
    <w:lvl w:ilvl="2" w:tplc="080C001B" w:tentative="1">
      <w:start w:val="1"/>
      <w:numFmt w:val="lowerRoman"/>
      <w:lvlText w:val="%3."/>
      <w:lvlJc w:val="right"/>
      <w:pPr>
        <w:ind w:left="3578" w:hanging="180"/>
      </w:pPr>
    </w:lvl>
    <w:lvl w:ilvl="3" w:tplc="080C000F" w:tentative="1">
      <w:start w:val="1"/>
      <w:numFmt w:val="decimal"/>
      <w:lvlText w:val="%4."/>
      <w:lvlJc w:val="left"/>
      <w:pPr>
        <w:ind w:left="4298" w:hanging="360"/>
      </w:pPr>
    </w:lvl>
    <w:lvl w:ilvl="4" w:tplc="080C0019" w:tentative="1">
      <w:start w:val="1"/>
      <w:numFmt w:val="lowerLetter"/>
      <w:lvlText w:val="%5."/>
      <w:lvlJc w:val="left"/>
      <w:pPr>
        <w:ind w:left="5018" w:hanging="360"/>
      </w:pPr>
    </w:lvl>
    <w:lvl w:ilvl="5" w:tplc="080C001B" w:tentative="1">
      <w:start w:val="1"/>
      <w:numFmt w:val="lowerRoman"/>
      <w:lvlText w:val="%6."/>
      <w:lvlJc w:val="right"/>
      <w:pPr>
        <w:ind w:left="5738" w:hanging="180"/>
      </w:pPr>
    </w:lvl>
    <w:lvl w:ilvl="6" w:tplc="080C000F" w:tentative="1">
      <w:start w:val="1"/>
      <w:numFmt w:val="decimal"/>
      <w:lvlText w:val="%7."/>
      <w:lvlJc w:val="left"/>
      <w:pPr>
        <w:ind w:left="6458" w:hanging="360"/>
      </w:pPr>
    </w:lvl>
    <w:lvl w:ilvl="7" w:tplc="080C0019" w:tentative="1">
      <w:start w:val="1"/>
      <w:numFmt w:val="lowerLetter"/>
      <w:lvlText w:val="%8."/>
      <w:lvlJc w:val="left"/>
      <w:pPr>
        <w:ind w:left="7178" w:hanging="360"/>
      </w:pPr>
    </w:lvl>
    <w:lvl w:ilvl="8" w:tplc="080C001B" w:tentative="1">
      <w:start w:val="1"/>
      <w:numFmt w:val="lowerRoman"/>
      <w:lvlText w:val="%9."/>
      <w:lvlJc w:val="right"/>
      <w:pPr>
        <w:ind w:left="7898" w:hanging="180"/>
      </w:pPr>
    </w:lvl>
  </w:abstractNum>
  <w:abstractNum w:abstractNumId="243" w15:restartNumberingAfterBreak="0">
    <w:nsid w:val="27964909"/>
    <w:multiLevelType w:val="hybridMultilevel"/>
    <w:tmpl w:val="FFFFFFFF"/>
    <w:lvl w:ilvl="0" w:tplc="2D72F43A">
      <w:start w:val="5"/>
      <w:numFmt w:val="decimal"/>
      <w:lvlText w:val="%1."/>
      <w:lvlJc w:val="left"/>
      <w:pPr>
        <w:ind w:left="720" w:hanging="360"/>
      </w:pPr>
    </w:lvl>
    <w:lvl w:ilvl="1" w:tplc="D9866E08">
      <w:start w:val="1"/>
      <w:numFmt w:val="lowerLetter"/>
      <w:lvlText w:val="%2."/>
      <w:lvlJc w:val="left"/>
      <w:pPr>
        <w:ind w:left="1440" w:hanging="360"/>
      </w:pPr>
    </w:lvl>
    <w:lvl w:ilvl="2" w:tplc="A9803292">
      <w:start w:val="1"/>
      <w:numFmt w:val="lowerRoman"/>
      <w:lvlText w:val="%3."/>
      <w:lvlJc w:val="right"/>
      <w:pPr>
        <w:ind w:left="2160" w:hanging="180"/>
      </w:pPr>
    </w:lvl>
    <w:lvl w:ilvl="3" w:tplc="5EC4E932">
      <w:start w:val="1"/>
      <w:numFmt w:val="decimal"/>
      <w:lvlText w:val="%4."/>
      <w:lvlJc w:val="left"/>
      <w:pPr>
        <w:ind w:left="2880" w:hanging="360"/>
      </w:pPr>
    </w:lvl>
    <w:lvl w:ilvl="4" w:tplc="E7A8D74E">
      <w:start w:val="1"/>
      <w:numFmt w:val="lowerLetter"/>
      <w:lvlText w:val="%5."/>
      <w:lvlJc w:val="left"/>
      <w:pPr>
        <w:ind w:left="3600" w:hanging="360"/>
      </w:pPr>
    </w:lvl>
    <w:lvl w:ilvl="5" w:tplc="77522904">
      <w:start w:val="1"/>
      <w:numFmt w:val="lowerRoman"/>
      <w:lvlText w:val="%6."/>
      <w:lvlJc w:val="right"/>
      <w:pPr>
        <w:ind w:left="4320" w:hanging="180"/>
      </w:pPr>
    </w:lvl>
    <w:lvl w:ilvl="6" w:tplc="E200C024">
      <w:start w:val="1"/>
      <w:numFmt w:val="decimal"/>
      <w:lvlText w:val="%7."/>
      <w:lvlJc w:val="left"/>
      <w:pPr>
        <w:ind w:left="5040" w:hanging="360"/>
      </w:pPr>
    </w:lvl>
    <w:lvl w:ilvl="7" w:tplc="AFC4986A">
      <w:start w:val="1"/>
      <w:numFmt w:val="lowerLetter"/>
      <w:lvlText w:val="%8."/>
      <w:lvlJc w:val="left"/>
      <w:pPr>
        <w:ind w:left="5760" w:hanging="360"/>
      </w:pPr>
    </w:lvl>
    <w:lvl w:ilvl="8" w:tplc="C2E0ABB0">
      <w:start w:val="1"/>
      <w:numFmt w:val="lowerRoman"/>
      <w:lvlText w:val="%9."/>
      <w:lvlJc w:val="right"/>
      <w:pPr>
        <w:ind w:left="6480" w:hanging="180"/>
      </w:pPr>
    </w:lvl>
  </w:abstractNum>
  <w:abstractNum w:abstractNumId="244" w15:restartNumberingAfterBreak="0">
    <w:nsid w:val="27A17326"/>
    <w:multiLevelType w:val="multilevel"/>
    <w:tmpl w:val="974855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5"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6" w15:restartNumberingAfterBreak="0">
    <w:nsid w:val="2872466F"/>
    <w:multiLevelType w:val="hybridMultilevel"/>
    <w:tmpl w:val="EC1C7060"/>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247" w15:restartNumberingAfterBreak="0">
    <w:nsid w:val="28A57E8C"/>
    <w:multiLevelType w:val="hybridMultilevel"/>
    <w:tmpl w:val="14788740"/>
    <w:lvl w:ilvl="0" w:tplc="080C0019">
      <w:start w:val="1"/>
      <w:numFmt w:val="lowerLetter"/>
      <w:lvlText w:val="%1."/>
      <w:lvlJc w:val="left"/>
      <w:pPr>
        <w:ind w:left="2160" w:hanging="360"/>
      </w:p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248" w15:restartNumberingAfterBreak="0">
    <w:nsid w:val="28AC70DE"/>
    <w:multiLevelType w:val="hybridMultilevel"/>
    <w:tmpl w:val="FFFFFFFF"/>
    <w:lvl w:ilvl="0" w:tplc="F292825E">
      <w:start w:val="1"/>
      <w:numFmt w:val="bullet"/>
      <w:lvlText w:val=""/>
      <w:lvlJc w:val="left"/>
      <w:pPr>
        <w:ind w:left="720" w:hanging="360"/>
      </w:pPr>
      <w:rPr>
        <w:rFonts w:ascii="Symbol" w:hAnsi="Symbol" w:hint="default"/>
      </w:rPr>
    </w:lvl>
    <w:lvl w:ilvl="1" w:tplc="EA6E0448">
      <w:start w:val="1"/>
      <w:numFmt w:val="bullet"/>
      <w:lvlText w:val="o"/>
      <w:lvlJc w:val="left"/>
      <w:pPr>
        <w:ind w:left="1440" w:hanging="360"/>
      </w:pPr>
      <w:rPr>
        <w:rFonts w:ascii="Courier New" w:hAnsi="Courier New" w:hint="default"/>
      </w:rPr>
    </w:lvl>
    <w:lvl w:ilvl="2" w:tplc="B706CE40">
      <w:start w:val="1"/>
      <w:numFmt w:val="bullet"/>
      <w:lvlText w:val=""/>
      <w:lvlJc w:val="left"/>
      <w:pPr>
        <w:ind w:left="2160" w:hanging="360"/>
      </w:pPr>
      <w:rPr>
        <w:rFonts w:ascii="Wingdings" w:hAnsi="Wingdings" w:hint="default"/>
      </w:rPr>
    </w:lvl>
    <w:lvl w:ilvl="3" w:tplc="F19EE0CE">
      <w:start w:val="1"/>
      <w:numFmt w:val="bullet"/>
      <w:lvlText w:val=""/>
      <w:lvlJc w:val="left"/>
      <w:pPr>
        <w:ind w:left="2880" w:hanging="360"/>
      </w:pPr>
      <w:rPr>
        <w:rFonts w:ascii="Symbol" w:hAnsi="Symbol" w:hint="default"/>
      </w:rPr>
    </w:lvl>
    <w:lvl w:ilvl="4" w:tplc="E36E97E6">
      <w:start w:val="1"/>
      <w:numFmt w:val="bullet"/>
      <w:lvlText w:val="o"/>
      <w:lvlJc w:val="left"/>
      <w:pPr>
        <w:ind w:left="3600" w:hanging="360"/>
      </w:pPr>
      <w:rPr>
        <w:rFonts w:ascii="Courier New" w:hAnsi="Courier New" w:hint="default"/>
      </w:rPr>
    </w:lvl>
    <w:lvl w:ilvl="5" w:tplc="F19A281E">
      <w:start w:val="1"/>
      <w:numFmt w:val="bullet"/>
      <w:lvlText w:val=""/>
      <w:lvlJc w:val="left"/>
      <w:pPr>
        <w:ind w:left="4320" w:hanging="360"/>
      </w:pPr>
      <w:rPr>
        <w:rFonts w:ascii="Wingdings" w:hAnsi="Wingdings" w:hint="default"/>
      </w:rPr>
    </w:lvl>
    <w:lvl w:ilvl="6" w:tplc="62E67FD8">
      <w:start w:val="1"/>
      <w:numFmt w:val="bullet"/>
      <w:lvlText w:val=""/>
      <w:lvlJc w:val="left"/>
      <w:pPr>
        <w:ind w:left="5040" w:hanging="360"/>
      </w:pPr>
      <w:rPr>
        <w:rFonts w:ascii="Symbol" w:hAnsi="Symbol" w:hint="default"/>
      </w:rPr>
    </w:lvl>
    <w:lvl w:ilvl="7" w:tplc="07C8E5E0">
      <w:start w:val="1"/>
      <w:numFmt w:val="bullet"/>
      <w:lvlText w:val="o"/>
      <w:lvlJc w:val="left"/>
      <w:pPr>
        <w:ind w:left="5760" w:hanging="360"/>
      </w:pPr>
      <w:rPr>
        <w:rFonts w:ascii="Courier New" w:hAnsi="Courier New" w:hint="default"/>
      </w:rPr>
    </w:lvl>
    <w:lvl w:ilvl="8" w:tplc="4B0ED5E2">
      <w:start w:val="1"/>
      <w:numFmt w:val="bullet"/>
      <w:lvlText w:val=""/>
      <w:lvlJc w:val="left"/>
      <w:pPr>
        <w:ind w:left="6480" w:hanging="360"/>
      </w:pPr>
      <w:rPr>
        <w:rFonts w:ascii="Wingdings" w:hAnsi="Wingdings" w:hint="default"/>
      </w:rPr>
    </w:lvl>
  </w:abstractNum>
  <w:abstractNum w:abstractNumId="249" w15:restartNumberingAfterBreak="0">
    <w:nsid w:val="28AD3912"/>
    <w:multiLevelType w:val="hybridMultilevel"/>
    <w:tmpl w:val="CE284AF6"/>
    <w:lvl w:ilvl="0" w:tplc="165ACFAE">
      <w:start w:val="1"/>
      <w:numFmt w:val="decimal"/>
      <w:lvlText w:val="%1)"/>
      <w:lvlJc w:val="left"/>
      <w:pPr>
        <w:ind w:left="360" w:hanging="360"/>
      </w:pPr>
      <w:rPr>
        <w:rFonts w:ascii="Times New Roman" w:eastAsiaTheme="minorHAnsi" w:hAnsi="Times New Roman" w:cs="Times New Roman"/>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250" w15:restartNumberingAfterBreak="0">
    <w:nsid w:val="28FB5300"/>
    <w:multiLevelType w:val="hybridMultilevel"/>
    <w:tmpl w:val="915CF76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251" w15:restartNumberingAfterBreak="0">
    <w:nsid w:val="297003E1"/>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2" w15:restartNumberingAfterBreak="0">
    <w:nsid w:val="29AA1EDE"/>
    <w:multiLevelType w:val="hybridMultilevel"/>
    <w:tmpl w:val="B1C8EDC6"/>
    <w:lvl w:ilvl="0" w:tplc="0809001B">
      <w:start w:val="1"/>
      <w:numFmt w:val="lowerRoman"/>
      <w:lvlText w:val="%1."/>
      <w:lvlJc w:val="righ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53" w15:restartNumberingAfterBreak="0">
    <w:nsid w:val="29B66F43"/>
    <w:multiLevelType w:val="hybridMultilevel"/>
    <w:tmpl w:val="42D08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4" w15:restartNumberingAfterBreak="0">
    <w:nsid w:val="29E9906E"/>
    <w:multiLevelType w:val="hybridMultilevel"/>
    <w:tmpl w:val="FFFFFFFF"/>
    <w:lvl w:ilvl="0" w:tplc="D024A652">
      <w:start w:val="1"/>
      <w:numFmt w:val="bullet"/>
      <w:lvlText w:val=""/>
      <w:lvlJc w:val="left"/>
      <w:pPr>
        <w:ind w:left="720" w:hanging="360"/>
      </w:pPr>
      <w:rPr>
        <w:rFonts w:ascii="Segoe UI" w:hAnsi="Segoe UI" w:hint="default"/>
      </w:rPr>
    </w:lvl>
    <w:lvl w:ilvl="1" w:tplc="023631BC">
      <w:start w:val="1"/>
      <w:numFmt w:val="bullet"/>
      <w:lvlText w:val="o"/>
      <w:lvlJc w:val="left"/>
      <w:pPr>
        <w:ind w:left="1440" w:hanging="360"/>
      </w:pPr>
      <w:rPr>
        <w:rFonts w:ascii="Courier New" w:hAnsi="Courier New" w:hint="default"/>
      </w:rPr>
    </w:lvl>
    <w:lvl w:ilvl="2" w:tplc="59BE6496">
      <w:start w:val="1"/>
      <w:numFmt w:val="bullet"/>
      <w:lvlText w:val=""/>
      <w:lvlJc w:val="left"/>
      <w:pPr>
        <w:ind w:left="2160" w:hanging="360"/>
      </w:pPr>
      <w:rPr>
        <w:rFonts w:ascii="Cambria Math" w:hAnsi="Cambria Math" w:hint="default"/>
      </w:rPr>
    </w:lvl>
    <w:lvl w:ilvl="3" w:tplc="620CD2D6">
      <w:start w:val="1"/>
      <w:numFmt w:val="bullet"/>
      <w:lvlText w:val=""/>
      <w:lvlJc w:val="left"/>
      <w:pPr>
        <w:ind w:left="2880" w:hanging="360"/>
      </w:pPr>
      <w:rPr>
        <w:rFonts w:ascii="Segoe UI" w:hAnsi="Segoe UI" w:hint="default"/>
      </w:rPr>
    </w:lvl>
    <w:lvl w:ilvl="4" w:tplc="02B40CB6">
      <w:start w:val="1"/>
      <w:numFmt w:val="bullet"/>
      <w:lvlText w:val="o"/>
      <w:lvlJc w:val="left"/>
      <w:pPr>
        <w:ind w:left="3600" w:hanging="360"/>
      </w:pPr>
      <w:rPr>
        <w:rFonts w:ascii="Courier New" w:hAnsi="Courier New" w:hint="default"/>
      </w:rPr>
    </w:lvl>
    <w:lvl w:ilvl="5" w:tplc="14068EBC">
      <w:start w:val="1"/>
      <w:numFmt w:val="bullet"/>
      <w:lvlText w:val=""/>
      <w:lvlJc w:val="left"/>
      <w:pPr>
        <w:ind w:left="4320" w:hanging="360"/>
      </w:pPr>
      <w:rPr>
        <w:rFonts w:ascii="Cambria Math" w:hAnsi="Cambria Math" w:hint="default"/>
      </w:rPr>
    </w:lvl>
    <w:lvl w:ilvl="6" w:tplc="61649512">
      <w:start w:val="1"/>
      <w:numFmt w:val="bullet"/>
      <w:lvlText w:val=""/>
      <w:lvlJc w:val="left"/>
      <w:pPr>
        <w:ind w:left="5040" w:hanging="360"/>
      </w:pPr>
      <w:rPr>
        <w:rFonts w:ascii="Segoe UI" w:hAnsi="Segoe UI" w:hint="default"/>
      </w:rPr>
    </w:lvl>
    <w:lvl w:ilvl="7" w:tplc="3B3A7500">
      <w:start w:val="1"/>
      <w:numFmt w:val="bullet"/>
      <w:lvlText w:val="o"/>
      <w:lvlJc w:val="left"/>
      <w:pPr>
        <w:ind w:left="5760" w:hanging="360"/>
      </w:pPr>
      <w:rPr>
        <w:rFonts w:ascii="Courier New" w:hAnsi="Courier New" w:hint="default"/>
      </w:rPr>
    </w:lvl>
    <w:lvl w:ilvl="8" w:tplc="22A80364">
      <w:start w:val="1"/>
      <w:numFmt w:val="bullet"/>
      <w:lvlText w:val=""/>
      <w:lvlJc w:val="left"/>
      <w:pPr>
        <w:ind w:left="6480" w:hanging="360"/>
      </w:pPr>
      <w:rPr>
        <w:rFonts w:ascii="Cambria Math" w:hAnsi="Cambria Math" w:hint="default"/>
      </w:rPr>
    </w:lvl>
  </w:abstractNum>
  <w:abstractNum w:abstractNumId="255" w15:restartNumberingAfterBreak="0">
    <w:nsid w:val="2A9A0C23"/>
    <w:multiLevelType w:val="hybridMultilevel"/>
    <w:tmpl w:val="87DA39C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56" w15:restartNumberingAfterBreak="0">
    <w:nsid w:val="2AC454D0"/>
    <w:multiLevelType w:val="hybridMultilevel"/>
    <w:tmpl w:val="D1F2D384"/>
    <w:lvl w:ilvl="0" w:tplc="08090019">
      <w:start w:val="1"/>
      <w:numFmt w:val="lowerLetter"/>
      <w:lvlText w:val="%1."/>
      <w:lvlJc w:val="left"/>
      <w:pPr>
        <w:ind w:left="1429" w:hanging="360"/>
      </w:pPr>
    </w:lvl>
    <w:lvl w:ilvl="1" w:tplc="0809001B">
      <w:start w:val="1"/>
      <w:numFmt w:val="lowerRoman"/>
      <w:lvlText w:val="%2."/>
      <w:lvlJc w:val="righ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57" w15:restartNumberingAfterBreak="0">
    <w:nsid w:val="2ADA1D71"/>
    <w:multiLevelType w:val="hybridMultilevel"/>
    <w:tmpl w:val="815041A8"/>
    <w:lvl w:ilvl="0" w:tplc="21F04AAA">
      <w:start w:val="1"/>
      <w:numFmt w:val="decimal"/>
      <w:lvlText w:val="%1."/>
      <w:lvlJc w:val="left"/>
      <w:pPr>
        <w:ind w:left="720" w:hanging="360"/>
      </w:pPr>
    </w:lvl>
    <w:lvl w:ilvl="1" w:tplc="D532679E">
      <w:start w:val="1"/>
      <w:numFmt w:val="lowerLetter"/>
      <w:lvlText w:val="%2."/>
      <w:lvlJc w:val="left"/>
      <w:pPr>
        <w:ind w:left="1440" w:hanging="360"/>
      </w:pPr>
    </w:lvl>
    <w:lvl w:ilvl="2" w:tplc="77489986">
      <w:start w:val="1"/>
      <w:numFmt w:val="lowerRoman"/>
      <w:lvlText w:val="%3."/>
      <w:lvlJc w:val="right"/>
      <w:pPr>
        <w:ind w:left="2160" w:hanging="180"/>
      </w:pPr>
    </w:lvl>
    <w:lvl w:ilvl="3" w:tplc="135047BE">
      <w:start w:val="1"/>
      <w:numFmt w:val="decimal"/>
      <w:lvlText w:val="%4."/>
      <w:lvlJc w:val="left"/>
      <w:pPr>
        <w:ind w:left="2880" w:hanging="360"/>
      </w:pPr>
    </w:lvl>
    <w:lvl w:ilvl="4" w:tplc="A41E92C2">
      <w:start w:val="1"/>
      <w:numFmt w:val="lowerLetter"/>
      <w:lvlText w:val="%5."/>
      <w:lvlJc w:val="left"/>
      <w:pPr>
        <w:ind w:left="3600" w:hanging="360"/>
      </w:pPr>
    </w:lvl>
    <w:lvl w:ilvl="5" w:tplc="A740CBAE">
      <w:start w:val="1"/>
      <w:numFmt w:val="lowerRoman"/>
      <w:lvlText w:val="%6."/>
      <w:lvlJc w:val="right"/>
      <w:pPr>
        <w:ind w:left="4320" w:hanging="180"/>
      </w:pPr>
    </w:lvl>
    <w:lvl w:ilvl="6" w:tplc="7D628940">
      <w:start w:val="1"/>
      <w:numFmt w:val="decimal"/>
      <w:lvlText w:val="%7."/>
      <w:lvlJc w:val="left"/>
      <w:pPr>
        <w:ind w:left="5040" w:hanging="360"/>
      </w:pPr>
    </w:lvl>
    <w:lvl w:ilvl="7" w:tplc="E91C5DFE">
      <w:start w:val="1"/>
      <w:numFmt w:val="lowerLetter"/>
      <w:lvlText w:val="%8."/>
      <w:lvlJc w:val="left"/>
      <w:pPr>
        <w:ind w:left="5760" w:hanging="360"/>
      </w:pPr>
    </w:lvl>
    <w:lvl w:ilvl="8" w:tplc="6ECE6982">
      <w:start w:val="1"/>
      <w:numFmt w:val="lowerRoman"/>
      <w:lvlText w:val="%9."/>
      <w:lvlJc w:val="right"/>
      <w:pPr>
        <w:ind w:left="6480" w:hanging="180"/>
      </w:pPr>
    </w:lvl>
  </w:abstractNum>
  <w:abstractNum w:abstractNumId="258" w15:restartNumberingAfterBreak="0">
    <w:nsid w:val="2B021AF9"/>
    <w:multiLevelType w:val="hybridMultilevel"/>
    <w:tmpl w:val="E93E7FEC"/>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9" w15:restartNumberingAfterBreak="0">
    <w:nsid w:val="2B0E774A"/>
    <w:multiLevelType w:val="hybridMultilevel"/>
    <w:tmpl w:val="2A78B3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0" w15:restartNumberingAfterBreak="0">
    <w:nsid w:val="2B343659"/>
    <w:multiLevelType w:val="multilevel"/>
    <w:tmpl w:val="4B30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B3C5D07"/>
    <w:multiLevelType w:val="hybridMultilevel"/>
    <w:tmpl w:val="96BE8BFE"/>
    <w:lvl w:ilvl="0" w:tplc="18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62" w15:restartNumberingAfterBreak="0">
    <w:nsid w:val="2B4D6ED1"/>
    <w:multiLevelType w:val="multilevel"/>
    <w:tmpl w:val="1F30E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2B9E0268"/>
    <w:multiLevelType w:val="hybridMultilevel"/>
    <w:tmpl w:val="007AB2AA"/>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4" w15:restartNumberingAfterBreak="0">
    <w:nsid w:val="2BA628AA"/>
    <w:multiLevelType w:val="hybridMultilevel"/>
    <w:tmpl w:val="78026892"/>
    <w:lvl w:ilvl="0" w:tplc="6C30E62A">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5" w15:restartNumberingAfterBreak="0">
    <w:nsid w:val="2BC3320C"/>
    <w:multiLevelType w:val="hybridMultilevel"/>
    <w:tmpl w:val="FFFFFFFF"/>
    <w:lvl w:ilvl="0" w:tplc="DDEA078C">
      <w:start w:val="1"/>
      <w:numFmt w:val="bullet"/>
      <w:lvlText w:val=""/>
      <w:lvlJc w:val="left"/>
      <w:pPr>
        <w:ind w:left="720" w:hanging="360"/>
      </w:pPr>
      <w:rPr>
        <w:rFonts w:ascii="Symbol" w:hAnsi="Symbol" w:hint="default"/>
      </w:rPr>
    </w:lvl>
    <w:lvl w:ilvl="1" w:tplc="0A18BACC">
      <w:start w:val="1"/>
      <w:numFmt w:val="bullet"/>
      <w:lvlText w:val="o"/>
      <w:lvlJc w:val="left"/>
      <w:pPr>
        <w:ind w:left="1440" w:hanging="360"/>
      </w:pPr>
      <w:rPr>
        <w:rFonts w:ascii="Courier New" w:hAnsi="Courier New" w:hint="default"/>
      </w:rPr>
    </w:lvl>
    <w:lvl w:ilvl="2" w:tplc="BB9866DE">
      <w:start w:val="1"/>
      <w:numFmt w:val="bullet"/>
      <w:lvlText w:val=""/>
      <w:lvlJc w:val="left"/>
      <w:pPr>
        <w:ind w:left="2160" w:hanging="360"/>
      </w:pPr>
      <w:rPr>
        <w:rFonts w:ascii="Wingdings" w:hAnsi="Wingdings" w:hint="default"/>
      </w:rPr>
    </w:lvl>
    <w:lvl w:ilvl="3" w:tplc="DB2CB6EE">
      <w:start w:val="1"/>
      <w:numFmt w:val="bullet"/>
      <w:lvlText w:val=""/>
      <w:lvlJc w:val="left"/>
      <w:pPr>
        <w:ind w:left="2880" w:hanging="360"/>
      </w:pPr>
      <w:rPr>
        <w:rFonts w:ascii="Symbol" w:hAnsi="Symbol" w:hint="default"/>
      </w:rPr>
    </w:lvl>
    <w:lvl w:ilvl="4" w:tplc="3F18CBF2">
      <w:start w:val="1"/>
      <w:numFmt w:val="bullet"/>
      <w:lvlText w:val="o"/>
      <w:lvlJc w:val="left"/>
      <w:pPr>
        <w:ind w:left="3600" w:hanging="360"/>
      </w:pPr>
      <w:rPr>
        <w:rFonts w:ascii="Courier New" w:hAnsi="Courier New" w:hint="default"/>
      </w:rPr>
    </w:lvl>
    <w:lvl w:ilvl="5" w:tplc="9D08D2A2">
      <w:start w:val="1"/>
      <w:numFmt w:val="bullet"/>
      <w:lvlText w:val=""/>
      <w:lvlJc w:val="left"/>
      <w:pPr>
        <w:ind w:left="4320" w:hanging="360"/>
      </w:pPr>
      <w:rPr>
        <w:rFonts w:ascii="Wingdings" w:hAnsi="Wingdings" w:hint="default"/>
      </w:rPr>
    </w:lvl>
    <w:lvl w:ilvl="6" w:tplc="13748B46">
      <w:start w:val="1"/>
      <w:numFmt w:val="bullet"/>
      <w:lvlText w:val=""/>
      <w:lvlJc w:val="left"/>
      <w:pPr>
        <w:ind w:left="5040" w:hanging="360"/>
      </w:pPr>
      <w:rPr>
        <w:rFonts w:ascii="Symbol" w:hAnsi="Symbol" w:hint="default"/>
      </w:rPr>
    </w:lvl>
    <w:lvl w:ilvl="7" w:tplc="7744FAB2">
      <w:start w:val="1"/>
      <w:numFmt w:val="bullet"/>
      <w:lvlText w:val="o"/>
      <w:lvlJc w:val="left"/>
      <w:pPr>
        <w:ind w:left="5760" w:hanging="360"/>
      </w:pPr>
      <w:rPr>
        <w:rFonts w:ascii="Courier New" w:hAnsi="Courier New" w:hint="default"/>
      </w:rPr>
    </w:lvl>
    <w:lvl w:ilvl="8" w:tplc="2C2A9E20">
      <w:start w:val="1"/>
      <w:numFmt w:val="bullet"/>
      <w:lvlText w:val=""/>
      <w:lvlJc w:val="left"/>
      <w:pPr>
        <w:ind w:left="6480" w:hanging="360"/>
      </w:pPr>
      <w:rPr>
        <w:rFonts w:ascii="Wingdings" w:hAnsi="Wingdings" w:hint="default"/>
      </w:rPr>
    </w:lvl>
  </w:abstractNum>
  <w:abstractNum w:abstractNumId="266" w15:restartNumberingAfterBreak="0">
    <w:nsid w:val="2BD5FA74"/>
    <w:multiLevelType w:val="hybridMultilevel"/>
    <w:tmpl w:val="FFFFFFFF"/>
    <w:lvl w:ilvl="0" w:tplc="6B5AB244">
      <w:start w:val="1"/>
      <w:numFmt w:val="bullet"/>
      <w:lvlText w:val=""/>
      <w:lvlJc w:val="left"/>
      <w:pPr>
        <w:ind w:left="720" w:hanging="360"/>
      </w:pPr>
      <w:rPr>
        <w:rFonts w:ascii="Symbol" w:hAnsi="Symbol" w:hint="default"/>
      </w:rPr>
    </w:lvl>
    <w:lvl w:ilvl="1" w:tplc="813A351E">
      <w:start w:val="1"/>
      <w:numFmt w:val="bullet"/>
      <w:lvlText w:val="o"/>
      <w:lvlJc w:val="left"/>
      <w:pPr>
        <w:ind w:left="1440" w:hanging="360"/>
      </w:pPr>
      <w:rPr>
        <w:rFonts w:ascii="Courier New" w:hAnsi="Courier New" w:hint="default"/>
      </w:rPr>
    </w:lvl>
    <w:lvl w:ilvl="2" w:tplc="2F7E7612">
      <w:start w:val="1"/>
      <w:numFmt w:val="bullet"/>
      <w:lvlText w:val=""/>
      <w:lvlJc w:val="left"/>
      <w:pPr>
        <w:ind w:left="2160" w:hanging="360"/>
      </w:pPr>
      <w:rPr>
        <w:rFonts w:ascii="Wingdings" w:hAnsi="Wingdings" w:hint="default"/>
      </w:rPr>
    </w:lvl>
    <w:lvl w:ilvl="3" w:tplc="05AE497A">
      <w:start w:val="1"/>
      <w:numFmt w:val="bullet"/>
      <w:lvlText w:val=""/>
      <w:lvlJc w:val="left"/>
      <w:pPr>
        <w:ind w:left="2880" w:hanging="360"/>
      </w:pPr>
      <w:rPr>
        <w:rFonts w:ascii="Symbol" w:hAnsi="Symbol" w:hint="default"/>
      </w:rPr>
    </w:lvl>
    <w:lvl w:ilvl="4" w:tplc="3CA01868">
      <w:start w:val="1"/>
      <w:numFmt w:val="bullet"/>
      <w:lvlText w:val="o"/>
      <w:lvlJc w:val="left"/>
      <w:pPr>
        <w:ind w:left="3600" w:hanging="360"/>
      </w:pPr>
      <w:rPr>
        <w:rFonts w:ascii="Courier New" w:hAnsi="Courier New" w:hint="default"/>
      </w:rPr>
    </w:lvl>
    <w:lvl w:ilvl="5" w:tplc="9D48394E">
      <w:start w:val="1"/>
      <w:numFmt w:val="bullet"/>
      <w:lvlText w:val=""/>
      <w:lvlJc w:val="left"/>
      <w:pPr>
        <w:ind w:left="4320" w:hanging="360"/>
      </w:pPr>
      <w:rPr>
        <w:rFonts w:ascii="Wingdings" w:hAnsi="Wingdings" w:hint="default"/>
      </w:rPr>
    </w:lvl>
    <w:lvl w:ilvl="6" w:tplc="F732EFF2">
      <w:start w:val="1"/>
      <w:numFmt w:val="bullet"/>
      <w:lvlText w:val=""/>
      <w:lvlJc w:val="left"/>
      <w:pPr>
        <w:ind w:left="5040" w:hanging="360"/>
      </w:pPr>
      <w:rPr>
        <w:rFonts w:ascii="Symbol" w:hAnsi="Symbol" w:hint="default"/>
      </w:rPr>
    </w:lvl>
    <w:lvl w:ilvl="7" w:tplc="C23E3C62">
      <w:start w:val="1"/>
      <w:numFmt w:val="bullet"/>
      <w:lvlText w:val="o"/>
      <w:lvlJc w:val="left"/>
      <w:pPr>
        <w:ind w:left="5760" w:hanging="360"/>
      </w:pPr>
      <w:rPr>
        <w:rFonts w:ascii="Courier New" w:hAnsi="Courier New" w:hint="default"/>
      </w:rPr>
    </w:lvl>
    <w:lvl w:ilvl="8" w:tplc="F0EC22D0">
      <w:start w:val="1"/>
      <w:numFmt w:val="bullet"/>
      <w:lvlText w:val=""/>
      <w:lvlJc w:val="left"/>
      <w:pPr>
        <w:ind w:left="6480" w:hanging="360"/>
      </w:pPr>
      <w:rPr>
        <w:rFonts w:ascii="Wingdings" w:hAnsi="Wingdings" w:hint="default"/>
      </w:rPr>
    </w:lvl>
  </w:abstractNum>
  <w:abstractNum w:abstractNumId="267" w15:restartNumberingAfterBreak="0">
    <w:nsid w:val="2C4C08BD"/>
    <w:multiLevelType w:val="hybridMultilevel"/>
    <w:tmpl w:val="7480B484"/>
    <w:lvl w:ilvl="0" w:tplc="04090001">
      <w:start w:val="1"/>
      <w:numFmt w:val="bullet"/>
      <w:lvlText w:val=""/>
      <w:lvlJc w:val="left"/>
      <w:pPr>
        <w:ind w:left="1146"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2C823E9D"/>
    <w:multiLevelType w:val="hybridMultilevel"/>
    <w:tmpl w:val="86587B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9" w15:restartNumberingAfterBreak="0">
    <w:nsid w:val="2CA45D9E"/>
    <w:multiLevelType w:val="multilevel"/>
    <w:tmpl w:val="9AA4F5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egoe UI" w:hAnsi="Segoe UI" w:hint="default"/>
      </w:rPr>
    </w:lvl>
  </w:abstractNum>
  <w:abstractNum w:abstractNumId="27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72" w15:restartNumberingAfterBreak="0">
    <w:nsid w:val="2D110E14"/>
    <w:multiLevelType w:val="multilevel"/>
    <w:tmpl w:val="82C2B9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2D14067A"/>
    <w:multiLevelType w:val="hybridMultilevel"/>
    <w:tmpl w:val="325A2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4" w15:restartNumberingAfterBreak="0">
    <w:nsid w:val="2D7B7DD8"/>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275" w15:restartNumberingAfterBreak="0">
    <w:nsid w:val="2D972AD3"/>
    <w:multiLevelType w:val="hybridMultilevel"/>
    <w:tmpl w:val="5CC689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2E360B7E"/>
    <w:multiLevelType w:val="hybridMultilevel"/>
    <w:tmpl w:val="2356F73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2E385B4E"/>
    <w:multiLevelType w:val="multilevel"/>
    <w:tmpl w:val="091A8B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2E7F064A"/>
    <w:multiLevelType w:val="hybridMultilevel"/>
    <w:tmpl w:val="0C5A429A"/>
    <w:lvl w:ilvl="0" w:tplc="319233EA">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9" w15:restartNumberingAfterBreak="0">
    <w:nsid w:val="2EA12BC2"/>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2EB252F5"/>
    <w:multiLevelType w:val="hybridMultilevel"/>
    <w:tmpl w:val="FFFFFFFF"/>
    <w:lvl w:ilvl="0" w:tplc="907EAF6A">
      <w:start w:val="1"/>
      <w:numFmt w:val="bullet"/>
      <w:lvlText w:val=""/>
      <w:lvlJc w:val="left"/>
      <w:pPr>
        <w:ind w:left="360" w:hanging="360"/>
      </w:pPr>
      <w:rPr>
        <w:rFonts w:ascii="Segoe UI" w:hAnsi="Segoe UI" w:hint="default"/>
      </w:rPr>
    </w:lvl>
    <w:lvl w:ilvl="1" w:tplc="101C44C6">
      <w:start w:val="1"/>
      <w:numFmt w:val="bullet"/>
      <w:lvlText w:val="o"/>
      <w:lvlJc w:val="left"/>
      <w:pPr>
        <w:ind w:left="1080" w:hanging="360"/>
      </w:pPr>
      <w:rPr>
        <w:rFonts w:ascii="Courier New" w:hAnsi="Courier New" w:hint="default"/>
      </w:rPr>
    </w:lvl>
    <w:lvl w:ilvl="2" w:tplc="BC9A14D4">
      <w:start w:val="1"/>
      <w:numFmt w:val="bullet"/>
      <w:lvlText w:val=""/>
      <w:lvlJc w:val="left"/>
      <w:pPr>
        <w:ind w:left="1800" w:hanging="360"/>
      </w:pPr>
      <w:rPr>
        <w:rFonts w:ascii="Cambria Math" w:hAnsi="Cambria Math" w:hint="default"/>
      </w:rPr>
    </w:lvl>
    <w:lvl w:ilvl="3" w:tplc="70BEC26C">
      <w:start w:val="1"/>
      <w:numFmt w:val="bullet"/>
      <w:lvlText w:val=""/>
      <w:lvlJc w:val="left"/>
      <w:pPr>
        <w:ind w:left="2520" w:hanging="360"/>
      </w:pPr>
      <w:rPr>
        <w:rFonts w:ascii="Segoe UI" w:hAnsi="Segoe UI" w:hint="default"/>
      </w:rPr>
    </w:lvl>
    <w:lvl w:ilvl="4" w:tplc="6430196C">
      <w:start w:val="1"/>
      <w:numFmt w:val="bullet"/>
      <w:lvlText w:val="o"/>
      <w:lvlJc w:val="left"/>
      <w:pPr>
        <w:ind w:left="3240" w:hanging="360"/>
      </w:pPr>
      <w:rPr>
        <w:rFonts w:ascii="Courier New" w:hAnsi="Courier New" w:hint="default"/>
      </w:rPr>
    </w:lvl>
    <w:lvl w:ilvl="5" w:tplc="A67C6C4E">
      <w:start w:val="1"/>
      <w:numFmt w:val="bullet"/>
      <w:lvlText w:val=""/>
      <w:lvlJc w:val="left"/>
      <w:pPr>
        <w:ind w:left="3960" w:hanging="360"/>
      </w:pPr>
      <w:rPr>
        <w:rFonts w:ascii="Cambria Math" w:hAnsi="Cambria Math" w:hint="default"/>
      </w:rPr>
    </w:lvl>
    <w:lvl w:ilvl="6" w:tplc="4A26018E">
      <w:start w:val="1"/>
      <w:numFmt w:val="bullet"/>
      <w:lvlText w:val=""/>
      <w:lvlJc w:val="left"/>
      <w:pPr>
        <w:ind w:left="4680" w:hanging="360"/>
      </w:pPr>
      <w:rPr>
        <w:rFonts w:ascii="Segoe UI" w:hAnsi="Segoe UI" w:hint="default"/>
      </w:rPr>
    </w:lvl>
    <w:lvl w:ilvl="7" w:tplc="EE000560">
      <w:start w:val="1"/>
      <w:numFmt w:val="bullet"/>
      <w:lvlText w:val="o"/>
      <w:lvlJc w:val="left"/>
      <w:pPr>
        <w:ind w:left="5400" w:hanging="360"/>
      </w:pPr>
      <w:rPr>
        <w:rFonts w:ascii="Courier New" w:hAnsi="Courier New" w:hint="default"/>
      </w:rPr>
    </w:lvl>
    <w:lvl w:ilvl="8" w:tplc="A8D0CD18">
      <w:start w:val="1"/>
      <w:numFmt w:val="bullet"/>
      <w:lvlText w:val=""/>
      <w:lvlJc w:val="left"/>
      <w:pPr>
        <w:ind w:left="6120" w:hanging="360"/>
      </w:pPr>
      <w:rPr>
        <w:rFonts w:ascii="Cambria Math" w:hAnsi="Cambria Math" w:hint="default"/>
      </w:rPr>
    </w:lvl>
  </w:abstractNum>
  <w:abstractNum w:abstractNumId="281" w15:restartNumberingAfterBreak="0">
    <w:nsid w:val="2F772BFB"/>
    <w:multiLevelType w:val="hybridMultilevel"/>
    <w:tmpl w:val="444A1582"/>
    <w:lvl w:ilvl="0" w:tplc="18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2" w15:restartNumberingAfterBreak="0">
    <w:nsid w:val="2FFCFBEF"/>
    <w:multiLevelType w:val="hybridMultilevel"/>
    <w:tmpl w:val="FFFFFFFF"/>
    <w:lvl w:ilvl="0" w:tplc="D77C4466">
      <w:start w:val="3"/>
      <w:numFmt w:val="decimal"/>
      <w:lvlText w:val="%1."/>
      <w:lvlJc w:val="left"/>
      <w:pPr>
        <w:ind w:left="720" w:hanging="360"/>
      </w:pPr>
    </w:lvl>
    <w:lvl w:ilvl="1" w:tplc="724C664E">
      <w:start w:val="1"/>
      <w:numFmt w:val="lowerLetter"/>
      <w:lvlText w:val="%2."/>
      <w:lvlJc w:val="left"/>
      <w:pPr>
        <w:ind w:left="1440" w:hanging="360"/>
      </w:pPr>
    </w:lvl>
    <w:lvl w:ilvl="2" w:tplc="398AC8FC">
      <w:start w:val="1"/>
      <w:numFmt w:val="lowerRoman"/>
      <w:lvlText w:val="%3."/>
      <w:lvlJc w:val="right"/>
      <w:pPr>
        <w:ind w:left="2160" w:hanging="180"/>
      </w:pPr>
    </w:lvl>
    <w:lvl w:ilvl="3" w:tplc="E3A004D6">
      <w:start w:val="1"/>
      <w:numFmt w:val="decimal"/>
      <w:lvlText w:val="%4."/>
      <w:lvlJc w:val="left"/>
      <w:pPr>
        <w:ind w:left="2880" w:hanging="360"/>
      </w:pPr>
    </w:lvl>
    <w:lvl w:ilvl="4" w:tplc="06C4D0E4">
      <w:start w:val="1"/>
      <w:numFmt w:val="lowerLetter"/>
      <w:lvlText w:val="%5."/>
      <w:lvlJc w:val="left"/>
      <w:pPr>
        <w:ind w:left="3600" w:hanging="360"/>
      </w:pPr>
    </w:lvl>
    <w:lvl w:ilvl="5" w:tplc="3E92EF9E">
      <w:start w:val="1"/>
      <w:numFmt w:val="lowerRoman"/>
      <w:lvlText w:val="%6."/>
      <w:lvlJc w:val="right"/>
      <w:pPr>
        <w:ind w:left="4320" w:hanging="180"/>
      </w:pPr>
    </w:lvl>
    <w:lvl w:ilvl="6" w:tplc="4300E2FE">
      <w:start w:val="1"/>
      <w:numFmt w:val="decimal"/>
      <w:lvlText w:val="%7."/>
      <w:lvlJc w:val="left"/>
      <w:pPr>
        <w:ind w:left="5040" w:hanging="360"/>
      </w:pPr>
    </w:lvl>
    <w:lvl w:ilvl="7" w:tplc="AD96C5B0">
      <w:start w:val="1"/>
      <w:numFmt w:val="lowerLetter"/>
      <w:lvlText w:val="%8."/>
      <w:lvlJc w:val="left"/>
      <w:pPr>
        <w:ind w:left="5760" w:hanging="360"/>
      </w:pPr>
    </w:lvl>
    <w:lvl w:ilvl="8" w:tplc="9082452A">
      <w:start w:val="1"/>
      <w:numFmt w:val="lowerRoman"/>
      <w:lvlText w:val="%9."/>
      <w:lvlJc w:val="right"/>
      <w:pPr>
        <w:ind w:left="6480" w:hanging="180"/>
      </w:pPr>
    </w:lvl>
  </w:abstractNum>
  <w:abstractNum w:abstractNumId="283" w15:restartNumberingAfterBreak="0">
    <w:nsid w:val="30015E7C"/>
    <w:multiLevelType w:val="hybridMultilevel"/>
    <w:tmpl w:val="FF2E4128"/>
    <w:lvl w:ilvl="0" w:tplc="B65EBF50">
      <w:start w:val="1"/>
      <w:numFmt w:val="lowerRoman"/>
      <w:lvlText w:val="%1."/>
      <w:lvlJc w:val="righ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84" w15:restartNumberingAfterBreak="0">
    <w:nsid w:val="3048683C"/>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5" w15:restartNumberingAfterBreak="0">
    <w:nsid w:val="304E5DDC"/>
    <w:multiLevelType w:val="hybridMultilevel"/>
    <w:tmpl w:val="10169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6" w15:restartNumberingAfterBreak="0">
    <w:nsid w:val="304FA210"/>
    <w:multiLevelType w:val="hybridMultilevel"/>
    <w:tmpl w:val="FFFFFFFF"/>
    <w:lvl w:ilvl="0" w:tplc="C70A81A6">
      <w:start w:val="1"/>
      <w:numFmt w:val="bullet"/>
      <w:lvlText w:val=""/>
      <w:lvlJc w:val="left"/>
      <w:pPr>
        <w:ind w:left="720" w:hanging="360"/>
      </w:pPr>
      <w:rPr>
        <w:rFonts w:ascii="Symbol" w:hAnsi="Symbol" w:hint="default"/>
      </w:rPr>
    </w:lvl>
    <w:lvl w:ilvl="1" w:tplc="482E9D7E">
      <w:start w:val="1"/>
      <w:numFmt w:val="bullet"/>
      <w:lvlText w:val="o"/>
      <w:lvlJc w:val="left"/>
      <w:pPr>
        <w:ind w:left="1440" w:hanging="360"/>
      </w:pPr>
      <w:rPr>
        <w:rFonts w:ascii="Courier New" w:hAnsi="Courier New" w:hint="default"/>
      </w:rPr>
    </w:lvl>
    <w:lvl w:ilvl="2" w:tplc="71402B10">
      <w:start w:val="1"/>
      <w:numFmt w:val="bullet"/>
      <w:lvlText w:val="§"/>
      <w:lvlJc w:val="left"/>
      <w:pPr>
        <w:ind w:left="2160" w:hanging="360"/>
      </w:pPr>
      <w:rPr>
        <w:rFonts w:ascii="Wingdings" w:hAnsi="Wingdings" w:hint="default"/>
      </w:rPr>
    </w:lvl>
    <w:lvl w:ilvl="3" w:tplc="75048432">
      <w:start w:val="1"/>
      <w:numFmt w:val="bullet"/>
      <w:lvlText w:val=""/>
      <w:lvlJc w:val="left"/>
      <w:pPr>
        <w:ind w:left="2880" w:hanging="360"/>
      </w:pPr>
      <w:rPr>
        <w:rFonts w:ascii="Symbol" w:hAnsi="Symbol" w:hint="default"/>
      </w:rPr>
    </w:lvl>
    <w:lvl w:ilvl="4" w:tplc="F2FA0850">
      <w:start w:val="1"/>
      <w:numFmt w:val="bullet"/>
      <w:lvlText w:val="o"/>
      <w:lvlJc w:val="left"/>
      <w:pPr>
        <w:ind w:left="3600" w:hanging="360"/>
      </w:pPr>
      <w:rPr>
        <w:rFonts w:ascii="Courier New" w:hAnsi="Courier New" w:hint="default"/>
      </w:rPr>
    </w:lvl>
    <w:lvl w:ilvl="5" w:tplc="5DD0825A">
      <w:start w:val="1"/>
      <w:numFmt w:val="bullet"/>
      <w:lvlText w:val=""/>
      <w:lvlJc w:val="left"/>
      <w:pPr>
        <w:ind w:left="4320" w:hanging="360"/>
      </w:pPr>
      <w:rPr>
        <w:rFonts w:ascii="Wingdings" w:hAnsi="Wingdings" w:hint="default"/>
      </w:rPr>
    </w:lvl>
    <w:lvl w:ilvl="6" w:tplc="46E06694">
      <w:start w:val="1"/>
      <w:numFmt w:val="bullet"/>
      <w:lvlText w:val=""/>
      <w:lvlJc w:val="left"/>
      <w:pPr>
        <w:ind w:left="5040" w:hanging="360"/>
      </w:pPr>
      <w:rPr>
        <w:rFonts w:ascii="Symbol" w:hAnsi="Symbol" w:hint="default"/>
      </w:rPr>
    </w:lvl>
    <w:lvl w:ilvl="7" w:tplc="9AB22FF6">
      <w:start w:val="1"/>
      <w:numFmt w:val="bullet"/>
      <w:lvlText w:val="o"/>
      <w:lvlJc w:val="left"/>
      <w:pPr>
        <w:ind w:left="5760" w:hanging="360"/>
      </w:pPr>
      <w:rPr>
        <w:rFonts w:ascii="Courier New" w:hAnsi="Courier New" w:hint="default"/>
      </w:rPr>
    </w:lvl>
    <w:lvl w:ilvl="8" w:tplc="73EE16F4">
      <w:start w:val="1"/>
      <w:numFmt w:val="bullet"/>
      <w:lvlText w:val=""/>
      <w:lvlJc w:val="left"/>
      <w:pPr>
        <w:ind w:left="6480" w:hanging="360"/>
      </w:pPr>
      <w:rPr>
        <w:rFonts w:ascii="Wingdings" w:hAnsi="Wingdings" w:hint="default"/>
      </w:rPr>
    </w:lvl>
  </w:abstractNum>
  <w:abstractNum w:abstractNumId="287" w15:restartNumberingAfterBreak="0">
    <w:nsid w:val="307C33EB"/>
    <w:multiLevelType w:val="multilevel"/>
    <w:tmpl w:val="E6E6AE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308B074D"/>
    <w:multiLevelType w:val="hybridMultilevel"/>
    <w:tmpl w:val="7DF0D0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44E692C8">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309CA0E6"/>
    <w:multiLevelType w:val="hybridMultilevel"/>
    <w:tmpl w:val="23BAF4A0"/>
    <w:lvl w:ilvl="0" w:tplc="60B80966">
      <w:start w:val="1"/>
      <w:numFmt w:val="upperLetter"/>
      <w:lvlText w:val="%1)"/>
      <w:lvlJc w:val="left"/>
      <w:pPr>
        <w:ind w:left="720" w:hanging="360"/>
      </w:pPr>
    </w:lvl>
    <w:lvl w:ilvl="1" w:tplc="DBB2F3CC">
      <w:start w:val="1"/>
      <w:numFmt w:val="lowerLetter"/>
      <w:lvlText w:val="%2."/>
      <w:lvlJc w:val="left"/>
      <w:pPr>
        <w:ind w:left="1440" w:hanging="360"/>
      </w:pPr>
    </w:lvl>
    <w:lvl w:ilvl="2" w:tplc="8CEEFB62">
      <w:start w:val="1"/>
      <w:numFmt w:val="lowerRoman"/>
      <w:lvlText w:val="%3."/>
      <w:lvlJc w:val="right"/>
      <w:pPr>
        <w:ind w:left="2160" w:hanging="180"/>
      </w:pPr>
    </w:lvl>
    <w:lvl w:ilvl="3" w:tplc="867E0526">
      <w:start w:val="1"/>
      <w:numFmt w:val="decimal"/>
      <w:lvlText w:val="%4."/>
      <w:lvlJc w:val="left"/>
      <w:pPr>
        <w:ind w:left="2880" w:hanging="360"/>
      </w:pPr>
    </w:lvl>
    <w:lvl w:ilvl="4" w:tplc="C7BACF64">
      <w:start w:val="1"/>
      <w:numFmt w:val="lowerLetter"/>
      <w:lvlText w:val="%5."/>
      <w:lvlJc w:val="left"/>
      <w:pPr>
        <w:ind w:left="3600" w:hanging="360"/>
      </w:pPr>
    </w:lvl>
    <w:lvl w:ilvl="5" w:tplc="DB1C43F8">
      <w:start w:val="1"/>
      <w:numFmt w:val="lowerRoman"/>
      <w:lvlText w:val="%6."/>
      <w:lvlJc w:val="right"/>
      <w:pPr>
        <w:ind w:left="4320" w:hanging="180"/>
      </w:pPr>
    </w:lvl>
    <w:lvl w:ilvl="6" w:tplc="14CA0F08">
      <w:start w:val="1"/>
      <w:numFmt w:val="decimal"/>
      <w:lvlText w:val="%7."/>
      <w:lvlJc w:val="left"/>
      <w:pPr>
        <w:ind w:left="5040" w:hanging="360"/>
      </w:pPr>
    </w:lvl>
    <w:lvl w:ilvl="7" w:tplc="2102D450">
      <w:start w:val="1"/>
      <w:numFmt w:val="lowerLetter"/>
      <w:lvlText w:val="%8."/>
      <w:lvlJc w:val="left"/>
      <w:pPr>
        <w:ind w:left="5760" w:hanging="360"/>
      </w:pPr>
    </w:lvl>
    <w:lvl w:ilvl="8" w:tplc="81B4515C">
      <w:start w:val="1"/>
      <w:numFmt w:val="lowerRoman"/>
      <w:lvlText w:val="%9."/>
      <w:lvlJc w:val="right"/>
      <w:pPr>
        <w:ind w:left="6480" w:hanging="180"/>
      </w:pPr>
    </w:lvl>
  </w:abstractNum>
  <w:abstractNum w:abstractNumId="290" w15:restartNumberingAfterBreak="0">
    <w:nsid w:val="30BD0203"/>
    <w:multiLevelType w:val="multilevel"/>
    <w:tmpl w:val="CAB28D5A"/>
    <w:lvl w:ilvl="0">
      <w:start w:val="1"/>
      <w:numFmt w:val="decimal"/>
      <w:lvlText w:val="%1."/>
      <w:lvlJc w:val="left"/>
      <w:pPr>
        <w:ind w:left="476" w:hanging="476"/>
      </w:pPr>
      <w:rPr>
        <w:rFonts w:hint="default"/>
        <w:b w:val="0"/>
        <w:bCs w:val="0"/>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1" w15:restartNumberingAfterBreak="0">
    <w:nsid w:val="30CA7D8F"/>
    <w:multiLevelType w:val="hybridMultilevel"/>
    <w:tmpl w:val="34A6287E"/>
    <w:lvl w:ilvl="0" w:tplc="B65EBF50">
      <w:start w:val="1"/>
      <w:numFmt w:val="low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2" w15:restartNumberingAfterBreak="0">
    <w:nsid w:val="30EA3C3E"/>
    <w:multiLevelType w:val="hybridMultilevel"/>
    <w:tmpl w:val="AA728CC0"/>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93" w15:restartNumberingAfterBreak="0">
    <w:nsid w:val="30FC79B2"/>
    <w:multiLevelType w:val="hybridMultilevel"/>
    <w:tmpl w:val="9670F2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4" w15:restartNumberingAfterBreak="0">
    <w:nsid w:val="3118171D"/>
    <w:multiLevelType w:val="hybridMultilevel"/>
    <w:tmpl w:val="D6C8395E"/>
    <w:lvl w:ilvl="0" w:tplc="B65EBF50">
      <w:start w:val="1"/>
      <w:numFmt w:val="lowerRoman"/>
      <w:lvlText w:val="%1."/>
      <w:lvlJc w:val="righ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295" w15:restartNumberingAfterBreak="0">
    <w:nsid w:val="311F3EC1"/>
    <w:multiLevelType w:val="hybridMultilevel"/>
    <w:tmpl w:val="49FA748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96" w15:restartNumberingAfterBreak="0">
    <w:nsid w:val="314D1D10"/>
    <w:multiLevelType w:val="multilevel"/>
    <w:tmpl w:val="6EF663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7" w15:restartNumberingAfterBreak="0">
    <w:nsid w:val="31B40937"/>
    <w:multiLevelType w:val="hybridMultilevel"/>
    <w:tmpl w:val="C5A0FD04"/>
    <w:lvl w:ilvl="0" w:tplc="B3B4833A">
      <w:numFmt w:val="bullet"/>
      <w:lvlText w:val="•"/>
      <w:lvlJc w:val="left"/>
      <w:pPr>
        <w:ind w:left="720" w:hanging="360"/>
      </w:pPr>
      <w:rPr>
        <w:rFonts w:asciiTheme="minorHAnsi" w:eastAsiaTheme="minorHAnsi" w:hAnsiTheme="minorHAns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31BB13B6"/>
    <w:multiLevelType w:val="hybridMultilevel"/>
    <w:tmpl w:val="48067D60"/>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299" w15:restartNumberingAfterBreak="0">
    <w:nsid w:val="31BED350"/>
    <w:multiLevelType w:val="hybridMultilevel"/>
    <w:tmpl w:val="FFFFFFFF"/>
    <w:lvl w:ilvl="0" w:tplc="812CF33C">
      <w:start w:val="1"/>
      <w:numFmt w:val="bullet"/>
      <w:lvlText w:val="·"/>
      <w:lvlJc w:val="left"/>
      <w:pPr>
        <w:ind w:left="720" w:hanging="360"/>
      </w:pPr>
      <w:rPr>
        <w:rFonts w:ascii="Symbol" w:hAnsi="Symbol" w:hint="default"/>
      </w:rPr>
    </w:lvl>
    <w:lvl w:ilvl="1" w:tplc="0338D63A">
      <w:start w:val="1"/>
      <w:numFmt w:val="bullet"/>
      <w:lvlText w:val="o"/>
      <w:lvlJc w:val="left"/>
      <w:pPr>
        <w:ind w:left="1440" w:hanging="360"/>
      </w:pPr>
      <w:rPr>
        <w:rFonts w:ascii="Courier New" w:hAnsi="Courier New" w:hint="default"/>
      </w:rPr>
    </w:lvl>
    <w:lvl w:ilvl="2" w:tplc="F350098C">
      <w:start w:val="1"/>
      <w:numFmt w:val="bullet"/>
      <w:lvlText w:val=""/>
      <w:lvlJc w:val="left"/>
      <w:pPr>
        <w:ind w:left="2160" w:hanging="360"/>
      </w:pPr>
      <w:rPr>
        <w:rFonts w:ascii="Wingdings" w:hAnsi="Wingdings" w:hint="default"/>
      </w:rPr>
    </w:lvl>
    <w:lvl w:ilvl="3" w:tplc="A8007B1E">
      <w:start w:val="1"/>
      <w:numFmt w:val="bullet"/>
      <w:lvlText w:val=""/>
      <w:lvlJc w:val="left"/>
      <w:pPr>
        <w:ind w:left="2880" w:hanging="360"/>
      </w:pPr>
      <w:rPr>
        <w:rFonts w:ascii="Symbol" w:hAnsi="Symbol" w:hint="default"/>
      </w:rPr>
    </w:lvl>
    <w:lvl w:ilvl="4" w:tplc="C324C494">
      <w:start w:val="1"/>
      <w:numFmt w:val="bullet"/>
      <w:lvlText w:val="o"/>
      <w:lvlJc w:val="left"/>
      <w:pPr>
        <w:ind w:left="3600" w:hanging="360"/>
      </w:pPr>
      <w:rPr>
        <w:rFonts w:ascii="Courier New" w:hAnsi="Courier New" w:hint="default"/>
      </w:rPr>
    </w:lvl>
    <w:lvl w:ilvl="5" w:tplc="FE860BFA">
      <w:start w:val="1"/>
      <w:numFmt w:val="bullet"/>
      <w:lvlText w:val=""/>
      <w:lvlJc w:val="left"/>
      <w:pPr>
        <w:ind w:left="4320" w:hanging="360"/>
      </w:pPr>
      <w:rPr>
        <w:rFonts w:ascii="Wingdings" w:hAnsi="Wingdings" w:hint="default"/>
      </w:rPr>
    </w:lvl>
    <w:lvl w:ilvl="6" w:tplc="E674826A">
      <w:start w:val="1"/>
      <w:numFmt w:val="bullet"/>
      <w:lvlText w:val=""/>
      <w:lvlJc w:val="left"/>
      <w:pPr>
        <w:ind w:left="5040" w:hanging="360"/>
      </w:pPr>
      <w:rPr>
        <w:rFonts w:ascii="Symbol" w:hAnsi="Symbol" w:hint="default"/>
      </w:rPr>
    </w:lvl>
    <w:lvl w:ilvl="7" w:tplc="BCA826D0">
      <w:start w:val="1"/>
      <w:numFmt w:val="bullet"/>
      <w:lvlText w:val="o"/>
      <w:lvlJc w:val="left"/>
      <w:pPr>
        <w:ind w:left="5760" w:hanging="360"/>
      </w:pPr>
      <w:rPr>
        <w:rFonts w:ascii="Courier New" w:hAnsi="Courier New" w:hint="default"/>
      </w:rPr>
    </w:lvl>
    <w:lvl w:ilvl="8" w:tplc="69FA1742">
      <w:start w:val="1"/>
      <w:numFmt w:val="bullet"/>
      <w:lvlText w:val=""/>
      <w:lvlJc w:val="left"/>
      <w:pPr>
        <w:ind w:left="6480" w:hanging="360"/>
      </w:pPr>
      <w:rPr>
        <w:rFonts w:ascii="Wingdings" w:hAnsi="Wingdings" w:hint="default"/>
      </w:rPr>
    </w:lvl>
  </w:abstractNum>
  <w:abstractNum w:abstractNumId="300" w15:restartNumberingAfterBreak="0">
    <w:nsid w:val="31DA452E"/>
    <w:multiLevelType w:val="hybridMultilevel"/>
    <w:tmpl w:val="6F3E401E"/>
    <w:lvl w:ilvl="0" w:tplc="51D84CFA">
      <w:start w:val="1"/>
      <w:numFmt w:val="lowerLetter"/>
      <w:lvlText w:val="%1."/>
      <w:lvlJc w:val="left"/>
      <w:pPr>
        <w:ind w:left="1080" w:hanging="720"/>
      </w:pPr>
      <w:rPr>
        <w:rFonts w:hint="default"/>
      </w:rPr>
    </w:lvl>
    <w:lvl w:ilvl="1" w:tplc="1809001B">
      <w:start w:val="1"/>
      <w:numFmt w:val="lowerRoman"/>
      <w:lvlText w:val="%2."/>
      <w:lvlJc w:val="righ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1" w15:restartNumberingAfterBreak="0">
    <w:nsid w:val="3200F11E"/>
    <w:multiLevelType w:val="multilevel"/>
    <w:tmpl w:val="FFFFFFFF"/>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32285587"/>
    <w:multiLevelType w:val="hybridMultilevel"/>
    <w:tmpl w:val="BBFC40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3" w15:restartNumberingAfterBreak="0">
    <w:nsid w:val="322A42BD"/>
    <w:multiLevelType w:val="hybridMultilevel"/>
    <w:tmpl w:val="23D63790"/>
    <w:lvl w:ilvl="0" w:tplc="08090001">
      <w:start w:val="1"/>
      <w:numFmt w:val="bullet"/>
      <w:lvlText w:val=""/>
      <w:lvlJc w:val="left"/>
      <w:pPr>
        <w:ind w:left="1429" w:hanging="360"/>
      </w:pPr>
      <w:rPr>
        <w:rFonts w:ascii="Segoe UI" w:hAnsi="Segoe U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4" w15:restartNumberingAfterBreak="0">
    <w:nsid w:val="3253FB27"/>
    <w:multiLevelType w:val="hybridMultilevel"/>
    <w:tmpl w:val="FFFFFFFF"/>
    <w:lvl w:ilvl="0" w:tplc="20526A0E">
      <w:start w:val="1"/>
      <w:numFmt w:val="upperRoman"/>
      <w:lvlText w:val="%1)"/>
      <w:lvlJc w:val="left"/>
      <w:pPr>
        <w:ind w:left="720" w:hanging="360"/>
      </w:pPr>
    </w:lvl>
    <w:lvl w:ilvl="1" w:tplc="10DC3BEE">
      <w:start w:val="1"/>
      <w:numFmt w:val="lowerLetter"/>
      <w:lvlText w:val="%2."/>
      <w:lvlJc w:val="left"/>
      <w:pPr>
        <w:ind w:left="1440" w:hanging="360"/>
      </w:pPr>
    </w:lvl>
    <w:lvl w:ilvl="2" w:tplc="74A44CF2">
      <w:start w:val="1"/>
      <w:numFmt w:val="lowerRoman"/>
      <w:lvlText w:val="%3."/>
      <w:lvlJc w:val="right"/>
      <w:pPr>
        <w:ind w:left="2160" w:hanging="180"/>
      </w:pPr>
    </w:lvl>
    <w:lvl w:ilvl="3" w:tplc="512A145C">
      <w:start w:val="1"/>
      <w:numFmt w:val="decimal"/>
      <w:lvlText w:val="%4."/>
      <w:lvlJc w:val="left"/>
      <w:pPr>
        <w:ind w:left="2880" w:hanging="360"/>
      </w:pPr>
    </w:lvl>
    <w:lvl w:ilvl="4" w:tplc="8674757E">
      <w:start w:val="1"/>
      <w:numFmt w:val="lowerLetter"/>
      <w:lvlText w:val="%5."/>
      <w:lvlJc w:val="left"/>
      <w:pPr>
        <w:ind w:left="3600" w:hanging="360"/>
      </w:pPr>
    </w:lvl>
    <w:lvl w:ilvl="5" w:tplc="FE5EDFBA">
      <w:start w:val="1"/>
      <w:numFmt w:val="lowerRoman"/>
      <w:lvlText w:val="%6."/>
      <w:lvlJc w:val="right"/>
      <w:pPr>
        <w:ind w:left="4320" w:hanging="180"/>
      </w:pPr>
    </w:lvl>
    <w:lvl w:ilvl="6" w:tplc="92A0A77A">
      <w:start w:val="1"/>
      <w:numFmt w:val="decimal"/>
      <w:lvlText w:val="%7."/>
      <w:lvlJc w:val="left"/>
      <w:pPr>
        <w:ind w:left="5040" w:hanging="360"/>
      </w:pPr>
    </w:lvl>
    <w:lvl w:ilvl="7" w:tplc="7F3C85FE">
      <w:start w:val="1"/>
      <w:numFmt w:val="lowerLetter"/>
      <w:lvlText w:val="%8."/>
      <w:lvlJc w:val="left"/>
      <w:pPr>
        <w:ind w:left="5760" w:hanging="360"/>
      </w:pPr>
    </w:lvl>
    <w:lvl w:ilvl="8" w:tplc="EB70CAE0">
      <w:start w:val="1"/>
      <w:numFmt w:val="lowerRoman"/>
      <w:lvlText w:val="%9."/>
      <w:lvlJc w:val="right"/>
      <w:pPr>
        <w:ind w:left="6480" w:hanging="180"/>
      </w:pPr>
    </w:lvl>
  </w:abstractNum>
  <w:abstractNum w:abstractNumId="305" w15:restartNumberingAfterBreak="0">
    <w:nsid w:val="32CA2E3B"/>
    <w:multiLevelType w:val="hybridMultilevel"/>
    <w:tmpl w:val="8D208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6" w15:restartNumberingAfterBreak="0">
    <w:nsid w:val="32DCA173"/>
    <w:multiLevelType w:val="hybridMultilevel"/>
    <w:tmpl w:val="FFFFFFFF"/>
    <w:lvl w:ilvl="0" w:tplc="7AF2FBA6">
      <w:start w:val="1"/>
      <w:numFmt w:val="lowerLetter"/>
      <w:lvlText w:val="%1."/>
      <w:lvlJc w:val="left"/>
      <w:pPr>
        <w:ind w:left="720" w:hanging="360"/>
      </w:pPr>
    </w:lvl>
    <w:lvl w:ilvl="1" w:tplc="A28EC116">
      <w:start w:val="1"/>
      <w:numFmt w:val="lowerLetter"/>
      <w:lvlText w:val="%2."/>
      <w:lvlJc w:val="left"/>
      <w:pPr>
        <w:ind w:left="1440" w:hanging="360"/>
      </w:pPr>
    </w:lvl>
    <w:lvl w:ilvl="2" w:tplc="F1888C7E">
      <w:start w:val="1"/>
      <w:numFmt w:val="lowerRoman"/>
      <w:lvlText w:val="%3."/>
      <w:lvlJc w:val="right"/>
      <w:pPr>
        <w:ind w:left="2160" w:hanging="180"/>
      </w:pPr>
    </w:lvl>
    <w:lvl w:ilvl="3" w:tplc="4FA04712">
      <w:start w:val="1"/>
      <w:numFmt w:val="decimal"/>
      <w:lvlText w:val="%4."/>
      <w:lvlJc w:val="left"/>
      <w:pPr>
        <w:ind w:left="2880" w:hanging="360"/>
      </w:pPr>
    </w:lvl>
    <w:lvl w:ilvl="4" w:tplc="DC2055D2">
      <w:start w:val="1"/>
      <w:numFmt w:val="lowerLetter"/>
      <w:lvlText w:val="%5."/>
      <w:lvlJc w:val="left"/>
      <w:pPr>
        <w:ind w:left="3600" w:hanging="360"/>
      </w:pPr>
    </w:lvl>
    <w:lvl w:ilvl="5" w:tplc="E8A463B2">
      <w:start w:val="1"/>
      <w:numFmt w:val="lowerRoman"/>
      <w:lvlText w:val="%6."/>
      <w:lvlJc w:val="right"/>
      <w:pPr>
        <w:ind w:left="4320" w:hanging="180"/>
      </w:pPr>
    </w:lvl>
    <w:lvl w:ilvl="6" w:tplc="FFEA5414">
      <w:start w:val="1"/>
      <w:numFmt w:val="decimal"/>
      <w:lvlText w:val="%7."/>
      <w:lvlJc w:val="left"/>
      <w:pPr>
        <w:ind w:left="5040" w:hanging="360"/>
      </w:pPr>
    </w:lvl>
    <w:lvl w:ilvl="7" w:tplc="14F44666">
      <w:start w:val="1"/>
      <w:numFmt w:val="lowerLetter"/>
      <w:lvlText w:val="%8."/>
      <w:lvlJc w:val="left"/>
      <w:pPr>
        <w:ind w:left="5760" w:hanging="360"/>
      </w:pPr>
    </w:lvl>
    <w:lvl w:ilvl="8" w:tplc="3454D21A">
      <w:start w:val="1"/>
      <w:numFmt w:val="lowerRoman"/>
      <w:lvlText w:val="%9."/>
      <w:lvlJc w:val="right"/>
      <w:pPr>
        <w:ind w:left="6480" w:hanging="180"/>
      </w:pPr>
    </w:lvl>
  </w:abstractNum>
  <w:abstractNum w:abstractNumId="307" w15:restartNumberingAfterBreak="0">
    <w:nsid w:val="333CC5C6"/>
    <w:multiLevelType w:val="hybridMultilevel"/>
    <w:tmpl w:val="FFFFFFFF"/>
    <w:lvl w:ilvl="0" w:tplc="FFFFFFFF">
      <w:start w:val="1"/>
      <w:numFmt w:val="decimal"/>
      <w:lvlText w:val="%1."/>
      <w:lvlJc w:val="left"/>
      <w:pPr>
        <w:ind w:left="720" w:hanging="360"/>
      </w:pPr>
    </w:lvl>
    <w:lvl w:ilvl="1" w:tplc="4F26DE7E">
      <w:start w:val="1"/>
      <w:numFmt w:val="lowerLetter"/>
      <w:lvlText w:val="%2."/>
      <w:lvlJc w:val="left"/>
      <w:pPr>
        <w:ind w:left="1440" w:hanging="360"/>
      </w:pPr>
    </w:lvl>
    <w:lvl w:ilvl="2" w:tplc="162CFF2E">
      <w:start w:val="1"/>
      <w:numFmt w:val="lowerRoman"/>
      <w:lvlText w:val="%3."/>
      <w:lvlJc w:val="right"/>
      <w:pPr>
        <w:ind w:left="2160" w:hanging="180"/>
      </w:pPr>
    </w:lvl>
    <w:lvl w:ilvl="3" w:tplc="0BA869FC">
      <w:start w:val="1"/>
      <w:numFmt w:val="decimal"/>
      <w:lvlText w:val="%4."/>
      <w:lvlJc w:val="left"/>
      <w:pPr>
        <w:ind w:left="2880" w:hanging="360"/>
      </w:pPr>
    </w:lvl>
    <w:lvl w:ilvl="4" w:tplc="4488A29A">
      <w:start w:val="1"/>
      <w:numFmt w:val="lowerLetter"/>
      <w:lvlText w:val="%5."/>
      <w:lvlJc w:val="left"/>
      <w:pPr>
        <w:ind w:left="3600" w:hanging="360"/>
      </w:pPr>
    </w:lvl>
    <w:lvl w:ilvl="5" w:tplc="6B2E62AC">
      <w:start w:val="1"/>
      <w:numFmt w:val="lowerRoman"/>
      <w:lvlText w:val="%6."/>
      <w:lvlJc w:val="right"/>
      <w:pPr>
        <w:ind w:left="4320" w:hanging="180"/>
      </w:pPr>
    </w:lvl>
    <w:lvl w:ilvl="6" w:tplc="B8760CE0">
      <w:start w:val="1"/>
      <w:numFmt w:val="decimal"/>
      <w:lvlText w:val="%7."/>
      <w:lvlJc w:val="left"/>
      <w:pPr>
        <w:ind w:left="5040" w:hanging="360"/>
      </w:pPr>
    </w:lvl>
    <w:lvl w:ilvl="7" w:tplc="7214CE82">
      <w:start w:val="1"/>
      <w:numFmt w:val="lowerLetter"/>
      <w:lvlText w:val="%8."/>
      <w:lvlJc w:val="left"/>
      <w:pPr>
        <w:ind w:left="5760" w:hanging="360"/>
      </w:pPr>
    </w:lvl>
    <w:lvl w:ilvl="8" w:tplc="E280C41C">
      <w:start w:val="1"/>
      <w:numFmt w:val="lowerRoman"/>
      <w:lvlText w:val="%9."/>
      <w:lvlJc w:val="right"/>
      <w:pPr>
        <w:ind w:left="6480" w:hanging="180"/>
      </w:pPr>
    </w:lvl>
  </w:abstractNum>
  <w:abstractNum w:abstractNumId="308" w15:restartNumberingAfterBreak="0">
    <w:nsid w:val="3354496A"/>
    <w:multiLevelType w:val="hybridMultilevel"/>
    <w:tmpl w:val="FFFFFFFF"/>
    <w:lvl w:ilvl="0" w:tplc="36801E02">
      <w:start w:val="1"/>
      <w:numFmt w:val="bullet"/>
      <w:lvlText w:val=""/>
      <w:lvlJc w:val="left"/>
      <w:pPr>
        <w:ind w:left="720" w:hanging="360"/>
      </w:pPr>
      <w:rPr>
        <w:rFonts w:ascii="Symbol" w:hAnsi="Symbol" w:hint="default"/>
      </w:rPr>
    </w:lvl>
    <w:lvl w:ilvl="1" w:tplc="8E1C7002">
      <w:start w:val="1"/>
      <w:numFmt w:val="bullet"/>
      <w:lvlText w:val="o"/>
      <w:lvlJc w:val="left"/>
      <w:pPr>
        <w:ind w:left="1440" w:hanging="360"/>
      </w:pPr>
      <w:rPr>
        <w:rFonts w:ascii="Courier New" w:hAnsi="Courier New" w:hint="default"/>
      </w:rPr>
    </w:lvl>
    <w:lvl w:ilvl="2" w:tplc="6ACEC22E">
      <w:start w:val="1"/>
      <w:numFmt w:val="bullet"/>
      <w:lvlText w:val="§"/>
      <w:lvlJc w:val="left"/>
      <w:pPr>
        <w:ind w:left="2160" w:hanging="360"/>
      </w:pPr>
      <w:rPr>
        <w:rFonts w:ascii="Wingdings" w:hAnsi="Wingdings" w:hint="default"/>
      </w:rPr>
    </w:lvl>
    <w:lvl w:ilvl="3" w:tplc="1BBAF388">
      <w:start w:val="1"/>
      <w:numFmt w:val="bullet"/>
      <w:lvlText w:val=""/>
      <w:lvlJc w:val="left"/>
      <w:pPr>
        <w:ind w:left="2880" w:hanging="360"/>
      </w:pPr>
      <w:rPr>
        <w:rFonts w:ascii="Symbol" w:hAnsi="Symbol" w:hint="default"/>
      </w:rPr>
    </w:lvl>
    <w:lvl w:ilvl="4" w:tplc="603075C2">
      <w:start w:val="1"/>
      <w:numFmt w:val="bullet"/>
      <w:lvlText w:val="o"/>
      <w:lvlJc w:val="left"/>
      <w:pPr>
        <w:ind w:left="3600" w:hanging="360"/>
      </w:pPr>
      <w:rPr>
        <w:rFonts w:ascii="Courier New" w:hAnsi="Courier New" w:hint="default"/>
      </w:rPr>
    </w:lvl>
    <w:lvl w:ilvl="5" w:tplc="21F28180">
      <w:start w:val="1"/>
      <w:numFmt w:val="bullet"/>
      <w:lvlText w:val=""/>
      <w:lvlJc w:val="left"/>
      <w:pPr>
        <w:ind w:left="4320" w:hanging="360"/>
      </w:pPr>
      <w:rPr>
        <w:rFonts w:ascii="Wingdings" w:hAnsi="Wingdings" w:hint="default"/>
      </w:rPr>
    </w:lvl>
    <w:lvl w:ilvl="6" w:tplc="7C961C80">
      <w:start w:val="1"/>
      <w:numFmt w:val="bullet"/>
      <w:lvlText w:val=""/>
      <w:lvlJc w:val="left"/>
      <w:pPr>
        <w:ind w:left="5040" w:hanging="360"/>
      </w:pPr>
      <w:rPr>
        <w:rFonts w:ascii="Symbol" w:hAnsi="Symbol" w:hint="default"/>
      </w:rPr>
    </w:lvl>
    <w:lvl w:ilvl="7" w:tplc="E25A3C70">
      <w:start w:val="1"/>
      <w:numFmt w:val="bullet"/>
      <w:lvlText w:val="o"/>
      <w:lvlJc w:val="left"/>
      <w:pPr>
        <w:ind w:left="5760" w:hanging="360"/>
      </w:pPr>
      <w:rPr>
        <w:rFonts w:ascii="Courier New" w:hAnsi="Courier New" w:hint="default"/>
      </w:rPr>
    </w:lvl>
    <w:lvl w:ilvl="8" w:tplc="10B6648C">
      <w:start w:val="1"/>
      <w:numFmt w:val="bullet"/>
      <w:lvlText w:val=""/>
      <w:lvlJc w:val="left"/>
      <w:pPr>
        <w:ind w:left="6480" w:hanging="360"/>
      </w:pPr>
      <w:rPr>
        <w:rFonts w:ascii="Wingdings" w:hAnsi="Wingdings" w:hint="default"/>
      </w:rPr>
    </w:lvl>
  </w:abstractNum>
  <w:abstractNum w:abstractNumId="309" w15:restartNumberingAfterBreak="0">
    <w:nsid w:val="3393A513"/>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33E63B41"/>
    <w:multiLevelType w:val="hybridMultilevel"/>
    <w:tmpl w:val="D05616C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34532AF3"/>
    <w:multiLevelType w:val="hybridMultilevel"/>
    <w:tmpl w:val="74C62D90"/>
    <w:lvl w:ilvl="0" w:tplc="3A342B12">
      <w:start w:val="1"/>
      <w:numFmt w:val="decimal"/>
      <w:lvlText w:val="%1)"/>
      <w:lvlJc w:val="left"/>
      <w:pPr>
        <w:ind w:left="720" w:hanging="360"/>
      </w:pPr>
    </w:lvl>
    <w:lvl w:ilvl="1" w:tplc="BEB49D8E">
      <w:start w:val="1"/>
      <w:numFmt w:val="lowerLetter"/>
      <w:lvlText w:val="%2."/>
      <w:lvlJc w:val="left"/>
      <w:pPr>
        <w:ind w:left="1440" w:hanging="360"/>
      </w:pPr>
    </w:lvl>
    <w:lvl w:ilvl="2" w:tplc="000AF8E2">
      <w:start w:val="1"/>
      <w:numFmt w:val="lowerRoman"/>
      <w:lvlText w:val="%3."/>
      <w:lvlJc w:val="right"/>
      <w:pPr>
        <w:ind w:left="2160" w:hanging="180"/>
      </w:pPr>
    </w:lvl>
    <w:lvl w:ilvl="3" w:tplc="7FFA0D30">
      <w:start w:val="1"/>
      <w:numFmt w:val="decimal"/>
      <w:lvlText w:val="%4."/>
      <w:lvlJc w:val="left"/>
      <w:pPr>
        <w:ind w:left="2880" w:hanging="360"/>
      </w:pPr>
    </w:lvl>
    <w:lvl w:ilvl="4" w:tplc="25A0DA3A">
      <w:start w:val="1"/>
      <w:numFmt w:val="lowerLetter"/>
      <w:lvlText w:val="%5."/>
      <w:lvlJc w:val="left"/>
      <w:pPr>
        <w:ind w:left="3600" w:hanging="360"/>
      </w:pPr>
    </w:lvl>
    <w:lvl w:ilvl="5" w:tplc="A5C279E6">
      <w:start w:val="1"/>
      <w:numFmt w:val="lowerRoman"/>
      <w:lvlText w:val="%6."/>
      <w:lvlJc w:val="right"/>
      <w:pPr>
        <w:ind w:left="4320" w:hanging="180"/>
      </w:pPr>
    </w:lvl>
    <w:lvl w:ilvl="6" w:tplc="DC96F7E4">
      <w:start w:val="1"/>
      <w:numFmt w:val="decimal"/>
      <w:lvlText w:val="%7."/>
      <w:lvlJc w:val="left"/>
      <w:pPr>
        <w:ind w:left="5040" w:hanging="360"/>
      </w:pPr>
    </w:lvl>
    <w:lvl w:ilvl="7" w:tplc="AFE444BE">
      <w:start w:val="1"/>
      <w:numFmt w:val="lowerLetter"/>
      <w:lvlText w:val="%8."/>
      <w:lvlJc w:val="left"/>
      <w:pPr>
        <w:ind w:left="5760" w:hanging="360"/>
      </w:pPr>
    </w:lvl>
    <w:lvl w:ilvl="8" w:tplc="8356F8A8">
      <w:start w:val="1"/>
      <w:numFmt w:val="lowerRoman"/>
      <w:lvlText w:val="%9."/>
      <w:lvlJc w:val="right"/>
      <w:pPr>
        <w:ind w:left="6480" w:hanging="180"/>
      </w:pPr>
    </w:lvl>
  </w:abstractNum>
  <w:abstractNum w:abstractNumId="312" w15:restartNumberingAfterBreak="0">
    <w:nsid w:val="345B50B2"/>
    <w:multiLevelType w:val="multilevel"/>
    <w:tmpl w:val="2B18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4B25819"/>
    <w:multiLevelType w:val="hybridMultilevel"/>
    <w:tmpl w:val="0ED07DF8"/>
    <w:lvl w:ilvl="0" w:tplc="64966EAA">
      <w:start w:val="7"/>
      <w:numFmt w:val="lowerRoman"/>
      <w:lvlText w:val="%1."/>
      <w:lvlJc w:val="righ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4" w15:restartNumberingAfterBreak="0">
    <w:nsid w:val="34B83759"/>
    <w:multiLevelType w:val="hybridMultilevel"/>
    <w:tmpl w:val="582E43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5" w15:restartNumberingAfterBreak="0">
    <w:nsid w:val="34CC36E5"/>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16" w15:restartNumberingAfterBreak="0">
    <w:nsid w:val="35205951"/>
    <w:multiLevelType w:val="hybridMultilevel"/>
    <w:tmpl w:val="96969A3A"/>
    <w:lvl w:ilvl="0" w:tplc="C3365FD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7" w15:restartNumberingAfterBreak="0">
    <w:nsid w:val="352B0090"/>
    <w:multiLevelType w:val="hybridMultilevel"/>
    <w:tmpl w:val="6A280A2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15:restartNumberingAfterBreak="0">
    <w:nsid w:val="35345A99"/>
    <w:multiLevelType w:val="hybridMultilevel"/>
    <w:tmpl w:val="CCAC888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19" w15:restartNumberingAfterBreak="0">
    <w:nsid w:val="3553699C"/>
    <w:multiLevelType w:val="hybridMultilevel"/>
    <w:tmpl w:val="B24C8EE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0" w15:restartNumberingAfterBreak="0">
    <w:nsid w:val="355491D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35B64F34"/>
    <w:multiLevelType w:val="hybridMultilevel"/>
    <w:tmpl w:val="B9AC749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322" w15:restartNumberingAfterBreak="0">
    <w:nsid w:val="35C809AF"/>
    <w:multiLevelType w:val="multilevel"/>
    <w:tmpl w:val="59C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35CD5B1A"/>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3646F29F"/>
    <w:multiLevelType w:val="hybridMultilevel"/>
    <w:tmpl w:val="52748D8C"/>
    <w:lvl w:ilvl="0" w:tplc="A3380B94">
      <w:start w:val="1"/>
      <w:numFmt w:val="bullet"/>
      <w:lvlText w:val=""/>
      <w:lvlJc w:val="left"/>
      <w:pPr>
        <w:ind w:left="720" w:hanging="360"/>
      </w:pPr>
      <w:rPr>
        <w:rFonts w:ascii="Symbol" w:hAnsi="Symbol" w:hint="default"/>
      </w:rPr>
    </w:lvl>
    <w:lvl w:ilvl="1" w:tplc="74EC271C">
      <w:start w:val="1"/>
      <w:numFmt w:val="bullet"/>
      <w:lvlText w:val="o"/>
      <w:lvlJc w:val="left"/>
      <w:pPr>
        <w:ind w:left="1440" w:hanging="360"/>
      </w:pPr>
      <w:rPr>
        <w:rFonts w:ascii="Courier New" w:hAnsi="Courier New" w:hint="default"/>
      </w:rPr>
    </w:lvl>
    <w:lvl w:ilvl="2" w:tplc="D34A3C98">
      <w:start w:val="1"/>
      <w:numFmt w:val="bullet"/>
      <w:lvlText w:val=""/>
      <w:lvlJc w:val="left"/>
      <w:pPr>
        <w:ind w:left="2160" w:hanging="360"/>
      </w:pPr>
      <w:rPr>
        <w:rFonts w:ascii="Wingdings" w:hAnsi="Wingdings" w:hint="default"/>
      </w:rPr>
    </w:lvl>
    <w:lvl w:ilvl="3" w:tplc="E9D40826">
      <w:start w:val="1"/>
      <w:numFmt w:val="bullet"/>
      <w:lvlText w:val=""/>
      <w:lvlJc w:val="left"/>
      <w:pPr>
        <w:ind w:left="2880" w:hanging="360"/>
      </w:pPr>
      <w:rPr>
        <w:rFonts w:ascii="Symbol" w:hAnsi="Symbol" w:hint="default"/>
      </w:rPr>
    </w:lvl>
    <w:lvl w:ilvl="4" w:tplc="EF0E7D06">
      <w:start w:val="1"/>
      <w:numFmt w:val="bullet"/>
      <w:lvlText w:val="o"/>
      <w:lvlJc w:val="left"/>
      <w:pPr>
        <w:ind w:left="3600" w:hanging="360"/>
      </w:pPr>
      <w:rPr>
        <w:rFonts w:ascii="Courier New" w:hAnsi="Courier New" w:hint="default"/>
      </w:rPr>
    </w:lvl>
    <w:lvl w:ilvl="5" w:tplc="ADA4D712">
      <w:start w:val="1"/>
      <w:numFmt w:val="bullet"/>
      <w:lvlText w:val=""/>
      <w:lvlJc w:val="left"/>
      <w:pPr>
        <w:ind w:left="4320" w:hanging="360"/>
      </w:pPr>
      <w:rPr>
        <w:rFonts w:ascii="Wingdings" w:hAnsi="Wingdings" w:hint="default"/>
      </w:rPr>
    </w:lvl>
    <w:lvl w:ilvl="6" w:tplc="4BF0BFAA">
      <w:start w:val="1"/>
      <w:numFmt w:val="bullet"/>
      <w:lvlText w:val=""/>
      <w:lvlJc w:val="left"/>
      <w:pPr>
        <w:ind w:left="5040" w:hanging="360"/>
      </w:pPr>
      <w:rPr>
        <w:rFonts w:ascii="Symbol" w:hAnsi="Symbol" w:hint="default"/>
      </w:rPr>
    </w:lvl>
    <w:lvl w:ilvl="7" w:tplc="694E5F88">
      <w:start w:val="1"/>
      <w:numFmt w:val="bullet"/>
      <w:lvlText w:val="o"/>
      <w:lvlJc w:val="left"/>
      <w:pPr>
        <w:ind w:left="5760" w:hanging="360"/>
      </w:pPr>
      <w:rPr>
        <w:rFonts w:ascii="Courier New" w:hAnsi="Courier New" w:hint="default"/>
      </w:rPr>
    </w:lvl>
    <w:lvl w:ilvl="8" w:tplc="3DA202B6">
      <w:start w:val="1"/>
      <w:numFmt w:val="bullet"/>
      <w:lvlText w:val=""/>
      <w:lvlJc w:val="left"/>
      <w:pPr>
        <w:ind w:left="6480" w:hanging="360"/>
      </w:pPr>
      <w:rPr>
        <w:rFonts w:ascii="Wingdings" w:hAnsi="Wingdings" w:hint="default"/>
      </w:rPr>
    </w:lvl>
  </w:abstractNum>
  <w:abstractNum w:abstractNumId="325" w15:restartNumberingAfterBreak="0">
    <w:nsid w:val="36C86235"/>
    <w:multiLevelType w:val="hybridMultilevel"/>
    <w:tmpl w:val="FFFFFFFF"/>
    <w:lvl w:ilvl="0" w:tplc="7CEE343C">
      <w:start w:val="1"/>
      <w:numFmt w:val="decimal"/>
      <w:lvlText w:val="%1."/>
      <w:lvlJc w:val="left"/>
      <w:pPr>
        <w:ind w:left="720" w:hanging="360"/>
      </w:pPr>
    </w:lvl>
    <w:lvl w:ilvl="1" w:tplc="36F49550">
      <w:start w:val="1"/>
      <w:numFmt w:val="lowerLetter"/>
      <w:lvlText w:val="%2."/>
      <w:lvlJc w:val="left"/>
      <w:pPr>
        <w:ind w:left="1440" w:hanging="360"/>
      </w:pPr>
    </w:lvl>
    <w:lvl w:ilvl="2" w:tplc="B8F2CB70">
      <w:start w:val="1"/>
      <w:numFmt w:val="lowerRoman"/>
      <w:lvlText w:val="%3."/>
      <w:lvlJc w:val="right"/>
      <w:pPr>
        <w:ind w:left="2160" w:hanging="180"/>
      </w:pPr>
    </w:lvl>
    <w:lvl w:ilvl="3" w:tplc="04207E44">
      <w:start w:val="1"/>
      <w:numFmt w:val="decimal"/>
      <w:lvlText w:val="%4."/>
      <w:lvlJc w:val="left"/>
      <w:pPr>
        <w:ind w:left="2880" w:hanging="360"/>
      </w:pPr>
    </w:lvl>
    <w:lvl w:ilvl="4" w:tplc="98F691CE">
      <w:start w:val="1"/>
      <w:numFmt w:val="lowerLetter"/>
      <w:lvlText w:val="%5."/>
      <w:lvlJc w:val="left"/>
      <w:pPr>
        <w:ind w:left="3600" w:hanging="360"/>
      </w:pPr>
    </w:lvl>
    <w:lvl w:ilvl="5" w:tplc="26EA54D2">
      <w:start w:val="1"/>
      <w:numFmt w:val="lowerRoman"/>
      <w:lvlText w:val="%6."/>
      <w:lvlJc w:val="right"/>
      <w:pPr>
        <w:ind w:left="4320" w:hanging="180"/>
      </w:pPr>
    </w:lvl>
    <w:lvl w:ilvl="6" w:tplc="5428F120">
      <w:start w:val="1"/>
      <w:numFmt w:val="decimal"/>
      <w:lvlText w:val="%7."/>
      <w:lvlJc w:val="left"/>
      <w:pPr>
        <w:ind w:left="5040" w:hanging="360"/>
      </w:pPr>
    </w:lvl>
    <w:lvl w:ilvl="7" w:tplc="E25C7460">
      <w:start w:val="1"/>
      <w:numFmt w:val="lowerLetter"/>
      <w:lvlText w:val="%8."/>
      <w:lvlJc w:val="left"/>
      <w:pPr>
        <w:ind w:left="5760" w:hanging="360"/>
      </w:pPr>
    </w:lvl>
    <w:lvl w:ilvl="8" w:tplc="0CB86F56">
      <w:start w:val="1"/>
      <w:numFmt w:val="lowerRoman"/>
      <w:lvlText w:val="%9."/>
      <w:lvlJc w:val="right"/>
      <w:pPr>
        <w:ind w:left="6480" w:hanging="180"/>
      </w:pPr>
    </w:lvl>
  </w:abstractNum>
  <w:abstractNum w:abstractNumId="326" w15:restartNumberingAfterBreak="0">
    <w:nsid w:val="37253B71"/>
    <w:multiLevelType w:val="hybridMultilevel"/>
    <w:tmpl w:val="8E2815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7557CCC"/>
    <w:multiLevelType w:val="hybridMultilevel"/>
    <w:tmpl w:val="F43AF28E"/>
    <w:lvl w:ilvl="0" w:tplc="0C0A0001">
      <w:start w:val="1"/>
      <w:numFmt w:val="bullet"/>
      <w:lvlText w:val=""/>
      <w:lvlJc w:val="left"/>
      <w:pPr>
        <w:ind w:left="720" w:hanging="360"/>
      </w:pPr>
      <w:rPr>
        <w:rFonts w:ascii="Segoe UI" w:hAnsi="Segoe U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Cambria Math" w:hAnsi="Cambria Math" w:hint="default"/>
      </w:rPr>
    </w:lvl>
    <w:lvl w:ilvl="3" w:tplc="0C0A0001" w:tentative="1">
      <w:start w:val="1"/>
      <w:numFmt w:val="bullet"/>
      <w:lvlText w:val=""/>
      <w:lvlJc w:val="left"/>
      <w:pPr>
        <w:ind w:left="2880" w:hanging="360"/>
      </w:pPr>
      <w:rPr>
        <w:rFonts w:ascii="Segoe UI" w:hAnsi="Segoe UI"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Cambria Math" w:hAnsi="Cambria Math" w:hint="default"/>
      </w:rPr>
    </w:lvl>
    <w:lvl w:ilvl="6" w:tplc="0C0A0001" w:tentative="1">
      <w:start w:val="1"/>
      <w:numFmt w:val="bullet"/>
      <w:lvlText w:val=""/>
      <w:lvlJc w:val="left"/>
      <w:pPr>
        <w:ind w:left="5040" w:hanging="360"/>
      </w:pPr>
      <w:rPr>
        <w:rFonts w:ascii="Segoe UI" w:hAnsi="Segoe UI"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Cambria Math" w:hAnsi="Cambria Math" w:hint="default"/>
      </w:rPr>
    </w:lvl>
  </w:abstractNum>
  <w:abstractNum w:abstractNumId="328" w15:restartNumberingAfterBreak="0">
    <w:nsid w:val="3758C3CB"/>
    <w:multiLevelType w:val="hybridMultilevel"/>
    <w:tmpl w:val="4DFC13A4"/>
    <w:lvl w:ilvl="0" w:tplc="BA84E760">
      <w:start w:val="1"/>
      <w:numFmt w:val="bullet"/>
      <w:lvlText w:val=""/>
      <w:lvlJc w:val="left"/>
      <w:pPr>
        <w:ind w:left="1080" w:hanging="360"/>
      </w:pPr>
      <w:rPr>
        <w:rFonts w:ascii="Symbol" w:hAnsi="Symbol" w:hint="default"/>
      </w:rPr>
    </w:lvl>
    <w:lvl w:ilvl="1" w:tplc="ED1A8E8E">
      <w:start w:val="1"/>
      <w:numFmt w:val="bullet"/>
      <w:lvlText w:val="o"/>
      <w:lvlJc w:val="left"/>
      <w:pPr>
        <w:ind w:left="1800" w:hanging="360"/>
      </w:pPr>
      <w:rPr>
        <w:rFonts w:ascii="Courier New" w:hAnsi="Courier New" w:hint="default"/>
      </w:rPr>
    </w:lvl>
    <w:lvl w:ilvl="2" w:tplc="67B85CAA">
      <w:start w:val="1"/>
      <w:numFmt w:val="bullet"/>
      <w:lvlText w:val=""/>
      <w:lvlJc w:val="left"/>
      <w:pPr>
        <w:ind w:left="2520" w:hanging="360"/>
      </w:pPr>
      <w:rPr>
        <w:rFonts w:ascii="Wingdings" w:hAnsi="Wingdings" w:hint="default"/>
      </w:rPr>
    </w:lvl>
    <w:lvl w:ilvl="3" w:tplc="39DE89E6">
      <w:start w:val="1"/>
      <w:numFmt w:val="bullet"/>
      <w:lvlText w:val=""/>
      <w:lvlJc w:val="left"/>
      <w:pPr>
        <w:ind w:left="3240" w:hanging="360"/>
      </w:pPr>
      <w:rPr>
        <w:rFonts w:ascii="Symbol" w:hAnsi="Symbol" w:hint="default"/>
      </w:rPr>
    </w:lvl>
    <w:lvl w:ilvl="4" w:tplc="D560473C">
      <w:start w:val="1"/>
      <w:numFmt w:val="bullet"/>
      <w:lvlText w:val="o"/>
      <w:lvlJc w:val="left"/>
      <w:pPr>
        <w:ind w:left="3960" w:hanging="360"/>
      </w:pPr>
      <w:rPr>
        <w:rFonts w:ascii="Courier New" w:hAnsi="Courier New" w:hint="default"/>
      </w:rPr>
    </w:lvl>
    <w:lvl w:ilvl="5" w:tplc="5ACE0484">
      <w:start w:val="1"/>
      <w:numFmt w:val="bullet"/>
      <w:lvlText w:val=""/>
      <w:lvlJc w:val="left"/>
      <w:pPr>
        <w:ind w:left="4680" w:hanging="360"/>
      </w:pPr>
      <w:rPr>
        <w:rFonts w:ascii="Wingdings" w:hAnsi="Wingdings" w:hint="default"/>
      </w:rPr>
    </w:lvl>
    <w:lvl w:ilvl="6" w:tplc="8E560066">
      <w:start w:val="1"/>
      <w:numFmt w:val="bullet"/>
      <w:lvlText w:val=""/>
      <w:lvlJc w:val="left"/>
      <w:pPr>
        <w:ind w:left="5400" w:hanging="360"/>
      </w:pPr>
      <w:rPr>
        <w:rFonts w:ascii="Symbol" w:hAnsi="Symbol" w:hint="default"/>
      </w:rPr>
    </w:lvl>
    <w:lvl w:ilvl="7" w:tplc="8D743554">
      <w:start w:val="1"/>
      <w:numFmt w:val="bullet"/>
      <w:lvlText w:val="o"/>
      <w:lvlJc w:val="left"/>
      <w:pPr>
        <w:ind w:left="6120" w:hanging="360"/>
      </w:pPr>
      <w:rPr>
        <w:rFonts w:ascii="Courier New" w:hAnsi="Courier New" w:hint="default"/>
      </w:rPr>
    </w:lvl>
    <w:lvl w:ilvl="8" w:tplc="40A0AD42">
      <w:start w:val="1"/>
      <w:numFmt w:val="bullet"/>
      <w:lvlText w:val=""/>
      <w:lvlJc w:val="left"/>
      <w:pPr>
        <w:ind w:left="6840" w:hanging="360"/>
      </w:pPr>
      <w:rPr>
        <w:rFonts w:ascii="Wingdings" w:hAnsi="Wingdings" w:hint="default"/>
      </w:rPr>
    </w:lvl>
  </w:abstractNum>
  <w:abstractNum w:abstractNumId="329" w15:restartNumberingAfterBreak="0">
    <w:nsid w:val="379E54E2"/>
    <w:multiLevelType w:val="hybridMultilevel"/>
    <w:tmpl w:val="4498E6FC"/>
    <w:lvl w:ilvl="0" w:tplc="FFFFFFFF">
      <w:start w:val="1"/>
      <w:numFmt w:val="bullet"/>
      <w:lvlText w:val="-"/>
      <w:lvlJc w:val="left"/>
      <w:pPr>
        <w:ind w:left="1080" w:hanging="360"/>
      </w:pPr>
      <w:rPr>
        <w:rFonts w:ascii="Cambria" w:hAnsi="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330" w15:restartNumberingAfterBreak="0">
    <w:nsid w:val="37A0B7A1"/>
    <w:multiLevelType w:val="hybridMultilevel"/>
    <w:tmpl w:val="FFFFFFFF"/>
    <w:lvl w:ilvl="0" w:tplc="278EC38A">
      <w:start w:val="1"/>
      <w:numFmt w:val="bullet"/>
      <w:lvlText w:val=""/>
      <w:lvlJc w:val="left"/>
      <w:pPr>
        <w:ind w:left="720" w:hanging="360"/>
      </w:pPr>
      <w:rPr>
        <w:rFonts w:ascii="Symbol" w:hAnsi="Symbol" w:hint="default"/>
      </w:rPr>
    </w:lvl>
    <w:lvl w:ilvl="1" w:tplc="029A480E">
      <w:start w:val="1"/>
      <w:numFmt w:val="bullet"/>
      <w:lvlText w:val="-"/>
      <w:lvlJc w:val="left"/>
      <w:pPr>
        <w:ind w:left="1440" w:hanging="360"/>
      </w:pPr>
      <w:rPr>
        <w:rFonts w:ascii="Calibri" w:hAnsi="Calibri" w:hint="default"/>
      </w:rPr>
    </w:lvl>
    <w:lvl w:ilvl="2" w:tplc="933E3984">
      <w:start w:val="1"/>
      <w:numFmt w:val="bullet"/>
      <w:lvlText w:val=""/>
      <w:lvlJc w:val="left"/>
      <w:pPr>
        <w:ind w:left="2160" w:hanging="360"/>
      </w:pPr>
      <w:rPr>
        <w:rFonts w:ascii="Wingdings" w:hAnsi="Wingdings" w:hint="default"/>
      </w:rPr>
    </w:lvl>
    <w:lvl w:ilvl="3" w:tplc="EDD814BC">
      <w:start w:val="1"/>
      <w:numFmt w:val="bullet"/>
      <w:lvlText w:val=""/>
      <w:lvlJc w:val="left"/>
      <w:pPr>
        <w:ind w:left="2880" w:hanging="360"/>
      </w:pPr>
      <w:rPr>
        <w:rFonts w:ascii="Symbol" w:hAnsi="Symbol" w:hint="default"/>
      </w:rPr>
    </w:lvl>
    <w:lvl w:ilvl="4" w:tplc="D0C49014">
      <w:start w:val="1"/>
      <w:numFmt w:val="bullet"/>
      <w:lvlText w:val="o"/>
      <w:lvlJc w:val="left"/>
      <w:pPr>
        <w:ind w:left="3600" w:hanging="360"/>
      </w:pPr>
      <w:rPr>
        <w:rFonts w:ascii="Courier New" w:hAnsi="Courier New" w:hint="default"/>
      </w:rPr>
    </w:lvl>
    <w:lvl w:ilvl="5" w:tplc="DCB0D614">
      <w:start w:val="1"/>
      <w:numFmt w:val="bullet"/>
      <w:lvlText w:val=""/>
      <w:lvlJc w:val="left"/>
      <w:pPr>
        <w:ind w:left="4320" w:hanging="360"/>
      </w:pPr>
      <w:rPr>
        <w:rFonts w:ascii="Wingdings" w:hAnsi="Wingdings" w:hint="default"/>
      </w:rPr>
    </w:lvl>
    <w:lvl w:ilvl="6" w:tplc="41D2806C">
      <w:start w:val="1"/>
      <w:numFmt w:val="bullet"/>
      <w:lvlText w:val=""/>
      <w:lvlJc w:val="left"/>
      <w:pPr>
        <w:ind w:left="5040" w:hanging="360"/>
      </w:pPr>
      <w:rPr>
        <w:rFonts w:ascii="Symbol" w:hAnsi="Symbol" w:hint="default"/>
      </w:rPr>
    </w:lvl>
    <w:lvl w:ilvl="7" w:tplc="5680F026">
      <w:start w:val="1"/>
      <w:numFmt w:val="bullet"/>
      <w:lvlText w:val="o"/>
      <w:lvlJc w:val="left"/>
      <w:pPr>
        <w:ind w:left="5760" w:hanging="360"/>
      </w:pPr>
      <w:rPr>
        <w:rFonts w:ascii="Courier New" w:hAnsi="Courier New" w:hint="default"/>
      </w:rPr>
    </w:lvl>
    <w:lvl w:ilvl="8" w:tplc="873C6F26">
      <w:start w:val="1"/>
      <w:numFmt w:val="bullet"/>
      <w:lvlText w:val=""/>
      <w:lvlJc w:val="left"/>
      <w:pPr>
        <w:ind w:left="6480" w:hanging="360"/>
      </w:pPr>
      <w:rPr>
        <w:rFonts w:ascii="Wingdings" w:hAnsi="Wingdings" w:hint="default"/>
      </w:rPr>
    </w:lvl>
  </w:abstractNum>
  <w:abstractNum w:abstractNumId="331" w15:restartNumberingAfterBreak="0">
    <w:nsid w:val="37CA0639"/>
    <w:multiLevelType w:val="hybridMultilevel"/>
    <w:tmpl w:val="E5463E5A"/>
    <w:lvl w:ilvl="0" w:tplc="18090001">
      <w:start w:val="1"/>
      <w:numFmt w:val="bullet"/>
      <w:lvlText w:val=""/>
      <w:lvlJc w:val="left"/>
      <w:pPr>
        <w:ind w:left="19" w:hanging="360"/>
      </w:pPr>
      <w:rPr>
        <w:rFonts w:ascii="Courier New" w:hAnsi="Courier New" w:hint="default"/>
      </w:rPr>
    </w:lvl>
    <w:lvl w:ilvl="1" w:tplc="18090003" w:tentative="1">
      <w:start w:val="1"/>
      <w:numFmt w:val="bullet"/>
      <w:lvlText w:val="o"/>
      <w:lvlJc w:val="left"/>
      <w:pPr>
        <w:ind w:left="739" w:hanging="360"/>
      </w:pPr>
      <w:rPr>
        <w:rFonts w:ascii="Cambria Math" w:hAnsi="Cambria Math" w:cs="Cambria Math" w:hint="default"/>
      </w:rPr>
    </w:lvl>
    <w:lvl w:ilvl="2" w:tplc="18090005" w:tentative="1">
      <w:start w:val="1"/>
      <w:numFmt w:val="bullet"/>
      <w:lvlText w:val=""/>
      <w:lvlJc w:val="left"/>
      <w:pPr>
        <w:ind w:left="1459" w:hanging="360"/>
      </w:pPr>
      <w:rPr>
        <w:rFonts w:ascii="Wingdings" w:hAnsi="Wingdings" w:hint="default"/>
      </w:rPr>
    </w:lvl>
    <w:lvl w:ilvl="3" w:tplc="18090001" w:tentative="1">
      <w:start w:val="1"/>
      <w:numFmt w:val="bullet"/>
      <w:lvlText w:val=""/>
      <w:lvlJc w:val="left"/>
      <w:pPr>
        <w:ind w:left="2179" w:hanging="360"/>
      </w:pPr>
      <w:rPr>
        <w:rFonts w:ascii="Courier New" w:hAnsi="Courier New" w:hint="default"/>
      </w:rPr>
    </w:lvl>
    <w:lvl w:ilvl="4" w:tplc="18090003" w:tentative="1">
      <w:start w:val="1"/>
      <w:numFmt w:val="bullet"/>
      <w:lvlText w:val="o"/>
      <w:lvlJc w:val="left"/>
      <w:pPr>
        <w:ind w:left="2899" w:hanging="360"/>
      </w:pPr>
      <w:rPr>
        <w:rFonts w:ascii="Cambria Math" w:hAnsi="Cambria Math" w:cs="Cambria Math" w:hint="default"/>
      </w:rPr>
    </w:lvl>
    <w:lvl w:ilvl="5" w:tplc="18090005" w:tentative="1">
      <w:start w:val="1"/>
      <w:numFmt w:val="bullet"/>
      <w:lvlText w:val=""/>
      <w:lvlJc w:val="left"/>
      <w:pPr>
        <w:ind w:left="3619" w:hanging="360"/>
      </w:pPr>
      <w:rPr>
        <w:rFonts w:ascii="Wingdings" w:hAnsi="Wingdings" w:hint="default"/>
      </w:rPr>
    </w:lvl>
    <w:lvl w:ilvl="6" w:tplc="18090001" w:tentative="1">
      <w:start w:val="1"/>
      <w:numFmt w:val="bullet"/>
      <w:lvlText w:val=""/>
      <w:lvlJc w:val="left"/>
      <w:pPr>
        <w:ind w:left="4339" w:hanging="360"/>
      </w:pPr>
      <w:rPr>
        <w:rFonts w:ascii="Courier New" w:hAnsi="Courier New" w:hint="default"/>
      </w:rPr>
    </w:lvl>
    <w:lvl w:ilvl="7" w:tplc="18090003" w:tentative="1">
      <w:start w:val="1"/>
      <w:numFmt w:val="bullet"/>
      <w:lvlText w:val="o"/>
      <w:lvlJc w:val="left"/>
      <w:pPr>
        <w:ind w:left="5059" w:hanging="360"/>
      </w:pPr>
      <w:rPr>
        <w:rFonts w:ascii="Cambria Math" w:hAnsi="Cambria Math" w:cs="Cambria Math" w:hint="default"/>
      </w:rPr>
    </w:lvl>
    <w:lvl w:ilvl="8" w:tplc="18090005" w:tentative="1">
      <w:start w:val="1"/>
      <w:numFmt w:val="bullet"/>
      <w:lvlText w:val=""/>
      <w:lvlJc w:val="left"/>
      <w:pPr>
        <w:ind w:left="5779" w:hanging="360"/>
      </w:pPr>
      <w:rPr>
        <w:rFonts w:ascii="Wingdings" w:hAnsi="Wingdings" w:hint="default"/>
      </w:rPr>
    </w:lvl>
  </w:abstractNum>
  <w:abstractNum w:abstractNumId="332" w15:restartNumberingAfterBreak="0">
    <w:nsid w:val="37D9C68C"/>
    <w:multiLevelType w:val="hybridMultilevel"/>
    <w:tmpl w:val="105AAA2C"/>
    <w:lvl w:ilvl="0" w:tplc="FFFFFFFF">
      <w:start w:val="1"/>
      <w:numFmt w:val="bullet"/>
      <w:lvlText w:val=""/>
      <w:lvlJc w:val="left"/>
      <w:pPr>
        <w:ind w:left="720" w:hanging="360"/>
      </w:pPr>
      <w:rPr>
        <w:rFonts w:ascii="Symbol" w:hAnsi="Symbol" w:hint="default"/>
      </w:rPr>
    </w:lvl>
    <w:lvl w:ilvl="1" w:tplc="B1E2B5DA">
      <w:start w:val="1"/>
      <w:numFmt w:val="bullet"/>
      <w:lvlText w:val="o"/>
      <w:lvlJc w:val="left"/>
      <w:pPr>
        <w:ind w:left="1440" w:hanging="360"/>
      </w:pPr>
      <w:rPr>
        <w:rFonts w:ascii="Courier New" w:hAnsi="Courier New" w:hint="default"/>
      </w:rPr>
    </w:lvl>
    <w:lvl w:ilvl="2" w:tplc="192868AE">
      <w:start w:val="1"/>
      <w:numFmt w:val="bullet"/>
      <w:lvlText w:val=""/>
      <w:lvlJc w:val="left"/>
      <w:pPr>
        <w:ind w:left="2160" w:hanging="360"/>
      </w:pPr>
      <w:rPr>
        <w:rFonts w:ascii="Wingdings" w:hAnsi="Wingdings" w:hint="default"/>
      </w:rPr>
    </w:lvl>
    <w:lvl w:ilvl="3" w:tplc="7A8A5DC4">
      <w:start w:val="1"/>
      <w:numFmt w:val="bullet"/>
      <w:lvlText w:val=""/>
      <w:lvlJc w:val="left"/>
      <w:pPr>
        <w:ind w:left="2880" w:hanging="360"/>
      </w:pPr>
      <w:rPr>
        <w:rFonts w:ascii="Symbol" w:hAnsi="Symbol" w:hint="default"/>
      </w:rPr>
    </w:lvl>
    <w:lvl w:ilvl="4" w:tplc="9B1CF73A">
      <w:start w:val="1"/>
      <w:numFmt w:val="bullet"/>
      <w:lvlText w:val="o"/>
      <w:lvlJc w:val="left"/>
      <w:pPr>
        <w:ind w:left="3600" w:hanging="360"/>
      </w:pPr>
      <w:rPr>
        <w:rFonts w:ascii="Courier New" w:hAnsi="Courier New" w:hint="default"/>
      </w:rPr>
    </w:lvl>
    <w:lvl w:ilvl="5" w:tplc="EF148F64">
      <w:start w:val="1"/>
      <w:numFmt w:val="bullet"/>
      <w:lvlText w:val=""/>
      <w:lvlJc w:val="left"/>
      <w:pPr>
        <w:ind w:left="4320" w:hanging="360"/>
      </w:pPr>
      <w:rPr>
        <w:rFonts w:ascii="Wingdings" w:hAnsi="Wingdings" w:hint="default"/>
      </w:rPr>
    </w:lvl>
    <w:lvl w:ilvl="6" w:tplc="68C4BAFE">
      <w:start w:val="1"/>
      <w:numFmt w:val="bullet"/>
      <w:lvlText w:val=""/>
      <w:lvlJc w:val="left"/>
      <w:pPr>
        <w:ind w:left="5040" w:hanging="360"/>
      </w:pPr>
      <w:rPr>
        <w:rFonts w:ascii="Symbol" w:hAnsi="Symbol" w:hint="default"/>
      </w:rPr>
    </w:lvl>
    <w:lvl w:ilvl="7" w:tplc="30B88E74">
      <w:start w:val="1"/>
      <w:numFmt w:val="bullet"/>
      <w:lvlText w:val="o"/>
      <w:lvlJc w:val="left"/>
      <w:pPr>
        <w:ind w:left="5760" w:hanging="360"/>
      </w:pPr>
      <w:rPr>
        <w:rFonts w:ascii="Courier New" w:hAnsi="Courier New" w:hint="default"/>
      </w:rPr>
    </w:lvl>
    <w:lvl w:ilvl="8" w:tplc="7212C15A">
      <w:start w:val="1"/>
      <w:numFmt w:val="bullet"/>
      <w:lvlText w:val=""/>
      <w:lvlJc w:val="left"/>
      <w:pPr>
        <w:ind w:left="6480" w:hanging="360"/>
      </w:pPr>
      <w:rPr>
        <w:rFonts w:ascii="Wingdings" w:hAnsi="Wingdings" w:hint="default"/>
      </w:rPr>
    </w:lvl>
  </w:abstractNum>
  <w:abstractNum w:abstractNumId="333" w15:restartNumberingAfterBreak="0">
    <w:nsid w:val="37F0B873"/>
    <w:multiLevelType w:val="hybridMultilevel"/>
    <w:tmpl w:val="FFFFFFFF"/>
    <w:lvl w:ilvl="0" w:tplc="406024B6">
      <w:start w:val="1"/>
      <w:numFmt w:val="bullet"/>
      <w:lvlText w:val="o"/>
      <w:lvlJc w:val="left"/>
      <w:pPr>
        <w:ind w:left="720" w:hanging="360"/>
      </w:pPr>
      <w:rPr>
        <w:rFonts w:ascii="&quot;Courier New&quot;" w:hAnsi="&quot;Courier New&quot;" w:hint="default"/>
      </w:rPr>
    </w:lvl>
    <w:lvl w:ilvl="1" w:tplc="BFC0AB2E">
      <w:start w:val="1"/>
      <w:numFmt w:val="bullet"/>
      <w:lvlText w:val="o"/>
      <w:lvlJc w:val="left"/>
      <w:pPr>
        <w:ind w:left="1440" w:hanging="360"/>
      </w:pPr>
      <w:rPr>
        <w:rFonts w:ascii="Courier New" w:hAnsi="Courier New" w:hint="default"/>
      </w:rPr>
    </w:lvl>
    <w:lvl w:ilvl="2" w:tplc="785AA948">
      <w:start w:val="1"/>
      <w:numFmt w:val="bullet"/>
      <w:lvlText w:val=""/>
      <w:lvlJc w:val="left"/>
      <w:pPr>
        <w:ind w:left="2160" w:hanging="360"/>
      </w:pPr>
      <w:rPr>
        <w:rFonts w:ascii="Wingdings" w:hAnsi="Wingdings" w:hint="default"/>
      </w:rPr>
    </w:lvl>
    <w:lvl w:ilvl="3" w:tplc="D9D8E0B0">
      <w:start w:val="1"/>
      <w:numFmt w:val="bullet"/>
      <w:lvlText w:val=""/>
      <w:lvlJc w:val="left"/>
      <w:pPr>
        <w:ind w:left="2880" w:hanging="360"/>
      </w:pPr>
      <w:rPr>
        <w:rFonts w:ascii="Symbol" w:hAnsi="Symbol" w:hint="default"/>
      </w:rPr>
    </w:lvl>
    <w:lvl w:ilvl="4" w:tplc="583EAAC0">
      <w:start w:val="1"/>
      <w:numFmt w:val="bullet"/>
      <w:lvlText w:val="o"/>
      <w:lvlJc w:val="left"/>
      <w:pPr>
        <w:ind w:left="3600" w:hanging="360"/>
      </w:pPr>
      <w:rPr>
        <w:rFonts w:ascii="Courier New" w:hAnsi="Courier New" w:hint="default"/>
      </w:rPr>
    </w:lvl>
    <w:lvl w:ilvl="5" w:tplc="F56AA998">
      <w:start w:val="1"/>
      <w:numFmt w:val="bullet"/>
      <w:lvlText w:val=""/>
      <w:lvlJc w:val="left"/>
      <w:pPr>
        <w:ind w:left="4320" w:hanging="360"/>
      </w:pPr>
      <w:rPr>
        <w:rFonts w:ascii="Wingdings" w:hAnsi="Wingdings" w:hint="default"/>
      </w:rPr>
    </w:lvl>
    <w:lvl w:ilvl="6" w:tplc="BFEA29C2">
      <w:start w:val="1"/>
      <w:numFmt w:val="bullet"/>
      <w:lvlText w:val=""/>
      <w:lvlJc w:val="left"/>
      <w:pPr>
        <w:ind w:left="5040" w:hanging="360"/>
      </w:pPr>
      <w:rPr>
        <w:rFonts w:ascii="Symbol" w:hAnsi="Symbol" w:hint="default"/>
      </w:rPr>
    </w:lvl>
    <w:lvl w:ilvl="7" w:tplc="7F765CFE">
      <w:start w:val="1"/>
      <w:numFmt w:val="bullet"/>
      <w:lvlText w:val="o"/>
      <w:lvlJc w:val="left"/>
      <w:pPr>
        <w:ind w:left="5760" w:hanging="360"/>
      </w:pPr>
      <w:rPr>
        <w:rFonts w:ascii="Courier New" w:hAnsi="Courier New" w:hint="default"/>
      </w:rPr>
    </w:lvl>
    <w:lvl w:ilvl="8" w:tplc="0268CD42">
      <w:start w:val="1"/>
      <w:numFmt w:val="bullet"/>
      <w:lvlText w:val=""/>
      <w:lvlJc w:val="left"/>
      <w:pPr>
        <w:ind w:left="6480" w:hanging="360"/>
      </w:pPr>
      <w:rPr>
        <w:rFonts w:ascii="Wingdings" w:hAnsi="Wingdings" w:hint="default"/>
      </w:rPr>
    </w:lvl>
  </w:abstractNum>
  <w:abstractNum w:abstractNumId="334" w15:restartNumberingAfterBreak="0">
    <w:nsid w:val="382356CE"/>
    <w:multiLevelType w:val="hybridMultilevel"/>
    <w:tmpl w:val="87DA39C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35" w15:restartNumberingAfterBreak="0">
    <w:nsid w:val="382521B6"/>
    <w:multiLevelType w:val="multilevel"/>
    <w:tmpl w:val="10E2F84E"/>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6" w15:restartNumberingAfterBreak="0">
    <w:nsid w:val="382D639E"/>
    <w:multiLevelType w:val="hybridMultilevel"/>
    <w:tmpl w:val="F30240C8"/>
    <w:lvl w:ilvl="0" w:tplc="08090017">
      <w:start w:val="1"/>
      <w:numFmt w:val="lowerLetter"/>
      <w:lvlText w:val="%1)"/>
      <w:lvlJc w:val="left"/>
      <w:pPr>
        <w:ind w:left="720" w:hanging="360"/>
      </w:pPr>
    </w:lvl>
    <w:lvl w:ilvl="1" w:tplc="1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384B3251"/>
    <w:multiLevelType w:val="hybridMultilevel"/>
    <w:tmpl w:val="FFFFFFFF"/>
    <w:lvl w:ilvl="0" w:tplc="77044720">
      <w:start w:val="7"/>
      <w:numFmt w:val="decimal"/>
      <w:lvlText w:val="%1."/>
      <w:lvlJc w:val="left"/>
      <w:pPr>
        <w:ind w:left="720" w:hanging="360"/>
      </w:pPr>
    </w:lvl>
    <w:lvl w:ilvl="1" w:tplc="0F3E2B3A">
      <w:start w:val="1"/>
      <w:numFmt w:val="lowerLetter"/>
      <w:lvlText w:val="%2."/>
      <w:lvlJc w:val="left"/>
      <w:pPr>
        <w:ind w:left="1440" w:hanging="360"/>
      </w:pPr>
    </w:lvl>
    <w:lvl w:ilvl="2" w:tplc="DB8AFC12">
      <w:start w:val="1"/>
      <w:numFmt w:val="lowerRoman"/>
      <w:lvlText w:val="%3."/>
      <w:lvlJc w:val="right"/>
      <w:pPr>
        <w:ind w:left="2160" w:hanging="180"/>
      </w:pPr>
    </w:lvl>
    <w:lvl w:ilvl="3" w:tplc="D15EA9F4">
      <w:start w:val="1"/>
      <w:numFmt w:val="decimal"/>
      <w:lvlText w:val="%4."/>
      <w:lvlJc w:val="left"/>
      <w:pPr>
        <w:ind w:left="2880" w:hanging="360"/>
      </w:pPr>
    </w:lvl>
    <w:lvl w:ilvl="4" w:tplc="9DFEC8E8">
      <w:start w:val="1"/>
      <w:numFmt w:val="lowerLetter"/>
      <w:lvlText w:val="%5."/>
      <w:lvlJc w:val="left"/>
      <w:pPr>
        <w:ind w:left="3600" w:hanging="360"/>
      </w:pPr>
    </w:lvl>
    <w:lvl w:ilvl="5" w:tplc="05FE2D8A">
      <w:start w:val="1"/>
      <w:numFmt w:val="lowerRoman"/>
      <w:lvlText w:val="%6."/>
      <w:lvlJc w:val="right"/>
      <w:pPr>
        <w:ind w:left="4320" w:hanging="180"/>
      </w:pPr>
    </w:lvl>
    <w:lvl w:ilvl="6" w:tplc="7A86DCDC">
      <w:start w:val="1"/>
      <w:numFmt w:val="decimal"/>
      <w:lvlText w:val="%7."/>
      <w:lvlJc w:val="left"/>
      <w:pPr>
        <w:ind w:left="5040" w:hanging="360"/>
      </w:pPr>
    </w:lvl>
    <w:lvl w:ilvl="7" w:tplc="9CAA9070">
      <w:start w:val="1"/>
      <w:numFmt w:val="lowerLetter"/>
      <w:lvlText w:val="%8."/>
      <w:lvlJc w:val="left"/>
      <w:pPr>
        <w:ind w:left="5760" w:hanging="360"/>
      </w:pPr>
    </w:lvl>
    <w:lvl w:ilvl="8" w:tplc="A22611A0">
      <w:start w:val="1"/>
      <w:numFmt w:val="lowerRoman"/>
      <w:lvlText w:val="%9."/>
      <w:lvlJc w:val="right"/>
      <w:pPr>
        <w:ind w:left="6480" w:hanging="180"/>
      </w:pPr>
    </w:lvl>
  </w:abstractNum>
  <w:abstractNum w:abstractNumId="338" w15:restartNumberingAfterBreak="0">
    <w:nsid w:val="38596246"/>
    <w:multiLevelType w:val="hybridMultilevel"/>
    <w:tmpl w:val="D0C6C9E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39" w15:restartNumberingAfterBreak="0">
    <w:nsid w:val="388D8155"/>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38AE9E28"/>
    <w:multiLevelType w:val="hybridMultilevel"/>
    <w:tmpl w:val="FFFFFFFF"/>
    <w:lvl w:ilvl="0" w:tplc="6DE69E20">
      <w:start w:val="1"/>
      <w:numFmt w:val="bullet"/>
      <w:lvlText w:val="o"/>
      <w:lvlJc w:val="left"/>
      <w:pPr>
        <w:ind w:left="720" w:hanging="360"/>
      </w:pPr>
      <w:rPr>
        <w:rFonts w:ascii="&quot;Courier New&quot;" w:hAnsi="&quot;Courier New&quot;" w:hint="default"/>
      </w:rPr>
    </w:lvl>
    <w:lvl w:ilvl="1" w:tplc="D8302986">
      <w:start w:val="1"/>
      <w:numFmt w:val="bullet"/>
      <w:lvlText w:val="o"/>
      <w:lvlJc w:val="left"/>
      <w:pPr>
        <w:ind w:left="1440" w:hanging="360"/>
      </w:pPr>
      <w:rPr>
        <w:rFonts w:ascii="Courier New" w:hAnsi="Courier New" w:hint="default"/>
      </w:rPr>
    </w:lvl>
    <w:lvl w:ilvl="2" w:tplc="55D4FF1E">
      <w:start w:val="1"/>
      <w:numFmt w:val="bullet"/>
      <w:lvlText w:val=""/>
      <w:lvlJc w:val="left"/>
      <w:pPr>
        <w:ind w:left="2160" w:hanging="360"/>
      </w:pPr>
      <w:rPr>
        <w:rFonts w:ascii="Wingdings" w:hAnsi="Wingdings" w:hint="default"/>
      </w:rPr>
    </w:lvl>
    <w:lvl w:ilvl="3" w:tplc="B63837BC">
      <w:start w:val="1"/>
      <w:numFmt w:val="bullet"/>
      <w:lvlText w:val=""/>
      <w:lvlJc w:val="left"/>
      <w:pPr>
        <w:ind w:left="2880" w:hanging="360"/>
      </w:pPr>
      <w:rPr>
        <w:rFonts w:ascii="Symbol" w:hAnsi="Symbol" w:hint="default"/>
      </w:rPr>
    </w:lvl>
    <w:lvl w:ilvl="4" w:tplc="A9D039E6">
      <w:start w:val="1"/>
      <w:numFmt w:val="bullet"/>
      <w:lvlText w:val="o"/>
      <w:lvlJc w:val="left"/>
      <w:pPr>
        <w:ind w:left="3600" w:hanging="360"/>
      </w:pPr>
      <w:rPr>
        <w:rFonts w:ascii="Courier New" w:hAnsi="Courier New" w:hint="default"/>
      </w:rPr>
    </w:lvl>
    <w:lvl w:ilvl="5" w:tplc="AA680628">
      <w:start w:val="1"/>
      <w:numFmt w:val="bullet"/>
      <w:lvlText w:val=""/>
      <w:lvlJc w:val="left"/>
      <w:pPr>
        <w:ind w:left="4320" w:hanging="360"/>
      </w:pPr>
      <w:rPr>
        <w:rFonts w:ascii="Wingdings" w:hAnsi="Wingdings" w:hint="default"/>
      </w:rPr>
    </w:lvl>
    <w:lvl w:ilvl="6" w:tplc="AEAC7BCC">
      <w:start w:val="1"/>
      <w:numFmt w:val="bullet"/>
      <w:lvlText w:val=""/>
      <w:lvlJc w:val="left"/>
      <w:pPr>
        <w:ind w:left="5040" w:hanging="360"/>
      </w:pPr>
      <w:rPr>
        <w:rFonts w:ascii="Symbol" w:hAnsi="Symbol" w:hint="default"/>
      </w:rPr>
    </w:lvl>
    <w:lvl w:ilvl="7" w:tplc="D5723520">
      <w:start w:val="1"/>
      <w:numFmt w:val="bullet"/>
      <w:lvlText w:val="o"/>
      <w:lvlJc w:val="left"/>
      <w:pPr>
        <w:ind w:left="5760" w:hanging="360"/>
      </w:pPr>
      <w:rPr>
        <w:rFonts w:ascii="Courier New" w:hAnsi="Courier New" w:hint="default"/>
      </w:rPr>
    </w:lvl>
    <w:lvl w:ilvl="8" w:tplc="5C5EEAA4">
      <w:start w:val="1"/>
      <w:numFmt w:val="bullet"/>
      <w:lvlText w:val=""/>
      <w:lvlJc w:val="left"/>
      <w:pPr>
        <w:ind w:left="6480" w:hanging="360"/>
      </w:pPr>
      <w:rPr>
        <w:rFonts w:ascii="Wingdings" w:hAnsi="Wingdings" w:hint="default"/>
      </w:rPr>
    </w:lvl>
  </w:abstractNum>
  <w:abstractNum w:abstractNumId="341" w15:restartNumberingAfterBreak="0">
    <w:nsid w:val="38CD5C44"/>
    <w:multiLevelType w:val="multilevel"/>
    <w:tmpl w:val="E8C2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93F677D"/>
    <w:multiLevelType w:val="multilevel"/>
    <w:tmpl w:val="C1B85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39A82B28"/>
    <w:multiLevelType w:val="hybridMultilevel"/>
    <w:tmpl w:val="8CF89BE6"/>
    <w:lvl w:ilvl="0" w:tplc="08090017">
      <w:start w:val="1"/>
      <w:numFmt w:val="lowerLetter"/>
      <w:lvlText w:val="%1)"/>
      <w:lvlJc w:val="left"/>
      <w:pPr>
        <w:ind w:left="2704" w:hanging="360"/>
      </w:pPr>
    </w:lvl>
    <w:lvl w:ilvl="1" w:tplc="04090019" w:tentative="1">
      <w:start w:val="1"/>
      <w:numFmt w:val="lowerLetter"/>
      <w:lvlText w:val="%2."/>
      <w:lvlJc w:val="left"/>
      <w:pPr>
        <w:ind w:left="3424" w:hanging="360"/>
      </w:pPr>
    </w:lvl>
    <w:lvl w:ilvl="2" w:tplc="0409001B" w:tentative="1">
      <w:start w:val="1"/>
      <w:numFmt w:val="lowerRoman"/>
      <w:lvlText w:val="%3."/>
      <w:lvlJc w:val="right"/>
      <w:pPr>
        <w:ind w:left="4144" w:hanging="180"/>
      </w:pPr>
    </w:lvl>
    <w:lvl w:ilvl="3" w:tplc="0409000F" w:tentative="1">
      <w:start w:val="1"/>
      <w:numFmt w:val="decimal"/>
      <w:lvlText w:val="%4."/>
      <w:lvlJc w:val="left"/>
      <w:pPr>
        <w:ind w:left="4864" w:hanging="360"/>
      </w:pPr>
    </w:lvl>
    <w:lvl w:ilvl="4" w:tplc="04090019" w:tentative="1">
      <w:start w:val="1"/>
      <w:numFmt w:val="lowerLetter"/>
      <w:lvlText w:val="%5."/>
      <w:lvlJc w:val="left"/>
      <w:pPr>
        <w:ind w:left="5584" w:hanging="360"/>
      </w:pPr>
    </w:lvl>
    <w:lvl w:ilvl="5" w:tplc="0409001B" w:tentative="1">
      <w:start w:val="1"/>
      <w:numFmt w:val="lowerRoman"/>
      <w:lvlText w:val="%6."/>
      <w:lvlJc w:val="right"/>
      <w:pPr>
        <w:ind w:left="6304" w:hanging="180"/>
      </w:pPr>
    </w:lvl>
    <w:lvl w:ilvl="6" w:tplc="0409000F" w:tentative="1">
      <w:start w:val="1"/>
      <w:numFmt w:val="decimal"/>
      <w:lvlText w:val="%7."/>
      <w:lvlJc w:val="left"/>
      <w:pPr>
        <w:ind w:left="7024" w:hanging="360"/>
      </w:pPr>
    </w:lvl>
    <w:lvl w:ilvl="7" w:tplc="04090019" w:tentative="1">
      <w:start w:val="1"/>
      <w:numFmt w:val="lowerLetter"/>
      <w:lvlText w:val="%8."/>
      <w:lvlJc w:val="left"/>
      <w:pPr>
        <w:ind w:left="7744" w:hanging="360"/>
      </w:pPr>
    </w:lvl>
    <w:lvl w:ilvl="8" w:tplc="0409001B" w:tentative="1">
      <w:start w:val="1"/>
      <w:numFmt w:val="lowerRoman"/>
      <w:lvlText w:val="%9."/>
      <w:lvlJc w:val="right"/>
      <w:pPr>
        <w:ind w:left="8464" w:hanging="180"/>
      </w:pPr>
    </w:lvl>
  </w:abstractNum>
  <w:abstractNum w:abstractNumId="344" w15:restartNumberingAfterBreak="0">
    <w:nsid w:val="39B21F2D"/>
    <w:multiLevelType w:val="hybridMultilevel"/>
    <w:tmpl w:val="84460B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5" w15:restartNumberingAfterBreak="0">
    <w:nsid w:val="39D13959"/>
    <w:multiLevelType w:val="hybridMultilevel"/>
    <w:tmpl w:val="8832742C"/>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46" w15:restartNumberingAfterBreak="0">
    <w:nsid w:val="3A050833"/>
    <w:multiLevelType w:val="hybridMultilevel"/>
    <w:tmpl w:val="838AEB1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7" w15:restartNumberingAfterBreak="0">
    <w:nsid w:val="3A255E93"/>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8" w15:restartNumberingAfterBreak="0">
    <w:nsid w:val="3A3979AC"/>
    <w:multiLevelType w:val="hybridMultilevel"/>
    <w:tmpl w:val="FFFFFFFF"/>
    <w:lvl w:ilvl="0" w:tplc="01D0EA4A">
      <w:start w:val="5"/>
      <w:numFmt w:val="decimal"/>
      <w:lvlText w:val="%1."/>
      <w:lvlJc w:val="left"/>
      <w:pPr>
        <w:ind w:left="720" w:hanging="360"/>
      </w:pPr>
    </w:lvl>
    <w:lvl w:ilvl="1" w:tplc="B7801D44">
      <w:start w:val="1"/>
      <w:numFmt w:val="lowerLetter"/>
      <w:lvlText w:val="%2."/>
      <w:lvlJc w:val="left"/>
      <w:pPr>
        <w:ind w:left="1440" w:hanging="360"/>
      </w:pPr>
    </w:lvl>
    <w:lvl w:ilvl="2" w:tplc="3EDA91C4">
      <w:start w:val="1"/>
      <w:numFmt w:val="lowerRoman"/>
      <w:lvlText w:val="%3."/>
      <w:lvlJc w:val="right"/>
      <w:pPr>
        <w:ind w:left="2160" w:hanging="180"/>
      </w:pPr>
    </w:lvl>
    <w:lvl w:ilvl="3" w:tplc="7514ECD6">
      <w:start w:val="1"/>
      <w:numFmt w:val="decimal"/>
      <w:lvlText w:val="%4."/>
      <w:lvlJc w:val="left"/>
      <w:pPr>
        <w:ind w:left="2880" w:hanging="360"/>
      </w:pPr>
    </w:lvl>
    <w:lvl w:ilvl="4" w:tplc="785E25A0">
      <w:start w:val="1"/>
      <w:numFmt w:val="lowerLetter"/>
      <w:lvlText w:val="%5."/>
      <w:lvlJc w:val="left"/>
      <w:pPr>
        <w:ind w:left="3600" w:hanging="360"/>
      </w:pPr>
    </w:lvl>
    <w:lvl w:ilvl="5" w:tplc="F196BE30">
      <w:start w:val="1"/>
      <w:numFmt w:val="lowerRoman"/>
      <w:lvlText w:val="%6."/>
      <w:lvlJc w:val="right"/>
      <w:pPr>
        <w:ind w:left="4320" w:hanging="180"/>
      </w:pPr>
    </w:lvl>
    <w:lvl w:ilvl="6" w:tplc="A7A03540">
      <w:start w:val="1"/>
      <w:numFmt w:val="decimal"/>
      <w:lvlText w:val="%7."/>
      <w:lvlJc w:val="left"/>
      <w:pPr>
        <w:ind w:left="5040" w:hanging="360"/>
      </w:pPr>
    </w:lvl>
    <w:lvl w:ilvl="7" w:tplc="5FDCFE84">
      <w:start w:val="1"/>
      <w:numFmt w:val="lowerLetter"/>
      <w:lvlText w:val="%8."/>
      <w:lvlJc w:val="left"/>
      <w:pPr>
        <w:ind w:left="5760" w:hanging="360"/>
      </w:pPr>
    </w:lvl>
    <w:lvl w:ilvl="8" w:tplc="BBC2A2C8">
      <w:start w:val="1"/>
      <w:numFmt w:val="lowerRoman"/>
      <w:lvlText w:val="%9."/>
      <w:lvlJc w:val="right"/>
      <w:pPr>
        <w:ind w:left="6480" w:hanging="180"/>
      </w:pPr>
    </w:lvl>
  </w:abstractNum>
  <w:abstractNum w:abstractNumId="349" w15:restartNumberingAfterBreak="0">
    <w:nsid w:val="3A471EE4"/>
    <w:multiLevelType w:val="hybridMultilevel"/>
    <w:tmpl w:val="FFFFFFFF"/>
    <w:lvl w:ilvl="0" w:tplc="9BB4BCA0">
      <w:start w:val="1"/>
      <w:numFmt w:val="bullet"/>
      <w:lvlText w:val="o"/>
      <w:lvlJc w:val="left"/>
      <w:pPr>
        <w:ind w:left="720" w:hanging="360"/>
      </w:pPr>
      <w:rPr>
        <w:rFonts w:ascii="&quot;Courier New&quot;" w:hAnsi="&quot;Courier New&quot;" w:hint="default"/>
      </w:rPr>
    </w:lvl>
    <w:lvl w:ilvl="1" w:tplc="E8B60D9C">
      <w:start w:val="1"/>
      <w:numFmt w:val="bullet"/>
      <w:lvlText w:val="o"/>
      <w:lvlJc w:val="left"/>
      <w:pPr>
        <w:ind w:left="1440" w:hanging="360"/>
      </w:pPr>
      <w:rPr>
        <w:rFonts w:ascii="Courier New" w:hAnsi="Courier New" w:hint="default"/>
      </w:rPr>
    </w:lvl>
    <w:lvl w:ilvl="2" w:tplc="7944ACB0">
      <w:start w:val="1"/>
      <w:numFmt w:val="bullet"/>
      <w:lvlText w:val=""/>
      <w:lvlJc w:val="left"/>
      <w:pPr>
        <w:ind w:left="2160" w:hanging="360"/>
      </w:pPr>
      <w:rPr>
        <w:rFonts w:ascii="Wingdings" w:hAnsi="Wingdings" w:hint="default"/>
      </w:rPr>
    </w:lvl>
    <w:lvl w:ilvl="3" w:tplc="8794B12A">
      <w:start w:val="1"/>
      <w:numFmt w:val="bullet"/>
      <w:lvlText w:val=""/>
      <w:lvlJc w:val="left"/>
      <w:pPr>
        <w:ind w:left="2880" w:hanging="360"/>
      </w:pPr>
      <w:rPr>
        <w:rFonts w:ascii="Symbol" w:hAnsi="Symbol" w:hint="default"/>
      </w:rPr>
    </w:lvl>
    <w:lvl w:ilvl="4" w:tplc="0994C470">
      <w:start w:val="1"/>
      <w:numFmt w:val="bullet"/>
      <w:lvlText w:val="o"/>
      <w:lvlJc w:val="left"/>
      <w:pPr>
        <w:ind w:left="3600" w:hanging="360"/>
      </w:pPr>
      <w:rPr>
        <w:rFonts w:ascii="Courier New" w:hAnsi="Courier New" w:hint="default"/>
      </w:rPr>
    </w:lvl>
    <w:lvl w:ilvl="5" w:tplc="7B862510">
      <w:start w:val="1"/>
      <w:numFmt w:val="bullet"/>
      <w:lvlText w:val=""/>
      <w:lvlJc w:val="left"/>
      <w:pPr>
        <w:ind w:left="4320" w:hanging="360"/>
      </w:pPr>
      <w:rPr>
        <w:rFonts w:ascii="Wingdings" w:hAnsi="Wingdings" w:hint="default"/>
      </w:rPr>
    </w:lvl>
    <w:lvl w:ilvl="6" w:tplc="2984FC64">
      <w:start w:val="1"/>
      <w:numFmt w:val="bullet"/>
      <w:lvlText w:val=""/>
      <w:lvlJc w:val="left"/>
      <w:pPr>
        <w:ind w:left="5040" w:hanging="360"/>
      </w:pPr>
      <w:rPr>
        <w:rFonts w:ascii="Symbol" w:hAnsi="Symbol" w:hint="default"/>
      </w:rPr>
    </w:lvl>
    <w:lvl w:ilvl="7" w:tplc="3EDA8984">
      <w:start w:val="1"/>
      <w:numFmt w:val="bullet"/>
      <w:lvlText w:val="o"/>
      <w:lvlJc w:val="left"/>
      <w:pPr>
        <w:ind w:left="5760" w:hanging="360"/>
      </w:pPr>
      <w:rPr>
        <w:rFonts w:ascii="Courier New" w:hAnsi="Courier New" w:hint="default"/>
      </w:rPr>
    </w:lvl>
    <w:lvl w:ilvl="8" w:tplc="1DC2F516">
      <w:start w:val="1"/>
      <w:numFmt w:val="bullet"/>
      <w:lvlText w:val=""/>
      <w:lvlJc w:val="left"/>
      <w:pPr>
        <w:ind w:left="6480" w:hanging="360"/>
      </w:pPr>
      <w:rPr>
        <w:rFonts w:ascii="Wingdings" w:hAnsi="Wingdings" w:hint="default"/>
      </w:rPr>
    </w:lvl>
  </w:abstractNum>
  <w:abstractNum w:abstractNumId="350" w15:restartNumberingAfterBreak="0">
    <w:nsid w:val="3A575E44"/>
    <w:multiLevelType w:val="hybridMultilevel"/>
    <w:tmpl w:val="8F66C5BA"/>
    <w:lvl w:ilvl="0" w:tplc="1809000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1" w15:restartNumberingAfterBreak="0">
    <w:nsid w:val="3A871943"/>
    <w:multiLevelType w:val="hybridMultilevel"/>
    <w:tmpl w:val="1E8EB4CC"/>
    <w:lvl w:ilvl="0" w:tplc="772AEDB4">
      <w:start w:val="1"/>
      <w:numFmt w:val="bullet"/>
      <w:lvlText w:val=""/>
      <w:lvlJc w:val="left"/>
      <w:pPr>
        <w:ind w:left="720" w:hanging="360"/>
      </w:pPr>
      <w:rPr>
        <w:rFonts w:ascii="Symbol" w:hAnsi="Symbol" w:hint="default"/>
      </w:rPr>
    </w:lvl>
    <w:lvl w:ilvl="1" w:tplc="DC72B5F2">
      <w:start w:val="1"/>
      <w:numFmt w:val="bullet"/>
      <w:lvlText w:val="o"/>
      <w:lvlJc w:val="left"/>
      <w:pPr>
        <w:ind w:left="1440" w:hanging="360"/>
      </w:pPr>
      <w:rPr>
        <w:rFonts w:ascii="Courier New" w:hAnsi="Courier New" w:hint="default"/>
      </w:rPr>
    </w:lvl>
    <w:lvl w:ilvl="2" w:tplc="9A7ACB34">
      <w:start w:val="1"/>
      <w:numFmt w:val="bullet"/>
      <w:lvlText w:val=""/>
      <w:lvlJc w:val="left"/>
      <w:pPr>
        <w:ind w:left="2160" w:hanging="360"/>
      </w:pPr>
      <w:rPr>
        <w:rFonts w:ascii="Wingdings" w:hAnsi="Wingdings" w:hint="default"/>
      </w:rPr>
    </w:lvl>
    <w:lvl w:ilvl="3" w:tplc="3D565D64">
      <w:start w:val="1"/>
      <w:numFmt w:val="bullet"/>
      <w:lvlText w:val=""/>
      <w:lvlJc w:val="left"/>
      <w:pPr>
        <w:ind w:left="2880" w:hanging="360"/>
      </w:pPr>
      <w:rPr>
        <w:rFonts w:ascii="Symbol" w:hAnsi="Symbol" w:hint="default"/>
      </w:rPr>
    </w:lvl>
    <w:lvl w:ilvl="4" w:tplc="3F5C3424">
      <w:start w:val="1"/>
      <w:numFmt w:val="bullet"/>
      <w:lvlText w:val="o"/>
      <w:lvlJc w:val="left"/>
      <w:pPr>
        <w:ind w:left="3600" w:hanging="360"/>
      </w:pPr>
      <w:rPr>
        <w:rFonts w:ascii="Courier New" w:hAnsi="Courier New" w:hint="default"/>
      </w:rPr>
    </w:lvl>
    <w:lvl w:ilvl="5" w:tplc="B8866D8E">
      <w:start w:val="1"/>
      <w:numFmt w:val="bullet"/>
      <w:lvlText w:val=""/>
      <w:lvlJc w:val="left"/>
      <w:pPr>
        <w:ind w:left="4320" w:hanging="360"/>
      </w:pPr>
      <w:rPr>
        <w:rFonts w:ascii="Wingdings" w:hAnsi="Wingdings" w:hint="default"/>
      </w:rPr>
    </w:lvl>
    <w:lvl w:ilvl="6" w:tplc="802EC9E0">
      <w:start w:val="1"/>
      <w:numFmt w:val="bullet"/>
      <w:lvlText w:val=""/>
      <w:lvlJc w:val="left"/>
      <w:pPr>
        <w:ind w:left="5040" w:hanging="360"/>
      </w:pPr>
      <w:rPr>
        <w:rFonts w:ascii="Symbol" w:hAnsi="Symbol" w:hint="default"/>
      </w:rPr>
    </w:lvl>
    <w:lvl w:ilvl="7" w:tplc="3AE6DB1E">
      <w:start w:val="1"/>
      <w:numFmt w:val="bullet"/>
      <w:lvlText w:val="o"/>
      <w:lvlJc w:val="left"/>
      <w:pPr>
        <w:ind w:left="5760" w:hanging="360"/>
      </w:pPr>
      <w:rPr>
        <w:rFonts w:ascii="Courier New" w:hAnsi="Courier New" w:hint="default"/>
      </w:rPr>
    </w:lvl>
    <w:lvl w:ilvl="8" w:tplc="B928DB12">
      <w:start w:val="1"/>
      <w:numFmt w:val="bullet"/>
      <w:lvlText w:val=""/>
      <w:lvlJc w:val="left"/>
      <w:pPr>
        <w:ind w:left="6480" w:hanging="360"/>
      </w:pPr>
      <w:rPr>
        <w:rFonts w:ascii="Wingdings" w:hAnsi="Wingdings" w:hint="default"/>
      </w:rPr>
    </w:lvl>
  </w:abstractNum>
  <w:abstractNum w:abstractNumId="352" w15:restartNumberingAfterBreak="0">
    <w:nsid w:val="3AB60FF4"/>
    <w:multiLevelType w:val="hybridMultilevel"/>
    <w:tmpl w:val="81EE075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353" w15:restartNumberingAfterBreak="0">
    <w:nsid w:val="3ACD0EAB"/>
    <w:multiLevelType w:val="hybridMultilevel"/>
    <w:tmpl w:val="7FBE42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4" w15:restartNumberingAfterBreak="0">
    <w:nsid w:val="3AE17AE4"/>
    <w:multiLevelType w:val="hybridMultilevel"/>
    <w:tmpl w:val="6772E446"/>
    <w:lvl w:ilvl="0" w:tplc="FF7C00E4">
      <w:numFmt w:val="bullet"/>
      <w:lvlText w:val=""/>
      <w:lvlJc w:val="left"/>
      <w:pPr>
        <w:ind w:left="720" w:hanging="360"/>
      </w:pPr>
      <w:rPr>
        <w:rFonts w:ascii="Wingdings" w:eastAsiaTheme="minorHAnsi" w:hAnsi="Wingdings"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5" w15:restartNumberingAfterBreak="0">
    <w:nsid w:val="3B3B0D0E"/>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6" w15:restartNumberingAfterBreak="0">
    <w:nsid w:val="3B57295C"/>
    <w:multiLevelType w:val="hybridMultilevel"/>
    <w:tmpl w:val="B53C2B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7" w15:restartNumberingAfterBreak="0">
    <w:nsid w:val="3B753FFD"/>
    <w:multiLevelType w:val="multilevel"/>
    <w:tmpl w:val="1A06D2E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3C111795"/>
    <w:multiLevelType w:val="hybridMultilevel"/>
    <w:tmpl w:val="EA404980"/>
    <w:lvl w:ilvl="0" w:tplc="75EAFCA8">
      <w:start w:val="1"/>
      <w:numFmt w:val="lowerLetter"/>
      <w:lvlText w:val="%1."/>
      <w:lvlJc w:val="left"/>
      <w:pPr>
        <w:ind w:left="144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9" w15:restartNumberingAfterBreak="0">
    <w:nsid w:val="3C16594F"/>
    <w:multiLevelType w:val="hybridMultilevel"/>
    <w:tmpl w:val="FFFFFFFF"/>
    <w:lvl w:ilvl="0" w:tplc="EC1EE548">
      <w:start w:val="2"/>
      <w:numFmt w:val="decimal"/>
      <w:lvlText w:val="%1."/>
      <w:lvlJc w:val="left"/>
      <w:pPr>
        <w:ind w:left="720" w:hanging="360"/>
      </w:pPr>
    </w:lvl>
    <w:lvl w:ilvl="1" w:tplc="96EA1A6A">
      <w:start w:val="1"/>
      <w:numFmt w:val="lowerLetter"/>
      <w:lvlText w:val="%2."/>
      <w:lvlJc w:val="left"/>
      <w:pPr>
        <w:ind w:left="1440" w:hanging="360"/>
      </w:pPr>
    </w:lvl>
    <w:lvl w:ilvl="2" w:tplc="DAA0BBFA">
      <w:start w:val="1"/>
      <w:numFmt w:val="lowerRoman"/>
      <w:lvlText w:val="%3."/>
      <w:lvlJc w:val="right"/>
      <w:pPr>
        <w:ind w:left="2160" w:hanging="180"/>
      </w:pPr>
    </w:lvl>
    <w:lvl w:ilvl="3" w:tplc="EE5E4A5C">
      <w:start w:val="1"/>
      <w:numFmt w:val="decimal"/>
      <w:lvlText w:val="%4."/>
      <w:lvlJc w:val="left"/>
      <w:pPr>
        <w:ind w:left="2880" w:hanging="360"/>
      </w:pPr>
    </w:lvl>
    <w:lvl w:ilvl="4" w:tplc="2474BAF4">
      <w:start w:val="1"/>
      <w:numFmt w:val="lowerLetter"/>
      <w:lvlText w:val="%5."/>
      <w:lvlJc w:val="left"/>
      <w:pPr>
        <w:ind w:left="3600" w:hanging="360"/>
      </w:pPr>
    </w:lvl>
    <w:lvl w:ilvl="5" w:tplc="B3429FD8">
      <w:start w:val="1"/>
      <w:numFmt w:val="lowerRoman"/>
      <w:lvlText w:val="%6."/>
      <w:lvlJc w:val="right"/>
      <w:pPr>
        <w:ind w:left="4320" w:hanging="180"/>
      </w:pPr>
    </w:lvl>
    <w:lvl w:ilvl="6" w:tplc="87DA57D4">
      <w:start w:val="1"/>
      <w:numFmt w:val="decimal"/>
      <w:lvlText w:val="%7."/>
      <w:lvlJc w:val="left"/>
      <w:pPr>
        <w:ind w:left="5040" w:hanging="360"/>
      </w:pPr>
    </w:lvl>
    <w:lvl w:ilvl="7" w:tplc="BFC0E164">
      <w:start w:val="1"/>
      <w:numFmt w:val="lowerLetter"/>
      <w:lvlText w:val="%8."/>
      <w:lvlJc w:val="left"/>
      <w:pPr>
        <w:ind w:left="5760" w:hanging="360"/>
      </w:pPr>
    </w:lvl>
    <w:lvl w:ilvl="8" w:tplc="69F664A2">
      <w:start w:val="1"/>
      <w:numFmt w:val="lowerRoman"/>
      <w:lvlText w:val="%9."/>
      <w:lvlJc w:val="right"/>
      <w:pPr>
        <w:ind w:left="6480" w:hanging="180"/>
      </w:pPr>
    </w:lvl>
  </w:abstractNum>
  <w:abstractNum w:abstractNumId="360" w15:restartNumberingAfterBreak="0">
    <w:nsid w:val="3C52555E"/>
    <w:multiLevelType w:val="hybridMultilevel"/>
    <w:tmpl w:val="2D989A44"/>
    <w:lvl w:ilvl="0" w:tplc="5E9868E8">
      <w:numFmt w:val="bullet"/>
      <w:lvlText w:val="•"/>
      <w:lvlJc w:val="left"/>
      <w:pPr>
        <w:ind w:left="1080" w:hanging="72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1" w15:restartNumberingAfterBreak="0">
    <w:nsid w:val="3C525F88"/>
    <w:multiLevelType w:val="hybridMultilevel"/>
    <w:tmpl w:val="719CF70E"/>
    <w:lvl w:ilvl="0" w:tplc="75C0B32A">
      <w:start w:val="1"/>
      <w:numFmt w:val="bullet"/>
      <w:lvlText w:val=""/>
      <w:lvlJc w:val="left"/>
      <w:pPr>
        <w:ind w:left="720" w:hanging="360"/>
      </w:pPr>
      <w:rPr>
        <w:rFonts w:ascii="Symbol" w:hAnsi="Symbol"/>
      </w:rPr>
    </w:lvl>
    <w:lvl w:ilvl="1" w:tplc="0600AA72">
      <w:start w:val="1"/>
      <w:numFmt w:val="bullet"/>
      <w:lvlText w:val=""/>
      <w:lvlJc w:val="left"/>
      <w:pPr>
        <w:ind w:left="720" w:hanging="360"/>
      </w:pPr>
      <w:rPr>
        <w:rFonts w:ascii="Symbol" w:hAnsi="Symbol"/>
      </w:rPr>
    </w:lvl>
    <w:lvl w:ilvl="2" w:tplc="7CA68260">
      <w:start w:val="1"/>
      <w:numFmt w:val="bullet"/>
      <w:lvlText w:val=""/>
      <w:lvlJc w:val="left"/>
      <w:pPr>
        <w:ind w:left="720" w:hanging="360"/>
      </w:pPr>
      <w:rPr>
        <w:rFonts w:ascii="Symbol" w:hAnsi="Symbol"/>
      </w:rPr>
    </w:lvl>
    <w:lvl w:ilvl="3" w:tplc="16E811F2">
      <w:start w:val="1"/>
      <w:numFmt w:val="bullet"/>
      <w:lvlText w:val=""/>
      <w:lvlJc w:val="left"/>
      <w:pPr>
        <w:ind w:left="720" w:hanging="360"/>
      </w:pPr>
      <w:rPr>
        <w:rFonts w:ascii="Symbol" w:hAnsi="Symbol"/>
      </w:rPr>
    </w:lvl>
    <w:lvl w:ilvl="4" w:tplc="F460B32E">
      <w:start w:val="1"/>
      <w:numFmt w:val="bullet"/>
      <w:lvlText w:val=""/>
      <w:lvlJc w:val="left"/>
      <w:pPr>
        <w:ind w:left="720" w:hanging="360"/>
      </w:pPr>
      <w:rPr>
        <w:rFonts w:ascii="Symbol" w:hAnsi="Symbol"/>
      </w:rPr>
    </w:lvl>
    <w:lvl w:ilvl="5" w:tplc="8D125C64">
      <w:start w:val="1"/>
      <w:numFmt w:val="bullet"/>
      <w:lvlText w:val=""/>
      <w:lvlJc w:val="left"/>
      <w:pPr>
        <w:ind w:left="720" w:hanging="360"/>
      </w:pPr>
      <w:rPr>
        <w:rFonts w:ascii="Symbol" w:hAnsi="Symbol"/>
      </w:rPr>
    </w:lvl>
    <w:lvl w:ilvl="6" w:tplc="F2EC0BF0">
      <w:start w:val="1"/>
      <w:numFmt w:val="bullet"/>
      <w:lvlText w:val=""/>
      <w:lvlJc w:val="left"/>
      <w:pPr>
        <w:ind w:left="720" w:hanging="360"/>
      </w:pPr>
      <w:rPr>
        <w:rFonts w:ascii="Symbol" w:hAnsi="Symbol"/>
      </w:rPr>
    </w:lvl>
    <w:lvl w:ilvl="7" w:tplc="54B4FC5A">
      <w:start w:val="1"/>
      <w:numFmt w:val="bullet"/>
      <w:lvlText w:val=""/>
      <w:lvlJc w:val="left"/>
      <w:pPr>
        <w:ind w:left="720" w:hanging="360"/>
      </w:pPr>
      <w:rPr>
        <w:rFonts w:ascii="Symbol" w:hAnsi="Symbol"/>
      </w:rPr>
    </w:lvl>
    <w:lvl w:ilvl="8" w:tplc="D08E4D1A">
      <w:start w:val="1"/>
      <w:numFmt w:val="bullet"/>
      <w:lvlText w:val=""/>
      <w:lvlJc w:val="left"/>
      <w:pPr>
        <w:ind w:left="720" w:hanging="360"/>
      </w:pPr>
      <w:rPr>
        <w:rFonts w:ascii="Symbol" w:hAnsi="Symbol"/>
      </w:rPr>
    </w:lvl>
  </w:abstractNum>
  <w:abstractNum w:abstractNumId="362" w15:restartNumberingAfterBreak="0">
    <w:nsid w:val="3CC1C70E"/>
    <w:multiLevelType w:val="hybridMultilevel"/>
    <w:tmpl w:val="0FB0158E"/>
    <w:lvl w:ilvl="0" w:tplc="48902276">
      <w:start w:val="1"/>
      <w:numFmt w:val="bullet"/>
      <w:lvlText w:val="-"/>
      <w:lvlJc w:val="left"/>
      <w:pPr>
        <w:ind w:left="720" w:hanging="360"/>
      </w:pPr>
      <w:rPr>
        <w:rFonts w:ascii="Symbol" w:hAnsi="Symbol" w:hint="default"/>
      </w:rPr>
    </w:lvl>
    <w:lvl w:ilvl="1" w:tplc="7E088152">
      <w:start w:val="1"/>
      <w:numFmt w:val="bullet"/>
      <w:lvlText w:val="o"/>
      <w:lvlJc w:val="left"/>
      <w:pPr>
        <w:ind w:left="1440" w:hanging="360"/>
      </w:pPr>
      <w:rPr>
        <w:rFonts w:ascii="Courier New" w:hAnsi="Courier New" w:hint="default"/>
      </w:rPr>
    </w:lvl>
    <w:lvl w:ilvl="2" w:tplc="A214801E">
      <w:start w:val="1"/>
      <w:numFmt w:val="bullet"/>
      <w:lvlText w:val=""/>
      <w:lvlJc w:val="left"/>
      <w:pPr>
        <w:ind w:left="2160" w:hanging="360"/>
      </w:pPr>
      <w:rPr>
        <w:rFonts w:ascii="Wingdings" w:hAnsi="Wingdings" w:hint="default"/>
      </w:rPr>
    </w:lvl>
    <w:lvl w:ilvl="3" w:tplc="715EA164">
      <w:start w:val="1"/>
      <w:numFmt w:val="bullet"/>
      <w:lvlText w:val=""/>
      <w:lvlJc w:val="left"/>
      <w:pPr>
        <w:ind w:left="2880" w:hanging="360"/>
      </w:pPr>
      <w:rPr>
        <w:rFonts w:ascii="Symbol" w:hAnsi="Symbol" w:hint="default"/>
      </w:rPr>
    </w:lvl>
    <w:lvl w:ilvl="4" w:tplc="03C055FE">
      <w:start w:val="1"/>
      <w:numFmt w:val="bullet"/>
      <w:lvlText w:val="o"/>
      <w:lvlJc w:val="left"/>
      <w:pPr>
        <w:ind w:left="3600" w:hanging="360"/>
      </w:pPr>
      <w:rPr>
        <w:rFonts w:ascii="Courier New" w:hAnsi="Courier New" w:hint="default"/>
      </w:rPr>
    </w:lvl>
    <w:lvl w:ilvl="5" w:tplc="78B09410">
      <w:start w:val="1"/>
      <w:numFmt w:val="bullet"/>
      <w:lvlText w:val=""/>
      <w:lvlJc w:val="left"/>
      <w:pPr>
        <w:ind w:left="4320" w:hanging="360"/>
      </w:pPr>
      <w:rPr>
        <w:rFonts w:ascii="Wingdings" w:hAnsi="Wingdings" w:hint="default"/>
      </w:rPr>
    </w:lvl>
    <w:lvl w:ilvl="6" w:tplc="8FBC999C">
      <w:start w:val="1"/>
      <w:numFmt w:val="bullet"/>
      <w:lvlText w:val=""/>
      <w:lvlJc w:val="left"/>
      <w:pPr>
        <w:ind w:left="5040" w:hanging="360"/>
      </w:pPr>
      <w:rPr>
        <w:rFonts w:ascii="Symbol" w:hAnsi="Symbol" w:hint="default"/>
      </w:rPr>
    </w:lvl>
    <w:lvl w:ilvl="7" w:tplc="9FB0B642">
      <w:start w:val="1"/>
      <w:numFmt w:val="bullet"/>
      <w:lvlText w:val="o"/>
      <w:lvlJc w:val="left"/>
      <w:pPr>
        <w:ind w:left="5760" w:hanging="360"/>
      </w:pPr>
      <w:rPr>
        <w:rFonts w:ascii="Courier New" w:hAnsi="Courier New" w:hint="default"/>
      </w:rPr>
    </w:lvl>
    <w:lvl w:ilvl="8" w:tplc="7EE81258">
      <w:start w:val="1"/>
      <w:numFmt w:val="bullet"/>
      <w:lvlText w:val=""/>
      <w:lvlJc w:val="left"/>
      <w:pPr>
        <w:ind w:left="6480" w:hanging="360"/>
      </w:pPr>
      <w:rPr>
        <w:rFonts w:ascii="Wingdings" w:hAnsi="Wingdings" w:hint="default"/>
      </w:rPr>
    </w:lvl>
  </w:abstractNum>
  <w:abstractNum w:abstractNumId="363" w15:restartNumberingAfterBreak="0">
    <w:nsid w:val="3D3C77D2"/>
    <w:multiLevelType w:val="hybridMultilevel"/>
    <w:tmpl w:val="F8D25CF6"/>
    <w:lvl w:ilvl="0" w:tplc="08090019">
      <w:start w:val="1"/>
      <w:numFmt w:val="lowerLetter"/>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4" w15:restartNumberingAfterBreak="0">
    <w:nsid w:val="3D616403"/>
    <w:multiLevelType w:val="hybridMultilevel"/>
    <w:tmpl w:val="394A4B1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65" w15:restartNumberingAfterBreak="0">
    <w:nsid w:val="3D786D4A"/>
    <w:multiLevelType w:val="hybridMultilevel"/>
    <w:tmpl w:val="00A8AC6A"/>
    <w:lvl w:ilvl="0" w:tplc="0C0A0001">
      <w:start w:val="1"/>
      <w:numFmt w:val="bullet"/>
      <w:lvlText w:val=""/>
      <w:lvlJc w:val="left"/>
      <w:pPr>
        <w:ind w:left="644" w:hanging="360"/>
      </w:pPr>
      <w:rPr>
        <w:rFonts w:ascii="Courier New" w:hAnsi="Courier New" w:hint="default"/>
      </w:rPr>
    </w:lvl>
    <w:lvl w:ilvl="1" w:tplc="0C0A0003" w:tentative="1">
      <w:start w:val="1"/>
      <w:numFmt w:val="bullet"/>
      <w:lvlText w:val="o"/>
      <w:lvlJc w:val="left"/>
      <w:pPr>
        <w:ind w:left="1364" w:hanging="360"/>
      </w:pPr>
      <w:rPr>
        <w:rFonts w:ascii="Cambria Math" w:hAnsi="Cambria Math" w:cs="Cambria Math"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Courier New" w:hAnsi="Courier New" w:hint="default"/>
      </w:rPr>
    </w:lvl>
    <w:lvl w:ilvl="4" w:tplc="0C0A0003" w:tentative="1">
      <w:start w:val="1"/>
      <w:numFmt w:val="bullet"/>
      <w:lvlText w:val="o"/>
      <w:lvlJc w:val="left"/>
      <w:pPr>
        <w:ind w:left="3524" w:hanging="360"/>
      </w:pPr>
      <w:rPr>
        <w:rFonts w:ascii="Cambria Math" w:hAnsi="Cambria Math" w:cs="Cambria Math"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Courier New" w:hAnsi="Courier New" w:hint="default"/>
      </w:rPr>
    </w:lvl>
    <w:lvl w:ilvl="7" w:tplc="0C0A0003" w:tentative="1">
      <w:start w:val="1"/>
      <w:numFmt w:val="bullet"/>
      <w:lvlText w:val="o"/>
      <w:lvlJc w:val="left"/>
      <w:pPr>
        <w:ind w:left="5684" w:hanging="360"/>
      </w:pPr>
      <w:rPr>
        <w:rFonts w:ascii="Cambria Math" w:hAnsi="Cambria Math" w:cs="Cambria Math" w:hint="default"/>
      </w:rPr>
    </w:lvl>
    <w:lvl w:ilvl="8" w:tplc="0C0A0005" w:tentative="1">
      <w:start w:val="1"/>
      <w:numFmt w:val="bullet"/>
      <w:lvlText w:val=""/>
      <w:lvlJc w:val="left"/>
      <w:pPr>
        <w:ind w:left="6404" w:hanging="360"/>
      </w:pPr>
      <w:rPr>
        <w:rFonts w:ascii="Wingdings" w:hAnsi="Wingdings" w:hint="default"/>
      </w:rPr>
    </w:lvl>
  </w:abstractNum>
  <w:abstractNum w:abstractNumId="366" w15:restartNumberingAfterBreak="0">
    <w:nsid w:val="3DD6741B"/>
    <w:multiLevelType w:val="hybridMultilevel"/>
    <w:tmpl w:val="E5E082A8"/>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7" w15:restartNumberingAfterBreak="0">
    <w:nsid w:val="3DE11682"/>
    <w:multiLevelType w:val="hybridMultilevel"/>
    <w:tmpl w:val="0CF090B0"/>
    <w:lvl w:ilvl="0" w:tplc="FFFFFFFF">
      <w:start w:val="1"/>
      <w:numFmt w:val="lowerRoman"/>
      <w:lvlText w:val="%1."/>
      <w:lvlJc w:val="right"/>
      <w:pPr>
        <w:ind w:left="1440" w:hanging="360"/>
      </w:pPr>
    </w:lvl>
    <w:lvl w:ilvl="1" w:tplc="B7303C30">
      <w:start w:val="2"/>
      <w:numFmt w:val="bullet"/>
      <w:lvlText w:val="-"/>
      <w:lvlJc w:val="left"/>
      <w:pPr>
        <w:ind w:left="2160" w:hanging="360"/>
      </w:pPr>
      <w:rPr>
        <w:rFonts w:ascii="Calibri" w:eastAsiaTheme="minorHAnsi" w:hAnsi="Calibri" w:cs="Calibri"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8" w15:restartNumberingAfterBreak="0">
    <w:nsid w:val="3E267AD6"/>
    <w:multiLevelType w:val="hybridMultilevel"/>
    <w:tmpl w:val="923A1DD2"/>
    <w:lvl w:ilvl="0" w:tplc="0809000F">
      <w:start w:val="1"/>
      <w:numFmt w:val="decimal"/>
      <w:lvlText w:val="%1."/>
      <w:lvlJc w:val="left"/>
      <w:pPr>
        <w:ind w:left="1429" w:hanging="360"/>
      </w:p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9" w15:restartNumberingAfterBreak="0">
    <w:nsid w:val="3E6159E3"/>
    <w:multiLevelType w:val="multilevel"/>
    <w:tmpl w:val="23DAC1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3E7CB0DB"/>
    <w:multiLevelType w:val="hybridMultilevel"/>
    <w:tmpl w:val="7FD69194"/>
    <w:lvl w:ilvl="0" w:tplc="63DE98F2">
      <w:start w:val="1"/>
      <w:numFmt w:val="bullet"/>
      <w:lvlText w:val="-"/>
      <w:lvlJc w:val="left"/>
      <w:pPr>
        <w:ind w:left="720" w:hanging="360"/>
      </w:pPr>
      <w:rPr>
        <w:rFonts w:ascii="&quot;Times New Roman&quot;,serif" w:hAnsi="&quot;Times New Roman&quot;,serif" w:hint="default"/>
      </w:rPr>
    </w:lvl>
    <w:lvl w:ilvl="1" w:tplc="E27C4182">
      <w:start w:val="1"/>
      <w:numFmt w:val="bullet"/>
      <w:lvlText w:val="o"/>
      <w:lvlJc w:val="left"/>
      <w:pPr>
        <w:ind w:left="1440" w:hanging="360"/>
      </w:pPr>
      <w:rPr>
        <w:rFonts w:ascii="Courier New" w:hAnsi="Courier New" w:hint="default"/>
      </w:rPr>
    </w:lvl>
    <w:lvl w:ilvl="2" w:tplc="A1941C3A">
      <w:start w:val="1"/>
      <w:numFmt w:val="bullet"/>
      <w:lvlText w:val=""/>
      <w:lvlJc w:val="left"/>
      <w:pPr>
        <w:ind w:left="2160" w:hanging="360"/>
      </w:pPr>
      <w:rPr>
        <w:rFonts w:ascii="Wingdings" w:hAnsi="Wingdings" w:hint="default"/>
      </w:rPr>
    </w:lvl>
    <w:lvl w:ilvl="3" w:tplc="2BD4D914">
      <w:start w:val="1"/>
      <w:numFmt w:val="bullet"/>
      <w:lvlText w:val=""/>
      <w:lvlJc w:val="left"/>
      <w:pPr>
        <w:ind w:left="2880" w:hanging="360"/>
      </w:pPr>
      <w:rPr>
        <w:rFonts w:ascii="Symbol" w:hAnsi="Symbol" w:hint="default"/>
      </w:rPr>
    </w:lvl>
    <w:lvl w:ilvl="4" w:tplc="53A67A3E">
      <w:start w:val="1"/>
      <w:numFmt w:val="bullet"/>
      <w:lvlText w:val="o"/>
      <w:lvlJc w:val="left"/>
      <w:pPr>
        <w:ind w:left="3600" w:hanging="360"/>
      </w:pPr>
      <w:rPr>
        <w:rFonts w:ascii="Courier New" w:hAnsi="Courier New" w:hint="default"/>
      </w:rPr>
    </w:lvl>
    <w:lvl w:ilvl="5" w:tplc="2B802CE0">
      <w:start w:val="1"/>
      <w:numFmt w:val="bullet"/>
      <w:lvlText w:val=""/>
      <w:lvlJc w:val="left"/>
      <w:pPr>
        <w:ind w:left="4320" w:hanging="360"/>
      </w:pPr>
      <w:rPr>
        <w:rFonts w:ascii="Wingdings" w:hAnsi="Wingdings" w:hint="default"/>
      </w:rPr>
    </w:lvl>
    <w:lvl w:ilvl="6" w:tplc="F4502A18">
      <w:start w:val="1"/>
      <w:numFmt w:val="bullet"/>
      <w:lvlText w:val=""/>
      <w:lvlJc w:val="left"/>
      <w:pPr>
        <w:ind w:left="5040" w:hanging="360"/>
      </w:pPr>
      <w:rPr>
        <w:rFonts w:ascii="Symbol" w:hAnsi="Symbol" w:hint="default"/>
      </w:rPr>
    </w:lvl>
    <w:lvl w:ilvl="7" w:tplc="1E4A6288">
      <w:start w:val="1"/>
      <w:numFmt w:val="bullet"/>
      <w:lvlText w:val="o"/>
      <w:lvlJc w:val="left"/>
      <w:pPr>
        <w:ind w:left="5760" w:hanging="360"/>
      </w:pPr>
      <w:rPr>
        <w:rFonts w:ascii="Courier New" w:hAnsi="Courier New" w:hint="default"/>
      </w:rPr>
    </w:lvl>
    <w:lvl w:ilvl="8" w:tplc="8BD27DD6">
      <w:start w:val="1"/>
      <w:numFmt w:val="bullet"/>
      <w:lvlText w:val=""/>
      <w:lvlJc w:val="left"/>
      <w:pPr>
        <w:ind w:left="6480" w:hanging="360"/>
      </w:pPr>
      <w:rPr>
        <w:rFonts w:ascii="Wingdings" w:hAnsi="Wingdings" w:hint="default"/>
      </w:rPr>
    </w:lvl>
  </w:abstractNum>
  <w:abstractNum w:abstractNumId="371" w15:restartNumberingAfterBreak="0">
    <w:nsid w:val="3EA27F64"/>
    <w:multiLevelType w:val="hybridMultilevel"/>
    <w:tmpl w:val="FBCC6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2" w15:restartNumberingAfterBreak="0">
    <w:nsid w:val="3ECD71E5"/>
    <w:multiLevelType w:val="hybridMultilevel"/>
    <w:tmpl w:val="13BEE066"/>
    <w:lvl w:ilvl="0" w:tplc="FFFFFFFF">
      <w:start w:val="1"/>
      <w:numFmt w:val="lowerLetter"/>
      <w:lvlText w:val="%1."/>
      <w:lvlJc w:val="left"/>
      <w:pPr>
        <w:ind w:left="1429" w:hanging="360"/>
      </w:pPr>
    </w:lvl>
    <w:lvl w:ilvl="1" w:tplc="0C0A0019">
      <w:start w:val="1"/>
      <w:numFmt w:val="lowerLetter"/>
      <w:lvlText w:val="%2."/>
      <w:lvlJc w:val="left"/>
      <w:pPr>
        <w:ind w:left="2149" w:hanging="360"/>
      </w:pPr>
    </w:lvl>
    <w:lvl w:ilvl="2" w:tplc="6D606202">
      <w:numFmt w:val="bullet"/>
      <w:lvlText w:val="•"/>
      <w:lvlJc w:val="left"/>
      <w:pPr>
        <w:ind w:left="3409" w:hanging="720"/>
      </w:pPr>
      <w:rPr>
        <w:rFonts w:ascii="Times New Roman" w:eastAsia="Symbol" w:hAnsi="Times New Roman" w:cs="Times New Roman" w:hint="default"/>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73" w15:restartNumberingAfterBreak="0">
    <w:nsid w:val="3EDD6DF1"/>
    <w:multiLevelType w:val="hybridMultilevel"/>
    <w:tmpl w:val="E97CB79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15:restartNumberingAfterBreak="0">
    <w:nsid w:val="3F0557EB"/>
    <w:multiLevelType w:val="multilevel"/>
    <w:tmpl w:val="1AE8A6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3F1E171E"/>
    <w:multiLevelType w:val="hybridMultilevel"/>
    <w:tmpl w:val="37C606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6" w15:restartNumberingAfterBreak="0">
    <w:nsid w:val="3F4C10D6"/>
    <w:multiLevelType w:val="hybridMultilevel"/>
    <w:tmpl w:val="175EF330"/>
    <w:lvl w:ilvl="0" w:tplc="0C0A0017">
      <w:start w:val="1"/>
      <w:numFmt w:val="lowerLetter"/>
      <w:lvlText w:val="%1)"/>
      <w:lvlJc w:val="left"/>
      <w:pPr>
        <w:ind w:left="720" w:hanging="360"/>
      </w:pPr>
      <w:rPr>
        <w:rFonts w:hint="default"/>
      </w:rPr>
    </w:lvl>
    <w:lvl w:ilvl="1" w:tplc="C0B0BEF8">
      <w:start w:val="1"/>
      <w:numFmt w:val="lowerRoman"/>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7" w15:restartNumberingAfterBreak="0">
    <w:nsid w:val="3F5CB97E"/>
    <w:multiLevelType w:val="hybridMultilevel"/>
    <w:tmpl w:val="FFFFFFFF"/>
    <w:lvl w:ilvl="0" w:tplc="231C6618">
      <w:start w:val="1"/>
      <w:numFmt w:val="bullet"/>
      <w:lvlText w:val="-"/>
      <w:lvlJc w:val="left"/>
      <w:pPr>
        <w:ind w:left="720" w:hanging="360"/>
      </w:pPr>
      <w:rPr>
        <w:rFonts w:ascii="Wingdings" w:hAnsi="Wingdings" w:hint="default"/>
      </w:rPr>
    </w:lvl>
    <w:lvl w:ilvl="1" w:tplc="3DAECB66">
      <w:start w:val="1"/>
      <w:numFmt w:val="bullet"/>
      <w:lvlText w:val="o"/>
      <w:lvlJc w:val="left"/>
      <w:pPr>
        <w:ind w:left="1440" w:hanging="360"/>
      </w:pPr>
      <w:rPr>
        <w:rFonts w:ascii="Courier New" w:hAnsi="Courier New" w:hint="default"/>
      </w:rPr>
    </w:lvl>
    <w:lvl w:ilvl="2" w:tplc="C20282DC">
      <w:start w:val="1"/>
      <w:numFmt w:val="bullet"/>
      <w:lvlText w:val=""/>
      <w:lvlJc w:val="left"/>
      <w:pPr>
        <w:ind w:left="2160" w:hanging="360"/>
      </w:pPr>
      <w:rPr>
        <w:rFonts w:ascii="Cambria Math" w:hAnsi="Cambria Math" w:hint="default"/>
      </w:rPr>
    </w:lvl>
    <w:lvl w:ilvl="3" w:tplc="9F9E1E4C">
      <w:start w:val="1"/>
      <w:numFmt w:val="bullet"/>
      <w:lvlText w:val=""/>
      <w:lvlJc w:val="left"/>
      <w:pPr>
        <w:ind w:left="2880" w:hanging="360"/>
      </w:pPr>
      <w:rPr>
        <w:rFonts w:ascii="Segoe UI" w:hAnsi="Segoe UI" w:hint="default"/>
      </w:rPr>
    </w:lvl>
    <w:lvl w:ilvl="4" w:tplc="91C23C20">
      <w:start w:val="1"/>
      <w:numFmt w:val="bullet"/>
      <w:lvlText w:val="o"/>
      <w:lvlJc w:val="left"/>
      <w:pPr>
        <w:ind w:left="3600" w:hanging="360"/>
      </w:pPr>
      <w:rPr>
        <w:rFonts w:ascii="Courier New" w:hAnsi="Courier New" w:hint="default"/>
      </w:rPr>
    </w:lvl>
    <w:lvl w:ilvl="5" w:tplc="2BD4CAB2">
      <w:start w:val="1"/>
      <w:numFmt w:val="bullet"/>
      <w:lvlText w:val=""/>
      <w:lvlJc w:val="left"/>
      <w:pPr>
        <w:ind w:left="4320" w:hanging="360"/>
      </w:pPr>
      <w:rPr>
        <w:rFonts w:ascii="Cambria Math" w:hAnsi="Cambria Math" w:hint="default"/>
      </w:rPr>
    </w:lvl>
    <w:lvl w:ilvl="6" w:tplc="8A4C29C8">
      <w:start w:val="1"/>
      <w:numFmt w:val="bullet"/>
      <w:lvlText w:val=""/>
      <w:lvlJc w:val="left"/>
      <w:pPr>
        <w:ind w:left="5040" w:hanging="360"/>
      </w:pPr>
      <w:rPr>
        <w:rFonts w:ascii="Segoe UI" w:hAnsi="Segoe UI" w:hint="default"/>
      </w:rPr>
    </w:lvl>
    <w:lvl w:ilvl="7" w:tplc="3C4C8E34">
      <w:start w:val="1"/>
      <w:numFmt w:val="bullet"/>
      <w:lvlText w:val="o"/>
      <w:lvlJc w:val="left"/>
      <w:pPr>
        <w:ind w:left="5760" w:hanging="360"/>
      </w:pPr>
      <w:rPr>
        <w:rFonts w:ascii="Courier New" w:hAnsi="Courier New" w:hint="default"/>
      </w:rPr>
    </w:lvl>
    <w:lvl w:ilvl="8" w:tplc="E4A4F676">
      <w:start w:val="1"/>
      <w:numFmt w:val="bullet"/>
      <w:lvlText w:val=""/>
      <w:lvlJc w:val="left"/>
      <w:pPr>
        <w:ind w:left="6480" w:hanging="360"/>
      </w:pPr>
      <w:rPr>
        <w:rFonts w:ascii="Cambria Math" w:hAnsi="Cambria Math" w:hint="default"/>
      </w:rPr>
    </w:lvl>
  </w:abstractNum>
  <w:abstractNum w:abstractNumId="378" w15:restartNumberingAfterBreak="0">
    <w:nsid w:val="3F73DD3B"/>
    <w:multiLevelType w:val="hybridMultilevel"/>
    <w:tmpl w:val="394A4B14"/>
    <w:lvl w:ilvl="0" w:tplc="BA888930">
      <w:start w:val="1"/>
      <w:numFmt w:val="lowerLetter"/>
      <w:lvlText w:val="%1)"/>
      <w:lvlJc w:val="left"/>
      <w:pPr>
        <w:ind w:left="720" w:hanging="360"/>
      </w:pPr>
    </w:lvl>
    <w:lvl w:ilvl="1" w:tplc="7CD200C2">
      <w:start w:val="1"/>
      <w:numFmt w:val="lowerLetter"/>
      <w:lvlText w:val="%2."/>
      <w:lvlJc w:val="left"/>
      <w:pPr>
        <w:ind w:left="1440" w:hanging="360"/>
      </w:pPr>
    </w:lvl>
    <w:lvl w:ilvl="2" w:tplc="5814482A">
      <w:start w:val="1"/>
      <w:numFmt w:val="lowerRoman"/>
      <w:lvlText w:val="%3."/>
      <w:lvlJc w:val="right"/>
      <w:pPr>
        <w:ind w:left="2160" w:hanging="180"/>
      </w:pPr>
    </w:lvl>
    <w:lvl w:ilvl="3" w:tplc="ED440DEC">
      <w:start w:val="1"/>
      <w:numFmt w:val="decimal"/>
      <w:lvlText w:val="%4."/>
      <w:lvlJc w:val="left"/>
      <w:pPr>
        <w:ind w:left="2880" w:hanging="360"/>
      </w:pPr>
    </w:lvl>
    <w:lvl w:ilvl="4" w:tplc="51CA1262">
      <w:start w:val="1"/>
      <w:numFmt w:val="lowerLetter"/>
      <w:lvlText w:val="%5."/>
      <w:lvlJc w:val="left"/>
      <w:pPr>
        <w:ind w:left="3600" w:hanging="360"/>
      </w:pPr>
    </w:lvl>
    <w:lvl w:ilvl="5" w:tplc="B3EACFCA">
      <w:start w:val="1"/>
      <w:numFmt w:val="lowerRoman"/>
      <w:lvlText w:val="%6."/>
      <w:lvlJc w:val="right"/>
      <w:pPr>
        <w:ind w:left="4320" w:hanging="180"/>
      </w:pPr>
    </w:lvl>
    <w:lvl w:ilvl="6" w:tplc="10B8BDE6">
      <w:start w:val="1"/>
      <w:numFmt w:val="decimal"/>
      <w:lvlText w:val="%7."/>
      <w:lvlJc w:val="left"/>
      <w:pPr>
        <w:ind w:left="5040" w:hanging="360"/>
      </w:pPr>
    </w:lvl>
    <w:lvl w:ilvl="7" w:tplc="AC4C7D8A">
      <w:start w:val="1"/>
      <w:numFmt w:val="lowerLetter"/>
      <w:lvlText w:val="%8."/>
      <w:lvlJc w:val="left"/>
      <w:pPr>
        <w:ind w:left="5760" w:hanging="360"/>
      </w:pPr>
    </w:lvl>
    <w:lvl w:ilvl="8" w:tplc="805CE7D8">
      <w:start w:val="1"/>
      <w:numFmt w:val="lowerRoman"/>
      <w:lvlText w:val="%9."/>
      <w:lvlJc w:val="right"/>
      <w:pPr>
        <w:ind w:left="6480" w:hanging="180"/>
      </w:pPr>
    </w:lvl>
  </w:abstractNum>
  <w:abstractNum w:abstractNumId="379" w15:restartNumberingAfterBreak="0">
    <w:nsid w:val="40280D20"/>
    <w:multiLevelType w:val="hybridMultilevel"/>
    <w:tmpl w:val="8AE4D1F8"/>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380" w15:restartNumberingAfterBreak="0">
    <w:nsid w:val="404C74A0"/>
    <w:multiLevelType w:val="multilevel"/>
    <w:tmpl w:val="FFFFFFFF"/>
    <w:lvl w:ilvl="0">
      <w:start w:val="9"/>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1" w15:restartNumberingAfterBreak="0">
    <w:nsid w:val="40802ABA"/>
    <w:multiLevelType w:val="multilevel"/>
    <w:tmpl w:val="C5B2DE6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409B4355"/>
    <w:multiLevelType w:val="multilevel"/>
    <w:tmpl w:val="BD248F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40C63169"/>
    <w:multiLevelType w:val="hybridMultilevel"/>
    <w:tmpl w:val="E1A28D56"/>
    <w:lvl w:ilvl="0" w:tplc="561CD8F8">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091" w:hanging="360"/>
      </w:pPr>
      <w:rPr>
        <w:rFonts w:ascii="Courier New" w:hAnsi="Courier New" w:cs="Courier New" w:hint="default"/>
      </w:rPr>
    </w:lvl>
    <w:lvl w:ilvl="2" w:tplc="FFFFFFFF" w:tentative="1">
      <w:start w:val="1"/>
      <w:numFmt w:val="bullet"/>
      <w:lvlText w:val=""/>
      <w:lvlJc w:val="left"/>
      <w:pPr>
        <w:ind w:left="1811" w:hanging="360"/>
      </w:pPr>
      <w:rPr>
        <w:rFonts w:ascii="Cambria Math" w:hAnsi="Cambria Math" w:hint="default"/>
      </w:rPr>
    </w:lvl>
    <w:lvl w:ilvl="3" w:tplc="FFFFFFFF" w:tentative="1">
      <w:start w:val="1"/>
      <w:numFmt w:val="bullet"/>
      <w:lvlText w:val=""/>
      <w:lvlJc w:val="left"/>
      <w:pPr>
        <w:ind w:left="2531" w:hanging="360"/>
      </w:pPr>
      <w:rPr>
        <w:rFonts w:ascii="Segoe UI" w:hAnsi="Segoe UI" w:hint="default"/>
      </w:rPr>
    </w:lvl>
    <w:lvl w:ilvl="4" w:tplc="FFFFFFFF" w:tentative="1">
      <w:start w:val="1"/>
      <w:numFmt w:val="bullet"/>
      <w:lvlText w:val="o"/>
      <w:lvlJc w:val="left"/>
      <w:pPr>
        <w:ind w:left="3251" w:hanging="360"/>
      </w:pPr>
      <w:rPr>
        <w:rFonts w:ascii="Courier New" w:hAnsi="Courier New" w:cs="Courier New" w:hint="default"/>
      </w:rPr>
    </w:lvl>
    <w:lvl w:ilvl="5" w:tplc="FFFFFFFF" w:tentative="1">
      <w:start w:val="1"/>
      <w:numFmt w:val="bullet"/>
      <w:lvlText w:val=""/>
      <w:lvlJc w:val="left"/>
      <w:pPr>
        <w:ind w:left="3971" w:hanging="360"/>
      </w:pPr>
      <w:rPr>
        <w:rFonts w:ascii="Cambria Math" w:hAnsi="Cambria Math" w:hint="default"/>
      </w:rPr>
    </w:lvl>
    <w:lvl w:ilvl="6" w:tplc="FFFFFFFF" w:tentative="1">
      <w:start w:val="1"/>
      <w:numFmt w:val="bullet"/>
      <w:lvlText w:val=""/>
      <w:lvlJc w:val="left"/>
      <w:pPr>
        <w:ind w:left="4691" w:hanging="360"/>
      </w:pPr>
      <w:rPr>
        <w:rFonts w:ascii="Segoe UI" w:hAnsi="Segoe UI" w:hint="default"/>
      </w:rPr>
    </w:lvl>
    <w:lvl w:ilvl="7" w:tplc="FFFFFFFF" w:tentative="1">
      <w:start w:val="1"/>
      <w:numFmt w:val="bullet"/>
      <w:lvlText w:val="o"/>
      <w:lvlJc w:val="left"/>
      <w:pPr>
        <w:ind w:left="5411" w:hanging="360"/>
      </w:pPr>
      <w:rPr>
        <w:rFonts w:ascii="Courier New" w:hAnsi="Courier New" w:cs="Courier New" w:hint="default"/>
      </w:rPr>
    </w:lvl>
    <w:lvl w:ilvl="8" w:tplc="FFFFFFFF" w:tentative="1">
      <w:start w:val="1"/>
      <w:numFmt w:val="bullet"/>
      <w:lvlText w:val=""/>
      <w:lvlJc w:val="left"/>
      <w:pPr>
        <w:ind w:left="6131" w:hanging="360"/>
      </w:pPr>
      <w:rPr>
        <w:rFonts w:ascii="Cambria Math" w:hAnsi="Cambria Math" w:hint="default"/>
      </w:rPr>
    </w:lvl>
  </w:abstractNum>
  <w:abstractNum w:abstractNumId="384" w15:restartNumberingAfterBreak="0">
    <w:nsid w:val="41064672"/>
    <w:multiLevelType w:val="hybridMultilevel"/>
    <w:tmpl w:val="2BEE9B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5" w15:restartNumberingAfterBreak="0">
    <w:nsid w:val="417C777B"/>
    <w:multiLevelType w:val="hybridMultilevel"/>
    <w:tmpl w:val="FFFFFFFF"/>
    <w:lvl w:ilvl="0" w:tplc="C596C72A">
      <w:start w:val="3"/>
      <w:numFmt w:val="decimal"/>
      <w:lvlText w:val="%1."/>
      <w:lvlJc w:val="left"/>
      <w:pPr>
        <w:ind w:left="720" w:hanging="360"/>
      </w:pPr>
    </w:lvl>
    <w:lvl w:ilvl="1" w:tplc="3B48A12C">
      <w:start w:val="1"/>
      <w:numFmt w:val="lowerLetter"/>
      <w:lvlText w:val="%2."/>
      <w:lvlJc w:val="left"/>
      <w:pPr>
        <w:ind w:left="1440" w:hanging="360"/>
      </w:pPr>
    </w:lvl>
    <w:lvl w:ilvl="2" w:tplc="891A5072">
      <w:start w:val="1"/>
      <w:numFmt w:val="lowerRoman"/>
      <w:lvlText w:val="%3."/>
      <w:lvlJc w:val="right"/>
      <w:pPr>
        <w:ind w:left="2160" w:hanging="180"/>
      </w:pPr>
    </w:lvl>
    <w:lvl w:ilvl="3" w:tplc="A028A254">
      <w:start w:val="1"/>
      <w:numFmt w:val="decimal"/>
      <w:lvlText w:val="%4."/>
      <w:lvlJc w:val="left"/>
      <w:pPr>
        <w:ind w:left="2880" w:hanging="360"/>
      </w:pPr>
    </w:lvl>
    <w:lvl w:ilvl="4" w:tplc="E1B20A0C">
      <w:start w:val="1"/>
      <w:numFmt w:val="lowerLetter"/>
      <w:lvlText w:val="%5."/>
      <w:lvlJc w:val="left"/>
      <w:pPr>
        <w:ind w:left="3600" w:hanging="360"/>
      </w:pPr>
    </w:lvl>
    <w:lvl w:ilvl="5" w:tplc="CA76A276">
      <w:start w:val="1"/>
      <w:numFmt w:val="lowerRoman"/>
      <w:lvlText w:val="%6."/>
      <w:lvlJc w:val="right"/>
      <w:pPr>
        <w:ind w:left="4320" w:hanging="180"/>
      </w:pPr>
    </w:lvl>
    <w:lvl w:ilvl="6" w:tplc="23BA0D1E">
      <w:start w:val="1"/>
      <w:numFmt w:val="decimal"/>
      <w:lvlText w:val="%7."/>
      <w:lvlJc w:val="left"/>
      <w:pPr>
        <w:ind w:left="5040" w:hanging="360"/>
      </w:pPr>
    </w:lvl>
    <w:lvl w:ilvl="7" w:tplc="A7A60AB8">
      <w:start w:val="1"/>
      <w:numFmt w:val="lowerLetter"/>
      <w:lvlText w:val="%8."/>
      <w:lvlJc w:val="left"/>
      <w:pPr>
        <w:ind w:left="5760" w:hanging="360"/>
      </w:pPr>
    </w:lvl>
    <w:lvl w:ilvl="8" w:tplc="855822C6">
      <w:start w:val="1"/>
      <w:numFmt w:val="lowerRoman"/>
      <w:lvlText w:val="%9."/>
      <w:lvlJc w:val="right"/>
      <w:pPr>
        <w:ind w:left="6480" w:hanging="180"/>
      </w:pPr>
    </w:lvl>
  </w:abstractNum>
  <w:abstractNum w:abstractNumId="386" w15:restartNumberingAfterBreak="0">
    <w:nsid w:val="41CE3108"/>
    <w:multiLevelType w:val="hybridMultilevel"/>
    <w:tmpl w:val="147C164C"/>
    <w:lvl w:ilvl="0" w:tplc="0C0A0001">
      <w:start w:val="1"/>
      <w:numFmt w:val="bullet"/>
      <w:lvlText w:val=""/>
      <w:lvlJc w:val="left"/>
      <w:pPr>
        <w:ind w:left="1004" w:hanging="360"/>
      </w:pPr>
      <w:rPr>
        <w:rFonts w:ascii="Courier New" w:hAnsi="Courier New" w:hint="default"/>
      </w:rPr>
    </w:lvl>
    <w:lvl w:ilvl="1" w:tplc="0C0A0003" w:tentative="1">
      <w:start w:val="1"/>
      <w:numFmt w:val="bullet"/>
      <w:lvlText w:val="o"/>
      <w:lvlJc w:val="left"/>
      <w:pPr>
        <w:ind w:left="1724" w:hanging="360"/>
      </w:pPr>
      <w:rPr>
        <w:rFonts w:ascii="Cambria Math" w:hAnsi="Cambria Math" w:cs="Cambria Math"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Courier New" w:hAnsi="Courier New" w:hint="default"/>
      </w:rPr>
    </w:lvl>
    <w:lvl w:ilvl="4" w:tplc="0C0A0003" w:tentative="1">
      <w:start w:val="1"/>
      <w:numFmt w:val="bullet"/>
      <w:lvlText w:val="o"/>
      <w:lvlJc w:val="left"/>
      <w:pPr>
        <w:ind w:left="3884" w:hanging="360"/>
      </w:pPr>
      <w:rPr>
        <w:rFonts w:ascii="Cambria Math" w:hAnsi="Cambria Math" w:cs="Cambria Math"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Courier New" w:hAnsi="Courier New" w:hint="default"/>
      </w:rPr>
    </w:lvl>
    <w:lvl w:ilvl="7" w:tplc="0C0A0003" w:tentative="1">
      <w:start w:val="1"/>
      <w:numFmt w:val="bullet"/>
      <w:lvlText w:val="o"/>
      <w:lvlJc w:val="left"/>
      <w:pPr>
        <w:ind w:left="6044" w:hanging="360"/>
      </w:pPr>
      <w:rPr>
        <w:rFonts w:ascii="Cambria Math" w:hAnsi="Cambria Math" w:cs="Cambria Math" w:hint="default"/>
      </w:rPr>
    </w:lvl>
    <w:lvl w:ilvl="8" w:tplc="0C0A0005" w:tentative="1">
      <w:start w:val="1"/>
      <w:numFmt w:val="bullet"/>
      <w:lvlText w:val=""/>
      <w:lvlJc w:val="left"/>
      <w:pPr>
        <w:ind w:left="6764" w:hanging="360"/>
      </w:pPr>
      <w:rPr>
        <w:rFonts w:ascii="Wingdings" w:hAnsi="Wingdings" w:hint="default"/>
      </w:rPr>
    </w:lvl>
  </w:abstractNum>
  <w:abstractNum w:abstractNumId="387" w15:restartNumberingAfterBreak="0">
    <w:nsid w:val="41F92C60"/>
    <w:multiLevelType w:val="hybridMultilevel"/>
    <w:tmpl w:val="4C888C0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8" w15:restartNumberingAfterBreak="0">
    <w:nsid w:val="42156377"/>
    <w:multiLevelType w:val="multilevel"/>
    <w:tmpl w:val="4A04CBE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4230647F"/>
    <w:multiLevelType w:val="hybridMultilevel"/>
    <w:tmpl w:val="E708B93A"/>
    <w:lvl w:ilvl="0" w:tplc="EC9CDDDE">
      <w:start w:val="6"/>
      <w:numFmt w:val="lowerRoman"/>
      <w:lvlText w:val="%1."/>
      <w:lvlJc w:val="right"/>
      <w:pPr>
        <w:ind w:left="2138" w:hanging="360"/>
      </w:pPr>
      <w:rPr>
        <w:rFonts w:hint="default"/>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90" w15:restartNumberingAfterBreak="0">
    <w:nsid w:val="425C18B6"/>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1"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92" w15:restartNumberingAfterBreak="0">
    <w:nsid w:val="42C25F88"/>
    <w:multiLevelType w:val="hybridMultilevel"/>
    <w:tmpl w:val="720E005E"/>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3" w15:restartNumberingAfterBreak="0">
    <w:nsid w:val="42E05589"/>
    <w:multiLevelType w:val="multilevel"/>
    <w:tmpl w:val="68C6D42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4"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95" w15:restartNumberingAfterBreak="0">
    <w:nsid w:val="439D2A30"/>
    <w:multiLevelType w:val="hybridMultilevel"/>
    <w:tmpl w:val="C69E0D52"/>
    <w:lvl w:ilvl="0" w:tplc="080C0001">
      <w:start w:val="1"/>
      <w:numFmt w:val="bullet"/>
      <w:lvlText w:val=""/>
      <w:lvlJc w:val="left"/>
      <w:pPr>
        <w:ind w:left="907" w:hanging="360"/>
      </w:pPr>
      <w:rPr>
        <w:rFonts w:ascii="Symbol" w:hAnsi="Symbol"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396" w15:restartNumberingAfterBreak="0">
    <w:nsid w:val="43ABD986"/>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43B94045"/>
    <w:multiLevelType w:val="hybridMultilevel"/>
    <w:tmpl w:val="840E809C"/>
    <w:lvl w:ilvl="0" w:tplc="C80AB80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8" w15:restartNumberingAfterBreak="0">
    <w:nsid w:val="43BC3B8D"/>
    <w:multiLevelType w:val="hybridMultilevel"/>
    <w:tmpl w:val="FFFFFFFF"/>
    <w:lvl w:ilvl="0" w:tplc="0010CF46">
      <w:start w:val="1"/>
      <w:numFmt w:val="bullet"/>
      <w:lvlText w:val=""/>
      <w:lvlJc w:val="left"/>
      <w:pPr>
        <w:ind w:left="720" w:hanging="360"/>
      </w:pPr>
      <w:rPr>
        <w:rFonts w:ascii="Symbol" w:hAnsi="Symbol" w:hint="default"/>
      </w:rPr>
    </w:lvl>
    <w:lvl w:ilvl="1" w:tplc="3ABED63C">
      <w:start w:val="1"/>
      <w:numFmt w:val="bullet"/>
      <w:lvlText w:val="-"/>
      <w:lvlJc w:val="left"/>
      <w:pPr>
        <w:ind w:left="1440" w:hanging="360"/>
      </w:pPr>
      <w:rPr>
        <w:rFonts w:ascii="Calibri" w:hAnsi="Calibri" w:hint="default"/>
      </w:rPr>
    </w:lvl>
    <w:lvl w:ilvl="2" w:tplc="69C87C28">
      <w:start w:val="1"/>
      <w:numFmt w:val="bullet"/>
      <w:lvlText w:val=""/>
      <w:lvlJc w:val="left"/>
      <w:pPr>
        <w:ind w:left="2160" w:hanging="360"/>
      </w:pPr>
      <w:rPr>
        <w:rFonts w:ascii="Wingdings" w:hAnsi="Wingdings" w:hint="default"/>
      </w:rPr>
    </w:lvl>
    <w:lvl w:ilvl="3" w:tplc="9B3858EE">
      <w:start w:val="1"/>
      <w:numFmt w:val="bullet"/>
      <w:lvlText w:val=""/>
      <w:lvlJc w:val="left"/>
      <w:pPr>
        <w:ind w:left="2880" w:hanging="360"/>
      </w:pPr>
      <w:rPr>
        <w:rFonts w:ascii="Symbol" w:hAnsi="Symbol" w:hint="default"/>
      </w:rPr>
    </w:lvl>
    <w:lvl w:ilvl="4" w:tplc="1706C458">
      <w:start w:val="1"/>
      <w:numFmt w:val="bullet"/>
      <w:lvlText w:val="o"/>
      <w:lvlJc w:val="left"/>
      <w:pPr>
        <w:ind w:left="3600" w:hanging="360"/>
      </w:pPr>
      <w:rPr>
        <w:rFonts w:ascii="Courier New" w:hAnsi="Courier New" w:hint="default"/>
      </w:rPr>
    </w:lvl>
    <w:lvl w:ilvl="5" w:tplc="E0C6A61A">
      <w:start w:val="1"/>
      <w:numFmt w:val="bullet"/>
      <w:lvlText w:val=""/>
      <w:lvlJc w:val="left"/>
      <w:pPr>
        <w:ind w:left="4320" w:hanging="360"/>
      </w:pPr>
      <w:rPr>
        <w:rFonts w:ascii="Wingdings" w:hAnsi="Wingdings" w:hint="default"/>
      </w:rPr>
    </w:lvl>
    <w:lvl w:ilvl="6" w:tplc="C7D4B6BE">
      <w:start w:val="1"/>
      <w:numFmt w:val="bullet"/>
      <w:lvlText w:val=""/>
      <w:lvlJc w:val="left"/>
      <w:pPr>
        <w:ind w:left="5040" w:hanging="360"/>
      </w:pPr>
      <w:rPr>
        <w:rFonts w:ascii="Symbol" w:hAnsi="Symbol" w:hint="default"/>
      </w:rPr>
    </w:lvl>
    <w:lvl w:ilvl="7" w:tplc="419087A2">
      <w:start w:val="1"/>
      <w:numFmt w:val="bullet"/>
      <w:lvlText w:val="o"/>
      <w:lvlJc w:val="left"/>
      <w:pPr>
        <w:ind w:left="5760" w:hanging="360"/>
      </w:pPr>
      <w:rPr>
        <w:rFonts w:ascii="Courier New" w:hAnsi="Courier New" w:hint="default"/>
      </w:rPr>
    </w:lvl>
    <w:lvl w:ilvl="8" w:tplc="E076CA9C">
      <w:start w:val="1"/>
      <w:numFmt w:val="bullet"/>
      <w:lvlText w:val=""/>
      <w:lvlJc w:val="left"/>
      <w:pPr>
        <w:ind w:left="6480" w:hanging="360"/>
      </w:pPr>
      <w:rPr>
        <w:rFonts w:ascii="Wingdings" w:hAnsi="Wingdings" w:hint="default"/>
      </w:rPr>
    </w:lvl>
  </w:abstractNum>
  <w:abstractNum w:abstractNumId="399" w15:restartNumberingAfterBreak="0">
    <w:nsid w:val="43D7ACDD"/>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43F42D98"/>
    <w:multiLevelType w:val="hybridMultilevel"/>
    <w:tmpl w:val="89BC98DE"/>
    <w:lvl w:ilvl="0" w:tplc="0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1" w15:restartNumberingAfterBreak="0">
    <w:nsid w:val="44180FBC"/>
    <w:multiLevelType w:val="multilevel"/>
    <w:tmpl w:val="895633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2" w15:restartNumberingAfterBreak="0">
    <w:nsid w:val="442C7C07"/>
    <w:multiLevelType w:val="hybridMultilevel"/>
    <w:tmpl w:val="CBDC5E20"/>
    <w:lvl w:ilvl="0" w:tplc="04090001">
      <w:start w:val="1"/>
      <w:numFmt w:val="bullet"/>
      <w:lvlText w:val=""/>
      <w:lvlJc w:val="left"/>
      <w:pPr>
        <w:ind w:left="720" w:hanging="360"/>
      </w:pPr>
      <w:rPr>
        <w:rFonts w:ascii="Segoe UI" w:hAnsi="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403" w15:restartNumberingAfterBreak="0">
    <w:nsid w:val="445409E8"/>
    <w:multiLevelType w:val="hybridMultilevel"/>
    <w:tmpl w:val="798432B0"/>
    <w:lvl w:ilvl="0" w:tplc="312A5F28">
      <w:start w:val="1"/>
      <w:numFmt w:val="bullet"/>
      <w:lvlText w:val="-"/>
      <w:lvlJc w:val="left"/>
      <w:pPr>
        <w:ind w:left="2138" w:hanging="360"/>
      </w:pPr>
      <w:rPr>
        <w:rFonts w:ascii="Calibri" w:eastAsiaTheme="minorHAnsi" w:hAnsi="Calibri" w:cs="Calibri" w:hint="default"/>
        <w:color w:val="7030A0"/>
      </w:rPr>
    </w:lvl>
    <w:lvl w:ilvl="1" w:tplc="080C0003" w:tentative="1">
      <w:start w:val="1"/>
      <w:numFmt w:val="bullet"/>
      <w:lvlText w:val="o"/>
      <w:lvlJc w:val="left"/>
      <w:pPr>
        <w:ind w:left="2858" w:hanging="360"/>
      </w:pPr>
      <w:rPr>
        <w:rFonts w:ascii="Courier New" w:hAnsi="Courier New" w:cs="Courier New" w:hint="default"/>
      </w:rPr>
    </w:lvl>
    <w:lvl w:ilvl="2" w:tplc="080C0005" w:tentative="1">
      <w:start w:val="1"/>
      <w:numFmt w:val="bullet"/>
      <w:lvlText w:val=""/>
      <w:lvlJc w:val="left"/>
      <w:pPr>
        <w:ind w:left="3578" w:hanging="360"/>
      </w:pPr>
      <w:rPr>
        <w:rFonts w:ascii="Wingdings" w:hAnsi="Wingdings" w:hint="default"/>
      </w:rPr>
    </w:lvl>
    <w:lvl w:ilvl="3" w:tplc="080C0001" w:tentative="1">
      <w:start w:val="1"/>
      <w:numFmt w:val="bullet"/>
      <w:lvlText w:val=""/>
      <w:lvlJc w:val="left"/>
      <w:pPr>
        <w:ind w:left="4298" w:hanging="360"/>
      </w:pPr>
      <w:rPr>
        <w:rFonts w:ascii="Symbol" w:hAnsi="Symbol" w:hint="default"/>
      </w:rPr>
    </w:lvl>
    <w:lvl w:ilvl="4" w:tplc="080C0003" w:tentative="1">
      <w:start w:val="1"/>
      <w:numFmt w:val="bullet"/>
      <w:lvlText w:val="o"/>
      <w:lvlJc w:val="left"/>
      <w:pPr>
        <w:ind w:left="5018" w:hanging="360"/>
      </w:pPr>
      <w:rPr>
        <w:rFonts w:ascii="Courier New" w:hAnsi="Courier New" w:cs="Courier New" w:hint="default"/>
      </w:rPr>
    </w:lvl>
    <w:lvl w:ilvl="5" w:tplc="080C0005" w:tentative="1">
      <w:start w:val="1"/>
      <w:numFmt w:val="bullet"/>
      <w:lvlText w:val=""/>
      <w:lvlJc w:val="left"/>
      <w:pPr>
        <w:ind w:left="5738" w:hanging="360"/>
      </w:pPr>
      <w:rPr>
        <w:rFonts w:ascii="Wingdings" w:hAnsi="Wingdings" w:hint="default"/>
      </w:rPr>
    </w:lvl>
    <w:lvl w:ilvl="6" w:tplc="080C0001" w:tentative="1">
      <w:start w:val="1"/>
      <w:numFmt w:val="bullet"/>
      <w:lvlText w:val=""/>
      <w:lvlJc w:val="left"/>
      <w:pPr>
        <w:ind w:left="6458" w:hanging="360"/>
      </w:pPr>
      <w:rPr>
        <w:rFonts w:ascii="Symbol" w:hAnsi="Symbol" w:hint="default"/>
      </w:rPr>
    </w:lvl>
    <w:lvl w:ilvl="7" w:tplc="080C0003" w:tentative="1">
      <w:start w:val="1"/>
      <w:numFmt w:val="bullet"/>
      <w:lvlText w:val="o"/>
      <w:lvlJc w:val="left"/>
      <w:pPr>
        <w:ind w:left="7178" w:hanging="360"/>
      </w:pPr>
      <w:rPr>
        <w:rFonts w:ascii="Courier New" w:hAnsi="Courier New" w:cs="Courier New" w:hint="default"/>
      </w:rPr>
    </w:lvl>
    <w:lvl w:ilvl="8" w:tplc="080C0005" w:tentative="1">
      <w:start w:val="1"/>
      <w:numFmt w:val="bullet"/>
      <w:lvlText w:val=""/>
      <w:lvlJc w:val="left"/>
      <w:pPr>
        <w:ind w:left="7898" w:hanging="360"/>
      </w:pPr>
      <w:rPr>
        <w:rFonts w:ascii="Wingdings" w:hAnsi="Wingdings" w:hint="default"/>
      </w:rPr>
    </w:lvl>
  </w:abstractNum>
  <w:abstractNum w:abstractNumId="404" w15:restartNumberingAfterBreak="0">
    <w:nsid w:val="445E1128"/>
    <w:multiLevelType w:val="hybridMultilevel"/>
    <w:tmpl w:val="CFB86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5" w15:restartNumberingAfterBreak="0">
    <w:nsid w:val="446227E7"/>
    <w:multiLevelType w:val="hybridMultilevel"/>
    <w:tmpl w:val="082024BA"/>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6" w15:restartNumberingAfterBreak="0">
    <w:nsid w:val="446F0980"/>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7" w15:restartNumberingAfterBreak="0">
    <w:nsid w:val="44746AF7"/>
    <w:multiLevelType w:val="hybridMultilevel"/>
    <w:tmpl w:val="8BA6069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8" w15:restartNumberingAfterBreak="0">
    <w:nsid w:val="447A3124"/>
    <w:multiLevelType w:val="hybridMultilevel"/>
    <w:tmpl w:val="8BF0012C"/>
    <w:lvl w:ilvl="0" w:tplc="04090001">
      <w:start w:val="1"/>
      <w:numFmt w:val="bullet"/>
      <w:lvlText w:val=""/>
      <w:lvlJc w:val="left"/>
      <w:pPr>
        <w:ind w:left="720" w:hanging="360"/>
      </w:pPr>
      <w:rPr>
        <w:rFonts w:ascii="Segoe UI" w:hAnsi="Segoe U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44D271F3"/>
    <w:multiLevelType w:val="multilevel"/>
    <w:tmpl w:val="9790F1D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0" w15:restartNumberingAfterBreak="0">
    <w:nsid w:val="44F10CD8"/>
    <w:multiLevelType w:val="hybridMultilevel"/>
    <w:tmpl w:val="85F45C06"/>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1" w15:restartNumberingAfterBreak="0">
    <w:nsid w:val="45157FFE"/>
    <w:multiLevelType w:val="hybridMultilevel"/>
    <w:tmpl w:val="F27297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2" w15:restartNumberingAfterBreak="0">
    <w:nsid w:val="453A952F"/>
    <w:multiLevelType w:val="hybridMultilevel"/>
    <w:tmpl w:val="FFFFFFFF"/>
    <w:lvl w:ilvl="0" w:tplc="CB563A50">
      <w:start w:val="1"/>
      <w:numFmt w:val="bullet"/>
      <w:lvlText w:val="o"/>
      <w:lvlJc w:val="left"/>
      <w:pPr>
        <w:ind w:left="720" w:hanging="360"/>
      </w:pPr>
      <w:rPr>
        <w:rFonts w:ascii="&quot;Courier New&quot;" w:hAnsi="&quot;Courier New&quot;" w:hint="default"/>
      </w:rPr>
    </w:lvl>
    <w:lvl w:ilvl="1" w:tplc="99107D2E">
      <w:start w:val="1"/>
      <w:numFmt w:val="bullet"/>
      <w:lvlText w:val="o"/>
      <w:lvlJc w:val="left"/>
      <w:pPr>
        <w:ind w:left="1440" w:hanging="360"/>
      </w:pPr>
      <w:rPr>
        <w:rFonts w:ascii="Courier New" w:hAnsi="Courier New" w:hint="default"/>
      </w:rPr>
    </w:lvl>
    <w:lvl w:ilvl="2" w:tplc="E8300AB8">
      <w:start w:val="1"/>
      <w:numFmt w:val="bullet"/>
      <w:lvlText w:val=""/>
      <w:lvlJc w:val="left"/>
      <w:pPr>
        <w:ind w:left="2160" w:hanging="360"/>
      </w:pPr>
      <w:rPr>
        <w:rFonts w:ascii="Wingdings" w:hAnsi="Wingdings" w:hint="default"/>
      </w:rPr>
    </w:lvl>
    <w:lvl w:ilvl="3" w:tplc="98E2AB34">
      <w:start w:val="1"/>
      <w:numFmt w:val="bullet"/>
      <w:lvlText w:val=""/>
      <w:lvlJc w:val="left"/>
      <w:pPr>
        <w:ind w:left="2880" w:hanging="360"/>
      </w:pPr>
      <w:rPr>
        <w:rFonts w:ascii="Symbol" w:hAnsi="Symbol" w:hint="default"/>
      </w:rPr>
    </w:lvl>
    <w:lvl w:ilvl="4" w:tplc="62FCD6FA">
      <w:start w:val="1"/>
      <w:numFmt w:val="bullet"/>
      <w:lvlText w:val="o"/>
      <w:lvlJc w:val="left"/>
      <w:pPr>
        <w:ind w:left="3600" w:hanging="360"/>
      </w:pPr>
      <w:rPr>
        <w:rFonts w:ascii="Courier New" w:hAnsi="Courier New" w:hint="default"/>
      </w:rPr>
    </w:lvl>
    <w:lvl w:ilvl="5" w:tplc="EC703CF2">
      <w:start w:val="1"/>
      <w:numFmt w:val="bullet"/>
      <w:lvlText w:val=""/>
      <w:lvlJc w:val="left"/>
      <w:pPr>
        <w:ind w:left="4320" w:hanging="360"/>
      </w:pPr>
      <w:rPr>
        <w:rFonts w:ascii="Wingdings" w:hAnsi="Wingdings" w:hint="default"/>
      </w:rPr>
    </w:lvl>
    <w:lvl w:ilvl="6" w:tplc="89E48626">
      <w:start w:val="1"/>
      <w:numFmt w:val="bullet"/>
      <w:lvlText w:val=""/>
      <w:lvlJc w:val="left"/>
      <w:pPr>
        <w:ind w:left="5040" w:hanging="360"/>
      </w:pPr>
      <w:rPr>
        <w:rFonts w:ascii="Symbol" w:hAnsi="Symbol" w:hint="default"/>
      </w:rPr>
    </w:lvl>
    <w:lvl w:ilvl="7" w:tplc="CF84975A">
      <w:start w:val="1"/>
      <w:numFmt w:val="bullet"/>
      <w:lvlText w:val="o"/>
      <w:lvlJc w:val="left"/>
      <w:pPr>
        <w:ind w:left="5760" w:hanging="360"/>
      </w:pPr>
      <w:rPr>
        <w:rFonts w:ascii="Courier New" w:hAnsi="Courier New" w:hint="default"/>
      </w:rPr>
    </w:lvl>
    <w:lvl w:ilvl="8" w:tplc="F3384326">
      <w:start w:val="1"/>
      <w:numFmt w:val="bullet"/>
      <w:lvlText w:val=""/>
      <w:lvlJc w:val="left"/>
      <w:pPr>
        <w:ind w:left="6480" w:hanging="360"/>
      </w:pPr>
      <w:rPr>
        <w:rFonts w:ascii="Wingdings" w:hAnsi="Wingdings" w:hint="default"/>
      </w:rPr>
    </w:lvl>
  </w:abstractNum>
  <w:abstractNum w:abstractNumId="413" w15:restartNumberingAfterBreak="0">
    <w:nsid w:val="454654C8"/>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4"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egoe UI" w:hAnsi="Segoe UI" w:hint="default"/>
      </w:rPr>
    </w:lvl>
  </w:abstractNum>
  <w:abstractNum w:abstractNumId="415" w15:restartNumberingAfterBreak="0">
    <w:nsid w:val="45615454"/>
    <w:multiLevelType w:val="hybridMultilevel"/>
    <w:tmpl w:val="D714C7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6" w15:restartNumberingAfterBreak="0">
    <w:nsid w:val="457E3020"/>
    <w:multiLevelType w:val="hybridMultilevel"/>
    <w:tmpl w:val="DA6AA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7" w15:restartNumberingAfterBreak="0">
    <w:nsid w:val="459DE1EA"/>
    <w:multiLevelType w:val="hybridMultilevel"/>
    <w:tmpl w:val="FFFFFFFF"/>
    <w:lvl w:ilvl="0" w:tplc="FAC89114">
      <w:start w:val="1"/>
      <w:numFmt w:val="bullet"/>
      <w:lvlText w:val=""/>
      <w:lvlJc w:val="left"/>
      <w:pPr>
        <w:ind w:left="720" w:hanging="360"/>
      </w:pPr>
      <w:rPr>
        <w:rFonts w:ascii="Segoe UI" w:hAnsi="Segoe UI" w:hint="default"/>
      </w:rPr>
    </w:lvl>
    <w:lvl w:ilvl="1" w:tplc="23BEAF7C">
      <w:start w:val="1"/>
      <w:numFmt w:val="bullet"/>
      <w:lvlText w:val="o"/>
      <w:lvlJc w:val="left"/>
      <w:pPr>
        <w:ind w:left="1440" w:hanging="360"/>
      </w:pPr>
      <w:rPr>
        <w:rFonts w:ascii="Courier New" w:hAnsi="Courier New" w:hint="default"/>
      </w:rPr>
    </w:lvl>
    <w:lvl w:ilvl="2" w:tplc="9E1C0434">
      <w:start w:val="1"/>
      <w:numFmt w:val="bullet"/>
      <w:lvlText w:val=""/>
      <w:lvlJc w:val="left"/>
      <w:pPr>
        <w:ind w:left="2160" w:hanging="360"/>
      </w:pPr>
      <w:rPr>
        <w:rFonts w:ascii="Cambria Math" w:hAnsi="Cambria Math" w:hint="default"/>
      </w:rPr>
    </w:lvl>
    <w:lvl w:ilvl="3" w:tplc="95AC53D2">
      <w:start w:val="1"/>
      <w:numFmt w:val="bullet"/>
      <w:lvlText w:val=""/>
      <w:lvlJc w:val="left"/>
      <w:pPr>
        <w:ind w:left="2880" w:hanging="360"/>
      </w:pPr>
      <w:rPr>
        <w:rFonts w:ascii="Segoe UI" w:hAnsi="Segoe UI" w:hint="default"/>
      </w:rPr>
    </w:lvl>
    <w:lvl w:ilvl="4" w:tplc="2646D9A6">
      <w:start w:val="1"/>
      <w:numFmt w:val="bullet"/>
      <w:lvlText w:val="o"/>
      <w:lvlJc w:val="left"/>
      <w:pPr>
        <w:ind w:left="3600" w:hanging="360"/>
      </w:pPr>
      <w:rPr>
        <w:rFonts w:ascii="Courier New" w:hAnsi="Courier New" w:hint="default"/>
      </w:rPr>
    </w:lvl>
    <w:lvl w:ilvl="5" w:tplc="4D4CD87C">
      <w:start w:val="1"/>
      <w:numFmt w:val="bullet"/>
      <w:lvlText w:val=""/>
      <w:lvlJc w:val="left"/>
      <w:pPr>
        <w:ind w:left="4320" w:hanging="360"/>
      </w:pPr>
      <w:rPr>
        <w:rFonts w:ascii="Cambria Math" w:hAnsi="Cambria Math" w:hint="default"/>
      </w:rPr>
    </w:lvl>
    <w:lvl w:ilvl="6" w:tplc="8BD6F5E8">
      <w:start w:val="1"/>
      <w:numFmt w:val="bullet"/>
      <w:lvlText w:val=""/>
      <w:lvlJc w:val="left"/>
      <w:pPr>
        <w:ind w:left="5040" w:hanging="360"/>
      </w:pPr>
      <w:rPr>
        <w:rFonts w:ascii="Segoe UI" w:hAnsi="Segoe UI" w:hint="default"/>
      </w:rPr>
    </w:lvl>
    <w:lvl w:ilvl="7" w:tplc="49940C00">
      <w:start w:val="1"/>
      <w:numFmt w:val="bullet"/>
      <w:lvlText w:val="o"/>
      <w:lvlJc w:val="left"/>
      <w:pPr>
        <w:ind w:left="5760" w:hanging="360"/>
      </w:pPr>
      <w:rPr>
        <w:rFonts w:ascii="Courier New" w:hAnsi="Courier New" w:hint="default"/>
      </w:rPr>
    </w:lvl>
    <w:lvl w:ilvl="8" w:tplc="DBD06F86">
      <w:start w:val="1"/>
      <w:numFmt w:val="bullet"/>
      <w:lvlText w:val=""/>
      <w:lvlJc w:val="left"/>
      <w:pPr>
        <w:ind w:left="6480" w:hanging="360"/>
      </w:pPr>
      <w:rPr>
        <w:rFonts w:ascii="Cambria Math" w:hAnsi="Cambria Math" w:hint="default"/>
      </w:rPr>
    </w:lvl>
  </w:abstractNum>
  <w:abstractNum w:abstractNumId="418" w15:restartNumberingAfterBreak="0">
    <w:nsid w:val="45BC00BD"/>
    <w:multiLevelType w:val="hybridMultilevel"/>
    <w:tmpl w:val="2DC2D88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9" w15:restartNumberingAfterBreak="0">
    <w:nsid w:val="45FB70EA"/>
    <w:multiLevelType w:val="hybridMultilevel"/>
    <w:tmpl w:val="A53C969E"/>
    <w:lvl w:ilvl="0" w:tplc="18090019">
      <w:start w:val="1"/>
      <w:numFmt w:val="lowerLetter"/>
      <w:lvlText w:val="%1."/>
      <w:lvlJc w:val="left"/>
      <w:pPr>
        <w:ind w:left="720" w:hanging="360"/>
      </w:pPr>
      <w:rPr>
        <w:rFonts w:hint="default"/>
      </w:rPr>
    </w:lvl>
    <w:lvl w:ilvl="1" w:tplc="1809001B">
      <w:start w:val="1"/>
      <w:numFmt w:val="lowerRoman"/>
      <w:lvlText w:val="%2."/>
      <w:lvlJc w:val="right"/>
      <w:pPr>
        <w:ind w:left="1440" w:hanging="360"/>
      </w:pPr>
    </w:lvl>
    <w:lvl w:ilvl="2" w:tplc="1809000F">
      <w:start w:val="1"/>
      <w:numFmt w:val="decimal"/>
      <w:lvlText w:val="%3."/>
      <w:lvlJc w:val="left"/>
      <w:pPr>
        <w:ind w:left="2340" w:hanging="36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0" w15:restartNumberingAfterBreak="0">
    <w:nsid w:val="462B24AF"/>
    <w:multiLevelType w:val="multilevel"/>
    <w:tmpl w:val="F412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468F2093"/>
    <w:multiLevelType w:val="multilevel"/>
    <w:tmpl w:val="C99AB46E"/>
    <w:name w:val="NumPar2"/>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2" w15:restartNumberingAfterBreak="0">
    <w:nsid w:val="46CED197"/>
    <w:multiLevelType w:val="hybridMultilevel"/>
    <w:tmpl w:val="FFFFFFFF"/>
    <w:lvl w:ilvl="0" w:tplc="4AB8E898">
      <w:start w:val="1"/>
      <w:numFmt w:val="bullet"/>
      <w:lvlText w:val="o"/>
      <w:lvlJc w:val="left"/>
      <w:pPr>
        <w:ind w:left="720" w:hanging="360"/>
      </w:pPr>
      <w:rPr>
        <w:rFonts w:ascii="&quot;Courier New&quot;" w:hAnsi="&quot;Courier New&quot;" w:hint="default"/>
      </w:rPr>
    </w:lvl>
    <w:lvl w:ilvl="1" w:tplc="A718E9C4">
      <w:start w:val="1"/>
      <w:numFmt w:val="bullet"/>
      <w:lvlText w:val="o"/>
      <w:lvlJc w:val="left"/>
      <w:pPr>
        <w:ind w:left="1440" w:hanging="360"/>
      </w:pPr>
      <w:rPr>
        <w:rFonts w:ascii="Courier New" w:hAnsi="Courier New" w:hint="default"/>
      </w:rPr>
    </w:lvl>
    <w:lvl w:ilvl="2" w:tplc="9B3A8E0E">
      <w:start w:val="1"/>
      <w:numFmt w:val="bullet"/>
      <w:lvlText w:val=""/>
      <w:lvlJc w:val="left"/>
      <w:pPr>
        <w:ind w:left="2160" w:hanging="360"/>
      </w:pPr>
      <w:rPr>
        <w:rFonts w:ascii="Wingdings" w:hAnsi="Wingdings" w:hint="default"/>
      </w:rPr>
    </w:lvl>
    <w:lvl w:ilvl="3" w:tplc="36C6D10E">
      <w:start w:val="1"/>
      <w:numFmt w:val="bullet"/>
      <w:lvlText w:val=""/>
      <w:lvlJc w:val="left"/>
      <w:pPr>
        <w:ind w:left="2880" w:hanging="360"/>
      </w:pPr>
      <w:rPr>
        <w:rFonts w:ascii="Symbol" w:hAnsi="Symbol" w:hint="default"/>
      </w:rPr>
    </w:lvl>
    <w:lvl w:ilvl="4" w:tplc="7D186640">
      <w:start w:val="1"/>
      <w:numFmt w:val="bullet"/>
      <w:lvlText w:val="o"/>
      <w:lvlJc w:val="left"/>
      <w:pPr>
        <w:ind w:left="3600" w:hanging="360"/>
      </w:pPr>
      <w:rPr>
        <w:rFonts w:ascii="Courier New" w:hAnsi="Courier New" w:hint="default"/>
      </w:rPr>
    </w:lvl>
    <w:lvl w:ilvl="5" w:tplc="44C6EE56">
      <w:start w:val="1"/>
      <w:numFmt w:val="bullet"/>
      <w:lvlText w:val=""/>
      <w:lvlJc w:val="left"/>
      <w:pPr>
        <w:ind w:left="4320" w:hanging="360"/>
      </w:pPr>
      <w:rPr>
        <w:rFonts w:ascii="Wingdings" w:hAnsi="Wingdings" w:hint="default"/>
      </w:rPr>
    </w:lvl>
    <w:lvl w:ilvl="6" w:tplc="E9248694">
      <w:start w:val="1"/>
      <w:numFmt w:val="bullet"/>
      <w:lvlText w:val=""/>
      <w:lvlJc w:val="left"/>
      <w:pPr>
        <w:ind w:left="5040" w:hanging="360"/>
      </w:pPr>
      <w:rPr>
        <w:rFonts w:ascii="Symbol" w:hAnsi="Symbol" w:hint="default"/>
      </w:rPr>
    </w:lvl>
    <w:lvl w:ilvl="7" w:tplc="76AAF964">
      <w:start w:val="1"/>
      <w:numFmt w:val="bullet"/>
      <w:lvlText w:val="o"/>
      <w:lvlJc w:val="left"/>
      <w:pPr>
        <w:ind w:left="5760" w:hanging="360"/>
      </w:pPr>
      <w:rPr>
        <w:rFonts w:ascii="Courier New" w:hAnsi="Courier New" w:hint="default"/>
      </w:rPr>
    </w:lvl>
    <w:lvl w:ilvl="8" w:tplc="395CF626">
      <w:start w:val="1"/>
      <w:numFmt w:val="bullet"/>
      <w:lvlText w:val=""/>
      <w:lvlJc w:val="left"/>
      <w:pPr>
        <w:ind w:left="6480" w:hanging="360"/>
      </w:pPr>
      <w:rPr>
        <w:rFonts w:ascii="Wingdings" w:hAnsi="Wingdings" w:hint="default"/>
      </w:rPr>
    </w:lvl>
  </w:abstractNum>
  <w:abstractNum w:abstractNumId="423" w15:restartNumberingAfterBreak="0">
    <w:nsid w:val="46EC1C26"/>
    <w:multiLevelType w:val="hybridMultilevel"/>
    <w:tmpl w:val="9B160284"/>
    <w:lvl w:ilvl="0" w:tplc="0C0A0001">
      <w:start w:val="1"/>
      <w:numFmt w:val="bullet"/>
      <w:lvlText w:val=""/>
      <w:lvlJc w:val="left"/>
      <w:pPr>
        <w:ind w:left="360" w:hanging="360"/>
      </w:pPr>
      <w:rPr>
        <w:rFonts w:ascii="Courier New" w:hAnsi="Courier New" w:hint="default"/>
        <w:color w:val="7030A0"/>
      </w:rPr>
    </w:lvl>
    <w:lvl w:ilvl="1" w:tplc="FFFFFFFF" w:tentative="1">
      <w:start w:val="1"/>
      <w:numFmt w:val="bullet"/>
      <w:lvlText w:val="o"/>
      <w:lvlJc w:val="left"/>
      <w:pPr>
        <w:ind w:left="1080" w:hanging="360"/>
      </w:pPr>
      <w:rPr>
        <w:rFonts w:ascii="Cambria Math" w:hAnsi="Cambria Math" w:cs="Cambria Math"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Cambria Math" w:hAnsi="Cambria Math" w:cs="Cambria Math"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Cambria Math" w:hAnsi="Cambria Math" w:cs="Cambria Math" w:hint="default"/>
      </w:rPr>
    </w:lvl>
    <w:lvl w:ilvl="8" w:tplc="FFFFFFFF" w:tentative="1">
      <w:start w:val="1"/>
      <w:numFmt w:val="bullet"/>
      <w:lvlText w:val=""/>
      <w:lvlJc w:val="left"/>
      <w:pPr>
        <w:ind w:left="6120" w:hanging="360"/>
      </w:pPr>
      <w:rPr>
        <w:rFonts w:ascii="Wingdings" w:hAnsi="Wingdings" w:hint="default"/>
      </w:rPr>
    </w:lvl>
  </w:abstractNum>
  <w:abstractNum w:abstractNumId="424" w15:restartNumberingAfterBreak="0">
    <w:nsid w:val="471D56DD"/>
    <w:multiLevelType w:val="hybridMultilevel"/>
    <w:tmpl w:val="26D88BDE"/>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474EE9FC"/>
    <w:multiLevelType w:val="multilevel"/>
    <w:tmpl w:val="FFFFFFFF"/>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478F718B"/>
    <w:multiLevelType w:val="hybridMultilevel"/>
    <w:tmpl w:val="0C14B1DC"/>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27" w15:restartNumberingAfterBreak="0">
    <w:nsid w:val="47ABBE4E"/>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8" w15:restartNumberingAfterBreak="0">
    <w:nsid w:val="47BB1A89"/>
    <w:multiLevelType w:val="hybridMultilevel"/>
    <w:tmpl w:val="41C23C94"/>
    <w:lvl w:ilvl="0" w:tplc="FFFFFFF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29" w15:restartNumberingAfterBreak="0">
    <w:nsid w:val="47BCC550"/>
    <w:multiLevelType w:val="hybridMultilevel"/>
    <w:tmpl w:val="FFFFFFFF"/>
    <w:lvl w:ilvl="0" w:tplc="2CCABC2A">
      <w:start w:val="1"/>
      <w:numFmt w:val="bullet"/>
      <w:lvlText w:val=""/>
      <w:lvlJc w:val="left"/>
      <w:pPr>
        <w:ind w:left="720" w:hanging="360"/>
      </w:pPr>
    </w:lvl>
    <w:lvl w:ilvl="1" w:tplc="144C074E">
      <w:start w:val="1"/>
      <w:numFmt w:val="lowerLetter"/>
      <w:lvlText w:val="%2."/>
      <w:lvlJc w:val="left"/>
      <w:pPr>
        <w:ind w:left="1440" w:hanging="360"/>
      </w:pPr>
    </w:lvl>
    <w:lvl w:ilvl="2" w:tplc="BF466FBC">
      <w:start w:val="1"/>
      <w:numFmt w:val="lowerRoman"/>
      <w:lvlText w:val="%3."/>
      <w:lvlJc w:val="right"/>
      <w:pPr>
        <w:ind w:left="2160" w:hanging="180"/>
      </w:pPr>
    </w:lvl>
    <w:lvl w:ilvl="3" w:tplc="E67A738C">
      <w:start w:val="1"/>
      <w:numFmt w:val="decimal"/>
      <w:lvlText w:val="%4."/>
      <w:lvlJc w:val="left"/>
      <w:pPr>
        <w:ind w:left="2880" w:hanging="360"/>
      </w:pPr>
    </w:lvl>
    <w:lvl w:ilvl="4" w:tplc="1BAAB264">
      <w:start w:val="1"/>
      <w:numFmt w:val="lowerLetter"/>
      <w:lvlText w:val="%5."/>
      <w:lvlJc w:val="left"/>
      <w:pPr>
        <w:ind w:left="3600" w:hanging="360"/>
      </w:pPr>
    </w:lvl>
    <w:lvl w:ilvl="5" w:tplc="3508FCD2">
      <w:start w:val="1"/>
      <w:numFmt w:val="lowerRoman"/>
      <w:lvlText w:val="%6."/>
      <w:lvlJc w:val="right"/>
      <w:pPr>
        <w:ind w:left="4320" w:hanging="180"/>
      </w:pPr>
    </w:lvl>
    <w:lvl w:ilvl="6" w:tplc="AC76CA2C">
      <w:start w:val="1"/>
      <w:numFmt w:val="decimal"/>
      <w:lvlText w:val="%7."/>
      <w:lvlJc w:val="left"/>
      <w:pPr>
        <w:ind w:left="5040" w:hanging="360"/>
      </w:pPr>
    </w:lvl>
    <w:lvl w:ilvl="7" w:tplc="7BF2817E">
      <w:start w:val="1"/>
      <w:numFmt w:val="lowerLetter"/>
      <w:lvlText w:val="%8."/>
      <w:lvlJc w:val="left"/>
      <w:pPr>
        <w:ind w:left="5760" w:hanging="360"/>
      </w:pPr>
    </w:lvl>
    <w:lvl w:ilvl="8" w:tplc="5B229082">
      <w:start w:val="1"/>
      <w:numFmt w:val="lowerRoman"/>
      <w:lvlText w:val="%9."/>
      <w:lvlJc w:val="right"/>
      <w:pPr>
        <w:ind w:left="6480" w:hanging="180"/>
      </w:pPr>
    </w:lvl>
  </w:abstractNum>
  <w:abstractNum w:abstractNumId="430" w15:restartNumberingAfterBreak="0">
    <w:nsid w:val="48397EFD"/>
    <w:multiLevelType w:val="multilevel"/>
    <w:tmpl w:val="14625D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1" w15:restartNumberingAfterBreak="0">
    <w:nsid w:val="483B528B"/>
    <w:multiLevelType w:val="hybridMultilevel"/>
    <w:tmpl w:val="FFFFFFFF"/>
    <w:lvl w:ilvl="0" w:tplc="7F821BE2">
      <w:start w:val="10"/>
      <w:numFmt w:val="decimal"/>
      <w:lvlText w:val="%1."/>
      <w:lvlJc w:val="left"/>
      <w:pPr>
        <w:ind w:left="720" w:hanging="360"/>
      </w:pPr>
    </w:lvl>
    <w:lvl w:ilvl="1" w:tplc="2B82A458">
      <w:start w:val="1"/>
      <w:numFmt w:val="lowerLetter"/>
      <w:lvlText w:val="%2."/>
      <w:lvlJc w:val="left"/>
      <w:pPr>
        <w:ind w:left="1440" w:hanging="360"/>
      </w:pPr>
    </w:lvl>
    <w:lvl w:ilvl="2" w:tplc="347624B2">
      <w:start w:val="1"/>
      <w:numFmt w:val="lowerRoman"/>
      <w:lvlText w:val="%3."/>
      <w:lvlJc w:val="right"/>
      <w:pPr>
        <w:ind w:left="2160" w:hanging="180"/>
      </w:pPr>
    </w:lvl>
    <w:lvl w:ilvl="3" w:tplc="10803E08">
      <w:start w:val="1"/>
      <w:numFmt w:val="decimal"/>
      <w:lvlText w:val="%4."/>
      <w:lvlJc w:val="left"/>
      <w:pPr>
        <w:ind w:left="2880" w:hanging="360"/>
      </w:pPr>
    </w:lvl>
    <w:lvl w:ilvl="4" w:tplc="1CD0DEAC">
      <w:start w:val="1"/>
      <w:numFmt w:val="lowerLetter"/>
      <w:lvlText w:val="%5."/>
      <w:lvlJc w:val="left"/>
      <w:pPr>
        <w:ind w:left="3600" w:hanging="360"/>
      </w:pPr>
    </w:lvl>
    <w:lvl w:ilvl="5" w:tplc="218C4D84">
      <w:start w:val="1"/>
      <w:numFmt w:val="lowerRoman"/>
      <w:lvlText w:val="%6."/>
      <w:lvlJc w:val="right"/>
      <w:pPr>
        <w:ind w:left="4320" w:hanging="180"/>
      </w:pPr>
    </w:lvl>
    <w:lvl w:ilvl="6" w:tplc="3A763472">
      <w:start w:val="1"/>
      <w:numFmt w:val="decimal"/>
      <w:lvlText w:val="%7."/>
      <w:lvlJc w:val="left"/>
      <w:pPr>
        <w:ind w:left="5040" w:hanging="360"/>
      </w:pPr>
    </w:lvl>
    <w:lvl w:ilvl="7" w:tplc="79B8FE1C">
      <w:start w:val="1"/>
      <w:numFmt w:val="lowerLetter"/>
      <w:lvlText w:val="%8."/>
      <w:lvlJc w:val="left"/>
      <w:pPr>
        <w:ind w:left="5760" w:hanging="360"/>
      </w:pPr>
    </w:lvl>
    <w:lvl w:ilvl="8" w:tplc="FE1E7EBA">
      <w:start w:val="1"/>
      <w:numFmt w:val="lowerRoman"/>
      <w:lvlText w:val="%9."/>
      <w:lvlJc w:val="right"/>
      <w:pPr>
        <w:ind w:left="6480" w:hanging="180"/>
      </w:pPr>
    </w:lvl>
  </w:abstractNum>
  <w:abstractNum w:abstractNumId="432" w15:restartNumberingAfterBreak="0">
    <w:nsid w:val="485B142E"/>
    <w:multiLevelType w:val="hybridMultilevel"/>
    <w:tmpl w:val="E45670F2"/>
    <w:lvl w:ilvl="0" w:tplc="18090019">
      <w:start w:val="1"/>
      <w:numFmt w:val="lowerLetter"/>
      <w:lvlText w:val="%1."/>
      <w:lvlJc w:val="lef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3" w15:restartNumberingAfterBreak="0">
    <w:nsid w:val="487B4A95"/>
    <w:multiLevelType w:val="hybridMultilevel"/>
    <w:tmpl w:val="D7FA092A"/>
    <w:lvl w:ilvl="0" w:tplc="EF6EEC0C">
      <w:start w:val="1"/>
      <w:numFmt w:val="lowerLetter"/>
      <w:lvlText w:val="%1)"/>
      <w:lvlJc w:val="left"/>
      <w:pPr>
        <w:ind w:left="108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4" w15:restartNumberingAfterBreak="0">
    <w:nsid w:val="4890172E"/>
    <w:multiLevelType w:val="hybridMultilevel"/>
    <w:tmpl w:val="FFFFFFFF"/>
    <w:lvl w:ilvl="0" w:tplc="3BB4CCB0">
      <w:start w:val="1"/>
      <w:numFmt w:val="bullet"/>
      <w:lvlText w:val="-"/>
      <w:lvlJc w:val="left"/>
      <w:pPr>
        <w:ind w:left="720" w:hanging="360"/>
      </w:pPr>
      <w:rPr>
        <w:rFonts w:ascii="Wingdings" w:hAnsi="Wingdings" w:hint="default"/>
      </w:rPr>
    </w:lvl>
    <w:lvl w:ilvl="1" w:tplc="F67EFD16">
      <w:start w:val="1"/>
      <w:numFmt w:val="bullet"/>
      <w:lvlText w:val="o"/>
      <w:lvlJc w:val="left"/>
      <w:pPr>
        <w:ind w:left="1440" w:hanging="360"/>
      </w:pPr>
      <w:rPr>
        <w:rFonts w:ascii="Courier New" w:hAnsi="Courier New" w:hint="default"/>
      </w:rPr>
    </w:lvl>
    <w:lvl w:ilvl="2" w:tplc="E0189C88">
      <w:start w:val="1"/>
      <w:numFmt w:val="bullet"/>
      <w:lvlText w:val=""/>
      <w:lvlJc w:val="left"/>
      <w:pPr>
        <w:ind w:left="2160" w:hanging="360"/>
      </w:pPr>
      <w:rPr>
        <w:rFonts w:ascii="Cambria Math" w:hAnsi="Cambria Math" w:hint="default"/>
      </w:rPr>
    </w:lvl>
    <w:lvl w:ilvl="3" w:tplc="AE14D020">
      <w:start w:val="1"/>
      <w:numFmt w:val="bullet"/>
      <w:lvlText w:val=""/>
      <w:lvlJc w:val="left"/>
      <w:pPr>
        <w:ind w:left="2880" w:hanging="360"/>
      </w:pPr>
      <w:rPr>
        <w:rFonts w:ascii="Segoe UI" w:hAnsi="Segoe UI" w:hint="default"/>
      </w:rPr>
    </w:lvl>
    <w:lvl w:ilvl="4" w:tplc="1B5C0688">
      <w:start w:val="1"/>
      <w:numFmt w:val="bullet"/>
      <w:lvlText w:val="o"/>
      <w:lvlJc w:val="left"/>
      <w:pPr>
        <w:ind w:left="3600" w:hanging="360"/>
      </w:pPr>
      <w:rPr>
        <w:rFonts w:ascii="Courier New" w:hAnsi="Courier New" w:hint="default"/>
      </w:rPr>
    </w:lvl>
    <w:lvl w:ilvl="5" w:tplc="11B811CC">
      <w:start w:val="1"/>
      <w:numFmt w:val="bullet"/>
      <w:lvlText w:val=""/>
      <w:lvlJc w:val="left"/>
      <w:pPr>
        <w:ind w:left="4320" w:hanging="360"/>
      </w:pPr>
      <w:rPr>
        <w:rFonts w:ascii="Cambria Math" w:hAnsi="Cambria Math" w:hint="default"/>
      </w:rPr>
    </w:lvl>
    <w:lvl w:ilvl="6" w:tplc="00E0D25C">
      <w:start w:val="1"/>
      <w:numFmt w:val="bullet"/>
      <w:lvlText w:val=""/>
      <w:lvlJc w:val="left"/>
      <w:pPr>
        <w:ind w:left="5040" w:hanging="360"/>
      </w:pPr>
      <w:rPr>
        <w:rFonts w:ascii="Segoe UI" w:hAnsi="Segoe UI" w:hint="default"/>
      </w:rPr>
    </w:lvl>
    <w:lvl w:ilvl="7" w:tplc="CDAAA7F6">
      <w:start w:val="1"/>
      <w:numFmt w:val="bullet"/>
      <w:lvlText w:val="o"/>
      <w:lvlJc w:val="left"/>
      <w:pPr>
        <w:ind w:left="5760" w:hanging="360"/>
      </w:pPr>
      <w:rPr>
        <w:rFonts w:ascii="Courier New" w:hAnsi="Courier New" w:hint="default"/>
      </w:rPr>
    </w:lvl>
    <w:lvl w:ilvl="8" w:tplc="2E0CCC68">
      <w:start w:val="1"/>
      <w:numFmt w:val="bullet"/>
      <w:lvlText w:val=""/>
      <w:lvlJc w:val="left"/>
      <w:pPr>
        <w:ind w:left="6480" w:hanging="360"/>
      </w:pPr>
      <w:rPr>
        <w:rFonts w:ascii="Cambria Math" w:hAnsi="Cambria Math" w:hint="default"/>
      </w:rPr>
    </w:lvl>
  </w:abstractNum>
  <w:abstractNum w:abstractNumId="435" w15:restartNumberingAfterBreak="0">
    <w:nsid w:val="48C90469"/>
    <w:multiLevelType w:val="hybridMultilevel"/>
    <w:tmpl w:val="A83C9AC2"/>
    <w:lvl w:ilvl="0" w:tplc="04090001">
      <w:start w:val="1"/>
      <w:numFmt w:val="bullet"/>
      <w:lvlText w:val=""/>
      <w:lvlJc w:val="left"/>
      <w:pPr>
        <w:ind w:left="1146" w:hanging="360"/>
      </w:pPr>
      <w:rPr>
        <w:rFonts w:ascii="Segoe UI" w:hAnsi="Segoe U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Cambria Math" w:hAnsi="Cambria Math" w:hint="default"/>
      </w:rPr>
    </w:lvl>
    <w:lvl w:ilvl="3" w:tplc="04090001" w:tentative="1">
      <w:start w:val="1"/>
      <w:numFmt w:val="bullet"/>
      <w:lvlText w:val=""/>
      <w:lvlJc w:val="left"/>
      <w:pPr>
        <w:ind w:left="3306" w:hanging="360"/>
      </w:pPr>
      <w:rPr>
        <w:rFonts w:ascii="Segoe UI" w:hAnsi="Segoe UI"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Cambria Math" w:hAnsi="Cambria Math" w:hint="default"/>
      </w:rPr>
    </w:lvl>
    <w:lvl w:ilvl="6" w:tplc="04090001" w:tentative="1">
      <w:start w:val="1"/>
      <w:numFmt w:val="bullet"/>
      <w:lvlText w:val=""/>
      <w:lvlJc w:val="left"/>
      <w:pPr>
        <w:ind w:left="5466" w:hanging="360"/>
      </w:pPr>
      <w:rPr>
        <w:rFonts w:ascii="Segoe UI" w:hAnsi="Segoe UI"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Cambria Math" w:hAnsi="Cambria Math" w:hint="default"/>
      </w:rPr>
    </w:lvl>
  </w:abstractNum>
  <w:abstractNum w:abstractNumId="436" w15:restartNumberingAfterBreak="0">
    <w:nsid w:val="48EB12EE"/>
    <w:multiLevelType w:val="multilevel"/>
    <w:tmpl w:val="EE165CF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48FC77B1"/>
    <w:multiLevelType w:val="hybridMultilevel"/>
    <w:tmpl w:val="FFFFFFFF"/>
    <w:lvl w:ilvl="0" w:tplc="75B658A6">
      <w:start w:val="3"/>
      <w:numFmt w:val="decimal"/>
      <w:lvlText w:val="%1."/>
      <w:lvlJc w:val="left"/>
      <w:pPr>
        <w:ind w:left="720" w:hanging="360"/>
      </w:pPr>
    </w:lvl>
    <w:lvl w:ilvl="1" w:tplc="7584D310">
      <w:start w:val="1"/>
      <w:numFmt w:val="lowerLetter"/>
      <w:lvlText w:val="%2."/>
      <w:lvlJc w:val="left"/>
      <w:pPr>
        <w:ind w:left="1440" w:hanging="360"/>
      </w:pPr>
    </w:lvl>
    <w:lvl w:ilvl="2" w:tplc="A5A09F02">
      <w:start w:val="1"/>
      <w:numFmt w:val="lowerRoman"/>
      <w:lvlText w:val="%3."/>
      <w:lvlJc w:val="right"/>
      <w:pPr>
        <w:ind w:left="2160" w:hanging="180"/>
      </w:pPr>
    </w:lvl>
    <w:lvl w:ilvl="3" w:tplc="85B048FA">
      <w:start w:val="1"/>
      <w:numFmt w:val="decimal"/>
      <w:lvlText w:val="%4."/>
      <w:lvlJc w:val="left"/>
      <w:pPr>
        <w:ind w:left="2880" w:hanging="360"/>
      </w:pPr>
    </w:lvl>
    <w:lvl w:ilvl="4" w:tplc="17F8DA0E">
      <w:start w:val="1"/>
      <w:numFmt w:val="lowerLetter"/>
      <w:lvlText w:val="%5."/>
      <w:lvlJc w:val="left"/>
      <w:pPr>
        <w:ind w:left="3600" w:hanging="360"/>
      </w:pPr>
    </w:lvl>
    <w:lvl w:ilvl="5" w:tplc="C8481808">
      <w:start w:val="1"/>
      <w:numFmt w:val="lowerRoman"/>
      <w:lvlText w:val="%6."/>
      <w:lvlJc w:val="right"/>
      <w:pPr>
        <w:ind w:left="4320" w:hanging="180"/>
      </w:pPr>
    </w:lvl>
    <w:lvl w:ilvl="6" w:tplc="5DB69FEA">
      <w:start w:val="1"/>
      <w:numFmt w:val="decimal"/>
      <w:lvlText w:val="%7."/>
      <w:lvlJc w:val="left"/>
      <w:pPr>
        <w:ind w:left="5040" w:hanging="360"/>
      </w:pPr>
    </w:lvl>
    <w:lvl w:ilvl="7" w:tplc="54103C44">
      <w:start w:val="1"/>
      <w:numFmt w:val="lowerLetter"/>
      <w:lvlText w:val="%8."/>
      <w:lvlJc w:val="left"/>
      <w:pPr>
        <w:ind w:left="5760" w:hanging="360"/>
      </w:pPr>
    </w:lvl>
    <w:lvl w:ilvl="8" w:tplc="725A59E2">
      <w:start w:val="1"/>
      <w:numFmt w:val="lowerRoman"/>
      <w:lvlText w:val="%9."/>
      <w:lvlJc w:val="right"/>
      <w:pPr>
        <w:ind w:left="6480" w:hanging="180"/>
      </w:pPr>
    </w:lvl>
  </w:abstractNum>
  <w:abstractNum w:abstractNumId="438" w15:restartNumberingAfterBreak="0">
    <w:nsid w:val="4915D071"/>
    <w:multiLevelType w:val="hybridMultilevel"/>
    <w:tmpl w:val="FFFFFFFF"/>
    <w:lvl w:ilvl="0" w:tplc="2EE0A928">
      <w:start w:val="11"/>
      <w:numFmt w:val="decimal"/>
      <w:lvlText w:val="%1."/>
      <w:lvlJc w:val="left"/>
      <w:pPr>
        <w:ind w:left="720" w:hanging="360"/>
      </w:pPr>
    </w:lvl>
    <w:lvl w:ilvl="1" w:tplc="EAB2449E">
      <w:start w:val="1"/>
      <w:numFmt w:val="lowerLetter"/>
      <w:lvlText w:val="%2."/>
      <w:lvlJc w:val="left"/>
      <w:pPr>
        <w:ind w:left="1440" w:hanging="360"/>
      </w:pPr>
    </w:lvl>
    <w:lvl w:ilvl="2" w:tplc="C9AEC134">
      <w:start w:val="1"/>
      <w:numFmt w:val="lowerRoman"/>
      <w:lvlText w:val="%3."/>
      <w:lvlJc w:val="right"/>
      <w:pPr>
        <w:ind w:left="2160" w:hanging="180"/>
      </w:pPr>
    </w:lvl>
    <w:lvl w:ilvl="3" w:tplc="A132A81C">
      <w:start w:val="1"/>
      <w:numFmt w:val="decimal"/>
      <w:lvlText w:val="%4."/>
      <w:lvlJc w:val="left"/>
      <w:pPr>
        <w:ind w:left="2880" w:hanging="360"/>
      </w:pPr>
    </w:lvl>
    <w:lvl w:ilvl="4" w:tplc="C2AA79EC">
      <w:start w:val="1"/>
      <w:numFmt w:val="lowerLetter"/>
      <w:lvlText w:val="%5."/>
      <w:lvlJc w:val="left"/>
      <w:pPr>
        <w:ind w:left="3600" w:hanging="360"/>
      </w:pPr>
    </w:lvl>
    <w:lvl w:ilvl="5" w:tplc="BFB2A5F0">
      <w:start w:val="1"/>
      <w:numFmt w:val="lowerRoman"/>
      <w:lvlText w:val="%6."/>
      <w:lvlJc w:val="right"/>
      <w:pPr>
        <w:ind w:left="4320" w:hanging="180"/>
      </w:pPr>
    </w:lvl>
    <w:lvl w:ilvl="6" w:tplc="9226222C">
      <w:start w:val="1"/>
      <w:numFmt w:val="decimal"/>
      <w:lvlText w:val="%7."/>
      <w:lvlJc w:val="left"/>
      <w:pPr>
        <w:ind w:left="5040" w:hanging="360"/>
      </w:pPr>
    </w:lvl>
    <w:lvl w:ilvl="7" w:tplc="62E41EAC">
      <w:start w:val="1"/>
      <w:numFmt w:val="lowerLetter"/>
      <w:lvlText w:val="%8."/>
      <w:lvlJc w:val="left"/>
      <w:pPr>
        <w:ind w:left="5760" w:hanging="360"/>
      </w:pPr>
    </w:lvl>
    <w:lvl w:ilvl="8" w:tplc="1B82CF3E">
      <w:start w:val="1"/>
      <w:numFmt w:val="lowerRoman"/>
      <w:lvlText w:val="%9."/>
      <w:lvlJc w:val="right"/>
      <w:pPr>
        <w:ind w:left="6480" w:hanging="180"/>
      </w:pPr>
    </w:lvl>
  </w:abstractNum>
  <w:abstractNum w:abstractNumId="439" w15:restartNumberingAfterBreak="0">
    <w:nsid w:val="492A0F6F"/>
    <w:multiLevelType w:val="hybridMultilevel"/>
    <w:tmpl w:val="FFFFFFFF"/>
    <w:lvl w:ilvl="0" w:tplc="B6BAA23E">
      <w:start w:val="8"/>
      <w:numFmt w:val="decimal"/>
      <w:lvlText w:val="%1."/>
      <w:lvlJc w:val="left"/>
      <w:pPr>
        <w:ind w:left="720" w:hanging="360"/>
      </w:pPr>
    </w:lvl>
    <w:lvl w:ilvl="1" w:tplc="CD5E39DA">
      <w:start w:val="1"/>
      <w:numFmt w:val="lowerLetter"/>
      <w:lvlText w:val="%2."/>
      <w:lvlJc w:val="left"/>
      <w:pPr>
        <w:ind w:left="1440" w:hanging="360"/>
      </w:pPr>
    </w:lvl>
    <w:lvl w:ilvl="2" w:tplc="B6A219F0">
      <w:start w:val="1"/>
      <w:numFmt w:val="lowerRoman"/>
      <w:lvlText w:val="%3."/>
      <w:lvlJc w:val="right"/>
      <w:pPr>
        <w:ind w:left="2160" w:hanging="180"/>
      </w:pPr>
    </w:lvl>
    <w:lvl w:ilvl="3" w:tplc="7ACC67FA">
      <w:start w:val="1"/>
      <w:numFmt w:val="decimal"/>
      <w:lvlText w:val="%4."/>
      <w:lvlJc w:val="left"/>
      <w:pPr>
        <w:ind w:left="2880" w:hanging="360"/>
      </w:pPr>
    </w:lvl>
    <w:lvl w:ilvl="4" w:tplc="80945330">
      <w:start w:val="1"/>
      <w:numFmt w:val="lowerLetter"/>
      <w:lvlText w:val="%5."/>
      <w:lvlJc w:val="left"/>
      <w:pPr>
        <w:ind w:left="3600" w:hanging="360"/>
      </w:pPr>
    </w:lvl>
    <w:lvl w:ilvl="5" w:tplc="DF1CE57A">
      <w:start w:val="1"/>
      <w:numFmt w:val="lowerRoman"/>
      <w:lvlText w:val="%6."/>
      <w:lvlJc w:val="right"/>
      <w:pPr>
        <w:ind w:left="4320" w:hanging="180"/>
      </w:pPr>
    </w:lvl>
    <w:lvl w:ilvl="6" w:tplc="3970EC86">
      <w:start w:val="1"/>
      <w:numFmt w:val="decimal"/>
      <w:lvlText w:val="%7."/>
      <w:lvlJc w:val="left"/>
      <w:pPr>
        <w:ind w:left="5040" w:hanging="360"/>
      </w:pPr>
    </w:lvl>
    <w:lvl w:ilvl="7" w:tplc="85A20DBA">
      <w:start w:val="1"/>
      <w:numFmt w:val="lowerLetter"/>
      <w:lvlText w:val="%8."/>
      <w:lvlJc w:val="left"/>
      <w:pPr>
        <w:ind w:left="5760" w:hanging="360"/>
      </w:pPr>
    </w:lvl>
    <w:lvl w:ilvl="8" w:tplc="D3D4FDF2">
      <w:start w:val="1"/>
      <w:numFmt w:val="lowerRoman"/>
      <w:lvlText w:val="%9."/>
      <w:lvlJc w:val="right"/>
      <w:pPr>
        <w:ind w:left="6480" w:hanging="180"/>
      </w:pPr>
    </w:lvl>
  </w:abstractNum>
  <w:abstractNum w:abstractNumId="440" w15:restartNumberingAfterBreak="0">
    <w:nsid w:val="495C0E24"/>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41" w15:restartNumberingAfterBreak="0">
    <w:nsid w:val="49E21ADC"/>
    <w:multiLevelType w:val="multilevel"/>
    <w:tmpl w:val="59A20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49E2FE03"/>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3" w15:restartNumberingAfterBreak="0">
    <w:nsid w:val="49E34E33"/>
    <w:multiLevelType w:val="multilevel"/>
    <w:tmpl w:val="1AA44D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4A100B21"/>
    <w:multiLevelType w:val="hybridMultilevel"/>
    <w:tmpl w:val="E640C21C"/>
    <w:lvl w:ilvl="0" w:tplc="1809000F">
      <w:start w:val="1"/>
      <w:numFmt w:val="decimal"/>
      <w:lvlText w:val="%1."/>
      <w:lvlJc w:val="left"/>
      <w:pPr>
        <w:ind w:left="720" w:hanging="360"/>
      </w:pPr>
    </w:lvl>
    <w:lvl w:ilvl="1" w:tplc="295AC798">
      <w:start w:val="1"/>
      <w:numFmt w:val="decimal"/>
      <w:lvlText w:val="%2."/>
      <w:lvlJc w:val="left"/>
      <w:pPr>
        <w:ind w:left="1440" w:hanging="360"/>
      </w:pPr>
      <w:rPr>
        <w:rFonts w:ascii="Times New Roman" w:eastAsiaTheme="minorHAnsi" w:hAnsi="Times New Roman" w:cs="Times New Roman"/>
        <w:lang w:val="en-IE"/>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5" w15:restartNumberingAfterBreak="0">
    <w:nsid w:val="4A142CC1"/>
    <w:multiLevelType w:val="multilevel"/>
    <w:tmpl w:val="5D54D40A"/>
    <w:lvl w:ilvl="0">
      <w:start w:val="1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6" w15:restartNumberingAfterBreak="0">
    <w:nsid w:val="4A1C5412"/>
    <w:multiLevelType w:val="hybridMultilevel"/>
    <w:tmpl w:val="FFFFFFFF"/>
    <w:lvl w:ilvl="0" w:tplc="03AACEC4">
      <w:start w:val="9"/>
      <w:numFmt w:val="decimal"/>
      <w:lvlText w:val="%1."/>
      <w:lvlJc w:val="left"/>
      <w:pPr>
        <w:ind w:left="720" w:hanging="360"/>
      </w:pPr>
    </w:lvl>
    <w:lvl w:ilvl="1" w:tplc="AFDC1670">
      <w:start w:val="1"/>
      <w:numFmt w:val="lowerLetter"/>
      <w:lvlText w:val="%2."/>
      <w:lvlJc w:val="left"/>
      <w:pPr>
        <w:ind w:left="1440" w:hanging="360"/>
      </w:pPr>
    </w:lvl>
    <w:lvl w:ilvl="2" w:tplc="26C82212">
      <w:start w:val="1"/>
      <w:numFmt w:val="lowerRoman"/>
      <w:lvlText w:val="%3."/>
      <w:lvlJc w:val="right"/>
      <w:pPr>
        <w:ind w:left="2160" w:hanging="180"/>
      </w:pPr>
    </w:lvl>
    <w:lvl w:ilvl="3" w:tplc="7FE85760">
      <w:start w:val="1"/>
      <w:numFmt w:val="decimal"/>
      <w:lvlText w:val="%4."/>
      <w:lvlJc w:val="left"/>
      <w:pPr>
        <w:ind w:left="2880" w:hanging="360"/>
      </w:pPr>
    </w:lvl>
    <w:lvl w:ilvl="4" w:tplc="84C057FE">
      <w:start w:val="1"/>
      <w:numFmt w:val="lowerLetter"/>
      <w:lvlText w:val="%5."/>
      <w:lvlJc w:val="left"/>
      <w:pPr>
        <w:ind w:left="3600" w:hanging="360"/>
      </w:pPr>
    </w:lvl>
    <w:lvl w:ilvl="5" w:tplc="2A9ACB2E">
      <w:start w:val="1"/>
      <w:numFmt w:val="lowerRoman"/>
      <w:lvlText w:val="%6."/>
      <w:lvlJc w:val="right"/>
      <w:pPr>
        <w:ind w:left="4320" w:hanging="180"/>
      </w:pPr>
    </w:lvl>
    <w:lvl w:ilvl="6" w:tplc="21D07984">
      <w:start w:val="1"/>
      <w:numFmt w:val="decimal"/>
      <w:lvlText w:val="%7."/>
      <w:lvlJc w:val="left"/>
      <w:pPr>
        <w:ind w:left="5040" w:hanging="360"/>
      </w:pPr>
    </w:lvl>
    <w:lvl w:ilvl="7" w:tplc="1856F046">
      <w:start w:val="1"/>
      <w:numFmt w:val="lowerLetter"/>
      <w:lvlText w:val="%8."/>
      <w:lvlJc w:val="left"/>
      <w:pPr>
        <w:ind w:left="5760" w:hanging="360"/>
      </w:pPr>
    </w:lvl>
    <w:lvl w:ilvl="8" w:tplc="541AC522">
      <w:start w:val="1"/>
      <w:numFmt w:val="lowerRoman"/>
      <w:lvlText w:val="%9."/>
      <w:lvlJc w:val="right"/>
      <w:pPr>
        <w:ind w:left="6480" w:hanging="180"/>
      </w:pPr>
    </w:lvl>
  </w:abstractNum>
  <w:abstractNum w:abstractNumId="447" w15:restartNumberingAfterBreak="0">
    <w:nsid w:val="4A544A98"/>
    <w:multiLevelType w:val="hybridMultilevel"/>
    <w:tmpl w:val="B2CA72D2"/>
    <w:lvl w:ilvl="0" w:tplc="D852426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8" w15:restartNumberingAfterBreak="0">
    <w:nsid w:val="4AC4F422"/>
    <w:multiLevelType w:val="hybridMultilevel"/>
    <w:tmpl w:val="FFFFFFFF"/>
    <w:lvl w:ilvl="0" w:tplc="998E45FA">
      <w:start w:val="1"/>
      <w:numFmt w:val="bullet"/>
      <w:lvlText w:val=""/>
      <w:lvlJc w:val="left"/>
      <w:pPr>
        <w:ind w:left="720" w:hanging="360"/>
      </w:pPr>
      <w:rPr>
        <w:rFonts w:ascii="Segoe UI" w:hAnsi="Segoe UI" w:hint="default"/>
      </w:rPr>
    </w:lvl>
    <w:lvl w:ilvl="1" w:tplc="061A7F9E">
      <w:start w:val="1"/>
      <w:numFmt w:val="bullet"/>
      <w:lvlText w:val="o"/>
      <w:lvlJc w:val="left"/>
      <w:pPr>
        <w:ind w:left="1440" w:hanging="360"/>
      </w:pPr>
      <w:rPr>
        <w:rFonts w:ascii="Courier New" w:hAnsi="Courier New" w:hint="default"/>
      </w:rPr>
    </w:lvl>
    <w:lvl w:ilvl="2" w:tplc="4D8445D2">
      <w:start w:val="1"/>
      <w:numFmt w:val="bullet"/>
      <w:lvlText w:val=""/>
      <w:lvlJc w:val="left"/>
      <w:pPr>
        <w:ind w:left="2160" w:hanging="360"/>
      </w:pPr>
      <w:rPr>
        <w:rFonts w:ascii="Cambria Math" w:hAnsi="Cambria Math" w:hint="default"/>
      </w:rPr>
    </w:lvl>
    <w:lvl w:ilvl="3" w:tplc="DCCC24B6">
      <w:start w:val="1"/>
      <w:numFmt w:val="bullet"/>
      <w:lvlText w:val=""/>
      <w:lvlJc w:val="left"/>
      <w:pPr>
        <w:ind w:left="2880" w:hanging="360"/>
      </w:pPr>
      <w:rPr>
        <w:rFonts w:ascii="Segoe UI" w:hAnsi="Segoe UI" w:hint="default"/>
      </w:rPr>
    </w:lvl>
    <w:lvl w:ilvl="4" w:tplc="E196C9A8">
      <w:start w:val="1"/>
      <w:numFmt w:val="bullet"/>
      <w:lvlText w:val="o"/>
      <w:lvlJc w:val="left"/>
      <w:pPr>
        <w:ind w:left="3600" w:hanging="360"/>
      </w:pPr>
      <w:rPr>
        <w:rFonts w:ascii="Courier New" w:hAnsi="Courier New" w:hint="default"/>
      </w:rPr>
    </w:lvl>
    <w:lvl w:ilvl="5" w:tplc="DF14B97E">
      <w:start w:val="1"/>
      <w:numFmt w:val="bullet"/>
      <w:lvlText w:val=""/>
      <w:lvlJc w:val="left"/>
      <w:pPr>
        <w:ind w:left="4320" w:hanging="360"/>
      </w:pPr>
      <w:rPr>
        <w:rFonts w:ascii="Cambria Math" w:hAnsi="Cambria Math" w:hint="default"/>
      </w:rPr>
    </w:lvl>
    <w:lvl w:ilvl="6" w:tplc="BA86517A">
      <w:start w:val="1"/>
      <w:numFmt w:val="bullet"/>
      <w:lvlText w:val=""/>
      <w:lvlJc w:val="left"/>
      <w:pPr>
        <w:ind w:left="5040" w:hanging="360"/>
      </w:pPr>
      <w:rPr>
        <w:rFonts w:ascii="Segoe UI" w:hAnsi="Segoe UI" w:hint="default"/>
      </w:rPr>
    </w:lvl>
    <w:lvl w:ilvl="7" w:tplc="43241E1A">
      <w:start w:val="1"/>
      <w:numFmt w:val="bullet"/>
      <w:lvlText w:val="o"/>
      <w:lvlJc w:val="left"/>
      <w:pPr>
        <w:ind w:left="5760" w:hanging="360"/>
      </w:pPr>
      <w:rPr>
        <w:rFonts w:ascii="Courier New" w:hAnsi="Courier New" w:hint="default"/>
      </w:rPr>
    </w:lvl>
    <w:lvl w:ilvl="8" w:tplc="20301AF0">
      <w:start w:val="1"/>
      <w:numFmt w:val="bullet"/>
      <w:lvlText w:val=""/>
      <w:lvlJc w:val="left"/>
      <w:pPr>
        <w:ind w:left="6480" w:hanging="360"/>
      </w:pPr>
      <w:rPr>
        <w:rFonts w:ascii="Cambria Math" w:hAnsi="Cambria Math" w:hint="default"/>
      </w:rPr>
    </w:lvl>
  </w:abstractNum>
  <w:abstractNum w:abstractNumId="449" w15:restartNumberingAfterBreak="0">
    <w:nsid w:val="4ACD50C2"/>
    <w:multiLevelType w:val="hybridMultilevel"/>
    <w:tmpl w:val="FFFFFFFF"/>
    <w:lvl w:ilvl="0" w:tplc="0E1459E4">
      <w:start w:val="6"/>
      <w:numFmt w:val="decimal"/>
      <w:lvlText w:val="%1."/>
      <w:lvlJc w:val="left"/>
      <w:pPr>
        <w:ind w:left="720" w:hanging="360"/>
      </w:pPr>
    </w:lvl>
    <w:lvl w:ilvl="1" w:tplc="164816D0">
      <w:start w:val="1"/>
      <w:numFmt w:val="lowerLetter"/>
      <w:lvlText w:val="%2."/>
      <w:lvlJc w:val="left"/>
      <w:pPr>
        <w:ind w:left="1440" w:hanging="360"/>
      </w:pPr>
    </w:lvl>
    <w:lvl w:ilvl="2" w:tplc="84E265F8">
      <w:start w:val="1"/>
      <w:numFmt w:val="lowerRoman"/>
      <w:lvlText w:val="%3."/>
      <w:lvlJc w:val="right"/>
      <w:pPr>
        <w:ind w:left="2160" w:hanging="180"/>
      </w:pPr>
    </w:lvl>
    <w:lvl w:ilvl="3" w:tplc="49B8967A">
      <w:start w:val="1"/>
      <w:numFmt w:val="decimal"/>
      <w:lvlText w:val="%4."/>
      <w:lvlJc w:val="left"/>
      <w:pPr>
        <w:ind w:left="2880" w:hanging="360"/>
      </w:pPr>
    </w:lvl>
    <w:lvl w:ilvl="4" w:tplc="4B72ACA0">
      <w:start w:val="1"/>
      <w:numFmt w:val="lowerLetter"/>
      <w:lvlText w:val="%5."/>
      <w:lvlJc w:val="left"/>
      <w:pPr>
        <w:ind w:left="3600" w:hanging="360"/>
      </w:pPr>
    </w:lvl>
    <w:lvl w:ilvl="5" w:tplc="E7E6EB1C">
      <w:start w:val="1"/>
      <w:numFmt w:val="lowerRoman"/>
      <w:lvlText w:val="%6."/>
      <w:lvlJc w:val="right"/>
      <w:pPr>
        <w:ind w:left="4320" w:hanging="180"/>
      </w:pPr>
    </w:lvl>
    <w:lvl w:ilvl="6" w:tplc="4C0CD5D2">
      <w:start w:val="1"/>
      <w:numFmt w:val="decimal"/>
      <w:lvlText w:val="%7."/>
      <w:lvlJc w:val="left"/>
      <w:pPr>
        <w:ind w:left="5040" w:hanging="360"/>
      </w:pPr>
    </w:lvl>
    <w:lvl w:ilvl="7" w:tplc="9B92CA5E">
      <w:start w:val="1"/>
      <w:numFmt w:val="lowerLetter"/>
      <w:lvlText w:val="%8."/>
      <w:lvlJc w:val="left"/>
      <w:pPr>
        <w:ind w:left="5760" w:hanging="360"/>
      </w:pPr>
    </w:lvl>
    <w:lvl w:ilvl="8" w:tplc="309AFE0E">
      <w:start w:val="1"/>
      <w:numFmt w:val="lowerRoman"/>
      <w:lvlText w:val="%9."/>
      <w:lvlJc w:val="right"/>
      <w:pPr>
        <w:ind w:left="6480" w:hanging="180"/>
      </w:pPr>
    </w:lvl>
  </w:abstractNum>
  <w:abstractNum w:abstractNumId="450" w15:restartNumberingAfterBreak="0">
    <w:nsid w:val="4B221C64"/>
    <w:multiLevelType w:val="hybridMultilevel"/>
    <w:tmpl w:val="E006F966"/>
    <w:lvl w:ilvl="0" w:tplc="6C30E62A">
      <w:start w:val="1"/>
      <w:numFmt w:val="bullet"/>
      <w:lvlText w:val="-"/>
      <w:lvlJc w:val="left"/>
      <w:pPr>
        <w:ind w:left="1440" w:hanging="360"/>
      </w:pPr>
      <w:rPr>
        <w:rFonts w:ascii="Calibri" w:hAnsi="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1" w15:restartNumberingAfterBreak="0">
    <w:nsid w:val="4B401D32"/>
    <w:multiLevelType w:val="multilevel"/>
    <w:tmpl w:val="1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2" w15:restartNumberingAfterBreak="0">
    <w:nsid w:val="4B7BC656"/>
    <w:multiLevelType w:val="hybridMultilevel"/>
    <w:tmpl w:val="FFFFFFFF"/>
    <w:lvl w:ilvl="0" w:tplc="F1BC6B3E">
      <w:start w:val="1"/>
      <w:numFmt w:val="lowerLetter"/>
      <w:lvlText w:val="%1."/>
      <w:lvlJc w:val="left"/>
      <w:pPr>
        <w:ind w:left="720" w:hanging="360"/>
      </w:pPr>
    </w:lvl>
    <w:lvl w:ilvl="1" w:tplc="CBD07CD8">
      <w:start w:val="1"/>
      <w:numFmt w:val="lowerRoman"/>
      <w:lvlText w:val="%2."/>
      <w:lvlJc w:val="right"/>
      <w:pPr>
        <w:ind w:left="1440" w:hanging="360"/>
      </w:pPr>
    </w:lvl>
    <w:lvl w:ilvl="2" w:tplc="E9E817C6">
      <w:start w:val="1"/>
      <w:numFmt w:val="lowerRoman"/>
      <w:lvlText w:val="%3."/>
      <w:lvlJc w:val="right"/>
      <w:pPr>
        <w:ind w:left="2160" w:hanging="180"/>
      </w:pPr>
    </w:lvl>
    <w:lvl w:ilvl="3" w:tplc="75886F1E">
      <w:start w:val="1"/>
      <w:numFmt w:val="decimal"/>
      <w:lvlText w:val="%4."/>
      <w:lvlJc w:val="left"/>
      <w:pPr>
        <w:ind w:left="2880" w:hanging="360"/>
      </w:pPr>
    </w:lvl>
    <w:lvl w:ilvl="4" w:tplc="42CAC498">
      <w:start w:val="1"/>
      <w:numFmt w:val="lowerLetter"/>
      <w:lvlText w:val="%5."/>
      <w:lvlJc w:val="left"/>
      <w:pPr>
        <w:ind w:left="3600" w:hanging="360"/>
      </w:pPr>
    </w:lvl>
    <w:lvl w:ilvl="5" w:tplc="7B9CB042">
      <w:start w:val="1"/>
      <w:numFmt w:val="lowerRoman"/>
      <w:lvlText w:val="%6."/>
      <w:lvlJc w:val="right"/>
      <w:pPr>
        <w:ind w:left="4320" w:hanging="180"/>
      </w:pPr>
    </w:lvl>
    <w:lvl w:ilvl="6" w:tplc="41EC63E2">
      <w:start w:val="1"/>
      <w:numFmt w:val="decimal"/>
      <w:lvlText w:val="%7."/>
      <w:lvlJc w:val="left"/>
      <w:pPr>
        <w:ind w:left="5040" w:hanging="360"/>
      </w:pPr>
    </w:lvl>
    <w:lvl w:ilvl="7" w:tplc="48928852">
      <w:start w:val="1"/>
      <w:numFmt w:val="lowerLetter"/>
      <w:lvlText w:val="%8."/>
      <w:lvlJc w:val="left"/>
      <w:pPr>
        <w:ind w:left="5760" w:hanging="360"/>
      </w:pPr>
    </w:lvl>
    <w:lvl w:ilvl="8" w:tplc="23389E8C">
      <w:start w:val="1"/>
      <w:numFmt w:val="lowerRoman"/>
      <w:lvlText w:val="%9."/>
      <w:lvlJc w:val="right"/>
      <w:pPr>
        <w:ind w:left="6480" w:hanging="180"/>
      </w:pPr>
    </w:lvl>
  </w:abstractNum>
  <w:abstractNum w:abstractNumId="453" w15:restartNumberingAfterBreak="0">
    <w:nsid w:val="4B9D0986"/>
    <w:multiLevelType w:val="hybridMultilevel"/>
    <w:tmpl w:val="3AA8B12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4" w15:restartNumberingAfterBreak="0">
    <w:nsid w:val="4BAF3466"/>
    <w:multiLevelType w:val="multilevel"/>
    <w:tmpl w:val="B40A63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15:restartNumberingAfterBreak="0">
    <w:nsid w:val="4BC92E30"/>
    <w:multiLevelType w:val="hybridMultilevel"/>
    <w:tmpl w:val="45B22948"/>
    <w:lvl w:ilvl="0" w:tplc="312A5F28">
      <w:start w:val="1"/>
      <w:numFmt w:val="bullet"/>
      <w:lvlText w:val="-"/>
      <w:lvlJc w:val="left"/>
      <w:pPr>
        <w:ind w:left="1080" w:hanging="360"/>
      </w:pPr>
      <w:rPr>
        <w:rFonts w:ascii="Cambria" w:eastAsiaTheme="minorHAnsi" w:hAnsi="Cambria" w:cs="Cambria" w:hint="default"/>
        <w:color w:val="7030A0"/>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456" w15:restartNumberingAfterBreak="0">
    <w:nsid w:val="4BD02FAE"/>
    <w:multiLevelType w:val="hybridMultilevel"/>
    <w:tmpl w:val="E6141A08"/>
    <w:lvl w:ilvl="0" w:tplc="18090003">
      <w:start w:val="1"/>
      <w:numFmt w:val="bullet"/>
      <w:lvlText w:val="o"/>
      <w:lvlJc w:val="left"/>
      <w:pPr>
        <w:ind w:left="1080" w:hanging="360"/>
      </w:pPr>
      <w:rPr>
        <w:rFonts w:ascii="Courier New" w:hAnsi="Courier New" w:cs="Courier New"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57" w15:restartNumberingAfterBreak="0">
    <w:nsid w:val="4C3D555F"/>
    <w:multiLevelType w:val="hybridMultilevel"/>
    <w:tmpl w:val="FFFFFFFF"/>
    <w:lvl w:ilvl="0" w:tplc="2DF6AB6C">
      <w:start w:val="1"/>
      <w:numFmt w:val="bullet"/>
      <w:lvlText w:val=""/>
      <w:lvlJc w:val="left"/>
      <w:pPr>
        <w:ind w:left="720" w:hanging="360"/>
      </w:pPr>
      <w:rPr>
        <w:rFonts w:ascii="Symbol" w:hAnsi="Symbol" w:hint="default"/>
      </w:rPr>
    </w:lvl>
    <w:lvl w:ilvl="1" w:tplc="E7B25F50">
      <w:start w:val="1"/>
      <w:numFmt w:val="bullet"/>
      <w:lvlText w:val="o"/>
      <w:lvlJc w:val="left"/>
      <w:pPr>
        <w:ind w:left="1440" w:hanging="360"/>
      </w:pPr>
      <w:rPr>
        <w:rFonts w:ascii="Courier New" w:hAnsi="Courier New" w:hint="default"/>
      </w:rPr>
    </w:lvl>
    <w:lvl w:ilvl="2" w:tplc="F9B06542">
      <w:start w:val="1"/>
      <w:numFmt w:val="bullet"/>
      <w:lvlText w:val=""/>
      <w:lvlJc w:val="left"/>
      <w:pPr>
        <w:ind w:left="2160" w:hanging="360"/>
      </w:pPr>
      <w:rPr>
        <w:rFonts w:ascii="Wingdings" w:hAnsi="Wingdings" w:hint="default"/>
      </w:rPr>
    </w:lvl>
    <w:lvl w:ilvl="3" w:tplc="2F40155E">
      <w:start w:val="1"/>
      <w:numFmt w:val="bullet"/>
      <w:lvlText w:val=""/>
      <w:lvlJc w:val="left"/>
      <w:pPr>
        <w:ind w:left="2880" w:hanging="360"/>
      </w:pPr>
      <w:rPr>
        <w:rFonts w:ascii="Symbol" w:hAnsi="Symbol" w:hint="default"/>
      </w:rPr>
    </w:lvl>
    <w:lvl w:ilvl="4" w:tplc="23968724">
      <w:start w:val="1"/>
      <w:numFmt w:val="bullet"/>
      <w:lvlText w:val="o"/>
      <w:lvlJc w:val="left"/>
      <w:pPr>
        <w:ind w:left="3600" w:hanging="360"/>
      </w:pPr>
      <w:rPr>
        <w:rFonts w:ascii="Courier New" w:hAnsi="Courier New" w:hint="default"/>
      </w:rPr>
    </w:lvl>
    <w:lvl w:ilvl="5" w:tplc="0E30839A">
      <w:start w:val="1"/>
      <w:numFmt w:val="bullet"/>
      <w:lvlText w:val=""/>
      <w:lvlJc w:val="left"/>
      <w:pPr>
        <w:ind w:left="4320" w:hanging="360"/>
      </w:pPr>
      <w:rPr>
        <w:rFonts w:ascii="Wingdings" w:hAnsi="Wingdings" w:hint="default"/>
      </w:rPr>
    </w:lvl>
    <w:lvl w:ilvl="6" w:tplc="1E7AAFDE">
      <w:start w:val="1"/>
      <w:numFmt w:val="bullet"/>
      <w:lvlText w:val=""/>
      <w:lvlJc w:val="left"/>
      <w:pPr>
        <w:ind w:left="5040" w:hanging="360"/>
      </w:pPr>
      <w:rPr>
        <w:rFonts w:ascii="Symbol" w:hAnsi="Symbol" w:hint="default"/>
      </w:rPr>
    </w:lvl>
    <w:lvl w:ilvl="7" w:tplc="8D706BDA">
      <w:start w:val="1"/>
      <w:numFmt w:val="bullet"/>
      <w:lvlText w:val="o"/>
      <w:lvlJc w:val="left"/>
      <w:pPr>
        <w:ind w:left="5760" w:hanging="360"/>
      </w:pPr>
      <w:rPr>
        <w:rFonts w:ascii="Courier New" w:hAnsi="Courier New" w:hint="default"/>
      </w:rPr>
    </w:lvl>
    <w:lvl w:ilvl="8" w:tplc="FBAE07B4">
      <w:start w:val="1"/>
      <w:numFmt w:val="bullet"/>
      <w:lvlText w:val=""/>
      <w:lvlJc w:val="left"/>
      <w:pPr>
        <w:ind w:left="6480" w:hanging="360"/>
      </w:pPr>
      <w:rPr>
        <w:rFonts w:ascii="Wingdings" w:hAnsi="Wingdings" w:hint="default"/>
      </w:rPr>
    </w:lvl>
  </w:abstractNum>
  <w:abstractNum w:abstractNumId="458" w15:restartNumberingAfterBreak="0">
    <w:nsid w:val="4D29707D"/>
    <w:multiLevelType w:val="multilevel"/>
    <w:tmpl w:val="753CFED6"/>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59" w15:restartNumberingAfterBreak="0">
    <w:nsid w:val="4D3C2974"/>
    <w:multiLevelType w:val="hybridMultilevel"/>
    <w:tmpl w:val="24CE4604"/>
    <w:lvl w:ilvl="0" w:tplc="080C000F">
      <w:start w:val="1"/>
      <w:numFmt w:val="decimal"/>
      <w:lvlText w:val="%1."/>
      <w:lvlJc w:val="left"/>
      <w:pPr>
        <w:ind w:left="907" w:hanging="360"/>
      </w:pPr>
    </w:lvl>
    <w:lvl w:ilvl="1" w:tplc="080C0019" w:tentative="1">
      <w:start w:val="1"/>
      <w:numFmt w:val="lowerLetter"/>
      <w:lvlText w:val="%2."/>
      <w:lvlJc w:val="left"/>
      <w:pPr>
        <w:ind w:left="1627" w:hanging="360"/>
      </w:pPr>
    </w:lvl>
    <w:lvl w:ilvl="2" w:tplc="080C001B" w:tentative="1">
      <w:start w:val="1"/>
      <w:numFmt w:val="lowerRoman"/>
      <w:lvlText w:val="%3."/>
      <w:lvlJc w:val="right"/>
      <w:pPr>
        <w:ind w:left="2347" w:hanging="180"/>
      </w:pPr>
    </w:lvl>
    <w:lvl w:ilvl="3" w:tplc="080C000F" w:tentative="1">
      <w:start w:val="1"/>
      <w:numFmt w:val="decimal"/>
      <w:lvlText w:val="%4."/>
      <w:lvlJc w:val="left"/>
      <w:pPr>
        <w:ind w:left="3067" w:hanging="360"/>
      </w:pPr>
    </w:lvl>
    <w:lvl w:ilvl="4" w:tplc="080C0019" w:tentative="1">
      <w:start w:val="1"/>
      <w:numFmt w:val="lowerLetter"/>
      <w:lvlText w:val="%5."/>
      <w:lvlJc w:val="left"/>
      <w:pPr>
        <w:ind w:left="3787" w:hanging="360"/>
      </w:pPr>
    </w:lvl>
    <w:lvl w:ilvl="5" w:tplc="080C001B" w:tentative="1">
      <w:start w:val="1"/>
      <w:numFmt w:val="lowerRoman"/>
      <w:lvlText w:val="%6."/>
      <w:lvlJc w:val="right"/>
      <w:pPr>
        <w:ind w:left="4507" w:hanging="180"/>
      </w:pPr>
    </w:lvl>
    <w:lvl w:ilvl="6" w:tplc="080C000F" w:tentative="1">
      <w:start w:val="1"/>
      <w:numFmt w:val="decimal"/>
      <w:lvlText w:val="%7."/>
      <w:lvlJc w:val="left"/>
      <w:pPr>
        <w:ind w:left="5227" w:hanging="360"/>
      </w:pPr>
    </w:lvl>
    <w:lvl w:ilvl="7" w:tplc="080C0019" w:tentative="1">
      <w:start w:val="1"/>
      <w:numFmt w:val="lowerLetter"/>
      <w:lvlText w:val="%8."/>
      <w:lvlJc w:val="left"/>
      <w:pPr>
        <w:ind w:left="5947" w:hanging="360"/>
      </w:pPr>
    </w:lvl>
    <w:lvl w:ilvl="8" w:tplc="080C001B" w:tentative="1">
      <w:start w:val="1"/>
      <w:numFmt w:val="lowerRoman"/>
      <w:lvlText w:val="%9."/>
      <w:lvlJc w:val="right"/>
      <w:pPr>
        <w:ind w:left="6667" w:hanging="180"/>
      </w:pPr>
    </w:lvl>
  </w:abstractNum>
  <w:abstractNum w:abstractNumId="460" w15:restartNumberingAfterBreak="0">
    <w:nsid w:val="4D6F6364"/>
    <w:multiLevelType w:val="hybridMultilevel"/>
    <w:tmpl w:val="5E7E5BB8"/>
    <w:lvl w:ilvl="0" w:tplc="1809001B">
      <w:start w:val="1"/>
      <w:numFmt w:val="lowerRoman"/>
      <w:lvlText w:val="%1."/>
      <w:lvlJc w:val="righ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1" w15:restartNumberingAfterBreak="0">
    <w:nsid w:val="4DA4525B"/>
    <w:multiLevelType w:val="hybridMultilevel"/>
    <w:tmpl w:val="8DEC0CF8"/>
    <w:lvl w:ilvl="0" w:tplc="94AC1BB0">
      <w:start w:val="1"/>
      <w:numFmt w:val="lowerRoman"/>
      <w:lvlText w:val="%1."/>
      <w:lvlJc w:val="right"/>
      <w:pPr>
        <w:ind w:left="1080" w:hanging="360"/>
      </w:pPr>
      <w:rPr>
        <w:rFonts w:ascii="Symbol" w:hAnsi="Symbol" w:cs="Symbol" w:hint="default"/>
        <w:sz w:val="24"/>
        <w:szCs w:val="24"/>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62" w15:restartNumberingAfterBreak="0">
    <w:nsid w:val="4DFE3F60"/>
    <w:multiLevelType w:val="hybridMultilevel"/>
    <w:tmpl w:val="0436031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014" w:hanging="360"/>
      </w:pPr>
      <w:rPr>
        <w:rFonts w:ascii="Courier New" w:hAnsi="Courier New" w:cs="Courier New" w:hint="default"/>
      </w:rPr>
    </w:lvl>
    <w:lvl w:ilvl="2" w:tplc="18090005" w:tentative="1">
      <w:start w:val="1"/>
      <w:numFmt w:val="bullet"/>
      <w:lvlText w:val=""/>
      <w:lvlJc w:val="left"/>
      <w:pPr>
        <w:ind w:left="1734" w:hanging="360"/>
      </w:pPr>
      <w:rPr>
        <w:rFonts w:ascii="Wingdings" w:hAnsi="Wingdings" w:hint="default"/>
      </w:rPr>
    </w:lvl>
    <w:lvl w:ilvl="3" w:tplc="18090001" w:tentative="1">
      <w:start w:val="1"/>
      <w:numFmt w:val="bullet"/>
      <w:lvlText w:val=""/>
      <w:lvlJc w:val="left"/>
      <w:pPr>
        <w:ind w:left="2454" w:hanging="360"/>
      </w:pPr>
      <w:rPr>
        <w:rFonts w:ascii="Symbol" w:hAnsi="Symbol" w:hint="default"/>
      </w:rPr>
    </w:lvl>
    <w:lvl w:ilvl="4" w:tplc="18090003" w:tentative="1">
      <w:start w:val="1"/>
      <w:numFmt w:val="bullet"/>
      <w:lvlText w:val="o"/>
      <w:lvlJc w:val="left"/>
      <w:pPr>
        <w:ind w:left="3174" w:hanging="360"/>
      </w:pPr>
      <w:rPr>
        <w:rFonts w:ascii="Courier New" w:hAnsi="Courier New" w:cs="Courier New" w:hint="default"/>
      </w:rPr>
    </w:lvl>
    <w:lvl w:ilvl="5" w:tplc="18090005" w:tentative="1">
      <w:start w:val="1"/>
      <w:numFmt w:val="bullet"/>
      <w:lvlText w:val=""/>
      <w:lvlJc w:val="left"/>
      <w:pPr>
        <w:ind w:left="3894" w:hanging="360"/>
      </w:pPr>
      <w:rPr>
        <w:rFonts w:ascii="Wingdings" w:hAnsi="Wingdings" w:hint="default"/>
      </w:rPr>
    </w:lvl>
    <w:lvl w:ilvl="6" w:tplc="18090001" w:tentative="1">
      <w:start w:val="1"/>
      <w:numFmt w:val="bullet"/>
      <w:lvlText w:val=""/>
      <w:lvlJc w:val="left"/>
      <w:pPr>
        <w:ind w:left="4614" w:hanging="360"/>
      </w:pPr>
      <w:rPr>
        <w:rFonts w:ascii="Symbol" w:hAnsi="Symbol" w:hint="default"/>
      </w:rPr>
    </w:lvl>
    <w:lvl w:ilvl="7" w:tplc="18090003" w:tentative="1">
      <w:start w:val="1"/>
      <w:numFmt w:val="bullet"/>
      <w:lvlText w:val="o"/>
      <w:lvlJc w:val="left"/>
      <w:pPr>
        <w:ind w:left="5334" w:hanging="360"/>
      </w:pPr>
      <w:rPr>
        <w:rFonts w:ascii="Courier New" w:hAnsi="Courier New" w:cs="Courier New" w:hint="default"/>
      </w:rPr>
    </w:lvl>
    <w:lvl w:ilvl="8" w:tplc="18090005" w:tentative="1">
      <w:start w:val="1"/>
      <w:numFmt w:val="bullet"/>
      <w:lvlText w:val=""/>
      <w:lvlJc w:val="left"/>
      <w:pPr>
        <w:ind w:left="6054" w:hanging="360"/>
      </w:pPr>
      <w:rPr>
        <w:rFonts w:ascii="Wingdings" w:hAnsi="Wingdings" w:hint="default"/>
      </w:rPr>
    </w:lvl>
  </w:abstractNum>
  <w:abstractNum w:abstractNumId="463" w15:restartNumberingAfterBreak="0">
    <w:nsid w:val="4E1C48B9"/>
    <w:multiLevelType w:val="hybridMultilevel"/>
    <w:tmpl w:val="6F8A712C"/>
    <w:lvl w:ilvl="0" w:tplc="312A5F28">
      <w:start w:val="1"/>
      <w:numFmt w:val="bullet"/>
      <w:lvlText w:val="-"/>
      <w:lvlJc w:val="left"/>
      <w:pPr>
        <w:ind w:left="1080" w:hanging="360"/>
      </w:pPr>
      <w:rPr>
        <w:rFonts w:ascii="Calibri" w:eastAsiaTheme="minorHAnsi" w:hAnsi="Calibri" w:cs="Calibri" w:hint="default"/>
        <w:color w:val="7030A0"/>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64" w15:restartNumberingAfterBreak="0">
    <w:nsid w:val="4E2770FB"/>
    <w:multiLevelType w:val="multilevel"/>
    <w:tmpl w:val="3C620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4E60AA28"/>
    <w:multiLevelType w:val="hybridMultilevel"/>
    <w:tmpl w:val="919C7EA2"/>
    <w:lvl w:ilvl="0" w:tplc="6A7C9602">
      <w:start w:val="1"/>
      <w:numFmt w:val="bullet"/>
      <w:lvlText w:val="-"/>
      <w:lvlJc w:val="left"/>
      <w:pPr>
        <w:ind w:left="720" w:hanging="360"/>
      </w:pPr>
      <w:rPr>
        <w:rFonts w:ascii="Symbol" w:hAnsi="Symbol" w:hint="default"/>
      </w:rPr>
    </w:lvl>
    <w:lvl w:ilvl="1" w:tplc="6F1AC4D6">
      <w:start w:val="1"/>
      <w:numFmt w:val="bullet"/>
      <w:lvlText w:val="o"/>
      <w:lvlJc w:val="left"/>
      <w:pPr>
        <w:ind w:left="1440" w:hanging="360"/>
      </w:pPr>
      <w:rPr>
        <w:rFonts w:ascii="Courier New" w:hAnsi="Courier New" w:hint="default"/>
      </w:rPr>
    </w:lvl>
    <w:lvl w:ilvl="2" w:tplc="C8620C1C">
      <w:start w:val="1"/>
      <w:numFmt w:val="bullet"/>
      <w:lvlText w:val=""/>
      <w:lvlJc w:val="left"/>
      <w:pPr>
        <w:ind w:left="2160" w:hanging="360"/>
      </w:pPr>
      <w:rPr>
        <w:rFonts w:ascii="Wingdings" w:hAnsi="Wingdings" w:hint="default"/>
      </w:rPr>
    </w:lvl>
    <w:lvl w:ilvl="3" w:tplc="F9700870">
      <w:start w:val="1"/>
      <w:numFmt w:val="bullet"/>
      <w:lvlText w:val=""/>
      <w:lvlJc w:val="left"/>
      <w:pPr>
        <w:ind w:left="2880" w:hanging="360"/>
      </w:pPr>
      <w:rPr>
        <w:rFonts w:ascii="Symbol" w:hAnsi="Symbol" w:hint="default"/>
      </w:rPr>
    </w:lvl>
    <w:lvl w:ilvl="4" w:tplc="F00CB9FC">
      <w:start w:val="1"/>
      <w:numFmt w:val="bullet"/>
      <w:lvlText w:val="o"/>
      <w:lvlJc w:val="left"/>
      <w:pPr>
        <w:ind w:left="3600" w:hanging="360"/>
      </w:pPr>
      <w:rPr>
        <w:rFonts w:ascii="Courier New" w:hAnsi="Courier New" w:hint="default"/>
      </w:rPr>
    </w:lvl>
    <w:lvl w:ilvl="5" w:tplc="8F485124">
      <w:start w:val="1"/>
      <w:numFmt w:val="bullet"/>
      <w:lvlText w:val=""/>
      <w:lvlJc w:val="left"/>
      <w:pPr>
        <w:ind w:left="4320" w:hanging="360"/>
      </w:pPr>
      <w:rPr>
        <w:rFonts w:ascii="Wingdings" w:hAnsi="Wingdings" w:hint="default"/>
      </w:rPr>
    </w:lvl>
    <w:lvl w:ilvl="6" w:tplc="618A4322">
      <w:start w:val="1"/>
      <w:numFmt w:val="bullet"/>
      <w:lvlText w:val=""/>
      <w:lvlJc w:val="left"/>
      <w:pPr>
        <w:ind w:left="5040" w:hanging="360"/>
      </w:pPr>
      <w:rPr>
        <w:rFonts w:ascii="Symbol" w:hAnsi="Symbol" w:hint="default"/>
      </w:rPr>
    </w:lvl>
    <w:lvl w:ilvl="7" w:tplc="FEE2C43E">
      <w:start w:val="1"/>
      <w:numFmt w:val="bullet"/>
      <w:lvlText w:val="o"/>
      <w:lvlJc w:val="left"/>
      <w:pPr>
        <w:ind w:left="5760" w:hanging="360"/>
      </w:pPr>
      <w:rPr>
        <w:rFonts w:ascii="Courier New" w:hAnsi="Courier New" w:hint="default"/>
      </w:rPr>
    </w:lvl>
    <w:lvl w:ilvl="8" w:tplc="3B929AB8">
      <w:start w:val="1"/>
      <w:numFmt w:val="bullet"/>
      <w:lvlText w:val=""/>
      <w:lvlJc w:val="left"/>
      <w:pPr>
        <w:ind w:left="6480" w:hanging="360"/>
      </w:pPr>
      <w:rPr>
        <w:rFonts w:ascii="Wingdings" w:hAnsi="Wingdings" w:hint="default"/>
      </w:rPr>
    </w:lvl>
  </w:abstractNum>
  <w:abstractNum w:abstractNumId="466" w15:restartNumberingAfterBreak="0">
    <w:nsid w:val="4E625C50"/>
    <w:multiLevelType w:val="hybridMultilevel"/>
    <w:tmpl w:val="49B87E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7" w15:restartNumberingAfterBreak="0">
    <w:nsid w:val="4E7A5F2F"/>
    <w:multiLevelType w:val="multilevel"/>
    <w:tmpl w:val="D45C8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8" w15:restartNumberingAfterBreak="0">
    <w:nsid w:val="4E8B6C85"/>
    <w:multiLevelType w:val="hybridMultilevel"/>
    <w:tmpl w:val="4DCE3ABA"/>
    <w:lvl w:ilvl="0" w:tplc="548E3914">
      <w:start w:val="1"/>
      <w:numFmt w:val="lowerLetter"/>
      <w:lvlText w:val="%1)"/>
      <w:lvlJc w:val="left"/>
      <w:pPr>
        <w:ind w:left="1080" w:hanging="360"/>
      </w:pPr>
      <w:rPr>
        <w:rFonts w:hint="default"/>
        <w:color w:val="548DD4" w:themeColor="text2" w:themeTint="99"/>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69" w15:restartNumberingAfterBreak="0">
    <w:nsid w:val="4E9F6D40"/>
    <w:multiLevelType w:val="hybridMultilevel"/>
    <w:tmpl w:val="102817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0" w15:restartNumberingAfterBreak="0">
    <w:nsid w:val="4F000961"/>
    <w:multiLevelType w:val="hybridMultilevel"/>
    <w:tmpl w:val="B7F6EDCE"/>
    <w:lvl w:ilvl="0" w:tplc="1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1" w15:restartNumberingAfterBreak="0">
    <w:nsid w:val="4F381148"/>
    <w:multiLevelType w:val="hybridMultilevel"/>
    <w:tmpl w:val="FFFFFFFF"/>
    <w:lvl w:ilvl="0" w:tplc="FE3837F8">
      <w:start w:val="1"/>
      <w:numFmt w:val="bullet"/>
      <w:lvlText w:val=""/>
      <w:lvlJc w:val="left"/>
      <w:pPr>
        <w:ind w:left="720" w:hanging="360"/>
      </w:pPr>
      <w:rPr>
        <w:rFonts w:ascii="Symbol" w:hAnsi="Symbol" w:hint="default"/>
      </w:rPr>
    </w:lvl>
    <w:lvl w:ilvl="1" w:tplc="8820A552">
      <w:start w:val="1"/>
      <w:numFmt w:val="bullet"/>
      <w:lvlText w:val="o"/>
      <w:lvlJc w:val="left"/>
      <w:pPr>
        <w:ind w:left="1440" w:hanging="360"/>
      </w:pPr>
      <w:rPr>
        <w:rFonts w:ascii="Courier New" w:hAnsi="Courier New" w:hint="default"/>
      </w:rPr>
    </w:lvl>
    <w:lvl w:ilvl="2" w:tplc="C336974E">
      <w:start w:val="1"/>
      <w:numFmt w:val="bullet"/>
      <w:lvlText w:val=""/>
      <w:lvlJc w:val="left"/>
      <w:pPr>
        <w:ind w:left="2160" w:hanging="360"/>
      </w:pPr>
      <w:rPr>
        <w:rFonts w:ascii="Wingdings" w:hAnsi="Wingdings" w:hint="default"/>
      </w:rPr>
    </w:lvl>
    <w:lvl w:ilvl="3" w:tplc="0C0C68E8">
      <w:start w:val="1"/>
      <w:numFmt w:val="bullet"/>
      <w:lvlText w:val=""/>
      <w:lvlJc w:val="left"/>
      <w:pPr>
        <w:ind w:left="2880" w:hanging="360"/>
      </w:pPr>
      <w:rPr>
        <w:rFonts w:ascii="Symbol" w:hAnsi="Symbol" w:hint="default"/>
      </w:rPr>
    </w:lvl>
    <w:lvl w:ilvl="4" w:tplc="F224D27C">
      <w:start w:val="1"/>
      <w:numFmt w:val="bullet"/>
      <w:lvlText w:val="o"/>
      <w:lvlJc w:val="left"/>
      <w:pPr>
        <w:ind w:left="3600" w:hanging="360"/>
      </w:pPr>
      <w:rPr>
        <w:rFonts w:ascii="Courier New" w:hAnsi="Courier New" w:hint="default"/>
      </w:rPr>
    </w:lvl>
    <w:lvl w:ilvl="5" w:tplc="6AA48C32">
      <w:start w:val="1"/>
      <w:numFmt w:val="bullet"/>
      <w:lvlText w:val=""/>
      <w:lvlJc w:val="left"/>
      <w:pPr>
        <w:ind w:left="4320" w:hanging="360"/>
      </w:pPr>
      <w:rPr>
        <w:rFonts w:ascii="Wingdings" w:hAnsi="Wingdings" w:hint="default"/>
      </w:rPr>
    </w:lvl>
    <w:lvl w:ilvl="6" w:tplc="BDE45234">
      <w:start w:val="1"/>
      <w:numFmt w:val="bullet"/>
      <w:lvlText w:val=""/>
      <w:lvlJc w:val="left"/>
      <w:pPr>
        <w:ind w:left="5040" w:hanging="360"/>
      </w:pPr>
      <w:rPr>
        <w:rFonts w:ascii="Symbol" w:hAnsi="Symbol" w:hint="default"/>
      </w:rPr>
    </w:lvl>
    <w:lvl w:ilvl="7" w:tplc="11E8377C">
      <w:start w:val="1"/>
      <w:numFmt w:val="bullet"/>
      <w:lvlText w:val="o"/>
      <w:lvlJc w:val="left"/>
      <w:pPr>
        <w:ind w:left="5760" w:hanging="360"/>
      </w:pPr>
      <w:rPr>
        <w:rFonts w:ascii="Courier New" w:hAnsi="Courier New" w:hint="default"/>
      </w:rPr>
    </w:lvl>
    <w:lvl w:ilvl="8" w:tplc="0A829A30">
      <w:start w:val="1"/>
      <w:numFmt w:val="bullet"/>
      <w:lvlText w:val=""/>
      <w:lvlJc w:val="left"/>
      <w:pPr>
        <w:ind w:left="6480" w:hanging="360"/>
      </w:pPr>
      <w:rPr>
        <w:rFonts w:ascii="Wingdings" w:hAnsi="Wingdings" w:hint="default"/>
      </w:rPr>
    </w:lvl>
  </w:abstractNum>
  <w:abstractNum w:abstractNumId="472" w15:restartNumberingAfterBreak="0">
    <w:nsid w:val="4F41352B"/>
    <w:multiLevelType w:val="hybridMultilevel"/>
    <w:tmpl w:val="DFD4543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3" w15:restartNumberingAfterBreak="0">
    <w:nsid w:val="4F53A2B2"/>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4" w15:restartNumberingAfterBreak="0">
    <w:nsid w:val="4F5E055F"/>
    <w:multiLevelType w:val="hybridMultilevel"/>
    <w:tmpl w:val="F2FEC466"/>
    <w:lvl w:ilvl="0" w:tplc="EB329A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5" w15:restartNumberingAfterBreak="0">
    <w:nsid w:val="4F60E542"/>
    <w:multiLevelType w:val="hybridMultilevel"/>
    <w:tmpl w:val="FFFFFFFF"/>
    <w:lvl w:ilvl="0" w:tplc="8D00ADC8">
      <w:start w:val="1"/>
      <w:numFmt w:val="decimal"/>
      <w:lvlText w:val="%1."/>
      <w:lvlJc w:val="left"/>
      <w:pPr>
        <w:ind w:left="720" w:hanging="360"/>
      </w:pPr>
    </w:lvl>
    <w:lvl w:ilvl="1" w:tplc="528E9F82">
      <w:start w:val="1"/>
      <w:numFmt w:val="lowerLetter"/>
      <w:lvlText w:val="%2."/>
      <w:lvlJc w:val="left"/>
      <w:pPr>
        <w:ind w:left="1440" w:hanging="360"/>
      </w:pPr>
    </w:lvl>
    <w:lvl w:ilvl="2" w:tplc="BDD2D798">
      <w:start w:val="1"/>
      <w:numFmt w:val="lowerRoman"/>
      <w:lvlText w:val="%3."/>
      <w:lvlJc w:val="right"/>
      <w:pPr>
        <w:ind w:left="2160" w:hanging="180"/>
      </w:pPr>
    </w:lvl>
    <w:lvl w:ilvl="3" w:tplc="682CC4C0">
      <w:start w:val="1"/>
      <w:numFmt w:val="decimal"/>
      <w:lvlText w:val="%4."/>
      <w:lvlJc w:val="left"/>
      <w:pPr>
        <w:ind w:left="2880" w:hanging="360"/>
      </w:pPr>
    </w:lvl>
    <w:lvl w:ilvl="4" w:tplc="AF98F95A">
      <w:start w:val="1"/>
      <w:numFmt w:val="lowerLetter"/>
      <w:lvlText w:val="%5."/>
      <w:lvlJc w:val="left"/>
      <w:pPr>
        <w:ind w:left="3600" w:hanging="360"/>
      </w:pPr>
    </w:lvl>
    <w:lvl w:ilvl="5" w:tplc="7E26054E">
      <w:start w:val="1"/>
      <w:numFmt w:val="lowerRoman"/>
      <w:lvlText w:val="%6."/>
      <w:lvlJc w:val="right"/>
      <w:pPr>
        <w:ind w:left="4320" w:hanging="180"/>
      </w:pPr>
    </w:lvl>
    <w:lvl w:ilvl="6" w:tplc="E51E4F88">
      <w:start w:val="1"/>
      <w:numFmt w:val="decimal"/>
      <w:lvlText w:val="%7."/>
      <w:lvlJc w:val="left"/>
      <w:pPr>
        <w:ind w:left="5040" w:hanging="360"/>
      </w:pPr>
    </w:lvl>
    <w:lvl w:ilvl="7" w:tplc="6E80C5DE">
      <w:start w:val="1"/>
      <w:numFmt w:val="lowerLetter"/>
      <w:lvlText w:val="%8."/>
      <w:lvlJc w:val="left"/>
      <w:pPr>
        <w:ind w:left="5760" w:hanging="360"/>
      </w:pPr>
    </w:lvl>
    <w:lvl w:ilvl="8" w:tplc="5B7C290C">
      <w:start w:val="1"/>
      <w:numFmt w:val="lowerRoman"/>
      <w:lvlText w:val="%9."/>
      <w:lvlJc w:val="right"/>
      <w:pPr>
        <w:ind w:left="6480" w:hanging="180"/>
      </w:pPr>
    </w:lvl>
  </w:abstractNum>
  <w:abstractNum w:abstractNumId="476" w15:restartNumberingAfterBreak="0">
    <w:nsid w:val="4F676DD8"/>
    <w:multiLevelType w:val="hybridMultilevel"/>
    <w:tmpl w:val="67FA4728"/>
    <w:lvl w:ilvl="0" w:tplc="DDEA078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MS Mincho" w:hAnsi="@MS Mincho" w:cs="@MS Mincho" w:hint="default"/>
      </w:rPr>
    </w:lvl>
    <w:lvl w:ilvl="2" w:tplc="18090005" w:tentative="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MS Mincho" w:hAnsi="@MS Mincho" w:cs="@MS Mincho" w:hint="default"/>
      </w:rPr>
    </w:lvl>
    <w:lvl w:ilvl="5" w:tplc="18090005" w:tentative="1">
      <w:start w:val="1"/>
      <w:numFmt w:val="bullet"/>
      <w:lvlText w:val=""/>
      <w:lvlJc w:val="left"/>
      <w:pPr>
        <w:ind w:left="4320" w:hanging="360"/>
      </w:pPr>
      <w:rPr>
        <w:rFonts w:ascii="Symbol" w:hAnsi="Symbol"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MS Mincho" w:hAnsi="@MS Mincho" w:cs="@MS Mincho" w:hint="default"/>
      </w:rPr>
    </w:lvl>
    <w:lvl w:ilvl="8" w:tplc="18090005" w:tentative="1">
      <w:start w:val="1"/>
      <w:numFmt w:val="bullet"/>
      <w:lvlText w:val=""/>
      <w:lvlJc w:val="left"/>
      <w:pPr>
        <w:ind w:left="6480" w:hanging="360"/>
      </w:pPr>
      <w:rPr>
        <w:rFonts w:ascii="Symbol" w:hAnsi="Symbol" w:hint="default"/>
      </w:rPr>
    </w:lvl>
  </w:abstractNum>
  <w:abstractNum w:abstractNumId="477" w15:restartNumberingAfterBreak="0">
    <w:nsid w:val="4F913A25"/>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478" w15:restartNumberingAfterBreak="0">
    <w:nsid w:val="4FAA787B"/>
    <w:multiLevelType w:val="multilevel"/>
    <w:tmpl w:val="C6A4FB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506330B7"/>
    <w:multiLevelType w:val="hybridMultilevel"/>
    <w:tmpl w:val="43AC80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0" w15:restartNumberingAfterBreak="0">
    <w:nsid w:val="50A20E8D"/>
    <w:multiLevelType w:val="hybridMultilevel"/>
    <w:tmpl w:val="DFFED572"/>
    <w:lvl w:ilvl="0" w:tplc="18090015">
      <w:start w:val="1"/>
      <w:numFmt w:val="upperLetter"/>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1" w15:restartNumberingAfterBreak="0">
    <w:nsid w:val="50A33AB2"/>
    <w:multiLevelType w:val="hybridMultilevel"/>
    <w:tmpl w:val="F2CC1CD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2" w15:restartNumberingAfterBreak="0">
    <w:nsid w:val="50CD07A2"/>
    <w:multiLevelType w:val="hybridMultilevel"/>
    <w:tmpl w:val="0198933E"/>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83" w15:restartNumberingAfterBreak="0">
    <w:nsid w:val="510AB057"/>
    <w:multiLevelType w:val="hybridMultilevel"/>
    <w:tmpl w:val="FFFFFFFF"/>
    <w:lvl w:ilvl="0" w:tplc="E26E2978">
      <w:start w:val="1"/>
      <w:numFmt w:val="bullet"/>
      <w:lvlText w:val=""/>
      <w:lvlJc w:val="left"/>
      <w:pPr>
        <w:ind w:left="720" w:hanging="360"/>
      </w:pPr>
      <w:rPr>
        <w:rFonts w:ascii="Segoe UI" w:hAnsi="Segoe UI" w:hint="default"/>
      </w:rPr>
    </w:lvl>
    <w:lvl w:ilvl="1" w:tplc="4F2A8830">
      <w:start w:val="1"/>
      <w:numFmt w:val="bullet"/>
      <w:lvlText w:val="o"/>
      <w:lvlJc w:val="left"/>
      <w:pPr>
        <w:ind w:left="1440" w:hanging="360"/>
      </w:pPr>
      <w:rPr>
        <w:rFonts w:ascii="Courier New" w:hAnsi="Courier New" w:hint="default"/>
      </w:rPr>
    </w:lvl>
    <w:lvl w:ilvl="2" w:tplc="414C835A">
      <w:start w:val="1"/>
      <w:numFmt w:val="bullet"/>
      <w:lvlText w:val=""/>
      <w:lvlJc w:val="left"/>
      <w:pPr>
        <w:ind w:left="2160" w:hanging="360"/>
      </w:pPr>
      <w:rPr>
        <w:rFonts w:ascii="Cambria Math" w:hAnsi="Cambria Math" w:hint="default"/>
      </w:rPr>
    </w:lvl>
    <w:lvl w:ilvl="3" w:tplc="7D442194">
      <w:start w:val="1"/>
      <w:numFmt w:val="bullet"/>
      <w:lvlText w:val=""/>
      <w:lvlJc w:val="left"/>
      <w:pPr>
        <w:ind w:left="2880" w:hanging="360"/>
      </w:pPr>
      <w:rPr>
        <w:rFonts w:ascii="Segoe UI" w:hAnsi="Segoe UI" w:hint="default"/>
      </w:rPr>
    </w:lvl>
    <w:lvl w:ilvl="4" w:tplc="93F8080A">
      <w:start w:val="1"/>
      <w:numFmt w:val="bullet"/>
      <w:lvlText w:val="o"/>
      <w:lvlJc w:val="left"/>
      <w:pPr>
        <w:ind w:left="3600" w:hanging="360"/>
      </w:pPr>
      <w:rPr>
        <w:rFonts w:ascii="Courier New" w:hAnsi="Courier New" w:hint="default"/>
      </w:rPr>
    </w:lvl>
    <w:lvl w:ilvl="5" w:tplc="E4368C72">
      <w:start w:val="1"/>
      <w:numFmt w:val="bullet"/>
      <w:lvlText w:val=""/>
      <w:lvlJc w:val="left"/>
      <w:pPr>
        <w:ind w:left="4320" w:hanging="360"/>
      </w:pPr>
      <w:rPr>
        <w:rFonts w:ascii="Cambria Math" w:hAnsi="Cambria Math" w:hint="default"/>
      </w:rPr>
    </w:lvl>
    <w:lvl w:ilvl="6" w:tplc="880843AA">
      <w:start w:val="1"/>
      <w:numFmt w:val="bullet"/>
      <w:lvlText w:val=""/>
      <w:lvlJc w:val="left"/>
      <w:pPr>
        <w:ind w:left="5040" w:hanging="360"/>
      </w:pPr>
      <w:rPr>
        <w:rFonts w:ascii="Segoe UI" w:hAnsi="Segoe UI" w:hint="default"/>
      </w:rPr>
    </w:lvl>
    <w:lvl w:ilvl="7" w:tplc="5A48E46C">
      <w:start w:val="1"/>
      <w:numFmt w:val="bullet"/>
      <w:lvlText w:val="o"/>
      <w:lvlJc w:val="left"/>
      <w:pPr>
        <w:ind w:left="5760" w:hanging="360"/>
      </w:pPr>
      <w:rPr>
        <w:rFonts w:ascii="Courier New" w:hAnsi="Courier New" w:hint="default"/>
      </w:rPr>
    </w:lvl>
    <w:lvl w:ilvl="8" w:tplc="8A60E514">
      <w:start w:val="1"/>
      <w:numFmt w:val="bullet"/>
      <w:lvlText w:val=""/>
      <w:lvlJc w:val="left"/>
      <w:pPr>
        <w:ind w:left="6480" w:hanging="360"/>
      </w:pPr>
      <w:rPr>
        <w:rFonts w:ascii="Cambria Math" w:hAnsi="Cambria Math" w:hint="default"/>
      </w:rPr>
    </w:lvl>
  </w:abstractNum>
  <w:abstractNum w:abstractNumId="484" w15:restartNumberingAfterBreak="0">
    <w:nsid w:val="511C9559"/>
    <w:multiLevelType w:val="hybridMultilevel"/>
    <w:tmpl w:val="FFFFFFFF"/>
    <w:lvl w:ilvl="0" w:tplc="EAA673D0">
      <w:start w:val="1"/>
      <w:numFmt w:val="bullet"/>
      <w:lvlText w:val="·"/>
      <w:lvlJc w:val="left"/>
      <w:pPr>
        <w:ind w:left="720" w:hanging="360"/>
      </w:pPr>
      <w:rPr>
        <w:rFonts w:ascii="Symbol" w:hAnsi="Symbol" w:hint="default"/>
      </w:rPr>
    </w:lvl>
    <w:lvl w:ilvl="1" w:tplc="73FE48B4">
      <w:start w:val="1"/>
      <w:numFmt w:val="bullet"/>
      <w:lvlText w:val="o"/>
      <w:lvlJc w:val="left"/>
      <w:pPr>
        <w:ind w:left="1440" w:hanging="360"/>
      </w:pPr>
      <w:rPr>
        <w:rFonts w:ascii="Courier New" w:hAnsi="Courier New" w:hint="default"/>
      </w:rPr>
    </w:lvl>
    <w:lvl w:ilvl="2" w:tplc="8F98518A">
      <w:start w:val="1"/>
      <w:numFmt w:val="bullet"/>
      <w:lvlText w:val=""/>
      <w:lvlJc w:val="left"/>
      <w:pPr>
        <w:ind w:left="2160" w:hanging="360"/>
      </w:pPr>
      <w:rPr>
        <w:rFonts w:ascii="Wingdings" w:hAnsi="Wingdings" w:hint="default"/>
      </w:rPr>
    </w:lvl>
    <w:lvl w:ilvl="3" w:tplc="B53AF142">
      <w:start w:val="1"/>
      <w:numFmt w:val="bullet"/>
      <w:lvlText w:val=""/>
      <w:lvlJc w:val="left"/>
      <w:pPr>
        <w:ind w:left="2880" w:hanging="360"/>
      </w:pPr>
      <w:rPr>
        <w:rFonts w:ascii="Symbol" w:hAnsi="Symbol" w:hint="default"/>
      </w:rPr>
    </w:lvl>
    <w:lvl w:ilvl="4" w:tplc="F04EA886">
      <w:start w:val="1"/>
      <w:numFmt w:val="bullet"/>
      <w:lvlText w:val="o"/>
      <w:lvlJc w:val="left"/>
      <w:pPr>
        <w:ind w:left="3600" w:hanging="360"/>
      </w:pPr>
      <w:rPr>
        <w:rFonts w:ascii="Courier New" w:hAnsi="Courier New" w:hint="default"/>
      </w:rPr>
    </w:lvl>
    <w:lvl w:ilvl="5" w:tplc="B84000F6">
      <w:start w:val="1"/>
      <w:numFmt w:val="bullet"/>
      <w:lvlText w:val=""/>
      <w:lvlJc w:val="left"/>
      <w:pPr>
        <w:ind w:left="4320" w:hanging="360"/>
      </w:pPr>
      <w:rPr>
        <w:rFonts w:ascii="Wingdings" w:hAnsi="Wingdings" w:hint="default"/>
      </w:rPr>
    </w:lvl>
    <w:lvl w:ilvl="6" w:tplc="1936A2F8">
      <w:start w:val="1"/>
      <w:numFmt w:val="bullet"/>
      <w:lvlText w:val=""/>
      <w:lvlJc w:val="left"/>
      <w:pPr>
        <w:ind w:left="5040" w:hanging="360"/>
      </w:pPr>
      <w:rPr>
        <w:rFonts w:ascii="Symbol" w:hAnsi="Symbol" w:hint="default"/>
      </w:rPr>
    </w:lvl>
    <w:lvl w:ilvl="7" w:tplc="8B944BB2">
      <w:start w:val="1"/>
      <w:numFmt w:val="bullet"/>
      <w:lvlText w:val="o"/>
      <w:lvlJc w:val="left"/>
      <w:pPr>
        <w:ind w:left="5760" w:hanging="360"/>
      </w:pPr>
      <w:rPr>
        <w:rFonts w:ascii="Courier New" w:hAnsi="Courier New" w:hint="default"/>
      </w:rPr>
    </w:lvl>
    <w:lvl w:ilvl="8" w:tplc="7800FF68">
      <w:start w:val="1"/>
      <w:numFmt w:val="bullet"/>
      <w:lvlText w:val=""/>
      <w:lvlJc w:val="left"/>
      <w:pPr>
        <w:ind w:left="6480" w:hanging="360"/>
      </w:pPr>
      <w:rPr>
        <w:rFonts w:ascii="Wingdings" w:hAnsi="Wingdings" w:hint="default"/>
      </w:rPr>
    </w:lvl>
  </w:abstractNum>
  <w:abstractNum w:abstractNumId="485" w15:restartNumberingAfterBreak="0">
    <w:nsid w:val="5127E5C3"/>
    <w:multiLevelType w:val="multilevel"/>
    <w:tmpl w:val="FFFFFFFF"/>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6" w15:restartNumberingAfterBreak="0">
    <w:nsid w:val="514A3B46"/>
    <w:multiLevelType w:val="hybridMultilevel"/>
    <w:tmpl w:val="4560C06E"/>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487" w15:restartNumberingAfterBreak="0">
    <w:nsid w:val="51667B89"/>
    <w:multiLevelType w:val="hybridMultilevel"/>
    <w:tmpl w:val="2B222B1C"/>
    <w:lvl w:ilvl="0" w:tplc="0C0A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8" w15:restartNumberingAfterBreak="0">
    <w:nsid w:val="51706D2B"/>
    <w:multiLevelType w:val="multilevel"/>
    <w:tmpl w:val="C1CE77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9" w15:restartNumberingAfterBreak="0">
    <w:nsid w:val="5173633C"/>
    <w:multiLevelType w:val="hybridMultilevel"/>
    <w:tmpl w:val="ED580A56"/>
    <w:lvl w:ilvl="0" w:tplc="312A5F28">
      <w:start w:val="1"/>
      <w:numFmt w:val="bullet"/>
      <w:lvlText w:val="-"/>
      <w:lvlJc w:val="left"/>
      <w:pPr>
        <w:ind w:left="644" w:hanging="360"/>
      </w:pPr>
      <w:rPr>
        <w:rFonts w:ascii="Wingdings" w:eastAsiaTheme="minorHAnsi" w:hAnsi="Wingdings" w:cs="Wingdings" w:hint="default"/>
        <w:color w:val="7030A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15:restartNumberingAfterBreak="0">
    <w:nsid w:val="51840DD6"/>
    <w:multiLevelType w:val="hybridMultilevel"/>
    <w:tmpl w:val="FB78DDCC"/>
    <w:lvl w:ilvl="0" w:tplc="08090001">
      <w:start w:val="1"/>
      <w:numFmt w:val="bullet"/>
      <w:lvlText w:val=""/>
      <w:lvlJc w:val="left"/>
      <w:pPr>
        <w:ind w:left="720" w:hanging="360"/>
      </w:pPr>
      <w:rPr>
        <w:rFonts w:ascii="Segoe UI" w:hAnsi="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491" w15:restartNumberingAfterBreak="0">
    <w:nsid w:val="518D46EC"/>
    <w:multiLevelType w:val="hybridMultilevel"/>
    <w:tmpl w:val="09AA04B4"/>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92" w15:restartNumberingAfterBreak="0">
    <w:nsid w:val="51C34FD6"/>
    <w:multiLevelType w:val="hybridMultilevel"/>
    <w:tmpl w:val="FFFFFFFF"/>
    <w:lvl w:ilvl="0" w:tplc="339404DC">
      <w:start w:val="7"/>
      <w:numFmt w:val="decimal"/>
      <w:lvlText w:val="%1."/>
      <w:lvlJc w:val="left"/>
      <w:pPr>
        <w:ind w:left="720" w:hanging="360"/>
      </w:pPr>
    </w:lvl>
    <w:lvl w:ilvl="1" w:tplc="C542F2B4">
      <w:start w:val="1"/>
      <w:numFmt w:val="lowerLetter"/>
      <w:lvlText w:val="%2."/>
      <w:lvlJc w:val="left"/>
      <w:pPr>
        <w:ind w:left="1440" w:hanging="360"/>
      </w:pPr>
    </w:lvl>
    <w:lvl w:ilvl="2" w:tplc="AA4EE380">
      <w:start w:val="1"/>
      <w:numFmt w:val="lowerRoman"/>
      <w:lvlText w:val="%3."/>
      <w:lvlJc w:val="right"/>
      <w:pPr>
        <w:ind w:left="2160" w:hanging="180"/>
      </w:pPr>
    </w:lvl>
    <w:lvl w:ilvl="3" w:tplc="60B8FCD8">
      <w:start w:val="1"/>
      <w:numFmt w:val="decimal"/>
      <w:lvlText w:val="%4."/>
      <w:lvlJc w:val="left"/>
      <w:pPr>
        <w:ind w:left="2880" w:hanging="360"/>
      </w:pPr>
    </w:lvl>
    <w:lvl w:ilvl="4" w:tplc="7640E2B6">
      <w:start w:val="1"/>
      <w:numFmt w:val="lowerLetter"/>
      <w:lvlText w:val="%5."/>
      <w:lvlJc w:val="left"/>
      <w:pPr>
        <w:ind w:left="3600" w:hanging="360"/>
      </w:pPr>
    </w:lvl>
    <w:lvl w:ilvl="5" w:tplc="097AF2C4">
      <w:start w:val="1"/>
      <w:numFmt w:val="lowerRoman"/>
      <w:lvlText w:val="%6."/>
      <w:lvlJc w:val="right"/>
      <w:pPr>
        <w:ind w:left="4320" w:hanging="180"/>
      </w:pPr>
    </w:lvl>
    <w:lvl w:ilvl="6" w:tplc="F7507E80">
      <w:start w:val="1"/>
      <w:numFmt w:val="decimal"/>
      <w:lvlText w:val="%7."/>
      <w:lvlJc w:val="left"/>
      <w:pPr>
        <w:ind w:left="5040" w:hanging="360"/>
      </w:pPr>
    </w:lvl>
    <w:lvl w:ilvl="7" w:tplc="9BF0E004">
      <w:start w:val="1"/>
      <w:numFmt w:val="lowerLetter"/>
      <w:lvlText w:val="%8."/>
      <w:lvlJc w:val="left"/>
      <w:pPr>
        <w:ind w:left="5760" w:hanging="360"/>
      </w:pPr>
    </w:lvl>
    <w:lvl w:ilvl="8" w:tplc="BDE219B6">
      <w:start w:val="1"/>
      <w:numFmt w:val="lowerRoman"/>
      <w:lvlText w:val="%9."/>
      <w:lvlJc w:val="right"/>
      <w:pPr>
        <w:ind w:left="6480" w:hanging="180"/>
      </w:pPr>
    </w:lvl>
  </w:abstractNum>
  <w:abstractNum w:abstractNumId="493" w15:restartNumberingAfterBreak="0">
    <w:nsid w:val="51F39252"/>
    <w:multiLevelType w:val="hybridMultilevel"/>
    <w:tmpl w:val="FFFFFFFF"/>
    <w:lvl w:ilvl="0" w:tplc="98801298">
      <w:start w:val="1"/>
      <w:numFmt w:val="bullet"/>
      <w:lvlText w:val=""/>
      <w:lvlJc w:val="left"/>
      <w:pPr>
        <w:ind w:left="720" w:hanging="360"/>
      </w:pPr>
      <w:rPr>
        <w:rFonts w:ascii="Symbol" w:hAnsi="Symbol" w:hint="default"/>
      </w:rPr>
    </w:lvl>
    <w:lvl w:ilvl="1" w:tplc="D90C2952">
      <w:start w:val="1"/>
      <w:numFmt w:val="bullet"/>
      <w:lvlText w:val="-"/>
      <w:lvlJc w:val="left"/>
      <w:pPr>
        <w:ind w:left="1440" w:hanging="360"/>
      </w:pPr>
      <w:rPr>
        <w:rFonts w:ascii="Calibri" w:hAnsi="Calibri" w:hint="default"/>
      </w:rPr>
    </w:lvl>
    <w:lvl w:ilvl="2" w:tplc="9F24B08E">
      <w:start w:val="1"/>
      <w:numFmt w:val="bullet"/>
      <w:lvlText w:val=""/>
      <w:lvlJc w:val="left"/>
      <w:pPr>
        <w:ind w:left="2160" w:hanging="360"/>
      </w:pPr>
      <w:rPr>
        <w:rFonts w:ascii="Wingdings" w:hAnsi="Wingdings" w:hint="default"/>
      </w:rPr>
    </w:lvl>
    <w:lvl w:ilvl="3" w:tplc="B9881090">
      <w:start w:val="1"/>
      <w:numFmt w:val="bullet"/>
      <w:lvlText w:val=""/>
      <w:lvlJc w:val="left"/>
      <w:pPr>
        <w:ind w:left="2880" w:hanging="360"/>
      </w:pPr>
      <w:rPr>
        <w:rFonts w:ascii="Symbol" w:hAnsi="Symbol" w:hint="default"/>
      </w:rPr>
    </w:lvl>
    <w:lvl w:ilvl="4" w:tplc="A3929228">
      <w:start w:val="1"/>
      <w:numFmt w:val="bullet"/>
      <w:lvlText w:val="o"/>
      <w:lvlJc w:val="left"/>
      <w:pPr>
        <w:ind w:left="3600" w:hanging="360"/>
      </w:pPr>
      <w:rPr>
        <w:rFonts w:ascii="Courier New" w:hAnsi="Courier New" w:hint="default"/>
      </w:rPr>
    </w:lvl>
    <w:lvl w:ilvl="5" w:tplc="88C2EE56">
      <w:start w:val="1"/>
      <w:numFmt w:val="bullet"/>
      <w:lvlText w:val=""/>
      <w:lvlJc w:val="left"/>
      <w:pPr>
        <w:ind w:left="4320" w:hanging="360"/>
      </w:pPr>
      <w:rPr>
        <w:rFonts w:ascii="Wingdings" w:hAnsi="Wingdings" w:hint="default"/>
      </w:rPr>
    </w:lvl>
    <w:lvl w:ilvl="6" w:tplc="00E222D6">
      <w:start w:val="1"/>
      <w:numFmt w:val="bullet"/>
      <w:lvlText w:val=""/>
      <w:lvlJc w:val="left"/>
      <w:pPr>
        <w:ind w:left="5040" w:hanging="360"/>
      </w:pPr>
      <w:rPr>
        <w:rFonts w:ascii="Symbol" w:hAnsi="Symbol" w:hint="default"/>
      </w:rPr>
    </w:lvl>
    <w:lvl w:ilvl="7" w:tplc="D33E97CE">
      <w:start w:val="1"/>
      <w:numFmt w:val="bullet"/>
      <w:lvlText w:val="o"/>
      <w:lvlJc w:val="left"/>
      <w:pPr>
        <w:ind w:left="5760" w:hanging="360"/>
      </w:pPr>
      <w:rPr>
        <w:rFonts w:ascii="Courier New" w:hAnsi="Courier New" w:hint="default"/>
      </w:rPr>
    </w:lvl>
    <w:lvl w:ilvl="8" w:tplc="3FC86346">
      <w:start w:val="1"/>
      <w:numFmt w:val="bullet"/>
      <w:lvlText w:val=""/>
      <w:lvlJc w:val="left"/>
      <w:pPr>
        <w:ind w:left="6480" w:hanging="360"/>
      </w:pPr>
      <w:rPr>
        <w:rFonts w:ascii="Wingdings" w:hAnsi="Wingdings" w:hint="default"/>
      </w:rPr>
    </w:lvl>
  </w:abstractNum>
  <w:abstractNum w:abstractNumId="494" w15:restartNumberingAfterBreak="0">
    <w:nsid w:val="51F6139C"/>
    <w:multiLevelType w:val="multilevel"/>
    <w:tmpl w:val="E80EF2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51FBD3EC"/>
    <w:multiLevelType w:val="hybridMultilevel"/>
    <w:tmpl w:val="FFFFFFFF"/>
    <w:lvl w:ilvl="0" w:tplc="A5541B30">
      <w:start w:val="1"/>
      <w:numFmt w:val="bullet"/>
      <w:lvlText w:val=""/>
      <w:lvlJc w:val="left"/>
      <w:pPr>
        <w:ind w:left="720" w:hanging="360"/>
      </w:pPr>
      <w:rPr>
        <w:rFonts w:ascii="Segoe UI" w:hAnsi="Segoe UI" w:hint="default"/>
      </w:rPr>
    </w:lvl>
    <w:lvl w:ilvl="1" w:tplc="7F30CC54">
      <w:start w:val="1"/>
      <w:numFmt w:val="bullet"/>
      <w:lvlText w:val="o"/>
      <w:lvlJc w:val="left"/>
      <w:pPr>
        <w:ind w:left="1440" w:hanging="360"/>
      </w:pPr>
      <w:rPr>
        <w:rFonts w:ascii="Courier New" w:hAnsi="Courier New" w:hint="default"/>
      </w:rPr>
    </w:lvl>
    <w:lvl w:ilvl="2" w:tplc="505E863C">
      <w:start w:val="1"/>
      <w:numFmt w:val="bullet"/>
      <w:lvlText w:val=""/>
      <w:lvlJc w:val="left"/>
      <w:pPr>
        <w:ind w:left="2160" w:hanging="360"/>
      </w:pPr>
      <w:rPr>
        <w:rFonts w:ascii="Cambria Math" w:hAnsi="Cambria Math" w:hint="default"/>
      </w:rPr>
    </w:lvl>
    <w:lvl w:ilvl="3" w:tplc="512C99E4">
      <w:start w:val="1"/>
      <w:numFmt w:val="bullet"/>
      <w:lvlText w:val=""/>
      <w:lvlJc w:val="left"/>
      <w:pPr>
        <w:ind w:left="2880" w:hanging="360"/>
      </w:pPr>
      <w:rPr>
        <w:rFonts w:ascii="Segoe UI" w:hAnsi="Segoe UI" w:hint="default"/>
      </w:rPr>
    </w:lvl>
    <w:lvl w:ilvl="4" w:tplc="395A8F88">
      <w:start w:val="1"/>
      <w:numFmt w:val="bullet"/>
      <w:lvlText w:val="o"/>
      <w:lvlJc w:val="left"/>
      <w:pPr>
        <w:ind w:left="3600" w:hanging="360"/>
      </w:pPr>
      <w:rPr>
        <w:rFonts w:ascii="Courier New" w:hAnsi="Courier New" w:hint="default"/>
      </w:rPr>
    </w:lvl>
    <w:lvl w:ilvl="5" w:tplc="CDF81730">
      <w:start w:val="1"/>
      <w:numFmt w:val="bullet"/>
      <w:lvlText w:val=""/>
      <w:lvlJc w:val="left"/>
      <w:pPr>
        <w:ind w:left="4320" w:hanging="360"/>
      </w:pPr>
      <w:rPr>
        <w:rFonts w:ascii="Cambria Math" w:hAnsi="Cambria Math" w:hint="default"/>
      </w:rPr>
    </w:lvl>
    <w:lvl w:ilvl="6" w:tplc="E8CA51C0">
      <w:start w:val="1"/>
      <w:numFmt w:val="bullet"/>
      <w:lvlText w:val=""/>
      <w:lvlJc w:val="left"/>
      <w:pPr>
        <w:ind w:left="5040" w:hanging="360"/>
      </w:pPr>
      <w:rPr>
        <w:rFonts w:ascii="Segoe UI" w:hAnsi="Segoe UI" w:hint="default"/>
      </w:rPr>
    </w:lvl>
    <w:lvl w:ilvl="7" w:tplc="B0EA966E">
      <w:start w:val="1"/>
      <w:numFmt w:val="bullet"/>
      <w:lvlText w:val="o"/>
      <w:lvlJc w:val="left"/>
      <w:pPr>
        <w:ind w:left="5760" w:hanging="360"/>
      </w:pPr>
      <w:rPr>
        <w:rFonts w:ascii="Courier New" w:hAnsi="Courier New" w:hint="default"/>
      </w:rPr>
    </w:lvl>
    <w:lvl w:ilvl="8" w:tplc="9A846126">
      <w:start w:val="1"/>
      <w:numFmt w:val="bullet"/>
      <w:lvlText w:val=""/>
      <w:lvlJc w:val="left"/>
      <w:pPr>
        <w:ind w:left="6480" w:hanging="360"/>
      </w:pPr>
      <w:rPr>
        <w:rFonts w:ascii="Cambria Math" w:hAnsi="Cambria Math" w:hint="default"/>
      </w:rPr>
    </w:lvl>
  </w:abstractNum>
  <w:abstractNum w:abstractNumId="496" w15:restartNumberingAfterBreak="0">
    <w:nsid w:val="528F05AD"/>
    <w:multiLevelType w:val="hybridMultilevel"/>
    <w:tmpl w:val="FFFFFFFF"/>
    <w:lvl w:ilvl="0" w:tplc="4FA4B262">
      <w:start w:val="7"/>
      <w:numFmt w:val="decimal"/>
      <w:lvlText w:val="%1."/>
      <w:lvlJc w:val="left"/>
      <w:pPr>
        <w:ind w:left="720" w:hanging="360"/>
      </w:pPr>
    </w:lvl>
    <w:lvl w:ilvl="1" w:tplc="0D80471E">
      <w:start w:val="1"/>
      <w:numFmt w:val="lowerLetter"/>
      <w:lvlText w:val="%2."/>
      <w:lvlJc w:val="left"/>
      <w:pPr>
        <w:ind w:left="1440" w:hanging="360"/>
      </w:pPr>
    </w:lvl>
    <w:lvl w:ilvl="2" w:tplc="AC4AFCF2">
      <w:start w:val="1"/>
      <w:numFmt w:val="lowerRoman"/>
      <w:lvlText w:val="%3."/>
      <w:lvlJc w:val="right"/>
      <w:pPr>
        <w:ind w:left="2160" w:hanging="180"/>
      </w:pPr>
    </w:lvl>
    <w:lvl w:ilvl="3" w:tplc="7186BF4E">
      <w:start w:val="1"/>
      <w:numFmt w:val="decimal"/>
      <w:lvlText w:val="%4."/>
      <w:lvlJc w:val="left"/>
      <w:pPr>
        <w:ind w:left="2880" w:hanging="360"/>
      </w:pPr>
    </w:lvl>
    <w:lvl w:ilvl="4" w:tplc="A85E92A6">
      <w:start w:val="1"/>
      <w:numFmt w:val="lowerLetter"/>
      <w:lvlText w:val="%5."/>
      <w:lvlJc w:val="left"/>
      <w:pPr>
        <w:ind w:left="3600" w:hanging="360"/>
      </w:pPr>
    </w:lvl>
    <w:lvl w:ilvl="5" w:tplc="5B182BEA">
      <w:start w:val="1"/>
      <w:numFmt w:val="lowerRoman"/>
      <w:lvlText w:val="%6."/>
      <w:lvlJc w:val="right"/>
      <w:pPr>
        <w:ind w:left="4320" w:hanging="180"/>
      </w:pPr>
    </w:lvl>
    <w:lvl w:ilvl="6" w:tplc="36FCD0BE">
      <w:start w:val="1"/>
      <w:numFmt w:val="decimal"/>
      <w:lvlText w:val="%7."/>
      <w:lvlJc w:val="left"/>
      <w:pPr>
        <w:ind w:left="5040" w:hanging="360"/>
      </w:pPr>
    </w:lvl>
    <w:lvl w:ilvl="7" w:tplc="AE5A4B86">
      <w:start w:val="1"/>
      <w:numFmt w:val="lowerLetter"/>
      <w:lvlText w:val="%8."/>
      <w:lvlJc w:val="left"/>
      <w:pPr>
        <w:ind w:left="5760" w:hanging="360"/>
      </w:pPr>
    </w:lvl>
    <w:lvl w:ilvl="8" w:tplc="C4F8FDF2">
      <w:start w:val="1"/>
      <w:numFmt w:val="lowerRoman"/>
      <w:lvlText w:val="%9."/>
      <w:lvlJc w:val="right"/>
      <w:pPr>
        <w:ind w:left="6480" w:hanging="180"/>
      </w:pPr>
    </w:lvl>
  </w:abstractNum>
  <w:abstractNum w:abstractNumId="497" w15:restartNumberingAfterBreak="0">
    <w:nsid w:val="52A67588"/>
    <w:multiLevelType w:val="hybridMultilevel"/>
    <w:tmpl w:val="339EC5E2"/>
    <w:lvl w:ilvl="0" w:tplc="ED7E88AA">
      <w:start w:val="1"/>
      <w:numFmt w:val="decimal"/>
      <w:lvlText w:val="%1."/>
      <w:lvlJc w:val="left"/>
      <w:pPr>
        <w:ind w:left="720" w:hanging="360"/>
      </w:pPr>
      <w:rPr>
        <w:rFonts w:ascii="Symbol" w:hAnsi="Symbol" w:cs="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8" w15:restartNumberingAfterBreak="0">
    <w:nsid w:val="52E145F1"/>
    <w:multiLevelType w:val="multilevel"/>
    <w:tmpl w:val="FD02E8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53092700"/>
    <w:multiLevelType w:val="hybridMultilevel"/>
    <w:tmpl w:val="FFFFFFFF"/>
    <w:lvl w:ilvl="0" w:tplc="4C34D632">
      <w:start w:val="1"/>
      <w:numFmt w:val="bullet"/>
      <w:lvlText w:val=""/>
      <w:lvlJc w:val="left"/>
      <w:pPr>
        <w:ind w:left="720" w:hanging="360"/>
      </w:pPr>
      <w:rPr>
        <w:rFonts w:ascii="Symbol" w:hAnsi="Symbol" w:hint="default"/>
      </w:rPr>
    </w:lvl>
    <w:lvl w:ilvl="1" w:tplc="CC94CA28">
      <w:start w:val="1"/>
      <w:numFmt w:val="bullet"/>
      <w:lvlText w:val="-"/>
      <w:lvlJc w:val="left"/>
      <w:pPr>
        <w:ind w:left="1440" w:hanging="360"/>
      </w:pPr>
      <w:rPr>
        <w:rFonts w:ascii="Calibri" w:hAnsi="Calibri" w:hint="default"/>
      </w:rPr>
    </w:lvl>
    <w:lvl w:ilvl="2" w:tplc="17FA51DA">
      <w:start w:val="1"/>
      <w:numFmt w:val="bullet"/>
      <w:lvlText w:val=""/>
      <w:lvlJc w:val="left"/>
      <w:pPr>
        <w:ind w:left="2160" w:hanging="360"/>
      </w:pPr>
      <w:rPr>
        <w:rFonts w:ascii="Wingdings" w:hAnsi="Wingdings" w:hint="default"/>
      </w:rPr>
    </w:lvl>
    <w:lvl w:ilvl="3" w:tplc="878C740E">
      <w:start w:val="1"/>
      <w:numFmt w:val="bullet"/>
      <w:lvlText w:val=""/>
      <w:lvlJc w:val="left"/>
      <w:pPr>
        <w:ind w:left="2880" w:hanging="360"/>
      </w:pPr>
      <w:rPr>
        <w:rFonts w:ascii="Symbol" w:hAnsi="Symbol" w:hint="default"/>
      </w:rPr>
    </w:lvl>
    <w:lvl w:ilvl="4" w:tplc="DD386FEC">
      <w:start w:val="1"/>
      <w:numFmt w:val="bullet"/>
      <w:lvlText w:val="o"/>
      <w:lvlJc w:val="left"/>
      <w:pPr>
        <w:ind w:left="3600" w:hanging="360"/>
      </w:pPr>
      <w:rPr>
        <w:rFonts w:ascii="Courier New" w:hAnsi="Courier New" w:hint="default"/>
      </w:rPr>
    </w:lvl>
    <w:lvl w:ilvl="5" w:tplc="3CB4266E">
      <w:start w:val="1"/>
      <w:numFmt w:val="bullet"/>
      <w:lvlText w:val=""/>
      <w:lvlJc w:val="left"/>
      <w:pPr>
        <w:ind w:left="4320" w:hanging="360"/>
      </w:pPr>
      <w:rPr>
        <w:rFonts w:ascii="Wingdings" w:hAnsi="Wingdings" w:hint="default"/>
      </w:rPr>
    </w:lvl>
    <w:lvl w:ilvl="6" w:tplc="B83EC450">
      <w:start w:val="1"/>
      <w:numFmt w:val="bullet"/>
      <w:lvlText w:val=""/>
      <w:lvlJc w:val="left"/>
      <w:pPr>
        <w:ind w:left="5040" w:hanging="360"/>
      </w:pPr>
      <w:rPr>
        <w:rFonts w:ascii="Symbol" w:hAnsi="Symbol" w:hint="default"/>
      </w:rPr>
    </w:lvl>
    <w:lvl w:ilvl="7" w:tplc="A52623A0">
      <w:start w:val="1"/>
      <w:numFmt w:val="bullet"/>
      <w:lvlText w:val="o"/>
      <w:lvlJc w:val="left"/>
      <w:pPr>
        <w:ind w:left="5760" w:hanging="360"/>
      </w:pPr>
      <w:rPr>
        <w:rFonts w:ascii="Courier New" w:hAnsi="Courier New" w:hint="default"/>
      </w:rPr>
    </w:lvl>
    <w:lvl w:ilvl="8" w:tplc="2B2203C8">
      <w:start w:val="1"/>
      <w:numFmt w:val="bullet"/>
      <w:lvlText w:val=""/>
      <w:lvlJc w:val="left"/>
      <w:pPr>
        <w:ind w:left="6480" w:hanging="360"/>
      </w:pPr>
      <w:rPr>
        <w:rFonts w:ascii="Wingdings" w:hAnsi="Wingdings" w:hint="default"/>
      </w:rPr>
    </w:lvl>
  </w:abstractNum>
  <w:abstractNum w:abstractNumId="500" w15:restartNumberingAfterBreak="0">
    <w:nsid w:val="536649EB"/>
    <w:multiLevelType w:val="hybridMultilevel"/>
    <w:tmpl w:val="4B7655CA"/>
    <w:lvl w:ilvl="0" w:tplc="18090001">
      <w:start w:val="1"/>
      <w:numFmt w:val="bullet"/>
      <w:lvlText w:val=""/>
      <w:lvlJc w:val="left"/>
      <w:pPr>
        <w:ind w:left="720" w:hanging="360"/>
      </w:pPr>
      <w:rPr>
        <w:rFonts w:ascii="Symbol" w:hAnsi="Symbol" w:hint="default"/>
      </w:rPr>
    </w:lvl>
    <w:lvl w:ilvl="1" w:tplc="D13A51C6">
      <w:numFmt w:val="bullet"/>
      <w:pStyle w:val="bullet2"/>
      <w:lvlText w:val="-"/>
      <w:lvlJc w:val="left"/>
      <w:pPr>
        <w:ind w:left="1440" w:hanging="360"/>
      </w:pPr>
      <w:rPr>
        <w:rFonts w:ascii="Wingdings" w:eastAsiaTheme="minorHAnsi" w:hAnsi="Wingdings" w:cs="Wingdings" w:hint="default"/>
      </w:rPr>
    </w:lvl>
    <w:lvl w:ilvl="2" w:tplc="CE645904">
      <w:start w:val="1"/>
      <w:numFmt w:val="lowerLetter"/>
      <w:lvlText w:val="%3)"/>
      <w:lvlJc w:val="left"/>
      <w:pPr>
        <w:ind w:left="2160" w:hanging="360"/>
      </w:pPr>
      <w:rPr>
        <w:rFonts w:asciiTheme="minorHAnsi" w:eastAsia="Aptos" w:hAnsiTheme="minorHAnsi" w:cstheme="minorHAnsi"/>
      </w:rPr>
    </w:lvl>
    <w:lvl w:ilvl="3" w:tplc="9E2A1D18">
      <w:start w:val="1"/>
      <w:numFmt w:val="bullet"/>
      <w:lvlText w:val=""/>
      <w:lvlJc w:val="left"/>
      <w:pPr>
        <w:ind w:left="2880" w:hanging="360"/>
      </w:pPr>
      <w:rPr>
        <w:rFonts w:ascii="Segoe UI" w:hAnsi="Segoe UI" w:hint="default"/>
      </w:rPr>
    </w:lvl>
    <w:lvl w:ilvl="4" w:tplc="93E06754">
      <w:start w:val="1"/>
      <w:numFmt w:val="bullet"/>
      <w:lvlText w:val="o"/>
      <w:lvlJc w:val="left"/>
      <w:pPr>
        <w:ind w:left="3600" w:hanging="360"/>
      </w:pPr>
      <w:rPr>
        <w:rFonts w:ascii="Courier New" w:hAnsi="Courier New" w:hint="default"/>
      </w:rPr>
    </w:lvl>
    <w:lvl w:ilvl="5" w:tplc="66403156">
      <w:start w:val="1"/>
      <w:numFmt w:val="bullet"/>
      <w:lvlText w:val=""/>
      <w:lvlJc w:val="left"/>
      <w:pPr>
        <w:ind w:left="4320" w:hanging="360"/>
      </w:pPr>
      <w:rPr>
        <w:rFonts w:ascii="Cambria Math" w:hAnsi="Cambria Math" w:hint="default"/>
      </w:rPr>
    </w:lvl>
    <w:lvl w:ilvl="6" w:tplc="302ED93E">
      <w:start w:val="1"/>
      <w:numFmt w:val="bullet"/>
      <w:lvlText w:val=""/>
      <w:lvlJc w:val="left"/>
      <w:pPr>
        <w:ind w:left="5040" w:hanging="360"/>
      </w:pPr>
      <w:rPr>
        <w:rFonts w:ascii="Segoe UI" w:hAnsi="Segoe UI" w:hint="default"/>
      </w:rPr>
    </w:lvl>
    <w:lvl w:ilvl="7" w:tplc="9FCA7C0C">
      <w:start w:val="1"/>
      <w:numFmt w:val="bullet"/>
      <w:lvlText w:val="o"/>
      <w:lvlJc w:val="left"/>
      <w:pPr>
        <w:ind w:left="5760" w:hanging="360"/>
      </w:pPr>
      <w:rPr>
        <w:rFonts w:ascii="Courier New" w:hAnsi="Courier New" w:hint="default"/>
      </w:rPr>
    </w:lvl>
    <w:lvl w:ilvl="8" w:tplc="3CDAD1D2">
      <w:start w:val="1"/>
      <w:numFmt w:val="bullet"/>
      <w:lvlText w:val=""/>
      <w:lvlJc w:val="left"/>
      <w:pPr>
        <w:ind w:left="6480" w:hanging="360"/>
      </w:pPr>
      <w:rPr>
        <w:rFonts w:ascii="Cambria Math" w:hAnsi="Cambria Math" w:hint="default"/>
      </w:rPr>
    </w:lvl>
  </w:abstractNum>
  <w:abstractNum w:abstractNumId="501" w15:restartNumberingAfterBreak="0">
    <w:nsid w:val="537F1D99"/>
    <w:multiLevelType w:val="hybridMultilevel"/>
    <w:tmpl w:val="48E299CE"/>
    <w:lvl w:ilvl="0" w:tplc="FFFFFFFF">
      <w:start w:val="1"/>
      <w:numFmt w:val="bullet"/>
      <w:lvlText w:val=""/>
      <w:lvlJc w:val="left"/>
      <w:pPr>
        <w:ind w:left="720" w:hanging="360"/>
      </w:pPr>
      <w:rPr>
        <w:rFonts w:ascii="Symbol" w:hAnsi="Symbol" w:hint="default"/>
      </w:rPr>
    </w:lvl>
    <w:lvl w:ilvl="1" w:tplc="8550B768">
      <w:start w:val="1"/>
      <w:numFmt w:val="bullet"/>
      <w:lvlText w:val="o"/>
      <w:lvlJc w:val="left"/>
      <w:pPr>
        <w:ind w:left="1440" w:hanging="360"/>
      </w:pPr>
      <w:rPr>
        <w:rFonts w:ascii="Courier New" w:hAnsi="Courier New" w:hint="default"/>
      </w:rPr>
    </w:lvl>
    <w:lvl w:ilvl="2" w:tplc="993E8EF8">
      <w:start w:val="1"/>
      <w:numFmt w:val="bullet"/>
      <w:lvlText w:val=""/>
      <w:lvlJc w:val="left"/>
      <w:pPr>
        <w:ind w:left="2160" w:hanging="360"/>
      </w:pPr>
      <w:rPr>
        <w:rFonts w:ascii="Wingdings" w:hAnsi="Wingdings" w:hint="default"/>
      </w:rPr>
    </w:lvl>
    <w:lvl w:ilvl="3" w:tplc="5186F328">
      <w:start w:val="1"/>
      <w:numFmt w:val="bullet"/>
      <w:lvlText w:val=""/>
      <w:lvlJc w:val="left"/>
      <w:pPr>
        <w:ind w:left="2880" w:hanging="360"/>
      </w:pPr>
      <w:rPr>
        <w:rFonts w:ascii="Symbol" w:hAnsi="Symbol" w:hint="default"/>
      </w:rPr>
    </w:lvl>
    <w:lvl w:ilvl="4" w:tplc="0CC43702">
      <w:start w:val="1"/>
      <w:numFmt w:val="bullet"/>
      <w:lvlText w:val="o"/>
      <w:lvlJc w:val="left"/>
      <w:pPr>
        <w:ind w:left="3600" w:hanging="360"/>
      </w:pPr>
      <w:rPr>
        <w:rFonts w:ascii="Courier New" w:hAnsi="Courier New" w:hint="default"/>
      </w:rPr>
    </w:lvl>
    <w:lvl w:ilvl="5" w:tplc="A2A89980">
      <w:start w:val="1"/>
      <w:numFmt w:val="bullet"/>
      <w:lvlText w:val=""/>
      <w:lvlJc w:val="left"/>
      <w:pPr>
        <w:ind w:left="4320" w:hanging="360"/>
      </w:pPr>
      <w:rPr>
        <w:rFonts w:ascii="Wingdings" w:hAnsi="Wingdings" w:hint="default"/>
      </w:rPr>
    </w:lvl>
    <w:lvl w:ilvl="6" w:tplc="71E4B7E6">
      <w:start w:val="1"/>
      <w:numFmt w:val="bullet"/>
      <w:lvlText w:val=""/>
      <w:lvlJc w:val="left"/>
      <w:pPr>
        <w:ind w:left="5040" w:hanging="360"/>
      </w:pPr>
      <w:rPr>
        <w:rFonts w:ascii="Symbol" w:hAnsi="Symbol" w:hint="default"/>
      </w:rPr>
    </w:lvl>
    <w:lvl w:ilvl="7" w:tplc="6F8A6104">
      <w:start w:val="1"/>
      <w:numFmt w:val="bullet"/>
      <w:lvlText w:val="o"/>
      <w:lvlJc w:val="left"/>
      <w:pPr>
        <w:ind w:left="5760" w:hanging="360"/>
      </w:pPr>
      <w:rPr>
        <w:rFonts w:ascii="Courier New" w:hAnsi="Courier New" w:hint="default"/>
      </w:rPr>
    </w:lvl>
    <w:lvl w:ilvl="8" w:tplc="3A009252">
      <w:start w:val="1"/>
      <w:numFmt w:val="bullet"/>
      <w:lvlText w:val=""/>
      <w:lvlJc w:val="left"/>
      <w:pPr>
        <w:ind w:left="6480" w:hanging="360"/>
      </w:pPr>
      <w:rPr>
        <w:rFonts w:ascii="Wingdings" w:hAnsi="Wingdings" w:hint="default"/>
      </w:rPr>
    </w:lvl>
  </w:abstractNum>
  <w:abstractNum w:abstractNumId="502" w15:restartNumberingAfterBreak="0">
    <w:nsid w:val="54161E50"/>
    <w:multiLevelType w:val="multilevel"/>
    <w:tmpl w:val="358249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544A54A6"/>
    <w:multiLevelType w:val="hybridMultilevel"/>
    <w:tmpl w:val="42BA6C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4" w15:restartNumberingAfterBreak="0">
    <w:nsid w:val="54551344"/>
    <w:multiLevelType w:val="multilevel"/>
    <w:tmpl w:val="929E4F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5" w15:restartNumberingAfterBreak="0">
    <w:nsid w:val="546BE445"/>
    <w:multiLevelType w:val="hybridMultilevel"/>
    <w:tmpl w:val="FFFFFFFF"/>
    <w:lvl w:ilvl="0" w:tplc="7A186E2A">
      <w:start w:val="1"/>
      <w:numFmt w:val="bullet"/>
      <w:lvlText w:val="§"/>
      <w:lvlJc w:val="left"/>
      <w:pPr>
        <w:ind w:left="720" w:hanging="360"/>
      </w:pPr>
      <w:rPr>
        <w:rFonts w:ascii="Wingdings" w:hAnsi="Wingdings" w:hint="default"/>
      </w:rPr>
    </w:lvl>
    <w:lvl w:ilvl="1" w:tplc="B9E0477C">
      <w:start w:val="1"/>
      <w:numFmt w:val="bullet"/>
      <w:lvlText w:val="o"/>
      <w:lvlJc w:val="left"/>
      <w:pPr>
        <w:ind w:left="1440" w:hanging="360"/>
      </w:pPr>
      <w:rPr>
        <w:rFonts w:ascii="Courier New" w:hAnsi="Courier New" w:hint="default"/>
      </w:rPr>
    </w:lvl>
    <w:lvl w:ilvl="2" w:tplc="CA08245A">
      <w:start w:val="1"/>
      <w:numFmt w:val="bullet"/>
      <w:lvlText w:val=""/>
      <w:lvlJc w:val="left"/>
      <w:pPr>
        <w:ind w:left="2160" w:hanging="360"/>
      </w:pPr>
      <w:rPr>
        <w:rFonts w:ascii="Wingdings" w:hAnsi="Wingdings" w:hint="default"/>
      </w:rPr>
    </w:lvl>
    <w:lvl w:ilvl="3" w:tplc="0B504C2E">
      <w:start w:val="1"/>
      <w:numFmt w:val="bullet"/>
      <w:lvlText w:val=""/>
      <w:lvlJc w:val="left"/>
      <w:pPr>
        <w:ind w:left="2880" w:hanging="360"/>
      </w:pPr>
      <w:rPr>
        <w:rFonts w:ascii="Symbol" w:hAnsi="Symbol" w:hint="default"/>
      </w:rPr>
    </w:lvl>
    <w:lvl w:ilvl="4" w:tplc="D74E8CDC">
      <w:start w:val="1"/>
      <w:numFmt w:val="bullet"/>
      <w:lvlText w:val="o"/>
      <w:lvlJc w:val="left"/>
      <w:pPr>
        <w:ind w:left="3600" w:hanging="360"/>
      </w:pPr>
      <w:rPr>
        <w:rFonts w:ascii="Courier New" w:hAnsi="Courier New" w:hint="default"/>
      </w:rPr>
    </w:lvl>
    <w:lvl w:ilvl="5" w:tplc="65141C40">
      <w:start w:val="1"/>
      <w:numFmt w:val="bullet"/>
      <w:lvlText w:val=""/>
      <w:lvlJc w:val="left"/>
      <w:pPr>
        <w:ind w:left="4320" w:hanging="360"/>
      </w:pPr>
      <w:rPr>
        <w:rFonts w:ascii="Wingdings" w:hAnsi="Wingdings" w:hint="default"/>
      </w:rPr>
    </w:lvl>
    <w:lvl w:ilvl="6" w:tplc="2D28BE2C">
      <w:start w:val="1"/>
      <w:numFmt w:val="bullet"/>
      <w:lvlText w:val=""/>
      <w:lvlJc w:val="left"/>
      <w:pPr>
        <w:ind w:left="5040" w:hanging="360"/>
      </w:pPr>
      <w:rPr>
        <w:rFonts w:ascii="Symbol" w:hAnsi="Symbol" w:hint="default"/>
      </w:rPr>
    </w:lvl>
    <w:lvl w:ilvl="7" w:tplc="1CA8B536">
      <w:start w:val="1"/>
      <w:numFmt w:val="bullet"/>
      <w:lvlText w:val="o"/>
      <w:lvlJc w:val="left"/>
      <w:pPr>
        <w:ind w:left="5760" w:hanging="360"/>
      </w:pPr>
      <w:rPr>
        <w:rFonts w:ascii="Courier New" w:hAnsi="Courier New" w:hint="default"/>
      </w:rPr>
    </w:lvl>
    <w:lvl w:ilvl="8" w:tplc="6D84D894">
      <w:start w:val="1"/>
      <w:numFmt w:val="bullet"/>
      <w:lvlText w:val=""/>
      <w:lvlJc w:val="left"/>
      <w:pPr>
        <w:ind w:left="6480" w:hanging="360"/>
      </w:pPr>
      <w:rPr>
        <w:rFonts w:ascii="Wingdings" w:hAnsi="Wingdings" w:hint="default"/>
      </w:rPr>
    </w:lvl>
  </w:abstractNum>
  <w:abstractNum w:abstractNumId="506" w15:restartNumberingAfterBreak="0">
    <w:nsid w:val="54BA1EAB"/>
    <w:multiLevelType w:val="hybridMultilevel"/>
    <w:tmpl w:val="7C449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7" w15:restartNumberingAfterBreak="0">
    <w:nsid w:val="54C71877"/>
    <w:multiLevelType w:val="hybridMultilevel"/>
    <w:tmpl w:val="86864030"/>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508" w15:restartNumberingAfterBreak="0">
    <w:nsid w:val="54D8239D"/>
    <w:multiLevelType w:val="multilevel"/>
    <w:tmpl w:val="E466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55085006"/>
    <w:multiLevelType w:val="hybridMultilevel"/>
    <w:tmpl w:val="8BD045BC"/>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0" w15:restartNumberingAfterBreak="0">
    <w:nsid w:val="551C6B9F"/>
    <w:multiLevelType w:val="hybridMultilevel"/>
    <w:tmpl w:val="0636A3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1" w15:restartNumberingAfterBreak="0">
    <w:nsid w:val="554C0712"/>
    <w:multiLevelType w:val="hybridMultilevel"/>
    <w:tmpl w:val="DCE87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2" w15:restartNumberingAfterBreak="0">
    <w:nsid w:val="55666125"/>
    <w:multiLevelType w:val="hybridMultilevel"/>
    <w:tmpl w:val="34BC7C10"/>
    <w:lvl w:ilvl="0" w:tplc="3F2A7D3A">
      <w:start w:val="1"/>
      <w:numFmt w:val="lowerLetter"/>
      <w:lvlText w:val="%1)"/>
      <w:lvlJc w:val="left"/>
      <w:pPr>
        <w:ind w:left="1444" w:hanging="7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egoe UI" w:hAnsi="Segoe UI" w:hint="default"/>
      </w:rPr>
    </w:lvl>
  </w:abstractNum>
  <w:abstractNum w:abstractNumId="514" w15:restartNumberingAfterBreak="0">
    <w:nsid w:val="557C33CE"/>
    <w:multiLevelType w:val="hybridMultilevel"/>
    <w:tmpl w:val="4372D5B0"/>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55A85B81"/>
    <w:multiLevelType w:val="hybridMultilevel"/>
    <w:tmpl w:val="63926BA2"/>
    <w:lvl w:ilvl="0" w:tplc="312A5F28">
      <w:start w:val="1"/>
      <w:numFmt w:val="bullet"/>
      <w:lvlText w:val="-"/>
      <w:lvlJc w:val="left"/>
      <w:pPr>
        <w:ind w:left="1080" w:hanging="720"/>
      </w:pPr>
      <w:rPr>
        <w:rFonts w:ascii="Calibri" w:eastAsiaTheme="minorHAnsi" w:hAnsi="Calibri" w:cs="Calibri"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6" w15:restartNumberingAfterBreak="0">
    <w:nsid w:val="55C10E65"/>
    <w:multiLevelType w:val="hybridMultilevel"/>
    <w:tmpl w:val="83C0C036"/>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7" w15:restartNumberingAfterBreak="0">
    <w:nsid w:val="55CF40BA"/>
    <w:multiLevelType w:val="multilevel"/>
    <w:tmpl w:val="AC7A5FCA"/>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8" w15:restartNumberingAfterBreak="0">
    <w:nsid w:val="55E5095B"/>
    <w:multiLevelType w:val="hybridMultilevel"/>
    <w:tmpl w:val="0DDE5C0E"/>
    <w:lvl w:ilvl="0" w:tplc="080C0017">
      <w:start w:val="1"/>
      <w:numFmt w:val="lowerLetter"/>
      <w:lvlText w:val="%1)"/>
      <w:lvlJc w:val="left"/>
      <w:pPr>
        <w:ind w:left="907" w:hanging="360"/>
      </w:pPr>
    </w:lvl>
    <w:lvl w:ilvl="1" w:tplc="FFFFFFFF" w:tentative="1">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519" w15:restartNumberingAfterBreak="0">
    <w:nsid w:val="560C4BE4"/>
    <w:multiLevelType w:val="hybridMultilevel"/>
    <w:tmpl w:val="AE5A2B4A"/>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0" w15:restartNumberingAfterBreak="0">
    <w:nsid w:val="56C178BC"/>
    <w:multiLevelType w:val="hybridMultilevel"/>
    <w:tmpl w:val="63D6893E"/>
    <w:lvl w:ilvl="0" w:tplc="11B6EE4C">
      <w:start w:val="202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1" w15:restartNumberingAfterBreak="0">
    <w:nsid w:val="56E8A771"/>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2" w15:restartNumberingAfterBreak="0">
    <w:nsid w:val="56FC4E08"/>
    <w:multiLevelType w:val="hybridMultilevel"/>
    <w:tmpl w:val="FFFFFFFF"/>
    <w:lvl w:ilvl="0" w:tplc="195AD704">
      <w:start w:val="1"/>
      <w:numFmt w:val="bullet"/>
      <w:lvlText w:val="o"/>
      <w:lvlJc w:val="left"/>
      <w:pPr>
        <w:ind w:left="720" w:hanging="360"/>
      </w:pPr>
      <w:rPr>
        <w:rFonts w:ascii="&quot;Courier New&quot;" w:hAnsi="&quot;Courier New&quot;" w:hint="default"/>
      </w:rPr>
    </w:lvl>
    <w:lvl w:ilvl="1" w:tplc="75BE5F86">
      <w:start w:val="1"/>
      <w:numFmt w:val="bullet"/>
      <w:lvlText w:val="o"/>
      <w:lvlJc w:val="left"/>
      <w:pPr>
        <w:ind w:left="1440" w:hanging="360"/>
      </w:pPr>
      <w:rPr>
        <w:rFonts w:ascii="Courier New" w:hAnsi="Courier New" w:hint="default"/>
      </w:rPr>
    </w:lvl>
    <w:lvl w:ilvl="2" w:tplc="049412AC">
      <w:start w:val="1"/>
      <w:numFmt w:val="bullet"/>
      <w:lvlText w:val=""/>
      <w:lvlJc w:val="left"/>
      <w:pPr>
        <w:ind w:left="2160" w:hanging="360"/>
      </w:pPr>
      <w:rPr>
        <w:rFonts w:ascii="Wingdings" w:hAnsi="Wingdings" w:hint="default"/>
      </w:rPr>
    </w:lvl>
    <w:lvl w:ilvl="3" w:tplc="C2B664F4">
      <w:start w:val="1"/>
      <w:numFmt w:val="bullet"/>
      <w:lvlText w:val=""/>
      <w:lvlJc w:val="left"/>
      <w:pPr>
        <w:ind w:left="2880" w:hanging="360"/>
      </w:pPr>
      <w:rPr>
        <w:rFonts w:ascii="Symbol" w:hAnsi="Symbol" w:hint="default"/>
      </w:rPr>
    </w:lvl>
    <w:lvl w:ilvl="4" w:tplc="8084BDD2">
      <w:start w:val="1"/>
      <w:numFmt w:val="bullet"/>
      <w:lvlText w:val="o"/>
      <w:lvlJc w:val="left"/>
      <w:pPr>
        <w:ind w:left="3600" w:hanging="360"/>
      </w:pPr>
      <w:rPr>
        <w:rFonts w:ascii="Courier New" w:hAnsi="Courier New" w:hint="default"/>
      </w:rPr>
    </w:lvl>
    <w:lvl w:ilvl="5" w:tplc="C1D219A2">
      <w:start w:val="1"/>
      <w:numFmt w:val="bullet"/>
      <w:lvlText w:val=""/>
      <w:lvlJc w:val="left"/>
      <w:pPr>
        <w:ind w:left="4320" w:hanging="360"/>
      </w:pPr>
      <w:rPr>
        <w:rFonts w:ascii="Wingdings" w:hAnsi="Wingdings" w:hint="default"/>
      </w:rPr>
    </w:lvl>
    <w:lvl w:ilvl="6" w:tplc="9B0C8668">
      <w:start w:val="1"/>
      <w:numFmt w:val="bullet"/>
      <w:lvlText w:val=""/>
      <w:lvlJc w:val="left"/>
      <w:pPr>
        <w:ind w:left="5040" w:hanging="360"/>
      </w:pPr>
      <w:rPr>
        <w:rFonts w:ascii="Symbol" w:hAnsi="Symbol" w:hint="default"/>
      </w:rPr>
    </w:lvl>
    <w:lvl w:ilvl="7" w:tplc="A8EC0420">
      <w:start w:val="1"/>
      <w:numFmt w:val="bullet"/>
      <w:lvlText w:val="o"/>
      <w:lvlJc w:val="left"/>
      <w:pPr>
        <w:ind w:left="5760" w:hanging="360"/>
      </w:pPr>
      <w:rPr>
        <w:rFonts w:ascii="Courier New" w:hAnsi="Courier New" w:hint="default"/>
      </w:rPr>
    </w:lvl>
    <w:lvl w:ilvl="8" w:tplc="797C00BA">
      <w:start w:val="1"/>
      <w:numFmt w:val="bullet"/>
      <w:lvlText w:val=""/>
      <w:lvlJc w:val="left"/>
      <w:pPr>
        <w:ind w:left="6480" w:hanging="360"/>
      </w:pPr>
      <w:rPr>
        <w:rFonts w:ascii="Wingdings" w:hAnsi="Wingdings" w:hint="default"/>
      </w:rPr>
    </w:lvl>
  </w:abstractNum>
  <w:abstractNum w:abstractNumId="523" w15:restartNumberingAfterBreak="0">
    <w:nsid w:val="571D3C10"/>
    <w:multiLevelType w:val="hybridMultilevel"/>
    <w:tmpl w:val="71E02424"/>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24" w15:restartNumberingAfterBreak="0">
    <w:nsid w:val="57576697"/>
    <w:multiLevelType w:val="hybridMultilevel"/>
    <w:tmpl w:val="3D3A5860"/>
    <w:lvl w:ilvl="0" w:tplc="FFFFFFFF">
      <w:start w:val="1"/>
      <w:numFmt w:val="decimal"/>
      <w:lvlText w:val="%1."/>
      <w:lvlJc w:val="left"/>
      <w:pPr>
        <w:ind w:left="720" w:hanging="360"/>
      </w:pPr>
    </w:lvl>
    <w:lvl w:ilvl="1" w:tplc="18090017">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5" w15:restartNumberingAfterBreak="0">
    <w:nsid w:val="57F812D0"/>
    <w:multiLevelType w:val="hybridMultilevel"/>
    <w:tmpl w:val="F8B0005E"/>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26" w15:restartNumberingAfterBreak="0">
    <w:nsid w:val="57FB002C"/>
    <w:multiLevelType w:val="multilevel"/>
    <w:tmpl w:val="7F22A7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7" w15:restartNumberingAfterBreak="0">
    <w:nsid w:val="58119116"/>
    <w:multiLevelType w:val="hybridMultilevel"/>
    <w:tmpl w:val="FFFFFFFF"/>
    <w:lvl w:ilvl="0" w:tplc="058890D4">
      <w:start w:val="1"/>
      <w:numFmt w:val="bullet"/>
      <w:lvlText w:val="-"/>
      <w:lvlJc w:val="left"/>
      <w:pPr>
        <w:ind w:left="720" w:hanging="360"/>
      </w:pPr>
      <w:rPr>
        <w:rFonts w:ascii="Wingdings" w:hAnsi="Wingdings" w:hint="default"/>
      </w:rPr>
    </w:lvl>
    <w:lvl w:ilvl="1" w:tplc="93F2199C">
      <w:start w:val="1"/>
      <w:numFmt w:val="bullet"/>
      <w:lvlText w:val="o"/>
      <w:lvlJc w:val="left"/>
      <w:pPr>
        <w:ind w:left="1440" w:hanging="360"/>
      </w:pPr>
      <w:rPr>
        <w:rFonts w:ascii="Courier New" w:hAnsi="Courier New" w:hint="default"/>
      </w:rPr>
    </w:lvl>
    <w:lvl w:ilvl="2" w:tplc="CE623FF8">
      <w:start w:val="1"/>
      <w:numFmt w:val="bullet"/>
      <w:lvlText w:val=""/>
      <w:lvlJc w:val="left"/>
      <w:pPr>
        <w:ind w:left="2160" w:hanging="360"/>
      </w:pPr>
      <w:rPr>
        <w:rFonts w:ascii="Cambria Math" w:hAnsi="Cambria Math" w:hint="default"/>
      </w:rPr>
    </w:lvl>
    <w:lvl w:ilvl="3" w:tplc="97D2F198">
      <w:start w:val="1"/>
      <w:numFmt w:val="bullet"/>
      <w:lvlText w:val=""/>
      <w:lvlJc w:val="left"/>
      <w:pPr>
        <w:ind w:left="2880" w:hanging="360"/>
      </w:pPr>
      <w:rPr>
        <w:rFonts w:ascii="Segoe UI" w:hAnsi="Segoe UI" w:hint="default"/>
      </w:rPr>
    </w:lvl>
    <w:lvl w:ilvl="4" w:tplc="09DA6CC0">
      <w:start w:val="1"/>
      <w:numFmt w:val="bullet"/>
      <w:lvlText w:val="o"/>
      <w:lvlJc w:val="left"/>
      <w:pPr>
        <w:ind w:left="3600" w:hanging="360"/>
      </w:pPr>
      <w:rPr>
        <w:rFonts w:ascii="Courier New" w:hAnsi="Courier New" w:hint="default"/>
      </w:rPr>
    </w:lvl>
    <w:lvl w:ilvl="5" w:tplc="8506AE90">
      <w:start w:val="1"/>
      <w:numFmt w:val="bullet"/>
      <w:lvlText w:val=""/>
      <w:lvlJc w:val="left"/>
      <w:pPr>
        <w:ind w:left="4320" w:hanging="360"/>
      </w:pPr>
      <w:rPr>
        <w:rFonts w:ascii="Cambria Math" w:hAnsi="Cambria Math" w:hint="default"/>
      </w:rPr>
    </w:lvl>
    <w:lvl w:ilvl="6" w:tplc="6ADCDA52">
      <w:start w:val="1"/>
      <w:numFmt w:val="bullet"/>
      <w:lvlText w:val=""/>
      <w:lvlJc w:val="left"/>
      <w:pPr>
        <w:ind w:left="5040" w:hanging="360"/>
      </w:pPr>
      <w:rPr>
        <w:rFonts w:ascii="Segoe UI" w:hAnsi="Segoe UI" w:hint="default"/>
      </w:rPr>
    </w:lvl>
    <w:lvl w:ilvl="7" w:tplc="1978596C">
      <w:start w:val="1"/>
      <w:numFmt w:val="bullet"/>
      <w:lvlText w:val="o"/>
      <w:lvlJc w:val="left"/>
      <w:pPr>
        <w:ind w:left="5760" w:hanging="360"/>
      </w:pPr>
      <w:rPr>
        <w:rFonts w:ascii="Courier New" w:hAnsi="Courier New" w:hint="default"/>
      </w:rPr>
    </w:lvl>
    <w:lvl w:ilvl="8" w:tplc="0C848482">
      <w:start w:val="1"/>
      <w:numFmt w:val="bullet"/>
      <w:lvlText w:val=""/>
      <w:lvlJc w:val="left"/>
      <w:pPr>
        <w:ind w:left="6480" w:hanging="360"/>
      </w:pPr>
      <w:rPr>
        <w:rFonts w:ascii="Cambria Math" w:hAnsi="Cambria Math" w:hint="default"/>
      </w:rPr>
    </w:lvl>
  </w:abstractNum>
  <w:abstractNum w:abstractNumId="528" w15:restartNumberingAfterBreak="0">
    <w:nsid w:val="581B5597"/>
    <w:multiLevelType w:val="hybridMultilevel"/>
    <w:tmpl w:val="8646BF4E"/>
    <w:lvl w:ilvl="0" w:tplc="18090001">
      <w:start w:val="1"/>
      <w:numFmt w:val="bullet"/>
      <w:lvlText w:val=""/>
      <w:lvlJc w:val="left"/>
      <w:pPr>
        <w:ind w:left="720" w:hanging="360"/>
      </w:pPr>
      <w:rPr>
        <w:rFonts w:ascii="Segoe UI" w:hAnsi="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Cambria Math" w:hAnsi="Cambria Math" w:hint="default"/>
      </w:rPr>
    </w:lvl>
    <w:lvl w:ilvl="3" w:tplc="18090001" w:tentative="1">
      <w:start w:val="1"/>
      <w:numFmt w:val="bullet"/>
      <w:lvlText w:val=""/>
      <w:lvlJc w:val="left"/>
      <w:pPr>
        <w:ind w:left="2880" w:hanging="360"/>
      </w:pPr>
      <w:rPr>
        <w:rFonts w:ascii="Segoe UI" w:hAnsi="Segoe UI"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Cambria Math" w:hAnsi="Cambria Math" w:hint="default"/>
      </w:rPr>
    </w:lvl>
    <w:lvl w:ilvl="6" w:tplc="18090001" w:tentative="1">
      <w:start w:val="1"/>
      <w:numFmt w:val="bullet"/>
      <w:lvlText w:val=""/>
      <w:lvlJc w:val="left"/>
      <w:pPr>
        <w:ind w:left="5040" w:hanging="360"/>
      </w:pPr>
      <w:rPr>
        <w:rFonts w:ascii="Segoe UI" w:hAnsi="Segoe UI"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Cambria Math" w:hAnsi="Cambria Math" w:hint="default"/>
      </w:rPr>
    </w:lvl>
  </w:abstractNum>
  <w:abstractNum w:abstractNumId="529" w15:restartNumberingAfterBreak="0">
    <w:nsid w:val="5850A998"/>
    <w:multiLevelType w:val="hybridMultilevel"/>
    <w:tmpl w:val="FFFFFFFF"/>
    <w:lvl w:ilvl="0" w:tplc="254AE15A">
      <w:start w:val="2"/>
      <w:numFmt w:val="decimal"/>
      <w:lvlText w:val="%1."/>
      <w:lvlJc w:val="left"/>
      <w:pPr>
        <w:ind w:left="720" w:hanging="360"/>
      </w:pPr>
    </w:lvl>
    <w:lvl w:ilvl="1" w:tplc="CFACB5DA">
      <w:start w:val="1"/>
      <w:numFmt w:val="lowerLetter"/>
      <w:lvlText w:val="%2."/>
      <w:lvlJc w:val="left"/>
      <w:pPr>
        <w:ind w:left="1440" w:hanging="360"/>
      </w:pPr>
    </w:lvl>
    <w:lvl w:ilvl="2" w:tplc="FCAE2B8C">
      <w:start w:val="1"/>
      <w:numFmt w:val="lowerRoman"/>
      <w:lvlText w:val="%3."/>
      <w:lvlJc w:val="right"/>
      <w:pPr>
        <w:ind w:left="2160" w:hanging="180"/>
      </w:pPr>
    </w:lvl>
    <w:lvl w:ilvl="3" w:tplc="0A1EA522">
      <w:start w:val="1"/>
      <w:numFmt w:val="decimal"/>
      <w:lvlText w:val="%4."/>
      <w:lvlJc w:val="left"/>
      <w:pPr>
        <w:ind w:left="2880" w:hanging="360"/>
      </w:pPr>
    </w:lvl>
    <w:lvl w:ilvl="4" w:tplc="A2E0F3B8">
      <w:start w:val="1"/>
      <w:numFmt w:val="lowerLetter"/>
      <w:lvlText w:val="%5."/>
      <w:lvlJc w:val="left"/>
      <w:pPr>
        <w:ind w:left="3600" w:hanging="360"/>
      </w:pPr>
    </w:lvl>
    <w:lvl w:ilvl="5" w:tplc="6F8E200A">
      <w:start w:val="1"/>
      <w:numFmt w:val="lowerRoman"/>
      <w:lvlText w:val="%6."/>
      <w:lvlJc w:val="right"/>
      <w:pPr>
        <w:ind w:left="4320" w:hanging="180"/>
      </w:pPr>
    </w:lvl>
    <w:lvl w:ilvl="6" w:tplc="7062D54A">
      <w:start w:val="1"/>
      <w:numFmt w:val="decimal"/>
      <w:lvlText w:val="%7."/>
      <w:lvlJc w:val="left"/>
      <w:pPr>
        <w:ind w:left="5040" w:hanging="360"/>
      </w:pPr>
    </w:lvl>
    <w:lvl w:ilvl="7" w:tplc="091488C4">
      <w:start w:val="1"/>
      <w:numFmt w:val="lowerLetter"/>
      <w:lvlText w:val="%8."/>
      <w:lvlJc w:val="left"/>
      <w:pPr>
        <w:ind w:left="5760" w:hanging="360"/>
      </w:pPr>
    </w:lvl>
    <w:lvl w:ilvl="8" w:tplc="61B000B6">
      <w:start w:val="1"/>
      <w:numFmt w:val="lowerRoman"/>
      <w:lvlText w:val="%9."/>
      <w:lvlJc w:val="right"/>
      <w:pPr>
        <w:ind w:left="6480" w:hanging="180"/>
      </w:pPr>
    </w:lvl>
  </w:abstractNum>
  <w:abstractNum w:abstractNumId="530" w15:restartNumberingAfterBreak="0">
    <w:nsid w:val="585D1F16"/>
    <w:multiLevelType w:val="multilevel"/>
    <w:tmpl w:val="7522238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15:restartNumberingAfterBreak="0">
    <w:nsid w:val="58A4E6FE"/>
    <w:multiLevelType w:val="hybridMultilevel"/>
    <w:tmpl w:val="912E3942"/>
    <w:lvl w:ilvl="0" w:tplc="1694847E">
      <w:start w:val="2"/>
      <w:numFmt w:val="lowerRoman"/>
      <w:lvlText w:val="%1."/>
      <w:lvlJc w:val="right"/>
      <w:pPr>
        <w:ind w:left="720" w:hanging="360"/>
      </w:pPr>
    </w:lvl>
    <w:lvl w:ilvl="1" w:tplc="6DAAA322">
      <w:start w:val="1"/>
      <w:numFmt w:val="lowerLetter"/>
      <w:lvlText w:val="%2."/>
      <w:lvlJc w:val="left"/>
      <w:pPr>
        <w:ind w:left="1440" w:hanging="360"/>
      </w:pPr>
    </w:lvl>
    <w:lvl w:ilvl="2" w:tplc="C2B8B4C4">
      <w:start w:val="1"/>
      <w:numFmt w:val="lowerRoman"/>
      <w:lvlText w:val="%3."/>
      <w:lvlJc w:val="right"/>
      <w:pPr>
        <w:ind w:left="2160" w:hanging="180"/>
      </w:pPr>
    </w:lvl>
    <w:lvl w:ilvl="3" w:tplc="49A23434">
      <w:start w:val="1"/>
      <w:numFmt w:val="decimal"/>
      <w:lvlText w:val="%4."/>
      <w:lvlJc w:val="left"/>
      <w:pPr>
        <w:ind w:left="2880" w:hanging="360"/>
      </w:pPr>
    </w:lvl>
    <w:lvl w:ilvl="4" w:tplc="224287DA">
      <w:start w:val="1"/>
      <w:numFmt w:val="lowerLetter"/>
      <w:lvlText w:val="%5."/>
      <w:lvlJc w:val="left"/>
      <w:pPr>
        <w:ind w:left="3600" w:hanging="360"/>
      </w:pPr>
    </w:lvl>
    <w:lvl w:ilvl="5" w:tplc="1F24F904">
      <w:start w:val="1"/>
      <w:numFmt w:val="lowerRoman"/>
      <w:lvlText w:val="%6."/>
      <w:lvlJc w:val="right"/>
      <w:pPr>
        <w:ind w:left="4320" w:hanging="180"/>
      </w:pPr>
    </w:lvl>
    <w:lvl w:ilvl="6" w:tplc="C96480BE">
      <w:start w:val="1"/>
      <w:numFmt w:val="decimal"/>
      <w:lvlText w:val="%7."/>
      <w:lvlJc w:val="left"/>
      <w:pPr>
        <w:ind w:left="5040" w:hanging="360"/>
      </w:pPr>
    </w:lvl>
    <w:lvl w:ilvl="7" w:tplc="84B45902">
      <w:start w:val="1"/>
      <w:numFmt w:val="lowerLetter"/>
      <w:lvlText w:val="%8."/>
      <w:lvlJc w:val="left"/>
      <w:pPr>
        <w:ind w:left="5760" w:hanging="360"/>
      </w:pPr>
    </w:lvl>
    <w:lvl w:ilvl="8" w:tplc="3648E4D6">
      <w:start w:val="1"/>
      <w:numFmt w:val="lowerRoman"/>
      <w:lvlText w:val="%9."/>
      <w:lvlJc w:val="right"/>
      <w:pPr>
        <w:ind w:left="6480" w:hanging="180"/>
      </w:pPr>
    </w:lvl>
  </w:abstractNum>
  <w:abstractNum w:abstractNumId="532" w15:restartNumberingAfterBreak="0">
    <w:nsid w:val="58D93C35"/>
    <w:multiLevelType w:val="hybridMultilevel"/>
    <w:tmpl w:val="D6761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3" w15:restartNumberingAfterBreak="0">
    <w:nsid w:val="58DA6251"/>
    <w:multiLevelType w:val="hybridMultilevel"/>
    <w:tmpl w:val="BFA48D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4" w15:restartNumberingAfterBreak="0">
    <w:nsid w:val="58E57F62"/>
    <w:multiLevelType w:val="hybridMultilevel"/>
    <w:tmpl w:val="6B367C20"/>
    <w:lvl w:ilvl="0" w:tplc="080C0001">
      <w:start w:val="1"/>
      <w:numFmt w:val="bullet"/>
      <w:lvlText w:val=""/>
      <w:lvlJc w:val="left"/>
      <w:pPr>
        <w:ind w:left="720" w:hanging="360"/>
      </w:pPr>
      <w:rPr>
        <w:rFonts w:ascii="Segoe UI" w:hAnsi="Segoe U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35" w15:restartNumberingAfterBreak="0">
    <w:nsid w:val="59067F31"/>
    <w:multiLevelType w:val="hybridMultilevel"/>
    <w:tmpl w:val="A800B374"/>
    <w:lvl w:ilvl="0" w:tplc="040A0001">
      <w:start w:val="1"/>
      <w:numFmt w:val="bullet"/>
      <w:lvlText w:val=""/>
      <w:lvlJc w:val="left"/>
      <w:pPr>
        <w:ind w:left="1690" w:hanging="360"/>
      </w:pPr>
      <w:rPr>
        <w:rFonts w:ascii="Segoe UI" w:hAnsi="Segoe UI" w:hint="default"/>
      </w:rPr>
    </w:lvl>
    <w:lvl w:ilvl="1" w:tplc="040A0003" w:tentative="1">
      <w:start w:val="1"/>
      <w:numFmt w:val="bullet"/>
      <w:lvlText w:val="o"/>
      <w:lvlJc w:val="left"/>
      <w:pPr>
        <w:ind w:left="2410" w:hanging="360"/>
      </w:pPr>
      <w:rPr>
        <w:rFonts w:ascii="Courier New" w:hAnsi="Courier New" w:cs="Courier New" w:hint="default"/>
      </w:rPr>
    </w:lvl>
    <w:lvl w:ilvl="2" w:tplc="040A0005" w:tentative="1">
      <w:start w:val="1"/>
      <w:numFmt w:val="bullet"/>
      <w:lvlText w:val=""/>
      <w:lvlJc w:val="left"/>
      <w:pPr>
        <w:ind w:left="3130" w:hanging="360"/>
      </w:pPr>
      <w:rPr>
        <w:rFonts w:ascii="Cambria Math" w:hAnsi="Cambria Math" w:hint="default"/>
      </w:rPr>
    </w:lvl>
    <w:lvl w:ilvl="3" w:tplc="040A0001" w:tentative="1">
      <w:start w:val="1"/>
      <w:numFmt w:val="bullet"/>
      <w:lvlText w:val=""/>
      <w:lvlJc w:val="left"/>
      <w:pPr>
        <w:ind w:left="3850" w:hanging="360"/>
      </w:pPr>
      <w:rPr>
        <w:rFonts w:ascii="Segoe UI" w:hAnsi="Segoe UI" w:hint="default"/>
      </w:rPr>
    </w:lvl>
    <w:lvl w:ilvl="4" w:tplc="040A0003" w:tentative="1">
      <w:start w:val="1"/>
      <w:numFmt w:val="bullet"/>
      <w:lvlText w:val="o"/>
      <w:lvlJc w:val="left"/>
      <w:pPr>
        <w:ind w:left="4570" w:hanging="360"/>
      </w:pPr>
      <w:rPr>
        <w:rFonts w:ascii="Courier New" w:hAnsi="Courier New" w:cs="Courier New" w:hint="default"/>
      </w:rPr>
    </w:lvl>
    <w:lvl w:ilvl="5" w:tplc="040A0005" w:tentative="1">
      <w:start w:val="1"/>
      <w:numFmt w:val="bullet"/>
      <w:lvlText w:val=""/>
      <w:lvlJc w:val="left"/>
      <w:pPr>
        <w:ind w:left="5290" w:hanging="360"/>
      </w:pPr>
      <w:rPr>
        <w:rFonts w:ascii="Cambria Math" w:hAnsi="Cambria Math" w:hint="default"/>
      </w:rPr>
    </w:lvl>
    <w:lvl w:ilvl="6" w:tplc="040A0001" w:tentative="1">
      <w:start w:val="1"/>
      <w:numFmt w:val="bullet"/>
      <w:lvlText w:val=""/>
      <w:lvlJc w:val="left"/>
      <w:pPr>
        <w:ind w:left="6010" w:hanging="360"/>
      </w:pPr>
      <w:rPr>
        <w:rFonts w:ascii="Segoe UI" w:hAnsi="Segoe UI" w:hint="default"/>
      </w:rPr>
    </w:lvl>
    <w:lvl w:ilvl="7" w:tplc="040A0003" w:tentative="1">
      <w:start w:val="1"/>
      <w:numFmt w:val="bullet"/>
      <w:lvlText w:val="o"/>
      <w:lvlJc w:val="left"/>
      <w:pPr>
        <w:ind w:left="6730" w:hanging="360"/>
      </w:pPr>
      <w:rPr>
        <w:rFonts w:ascii="Courier New" w:hAnsi="Courier New" w:cs="Courier New" w:hint="default"/>
      </w:rPr>
    </w:lvl>
    <w:lvl w:ilvl="8" w:tplc="040A0005" w:tentative="1">
      <w:start w:val="1"/>
      <w:numFmt w:val="bullet"/>
      <w:lvlText w:val=""/>
      <w:lvlJc w:val="left"/>
      <w:pPr>
        <w:ind w:left="7450" w:hanging="360"/>
      </w:pPr>
      <w:rPr>
        <w:rFonts w:ascii="Cambria Math" w:hAnsi="Cambria Math" w:hint="default"/>
      </w:rPr>
    </w:lvl>
  </w:abstractNum>
  <w:abstractNum w:abstractNumId="536" w15:restartNumberingAfterBreak="0">
    <w:nsid w:val="595302CE"/>
    <w:multiLevelType w:val="hybridMultilevel"/>
    <w:tmpl w:val="9B4672BE"/>
    <w:lvl w:ilvl="0" w:tplc="93F24E22">
      <w:numFmt w:val="bullet"/>
      <w:lvlText w:val="•"/>
      <w:lvlJc w:val="left"/>
      <w:pPr>
        <w:ind w:left="108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7" w15:restartNumberingAfterBreak="0">
    <w:nsid w:val="59D8017D"/>
    <w:multiLevelType w:val="hybridMultilevel"/>
    <w:tmpl w:val="FFFFFFFF"/>
    <w:lvl w:ilvl="0" w:tplc="FFFFFFFF">
      <w:start w:val="1"/>
      <w:numFmt w:val="bullet"/>
      <w:lvlText w:val=""/>
      <w:lvlJc w:val="left"/>
      <w:pPr>
        <w:ind w:left="720" w:hanging="360"/>
      </w:pPr>
      <w:rPr>
        <w:rFonts w:ascii="Symbol" w:hAnsi="Symbol" w:hint="default"/>
      </w:rPr>
    </w:lvl>
    <w:lvl w:ilvl="1" w:tplc="E42AB74A">
      <w:start w:val="1"/>
      <w:numFmt w:val="bullet"/>
      <w:lvlText w:val="o"/>
      <w:lvlJc w:val="left"/>
      <w:pPr>
        <w:ind w:left="1440" w:hanging="360"/>
      </w:pPr>
      <w:rPr>
        <w:rFonts w:ascii="Courier New" w:hAnsi="Courier New" w:hint="default"/>
      </w:rPr>
    </w:lvl>
    <w:lvl w:ilvl="2" w:tplc="05748652">
      <w:start w:val="1"/>
      <w:numFmt w:val="bullet"/>
      <w:lvlText w:val=""/>
      <w:lvlJc w:val="left"/>
      <w:pPr>
        <w:ind w:left="2160" w:hanging="360"/>
      </w:pPr>
      <w:rPr>
        <w:rFonts w:ascii="Wingdings" w:hAnsi="Wingdings" w:hint="default"/>
      </w:rPr>
    </w:lvl>
    <w:lvl w:ilvl="3" w:tplc="6D60643C">
      <w:start w:val="1"/>
      <w:numFmt w:val="bullet"/>
      <w:lvlText w:val=""/>
      <w:lvlJc w:val="left"/>
      <w:pPr>
        <w:ind w:left="2880" w:hanging="360"/>
      </w:pPr>
      <w:rPr>
        <w:rFonts w:ascii="Symbol" w:hAnsi="Symbol" w:hint="default"/>
      </w:rPr>
    </w:lvl>
    <w:lvl w:ilvl="4" w:tplc="CBB80EE8">
      <w:start w:val="1"/>
      <w:numFmt w:val="bullet"/>
      <w:lvlText w:val="o"/>
      <w:lvlJc w:val="left"/>
      <w:pPr>
        <w:ind w:left="3600" w:hanging="360"/>
      </w:pPr>
      <w:rPr>
        <w:rFonts w:ascii="Courier New" w:hAnsi="Courier New" w:hint="default"/>
      </w:rPr>
    </w:lvl>
    <w:lvl w:ilvl="5" w:tplc="508EA88C">
      <w:start w:val="1"/>
      <w:numFmt w:val="bullet"/>
      <w:lvlText w:val=""/>
      <w:lvlJc w:val="left"/>
      <w:pPr>
        <w:ind w:left="4320" w:hanging="360"/>
      </w:pPr>
      <w:rPr>
        <w:rFonts w:ascii="Wingdings" w:hAnsi="Wingdings" w:hint="default"/>
      </w:rPr>
    </w:lvl>
    <w:lvl w:ilvl="6" w:tplc="8A20889C">
      <w:start w:val="1"/>
      <w:numFmt w:val="bullet"/>
      <w:lvlText w:val=""/>
      <w:lvlJc w:val="left"/>
      <w:pPr>
        <w:ind w:left="5040" w:hanging="360"/>
      </w:pPr>
      <w:rPr>
        <w:rFonts w:ascii="Symbol" w:hAnsi="Symbol" w:hint="default"/>
      </w:rPr>
    </w:lvl>
    <w:lvl w:ilvl="7" w:tplc="5364B416">
      <w:start w:val="1"/>
      <w:numFmt w:val="bullet"/>
      <w:lvlText w:val="o"/>
      <w:lvlJc w:val="left"/>
      <w:pPr>
        <w:ind w:left="5760" w:hanging="360"/>
      </w:pPr>
      <w:rPr>
        <w:rFonts w:ascii="Courier New" w:hAnsi="Courier New" w:hint="default"/>
      </w:rPr>
    </w:lvl>
    <w:lvl w:ilvl="8" w:tplc="41A021EE">
      <w:start w:val="1"/>
      <w:numFmt w:val="bullet"/>
      <w:lvlText w:val=""/>
      <w:lvlJc w:val="left"/>
      <w:pPr>
        <w:ind w:left="6480" w:hanging="360"/>
      </w:pPr>
      <w:rPr>
        <w:rFonts w:ascii="Wingdings" w:hAnsi="Wingdings" w:hint="default"/>
      </w:rPr>
    </w:lvl>
  </w:abstractNum>
  <w:abstractNum w:abstractNumId="538" w15:restartNumberingAfterBreak="0">
    <w:nsid w:val="59DC70B1"/>
    <w:multiLevelType w:val="hybridMultilevel"/>
    <w:tmpl w:val="FFFFFFFF"/>
    <w:lvl w:ilvl="0" w:tplc="883AC0FA">
      <w:start w:val="1"/>
      <w:numFmt w:val="bullet"/>
      <w:lvlText w:val=""/>
      <w:lvlJc w:val="left"/>
      <w:pPr>
        <w:ind w:left="720" w:hanging="360"/>
      </w:pPr>
      <w:rPr>
        <w:rFonts w:ascii="Symbol" w:hAnsi="Symbol" w:hint="default"/>
      </w:rPr>
    </w:lvl>
    <w:lvl w:ilvl="1" w:tplc="C9F6743A">
      <w:start w:val="1"/>
      <w:numFmt w:val="bullet"/>
      <w:lvlText w:val="-"/>
      <w:lvlJc w:val="left"/>
      <w:pPr>
        <w:ind w:left="1440" w:hanging="360"/>
      </w:pPr>
      <w:rPr>
        <w:rFonts w:ascii="Calibri" w:hAnsi="Calibri" w:hint="default"/>
      </w:rPr>
    </w:lvl>
    <w:lvl w:ilvl="2" w:tplc="35045244">
      <w:start w:val="1"/>
      <w:numFmt w:val="bullet"/>
      <w:lvlText w:val=""/>
      <w:lvlJc w:val="left"/>
      <w:pPr>
        <w:ind w:left="2160" w:hanging="360"/>
      </w:pPr>
      <w:rPr>
        <w:rFonts w:ascii="Wingdings" w:hAnsi="Wingdings" w:hint="default"/>
      </w:rPr>
    </w:lvl>
    <w:lvl w:ilvl="3" w:tplc="4A0620B8">
      <w:start w:val="1"/>
      <w:numFmt w:val="bullet"/>
      <w:lvlText w:val=""/>
      <w:lvlJc w:val="left"/>
      <w:pPr>
        <w:ind w:left="2880" w:hanging="360"/>
      </w:pPr>
      <w:rPr>
        <w:rFonts w:ascii="Symbol" w:hAnsi="Symbol" w:hint="default"/>
      </w:rPr>
    </w:lvl>
    <w:lvl w:ilvl="4" w:tplc="9EAA4CDE">
      <w:start w:val="1"/>
      <w:numFmt w:val="bullet"/>
      <w:lvlText w:val="o"/>
      <w:lvlJc w:val="left"/>
      <w:pPr>
        <w:ind w:left="3600" w:hanging="360"/>
      </w:pPr>
      <w:rPr>
        <w:rFonts w:ascii="Courier New" w:hAnsi="Courier New" w:hint="default"/>
      </w:rPr>
    </w:lvl>
    <w:lvl w:ilvl="5" w:tplc="41724238">
      <w:start w:val="1"/>
      <w:numFmt w:val="bullet"/>
      <w:lvlText w:val=""/>
      <w:lvlJc w:val="left"/>
      <w:pPr>
        <w:ind w:left="4320" w:hanging="360"/>
      </w:pPr>
      <w:rPr>
        <w:rFonts w:ascii="Wingdings" w:hAnsi="Wingdings" w:hint="default"/>
      </w:rPr>
    </w:lvl>
    <w:lvl w:ilvl="6" w:tplc="D9E8294C">
      <w:start w:val="1"/>
      <w:numFmt w:val="bullet"/>
      <w:lvlText w:val=""/>
      <w:lvlJc w:val="left"/>
      <w:pPr>
        <w:ind w:left="5040" w:hanging="360"/>
      </w:pPr>
      <w:rPr>
        <w:rFonts w:ascii="Symbol" w:hAnsi="Symbol" w:hint="default"/>
      </w:rPr>
    </w:lvl>
    <w:lvl w:ilvl="7" w:tplc="9CB09EC2">
      <w:start w:val="1"/>
      <w:numFmt w:val="bullet"/>
      <w:lvlText w:val="o"/>
      <w:lvlJc w:val="left"/>
      <w:pPr>
        <w:ind w:left="5760" w:hanging="360"/>
      </w:pPr>
      <w:rPr>
        <w:rFonts w:ascii="Courier New" w:hAnsi="Courier New" w:hint="default"/>
      </w:rPr>
    </w:lvl>
    <w:lvl w:ilvl="8" w:tplc="058055D4">
      <w:start w:val="1"/>
      <w:numFmt w:val="bullet"/>
      <w:lvlText w:val=""/>
      <w:lvlJc w:val="left"/>
      <w:pPr>
        <w:ind w:left="6480" w:hanging="360"/>
      </w:pPr>
      <w:rPr>
        <w:rFonts w:ascii="Wingdings" w:hAnsi="Wingdings" w:hint="default"/>
      </w:rPr>
    </w:lvl>
  </w:abstractNum>
  <w:abstractNum w:abstractNumId="539" w15:restartNumberingAfterBreak="0">
    <w:nsid w:val="59E333DF"/>
    <w:multiLevelType w:val="hybridMultilevel"/>
    <w:tmpl w:val="D54AFFAA"/>
    <w:lvl w:ilvl="0" w:tplc="18090001">
      <w:start w:val="1"/>
      <w:numFmt w:val="bullet"/>
      <w:lvlText w:val=""/>
      <w:lvlJc w:val="left"/>
      <w:pPr>
        <w:ind w:left="1080" w:hanging="360"/>
      </w:pPr>
      <w:rPr>
        <w:rFonts w:ascii="Symbol" w:hAnsi="Symbol" w:hint="default"/>
        <w:sz w:val="24"/>
        <w:szCs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0" w15:restartNumberingAfterBreak="0">
    <w:nsid w:val="59F96ABB"/>
    <w:multiLevelType w:val="hybridMultilevel"/>
    <w:tmpl w:val="85F45C06"/>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1" w15:restartNumberingAfterBreak="0">
    <w:nsid w:val="5A165091"/>
    <w:multiLevelType w:val="hybridMultilevel"/>
    <w:tmpl w:val="A9803D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542" w15:restartNumberingAfterBreak="0">
    <w:nsid w:val="5A3076D4"/>
    <w:multiLevelType w:val="hybridMultilevel"/>
    <w:tmpl w:val="49140D80"/>
    <w:lvl w:ilvl="0" w:tplc="2A3A5080">
      <w:start w:val="1"/>
      <w:numFmt w:val="bullet"/>
      <w:lvlText w:val="-"/>
      <w:lvlJc w:val="left"/>
      <w:pPr>
        <w:ind w:left="720" w:hanging="360"/>
      </w:pPr>
      <w:rPr>
        <w:rFonts w:ascii="Symbol" w:hAnsi="Symbol" w:hint="default"/>
      </w:rPr>
    </w:lvl>
    <w:lvl w:ilvl="1" w:tplc="A60EF0CC">
      <w:start w:val="1"/>
      <w:numFmt w:val="bullet"/>
      <w:lvlText w:val="o"/>
      <w:lvlJc w:val="left"/>
      <w:pPr>
        <w:ind w:left="1440" w:hanging="360"/>
      </w:pPr>
      <w:rPr>
        <w:rFonts w:ascii="Courier New" w:hAnsi="Courier New" w:hint="default"/>
      </w:rPr>
    </w:lvl>
    <w:lvl w:ilvl="2" w:tplc="494446E8">
      <w:start w:val="1"/>
      <w:numFmt w:val="bullet"/>
      <w:lvlText w:val=""/>
      <w:lvlJc w:val="left"/>
      <w:pPr>
        <w:ind w:left="2160" w:hanging="360"/>
      </w:pPr>
      <w:rPr>
        <w:rFonts w:ascii="Wingdings" w:hAnsi="Wingdings" w:hint="default"/>
      </w:rPr>
    </w:lvl>
    <w:lvl w:ilvl="3" w:tplc="B424782C">
      <w:start w:val="1"/>
      <w:numFmt w:val="bullet"/>
      <w:lvlText w:val=""/>
      <w:lvlJc w:val="left"/>
      <w:pPr>
        <w:ind w:left="2880" w:hanging="360"/>
      </w:pPr>
      <w:rPr>
        <w:rFonts w:ascii="Symbol" w:hAnsi="Symbol" w:hint="default"/>
      </w:rPr>
    </w:lvl>
    <w:lvl w:ilvl="4" w:tplc="B5D2E892">
      <w:start w:val="1"/>
      <w:numFmt w:val="bullet"/>
      <w:lvlText w:val="o"/>
      <w:lvlJc w:val="left"/>
      <w:pPr>
        <w:ind w:left="3600" w:hanging="360"/>
      </w:pPr>
      <w:rPr>
        <w:rFonts w:ascii="Courier New" w:hAnsi="Courier New" w:hint="default"/>
      </w:rPr>
    </w:lvl>
    <w:lvl w:ilvl="5" w:tplc="BF4EBF48">
      <w:start w:val="1"/>
      <w:numFmt w:val="bullet"/>
      <w:lvlText w:val=""/>
      <w:lvlJc w:val="left"/>
      <w:pPr>
        <w:ind w:left="4320" w:hanging="360"/>
      </w:pPr>
      <w:rPr>
        <w:rFonts w:ascii="Wingdings" w:hAnsi="Wingdings" w:hint="default"/>
      </w:rPr>
    </w:lvl>
    <w:lvl w:ilvl="6" w:tplc="C7D6DAB6">
      <w:start w:val="1"/>
      <w:numFmt w:val="bullet"/>
      <w:lvlText w:val=""/>
      <w:lvlJc w:val="left"/>
      <w:pPr>
        <w:ind w:left="5040" w:hanging="360"/>
      </w:pPr>
      <w:rPr>
        <w:rFonts w:ascii="Symbol" w:hAnsi="Symbol" w:hint="default"/>
      </w:rPr>
    </w:lvl>
    <w:lvl w:ilvl="7" w:tplc="2D5ED11A">
      <w:start w:val="1"/>
      <w:numFmt w:val="bullet"/>
      <w:lvlText w:val="o"/>
      <w:lvlJc w:val="left"/>
      <w:pPr>
        <w:ind w:left="5760" w:hanging="360"/>
      </w:pPr>
      <w:rPr>
        <w:rFonts w:ascii="Courier New" w:hAnsi="Courier New" w:hint="default"/>
      </w:rPr>
    </w:lvl>
    <w:lvl w:ilvl="8" w:tplc="4FB42F3C">
      <w:start w:val="1"/>
      <w:numFmt w:val="bullet"/>
      <w:lvlText w:val=""/>
      <w:lvlJc w:val="left"/>
      <w:pPr>
        <w:ind w:left="6480" w:hanging="360"/>
      </w:pPr>
      <w:rPr>
        <w:rFonts w:ascii="Wingdings" w:hAnsi="Wingdings" w:hint="default"/>
      </w:rPr>
    </w:lvl>
  </w:abstractNum>
  <w:abstractNum w:abstractNumId="543" w15:restartNumberingAfterBreak="0">
    <w:nsid w:val="5A4560F3"/>
    <w:multiLevelType w:val="hybridMultilevel"/>
    <w:tmpl w:val="7BC602B0"/>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44" w15:restartNumberingAfterBreak="0">
    <w:nsid w:val="5A8B5642"/>
    <w:multiLevelType w:val="multilevel"/>
    <w:tmpl w:val="C07024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5" w15:restartNumberingAfterBreak="0">
    <w:nsid w:val="5A984617"/>
    <w:multiLevelType w:val="hybridMultilevel"/>
    <w:tmpl w:val="1D0E0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5ABAF4B5"/>
    <w:multiLevelType w:val="hybridMultilevel"/>
    <w:tmpl w:val="FFFFFFFF"/>
    <w:lvl w:ilvl="0" w:tplc="0BA6462C">
      <w:start w:val="1"/>
      <w:numFmt w:val="bullet"/>
      <w:lvlText w:val=""/>
      <w:lvlJc w:val="left"/>
      <w:pPr>
        <w:ind w:left="720" w:hanging="360"/>
      </w:pPr>
      <w:rPr>
        <w:rFonts w:ascii="Symbol" w:hAnsi="Symbol" w:hint="default"/>
      </w:rPr>
    </w:lvl>
    <w:lvl w:ilvl="1" w:tplc="5ACE1DEE">
      <w:start w:val="1"/>
      <w:numFmt w:val="bullet"/>
      <w:lvlText w:val="-"/>
      <w:lvlJc w:val="left"/>
      <w:pPr>
        <w:ind w:left="1440" w:hanging="360"/>
      </w:pPr>
      <w:rPr>
        <w:rFonts w:ascii="Calibri" w:hAnsi="Calibri" w:hint="default"/>
      </w:rPr>
    </w:lvl>
    <w:lvl w:ilvl="2" w:tplc="B984A4B2">
      <w:start w:val="1"/>
      <w:numFmt w:val="bullet"/>
      <w:lvlText w:val=""/>
      <w:lvlJc w:val="left"/>
      <w:pPr>
        <w:ind w:left="2160" w:hanging="360"/>
      </w:pPr>
      <w:rPr>
        <w:rFonts w:ascii="Wingdings" w:hAnsi="Wingdings" w:hint="default"/>
      </w:rPr>
    </w:lvl>
    <w:lvl w:ilvl="3" w:tplc="C1346996">
      <w:start w:val="1"/>
      <w:numFmt w:val="bullet"/>
      <w:lvlText w:val=""/>
      <w:lvlJc w:val="left"/>
      <w:pPr>
        <w:ind w:left="2880" w:hanging="360"/>
      </w:pPr>
      <w:rPr>
        <w:rFonts w:ascii="Symbol" w:hAnsi="Symbol" w:hint="default"/>
      </w:rPr>
    </w:lvl>
    <w:lvl w:ilvl="4" w:tplc="2C320182">
      <w:start w:val="1"/>
      <w:numFmt w:val="bullet"/>
      <w:lvlText w:val="o"/>
      <w:lvlJc w:val="left"/>
      <w:pPr>
        <w:ind w:left="3600" w:hanging="360"/>
      </w:pPr>
      <w:rPr>
        <w:rFonts w:ascii="Courier New" w:hAnsi="Courier New" w:hint="default"/>
      </w:rPr>
    </w:lvl>
    <w:lvl w:ilvl="5" w:tplc="2B44160A">
      <w:start w:val="1"/>
      <w:numFmt w:val="bullet"/>
      <w:lvlText w:val=""/>
      <w:lvlJc w:val="left"/>
      <w:pPr>
        <w:ind w:left="4320" w:hanging="360"/>
      </w:pPr>
      <w:rPr>
        <w:rFonts w:ascii="Wingdings" w:hAnsi="Wingdings" w:hint="default"/>
      </w:rPr>
    </w:lvl>
    <w:lvl w:ilvl="6" w:tplc="C0145FC0">
      <w:start w:val="1"/>
      <w:numFmt w:val="bullet"/>
      <w:lvlText w:val=""/>
      <w:lvlJc w:val="left"/>
      <w:pPr>
        <w:ind w:left="5040" w:hanging="360"/>
      </w:pPr>
      <w:rPr>
        <w:rFonts w:ascii="Symbol" w:hAnsi="Symbol" w:hint="default"/>
      </w:rPr>
    </w:lvl>
    <w:lvl w:ilvl="7" w:tplc="DBA4ABE2">
      <w:start w:val="1"/>
      <w:numFmt w:val="bullet"/>
      <w:lvlText w:val="o"/>
      <w:lvlJc w:val="left"/>
      <w:pPr>
        <w:ind w:left="5760" w:hanging="360"/>
      </w:pPr>
      <w:rPr>
        <w:rFonts w:ascii="Courier New" w:hAnsi="Courier New" w:hint="default"/>
      </w:rPr>
    </w:lvl>
    <w:lvl w:ilvl="8" w:tplc="7D98B9E6">
      <w:start w:val="1"/>
      <w:numFmt w:val="bullet"/>
      <w:lvlText w:val=""/>
      <w:lvlJc w:val="left"/>
      <w:pPr>
        <w:ind w:left="6480" w:hanging="360"/>
      </w:pPr>
      <w:rPr>
        <w:rFonts w:ascii="Wingdings" w:hAnsi="Wingdings" w:hint="default"/>
      </w:rPr>
    </w:lvl>
  </w:abstractNum>
  <w:abstractNum w:abstractNumId="547" w15:restartNumberingAfterBreak="0">
    <w:nsid w:val="5B0F1134"/>
    <w:multiLevelType w:val="hybridMultilevel"/>
    <w:tmpl w:val="38F0B8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8" w15:restartNumberingAfterBreak="0">
    <w:nsid w:val="5B1158AD"/>
    <w:multiLevelType w:val="hybridMultilevel"/>
    <w:tmpl w:val="7A9666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9"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egoe UI" w:hAnsi="Segoe UI" w:hint="default"/>
      </w:rPr>
    </w:lvl>
  </w:abstractNum>
  <w:abstractNum w:abstractNumId="550" w15:restartNumberingAfterBreak="0">
    <w:nsid w:val="5B4E2D28"/>
    <w:multiLevelType w:val="hybridMultilevel"/>
    <w:tmpl w:val="FFFFFFFF"/>
    <w:lvl w:ilvl="0" w:tplc="05C6BB3E">
      <w:start w:val="5"/>
      <w:numFmt w:val="decimal"/>
      <w:lvlText w:val="%1."/>
      <w:lvlJc w:val="left"/>
      <w:pPr>
        <w:ind w:left="720" w:hanging="360"/>
      </w:pPr>
    </w:lvl>
    <w:lvl w:ilvl="1" w:tplc="B852DACA">
      <w:start w:val="1"/>
      <w:numFmt w:val="lowerLetter"/>
      <w:lvlText w:val="%2."/>
      <w:lvlJc w:val="left"/>
      <w:pPr>
        <w:ind w:left="1440" w:hanging="360"/>
      </w:pPr>
    </w:lvl>
    <w:lvl w:ilvl="2" w:tplc="337A38FA">
      <w:start w:val="1"/>
      <w:numFmt w:val="lowerRoman"/>
      <w:lvlText w:val="%3."/>
      <w:lvlJc w:val="right"/>
      <w:pPr>
        <w:ind w:left="2160" w:hanging="180"/>
      </w:pPr>
    </w:lvl>
    <w:lvl w:ilvl="3" w:tplc="5DBC536E">
      <w:start w:val="1"/>
      <w:numFmt w:val="decimal"/>
      <w:lvlText w:val="%4."/>
      <w:lvlJc w:val="left"/>
      <w:pPr>
        <w:ind w:left="2880" w:hanging="360"/>
      </w:pPr>
    </w:lvl>
    <w:lvl w:ilvl="4" w:tplc="23ACD4E8">
      <w:start w:val="1"/>
      <w:numFmt w:val="lowerLetter"/>
      <w:lvlText w:val="%5."/>
      <w:lvlJc w:val="left"/>
      <w:pPr>
        <w:ind w:left="3600" w:hanging="360"/>
      </w:pPr>
    </w:lvl>
    <w:lvl w:ilvl="5" w:tplc="83528A22">
      <w:start w:val="1"/>
      <w:numFmt w:val="lowerRoman"/>
      <w:lvlText w:val="%6."/>
      <w:lvlJc w:val="right"/>
      <w:pPr>
        <w:ind w:left="4320" w:hanging="180"/>
      </w:pPr>
    </w:lvl>
    <w:lvl w:ilvl="6" w:tplc="D8B6496A">
      <w:start w:val="1"/>
      <w:numFmt w:val="decimal"/>
      <w:lvlText w:val="%7."/>
      <w:lvlJc w:val="left"/>
      <w:pPr>
        <w:ind w:left="5040" w:hanging="360"/>
      </w:pPr>
    </w:lvl>
    <w:lvl w:ilvl="7" w:tplc="E3B43124">
      <w:start w:val="1"/>
      <w:numFmt w:val="lowerLetter"/>
      <w:lvlText w:val="%8."/>
      <w:lvlJc w:val="left"/>
      <w:pPr>
        <w:ind w:left="5760" w:hanging="360"/>
      </w:pPr>
    </w:lvl>
    <w:lvl w:ilvl="8" w:tplc="BDA03F02">
      <w:start w:val="1"/>
      <w:numFmt w:val="lowerRoman"/>
      <w:lvlText w:val="%9."/>
      <w:lvlJc w:val="right"/>
      <w:pPr>
        <w:ind w:left="6480" w:hanging="180"/>
      </w:pPr>
    </w:lvl>
  </w:abstractNum>
  <w:abstractNum w:abstractNumId="551" w15:restartNumberingAfterBreak="0">
    <w:nsid w:val="5C056EE5"/>
    <w:multiLevelType w:val="singleLevel"/>
    <w:tmpl w:val="3378D27C"/>
    <w:name w:val="Bullet 2"/>
    <w:lvl w:ilvl="0">
      <w:start w:val="1"/>
      <w:numFmt w:val="bullet"/>
      <w:lvlRestart w:val="0"/>
      <w:pStyle w:val="Bullet20"/>
      <w:lvlText w:val=""/>
      <w:lvlJc w:val="left"/>
      <w:pPr>
        <w:tabs>
          <w:tab w:val="num" w:pos="1984"/>
        </w:tabs>
        <w:ind w:left="1984" w:hanging="567"/>
      </w:pPr>
      <w:rPr>
        <w:rFonts w:ascii="Segoe UI" w:hAnsi="Segoe UI" w:hint="default"/>
      </w:rPr>
    </w:lvl>
  </w:abstractNum>
  <w:abstractNum w:abstractNumId="552" w15:restartNumberingAfterBreak="0">
    <w:nsid w:val="5C666E04"/>
    <w:multiLevelType w:val="hybridMultilevel"/>
    <w:tmpl w:val="66449CEA"/>
    <w:lvl w:ilvl="0" w:tplc="7214FC08">
      <w:start w:val="7"/>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3" w15:restartNumberingAfterBreak="0">
    <w:nsid w:val="5C6F4C3A"/>
    <w:multiLevelType w:val="hybridMultilevel"/>
    <w:tmpl w:val="FFFFFFFF"/>
    <w:lvl w:ilvl="0" w:tplc="33C8D67A">
      <w:start w:val="5"/>
      <w:numFmt w:val="decimal"/>
      <w:lvlText w:val="%1."/>
      <w:lvlJc w:val="left"/>
      <w:pPr>
        <w:ind w:left="720" w:hanging="360"/>
      </w:pPr>
    </w:lvl>
    <w:lvl w:ilvl="1" w:tplc="B5BC7CCE">
      <w:start w:val="1"/>
      <w:numFmt w:val="lowerLetter"/>
      <w:lvlText w:val="%2."/>
      <w:lvlJc w:val="left"/>
      <w:pPr>
        <w:ind w:left="1440" w:hanging="360"/>
      </w:pPr>
    </w:lvl>
    <w:lvl w:ilvl="2" w:tplc="5846D7D6">
      <w:start w:val="1"/>
      <w:numFmt w:val="lowerRoman"/>
      <w:lvlText w:val="%3."/>
      <w:lvlJc w:val="right"/>
      <w:pPr>
        <w:ind w:left="2160" w:hanging="180"/>
      </w:pPr>
    </w:lvl>
    <w:lvl w:ilvl="3" w:tplc="D72AF2CA">
      <w:start w:val="1"/>
      <w:numFmt w:val="decimal"/>
      <w:lvlText w:val="%4."/>
      <w:lvlJc w:val="left"/>
      <w:pPr>
        <w:ind w:left="2880" w:hanging="360"/>
      </w:pPr>
    </w:lvl>
    <w:lvl w:ilvl="4" w:tplc="C17C29EC">
      <w:start w:val="1"/>
      <w:numFmt w:val="lowerLetter"/>
      <w:lvlText w:val="%5."/>
      <w:lvlJc w:val="left"/>
      <w:pPr>
        <w:ind w:left="3600" w:hanging="360"/>
      </w:pPr>
    </w:lvl>
    <w:lvl w:ilvl="5" w:tplc="90D244DE">
      <w:start w:val="1"/>
      <w:numFmt w:val="lowerRoman"/>
      <w:lvlText w:val="%6."/>
      <w:lvlJc w:val="right"/>
      <w:pPr>
        <w:ind w:left="4320" w:hanging="180"/>
      </w:pPr>
    </w:lvl>
    <w:lvl w:ilvl="6" w:tplc="6FB604C0">
      <w:start w:val="1"/>
      <w:numFmt w:val="decimal"/>
      <w:lvlText w:val="%7."/>
      <w:lvlJc w:val="left"/>
      <w:pPr>
        <w:ind w:left="5040" w:hanging="360"/>
      </w:pPr>
    </w:lvl>
    <w:lvl w:ilvl="7" w:tplc="7A048A36">
      <w:start w:val="1"/>
      <w:numFmt w:val="lowerLetter"/>
      <w:lvlText w:val="%8."/>
      <w:lvlJc w:val="left"/>
      <w:pPr>
        <w:ind w:left="5760" w:hanging="360"/>
      </w:pPr>
    </w:lvl>
    <w:lvl w:ilvl="8" w:tplc="B1F8FC22">
      <w:start w:val="1"/>
      <w:numFmt w:val="lowerRoman"/>
      <w:lvlText w:val="%9."/>
      <w:lvlJc w:val="right"/>
      <w:pPr>
        <w:ind w:left="6480" w:hanging="180"/>
      </w:pPr>
    </w:lvl>
  </w:abstractNum>
  <w:abstractNum w:abstractNumId="554" w15:restartNumberingAfterBreak="0">
    <w:nsid w:val="5C6F55BC"/>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5" w15:restartNumberingAfterBreak="0">
    <w:nsid w:val="5CA1C009"/>
    <w:multiLevelType w:val="hybridMultilevel"/>
    <w:tmpl w:val="FFFFFFFF"/>
    <w:lvl w:ilvl="0" w:tplc="9FB200DC">
      <w:start w:val="1"/>
      <w:numFmt w:val="bullet"/>
      <w:lvlText w:val=""/>
      <w:lvlJc w:val="left"/>
      <w:pPr>
        <w:ind w:left="720" w:hanging="360"/>
      </w:pPr>
      <w:rPr>
        <w:rFonts w:ascii="Segoe UI" w:hAnsi="Segoe UI" w:hint="default"/>
      </w:rPr>
    </w:lvl>
    <w:lvl w:ilvl="1" w:tplc="7932DE4E">
      <w:start w:val="1"/>
      <w:numFmt w:val="bullet"/>
      <w:lvlText w:val="o"/>
      <w:lvlJc w:val="left"/>
      <w:pPr>
        <w:ind w:left="1440" w:hanging="360"/>
      </w:pPr>
      <w:rPr>
        <w:rFonts w:ascii="Courier New" w:hAnsi="Courier New" w:hint="default"/>
      </w:rPr>
    </w:lvl>
    <w:lvl w:ilvl="2" w:tplc="D0EC6D78">
      <w:start w:val="1"/>
      <w:numFmt w:val="bullet"/>
      <w:lvlText w:val=""/>
      <w:lvlJc w:val="left"/>
      <w:pPr>
        <w:ind w:left="2160" w:hanging="360"/>
      </w:pPr>
      <w:rPr>
        <w:rFonts w:ascii="Cambria Math" w:hAnsi="Cambria Math" w:hint="default"/>
      </w:rPr>
    </w:lvl>
    <w:lvl w:ilvl="3" w:tplc="F196C276">
      <w:start w:val="1"/>
      <w:numFmt w:val="bullet"/>
      <w:lvlText w:val=""/>
      <w:lvlJc w:val="left"/>
      <w:pPr>
        <w:ind w:left="2880" w:hanging="360"/>
      </w:pPr>
      <w:rPr>
        <w:rFonts w:ascii="Segoe UI" w:hAnsi="Segoe UI" w:hint="default"/>
      </w:rPr>
    </w:lvl>
    <w:lvl w:ilvl="4" w:tplc="E4C4F74A">
      <w:start w:val="1"/>
      <w:numFmt w:val="bullet"/>
      <w:lvlText w:val="o"/>
      <w:lvlJc w:val="left"/>
      <w:pPr>
        <w:ind w:left="3600" w:hanging="360"/>
      </w:pPr>
      <w:rPr>
        <w:rFonts w:ascii="Courier New" w:hAnsi="Courier New" w:hint="default"/>
      </w:rPr>
    </w:lvl>
    <w:lvl w:ilvl="5" w:tplc="9000BAF8">
      <w:start w:val="1"/>
      <w:numFmt w:val="bullet"/>
      <w:lvlText w:val=""/>
      <w:lvlJc w:val="left"/>
      <w:pPr>
        <w:ind w:left="4320" w:hanging="360"/>
      </w:pPr>
      <w:rPr>
        <w:rFonts w:ascii="Cambria Math" w:hAnsi="Cambria Math" w:hint="default"/>
      </w:rPr>
    </w:lvl>
    <w:lvl w:ilvl="6" w:tplc="596845C4">
      <w:start w:val="1"/>
      <w:numFmt w:val="bullet"/>
      <w:lvlText w:val=""/>
      <w:lvlJc w:val="left"/>
      <w:pPr>
        <w:ind w:left="5040" w:hanging="360"/>
      </w:pPr>
      <w:rPr>
        <w:rFonts w:ascii="Segoe UI" w:hAnsi="Segoe UI" w:hint="default"/>
      </w:rPr>
    </w:lvl>
    <w:lvl w:ilvl="7" w:tplc="BC163D40">
      <w:start w:val="1"/>
      <w:numFmt w:val="bullet"/>
      <w:lvlText w:val="o"/>
      <w:lvlJc w:val="left"/>
      <w:pPr>
        <w:ind w:left="5760" w:hanging="360"/>
      </w:pPr>
      <w:rPr>
        <w:rFonts w:ascii="Courier New" w:hAnsi="Courier New" w:hint="default"/>
      </w:rPr>
    </w:lvl>
    <w:lvl w:ilvl="8" w:tplc="15FCE2BE">
      <w:start w:val="1"/>
      <w:numFmt w:val="bullet"/>
      <w:lvlText w:val=""/>
      <w:lvlJc w:val="left"/>
      <w:pPr>
        <w:ind w:left="6480" w:hanging="360"/>
      </w:pPr>
      <w:rPr>
        <w:rFonts w:ascii="Cambria Math" w:hAnsi="Cambria Math" w:hint="default"/>
      </w:rPr>
    </w:lvl>
  </w:abstractNum>
  <w:abstractNum w:abstractNumId="556"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57" w15:restartNumberingAfterBreak="0">
    <w:nsid w:val="5CA57E7E"/>
    <w:multiLevelType w:val="hybridMultilevel"/>
    <w:tmpl w:val="887ED81A"/>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558" w15:restartNumberingAfterBreak="0">
    <w:nsid w:val="5CB24AB3"/>
    <w:multiLevelType w:val="hybridMultilevel"/>
    <w:tmpl w:val="FFFFFFFF"/>
    <w:lvl w:ilvl="0" w:tplc="C3702E2A">
      <w:start w:val="1"/>
      <w:numFmt w:val="bullet"/>
      <w:lvlText w:val=""/>
      <w:lvlJc w:val="left"/>
      <w:pPr>
        <w:ind w:left="720" w:hanging="360"/>
      </w:pPr>
      <w:rPr>
        <w:rFonts w:ascii="Symbol" w:hAnsi="Symbol" w:hint="default"/>
      </w:rPr>
    </w:lvl>
    <w:lvl w:ilvl="1" w:tplc="52A6302E">
      <w:start w:val="1"/>
      <w:numFmt w:val="bullet"/>
      <w:lvlText w:val="o"/>
      <w:lvlJc w:val="left"/>
      <w:pPr>
        <w:ind w:left="1440" w:hanging="360"/>
      </w:pPr>
      <w:rPr>
        <w:rFonts w:ascii="Courier New" w:hAnsi="Courier New" w:hint="default"/>
      </w:rPr>
    </w:lvl>
    <w:lvl w:ilvl="2" w:tplc="DAB84212">
      <w:start w:val="1"/>
      <w:numFmt w:val="bullet"/>
      <w:lvlText w:val=""/>
      <w:lvlJc w:val="left"/>
      <w:pPr>
        <w:ind w:left="2160" w:hanging="360"/>
      </w:pPr>
      <w:rPr>
        <w:rFonts w:ascii="Wingdings" w:hAnsi="Wingdings" w:hint="default"/>
      </w:rPr>
    </w:lvl>
    <w:lvl w:ilvl="3" w:tplc="01EC1336">
      <w:start w:val="1"/>
      <w:numFmt w:val="bullet"/>
      <w:lvlText w:val=""/>
      <w:lvlJc w:val="left"/>
      <w:pPr>
        <w:ind w:left="2880" w:hanging="360"/>
      </w:pPr>
      <w:rPr>
        <w:rFonts w:ascii="Symbol" w:hAnsi="Symbol" w:hint="default"/>
      </w:rPr>
    </w:lvl>
    <w:lvl w:ilvl="4" w:tplc="5792DE34">
      <w:start w:val="1"/>
      <w:numFmt w:val="bullet"/>
      <w:lvlText w:val="o"/>
      <w:lvlJc w:val="left"/>
      <w:pPr>
        <w:ind w:left="3600" w:hanging="360"/>
      </w:pPr>
      <w:rPr>
        <w:rFonts w:ascii="Courier New" w:hAnsi="Courier New" w:hint="default"/>
      </w:rPr>
    </w:lvl>
    <w:lvl w:ilvl="5" w:tplc="06FEC32C">
      <w:start w:val="1"/>
      <w:numFmt w:val="bullet"/>
      <w:lvlText w:val=""/>
      <w:lvlJc w:val="left"/>
      <w:pPr>
        <w:ind w:left="4320" w:hanging="360"/>
      </w:pPr>
      <w:rPr>
        <w:rFonts w:ascii="Wingdings" w:hAnsi="Wingdings" w:hint="default"/>
      </w:rPr>
    </w:lvl>
    <w:lvl w:ilvl="6" w:tplc="E80821A2">
      <w:start w:val="1"/>
      <w:numFmt w:val="bullet"/>
      <w:lvlText w:val=""/>
      <w:lvlJc w:val="left"/>
      <w:pPr>
        <w:ind w:left="5040" w:hanging="360"/>
      </w:pPr>
      <w:rPr>
        <w:rFonts w:ascii="Symbol" w:hAnsi="Symbol" w:hint="default"/>
      </w:rPr>
    </w:lvl>
    <w:lvl w:ilvl="7" w:tplc="98AA58EA">
      <w:start w:val="1"/>
      <w:numFmt w:val="bullet"/>
      <w:lvlText w:val="o"/>
      <w:lvlJc w:val="left"/>
      <w:pPr>
        <w:ind w:left="5760" w:hanging="360"/>
      </w:pPr>
      <w:rPr>
        <w:rFonts w:ascii="Courier New" w:hAnsi="Courier New" w:hint="default"/>
      </w:rPr>
    </w:lvl>
    <w:lvl w:ilvl="8" w:tplc="99C82904">
      <w:start w:val="1"/>
      <w:numFmt w:val="bullet"/>
      <w:lvlText w:val=""/>
      <w:lvlJc w:val="left"/>
      <w:pPr>
        <w:ind w:left="6480" w:hanging="360"/>
      </w:pPr>
      <w:rPr>
        <w:rFonts w:ascii="Wingdings" w:hAnsi="Wingdings" w:hint="default"/>
      </w:rPr>
    </w:lvl>
  </w:abstractNum>
  <w:abstractNum w:abstractNumId="559" w15:restartNumberingAfterBreak="0">
    <w:nsid w:val="5CB30917"/>
    <w:multiLevelType w:val="multilevel"/>
    <w:tmpl w:val="AEE056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5CBB9621"/>
    <w:multiLevelType w:val="hybridMultilevel"/>
    <w:tmpl w:val="FFFFFFFF"/>
    <w:lvl w:ilvl="0" w:tplc="C074CE24">
      <w:start w:val="3"/>
      <w:numFmt w:val="decimal"/>
      <w:lvlText w:val="%1."/>
      <w:lvlJc w:val="left"/>
      <w:pPr>
        <w:ind w:left="720" w:hanging="360"/>
      </w:pPr>
    </w:lvl>
    <w:lvl w:ilvl="1" w:tplc="B798BE02">
      <w:start w:val="1"/>
      <w:numFmt w:val="lowerLetter"/>
      <w:lvlText w:val="%2."/>
      <w:lvlJc w:val="left"/>
      <w:pPr>
        <w:ind w:left="1440" w:hanging="360"/>
      </w:pPr>
    </w:lvl>
    <w:lvl w:ilvl="2" w:tplc="075CB1E4">
      <w:start w:val="1"/>
      <w:numFmt w:val="lowerRoman"/>
      <w:lvlText w:val="%3."/>
      <w:lvlJc w:val="right"/>
      <w:pPr>
        <w:ind w:left="2160" w:hanging="180"/>
      </w:pPr>
    </w:lvl>
    <w:lvl w:ilvl="3" w:tplc="0E5E8AC0">
      <w:start w:val="1"/>
      <w:numFmt w:val="decimal"/>
      <w:lvlText w:val="%4."/>
      <w:lvlJc w:val="left"/>
      <w:pPr>
        <w:ind w:left="2880" w:hanging="360"/>
      </w:pPr>
    </w:lvl>
    <w:lvl w:ilvl="4" w:tplc="921CEA28">
      <w:start w:val="1"/>
      <w:numFmt w:val="lowerLetter"/>
      <w:lvlText w:val="%5."/>
      <w:lvlJc w:val="left"/>
      <w:pPr>
        <w:ind w:left="3600" w:hanging="360"/>
      </w:pPr>
    </w:lvl>
    <w:lvl w:ilvl="5" w:tplc="B3A67F66">
      <w:start w:val="1"/>
      <w:numFmt w:val="lowerRoman"/>
      <w:lvlText w:val="%6."/>
      <w:lvlJc w:val="right"/>
      <w:pPr>
        <w:ind w:left="4320" w:hanging="180"/>
      </w:pPr>
    </w:lvl>
    <w:lvl w:ilvl="6" w:tplc="F14C80B6">
      <w:start w:val="1"/>
      <w:numFmt w:val="decimal"/>
      <w:lvlText w:val="%7."/>
      <w:lvlJc w:val="left"/>
      <w:pPr>
        <w:ind w:left="5040" w:hanging="360"/>
      </w:pPr>
    </w:lvl>
    <w:lvl w:ilvl="7" w:tplc="6622AA46">
      <w:start w:val="1"/>
      <w:numFmt w:val="lowerLetter"/>
      <w:lvlText w:val="%8."/>
      <w:lvlJc w:val="left"/>
      <w:pPr>
        <w:ind w:left="5760" w:hanging="360"/>
      </w:pPr>
    </w:lvl>
    <w:lvl w:ilvl="8" w:tplc="D8C6AFA4">
      <w:start w:val="1"/>
      <w:numFmt w:val="lowerRoman"/>
      <w:lvlText w:val="%9."/>
      <w:lvlJc w:val="right"/>
      <w:pPr>
        <w:ind w:left="6480" w:hanging="180"/>
      </w:pPr>
    </w:lvl>
  </w:abstractNum>
  <w:abstractNum w:abstractNumId="561" w15:restartNumberingAfterBreak="0">
    <w:nsid w:val="5CF47D0B"/>
    <w:multiLevelType w:val="hybridMultilevel"/>
    <w:tmpl w:val="FFFFFFFF"/>
    <w:lvl w:ilvl="0" w:tplc="29F27958">
      <w:start w:val="1"/>
      <w:numFmt w:val="bullet"/>
      <w:lvlText w:val="·"/>
      <w:lvlJc w:val="left"/>
      <w:pPr>
        <w:ind w:left="720" w:hanging="360"/>
      </w:pPr>
      <w:rPr>
        <w:rFonts w:ascii="Symbol" w:hAnsi="Symbol" w:hint="default"/>
      </w:rPr>
    </w:lvl>
    <w:lvl w:ilvl="1" w:tplc="C706BA24">
      <w:start w:val="1"/>
      <w:numFmt w:val="bullet"/>
      <w:lvlText w:val="o"/>
      <w:lvlJc w:val="left"/>
      <w:pPr>
        <w:ind w:left="1440" w:hanging="360"/>
      </w:pPr>
      <w:rPr>
        <w:rFonts w:ascii="Courier New" w:hAnsi="Courier New" w:hint="default"/>
      </w:rPr>
    </w:lvl>
    <w:lvl w:ilvl="2" w:tplc="7F4E5E84">
      <w:start w:val="1"/>
      <w:numFmt w:val="bullet"/>
      <w:lvlText w:val=""/>
      <w:lvlJc w:val="left"/>
      <w:pPr>
        <w:ind w:left="2160" w:hanging="360"/>
      </w:pPr>
      <w:rPr>
        <w:rFonts w:ascii="Wingdings" w:hAnsi="Wingdings" w:hint="default"/>
      </w:rPr>
    </w:lvl>
    <w:lvl w:ilvl="3" w:tplc="69F434BA">
      <w:start w:val="1"/>
      <w:numFmt w:val="bullet"/>
      <w:lvlText w:val=""/>
      <w:lvlJc w:val="left"/>
      <w:pPr>
        <w:ind w:left="2880" w:hanging="360"/>
      </w:pPr>
      <w:rPr>
        <w:rFonts w:ascii="Symbol" w:hAnsi="Symbol" w:hint="default"/>
      </w:rPr>
    </w:lvl>
    <w:lvl w:ilvl="4" w:tplc="4F46C1BC">
      <w:start w:val="1"/>
      <w:numFmt w:val="bullet"/>
      <w:lvlText w:val="o"/>
      <w:lvlJc w:val="left"/>
      <w:pPr>
        <w:ind w:left="3600" w:hanging="360"/>
      </w:pPr>
      <w:rPr>
        <w:rFonts w:ascii="Courier New" w:hAnsi="Courier New" w:hint="default"/>
      </w:rPr>
    </w:lvl>
    <w:lvl w:ilvl="5" w:tplc="DBDE9106">
      <w:start w:val="1"/>
      <w:numFmt w:val="bullet"/>
      <w:lvlText w:val=""/>
      <w:lvlJc w:val="left"/>
      <w:pPr>
        <w:ind w:left="4320" w:hanging="360"/>
      </w:pPr>
      <w:rPr>
        <w:rFonts w:ascii="Wingdings" w:hAnsi="Wingdings" w:hint="default"/>
      </w:rPr>
    </w:lvl>
    <w:lvl w:ilvl="6" w:tplc="07BE7B44">
      <w:start w:val="1"/>
      <w:numFmt w:val="bullet"/>
      <w:lvlText w:val=""/>
      <w:lvlJc w:val="left"/>
      <w:pPr>
        <w:ind w:left="5040" w:hanging="360"/>
      </w:pPr>
      <w:rPr>
        <w:rFonts w:ascii="Symbol" w:hAnsi="Symbol" w:hint="default"/>
      </w:rPr>
    </w:lvl>
    <w:lvl w:ilvl="7" w:tplc="41246B1E">
      <w:start w:val="1"/>
      <w:numFmt w:val="bullet"/>
      <w:lvlText w:val="o"/>
      <w:lvlJc w:val="left"/>
      <w:pPr>
        <w:ind w:left="5760" w:hanging="360"/>
      </w:pPr>
      <w:rPr>
        <w:rFonts w:ascii="Courier New" w:hAnsi="Courier New" w:hint="default"/>
      </w:rPr>
    </w:lvl>
    <w:lvl w:ilvl="8" w:tplc="D6CE58D8">
      <w:start w:val="1"/>
      <w:numFmt w:val="bullet"/>
      <w:lvlText w:val=""/>
      <w:lvlJc w:val="left"/>
      <w:pPr>
        <w:ind w:left="6480" w:hanging="360"/>
      </w:pPr>
      <w:rPr>
        <w:rFonts w:ascii="Wingdings" w:hAnsi="Wingdings" w:hint="default"/>
      </w:rPr>
    </w:lvl>
  </w:abstractNum>
  <w:abstractNum w:abstractNumId="562" w15:restartNumberingAfterBreak="0">
    <w:nsid w:val="5D060240"/>
    <w:multiLevelType w:val="hybridMultilevel"/>
    <w:tmpl w:val="1006120C"/>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3" w15:restartNumberingAfterBreak="0">
    <w:nsid w:val="5D3E4E34"/>
    <w:multiLevelType w:val="multilevel"/>
    <w:tmpl w:val="EE26A6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4" w15:restartNumberingAfterBreak="0">
    <w:nsid w:val="5DA07DA8"/>
    <w:multiLevelType w:val="hybridMultilevel"/>
    <w:tmpl w:val="FFFFFFFF"/>
    <w:lvl w:ilvl="0" w:tplc="A484E5A4">
      <w:start w:val="1"/>
      <w:numFmt w:val="bullet"/>
      <w:lvlText w:val=""/>
      <w:lvlJc w:val="left"/>
      <w:pPr>
        <w:ind w:left="720" w:hanging="360"/>
      </w:pPr>
      <w:rPr>
        <w:rFonts w:ascii="Symbol" w:hAnsi="Symbol" w:hint="default"/>
      </w:rPr>
    </w:lvl>
    <w:lvl w:ilvl="1" w:tplc="73087B4E">
      <w:start w:val="1"/>
      <w:numFmt w:val="bullet"/>
      <w:lvlText w:val="-"/>
      <w:lvlJc w:val="left"/>
      <w:pPr>
        <w:ind w:left="1440" w:hanging="360"/>
      </w:pPr>
      <w:rPr>
        <w:rFonts w:ascii="Calibri" w:hAnsi="Calibri" w:hint="default"/>
      </w:rPr>
    </w:lvl>
    <w:lvl w:ilvl="2" w:tplc="E8CC8A8C">
      <w:start w:val="1"/>
      <w:numFmt w:val="bullet"/>
      <w:lvlText w:val=""/>
      <w:lvlJc w:val="left"/>
      <w:pPr>
        <w:ind w:left="2160" w:hanging="360"/>
      </w:pPr>
      <w:rPr>
        <w:rFonts w:ascii="Wingdings" w:hAnsi="Wingdings" w:hint="default"/>
      </w:rPr>
    </w:lvl>
    <w:lvl w:ilvl="3" w:tplc="A88ED84E">
      <w:start w:val="1"/>
      <w:numFmt w:val="bullet"/>
      <w:lvlText w:val=""/>
      <w:lvlJc w:val="left"/>
      <w:pPr>
        <w:ind w:left="2880" w:hanging="360"/>
      </w:pPr>
      <w:rPr>
        <w:rFonts w:ascii="Symbol" w:hAnsi="Symbol" w:hint="default"/>
      </w:rPr>
    </w:lvl>
    <w:lvl w:ilvl="4" w:tplc="AB1E3C84">
      <w:start w:val="1"/>
      <w:numFmt w:val="bullet"/>
      <w:lvlText w:val="o"/>
      <w:lvlJc w:val="left"/>
      <w:pPr>
        <w:ind w:left="3600" w:hanging="360"/>
      </w:pPr>
      <w:rPr>
        <w:rFonts w:ascii="Courier New" w:hAnsi="Courier New" w:hint="default"/>
      </w:rPr>
    </w:lvl>
    <w:lvl w:ilvl="5" w:tplc="F9748E36">
      <w:start w:val="1"/>
      <w:numFmt w:val="bullet"/>
      <w:lvlText w:val=""/>
      <w:lvlJc w:val="left"/>
      <w:pPr>
        <w:ind w:left="4320" w:hanging="360"/>
      </w:pPr>
      <w:rPr>
        <w:rFonts w:ascii="Wingdings" w:hAnsi="Wingdings" w:hint="default"/>
      </w:rPr>
    </w:lvl>
    <w:lvl w:ilvl="6" w:tplc="418ACFA0">
      <w:start w:val="1"/>
      <w:numFmt w:val="bullet"/>
      <w:lvlText w:val=""/>
      <w:lvlJc w:val="left"/>
      <w:pPr>
        <w:ind w:left="5040" w:hanging="360"/>
      </w:pPr>
      <w:rPr>
        <w:rFonts w:ascii="Symbol" w:hAnsi="Symbol" w:hint="default"/>
      </w:rPr>
    </w:lvl>
    <w:lvl w:ilvl="7" w:tplc="B9440862">
      <w:start w:val="1"/>
      <w:numFmt w:val="bullet"/>
      <w:lvlText w:val="o"/>
      <w:lvlJc w:val="left"/>
      <w:pPr>
        <w:ind w:left="5760" w:hanging="360"/>
      </w:pPr>
      <w:rPr>
        <w:rFonts w:ascii="Courier New" w:hAnsi="Courier New" w:hint="default"/>
      </w:rPr>
    </w:lvl>
    <w:lvl w:ilvl="8" w:tplc="E37A5E24">
      <w:start w:val="1"/>
      <w:numFmt w:val="bullet"/>
      <w:lvlText w:val=""/>
      <w:lvlJc w:val="left"/>
      <w:pPr>
        <w:ind w:left="6480" w:hanging="360"/>
      </w:pPr>
      <w:rPr>
        <w:rFonts w:ascii="Wingdings" w:hAnsi="Wingdings" w:hint="default"/>
      </w:rPr>
    </w:lvl>
  </w:abstractNum>
  <w:abstractNum w:abstractNumId="565" w15:restartNumberingAfterBreak="0">
    <w:nsid w:val="5DCDF669"/>
    <w:multiLevelType w:val="hybridMultilevel"/>
    <w:tmpl w:val="FFFFFFFF"/>
    <w:lvl w:ilvl="0" w:tplc="303CE6B6">
      <w:start w:val="1"/>
      <w:numFmt w:val="bullet"/>
      <w:lvlText w:val=""/>
      <w:lvlJc w:val="left"/>
      <w:pPr>
        <w:ind w:left="720" w:hanging="360"/>
      </w:pPr>
      <w:rPr>
        <w:rFonts w:ascii="Symbol" w:hAnsi="Symbol" w:hint="default"/>
      </w:rPr>
    </w:lvl>
    <w:lvl w:ilvl="1" w:tplc="70782C8C">
      <w:start w:val="1"/>
      <w:numFmt w:val="bullet"/>
      <w:lvlText w:val="o"/>
      <w:lvlJc w:val="left"/>
      <w:pPr>
        <w:ind w:left="1440" w:hanging="360"/>
      </w:pPr>
      <w:rPr>
        <w:rFonts w:ascii="Courier New" w:hAnsi="Courier New" w:hint="default"/>
      </w:rPr>
    </w:lvl>
    <w:lvl w:ilvl="2" w:tplc="5B30B4D0">
      <w:start w:val="1"/>
      <w:numFmt w:val="bullet"/>
      <w:lvlText w:val="§"/>
      <w:lvlJc w:val="left"/>
      <w:pPr>
        <w:ind w:left="2160" w:hanging="360"/>
      </w:pPr>
      <w:rPr>
        <w:rFonts w:ascii="Wingdings" w:hAnsi="Wingdings" w:hint="default"/>
      </w:rPr>
    </w:lvl>
    <w:lvl w:ilvl="3" w:tplc="1BCA7220">
      <w:start w:val="1"/>
      <w:numFmt w:val="bullet"/>
      <w:lvlText w:val=""/>
      <w:lvlJc w:val="left"/>
      <w:pPr>
        <w:ind w:left="2880" w:hanging="360"/>
      </w:pPr>
      <w:rPr>
        <w:rFonts w:ascii="Symbol" w:hAnsi="Symbol" w:hint="default"/>
      </w:rPr>
    </w:lvl>
    <w:lvl w:ilvl="4" w:tplc="A33E10E6">
      <w:start w:val="1"/>
      <w:numFmt w:val="bullet"/>
      <w:lvlText w:val="o"/>
      <w:lvlJc w:val="left"/>
      <w:pPr>
        <w:ind w:left="3600" w:hanging="360"/>
      </w:pPr>
      <w:rPr>
        <w:rFonts w:ascii="Courier New" w:hAnsi="Courier New" w:hint="default"/>
      </w:rPr>
    </w:lvl>
    <w:lvl w:ilvl="5" w:tplc="BB8C94B8">
      <w:start w:val="1"/>
      <w:numFmt w:val="bullet"/>
      <w:lvlText w:val=""/>
      <w:lvlJc w:val="left"/>
      <w:pPr>
        <w:ind w:left="4320" w:hanging="360"/>
      </w:pPr>
      <w:rPr>
        <w:rFonts w:ascii="Wingdings" w:hAnsi="Wingdings" w:hint="default"/>
      </w:rPr>
    </w:lvl>
    <w:lvl w:ilvl="6" w:tplc="020ABAD0">
      <w:start w:val="1"/>
      <w:numFmt w:val="bullet"/>
      <w:lvlText w:val=""/>
      <w:lvlJc w:val="left"/>
      <w:pPr>
        <w:ind w:left="5040" w:hanging="360"/>
      </w:pPr>
      <w:rPr>
        <w:rFonts w:ascii="Symbol" w:hAnsi="Symbol" w:hint="default"/>
      </w:rPr>
    </w:lvl>
    <w:lvl w:ilvl="7" w:tplc="59C696FC">
      <w:start w:val="1"/>
      <w:numFmt w:val="bullet"/>
      <w:lvlText w:val="o"/>
      <w:lvlJc w:val="left"/>
      <w:pPr>
        <w:ind w:left="5760" w:hanging="360"/>
      </w:pPr>
      <w:rPr>
        <w:rFonts w:ascii="Courier New" w:hAnsi="Courier New" w:hint="default"/>
      </w:rPr>
    </w:lvl>
    <w:lvl w:ilvl="8" w:tplc="CD34E486">
      <w:start w:val="1"/>
      <w:numFmt w:val="bullet"/>
      <w:lvlText w:val=""/>
      <w:lvlJc w:val="left"/>
      <w:pPr>
        <w:ind w:left="6480" w:hanging="360"/>
      </w:pPr>
      <w:rPr>
        <w:rFonts w:ascii="Wingdings" w:hAnsi="Wingdings" w:hint="default"/>
      </w:rPr>
    </w:lvl>
  </w:abstractNum>
  <w:abstractNum w:abstractNumId="566" w15:restartNumberingAfterBreak="0">
    <w:nsid w:val="5DDF71F9"/>
    <w:multiLevelType w:val="hybridMultilevel"/>
    <w:tmpl w:val="58308540"/>
    <w:lvl w:ilvl="0" w:tplc="1809001B">
      <w:start w:val="1"/>
      <w:numFmt w:val="lowerRoman"/>
      <w:lvlText w:val="%1."/>
      <w:lvlJc w:val="right"/>
      <w:pPr>
        <w:ind w:left="108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67" w15:restartNumberingAfterBreak="0">
    <w:nsid w:val="5E2D8F07"/>
    <w:multiLevelType w:val="multilevel"/>
    <w:tmpl w:val="FFFFFFFF"/>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8" w15:restartNumberingAfterBreak="0">
    <w:nsid w:val="5E4962A7"/>
    <w:multiLevelType w:val="hybridMultilevel"/>
    <w:tmpl w:val="B2DC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15:restartNumberingAfterBreak="0">
    <w:nsid w:val="5E7C7858"/>
    <w:multiLevelType w:val="multilevel"/>
    <w:tmpl w:val="3596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5EC27C6E"/>
    <w:multiLevelType w:val="hybridMultilevel"/>
    <w:tmpl w:val="E2E653EA"/>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1" w15:restartNumberingAfterBreak="0">
    <w:nsid w:val="5ECC7FFE"/>
    <w:multiLevelType w:val="hybridMultilevel"/>
    <w:tmpl w:val="AFC2569C"/>
    <w:lvl w:ilvl="0" w:tplc="0C0A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572" w15:restartNumberingAfterBreak="0">
    <w:nsid w:val="5ED02D43"/>
    <w:multiLevelType w:val="multilevel"/>
    <w:tmpl w:val="5632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EF47B74"/>
    <w:multiLevelType w:val="hybridMultilevel"/>
    <w:tmpl w:val="C84CB30E"/>
    <w:lvl w:ilvl="0" w:tplc="18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74" w15:restartNumberingAfterBreak="0">
    <w:nsid w:val="5F36C172"/>
    <w:multiLevelType w:val="hybridMultilevel"/>
    <w:tmpl w:val="FFFFFFFF"/>
    <w:lvl w:ilvl="0" w:tplc="CCC413A6">
      <w:start w:val="1"/>
      <w:numFmt w:val="bullet"/>
      <w:lvlText w:val=""/>
      <w:lvlJc w:val="left"/>
      <w:pPr>
        <w:ind w:left="720" w:hanging="360"/>
      </w:pPr>
      <w:rPr>
        <w:rFonts w:ascii="Segoe UI" w:hAnsi="Segoe UI" w:hint="default"/>
      </w:rPr>
    </w:lvl>
    <w:lvl w:ilvl="1" w:tplc="43186FF0">
      <w:start w:val="1"/>
      <w:numFmt w:val="bullet"/>
      <w:lvlText w:val="o"/>
      <w:lvlJc w:val="left"/>
      <w:pPr>
        <w:ind w:left="1440" w:hanging="360"/>
      </w:pPr>
      <w:rPr>
        <w:rFonts w:ascii="Courier New" w:hAnsi="Courier New" w:hint="default"/>
      </w:rPr>
    </w:lvl>
    <w:lvl w:ilvl="2" w:tplc="A238B444">
      <w:start w:val="1"/>
      <w:numFmt w:val="bullet"/>
      <w:lvlText w:val=""/>
      <w:lvlJc w:val="left"/>
      <w:pPr>
        <w:ind w:left="2160" w:hanging="360"/>
      </w:pPr>
      <w:rPr>
        <w:rFonts w:ascii="Cambria Math" w:hAnsi="Cambria Math" w:hint="default"/>
      </w:rPr>
    </w:lvl>
    <w:lvl w:ilvl="3" w:tplc="2EE0C6CE">
      <w:start w:val="1"/>
      <w:numFmt w:val="bullet"/>
      <w:lvlText w:val=""/>
      <w:lvlJc w:val="left"/>
      <w:pPr>
        <w:ind w:left="2880" w:hanging="360"/>
      </w:pPr>
      <w:rPr>
        <w:rFonts w:ascii="Segoe UI" w:hAnsi="Segoe UI" w:hint="default"/>
      </w:rPr>
    </w:lvl>
    <w:lvl w:ilvl="4" w:tplc="7AF0B69E">
      <w:start w:val="1"/>
      <w:numFmt w:val="bullet"/>
      <w:lvlText w:val="o"/>
      <w:lvlJc w:val="left"/>
      <w:pPr>
        <w:ind w:left="3600" w:hanging="360"/>
      </w:pPr>
      <w:rPr>
        <w:rFonts w:ascii="Courier New" w:hAnsi="Courier New" w:hint="default"/>
      </w:rPr>
    </w:lvl>
    <w:lvl w:ilvl="5" w:tplc="844E2120">
      <w:start w:val="1"/>
      <w:numFmt w:val="bullet"/>
      <w:lvlText w:val=""/>
      <w:lvlJc w:val="left"/>
      <w:pPr>
        <w:ind w:left="4320" w:hanging="360"/>
      </w:pPr>
      <w:rPr>
        <w:rFonts w:ascii="Cambria Math" w:hAnsi="Cambria Math" w:hint="default"/>
      </w:rPr>
    </w:lvl>
    <w:lvl w:ilvl="6" w:tplc="4FE68592">
      <w:start w:val="1"/>
      <w:numFmt w:val="bullet"/>
      <w:lvlText w:val=""/>
      <w:lvlJc w:val="left"/>
      <w:pPr>
        <w:ind w:left="5040" w:hanging="360"/>
      </w:pPr>
      <w:rPr>
        <w:rFonts w:ascii="Segoe UI" w:hAnsi="Segoe UI" w:hint="default"/>
      </w:rPr>
    </w:lvl>
    <w:lvl w:ilvl="7" w:tplc="A6BE538E">
      <w:start w:val="1"/>
      <w:numFmt w:val="bullet"/>
      <w:lvlText w:val="o"/>
      <w:lvlJc w:val="left"/>
      <w:pPr>
        <w:ind w:left="5760" w:hanging="360"/>
      </w:pPr>
      <w:rPr>
        <w:rFonts w:ascii="Courier New" w:hAnsi="Courier New" w:hint="default"/>
      </w:rPr>
    </w:lvl>
    <w:lvl w:ilvl="8" w:tplc="FC5E6E2A">
      <w:start w:val="1"/>
      <w:numFmt w:val="bullet"/>
      <w:lvlText w:val=""/>
      <w:lvlJc w:val="left"/>
      <w:pPr>
        <w:ind w:left="6480" w:hanging="360"/>
      </w:pPr>
      <w:rPr>
        <w:rFonts w:ascii="Cambria Math" w:hAnsi="Cambria Math" w:hint="default"/>
      </w:rPr>
    </w:lvl>
  </w:abstractNum>
  <w:abstractNum w:abstractNumId="575" w15:restartNumberingAfterBreak="0">
    <w:nsid w:val="5F9812CB"/>
    <w:multiLevelType w:val="hybridMultilevel"/>
    <w:tmpl w:val="44ACDC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6" w15:restartNumberingAfterBreak="0">
    <w:nsid w:val="5FA00B46"/>
    <w:multiLevelType w:val="hybridMultilevel"/>
    <w:tmpl w:val="FFFFFFFF"/>
    <w:lvl w:ilvl="0" w:tplc="F2E603A2">
      <w:start w:val="1"/>
      <w:numFmt w:val="lowerRoman"/>
      <w:lvlText w:val="%1."/>
      <w:lvlJc w:val="right"/>
      <w:pPr>
        <w:ind w:left="720" w:hanging="360"/>
      </w:pPr>
    </w:lvl>
    <w:lvl w:ilvl="1" w:tplc="B7081B0C">
      <w:start w:val="1"/>
      <w:numFmt w:val="lowerLetter"/>
      <w:lvlText w:val="%2."/>
      <w:lvlJc w:val="left"/>
      <w:pPr>
        <w:ind w:left="1440" w:hanging="360"/>
      </w:pPr>
    </w:lvl>
    <w:lvl w:ilvl="2" w:tplc="03C4D730">
      <w:start w:val="1"/>
      <w:numFmt w:val="lowerRoman"/>
      <w:lvlText w:val="%3."/>
      <w:lvlJc w:val="right"/>
      <w:pPr>
        <w:ind w:left="2160" w:hanging="180"/>
      </w:pPr>
    </w:lvl>
    <w:lvl w:ilvl="3" w:tplc="E946E3A4">
      <w:start w:val="1"/>
      <w:numFmt w:val="decimal"/>
      <w:lvlText w:val="%4."/>
      <w:lvlJc w:val="left"/>
      <w:pPr>
        <w:ind w:left="2880" w:hanging="360"/>
      </w:pPr>
    </w:lvl>
    <w:lvl w:ilvl="4" w:tplc="CF626B94">
      <w:start w:val="1"/>
      <w:numFmt w:val="lowerLetter"/>
      <w:lvlText w:val="%5."/>
      <w:lvlJc w:val="left"/>
      <w:pPr>
        <w:ind w:left="3600" w:hanging="360"/>
      </w:pPr>
    </w:lvl>
    <w:lvl w:ilvl="5" w:tplc="8D268734">
      <w:start w:val="1"/>
      <w:numFmt w:val="lowerRoman"/>
      <w:lvlText w:val="%6."/>
      <w:lvlJc w:val="right"/>
      <w:pPr>
        <w:ind w:left="4320" w:hanging="180"/>
      </w:pPr>
    </w:lvl>
    <w:lvl w:ilvl="6" w:tplc="52D04584">
      <w:start w:val="1"/>
      <w:numFmt w:val="decimal"/>
      <w:lvlText w:val="%7."/>
      <w:lvlJc w:val="left"/>
      <w:pPr>
        <w:ind w:left="5040" w:hanging="360"/>
      </w:pPr>
    </w:lvl>
    <w:lvl w:ilvl="7" w:tplc="5C70A86E">
      <w:start w:val="1"/>
      <w:numFmt w:val="lowerLetter"/>
      <w:lvlText w:val="%8."/>
      <w:lvlJc w:val="left"/>
      <w:pPr>
        <w:ind w:left="5760" w:hanging="360"/>
      </w:pPr>
    </w:lvl>
    <w:lvl w:ilvl="8" w:tplc="0FCC67CA">
      <w:start w:val="1"/>
      <w:numFmt w:val="lowerRoman"/>
      <w:lvlText w:val="%9."/>
      <w:lvlJc w:val="right"/>
      <w:pPr>
        <w:ind w:left="6480" w:hanging="180"/>
      </w:pPr>
    </w:lvl>
  </w:abstractNum>
  <w:abstractNum w:abstractNumId="577" w15:restartNumberingAfterBreak="0">
    <w:nsid w:val="5FB4379E"/>
    <w:multiLevelType w:val="multilevel"/>
    <w:tmpl w:val="BEB6C23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78" w15:restartNumberingAfterBreak="0">
    <w:nsid w:val="5FC14C06"/>
    <w:multiLevelType w:val="multilevel"/>
    <w:tmpl w:val="8E306C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9" w15:restartNumberingAfterBreak="0">
    <w:nsid w:val="5FFDFF64"/>
    <w:multiLevelType w:val="hybridMultilevel"/>
    <w:tmpl w:val="FFFFFFFF"/>
    <w:lvl w:ilvl="0" w:tplc="B40E1F02">
      <w:start w:val="1"/>
      <w:numFmt w:val="bullet"/>
      <w:lvlText w:val=""/>
      <w:lvlJc w:val="left"/>
      <w:pPr>
        <w:ind w:left="720" w:hanging="360"/>
      </w:pPr>
      <w:rPr>
        <w:rFonts w:ascii="Symbol" w:hAnsi="Symbol" w:hint="default"/>
      </w:rPr>
    </w:lvl>
    <w:lvl w:ilvl="1" w:tplc="E91A3BE6">
      <w:start w:val="1"/>
      <w:numFmt w:val="bullet"/>
      <w:lvlText w:val="-"/>
      <w:lvlJc w:val="left"/>
      <w:pPr>
        <w:ind w:left="1440" w:hanging="360"/>
      </w:pPr>
      <w:rPr>
        <w:rFonts w:ascii="Calibri" w:hAnsi="Calibri" w:hint="default"/>
      </w:rPr>
    </w:lvl>
    <w:lvl w:ilvl="2" w:tplc="5D6A018C">
      <w:start w:val="1"/>
      <w:numFmt w:val="bullet"/>
      <w:lvlText w:val=""/>
      <w:lvlJc w:val="left"/>
      <w:pPr>
        <w:ind w:left="2160" w:hanging="360"/>
      </w:pPr>
      <w:rPr>
        <w:rFonts w:ascii="Wingdings" w:hAnsi="Wingdings" w:hint="default"/>
      </w:rPr>
    </w:lvl>
    <w:lvl w:ilvl="3" w:tplc="BD76CB5E">
      <w:start w:val="1"/>
      <w:numFmt w:val="bullet"/>
      <w:lvlText w:val=""/>
      <w:lvlJc w:val="left"/>
      <w:pPr>
        <w:ind w:left="2880" w:hanging="360"/>
      </w:pPr>
      <w:rPr>
        <w:rFonts w:ascii="Symbol" w:hAnsi="Symbol" w:hint="default"/>
      </w:rPr>
    </w:lvl>
    <w:lvl w:ilvl="4" w:tplc="78F4CF52">
      <w:start w:val="1"/>
      <w:numFmt w:val="bullet"/>
      <w:lvlText w:val="o"/>
      <w:lvlJc w:val="left"/>
      <w:pPr>
        <w:ind w:left="3600" w:hanging="360"/>
      </w:pPr>
      <w:rPr>
        <w:rFonts w:ascii="Courier New" w:hAnsi="Courier New" w:hint="default"/>
      </w:rPr>
    </w:lvl>
    <w:lvl w:ilvl="5" w:tplc="28325988">
      <w:start w:val="1"/>
      <w:numFmt w:val="bullet"/>
      <w:lvlText w:val=""/>
      <w:lvlJc w:val="left"/>
      <w:pPr>
        <w:ind w:left="4320" w:hanging="360"/>
      </w:pPr>
      <w:rPr>
        <w:rFonts w:ascii="Wingdings" w:hAnsi="Wingdings" w:hint="default"/>
      </w:rPr>
    </w:lvl>
    <w:lvl w:ilvl="6" w:tplc="26CCBA80">
      <w:start w:val="1"/>
      <w:numFmt w:val="bullet"/>
      <w:lvlText w:val=""/>
      <w:lvlJc w:val="left"/>
      <w:pPr>
        <w:ind w:left="5040" w:hanging="360"/>
      </w:pPr>
      <w:rPr>
        <w:rFonts w:ascii="Symbol" w:hAnsi="Symbol" w:hint="default"/>
      </w:rPr>
    </w:lvl>
    <w:lvl w:ilvl="7" w:tplc="6B3C7216">
      <w:start w:val="1"/>
      <w:numFmt w:val="bullet"/>
      <w:lvlText w:val="o"/>
      <w:lvlJc w:val="left"/>
      <w:pPr>
        <w:ind w:left="5760" w:hanging="360"/>
      </w:pPr>
      <w:rPr>
        <w:rFonts w:ascii="Courier New" w:hAnsi="Courier New" w:hint="default"/>
      </w:rPr>
    </w:lvl>
    <w:lvl w:ilvl="8" w:tplc="491AFFF2">
      <w:start w:val="1"/>
      <w:numFmt w:val="bullet"/>
      <w:lvlText w:val=""/>
      <w:lvlJc w:val="left"/>
      <w:pPr>
        <w:ind w:left="6480" w:hanging="360"/>
      </w:pPr>
      <w:rPr>
        <w:rFonts w:ascii="Wingdings" w:hAnsi="Wingdings" w:hint="default"/>
      </w:rPr>
    </w:lvl>
  </w:abstractNum>
  <w:abstractNum w:abstractNumId="580" w15:restartNumberingAfterBreak="0">
    <w:nsid w:val="60097C19"/>
    <w:multiLevelType w:val="multilevel"/>
    <w:tmpl w:val="2550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608B73F9"/>
    <w:multiLevelType w:val="multilevel"/>
    <w:tmpl w:val="D4EAD64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82" w15:restartNumberingAfterBreak="0">
    <w:nsid w:val="60B41314"/>
    <w:multiLevelType w:val="hybridMultilevel"/>
    <w:tmpl w:val="B1C8EDC6"/>
    <w:lvl w:ilvl="0" w:tplc="0809001B">
      <w:start w:val="1"/>
      <w:numFmt w:val="lowerRoman"/>
      <w:lvlText w:val="%1."/>
      <w:lvlJc w:val="righ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Cambria Math" w:hAnsi="Cambria Math" w:hint="default"/>
      </w:rPr>
    </w:lvl>
    <w:lvl w:ilvl="3" w:tplc="080C0001" w:tentative="1">
      <w:start w:val="1"/>
      <w:numFmt w:val="bullet"/>
      <w:lvlText w:val=""/>
      <w:lvlJc w:val="left"/>
      <w:pPr>
        <w:ind w:left="2880" w:hanging="360"/>
      </w:pPr>
      <w:rPr>
        <w:rFonts w:ascii="Segoe UI" w:hAnsi="Segoe U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Cambria Math" w:hAnsi="Cambria Math" w:hint="default"/>
      </w:rPr>
    </w:lvl>
    <w:lvl w:ilvl="6" w:tplc="080C0001" w:tentative="1">
      <w:start w:val="1"/>
      <w:numFmt w:val="bullet"/>
      <w:lvlText w:val=""/>
      <w:lvlJc w:val="left"/>
      <w:pPr>
        <w:ind w:left="5040" w:hanging="360"/>
      </w:pPr>
      <w:rPr>
        <w:rFonts w:ascii="Segoe UI" w:hAnsi="Segoe UI"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Cambria Math" w:hAnsi="Cambria Math" w:hint="default"/>
      </w:rPr>
    </w:lvl>
  </w:abstractNum>
  <w:abstractNum w:abstractNumId="583" w15:restartNumberingAfterBreak="0">
    <w:nsid w:val="60B8958C"/>
    <w:multiLevelType w:val="hybridMultilevel"/>
    <w:tmpl w:val="FFFFFFFF"/>
    <w:lvl w:ilvl="0" w:tplc="AF78FF98">
      <w:start w:val="1"/>
      <w:numFmt w:val="decimal"/>
      <w:lvlText w:val="%1."/>
      <w:lvlJc w:val="left"/>
      <w:pPr>
        <w:ind w:left="720" w:hanging="360"/>
      </w:pPr>
    </w:lvl>
    <w:lvl w:ilvl="1" w:tplc="EF88C4D0">
      <w:start w:val="1"/>
      <w:numFmt w:val="lowerLetter"/>
      <w:lvlText w:val="%2."/>
      <w:lvlJc w:val="left"/>
      <w:pPr>
        <w:ind w:left="1440" w:hanging="360"/>
      </w:pPr>
    </w:lvl>
    <w:lvl w:ilvl="2" w:tplc="0610F478">
      <w:start w:val="1"/>
      <w:numFmt w:val="lowerRoman"/>
      <w:lvlText w:val="%3."/>
      <w:lvlJc w:val="right"/>
      <w:pPr>
        <w:ind w:left="2160" w:hanging="180"/>
      </w:pPr>
    </w:lvl>
    <w:lvl w:ilvl="3" w:tplc="499A12DC">
      <w:start w:val="1"/>
      <w:numFmt w:val="decimal"/>
      <w:lvlText w:val="%4."/>
      <w:lvlJc w:val="left"/>
      <w:pPr>
        <w:ind w:left="2880" w:hanging="360"/>
      </w:pPr>
    </w:lvl>
    <w:lvl w:ilvl="4" w:tplc="F6361154">
      <w:start w:val="1"/>
      <w:numFmt w:val="lowerLetter"/>
      <w:lvlText w:val="%5."/>
      <w:lvlJc w:val="left"/>
      <w:pPr>
        <w:ind w:left="3600" w:hanging="360"/>
      </w:pPr>
    </w:lvl>
    <w:lvl w:ilvl="5" w:tplc="3568312C">
      <w:start w:val="1"/>
      <w:numFmt w:val="lowerRoman"/>
      <w:lvlText w:val="%6."/>
      <w:lvlJc w:val="right"/>
      <w:pPr>
        <w:ind w:left="4320" w:hanging="180"/>
      </w:pPr>
    </w:lvl>
    <w:lvl w:ilvl="6" w:tplc="D4F2FF80">
      <w:start w:val="1"/>
      <w:numFmt w:val="decimal"/>
      <w:lvlText w:val="%7."/>
      <w:lvlJc w:val="left"/>
      <w:pPr>
        <w:ind w:left="5040" w:hanging="360"/>
      </w:pPr>
    </w:lvl>
    <w:lvl w:ilvl="7" w:tplc="8C3691EC">
      <w:start w:val="1"/>
      <w:numFmt w:val="lowerLetter"/>
      <w:lvlText w:val="%8."/>
      <w:lvlJc w:val="left"/>
      <w:pPr>
        <w:ind w:left="5760" w:hanging="360"/>
      </w:pPr>
    </w:lvl>
    <w:lvl w:ilvl="8" w:tplc="786A002A">
      <w:start w:val="1"/>
      <w:numFmt w:val="lowerRoman"/>
      <w:lvlText w:val="%9."/>
      <w:lvlJc w:val="right"/>
      <w:pPr>
        <w:ind w:left="6480" w:hanging="180"/>
      </w:pPr>
    </w:lvl>
  </w:abstractNum>
  <w:abstractNum w:abstractNumId="584" w15:restartNumberingAfterBreak="0">
    <w:nsid w:val="60CD527E"/>
    <w:multiLevelType w:val="hybridMultilevel"/>
    <w:tmpl w:val="0422CC8C"/>
    <w:lvl w:ilvl="0" w:tplc="95229FA6">
      <w:start w:val="1"/>
      <w:numFmt w:val="lowerLetter"/>
      <w:lvlText w:val="%1)"/>
      <w:lvlJc w:val="left"/>
      <w:pPr>
        <w:ind w:left="720" w:hanging="360"/>
      </w:pPr>
    </w:lvl>
    <w:lvl w:ilvl="1" w:tplc="55F89914">
      <w:start w:val="1"/>
      <w:numFmt w:val="lowerLetter"/>
      <w:lvlText w:val="%2)"/>
      <w:lvlJc w:val="left"/>
      <w:pPr>
        <w:ind w:left="720" w:hanging="360"/>
      </w:pPr>
    </w:lvl>
    <w:lvl w:ilvl="2" w:tplc="166EF770">
      <w:start w:val="1"/>
      <w:numFmt w:val="lowerLetter"/>
      <w:lvlText w:val="%3)"/>
      <w:lvlJc w:val="left"/>
      <w:pPr>
        <w:ind w:left="720" w:hanging="360"/>
      </w:pPr>
    </w:lvl>
    <w:lvl w:ilvl="3" w:tplc="0D8C130A">
      <w:start w:val="1"/>
      <w:numFmt w:val="lowerLetter"/>
      <w:lvlText w:val="%4)"/>
      <w:lvlJc w:val="left"/>
      <w:pPr>
        <w:ind w:left="720" w:hanging="360"/>
      </w:pPr>
    </w:lvl>
    <w:lvl w:ilvl="4" w:tplc="BCD60F26">
      <w:start w:val="1"/>
      <w:numFmt w:val="lowerLetter"/>
      <w:lvlText w:val="%5)"/>
      <w:lvlJc w:val="left"/>
      <w:pPr>
        <w:ind w:left="720" w:hanging="360"/>
      </w:pPr>
    </w:lvl>
    <w:lvl w:ilvl="5" w:tplc="75B2CD54">
      <w:start w:val="1"/>
      <w:numFmt w:val="lowerLetter"/>
      <w:lvlText w:val="%6)"/>
      <w:lvlJc w:val="left"/>
      <w:pPr>
        <w:ind w:left="720" w:hanging="360"/>
      </w:pPr>
    </w:lvl>
    <w:lvl w:ilvl="6" w:tplc="9FC4C67A">
      <w:start w:val="1"/>
      <w:numFmt w:val="lowerLetter"/>
      <w:lvlText w:val="%7)"/>
      <w:lvlJc w:val="left"/>
      <w:pPr>
        <w:ind w:left="720" w:hanging="360"/>
      </w:pPr>
    </w:lvl>
    <w:lvl w:ilvl="7" w:tplc="B9185C34">
      <w:start w:val="1"/>
      <w:numFmt w:val="lowerLetter"/>
      <w:lvlText w:val="%8)"/>
      <w:lvlJc w:val="left"/>
      <w:pPr>
        <w:ind w:left="720" w:hanging="360"/>
      </w:pPr>
    </w:lvl>
    <w:lvl w:ilvl="8" w:tplc="999A4C50">
      <w:start w:val="1"/>
      <w:numFmt w:val="lowerLetter"/>
      <w:lvlText w:val="%9)"/>
      <w:lvlJc w:val="left"/>
      <w:pPr>
        <w:ind w:left="720" w:hanging="360"/>
      </w:pPr>
    </w:lvl>
  </w:abstractNum>
  <w:abstractNum w:abstractNumId="585" w15:restartNumberingAfterBreak="0">
    <w:nsid w:val="60DDC073"/>
    <w:multiLevelType w:val="hybridMultilevel"/>
    <w:tmpl w:val="FFFFFFFF"/>
    <w:lvl w:ilvl="0" w:tplc="16BC9412">
      <w:start w:val="1"/>
      <w:numFmt w:val="bullet"/>
      <w:lvlText w:val="o"/>
      <w:lvlJc w:val="left"/>
      <w:pPr>
        <w:ind w:left="720" w:hanging="360"/>
      </w:pPr>
      <w:rPr>
        <w:rFonts w:ascii="&quot;Courier New&quot;" w:hAnsi="&quot;Courier New&quot;" w:hint="default"/>
      </w:rPr>
    </w:lvl>
    <w:lvl w:ilvl="1" w:tplc="18BE9CAC">
      <w:start w:val="1"/>
      <w:numFmt w:val="bullet"/>
      <w:lvlText w:val="o"/>
      <w:lvlJc w:val="left"/>
      <w:pPr>
        <w:ind w:left="1440" w:hanging="360"/>
      </w:pPr>
      <w:rPr>
        <w:rFonts w:ascii="Courier New" w:hAnsi="Courier New" w:hint="default"/>
      </w:rPr>
    </w:lvl>
    <w:lvl w:ilvl="2" w:tplc="DD360680">
      <w:start w:val="1"/>
      <w:numFmt w:val="bullet"/>
      <w:lvlText w:val=""/>
      <w:lvlJc w:val="left"/>
      <w:pPr>
        <w:ind w:left="2160" w:hanging="360"/>
      </w:pPr>
      <w:rPr>
        <w:rFonts w:ascii="Wingdings" w:hAnsi="Wingdings" w:hint="default"/>
      </w:rPr>
    </w:lvl>
    <w:lvl w:ilvl="3" w:tplc="B2BA1404">
      <w:start w:val="1"/>
      <w:numFmt w:val="bullet"/>
      <w:lvlText w:val=""/>
      <w:lvlJc w:val="left"/>
      <w:pPr>
        <w:ind w:left="2880" w:hanging="360"/>
      </w:pPr>
      <w:rPr>
        <w:rFonts w:ascii="Symbol" w:hAnsi="Symbol" w:hint="default"/>
      </w:rPr>
    </w:lvl>
    <w:lvl w:ilvl="4" w:tplc="472A782E">
      <w:start w:val="1"/>
      <w:numFmt w:val="bullet"/>
      <w:lvlText w:val="o"/>
      <w:lvlJc w:val="left"/>
      <w:pPr>
        <w:ind w:left="3600" w:hanging="360"/>
      </w:pPr>
      <w:rPr>
        <w:rFonts w:ascii="Courier New" w:hAnsi="Courier New" w:hint="default"/>
      </w:rPr>
    </w:lvl>
    <w:lvl w:ilvl="5" w:tplc="189C98D0">
      <w:start w:val="1"/>
      <w:numFmt w:val="bullet"/>
      <w:lvlText w:val=""/>
      <w:lvlJc w:val="left"/>
      <w:pPr>
        <w:ind w:left="4320" w:hanging="360"/>
      </w:pPr>
      <w:rPr>
        <w:rFonts w:ascii="Wingdings" w:hAnsi="Wingdings" w:hint="default"/>
      </w:rPr>
    </w:lvl>
    <w:lvl w:ilvl="6" w:tplc="C7F20378">
      <w:start w:val="1"/>
      <w:numFmt w:val="bullet"/>
      <w:lvlText w:val=""/>
      <w:lvlJc w:val="left"/>
      <w:pPr>
        <w:ind w:left="5040" w:hanging="360"/>
      </w:pPr>
      <w:rPr>
        <w:rFonts w:ascii="Symbol" w:hAnsi="Symbol" w:hint="default"/>
      </w:rPr>
    </w:lvl>
    <w:lvl w:ilvl="7" w:tplc="71DCA112">
      <w:start w:val="1"/>
      <w:numFmt w:val="bullet"/>
      <w:lvlText w:val="o"/>
      <w:lvlJc w:val="left"/>
      <w:pPr>
        <w:ind w:left="5760" w:hanging="360"/>
      </w:pPr>
      <w:rPr>
        <w:rFonts w:ascii="Courier New" w:hAnsi="Courier New" w:hint="default"/>
      </w:rPr>
    </w:lvl>
    <w:lvl w:ilvl="8" w:tplc="AC70D3B8">
      <w:start w:val="1"/>
      <w:numFmt w:val="bullet"/>
      <w:lvlText w:val=""/>
      <w:lvlJc w:val="left"/>
      <w:pPr>
        <w:ind w:left="6480" w:hanging="360"/>
      </w:pPr>
      <w:rPr>
        <w:rFonts w:ascii="Wingdings" w:hAnsi="Wingdings" w:hint="default"/>
      </w:rPr>
    </w:lvl>
  </w:abstractNum>
  <w:abstractNum w:abstractNumId="586" w15:restartNumberingAfterBreak="0">
    <w:nsid w:val="6104252A"/>
    <w:multiLevelType w:val="hybridMultilevel"/>
    <w:tmpl w:val="D1040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7" w15:restartNumberingAfterBreak="0">
    <w:nsid w:val="617504BD"/>
    <w:multiLevelType w:val="multilevel"/>
    <w:tmpl w:val="FE8AB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61816B35"/>
    <w:multiLevelType w:val="hybridMultilevel"/>
    <w:tmpl w:val="72A47300"/>
    <w:lvl w:ilvl="0" w:tplc="18090019">
      <w:start w:val="1"/>
      <w:numFmt w:val="lowerLetter"/>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9" w15:restartNumberingAfterBreak="0">
    <w:nsid w:val="621768EE"/>
    <w:multiLevelType w:val="hybridMultilevel"/>
    <w:tmpl w:val="5E20883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0" w15:restartNumberingAfterBreak="0">
    <w:nsid w:val="6219183D"/>
    <w:multiLevelType w:val="hybridMultilevel"/>
    <w:tmpl w:val="4D3C6348"/>
    <w:lvl w:ilvl="0" w:tplc="080C0019">
      <w:start w:val="1"/>
      <w:numFmt w:val="lowerLetter"/>
      <w:lvlText w:val="%1."/>
      <w:lvlJc w:val="lef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1" w15:restartNumberingAfterBreak="0">
    <w:nsid w:val="62531B47"/>
    <w:multiLevelType w:val="multilevel"/>
    <w:tmpl w:val="FFFFFFFF"/>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2" w15:restartNumberingAfterBreak="0">
    <w:nsid w:val="62867FF6"/>
    <w:multiLevelType w:val="multilevel"/>
    <w:tmpl w:val="92F2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6290243E"/>
    <w:multiLevelType w:val="hybridMultilevel"/>
    <w:tmpl w:val="C4DEF61A"/>
    <w:lvl w:ilvl="0" w:tplc="D1E6F966">
      <w:start w:val="1"/>
      <w:numFmt w:val="bullet"/>
      <w:lvlText w:val="-"/>
      <w:lvlJc w:val="left"/>
      <w:pPr>
        <w:ind w:left="720" w:hanging="360"/>
      </w:pPr>
      <w:rPr>
        <w:rFonts w:ascii="&quot;Times New Roman&quot;,serif" w:hAnsi="&quot;Times New Roman&quot;,serif" w:hint="default"/>
      </w:rPr>
    </w:lvl>
    <w:lvl w:ilvl="1" w:tplc="6374C602">
      <w:start w:val="1"/>
      <w:numFmt w:val="bullet"/>
      <w:lvlText w:val="o"/>
      <w:lvlJc w:val="left"/>
      <w:pPr>
        <w:ind w:left="1440" w:hanging="360"/>
      </w:pPr>
      <w:rPr>
        <w:rFonts w:ascii="Courier New" w:hAnsi="Courier New" w:hint="default"/>
      </w:rPr>
    </w:lvl>
    <w:lvl w:ilvl="2" w:tplc="CEEAA4D2">
      <w:start w:val="1"/>
      <w:numFmt w:val="bullet"/>
      <w:lvlText w:val=""/>
      <w:lvlJc w:val="left"/>
      <w:pPr>
        <w:ind w:left="2160" w:hanging="360"/>
      </w:pPr>
      <w:rPr>
        <w:rFonts w:ascii="Wingdings" w:hAnsi="Wingdings" w:hint="default"/>
      </w:rPr>
    </w:lvl>
    <w:lvl w:ilvl="3" w:tplc="B74092B6">
      <w:start w:val="1"/>
      <w:numFmt w:val="bullet"/>
      <w:lvlText w:val=""/>
      <w:lvlJc w:val="left"/>
      <w:pPr>
        <w:ind w:left="2880" w:hanging="360"/>
      </w:pPr>
      <w:rPr>
        <w:rFonts w:ascii="Symbol" w:hAnsi="Symbol" w:hint="default"/>
      </w:rPr>
    </w:lvl>
    <w:lvl w:ilvl="4" w:tplc="EFDC5E12">
      <w:start w:val="1"/>
      <w:numFmt w:val="bullet"/>
      <w:lvlText w:val="o"/>
      <w:lvlJc w:val="left"/>
      <w:pPr>
        <w:ind w:left="3600" w:hanging="360"/>
      </w:pPr>
      <w:rPr>
        <w:rFonts w:ascii="Courier New" w:hAnsi="Courier New" w:hint="default"/>
      </w:rPr>
    </w:lvl>
    <w:lvl w:ilvl="5" w:tplc="6D76ADFA">
      <w:start w:val="1"/>
      <w:numFmt w:val="bullet"/>
      <w:lvlText w:val=""/>
      <w:lvlJc w:val="left"/>
      <w:pPr>
        <w:ind w:left="4320" w:hanging="360"/>
      </w:pPr>
      <w:rPr>
        <w:rFonts w:ascii="Wingdings" w:hAnsi="Wingdings" w:hint="default"/>
      </w:rPr>
    </w:lvl>
    <w:lvl w:ilvl="6" w:tplc="EF9AAC72">
      <w:start w:val="1"/>
      <w:numFmt w:val="bullet"/>
      <w:lvlText w:val=""/>
      <w:lvlJc w:val="left"/>
      <w:pPr>
        <w:ind w:left="5040" w:hanging="360"/>
      </w:pPr>
      <w:rPr>
        <w:rFonts w:ascii="Symbol" w:hAnsi="Symbol" w:hint="default"/>
      </w:rPr>
    </w:lvl>
    <w:lvl w:ilvl="7" w:tplc="089A3C0A">
      <w:start w:val="1"/>
      <w:numFmt w:val="bullet"/>
      <w:lvlText w:val="o"/>
      <w:lvlJc w:val="left"/>
      <w:pPr>
        <w:ind w:left="5760" w:hanging="360"/>
      </w:pPr>
      <w:rPr>
        <w:rFonts w:ascii="Courier New" w:hAnsi="Courier New" w:hint="default"/>
      </w:rPr>
    </w:lvl>
    <w:lvl w:ilvl="8" w:tplc="B1603BC0">
      <w:start w:val="1"/>
      <w:numFmt w:val="bullet"/>
      <w:lvlText w:val=""/>
      <w:lvlJc w:val="left"/>
      <w:pPr>
        <w:ind w:left="6480" w:hanging="360"/>
      </w:pPr>
      <w:rPr>
        <w:rFonts w:ascii="Wingdings" w:hAnsi="Wingdings" w:hint="default"/>
      </w:rPr>
    </w:lvl>
  </w:abstractNum>
  <w:abstractNum w:abstractNumId="594" w15:restartNumberingAfterBreak="0">
    <w:nsid w:val="63087B6D"/>
    <w:multiLevelType w:val="hybridMultilevel"/>
    <w:tmpl w:val="C70CC2DC"/>
    <w:lvl w:ilvl="0" w:tplc="1809001B">
      <w:start w:val="1"/>
      <w:numFmt w:val="low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95" w15:restartNumberingAfterBreak="0">
    <w:nsid w:val="63730DA7"/>
    <w:multiLevelType w:val="hybridMultilevel"/>
    <w:tmpl w:val="07A46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15:restartNumberingAfterBreak="0">
    <w:nsid w:val="64539AB4"/>
    <w:multiLevelType w:val="hybridMultilevel"/>
    <w:tmpl w:val="6CAA3520"/>
    <w:lvl w:ilvl="0" w:tplc="5CB28036">
      <w:start w:val="1"/>
      <w:numFmt w:val="lowerLetter"/>
      <w:lvlText w:val="%1)"/>
      <w:lvlJc w:val="left"/>
      <w:pPr>
        <w:ind w:left="720" w:hanging="360"/>
      </w:pPr>
    </w:lvl>
    <w:lvl w:ilvl="1" w:tplc="141275F8">
      <w:start w:val="1"/>
      <w:numFmt w:val="lowerLetter"/>
      <w:lvlText w:val="%2."/>
      <w:lvlJc w:val="left"/>
      <w:pPr>
        <w:ind w:left="1440" w:hanging="360"/>
      </w:pPr>
    </w:lvl>
    <w:lvl w:ilvl="2" w:tplc="1AC4374E">
      <w:start w:val="1"/>
      <w:numFmt w:val="lowerRoman"/>
      <w:lvlText w:val="%3."/>
      <w:lvlJc w:val="right"/>
      <w:pPr>
        <w:ind w:left="2160" w:hanging="180"/>
      </w:pPr>
    </w:lvl>
    <w:lvl w:ilvl="3" w:tplc="1EB21326">
      <w:start w:val="1"/>
      <w:numFmt w:val="decimal"/>
      <w:lvlText w:val="%4."/>
      <w:lvlJc w:val="left"/>
      <w:pPr>
        <w:ind w:left="2880" w:hanging="360"/>
      </w:pPr>
    </w:lvl>
    <w:lvl w:ilvl="4" w:tplc="E4CA95FE">
      <w:start w:val="1"/>
      <w:numFmt w:val="lowerLetter"/>
      <w:lvlText w:val="%5."/>
      <w:lvlJc w:val="left"/>
      <w:pPr>
        <w:ind w:left="3600" w:hanging="360"/>
      </w:pPr>
    </w:lvl>
    <w:lvl w:ilvl="5" w:tplc="BEBCCB5E">
      <w:start w:val="1"/>
      <w:numFmt w:val="lowerRoman"/>
      <w:lvlText w:val="%6."/>
      <w:lvlJc w:val="right"/>
      <w:pPr>
        <w:ind w:left="4320" w:hanging="180"/>
      </w:pPr>
    </w:lvl>
    <w:lvl w:ilvl="6" w:tplc="82AEC7C8">
      <w:start w:val="1"/>
      <w:numFmt w:val="decimal"/>
      <w:lvlText w:val="%7."/>
      <w:lvlJc w:val="left"/>
      <w:pPr>
        <w:ind w:left="5040" w:hanging="360"/>
      </w:pPr>
    </w:lvl>
    <w:lvl w:ilvl="7" w:tplc="B5C26AA2">
      <w:start w:val="1"/>
      <w:numFmt w:val="lowerLetter"/>
      <w:lvlText w:val="%8."/>
      <w:lvlJc w:val="left"/>
      <w:pPr>
        <w:ind w:left="5760" w:hanging="360"/>
      </w:pPr>
    </w:lvl>
    <w:lvl w:ilvl="8" w:tplc="28083F8E">
      <w:start w:val="1"/>
      <w:numFmt w:val="lowerRoman"/>
      <w:lvlText w:val="%9."/>
      <w:lvlJc w:val="right"/>
      <w:pPr>
        <w:ind w:left="6480" w:hanging="180"/>
      </w:pPr>
    </w:lvl>
  </w:abstractNum>
  <w:abstractNum w:abstractNumId="597" w15:restartNumberingAfterBreak="0">
    <w:nsid w:val="645A52C9"/>
    <w:multiLevelType w:val="hybridMultilevel"/>
    <w:tmpl w:val="FFFFFFFF"/>
    <w:lvl w:ilvl="0" w:tplc="3904A072">
      <w:start w:val="1"/>
      <w:numFmt w:val="bullet"/>
      <w:lvlText w:val=""/>
      <w:lvlJc w:val="left"/>
      <w:pPr>
        <w:ind w:left="720" w:hanging="360"/>
      </w:pPr>
      <w:rPr>
        <w:rFonts w:ascii="Symbol" w:hAnsi="Symbol" w:hint="default"/>
      </w:rPr>
    </w:lvl>
    <w:lvl w:ilvl="1" w:tplc="C26C50D6">
      <w:start w:val="1"/>
      <w:numFmt w:val="bullet"/>
      <w:lvlText w:val="o"/>
      <w:lvlJc w:val="left"/>
      <w:pPr>
        <w:ind w:left="1440" w:hanging="360"/>
      </w:pPr>
      <w:rPr>
        <w:rFonts w:ascii="Courier New" w:hAnsi="Courier New" w:hint="default"/>
      </w:rPr>
    </w:lvl>
    <w:lvl w:ilvl="2" w:tplc="981AB5EA">
      <w:start w:val="1"/>
      <w:numFmt w:val="bullet"/>
      <w:lvlText w:val=""/>
      <w:lvlJc w:val="left"/>
      <w:pPr>
        <w:ind w:left="2160" w:hanging="360"/>
      </w:pPr>
      <w:rPr>
        <w:rFonts w:ascii="Wingdings" w:hAnsi="Wingdings" w:hint="default"/>
      </w:rPr>
    </w:lvl>
    <w:lvl w:ilvl="3" w:tplc="81F8891A">
      <w:start w:val="1"/>
      <w:numFmt w:val="bullet"/>
      <w:lvlText w:val=""/>
      <w:lvlJc w:val="left"/>
      <w:pPr>
        <w:ind w:left="2880" w:hanging="360"/>
      </w:pPr>
      <w:rPr>
        <w:rFonts w:ascii="Symbol" w:hAnsi="Symbol" w:hint="default"/>
      </w:rPr>
    </w:lvl>
    <w:lvl w:ilvl="4" w:tplc="336C2DC6">
      <w:start w:val="1"/>
      <w:numFmt w:val="bullet"/>
      <w:lvlText w:val="o"/>
      <w:lvlJc w:val="left"/>
      <w:pPr>
        <w:ind w:left="3600" w:hanging="360"/>
      </w:pPr>
      <w:rPr>
        <w:rFonts w:ascii="Courier New" w:hAnsi="Courier New" w:hint="default"/>
      </w:rPr>
    </w:lvl>
    <w:lvl w:ilvl="5" w:tplc="770ED320">
      <w:start w:val="1"/>
      <w:numFmt w:val="bullet"/>
      <w:lvlText w:val=""/>
      <w:lvlJc w:val="left"/>
      <w:pPr>
        <w:ind w:left="4320" w:hanging="360"/>
      </w:pPr>
      <w:rPr>
        <w:rFonts w:ascii="Wingdings" w:hAnsi="Wingdings" w:hint="default"/>
      </w:rPr>
    </w:lvl>
    <w:lvl w:ilvl="6" w:tplc="EDC424A2">
      <w:start w:val="1"/>
      <w:numFmt w:val="bullet"/>
      <w:lvlText w:val=""/>
      <w:lvlJc w:val="left"/>
      <w:pPr>
        <w:ind w:left="5040" w:hanging="360"/>
      </w:pPr>
      <w:rPr>
        <w:rFonts w:ascii="Symbol" w:hAnsi="Symbol" w:hint="default"/>
      </w:rPr>
    </w:lvl>
    <w:lvl w:ilvl="7" w:tplc="D0A61050">
      <w:start w:val="1"/>
      <w:numFmt w:val="bullet"/>
      <w:lvlText w:val="o"/>
      <w:lvlJc w:val="left"/>
      <w:pPr>
        <w:ind w:left="5760" w:hanging="360"/>
      </w:pPr>
      <w:rPr>
        <w:rFonts w:ascii="Courier New" w:hAnsi="Courier New" w:hint="default"/>
      </w:rPr>
    </w:lvl>
    <w:lvl w:ilvl="8" w:tplc="11CAC0C0">
      <w:start w:val="1"/>
      <w:numFmt w:val="bullet"/>
      <w:lvlText w:val=""/>
      <w:lvlJc w:val="left"/>
      <w:pPr>
        <w:ind w:left="6480" w:hanging="360"/>
      </w:pPr>
      <w:rPr>
        <w:rFonts w:ascii="Wingdings" w:hAnsi="Wingdings" w:hint="default"/>
      </w:rPr>
    </w:lvl>
  </w:abstractNum>
  <w:abstractNum w:abstractNumId="598" w15:restartNumberingAfterBreak="0">
    <w:nsid w:val="646F42C6"/>
    <w:multiLevelType w:val="hybridMultilevel"/>
    <w:tmpl w:val="D0004FD8"/>
    <w:lvl w:ilvl="0" w:tplc="18090015">
      <w:start w:val="1"/>
      <w:numFmt w:val="upperLetter"/>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599" w15:restartNumberingAfterBreak="0">
    <w:nsid w:val="648A36A7"/>
    <w:multiLevelType w:val="hybridMultilevel"/>
    <w:tmpl w:val="007A82FC"/>
    <w:lvl w:ilvl="0" w:tplc="7DC0AED8">
      <w:start w:val="1"/>
      <w:numFmt w:val="lowerRoman"/>
      <w:lvlText w:val="%1."/>
      <w:lvlJc w:val="right"/>
      <w:pPr>
        <w:ind w:left="720" w:hanging="360"/>
      </w:pPr>
      <w:rPr>
        <w:color w:val="auto"/>
      </w:rPr>
    </w:lvl>
    <w:lvl w:ilvl="1" w:tplc="E0583D70">
      <w:start w:val="1"/>
      <w:numFmt w:val="lowerLetter"/>
      <w:lvlText w:val="%2."/>
      <w:lvlJc w:val="left"/>
      <w:pPr>
        <w:ind w:left="1440" w:hanging="360"/>
      </w:pPr>
    </w:lvl>
    <w:lvl w:ilvl="2" w:tplc="4CD0447A">
      <w:start w:val="1"/>
      <w:numFmt w:val="lowerRoman"/>
      <w:lvlText w:val="%3."/>
      <w:lvlJc w:val="right"/>
      <w:pPr>
        <w:ind w:left="2160" w:hanging="180"/>
      </w:pPr>
    </w:lvl>
    <w:lvl w:ilvl="3" w:tplc="814A5392">
      <w:start w:val="1"/>
      <w:numFmt w:val="decimal"/>
      <w:lvlText w:val="%4."/>
      <w:lvlJc w:val="left"/>
      <w:pPr>
        <w:ind w:left="2880" w:hanging="360"/>
      </w:pPr>
    </w:lvl>
    <w:lvl w:ilvl="4" w:tplc="8B34E246">
      <w:start w:val="1"/>
      <w:numFmt w:val="lowerLetter"/>
      <w:lvlText w:val="%5."/>
      <w:lvlJc w:val="left"/>
      <w:pPr>
        <w:ind w:left="3600" w:hanging="360"/>
      </w:pPr>
    </w:lvl>
    <w:lvl w:ilvl="5" w:tplc="28602E44">
      <w:start w:val="1"/>
      <w:numFmt w:val="lowerRoman"/>
      <w:lvlText w:val="%6."/>
      <w:lvlJc w:val="right"/>
      <w:pPr>
        <w:ind w:left="4320" w:hanging="180"/>
      </w:pPr>
    </w:lvl>
    <w:lvl w:ilvl="6" w:tplc="2B6E804C">
      <w:start w:val="1"/>
      <w:numFmt w:val="decimal"/>
      <w:lvlText w:val="%7."/>
      <w:lvlJc w:val="left"/>
      <w:pPr>
        <w:ind w:left="5040" w:hanging="360"/>
      </w:pPr>
    </w:lvl>
    <w:lvl w:ilvl="7" w:tplc="823232E8">
      <w:start w:val="1"/>
      <w:numFmt w:val="lowerLetter"/>
      <w:lvlText w:val="%8."/>
      <w:lvlJc w:val="left"/>
      <w:pPr>
        <w:ind w:left="5760" w:hanging="360"/>
      </w:pPr>
    </w:lvl>
    <w:lvl w:ilvl="8" w:tplc="363607DE">
      <w:start w:val="1"/>
      <w:numFmt w:val="lowerRoman"/>
      <w:lvlText w:val="%9."/>
      <w:lvlJc w:val="right"/>
      <w:pPr>
        <w:ind w:left="6480" w:hanging="180"/>
      </w:pPr>
    </w:lvl>
  </w:abstractNum>
  <w:abstractNum w:abstractNumId="600" w15:restartNumberingAfterBreak="0">
    <w:nsid w:val="64A12FA4"/>
    <w:multiLevelType w:val="multilevel"/>
    <w:tmpl w:val="BC1C158C"/>
    <w:name w:val="Heading"/>
    <w:lvl w:ilvl="0">
      <w:start w:val="1"/>
      <w:numFmt w:val="decimal"/>
      <w:lvlRestart w:val="0"/>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1" w15:restartNumberingAfterBreak="0">
    <w:nsid w:val="652A3F9F"/>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2" w15:restartNumberingAfterBreak="0">
    <w:nsid w:val="65344370"/>
    <w:multiLevelType w:val="hybridMultilevel"/>
    <w:tmpl w:val="DD82871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3" w15:restartNumberingAfterBreak="0">
    <w:nsid w:val="65634AF6"/>
    <w:multiLevelType w:val="multilevel"/>
    <w:tmpl w:val="2AA8E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4" w15:restartNumberingAfterBreak="0">
    <w:nsid w:val="656B771A"/>
    <w:multiLevelType w:val="hybridMultilevel"/>
    <w:tmpl w:val="0B4EEFA4"/>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05" w15:restartNumberingAfterBreak="0">
    <w:nsid w:val="65900B82"/>
    <w:multiLevelType w:val="multilevel"/>
    <w:tmpl w:val="480E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65C33A2F"/>
    <w:multiLevelType w:val="multilevel"/>
    <w:tmpl w:val="D99024DE"/>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07" w15:restartNumberingAfterBreak="0">
    <w:nsid w:val="65EC59D4"/>
    <w:multiLevelType w:val="multilevel"/>
    <w:tmpl w:val="C592E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66396D30"/>
    <w:multiLevelType w:val="multilevel"/>
    <w:tmpl w:val="2C3EA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9" w15:restartNumberingAfterBreak="0">
    <w:nsid w:val="665278A0"/>
    <w:multiLevelType w:val="hybridMultilevel"/>
    <w:tmpl w:val="FFFFFFFF"/>
    <w:lvl w:ilvl="0" w:tplc="6FB4DD4A">
      <w:start w:val="1"/>
      <w:numFmt w:val="bullet"/>
      <w:lvlText w:val=""/>
      <w:lvlJc w:val="left"/>
      <w:pPr>
        <w:ind w:left="720" w:hanging="360"/>
      </w:pPr>
      <w:rPr>
        <w:rFonts w:ascii="Symbol" w:hAnsi="Symbol" w:hint="default"/>
      </w:rPr>
    </w:lvl>
    <w:lvl w:ilvl="1" w:tplc="DFEA9B34">
      <w:start w:val="1"/>
      <w:numFmt w:val="bullet"/>
      <w:lvlText w:val="o"/>
      <w:lvlJc w:val="left"/>
      <w:pPr>
        <w:ind w:left="1440" w:hanging="360"/>
      </w:pPr>
      <w:rPr>
        <w:rFonts w:ascii="Courier New" w:hAnsi="Courier New" w:hint="default"/>
      </w:rPr>
    </w:lvl>
    <w:lvl w:ilvl="2" w:tplc="BEDA5D46">
      <w:start w:val="1"/>
      <w:numFmt w:val="bullet"/>
      <w:lvlText w:val=""/>
      <w:lvlJc w:val="left"/>
      <w:pPr>
        <w:ind w:left="2160" w:hanging="360"/>
      </w:pPr>
      <w:rPr>
        <w:rFonts w:ascii="Wingdings" w:hAnsi="Wingdings" w:hint="default"/>
      </w:rPr>
    </w:lvl>
    <w:lvl w:ilvl="3" w:tplc="BC9C45D0">
      <w:start w:val="1"/>
      <w:numFmt w:val="bullet"/>
      <w:lvlText w:val=""/>
      <w:lvlJc w:val="left"/>
      <w:pPr>
        <w:ind w:left="2880" w:hanging="360"/>
      </w:pPr>
      <w:rPr>
        <w:rFonts w:ascii="Symbol" w:hAnsi="Symbol" w:hint="default"/>
      </w:rPr>
    </w:lvl>
    <w:lvl w:ilvl="4" w:tplc="D430C006">
      <w:start w:val="1"/>
      <w:numFmt w:val="bullet"/>
      <w:lvlText w:val="o"/>
      <w:lvlJc w:val="left"/>
      <w:pPr>
        <w:ind w:left="3600" w:hanging="360"/>
      </w:pPr>
      <w:rPr>
        <w:rFonts w:ascii="Courier New" w:hAnsi="Courier New" w:hint="default"/>
      </w:rPr>
    </w:lvl>
    <w:lvl w:ilvl="5" w:tplc="44D2C032">
      <w:start w:val="1"/>
      <w:numFmt w:val="bullet"/>
      <w:lvlText w:val=""/>
      <w:lvlJc w:val="left"/>
      <w:pPr>
        <w:ind w:left="4320" w:hanging="360"/>
      </w:pPr>
      <w:rPr>
        <w:rFonts w:ascii="Wingdings" w:hAnsi="Wingdings" w:hint="default"/>
      </w:rPr>
    </w:lvl>
    <w:lvl w:ilvl="6" w:tplc="BDDA01B8">
      <w:start w:val="1"/>
      <w:numFmt w:val="bullet"/>
      <w:lvlText w:val=""/>
      <w:lvlJc w:val="left"/>
      <w:pPr>
        <w:ind w:left="5040" w:hanging="360"/>
      </w:pPr>
      <w:rPr>
        <w:rFonts w:ascii="Symbol" w:hAnsi="Symbol" w:hint="default"/>
      </w:rPr>
    </w:lvl>
    <w:lvl w:ilvl="7" w:tplc="4E5696D6">
      <w:start w:val="1"/>
      <w:numFmt w:val="bullet"/>
      <w:lvlText w:val="o"/>
      <w:lvlJc w:val="left"/>
      <w:pPr>
        <w:ind w:left="5760" w:hanging="360"/>
      </w:pPr>
      <w:rPr>
        <w:rFonts w:ascii="Courier New" w:hAnsi="Courier New" w:hint="default"/>
      </w:rPr>
    </w:lvl>
    <w:lvl w:ilvl="8" w:tplc="056A0BDA">
      <w:start w:val="1"/>
      <w:numFmt w:val="bullet"/>
      <w:lvlText w:val=""/>
      <w:lvlJc w:val="left"/>
      <w:pPr>
        <w:ind w:left="6480" w:hanging="360"/>
      </w:pPr>
      <w:rPr>
        <w:rFonts w:ascii="Wingdings" w:hAnsi="Wingdings" w:hint="default"/>
      </w:rPr>
    </w:lvl>
  </w:abstractNum>
  <w:abstractNum w:abstractNumId="610" w15:restartNumberingAfterBreak="0">
    <w:nsid w:val="66883E46"/>
    <w:multiLevelType w:val="hybridMultilevel"/>
    <w:tmpl w:val="A7D4E9B0"/>
    <w:lvl w:ilvl="0" w:tplc="561CD8F8">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1" w15:restartNumberingAfterBreak="0">
    <w:nsid w:val="669B0B48"/>
    <w:multiLevelType w:val="hybridMultilevel"/>
    <w:tmpl w:val="F5741058"/>
    <w:lvl w:ilvl="0" w:tplc="08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2" w15:restartNumberingAfterBreak="0">
    <w:nsid w:val="669F3250"/>
    <w:multiLevelType w:val="hybridMultilevel"/>
    <w:tmpl w:val="BD0AC6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3" w15:restartNumberingAfterBreak="0">
    <w:nsid w:val="66AE6F18"/>
    <w:multiLevelType w:val="hybridMultilevel"/>
    <w:tmpl w:val="8CFE81A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14" w15:restartNumberingAfterBreak="0">
    <w:nsid w:val="66DD7123"/>
    <w:multiLevelType w:val="multilevel"/>
    <w:tmpl w:val="4F7EFF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5" w15:restartNumberingAfterBreak="0">
    <w:nsid w:val="66EA63FD"/>
    <w:multiLevelType w:val="hybridMultilevel"/>
    <w:tmpl w:val="7B42F528"/>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6" w15:restartNumberingAfterBreak="0">
    <w:nsid w:val="66F2106C"/>
    <w:multiLevelType w:val="multilevel"/>
    <w:tmpl w:val="8D7C4D2A"/>
    <w:lvl w:ilvl="0">
      <w:start w:val="1"/>
      <w:numFmt w:val="decimal"/>
      <w:lvlText w:val="%1."/>
      <w:lvlJc w:val="left"/>
      <w:pPr>
        <w:ind w:left="476" w:hanging="476"/>
      </w:pPr>
      <w:rPr>
        <w:rFonts w:hint="default"/>
        <w:b/>
        <w:bCs/>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7" w15:restartNumberingAfterBreak="0">
    <w:nsid w:val="6754F1B3"/>
    <w:multiLevelType w:val="hybridMultilevel"/>
    <w:tmpl w:val="FFFFFFFF"/>
    <w:lvl w:ilvl="0" w:tplc="60AAD636">
      <w:start w:val="1"/>
      <w:numFmt w:val="bullet"/>
      <w:lvlText w:val="o"/>
      <w:lvlJc w:val="left"/>
      <w:pPr>
        <w:ind w:left="720" w:hanging="360"/>
      </w:pPr>
      <w:rPr>
        <w:rFonts w:ascii="&quot;Courier New&quot;" w:hAnsi="&quot;Courier New&quot;" w:hint="default"/>
      </w:rPr>
    </w:lvl>
    <w:lvl w:ilvl="1" w:tplc="516E6876">
      <w:start w:val="1"/>
      <w:numFmt w:val="bullet"/>
      <w:lvlText w:val="o"/>
      <w:lvlJc w:val="left"/>
      <w:pPr>
        <w:ind w:left="1440" w:hanging="360"/>
      </w:pPr>
      <w:rPr>
        <w:rFonts w:ascii="Courier New" w:hAnsi="Courier New" w:hint="default"/>
      </w:rPr>
    </w:lvl>
    <w:lvl w:ilvl="2" w:tplc="FC107CE0">
      <w:start w:val="1"/>
      <w:numFmt w:val="bullet"/>
      <w:lvlText w:val=""/>
      <w:lvlJc w:val="left"/>
      <w:pPr>
        <w:ind w:left="2160" w:hanging="360"/>
      </w:pPr>
      <w:rPr>
        <w:rFonts w:ascii="Wingdings" w:hAnsi="Wingdings" w:hint="default"/>
      </w:rPr>
    </w:lvl>
    <w:lvl w:ilvl="3" w:tplc="3B0A64BE">
      <w:start w:val="1"/>
      <w:numFmt w:val="bullet"/>
      <w:lvlText w:val=""/>
      <w:lvlJc w:val="left"/>
      <w:pPr>
        <w:ind w:left="2880" w:hanging="360"/>
      </w:pPr>
      <w:rPr>
        <w:rFonts w:ascii="Symbol" w:hAnsi="Symbol" w:hint="default"/>
      </w:rPr>
    </w:lvl>
    <w:lvl w:ilvl="4" w:tplc="33628574">
      <w:start w:val="1"/>
      <w:numFmt w:val="bullet"/>
      <w:lvlText w:val="o"/>
      <w:lvlJc w:val="left"/>
      <w:pPr>
        <w:ind w:left="3600" w:hanging="360"/>
      </w:pPr>
      <w:rPr>
        <w:rFonts w:ascii="Courier New" w:hAnsi="Courier New" w:hint="default"/>
      </w:rPr>
    </w:lvl>
    <w:lvl w:ilvl="5" w:tplc="15F81690">
      <w:start w:val="1"/>
      <w:numFmt w:val="bullet"/>
      <w:lvlText w:val=""/>
      <w:lvlJc w:val="left"/>
      <w:pPr>
        <w:ind w:left="4320" w:hanging="360"/>
      </w:pPr>
      <w:rPr>
        <w:rFonts w:ascii="Wingdings" w:hAnsi="Wingdings" w:hint="default"/>
      </w:rPr>
    </w:lvl>
    <w:lvl w:ilvl="6" w:tplc="F34A0164">
      <w:start w:val="1"/>
      <w:numFmt w:val="bullet"/>
      <w:lvlText w:val=""/>
      <w:lvlJc w:val="left"/>
      <w:pPr>
        <w:ind w:left="5040" w:hanging="360"/>
      </w:pPr>
      <w:rPr>
        <w:rFonts w:ascii="Symbol" w:hAnsi="Symbol" w:hint="default"/>
      </w:rPr>
    </w:lvl>
    <w:lvl w:ilvl="7" w:tplc="AD4CD0EC">
      <w:start w:val="1"/>
      <w:numFmt w:val="bullet"/>
      <w:lvlText w:val="o"/>
      <w:lvlJc w:val="left"/>
      <w:pPr>
        <w:ind w:left="5760" w:hanging="360"/>
      </w:pPr>
      <w:rPr>
        <w:rFonts w:ascii="Courier New" w:hAnsi="Courier New" w:hint="default"/>
      </w:rPr>
    </w:lvl>
    <w:lvl w:ilvl="8" w:tplc="7194AAE0">
      <w:start w:val="1"/>
      <w:numFmt w:val="bullet"/>
      <w:lvlText w:val=""/>
      <w:lvlJc w:val="left"/>
      <w:pPr>
        <w:ind w:left="6480" w:hanging="360"/>
      </w:pPr>
      <w:rPr>
        <w:rFonts w:ascii="Wingdings" w:hAnsi="Wingdings" w:hint="default"/>
      </w:rPr>
    </w:lvl>
  </w:abstractNum>
  <w:abstractNum w:abstractNumId="618"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19" w15:restartNumberingAfterBreak="0">
    <w:nsid w:val="67CA10CF"/>
    <w:multiLevelType w:val="hybridMultilevel"/>
    <w:tmpl w:val="9BACB9A2"/>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20" w15:restartNumberingAfterBreak="0">
    <w:nsid w:val="68223F0D"/>
    <w:multiLevelType w:val="multilevel"/>
    <w:tmpl w:val="23C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68735CA3"/>
    <w:multiLevelType w:val="hybridMultilevel"/>
    <w:tmpl w:val="FF96D2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2" w15:restartNumberingAfterBreak="0">
    <w:nsid w:val="68C809B0"/>
    <w:multiLevelType w:val="hybridMultilevel"/>
    <w:tmpl w:val="AA46E654"/>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23" w15:restartNumberingAfterBreak="0">
    <w:nsid w:val="69761DC7"/>
    <w:multiLevelType w:val="hybridMultilevel"/>
    <w:tmpl w:val="45FC3090"/>
    <w:lvl w:ilvl="0" w:tplc="080C0003">
      <w:start w:val="1"/>
      <w:numFmt w:val="bullet"/>
      <w:lvlText w:val="o"/>
      <w:lvlJc w:val="left"/>
      <w:pPr>
        <w:ind w:left="907" w:hanging="360"/>
      </w:pPr>
      <w:rPr>
        <w:rFonts w:ascii="Courier New" w:hAnsi="Courier New" w:cs="Courier New" w:hint="default"/>
      </w:rPr>
    </w:lvl>
    <w:lvl w:ilvl="1" w:tplc="FFFFFFFF">
      <w:start w:val="1"/>
      <w:numFmt w:val="lowerLetter"/>
      <w:lvlText w:val="%2."/>
      <w:lvlJc w:val="left"/>
      <w:pPr>
        <w:ind w:left="1627" w:hanging="360"/>
      </w:pPr>
    </w:lvl>
    <w:lvl w:ilvl="2" w:tplc="FFFFFFFF" w:tentative="1">
      <w:start w:val="1"/>
      <w:numFmt w:val="lowerRoman"/>
      <w:lvlText w:val="%3."/>
      <w:lvlJc w:val="right"/>
      <w:pPr>
        <w:ind w:left="2347" w:hanging="180"/>
      </w:pPr>
    </w:lvl>
    <w:lvl w:ilvl="3" w:tplc="FFFFFFFF" w:tentative="1">
      <w:start w:val="1"/>
      <w:numFmt w:val="decimal"/>
      <w:lvlText w:val="%4."/>
      <w:lvlJc w:val="left"/>
      <w:pPr>
        <w:ind w:left="3067" w:hanging="360"/>
      </w:pPr>
    </w:lvl>
    <w:lvl w:ilvl="4" w:tplc="FFFFFFFF" w:tentative="1">
      <w:start w:val="1"/>
      <w:numFmt w:val="lowerLetter"/>
      <w:lvlText w:val="%5."/>
      <w:lvlJc w:val="left"/>
      <w:pPr>
        <w:ind w:left="3787" w:hanging="360"/>
      </w:pPr>
    </w:lvl>
    <w:lvl w:ilvl="5" w:tplc="FFFFFFFF" w:tentative="1">
      <w:start w:val="1"/>
      <w:numFmt w:val="lowerRoman"/>
      <w:lvlText w:val="%6."/>
      <w:lvlJc w:val="right"/>
      <w:pPr>
        <w:ind w:left="4507" w:hanging="180"/>
      </w:pPr>
    </w:lvl>
    <w:lvl w:ilvl="6" w:tplc="FFFFFFFF" w:tentative="1">
      <w:start w:val="1"/>
      <w:numFmt w:val="decimal"/>
      <w:lvlText w:val="%7."/>
      <w:lvlJc w:val="left"/>
      <w:pPr>
        <w:ind w:left="5227" w:hanging="360"/>
      </w:pPr>
    </w:lvl>
    <w:lvl w:ilvl="7" w:tplc="FFFFFFFF" w:tentative="1">
      <w:start w:val="1"/>
      <w:numFmt w:val="lowerLetter"/>
      <w:lvlText w:val="%8."/>
      <w:lvlJc w:val="left"/>
      <w:pPr>
        <w:ind w:left="5947" w:hanging="360"/>
      </w:pPr>
    </w:lvl>
    <w:lvl w:ilvl="8" w:tplc="FFFFFFFF" w:tentative="1">
      <w:start w:val="1"/>
      <w:numFmt w:val="lowerRoman"/>
      <w:lvlText w:val="%9."/>
      <w:lvlJc w:val="right"/>
      <w:pPr>
        <w:ind w:left="6667" w:hanging="180"/>
      </w:pPr>
    </w:lvl>
  </w:abstractNum>
  <w:abstractNum w:abstractNumId="624" w15:restartNumberingAfterBreak="0">
    <w:nsid w:val="69C032C2"/>
    <w:multiLevelType w:val="multilevel"/>
    <w:tmpl w:val="E9E82A2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5" w15:restartNumberingAfterBreak="0">
    <w:nsid w:val="69F52714"/>
    <w:multiLevelType w:val="hybridMultilevel"/>
    <w:tmpl w:val="C32CEE4E"/>
    <w:lvl w:ilvl="0" w:tplc="0C0A0001">
      <w:start w:val="1"/>
      <w:numFmt w:val="bullet"/>
      <w:lvlText w:val=""/>
      <w:lvlJc w:val="left"/>
      <w:pPr>
        <w:ind w:left="1080" w:hanging="360"/>
      </w:pPr>
      <w:rPr>
        <w:rFonts w:ascii="Courier New" w:hAnsi="Courier New" w:hint="default"/>
      </w:rPr>
    </w:lvl>
    <w:lvl w:ilvl="1" w:tplc="0C0A0003" w:tentative="1">
      <w:start w:val="1"/>
      <w:numFmt w:val="bullet"/>
      <w:lvlText w:val="o"/>
      <w:lvlJc w:val="left"/>
      <w:pPr>
        <w:ind w:left="1800" w:hanging="360"/>
      </w:pPr>
      <w:rPr>
        <w:rFonts w:ascii="Cambria Math" w:hAnsi="Cambria Math" w:cs="Cambria Math"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Courier New" w:hAnsi="Courier New" w:hint="default"/>
      </w:rPr>
    </w:lvl>
    <w:lvl w:ilvl="4" w:tplc="0C0A0003" w:tentative="1">
      <w:start w:val="1"/>
      <w:numFmt w:val="bullet"/>
      <w:lvlText w:val="o"/>
      <w:lvlJc w:val="left"/>
      <w:pPr>
        <w:ind w:left="3960" w:hanging="360"/>
      </w:pPr>
      <w:rPr>
        <w:rFonts w:ascii="Cambria Math" w:hAnsi="Cambria Math" w:cs="Cambria Math"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Courier New" w:hAnsi="Courier New" w:hint="default"/>
      </w:rPr>
    </w:lvl>
    <w:lvl w:ilvl="7" w:tplc="0C0A0003" w:tentative="1">
      <w:start w:val="1"/>
      <w:numFmt w:val="bullet"/>
      <w:lvlText w:val="o"/>
      <w:lvlJc w:val="left"/>
      <w:pPr>
        <w:ind w:left="6120" w:hanging="360"/>
      </w:pPr>
      <w:rPr>
        <w:rFonts w:ascii="Cambria Math" w:hAnsi="Cambria Math" w:cs="Cambria Math" w:hint="default"/>
      </w:rPr>
    </w:lvl>
    <w:lvl w:ilvl="8" w:tplc="0C0A0005" w:tentative="1">
      <w:start w:val="1"/>
      <w:numFmt w:val="bullet"/>
      <w:lvlText w:val=""/>
      <w:lvlJc w:val="left"/>
      <w:pPr>
        <w:ind w:left="6840" w:hanging="360"/>
      </w:pPr>
      <w:rPr>
        <w:rFonts w:ascii="Wingdings" w:hAnsi="Wingdings" w:hint="default"/>
      </w:rPr>
    </w:lvl>
  </w:abstractNum>
  <w:abstractNum w:abstractNumId="626" w15:restartNumberingAfterBreak="0">
    <w:nsid w:val="6A0172F0"/>
    <w:multiLevelType w:val="hybridMultilevel"/>
    <w:tmpl w:val="888CFB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6A050295"/>
    <w:multiLevelType w:val="multilevel"/>
    <w:tmpl w:val="619629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8" w15:restartNumberingAfterBreak="0">
    <w:nsid w:val="6A5224B1"/>
    <w:multiLevelType w:val="multilevel"/>
    <w:tmpl w:val="97BC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6A563A2D"/>
    <w:multiLevelType w:val="hybridMultilevel"/>
    <w:tmpl w:val="080056A4"/>
    <w:lvl w:ilvl="0" w:tplc="1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630" w15:restartNumberingAfterBreak="0">
    <w:nsid w:val="6A5A1370"/>
    <w:multiLevelType w:val="hybridMultilevel"/>
    <w:tmpl w:val="FFFFFFFF"/>
    <w:lvl w:ilvl="0" w:tplc="671AAC7E">
      <w:start w:val="2"/>
      <w:numFmt w:val="decimal"/>
      <w:lvlText w:val="%1."/>
      <w:lvlJc w:val="left"/>
      <w:pPr>
        <w:ind w:left="720" w:hanging="360"/>
      </w:pPr>
    </w:lvl>
    <w:lvl w:ilvl="1" w:tplc="007E2BD6">
      <w:start w:val="1"/>
      <w:numFmt w:val="lowerLetter"/>
      <w:lvlText w:val="%2."/>
      <w:lvlJc w:val="left"/>
      <w:pPr>
        <w:ind w:left="1440" w:hanging="360"/>
      </w:pPr>
    </w:lvl>
    <w:lvl w:ilvl="2" w:tplc="0F3016EE">
      <w:start w:val="1"/>
      <w:numFmt w:val="lowerRoman"/>
      <w:lvlText w:val="%3."/>
      <w:lvlJc w:val="right"/>
      <w:pPr>
        <w:ind w:left="2160" w:hanging="180"/>
      </w:pPr>
    </w:lvl>
    <w:lvl w:ilvl="3" w:tplc="23467664">
      <w:start w:val="1"/>
      <w:numFmt w:val="decimal"/>
      <w:lvlText w:val="%4."/>
      <w:lvlJc w:val="left"/>
      <w:pPr>
        <w:ind w:left="2880" w:hanging="360"/>
      </w:pPr>
    </w:lvl>
    <w:lvl w:ilvl="4" w:tplc="49DA7CA8">
      <w:start w:val="1"/>
      <w:numFmt w:val="lowerLetter"/>
      <w:lvlText w:val="%5."/>
      <w:lvlJc w:val="left"/>
      <w:pPr>
        <w:ind w:left="3600" w:hanging="360"/>
      </w:pPr>
    </w:lvl>
    <w:lvl w:ilvl="5" w:tplc="9B48C7C6">
      <w:start w:val="1"/>
      <w:numFmt w:val="lowerRoman"/>
      <w:lvlText w:val="%6."/>
      <w:lvlJc w:val="right"/>
      <w:pPr>
        <w:ind w:left="4320" w:hanging="180"/>
      </w:pPr>
    </w:lvl>
    <w:lvl w:ilvl="6" w:tplc="ADB2099C">
      <w:start w:val="1"/>
      <w:numFmt w:val="decimal"/>
      <w:lvlText w:val="%7."/>
      <w:lvlJc w:val="left"/>
      <w:pPr>
        <w:ind w:left="5040" w:hanging="360"/>
      </w:pPr>
    </w:lvl>
    <w:lvl w:ilvl="7" w:tplc="077EA7A2">
      <w:start w:val="1"/>
      <w:numFmt w:val="lowerLetter"/>
      <w:lvlText w:val="%8."/>
      <w:lvlJc w:val="left"/>
      <w:pPr>
        <w:ind w:left="5760" w:hanging="360"/>
      </w:pPr>
    </w:lvl>
    <w:lvl w:ilvl="8" w:tplc="5E7E9E22">
      <w:start w:val="1"/>
      <w:numFmt w:val="lowerRoman"/>
      <w:lvlText w:val="%9."/>
      <w:lvlJc w:val="right"/>
      <w:pPr>
        <w:ind w:left="6480" w:hanging="180"/>
      </w:pPr>
    </w:lvl>
  </w:abstractNum>
  <w:abstractNum w:abstractNumId="631" w15:restartNumberingAfterBreak="0">
    <w:nsid w:val="6A9527FE"/>
    <w:multiLevelType w:val="hybridMultilevel"/>
    <w:tmpl w:val="2A08BB40"/>
    <w:lvl w:ilvl="0" w:tplc="FFFFFFFF">
      <w:start w:val="1"/>
      <w:numFmt w:val="decimal"/>
      <w:lvlText w:val="%1."/>
      <w:lvlJc w:val="left"/>
      <w:pPr>
        <w:ind w:left="720" w:hanging="360"/>
      </w:pPr>
    </w:lvl>
    <w:lvl w:ilvl="1" w:tplc="1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2" w15:restartNumberingAfterBreak="0">
    <w:nsid w:val="6A9A5717"/>
    <w:multiLevelType w:val="hybridMultilevel"/>
    <w:tmpl w:val="3822DB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3" w15:restartNumberingAfterBreak="0">
    <w:nsid w:val="6A9D45A4"/>
    <w:multiLevelType w:val="hybridMultilevel"/>
    <w:tmpl w:val="A50660FE"/>
    <w:lvl w:ilvl="0" w:tplc="312A5F28">
      <w:start w:val="1"/>
      <w:numFmt w:val="bullet"/>
      <w:lvlText w:val="-"/>
      <w:lvlJc w:val="left"/>
      <w:pPr>
        <w:ind w:left="1004" w:hanging="360"/>
      </w:pPr>
      <w:rPr>
        <w:rFonts w:ascii="Cambria" w:eastAsiaTheme="minorHAnsi" w:hAnsi="Cambria" w:cs="Cambria" w:hint="default"/>
        <w:color w:val="7030A0"/>
      </w:rPr>
    </w:lvl>
    <w:lvl w:ilvl="1" w:tplc="FFFFFFFF" w:tentative="1">
      <w:start w:val="1"/>
      <w:numFmt w:val="bullet"/>
      <w:lvlText w:val="o"/>
      <w:lvlJc w:val="left"/>
      <w:pPr>
        <w:ind w:left="1724" w:hanging="360"/>
      </w:pPr>
      <w:rPr>
        <w:rFonts w:ascii="Cambria Math" w:hAnsi="Cambria Math" w:cs="Cambria Math"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Courier New" w:hAnsi="Courier New" w:hint="default"/>
      </w:rPr>
    </w:lvl>
    <w:lvl w:ilvl="4" w:tplc="FFFFFFFF" w:tentative="1">
      <w:start w:val="1"/>
      <w:numFmt w:val="bullet"/>
      <w:lvlText w:val="o"/>
      <w:lvlJc w:val="left"/>
      <w:pPr>
        <w:ind w:left="3884" w:hanging="360"/>
      </w:pPr>
      <w:rPr>
        <w:rFonts w:ascii="Cambria Math" w:hAnsi="Cambria Math" w:cs="Cambria Math"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Courier New" w:hAnsi="Courier New" w:hint="default"/>
      </w:rPr>
    </w:lvl>
    <w:lvl w:ilvl="7" w:tplc="FFFFFFFF" w:tentative="1">
      <w:start w:val="1"/>
      <w:numFmt w:val="bullet"/>
      <w:lvlText w:val="o"/>
      <w:lvlJc w:val="left"/>
      <w:pPr>
        <w:ind w:left="6044" w:hanging="360"/>
      </w:pPr>
      <w:rPr>
        <w:rFonts w:ascii="Cambria Math" w:hAnsi="Cambria Math" w:cs="Cambria Math" w:hint="default"/>
      </w:rPr>
    </w:lvl>
    <w:lvl w:ilvl="8" w:tplc="FFFFFFFF" w:tentative="1">
      <w:start w:val="1"/>
      <w:numFmt w:val="bullet"/>
      <w:lvlText w:val=""/>
      <w:lvlJc w:val="left"/>
      <w:pPr>
        <w:ind w:left="6764" w:hanging="360"/>
      </w:pPr>
      <w:rPr>
        <w:rFonts w:ascii="Wingdings" w:hAnsi="Wingdings" w:hint="default"/>
      </w:rPr>
    </w:lvl>
  </w:abstractNum>
  <w:abstractNum w:abstractNumId="634" w15:restartNumberingAfterBreak="0">
    <w:nsid w:val="6AB606B0"/>
    <w:multiLevelType w:val="hybridMultilevel"/>
    <w:tmpl w:val="D3BAFE1E"/>
    <w:lvl w:ilvl="0" w:tplc="FFFFFFFF">
      <w:start w:val="1"/>
      <w:numFmt w:val="bullet"/>
      <w:lvlText w:val=""/>
      <w:lvlJc w:val="left"/>
      <w:pPr>
        <w:ind w:left="720" w:hanging="360"/>
      </w:pPr>
      <w:rPr>
        <w:rFonts w:ascii="Symbol" w:hAnsi="Symbol" w:hint="default"/>
        <w:b/>
        <w:bCs/>
      </w:rPr>
    </w:lvl>
    <w:lvl w:ilvl="1" w:tplc="75EAFCA8">
      <w:start w:val="1"/>
      <w:numFmt w:val="lowerLetter"/>
      <w:lvlText w:val="%2."/>
      <w:lvlJc w:val="left"/>
      <w:pPr>
        <w:ind w:left="1440" w:hanging="360"/>
      </w:pPr>
      <w:rPr>
        <w:rFonts w:ascii="Times New Roman" w:eastAsiaTheme="minorHAnsi" w:hAnsi="Times New Roman" w:cs="Times New Roman"/>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5" w15:restartNumberingAfterBreak="0">
    <w:nsid w:val="6AC6D58C"/>
    <w:multiLevelType w:val="hybridMultilevel"/>
    <w:tmpl w:val="5E94D240"/>
    <w:lvl w:ilvl="0" w:tplc="7FDEF720">
      <w:start w:val="1"/>
      <w:numFmt w:val="lowerRoman"/>
      <w:lvlText w:val="%1."/>
      <w:lvlJc w:val="right"/>
      <w:pPr>
        <w:ind w:left="720" w:hanging="360"/>
      </w:pPr>
      <w:rPr>
        <w:color w:val="auto"/>
        <w:sz w:val="18"/>
        <w:szCs w:val="18"/>
      </w:rPr>
    </w:lvl>
    <w:lvl w:ilvl="1" w:tplc="263C1BC4">
      <w:start w:val="1"/>
      <w:numFmt w:val="lowerLetter"/>
      <w:lvlText w:val="%2."/>
      <w:lvlJc w:val="left"/>
      <w:pPr>
        <w:ind w:left="1440" w:hanging="360"/>
      </w:pPr>
    </w:lvl>
    <w:lvl w:ilvl="2" w:tplc="6FC661DC">
      <w:start w:val="1"/>
      <w:numFmt w:val="lowerRoman"/>
      <w:lvlText w:val="%3."/>
      <w:lvlJc w:val="right"/>
      <w:pPr>
        <w:ind w:left="2160" w:hanging="180"/>
      </w:pPr>
    </w:lvl>
    <w:lvl w:ilvl="3" w:tplc="8EF24CE6">
      <w:start w:val="1"/>
      <w:numFmt w:val="decimal"/>
      <w:lvlText w:val="%4."/>
      <w:lvlJc w:val="left"/>
      <w:pPr>
        <w:ind w:left="2880" w:hanging="360"/>
      </w:pPr>
    </w:lvl>
    <w:lvl w:ilvl="4" w:tplc="6F626566">
      <w:start w:val="1"/>
      <w:numFmt w:val="lowerLetter"/>
      <w:lvlText w:val="%5."/>
      <w:lvlJc w:val="left"/>
      <w:pPr>
        <w:ind w:left="3600" w:hanging="360"/>
      </w:pPr>
    </w:lvl>
    <w:lvl w:ilvl="5" w:tplc="754678B6">
      <w:start w:val="1"/>
      <w:numFmt w:val="lowerRoman"/>
      <w:lvlText w:val="%6."/>
      <w:lvlJc w:val="right"/>
      <w:pPr>
        <w:ind w:left="4320" w:hanging="180"/>
      </w:pPr>
    </w:lvl>
    <w:lvl w:ilvl="6" w:tplc="669271CA">
      <w:start w:val="1"/>
      <w:numFmt w:val="decimal"/>
      <w:lvlText w:val="%7."/>
      <w:lvlJc w:val="left"/>
      <w:pPr>
        <w:ind w:left="5040" w:hanging="360"/>
      </w:pPr>
    </w:lvl>
    <w:lvl w:ilvl="7" w:tplc="C59ED434">
      <w:start w:val="1"/>
      <w:numFmt w:val="lowerLetter"/>
      <w:lvlText w:val="%8."/>
      <w:lvlJc w:val="left"/>
      <w:pPr>
        <w:ind w:left="5760" w:hanging="360"/>
      </w:pPr>
    </w:lvl>
    <w:lvl w:ilvl="8" w:tplc="4BB027E2">
      <w:start w:val="1"/>
      <w:numFmt w:val="lowerRoman"/>
      <w:lvlText w:val="%9."/>
      <w:lvlJc w:val="right"/>
      <w:pPr>
        <w:ind w:left="6480" w:hanging="180"/>
      </w:pPr>
    </w:lvl>
  </w:abstractNum>
  <w:abstractNum w:abstractNumId="636" w15:restartNumberingAfterBreak="0">
    <w:nsid w:val="6B002138"/>
    <w:multiLevelType w:val="hybridMultilevel"/>
    <w:tmpl w:val="54B8A282"/>
    <w:lvl w:ilvl="0" w:tplc="13446122">
      <w:start w:val="1"/>
      <w:numFmt w:val="lowerRoman"/>
      <w:lvlText w:val="%1."/>
      <w:lvlJc w:val="right"/>
      <w:pPr>
        <w:ind w:left="720" w:hanging="360"/>
      </w:pPr>
      <w:rPr>
        <w:color w:val="0070C0"/>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7" w15:restartNumberingAfterBreak="0">
    <w:nsid w:val="6B8345B1"/>
    <w:multiLevelType w:val="hybridMultilevel"/>
    <w:tmpl w:val="B34877A4"/>
    <w:lvl w:ilvl="0" w:tplc="1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Segoe UI" w:hAnsi="Segoe U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Segoe UI" w:hAnsi="Segoe UI"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Cambria Math" w:hAnsi="Cambria Math" w:hint="default"/>
      </w:rPr>
    </w:lvl>
  </w:abstractNum>
  <w:abstractNum w:abstractNumId="638" w15:restartNumberingAfterBreak="0">
    <w:nsid w:val="6B921634"/>
    <w:multiLevelType w:val="hybridMultilevel"/>
    <w:tmpl w:val="9A74D662"/>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39" w15:restartNumberingAfterBreak="0">
    <w:nsid w:val="6BA555E5"/>
    <w:multiLevelType w:val="hybridMultilevel"/>
    <w:tmpl w:val="F9E69036"/>
    <w:lvl w:ilvl="0" w:tplc="1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0" w15:restartNumberingAfterBreak="0">
    <w:nsid w:val="6BB9719F"/>
    <w:multiLevelType w:val="hybridMultilevel"/>
    <w:tmpl w:val="66F098D0"/>
    <w:lvl w:ilvl="0" w:tplc="08090001">
      <w:start w:val="1"/>
      <w:numFmt w:val="bullet"/>
      <w:lvlText w:val=""/>
      <w:lvlJc w:val="left"/>
      <w:pPr>
        <w:ind w:left="360" w:hanging="360"/>
      </w:pPr>
      <w:rPr>
        <w:rFonts w:ascii="Segoe UI" w:hAnsi="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Cambria Math" w:hAnsi="Cambria Math" w:hint="default"/>
      </w:rPr>
    </w:lvl>
    <w:lvl w:ilvl="3" w:tplc="08090001" w:tentative="1">
      <w:start w:val="1"/>
      <w:numFmt w:val="bullet"/>
      <w:lvlText w:val=""/>
      <w:lvlJc w:val="left"/>
      <w:pPr>
        <w:ind w:left="2520" w:hanging="360"/>
      </w:pPr>
      <w:rPr>
        <w:rFonts w:ascii="Segoe UI" w:hAnsi="Segoe U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Cambria Math" w:hAnsi="Cambria Math" w:hint="default"/>
      </w:rPr>
    </w:lvl>
    <w:lvl w:ilvl="6" w:tplc="08090001" w:tentative="1">
      <w:start w:val="1"/>
      <w:numFmt w:val="bullet"/>
      <w:lvlText w:val=""/>
      <w:lvlJc w:val="left"/>
      <w:pPr>
        <w:ind w:left="4680" w:hanging="360"/>
      </w:pPr>
      <w:rPr>
        <w:rFonts w:ascii="Segoe UI" w:hAnsi="Segoe UI"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Cambria Math" w:hAnsi="Cambria Math" w:hint="default"/>
      </w:rPr>
    </w:lvl>
  </w:abstractNum>
  <w:abstractNum w:abstractNumId="641" w15:restartNumberingAfterBreak="0">
    <w:nsid w:val="6C24649E"/>
    <w:multiLevelType w:val="hybridMultilevel"/>
    <w:tmpl w:val="B7861CF2"/>
    <w:lvl w:ilvl="0" w:tplc="1809000F">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642" w15:restartNumberingAfterBreak="0">
    <w:nsid w:val="6C7D3549"/>
    <w:multiLevelType w:val="hybridMultilevel"/>
    <w:tmpl w:val="FDD6BEBC"/>
    <w:lvl w:ilvl="0" w:tplc="6272088A">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3" w15:restartNumberingAfterBreak="0">
    <w:nsid w:val="6C815D80"/>
    <w:multiLevelType w:val="multilevel"/>
    <w:tmpl w:val="7BDE59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4" w15:restartNumberingAfterBreak="0">
    <w:nsid w:val="6C962040"/>
    <w:multiLevelType w:val="hybridMultilevel"/>
    <w:tmpl w:val="FFFFFFFF"/>
    <w:lvl w:ilvl="0" w:tplc="06100BC6">
      <w:start w:val="1"/>
      <w:numFmt w:val="bullet"/>
      <w:lvlText w:val="·"/>
      <w:lvlJc w:val="left"/>
      <w:pPr>
        <w:ind w:left="720" w:hanging="360"/>
      </w:pPr>
      <w:rPr>
        <w:rFonts w:ascii="Symbol" w:hAnsi="Symbol" w:hint="default"/>
      </w:rPr>
    </w:lvl>
    <w:lvl w:ilvl="1" w:tplc="098EF74A">
      <w:start w:val="1"/>
      <w:numFmt w:val="bullet"/>
      <w:lvlText w:val="o"/>
      <w:lvlJc w:val="left"/>
      <w:pPr>
        <w:ind w:left="1440" w:hanging="360"/>
      </w:pPr>
      <w:rPr>
        <w:rFonts w:ascii="Courier New" w:hAnsi="Courier New" w:hint="default"/>
      </w:rPr>
    </w:lvl>
    <w:lvl w:ilvl="2" w:tplc="5720DDAC">
      <w:start w:val="1"/>
      <w:numFmt w:val="bullet"/>
      <w:lvlText w:val=""/>
      <w:lvlJc w:val="left"/>
      <w:pPr>
        <w:ind w:left="2160" w:hanging="360"/>
      </w:pPr>
      <w:rPr>
        <w:rFonts w:ascii="Wingdings" w:hAnsi="Wingdings" w:hint="default"/>
      </w:rPr>
    </w:lvl>
    <w:lvl w:ilvl="3" w:tplc="BA6660A2">
      <w:start w:val="1"/>
      <w:numFmt w:val="bullet"/>
      <w:lvlText w:val=""/>
      <w:lvlJc w:val="left"/>
      <w:pPr>
        <w:ind w:left="2880" w:hanging="360"/>
      </w:pPr>
      <w:rPr>
        <w:rFonts w:ascii="Symbol" w:hAnsi="Symbol" w:hint="default"/>
      </w:rPr>
    </w:lvl>
    <w:lvl w:ilvl="4" w:tplc="8C5C27F0">
      <w:start w:val="1"/>
      <w:numFmt w:val="bullet"/>
      <w:lvlText w:val="o"/>
      <w:lvlJc w:val="left"/>
      <w:pPr>
        <w:ind w:left="3600" w:hanging="360"/>
      </w:pPr>
      <w:rPr>
        <w:rFonts w:ascii="Courier New" w:hAnsi="Courier New" w:hint="default"/>
      </w:rPr>
    </w:lvl>
    <w:lvl w:ilvl="5" w:tplc="660A179C">
      <w:start w:val="1"/>
      <w:numFmt w:val="bullet"/>
      <w:lvlText w:val=""/>
      <w:lvlJc w:val="left"/>
      <w:pPr>
        <w:ind w:left="4320" w:hanging="360"/>
      </w:pPr>
      <w:rPr>
        <w:rFonts w:ascii="Wingdings" w:hAnsi="Wingdings" w:hint="default"/>
      </w:rPr>
    </w:lvl>
    <w:lvl w:ilvl="6" w:tplc="0C928458">
      <w:start w:val="1"/>
      <w:numFmt w:val="bullet"/>
      <w:lvlText w:val=""/>
      <w:lvlJc w:val="left"/>
      <w:pPr>
        <w:ind w:left="5040" w:hanging="360"/>
      </w:pPr>
      <w:rPr>
        <w:rFonts w:ascii="Symbol" w:hAnsi="Symbol" w:hint="default"/>
      </w:rPr>
    </w:lvl>
    <w:lvl w:ilvl="7" w:tplc="B51ECFFA">
      <w:start w:val="1"/>
      <w:numFmt w:val="bullet"/>
      <w:lvlText w:val="o"/>
      <w:lvlJc w:val="left"/>
      <w:pPr>
        <w:ind w:left="5760" w:hanging="360"/>
      </w:pPr>
      <w:rPr>
        <w:rFonts w:ascii="Courier New" w:hAnsi="Courier New" w:hint="default"/>
      </w:rPr>
    </w:lvl>
    <w:lvl w:ilvl="8" w:tplc="636E11E4">
      <w:start w:val="1"/>
      <w:numFmt w:val="bullet"/>
      <w:lvlText w:val=""/>
      <w:lvlJc w:val="left"/>
      <w:pPr>
        <w:ind w:left="6480" w:hanging="360"/>
      </w:pPr>
      <w:rPr>
        <w:rFonts w:ascii="Wingdings" w:hAnsi="Wingdings" w:hint="default"/>
      </w:rPr>
    </w:lvl>
  </w:abstractNum>
  <w:abstractNum w:abstractNumId="645" w15:restartNumberingAfterBreak="0">
    <w:nsid w:val="6C97FDD9"/>
    <w:multiLevelType w:val="multilevel"/>
    <w:tmpl w:val="FFFFFFFF"/>
    <w:lvl w:ilvl="0">
      <w:start w:val="1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6" w15:restartNumberingAfterBreak="0">
    <w:nsid w:val="6DA07262"/>
    <w:multiLevelType w:val="multilevel"/>
    <w:tmpl w:val="BAEEAF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7" w15:restartNumberingAfterBreak="0">
    <w:nsid w:val="6DB30E0C"/>
    <w:multiLevelType w:val="hybridMultilevel"/>
    <w:tmpl w:val="FFFFFFFF"/>
    <w:lvl w:ilvl="0" w:tplc="E04A01CE">
      <w:start w:val="2"/>
      <w:numFmt w:val="decimal"/>
      <w:lvlText w:val="%1."/>
      <w:lvlJc w:val="left"/>
      <w:pPr>
        <w:ind w:left="720" w:hanging="360"/>
      </w:pPr>
    </w:lvl>
    <w:lvl w:ilvl="1" w:tplc="BA08502C">
      <w:start w:val="1"/>
      <w:numFmt w:val="lowerLetter"/>
      <w:lvlText w:val="%2."/>
      <w:lvlJc w:val="left"/>
      <w:pPr>
        <w:ind w:left="1440" w:hanging="360"/>
      </w:pPr>
    </w:lvl>
    <w:lvl w:ilvl="2" w:tplc="27E83C2C">
      <w:start w:val="1"/>
      <w:numFmt w:val="lowerRoman"/>
      <w:lvlText w:val="%3."/>
      <w:lvlJc w:val="right"/>
      <w:pPr>
        <w:ind w:left="2160" w:hanging="180"/>
      </w:pPr>
    </w:lvl>
    <w:lvl w:ilvl="3" w:tplc="C3ECD98E">
      <w:start w:val="1"/>
      <w:numFmt w:val="decimal"/>
      <w:lvlText w:val="%4."/>
      <w:lvlJc w:val="left"/>
      <w:pPr>
        <w:ind w:left="2880" w:hanging="360"/>
      </w:pPr>
    </w:lvl>
    <w:lvl w:ilvl="4" w:tplc="C8FE5974">
      <w:start w:val="1"/>
      <w:numFmt w:val="lowerLetter"/>
      <w:lvlText w:val="%5."/>
      <w:lvlJc w:val="left"/>
      <w:pPr>
        <w:ind w:left="3600" w:hanging="360"/>
      </w:pPr>
    </w:lvl>
    <w:lvl w:ilvl="5" w:tplc="536CCB6C">
      <w:start w:val="1"/>
      <w:numFmt w:val="lowerRoman"/>
      <w:lvlText w:val="%6."/>
      <w:lvlJc w:val="right"/>
      <w:pPr>
        <w:ind w:left="4320" w:hanging="180"/>
      </w:pPr>
    </w:lvl>
    <w:lvl w:ilvl="6" w:tplc="99642C7E">
      <w:start w:val="1"/>
      <w:numFmt w:val="decimal"/>
      <w:lvlText w:val="%7."/>
      <w:lvlJc w:val="left"/>
      <w:pPr>
        <w:ind w:left="5040" w:hanging="360"/>
      </w:pPr>
    </w:lvl>
    <w:lvl w:ilvl="7" w:tplc="6A4C50E6">
      <w:start w:val="1"/>
      <w:numFmt w:val="lowerLetter"/>
      <w:lvlText w:val="%8."/>
      <w:lvlJc w:val="left"/>
      <w:pPr>
        <w:ind w:left="5760" w:hanging="360"/>
      </w:pPr>
    </w:lvl>
    <w:lvl w:ilvl="8" w:tplc="EA3C9864">
      <w:start w:val="1"/>
      <w:numFmt w:val="lowerRoman"/>
      <w:lvlText w:val="%9."/>
      <w:lvlJc w:val="right"/>
      <w:pPr>
        <w:ind w:left="6480" w:hanging="180"/>
      </w:pPr>
    </w:lvl>
  </w:abstractNum>
  <w:abstractNum w:abstractNumId="648" w15:restartNumberingAfterBreak="0">
    <w:nsid w:val="6DD191DF"/>
    <w:multiLevelType w:val="hybridMultilevel"/>
    <w:tmpl w:val="FFFFFFFF"/>
    <w:lvl w:ilvl="0" w:tplc="FCDAE8AE">
      <w:start w:val="1"/>
      <w:numFmt w:val="bullet"/>
      <w:lvlText w:val="·"/>
      <w:lvlJc w:val="left"/>
      <w:pPr>
        <w:ind w:left="720" w:hanging="360"/>
      </w:pPr>
      <w:rPr>
        <w:rFonts w:ascii="Symbol" w:hAnsi="Symbol" w:hint="default"/>
      </w:rPr>
    </w:lvl>
    <w:lvl w:ilvl="1" w:tplc="0ED442A4">
      <w:start w:val="1"/>
      <w:numFmt w:val="bullet"/>
      <w:lvlText w:val="o"/>
      <w:lvlJc w:val="left"/>
      <w:pPr>
        <w:ind w:left="1440" w:hanging="360"/>
      </w:pPr>
      <w:rPr>
        <w:rFonts w:ascii="Courier New" w:hAnsi="Courier New" w:hint="default"/>
      </w:rPr>
    </w:lvl>
    <w:lvl w:ilvl="2" w:tplc="F62CBD46">
      <w:start w:val="1"/>
      <w:numFmt w:val="bullet"/>
      <w:lvlText w:val=""/>
      <w:lvlJc w:val="left"/>
      <w:pPr>
        <w:ind w:left="2160" w:hanging="360"/>
      </w:pPr>
      <w:rPr>
        <w:rFonts w:ascii="Wingdings" w:hAnsi="Wingdings" w:hint="default"/>
      </w:rPr>
    </w:lvl>
    <w:lvl w:ilvl="3" w:tplc="C52A8E0C">
      <w:start w:val="1"/>
      <w:numFmt w:val="bullet"/>
      <w:lvlText w:val=""/>
      <w:lvlJc w:val="left"/>
      <w:pPr>
        <w:ind w:left="2880" w:hanging="360"/>
      </w:pPr>
      <w:rPr>
        <w:rFonts w:ascii="Symbol" w:hAnsi="Symbol" w:hint="default"/>
      </w:rPr>
    </w:lvl>
    <w:lvl w:ilvl="4" w:tplc="FE1C3402">
      <w:start w:val="1"/>
      <w:numFmt w:val="bullet"/>
      <w:lvlText w:val="o"/>
      <w:lvlJc w:val="left"/>
      <w:pPr>
        <w:ind w:left="3600" w:hanging="360"/>
      </w:pPr>
      <w:rPr>
        <w:rFonts w:ascii="Courier New" w:hAnsi="Courier New" w:hint="default"/>
      </w:rPr>
    </w:lvl>
    <w:lvl w:ilvl="5" w:tplc="C14C0C48">
      <w:start w:val="1"/>
      <w:numFmt w:val="bullet"/>
      <w:lvlText w:val=""/>
      <w:lvlJc w:val="left"/>
      <w:pPr>
        <w:ind w:left="4320" w:hanging="360"/>
      </w:pPr>
      <w:rPr>
        <w:rFonts w:ascii="Wingdings" w:hAnsi="Wingdings" w:hint="default"/>
      </w:rPr>
    </w:lvl>
    <w:lvl w:ilvl="6" w:tplc="8F0C56C8">
      <w:start w:val="1"/>
      <w:numFmt w:val="bullet"/>
      <w:lvlText w:val=""/>
      <w:lvlJc w:val="left"/>
      <w:pPr>
        <w:ind w:left="5040" w:hanging="360"/>
      </w:pPr>
      <w:rPr>
        <w:rFonts w:ascii="Symbol" w:hAnsi="Symbol" w:hint="default"/>
      </w:rPr>
    </w:lvl>
    <w:lvl w:ilvl="7" w:tplc="916C80C2">
      <w:start w:val="1"/>
      <w:numFmt w:val="bullet"/>
      <w:lvlText w:val="o"/>
      <w:lvlJc w:val="left"/>
      <w:pPr>
        <w:ind w:left="5760" w:hanging="360"/>
      </w:pPr>
      <w:rPr>
        <w:rFonts w:ascii="Courier New" w:hAnsi="Courier New" w:hint="default"/>
      </w:rPr>
    </w:lvl>
    <w:lvl w:ilvl="8" w:tplc="F1725350">
      <w:start w:val="1"/>
      <w:numFmt w:val="bullet"/>
      <w:lvlText w:val=""/>
      <w:lvlJc w:val="left"/>
      <w:pPr>
        <w:ind w:left="6480" w:hanging="360"/>
      </w:pPr>
      <w:rPr>
        <w:rFonts w:ascii="Wingdings" w:hAnsi="Wingdings" w:hint="default"/>
      </w:rPr>
    </w:lvl>
  </w:abstractNum>
  <w:abstractNum w:abstractNumId="649" w15:restartNumberingAfterBreak="0">
    <w:nsid w:val="6E0F02FB"/>
    <w:multiLevelType w:val="hybridMultilevel"/>
    <w:tmpl w:val="6714E3B4"/>
    <w:lvl w:ilvl="0" w:tplc="1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0" w15:restartNumberingAfterBreak="0">
    <w:nsid w:val="6E3D7768"/>
    <w:multiLevelType w:val="hybridMultilevel"/>
    <w:tmpl w:val="3806B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1" w15:restartNumberingAfterBreak="0">
    <w:nsid w:val="6E4E734A"/>
    <w:multiLevelType w:val="hybridMultilevel"/>
    <w:tmpl w:val="C70CC2DC"/>
    <w:lvl w:ilvl="0" w:tplc="FFFFFFFF">
      <w:start w:val="1"/>
      <w:numFmt w:val="lowerRoman"/>
      <w:lvlText w:val="%1."/>
      <w:lvlJc w:val="righ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52" w15:restartNumberingAfterBreak="0">
    <w:nsid w:val="6EF03967"/>
    <w:multiLevelType w:val="hybridMultilevel"/>
    <w:tmpl w:val="8F7E77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3" w15:restartNumberingAfterBreak="0">
    <w:nsid w:val="6F58292D"/>
    <w:multiLevelType w:val="hybridMultilevel"/>
    <w:tmpl w:val="FFFFFFFF"/>
    <w:lvl w:ilvl="0" w:tplc="D78EED72">
      <w:start w:val="10"/>
      <w:numFmt w:val="decimal"/>
      <w:lvlText w:val="%1."/>
      <w:lvlJc w:val="left"/>
      <w:pPr>
        <w:ind w:left="720" w:hanging="360"/>
      </w:pPr>
    </w:lvl>
    <w:lvl w:ilvl="1" w:tplc="C2469B4A">
      <w:start w:val="1"/>
      <w:numFmt w:val="lowerLetter"/>
      <w:lvlText w:val="%2."/>
      <w:lvlJc w:val="left"/>
      <w:pPr>
        <w:ind w:left="1440" w:hanging="360"/>
      </w:pPr>
    </w:lvl>
    <w:lvl w:ilvl="2" w:tplc="F9E681EE">
      <w:start w:val="1"/>
      <w:numFmt w:val="lowerRoman"/>
      <w:lvlText w:val="%3."/>
      <w:lvlJc w:val="right"/>
      <w:pPr>
        <w:ind w:left="2160" w:hanging="180"/>
      </w:pPr>
    </w:lvl>
    <w:lvl w:ilvl="3" w:tplc="162A8792">
      <w:start w:val="1"/>
      <w:numFmt w:val="decimal"/>
      <w:lvlText w:val="%4."/>
      <w:lvlJc w:val="left"/>
      <w:pPr>
        <w:ind w:left="2880" w:hanging="360"/>
      </w:pPr>
    </w:lvl>
    <w:lvl w:ilvl="4" w:tplc="8EB42746">
      <w:start w:val="1"/>
      <w:numFmt w:val="lowerLetter"/>
      <w:lvlText w:val="%5."/>
      <w:lvlJc w:val="left"/>
      <w:pPr>
        <w:ind w:left="3600" w:hanging="360"/>
      </w:pPr>
    </w:lvl>
    <w:lvl w:ilvl="5" w:tplc="F0580B6C">
      <w:start w:val="1"/>
      <w:numFmt w:val="lowerRoman"/>
      <w:lvlText w:val="%6."/>
      <w:lvlJc w:val="right"/>
      <w:pPr>
        <w:ind w:left="4320" w:hanging="180"/>
      </w:pPr>
    </w:lvl>
    <w:lvl w:ilvl="6" w:tplc="9A506642">
      <w:start w:val="1"/>
      <w:numFmt w:val="decimal"/>
      <w:lvlText w:val="%7."/>
      <w:lvlJc w:val="left"/>
      <w:pPr>
        <w:ind w:left="5040" w:hanging="360"/>
      </w:pPr>
    </w:lvl>
    <w:lvl w:ilvl="7" w:tplc="6160F8F2">
      <w:start w:val="1"/>
      <w:numFmt w:val="lowerLetter"/>
      <w:lvlText w:val="%8."/>
      <w:lvlJc w:val="left"/>
      <w:pPr>
        <w:ind w:left="5760" w:hanging="360"/>
      </w:pPr>
    </w:lvl>
    <w:lvl w:ilvl="8" w:tplc="0ECCE7DA">
      <w:start w:val="1"/>
      <w:numFmt w:val="lowerRoman"/>
      <w:lvlText w:val="%9."/>
      <w:lvlJc w:val="right"/>
      <w:pPr>
        <w:ind w:left="6480" w:hanging="180"/>
      </w:pPr>
    </w:lvl>
  </w:abstractNum>
  <w:abstractNum w:abstractNumId="654" w15:restartNumberingAfterBreak="0">
    <w:nsid w:val="6F9C0D1B"/>
    <w:multiLevelType w:val="hybridMultilevel"/>
    <w:tmpl w:val="E91EE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5" w15:restartNumberingAfterBreak="0">
    <w:nsid w:val="6FC9332E"/>
    <w:multiLevelType w:val="multilevel"/>
    <w:tmpl w:val="37C61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6" w15:restartNumberingAfterBreak="0">
    <w:nsid w:val="700D6F1F"/>
    <w:multiLevelType w:val="hybridMultilevel"/>
    <w:tmpl w:val="795664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57" w15:restartNumberingAfterBreak="0">
    <w:nsid w:val="701F0FBE"/>
    <w:multiLevelType w:val="hybridMultilevel"/>
    <w:tmpl w:val="FFFFFFFF"/>
    <w:lvl w:ilvl="0" w:tplc="C59A48B0">
      <w:start w:val="8"/>
      <w:numFmt w:val="decimal"/>
      <w:lvlText w:val="%1."/>
      <w:lvlJc w:val="left"/>
      <w:pPr>
        <w:ind w:left="720" w:hanging="360"/>
      </w:pPr>
    </w:lvl>
    <w:lvl w:ilvl="1" w:tplc="DCC87EB6">
      <w:start w:val="1"/>
      <w:numFmt w:val="lowerLetter"/>
      <w:lvlText w:val="%2."/>
      <w:lvlJc w:val="left"/>
      <w:pPr>
        <w:ind w:left="1440" w:hanging="360"/>
      </w:pPr>
    </w:lvl>
    <w:lvl w:ilvl="2" w:tplc="9E1AC784">
      <w:start w:val="1"/>
      <w:numFmt w:val="lowerRoman"/>
      <w:lvlText w:val="%3."/>
      <w:lvlJc w:val="right"/>
      <w:pPr>
        <w:ind w:left="2160" w:hanging="180"/>
      </w:pPr>
    </w:lvl>
    <w:lvl w:ilvl="3" w:tplc="8ADEE8F2">
      <w:start w:val="1"/>
      <w:numFmt w:val="decimal"/>
      <w:lvlText w:val="%4."/>
      <w:lvlJc w:val="left"/>
      <w:pPr>
        <w:ind w:left="2880" w:hanging="360"/>
      </w:pPr>
    </w:lvl>
    <w:lvl w:ilvl="4" w:tplc="177EA73E">
      <w:start w:val="1"/>
      <w:numFmt w:val="lowerLetter"/>
      <w:lvlText w:val="%5."/>
      <w:lvlJc w:val="left"/>
      <w:pPr>
        <w:ind w:left="3600" w:hanging="360"/>
      </w:pPr>
    </w:lvl>
    <w:lvl w:ilvl="5" w:tplc="7DBCFEBA">
      <w:start w:val="1"/>
      <w:numFmt w:val="lowerRoman"/>
      <w:lvlText w:val="%6."/>
      <w:lvlJc w:val="right"/>
      <w:pPr>
        <w:ind w:left="4320" w:hanging="180"/>
      </w:pPr>
    </w:lvl>
    <w:lvl w:ilvl="6" w:tplc="B1C6730E">
      <w:start w:val="1"/>
      <w:numFmt w:val="decimal"/>
      <w:lvlText w:val="%7."/>
      <w:lvlJc w:val="left"/>
      <w:pPr>
        <w:ind w:left="5040" w:hanging="360"/>
      </w:pPr>
    </w:lvl>
    <w:lvl w:ilvl="7" w:tplc="3D9ABE9A">
      <w:start w:val="1"/>
      <w:numFmt w:val="lowerLetter"/>
      <w:lvlText w:val="%8."/>
      <w:lvlJc w:val="left"/>
      <w:pPr>
        <w:ind w:left="5760" w:hanging="360"/>
      </w:pPr>
    </w:lvl>
    <w:lvl w:ilvl="8" w:tplc="BAD05C06">
      <w:start w:val="1"/>
      <w:numFmt w:val="lowerRoman"/>
      <w:lvlText w:val="%9."/>
      <w:lvlJc w:val="right"/>
      <w:pPr>
        <w:ind w:left="6480" w:hanging="180"/>
      </w:pPr>
    </w:lvl>
  </w:abstractNum>
  <w:abstractNum w:abstractNumId="658" w15:restartNumberingAfterBreak="0">
    <w:nsid w:val="70216735"/>
    <w:multiLevelType w:val="hybridMultilevel"/>
    <w:tmpl w:val="AA40CE4A"/>
    <w:lvl w:ilvl="0" w:tplc="1809000F">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9" w15:restartNumberingAfterBreak="0">
    <w:nsid w:val="70D3BD8D"/>
    <w:multiLevelType w:val="hybridMultilevel"/>
    <w:tmpl w:val="FFFFFFFF"/>
    <w:lvl w:ilvl="0" w:tplc="1E063A50">
      <w:start w:val="1"/>
      <w:numFmt w:val="bullet"/>
      <w:lvlText w:val="o"/>
      <w:lvlJc w:val="left"/>
      <w:pPr>
        <w:ind w:left="720" w:hanging="360"/>
      </w:pPr>
      <w:rPr>
        <w:rFonts w:ascii="&quot;Courier New&quot;" w:hAnsi="&quot;Courier New&quot;" w:hint="default"/>
      </w:rPr>
    </w:lvl>
    <w:lvl w:ilvl="1" w:tplc="98625956">
      <w:start w:val="1"/>
      <w:numFmt w:val="bullet"/>
      <w:lvlText w:val="o"/>
      <w:lvlJc w:val="left"/>
      <w:pPr>
        <w:ind w:left="1440" w:hanging="360"/>
      </w:pPr>
      <w:rPr>
        <w:rFonts w:ascii="Courier New" w:hAnsi="Courier New" w:hint="default"/>
      </w:rPr>
    </w:lvl>
    <w:lvl w:ilvl="2" w:tplc="B8B20AC8">
      <w:start w:val="1"/>
      <w:numFmt w:val="bullet"/>
      <w:lvlText w:val=""/>
      <w:lvlJc w:val="left"/>
      <w:pPr>
        <w:ind w:left="2160" w:hanging="360"/>
      </w:pPr>
      <w:rPr>
        <w:rFonts w:ascii="Wingdings" w:hAnsi="Wingdings" w:hint="default"/>
      </w:rPr>
    </w:lvl>
    <w:lvl w:ilvl="3" w:tplc="E51C29F4">
      <w:start w:val="1"/>
      <w:numFmt w:val="bullet"/>
      <w:lvlText w:val=""/>
      <w:lvlJc w:val="left"/>
      <w:pPr>
        <w:ind w:left="2880" w:hanging="360"/>
      </w:pPr>
      <w:rPr>
        <w:rFonts w:ascii="Symbol" w:hAnsi="Symbol" w:hint="default"/>
      </w:rPr>
    </w:lvl>
    <w:lvl w:ilvl="4" w:tplc="DCDEADCA">
      <w:start w:val="1"/>
      <w:numFmt w:val="bullet"/>
      <w:lvlText w:val="o"/>
      <w:lvlJc w:val="left"/>
      <w:pPr>
        <w:ind w:left="3600" w:hanging="360"/>
      </w:pPr>
      <w:rPr>
        <w:rFonts w:ascii="Courier New" w:hAnsi="Courier New" w:hint="default"/>
      </w:rPr>
    </w:lvl>
    <w:lvl w:ilvl="5" w:tplc="9DD6A638">
      <w:start w:val="1"/>
      <w:numFmt w:val="bullet"/>
      <w:lvlText w:val=""/>
      <w:lvlJc w:val="left"/>
      <w:pPr>
        <w:ind w:left="4320" w:hanging="360"/>
      </w:pPr>
      <w:rPr>
        <w:rFonts w:ascii="Wingdings" w:hAnsi="Wingdings" w:hint="default"/>
      </w:rPr>
    </w:lvl>
    <w:lvl w:ilvl="6" w:tplc="2786A708">
      <w:start w:val="1"/>
      <w:numFmt w:val="bullet"/>
      <w:lvlText w:val=""/>
      <w:lvlJc w:val="left"/>
      <w:pPr>
        <w:ind w:left="5040" w:hanging="360"/>
      </w:pPr>
      <w:rPr>
        <w:rFonts w:ascii="Symbol" w:hAnsi="Symbol" w:hint="default"/>
      </w:rPr>
    </w:lvl>
    <w:lvl w:ilvl="7" w:tplc="65FE41B8">
      <w:start w:val="1"/>
      <w:numFmt w:val="bullet"/>
      <w:lvlText w:val="o"/>
      <w:lvlJc w:val="left"/>
      <w:pPr>
        <w:ind w:left="5760" w:hanging="360"/>
      </w:pPr>
      <w:rPr>
        <w:rFonts w:ascii="Courier New" w:hAnsi="Courier New" w:hint="default"/>
      </w:rPr>
    </w:lvl>
    <w:lvl w:ilvl="8" w:tplc="80746A54">
      <w:start w:val="1"/>
      <w:numFmt w:val="bullet"/>
      <w:lvlText w:val=""/>
      <w:lvlJc w:val="left"/>
      <w:pPr>
        <w:ind w:left="6480" w:hanging="360"/>
      </w:pPr>
      <w:rPr>
        <w:rFonts w:ascii="Wingdings" w:hAnsi="Wingdings" w:hint="default"/>
      </w:rPr>
    </w:lvl>
  </w:abstractNum>
  <w:abstractNum w:abstractNumId="660" w15:restartNumberingAfterBreak="0">
    <w:nsid w:val="70DFAB9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1" w15:restartNumberingAfterBreak="0">
    <w:nsid w:val="70E83BC6"/>
    <w:multiLevelType w:val="hybridMultilevel"/>
    <w:tmpl w:val="B77CB0D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62" w15:restartNumberingAfterBreak="0">
    <w:nsid w:val="70EA1A3D"/>
    <w:multiLevelType w:val="hybridMultilevel"/>
    <w:tmpl w:val="AE3CCA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3" w15:restartNumberingAfterBreak="0">
    <w:nsid w:val="7105FF17"/>
    <w:multiLevelType w:val="hybridMultilevel"/>
    <w:tmpl w:val="FFFFFFFF"/>
    <w:lvl w:ilvl="0" w:tplc="CEEA69C6">
      <w:start w:val="1"/>
      <w:numFmt w:val="bullet"/>
      <w:lvlText w:val=""/>
      <w:lvlJc w:val="left"/>
      <w:pPr>
        <w:ind w:left="720" w:hanging="360"/>
      </w:pPr>
      <w:rPr>
        <w:rFonts w:ascii="Symbol" w:hAnsi="Symbol" w:hint="default"/>
      </w:rPr>
    </w:lvl>
    <w:lvl w:ilvl="1" w:tplc="660C72EA">
      <w:start w:val="1"/>
      <w:numFmt w:val="bullet"/>
      <w:lvlText w:val="-"/>
      <w:lvlJc w:val="left"/>
      <w:pPr>
        <w:ind w:left="1440" w:hanging="360"/>
      </w:pPr>
      <w:rPr>
        <w:rFonts w:ascii="Calibri" w:hAnsi="Calibri" w:hint="default"/>
      </w:rPr>
    </w:lvl>
    <w:lvl w:ilvl="2" w:tplc="D5025BAC">
      <w:start w:val="1"/>
      <w:numFmt w:val="bullet"/>
      <w:lvlText w:val=""/>
      <w:lvlJc w:val="left"/>
      <w:pPr>
        <w:ind w:left="2160" w:hanging="360"/>
      </w:pPr>
      <w:rPr>
        <w:rFonts w:ascii="Wingdings" w:hAnsi="Wingdings" w:hint="default"/>
      </w:rPr>
    </w:lvl>
    <w:lvl w:ilvl="3" w:tplc="72A4826A">
      <w:start w:val="1"/>
      <w:numFmt w:val="bullet"/>
      <w:lvlText w:val=""/>
      <w:lvlJc w:val="left"/>
      <w:pPr>
        <w:ind w:left="2880" w:hanging="360"/>
      </w:pPr>
      <w:rPr>
        <w:rFonts w:ascii="Symbol" w:hAnsi="Symbol" w:hint="default"/>
      </w:rPr>
    </w:lvl>
    <w:lvl w:ilvl="4" w:tplc="BB203824">
      <w:start w:val="1"/>
      <w:numFmt w:val="bullet"/>
      <w:lvlText w:val="o"/>
      <w:lvlJc w:val="left"/>
      <w:pPr>
        <w:ind w:left="3600" w:hanging="360"/>
      </w:pPr>
      <w:rPr>
        <w:rFonts w:ascii="Courier New" w:hAnsi="Courier New" w:hint="default"/>
      </w:rPr>
    </w:lvl>
    <w:lvl w:ilvl="5" w:tplc="1AC425EC">
      <w:start w:val="1"/>
      <w:numFmt w:val="bullet"/>
      <w:lvlText w:val=""/>
      <w:lvlJc w:val="left"/>
      <w:pPr>
        <w:ind w:left="4320" w:hanging="360"/>
      </w:pPr>
      <w:rPr>
        <w:rFonts w:ascii="Wingdings" w:hAnsi="Wingdings" w:hint="default"/>
      </w:rPr>
    </w:lvl>
    <w:lvl w:ilvl="6" w:tplc="4C3E4930">
      <w:start w:val="1"/>
      <w:numFmt w:val="bullet"/>
      <w:lvlText w:val=""/>
      <w:lvlJc w:val="left"/>
      <w:pPr>
        <w:ind w:left="5040" w:hanging="360"/>
      </w:pPr>
      <w:rPr>
        <w:rFonts w:ascii="Symbol" w:hAnsi="Symbol" w:hint="default"/>
      </w:rPr>
    </w:lvl>
    <w:lvl w:ilvl="7" w:tplc="0A523DF0">
      <w:start w:val="1"/>
      <w:numFmt w:val="bullet"/>
      <w:lvlText w:val="o"/>
      <w:lvlJc w:val="left"/>
      <w:pPr>
        <w:ind w:left="5760" w:hanging="360"/>
      </w:pPr>
      <w:rPr>
        <w:rFonts w:ascii="Courier New" w:hAnsi="Courier New" w:hint="default"/>
      </w:rPr>
    </w:lvl>
    <w:lvl w:ilvl="8" w:tplc="854A0FB4">
      <w:start w:val="1"/>
      <w:numFmt w:val="bullet"/>
      <w:lvlText w:val=""/>
      <w:lvlJc w:val="left"/>
      <w:pPr>
        <w:ind w:left="6480" w:hanging="360"/>
      </w:pPr>
      <w:rPr>
        <w:rFonts w:ascii="Wingdings" w:hAnsi="Wingdings" w:hint="default"/>
      </w:rPr>
    </w:lvl>
  </w:abstractNum>
  <w:abstractNum w:abstractNumId="664" w15:restartNumberingAfterBreak="0">
    <w:nsid w:val="71745158"/>
    <w:multiLevelType w:val="hybridMultilevel"/>
    <w:tmpl w:val="A19436BC"/>
    <w:lvl w:ilvl="0" w:tplc="FFFFFFF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5" w15:restartNumberingAfterBreak="0">
    <w:nsid w:val="71871271"/>
    <w:multiLevelType w:val="hybridMultilevel"/>
    <w:tmpl w:val="62364146"/>
    <w:lvl w:ilvl="0" w:tplc="561CD8F8">
      <w:start w:val="1"/>
      <w:numFmt w:val="bullet"/>
      <w:lvlText w:val="-"/>
      <w:lvlJc w:val="left"/>
      <w:pPr>
        <w:ind w:left="1069" w:hanging="360"/>
      </w:pPr>
      <w:rPr>
        <w:rFonts w:ascii="Calibri" w:hAnsi="Calibri"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Cambria Math" w:hAnsi="Cambria Math" w:hint="default"/>
      </w:rPr>
    </w:lvl>
    <w:lvl w:ilvl="3" w:tplc="FFFFFFFF" w:tentative="1">
      <w:start w:val="1"/>
      <w:numFmt w:val="bullet"/>
      <w:lvlText w:val=""/>
      <w:lvlJc w:val="left"/>
      <w:pPr>
        <w:ind w:left="3229" w:hanging="360"/>
      </w:pPr>
      <w:rPr>
        <w:rFonts w:ascii="Segoe UI" w:hAnsi="Segoe UI"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Cambria Math" w:hAnsi="Cambria Math" w:hint="default"/>
      </w:rPr>
    </w:lvl>
    <w:lvl w:ilvl="6" w:tplc="FFFFFFFF" w:tentative="1">
      <w:start w:val="1"/>
      <w:numFmt w:val="bullet"/>
      <w:lvlText w:val=""/>
      <w:lvlJc w:val="left"/>
      <w:pPr>
        <w:ind w:left="5389" w:hanging="360"/>
      </w:pPr>
      <w:rPr>
        <w:rFonts w:ascii="Segoe UI" w:hAnsi="Segoe UI"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Cambria Math" w:hAnsi="Cambria Math" w:hint="default"/>
      </w:rPr>
    </w:lvl>
  </w:abstractNum>
  <w:abstractNum w:abstractNumId="666" w15:restartNumberingAfterBreak="0">
    <w:nsid w:val="71EB1CC2"/>
    <w:multiLevelType w:val="hybridMultilevel"/>
    <w:tmpl w:val="3E84AF54"/>
    <w:lvl w:ilvl="0" w:tplc="1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7" w15:restartNumberingAfterBreak="0">
    <w:nsid w:val="72586C97"/>
    <w:multiLevelType w:val="multilevel"/>
    <w:tmpl w:val="566A9D42"/>
    <w:lvl w:ilvl="0">
      <w:start w:val="1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8" w15:restartNumberingAfterBreak="0">
    <w:nsid w:val="727FCEFD"/>
    <w:multiLevelType w:val="hybridMultilevel"/>
    <w:tmpl w:val="FFFFFFFF"/>
    <w:lvl w:ilvl="0" w:tplc="F02C7C3A">
      <w:start w:val="1"/>
      <w:numFmt w:val="bullet"/>
      <w:lvlText w:val=""/>
      <w:lvlJc w:val="left"/>
      <w:pPr>
        <w:ind w:left="720" w:hanging="360"/>
      </w:pPr>
      <w:rPr>
        <w:rFonts w:ascii="Segoe UI" w:hAnsi="Segoe UI" w:hint="default"/>
      </w:rPr>
    </w:lvl>
    <w:lvl w:ilvl="1" w:tplc="30D25C38">
      <w:start w:val="1"/>
      <w:numFmt w:val="bullet"/>
      <w:lvlText w:val="o"/>
      <w:lvlJc w:val="left"/>
      <w:pPr>
        <w:ind w:left="1440" w:hanging="360"/>
      </w:pPr>
      <w:rPr>
        <w:rFonts w:ascii="Courier New" w:hAnsi="Courier New" w:hint="default"/>
      </w:rPr>
    </w:lvl>
    <w:lvl w:ilvl="2" w:tplc="249613D4">
      <w:start w:val="1"/>
      <w:numFmt w:val="bullet"/>
      <w:lvlText w:val=""/>
      <w:lvlJc w:val="left"/>
      <w:pPr>
        <w:ind w:left="2160" w:hanging="360"/>
      </w:pPr>
      <w:rPr>
        <w:rFonts w:ascii="Cambria Math" w:hAnsi="Cambria Math" w:hint="default"/>
      </w:rPr>
    </w:lvl>
    <w:lvl w:ilvl="3" w:tplc="171616C4">
      <w:start w:val="1"/>
      <w:numFmt w:val="bullet"/>
      <w:lvlText w:val=""/>
      <w:lvlJc w:val="left"/>
      <w:pPr>
        <w:ind w:left="2880" w:hanging="360"/>
      </w:pPr>
      <w:rPr>
        <w:rFonts w:ascii="Segoe UI" w:hAnsi="Segoe UI" w:hint="default"/>
      </w:rPr>
    </w:lvl>
    <w:lvl w:ilvl="4" w:tplc="BED0D7CA">
      <w:start w:val="1"/>
      <w:numFmt w:val="bullet"/>
      <w:lvlText w:val="o"/>
      <w:lvlJc w:val="left"/>
      <w:pPr>
        <w:ind w:left="3600" w:hanging="360"/>
      </w:pPr>
      <w:rPr>
        <w:rFonts w:ascii="Courier New" w:hAnsi="Courier New" w:hint="default"/>
      </w:rPr>
    </w:lvl>
    <w:lvl w:ilvl="5" w:tplc="F81ABE2C">
      <w:start w:val="1"/>
      <w:numFmt w:val="bullet"/>
      <w:lvlText w:val=""/>
      <w:lvlJc w:val="left"/>
      <w:pPr>
        <w:ind w:left="4320" w:hanging="360"/>
      </w:pPr>
      <w:rPr>
        <w:rFonts w:ascii="Cambria Math" w:hAnsi="Cambria Math" w:hint="default"/>
      </w:rPr>
    </w:lvl>
    <w:lvl w:ilvl="6" w:tplc="2EDAE4CE">
      <w:start w:val="1"/>
      <w:numFmt w:val="bullet"/>
      <w:lvlText w:val=""/>
      <w:lvlJc w:val="left"/>
      <w:pPr>
        <w:ind w:left="5040" w:hanging="360"/>
      </w:pPr>
      <w:rPr>
        <w:rFonts w:ascii="Segoe UI" w:hAnsi="Segoe UI" w:hint="default"/>
      </w:rPr>
    </w:lvl>
    <w:lvl w:ilvl="7" w:tplc="49440FF6">
      <w:start w:val="1"/>
      <w:numFmt w:val="bullet"/>
      <w:lvlText w:val="o"/>
      <w:lvlJc w:val="left"/>
      <w:pPr>
        <w:ind w:left="5760" w:hanging="360"/>
      </w:pPr>
      <w:rPr>
        <w:rFonts w:ascii="Courier New" w:hAnsi="Courier New" w:hint="default"/>
      </w:rPr>
    </w:lvl>
    <w:lvl w:ilvl="8" w:tplc="D54A08C4">
      <w:start w:val="1"/>
      <w:numFmt w:val="bullet"/>
      <w:lvlText w:val=""/>
      <w:lvlJc w:val="left"/>
      <w:pPr>
        <w:ind w:left="6480" w:hanging="360"/>
      </w:pPr>
      <w:rPr>
        <w:rFonts w:ascii="Cambria Math" w:hAnsi="Cambria Math" w:hint="default"/>
      </w:rPr>
    </w:lvl>
  </w:abstractNum>
  <w:abstractNum w:abstractNumId="669" w15:restartNumberingAfterBreak="0">
    <w:nsid w:val="7286459C"/>
    <w:multiLevelType w:val="multilevel"/>
    <w:tmpl w:val="6A1AEF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0" w15:restartNumberingAfterBreak="0">
    <w:nsid w:val="72951372"/>
    <w:multiLevelType w:val="hybridMultilevel"/>
    <w:tmpl w:val="396C761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1" w15:restartNumberingAfterBreak="0">
    <w:nsid w:val="737D4DD3"/>
    <w:multiLevelType w:val="hybridMultilevel"/>
    <w:tmpl w:val="BBF2DAE8"/>
    <w:lvl w:ilvl="0" w:tplc="1809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2" w15:restartNumberingAfterBreak="0">
    <w:nsid w:val="73803551"/>
    <w:multiLevelType w:val="hybridMultilevel"/>
    <w:tmpl w:val="FFFFFFFF"/>
    <w:lvl w:ilvl="0" w:tplc="F1586C76">
      <w:start w:val="1"/>
      <w:numFmt w:val="bullet"/>
      <w:lvlText w:val="·"/>
      <w:lvlJc w:val="left"/>
      <w:pPr>
        <w:ind w:left="720" w:hanging="360"/>
      </w:pPr>
      <w:rPr>
        <w:rFonts w:ascii="Symbol" w:hAnsi="Symbol" w:hint="default"/>
      </w:rPr>
    </w:lvl>
    <w:lvl w:ilvl="1" w:tplc="831C4390">
      <w:start w:val="1"/>
      <w:numFmt w:val="bullet"/>
      <w:lvlText w:val="o"/>
      <w:lvlJc w:val="left"/>
      <w:pPr>
        <w:ind w:left="1440" w:hanging="360"/>
      </w:pPr>
      <w:rPr>
        <w:rFonts w:ascii="Courier New" w:hAnsi="Courier New" w:hint="default"/>
      </w:rPr>
    </w:lvl>
    <w:lvl w:ilvl="2" w:tplc="513E2626">
      <w:start w:val="1"/>
      <w:numFmt w:val="bullet"/>
      <w:lvlText w:val=""/>
      <w:lvlJc w:val="left"/>
      <w:pPr>
        <w:ind w:left="2160" w:hanging="360"/>
      </w:pPr>
      <w:rPr>
        <w:rFonts w:ascii="Wingdings" w:hAnsi="Wingdings" w:hint="default"/>
      </w:rPr>
    </w:lvl>
    <w:lvl w:ilvl="3" w:tplc="064E1C5A">
      <w:start w:val="1"/>
      <w:numFmt w:val="bullet"/>
      <w:lvlText w:val=""/>
      <w:lvlJc w:val="left"/>
      <w:pPr>
        <w:ind w:left="2880" w:hanging="360"/>
      </w:pPr>
      <w:rPr>
        <w:rFonts w:ascii="Symbol" w:hAnsi="Symbol" w:hint="default"/>
      </w:rPr>
    </w:lvl>
    <w:lvl w:ilvl="4" w:tplc="EF703F82">
      <w:start w:val="1"/>
      <w:numFmt w:val="bullet"/>
      <w:lvlText w:val="o"/>
      <w:lvlJc w:val="left"/>
      <w:pPr>
        <w:ind w:left="3600" w:hanging="360"/>
      </w:pPr>
      <w:rPr>
        <w:rFonts w:ascii="Courier New" w:hAnsi="Courier New" w:hint="default"/>
      </w:rPr>
    </w:lvl>
    <w:lvl w:ilvl="5" w:tplc="C3763C70">
      <w:start w:val="1"/>
      <w:numFmt w:val="bullet"/>
      <w:lvlText w:val=""/>
      <w:lvlJc w:val="left"/>
      <w:pPr>
        <w:ind w:left="4320" w:hanging="360"/>
      </w:pPr>
      <w:rPr>
        <w:rFonts w:ascii="Wingdings" w:hAnsi="Wingdings" w:hint="default"/>
      </w:rPr>
    </w:lvl>
    <w:lvl w:ilvl="6" w:tplc="E146BA90">
      <w:start w:val="1"/>
      <w:numFmt w:val="bullet"/>
      <w:lvlText w:val=""/>
      <w:lvlJc w:val="left"/>
      <w:pPr>
        <w:ind w:left="5040" w:hanging="360"/>
      </w:pPr>
      <w:rPr>
        <w:rFonts w:ascii="Symbol" w:hAnsi="Symbol" w:hint="default"/>
      </w:rPr>
    </w:lvl>
    <w:lvl w:ilvl="7" w:tplc="987AE4D6">
      <w:start w:val="1"/>
      <w:numFmt w:val="bullet"/>
      <w:lvlText w:val="o"/>
      <w:lvlJc w:val="left"/>
      <w:pPr>
        <w:ind w:left="5760" w:hanging="360"/>
      </w:pPr>
      <w:rPr>
        <w:rFonts w:ascii="Courier New" w:hAnsi="Courier New" w:hint="default"/>
      </w:rPr>
    </w:lvl>
    <w:lvl w:ilvl="8" w:tplc="71821848">
      <w:start w:val="1"/>
      <w:numFmt w:val="bullet"/>
      <w:lvlText w:val=""/>
      <w:lvlJc w:val="left"/>
      <w:pPr>
        <w:ind w:left="6480" w:hanging="360"/>
      </w:pPr>
      <w:rPr>
        <w:rFonts w:ascii="Wingdings" w:hAnsi="Wingdings" w:hint="default"/>
      </w:rPr>
    </w:lvl>
  </w:abstractNum>
  <w:abstractNum w:abstractNumId="673" w15:restartNumberingAfterBreak="0">
    <w:nsid w:val="739B483A"/>
    <w:multiLevelType w:val="hybridMultilevel"/>
    <w:tmpl w:val="1FF204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4" w15:restartNumberingAfterBreak="0">
    <w:nsid w:val="73D5F0CC"/>
    <w:multiLevelType w:val="hybridMultilevel"/>
    <w:tmpl w:val="FFFFFFFF"/>
    <w:lvl w:ilvl="0" w:tplc="00AAC428">
      <w:start w:val="1"/>
      <w:numFmt w:val="bullet"/>
      <w:lvlText w:val="·"/>
      <w:lvlJc w:val="left"/>
      <w:pPr>
        <w:ind w:left="720" w:hanging="360"/>
      </w:pPr>
      <w:rPr>
        <w:rFonts w:ascii="Symbol" w:hAnsi="Symbol" w:hint="default"/>
      </w:rPr>
    </w:lvl>
    <w:lvl w:ilvl="1" w:tplc="DF6CAFA8">
      <w:start w:val="1"/>
      <w:numFmt w:val="bullet"/>
      <w:lvlText w:val="o"/>
      <w:lvlJc w:val="left"/>
      <w:pPr>
        <w:ind w:left="1440" w:hanging="360"/>
      </w:pPr>
      <w:rPr>
        <w:rFonts w:ascii="Courier New" w:hAnsi="Courier New" w:hint="default"/>
      </w:rPr>
    </w:lvl>
    <w:lvl w:ilvl="2" w:tplc="6D7CBF90">
      <w:start w:val="1"/>
      <w:numFmt w:val="bullet"/>
      <w:lvlText w:val=""/>
      <w:lvlJc w:val="left"/>
      <w:pPr>
        <w:ind w:left="2160" w:hanging="360"/>
      </w:pPr>
      <w:rPr>
        <w:rFonts w:ascii="Wingdings" w:hAnsi="Wingdings" w:hint="default"/>
      </w:rPr>
    </w:lvl>
    <w:lvl w:ilvl="3" w:tplc="A27A90AC">
      <w:start w:val="1"/>
      <w:numFmt w:val="bullet"/>
      <w:lvlText w:val=""/>
      <w:lvlJc w:val="left"/>
      <w:pPr>
        <w:ind w:left="2880" w:hanging="360"/>
      </w:pPr>
      <w:rPr>
        <w:rFonts w:ascii="Symbol" w:hAnsi="Symbol" w:hint="default"/>
      </w:rPr>
    </w:lvl>
    <w:lvl w:ilvl="4" w:tplc="88B2BB7C">
      <w:start w:val="1"/>
      <w:numFmt w:val="bullet"/>
      <w:lvlText w:val="o"/>
      <w:lvlJc w:val="left"/>
      <w:pPr>
        <w:ind w:left="3600" w:hanging="360"/>
      </w:pPr>
      <w:rPr>
        <w:rFonts w:ascii="Courier New" w:hAnsi="Courier New" w:hint="default"/>
      </w:rPr>
    </w:lvl>
    <w:lvl w:ilvl="5" w:tplc="F5266F2A">
      <w:start w:val="1"/>
      <w:numFmt w:val="bullet"/>
      <w:lvlText w:val=""/>
      <w:lvlJc w:val="left"/>
      <w:pPr>
        <w:ind w:left="4320" w:hanging="360"/>
      </w:pPr>
      <w:rPr>
        <w:rFonts w:ascii="Wingdings" w:hAnsi="Wingdings" w:hint="default"/>
      </w:rPr>
    </w:lvl>
    <w:lvl w:ilvl="6" w:tplc="2ABE094C">
      <w:start w:val="1"/>
      <w:numFmt w:val="bullet"/>
      <w:lvlText w:val=""/>
      <w:lvlJc w:val="left"/>
      <w:pPr>
        <w:ind w:left="5040" w:hanging="360"/>
      </w:pPr>
      <w:rPr>
        <w:rFonts w:ascii="Symbol" w:hAnsi="Symbol" w:hint="default"/>
      </w:rPr>
    </w:lvl>
    <w:lvl w:ilvl="7" w:tplc="1764C5AE">
      <w:start w:val="1"/>
      <w:numFmt w:val="bullet"/>
      <w:lvlText w:val="o"/>
      <w:lvlJc w:val="left"/>
      <w:pPr>
        <w:ind w:left="5760" w:hanging="360"/>
      </w:pPr>
      <w:rPr>
        <w:rFonts w:ascii="Courier New" w:hAnsi="Courier New" w:hint="default"/>
      </w:rPr>
    </w:lvl>
    <w:lvl w:ilvl="8" w:tplc="2722CD54">
      <w:start w:val="1"/>
      <w:numFmt w:val="bullet"/>
      <w:lvlText w:val=""/>
      <w:lvlJc w:val="left"/>
      <w:pPr>
        <w:ind w:left="6480" w:hanging="360"/>
      </w:pPr>
      <w:rPr>
        <w:rFonts w:ascii="Wingdings" w:hAnsi="Wingdings" w:hint="default"/>
      </w:rPr>
    </w:lvl>
  </w:abstractNum>
  <w:abstractNum w:abstractNumId="675" w15:restartNumberingAfterBreak="0">
    <w:nsid w:val="73E84D6F"/>
    <w:multiLevelType w:val="multilevel"/>
    <w:tmpl w:val="C340F72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6" w15:restartNumberingAfterBreak="0">
    <w:nsid w:val="74203113"/>
    <w:multiLevelType w:val="hybridMultilevel"/>
    <w:tmpl w:val="2C982D38"/>
    <w:lvl w:ilvl="0" w:tplc="1809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6D606202">
      <w:numFmt w:val="bullet"/>
      <w:lvlText w:val="•"/>
      <w:lvlJc w:val="left"/>
      <w:pPr>
        <w:ind w:left="2340" w:hanging="720"/>
      </w:pPr>
      <w:rPr>
        <w:rFonts w:ascii="Times New Roman" w:eastAsia="Symbol" w:hAnsi="Times New Roman" w:cs="Times New Roman"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7" w15:restartNumberingAfterBreak="0">
    <w:nsid w:val="742E6556"/>
    <w:multiLevelType w:val="hybridMultilevel"/>
    <w:tmpl w:val="B6ECF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8" w15:restartNumberingAfterBreak="0">
    <w:nsid w:val="74CFAB80"/>
    <w:multiLevelType w:val="hybridMultilevel"/>
    <w:tmpl w:val="FFFFFFFF"/>
    <w:lvl w:ilvl="0" w:tplc="7E0ABB5C">
      <w:start w:val="1"/>
      <w:numFmt w:val="bullet"/>
      <w:lvlText w:val=""/>
      <w:lvlJc w:val="left"/>
      <w:pPr>
        <w:ind w:left="720" w:hanging="360"/>
      </w:pPr>
      <w:rPr>
        <w:rFonts w:ascii="Symbol" w:hAnsi="Symbol" w:hint="default"/>
      </w:rPr>
    </w:lvl>
    <w:lvl w:ilvl="1" w:tplc="4AF62788">
      <w:start w:val="1"/>
      <w:numFmt w:val="bullet"/>
      <w:lvlText w:val="-"/>
      <w:lvlJc w:val="left"/>
      <w:pPr>
        <w:ind w:left="1440" w:hanging="360"/>
      </w:pPr>
      <w:rPr>
        <w:rFonts w:ascii="Calibri" w:hAnsi="Calibri" w:hint="default"/>
      </w:rPr>
    </w:lvl>
    <w:lvl w:ilvl="2" w:tplc="D674BEA8">
      <w:start w:val="1"/>
      <w:numFmt w:val="bullet"/>
      <w:lvlText w:val=""/>
      <w:lvlJc w:val="left"/>
      <w:pPr>
        <w:ind w:left="2160" w:hanging="360"/>
      </w:pPr>
      <w:rPr>
        <w:rFonts w:ascii="Wingdings" w:hAnsi="Wingdings" w:hint="default"/>
      </w:rPr>
    </w:lvl>
    <w:lvl w:ilvl="3" w:tplc="CCB2774E">
      <w:start w:val="1"/>
      <w:numFmt w:val="bullet"/>
      <w:lvlText w:val=""/>
      <w:lvlJc w:val="left"/>
      <w:pPr>
        <w:ind w:left="2880" w:hanging="360"/>
      </w:pPr>
      <w:rPr>
        <w:rFonts w:ascii="Symbol" w:hAnsi="Symbol" w:hint="default"/>
      </w:rPr>
    </w:lvl>
    <w:lvl w:ilvl="4" w:tplc="601C6A82">
      <w:start w:val="1"/>
      <w:numFmt w:val="bullet"/>
      <w:lvlText w:val="o"/>
      <w:lvlJc w:val="left"/>
      <w:pPr>
        <w:ind w:left="3600" w:hanging="360"/>
      </w:pPr>
      <w:rPr>
        <w:rFonts w:ascii="Courier New" w:hAnsi="Courier New" w:hint="default"/>
      </w:rPr>
    </w:lvl>
    <w:lvl w:ilvl="5" w:tplc="65D4D590">
      <w:start w:val="1"/>
      <w:numFmt w:val="bullet"/>
      <w:lvlText w:val=""/>
      <w:lvlJc w:val="left"/>
      <w:pPr>
        <w:ind w:left="4320" w:hanging="360"/>
      </w:pPr>
      <w:rPr>
        <w:rFonts w:ascii="Wingdings" w:hAnsi="Wingdings" w:hint="default"/>
      </w:rPr>
    </w:lvl>
    <w:lvl w:ilvl="6" w:tplc="92BA6D0C">
      <w:start w:val="1"/>
      <w:numFmt w:val="bullet"/>
      <w:lvlText w:val=""/>
      <w:lvlJc w:val="left"/>
      <w:pPr>
        <w:ind w:left="5040" w:hanging="360"/>
      </w:pPr>
      <w:rPr>
        <w:rFonts w:ascii="Symbol" w:hAnsi="Symbol" w:hint="default"/>
      </w:rPr>
    </w:lvl>
    <w:lvl w:ilvl="7" w:tplc="C674DD8C">
      <w:start w:val="1"/>
      <w:numFmt w:val="bullet"/>
      <w:lvlText w:val="o"/>
      <w:lvlJc w:val="left"/>
      <w:pPr>
        <w:ind w:left="5760" w:hanging="360"/>
      </w:pPr>
      <w:rPr>
        <w:rFonts w:ascii="Courier New" w:hAnsi="Courier New" w:hint="default"/>
      </w:rPr>
    </w:lvl>
    <w:lvl w:ilvl="8" w:tplc="BCD275FC">
      <w:start w:val="1"/>
      <w:numFmt w:val="bullet"/>
      <w:lvlText w:val=""/>
      <w:lvlJc w:val="left"/>
      <w:pPr>
        <w:ind w:left="6480" w:hanging="360"/>
      </w:pPr>
      <w:rPr>
        <w:rFonts w:ascii="Wingdings" w:hAnsi="Wingdings" w:hint="default"/>
      </w:rPr>
    </w:lvl>
  </w:abstractNum>
  <w:abstractNum w:abstractNumId="679" w15:restartNumberingAfterBreak="0">
    <w:nsid w:val="74D08EB9"/>
    <w:multiLevelType w:val="hybridMultilevel"/>
    <w:tmpl w:val="FFFFFFFF"/>
    <w:lvl w:ilvl="0" w:tplc="E9669072">
      <w:start w:val="10"/>
      <w:numFmt w:val="decimal"/>
      <w:lvlText w:val="%1."/>
      <w:lvlJc w:val="left"/>
      <w:pPr>
        <w:ind w:left="720" w:hanging="360"/>
      </w:pPr>
    </w:lvl>
    <w:lvl w:ilvl="1" w:tplc="E6C47B78">
      <w:start w:val="1"/>
      <w:numFmt w:val="lowerLetter"/>
      <w:lvlText w:val="%2."/>
      <w:lvlJc w:val="left"/>
      <w:pPr>
        <w:ind w:left="1440" w:hanging="360"/>
      </w:pPr>
    </w:lvl>
    <w:lvl w:ilvl="2" w:tplc="0E2A9FA2">
      <w:start w:val="1"/>
      <w:numFmt w:val="lowerRoman"/>
      <w:lvlText w:val="%3."/>
      <w:lvlJc w:val="right"/>
      <w:pPr>
        <w:ind w:left="2160" w:hanging="180"/>
      </w:pPr>
    </w:lvl>
    <w:lvl w:ilvl="3" w:tplc="70969F18">
      <w:start w:val="1"/>
      <w:numFmt w:val="decimal"/>
      <w:lvlText w:val="%4."/>
      <w:lvlJc w:val="left"/>
      <w:pPr>
        <w:ind w:left="2880" w:hanging="360"/>
      </w:pPr>
    </w:lvl>
    <w:lvl w:ilvl="4" w:tplc="E8F6D386">
      <w:start w:val="1"/>
      <w:numFmt w:val="lowerLetter"/>
      <w:lvlText w:val="%5."/>
      <w:lvlJc w:val="left"/>
      <w:pPr>
        <w:ind w:left="3600" w:hanging="360"/>
      </w:pPr>
    </w:lvl>
    <w:lvl w:ilvl="5" w:tplc="4ACCECA2">
      <w:start w:val="1"/>
      <w:numFmt w:val="lowerRoman"/>
      <w:lvlText w:val="%6."/>
      <w:lvlJc w:val="right"/>
      <w:pPr>
        <w:ind w:left="4320" w:hanging="180"/>
      </w:pPr>
    </w:lvl>
    <w:lvl w:ilvl="6" w:tplc="B5D67D2A">
      <w:start w:val="1"/>
      <w:numFmt w:val="decimal"/>
      <w:lvlText w:val="%7."/>
      <w:lvlJc w:val="left"/>
      <w:pPr>
        <w:ind w:left="5040" w:hanging="360"/>
      </w:pPr>
    </w:lvl>
    <w:lvl w:ilvl="7" w:tplc="47481278">
      <w:start w:val="1"/>
      <w:numFmt w:val="lowerLetter"/>
      <w:lvlText w:val="%8."/>
      <w:lvlJc w:val="left"/>
      <w:pPr>
        <w:ind w:left="5760" w:hanging="360"/>
      </w:pPr>
    </w:lvl>
    <w:lvl w:ilvl="8" w:tplc="DA323166">
      <w:start w:val="1"/>
      <w:numFmt w:val="lowerRoman"/>
      <w:lvlText w:val="%9."/>
      <w:lvlJc w:val="right"/>
      <w:pPr>
        <w:ind w:left="6480" w:hanging="180"/>
      </w:pPr>
    </w:lvl>
  </w:abstractNum>
  <w:abstractNum w:abstractNumId="680" w15:restartNumberingAfterBreak="0">
    <w:nsid w:val="74F64C9D"/>
    <w:multiLevelType w:val="hybridMultilevel"/>
    <w:tmpl w:val="B7C6D54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1" w15:restartNumberingAfterBreak="0">
    <w:nsid w:val="750A7F51"/>
    <w:multiLevelType w:val="hybridMultilevel"/>
    <w:tmpl w:val="70F03E56"/>
    <w:lvl w:ilvl="0" w:tplc="B38CA8B0">
      <w:start w:val="1"/>
      <w:numFmt w:val="decimal"/>
      <w:lvlText w:val="%1."/>
      <w:lvlJc w:val="left"/>
      <w:pPr>
        <w:ind w:left="720" w:hanging="360"/>
      </w:pPr>
    </w:lvl>
    <w:lvl w:ilvl="1" w:tplc="09AE9C1E">
      <w:start w:val="1"/>
      <w:numFmt w:val="lowerLetter"/>
      <w:lvlText w:val="%2."/>
      <w:lvlJc w:val="left"/>
      <w:pPr>
        <w:ind w:left="1440" w:hanging="360"/>
      </w:pPr>
    </w:lvl>
    <w:lvl w:ilvl="2" w:tplc="B0B0DB4C">
      <w:start w:val="1"/>
      <w:numFmt w:val="lowerRoman"/>
      <w:lvlText w:val="%3."/>
      <w:lvlJc w:val="right"/>
      <w:pPr>
        <w:ind w:left="2160" w:hanging="180"/>
      </w:pPr>
    </w:lvl>
    <w:lvl w:ilvl="3" w:tplc="B23A0C7C">
      <w:start w:val="1"/>
      <w:numFmt w:val="decimal"/>
      <w:lvlText w:val="%4."/>
      <w:lvlJc w:val="left"/>
      <w:pPr>
        <w:ind w:left="2880" w:hanging="360"/>
      </w:pPr>
    </w:lvl>
    <w:lvl w:ilvl="4" w:tplc="69DC798A">
      <w:start w:val="1"/>
      <w:numFmt w:val="lowerLetter"/>
      <w:lvlText w:val="%5."/>
      <w:lvlJc w:val="left"/>
      <w:pPr>
        <w:ind w:left="3600" w:hanging="360"/>
      </w:pPr>
    </w:lvl>
    <w:lvl w:ilvl="5" w:tplc="07105AB2">
      <w:start w:val="1"/>
      <w:numFmt w:val="lowerRoman"/>
      <w:lvlText w:val="%6."/>
      <w:lvlJc w:val="right"/>
      <w:pPr>
        <w:ind w:left="4320" w:hanging="180"/>
      </w:pPr>
    </w:lvl>
    <w:lvl w:ilvl="6" w:tplc="C56EBF6C">
      <w:start w:val="1"/>
      <w:numFmt w:val="decimal"/>
      <w:lvlText w:val="%7."/>
      <w:lvlJc w:val="left"/>
      <w:pPr>
        <w:ind w:left="5040" w:hanging="360"/>
      </w:pPr>
    </w:lvl>
    <w:lvl w:ilvl="7" w:tplc="259417C0">
      <w:start w:val="1"/>
      <w:numFmt w:val="lowerLetter"/>
      <w:lvlText w:val="%8."/>
      <w:lvlJc w:val="left"/>
      <w:pPr>
        <w:ind w:left="5760" w:hanging="360"/>
      </w:pPr>
    </w:lvl>
    <w:lvl w:ilvl="8" w:tplc="8ECA402C">
      <w:start w:val="1"/>
      <w:numFmt w:val="lowerRoman"/>
      <w:lvlText w:val="%9."/>
      <w:lvlJc w:val="right"/>
      <w:pPr>
        <w:ind w:left="6480" w:hanging="180"/>
      </w:pPr>
    </w:lvl>
  </w:abstractNum>
  <w:abstractNum w:abstractNumId="682" w15:restartNumberingAfterBreak="0">
    <w:nsid w:val="751D23BE"/>
    <w:multiLevelType w:val="hybridMultilevel"/>
    <w:tmpl w:val="D83C1824"/>
    <w:lvl w:ilvl="0" w:tplc="0C0A0001">
      <w:start w:val="1"/>
      <w:numFmt w:val="bullet"/>
      <w:lvlText w:val=""/>
      <w:lvlJc w:val="left"/>
      <w:pPr>
        <w:ind w:left="1460" w:hanging="360"/>
      </w:pPr>
      <w:rPr>
        <w:rFonts w:ascii="Symbol" w:hAnsi="Symbol" w:hint="default"/>
      </w:rPr>
    </w:lvl>
    <w:lvl w:ilvl="1" w:tplc="0C0A0003" w:tentative="1">
      <w:start w:val="1"/>
      <w:numFmt w:val="bullet"/>
      <w:lvlText w:val="o"/>
      <w:lvlJc w:val="left"/>
      <w:pPr>
        <w:ind w:left="2180" w:hanging="360"/>
      </w:pPr>
      <w:rPr>
        <w:rFonts w:ascii="Courier New" w:hAnsi="Courier New" w:cs="Courier New" w:hint="default"/>
      </w:rPr>
    </w:lvl>
    <w:lvl w:ilvl="2" w:tplc="0C0A0005" w:tentative="1">
      <w:start w:val="1"/>
      <w:numFmt w:val="bullet"/>
      <w:lvlText w:val=""/>
      <w:lvlJc w:val="left"/>
      <w:pPr>
        <w:ind w:left="2900" w:hanging="360"/>
      </w:pPr>
      <w:rPr>
        <w:rFonts w:ascii="Wingdings" w:hAnsi="Wingdings" w:hint="default"/>
      </w:rPr>
    </w:lvl>
    <w:lvl w:ilvl="3" w:tplc="0C0A0001" w:tentative="1">
      <w:start w:val="1"/>
      <w:numFmt w:val="bullet"/>
      <w:lvlText w:val=""/>
      <w:lvlJc w:val="left"/>
      <w:pPr>
        <w:ind w:left="3620" w:hanging="360"/>
      </w:pPr>
      <w:rPr>
        <w:rFonts w:ascii="Symbol" w:hAnsi="Symbol" w:hint="default"/>
      </w:rPr>
    </w:lvl>
    <w:lvl w:ilvl="4" w:tplc="0C0A0003" w:tentative="1">
      <w:start w:val="1"/>
      <w:numFmt w:val="bullet"/>
      <w:lvlText w:val="o"/>
      <w:lvlJc w:val="left"/>
      <w:pPr>
        <w:ind w:left="4340" w:hanging="360"/>
      </w:pPr>
      <w:rPr>
        <w:rFonts w:ascii="Courier New" w:hAnsi="Courier New" w:cs="Courier New" w:hint="default"/>
      </w:rPr>
    </w:lvl>
    <w:lvl w:ilvl="5" w:tplc="0C0A0005" w:tentative="1">
      <w:start w:val="1"/>
      <w:numFmt w:val="bullet"/>
      <w:lvlText w:val=""/>
      <w:lvlJc w:val="left"/>
      <w:pPr>
        <w:ind w:left="5060" w:hanging="360"/>
      </w:pPr>
      <w:rPr>
        <w:rFonts w:ascii="Wingdings" w:hAnsi="Wingdings" w:hint="default"/>
      </w:rPr>
    </w:lvl>
    <w:lvl w:ilvl="6" w:tplc="0C0A0001" w:tentative="1">
      <w:start w:val="1"/>
      <w:numFmt w:val="bullet"/>
      <w:lvlText w:val=""/>
      <w:lvlJc w:val="left"/>
      <w:pPr>
        <w:ind w:left="5780" w:hanging="360"/>
      </w:pPr>
      <w:rPr>
        <w:rFonts w:ascii="Symbol" w:hAnsi="Symbol" w:hint="default"/>
      </w:rPr>
    </w:lvl>
    <w:lvl w:ilvl="7" w:tplc="0C0A0003" w:tentative="1">
      <w:start w:val="1"/>
      <w:numFmt w:val="bullet"/>
      <w:lvlText w:val="o"/>
      <w:lvlJc w:val="left"/>
      <w:pPr>
        <w:ind w:left="6500" w:hanging="360"/>
      </w:pPr>
      <w:rPr>
        <w:rFonts w:ascii="Courier New" w:hAnsi="Courier New" w:cs="Courier New" w:hint="default"/>
      </w:rPr>
    </w:lvl>
    <w:lvl w:ilvl="8" w:tplc="0C0A0005" w:tentative="1">
      <w:start w:val="1"/>
      <w:numFmt w:val="bullet"/>
      <w:lvlText w:val=""/>
      <w:lvlJc w:val="left"/>
      <w:pPr>
        <w:ind w:left="7220" w:hanging="360"/>
      </w:pPr>
      <w:rPr>
        <w:rFonts w:ascii="Wingdings" w:hAnsi="Wingdings" w:hint="default"/>
      </w:rPr>
    </w:lvl>
  </w:abstractNum>
  <w:abstractNum w:abstractNumId="683" w15:restartNumberingAfterBreak="0">
    <w:nsid w:val="752D060D"/>
    <w:multiLevelType w:val="hybridMultilevel"/>
    <w:tmpl w:val="A49096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4" w15:restartNumberingAfterBreak="0">
    <w:nsid w:val="753C5BA9"/>
    <w:multiLevelType w:val="hybridMultilevel"/>
    <w:tmpl w:val="99C0C08E"/>
    <w:lvl w:ilvl="0" w:tplc="0409000F">
      <w:start w:val="1"/>
      <w:numFmt w:val="decimal"/>
      <w:lvlText w:val="%1."/>
      <w:lvlJc w:val="left"/>
      <w:pPr>
        <w:ind w:left="-3872" w:hanging="360"/>
      </w:pPr>
    </w:lvl>
    <w:lvl w:ilvl="1" w:tplc="04090019" w:tentative="1">
      <w:start w:val="1"/>
      <w:numFmt w:val="lowerLetter"/>
      <w:lvlText w:val="%2."/>
      <w:lvlJc w:val="left"/>
      <w:pPr>
        <w:ind w:left="-315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1712" w:hanging="360"/>
      </w:pPr>
    </w:lvl>
    <w:lvl w:ilvl="4" w:tplc="04090019" w:tentative="1">
      <w:start w:val="1"/>
      <w:numFmt w:val="lowerLetter"/>
      <w:lvlText w:val="%5."/>
      <w:lvlJc w:val="left"/>
      <w:pPr>
        <w:ind w:left="-992" w:hanging="360"/>
      </w:pPr>
    </w:lvl>
    <w:lvl w:ilvl="5" w:tplc="0409001B" w:tentative="1">
      <w:start w:val="1"/>
      <w:numFmt w:val="lowerRoman"/>
      <w:lvlText w:val="%6."/>
      <w:lvlJc w:val="right"/>
      <w:pPr>
        <w:ind w:left="-272" w:hanging="180"/>
      </w:pPr>
    </w:lvl>
    <w:lvl w:ilvl="6" w:tplc="0409000F" w:tentative="1">
      <w:start w:val="1"/>
      <w:numFmt w:val="decimal"/>
      <w:lvlText w:val="%7."/>
      <w:lvlJc w:val="left"/>
      <w:pPr>
        <w:ind w:left="448" w:hanging="360"/>
      </w:pPr>
    </w:lvl>
    <w:lvl w:ilvl="7" w:tplc="04090019" w:tentative="1">
      <w:start w:val="1"/>
      <w:numFmt w:val="lowerLetter"/>
      <w:lvlText w:val="%8."/>
      <w:lvlJc w:val="left"/>
      <w:pPr>
        <w:ind w:left="1168" w:hanging="360"/>
      </w:pPr>
    </w:lvl>
    <w:lvl w:ilvl="8" w:tplc="0409001B" w:tentative="1">
      <w:start w:val="1"/>
      <w:numFmt w:val="lowerRoman"/>
      <w:lvlText w:val="%9."/>
      <w:lvlJc w:val="right"/>
      <w:pPr>
        <w:ind w:left="1888" w:hanging="180"/>
      </w:pPr>
    </w:lvl>
  </w:abstractNum>
  <w:abstractNum w:abstractNumId="685" w15:restartNumberingAfterBreak="0">
    <w:nsid w:val="753D6644"/>
    <w:multiLevelType w:val="hybridMultilevel"/>
    <w:tmpl w:val="0F8E2B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6" w15:restartNumberingAfterBreak="0">
    <w:nsid w:val="75447ECE"/>
    <w:multiLevelType w:val="hybridMultilevel"/>
    <w:tmpl w:val="05AAC7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7" w15:restartNumberingAfterBreak="0">
    <w:nsid w:val="755516F6"/>
    <w:multiLevelType w:val="hybridMultilevel"/>
    <w:tmpl w:val="4E7C846A"/>
    <w:lvl w:ilvl="0" w:tplc="B65EBF50">
      <w:start w:val="1"/>
      <w:numFmt w:val="lowerRoman"/>
      <w:lvlText w:val="%1."/>
      <w:lvlJc w:val="right"/>
      <w:pPr>
        <w:ind w:left="1080" w:hanging="360"/>
      </w:pPr>
      <w:rPr>
        <w:rFonts w:hint="default"/>
        <w:color w:val="7030A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8" w15:restartNumberingAfterBreak="0">
    <w:nsid w:val="755D41BE"/>
    <w:multiLevelType w:val="multilevel"/>
    <w:tmpl w:val="01C0A1CC"/>
    <w:lvl w:ilvl="0">
      <w:start w:val="1"/>
      <w:numFmt w:val="bullet"/>
      <w:lvlText w:val=""/>
      <w:lvlJc w:val="left"/>
      <w:pPr>
        <w:tabs>
          <w:tab w:val="num" w:pos="720"/>
        </w:tabs>
        <w:ind w:left="720" w:hanging="360"/>
      </w:pPr>
      <w:rPr>
        <w:rFonts w:ascii="Symbol" w:hAnsi="Symbol" w:hint="default"/>
        <w:sz w:val="20"/>
      </w:rPr>
    </w:lvl>
    <w:lvl w:ilvl="1">
      <w:start w:val="2023"/>
      <w:numFmt w:val="decimal"/>
      <w:lvlText w:val="%2"/>
      <w:lvlJc w:val="left"/>
      <w:pPr>
        <w:ind w:left="1440" w:hanging="360"/>
      </w:pPr>
      <w:rPr>
        <w:rFonts w:eastAsia="Times New Roman" w:hint="default"/>
        <w:color w:val="548DD4" w:themeColor="text2" w:themeTint="99"/>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75644865"/>
    <w:multiLevelType w:val="hybridMultilevel"/>
    <w:tmpl w:val="2698E86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0" w15:restartNumberingAfterBreak="0">
    <w:nsid w:val="75940135"/>
    <w:multiLevelType w:val="multilevel"/>
    <w:tmpl w:val="0ABE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1" w15:restartNumberingAfterBreak="0">
    <w:nsid w:val="759C3BE0"/>
    <w:multiLevelType w:val="multilevel"/>
    <w:tmpl w:val="9B78D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759F26AC"/>
    <w:multiLevelType w:val="hybridMultilevel"/>
    <w:tmpl w:val="FFFFFFFF"/>
    <w:lvl w:ilvl="0" w:tplc="F3523702">
      <w:start w:val="1"/>
      <w:numFmt w:val="bullet"/>
      <w:lvlText w:val=""/>
      <w:lvlJc w:val="left"/>
      <w:pPr>
        <w:ind w:left="720" w:hanging="360"/>
      </w:pPr>
      <w:rPr>
        <w:rFonts w:ascii="Symbol" w:hAnsi="Symbol" w:hint="default"/>
      </w:rPr>
    </w:lvl>
    <w:lvl w:ilvl="1" w:tplc="B20E5D48">
      <w:start w:val="1"/>
      <w:numFmt w:val="bullet"/>
      <w:lvlText w:val="o"/>
      <w:lvlJc w:val="left"/>
      <w:pPr>
        <w:ind w:left="1440" w:hanging="360"/>
      </w:pPr>
      <w:rPr>
        <w:rFonts w:ascii="Courier New" w:hAnsi="Courier New" w:hint="default"/>
      </w:rPr>
    </w:lvl>
    <w:lvl w:ilvl="2" w:tplc="F5F0908A">
      <w:start w:val="1"/>
      <w:numFmt w:val="bullet"/>
      <w:lvlText w:val=""/>
      <w:lvlJc w:val="left"/>
      <w:pPr>
        <w:ind w:left="2160" w:hanging="360"/>
      </w:pPr>
      <w:rPr>
        <w:rFonts w:ascii="Wingdings" w:hAnsi="Wingdings" w:hint="default"/>
      </w:rPr>
    </w:lvl>
    <w:lvl w:ilvl="3" w:tplc="68D084CC">
      <w:start w:val="1"/>
      <w:numFmt w:val="bullet"/>
      <w:lvlText w:val=""/>
      <w:lvlJc w:val="left"/>
      <w:pPr>
        <w:ind w:left="2880" w:hanging="360"/>
      </w:pPr>
      <w:rPr>
        <w:rFonts w:ascii="Symbol" w:hAnsi="Symbol" w:hint="default"/>
      </w:rPr>
    </w:lvl>
    <w:lvl w:ilvl="4" w:tplc="EB549A46">
      <w:start w:val="1"/>
      <w:numFmt w:val="bullet"/>
      <w:lvlText w:val="o"/>
      <w:lvlJc w:val="left"/>
      <w:pPr>
        <w:ind w:left="3600" w:hanging="360"/>
      </w:pPr>
      <w:rPr>
        <w:rFonts w:ascii="Courier New" w:hAnsi="Courier New" w:hint="default"/>
      </w:rPr>
    </w:lvl>
    <w:lvl w:ilvl="5" w:tplc="109C9360">
      <w:start w:val="1"/>
      <w:numFmt w:val="bullet"/>
      <w:lvlText w:val=""/>
      <w:lvlJc w:val="left"/>
      <w:pPr>
        <w:ind w:left="4320" w:hanging="360"/>
      </w:pPr>
      <w:rPr>
        <w:rFonts w:ascii="Wingdings" w:hAnsi="Wingdings" w:hint="default"/>
      </w:rPr>
    </w:lvl>
    <w:lvl w:ilvl="6" w:tplc="2F5C5C86">
      <w:start w:val="1"/>
      <w:numFmt w:val="bullet"/>
      <w:lvlText w:val=""/>
      <w:lvlJc w:val="left"/>
      <w:pPr>
        <w:ind w:left="5040" w:hanging="360"/>
      </w:pPr>
      <w:rPr>
        <w:rFonts w:ascii="Symbol" w:hAnsi="Symbol" w:hint="default"/>
      </w:rPr>
    </w:lvl>
    <w:lvl w:ilvl="7" w:tplc="064E19E8">
      <w:start w:val="1"/>
      <w:numFmt w:val="bullet"/>
      <w:lvlText w:val="o"/>
      <w:lvlJc w:val="left"/>
      <w:pPr>
        <w:ind w:left="5760" w:hanging="360"/>
      </w:pPr>
      <w:rPr>
        <w:rFonts w:ascii="Courier New" w:hAnsi="Courier New" w:hint="default"/>
      </w:rPr>
    </w:lvl>
    <w:lvl w:ilvl="8" w:tplc="3C24B684">
      <w:start w:val="1"/>
      <w:numFmt w:val="bullet"/>
      <w:lvlText w:val=""/>
      <w:lvlJc w:val="left"/>
      <w:pPr>
        <w:ind w:left="6480" w:hanging="360"/>
      </w:pPr>
      <w:rPr>
        <w:rFonts w:ascii="Wingdings" w:hAnsi="Wingdings" w:hint="default"/>
      </w:rPr>
    </w:lvl>
  </w:abstractNum>
  <w:abstractNum w:abstractNumId="693" w15:restartNumberingAfterBreak="0">
    <w:nsid w:val="75A051E3"/>
    <w:multiLevelType w:val="multilevel"/>
    <w:tmpl w:val="5E58CE5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94" w15:restartNumberingAfterBreak="0">
    <w:nsid w:val="75A46586"/>
    <w:multiLevelType w:val="hybridMultilevel"/>
    <w:tmpl w:val="3EC8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5" w15:restartNumberingAfterBreak="0">
    <w:nsid w:val="75E2E40D"/>
    <w:multiLevelType w:val="hybridMultilevel"/>
    <w:tmpl w:val="FFFFFFFF"/>
    <w:lvl w:ilvl="0" w:tplc="8BBAF528">
      <w:start w:val="1"/>
      <w:numFmt w:val="bullet"/>
      <w:lvlText w:val=""/>
      <w:lvlJc w:val="left"/>
      <w:pPr>
        <w:ind w:left="720" w:hanging="360"/>
      </w:pPr>
      <w:rPr>
        <w:rFonts w:ascii="Symbol" w:hAnsi="Symbol" w:hint="default"/>
      </w:rPr>
    </w:lvl>
    <w:lvl w:ilvl="1" w:tplc="8CF88772">
      <w:start w:val="1"/>
      <w:numFmt w:val="bullet"/>
      <w:lvlText w:val="-"/>
      <w:lvlJc w:val="left"/>
      <w:pPr>
        <w:ind w:left="1440" w:hanging="360"/>
      </w:pPr>
      <w:rPr>
        <w:rFonts w:ascii="Calibri" w:hAnsi="Calibri" w:hint="default"/>
      </w:rPr>
    </w:lvl>
    <w:lvl w:ilvl="2" w:tplc="CB04EB02">
      <w:start w:val="1"/>
      <w:numFmt w:val="bullet"/>
      <w:lvlText w:val=""/>
      <w:lvlJc w:val="left"/>
      <w:pPr>
        <w:ind w:left="2160" w:hanging="360"/>
      </w:pPr>
      <w:rPr>
        <w:rFonts w:ascii="Wingdings" w:hAnsi="Wingdings" w:hint="default"/>
      </w:rPr>
    </w:lvl>
    <w:lvl w:ilvl="3" w:tplc="376EFA6E">
      <w:start w:val="1"/>
      <w:numFmt w:val="bullet"/>
      <w:lvlText w:val=""/>
      <w:lvlJc w:val="left"/>
      <w:pPr>
        <w:ind w:left="2880" w:hanging="360"/>
      </w:pPr>
      <w:rPr>
        <w:rFonts w:ascii="Symbol" w:hAnsi="Symbol" w:hint="default"/>
      </w:rPr>
    </w:lvl>
    <w:lvl w:ilvl="4" w:tplc="F8687A8C">
      <w:start w:val="1"/>
      <w:numFmt w:val="bullet"/>
      <w:lvlText w:val="o"/>
      <w:lvlJc w:val="left"/>
      <w:pPr>
        <w:ind w:left="3600" w:hanging="360"/>
      </w:pPr>
      <w:rPr>
        <w:rFonts w:ascii="Courier New" w:hAnsi="Courier New" w:hint="default"/>
      </w:rPr>
    </w:lvl>
    <w:lvl w:ilvl="5" w:tplc="C2641544">
      <w:start w:val="1"/>
      <w:numFmt w:val="bullet"/>
      <w:lvlText w:val=""/>
      <w:lvlJc w:val="left"/>
      <w:pPr>
        <w:ind w:left="4320" w:hanging="360"/>
      </w:pPr>
      <w:rPr>
        <w:rFonts w:ascii="Wingdings" w:hAnsi="Wingdings" w:hint="default"/>
      </w:rPr>
    </w:lvl>
    <w:lvl w:ilvl="6" w:tplc="2660AD78">
      <w:start w:val="1"/>
      <w:numFmt w:val="bullet"/>
      <w:lvlText w:val=""/>
      <w:lvlJc w:val="left"/>
      <w:pPr>
        <w:ind w:left="5040" w:hanging="360"/>
      </w:pPr>
      <w:rPr>
        <w:rFonts w:ascii="Symbol" w:hAnsi="Symbol" w:hint="default"/>
      </w:rPr>
    </w:lvl>
    <w:lvl w:ilvl="7" w:tplc="7A7ECEEA">
      <w:start w:val="1"/>
      <w:numFmt w:val="bullet"/>
      <w:lvlText w:val="o"/>
      <w:lvlJc w:val="left"/>
      <w:pPr>
        <w:ind w:left="5760" w:hanging="360"/>
      </w:pPr>
      <w:rPr>
        <w:rFonts w:ascii="Courier New" w:hAnsi="Courier New" w:hint="default"/>
      </w:rPr>
    </w:lvl>
    <w:lvl w:ilvl="8" w:tplc="8470220C">
      <w:start w:val="1"/>
      <w:numFmt w:val="bullet"/>
      <w:lvlText w:val=""/>
      <w:lvlJc w:val="left"/>
      <w:pPr>
        <w:ind w:left="6480" w:hanging="360"/>
      </w:pPr>
      <w:rPr>
        <w:rFonts w:ascii="Wingdings" w:hAnsi="Wingdings" w:hint="default"/>
      </w:rPr>
    </w:lvl>
  </w:abstractNum>
  <w:abstractNum w:abstractNumId="696" w15:restartNumberingAfterBreak="0">
    <w:nsid w:val="75E51489"/>
    <w:multiLevelType w:val="hybridMultilevel"/>
    <w:tmpl w:val="F89881B8"/>
    <w:lvl w:ilvl="0" w:tplc="1809001B">
      <w:start w:val="1"/>
      <w:numFmt w:val="lowerRoman"/>
      <w:lvlText w:val="%1."/>
      <w:lvlJc w:val="right"/>
      <w:pPr>
        <w:ind w:left="1440" w:hanging="360"/>
      </w:pPr>
    </w:lvl>
    <w:lvl w:ilvl="1" w:tplc="B7303C30">
      <w:start w:val="2"/>
      <w:numFmt w:val="bullet"/>
      <w:lvlText w:val="-"/>
      <w:lvlJc w:val="left"/>
      <w:pPr>
        <w:ind w:left="1080" w:hanging="360"/>
      </w:pPr>
      <w:rPr>
        <w:rFonts w:ascii="Calibri" w:eastAsiaTheme="minorHAnsi" w:hAnsi="Calibri" w:cs="Calibri" w:hint="default"/>
      </w:rPr>
    </w:lvl>
    <w:lvl w:ilvl="2" w:tplc="1809001B">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697" w15:restartNumberingAfterBreak="0">
    <w:nsid w:val="75F74C4C"/>
    <w:multiLevelType w:val="hybridMultilevel"/>
    <w:tmpl w:val="BCACA684"/>
    <w:lvl w:ilvl="0" w:tplc="FFFFFFFF">
      <w:start w:val="1"/>
      <w:numFmt w:val="decimal"/>
      <w:lvlText w:val="%1."/>
      <w:lvlJc w:val="left"/>
      <w:pPr>
        <w:ind w:left="144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8" w15:restartNumberingAfterBreak="0">
    <w:nsid w:val="769F7C97"/>
    <w:multiLevelType w:val="hybridMultilevel"/>
    <w:tmpl w:val="E7E01118"/>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9" w15:restartNumberingAfterBreak="0">
    <w:nsid w:val="76B69A53"/>
    <w:multiLevelType w:val="hybridMultilevel"/>
    <w:tmpl w:val="FFFFFFFF"/>
    <w:lvl w:ilvl="0" w:tplc="D3C00F80">
      <w:start w:val="1"/>
      <w:numFmt w:val="bullet"/>
      <w:lvlText w:val="·"/>
      <w:lvlJc w:val="left"/>
      <w:pPr>
        <w:ind w:left="720" w:hanging="360"/>
      </w:pPr>
      <w:rPr>
        <w:rFonts w:ascii="Symbol" w:hAnsi="Symbol" w:hint="default"/>
      </w:rPr>
    </w:lvl>
    <w:lvl w:ilvl="1" w:tplc="F6DE2E7C">
      <w:start w:val="1"/>
      <w:numFmt w:val="bullet"/>
      <w:lvlText w:val="o"/>
      <w:lvlJc w:val="left"/>
      <w:pPr>
        <w:ind w:left="1440" w:hanging="360"/>
      </w:pPr>
      <w:rPr>
        <w:rFonts w:ascii="Courier New" w:hAnsi="Courier New" w:hint="default"/>
      </w:rPr>
    </w:lvl>
    <w:lvl w:ilvl="2" w:tplc="CDEEB4B2">
      <w:start w:val="1"/>
      <w:numFmt w:val="bullet"/>
      <w:lvlText w:val=""/>
      <w:lvlJc w:val="left"/>
      <w:pPr>
        <w:ind w:left="2160" w:hanging="360"/>
      </w:pPr>
      <w:rPr>
        <w:rFonts w:ascii="Wingdings" w:hAnsi="Wingdings" w:hint="default"/>
      </w:rPr>
    </w:lvl>
    <w:lvl w:ilvl="3" w:tplc="9200A498">
      <w:start w:val="1"/>
      <w:numFmt w:val="bullet"/>
      <w:lvlText w:val=""/>
      <w:lvlJc w:val="left"/>
      <w:pPr>
        <w:ind w:left="2880" w:hanging="360"/>
      </w:pPr>
      <w:rPr>
        <w:rFonts w:ascii="Symbol" w:hAnsi="Symbol" w:hint="default"/>
      </w:rPr>
    </w:lvl>
    <w:lvl w:ilvl="4" w:tplc="F2880D60">
      <w:start w:val="1"/>
      <w:numFmt w:val="bullet"/>
      <w:lvlText w:val="o"/>
      <w:lvlJc w:val="left"/>
      <w:pPr>
        <w:ind w:left="3600" w:hanging="360"/>
      </w:pPr>
      <w:rPr>
        <w:rFonts w:ascii="Courier New" w:hAnsi="Courier New" w:hint="default"/>
      </w:rPr>
    </w:lvl>
    <w:lvl w:ilvl="5" w:tplc="9788CCFE">
      <w:start w:val="1"/>
      <w:numFmt w:val="bullet"/>
      <w:lvlText w:val=""/>
      <w:lvlJc w:val="left"/>
      <w:pPr>
        <w:ind w:left="4320" w:hanging="360"/>
      </w:pPr>
      <w:rPr>
        <w:rFonts w:ascii="Wingdings" w:hAnsi="Wingdings" w:hint="default"/>
      </w:rPr>
    </w:lvl>
    <w:lvl w:ilvl="6" w:tplc="D896A366">
      <w:start w:val="1"/>
      <w:numFmt w:val="bullet"/>
      <w:lvlText w:val=""/>
      <w:lvlJc w:val="left"/>
      <w:pPr>
        <w:ind w:left="5040" w:hanging="360"/>
      </w:pPr>
      <w:rPr>
        <w:rFonts w:ascii="Symbol" w:hAnsi="Symbol" w:hint="default"/>
      </w:rPr>
    </w:lvl>
    <w:lvl w:ilvl="7" w:tplc="07DE3DB2">
      <w:start w:val="1"/>
      <w:numFmt w:val="bullet"/>
      <w:lvlText w:val="o"/>
      <w:lvlJc w:val="left"/>
      <w:pPr>
        <w:ind w:left="5760" w:hanging="360"/>
      </w:pPr>
      <w:rPr>
        <w:rFonts w:ascii="Courier New" w:hAnsi="Courier New" w:hint="default"/>
      </w:rPr>
    </w:lvl>
    <w:lvl w:ilvl="8" w:tplc="6576FEE0">
      <w:start w:val="1"/>
      <w:numFmt w:val="bullet"/>
      <w:lvlText w:val=""/>
      <w:lvlJc w:val="left"/>
      <w:pPr>
        <w:ind w:left="6480" w:hanging="360"/>
      </w:pPr>
      <w:rPr>
        <w:rFonts w:ascii="Wingdings" w:hAnsi="Wingdings" w:hint="default"/>
      </w:rPr>
    </w:lvl>
  </w:abstractNum>
  <w:abstractNum w:abstractNumId="700" w15:restartNumberingAfterBreak="0">
    <w:nsid w:val="76D7F70F"/>
    <w:multiLevelType w:val="hybridMultilevel"/>
    <w:tmpl w:val="1CE849FA"/>
    <w:lvl w:ilvl="0" w:tplc="1809000F">
      <w:start w:val="1"/>
      <w:numFmt w:val="decimal"/>
      <w:lvlText w:val="%1."/>
      <w:lvlJc w:val="left"/>
      <w:pPr>
        <w:ind w:left="1080" w:hanging="360"/>
      </w:pPr>
      <w:rPr>
        <w:rFonts w:hint="default"/>
      </w:rPr>
    </w:lvl>
    <w:lvl w:ilvl="1" w:tplc="EA2A0A7A">
      <w:start w:val="1"/>
      <w:numFmt w:val="bullet"/>
      <w:lvlText w:val="o"/>
      <w:lvlJc w:val="left"/>
      <w:pPr>
        <w:ind w:left="1800" w:hanging="360"/>
      </w:pPr>
      <w:rPr>
        <w:rFonts w:ascii="Courier New" w:hAnsi="Courier New" w:hint="default"/>
      </w:rPr>
    </w:lvl>
    <w:lvl w:ilvl="2" w:tplc="4086B520">
      <w:start w:val="1"/>
      <w:numFmt w:val="bullet"/>
      <w:lvlText w:val=""/>
      <w:lvlJc w:val="left"/>
      <w:pPr>
        <w:ind w:left="2520" w:hanging="360"/>
      </w:pPr>
      <w:rPr>
        <w:rFonts w:ascii="Wingdings" w:hAnsi="Wingdings" w:hint="default"/>
      </w:rPr>
    </w:lvl>
    <w:lvl w:ilvl="3" w:tplc="FFC0FC78">
      <w:start w:val="1"/>
      <w:numFmt w:val="bullet"/>
      <w:lvlText w:val=""/>
      <w:lvlJc w:val="left"/>
      <w:pPr>
        <w:ind w:left="3240" w:hanging="360"/>
      </w:pPr>
      <w:rPr>
        <w:rFonts w:ascii="Symbol" w:hAnsi="Symbol" w:hint="default"/>
      </w:rPr>
    </w:lvl>
    <w:lvl w:ilvl="4" w:tplc="4484E05C">
      <w:start w:val="1"/>
      <w:numFmt w:val="bullet"/>
      <w:lvlText w:val="o"/>
      <w:lvlJc w:val="left"/>
      <w:pPr>
        <w:ind w:left="3960" w:hanging="360"/>
      </w:pPr>
      <w:rPr>
        <w:rFonts w:ascii="Courier New" w:hAnsi="Courier New" w:hint="default"/>
      </w:rPr>
    </w:lvl>
    <w:lvl w:ilvl="5" w:tplc="D7FC5BE6">
      <w:start w:val="1"/>
      <w:numFmt w:val="bullet"/>
      <w:lvlText w:val=""/>
      <w:lvlJc w:val="left"/>
      <w:pPr>
        <w:ind w:left="4680" w:hanging="360"/>
      </w:pPr>
      <w:rPr>
        <w:rFonts w:ascii="Wingdings" w:hAnsi="Wingdings" w:hint="default"/>
      </w:rPr>
    </w:lvl>
    <w:lvl w:ilvl="6" w:tplc="E41214CC">
      <w:start w:val="1"/>
      <w:numFmt w:val="bullet"/>
      <w:lvlText w:val=""/>
      <w:lvlJc w:val="left"/>
      <w:pPr>
        <w:ind w:left="5400" w:hanging="360"/>
      </w:pPr>
      <w:rPr>
        <w:rFonts w:ascii="Symbol" w:hAnsi="Symbol" w:hint="default"/>
      </w:rPr>
    </w:lvl>
    <w:lvl w:ilvl="7" w:tplc="57A6D0E0">
      <w:start w:val="1"/>
      <w:numFmt w:val="bullet"/>
      <w:lvlText w:val="o"/>
      <w:lvlJc w:val="left"/>
      <w:pPr>
        <w:ind w:left="6120" w:hanging="360"/>
      </w:pPr>
      <w:rPr>
        <w:rFonts w:ascii="Courier New" w:hAnsi="Courier New" w:hint="default"/>
      </w:rPr>
    </w:lvl>
    <w:lvl w:ilvl="8" w:tplc="B314A550">
      <w:start w:val="1"/>
      <w:numFmt w:val="bullet"/>
      <w:lvlText w:val=""/>
      <w:lvlJc w:val="left"/>
      <w:pPr>
        <w:ind w:left="6840" w:hanging="360"/>
      </w:pPr>
      <w:rPr>
        <w:rFonts w:ascii="Wingdings" w:hAnsi="Wingdings" w:hint="default"/>
      </w:rPr>
    </w:lvl>
  </w:abstractNum>
  <w:abstractNum w:abstractNumId="701" w15:restartNumberingAfterBreak="0">
    <w:nsid w:val="76E1E40F"/>
    <w:multiLevelType w:val="hybridMultilevel"/>
    <w:tmpl w:val="FFFFFFFF"/>
    <w:lvl w:ilvl="0" w:tplc="B8786F04">
      <w:start w:val="1"/>
      <w:numFmt w:val="decimal"/>
      <w:lvlText w:val="%1."/>
      <w:lvlJc w:val="left"/>
      <w:pPr>
        <w:ind w:left="720" w:hanging="360"/>
      </w:pPr>
    </w:lvl>
    <w:lvl w:ilvl="1" w:tplc="53869E1E">
      <w:start w:val="1"/>
      <w:numFmt w:val="lowerLetter"/>
      <w:lvlText w:val="%2."/>
      <w:lvlJc w:val="left"/>
      <w:pPr>
        <w:ind w:left="1440" w:hanging="360"/>
      </w:pPr>
    </w:lvl>
    <w:lvl w:ilvl="2" w:tplc="773229FC">
      <w:start w:val="1"/>
      <w:numFmt w:val="lowerRoman"/>
      <w:lvlText w:val="%3."/>
      <w:lvlJc w:val="right"/>
      <w:pPr>
        <w:ind w:left="2160" w:hanging="180"/>
      </w:pPr>
    </w:lvl>
    <w:lvl w:ilvl="3" w:tplc="140ED2E8">
      <w:start w:val="1"/>
      <w:numFmt w:val="decimal"/>
      <w:lvlText w:val="%4."/>
      <w:lvlJc w:val="left"/>
      <w:pPr>
        <w:ind w:left="2880" w:hanging="360"/>
      </w:pPr>
    </w:lvl>
    <w:lvl w:ilvl="4" w:tplc="8976D74E">
      <w:start w:val="1"/>
      <w:numFmt w:val="lowerLetter"/>
      <w:lvlText w:val="%5."/>
      <w:lvlJc w:val="left"/>
      <w:pPr>
        <w:ind w:left="3600" w:hanging="360"/>
      </w:pPr>
    </w:lvl>
    <w:lvl w:ilvl="5" w:tplc="852EC7BE">
      <w:start w:val="1"/>
      <w:numFmt w:val="lowerRoman"/>
      <w:lvlText w:val="%6."/>
      <w:lvlJc w:val="right"/>
      <w:pPr>
        <w:ind w:left="4320" w:hanging="180"/>
      </w:pPr>
    </w:lvl>
    <w:lvl w:ilvl="6" w:tplc="570E229C">
      <w:start w:val="1"/>
      <w:numFmt w:val="decimal"/>
      <w:lvlText w:val="%7."/>
      <w:lvlJc w:val="left"/>
      <w:pPr>
        <w:ind w:left="5040" w:hanging="360"/>
      </w:pPr>
    </w:lvl>
    <w:lvl w:ilvl="7" w:tplc="0448B08A">
      <w:start w:val="1"/>
      <w:numFmt w:val="lowerLetter"/>
      <w:lvlText w:val="%8."/>
      <w:lvlJc w:val="left"/>
      <w:pPr>
        <w:ind w:left="5760" w:hanging="360"/>
      </w:pPr>
    </w:lvl>
    <w:lvl w:ilvl="8" w:tplc="1340FA92">
      <w:start w:val="1"/>
      <w:numFmt w:val="lowerRoman"/>
      <w:lvlText w:val="%9."/>
      <w:lvlJc w:val="right"/>
      <w:pPr>
        <w:ind w:left="6480" w:hanging="180"/>
      </w:pPr>
    </w:lvl>
  </w:abstractNum>
  <w:abstractNum w:abstractNumId="702" w15:restartNumberingAfterBreak="0">
    <w:nsid w:val="76E74A32"/>
    <w:multiLevelType w:val="hybridMultilevel"/>
    <w:tmpl w:val="8F66C5BA"/>
    <w:lvl w:ilvl="0" w:tplc="FFFFFFF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3" w15:restartNumberingAfterBreak="0">
    <w:nsid w:val="76F56463"/>
    <w:multiLevelType w:val="multilevel"/>
    <w:tmpl w:val="D38425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4" w15:restartNumberingAfterBreak="0">
    <w:nsid w:val="771806C4"/>
    <w:multiLevelType w:val="hybridMultilevel"/>
    <w:tmpl w:val="99B64566"/>
    <w:lvl w:ilvl="0" w:tplc="AF1E810C">
      <w:start w:val="1"/>
      <w:numFmt w:val="bullet"/>
      <w:lvlText w:val="-"/>
      <w:lvlJc w:val="left"/>
      <w:pPr>
        <w:ind w:left="720" w:hanging="360"/>
      </w:pPr>
      <w:rPr>
        <w:rFonts w:ascii="Symbol" w:hAnsi="Symbol" w:hint="default"/>
      </w:rPr>
    </w:lvl>
    <w:lvl w:ilvl="1" w:tplc="0C5805FE">
      <w:start w:val="1"/>
      <w:numFmt w:val="bullet"/>
      <w:lvlText w:val="o"/>
      <w:lvlJc w:val="left"/>
      <w:pPr>
        <w:ind w:left="1440" w:hanging="360"/>
      </w:pPr>
      <w:rPr>
        <w:rFonts w:ascii="Courier New" w:hAnsi="Courier New" w:hint="default"/>
      </w:rPr>
    </w:lvl>
    <w:lvl w:ilvl="2" w:tplc="3384A5C6">
      <w:start w:val="1"/>
      <w:numFmt w:val="bullet"/>
      <w:lvlText w:val=""/>
      <w:lvlJc w:val="left"/>
      <w:pPr>
        <w:ind w:left="2160" w:hanging="360"/>
      </w:pPr>
      <w:rPr>
        <w:rFonts w:ascii="Wingdings" w:hAnsi="Wingdings" w:hint="default"/>
      </w:rPr>
    </w:lvl>
    <w:lvl w:ilvl="3" w:tplc="0A02715A">
      <w:start w:val="1"/>
      <w:numFmt w:val="bullet"/>
      <w:lvlText w:val=""/>
      <w:lvlJc w:val="left"/>
      <w:pPr>
        <w:ind w:left="2880" w:hanging="360"/>
      </w:pPr>
      <w:rPr>
        <w:rFonts w:ascii="Symbol" w:hAnsi="Symbol" w:hint="default"/>
      </w:rPr>
    </w:lvl>
    <w:lvl w:ilvl="4" w:tplc="24789A00">
      <w:start w:val="1"/>
      <w:numFmt w:val="bullet"/>
      <w:lvlText w:val="o"/>
      <w:lvlJc w:val="left"/>
      <w:pPr>
        <w:ind w:left="3600" w:hanging="360"/>
      </w:pPr>
      <w:rPr>
        <w:rFonts w:ascii="Courier New" w:hAnsi="Courier New" w:hint="default"/>
      </w:rPr>
    </w:lvl>
    <w:lvl w:ilvl="5" w:tplc="9E4A1B9A">
      <w:start w:val="1"/>
      <w:numFmt w:val="bullet"/>
      <w:lvlText w:val=""/>
      <w:lvlJc w:val="left"/>
      <w:pPr>
        <w:ind w:left="4320" w:hanging="360"/>
      </w:pPr>
      <w:rPr>
        <w:rFonts w:ascii="Wingdings" w:hAnsi="Wingdings" w:hint="default"/>
      </w:rPr>
    </w:lvl>
    <w:lvl w:ilvl="6" w:tplc="24BA7062">
      <w:start w:val="1"/>
      <w:numFmt w:val="bullet"/>
      <w:lvlText w:val=""/>
      <w:lvlJc w:val="left"/>
      <w:pPr>
        <w:ind w:left="5040" w:hanging="360"/>
      </w:pPr>
      <w:rPr>
        <w:rFonts w:ascii="Symbol" w:hAnsi="Symbol" w:hint="default"/>
      </w:rPr>
    </w:lvl>
    <w:lvl w:ilvl="7" w:tplc="EE9EE00E">
      <w:start w:val="1"/>
      <w:numFmt w:val="bullet"/>
      <w:lvlText w:val="o"/>
      <w:lvlJc w:val="left"/>
      <w:pPr>
        <w:ind w:left="5760" w:hanging="360"/>
      </w:pPr>
      <w:rPr>
        <w:rFonts w:ascii="Courier New" w:hAnsi="Courier New" w:hint="default"/>
      </w:rPr>
    </w:lvl>
    <w:lvl w:ilvl="8" w:tplc="11A2CCEC">
      <w:start w:val="1"/>
      <w:numFmt w:val="bullet"/>
      <w:lvlText w:val=""/>
      <w:lvlJc w:val="left"/>
      <w:pPr>
        <w:ind w:left="6480" w:hanging="360"/>
      </w:pPr>
      <w:rPr>
        <w:rFonts w:ascii="Wingdings" w:hAnsi="Wingdings" w:hint="default"/>
      </w:rPr>
    </w:lvl>
  </w:abstractNum>
  <w:abstractNum w:abstractNumId="705" w15:restartNumberingAfterBreak="0">
    <w:nsid w:val="77B16DD8"/>
    <w:multiLevelType w:val="hybridMultilevel"/>
    <w:tmpl w:val="FFFFFFFF"/>
    <w:lvl w:ilvl="0" w:tplc="87FC3F1A">
      <w:start w:val="1"/>
      <w:numFmt w:val="bullet"/>
      <w:lvlText w:val="·"/>
      <w:lvlJc w:val="left"/>
      <w:pPr>
        <w:ind w:left="720" w:hanging="360"/>
      </w:pPr>
      <w:rPr>
        <w:rFonts w:ascii="Symbol" w:hAnsi="Symbol" w:hint="default"/>
      </w:rPr>
    </w:lvl>
    <w:lvl w:ilvl="1" w:tplc="59AA67E8">
      <w:start w:val="1"/>
      <w:numFmt w:val="bullet"/>
      <w:lvlText w:val="o"/>
      <w:lvlJc w:val="left"/>
      <w:pPr>
        <w:ind w:left="1440" w:hanging="360"/>
      </w:pPr>
      <w:rPr>
        <w:rFonts w:ascii="Courier New" w:hAnsi="Courier New" w:hint="default"/>
      </w:rPr>
    </w:lvl>
    <w:lvl w:ilvl="2" w:tplc="A6B04B9C">
      <w:start w:val="1"/>
      <w:numFmt w:val="bullet"/>
      <w:lvlText w:val=""/>
      <w:lvlJc w:val="left"/>
      <w:pPr>
        <w:ind w:left="2160" w:hanging="360"/>
      </w:pPr>
      <w:rPr>
        <w:rFonts w:ascii="Wingdings" w:hAnsi="Wingdings" w:hint="default"/>
      </w:rPr>
    </w:lvl>
    <w:lvl w:ilvl="3" w:tplc="30EA10B0">
      <w:start w:val="1"/>
      <w:numFmt w:val="bullet"/>
      <w:lvlText w:val=""/>
      <w:lvlJc w:val="left"/>
      <w:pPr>
        <w:ind w:left="2880" w:hanging="360"/>
      </w:pPr>
      <w:rPr>
        <w:rFonts w:ascii="Symbol" w:hAnsi="Symbol" w:hint="default"/>
      </w:rPr>
    </w:lvl>
    <w:lvl w:ilvl="4" w:tplc="83AE0B2E">
      <w:start w:val="1"/>
      <w:numFmt w:val="bullet"/>
      <w:lvlText w:val="o"/>
      <w:lvlJc w:val="left"/>
      <w:pPr>
        <w:ind w:left="3600" w:hanging="360"/>
      </w:pPr>
      <w:rPr>
        <w:rFonts w:ascii="Courier New" w:hAnsi="Courier New" w:hint="default"/>
      </w:rPr>
    </w:lvl>
    <w:lvl w:ilvl="5" w:tplc="2ADED522">
      <w:start w:val="1"/>
      <w:numFmt w:val="bullet"/>
      <w:lvlText w:val=""/>
      <w:lvlJc w:val="left"/>
      <w:pPr>
        <w:ind w:left="4320" w:hanging="360"/>
      </w:pPr>
      <w:rPr>
        <w:rFonts w:ascii="Wingdings" w:hAnsi="Wingdings" w:hint="default"/>
      </w:rPr>
    </w:lvl>
    <w:lvl w:ilvl="6" w:tplc="F998E482">
      <w:start w:val="1"/>
      <w:numFmt w:val="bullet"/>
      <w:lvlText w:val=""/>
      <w:lvlJc w:val="left"/>
      <w:pPr>
        <w:ind w:left="5040" w:hanging="360"/>
      </w:pPr>
      <w:rPr>
        <w:rFonts w:ascii="Symbol" w:hAnsi="Symbol" w:hint="default"/>
      </w:rPr>
    </w:lvl>
    <w:lvl w:ilvl="7" w:tplc="1324A0EC">
      <w:start w:val="1"/>
      <w:numFmt w:val="bullet"/>
      <w:lvlText w:val="o"/>
      <w:lvlJc w:val="left"/>
      <w:pPr>
        <w:ind w:left="5760" w:hanging="360"/>
      </w:pPr>
      <w:rPr>
        <w:rFonts w:ascii="Courier New" w:hAnsi="Courier New" w:hint="default"/>
      </w:rPr>
    </w:lvl>
    <w:lvl w:ilvl="8" w:tplc="E60CEBE0">
      <w:start w:val="1"/>
      <w:numFmt w:val="bullet"/>
      <w:lvlText w:val=""/>
      <w:lvlJc w:val="left"/>
      <w:pPr>
        <w:ind w:left="6480" w:hanging="360"/>
      </w:pPr>
      <w:rPr>
        <w:rFonts w:ascii="Wingdings" w:hAnsi="Wingdings" w:hint="default"/>
      </w:rPr>
    </w:lvl>
  </w:abstractNum>
  <w:abstractNum w:abstractNumId="706" w15:restartNumberingAfterBreak="0">
    <w:nsid w:val="77B53224"/>
    <w:multiLevelType w:val="hybridMultilevel"/>
    <w:tmpl w:val="7138CDAA"/>
    <w:lvl w:ilvl="0" w:tplc="69B4948C">
      <w:start w:val="1"/>
      <w:numFmt w:val="bullet"/>
      <w:lvlText w:val="-"/>
      <w:lvlJc w:val="left"/>
      <w:pPr>
        <w:ind w:left="720" w:hanging="360"/>
      </w:pPr>
      <w:rPr>
        <w:rFonts w:ascii="Symbol" w:hAnsi="Symbol" w:hint="default"/>
      </w:rPr>
    </w:lvl>
    <w:lvl w:ilvl="1" w:tplc="5798E1D8">
      <w:start w:val="1"/>
      <w:numFmt w:val="bullet"/>
      <w:lvlText w:val="o"/>
      <w:lvlJc w:val="left"/>
      <w:pPr>
        <w:ind w:left="1440" w:hanging="360"/>
      </w:pPr>
      <w:rPr>
        <w:rFonts w:ascii="Courier New" w:hAnsi="Courier New" w:hint="default"/>
      </w:rPr>
    </w:lvl>
    <w:lvl w:ilvl="2" w:tplc="9612D82C">
      <w:start w:val="1"/>
      <w:numFmt w:val="bullet"/>
      <w:lvlText w:val=""/>
      <w:lvlJc w:val="left"/>
      <w:pPr>
        <w:ind w:left="2160" w:hanging="360"/>
      </w:pPr>
      <w:rPr>
        <w:rFonts w:ascii="Wingdings" w:hAnsi="Wingdings" w:hint="default"/>
      </w:rPr>
    </w:lvl>
    <w:lvl w:ilvl="3" w:tplc="8BA84C4C">
      <w:start w:val="1"/>
      <w:numFmt w:val="bullet"/>
      <w:lvlText w:val=""/>
      <w:lvlJc w:val="left"/>
      <w:pPr>
        <w:ind w:left="2880" w:hanging="360"/>
      </w:pPr>
      <w:rPr>
        <w:rFonts w:ascii="Symbol" w:hAnsi="Symbol" w:hint="default"/>
      </w:rPr>
    </w:lvl>
    <w:lvl w:ilvl="4" w:tplc="517A0D04">
      <w:start w:val="1"/>
      <w:numFmt w:val="bullet"/>
      <w:lvlText w:val="o"/>
      <w:lvlJc w:val="left"/>
      <w:pPr>
        <w:ind w:left="3600" w:hanging="360"/>
      </w:pPr>
      <w:rPr>
        <w:rFonts w:ascii="Courier New" w:hAnsi="Courier New" w:hint="default"/>
      </w:rPr>
    </w:lvl>
    <w:lvl w:ilvl="5" w:tplc="9F2A96C6">
      <w:start w:val="1"/>
      <w:numFmt w:val="bullet"/>
      <w:lvlText w:val=""/>
      <w:lvlJc w:val="left"/>
      <w:pPr>
        <w:ind w:left="4320" w:hanging="360"/>
      </w:pPr>
      <w:rPr>
        <w:rFonts w:ascii="Wingdings" w:hAnsi="Wingdings" w:hint="default"/>
      </w:rPr>
    </w:lvl>
    <w:lvl w:ilvl="6" w:tplc="B4ACE1C8">
      <w:start w:val="1"/>
      <w:numFmt w:val="bullet"/>
      <w:lvlText w:val=""/>
      <w:lvlJc w:val="left"/>
      <w:pPr>
        <w:ind w:left="5040" w:hanging="360"/>
      </w:pPr>
      <w:rPr>
        <w:rFonts w:ascii="Symbol" w:hAnsi="Symbol" w:hint="default"/>
      </w:rPr>
    </w:lvl>
    <w:lvl w:ilvl="7" w:tplc="5706EA50">
      <w:start w:val="1"/>
      <w:numFmt w:val="bullet"/>
      <w:lvlText w:val="o"/>
      <w:lvlJc w:val="left"/>
      <w:pPr>
        <w:ind w:left="5760" w:hanging="360"/>
      </w:pPr>
      <w:rPr>
        <w:rFonts w:ascii="Courier New" w:hAnsi="Courier New" w:hint="default"/>
      </w:rPr>
    </w:lvl>
    <w:lvl w:ilvl="8" w:tplc="A26A3BC8">
      <w:start w:val="1"/>
      <w:numFmt w:val="bullet"/>
      <w:lvlText w:val=""/>
      <w:lvlJc w:val="left"/>
      <w:pPr>
        <w:ind w:left="6480" w:hanging="360"/>
      </w:pPr>
      <w:rPr>
        <w:rFonts w:ascii="Wingdings" w:hAnsi="Wingdings" w:hint="default"/>
      </w:rPr>
    </w:lvl>
  </w:abstractNum>
  <w:abstractNum w:abstractNumId="707" w15:restartNumberingAfterBreak="0">
    <w:nsid w:val="77D4553C"/>
    <w:multiLevelType w:val="hybridMultilevel"/>
    <w:tmpl w:val="6BF8647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8" w15:restartNumberingAfterBreak="0">
    <w:nsid w:val="783F5EBD"/>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09" w15:restartNumberingAfterBreak="0">
    <w:nsid w:val="78A407C3"/>
    <w:multiLevelType w:val="hybridMultilevel"/>
    <w:tmpl w:val="E52A0778"/>
    <w:lvl w:ilvl="0" w:tplc="CC824516">
      <w:start w:val="1"/>
      <w:numFmt w:val="bullet"/>
      <w:lvlText w:val="-"/>
      <w:lvlJc w:val="left"/>
      <w:pPr>
        <w:ind w:left="72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Segoe UI" w:hAnsi="Segoe U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Segoe UI" w:hAnsi="Segoe UI"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Cambria Math" w:hAnsi="Cambria Math" w:hint="default"/>
      </w:rPr>
    </w:lvl>
  </w:abstractNum>
  <w:abstractNum w:abstractNumId="710" w15:restartNumberingAfterBreak="0">
    <w:nsid w:val="78AA6207"/>
    <w:multiLevelType w:val="hybridMultilevel"/>
    <w:tmpl w:val="C0B454EA"/>
    <w:lvl w:ilvl="0" w:tplc="FFFFFFFF">
      <w:start w:val="1"/>
      <w:numFmt w:val="lowerLetter"/>
      <w:lvlText w:val="%1."/>
      <w:lvlJc w:val="left"/>
      <w:pPr>
        <w:ind w:left="720" w:hanging="360"/>
      </w:pPr>
    </w:lvl>
    <w:lvl w:ilvl="1" w:tplc="1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1" w15:restartNumberingAfterBreak="0">
    <w:nsid w:val="78AE7AB8"/>
    <w:multiLevelType w:val="hybridMultilevel"/>
    <w:tmpl w:val="641C0FF0"/>
    <w:lvl w:ilvl="0" w:tplc="1809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2" w15:restartNumberingAfterBreak="0">
    <w:nsid w:val="78D59BCD"/>
    <w:multiLevelType w:val="hybridMultilevel"/>
    <w:tmpl w:val="8C4CEC46"/>
    <w:lvl w:ilvl="0" w:tplc="F45E8384">
      <w:start w:val="1"/>
      <w:numFmt w:val="bullet"/>
      <w:lvlText w:val=""/>
      <w:lvlJc w:val="left"/>
      <w:pPr>
        <w:ind w:left="720" w:hanging="360"/>
      </w:pPr>
      <w:rPr>
        <w:rFonts w:ascii="Symbol" w:hAnsi="Symbol" w:hint="default"/>
      </w:rPr>
    </w:lvl>
    <w:lvl w:ilvl="1" w:tplc="D48235BE">
      <w:start w:val="1"/>
      <w:numFmt w:val="bullet"/>
      <w:lvlText w:val="o"/>
      <w:lvlJc w:val="left"/>
      <w:pPr>
        <w:ind w:left="1440" w:hanging="360"/>
      </w:pPr>
      <w:rPr>
        <w:rFonts w:ascii="Courier New" w:hAnsi="Courier New" w:hint="default"/>
      </w:rPr>
    </w:lvl>
    <w:lvl w:ilvl="2" w:tplc="4B6CF0F8">
      <w:start w:val="1"/>
      <w:numFmt w:val="bullet"/>
      <w:lvlText w:val=""/>
      <w:lvlJc w:val="left"/>
      <w:pPr>
        <w:ind w:left="2160" w:hanging="360"/>
      </w:pPr>
      <w:rPr>
        <w:rFonts w:ascii="Wingdings" w:hAnsi="Wingdings" w:hint="default"/>
      </w:rPr>
    </w:lvl>
    <w:lvl w:ilvl="3" w:tplc="0F5CB2E4">
      <w:start w:val="1"/>
      <w:numFmt w:val="bullet"/>
      <w:lvlText w:val=""/>
      <w:lvlJc w:val="left"/>
      <w:pPr>
        <w:ind w:left="2880" w:hanging="360"/>
      </w:pPr>
      <w:rPr>
        <w:rFonts w:ascii="Symbol" w:hAnsi="Symbol" w:hint="default"/>
      </w:rPr>
    </w:lvl>
    <w:lvl w:ilvl="4" w:tplc="88B0626A">
      <w:start w:val="1"/>
      <w:numFmt w:val="bullet"/>
      <w:lvlText w:val="o"/>
      <w:lvlJc w:val="left"/>
      <w:pPr>
        <w:ind w:left="3600" w:hanging="360"/>
      </w:pPr>
      <w:rPr>
        <w:rFonts w:ascii="Courier New" w:hAnsi="Courier New" w:hint="default"/>
      </w:rPr>
    </w:lvl>
    <w:lvl w:ilvl="5" w:tplc="E32E12E0">
      <w:start w:val="1"/>
      <w:numFmt w:val="bullet"/>
      <w:lvlText w:val=""/>
      <w:lvlJc w:val="left"/>
      <w:pPr>
        <w:ind w:left="4320" w:hanging="360"/>
      </w:pPr>
      <w:rPr>
        <w:rFonts w:ascii="Wingdings" w:hAnsi="Wingdings" w:hint="default"/>
      </w:rPr>
    </w:lvl>
    <w:lvl w:ilvl="6" w:tplc="7D546A18">
      <w:start w:val="1"/>
      <w:numFmt w:val="bullet"/>
      <w:lvlText w:val=""/>
      <w:lvlJc w:val="left"/>
      <w:pPr>
        <w:ind w:left="5040" w:hanging="360"/>
      </w:pPr>
      <w:rPr>
        <w:rFonts w:ascii="Symbol" w:hAnsi="Symbol" w:hint="default"/>
      </w:rPr>
    </w:lvl>
    <w:lvl w:ilvl="7" w:tplc="7116DBEA">
      <w:start w:val="1"/>
      <w:numFmt w:val="bullet"/>
      <w:lvlText w:val="o"/>
      <w:lvlJc w:val="left"/>
      <w:pPr>
        <w:ind w:left="5760" w:hanging="360"/>
      </w:pPr>
      <w:rPr>
        <w:rFonts w:ascii="Courier New" w:hAnsi="Courier New" w:hint="default"/>
      </w:rPr>
    </w:lvl>
    <w:lvl w:ilvl="8" w:tplc="37D8E236">
      <w:start w:val="1"/>
      <w:numFmt w:val="bullet"/>
      <w:lvlText w:val=""/>
      <w:lvlJc w:val="left"/>
      <w:pPr>
        <w:ind w:left="6480" w:hanging="360"/>
      </w:pPr>
      <w:rPr>
        <w:rFonts w:ascii="Wingdings" w:hAnsi="Wingdings" w:hint="default"/>
      </w:rPr>
    </w:lvl>
  </w:abstractNum>
  <w:abstractNum w:abstractNumId="713" w15:restartNumberingAfterBreak="0">
    <w:nsid w:val="790585AC"/>
    <w:multiLevelType w:val="hybridMultilevel"/>
    <w:tmpl w:val="FFFFFFFF"/>
    <w:lvl w:ilvl="0" w:tplc="96584A66">
      <w:start w:val="2"/>
      <w:numFmt w:val="decimal"/>
      <w:lvlText w:val="%1."/>
      <w:lvlJc w:val="left"/>
      <w:pPr>
        <w:ind w:left="720" w:hanging="360"/>
      </w:pPr>
    </w:lvl>
    <w:lvl w:ilvl="1" w:tplc="8208FC1E">
      <w:start w:val="1"/>
      <w:numFmt w:val="lowerLetter"/>
      <w:lvlText w:val="%2."/>
      <w:lvlJc w:val="left"/>
      <w:pPr>
        <w:ind w:left="1440" w:hanging="360"/>
      </w:pPr>
    </w:lvl>
    <w:lvl w:ilvl="2" w:tplc="96EA19B2">
      <w:start w:val="1"/>
      <w:numFmt w:val="lowerRoman"/>
      <w:lvlText w:val="%3."/>
      <w:lvlJc w:val="right"/>
      <w:pPr>
        <w:ind w:left="2160" w:hanging="180"/>
      </w:pPr>
    </w:lvl>
    <w:lvl w:ilvl="3" w:tplc="06542F16">
      <w:start w:val="1"/>
      <w:numFmt w:val="decimal"/>
      <w:lvlText w:val="%4."/>
      <w:lvlJc w:val="left"/>
      <w:pPr>
        <w:ind w:left="2880" w:hanging="360"/>
      </w:pPr>
    </w:lvl>
    <w:lvl w:ilvl="4" w:tplc="BF7464C0">
      <w:start w:val="1"/>
      <w:numFmt w:val="lowerLetter"/>
      <w:lvlText w:val="%5."/>
      <w:lvlJc w:val="left"/>
      <w:pPr>
        <w:ind w:left="3600" w:hanging="360"/>
      </w:pPr>
    </w:lvl>
    <w:lvl w:ilvl="5" w:tplc="A4D28FD8">
      <w:start w:val="1"/>
      <w:numFmt w:val="lowerRoman"/>
      <w:lvlText w:val="%6."/>
      <w:lvlJc w:val="right"/>
      <w:pPr>
        <w:ind w:left="4320" w:hanging="180"/>
      </w:pPr>
    </w:lvl>
    <w:lvl w:ilvl="6" w:tplc="D018B258">
      <w:start w:val="1"/>
      <w:numFmt w:val="decimal"/>
      <w:lvlText w:val="%7."/>
      <w:lvlJc w:val="left"/>
      <w:pPr>
        <w:ind w:left="5040" w:hanging="360"/>
      </w:pPr>
    </w:lvl>
    <w:lvl w:ilvl="7" w:tplc="621C2AA8">
      <w:start w:val="1"/>
      <w:numFmt w:val="lowerLetter"/>
      <w:lvlText w:val="%8."/>
      <w:lvlJc w:val="left"/>
      <w:pPr>
        <w:ind w:left="5760" w:hanging="360"/>
      </w:pPr>
    </w:lvl>
    <w:lvl w:ilvl="8" w:tplc="CD9A1BDC">
      <w:start w:val="1"/>
      <w:numFmt w:val="lowerRoman"/>
      <w:lvlText w:val="%9."/>
      <w:lvlJc w:val="right"/>
      <w:pPr>
        <w:ind w:left="6480" w:hanging="180"/>
      </w:pPr>
    </w:lvl>
  </w:abstractNum>
  <w:abstractNum w:abstractNumId="714" w15:restartNumberingAfterBreak="0">
    <w:nsid w:val="7941852A"/>
    <w:multiLevelType w:val="hybridMultilevel"/>
    <w:tmpl w:val="FFFFFFFF"/>
    <w:lvl w:ilvl="0" w:tplc="799AAA4C">
      <w:start w:val="4"/>
      <w:numFmt w:val="decimal"/>
      <w:lvlText w:val="%1."/>
      <w:lvlJc w:val="left"/>
      <w:pPr>
        <w:ind w:left="720" w:hanging="360"/>
      </w:pPr>
    </w:lvl>
    <w:lvl w:ilvl="1" w:tplc="A80ECE9A">
      <w:start w:val="1"/>
      <w:numFmt w:val="lowerLetter"/>
      <w:lvlText w:val="%2."/>
      <w:lvlJc w:val="left"/>
      <w:pPr>
        <w:ind w:left="1440" w:hanging="360"/>
      </w:pPr>
    </w:lvl>
    <w:lvl w:ilvl="2" w:tplc="A650FE20">
      <w:start w:val="1"/>
      <w:numFmt w:val="lowerRoman"/>
      <w:lvlText w:val="%3."/>
      <w:lvlJc w:val="right"/>
      <w:pPr>
        <w:ind w:left="2160" w:hanging="180"/>
      </w:pPr>
    </w:lvl>
    <w:lvl w:ilvl="3" w:tplc="D55A9A90">
      <w:start w:val="1"/>
      <w:numFmt w:val="decimal"/>
      <w:lvlText w:val="%4."/>
      <w:lvlJc w:val="left"/>
      <w:pPr>
        <w:ind w:left="2880" w:hanging="360"/>
      </w:pPr>
    </w:lvl>
    <w:lvl w:ilvl="4" w:tplc="2E98F672">
      <w:start w:val="1"/>
      <w:numFmt w:val="lowerLetter"/>
      <w:lvlText w:val="%5."/>
      <w:lvlJc w:val="left"/>
      <w:pPr>
        <w:ind w:left="3600" w:hanging="360"/>
      </w:pPr>
    </w:lvl>
    <w:lvl w:ilvl="5" w:tplc="20E8A7D4">
      <w:start w:val="1"/>
      <w:numFmt w:val="lowerRoman"/>
      <w:lvlText w:val="%6."/>
      <w:lvlJc w:val="right"/>
      <w:pPr>
        <w:ind w:left="4320" w:hanging="180"/>
      </w:pPr>
    </w:lvl>
    <w:lvl w:ilvl="6" w:tplc="07F80F88">
      <w:start w:val="1"/>
      <w:numFmt w:val="decimal"/>
      <w:lvlText w:val="%7."/>
      <w:lvlJc w:val="left"/>
      <w:pPr>
        <w:ind w:left="5040" w:hanging="360"/>
      </w:pPr>
    </w:lvl>
    <w:lvl w:ilvl="7" w:tplc="4A1C89C8">
      <w:start w:val="1"/>
      <w:numFmt w:val="lowerLetter"/>
      <w:lvlText w:val="%8."/>
      <w:lvlJc w:val="left"/>
      <w:pPr>
        <w:ind w:left="5760" w:hanging="360"/>
      </w:pPr>
    </w:lvl>
    <w:lvl w:ilvl="8" w:tplc="2BDC0566">
      <w:start w:val="1"/>
      <w:numFmt w:val="lowerRoman"/>
      <w:lvlText w:val="%9."/>
      <w:lvlJc w:val="right"/>
      <w:pPr>
        <w:ind w:left="6480" w:hanging="180"/>
      </w:pPr>
    </w:lvl>
  </w:abstractNum>
  <w:abstractNum w:abstractNumId="715" w15:restartNumberingAfterBreak="0">
    <w:nsid w:val="79D36099"/>
    <w:multiLevelType w:val="hybridMultilevel"/>
    <w:tmpl w:val="10341BCE"/>
    <w:lvl w:ilvl="0" w:tplc="1809000F">
      <w:start w:val="1"/>
      <w:numFmt w:val="decimal"/>
      <w:lvlText w:val="%1."/>
      <w:lvlJc w:val="left"/>
      <w:pPr>
        <w:ind w:left="720" w:hanging="360"/>
      </w:pPr>
      <w:rPr>
        <w:rFonts w:hint="default"/>
      </w:rPr>
    </w:lvl>
    <w:lvl w:ilvl="1" w:tplc="1809000F">
      <w:start w:val="1"/>
      <w:numFmt w:val="decimal"/>
      <w:lvlText w:val="%2."/>
      <w:lvlJc w:val="left"/>
      <w:pPr>
        <w:ind w:left="1440" w:hanging="360"/>
      </w:pPr>
    </w:lvl>
    <w:lvl w:ilvl="2" w:tplc="1809001B">
      <w:start w:val="1"/>
      <w:numFmt w:val="lowerRoman"/>
      <w:lvlText w:val="%3."/>
      <w:lvlJc w:val="right"/>
      <w:pPr>
        <w:ind w:left="2340" w:hanging="360"/>
      </w:p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6" w15:restartNumberingAfterBreak="0">
    <w:nsid w:val="7A0E4170"/>
    <w:multiLevelType w:val="hybridMultilevel"/>
    <w:tmpl w:val="2D826320"/>
    <w:lvl w:ilvl="0" w:tplc="0C0A0001">
      <w:start w:val="1"/>
      <w:numFmt w:val="bullet"/>
      <w:lvlText w:val=""/>
      <w:lvlJc w:val="left"/>
      <w:pPr>
        <w:ind w:left="1068" w:hanging="360"/>
      </w:pPr>
      <w:rPr>
        <w:rFonts w:ascii="Segoe UI" w:hAnsi="Segoe UI" w:hint="default"/>
      </w:rPr>
    </w:lvl>
    <w:lvl w:ilvl="1" w:tplc="0C0A0003">
      <w:start w:val="1"/>
      <w:numFmt w:val="bullet"/>
      <w:lvlText w:val="o"/>
      <w:lvlJc w:val="left"/>
      <w:pPr>
        <w:ind w:left="1788" w:hanging="360"/>
      </w:pPr>
      <w:rPr>
        <w:rFonts w:ascii="Courier New" w:hAnsi="Courier New" w:cs="Courier New" w:hint="default"/>
      </w:rPr>
    </w:lvl>
    <w:lvl w:ilvl="2" w:tplc="4A08A748">
      <w:numFmt w:val="bullet"/>
      <w:lvlText w:val="•"/>
      <w:lvlJc w:val="left"/>
      <w:pPr>
        <w:ind w:left="2508" w:hanging="360"/>
      </w:pPr>
      <w:rPr>
        <w:rFonts w:ascii="Aptos" w:eastAsiaTheme="minorHAnsi" w:hAnsi="Aptos" w:cs="Aptos" w:hint="default"/>
      </w:rPr>
    </w:lvl>
    <w:lvl w:ilvl="3" w:tplc="0C0A0001" w:tentative="1">
      <w:start w:val="1"/>
      <w:numFmt w:val="bullet"/>
      <w:lvlText w:val=""/>
      <w:lvlJc w:val="left"/>
      <w:pPr>
        <w:ind w:left="3228" w:hanging="360"/>
      </w:pPr>
      <w:rPr>
        <w:rFonts w:ascii="Segoe UI" w:hAnsi="Segoe UI"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Cambria Math" w:hAnsi="Cambria Math" w:hint="default"/>
      </w:rPr>
    </w:lvl>
    <w:lvl w:ilvl="6" w:tplc="0C0A0001" w:tentative="1">
      <w:start w:val="1"/>
      <w:numFmt w:val="bullet"/>
      <w:lvlText w:val=""/>
      <w:lvlJc w:val="left"/>
      <w:pPr>
        <w:ind w:left="5388" w:hanging="360"/>
      </w:pPr>
      <w:rPr>
        <w:rFonts w:ascii="Segoe UI" w:hAnsi="Segoe UI"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Cambria Math" w:hAnsi="Cambria Math" w:hint="default"/>
      </w:rPr>
    </w:lvl>
  </w:abstractNum>
  <w:abstractNum w:abstractNumId="717" w15:restartNumberingAfterBreak="0">
    <w:nsid w:val="7A211D65"/>
    <w:multiLevelType w:val="multilevel"/>
    <w:tmpl w:val="D7F8F7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8" w15:restartNumberingAfterBreak="0">
    <w:nsid w:val="7A4151A5"/>
    <w:multiLevelType w:val="multilevel"/>
    <w:tmpl w:val="F89C24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9" w15:restartNumberingAfterBreak="0">
    <w:nsid w:val="7A4EB1C6"/>
    <w:multiLevelType w:val="hybridMultilevel"/>
    <w:tmpl w:val="FFFFFFFF"/>
    <w:lvl w:ilvl="0" w:tplc="AE206D24">
      <w:start w:val="3"/>
      <w:numFmt w:val="decimal"/>
      <w:lvlText w:val="%1."/>
      <w:lvlJc w:val="left"/>
      <w:pPr>
        <w:ind w:left="720" w:hanging="360"/>
      </w:pPr>
    </w:lvl>
    <w:lvl w:ilvl="1" w:tplc="9EDE2A3C">
      <w:start w:val="1"/>
      <w:numFmt w:val="lowerLetter"/>
      <w:lvlText w:val="%2."/>
      <w:lvlJc w:val="left"/>
      <w:pPr>
        <w:ind w:left="1440" w:hanging="360"/>
      </w:pPr>
    </w:lvl>
    <w:lvl w:ilvl="2" w:tplc="8A704C0A">
      <w:start w:val="1"/>
      <w:numFmt w:val="lowerRoman"/>
      <w:lvlText w:val="%3."/>
      <w:lvlJc w:val="right"/>
      <w:pPr>
        <w:ind w:left="2160" w:hanging="180"/>
      </w:pPr>
    </w:lvl>
    <w:lvl w:ilvl="3" w:tplc="B17C7608">
      <w:start w:val="1"/>
      <w:numFmt w:val="decimal"/>
      <w:lvlText w:val="%4."/>
      <w:lvlJc w:val="left"/>
      <w:pPr>
        <w:ind w:left="2880" w:hanging="360"/>
      </w:pPr>
    </w:lvl>
    <w:lvl w:ilvl="4" w:tplc="7CE258FC">
      <w:start w:val="1"/>
      <w:numFmt w:val="lowerLetter"/>
      <w:lvlText w:val="%5."/>
      <w:lvlJc w:val="left"/>
      <w:pPr>
        <w:ind w:left="3600" w:hanging="360"/>
      </w:pPr>
    </w:lvl>
    <w:lvl w:ilvl="5" w:tplc="215ACD00">
      <w:start w:val="1"/>
      <w:numFmt w:val="lowerRoman"/>
      <w:lvlText w:val="%6."/>
      <w:lvlJc w:val="right"/>
      <w:pPr>
        <w:ind w:left="4320" w:hanging="180"/>
      </w:pPr>
    </w:lvl>
    <w:lvl w:ilvl="6" w:tplc="245C2CCE">
      <w:start w:val="1"/>
      <w:numFmt w:val="decimal"/>
      <w:lvlText w:val="%7."/>
      <w:lvlJc w:val="left"/>
      <w:pPr>
        <w:ind w:left="5040" w:hanging="360"/>
      </w:pPr>
    </w:lvl>
    <w:lvl w:ilvl="7" w:tplc="50A411FC">
      <w:start w:val="1"/>
      <w:numFmt w:val="lowerLetter"/>
      <w:lvlText w:val="%8."/>
      <w:lvlJc w:val="left"/>
      <w:pPr>
        <w:ind w:left="5760" w:hanging="360"/>
      </w:pPr>
    </w:lvl>
    <w:lvl w:ilvl="8" w:tplc="532C40E0">
      <w:start w:val="1"/>
      <w:numFmt w:val="lowerRoman"/>
      <w:lvlText w:val="%9."/>
      <w:lvlJc w:val="right"/>
      <w:pPr>
        <w:ind w:left="6480" w:hanging="180"/>
      </w:pPr>
    </w:lvl>
  </w:abstractNum>
  <w:abstractNum w:abstractNumId="720" w15:restartNumberingAfterBreak="0">
    <w:nsid w:val="7A57295F"/>
    <w:multiLevelType w:val="multilevel"/>
    <w:tmpl w:val="AB7EAA9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1" w15:restartNumberingAfterBreak="0">
    <w:nsid w:val="7ACE5AA2"/>
    <w:multiLevelType w:val="hybridMultilevel"/>
    <w:tmpl w:val="FFFFFFFF"/>
    <w:lvl w:ilvl="0" w:tplc="C17E9188">
      <w:start w:val="1"/>
      <w:numFmt w:val="bullet"/>
      <w:lvlText w:val="·"/>
      <w:lvlJc w:val="left"/>
      <w:pPr>
        <w:ind w:left="720" w:hanging="360"/>
      </w:pPr>
      <w:rPr>
        <w:rFonts w:ascii="Symbol" w:hAnsi="Symbol" w:hint="default"/>
      </w:rPr>
    </w:lvl>
    <w:lvl w:ilvl="1" w:tplc="853CC648">
      <w:start w:val="1"/>
      <w:numFmt w:val="bullet"/>
      <w:lvlText w:val="o"/>
      <w:lvlJc w:val="left"/>
      <w:pPr>
        <w:ind w:left="1440" w:hanging="360"/>
      </w:pPr>
      <w:rPr>
        <w:rFonts w:ascii="Courier New" w:hAnsi="Courier New" w:hint="default"/>
      </w:rPr>
    </w:lvl>
    <w:lvl w:ilvl="2" w:tplc="32FA20BC">
      <w:start w:val="1"/>
      <w:numFmt w:val="bullet"/>
      <w:lvlText w:val=""/>
      <w:lvlJc w:val="left"/>
      <w:pPr>
        <w:ind w:left="2160" w:hanging="360"/>
      </w:pPr>
      <w:rPr>
        <w:rFonts w:ascii="Wingdings" w:hAnsi="Wingdings" w:hint="default"/>
      </w:rPr>
    </w:lvl>
    <w:lvl w:ilvl="3" w:tplc="26A6384E">
      <w:start w:val="1"/>
      <w:numFmt w:val="bullet"/>
      <w:lvlText w:val=""/>
      <w:lvlJc w:val="left"/>
      <w:pPr>
        <w:ind w:left="2880" w:hanging="360"/>
      </w:pPr>
      <w:rPr>
        <w:rFonts w:ascii="Symbol" w:hAnsi="Symbol" w:hint="default"/>
      </w:rPr>
    </w:lvl>
    <w:lvl w:ilvl="4" w:tplc="504029F2">
      <w:start w:val="1"/>
      <w:numFmt w:val="bullet"/>
      <w:lvlText w:val="o"/>
      <w:lvlJc w:val="left"/>
      <w:pPr>
        <w:ind w:left="3600" w:hanging="360"/>
      </w:pPr>
      <w:rPr>
        <w:rFonts w:ascii="Courier New" w:hAnsi="Courier New" w:hint="default"/>
      </w:rPr>
    </w:lvl>
    <w:lvl w:ilvl="5" w:tplc="8506C1A4">
      <w:start w:val="1"/>
      <w:numFmt w:val="bullet"/>
      <w:lvlText w:val=""/>
      <w:lvlJc w:val="left"/>
      <w:pPr>
        <w:ind w:left="4320" w:hanging="360"/>
      </w:pPr>
      <w:rPr>
        <w:rFonts w:ascii="Wingdings" w:hAnsi="Wingdings" w:hint="default"/>
      </w:rPr>
    </w:lvl>
    <w:lvl w:ilvl="6" w:tplc="50007B82">
      <w:start w:val="1"/>
      <w:numFmt w:val="bullet"/>
      <w:lvlText w:val=""/>
      <w:lvlJc w:val="left"/>
      <w:pPr>
        <w:ind w:left="5040" w:hanging="360"/>
      </w:pPr>
      <w:rPr>
        <w:rFonts w:ascii="Symbol" w:hAnsi="Symbol" w:hint="default"/>
      </w:rPr>
    </w:lvl>
    <w:lvl w:ilvl="7" w:tplc="91B2E404">
      <w:start w:val="1"/>
      <w:numFmt w:val="bullet"/>
      <w:lvlText w:val="o"/>
      <w:lvlJc w:val="left"/>
      <w:pPr>
        <w:ind w:left="5760" w:hanging="360"/>
      </w:pPr>
      <w:rPr>
        <w:rFonts w:ascii="Courier New" w:hAnsi="Courier New" w:hint="default"/>
      </w:rPr>
    </w:lvl>
    <w:lvl w:ilvl="8" w:tplc="059C8FF0">
      <w:start w:val="1"/>
      <w:numFmt w:val="bullet"/>
      <w:lvlText w:val=""/>
      <w:lvlJc w:val="left"/>
      <w:pPr>
        <w:ind w:left="6480" w:hanging="360"/>
      </w:pPr>
      <w:rPr>
        <w:rFonts w:ascii="Wingdings" w:hAnsi="Wingdings" w:hint="default"/>
      </w:rPr>
    </w:lvl>
  </w:abstractNum>
  <w:abstractNum w:abstractNumId="722" w15:restartNumberingAfterBreak="0">
    <w:nsid w:val="7B245AD1"/>
    <w:multiLevelType w:val="hybridMultilevel"/>
    <w:tmpl w:val="976C9254"/>
    <w:lvl w:ilvl="0" w:tplc="7BD636D8">
      <w:start w:val="5"/>
      <w:numFmt w:val="lowerLetter"/>
      <w:lvlText w:val="%1."/>
      <w:lvlJc w:val="left"/>
      <w:pPr>
        <w:ind w:left="144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3" w15:restartNumberingAfterBreak="0">
    <w:nsid w:val="7B314C45"/>
    <w:multiLevelType w:val="hybridMultilevel"/>
    <w:tmpl w:val="60C62A9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4" w15:restartNumberingAfterBreak="0">
    <w:nsid w:val="7B414B80"/>
    <w:multiLevelType w:val="hybridMultilevel"/>
    <w:tmpl w:val="C66E115C"/>
    <w:lvl w:ilvl="0" w:tplc="312A5F28">
      <w:start w:val="1"/>
      <w:numFmt w:val="bullet"/>
      <w:lvlText w:val="-"/>
      <w:lvlJc w:val="left"/>
      <w:pPr>
        <w:ind w:left="720" w:hanging="360"/>
      </w:pPr>
      <w:rPr>
        <w:rFonts w:ascii="Cambria" w:eastAsiaTheme="minorHAnsi" w:hAnsi="Cambria" w:cs="Cambria"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Cambria Math" w:hAnsi="Cambria Math" w:hint="default"/>
      </w:rPr>
    </w:lvl>
    <w:lvl w:ilvl="3" w:tplc="FFFFFFFF" w:tentative="1">
      <w:start w:val="1"/>
      <w:numFmt w:val="bullet"/>
      <w:lvlText w:val=""/>
      <w:lvlJc w:val="left"/>
      <w:pPr>
        <w:ind w:left="2880" w:hanging="360"/>
      </w:pPr>
      <w:rPr>
        <w:rFonts w:ascii="Segoe UI" w:hAnsi="Segoe U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Cambria Math" w:hAnsi="Cambria Math" w:hint="default"/>
      </w:rPr>
    </w:lvl>
    <w:lvl w:ilvl="6" w:tplc="FFFFFFFF" w:tentative="1">
      <w:start w:val="1"/>
      <w:numFmt w:val="bullet"/>
      <w:lvlText w:val=""/>
      <w:lvlJc w:val="left"/>
      <w:pPr>
        <w:ind w:left="5040" w:hanging="360"/>
      </w:pPr>
      <w:rPr>
        <w:rFonts w:ascii="Segoe UI" w:hAnsi="Segoe UI"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Cambria Math" w:hAnsi="Cambria Math" w:hint="default"/>
      </w:rPr>
    </w:lvl>
  </w:abstractNum>
  <w:abstractNum w:abstractNumId="725" w15:restartNumberingAfterBreak="0">
    <w:nsid w:val="7BA53934"/>
    <w:multiLevelType w:val="hybridMultilevel"/>
    <w:tmpl w:val="32A40AE4"/>
    <w:lvl w:ilvl="0" w:tplc="561CD8F8">
      <w:start w:val="1"/>
      <w:numFmt w:val="bullet"/>
      <w:lvlText w:val="-"/>
      <w:lvlJc w:val="left"/>
      <w:pPr>
        <w:ind w:left="1146"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6" w15:restartNumberingAfterBreak="0">
    <w:nsid w:val="7BACEA30"/>
    <w:multiLevelType w:val="hybridMultilevel"/>
    <w:tmpl w:val="FFFFFFFF"/>
    <w:lvl w:ilvl="0" w:tplc="C620755C">
      <w:start w:val="1"/>
      <w:numFmt w:val="decimal"/>
      <w:lvlText w:val="%1."/>
      <w:lvlJc w:val="left"/>
      <w:pPr>
        <w:ind w:left="720" w:hanging="360"/>
      </w:pPr>
    </w:lvl>
    <w:lvl w:ilvl="1" w:tplc="DD92B60A">
      <w:start w:val="1"/>
      <w:numFmt w:val="lowerLetter"/>
      <w:lvlText w:val="%2."/>
      <w:lvlJc w:val="left"/>
      <w:pPr>
        <w:ind w:left="1440" w:hanging="360"/>
      </w:pPr>
    </w:lvl>
    <w:lvl w:ilvl="2" w:tplc="431255E4">
      <w:start w:val="1"/>
      <w:numFmt w:val="lowerRoman"/>
      <w:lvlText w:val="%3."/>
      <w:lvlJc w:val="right"/>
      <w:pPr>
        <w:ind w:left="2160" w:hanging="180"/>
      </w:pPr>
    </w:lvl>
    <w:lvl w:ilvl="3" w:tplc="8B0A7E44">
      <w:start w:val="1"/>
      <w:numFmt w:val="decimal"/>
      <w:lvlText w:val="%4."/>
      <w:lvlJc w:val="left"/>
      <w:pPr>
        <w:ind w:left="2880" w:hanging="360"/>
      </w:pPr>
    </w:lvl>
    <w:lvl w:ilvl="4" w:tplc="6D98B9CA">
      <w:start w:val="1"/>
      <w:numFmt w:val="lowerLetter"/>
      <w:lvlText w:val="%5."/>
      <w:lvlJc w:val="left"/>
      <w:pPr>
        <w:ind w:left="3600" w:hanging="360"/>
      </w:pPr>
    </w:lvl>
    <w:lvl w:ilvl="5" w:tplc="2DF8FDF2">
      <w:start w:val="1"/>
      <w:numFmt w:val="lowerRoman"/>
      <w:lvlText w:val="%6."/>
      <w:lvlJc w:val="right"/>
      <w:pPr>
        <w:ind w:left="4320" w:hanging="180"/>
      </w:pPr>
    </w:lvl>
    <w:lvl w:ilvl="6" w:tplc="CCD6CB4A">
      <w:start w:val="1"/>
      <w:numFmt w:val="decimal"/>
      <w:lvlText w:val="%7."/>
      <w:lvlJc w:val="left"/>
      <w:pPr>
        <w:ind w:left="5040" w:hanging="360"/>
      </w:pPr>
    </w:lvl>
    <w:lvl w:ilvl="7" w:tplc="8CD2EEEE">
      <w:start w:val="1"/>
      <w:numFmt w:val="lowerLetter"/>
      <w:lvlText w:val="%8."/>
      <w:lvlJc w:val="left"/>
      <w:pPr>
        <w:ind w:left="5760" w:hanging="360"/>
      </w:pPr>
    </w:lvl>
    <w:lvl w:ilvl="8" w:tplc="A9FA6A58">
      <w:start w:val="1"/>
      <w:numFmt w:val="lowerRoman"/>
      <w:lvlText w:val="%9."/>
      <w:lvlJc w:val="right"/>
      <w:pPr>
        <w:ind w:left="6480" w:hanging="180"/>
      </w:pPr>
    </w:lvl>
  </w:abstractNum>
  <w:abstractNum w:abstractNumId="727" w15:restartNumberingAfterBreak="0">
    <w:nsid w:val="7BEB3116"/>
    <w:multiLevelType w:val="hybridMultilevel"/>
    <w:tmpl w:val="6F8CDA72"/>
    <w:lvl w:ilvl="0" w:tplc="1809001B">
      <w:start w:val="1"/>
      <w:numFmt w:val="lowerRoman"/>
      <w:lvlText w:val="%1."/>
      <w:lvlJc w:val="righ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728" w15:restartNumberingAfterBreak="0">
    <w:nsid w:val="7BEB322F"/>
    <w:multiLevelType w:val="multilevel"/>
    <w:tmpl w:val="D18690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9" w15:restartNumberingAfterBreak="0">
    <w:nsid w:val="7BF06854"/>
    <w:multiLevelType w:val="multilevel"/>
    <w:tmpl w:val="6F9AF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0" w15:restartNumberingAfterBreak="0">
    <w:nsid w:val="7BF86B53"/>
    <w:multiLevelType w:val="hybridMultilevel"/>
    <w:tmpl w:val="D858486E"/>
    <w:lvl w:ilvl="0" w:tplc="23AE571E">
      <w:start w:val="2"/>
      <w:numFmt w:val="lowerLetter"/>
      <w:lvlText w:val="%1."/>
      <w:lvlJc w:val="left"/>
      <w:pPr>
        <w:ind w:left="720" w:hanging="360"/>
      </w:pPr>
    </w:lvl>
    <w:lvl w:ilvl="1" w:tplc="7E82A9C6">
      <w:start w:val="1"/>
      <w:numFmt w:val="lowerLetter"/>
      <w:lvlText w:val="%2."/>
      <w:lvlJc w:val="left"/>
      <w:pPr>
        <w:ind w:left="1440" w:hanging="360"/>
      </w:pPr>
    </w:lvl>
    <w:lvl w:ilvl="2" w:tplc="B0BC943C">
      <w:start w:val="1"/>
      <w:numFmt w:val="lowerRoman"/>
      <w:lvlText w:val="%3."/>
      <w:lvlJc w:val="right"/>
      <w:pPr>
        <w:ind w:left="2160" w:hanging="180"/>
      </w:pPr>
    </w:lvl>
    <w:lvl w:ilvl="3" w:tplc="3E1AFD4C">
      <w:start w:val="1"/>
      <w:numFmt w:val="decimal"/>
      <w:lvlText w:val="%4."/>
      <w:lvlJc w:val="left"/>
      <w:pPr>
        <w:ind w:left="2880" w:hanging="360"/>
      </w:pPr>
    </w:lvl>
    <w:lvl w:ilvl="4" w:tplc="CFCC7AEA">
      <w:start w:val="1"/>
      <w:numFmt w:val="lowerLetter"/>
      <w:lvlText w:val="%5."/>
      <w:lvlJc w:val="left"/>
      <w:pPr>
        <w:ind w:left="3600" w:hanging="360"/>
      </w:pPr>
    </w:lvl>
    <w:lvl w:ilvl="5" w:tplc="00424DB4">
      <w:start w:val="1"/>
      <w:numFmt w:val="lowerRoman"/>
      <w:lvlText w:val="%6."/>
      <w:lvlJc w:val="right"/>
      <w:pPr>
        <w:ind w:left="4320" w:hanging="180"/>
      </w:pPr>
    </w:lvl>
    <w:lvl w:ilvl="6" w:tplc="892CF7A6">
      <w:start w:val="1"/>
      <w:numFmt w:val="decimal"/>
      <w:lvlText w:val="%7."/>
      <w:lvlJc w:val="left"/>
      <w:pPr>
        <w:ind w:left="5040" w:hanging="360"/>
      </w:pPr>
    </w:lvl>
    <w:lvl w:ilvl="7" w:tplc="25022B18">
      <w:start w:val="1"/>
      <w:numFmt w:val="lowerLetter"/>
      <w:lvlText w:val="%8."/>
      <w:lvlJc w:val="left"/>
      <w:pPr>
        <w:ind w:left="5760" w:hanging="360"/>
      </w:pPr>
    </w:lvl>
    <w:lvl w:ilvl="8" w:tplc="C3AE92A6">
      <w:start w:val="1"/>
      <w:numFmt w:val="lowerRoman"/>
      <w:lvlText w:val="%9."/>
      <w:lvlJc w:val="right"/>
      <w:pPr>
        <w:ind w:left="6480" w:hanging="180"/>
      </w:pPr>
    </w:lvl>
  </w:abstractNum>
  <w:abstractNum w:abstractNumId="731" w15:restartNumberingAfterBreak="0">
    <w:nsid w:val="7C065371"/>
    <w:multiLevelType w:val="multilevel"/>
    <w:tmpl w:val="D1EE0FAC"/>
    <w:lvl w:ilvl="0">
      <w:start w:val="1"/>
      <w:numFmt w:val="lowerRoman"/>
      <w:lvlText w:val="%1."/>
      <w:lvlJc w:val="right"/>
      <w:pPr>
        <w:tabs>
          <w:tab w:val="num" w:pos="1800"/>
        </w:tabs>
        <w:ind w:left="1800" w:hanging="360"/>
      </w:pPr>
      <w:rPr>
        <w:rFonts w:hint="default"/>
      </w:rPr>
    </w:lvl>
    <w:lvl w:ilvl="1">
      <w:start w:val="1"/>
      <w:numFmt w:val="lowerRoman"/>
      <w:lvlText w:val="%2."/>
      <w:lvlJc w:val="right"/>
      <w:pPr>
        <w:tabs>
          <w:tab w:val="num" w:pos="2520"/>
        </w:tabs>
        <w:ind w:left="2520" w:hanging="360"/>
      </w:pPr>
      <w:rPr>
        <w:rFonts w:hint="default"/>
      </w:rPr>
    </w:lvl>
    <w:lvl w:ilvl="2">
      <w:start w:val="1"/>
      <w:numFmt w:val="lowerRoman"/>
      <w:lvlText w:val="%3."/>
      <w:lvlJc w:val="right"/>
      <w:pPr>
        <w:tabs>
          <w:tab w:val="num" w:pos="3240"/>
        </w:tabs>
        <w:ind w:left="3240" w:hanging="360"/>
      </w:pPr>
      <w:rPr>
        <w:rFonts w:hint="default"/>
      </w:rPr>
    </w:lvl>
    <w:lvl w:ilvl="3">
      <w:start w:val="1"/>
      <w:numFmt w:val="lowerRoman"/>
      <w:lvlText w:val="%4."/>
      <w:lvlJc w:val="right"/>
      <w:pPr>
        <w:tabs>
          <w:tab w:val="num" w:pos="3960"/>
        </w:tabs>
        <w:ind w:left="3960" w:hanging="360"/>
      </w:pPr>
      <w:rPr>
        <w:rFonts w:hint="default"/>
      </w:rPr>
    </w:lvl>
    <w:lvl w:ilvl="4">
      <w:start w:val="1"/>
      <w:numFmt w:val="lowerRoman"/>
      <w:lvlText w:val="%5."/>
      <w:lvlJc w:val="right"/>
      <w:pPr>
        <w:tabs>
          <w:tab w:val="num" w:pos="4680"/>
        </w:tabs>
        <w:ind w:left="4680" w:hanging="360"/>
      </w:pPr>
      <w:rPr>
        <w:rFonts w:hint="default"/>
      </w:rPr>
    </w:lvl>
    <w:lvl w:ilvl="5">
      <w:start w:val="1"/>
      <w:numFmt w:val="lowerRoman"/>
      <w:lvlText w:val="%6."/>
      <w:lvlJc w:val="right"/>
      <w:pPr>
        <w:tabs>
          <w:tab w:val="num" w:pos="5400"/>
        </w:tabs>
        <w:ind w:left="5400" w:hanging="360"/>
      </w:pPr>
      <w:rPr>
        <w:rFonts w:hint="default"/>
      </w:rPr>
    </w:lvl>
    <w:lvl w:ilvl="6">
      <w:start w:val="1"/>
      <w:numFmt w:val="lowerRoman"/>
      <w:lvlText w:val="%7."/>
      <w:lvlJc w:val="right"/>
      <w:pPr>
        <w:tabs>
          <w:tab w:val="num" w:pos="6120"/>
        </w:tabs>
        <w:ind w:left="6120" w:hanging="360"/>
      </w:pPr>
      <w:rPr>
        <w:rFonts w:hint="default"/>
      </w:rPr>
    </w:lvl>
    <w:lvl w:ilvl="7">
      <w:start w:val="1"/>
      <w:numFmt w:val="lowerRoman"/>
      <w:lvlText w:val="%8."/>
      <w:lvlJc w:val="right"/>
      <w:pPr>
        <w:tabs>
          <w:tab w:val="num" w:pos="6840"/>
        </w:tabs>
        <w:ind w:left="6840" w:hanging="360"/>
      </w:pPr>
      <w:rPr>
        <w:rFonts w:hint="default"/>
      </w:rPr>
    </w:lvl>
    <w:lvl w:ilvl="8">
      <w:start w:val="1"/>
      <w:numFmt w:val="lowerRoman"/>
      <w:lvlText w:val="%9."/>
      <w:lvlJc w:val="right"/>
      <w:pPr>
        <w:tabs>
          <w:tab w:val="num" w:pos="7560"/>
        </w:tabs>
        <w:ind w:left="7560" w:hanging="360"/>
      </w:pPr>
      <w:rPr>
        <w:rFonts w:hint="default"/>
      </w:rPr>
    </w:lvl>
  </w:abstractNum>
  <w:abstractNum w:abstractNumId="732" w15:restartNumberingAfterBreak="0">
    <w:nsid w:val="7C227792"/>
    <w:multiLevelType w:val="hybridMultilevel"/>
    <w:tmpl w:val="1B82981A"/>
    <w:lvl w:ilvl="0" w:tplc="FFFFFFFF">
      <w:start w:val="1"/>
      <w:numFmt w:val="decimal"/>
      <w:lvlText w:val="%1."/>
      <w:lvlJc w:val="left"/>
      <w:pPr>
        <w:ind w:left="720" w:hanging="360"/>
      </w:pPr>
      <w:rPr>
        <w:rFonts w:hint="default"/>
        <w:b/>
        <w:bCs/>
      </w:rPr>
    </w:lvl>
    <w:lvl w:ilvl="1" w:tplc="18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3" w15:restartNumberingAfterBreak="0">
    <w:nsid w:val="7C4709B9"/>
    <w:multiLevelType w:val="hybridMultilevel"/>
    <w:tmpl w:val="D68A0C9A"/>
    <w:lvl w:ilvl="0" w:tplc="04090011">
      <w:start w:val="1"/>
      <w:numFmt w:val="decimal"/>
      <w:lvlText w:val="%1)"/>
      <w:lvlJc w:val="left"/>
      <w:pPr>
        <w:ind w:left="360" w:hanging="360"/>
      </w:pPr>
      <w:rPr>
        <w:rFont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Cambria Math" w:hAnsi="Cambria Math" w:hint="default"/>
      </w:rPr>
    </w:lvl>
    <w:lvl w:ilvl="3" w:tplc="18090001" w:tentative="1">
      <w:start w:val="1"/>
      <w:numFmt w:val="bullet"/>
      <w:lvlText w:val=""/>
      <w:lvlJc w:val="left"/>
      <w:pPr>
        <w:ind w:left="2520" w:hanging="360"/>
      </w:pPr>
      <w:rPr>
        <w:rFonts w:ascii="Segoe UI" w:hAnsi="Segoe UI"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Cambria Math" w:hAnsi="Cambria Math" w:hint="default"/>
      </w:rPr>
    </w:lvl>
    <w:lvl w:ilvl="6" w:tplc="18090001" w:tentative="1">
      <w:start w:val="1"/>
      <w:numFmt w:val="bullet"/>
      <w:lvlText w:val=""/>
      <w:lvlJc w:val="left"/>
      <w:pPr>
        <w:ind w:left="4680" w:hanging="360"/>
      </w:pPr>
      <w:rPr>
        <w:rFonts w:ascii="Segoe UI" w:hAnsi="Segoe UI"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Cambria Math" w:hAnsi="Cambria Math" w:hint="default"/>
      </w:rPr>
    </w:lvl>
  </w:abstractNum>
  <w:abstractNum w:abstractNumId="734" w15:restartNumberingAfterBreak="0">
    <w:nsid w:val="7C7750A6"/>
    <w:multiLevelType w:val="hybridMultilevel"/>
    <w:tmpl w:val="FFFFFFFF"/>
    <w:lvl w:ilvl="0" w:tplc="70DE8CA2">
      <w:start w:val="1"/>
      <w:numFmt w:val="decimal"/>
      <w:lvlText w:val="%1."/>
      <w:lvlJc w:val="left"/>
      <w:pPr>
        <w:ind w:left="720" w:hanging="360"/>
      </w:pPr>
    </w:lvl>
    <w:lvl w:ilvl="1" w:tplc="CB5068AE">
      <w:start w:val="1"/>
      <w:numFmt w:val="lowerLetter"/>
      <w:lvlText w:val="%2."/>
      <w:lvlJc w:val="left"/>
      <w:pPr>
        <w:ind w:left="1440" w:hanging="360"/>
      </w:pPr>
    </w:lvl>
    <w:lvl w:ilvl="2" w:tplc="5A5E4106">
      <w:start w:val="1"/>
      <w:numFmt w:val="lowerRoman"/>
      <w:lvlText w:val="%3."/>
      <w:lvlJc w:val="right"/>
      <w:pPr>
        <w:ind w:left="2160" w:hanging="180"/>
      </w:pPr>
    </w:lvl>
    <w:lvl w:ilvl="3" w:tplc="159C5A98">
      <w:start w:val="1"/>
      <w:numFmt w:val="decimal"/>
      <w:lvlText w:val="%4."/>
      <w:lvlJc w:val="left"/>
      <w:pPr>
        <w:ind w:left="2880" w:hanging="360"/>
      </w:pPr>
    </w:lvl>
    <w:lvl w:ilvl="4" w:tplc="E08E504E">
      <w:start w:val="1"/>
      <w:numFmt w:val="lowerLetter"/>
      <w:lvlText w:val="%5."/>
      <w:lvlJc w:val="left"/>
      <w:pPr>
        <w:ind w:left="3600" w:hanging="360"/>
      </w:pPr>
    </w:lvl>
    <w:lvl w:ilvl="5" w:tplc="517ED0A0">
      <w:start w:val="1"/>
      <w:numFmt w:val="lowerRoman"/>
      <w:lvlText w:val="%6."/>
      <w:lvlJc w:val="right"/>
      <w:pPr>
        <w:ind w:left="4320" w:hanging="180"/>
      </w:pPr>
    </w:lvl>
    <w:lvl w:ilvl="6" w:tplc="2E3044F0">
      <w:start w:val="1"/>
      <w:numFmt w:val="decimal"/>
      <w:lvlText w:val="%7."/>
      <w:lvlJc w:val="left"/>
      <w:pPr>
        <w:ind w:left="5040" w:hanging="360"/>
      </w:pPr>
    </w:lvl>
    <w:lvl w:ilvl="7" w:tplc="3518557E">
      <w:start w:val="1"/>
      <w:numFmt w:val="lowerLetter"/>
      <w:lvlText w:val="%8."/>
      <w:lvlJc w:val="left"/>
      <w:pPr>
        <w:ind w:left="5760" w:hanging="360"/>
      </w:pPr>
    </w:lvl>
    <w:lvl w:ilvl="8" w:tplc="35C41E8E">
      <w:start w:val="1"/>
      <w:numFmt w:val="lowerRoman"/>
      <w:lvlText w:val="%9."/>
      <w:lvlJc w:val="right"/>
      <w:pPr>
        <w:ind w:left="6480" w:hanging="180"/>
      </w:pPr>
    </w:lvl>
  </w:abstractNum>
  <w:abstractNum w:abstractNumId="735" w15:restartNumberingAfterBreak="0">
    <w:nsid w:val="7C7A1769"/>
    <w:multiLevelType w:val="multilevel"/>
    <w:tmpl w:val="8CFC3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6" w15:restartNumberingAfterBreak="0">
    <w:nsid w:val="7C7E4710"/>
    <w:multiLevelType w:val="multilevel"/>
    <w:tmpl w:val="D81C371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7" w15:restartNumberingAfterBreak="0">
    <w:nsid w:val="7CA77FBF"/>
    <w:multiLevelType w:val="hybridMultilevel"/>
    <w:tmpl w:val="FFFFFFFF"/>
    <w:lvl w:ilvl="0" w:tplc="56345B4C">
      <w:start w:val="1"/>
      <w:numFmt w:val="bullet"/>
      <w:lvlText w:val=""/>
      <w:lvlJc w:val="left"/>
      <w:pPr>
        <w:ind w:left="720" w:hanging="360"/>
      </w:pPr>
      <w:rPr>
        <w:rFonts w:ascii="Segoe UI" w:hAnsi="Segoe UI" w:hint="default"/>
      </w:rPr>
    </w:lvl>
    <w:lvl w:ilvl="1" w:tplc="F9F60570">
      <w:start w:val="1"/>
      <w:numFmt w:val="bullet"/>
      <w:lvlText w:val="o"/>
      <w:lvlJc w:val="left"/>
      <w:pPr>
        <w:ind w:left="1440" w:hanging="360"/>
      </w:pPr>
      <w:rPr>
        <w:rFonts w:ascii="Courier New" w:hAnsi="Courier New" w:hint="default"/>
      </w:rPr>
    </w:lvl>
    <w:lvl w:ilvl="2" w:tplc="0584E2DA">
      <w:start w:val="1"/>
      <w:numFmt w:val="bullet"/>
      <w:lvlText w:val=""/>
      <w:lvlJc w:val="left"/>
      <w:pPr>
        <w:ind w:left="2160" w:hanging="360"/>
      </w:pPr>
      <w:rPr>
        <w:rFonts w:ascii="Cambria Math" w:hAnsi="Cambria Math" w:hint="default"/>
      </w:rPr>
    </w:lvl>
    <w:lvl w:ilvl="3" w:tplc="6E30AFB2">
      <w:start w:val="1"/>
      <w:numFmt w:val="bullet"/>
      <w:lvlText w:val=""/>
      <w:lvlJc w:val="left"/>
      <w:pPr>
        <w:ind w:left="2880" w:hanging="360"/>
      </w:pPr>
      <w:rPr>
        <w:rFonts w:ascii="Segoe UI" w:hAnsi="Segoe UI" w:hint="default"/>
      </w:rPr>
    </w:lvl>
    <w:lvl w:ilvl="4" w:tplc="E6CA7CD4">
      <w:start w:val="1"/>
      <w:numFmt w:val="bullet"/>
      <w:lvlText w:val="o"/>
      <w:lvlJc w:val="left"/>
      <w:pPr>
        <w:ind w:left="3600" w:hanging="360"/>
      </w:pPr>
      <w:rPr>
        <w:rFonts w:ascii="Courier New" w:hAnsi="Courier New" w:hint="default"/>
      </w:rPr>
    </w:lvl>
    <w:lvl w:ilvl="5" w:tplc="3A6EF328">
      <w:start w:val="1"/>
      <w:numFmt w:val="bullet"/>
      <w:lvlText w:val=""/>
      <w:lvlJc w:val="left"/>
      <w:pPr>
        <w:ind w:left="4320" w:hanging="360"/>
      </w:pPr>
      <w:rPr>
        <w:rFonts w:ascii="Cambria Math" w:hAnsi="Cambria Math" w:hint="default"/>
      </w:rPr>
    </w:lvl>
    <w:lvl w:ilvl="6" w:tplc="EC1A56BC">
      <w:start w:val="1"/>
      <w:numFmt w:val="bullet"/>
      <w:lvlText w:val=""/>
      <w:lvlJc w:val="left"/>
      <w:pPr>
        <w:ind w:left="5040" w:hanging="360"/>
      </w:pPr>
      <w:rPr>
        <w:rFonts w:ascii="Segoe UI" w:hAnsi="Segoe UI" w:hint="default"/>
      </w:rPr>
    </w:lvl>
    <w:lvl w:ilvl="7" w:tplc="05EC94D2">
      <w:start w:val="1"/>
      <w:numFmt w:val="bullet"/>
      <w:lvlText w:val="o"/>
      <w:lvlJc w:val="left"/>
      <w:pPr>
        <w:ind w:left="5760" w:hanging="360"/>
      </w:pPr>
      <w:rPr>
        <w:rFonts w:ascii="Courier New" w:hAnsi="Courier New" w:hint="default"/>
      </w:rPr>
    </w:lvl>
    <w:lvl w:ilvl="8" w:tplc="D04EC7E6">
      <w:start w:val="1"/>
      <w:numFmt w:val="bullet"/>
      <w:lvlText w:val=""/>
      <w:lvlJc w:val="left"/>
      <w:pPr>
        <w:ind w:left="6480" w:hanging="360"/>
      </w:pPr>
      <w:rPr>
        <w:rFonts w:ascii="Cambria Math" w:hAnsi="Cambria Math" w:hint="default"/>
      </w:rPr>
    </w:lvl>
  </w:abstractNum>
  <w:abstractNum w:abstractNumId="738" w15:restartNumberingAfterBreak="0">
    <w:nsid w:val="7CB1591F"/>
    <w:multiLevelType w:val="hybridMultilevel"/>
    <w:tmpl w:val="90465D9C"/>
    <w:lvl w:ilvl="0" w:tplc="04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9"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740" w15:restartNumberingAfterBreak="0">
    <w:nsid w:val="7CCF5ABA"/>
    <w:multiLevelType w:val="hybridMultilevel"/>
    <w:tmpl w:val="89528FFA"/>
    <w:lvl w:ilvl="0" w:tplc="16A62AA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1" w15:restartNumberingAfterBreak="0">
    <w:nsid w:val="7D081A82"/>
    <w:multiLevelType w:val="hybridMultilevel"/>
    <w:tmpl w:val="260AD7EC"/>
    <w:lvl w:ilvl="0" w:tplc="24CE598A">
      <w:start w:val="1"/>
      <w:numFmt w:val="bullet"/>
      <w:lvlText w:val=""/>
      <w:lvlJc w:val="left"/>
      <w:pPr>
        <w:ind w:left="720" w:hanging="360"/>
      </w:pPr>
      <w:rPr>
        <w:rFonts w:ascii="Symbol" w:hAnsi="Symbol" w:hint="default"/>
      </w:rPr>
    </w:lvl>
    <w:lvl w:ilvl="1" w:tplc="687A7700">
      <w:start w:val="1"/>
      <w:numFmt w:val="bullet"/>
      <w:lvlText w:val="o"/>
      <w:lvlJc w:val="left"/>
      <w:pPr>
        <w:ind w:left="1440" w:hanging="360"/>
      </w:pPr>
      <w:rPr>
        <w:rFonts w:ascii="Courier New" w:hAnsi="Courier New" w:hint="default"/>
      </w:rPr>
    </w:lvl>
    <w:lvl w:ilvl="2" w:tplc="9B6601BE">
      <w:start w:val="1"/>
      <w:numFmt w:val="bullet"/>
      <w:lvlText w:val=""/>
      <w:lvlJc w:val="left"/>
      <w:pPr>
        <w:ind w:left="2160" w:hanging="360"/>
      </w:pPr>
      <w:rPr>
        <w:rFonts w:ascii="Wingdings" w:hAnsi="Wingdings" w:hint="default"/>
      </w:rPr>
    </w:lvl>
    <w:lvl w:ilvl="3" w:tplc="48A2CBA8">
      <w:start w:val="1"/>
      <w:numFmt w:val="bullet"/>
      <w:lvlText w:val=""/>
      <w:lvlJc w:val="left"/>
      <w:pPr>
        <w:ind w:left="2880" w:hanging="360"/>
      </w:pPr>
      <w:rPr>
        <w:rFonts w:ascii="Symbol" w:hAnsi="Symbol" w:hint="default"/>
      </w:rPr>
    </w:lvl>
    <w:lvl w:ilvl="4" w:tplc="97C4CAE2">
      <w:start w:val="1"/>
      <w:numFmt w:val="bullet"/>
      <w:lvlText w:val="o"/>
      <w:lvlJc w:val="left"/>
      <w:pPr>
        <w:ind w:left="3600" w:hanging="360"/>
      </w:pPr>
      <w:rPr>
        <w:rFonts w:ascii="Courier New" w:hAnsi="Courier New" w:hint="default"/>
      </w:rPr>
    </w:lvl>
    <w:lvl w:ilvl="5" w:tplc="BF2A29EE">
      <w:start w:val="1"/>
      <w:numFmt w:val="bullet"/>
      <w:lvlText w:val=""/>
      <w:lvlJc w:val="left"/>
      <w:pPr>
        <w:ind w:left="4320" w:hanging="360"/>
      </w:pPr>
      <w:rPr>
        <w:rFonts w:ascii="Wingdings" w:hAnsi="Wingdings" w:hint="default"/>
      </w:rPr>
    </w:lvl>
    <w:lvl w:ilvl="6" w:tplc="D7043F78">
      <w:start w:val="1"/>
      <w:numFmt w:val="bullet"/>
      <w:lvlText w:val=""/>
      <w:lvlJc w:val="left"/>
      <w:pPr>
        <w:ind w:left="5040" w:hanging="360"/>
      </w:pPr>
      <w:rPr>
        <w:rFonts w:ascii="Symbol" w:hAnsi="Symbol" w:hint="default"/>
      </w:rPr>
    </w:lvl>
    <w:lvl w:ilvl="7" w:tplc="544C67B4">
      <w:start w:val="1"/>
      <w:numFmt w:val="bullet"/>
      <w:lvlText w:val="o"/>
      <w:lvlJc w:val="left"/>
      <w:pPr>
        <w:ind w:left="5760" w:hanging="360"/>
      </w:pPr>
      <w:rPr>
        <w:rFonts w:ascii="Courier New" w:hAnsi="Courier New" w:hint="default"/>
      </w:rPr>
    </w:lvl>
    <w:lvl w:ilvl="8" w:tplc="F070C0C2">
      <w:start w:val="1"/>
      <w:numFmt w:val="bullet"/>
      <w:lvlText w:val=""/>
      <w:lvlJc w:val="left"/>
      <w:pPr>
        <w:ind w:left="6480" w:hanging="360"/>
      </w:pPr>
      <w:rPr>
        <w:rFonts w:ascii="Wingdings" w:hAnsi="Wingdings" w:hint="default"/>
      </w:rPr>
    </w:lvl>
  </w:abstractNum>
  <w:abstractNum w:abstractNumId="742" w15:restartNumberingAfterBreak="0">
    <w:nsid w:val="7D9F107D"/>
    <w:multiLevelType w:val="hybridMultilevel"/>
    <w:tmpl w:val="5BDA4B4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3" w15:restartNumberingAfterBreak="0">
    <w:nsid w:val="7DBA1C74"/>
    <w:multiLevelType w:val="hybridMultilevel"/>
    <w:tmpl w:val="6A8CDE32"/>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744" w15:restartNumberingAfterBreak="0">
    <w:nsid w:val="7DF5CEA6"/>
    <w:multiLevelType w:val="hybridMultilevel"/>
    <w:tmpl w:val="FFFFFFFF"/>
    <w:lvl w:ilvl="0" w:tplc="EF80A4A0">
      <w:start w:val="1"/>
      <w:numFmt w:val="bullet"/>
      <w:lvlText w:val=""/>
      <w:lvlJc w:val="left"/>
      <w:pPr>
        <w:ind w:left="720" w:hanging="360"/>
      </w:pPr>
      <w:rPr>
        <w:rFonts w:ascii="Segoe UI" w:hAnsi="Segoe UI" w:hint="default"/>
      </w:rPr>
    </w:lvl>
    <w:lvl w:ilvl="1" w:tplc="3808D3AC">
      <w:start w:val="1"/>
      <w:numFmt w:val="bullet"/>
      <w:lvlText w:val="o"/>
      <w:lvlJc w:val="left"/>
      <w:pPr>
        <w:ind w:left="1440" w:hanging="360"/>
      </w:pPr>
      <w:rPr>
        <w:rFonts w:ascii="Courier New" w:hAnsi="Courier New" w:hint="default"/>
      </w:rPr>
    </w:lvl>
    <w:lvl w:ilvl="2" w:tplc="2AF0ABE8">
      <w:start w:val="1"/>
      <w:numFmt w:val="bullet"/>
      <w:lvlText w:val=""/>
      <w:lvlJc w:val="left"/>
      <w:pPr>
        <w:ind w:left="2160" w:hanging="360"/>
      </w:pPr>
      <w:rPr>
        <w:rFonts w:ascii="Cambria Math" w:hAnsi="Cambria Math" w:hint="default"/>
      </w:rPr>
    </w:lvl>
    <w:lvl w:ilvl="3" w:tplc="7018CE90">
      <w:start w:val="1"/>
      <w:numFmt w:val="bullet"/>
      <w:lvlText w:val=""/>
      <w:lvlJc w:val="left"/>
      <w:pPr>
        <w:ind w:left="2880" w:hanging="360"/>
      </w:pPr>
      <w:rPr>
        <w:rFonts w:ascii="Segoe UI" w:hAnsi="Segoe UI" w:hint="default"/>
      </w:rPr>
    </w:lvl>
    <w:lvl w:ilvl="4" w:tplc="1340FAF2">
      <w:start w:val="1"/>
      <w:numFmt w:val="bullet"/>
      <w:lvlText w:val="o"/>
      <w:lvlJc w:val="left"/>
      <w:pPr>
        <w:ind w:left="3600" w:hanging="360"/>
      </w:pPr>
      <w:rPr>
        <w:rFonts w:ascii="Courier New" w:hAnsi="Courier New" w:hint="default"/>
      </w:rPr>
    </w:lvl>
    <w:lvl w:ilvl="5" w:tplc="DB70E75E">
      <w:start w:val="1"/>
      <w:numFmt w:val="bullet"/>
      <w:lvlText w:val=""/>
      <w:lvlJc w:val="left"/>
      <w:pPr>
        <w:ind w:left="4320" w:hanging="360"/>
      </w:pPr>
      <w:rPr>
        <w:rFonts w:ascii="Cambria Math" w:hAnsi="Cambria Math" w:hint="default"/>
      </w:rPr>
    </w:lvl>
    <w:lvl w:ilvl="6" w:tplc="BF7EB72A">
      <w:start w:val="1"/>
      <w:numFmt w:val="bullet"/>
      <w:lvlText w:val=""/>
      <w:lvlJc w:val="left"/>
      <w:pPr>
        <w:ind w:left="5040" w:hanging="360"/>
      </w:pPr>
      <w:rPr>
        <w:rFonts w:ascii="Segoe UI" w:hAnsi="Segoe UI" w:hint="default"/>
      </w:rPr>
    </w:lvl>
    <w:lvl w:ilvl="7" w:tplc="78FCCF48">
      <w:start w:val="1"/>
      <w:numFmt w:val="bullet"/>
      <w:lvlText w:val="o"/>
      <w:lvlJc w:val="left"/>
      <w:pPr>
        <w:ind w:left="5760" w:hanging="360"/>
      </w:pPr>
      <w:rPr>
        <w:rFonts w:ascii="Courier New" w:hAnsi="Courier New" w:hint="default"/>
      </w:rPr>
    </w:lvl>
    <w:lvl w:ilvl="8" w:tplc="94FE6D1E">
      <w:start w:val="1"/>
      <w:numFmt w:val="bullet"/>
      <w:lvlText w:val=""/>
      <w:lvlJc w:val="left"/>
      <w:pPr>
        <w:ind w:left="6480" w:hanging="360"/>
      </w:pPr>
      <w:rPr>
        <w:rFonts w:ascii="Cambria Math" w:hAnsi="Cambria Math" w:hint="default"/>
      </w:rPr>
    </w:lvl>
  </w:abstractNum>
  <w:abstractNum w:abstractNumId="745" w15:restartNumberingAfterBreak="0">
    <w:nsid w:val="7E0025ED"/>
    <w:multiLevelType w:val="multilevel"/>
    <w:tmpl w:val="8160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6" w15:restartNumberingAfterBreak="0">
    <w:nsid w:val="7E281E05"/>
    <w:multiLevelType w:val="multilevel"/>
    <w:tmpl w:val="98F0D1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7E3A3C41"/>
    <w:multiLevelType w:val="hybridMultilevel"/>
    <w:tmpl w:val="FFFFFFFF"/>
    <w:lvl w:ilvl="0" w:tplc="04C8EDA8">
      <w:start w:val="1"/>
      <w:numFmt w:val="bullet"/>
      <w:lvlText w:val="-"/>
      <w:lvlJc w:val="left"/>
      <w:pPr>
        <w:ind w:left="720" w:hanging="360"/>
      </w:pPr>
      <w:rPr>
        <w:rFonts w:ascii="Calibri" w:hAnsi="Calibri" w:hint="default"/>
      </w:rPr>
    </w:lvl>
    <w:lvl w:ilvl="1" w:tplc="042E9370">
      <w:start w:val="1"/>
      <w:numFmt w:val="bullet"/>
      <w:lvlText w:val="o"/>
      <w:lvlJc w:val="left"/>
      <w:pPr>
        <w:ind w:left="1440" w:hanging="360"/>
      </w:pPr>
      <w:rPr>
        <w:rFonts w:ascii="Courier New" w:hAnsi="Courier New" w:hint="default"/>
      </w:rPr>
    </w:lvl>
    <w:lvl w:ilvl="2" w:tplc="A83CA1D6">
      <w:start w:val="1"/>
      <w:numFmt w:val="bullet"/>
      <w:lvlText w:val=""/>
      <w:lvlJc w:val="left"/>
      <w:pPr>
        <w:ind w:left="2160" w:hanging="360"/>
      </w:pPr>
      <w:rPr>
        <w:rFonts w:ascii="Wingdings" w:hAnsi="Wingdings" w:hint="default"/>
      </w:rPr>
    </w:lvl>
    <w:lvl w:ilvl="3" w:tplc="33A6D3BE">
      <w:start w:val="1"/>
      <w:numFmt w:val="bullet"/>
      <w:lvlText w:val=""/>
      <w:lvlJc w:val="left"/>
      <w:pPr>
        <w:ind w:left="2880" w:hanging="360"/>
      </w:pPr>
      <w:rPr>
        <w:rFonts w:ascii="Symbol" w:hAnsi="Symbol" w:hint="default"/>
      </w:rPr>
    </w:lvl>
    <w:lvl w:ilvl="4" w:tplc="AA6C9DCA">
      <w:start w:val="1"/>
      <w:numFmt w:val="bullet"/>
      <w:lvlText w:val="o"/>
      <w:lvlJc w:val="left"/>
      <w:pPr>
        <w:ind w:left="3600" w:hanging="360"/>
      </w:pPr>
      <w:rPr>
        <w:rFonts w:ascii="Courier New" w:hAnsi="Courier New" w:hint="default"/>
      </w:rPr>
    </w:lvl>
    <w:lvl w:ilvl="5" w:tplc="BAD8AAD2">
      <w:start w:val="1"/>
      <w:numFmt w:val="bullet"/>
      <w:lvlText w:val=""/>
      <w:lvlJc w:val="left"/>
      <w:pPr>
        <w:ind w:left="4320" w:hanging="360"/>
      </w:pPr>
      <w:rPr>
        <w:rFonts w:ascii="Wingdings" w:hAnsi="Wingdings" w:hint="default"/>
      </w:rPr>
    </w:lvl>
    <w:lvl w:ilvl="6" w:tplc="C98EFC24">
      <w:start w:val="1"/>
      <w:numFmt w:val="bullet"/>
      <w:lvlText w:val=""/>
      <w:lvlJc w:val="left"/>
      <w:pPr>
        <w:ind w:left="5040" w:hanging="360"/>
      </w:pPr>
      <w:rPr>
        <w:rFonts w:ascii="Symbol" w:hAnsi="Symbol" w:hint="default"/>
      </w:rPr>
    </w:lvl>
    <w:lvl w:ilvl="7" w:tplc="B4CC9DA8">
      <w:start w:val="1"/>
      <w:numFmt w:val="bullet"/>
      <w:lvlText w:val="o"/>
      <w:lvlJc w:val="left"/>
      <w:pPr>
        <w:ind w:left="5760" w:hanging="360"/>
      </w:pPr>
      <w:rPr>
        <w:rFonts w:ascii="Courier New" w:hAnsi="Courier New" w:hint="default"/>
      </w:rPr>
    </w:lvl>
    <w:lvl w:ilvl="8" w:tplc="DAE874B8">
      <w:start w:val="1"/>
      <w:numFmt w:val="bullet"/>
      <w:lvlText w:val=""/>
      <w:lvlJc w:val="left"/>
      <w:pPr>
        <w:ind w:left="6480" w:hanging="360"/>
      </w:pPr>
      <w:rPr>
        <w:rFonts w:ascii="Wingdings" w:hAnsi="Wingdings" w:hint="default"/>
      </w:rPr>
    </w:lvl>
  </w:abstractNum>
  <w:abstractNum w:abstractNumId="748" w15:restartNumberingAfterBreak="0">
    <w:nsid w:val="7E7F1D8C"/>
    <w:multiLevelType w:val="hybridMultilevel"/>
    <w:tmpl w:val="615A4B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9" w15:restartNumberingAfterBreak="0">
    <w:nsid w:val="7E9A2E6F"/>
    <w:multiLevelType w:val="hybridMultilevel"/>
    <w:tmpl w:val="8AD48A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0" w15:restartNumberingAfterBreak="0">
    <w:nsid w:val="7ECA4CEB"/>
    <w:multiLevelType w:val="hybridMultilevel"/>
    <w:tmpl w:val="E706756C"/>
    <w:lvl w:ilvl="0" w:tplc="224AE4EC">
      <w:start w:val="1"/>
      <w:numFmt w:val="bullet"/>
      <w:lvlText w:val="•"/>
      <w:lvlJc w:val="left"/>
      <w:pPr>
        <w:ind w:left="1069" w:hanging="360"/>
      </w:pPr>
      <w:rPr>
        <w:rFonts w:ascii="Symbol" w:eastAsiaTheme="minorHAnsi" w:hAnsi="Symbol" w:cs="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Cambria Math" w:hAnsi="Cambria Math" w:hint="default"/>
      </w:rPr>
    </w:lvl>
    <w:lvl w:ilvl="3" w:tplc="08090001" w:tentative="1">
      <w:start w:val="1"/>
      <w:numFmt w:val="bullet"/>
      <w:lvlText w:val=""/>
      <w:lvlJc w:val="left"/>
      <w:pPr>
        <w:ind w:left="3229" w:hanging="360"/>
      </w:pPr>
      <w:rPr>
        <w:rFonts w:ascii="Segoe UI" w:hAnsi="Segoe UI"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Cambria Math" w:hAnsi="Cambria Math" w:hint="default"/>
      </w:rPr>
    </w:lvl>
    <w:lvl w:ilvl="6" w:tplc="08090001" w:tentative="1">
      <w:start w:val="1"/>
      <w:numFmt w:val="bullet"/>
      <w:lvlText w:val=""/>
      <w:lvlJc w:val="left"/>
      <w:pPr>
        <w:ind w:left="5389" w:hanging="360"/>
      </w:pPr>
      <w:rPr>
        <w:rFonts w:ascii="Segoe UI" w:hAnsi="Segoe UI"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Cambria Math" w:hAnsi="Cambria Math" w:hint="default"/>
      </w:rPr>
    </w:lvl>
  </w:abstractNum>
  <w:abstractNum w:abstractNumId="751" w15:restartNumberingAfterBreak="0">
    <w:nsid w:val="7ED8092D"/>
    <w:multiLevelType w:val="hybridMultilevel"/>
    <w:tmpl w:val="FFFFFFFF"/>
    <w:lvl w:ilvl="0" w:tplc="DCE0F888">
      <w:start w:val="1"/>
      <w:numFmt w:val="bullet"/>
      <w:lvlText w:val="o"/>
      <w:lvlJc w:val="left"/>
      <w:pPr>
        <w:ind w:left="720" w:hanging="360"/>
      </w:pPr>
      <w:rPr>
        <w:rFonts w:ascii="&quot;Courier New&quot;" w:hAnsi="&quot;Courier New&quot;" w:hint="default"/>
      </w:rPr>
    </w:lvl>
    <w:lvl w:ilvl="1" w:tplc="214CC534">
      <w:start w:val="1"/>
      <w:numFmt w:val="bullet"/>
      <w:lvlText w:val="o"/>
      <w:lvlJc w:val="left"/>
      <w:pPr>
        <w:ind w:left="1440" w:hanging="360"/>
      </w:pPr>
      <w:rPr>
        <w:rFonts w:ascii="Courier New" w:hAnsi="Courier New" w:hint="default"/>
      </w:rPr>
    </w:lvl>
    <w:lvl w:ilvl="2" w:tplc="DA84A982">
      <w:start w:val="1"/>
      <w:numFmt w:val="bullet"/>
      <w:lvlText w:val=""/>
      <w:lvlJc w:val="left"/>
      <w:pPr>
        <w:ind w:left="2160" w:hanging="360"/>
      </w:pPr>
      <w:rPr>
        <w:rFonts w:ascii="Wingdings" w:hAnsi="Wingdings" w:hint="default"/>
      </w:rPr>
    </w:lvl>
    <w:lvl w:ilvl="3" w:tplc="6A0843C4">
      <w:start w:val="1"/>
      <w:numFmt w:val="bullet"/>
      <w:lvlText w:val=""/>
      <w:lvlJc w:val="left"/>
      <w:pPr>
        <w:ind w:left="2880" w:hanging="360"/>
      </w:pPr>
      <w:rPr>
        <w:rFonts w:ascii="Symbol" w:hAnsi="Symbol" w:hint="default"/>
      </w:rPr>
    </w:lvl>
    <w:lvl w:ilvl="4" w:tplc="16AE6DCE">
      <w:start w:val="1"/>
      <w:numFmt w:val="bullet"/>
      <w:lvlText w:val="o"/>
      <w:lvlJc w:val="left"/>
      <w:pPr>
        <w:ind w:left="3600" w:hanging="360"/>
      </w:pPr>
      <w:rPr>
        <w:rFonts w:ascii="Courier New" w:hAnsi="Courier New" w:hint="default"/>
      </w:rPr>
    </w:lvl>
    <w:lvl w:ilvl="5" w:tplc="F6AE23C8">
      <w:start w:val="1"/>
      <w:numFmt w:val="bullet"/>
      <w:lvlText w:val=""/>
      <w:lvlJc w:val="left"/>
      <w:pPr>
        <w:ind w:left="4320" w:hanging="360"/>
      </w:pPr>
      <w:rPr>
        <w:rFonts w:ascii="Wingdings" w:hAnsi="Wingdings" w:hint="default"/>
      </w:rPr>
    </w:lvl>
    <w:lvl w:ilvl="6" w:tplc="24B2449A">
      <w:start w:val="1"/>
      <w:numFmt w:val="bullet"/>
      <w:lvlText w:val=""/>
      <w:lvlJc w:val="left"/>
      <w:pPr>
        <w:ind w:left="5040" w:hanging="360"/>
      </w:pPr>
      <w:rPr>
        <w:rFonts w:ascii="Symbol" w:hAnsi="Symbol" w:hint="default"/>
      </w:rPr>
    </w:lvl>
    <w:lvl w:ilvl="7" w:tplc="3718E5AE">
      <w:start w:val="1"/>
      <w:numFmt w:val="bullet"/>
      <w:lvlText w:val="o"/>
      <w:lvlJc w:val="left"/>
      <w:pPr>
        <w:ind w:left="5760" w:hanging="360"/>
      </w:pPr>
      <w:rPr>
        <w:rFonts w:ascii="Courier New" w:hAnsi="Courier New" w:hint="default"/>
      </w:rPr>
    </w:lvl>
    <w:lvl w:ilvl="8" w:tplc="C86E99D4">
      <w:start w:val="1"/>
      <w:numFmt w:val="bullet"/>
      <w:lvlText w:val=""/>
      <w:lvlJc w:val="left"/>
      <w:pPr>
        <w:ind w:left="6480" w:hanging="360"/>
      </w:pPr>
      <w:rPr>
        <w:rFonts w:ascii="Wingdings" w:hAnsi="Wingdings" w:hint="default"/>
      </w:rPr>
    </w:lvl>
  </w:abstractNum>
  <w:abstractNum w:abstractNumId="752" w15:restartNumberingAfterBreak="0">
    <w:nsid w:val="7F6A51A4"/>
    <w:multiLevelType w:val="hybridMultilevel"/>
    <w:tmpl w:val="5CD4A7A4"/>
    <w:lvl w:ilvl="0" w:tplc="561CD8F8">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080" w:hanging="360"/>
      </w:pPr>
      <w:rPr>
        <w:rFonts w:ascii="Cambria Math" w:hAnsi="Cambria Math" w:cs="Cambria Math"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Courier New" w:hAnsi="Courier New" w:hint="default"/>
      </w:rPr>
    </w:lvl>
    <w:lvl w:ilvl="4" w:tplc="0C0A0003" w:tentative="1">
      <w:start w:val="1"/>
      <w:numFmt w:val="bullet"/>
      <w:lvlText w:val="o"/>
      <w:lvlJc w:val="left"/>
      <w:pPr>
        <w:ind w:left="3240" w:hanging="360"/>
      </w:pPr>
      <w:rPr>
        <w:rFonts w:ascii="Cambria Math" w:hAnsi="Cambria Math" w:cs="Cambria Math"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Courier New" w:hAnsi="Courier New" w:hint="default"/>
      </w:rPr>
    </w:lvl>
    <w:lvl w:ilvl="7" w:tplc="0C0A0003" w:tentative="1">
      <w:start w:val="1"/>
      <w:numFmt w:val="bullet"/>
      <w:lvlText w:val="o"/>
      <w:lvlJc w:val="left"/>
      <w:pPr>
        <w:ind w:left="5400" w:hanging="360"/>
      </w:pPr>
      <w:rPr>
        <w:rFonts w:ascii="Cambria Math" w:hAnsi="Cambria Math" w:cs="Cambria Math" w:hint="default"/>
      </w:rPr>
    </w:lvl>
    <w:lvl w:ilvl="8" w:tplc="0C0A0005" w:tentative="1">
      <w:start w:val="1"/>
      <w:numFmt w:val="bullet"/>
      <w:lvlText w:val=""/>
      <w:lvlJc w:val="left"/>
      <w:pPr>
        <w:ind w:left="6120" w:hanging="360"/>
      </w:pPr>
      <w:rPr>
        <w:rFonts w:ascii="Wingdings" w:hAnsi="Wingdings" w:hint="default"/>
      </w:rPr>
    </w:lvl>
  </w:abstractNum>
  <w:abstractNum w:abstractNumId="753" w15:restartNumberingAfterBreak="0">
    <w:nsid w:val="7FFD6A3A"/>
    <w:multiLevelType w:val="hybridMultilevel"/>
    <w:tmpl w:val="E9FC17D6"/>
    <w:lvl w:ilvl="0" w:tplc="FFFFFFFF">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76"/>
  </w:num>
  <w:num w:numId="2">
    <w:abstractNumId w:val="133"/>
  </w:num>
  <w:num w:numId="3">
    <w:abstractNumId w:val="531"/>
  </w:num>
  <w:num w:numId="4">
    <w:abstractNumId w:val="599"/>
  </w:num>
  <w:num w:numId="5">
    <w:abstractNumId w:val="712"/>
  </w:num>
  <w:num w:numId="6">
    <w:abstractNumId w:val="370"/>
  </w:num>
  <w:num w:numId="7">
    <w:abstractNumId w:val="593"/>
  </w:num>
  <w:num w:numId="8">
    <w:abstractNumId w:val="422"/>
  </w:num>
  <w:num w:numId="9">
    <w:abstractNumId w:val="585"/>
  </w:num>
  <w:num w:numId="10">
    <w:abstractNumId w:val="58"/>
  </w:num>
  <w:num w:numId="11">
    <w:abstractNumId w:val="648"/>
  </w:num>
  <w:num w:numId="12">
    <w:abstractNumId w:val="201"/>
  </w:num>
  <w:num w:numId="13">
    <w:abstractNumId w:val="170"/>
  </w:num>
  <w:num w:numId="14">
    <w:abstractNumId w:val="617"/>
  </w:num>
  <w:num w:numId="15">
    <w:abstractNumId w:val="412"/>
  </w:num>
  <w:num w:numId="16">
    <w:abstractNumId w:val="167"/>
  </w:num>
  <w:num w:numId="17">
    <w:abstractNumId w:val="751"/>
  </w:num>
  <w:num w:numId="18">
    <w:abstractNumId w:val="522"/>
  </w:num>
  <w:num w:numId="19">
    <w:abstractNumId w:val="700"/>
  </w:num>
  <w:num w:numId="20">
    <w:abstractNumId w:val="204"/>
  </w:num>
  <w:num w:numId="21">
    <w:abstractNumId w:val="221"/>
  </w:num>
  <w:num w:numId="22">
    <w:abstractNumId w:val="349"/>
  </w:num>
  <w:num w:numId="23">
    <w:abstractNumId w:val="505"/>
  </w:num>
  <w:num w:numId="24">
    <w:abstractNumId w:val="200"/>
  </w:num>
  <w:num w:numId="25">
    <w:abstractNumId w:val="659"/>
  </w:num>
  <w:num w:numId="26">
    <w:abstractNumId w:val="142"/>
  </w:num>
  <w:num w:numId="27">
    <w:abstractNumId w:val="6"/>
  </w:num>
  <w:num w:numId="28">
    <w:abstractNumId w:val="37"/>
  </w:num>
  <w:num w:numId="29">
    <w:abstractNumId w:val="340"/>
  </w:num>
  <w:num w:numId="30">
    <w:abstractNumId w:val="299"/>
  </w:num>
  <w:num w:numId="31">
    <w:abstractNumId w:val="79"/>
  </w:num>
  <w:num w:numId="32">
    <w:abstractNumId w:val="452"/>
  </w:num>
  <w:num w:numId="33">
    <w:abstractNumId w:val="265"/>
  </w:num>
  <w:num w:numId="34">
    <w:abstractNumId w:val="115"/>
  </w:num>
  <w:num w:numId="35">
    <w:abstractNumId w:val="182"/>
  </w:num>
  <w:num w:numId="36">
    <w:abstractNumId w:val="82"/>
  </w:num>
  <w:num w:numId="37">
    <w:abstractNumId w:val="692"/>
  </w:num>
  <w:num w:numId="38">
    <w:abstractNumId w:val="537"/>
  </w:num>
  <w:num w:numId="39">
    <w:abstractNumId w:val="44"/>
  </w:num>
  <w:num w:numId="40">
    <w:abstractNumId w:val="304"/>
  </w:num>
  <w:num w:numId="41">
    <w:abstractNumId w:val="228"/>
  </w:num>
  <w:num w:numId="42">
    <w:abstractNumId w:val="596"/>
  </w:num>
  <w:num w:numId="43">
    <w:abstractNumId w:val="378"/>
  </w:num>
  <w:num w:numId="44">
    <w:abstractNumId w:val="289"/>
  </w:num>
  <w:num w:numId="45">
    <w:abstractNumId w:val="556"/>
  </w:num>
  <w:num w:numId="46">
    <w:abstractNumId w:val="391"/>
  </w:num>
  <w:num w:numId="47">
    <w:abstractNumId w:val="618"/>
  </w:num>
  <w:num w:numId="48">
    <w:abstractNumId w:val="271"/>
  </w:num>
  <w:num w:numId="49">
    <w:abstractNumId w:val="394"/>
  </w:num>
  <w:num w:numId="50">
    <w:abstractNumId w:val="219"/>
  </w:num>
  <w:num w:numId="51">
    <w:abstractNumId w:val="600"/>
  </w:num>
  <w:num w:numId="52">
    <w:abstractNumId w:val="169"/>
  </w:num>
  <w:num w:numId="53">
    <w:abstractNumId w:val="414"/>
  </w:num>
  <w:num w:numId="54">
    <w:abstractNumId w:val="549"/>
  </w:num>
  <w:num w:numId="55">
    <w:abstractNumId w:val="551"/>
  </w:num>
  <w:num w:numId="56">
    <w:abstractNumId w:val="270"/>
  </w:num>
  <w:num w:numId="57">
    <w:abstractNumId w:val="513"/>
  </w:num>
  <w:num w:numId="58">
    <w:abstractNumId w:val="739"/>
  </w:num>
  <w:num w:numId="59">
    <w:abstractNumId w:val="4"/>
  </w:num>
  <w:num w:numId="60">
    <w:abstractNumId w:val="2"/>
  </w:num>
  <w:num w:numId="61">
    <w:abstractNumId w:val="1"/>
  </w:num>
  <w:num w:numId="62">
    <w:abstractNumId w:val="0"/>
  </w:num>
  <w:num w:numId="63">
    <w:abstractNumId w:val="612"/>
  </w:num>
  <w:num w:numId="64">
    <w:abstractNumId w:val="489"/>
  </w:num>
  <w:num w:numId="65">
    <w:abstractNumId w:val="490"/>
  </w:num>
  <w:num w:numId="66">
    <w:abstractNumId w:val="500"/>
  </w:num>
  <w:num w:numId="67">
    <w:abstractNumId w:val="16"/>
  </w:num>
  <w:num w:numId="68">
    <w:abstractNumId w:val="208"/>
  </w:num>
  <w:num w:numId="69">
    <w:abstractNumId w:val="179"/>
  </w:num>
  <w:num w:numId="70">
    <w:abstractNumId w:val="400"/>
  </w:num>
  <w:num w:numId="71">
    <w:abstractNumId w:val="74"/>
  </w:num>
  <w:num w:numId="72">
    <w:abstractNumId w:val="327"/>
  </w:num>
  <w:num w:numId="73">
    <w:abstractNumId w:val="343"/>
  </w:num>
  <w:num w:numId="74">
    <w:abstractNumId w:val="22"/>
  </w:num>
  <w:num w:numId="75">
    <w:abstractNumId w:val="255"/>
  </w:num>
  <w:num w:numId="76">
    <w:abstractNumId w:val="41"/>
  </w:num>
  <w:num w:numId="77">
    <w:abstractNumId w:val="611"/>
  </w:num>
  <w:num w:numId="78">
    <w:abstractNumId w:val="562"/>
  </w:num>
  <w:num w:numId="79">
    <w:abstractNumId w:val="491"/>
  </w:num>
  <w:num w:numId="80">
    <w:abstractNumId w:val="49"/>
  </w:num>
  <w:num w:numId="81">
    <w:abstractNumId w:val="540"/>
  </w:num>
  <w:num w:numId="82">
    <w:abstractNumId w:val="65"/>
  </w:num>
  <w:num w:numId="83">
    <w:abstractNumId w:val="36"/>
  </w:num>
  <w:num w:numId="84">
    <w:abstractNumId w:val="14"/>
  </w:num>
  <w:num w:numId="85">
    <w:abstractNumId w:val="410"/>
  </w:num>
  <w:num w:numId="86">
    <w:abstractNumId w:val="497"/>
  </w:num>
  <w:num w:numId="87">
    <w:abstractNumId w:val="477"/>
  </w:num>
  <w:num w:numId="88">
    <w:abstractNumId w:val="407"/>
  </w:num>
  <w:num w:numId="89">
    <w:abstractNumId w:val="229"/>
  </w:num>
  <w:num w:numId="90">
    <w:abstractNumId w:val="626"/>
  </w:num>
  <w:num w:numId="91">
    <w:abstractNumId w:val="571"/>
  </w:num>
  <w:num w:numId="92">
    <w:abstractNumId w:val="187"/>
  </w:num>
  <w:num w:numId="93">
    <w:abstractNumId w:val="249"/>
  </w:num>
  <w:num w:numId="94">
    <w:abstractNumId w:val="104"/>
  </w:num>
  <w:num w:numId="95">
    <w:abstractNumId w:val="38"/>
  </w:num>
  <w:num w:numId="96">
    <w:abstractNumId w:val="355"/>
  </w:num>
  <w:num w:numId="97">
    <w:abstractNumId w:val="604"/>
  </w:num>
  <w:num w:numId="98">
    <w:abstractNumId w:val="512"/>
  </w:num>
  <w:num w:numId="99">
    <w:abstractNumId w:val="519"/>
  </w:num>
  <w:num w:numId="100">
    <w:abstractNumId w:val="621"/>
  </w:num>
  <w:num w:numId="101">
    <w:abstractNumId w:val="514"/>
  </w:num>
  <w:num w:numId="102">
    <w:abstractNumId w:val="698"/>
  </w:num>
  <w:num w:numId="103">
    <w:abstractNumId w:val="60"/>
  </w:num>
  <w:num w:numId="104">
    <w:abstractNumId w:val="263"/>
  </w:num>
  <w:num w:numId="105">
    <w:abstractNumId w:val="314"/>
  </w:num>
  <w:num w:numId="106">
    <w:abstractNumId w:val="199"/>
  </w:num>
  <w:num w:numId="107">
    <w:abstractNumId w:val="418"/>
  </w:num>
  <w:num w:numId="108">
    <w:abstractNumId w:val="707"/>
  </w:num>
  <w:num w:numId="109">
    <w:abstractNumId w:val="642"/>
  </w:num>
  <w:num w:numId="110">
    <w:abstractNumId w:val="319"/>
  </w:num>
  <w:num w:numId="111">
    <w:abstractNumId w:val="127"/>
  </w:num>
  <w:num w:numId="112">
    <w:abstractNumId w:val="415"/>
  </w:num>
  <w:num w:numId="113">
    <w:abstractNumId w:val="305"/>
  </w:num>
  <w:num w:numId="114">
    <w:abstractNumId w:val="368"/>
  </w:num>
  <w:num w:numId="115">
    <w:abstractNumId w:val="486"/>
  </w:num>
  <w:num w:numId="116">
    <w:abstractNumId w:val="363"/>
  </w:num>
  <w:num w:numId="117">
    <w:abstractNumId w:val="256"/>
  </w:num>
  <w:num w:numId="118">
    <w:abstractNumId w:val="379"/>
  </w:num>
  <w:num w:numId="119">
    <w:abstractNumId w:val="640"/>
  </w:num>
  <w:num w:numId="120">
    <w:abstractNumId w:val="750"/>
  </w:num>
  <w:num w:numId="121">
    <w:abstractNumId w:val="40"/>
  </w:num>
  <w:num w:numId="122">
    <w:abstractNumId w:val="709"/>
  </w:num>
  <w:num w:numId="123">
    <w:abstractNumId w:val="100"/>
  </w:num>
  <w:num w:numId="124">
    <w:abstractNumId w:val="139"/>
  </w:num>
  <w:num w:numId="125">
    <w:abstractNumId w:val="303"/>
  </w:num>
  <w:num w:numId="126">
    <w:abstractNumId w:val="87"/>
  </w:num>
  <w:num w:numId="127">
    <w:abstractNumId w:val="424"/>
  </w:num>
  <w:num w:numId="128">
    <w:abstractNumId w:val="435"/>
  </w:num>
  <w:num w:numId="129">
    <w:abstractNumId w:val="749"/>
  </w:num>
  <w:num w:numId="130">
    <w:abstractNumId w:val="684"/>
  </w:num>
  <w:num w:numId="131">
    <w:abstractNumId w:val="557"/>
  </w:num>
  <w:num w:numId="132">
    <w:abstractNumId w:val="250"/>
  </w:num>
  <w:num w:numId="133">
    <w:abstractNumId w:val="318"/>
  </w:num>
  <w:num w:numId="134">
    <w:abstractNumId w:val="545"/>
  </w:num>
  <w:num w:numId="135">
    <w:abstractNumId w:val="86"/>
  </w:num>
  <w:num w:numId="136">
    <w:abstractNumId w:val="479"/>
  </w:num>
  <w:num w:numId="137">
    <w:abstractNumId w:val="413"/>
  </w:num>
  <w:num w:numId="138">
    <w:abstractNumId w:val="673"/>
  </w:num>
  <w:num w:numId="139">
    <w:abstractNumId w:val="275"/>
  </w:num>
  <w:num w:numId="140">
    <w:abstractNumId w:val="685"/>
  </w:num>
  <w:num w:numId="141">
    <w:abstractNumId w:val="258"/>
  </w:num>
  <w:num w:numId="142">
    <w:abstractNumId w:val="78"/>
  </w:num>
  <w:num w:numId="143">
    <w:abstractNumId w:val="426"/>
  </w:num>
  <w:num w:numId="144">
    <w:abstractNumId w:val="619"/>
  </w:num>
  <w:num w:numId="145">
    <w:abstractNumId w:val="288"/>
  </w:num>
  <w:num w:numId="146">
    <w:abstractNumId w:val="336"/>
  </w:num>
  <w:num w:numId="147">
    <w:abstractNumId w:val="629"/>
  </w:num>
  <w:num w:numId="148">
    <w:abstractNumId w:val="689"/>
  </w:num>
  <w:num w:numId="149">
    <w:abstractNumId w:val="246"/>
  </w:num>
  <w:num w:numId="150">
    <w:abstractNumId w:val="601"/>
  </w:num>
  <w:num w:numId="151">
    <w:abstractNumId w:val="406"/>
  </w:num>
  <w:num w:numId="152">
    <w:abstractNumId w:val="654"/>
  </w:num>
  <w:num w:numId="153">
    <w:abstractNumId w:val="541"/>
  </w:num>
  <w:num w:numId="154">
    <w:abstractNumId w:val="321"/>
  </w:num>
  <w:num w:numId="155">
    <w:abstractNumId w:val="723"/>
  </w:num>
  <w:num w:numId="156">
    <w:abstractNumId w:val="276"/>
  </w:num>
  <w:num w:numId="157">
    <w:abstractNumId w:val="680"/>
  </w:num>
  <w:num w:numId="158">
    <w:abstractNumId w:val="95"/>
  </w:num>
  <w:num w:numId="159">
    <w:abstractNumId w:val="310"/>
  </w:num>
  <w:num w:numId="160">
    <w:abstractNumId w:val="694"/>
  </w:num>
  <w:num w:numId="161">
    <w:abstractNumId w:val="118"/>
  </w:num>
  <w:num w:numId="162">
    <w:abstractNumId w:val="525"/>
  </w:num>
  <w:num w:numId="163">
    <w:abstractNumId w:val="402"/>
  </w:num>
  <w:num w:numId="164">
    <w:abstractNumId w:val="352"/>
  </w:num>
  <w:num w:numId="165">
    <w:abstractNumId w:val="637"/>
  </w:num>
  <w:num w:numId="166">
    <w:abstractNumId w:val="408"/>
  </w:num>
  <w:num w:numId="167">
    <w:abstractNumId w:val="461"/>
  </w:num>
  <w:num w:numId="168">
    <w:abstractNumId w:val="487"/>
  </w:num>
  <w:num w:numId="169">
    <w:abstractNumId w:val="652"/>
  </w:num>
  <w:num w:numId="170">
    <w:abstractNumId w:val="474"/>
  </w:num>
  <w:num w:numId="1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04"/>
    <w:lvlOverride w:ilvl="0">
      <w:startOverride w:val="1"/>
    </w:lvlOverride>
    <w:lvlOverride w:ilvl="1"/>
    <w:lvlOverride w:ilvl="2"/>
    <w:lvlOverride w:ilvl="3"/>
    <w:lvlOverride w:ilvl="4"/>
    <w:lvlOverride w:ilvl="5"/>
    <w:lvlOverride w:ilvl="6"/>
    <w:lvlOverride w:ilvl="7"/>
    <w:lvlOverride w:ilvl="8"/>
  </w:num>
  <w:num w:numId="176">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4"/>
    <w:lvlOverride w:ilvl="0">
      <w:startOverride w:val="1"/>
    </w:lvlOverride>
    <w:lvlOverride w:ilvl="1"/>
    <w:lvlOverride w:ilvl="2"/>
    <w:lvlOverride w:ilvl="3"/>
    <w:lvlOverride w:ilvl="4"/>
    <w:lvlOverride w:ilvl="5"/>
    <w:lvlOverride w:ilvl="6"/>
    <w:lvlOverride w:ilvl="7"/>
    <w:lvlOverride w:ilvl="8"/>
  </w:num>
  <w:num w:numId="17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6"/>
  </w:num>
  <w:num w:numId="182">
    <w:abstractNumId w:val="589"/>
  </w:num>
  <w:num w:numId="183">
    <w:abstractNumId w:val="602"/>
  </w:num>
  <w:num w:numId="184">
    <w:abstractNumId w:val="481"/>
  </w:num>
  <w:num w:numId="185">
    <w:abstractNumId w:val="134"/>
  </w:num>
  <w:num w:numId="186">
    <w:abstractNumId w:val="547"/>
  </w:num>
  <w:num w:numId="187">
    <w:abstractNumId w:val="750"/>
  </w:num>
  <w:num w:numId="188">
    <w:abstractNumId w:val="40"/>
  </w:num>
  <w:num w:numId="189">
    <w:abstractNumId w:val="709"/>
  </w:num>
  <w:num w:numId="190">
    <w:abstractNumId w:val="88"/>
  </w:num>
  <w:num w:numId="191">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
  </w:num>
  <w:num w:numId="19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74"/>
  </w:num>
  <w:num w:numId="196">
    <w:abstractNumId w:val="582"/>
  </w:num>
  <w:num w:numId="197">
    <w:abstractNumId w:val="5"/>
  </w:num>
  <w:num w:numId="198">
    <w:abstractNumId w:val="206"/>
  </w:num>
  <w:num w:numId="199">
    <w:abstractNumId w:val="252"/>
  </w:num>
  <w:num w:numId="200">
    <w:abstractNumId w:val="244"/>
  </w:num>
  <w:num w:numId="20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0"/>
  </w:num>
  <w:num w:numId="21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1"/>
  </w:num>
  <w:num w:numId="220">
    <w:abstractNumId w:val="535"/>
  </w:num>
  <w:num w:numId="221">
    <w:abstractNumId w:val="53"/>
  </w:num>
  <w:num w:numId="222">
    <w:abstractNumId w:val="194"/>
  </w:num>
  <w:num w:numId="223">
    <w:abstractNumId w:val="21"/>
  </w:num>
  <w:num w:numId="224">
    <w:abstractNumId w:val="534"/>
  </w:num>
  <w:num w:numId="225">
    <w:abstractNumId w:val="225"/>
  </w:num>
  <w:num w:numId="226">
    <w:abstractNumId w:val="440"/>
  </w:num>
  <w:num w:numId="227">
    <w:abstractNumId w:val="708"/>
  </w:num>
  <w:num w:numId="228">
    <w:abstractNumId w:val="733"/>
  </w:num>
  <w:num w:numId="229">
    <w:abstractNumId w:val="162"/>
  </w:num>
  <w:num w:numId="230">
    <w:abstractNumId w:val="533"/>
  </w:num>
  <w:num w:numId="231">
    <w:abstractNumId w:val="716"/>
  </w:num>
  <w:num w:numId="232">
    <w:abstractNumId w:val="132"/>
  </w:num>
  <w:num w:numId="233">
    <w:abstractNumId w:val="528"/>
  </w:num>
  <w:num w:numId="234">
    <w:abstractNumId w:val="23"/>
  </w:num>
  <w:num w:numId="235">
    <w:abstractNumId w:val="364"/>
  </w:num>
  <w:num w:numId="236">
    <w:abstractNumId w:val="438"/>
  </w:num>
  <w:num w:numId="237">
    <w:abstractNumId w:val="679"/>
  </w:num>
  <w:num w:numId="238">
    <w:abstractNumId w:val="181"/>
  </w:num>
  <w:num w:numId="239">
    <w:abstractNumId w:val="657"/>
  </w:num>
  <w:num w:numId="240">
    <w:abstractNumId w:val="492"/>
  </w:num>
  <w:num w:numId="241">
    <w:abstractNumId w:val="173"/>
  </w:num>
  <w:num w:numId="242">
    <w:abstractNumId w:val="243"/>
  </w:num>
  <w:num w:numId="243">
    <w:abstractNumId w:val="90"/>
  </w:num>
  <w:num w:numId="244">
    <w:abstractNumId w:val="282"/>
  </w:num>
  <w:num w:numId="245">
    <w:abstractNumId w:val="630"/>
  </w:num>
  <w:num w:numId="246">
    <w:abstractNumId w:val="583"/>
  </w:num>
  <w:num w:numId="247">
    <w:abstractNumId w:val="434"/>
  </w:num>
  <w:num w:numId="248">
    <w:abstractNumId w:val="527"/>
  </w:num>
  <w:num w:numId="249">
    <w:abstractNumId w:val="254"/>
  </w:num>
  <w:num w:numId="250">
    <w:abstractNumId w:val="448"/>
  </w:num>
  <w:num w:numId="251">
    <w:abstractNumId w:val="737"/>
  </w:num>
  <w:num w:numId="252">
    <w:abstractNumId w:val="110"/>
  </w:num>
  <w:num w:numId="253">
    <w:abstractNumId w:val="495"/>
  </w:num>
  <w:num w:numId="254">
    <w:abstractNumId w:val="191"/>
  </w:num>
  <w:num w:numId="255">
    <w:abstractNumId w:val="555"/>
  </w:num>
  <w:num w:numId="256">
    <w:abstractNumId w:val="483"/>
  </w:num>
  <w:num w:numId="257">
    <w:abstractNumId w:val="126"/>
  </w:num>
  <w:num w:numId="258">
    <w:abstractNumId w:val="377"/>
  </w:num>
  <w:num w:numId="259">
    <w:abstractNumId w:val="120"/>
  </w:num>
  <w:num w:numId="260">
    <w:abstractNumId w:val="136"/>
  </w:num>
  <w:num w:numId="261">
    <w:abstractNumId w:val="744"/>
  </w:num>
  <w:num w:numId="262">
    <w:abstractNumId w:val="668"/>
  </w:num>
  <w:num w:numId="263">
    <w:abstractNumId w:val="46"/>
  </w:num>
  <w:num w:numId="264">
    <w:abstractNumId w:val="574"/>
  </w:num>
  <w:num w:numId="265">
    <w:abstractNumId w:val="12"/>
  </w:num>
  <w:num w:numId="266">
    <w:abstractNumId w:val="171"/>
  </w:num>
  <w:num w:numId="267">
    <w:abstractNumId w:val="417"/>
  </w:num>
  <w:num w:numId="268">
    <w:abstractNumId w:val="280"/>
  </w:num>
  <w:num w:numId="269">
    <w:abstractNumId w:val="334"/>
  </w:num>
  <w:num w:numId="270">
    <w:abstractNumId w:val="386"/>
  </w:num>
  <w:num w:numId="271">
    <w:abstractNumId w:val="625"/>
  </w:num>
  <w:num w:numId="272">
    <w:abstractNumId w:val="633"/>
  </w:num>
  <w:num w:numId="273">
    <w:abstractNumId w:val="724"/>
  </w:num>
  <w:num w:numId="274">
    <w:abstractNumId w:val="98"/>
  </w:num>
  <w:num w:numId="275">
    <w:abstractNumId w:val="329"/>
  </w:num>
  <w:num w:numId="276">
    <w:abstractNumId w:val="455"/>
  </w:num>
  <w:num w:numId="277">
    <w:abstractNumId w:val="423"/>
  </w:num>
  <w:num w:numId="278">
    <w:abstractNumId w:val="52"/>
  </w:num>
  <w:num w:numId="279">
    <w:abstractNumId w:val="331"/>
  </w:num>
  <w:num w:numId="280">
    <w:abstractNumId w:val="107"/>
  </w:num>
  <w:num w:numId="281">
    <w:abstractNumId w:val="140"/>
  </w:num>
  <w:num w:numId="282">
    <w:abstractNumId w:val="241"/>
  </w:num>
  <w:num w:numId="283">
    <w:abstractNumId w:val="431"/>
  </w:num>
  <w:num w:numId="284">
    <w:abstractNumId w:val="67"/>
  </w:num>
  <w:num w:numId="285">
    <w:abstractNumId w:val="59"/>
  </w:num>
  <w:num w:numId="286">
    <w:abstractNumId w:val="337"/>
  </w:num>
  <w:num w:numId="287">
    <w:abstractNumId w:val="449"/>
  </w:num>
  <w:num w:numId="288">
    <w:abstractNumId w:val="553"/>
  </w:num>
  <w:num w:numId="289">
    <w:abstractNumId w:val="55"/>
  </w:num>
  <w:num w:numId="290">
    <w:abstractNumId w:val="560"/>
  </w:num>
  <w:num w:numId="291">
    <w:abstractNumId w:val="647"/>
  </w:num>
  <w:num w:numId="292">
    <w:abstractNumId w:val="307"/>
  </w:num>
  <w:num w:numId="293">
    <w:abstractNumId w:val="203"/>
  </w:num>
  <w:num w:numId="294">
    <w:abstractNumId w:val="365"/>
  </w:num>
  <w:num w:numId="295">
    <w:abstractNumId w:val="752"/>
  </w:num>
  <w:num w:numId="296">
    <w:abstractNumId w:val="476"/>
  </w:num>
  <w:num w:numId="297">
    <w:abstractNumId w:val="236"/>
  </w:num>
  <w:num w:numId="298">
    <w:abstractNumId w:val="466"/>
  </w:num>
  <w:num w:numId="299">
    <w:abstractNumId w:val="235"/>
  </w:num>
  <w:num w:numId="300">
    <w:abstractNumId w:val="92"/>
  </w:num>
  <w:num w:numId="301">
    <w:abstractNumId w:val="397"/>
  </w:num>
  <w:num w:numId="302">
    <w:abstractNumId w:val="354"/>
  </w:num>
  <w:num w:numId="303">
    <w:abstractNumId w:val="457"/>
  </w:num>
  <w:num w:numId="304">
    <w:abstractNumId w:val="361"/>
  </w:num>
  <w:num w:numId="305">
    <w:abstractNumId w:val="681"/>
  </w:num>
  <w:num w:numId="306">
    <w:abstractNumId w:val="257"/>
  </w:num>
  <w:num w:numId="307">
    <w:abstractNumId w:val="597"/>
  </w:num>
  <w:num w:numId="308">
    <w:abstractNumId w:val="266"/>
  </w:num>
  <w:num w:numId="309">
    <w:abstractNumId w:val="80"/>
  </w:num>
  <w:num w:numId="310">
    <w:abstractNumId w:val="166"/>
  </w:num>
  <w:num w:numId="311">
    <w:abstractNumId w:val="324"/>
  </w:num>
  <w:num w:numId="312">
    <w:abstractNumId w:val="501"/>
  </w:num>
  <w:num w:numId="313">
    <w:abstractNumId w:val="185"/>
  </w:num>
  <w:num w:numId="314">
    <w:abstractNumId w:val="311"/>
  </w:num>
  <w:num w:numId="315">
    <w:abstractNumId w:val="704"/>
  </w:num>
  <w:num w:numId="316">
    <w:abstractNumId w:val="189"/>
  </w:num>
  <w:num w:numId="317">
    <w:abstractNumId w:val="465"/>
  </w:num>
  <w:num w:numId="318">
    <w:abstractNumId w:val="218"/>
  </w:num>
  <w:num w:numId="319">
    <w:abstractNumId w:val="362"/>
  </w:num>
  <w:num w:numId="320">
    <w:abstractNumId w:val="97"/>
  </w:num>
  <w:num w:numId="321">
    <w:abstractNumId w:val="542"/>
  </w:num>
  <w:num w:numId="322">
    <w:abstractNumId w:val="706"/>
  </w:num>
  <w:num w:numId="323">
    <w:abstractNumId w:val="351"/>
  </w:num>
  <w:num w:numId="324">
    <w:abstractNumId w:val="94"/>
  </w:num>
  <w:num w:numId="325">
    <w:abstractNumId w:val="730"/>
  </w:num>
  <w:num w:numId="326">
    <w:abstractNumId w:val="183"/>
  </w:num>
  <w:num w:numId="327">
    <w:abstractNumId w:val="297"/>
  </w:num>
  <w:num w:numId="328">
    <w:abstractNumId w:val="146"/>
  </w:num>
  <w:num w:numId="329">
    <w:abstractNumId w:val="186"/>
  </w:num>
  <w:num w:numId="330">
    <w:abstractNumId w:val="273"/>
  </w:num>
  <w:num w:numId="331">
    <w:abstractNumId w:val="520"/>
  </w:num>
  <w:num w:numId="332">
    <w:abstractNumId w:val="376"/>
  </w:num>
  <w:num w:numId="333">
    <w:abstractNumId w:val="29"/>
  </w:num>
  <w:num w:numId="334">
    <w:abstractNumId w:val="366"/>
  </w:num>
  <w:num w:numId="335">
    <w:abstractNumId w:val="111"/>
  </w:num>
  <w:num w:numId="336">
    <w:abstractNumId w:val="210"/>
  </w:num>
  <w:num w:numId="337">
    <w:abstractNumId w:val="747"/>
  </w:num>
  <w:num w:numId="338">
    <w:abstractNumId w:val="112"/>
  </w:num>
  <w:num w:numId="339">
    <w:abstractNumId w:val="609"/>
  </w:num>
  <w:num w:numId="340">
    <w:abstractNumId w:val="61"/>
  </w:num>
  <w:num w:numId="341">
    <w:abstractNumId w:val="653"/>
  </w:num>
  <w:num w:numId="342">
    <w:abstractNumId w:val="446"/>
  </w:num>
  <w:num w:numId="343">
    <w:abstractNumId w:val="439"/>
  </w:num>
  <w:num w:numId="344">
    <w:abstractNumId w:val="496"/>
  </w:num>
  <w:num w:numId="345">
    <w:abstractNumId w:val="116"/>
  </w:num>
  <w:num w:numId="346">
    <w:abstractNumId w:val="348"/>
  </w:num>
  <w:num w:numId="347">
    <w:abstractNumId w:val="177"/>
  </w:num>
  <w:num w:numId="348">
    <w:abstractNumId w:val="437"/>
  </w:num>
  <w:num w:numId="349">
    <w:abstractNumId w:val="359"/>
  </w:num>
  <w:num w:numId="350">
    <w:abstractNumId w:val="475"/>
  </w:num>
  <w:num w:numId="351">
    <w:abstractNumId w:val="734"/>
  </w:num>
  <w:num w:numId="352">
    <w:abstractNumId w:val="71"/>
  </w:num>
  <w:num w:numId="353">
    <w:abstractNumId w:val="632"/>
  </w:num>
  <w:num w:numId="354">
    <w:abstractNumId w:val="341"/>
  </w:num>
  <w:num w:numId="355">
    <w:abstractNumId w:val="106"/>
  </w:num>
  <w:num w:numId="356">
    <w:abstractNumId w:val="464"/>
  </w:num>
  <w:num w:numId="357">
    <w:abstractNumId w:val="197"/>
  </w:num>
  <w:num w:numId="358">
    <w:abstractNumId w:val="124"/>
  </w:num>
  <w:num w:numId="359">
    <w:abstractNumId w:val="569"/>
  </w:num>
  <w:num w:numId="360">
    <w:abstractNumId w:val="121"/>
  </w:num>
  <w:num w:numId="361">
    <w:abstractNumId w:val="605"/>
  </w:num>
  <w:num w:numId="362">
    <w:abstractNumId w:val="174"/>
  </w:num>
  <w:num w:numId="363">
    <w:abstractNumId w:val="420"/>
  </w:num>
  <w:num w:numId="364">
    <w:abstractNumId w:val="592"/>
  </w:num>
  <w:num w:numId="365">
    <w:abstractNumId w:val="688"/>
  </w:num>
  <w:num w:numId="366">
    <w:abstractNumId w:val="17"/>
  </w:num>
  <w:num w:numId="367">
    <w:abstractNumId w:val="718"/>
  </w:num>
  <w:num w:numId="368">
    <w:abstractNumId w:val="559"/>
  </w:num>
  <w:num w:numId="369">
    <w:abstractNumId w:val="478"/>
  </w:num>
  <w:num w:numId="370">
    <w:abstractNumId w:val="205"/>
  </w:num>
  <w:num w:numId="371">
    <w:abstractNumId w:val="369"/>
  </w:num>
  <w:num w:numId="372">
    <w:abstractNumId w:val="374"/>
  </w:num>
  <w:num w:numId="373">
    <w:abstractNumId w:val="214"/>
  </w:num>
  <w:num w:numId="374">
    <w:abstractNumId w:val="675"/>
  </w:num>
  <w:num w:numId="375">
    <w:abstractNumId w:val="69"/>
  </w:num>
  <w:num w:numId="376">
    <w:abstractNumId w:val="720"/>
  </w:num>
  <w:num w:numId="377">
    <w:abstractNumId w:val="222"/>
  </w:num>
  <w:num w:numId="378">
    <w:abstractNumId w:val="735"/>
  </w:num>
  <w:num w:numId="379">
    <w:abstractNumId w:val="172"/>
  </w:num>
  <w:num w:numId="380">
    <w:abstractNumId w:val="603"/>
  </w:num>
  <w:num w:numId="381">
    <w:abstractNumId w:val="224"/>
  </w:num>
  <w:num w:numId="382">
    <w:abstractNumId w:val="454"/>
  </w:num>
  <w:num w:numId="383">
    <w:abstractNumId w:val="213"/>
  </w:num>
  <w:num w:numId="384">
    <w:abstractNumId w:val="388"/>
  </w:num>
  <w:num w:numId="385">
    <w:abstractNumId w:val="530"/>
  </w:num>
  <w:num w:numId="386">
    <w:abstractNumId w:val="646"/>
  </w:num>
  <w:num w:numId="387">
    <w:abstractNumId w:val="19"/>
  </w:num>
  <w:num w:numId="388">
    <w:abstractNumId w:val="342"/>
  </w:num>
  <w:num w:numId="389">
    <w:abstractNumId w:val="498"/>
  </w:num>
  <w:num w:numId="390">
    <w:abstractNumId w:val="101"/>
  </w:num>
  <w:num w:numId="391">
    <w:abstractNumId w:val="728"/>
  </w:num>
  <w:num w:numId="392">
    <w:abstractNumId w:val="607"/>
  </w:num>
  <w:num w:numId="393">
    <w:abstractNumId w:val="137"/>
  </w:num>
  <w:num w:numId="394">
    <w:abstractNumId w:val="109"/>
  </w:num>
  <w:num w:numId="395">
    <w:abstractNumId w:val="627"/>
  </w:num>
  <w:num w:numId="396">
    <w:abstractNumId w:val="409"/>
  </w:num>
  <w:num w:numId="397">
    <w:abstractNumId w:val="624"/>
  </w:num>
  <w:num w:numId="398">
    <w:abstractNumId w:val="436"/>
  </w:num>
  <w:num w:numId="399">
    <w:abstractNumId w:val="125"/>
  </w:num>
  <w:num w:numId="400">
    <w:abstractNumId w:val="523"/>
  </w:num>
  <w:num w:numId="401">
    <w:abstractNumId w:val="682"/>
  </w:num>
  <w:num w:numId="402">
    <w:abstractNumId w:val="511"/>
  </w:num>
  <w:num w:numId="403">
    <w:abstractNumId w:val="729"/>
  </w:num>
  <w:num w:numId="404">
    <w:abstractNumId w:val="443"/>
  </w:num>
  <w:num w:numId="405">
    <w:abstractNumId w:val="620"/>
  </w:num>
  <w:num w:numId="406">
    <w:abstractNumId w:val="587"/>
  </w:num>
  <w:num w:numId="407">
    <w:abstractNumId w:val="51"/>
  </w:num>
  <w:num w:numId="408">
    <w:abstractNumId w:val="231"/>
  </w:num>
  <w:num w:numId="409">
    <w:abstractNumId w:val="544"/>
  </w:num>
  <w:num w:numId="410">
    <w:abstractNumId w:val="151"/>
  </w:num>
  <w:num w:numId="411">
    <w:abstractNumId w:val="164"/>
  </w:num>
  <w:num w:numId="412">
    <w:abstractNumId w:val="746"/>
  </w:num>
  <w:num w:numId="413">
    <w:abstractNumId w:val="277"/>
  </w:num>
  <w:num w:numId="414">
    <w:abstractNumId w:val="614"/>
  </w:num>
  <w:num w:numId="415">
    <w:abstractNumId w:val="382"/>
  </w:num>
  <w:num w:numId="416">
    <w:abstractNumId w:val="357"/>
  </w:num>
  <w:num w:numId="417">
    <w:abstractNumId w:val="178"/>
  </w:num>
  <w:num w:numId="418">
    <w:abstractNumId w:val="75"/>
  </w:num>
  <w:num w:numId="419">
    <w:abstractNumId w:val="272"/>
  </w:num>
  <w:num w:numId="420">
    <w:abstractNumId w:val="578"/>
  </w:num>
  <w:num w:numId="421">
    <w:abstractNumId w:val="130"/>
  </w:num>
  <w:num w:numId="422">
    <w:abstractNumId w:val="494"/>
  </w:num>
  <w:num w:numId="423">
    <w:abstractNumId w:val="25"/>
  </w:num>
  <w:num w:numId="424">
    <w:abstractNumId w:val="230"/>
  </w:num>
  <w:num w:numId="425">
    <w:abstractNumId w:val="119"/>
  </w:num>
  <w:num w:numId="426">
    <w:abstractNumId w:val="10"/>
  </w:num>
  <w:num w:numId="427">
    <w:abstractNumId w:val="643"/>
  </w:num>
  <w:num w:numId="428">
    <w:abstractNumId w:val="381"/>
  </w:num>
  <w:num w:numId="429">
    <w:abstractNumId w:val="269"/>
  </w:num>
  <w:num w:numId="430">
    <w:abstractNumId w:val="701"/>
  </w:num>
  <w:num w:numId="431">
    <w:abstractNumId w:val="411"/>
  </w:num>
  <w:num w:numId="432">
    <w:abstractNumId w:val="240"/>
  </w:num>
  <w:num w:numId="433">
    <w:abstractNumId w:val="158"/>
  </w:num>
  <w:num w:numId="434">
    <w:abstractNumId w:val="81"/>
  </w:num>
  <w:num w:numId="435">
    <w:abstractNumId w:val="441"/>
  </w:num>
  <w:num w:numId="436">
    <w:abstractNumId w:val="262"/>
  </w:num>
  <w:num w:numId="437">
    <w:abstractNumId w:val="145"/>
  </w:num>
  <w:num w:numId="438">
    <w:abstractNumId w:val="655"/>
  </w:num>
  <w:num w:numId="439">
    <w:abstractNumId w:val="32"/>
  </w:num>
  <w:num w:numId="440">
    <w:abstractNumId w:val="287"/>
  </w:num>
  <w:num w:numId="441">
    <w:abstractNumId w:val="669"/>
  </w:num>
  <w:num w:numId="442">
    <w:abstractNumId w:val="526"/>
  </w:num>
  <w:num w:numId="443">
    <w:abstractNumId w:val="217"/>
  </w:num>
  <w:num w:numId="444">
    <w:abstractNumId w:val="502"/>
  </w:num>
  <w:num w:numId="445">
    <w:abstractNumId w:val="670"/>
  </w:num>
  <w:num w:numId="446">
    <w:abstractNumId w:val="9"/>
  </w:num>
  <w:num w:numId="447">
    <w:abstractNumId w:val="471"/>
  </w:num>
  <w:num w:numId="448">
    <w:abstractNumId w:val="442"/>
  </w:num>
  <w:num w:numId="449">
    <w:abstractNumId w:val="212"/>
  </w:num>
  <w:num w:numId="450">
    <w:abstractNumId w:val="567"/>
  </w:num>
  <w:num w:numId="451">
    <w:abstractNumId w:val="251"/>
  </w:num>
  <w:num w:numId="452">
    <w:abstractNumId w:val="301"/>
  </w:num>
  <w:num w:numId="453">
    <w:abstractNumId w:val="425"/>
  </w:num>
  <w:num w:numId="454">
    <w:abstractNumId w:val="591"/>
  </w:num>
  <w:num w:numId="455">
    <w:abstractNumId w:val="399"/>
  </w:num>
  <w:num w:numId="456">
    <w:abstractNumId w:val="473"/>
  </w:num>
  <w:num w:numId="457">
    <w:abstractNumId w:val="39"/>
  </w:num>
  <w:num w:numId="458">
    <w:abstractNumId w:val="339"/>
  </w:num>
  <w:num w:numId="459">
    <w:abstractNumId w:val="320"/>
  </w:num>
  <w:num w:numId="460">
    <w:abstractNumId w:val="645"/>
  </w:num>
  <w:num w:numId="461">
    <w:abstractNumId w:val="34"/>
  </w:num>
  <w:num w:numId="462">
    <w:abstractNumId w:val="521"/>
  </w:num>
  <w:num w:numId="463">
    <w:abstractNumId w:val="380"/>
  </w:num>
  <w:num w:numId="464">
    <w:abstractNumId w:val="123"/>
  </w:num>
  <w:num w:numId="465">
    <w:abstractNumId w:val="396"/>
  </w:num>
  <w:num w:numId="466">
    <w:abstractNumId w:val="279"/>
  </w:num>
  <w:num w:numId="467">
    <w:abstractNumId w:val="485"/>
  </w:num>
  <w:num w:numId="468">
    <w:abstractNumId w:val="427"/>
  </w:num>
  <w:num w:numId="469">
    <w:abstractNumId w:val="323"/>
  </w:num>
  <w:num w:numId="470">
    <w:abstractNumId w:val="309"/>
  </w:num>
  <w:num w:numId="471">
    <w:abstractNumId w:val="660"/>
  </w:num>
  <w:num w:numId="472">
    <w:abstractNumId w:val="561"/>
  </w:num>
  <w:num w:numId="473">
    <w:abstractNumId w:val="453"/>
  </w:num>
  <w:num w:numId="474">
    <w:abstractNumId w:val="661"/>
  </w:num>
  <w:num w:numId="475">
    <w:abstractNumId w:val="24"/>
  </w:num>
  <w:num w:numId="476">
    <w:abstractNumId w:val="472"/>
  </w:num>
  <w:num w:numId="477">
    <w:abstractNumId w:val="503"/>
  </w:num>
  <w:num w:numId="478">
    <w:abstractNumId w:val="543"/>
  </w:num>
  <w:num w:numId="479">
    <w:abstractNumId w:val="176"/>
  </w:num>
  <w:num w:numId="480">
    <w:abstractNumId w:val="532"/>
  </w:num>
  <w:num w:numId="481">
    <w:abstractNumId w:val="295"/>
  </w:num>
  <w:num w:numId="482">
    <w:abstractNumId w:val="302"/>
  </w:num>
  <w:num w:numId="483">
    <w:abstractNumId w:val="328"/>
  </w:num>
  <w:num w:numId="484">
    <w:abstractNumId w:val="741"/>
  </w:num>
  <w:num w:numId="485">
    <w:abstractNumId w:val="239"/>
  </w:num>
  <w:num w:numId="486">
    <w:abstractNumId w:val="28"/>
  </w:num>
  <w:num w:numId="487">
    <w:abstractNumId w:val="259"/>
  </w:num>
  <w:num w:numId="488">
    <w:abstractNumId w:val="160"/>
  </w:num>
  <w:num w:numId="489">
    <w:abstractNumId w:val="325"/>
  </w:num>
  <w:num w:numId="490">
    <w:abstractNumId w:val="306"/>
  </w:num>
  <w:num w:numId="491">
    <w:abstractNumId w:val="248"/>
  </w:num>
  <w:num w:numId="492">
    <w:abstractNumId w:val="163"/>
  </w:num>
  <w:num w:numId="493">
    <w:abstractNumId w:val="432"/>
  </w:num>
  <w:num w:numId="494">
    <w:abstractNumId w:val="748"/>
  </w:num>
  <w:num w:numId="495">
    <w:abstractNumId w:val="595"/>
  </w:num>
  <w:num w:numId="496">
    <w:abstractNumId w:val="317"/>
  </w:num>
  <w:num w:numId="497">
    <w:abstractNumId w:val="192"/>
  </w:num>
  <w:num w:numId="498">
    <w:abstractNumId w:val="260"/>
  </w:num>
  <w:num w:numId="499">
    <w:abstractNumId w:val="742"/>
  </w:num>
  <w:num w:numId="500">
    <w:abstractNumId w:val="450"/>
  </w:num>
  <w:num w:numId="501">
    <w:abstractNumId w:val="117"/>
  </w:num>
  <w:num w:numId="502">
    <w:abstractNumId w:val="283"/>
  </w:num>
  <w:num w:numId="503">
    <w:abstractNumId w:val="264"/>
  </w:num>
  <w:num w:numId="504">
    <w:abstractNumId w:val="403"/>
  </w:num>
  <w:num w:numId="505">
    <w:abstractNumId w:val="242"/>
  </w:num>
  <w:num w:numId="506">
    <w:abstractNumId w:val="389"/>
  </w:num>
  <w:num w:numId="507">
    <w:abstractNumId w:val="373"/>
  </w:num>
  <w:num w:numId="508">
    <w:abstractNumId w:val="54"/>
  </w:num>
  <w:num w:numId="509">
    <w:abstractNumId w:val="291"/>
  </w:num>
  <w:num w:numId="510">
    <w:abstractNumId w:val="313"/>
  </w:num>
  <w:num w:numId="511">
    <w:abstractNumId w:val="247"/>
  </w:num>
  <w:num w:numId="512">
    <w:abstractNumId w:val="722"/>
  </w:num>
  <w:num w:numId="513">
    <w:abstractNumId w:val="8"/>
  </w:num>
  <w:num w:numId="514">
    <w:abstractNumId w:val="91"/>
  </w:num>
  <w:num w:numId="515">
    <w:abstractNumId w:val="667"/>
  </w:num>
  <w:num w:numId="516">
    <w:abstractNumId w:val="445"/>
  </w:num>
  <w:num w:numId="517">
    <w:abstractNumId w:val="114"/>
  </w:num>
  <w:num w:numId="518">
    <w:abstractNumId w:val="294"/>
  </w:num>
  <w:num w:numId="519">
    <w:abstractNumId w:val="72"/>
  </w:num>
  <w:num w:numId="520">
    <w:abstractNumId w:val="615"/>
  </w:num>
  <w:num w:numId="521">
    <w:abstractNumId w:val="234"/>
  </w:num>
  <w:num w:numId="522">
    <w:abstractNumId w:val="300"/>
  </w:num>
  <w:num w:numId="523">
    <w:abstractNumId w:val="138"/>
  </w:num>
  <w:num w:numId="524">
    <w:abstractNumId w:val="515"/>
  </w:num>
  <w:num w:numId="525">
    <w:abstractNumId w:val="463"/>
  </w:num>
  <w:num w:numId="526">
    <w:abstractNumId w:val="687"/>
  </w:num>
  <w:num w:numId="527">
    <w:abstractNumId w:val="590"/>
  </w:num>
  <w:num w:numId="528">
    <w:abstractNumId w:val="105"/>
  </w:num>
  <w:num w:numId="529">
    <w:abstractNumId w:val="148"/>
  </w:num>
  <w:num w:numId="530">
    <w:abstractNumId w:val="608"/>
  </w:num>
  <w:num w:numId="531">
    <w:abstractNumId w:val="238"/>
  </w:num>
  <w:num w:numId="532">
    <w:abstractNumId w:val="717"/>
  </w:num>
  <w:num w:numId="533">
    <w:abstractNumId w:val="202"/>
  </w:num>
  <w:num w:numId="534">
    <w:abstractNumId w:val="18"/>
  </w:num>
  <w:num w:numId="535">
    <w:abstractNumId w:val="696"/>
  </w:num>
  <w:num w:numId="536">
    <w:abstractNumId w:val="57"/>
  </w:num>
  <w:num w:numId="537">
    <w:abstractNumId w:val="459"/>
  </w:num>
  <w:num w:numId="538">
    <w:abstractNumId w:val="518"/>
  </w:num>
  <w:num w:numId="539">
    <w:abstractNumId w:val="395"/>
  </w:num>
  <w:num w:numId="540">
    <w:abstractNumId w:val="622"/>
  </w:num>
  <w:num w:numId="541">
    <w:abstractNumId w:val="188"/>
  </w:num>
  <w:num w:numId="542">
    <w:abstractNumId w:val="509"/>
  </w:num>
  <w:num w:numId="543">
    <w:abstractNumId w:val="552"/>
  </w:num>
  <w:num w:numId="544">
    <w:abstractNumId w:val="152"/>
  </w:num>
  <w:num w:numId="545">
    <w:abstractNumId w:val="419"/>
  </w:num>
  <w:num w:numId="546">
    <w:abstractNumId w:val="753"/>
  </w:num>
  <w:num w:numId="547">
    <w:abstractNumId w:val="66"/>
  </w:num>
  <w:num w:numId="548">
    <w:abstractNumId w:val="50"/>
  </w:num>
  <w:num w:numId="549">
    <w:abstractNumId w:val="367"/>
  </w:num>
  <w:num w:numId="550">
    <w:abstractNumId w:val="293"/>
  </w:num>
  <w:num w:numId="551">
    <w:abstractNumId w:val="507"/>
  </w:num>
  <w:num w:numId="552">
    <w:abstractNumId w:val="89"/>
  </w:num>
  <w:num w:numId="553">
    <w:abstractNumId w:val="430"/>
  </w:num>
  <w:num w:numId="554">
    <w:abstractNumId w:val="63"/>
  </w:num>
  <w:num w:numId="555">
    <w:abstractNumId w:val="693"/>
  </w:num>
  <w:num w:numId="556">
    <w:abstractNumId w:val="581"/>
  </w:num>
  <w:num w:numId="557">
    <w:abstractNumId w:val="113"/>
  </w:num>
  <w:num w:numId="558">
    <w:abstractNumId w:val="577"/>
  </w:num>
  <w:num w:numId="559">
    <w:abstractNumId w:val="488"/>
  </w:num>
  <w:num w:numId="560">
    <w:abstractNumId w:val="517"/>
  </w:num>
  <w:num w:numId="561">
    <w:abstractNumId w:val="401"/>
  </w:num>
  <w:num w:numId="562">
    <w:abstractNumId w:val="129"/>
  </w:num>
  <w:num w:numId="563">
    <w:abstractNumId w:val="731"/>
  </w:num>
  <w:num w:numId="564">
    <w:abstractNumId w:val="226"/>
  </w:num>
  <w:num w:numId="565">
    <w:abstractNumId w:val="606"/>
  </w:num>
  <w:num w:numId="566">
    <w:abstractNumId w:val="458"/>
  </w:num>
  <w:num w:numId="567">
    <w:abstractNumId w:val="335"/>
  </w:num>
  <w:num w:numId="568">
    <w:abstractNumId w:val="154"/>
  </w:num>
  <w:num w:numId="569">
    <w:abstractNumId w:val="691"/>
  </w:num>
  <w:num w:numId="570">
    <w:abstractNumId w:val="70"/>
  </w:num>
  <w:num w:numId="571">
    <w:abstractNumId w:val="580"/>
  </w:num>
  <w:num w:numId="572">
    <w:abstractNumId w:val="745"/>
  </w:num>
  <w:num w:numId="573">
    <w:abstractNumId w:val="42"/>
  </w:num>
  <w:num w:numId="574">
    <w:abstractNumId w:val="312"/>
  </w:num>
  <w:num w:numId="575">
    <w:abstractNumId w:val="690"/>
  </w:num>
  <w:num w:numId="576">
    <w:abstractNumId w:val="35"/>
  </w:num>
  <w:num w:numId="577">
    <w:abstractNumId w:val="198"/>
  </w:num>
  <w:num w:numId="578">
    <w:abstractNumId w:val="671"/>
  </w:num>
  <w:num w:numId="579">
    <w:abstractNumId w:val="584"/>
  </w:num>
  <w:num w:numId="580">
    <w:abstractNumId w:val="470"/>
  </w:num>
  <w:num w:numId="581">
    <w:abstractNumId w:val="93"/>
  </w:num>
  <w:num w:numId="582">
    <w:abstractNumId w:val="209"/>
  </w:num>
  <w:num w:numId="583">
    <w:abstractNumId w:val="346"/>
  </w:num>
  <w:num w:numId="584">
    <w:abstractNumId w:val="193"/>
  </w:num>
  <w:num w:numId="585">
    <w:abstractNumId w:val="84"/>
  </w:num>
  <w:num w:numId="586">
    <w:abstractNumId w:val="623"/>
  </w:num>
  <w:num w:numId="587">
    <w:abstractNumId w:val="286"/>
  </w:num>
  <w:num w:numId="588">
    <w:abstractNumId w:val="333"/>
  </w:num>
  <w:num w:numId="589">
    <w:abstractNumId w:val="516"/>
  </w:num>
  <w:num w:numId="590">
    <w:abstractNumId w:val="245"/>
  </w:num>
  <w:num w:numId="591">
    <w:abstractNumId w:val="429"/>
  </w:num>
  <w:num w:numId="592">
    <w:abstractNumId w:val="195"/>
  </w:num>
  <w:num w:numId="593">
    <w:abstractNumId w:val="398"/>
  </w:num>
  <w:num w:numId="594">
    <w:abstractNumId w:val="695"/>
  </w:num>
  <w:num w:numId="595">
    <w:abstractNumId w:val="546"/>
  </w:num>
  <w:num w:numId="596">
    <w:abstractNumId w:val="77"/>
  </w:num>
  <w:num w:numId="597">
    <w:abstractNumId w:val="143"/>
  </w:num>
  <w:num w:numId="598">
    <w:abstractNumId w:val="564"/>
  </w:num>
  <w:num w:numId="599">
    <w:abstractNumId w:val="579"/>
  </w:num>
  <w:num w:numId="600">
    <w:abstractNumId w:val="538"/>
  </w:num>
  <w:num w:numId="601">
    <w:abstractNumId w:val="330"/>
  </w:num>
  <w:num w:numId="602">
    <w:abstractNumId w:val="663"/>
  </w:num>
  <w:num w:numId="603">
    <w:abstractNumId w:val="308"/>
  </w:num>
  <w:num w:numId="604">
    <w:abstractNumId w:val="565"/>
  </w:num>
  <w:num w:numId="605">
    <w:abstractNumId w:val="161"/>
  </w:num>
  <w:num w:numId="606">
    <w:abstractNumId w:val="499"/>
  </w:num>
  <w:num w:numId="607">
    <w:abstractNumId w:val="493"/>
  </w:num>
  <w:num w:numId="608">
    <w:abstractNumId w:val="678"/>
  </w:num>
  <w:num w:numId="609">
    <w:abstractNumId w:val="76"/>
  </w:num>
  <w:num w:numId="610">
    <w:abstractNumId w:val="122"/>
  </w:num>
  <w:num w:numId="611">
    <w:abstractNumId w:val="699"/>
  </w:num>
  <w:num w:numId="612">
    <w:abstractNumId w:val="639"/>
  </w:num>
  <w:num w:numId="613">
    <w:abstractNumId w:val="144"/>
  </w:num>
  <w:num w:numId="614">
    <w:abstractNumId w:val="353"/>
  </w:num>
  <w:num w:numId="615">
    <w:abstractNumId w:val="196"/>
  </w:num>
  <w:num w:numId="616">
    <w:abstractNumId w:val="360"/>
  </w:num>
  <w:num w:numId="617">
    <w:abstractNumId w:val="102"/>
  </w:num>
  <w:num w:numId="618">
    <w:abstractNumId w:val="672"/>
  </w:num>
  <w:num w:numId="619">
    <w:abstractNumId w:val="27"/>
  </w:num>
  <w:num w:numId="620">
    <w:abstractNumId w:val="141"/>
  </w:num>
  <w:num w:numId="621">
    <w:abstractNumId w:val="644"/>
  </w:num>
  <w:num w:numId="622">
    <w:abstractNumId w:val="558"/>
  </w:num>
  <w:num w:numId="623">
    <w:abstractNumId w:val="375"/>
  </w:num>
  <w:num w:numId="624">
    <w:abstractNumId w:val="131"/>
  </w:num>
  <w:num w:numId="625">
    <w:abstractNumId w:val="462"/>
  </w:num>
  <w:num w:numId="626">
    <w:abstractNumId w:val="267"/>
  </w:num>
  <w:num w:numId="627">
    <w:abstractNumId w:val="215"/>
  </w:num>
  <w:num w:numId="628">
    <w:abstractNumId w:val="738"/>
  </w:num>
  <w:num w:numId="629">
    <w:abstractNumId w:val="447"/>
  </w:num>
  <w:num w:numId="630">
    <w:abstractNumId w:val="404"/>
  </w:num>
  <w:num w:numId="631">
    <w:abstractNumId w:val="656"/>
  </w:num>
  <w:num w:numId="632">
    <w:abstractNumId w:val="285"/>
  </w:num>
  <w:num w:numId="633">
    <w:abstractNumId w:val="635"/>
  </w:num>
  <w:num w:numId="634">
    <w:abstractNumId w:val="233"/>
  </w:num>
  <w:num w:numId="635">
    <w:abstractNumId w:val="332"/>
  </w:num>
  <w:num w:numId="636">
    <w:abstractNumId w:val="149"/>
  </w:num>
  <w:num w:numId="637">
    <w:abstractNumId w:val="664"/>
  </w:num>
  <w:num w:numId="638">
    <w:abstractNumId w:val="506"/>
  </w:num>
  <w:num w:numId="639">
    <w:abstractNumId w:val="510"/>
  </w:num>
  <w:num w:numId="640">
    <w:abstractNumId w:val="575"/>
  </w:num>
  <w:num w:numId="641">
    <w:abstractNumId w:val="237"/>
  </w:num>
  <w:num w:numId="642">
    <w:abstractNumId w:val="64"/>
  </w:num>
  <w:num w:numId="643">
    <w:abstractNumId w:val="650"/>
  </w:num>
  <w:num w:numId="644">
    <w:abstractNumId w:val="726"/>
  </w:num>
  <w:num w:numId="645">
    <w:abstractNumId w:val="147"/>
  </w:num>
  <w:num w:numId="646">
    <w:abstractNumId w:val="721"/>
  </w:num>
  <w:num w:numId="647">
    <w:abstractNumId w:val="674"/>
  </w:num>
  <w:num w:numId="648">
    <w:abstractNumId w:val="705"/>
  </w:num>
  <w:num w:numId="649">
    <w:abstractNumId w:val="484"/>
  </w:num>
  <w:num w:numId="650">
    <w:abstractNumId w:val="469"/>
  </w:num>
  <w:num w:numId="651">
    <w:abstractNumId w:val="216"/>
  </w:num>
  <w:num w:numId="652">
    <w:abstractNumId w:val="550"/>
  </w:num>
  <w:num w:numId="653">
    <w:abstractNumId w:val="714"/>
  </w:num>
  <w:num w:numId="654">
    <w:abstractNumId w:val="719"/>
  </w:num>
  <w:num w:numId="655">
    <w:abstractNumId w:val="529"/>
  </w:num>
  <w:num w:numId="656">
    <w:abstractNumId w:val="26"/>
  </w:num>
  <w:num w:numId="657">
    <w:abstractNumId w:val="385"/>
  </w:num>
  <w:num w:numId="658">
    <w:abstractNumId w:val="713"/>
  </w:num>
  <w:num w:numId="659">
    <w:abstractNumId w:val="155"/>
  </w:num>
  <w:num w:numId="660">
    <w:abstractNumId w:val="740"/>
  </w:num>
  <w:num w:numId="661">
    <w:abstractNumId w:val="253"/>
  </w:num>
  <w:num w:numId="662">
    <w:abstractNumId w:val="405"/>
  </w:num>
  <w:num w:numId="663">
    <w:abstractNumId w:val="135"/>
  </w:num>
  <w:num w:numId="664">
    <w:abstractNumId w:val="508"/>
  </w:num>
  <w:num w:numId="665">
    <w:abstractNumId w:val="156"/>
  </w:num>
  <w:num w:numId="666">
    <w:abstractNumId w:val="223"/>
  </w:num>
  <w:num w:numId="667">
    <w:abstractNumId w:val="536"/>
  </w:num>
  <w:num w:numId="668">
    <w:abstractNumId w:val="322"/>
  </w:num>
  <w:num w:numId="669">
    <w:abstractNumId w:val="180"/>
  </w:num>
  <w:num w:numId="670">
    <w:abstractNumId w:val="159"/>
  </w:num>
  <w:num w:numId="671">
    <w:abstractNumId w:val="7"/>
  </w:num>
  <w:num w:numId="672">
    <w:abstractNumId w:val="572"/>
  </w:num>
  <w:num w:numId="673">
    <w:abstractNumId w:val="628"/>
  </w:num>
  <w:num w:numId="674">
    <w:abstractNumId w:val="128"/>
  </w:num>
  <w:num w:numId="675">
    <w:abstractNumId w:val="416"/>
  </w:num>
  <w:num w:numId="676">
    <w:abstractNumId w:val="153"/>
  </w:num>
  <w:num w:numId="677">
    <w:abstractNumId w:val="83"/>
  </w:num>
  <w:num w:numId="678">
    <w:abstractNumId w:val="207"/>
  </w:num>
  <w:num w:numId="679">
    <w:abstractNumId w:val="649"/>
  </w:num>
  <w:num w:numId="680">
    <w:abstractNumId w:val="460"/>
  </w:num>
  <w:num w:numId="681">
    <w:abstractNumId w:val="588"/>
  </w:num>
  <w:num w:numId="682">
    <w:abstractNumId w:val="566"/>
  </w:num>
  <w:num w:numId="683">
    <w:abstractNumId w:val="710"/>
  </w:num>
  <w:num w:numId="684">
    <w:abstractNumId w:val="371"/>
  </w:num>
  <w:num w:numId="685">
    <w:abstractNumId w:val="638"/>
  </w:num>
  <w:num w:numId="686">
    <w:abstractNumId w:val="190"/>
  </w:num>
  <w:num w:numId="687">
    <w:abstractNumId w:val="456"/>
  </w:num>
  <w:num w:numId="688">
    <w:abstractNumId w:val="468"/>
  </w:num>
  <w:num w:numId="689">
    <w:abstractNumId w:val="15"/>
  </w:num>
  <w:num w:numId="690">
    <w:abstractNumId w:val="261"/>
  </w:num>
  <w:num w:numId="691">
    <w:abstractNumId w:val="227"/>
  </w:num>
  <w:num w:numId="692">
    <w:abstractNumId w:val="344"/>
  </w:num>
  <w:num w:numId="693">
    <w:abstractNumId w:val="165"/>
  </w:num>
  <w:num w:numId="694">
    <w:abstractNumId w:val="613"/>
  </w:num>
  <w:num w:numId="695">
    <w:abstractNumId w:val="384"/>
  </w:num>
  <w:num w:numId="696">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33"/>
  </w:num>
  <w:num w:numId="698">
    <w:abstractNumId w:val="703"/>
  </w:num>
  <w:num w:numId="699">
    <w:abstractNumId w:val="504"/>
  </w:num>
  <w:num w:numId="700">
    <w:abstractNumId w:val="563"/>
  </w:num>
  <w:num w:numId="701">
    <w:abstractNumId w:val="345"/>
  </w:num>
  <w:num w:numId="702">
    <w:abstractNumId w:val="47"/>
  </w:num>
  <w:num w:numId="703">
    <w:abstractNumId w:val="62"/>
  </w:num>
  <w:num w:numId="704">
    <w:abstractNumId w:val="480"/>
  </w:num>
  <w:num w:numId="705">
    <w:abstractNumId w:val="281"/>
  </w:num>
  <w:num w:numId="706">
    <w:abstractNumId w:val="573"/>
  </w:num>
  <w:num w:numId="707">
    <w:abstractNumId w:val="316"/>
  </w:num>
  <w:num w:numId="708">
    <w:abstractNumId w:val="598"/>
  </w:num>
  <w:num w:numId="709">
    <w:abstractNumId w:val="175"/>
  </w:num>
  <w:num w:numId="710">
    <w:abstractNumId w:val="292"/>
  </w:num>
  <w:num w:numId="711">
    <w:abstractNumId w:val="278"/>
  </w:num>
  <w:num w:numId="712">
    <w:abstractNumId w:val="433"/>
  </w:num>
  <w:num w:numId="713">
    <w:abstractNumId w:val="11"/>
  </w:num>
  <w:num w:numId="714">
    <w:abstractNumId w:val="73"/>
  </w:num>
  <w:num w:numId="715">
    <w:abstractNumId w:val="636"/>
  </w:num>
  <w:num w:numId="716">
    <w:abstractNumId w:val="298"/>
  </w:num>
  <w:num w:numId="717">
    <w:abstractNumId w:val="184"/>
  </w:num>
  <w:num w:numId="718">
    <w:abstractNumId w:val="539"/>
  </w:num>
  <w:num w:numId="719">
    <w:abstractNumId w:val="725"/>
  </w:num>
  <w:num w:numId="720">
    <w:abstractNumId w:val="392"/>
  </w:num>
  <w:num w:numId="721">
    <w:abstractNumId w:val="610"/>
  </w:num>
  <w:num w:numId="722">
    <w:abstractNumId w:val="570"/>
  </w:num>
  <w:num w:numId="723">
    <w:abstractNumId w:val="743"/>
  </w:num>
  <w:num w:numId="724">
    <w:abstractNumId w:val="665"/>
  </w:num>
  <w:num w:numId="725">
    <w:abstractNumId w:val="383"/>
  </w:num>
  <w:num w:numId="726">
    <w:abstractNumId w:val="711"/>
  </w:num>
  <w:num w:numId="727">
    <w:abstractNumId w:val="372"/>
  </w:num>
  <w:num w:numId="728">
    <w:abstractNumId w:val="30"/>
  </w:num>
  <w:num w:numId="729">
    <w:abstractNumId w:val="727"/>
  </w:num>
  <w:num w:numId="730">
    <w:abstractNumId w:val="666"/>
  </w:num>
  <w:num w:numId="731">
    <w:abstractNumId w:val="641"/>
  </w:num>
  <w:num w:numId="732">
    <w:abstractNumId w:val="232"/>
  </w:num>
  <w:num w:numId="733">
    <w:abstractNumId w:val="428"/>
  </w:num>
  <w:num w:numId="734">
    <w:abstractNumId w:val="451"/>
  </w:num>
  <w:num w:numId="735">
    <w:abstractNumId w:val="467"/>
  </w:num>
  <w:num w:numId="736">
    <w:abstractNumId w:val="736"/>
  </w:num>
  <w:num w:numId="737">
    <w:abstractNumId w:val="296"/>
  </w:num>
  <w:num w:numId="738">
    <w:abstractNumId w:val="393"/>
  </w:num>
  <w:num w:numId="739">
    <w:abstractNumId w:val="103"/>
  </w:num>
  <w:num w:numId="740">
    <w:abstractNumId w:val="350"/>
  </w:num>
  <w:num w:numId="741">
    <w:abstractNumId w:val="634"/>
  </w:num>
  <w:num w:numId="742">
    <w:abstractNumId w:val="594"/>
  </w:num>
  <w:num w:numId="743">
    <w:abstractNumId w:val="732"/>
  </w:num>
  <w:num w:numId="744">
    <w:abstractNumId w:val="157"/>
  </w:num>
  <w:num w:numId="745">
    <w:abstractNumId w:val="616"/>
  </w:num>
  <w:num w:numId="746">
    <w:abstractNumId w:val="548"/>
  </w:num>
  <w:num w:numId="747">
    <w:abstractNumId w:val="686"/>
  </w:num>
  <w:num w:numId="748">
    <w:abstractNumId w:val="168"/>
  </w:num>
  <w:num w:numId="749">
    <w:abstractNumId w:val="20"/>
  </w:num>
  <w:num w:numId="750">
    <w:abstractNumId w:val="662"/>
  </w:num>
  <w:num w:numId="751">
    <w:abstractNumId w:val="268"/>
  </w:num>
  <w:num w:numId="752">
    <w:abstractNumId w:val="683"/>
  </w:num>
  <w:num w:numId="753">
    <w:abstractNumId w:val="482"/>
  </w:num>
  <w:num w:numId="754">
    <w:abstractNumId w:val="586"/>
  </w:num>
  <w:num w:numId="755">
    <w:abstractNumId w:val="284"/>
  </w:num>
  <w:num w:numId="756">
    <w:abstractNumId w:val="356"/>
  </w:num>
  <w:num w:numId="757">
    <w:abstractNumId w:val="13"/>
  </w:num>
  <w:num w:numId="758">
    <w:abstractNumId w:val="315"/>
  </w:num>
  <w:num w:numId="759">
    <w:abstractNumId w:val="338"/>
  </w:num>
  <w:num w:numId="760">
    <w:abstractNumId w:val="697"/>
  </w:num>
  <w:num w:numId="761">
    <w:abstractNumId w:val="290"/>
  </w:num>
  <w:num w:numId="762">
    <w:abstractNumId w:val="568"/>
  </w:num>
  <w:num w:numId="763">
    <w:abstractNumId w:val="48"/>
  </w:num>
  <w:num w:numId="764">
    <w:abstractNumId w:val="390"/>
  </w:num>
  <w:num w:numId="765">
    <w:abstractNumId w:val="56"/>
  </w:num>
  <w:num w:numId="766">
    <w:abstractNumId w:val="444"/>
  </w:num>
  <w:num w:numId="767">
    <w:abstractNumId w:val="631"/>
  </w:num>
  <w:num w:numId="768">
    <w:abstractNumId w:val="43"/>
  </w:num>
  <w:num w:numId="769">
    <w:abstractNumId w:val="68"/>
  </w:num>
  <w:num w:numId="770">
    <w:abstractNumId w:val="554"/>
  </w:num>
  <w:num w:numId="771">
    <w:abstractNumId w:val="347"/>
  </w:num>
  <w:num w:numId="772">
    <w:abstractNumId w:val="658"/>
  </w:num>
  <w:num w:numId="773">
    <w:abstractNumId w:val="702"/>
  </w:num>
  <w:num w:numId="774">
    <w:abstractNumId w:val="358"/>
  </w:num>
  <w:num w:numId="775">
    <w:abstractNumId w:val="651"/>
  </w:num>
  <w:num w:numId="776">
    <w:abstractNumId w:val="211"/>
  </w:num>
  <w:num w:numId="777">
    <w:abstractNumId w:val="715"/>
  </w:num>
  <w:num w:numId="778">
    <w:abstractNumId w:val="676"/>
  </w:num>
  <w:num w:numId="779">
    <w:abstractNumId w:val="524"/>
  </w:num>
  <w:num w:numId="780">
    <w:abstractNumId w:val="99"/>
  </w:num>
  <w:num w:numId="781">
    <w:abstractNumId w:val="45"/>
  </w:num>
  <w:num w:numId="782">
    <w:abstractNumId w:val="421"/>
  </w:num>
  <w:num w:numId="783">
    <w:abstractNumId w:val="387"/>
  </w:num>
  <w:num w:numId="784">
    <w:abstractNumId w:val="326"/>
  </w:num>
  <w:num w:numId="785">
    <w:abstractNumId w:val="108"/>
  </w:num>
  <w:num w:numId="786">
    <w:abstractNumId w:val="85"/>
  </w:num>
  <w:num w:numId="787">
    <w:abstractNumId w:val="220"/>
  </w:num>
  <w:num w:numId="788">
    <w:abstractNumId w:val="677"/>
  </w:num>
  <w:numIdMacAtCleanup w:val="7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fr-BE" w:vendorID="64" w:dllVersion="0" w:nlCheck="1" w:checkStyle="0"/>
  <w:activeWritingStyle w:appName="MSWord" w:lang="en-IE"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activeWritingStyle w:appName="MSWord" w:lang="pt-PT" w:vendorID="64" w:dllVersion="0" w:nlCheck="1" w:checkStyle="0"/>
  <w:activeWritingStyle w:appName="MSWord" w:lang="de-DE" w:vendorID="64" w:dllVersion="0" w:nlCheck="1" w:checkStyle="0"/>
  <w:activeWritingStyle w:appName="MSWord" w:lang="pl-PL"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ACCOMPAGNANT.CP" w:val="do"/>
    <w:docVar w:name="LW_ANNEX_NBR_FIRST" w:val="1"/>
    <w:docVar w:name="LW_ANNEX_NBR_LAST" w:val="1"/>
    <w:docVar w:name="LW_ANNEX_UNIQUE" w:val="1"/>
    <w:docVar w:name="LW_CORRIGENDUM" w:val="&lt;UNUSED&gt;"/>
    <w:docVar w:name="LW_COVERPAGE_EXISTS" w:val="True"/>
    <w:docVar w:name="LW_COVERPAGE_GUID" w:val="CF639573-8F70-41BB-BCC1-CB6403B192DE"/>
    <w:docVar w:name="LW_COVERPAGE_TYPE" w:val="1"/>
    <w:docVar w:name="LW_CROSSREFERENCE" w:val="{SWD(2023) 326 final}"/>
    <w:docVar w:name="LW_DocType" w:val="NORMAL"/>
    <w:docVar w:name="LW_EMISSION" w:val="2.10.2023"/>
    <w:docVar w:name="LW_EMISSION_ISODATE" w:val="2023-10-02"/>
    <w:docVar w:name="LW_EMISSION_LOCATION" w:val="BRX"/>
    <w:docVar w:name="LW_EMISSION_PREFIX" w:val="Bruksela, dnia "/>
    <w:docVar w:name="LW_EMISSION_SUFFIX" w:val=" r."/>
    <w:docVar w:name="LW_ID_DOCTYPE_NONLW" w:val="CP-036"/>
    <w:docVar w:name="LW_LANGUE" w:val="PL"/>
    <w:docVar w:name="LW_LEVEL_OF_SENSITIVITY" w:val="Standard treatment"/>
    <w:docVar w:name="LW_NOM.INST" w:val="KOMISJA EUROPEJSKA"/>
    <w:docVar w:name="LW_NOM.INST_JOINTDOC" w:val="&lt;EMPTY&gt;"/>
    <w:docVar w:name="LW_OBJETACTEPRINCIPAL.CP" w:val="zmieniającej decyzję wykonawczą (UE) (ST 10150 2021; ST 10150 2021 ADD 1 REV 1) z dnia 13 lipca 2021 r. w sprawie zatwierdzenia oceny planu odbudowy i zwiększania odporności Hiszpanii"/>
    <w:docVar w:name="LW_PART_NBR" w:val="1"/>
    <w:docVar w:name="LW_PART_NBR_TOTAL" w:val="1"/>
    <w:docVar w:name="LW_REF.INST.NEW" w:val="COM"/>
    <w:docVar w:name="LW_REF.INST.NEW_ADOPTED" w:val="final"/>
    <w:docVar w:name="LW_REF.INST.NEW_TEXT" w:val="(2023) 57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ZAŁĄCZNIK_x000b_"/>
    <w:docVar w:name="LW_TYPEACTEPRINCIPAL.CP" w:val="wniosku dotyczącego DECYZJI WYKONAWCZEJ RADY"/>
    <w:docVar w:name="LwApiVersions" w:val="LW4CoDe 1.23.2.0; LW 8.0, Build 20211117"/>
  </w:docVars>
  <w:rsids>
    <w:rsidRoot w:val="00D554E1"/>
    <w:rsid w:val="000005D9"/>
    <w:rsid w:val="0000094D"/>
    <w:rsid w:val="00000EA9"/>
    <w:rsid w:val="00001233"/>
    <w:rsid w:val="00001F33"/>
    <w:rsid w:val="000020D7"/>
    <w:rsid w:val="00002D2C"/>
    <w:rsid w:val="00003785"/>
    <w:rsid w:val="00003AD6"/>
    <w:rsid w:val="000048BC"/>
    <w:rsid w:val="00004B0D"/>
    <w:rsid w:val="00004FDD"/>
    <w:rsid w:val="00004FE8"/>
    <w:rsid w:val="000054DB"/>
    <w:rsid w:val="000058E5"/>
    <w:rsid w:val="00006DA6"/>
    <w:rsid w:val="00007054"/>
    <w:rsid w:val="00007198"/>
    <w:rsid w:val="00007556"/>
    <w:rsid w:val="00007D85"/>
    <w:rsid w:val="00007EF8"/>
    <w:rsid w:val="00007F0E"/>
    <w:rsid w:val="00010037"/>
    <w:rsid w:val="00010FCF"/>
    <w:rsid w:val="0001105A"/>
    <w:rsid w:val="00011B30"/>
    <w:rsid w:val="00011EA2"/>
    <w:rsid w:val="000120A0"/>
    <w:rsid w:val="00012577"/>
    <w:rsid w:val="00012998"/>
    <w:rsid w:val="000135BD"/>
    <w:rsid w:val="00013B03"/>
    <w:rsid w:val="00013C17"/>
    <w:rsid w:val="00013DB9"/>
    <w:rsid w:val="00014022"/>
    <w:rsid w:val="00014061"/>
    <w:rsid w:val="00014122"/>
    <w:rsid w:val="000145AC"/>
    <w:rsid w:val="00014776"/>
    <w:rsid w:val="00014C37"/>
    <w:rsid w:val="00015170"/>
    <w:rsid w:val="000152FF"/>
    <w:rsid w:val="00015325"/>
    <w:rsid w:val="00015346"/>
    <w:rsid w:val="000156DA"/>
    <w:rsid w:val="00016723"/>
    <w:rsid w:val="00016894"/>
    <w:rsid w:val="00016C54"/>
    <w:rsid w:val="00016E62"/>
    <w:rsid w:val="000171B9"/>
    <w:rsid w:val="000173C5"/>
    <w:rsid w:val="00017932"/>
    <w:rsid w:val="00017A67"/>
    <w:rsid w:val="00017CAC"/>
    <w:rsid w:val="00017D16"/>
    <w:rsid w:val="000203FF"/>
    <w:rsid w:val="00020F4E"/>
    <w:rsid w:val="0002238D"/>
    <w:rsid w:val="0002251F"/>
    <w:rsid w:val="00022597"/>
    <w:rsid w:val="00023051"/>
    <w:rsid w:val="0002362B"/>
    <w:rsid w:val="00023EB3"/>
    <w:rsid w:val="00023F18"/>
    <w:rsid w:val="00023F78"/>
    <w:rsid w:val="00023F8C"/>
    <w:rsid w:val="000246B3"/>
    <w:rsid w:val="00024F59"/>
    <w:rsid w:val="00024F78"/>
    <w:rsid w:val="000258C1"/>
    <w:rsid w:val="00026187"/>
    <w:rsid w:val="00026F22"/>
    <w:rsid w:val="00026F3E"/>
    <w:rsid w:val="000274E0"/>
    <w:rsid w:val="00027DE0"/>
    <w:rsid w:val="0003056F"/>
    <w:rsid w:val="000308F6"/>
    <w:rsid w:val="00030968"/>
    <w:rsid w:val="00030BDF"/>
    <w:rsid w:val="00031C74"/>
    <w:rsid w:val="00033473"/>
    <w:rsid w:val="0003380A"/>
    <w:rsid w:val="000339AD"/>
    <w:rsid w:val="00033BF8"/>
    <w:rsid w:val="00034133"/>
    <w:rsid w:val="00034167"/>
    <w:rsid w:val="000343EE"/>
    <w:rsid w:val="00034497"/>
    <w:rsid w:val="00034798"/>
    <w:rsid w:val="00034C9D"/>
    <w:rsid w:val="00034CEF"/>
    <w:rsid w:val="000355E4"/>
    <w:rsid w:val="00035A6F"/>
    <w:rsid w:val="00035FA1"/>
    <w:rsid w:val="00036FD8"/>
    <w:rsid w:val="0003728E"/>
    <w:rsid w:val="00037B55"/>
    <w:rsid w:val="000401EE"/>
    <w:rsid w:val="0004098A"/>
    <w:rsid w:val="00040BB5"/>
    <w:rsid w:val="00040D91"/>
    <w:rsid w:val="000410C1"/>
    <w:rsid w:val="00041223"/>
    <w:rsid w:val="000417AE"/>
    <w:rsid w:val="00041CD4"/>
    <w:rsid w:val="00042384"/>
    <w:rsid w:val="00042696"/>
    <w:rsid w:val="00042A04"/>
    <w:rsid w:val="00042C39"/>
    <w:rsid w:val="000432AA"/>
    <w:rsid w:val="00043852"/>
    <w:rsid w:val="000438E4"/>
    <w:rsid w:val="0004406D"/>
    <w:rsid w:val="000443EC"/>
    <w:rsid w:val="00044C0D"/>
    <w:rsid w:val="00045B59"/>
    <w:rsid w:val="00045BBB"/>
    <w:rsid w:val="000460B9"/>
    <w:rsid w:val="000465B7"/>
    <w:rsid w:val="00046B9D"/>
    <w:rsid w:val="000471B4"/>
    <w:rsid w:val="000476AA"/>
    <w:rsid w:val="000476E7"/>
    <w:rsid w:val="00047B28"/>
    <w:rsid w:val="000504C4"/>
    <w:rsid w:val="00050578"/>
    <w:rsid w:val="00051D89"/>
    <w:rsid w:val="0005263B"/>
    <w:rsid w:val="000533C7"/>
    <w:rsid w:val="00053406"/>
    <w:rsid w:val="0005346D"/>
    <w:rsid w:val="00053D02"/>
    <w:rsid w:val="0005485B"/>
    <w:rsid w:val="0005489C"/>
    <w:rsid w:val="00054AF4"/>
    <w:rsid w:val="00054D32"/>
    <w:rsid w:val="00054F5E"/>
    <w:rsid w:val="000552B8"/>
    <w:rsid w:val="0005553B"/>
    <w:rsid w:val="0005573A"/>
    <w:rsid w:val="000559E4"/>
    <w:rsid w:val="00055E42"/>
    <w:rsid w:val="000566FE"/>
    <w:rsid w:val="00056CA7"/>
    <w:rsid w:val="00056D9F"/>
    <w:rsid w:val="00056FBE"/>
    <w:rsid w:val="000570DF"/>
    <w:rsid w:val="000571E4"/>
    <w:rsid w:val="00057EE3"/>
    <w:rsid w:val="00060330"/>
    <w:rsid w:val="0006163F"/>
    <w:rsid w:val="000620A6"/>
    <w:rsid w:val="00062112"/>
    <w:rsid w:val="00062A52"/>
    <w:rsid w:val="00063025"/>
    <w:rsid w:val="00063250"/>
    <w:rsid w:val="0006362D"/>
    <w:rsid w:val="00063640"/>
    <w:rsid w:val="000636C2"/>
    <w:rsid w:val="00063925"/>
    <w:rsid w:val="000639FF"/>
    <w:rsid w:val="00063BED"/>
    <w:rsid w:val="00063F90"/>
    <w:rsid w:val="0006417C"/>
    <w:rsid w:val="00064C2E"/>
    <w:rsid w:val="00064F0A"/>
    <w:rsid w:val="00064F8E"/>
    <w:rsid w:val="000653D6"/>
    <w:rsid w:val="00065CBE"/>
    <w:rsid w:val="00066617"/>
    <w:rsid w:val="00066747"/>
    <w:rsid w:val="00066A44"/>
    <w:rsid w:val="00066CCB"/>
    <w:rsid w:val="00067666"/>
    <w:rsid w:val="00067739"/>
    <w:rsid w:val="00067E33"/>
    <w:rsid w:val="000702AA"/>
    <w:rsid w:val="00070831"/>
    <w:rsid w:val="00070C20"/>
    <w:rsid w:val="00070F2E"/>
    <w:rsid w:val="000710F4"/>
    <w:rsid w:val="00071E41"/>
    <w:rsid w:val="00072125"/>
    <w:rsid w:val="000722B4"/>
    <w:rsid w:val="000722E4"/>
    <w:rsid w:val="00072522"/>
    <w:rsid w:val="000729AB"/>
    <w:rsid w:val="00072EE5"/>
    <w:rsid w:val="0007308C"/>
    <w:rsid w:val="00073E4F"/>
    <w:rsid w:val="0007410F"/>
    <w:rsid w:val="00074601"/>
    <w:rsid w:val="00074EBD"/>
    <w:rsid w:val="0007507E"/>
    <w:rsid w:val="00075898"/>
    <w:rsid w:val="00075B53"/>
    <w:rsid w:val="00075FA4"/>
    <w:rsid w:val="00076B4F"/>
    <w:rsid w:val="00076C9E"/>
    <w:rsid w:val="00077301"/>
    <w:rsid w:val="00077A18"/>
    <w:rsid w:val="00080044"/>
    <w:rsid w:val="00080431"/>
    <w:rsid w:val="0008138D"/>
    <w:rsid w:val="00081874"/>
    <w:rsid w:val="0008199D"/>
    <w:rsid w:val="000819FF"/>
    <w:rsid w:val="00082E42"/>
    <w:rsid w:val="00082EFC"/>
    <w:rsid w:val="000831E4"/>
    <w:rsid w:val="00083505"/>
    <w:rsid w:val="00083E04"/>
    <w:rsid w:val="00084383"/>
    <w:rsid w:val="00084B96"/>
    <w:rsid w:val="00085004"/>
    <w:rsid w:val="000851FB"/>
    <w:rsid w:val="0008562E"/>
    <w:rsid w:val="00085A1E"/>
    <w:rsid w:val="00085B3C"/>
    <w:rsid w:val="00085E59"/>
    <w:rsid w:val="00085F66"/>
    <w:rsid w:val="0008624A"/>
    <w:rsid w:val="0008639B"/>
    <w:rsid w:val="00086B2E"/>
    <w:rsid w:val="000874A5"/>
    <w:rsid w:val="00087C05"/>
    <w:rsid w:val="00087E17"/>
    <w:rsid w:val="00087F05"/>
    <w:rsid w:val="00087F3F"/>
    <w:rsid w:val="00090FC1"/>
    <w:rsid w:val="00091017"/>
    <w:rsid w:val="00091499"/>
    <w:rsid w:val="000918B8"/>
    <w:rsid w:val="00092324"/>
    <w:rsid w:val="00092806"/>
    <w:rsid w:val="000929B0"/>
    <w:rsid w:val="00092A2A"/>
    <w:rsid w:val="0009375E"/>
    <w:rsid w:val="000938FF"/>
    <w:rsid w:val="00093C08"/>
    <w:rsid w:val="000940A1"/>
    <w:rsid w:val="000940B4"/>
    <w:rsid w:val="00094507"/>
    <w:rsid w:val="00094C90"/>
    <w:rsid w:val="00094F7E"/>
    <w:rsid w:val="0009588B"/>
    <w:rsid w:val="00095897"/>
    <w:rsid w:val="00095DCA"/>
    <w:rsid w:val="000963D8"/>
    <w:rsid w:val="00096675"/>
    <w:rsid w:val="00097312"/>
    <w:rsid w:val="00097400"/>
    <w:rsid w:val="00097702"/>
    <w:rsid w:val="00097A4F"/>
    <w:rsid w:val="00097C3A"/>
    <w:rsid w:val="000A0175"/>
    <w:rsid w:val="000A0566"/>
    <w:rsid w:val="000A0B9E"/>
    <w:rsid w:val="000A0DFD"/>
    <w:rsid w:val="000A12EE"/>
    <w:rsid w:val="000A16C6"/>
    <w:rsid w:val="000A1A7C"/>
    <w:rsid w:val="000A1AF5"/>
    <w:rsid w:val="000A1B3B"/>
    <w:rsid w:val="000A1FF8"/>
    <w:rsid w:val="000A21E1"/>
    <w:rsid w:val="000A2437"/>
    <w:rsid w:val="000A359D"/>
    <w:rsid w:val="000A3681"/>
    <w:rsid w:val="000A36C9"/>
    <w:rsid w:val="000A4295"/>
    <w:rsid w:val="000A4B79"/>
    <w:rsid w:val="000A555D"/>
    <w:rsid w:val="000A5DBA"/>
    <w:rsid w:val="000A5E4E"/>
    <w:rsid w:val="000A632B"/>
    <w:rsid w:val="000A6676"/>
    <w:rsid w:val="000A715B"/>
    <w:rsid w:val="000A74F4"/>
    <w:rsid w:val="000A75C4"/>
    <w:rsid w:val="000A767B"/>
    <w:rsid w:val="000A781B"/>
    <w:rsid w:val="000A7E4C"/>
    <w:rsid w:val="000A7EB7"/>
    <w:rsid w:val="000A7EB9"/>
    <w:rsid w:val="000B0433"/>
    <w:rsid w:val="000B0CB2"/>
    <w:rsid w:val="000B1247"/>
    <w:rsid w:val="000B1500"/>
    <w:rsid w:val="000B1BEC"/>
    <w:rsid w:val="000B1C60"/>
    <w:rsid w:val="000B2473"/>
    <w:rsid w:val="000B258E"/>
    <w:rsid w:val="000B298E"/>
    <w:rsid w:val="000B2AF4"/>
    <w:rsid w:val="000B3154"/>
    <w:rsid w:val="000B318E"/>
    <w:rsid w:val="000B3292"/>
    <w:rsid w:val="000B3593"/>
    <w:rsid w:val="000B39BE"/>
    <w:rsid w:val="000B3A1A"/>
    <w:rsid w:val="000B3C23"/>
    <w:rsid w:val="000B40BF"/>
    <w:rsid w:val="000B42BE"/>
    <w:rsid w:val="000B453F"/>
    <w:rsid w:val="000B4889"/>
    <w:rsid w:val="000B48E7"/>
    <w:rsid w:val="000B4A35"/>
    <w:rsid w:val="000B4CAA"/>
    <w:rsid w:val="000B523D"/>
    <w:rsid w:val="000B56DE"/>
    <w:rsid w:val="000B5732"/>
    <w:rsid w:val="000B5873"/>
    <w:rsid w:val="000B5CF7"/>
    <w:rsid w:val="000B5F2C"/>
    <w:rsid w:val="000B634A"/>
    <w:rsid w:val="000B6972"/>
    <w:rsid w:val="000B6D4A"/>
    <w:rsid w:val="000B7173"/>
    <w:rsid w:val="000B717F"/>
    <w:rsid w:val="000B71A7"/>
    <w:rsid w:val="000B7838"/>
    <w:rsid w:val="000B7D52"/>
    <w:rsid w:val="000C010E"/>
    <w:rsid w:val="000C0B2F"/>
    <w:rsid w:val="000C0EF9"/>
    <w:rsid w:val="000C1037"/>
    <w:rsid w:val="000C13D0"/>
    <w:rsid w:val="000C1536"/>
    <w:rsid w:val="000C1AFB"/>
    <w:rsid w:val="000C1E20"/>
    <w:rsid w:val="000C305C"/>
    <w:rsid w:val="000C32C3"/>
    <w:rsid w:val="000C37A6"/>
    <w:rsid w:val="000C3A6D"/>
    <w:rsid w:val="000C4E67"/>
    <w:rsid w:val="000C5177"/>
    <w:rsid w:val="000C5516"/>
    <w:rsid w:val="000C574E"/>
    <w:rsid w:val="000C6459"/>
    <w:rsid w:val="000C7215"/>
    <w:rsid w:val="000C779C"/>
    <w:rsid w:val="000C79EE"/>
    <w:rsid w:val="000C7B74"/>
    <w:rsid w:val="000C7DEE"/>
    <w:rsid w:val="000D0012"/>
    <w:rsid w:val="000D00F6"/>
    <w:rsid w:val="000D0E02"/>
    <w:rsid w:val="000D0F03"/>
    <w:rsid w:val="000D21DC"/>
    <w:rsid w:val="000D2B18"/>
    <w:rsid w:val="000D2DC7"/>
    <w:rsid w:val="000D2EC0"/>
    <w:rsid w:val="000D32B4"/>
    <w:rsid w:val="000D3F35"/>
    <w:rsid w:val="000D40CB"/>
    <w:rsid w:val="000D56B2"/>
    <w:rsid w:val="000D6BC9"/>
    <w:rsid w:val="000D6E9C"/>
    <w:rsid w:val="000D7101"/>
    <w:rsid w:val="000D7201"/>
    <w:rsid w:val="000D75A4"/>
    <w:rsid w:val="000D7882"/>
    <w:rsid w:val="000D7CF0"/>
    <w:rsid w:val="000D7EBE"/>
    <w:rsid w:val="000E09FE"/>
    <w:rsid w:val="000E0BAC"/>
    <w:rsid w:val="000E0BF0"/>
    <w:rsid w:val="000E0FCD"/>
    <w:rsid w:val="000E1912"/>
    <w:rsid w:val="000E2180"/>
    <w:rsid w:val="000E2BA4"/>
    <w:rsid w:val="000E2FA8"/>
    <w:rsid w:val="000E3082"/>
    <w:rsid w:val="000E349A"/>
    <w:rsid w:val="000E3656"/>
    <w:rsid w:val="000E367D"/>
    <w:rsid w:val="000E36C5"/>
    <w:rsid w:val="000E405D"/>
    <w:rsid w:val="000E4262"/>
    <w:rsid w:val="000E4577"/>
    <w:rsid w:val="000E4749"/>
    <w:rsid w:val="000E4965"/>
    <w:rsid w:val="000E5048"/>
    <w:rsid w:val="000E573B"/>
    <w:rsid w:val="000E6366"/>
    <w:rsid w:val="000E63D6"/>
    <w:rsid w:val="000E648B"/>
    <w:rsid w:val="000E64AE"/>
    <w:rsid w:val="000E6A6E"/>
    <w:rsid w:val="000E6D06"/>
    <w:rsid w:val="000E70EB"/>
    <w:rsid w:val="000E7F55"/>
    <w:rsid w:val="000F00D3"/>
    <w:rsid w:val="000F051E"/>
    <w:rsid w:val="000F060E"/>
    <w:rsid w:val="000F08BB"/>
    <w:rsid w:val="000F0B2F"/>
    <w:rsid w:val="000F0C45"/>
    <w:rsid w:val="000F1278"/>
    <w:rsid w:val="000F13CF"/>
    <w:rsid w:val="000F1597"/>
    <w:rsid w:val="000F160C"/>
    <w:rsid w:val="000F1CCA"/>
    <w:rsid w:val="000F1F8F"/>
    <w:rsid w:val="000F1FAF"/>
    <w:rsid w:val="000F2312"/>
    <w:rsid w:val="000F23DD"/>
    <w:rsid w:val="000F25B8"/>
    <w:rsid w:val="000F2D78"/>
    <w:rsid w:val="000F3F2B"/>
    <w:rsid w:val="000F4037"/>
    <w:rsid w:val="000F4C4F"/>
    <w:rsid w:val="000F5D26"/>
    <w:rsid w:val="000F7306"/>
    <w:rsid w:val="000F7689"/>
    <w:rsid w:val="000F76C0"/>
    <w:rsid w:val="000F7AB3"/>
    <w:rsid w:val="000F7CD9"/>
    <w:rsid w:val="000F7F33"/>
    <w:rsid w:val="00100721"/>
    <w:rsid w:val="00100E7D"/>
    <w:rsid w:val="001016A5"/>
    <w:rsid w:val="00101815"/>
    <w:rsid w:val="00101EFF"/>
    <w:rsid w:val="00102130"/>
    <w:rsid w:val="0010267B"/>
    <w:rsid w:val="00102846"/>
    <w:rsid w:val="001028D2"/>
    <w:rsid w:val="00102B5D"/>
    <w:rsid w:val="00102FC8"/>
    <w:rsid w:val="00103412"/>
    <w:rsid w:val="00103E11"/>
    <w:rsid w:val="00103F27"/>
    <w:rsid w:val="00104490"/>
    <w:rsid w:val="00104CC7"/>
    <w:rsid w:val="00105D39"/>
    <w:rsid w:val="00105F58"/>
    <w:rsid w:val="00105FD1"/>
    <w:rsid w:val="001061B9"/>
    <w:rsid w:val="00106AE3"/>
    <w:rsid w:val="0010701E"/>
    <w:rsid w:val="001071DB"/>
    <w:rsid w:val="00107283"/>
    <w:rsid w:val="00107341"/>
    <w:rsid w:val="00107DE7"/>
    <w:rsid w:val="0010BA3C"/>
    <w:rsid w:val="00110061"/>
    <w:rsid w:val="001103B2"/>
    <w:rsid w:val="001106D6"/>
    <w:rsid w:val="0011094D"/>
    <w:rsid w:val="0011114D"/>
    <w:rsid w:val="001117EE"/>
    <w:rsid w:val="0011187C"/>
    <w:rsid w:val="00111CEF"/>
    <w:rsid w:val="00112187"/>
    <w:rsid w:val="001121C1"/>
    <w:rsid w:val="0011223B"/>
    <w:rsid w:val="0011237C"/>
    <w:rsid w:val="00112CC3"/>
    <w:rsid w:val="00112F4C"/>
    <w:rsid w:val="00112FA2"/>
    <w:rsid w:val="00113060"/>
    <w:rsid w:val="00114167"/>
    <w:rsid w:val="00114180"/>
    <w:rsid w:val="001144EF"/>
    <w:rsid w:val="0011489F"/>
    <w:rsid w:val="00114A42"/>
    <w:rsid w:val="00114B3B"/>
    <w:rsid w:val="00115000"/>
    <w:rsid w:val="00115980"/>
    <w:rsid w:val="0011631F"/>
    <w:rsid w:val="00116D1D"/>
    <w:rsid w:val="0011760C"/>
    <w:rsid w:val="00117DD4"/>
    <w:rsid w:val="00117E1A"/>
    <w:rsid w:val="001205F2"/>
    <w:rsid w:val="00120ECF"/>
    <w:rsid w:val="00121043"/>
    <w:rsid w:val="001210A9"/>
    <w:rsid w:val="0012151B"/>
    <w:rsid w:val="00121C3F"/>
    <w:rsid w:val="00121F82"/>
    <w:rsid w:val="001220F6"/>
    <w:rsid w:val="001226B8"/>
    <w:rsid w:val="00122756"/>
    <w:rsid w:val="001227A3"/>
    <w:rsid w:val="001231C8"/>
    <w:rsid w:val="00123A7B"/>
    <w:rsid w:val="00123ABC"/>
    <w:rsid w:val="00124051"/>
    <w:rsid w:val="0012463A"/>
    <w:rsid w:val="0012470D"/>
    <w:rsid w:val="00124F25"/>
    <w:rsid w:val="0012513F"/>
    <w:rsid w:val="00125844"/>
    <w:rsid w:val="00126110"/>
    <w:rsid w:val="00126F2A"/>
    <w:rsid w:val="0012726A"/>
    <w:rsid w:val="0012797F"/>
    <w:rsid w:val="00127F3F"/>
    <w:rsid w:val="00130769"/>
    <w:rsid w:val="00130BF2"/>
    <w:rsid w:val="00130F8E"/>
    <w:rsid w:val="00131718"/>
    <w:rsid w:val="00131D68"/>
    <w:rsid w:val="001322B3"/>
    <w:rsid w:val="001324A6"/>
    <w:rsid w:val="00132586"/>
    <w:rsid w:val="0013345B"/>
    <w:rsid w:val="00133656"/>
    <w:rsid w:val="00133D0F"/>
    <w:rsid w:val="00134439"/>
    <w:rsid w:val="00134931"/>
    <w:rsid w:val="0013536C"/>
    <w:rsid w:val="00135C58"/>
    <w:rsid w:val="0013685F"/>
    <w:rsid w:val="001373DB"/>
    <w:rsid w:val="001376F7"/>
    <w:rsid w:val="00137A92"/>
    <w:rsid w:val="00137F08"/>
    <w:rsid w:val="00137FAC"/>
    <w:rsid w:val="00140325"/>
    <w:rsid w:val="0014041C"/>
    <w:rsid w:val="0014100A"/>
    <w:rsid w:val="0014140C"/>
    <w:rsid w:val="00141A86"/>
    <w:rsid w:val="00141B22"/>
    <w:rsid w:val="00141E57"/>
    <w:rsid w:val="001429B7"/>
    <w:rsid w:val="00142C93"/>
    <w:rsid w:val="001430C9"/>
    <w:rsid w:val="001430FD"/>
    <w:rsid w:val="00143233"/>
    <w:rsid w:val="00143720"/>
    <w:rsid w:val="00143A53"/>
    <w:rsid w:val="001440AE"/>
    <w:rsid w:val="001441EC"/>
    <w:rsid w:val="00144206"/>
    <w:rsid w:val="00144272"/>
    <w:rsid w:val="00144428"/>
    <w:rsid w:val="00144A5A"/>
    <w:rsid w:val="0014516C"/>
    <w:rsid w:val="00146A34"/>
    <w:rsid w:val="001478DA"/>
    <w:rsid w:val="00147BFE"/>
    <w:rsid w:val="00150012"/>
    <w:rsid w:val="001509DA"/>
    <w:rsid w:val="0015148B"/>
    <w:rsid w:val="00151523"/>
    <w:rsid w:val="0015171D"/>
    <w:rsid w:val="0015172C"/>
    <w:rsid w:val="00151ADF"/>
    <w:rsid w:val="00151FDC"/>
    <w:rsid w:val="0015229E"/>
    <w:rsid w:val="00152673"/>
    <w:rsid w:val="001533E8"/>
    <w:rsid w:val="00153A3D"/>
    <w:rsid w:val="00153F23"/>
    <w:rsid w:val="00154147"/>
    <w:rsid w:val="001544E0"/>
    <w:rsid w:val="0015482B"/>
    <w:rsid w:val="00154B37"/>
    <w:rsid w:val="00154C32"/>
    <w:rsid w:val="001553EA"/>
    <w:rsid w:val="001554C2"/>
    <w:rsid w:val="00155A51"/>
    <w:rsid w:val="001566D2"/>
    <w:rsid w:val="00156AFE"/>
    <w:rsid w:val="00156BDF"/>
    <w:rsid w:val="0015722B"/>
    <w:rsid w:val="001574E1"/>
    <w:rsid w:val="00157B02"/>
    <w:rsid w:val="00157EC5"/>
    <w:rsid w:val="001606AE"/>
    <w:rsid w:val="0016095B"/>
    <w:rsid w:val="00160A66"/>
    <w:rsid w:val="00160AFB"/>
    <w:rsid w:val="00161985"/>
    <w:rsid w:val="00162040"/>
    <w:rsid w:val="001621F0"/>
    <w:rsid w:val="0016303B"/>
    <w:rsid w:val="0016311F"/>
    <w:rsid w:val="00163B4A"/>
    <w:rsid w:val="001643CC"/>
    <w:rsid w:val="00164B95"/>
    <w:rsid w:val="00164EEA"/>
    <w:rsid w:val="00165408"/>
    <w:rsid w:val="00165675"/>
    <w:rsid w:val="00165F5F"/>
    <w:rsid w:val="0016615D"/>
    <w:rsid w:val="00166BE4"/>
    <w:rsid w:val="00166C55"/>
    <w:rsid w:val="00166D80"/>
    <w:rsid w:val="00167297"/>
    <w:rsid w:val="0016742E"/>
    <w:rsid w:val="00167469"/>
    <w:rsid w:val="001674BE"/>
    <w:rsid w:val="00167766"/>
    <w:rsid w:val="00170493"/>
    <w:rsid w:val="00170661"/>
    <w:rsid w:val="00170BE3"/>
    <w:rsid w:val="00170EF2"/>
    <w:rsid w:val="00170FDF"/>
    <w:rsid w:val="00171339"/>
    <w:rsid w:val="001715FB"/>
    <w:rsid w:val="00171983"/>
    <w:rsid w:val="001722C4"/>
    <w:rsid w:val="001724E5"/>
    <w:rsid w:val="0017275F"/>
    <w:rsid w:val="00172832"/>
    <w:rsid w:val="00172AA4"/>
    <w:rsid w:val="00172CF2"/>
    <w:rsid w:val="00172E1B"/>
    <w:rsid w:val="00173E76"/>
    <w:rsid w:val="00173FFF"/>
    <w:rsid w:val="0017418A"/>
    <w:rsid w:val="00174674"/>
    <w:rsid w:val="00174848"/>
    <w:rsid w:val="0017596D"/>
    <w:rsid w:val="00175D7D"/>
    <w:rsid w:val="0017655C"/>
    <w:rsid w:val="00176BFD"/>
    <w:rsid w:val="00177030"/>
    <w:rsid w:val="00177980"/>
    <w:rsid w:val="00177CA9"/>
    <w:rsid w:val="00177D5C"/>
    <w:rsid w:val="00177F6D"/>
    <w:rsid w:val="00180829"/>
    <w:rsid w:val="00180B2F"/>
    <w:rsid w:val="001828C6"/>
    <w:rsid w:val="00182A83"/>
    <w:rsid w:val="00182CD9"/>
    <w:rsid w:val="001831C5"/>
    <w:rsid w:val="00183F88"/>
    <w:rsid w:val="00184A1F"/>
    <w:rsid w:val="00184BE3"/>
    <w:rsid w:val="00184CD5"/>
    <w:rsid w:val="00184E2D"/>
    <w:rsid w:val="00184EC9"/>
    <w:rsid w:val="00184F10"/>
    <w:rsid w:val="00184FB0"/>
    <w:rsid w:val="00185154"/>
    <w:rsid w:val="00185158"/>
    <w:rsid w:val="001854A8"/>
    <w:rsid w:val="001858A4"/>
    <w:rsid w:val="001859A7"/>
    <w:rsid w:val="00185B37"/>
    <w:rsid w:val="00185E3E"/>
    <w:rsid w:val="00185F64"/>
    <w:rsid w:val="001875F5"/>
    <w:rsid w:val="00187B35"/>
    <w:rsid w:val="00187ECB"/>
    <w:rsid w:val="00187F04"/>
    <w:rsid w:val="00190C18"/>
    <w:rsid w:val="00191230"/>
    <w:rsid w:val="00191263"/>
    <w:rsid w:val="00191430"/>
    <w:rsid w:val="001914E6"/>
    <w:rsid w:val="00191A26"/>
    <w:rsid w:val="00191CCE"/>
    <w:rsid w:val="001921F0"/>
    <w:rsid w:val="0019244A"/>
    <w:rsid w:val="00192572"/>
    <w:rsid w:val="00192FB6"/>
    <w:rsid w:val="001931A5"/>
    <w:rsid w:val="00193BCC"/>
    <w:rsid w:val="001945D4"/>
    <w:rsid w:val="00194DC6"/>
    <w:rsid w:val="00194EBF"/>
    <w:rsid w:val="00194F5F"/>
    <w:rsid w:val="001950A8"/>
    <w:rsid w:val="001952A5"/>
    <w:rsid w:val="001959FD"/>
    <w:rsid w:val="00195A52"/>
    <w:rsid w:val="00195A68"/>
    <w:rsid w:val="00195FA8"/>
    <w:rsid w:val="001961E5"/>
    <w:rsid w:val="00196DCF"/>
    <w:rsid w:val="00197765"/>
    <w:rsid w:val="001A0835"/>
    <w:rsid w:val="001A0D08"/>
    <w:rsid w:val="001A1314"/>
    <w:rsid w:val="001A1378"/>
    <w:rsid w:val="001A2010"/>
    <w:rsid w:val="001A2E1E"/>
    <w:rsid w:val="001A3128"/>
    <w:rsid w:val="001A33CB"/>
    <w:rsid w:val="001A3668"/>
    <w:rsid w:val="001A4498"/>
    <w:rsid w:val="001A452D"/>
    <w:rsid w:val="001A46CC"/>
    <w:rsid w:val="001A495B"/>
    <w:rsid w:val="001A4E3A"/>
    <w:rsid w:val="001A5109"/>
    <w:rsid w:val="001A51AC"/>
    <w:rsid w:val="001A5E4F"/>
    <w:rsid w:val="001A60A6"/>
    <w:rsid w:val="001A6C40"/>
    <w:rsid w:val="001A6E95"/>
    <w:rsid w:val="001A7130"/>
    <w:rsid w:val="001A7230"/>
    <w:rsid w:val="001A7265"/>
    <w:rsid w:val="001A7577"/>
    <w:rsid w:val="001A7894"/>
    <w:rsid w:val="001A79FB"/>
    <w:rsid w:val="001B0764"/>
    <w:rsid w:val="001B09FF"/>
    <w:rsid w:val="001B0C35"/>
    <w:rsid w:val="001B128E"/>
    <w:rsid w:val="001B1467"/>
    <w:rsid w:val="001B1A02"/>
    <w:rsid w:val="001B1B66"/>
    <w:rsid w:val="001B1CB4"/>
    <w:rsid w:val="001B1E94"/>
    <w:rsid w:val="001B2031"/>
    <w:rsid w:val="001B2A02"/>
    <w:rsid w:val="001B2CD2"/>
    <w:rsid w:val="001B2CEA"/>
    <w:rsid w:val="001B2D1D"/>
    <w:rsid w:val="001B30F0"/>
    <w:rsid w:val="001B37AE"/>
    <w:rsid w:val="001B3AFB"/>
    <w:rsid w:val="001B4410"/>
    <w:rsid w:val="001B481E"/>
    <w:rsid w:val="001B4D8C"/>
    <w:rsid w:val="001B5764"/>
    <w:rsid w:val="001B5B89"/>
    <w:rsid w:val="001B6103"/>
    <w:rsid w:val="001B63D2"/>
    <w:rsid w:val="001B6860"/>
    <w:rsid w:val="001B6FFE"/>
    <w:rsid w:val="001B70ED"/>
    <w:rsid w:val="001B7D28"/>
    <w:rsid w:val="001B7E96"/>
    <w:rsid w:val="001B7F39"/>
    <w:rsid w:val="001C0036"/>
    <w:rsid w:val="001C019D"/>
    <w:rsid w:val="001C03A0"/>
    <w:rsid w:val="001C06A8"/>
    <w:rsid w:val="001C093C"/>
    <w:rsid w:val="001C095F"/>
    <w:rsid w:val="001C18F1"/>
    <w:rsid w:val="001C21FF"/>
    <w:rsid w:val="001C252B"/>
    <w:rsid w:val="001C2EC1"/>
    <w:rsid w:val="001C348B"/>
    <w:rsid w:val="001C3639"/>
    <w:rsid w:val="001C3CF0"/>
    <w:rsid w:val="001C4DD1"/>
    <w:rsid w:val="001C50B1"/>
    <w:rsid w:val="001C5208"/>
    <w:rsid w:val="001C543C"/>
    <w:rsid w:val="001C557F"/>
    <w:rsid w:val="001C5597"/>
    <w:rsid w:val="001C57D8"/>
    <w:rsid w:val="001C5E87"/>
    <w:rsid w:val="001C6182"/>
    <w:rsid w:val="001C6CCE"/>
    <w:rsid w:val="001C6D10"/>
    <w:rsid w:val="001C7162"/>
    <w:rsid w:val="001C7802"/>
    <w:rsid w:val="001C7D0C"/>
    <w:rsid w:val="001D01D8"/>
    <w:rsid w:val="001D0C4F"/>
    <w:rsid w:val="001D14C1"/>
    <w:rsid w:val="001D2981"/>
    <w:rsid w:val="001D29E2"/>
    <w:rsid w:val="001D2CEA"/>
    <w:rsid w:val="001D39B3"/>
    <w:rsid w:val="001D39CB"/>
    <w:rsid w:val="001D3CA9"/>
    <w:rsid w:val="001D3E42"/>
    <w:rsid w:val="001D4083"/>
    <w:rsid w:val="001D548B"/>
    <w:rsid w:val="001D54DB"/>
    <w:rsid w:val="001D5609"/>
    <w:rsid w:val="001D5B15"/>
    <w:rsid w:val="001D6008"/>
    <w:rsid w:val="001D6BF0"/>
    <w:rsid w:val="001D6CD5"/>
    <w:rsid w:val="001D6E08"/>
    <w:rsid w:val="001D6E30"/>
    <w:rsid w:val="001D6EEF"/>
    <w:rsid w:val="001D7108"/>
    <w:rsid w:val="001D723F"/>
    <w:rsid w:val="001D7696"/>
    <w:rsid w:val="001D79A6"/>
    <w:rsid w:val="001E05F8"/>
    <w:rsid w:val="001E0721"/>
    <w:rsid w:val="001E097F"/>
    <w:rsid w:val="001E1050"/>
    <w:rsid w:val="001E1138"/>
    <w:rsid w:val="001E13BE"/>
    <w:rsid w:val="001E142E"/>
    <w:rsid w:val="001E1596"/>
    <w:rsid w:val="001E1665"/>
    <w:rsid w:val="001E1D3C"/>
    <w:rsid w:val="001E2084"/>
    <w:rsid w:val="001E25CA"/>
    <w:rsid w:val="001E341B"/>
    <w:rsid w:val="001E3453"/>
    <w:rsid w:val="001E3478"/>
    <w:rsid w:val="001E34F2"/>
    <w:rsid w:val="001E3507"/>
    <w:rsid w:val="001E368D"/>
    <w:rsid w:val="001E38F0"/>
    <w:rsid w:val="001E3910"/>
    <w:rsid w:val="001E3979"/>
    <w:rsid w:val="001E4164"/>
    <w:rsid w:val="001E425F"/>
    <w:rsid w:val="001E4A25"/>
    <w:rsid w:val="001E4A40"/>
    <w:rsid w:val="001E4A65"/>
    <w:rsid w:val="001E5AC3"/>
    <w:rsid w:val="001E5EEF"/>
    <w:rsid w:val="001E7017"/>
    <w:rsid w:val="001E7EB9"/>
    <w:rsid w:val="001F05DB"/>
    <w:rsid w:val="001F0B58"/>
    <w:rsid w:val="001F0BDC"/>
    <w:rsid w:val="001F0F19"/>
    <w:rsid w:val="001F11AD"/>
    <w:rsid w:val="001F1397"/>
    <w:rsid w:val="001F14B2"/>
    <w:rsid w:val="001F1E0B"/>
    <w:rsid w:val="001F2585"/>
    <w:rsid w:val="001F27E4"/>
    <w:rsid w:val="001F3486"/>
    <w:rsid w:val="001F3CEF"/>
    <w:rsid w:val="001F40E0"/>
    <w:rsid w:val="001F4897"/>
    <w:rsid w:val="001F519C"/>
    <w:rsid w:val="001F52FC"/>
    <w:rsid w:val="001F558F"/>
    <w:rsid w:val="001F58EC"/>
    <w:rsid w:val="001F59E0"/>
    <w:rsid w:val="001F5A3B"/>
    <w:rsid w:val="001F5AA5"/>
    <w:rsid w:val="001F6133"/>
    <w:rsid w:val="001F67C2"/>
    <w:rsid w:val="001F701D"/>
    <w:rsid w:val="001F7305"/>
    <w:rsid w:val="001F75E6"/>
    <w:rsid w:val="001F7CB6"/>
    <w:rsid w:val="001F7D2A"/>
    <w:rsid w:val="001F7D81"/>
    <w:rsid w:val="00200459"/>
    <w:rsid w:val="00200599"/>
    <w:rsid w:val="00200E14"/>
    <w:rsid w:val="00200F0D"/>
    <w:rsid w:val="0020155C"/>
    <w:rsid w:val="0020178D"/>
    <w:rsid w:val="00201CC4"/>
    <w:rsid w:val="00201EB1"/>
    <w:rsid w:val="0020291E"/>
    <w:rsid w:val="0020334F"/>
    <w:rsid w:val="0020395D"/>
    <w:rsid w:val="0020410D"/>
    <w:rsid w:val="0020440E"/>
    <w:rsid w:val="00204C4E"/>
    <w:rsid w:val="00204D6C"/>
    <w:rsid w:val="0020558E"/>
    <w:rsid w:val="002056A4"/>
    <w:rsid w:val="00205757"/>
    <w:rsid w:val="00205FB2"/>
    <w:rsid w:val="00206067"/>
    <w:rsid w:val="0020628E"/>
    <w:rsid w:val="00206A0B"/>
    <w:rsid w:val="00206C1F"/>
    <w:rsid w:val="00206C82"/>
    <w:rsid w:val="0020752B"/>
    <w:rsid w:val="00207A17"/>
    <w:rsid w:val="002101F2"/>
    <w:rsid w:val="0021022D"/>
    <w:rsid w:val="002105D0"/>
    <w:rsid w:val="0021063F"/>
    <w:rsid w:val="00211FB1"/>
    <w:rsid w:val="002125A7"/>
    <w:rsid w:val="00212738"/>
    <w:rsid w:val="00212849"/>
    <w:rsid w:val="00213494"/>
    <w:rsid w:val="002136EC"/>
    <w:rsid w:val="00213918"/>
    <w:rsid w:val="0021418F"/>
    <w:rsid w:val="002147EF"/>
    <w:rsid w:val="00215480"/>
    <w:rsid w:val="002158C9"/>
    <w:rsid w:val="0021629D"/>
    <w:rsid w:val="0021644E"/>
    <w:rsid w:val="00217311"/>
    <w:rsid w:val="0021775D"/>
    <w:rsid w:val="00217BF5"/>
    <w:rsid w:val="002201AE"/>
    <w:rsid w:val="00220409"/>
    <w:rsid w:val="00220657"/>
    <w:rsid w:val="00220F02"/>
    <w:rsid w:val="00220F72"/>
    <w:rsid w:val="00221045"/>
    <w:rsid w:val="002213F6"/>
    <w:rsid w:val="0022191B"/>
    <w:rsid w:val="00223124"/>
    <w:rsid w:val="00223541"/>
    <w:rsid w:val="00223884"/>
    <w:rsid w:val="0022400F"/>
    <w:rsid w:val="0022438A"/>
    <w:rsid w:val="00224A45"/>
    <w:rsid w:val="00224CFE"/>
    <w:rsid w:val="00224EC0"/>
    <w:rsid w:val="0022518E"/>
    <w:rsid w:val="00225478"/>
    <w:rsid w:val="00225E66"/>
    <w:rsid w:val="002262E0"/>
    <w:rsid w:val="002272D0"/>
    <w:rsid w:val="002275B0"/>
    <w:rsid w:val="00227B41"/>
    <w:rsid w:val="00227D0D"/>
    <w:rsid w:val="00227E66"/>
    <w:rsid w:val="002303DA"/>
    <w:rsid w:val="0023040C"/>
    <w:rsid w:val="00230FC8"/>
    <w:rsid w:val="002310A6"/>
    <w:rsid w:val="0023172B"/>
    <w:rsid w:val="00231787"/>
    <w:rsid w:val="00231840"/>
    <w:rsid w:val="00231BA3"/>
    <w:rsid w:val="00231BFB"/>
    <w:rsid w:val="0023278C"/>
    <w:rsid w:val="00232E49"/>
    <w:rsid w:val="00233234"/>
    <w:rsid w:val="0023328A"/>
    <w:rsid w:val="002333C7"/>
    <w:rsid w:val="0023344C"/>
    <w:rsid w:val="00233861"/>
    <w:rsid w:val="00233D90"/>
    <w:rsid w:val="00233EC1"/>
    <w:rsid w:val="0023404E"/>
    <w:rsid w:val="002344BC"/>
    <w:rsid w:val="00234C6D"/>
    <w:rsid w:val="00234EB7"/>
    <w:rsid w:val="002359CD"/>
    <w:rsid w:val="00235E60"/>
    <w:rsid w:val="00236B27"/>
    <w:rsid w:val="002372FA"/>
    <w:rsid w:val="0023731D"/>
    <w:rsid w:val="002373E8"/>
    <w:rsid w:val="00237A41"/>
    <w:rsid w:val="00237CC0"/>
    <w:rsid w:val="00237E87"/>
    <w:rsid w:val="0024004E"/>
    <w:rsid w:val="00240706"/>
    <w:rsid w:val="0024077C"/>
    <w:rsid w:val="002407A2"/>
    <w:rsid w:val="00240BAA"/>
    <w:rsid w:val="002417F8"/>
    <w:rsid w:val="002423DF"/>
    <w:rsid w:val="002430C6"/>
    <w:rsid w:val="00243D74"/>
    <w:rsid w:val="00244181"/>
    <w:rsid w:val="00244491"/>
    <w:rsid w:val="002445BD"/>
    <w:rsid w:val="00244839"/>
    <w:rsid w:val="00244AC9"/>
    <w:rsid w:val="00244EB7"/>
    <w:rsid w:val="00244FED"/>
    <w:rsid w:val="00245049"/>
    <w:rsid w:val="002454A1"/>
    <w:rsid w:val="00245D56"/>
    <w:rsid w:val="0024604B"/>
    <w:rsid w:val="002464D9"/>
    <w:rsid w:val="00246A17"/>
    <w:rsid w:val="00246D2D"/>
    <w:rsid w:val="00246E2E"/>
    <w:rsid w:val="00247AC2"/>
    <w:rsid w:val="00250005"/>
    <w:rsid w:val="002506DD"/>
    <w:rsid w:val="002506E7"/>
    <w:rsid w:val="002508B6"/>
    <w:rsid w:val="00250A33"/>
    <w:rsid w:val="00250AF5"/>
    <w:rsid w:val="00251670"/>
    <w:rsid w:val="00251876"/>
    <w:rsid w:val="00251984"/>
    <w:rsid w:val="00251BCB"/>
    <w:rsid w:val="00251F8F"/>
    <w:rsid w:val="00252713"/>
    <w:rsid w:val="002529AA"/>
    <w:rsid w:val="0025310D"/>
    <w:rsid w:val="0025333F"/>
    <w:rsid w:val="002536A8"/>
    <w:rsid w:val="0025370F"/>
    <w:rsid w:val="00253947"/>
    <w:rsid w:val="00254854"/>
    <w:rsid w:val="00254869"/>
    <w:rsid w:val="00254AFD"/>
    <w:rsid w:val="00254BD6"/>
    <w:rsid w:val="00254E87"/>
    <w:rsid w:val="0025518B"/>
    <w:rsid w:val="0025524B"/>
    <w:rsid w:val="0025610D"/>
    <w:rsid w:val="00256508"/>
    <w:rsid w:val="0025651C"/>
    <w:rsid w:val="0025664E"/>
    <w:rsid w:val="002569CF"/>
    <w:rsid w:val="002575C8"/>
    <w:rsid w:val="00257DD9"/>
    <w:rsid w:val="00260274"/>
    <w:rsid w:val="00260BC2"/>
    <w:rsid w:val="00261C6A"/>
    <w:rsid w:val="00262199"/>
    <w:rsid w:val="0026269B"/>
    <w:rsid w:val="00263101"/>
    <w:rsid w:val="002644B8"/>
    <w:rsid w:val="00264FB3"/>
    <w:rsid w:val="00265299"/>
    <w:rsid w:val="0026588D"/>
    <w:rsid w:val="002658A9"/>
    <w:rsid w:val="00265A72"/>
    <w:rsid w:val="002660A0"/>
    <w:rsid w:val="002663E5"/>
    <w:rsid w:val="0026666F"/>
    <w:rsid w:val="0026677F"/>
    <w:rsid w:val="00267355"/>
    <w:rsid w:val="00267F8B"/>
    <w:rsid w:val="00270787"/>
    <w:rsid w:val="00270921"/>
    <w:rsid w:val="00270963"/>
    <w:rsid w:val="00271132"/>
    <w:rsid w:val="00271708"/>
    <w:rsid w:val="00271950"/>
    <w:rsid w:val="00271F19"/>
    <w:rsid w:val="0027270C"/>
    <w:rsid w:val="002730E7"/>
    <w:rsid w:val="00273101"/>
    <w:rsid w:val="00273706"/>
    <w:rsid w:val="00273D6D"/>
    <w:rsid w:val="00274143"/>
    <w:rsid w:val="00274151"/>
    <w:rsid w:val="00274537"/>
    <w:rsid w:val="00274A3A"/>
    <w:rsid w:val="002752E6"/>
    <w:rsid w:val="00275502"/>
    <w:rsid w:val="00275675"/>
    <w:rsid w:val="00275CF2"/>
    <w:rsid w:val="0027667F"/>
    <w:rsid w:val="00276A06"/>
    <w:rsid w:val="00276D84"/>
    <w:rsid w:val="002810BB"/>
    <w:rsid w:val="00281548"/>
    <w:rsid w:val="00281D1E"/>
    <w:rsid w:val="002820C3"/>
    <w:rsid w:val="0028222F"/>
    <w:rsid w:val="00282368"/>
    <w:rsid w:val="002828B2"/>
    <w:rsid w:val="00282EC7"/>
    <w:rsid w:val="002834C4"/>
    <w:rsid w:val="00283B2E"/>
    <w:rsid w:val="00284C88"/>
    <w:rsid w:val="0028506E"/>
    <w:rsid w:val="00285735"/>
    <w:rsid w:val="002857ED"/>
    <w:rsid w:val="0028600F"/>
    <w:rsid w:val="0028601F"/>
    <w:rsid w:val="00287873"/>
    <w:rsid w:val="00287A57"/>
    <w:rsid w:val="00290236"/>
    <w:rsid w:val="002905A5"/>
    <w:rsid w:val="0029104B"/>
    <w:rsid w:val="002918C7"/>
    <w:rsid w:val="00291D0D"/>
    <w:rsid w:val="002920CE"/>
    <w:rsid w:val="0029219F"/>
    <w:rsid w:val="002924CA"/>
    <w:rsid w:val="00292B61"/>
    <w:rsid w:val="00292CC0"/>
    <w:rsid w:val="00293C5E"/>
    <w:rsid w:val="00293DF4"/>
    <w:rsid w:val="0029407C"/>
    <w:rsid w:val="002942F0"/>
    <w:rsid w:val="0029507C"/>
    <w:rsid w:val="0029512F"/>
    <w:rsid w:val="00295280"/>
    <w:rsid w:val="00295C5A"/>
    <w:rsid w:val="00296264"/>
    <w:rsid w:val="00296A7F"/>
    <w:rsid w:val="0029708B"/>
    <w:rsid w:val="00297CF1"/>
    <w:rsid w:val="00297D80"/>
    <w:rsid w:val="00297F85"/>
    <w:rsid w:val="002A042C"/>
    <w:rsid w:val="002A09BA"/>
    <w:rsid w:val="002A0EDC"/>
    <w:rsid w:val="002A1353"/>
    <w:rsid w:val="002A19F0"/>
    <w:rsid w:val="002A2B3A"/>
    <w:rsid w:val="002A2D3E"/>
    <w:rsid w:val="002A2E4E"/>
    <w:rsid w:val="002A39E5"/>
    <w:rsid w:val="002A4B22"/>
    <w:rsid w:val="002A4BAD"/>
    <w:rsid w:val="002A5123"/>
    <w:rsid w:val="002A55FB"/>
    <w:rsid w:val="002A5656"/>
    <w:rsid w:val="002A63B0"/>
    <w:rsid w:val="002A680F"/>
    <w:rsid w:val="002A6913"/>
    <w:rsid w:val="002A7484"/>
    <w:rsid w:val="002A783D"/>
    <w:rsid w:val="002A7D03"/>
    <w:rsid w:val="002A7FB4"/>
    <w:rsid w:val="002B02E8"/>
    <w:rsid w:val="002B0A88"/>
    <w:rsid w:val="002B1679"/>
    <w:rsid w:val="002B1BB5"/>
    <w:rsid w:val="002B1E15"/>
    <w:rsid w:val="002B25A2"/>
    <w:rsid w:val="002B25DB"/>
    <w:rsid w:val="002B26A2"/>
    <w:rsid w:val="002B2B24"/>
    <w:rsid w:val="002B2CC3"/>
    <w:rsid w:val="002B3577"/>
    <w:rsid w:val="002B3923"/>
    <w:rsid w:val="002B3A73"/>
    <w:rsid w:val="002B3C48"/>
    <w:rsid w:val="002B421E"/>
    <w:rsid w:val="002B43BB"/>
    <w:rsid w:val="002B47FB"/>
    <w:rsid w:val="002B4E40"/>
    <w:rsid w:val="002B54BF"/>
    <w:rsid w:val="002B5645"/>
    <w:rsid w:val="002B596B"/>
    <w:rsid w:val="002B59E5"/>
    <w:rsid w:val="002B68BC"/>
    <w:rsid w:val="002B7453"/>
    <w:rsid w:val="002B7489"/>
    <w:rsid w:val="002B750A"/>
    <w:rsid w:val="002B7716"/>
    <w:rsid w:val="002B7901"/>
    <w:rsid w:val="002B7BA7"/>
    <w:rsid w:val="002B7FAC"/>
    <w:rsid w:val="002C00C5"/>
    <w:rsid w:val="002C1050"/>
    <w:rsid w:val="002C1374"/>
    <w:rsid w:val="002C1604"/>
    <w:rsid w:val="002C1DDB"/>
    <w:rsid w:val="002C1F4A"/>
    <w:rsid w:val="002C241D"/>
    <w:rsid w:val="002C2CE5"/>
    <w:rsid w:val="002C3578"/>
    <w:rsid w:val="002C3808"/>
    <w:rsid w:val="002C3C6B"/>
    <w:rsid w:val="002C3FEA"/>
    <w:rsid w:val="002C449C"/>
    <w:rsid w:val="002C4D30"/>
    <w:rsid w:val="002C505B"/>
    <w:rsid w:val="002C58DB"/>
    <w:rsid w:val="002C70EF"/>
    <w:rsid w:val="002C73BD"/>
    <w:rsid w:val="002C79B5"/>
    <w:rsid w:val="002C7A88"/>
    <w:rsid w:val="002C7C65"/>
    <w:rsid w:val="002D10F3"/>
    <w:rsid w:val="002D1462"/>
    <w:rsid w:val="002D2413"/>
    <w:rsid w:val="002D2869"/>
    <w:rsid w:val="002D287E"/>
    <w:rsid w:val="002D2AAE"/>
    <w:rsid w:val="002D3194"/>
    <w:rsid w:val="002D3331"/>
    <w:rsid w:val="002D431F"/>
    <w:rsid w:val="002D4541"/>
    <w:rsid w:val="002D49D2"/>
    <w:rsid w:val="002D4FFB"/>
    <w:rsid w:val="002D51B0"/>
    <w:rsid w:val="002D5428"/>
    <w:rsid w:val="002D5824"/>
    <w:rsid w:val="002D588C"/>
    <w:rsid w:val="002D61A6"/>
    <w:rsid w:val="002D62DC"/>
    <w:rsid w:val="002D6381"/>
    <w:rsid w:val="002D677F"/>
    <w:rsid w:val="002D6DCD"/>
    <w:rsid w:val="002D6E0C"/>
    <w:rsid w:val="002D7A2F"/>
    <w:rsid w:val="002E01A3"/>
    <w:rsid w:val="002E03FE"/>
    <w:rsid w:val="002E077F"/>
    <w:rsid w:val="002E0798"/>
    <w:rsid w:val="002E0CBC"/>
    <w:rsid w:val="002E1D5B"/>
    <w:rsid w:val="002E2037"/>
    <w:rsid w:val="002E263D"/>
    <w:rsid w:val="002E2BE3"/>
    <w:rsid w:val="002E2E59"/>
    <w:rsid w:val="002E30E4"/>
    <w:rsid w:val="002E3653"/>
    <w:rsid w:val="002E36F4"/>
    <w:rsid w:val="002E489E"/>
    <w:rsid w:val="002E5445"/>
    <w:rsid w:val="002E58C9"/>
    <w:rsid w:val="002E58EC"/>
    <w:rsid w:val="002E59CC"/>
    <w:rsid w:val="002E5D2F"/>
    <w:rsid w:val="002E5D55"/>
    <w:rsid w:val="002E6091"/>
    <w:rsid w:val="002E683C"/>
    <w:rsid w:val="002E7613"/>
    <w:rsid w:val="002E78F9"/>
    <w:rsid w:val="002E7CA6"/>
    <w:rsid w:val="002F0277"/>
    <w:rsid w:val="002F037E"/>
    <w:rsid w:val="002F0571"/>
    <w:rsid w:val="002F067F"/>
    <w:rsid w:val="002F0789"/>
    <w:rsid w:val="002F0912"/>
    <w:rsid w:val="002F09CD"/>
    <w:rsid w:val="002F0D7F"/>
    <w:rsid w:val="002F1702"/>
    <w:rsid w:val="002F2C21"/>
    <w:rsid w:val="002F30F1"/>
    <w:rsid w:val="002F310D"/>
    <w:rsid w:val="002F3352"/>
    <w:rsid w:val="002F377A"/>
    <w:rsid w:val="002F3782"/>
    <w:rsid w:val="002F3935"/>
    <w:rsid w:val="002F3B56"/>
    <w:rsid w:val="002F3C1E"/>
    <w:rsid w:val="002F4B90"/>
    <w:rsid w:val="002F5222"/>
    <w:rsid w:val="002F556D"/>
    <w:rsid w:val="002F57E9"/>
    <w:rsid w:val="002F58F5"/>
    <w:rsid w:val="002F6044"/>
    <w:rsid w:val="002F60F9"/>
    <w:rsid w:val="002F624A"/>
    <w:rsid w:val="002F65CE"/>
    <w:rsid w:val="002F6C61"/>
    <w:rsid w:val="002F75A5"/>
    <w:rsid w:val="002F77BF"/>
    <w:rsid w:val="002F7D0E"/>
    <w:rsid w:val="003000AA"/>
    <w:rsid w:val="00300310"/>
    <w:rsid w:val="00300630"/>
    <w:rsid w:val="00300828"/>
    <w:rsid w:val="00300B60"/>
    <w:rsid w:val="00300E10"/>
    <w:rsid w:val="00300FC5"/>
    <w:rsid w:val="003010EF"/>
    <w:rsid w:val="003014CC"/>
    <w:rsid w:val="0030169C"/>
    <w:rsid w:val="003017B8"/>
    <w:rsid w:val="00301B77"/>
    <w:rsid w:val="003020CA"/>
    <w:rsid w:val="003020D5"/>
    <w:rsid w:val="003020E8"/>
    <w:rsid w:val="003024E5"/>
    <w:rsid w:val="0030265F"/>
    <w:rsid w:val="00302B26"/>
    <w:rsid w:val="0030323E"/>
    <w:rsid w:val="003035BE"/>
    <w:rsid w:val="00303B1F"/>
    <w:rsid w:val="00303C10"/>
    <w:rsid w:val="00303E88"/>
    <w:rsid w:val="00303E9B"/>
    <w:rsid w:val="0030414A"/>
    <w:rsid w:val="003049E4"/>
    <w:rsid w:val="00304D16"/>
    <w:rsid w:val="0030574E"/>
    <w:rsid w:val="00305E43"/>
    <w:rsid w:val="00305EC0"/>
    <w:rsid w:val="00305EFC"/>
    <w:rsid w:val="00306AE4"/>
    <w:rsid w:val="00307252"/>
    <w:rsid w:val="003072B2"/>
    <w:rsid w:val="003074FB"/>
    <w:rsid w:val="0030761C"/>
    <w:rsid w:val="00307BC2"/>
    <w:rsid w:val="003100F1"/>
    <w:rsid w:val="003100FF"/>
    <w:rsid w:val="003101F7"/>
    <w:rsid w:val="00310BFD"/>
    <w:rsid w:val="00311A8E"/>
    <w:rsid w:val="00311FF3"/>
    <w:rsid w:val="00312023"/>
    <w:rsid w:val="00312344"/>
    <w:rsid w:val="003129B7"/>
    <w:rsid w:val="00312ACA"/>
    <w:rsid w:val="00312C13"/>
    <w:rsid w:val="00312FA8"/>
    <w:rsid w:val="003130A3"/>
    <w:rsid w:val="00313250"/>
    <w:rsid w:val="00313332"/>
    <w:rsid w:val="00313A39"/>
    <w:rsid w:val="00313CDD"/>
    <w:rsid w:val="00314AB5"/>
    <w:rsid w:val="003159B1"/>
    <w:rsid w:val="00315B40"/>
    <w:rsid w:val="00316476"/>
    <w:rsid w:val="003167D5"/>
    <w:rsid w:val="00316A18"/>
    <w:rsid w:val="00316C41"/>
    <w:rsid w:val="00316FA6"/>
    <w:rsid w:val="0031752F"/>
    <w:rsid w:val="00317748"/>
    <w:rsid w:val="003177DB"/>
    <w:rsid w:val="003202C0"/>
    <w:rsid w:val="00320676"/>
    <w:rsid w:val="00320FE7"/>
    <w:rsid w:val="0032113B"/>
    <w:rsid w:val="00321529"/>
    <w:rsid w:val="00321E73"/>
    <w:rsid w:val="00322160"/>
    <w:rsid w:val="003228C0"/>
    <w:rsid w:val="00322A4A"/>
    <w:rsid w:val="00322B6D"/>
    <w:rsid w:val="00322FD8"/>
    <w:rsid w:val="003231AD"/>
    <w:rsid w:val="00323446"/>
    <w:rsid w:val="00323E61"/>
    <w:rsid w:val="00324129"/>
    <w:rsid w:val="0032414E"/>
    <w:rsid w:val="00324739"/>
    <w:rsid w:val="00324819"/>
    <w:rsid w:val="00324CA2"/>
    <w:rsid w:val="00324EAB"/>
    <w:rsid w:val="00325158"/>
    <w:rsid w:val="003252E5"/>
    <w:rsid w:val="003253F0"/>
    <w:rsid w:val="0032583A"/>
    <w:rsid w:val="0032588E"/>
    <w:rsid w:val="00325970"/>
    <w:rsid w:val="0032628B"/>
    <w:rsid w:val="003264BF"/>
    <w:rsid w:val="003269B2"/>
    <w:rsid w:val="00327BF5"/>
    <w:rsid w:val="00330067"/>
    <w:rsid w:val="00330390"/>
    <w:rsid w:val="00330519"/>
    <w:rsid w:val="003309E4"/>
    <w:rsid w:val="00330AE2"/>
    <w:rsid w:val="00330F8B"/>
    <w:rsid w:val="003314A9"/>
    <w:rsid w:val="00331541"/>
    <w:rsid w:val="00331BF9"/>
    <w:rsid w:val="00331EA2"/>
    <w:rsid w:val="00331F03"/>
    <w:rsid w:val="00331F88"/>
    <w:rsid w:val="003321BF"/>
    <w:rsid w:val="00332B6F"/>
    <w:rsid w:val="003332FE"/>
    <w:rsid w:val="00333531"/>
    <w:rsid w:val="00333A10"/>
    <w:rsid w:val="003345BD"/>
    <w:rsid w:val="0033491C"/>
    <w:rsid w:val="00334E29"/>
    <w:rsid w:val="00335201"/>
    <w:rsid w:val="0033563A"/>
    <w:rsid w:val="00335811"/>
    <w:rsid w:val="00335AE5"/>
    <w:rsid w:val="00335E25"/>
    <w:rsid w:val="003362A4"/>
    <w:rsid w:val="0033648C"/>
    <w:rsid w:val="003369B9"/>
    <w:rsid w:val="00336AA6"/>
    <w:rsid w:val="00336CEF"/>
    <w:rsid w:val="00336D24"/>
    <w:rsid w:val="003370B1"/>
    <w:rsid w:val="0033718E"/>
    <w:rsid w:val="0033744E"/>
    <w:rsid w:val="00340101"/>
    <w:rsid w:val="00340190"/>
    <w:rsid w:val="003404EE"/>
    <w:rsid w:val="00341DF4"/>
    <w:rsid w:val="00342CB9"/>
    <w:rsid w:val="00343183"/>
    <w:rsid w:val="0034429B"/>
    <w:rsid w:val="003442BB"/>
    <w:rsid w:val="00344664"/>
    <w:rsid w:val="00345ED9"/>
    <w:rsid w:val="00346033"/>
    <w:rsid w:val="00346401"/>
    <w:rsid w:val="003467C1"/>
    <w:rsid w:val="0034686B"/>
    <w:rsid w:val="003469CE"/>
    <w:rsid w:val="00346E48"/>
    <w:rsid w:val="0034793B"/>
    <w:rsid w:val="00347A5A"/>
    <w:rsid w:val="00347C49"/>
    <w:rsid w:val="00347DBC"/>
    <w:rsid w:val="003501A8"/>
    <w:rsid w:val="00350314"/>
    <w:rsid w:val="00350457"/>
    <w:rsid w:val="003509A4"/>
    <w:rsid w:val="00350AC3"/>
    <w:rsid w:val="00350D74"/>
    <w:rsid w:val="00350F46"/>
    <w:rsid w:val="00351074"/>
    <w:rsid w:val="003510EC"/>
    <w:rsid w:val="003512B4"/>
    <w:rsid w:val="003514E1"/>
    <w:rsid w:val="00351674"/>
    <w:rsid w:val="00351E2C"/>
    <w:rsid w:val="003522CE"/>
    <w:rsid w:val="003524DB"/>
    <w:rsid w:val="00352585"/>
    <w:rsid w:val="00352C52"/>
    <w:rsid w:val="00353192"/>
    <w:rsid w:val="0035364E"/>
    <w:rsid w:val="00353AF7"/>
    <w:rsid w:val="00355291"/>
    <w:rsid w:val="0035659C"/>
    <w:rsid w:val="00360628"/>
    <w:rsid w:val="00360D6E"/>
    <w:rsid w:val="00361287"/>
    <w:rsid w:val="0036144E"/>
    <w:rsid w:val="00361BD0"/>
    <w:rsid w:val="00361D62"/>
    <w:rsid w:val="00361E84"/>
    <w:rsid w:val="00363170"/>
    <w:rsid w:val="003642C3"/>
    <w:rsid w:val="003644C4"/>
    <w:rsid w:val="003648D1"/>
    <w:rsid w:val="003651F3"/>
    <w:rsid w:val="00365612"/>
    <w:rsid w:val="003673A0"/>
    <w:rsid w:val="003674F4"/>
    <w:rsid w:val="003677A9"/>
    <w:rsid w:val="00367D32"/>
    <w:rsid w:val="00370078"/>
    <w:rsid w:val="003705CA"/>
    <w:rsid w:val="00370DA7"/>
    <w:rsid w:val="0037165A"/>
    <w:rsid w:val="0037235B"/>
    <w:rsid w:val="0037240D"/>
    <w:rsid w:val="0037268F"/>
    <w:rsid w:val="00372EC4"/>
    <w:rsid w:val="0037330F"/>
    <w:rsid w:val="00373BA2"/>
    <w:rsid w:val="00374788"/>
    <w:rsid w:val="003749D2"/>
    <w:rsid w:val="00374C6B"/>
    <w:rsid w:val="003750B3"/>
    <w:rsid w:val="003751A5"/>
    <w:rsid w:val="003755CE"/>
    <w:rsid w:val="00375859"/>
    <w:rsid w:val="00376053"/>
    <w:rsid w:val="00376A6A"/>
    <w:rsid w:val="00376B15"/>
    <w:rsid w:val="003773C9"/>
    <w:rsid w:val="0037741C"/>
    <w:rsid w:val="003775AF"/>
    <w:rsid w:val="003775CE"/>
    <w:rsid w:val="00377B83"/>
    <w:rsid w:val="0038089B"/>
    <w:rsid w:val="003809F3"/>
    <w:rsid w:val="00380F64"/>
    <w:rsid w:val="00381FC2"/>
    <w:rsid w:val="003822F4"/>
    <w:rsid w:val="00382F9E"/>
    <w:rsid w:val="003830CF"/>
    <w:rsid w:val="00383723"/>
    <w:rsid w:val="00383780"/>
    <w:rsid w:val="00383BFD"/>
    <w:rsid w:val="00383D33"/>
    <w:rsid w:val="00383F9C"/>
    <w:rsid w:val="003843B8"/>
    <w:rsid w:val="00384C2D"/>
    <w:rsid w:val="00384CAC"/>
    <w:rsid w:val="00385688"/>
    <w:rsid w:val="00385FFE"/>
    <w:rsid w:val="00386268"/>
    <w:rsid w:val="00386A71"/>
    <w:rsid w:val="00386F84"/>
    <w:rsid w:val="003878F0"/>
    <w:rsid w:val="00387B73"/>
    <w:rsid w:val="0039027F"/>
    <w:rsid w:val="00390B70"/>
    <w:rsid w:val="00391AA5"/>
    <w:rsid w:val="003922D8"/>
    <w:rsid w:val="00392606"/>
    <w:rsid w:val="00392A79"/>
    <w:rsid w:val="00392CE4"/>
    <w:rsid w:val="003931A6"/>
    <w:rsid w:val="00393AE9"/>
    <w:rsid w:val="00393CBC"/>
    <w:rsid w:val="0039424D"/>
    <w:rsid w:val="0039530A"/>
    <w:rsid w:val="00395860"/>
    <w:rsid w:val="00395870"/>
    <w:rsid w:val="003966EB"/>
    <w:rsid w:val="00396DF9"/>
    <w:rsid w:val="00396FA7"/>
    <w:rsid w:val="00397702"/>
    <w:rsid w:val="00397AE2"/>
    <w:rsid w:val="00397BE6"/>
    <w:rsid w:val="003A057B"/>
    <w:rsid w:val="003A0939"/>
    <w:rsid w:val="003A0CA8"/>
    <w:rsid w:val="003A0D56"/>
    <w:rsid w:val="003A0D84"/>
    <w:rsid w:val="003A1026"/>
    <w:rsid w:val="003A13B9"/>
    <w:rsid w:val="003A14FB"/>
    <w:rsid w:val="003A1EF4"/>
    <w:rsid w:val="003A20A6"/>
    <w:rsid w:val="003A20D3"/>
    <w:rsid w:val="003A231B"/>
    <w:rsid w:val="003A2591"/>
    <w:rsid w:val="003A2E6E"/>
    <w:rsid w:val="003A3301"/>
    <w:rsid w:val="003A3423"/>
    <w:rsid w:val="003A37F7"/>
    <w:rsid w:val="003A3E27"/>
    <w:rsid w:val="003A4236"/>
    <w:rsid w:val="003A430F"/>
    <w:rsid w:val="003A471E"/>
    <w:rsid w:val="003A4915"/>
    <w:rsid w:val="003A4CC8"/>
    <w:rsid w:val="003A4DCE"/>
    <w:rsid w:val="003A55C3"/>
    <w:rsid w:val="003A57F9"/>
    <w:rsid w:val="003A617D"/>
    <w:rsid w:val="003A6331"/>
    <w:rsid w:val="003A659F"/>
    <w:rsid w:val="003A73A5"/>
    <w:rsid w:val="003A76F7"/>
    <w:rsid w:val="003A7846"/>
    <w:rsid w:val="003A7A54"/>
    <w:rsid w:val="003A7C5A"/>
    <w:rsid w:val="003A7DA3"/>
    <w:rsid w:val="003B00B5"/>
    <w:rsid w:val="003B0247"/>
    <w:rsid w:val="003B0287"/>
    <w:rsid w:val="003B0358"/>
    <w:rsid w:val="003B12E7"/>
    <w:rsid w:val="003B13FF"/>
    <w:rsid w:val="003B1628"/>
    <w:rsid w:val="003B1CAB"/>
    <w:rsid w:val="003B290C"/>
    <w:rsid w:val="003B294F"/>
    <w:rsid w:val="003B3103"/>
    <w:rsid w:val="003B323C"/>
    <w:rsid w:val="003B3295"/>
    <w:rsid w:val="003B3A9B"/>
    <w:rsid w:val="003B3E86"/>
    <w:rsid w:val="003B3F24"/>
    <w:rsid w:val="003B4011"/>
    <w:rsid w:val="003B42FC"/>
    <w:rsid w:val="003B43FD"/>
    <w:rsid w:val="003B498B"/>
    <w:rsid w:val="003B540A"/>
    <w:rsid w:val="003B5901"/>
    <w:rsid w:val="003B5C6C"/>
    <w:rsid w:val="003B644C"/>
    <w:rsid w:val="003B658C"/>
    <w:rsid w:val="003B6FC6"/>
    <w:rsid w:val="003B7104"/>
    <w:rsid w:val="003B725D"/>
    <w:rsid w:val="003B735F"/>
    <w:rsid w:val="003B73E1"/>
    <w:rsid w:val="003B743A"/>
    <w:rsid w:val="003B7629"/>
    <w:rsid w:val="003B77DD"/>
    <w:rsid w:val="003B78DB"/>
    <w:rsid w:val="003B7EF4"/>
    <w:rsid w:val="003C0119"/>
    <w:rsid w:val="003C039C"/>
    <w:rsid w:val="003C06C9"/>
    <w:rsid w:val="003C06D6"/>
    <w:rsid w:val="003C094B"/>
    <w:rsid w:val="003C0AA2"/>
    <w:rsid w:val="003C141C"/>
    <w:rsid w:val="003C15D3"/>
    <w:rsid w:val="003C1C5E"/>
    <w:rsid w:val="003C2390"/>
    <w:rsid w:val="003C23D3"/>
    <w:rsid w:val="003C2A2C"/>
    <w:rsid w:val="003C2FFD"/>
    <w:rsid w:val="003C3300"/>
    <w:rsid w:val="003C3FF9"/>
    <w:rsid w:val="003C447A"/>
    <w:rsid w:val="003C46AF"/>
    <w:rsid w:val="003C48D6"/>
    <w:rsid w:val="003C5583"/>
    <w:rsid w:val="003C568B"/>
    <w:rsid w:val="003C631E"/>
    <w:rsid w:val="003C63B5"/>
    <w:rsid w:val="003C6974"/>
    <w:rsid w:val="003C6B34"/>
    <w:rsid w:val="003C7CA4"/>
    <w:rsid w:val="003D01C8"/>
    <w:rsid w:val="003D08C1"/>
    <w:rsid w:val="003D0AE3"/>
    <w:rsid w:val="003D0C19"/>
    <w:rsid w:val="003D1077"/>
    <w:rsid w:val="003D1632"/>
    <w:rsid w:val="003D2693"/>
    <w:rsid w:val="003D2B37"/>
    <w:rsid w:val="003D2C0C"/>
    <w:rsid w:val="003D2C4A"/>
    <w:rsid w:val="003D30ED"/>
    <w:rsid w:val="003D3302"/>
    <w:rsid w:val="003D33FA"/>
    <w:rsid w:val="003D34B7"/>
    <w:rsid w:val="003D3F64"/>
    <w:rsid w:val="003D43AC"/>
    <w:rsid w:val="003D4BCE"/>
    <w:rsid w:val="003D4DAE"/>
    <w:rsid w:val="003D541D"/>
    <w:rsid w:val="003D548C"/>
    <w:rsid w:val="003D5E50"/>
    <w:rsid w:val="003D5EAA"/>
    <w:rsid w:val="003D5F29"/>
    <w:rsid w:val="003D5F73"/>
    <w:rsid w:val="003D607D"/>
    <w:rsid w:val="003D65BD"/>
    <w:rsid w:val="003D661F"/>
    <w:rsid w:val="003E03BE"/>
    <w:rsid w:val="003E046C"/>
    <w:rsid w:val="003E0539"/>
    <w:rsid w:val="003E0AE8"/>
    <w:rsid w:val="003E0F17"/>
    <w:rsid w:val="003E2378"/>
    <w:rsid w:val="003E2736"/>
    <w:rsid w:val="003E2F3F"/>
    <w:rsid w:val="003E3120"/>
    <w:rsid w:val="003E321C"/>
    <w:rsid w:val="003E385D"/>
    <w:rsid w:val="003E38F1"/>
    <w:rsid w:val="003E39F0"/>
    <w:rsid w:val="003E3EAC"/>
    <w:rsid w:val="003E3F05"/>
    <w:rsid w:val="003E4E3B"/>
    <w:rsid w:val="003E4F22"/>
    <w:rsid w:val="003E511A"/>
    <w:rsid w:val="003E513F"/>
    <w:rsid w:val="003E5BF0"/>
    <w:rsid w:val="003E5E63"/>
    <w:rsid w:val="003E60AF"/>
    <w:rsid w:val="003E6A49"/>
    <w:rsid w:val="003E6AD6"/>
    <w:rsid w:val="003E6C28"/>
    <w:rsid w:val="003E6C8B"/>
    <w:rsid w:val="003E6F73"/>
    <w:rsid w:val="003E7071"/>
    <w:rsid w:val="003F00B8"/>
    <w:rsid w:val="003F0105"/>
    <w:rsid w:val="003F0428"/>
    <w:rsid w:val="003F06B9"/>
    <w:rsid w:val="003F12B1"/>
    <w:rsid w:val="003F1933"/>
    <w:rsid w:val="003F1D82"/>
    <w:rsid w:val="003F1E20"/>
    <w:rsid w:val="003F239B"/>
    <w:rsid w:val="003F2722"/>
    <w:rsid w:val="003F2868"/>
    <w:rsid w:val="003F29B9"/>
    <w:rsid w:val="003F3224"/>
    <w:rsid w:val="003F3323"/>
    <w:rsid w:val="003F3693"/>
    <w:rsid w:val="003F392A"/>
    <w:rsid w:val="003F3BB7"/>
    <w:rsid w:val="003F3D18"/>
    <w:rsid w:val="003F3D29"/>
    <w:rsid w:val="003F48B9"/>
    <w:rsid w:val="003F492D"/>
    <w:rsid w:val="003F4D97"/>
    <w:rsid w:val="003F4FE2"/>
    <w:rsid w:val="003F5191"/>
    <w:rsid w:val="003F53A6"/>
    <w:rsid w:val="003F5D0C"/>
    <w:rsid w:val="003F63ED"/>
    <w:rsid w:val="003F6522"/>
    <w:rsid w:val="003F7127"/>
    <w:rsid w:val="003F758B"/>
    <w:rsid w:val="003F7920"/>
    <w:rsid w:val="003F7A43"/>
    <w:rsid w:val="003F7AE3"/>
    <w:rsid w:val="004000C2"/>
    <w:rsid w:val="0040044A"/>
    <w:rsid w:val="0040067D"/>
    <w:rsid w:val="004008E9"/>
    <w:rsid w:val="00400C39"/>
    <w:rsid w:val="00400E5F"/>
    <w:rsid w:val="00400F6A"/>
    <w:rsid w:val="00400FD7"/>
    <w:rsid w:val="004018EF"/>
    <w:rsid w:val="00401C0B"/>
    <w:rsid w:val="00401E07"/>
    <w:rsid w:val="004028A8"/>
    <w:rsid w:val="00402919"/>
    <w:rsid w:val="00402B71"/>
    <w:rsid w:val="00402C6A"/>
    <w:rsid w:val="00402EE7"/>
    <w:rsid w:val="0040306A"/>
    <w:rsid w:val="00403342"/>
    <w:rsid w:val="00403937"/>
    <w:rsid w:val="00403D2C"/>
    <w:rsid w:val="00403F7C"/>
    <w:rsid w:val="00404259"/>
    <w:rsid w:val="004043DB"/>
    <w:rsid w:val="00404C70"/>
    <w:rsid w:val="004054B3"/>
    <w:rsid w:val="00405835"/>
    <w:rsid w:val="004058EA"/>
    <w:rsid w:val="004063EE"/>
    <w:rsid w:val="0040699A"/>
    <w:rsid w:val="004069EB"/>
    <w:rsid w:val="00406A14"/>
    <w:rsid w:val="00406C30"/>
    <w:rsid w:val="00406DA9"/>
    <w:rsid w:val="00407521"/>
    <w:rsid w:val="004107DD"/>
    <w:rsid w:val="004108BC"/>
    <w:rsid w:val="00410ACD"/>
    <w:rsid w:val="00411041"/>
    <w:rsid w:val="0041109D"/>
    <w:rsid w:val="00411AF9"/>
    <w:rsid w:val="00411C4E"/>
    <w:rsid w:val="0041268A"/>
    <w:rsid w:val="00412A67"/>
    <w:rsid w:val="00412C6F"/>
    <w:rsid w:val="0041303F"/>
    <w:rsid w:val="00413589"/>
    <w:rsid w:val="00413955"/>
    <w:rsid w:val="0041480A"/>
    <w:rsid w:val="0041483E"/>
    <w:rsid w:val="00414D9A"/>
    <w:rsid w:val="00415396"/>
    <w:rsid w:val="00415659"/>
    <w:rsid w:val="00415A55"/>
    <w:rsid w:val="00415F13"/>
    <w:rsid w:val="00416C0A"/>
    <w:rsid w:val="00416D7C"/>
    <w:rsid w:val="004171B2"/>
    <w:rsid w:val="004172EF"/>
    <w:rsid w:val="00417DF6"/>
    <w:rsid w:val="004202DD"/>
    <w:rsid w:val="0042037B"/>
    <w:rsid w:val="00420A2C"/>
    <w:rsid w:val="00420C47"/>
    <w:rsid w:val="00420D67"/>
    <w:rsid w:val="00420E30"/>
    <w:rsid w:val="00421308"/>
    <w:rsid w:val="00421A83"/>
    <w:rsid w:val="00421D08"/>
    <w:rsid w:val="00421FD0"/>
    <w:rsid w:val="00422277"/>
    <w:rsid w:val="004224B3"/>
    <w:rsid w:val="00422804"/>
    <w:rsid w:val="004231D7"/>
    <w:rsid w:val="0042349D"/>
    <w:rsid w:val="00423876"/>
    <w:rsid w:val="004238BD"/>
    <w:rsid w:val="00423A41"/>
    <w:rsid w:val="00423BA5"/>
    <w:rsid w:val="00423C1D"/>
    <w:rsid w:val="00423CCC"/>
    <w:rsid w:val="00423D26"/>
    <w:rsid w:val="00423E4D"/>
    <w:rsid w:val="00424295"/>
    <w:rsid w:val="004252C3"/>
    <w:rsid w:val="004256CF"/>
    <w:rsid w:val="00425F26"/>
    <w:rsid w:val="00425F27"/>
    <w:rsid w:val="00427550"/>
    <w:rsid w:val="00427EF9"/>
    <w:rsid w:val="00430168"/>
    <w:rsid w:val="004302B1"/>
    <w:rsid w:val="0043042C"/>
    <w:rsid w:val="00430B99"/>
    <w:rsid w:val="00432049"/>
    <w:rsid w:val="00432240"/>
    <w:rsid w:val="004326AD"/>
    <w:rsid w:val="004326DC"/>
    <w:rsid w:val="00432774"/>
    <w:rsid w:val="004327DB"/>
    <w:rsid w:val="00432BD0"/>
    <w:rsid w:val="00432FE1"/>
    <w:rsid w:val="00433024"/>
    <w:rsid w:val="00433318"/>
    <w:rsid w:val="00433846"/>
    <w:rsid w:val="00433B45"/>
    <w:rsid w:val="00433D75"/>
    <w:rsid w:val="00433E4C"/>
    <w:rsid w:val="004344D0"/>
    <w:rsid w:val="00434916"/>
    <w:rsid w:val="004350AB"/>
    <w:rsid w:val="004356F7"/>
    <w:rsid w:val="00435972"/>
    <w:rsid w:val="00435F59"/>
    <w:rsid w:val="00436862"/>
    <w:rsid w:val="004373A6"/>
    <w:rsid w:val="0043757E"/>
    <w:rsid w:val="00437716"/>
    <w:rsid w:val="00440045"/>
    <w:rsid w:val="00440225"/>
    <w:rsid w:val="00440386"/>
    <w:rsid w:val="004403F8"/>
    <w:rsid w:val="0044072F"/>
    <w:rsid w:val="00440F51"/>
    <w:rsid w:val="00441224"/>
    <w:rsid w:val="004415CE"/>
    <w:rsid w:val="0044177A"/>
    <w:rsid w:val="0044205F"/>
    <w:rsid w:val="004428CA"/>
    <w:rsid w:val="004429E4"/>
    <w:rsid w:val="00442B45"/>
    <w:rsid w:val="004434AC"/>
    <w:rsid w:val="004435EA"/>
    <w:rsid w:val="00443B07"/>
    <w:rsid w:val="00444241"/>
    <w:rsid w:val="00444CF4"/>
    <w:rsid w:val="00444DCA"/>
    <w:rsid w:val="00444E08"/>
    <w:rsid w:val="0044537C"/>
    <w:rsid w:val="00445547"/>
    <w:rsid w:val="00445B07"/>
    <w:rsid w:val="00445B76"/>
    <w:rsid w:val="00445B92"/>
    <w:rsid w:val="00445D10"/>
    <w:rsid w:val="004465CC"/>
    <w:rsid w:val="004466D6"/>
    <w:rsid w:val="004467D6"/>
    <w:rsid w:val="00446B97"/>
    <w:rsid w:val="00446F01"/>
    <w:rsid w:val="00446F8C"/>
    <w:rsid w:val="0044706B"/>
    <w:rsid w:val="004476BB"/>
    <w:rsid w:val="004476C4"/>
    <w:rsid w:val="004476D9"/>
    <w:rsid w:val="00447DE4"/>
    <w:rsid w:val="00447E38"/>
    <w:rsid w:val="00447E6F"/>
    <w:rsid w:val="004504BF"/>
    <w:rsid w:val="004506EB"/>
    <w:rsid w:val="00450D78"/>
    <w:rsid w:val="004512D1"/>
    <w:rsid w:val="00451711"/>
    <w:rsid w:val="004518B2"/>
    <w:rsid w:val="00451997"/>
    <w:rsid w:val="00451A67"/>
    <w:rsid w:val="004520FB"/>
    <w:rsid w:val="00452286"/>
    <w:rsid w:val="00452289"/>
    <w:rsid w:val="0045231A"/>
    <w:rsid w:val="004526FD"/>
    <w:rsid w:val="00452894"/>
    <w:rsid w:val="00452A3A"/>
    <w:rsid w:val="00453196"/>
    <w:rsid w:val="004531F6"/>
    <w:rsid w:val="00453375"/>
    <w:rsid w:val="00453499"/>
    <w:rsid w:val="004536C5"/>
    <w:rsid w:val="00453961"/>
    <w:rsid w:val="00453B03"/>
    <w:rsid w:val="00453B69"/>
    <w:rsid w:val="00453FB6"/>
    <w:rsid w:val="0045404D"/>
    <w:rsid w:val="0045446C"/>
    <w:rsid w:val="0045465B"/>
    <w:rsid w:val="00454ACD"/>
    <w:rsid w:val="00454E14"/>
    <w:rsid w:val="004556AA"/>
    <w:rsid w:val="0045597A"/>
    <w:rsid w:val="00455D30"/>
    <w:rsid w:val="0045631E"/>
    <w:rsid w:val="004565EC"/>
    <w:rsid w:val="00456FC2"/>
    <w:rsid w:val="00457077"/>
    <w:rsid w:val="004576BD"/>
    <w:rsid w:val="00457814"/>
    <w:rsid w:val="00460167"/>
    <w:rsid w:val="0046041F"/>
    <w:rsid w:val="00461008"/>
    <w:rsid w:val="004611D3"/>
    <w:rsid w:val="00461294"/>
    <w:rsid w:val="004613F3"/>
    <w:rsid w:val="0046167F"/>
    <w:rsid w:val="004617EF"/>
    <w:rsid w:val="004619A4"/>
    <w:rsid w:val="00461A4B"/>
    <w:rsid w:val="00461A54"/>
    <w:rsid w:val="00461CCA"/>
    <w:rsid w:val="00462661"/>
    <w:rsid w:val="004631C2"/>
    <w:rsid w:val="00463491"/>
    <w:rsid w:val="004647B6"/>
    <w:rsid w:val="00464DDB"/>
    <w:rsid w:val="00466F9A"/>
    <w:rsid w:val="004675BA"/>
    <w:rsid w:val="00467C94"/>
    <w:rsid w:val="00470585"/>
    <w:rsid w:val="00470D3E"/>
    <w:rsid w:val="004711A2"/>
    <w:rsid w:val="0047179A"/>
    <w:rsid w:val="00471B26"/>
    <w:rsid w:val="00471C97"/>
    <w:rsid w:val="00471DA2"/>
    <w:rsid w:val="00471DA9"/>
    <w:rsid w:val="00471F8E"/>
    <w:rsid w:val="004724BF"/>
    <w:rsid w:val="0047268D"/>
    <w:rsid w:val="00472A0E"/>
    <w:rsid w:val="0047319C"/>
    <w:rsid w:val="004734C0"/>
    <w:rsid w:val="004736CE"/>
    <w:rsid w:val="00473C49"/>
    <w:rsid w:val="004742C9"/>
    <w:rsid w:val="00474DCB"/>
    <w:rsid w:val="0047536B"/>
    <w:rsid w:val="0047542A"/>
    <w:rsid w:val="00475D4F"/>
    <w:rsid w:val="00475DFA"/>
    <w:rsid w:val="00476572"/>
    <w:rsid w:val="00476A08"/>
    <w:rsid w:val="00476F13"/>
    <w:rsid w:val="004772A2"/>
    <w:rsid w:val="004775B7"/>
    <w:rsid w:val="00478836"/>
    <w:rsid w:val="0047D039"/>
    <w:rsid w:val="0048045A"/>
    <w:rsid w:val="004805DC"/>
    <w:rsid w:val="00480715"/>
    <w:rsid w:val="00480D19"/>
    <w:rsid w:val="00481435"/>
    <w:rsid w:val="004817F5"/>
    <w:rsid w:val="00481E03"/>
    <w:rsid w:val="00482527"/>
    <w:rsid w:val="00482C6E"/>
    <w:rsid w:val="004830B9"/>
    <w:rsid w:val="00483524"/>
    <w:rsid w:val="004839BE"/>
    <w:rsid w:val="00483E15"/>
    <w:rsid w:val="004844D6"/>
    <w:rsid w:val="00484935"/>
    <w:rsid w:val="004858CE"/>
    <w:rsid w:val="00485971"/>
    <w:rsid w:val="004862D2"/>
    <w:rsid w:val="004863CE"/>
    <w:rsid w:val="00486774"/>
    <w:rsid w:val="00486918"/>
    <w:rsid w:val="00486B49"/>
    <w:rsid w:val="00486B88"/>
    <w:rsid w:val="0048707E"/>
    <w:rsid w:val="004870E4"/>
    <w:rsid w:val="00487A67"/>
    <w:rsid w:val="00491147"/>
    <w:rsid w:val="004911D8"/>
    <w:rsid w:val="00491636"/>
    <w:rsid w:val="00491DAD"/>
    <w:rsid w:val="00492701"/>
    <w:rsid w:val="00492983"/>
    <w:rsid w:val="00492BA6"/>
    <w:rsid w:val="00492FCF"/>
    <w:rsid w:val="004934A6"/>
    <w:rsid w:val="00493A3E"/>
    <w:rsid w:val="004940BF"/>
    <w:rsid w:val="004940CD"/>
    <w:rsid w:val="00494125"/>
    <w:rsid w:val="00494A6A"/>
    <w:rsid w:val="0049537B"/>
    <w:rsid w:val="00495443"/>
    <w:rsid w:val="00495551"/>
    <w:rsid w:val="00495754"/>
    <w:rsid w:val="00496116"/>
    <w:rsid w:val="004966C6"/>
    <w:rsid w:val="00496C19"/>
    <w:rsid w:val="00497A12"/>
    <w:rsid w:val="00497AE9"/>
    <w:rsid w:val="00497E6D"/>
    <w:rsid w:val="004A0614"/>
    <w:rsid w:val="004A0CB0"/>
    <w:rsid w:val="004A0DE2"/>
    <w:rsid w:val="004A141B"/>
    <w:rsid w:val="004A14B8"/>
    <w:rsid w:val="004A1643"/>
    <w:rsid w:val="004A1694"/>
    <w:rsid w:val="004A1CAD"/>
    <w:rsid w:val="004A1D85"/>
    <w:rsid w:val="004A2126"/>
    <w:rsid w:val="004A253D"/>
    <w:rsid w:val="004A2C3A"/>
    <w:rsid w:val="004A2D43"/>
    <w:rsid w:val="004A2E89"/>
    <w:rsid w:val="004A3326"/>
    <w:rsid w:val="004A3330"/>
    <w:rsid w:val="004A34AA"/>
    <w:rsid w:val="004A353A"/>
    <w:rsid w:val="004A35AC"/>
    <w:rsid w:val="004A3753"/>
    <w:rsid w:val="004A39D7"/>
    <w:rsid w:val="004A3AE0"/>
    <w:rsid w:val="004A40B8"/>
    <w:rsid w:val="004A42A2"/>
    <w:rsid w:val="004A4B40"/>
    <w:rsid w:val="004A4EC6"/>
    <w:rsid w:val="004A52DE"/>
    <w:rsid w:val="004A52FA"/>
    <w:rsid w:val="004A5D8A"/>
    <w:rsid w:val="004A61BF"/>
    <w:rsid w:val="004A638E"/>
    <w:rsid w:val="004A7581"/>
    <w:rsid w:val="004A768C"/>
    <w:rsid w:val="004A7A3F"/>
    <w:rsid w:val="004B083B"/>
    <w:rsid w:val="004B09FE"/>
    <w:rsid w:val="004B0A10"/>
    <w:rsid w:val="004B1666"/>
    <w:rsid w:val="004B22CF"/>
    <w:rsid w:val="004B252B"/>
    <w:rsid w:val="004B2A6A"/>
    <w:rsid w:val="004B2FEE"/>
    <w:rsid w:val="004B321F"/>
    <w:rsid w:val="004B3B31"/>
    <w:rsid w:val="004B3D03"/>
    <w:rsid w:val="004B3E73"/>
    <w:rsid w:val="004B44D6"/>
    <w:rsid w:val="004B4615"/>
    <w:rsid w:val="004B498C"/>
    <w:rsid w:val="004B4D36"/>
    <w:rsid w:val="004B4EEE"/>
    <w:rsid w:val="004B5331"/>
    <w:rsid w:val="004B5896"/>
    <w:rsid w:val="004B647C"/>
    <w:rsid w:val="004B6D6D"/>
    <w:rsid w:val="004B7A4E"/>
    <w:rsid w:val="004C07F1"/>
    <w:rsid w:val="004C0EB1"/>
    <w:rsid w:val="004C135D"/>
    <w:rsid w:val="004C1D27"/>
    <w:rsid w:val="004C1FBD"/>
    <w:rsid w:val="004C2BC3"/>
    <w:rsid w:val="004C3EDB"/>
    <w:rsid w:val="004C3EFA"/>
    <w:rsid w:val="004C514E"/>
    <w:rsid w:val="004C5F10"/>
    <w:rsid w:val="004C6348"/>
    <w:rsid w:val="004C6952"/>
    <w:rsid w:val="004C7159"/>
    <w:rsid w:val="004C7A31"/>
    <w:rsid w:val="004C7D6F"/>
    <w:rsid w:val="004D0094"/>
    <w:rsid w:val="004D021D"/>
    <w:rsid w:val="004D09F7"/>
    <w:rsid w:val="004D1248"/>
    <w:rsid w:val="004D337B"/>
    <w:rsid w:val="004D3594"/>
    <w:rsid w:val="004D3605"/>
    <w:rsid w:val="004D3F22"/>
    <w:rsid w:val="004D45C9"/>
    <w:rsid w:val="004D47B9"/>
    <w:rsid w:val="004D4A50"/>
    <w:rsid w:val="004D526B"/>
    <w:rsid w:val="004D555C"/>
    <w:rsid w:val="004D5904"/>
    <w:rsid w:val="004D5A07"/>
    <w:rsid w:val="004D5A14"/>
    <w:rsid w:val="004D5CBC"/>
    <w:rsid w:val="004D6133"/>
    <w:rsid w:val="004D63E5"/>
    <w:rsid w:val="004D6672"/>
    <w:rsid w:val="004D69E5"/>
    <w:rsid w:val="004D711F"/>
    <w:rsid w:val="004D7228"/>
    <w:rsid w:val="004D7F25"/>
    <w:rsid w:val="004E0D34"/>
    <w:rsid w:val="004E1072"/>
    <w:rsid w:val="004E1080"/>
    <w:rsid w:val="004E14B0"/>
    <w:rsid w:val="004E1BFF"/>
    <w:rsid w:val="004E1E28"/>
    <w:rsid w:val="004E1EB5"/>
    <w:rsid w:val="004E2ED7"/>
    <w:rsid w:val="004E360E"/>
    <w:rsid w:val="004E3904"/>
    <w:rsid w:val="004E3F18"/>
    <w:rsid w:val="004E4181"/>
    <w:rsid w:val="004E43DD"/>
    <w:rsid w:val="004E464B"/>
    <w:rsid w:val="004E4EE6"/>
    <w:rsid w:val="004E4FA3"/>
    <w:rsid w:val="004E52C8"/>
    <w:rsid w:val="004E54FC"/>
    <w:rsid w:val="004E55C9"/>
    <w:rsid w:val="004E5819"/>
    <w:rsid w:val="004E5863"/>
    <w:rsid w:val="004E60FF"/>
    <w:rsid w:val="004E6D16"/>
    <w:rsid w:val="004E7BC9"/>
    <w:rsid w:val="004E7C8E"/>
    <w:rsid w:val="004F0596"/>
    <w:rsid w:val="004F0626"/>
    <w:rsid w:val="004F0858"/>
    <w:rsid w:val="004F13E0"/>
    <w:rsid w:val="004F19A6"/>
    <w:rsid w:val="004F1AA7"/>
    <w:rsid w:val="004F1EC3"/>
    <w:rsid w:val="004F235F"/>
    <w:rsid w:val="004F270F"/>
    <w:rsid w:val="004F2C60"/>
    <w:rsid w:val="004F2CB7"/>
    <w:rsid w:val="004F2E6A"/>
    <w:rsid w:val="004F3E48"/>
    <w:rsid w:val="004F41B7"/>
    <w:rsid w:val="004F4268"/>
    <w:rsid w:val="004F43EB"/>
    <w:rsid w:val="004F45DA"/>
    <w:rsid w:val="004F4CB4"/>
    <w:rsid w:val="004F5461"/>
    <w:rsid w:val="004F6AA5"/>
    <w:rsid w:val="004F70AC"/>
    <w:rsid w:val="004F7196"/>
    <w:rsid w:val="005004EE"/>
    <w:rsid w:val="005007FA"/>
    <w:rsid w:val="005009CF"/>
    <w:rsid w:val="00500DDE"/>
    <w:rsid w:val="00500F5E"/>
    <w:rsid w:val="005012FC"/>
    <w:rsid w:val="00501E1E"/>
    <w:rsid w:val="00502060"/>
    <w:rsid w:val="005026DE"/>
    <w:rsid w:val="005026E8"/>
    <w:rsid w:val="00502CD8"/>
    <w:rsid w:val="00502E44"/>
    <w:rsid w:val="00502FB8"/>
    <w:rsid w:val="005030A1"/>
    <w:rsid w:val="00503175"/>
    <w:rsid w:val="00503254"/>
    <w:rsid w:val="00503BD0"/>
    <w:rsid w:val="00503D25"/>
    <w:rsid w:val="0050416B"/>
    <w:rsid w:val="00504AEE"/>
    <w:rsid w:val="00504C0D"/>
    <w:rsid w:val="00504D67"/>
    <w:rsid w:val="00505170"/>
    <w:rsid w:val="00505320"/>
    <w:rsid w:val="0050532B"/>
    <w:rsid w:val="00505915"/>
    <w:rsid w:val="00505D3B"/>
    <w:rsid w:val="00506E67"/>
    <w:rsid w:val="00506E81"/>
    <w:rsid w:val="0050766B"/>
    <w:rsid w:val="0050794A"/>
    <w:rsid w:val="00507E2E"/>
    <w:rsid w:val="00510ED7"/>
    <w:rsid w:val="00511134"/>
    <w:rsid w:val="005111F7"/>
    <w:rsid w:val="00511286"/>
    <w:rsid w:val="005117F6"/>
    <w:rsid w:val="00511931"/>
    <w:rsid w:val="00512384"/>
    <w:rsid w:val="005125D2"/>
    <w:rsid w:val="00512AA1"/>
    <w:rsid w:val="00513B93"/>
    <w:rsid w:val="00513ED6"/>
    <w:rsid w:val="00514606"/>
    <w:rsid w:val="00514761"/>
    <w:rsid w:val="00514B33"/>
    <w:rsid w:val="005152E4"/>
    <w:rsid w:val="00515A18"/>
    <w:rsid w:val="005160B0"/>
    <w:rsid w:val="00516732"/>
    <w:rsid w:val="0051720A"/>
    <w:rsid w:val="005176C6"/>
    <w:rsid w:val="0051798D"/>
    <w:rsid w:val="00517C5C"/>
    <w:rsid w:val="00519D74"/>
    <w:rsid w:val="005201FE"/>
    <w:rsid w:val="00520216"/>
    <w:rsid w:val="00520834"/>
    <w:rsid w:val="005208DE"/>
    <w:rsid w:val="005212D2"/>
    <w:rsid w:val="00522183"/>
    <w:rsid w:val="00522500"/>
    <w:rsid w:val="00522D44"/>
    <w:rsid w:val="00522F61"/>
    <w:rsid w:val="0052343E"/>
    <w:rsid w:val="0052351C"/>
    <w:rsid w:val="005244FF"/>
    <w:rsid w:val="00524A0B"/>
    <w:rsid w:val="00524C83"/>
    <w:rsid w:val="00525869"/>
    <w:rsid w:val="005262C3"/>
    <w:rsid w:val="00526534"/>
    <w:rsid w:val="005265C1"/>
    <w:rsid w:val="00526D8E"/>
    <w:rsid w:val="005273AC"/>
    <w:rsid w:val="00527703"/>
    <w:rsid w:val="00527EEF"/>
    <w:rsid w:val="00527FA4"/>
    <w:rsid w:val="005307B3"/>
    <w:rsid w:val="00530C90"/>
    <w:rsid w:val="00530FB9"/>
    <w:rsid w:val="0053112A"/>
    <w:rsid w:val="0053254B"/>
    <w:rsid w:val="005334A9"/>
    <w:rsid w:val="00533800"/>
    <w:rsid w:val="005338E3"/>
    <w:rsid w:val="00533A2D"/>
    <w:rsid w:val="00533C8A"/>
    <w:rsid w:val="00533EC4"/>
    <w:rsid w:val="00534423"/>
    <w:rsid w:val="00534576"/>
    <w:rsid w:val="005351E8"/>
    <w:rsid w:val="0053594F"/>
    <w:rsid w:val="00535FB0"/>
    <w:rsid w:val="00536042"/>
    <w:rsid w:val="005360C3"/>
    <w:rsid w:val="00536777"/>
    <w:rsid w:val="00536822"/>
    <w:rsid w:val="00536F06"/>
    <w:rsid w:val="005374BC"/>
    <w:rsid w:val="0053777A"/>
    <w:rsid w:val="00537EF7"/>
    <w:rsid w:val="005402A7"/>
    <w:rsid w:val="005402CB"/>
    <w:rsid w:val="00540B00"/>
    <w:rsid w:val="0054133C"/>
    <w:rsid w:val="0054218E"/>
    <w:rsid w:val="005425D3"/>
    <w:rsid w:val="00542BAB"/>
    <w:rsid w:val="00542CB3"/>
    <w:rsid w:val="005430B8"/>
    <w:rsid w:val="0054314E"/>
    <w:rsid w:val="00543463"/>
    <w:rsid w:val="00543820"/>
    <w:rsid w:val="00543C2A"/>
    <w:rsid w:val="00543E15"/>
    <w:rsid w:val="00544465"/>
    <w:rsid w:val="0054483C"/>
    <w:rsid w:val="005448F8"/>
    <w:rsid w:val="00544A75"/>
    <w:rsid w:val="00545032"/>
    <w:rsid w:val="00545171"/>
    <w:rsid w:val="005451B8"/>
    <w:rsid w:val="00545381"/>
    <w:rsid w:val="0054580B"/>
    <w:rsid w:val="005459ED"/>
    <w:rsid w:val="00545B7D"/>
    <w:rsid w:val="00545DC1"/>
    <w:rsid w:val="005460A6"/>
    <w:rsid w:val="0054623F"/>
    <w:rsid w:val="005467D0"/>
    <w:rsid w:val="00546A7A"/>
    <w:rsid w:val="00546C59"/>
    <w:rsid w:val="00546DE3"/>
    <w:rsid w:val="0054753C"/>
    <w:rsid w:val="00547DBE"/>
    <w:rsid w:val="00547FBA"/>
    <w:rsid w:val="005500B2"/>
    <w:rsid w:val="005501A6"/>
    <w:rsid w:val="005502F9"/>
    <w:rsid w:val="00550386"/>
    <w:rsid w:val="0055046F"/>
    <w:rsid w:val="00551120"/>
    <w:rsid w:val="00551375"/>
    <w:rsid w:val="0055164E"/>
    <w:rsid w:val="00551B54"/>
    <w:rsid w:val="00552185"/>
    <w:rsid w:val="0055241C"/>
    <w:rsid w:val="00552429"/>
    <w:rsid w:val="00552788"/>
    <w:rsid w:val="005529D4"/>
    <w:rsid w:val="00552EA7"/>
    <w:rsid w:val="00552F30"/>
    <w:rsid w:val="00553698"/>
    <w:rsid w:val="005536CC"/>
    <w:rsid w:val="00554390"/>
    <w:rsid w:val="005546D8"/>
    <w:rsid w:val="00554878"/>
    <w:rsid w:val="00554BE1"/>
    <w:rsid w:val="00554ED3"/>
    <w:rsid w:val="00555141"/>
    <w:rsid w:val="0055546A"/>
    <w:rsid w:val="00555565"/>
    <w:rsid w:val="00555749"/>
    <w:rsid w:val="00555A30"/>
    <w:rsid w:val="00555B23"/>
    <w:rsid w:val="00555FDF"/>
    <w:rsid w:val="005562E4"/>
    <w:rsid w:val="005566FC"/>
    <w:rsid w:val="00557134"/>
    <w:rsid w:val="005574C0"/>
    <w:rsid w:val="0055755D"/>
    <w:rsid w:val="0055771D"/>
    <w:rsid w:val="00557A64"/>
    <w:rsid w:val="0056037A"/>
    <w:rsid w:val="00561156"/>
    <w:rsid w:val="005613F9"/>
    <w:rsid w:val="005617BA"/>
    <w:rsid w:val="00561DD4"/>
    <w:rsid w:val="00561F9E"/>
    <w:rsid w:val="0056210F"/>
    <w:rsid w:val="00562137"/>
    <w:rsid w:val="00562997"/>
    <w:rsid w:val="005630D5"/>
    <w:rsid w:val="00563509"/>
    <w:rsid w:val="00564A82"/>
    <w:rsid w:val="00564F13"/>
    <w:rsid w:val="00564FD6"/>
    <w:rsid w:val="00565C75"/>
    <w:rsid w:val="00566930"/>
    <w:rsid w:val="00567024"/>
    <w:rsid w:val="005670E2"/>
    <w:rsid w:val="005671ED"/>
    <w:rsid w:val="00567E65"/>
    <w:rsid w:val="0057037E"/>
    <w:rsid w:val="0057056D"/>
    <w:rsid w:val="00571581"/>
    <w:rsid w:val="005717A3"/>
    <w:rsid w:val="00571E3F"/>
    <w:rsid w:val="00571E9A"/>
    <w:rsid w:val="00571F36"/>
    <w:rsid w:val="00571F58"/>
    <w:rsid w:val="00572008"/>
    <w:rsid w:val="00572672"/>
    <w:rsid w:val="00572704"/>
    <w:rsid w:val="005728D8"/>
    <w:rsid w:val="005729AB"/>
    <w:rsid w:val="005730CC"/>
    <w:rsid w:val="00573332"/>
    <w:rsid w:val="005734BE"/>
    <w:rsid w:val="00573C86"/>
    <w:rsid w:val="0057426A"/>
    <w:rsid w:val="00574658"/>
    <w:rsid w:val="00574A9E"/>
    <w:rsid w:val="00575AE6"/>
    <w:rsid w:val="00575C31"/>
    <w:rsid w:val="0057683A"/>
    <w:rsid w:val="00576843"/>
    <w:rsid w:val="00577154"/>
    <w:rsid w:val="0057756C"/>
    <w:rsid w:val="005776AC"/>
    <w:rsid w:val="00577C51"/>
    <w:rsid w:val="00577F81"/>
    <w:rsid w:val="0058037F"/>
    <w:rsid w:val="00580A69"/>
    <w:rsid w:val="00581031"/>
    <w:rsid w:val="0058107B"/>
    <w:rsid w:val="00581303"/>
    <w:rsid w:val="005818BE"/>
    <w:rsid w:val="00581B96"/>
    <w:rsid w:val="005825DE"/>
    <w:rsid w:val="00582DC4"/>
    <w:rsid w:val="005831D7"/>
    <w:rsid w:val="0058426C"/>
    <w:rsid w:val="00584657"/>
    <w:rsid w:val="0058467D"/>
    <w:rsid w:val="00584763"/>
    <w:rsid w:val="00584970"/>
    <w:rsid w:val="005856DD"/>
    <w:rsid w:val="00585824"/>
    <w:rsid w:val="0058583E"/>
    <w:rsid w:val="00585B4F"/>
    <w:rsid w:val="00585D47"/>
    <w:rsid w:val="005861BC"/>
    <w:rsid w:val="005870ED"/>
    <w:rsid w:val="00587121"/>
    <w:rsid w:val="00587DE6"/>
    <w:rsid w:val="00590601"/>
    <w:rsid w:val="0059069C"/>
    <w:rsid w:val="00590BED"/>
    <w:rsid w:val="00590C35"/>
    <w:rsid w:val="00590CDA"/>
    <w:rsid w:val="005919FE"/>
    <w:rsid w:val="0059221D"/>
    <w:rsid w:val="005928DF"/>
    <w:rsid w:val="00592B59"/>
    <w:rsid w:val="00592E99"/>
    <w:rsid w:val="0059332D"/>
    <w:rsid w:val="005935C9"/>
    <w:rsid w:val="00593A6F"/>
    <w:rsid w:val="00593BA9"/>
    <w:rsid w:val="00593E31"/>
    <w:rsid w:val="00593E4E"/>
    <w:rsid w:val="00595915"/>
    <w:rsid w:val="005964E3"/>
    <w:rsid w:val="005964E9"/>
    <w:rsid w:val="005965C2"/>
    <w:rsid w:val="00596BC2"/>
    <w:rsid w:val="00597639"/>
    <w:rsid w:val="005977E6"/>
    <w:rsid w:val="00597996"/>
    <w:rsid w:val="005979C3"/>
    <w:rsid w:val="005A01E2"/>
    <w:rsid w:val="005A0239"/>
    <w:rsid w:val="005A0475"/>
    <w:rsid w:val="005A0587"/>
    <w:rsid w:val="005A0632"/>
    <w:rsid w:val="005A06E6"/>
    <w:rsid w:val="005A0D30"/>
    <w:rsid w:val="005A1109"/>
    <w:rsid w:val="005A1411"/>
    <w:rsid w:val="005A1CE3"/>
    <w:rsid w:val="005A1FF9"/>
    <w:rsid w:val="005A25F6"/>
    <w:rsid w:val="005A30A7"/>
    <w:rsid w:val="005A3AE1"/>
    <w:rsid w:val="005A41FD"/>
    <w:rsid w:val="005A4533"/>
    <w:rsid w:val="005A4593"/>
    <w:rsid w:val="005A468F"/>
    <w:rsid w:val="005A4876"/>
    <w:rsid w:val="005A4B51"/>
    <w:rsid w:val="005A5166"/>
    <w:rsid w:val="005A5769"/>
    <w:rsid w:val="005A580F"/>
    <w:rsid w:val="005A5B02"/>
    <w:rsid w:val="005A5B92"/>
    <w:rsid w:val="005A5E73"/>
    <w:rsid w:val="005A6216"/>
    <w:rsid w:val="005A6437"/>
    <w:rsid w:val="005A7277"/>
    <w:rsid w:val="005A76AA"/>
    <w:rsid w:val="005A779F"/>
    <w:rsid w:val="005A7950"/>
    <w:rsid w:val="005A7B5D"/>
    <w:rsid w:val="005B0726"/>
    <w:rsid w:val="005B0898"/>
    <w:rsid w:val="005B0968"/>
    <w:rsid w:val="005B1420"/>
    <w:rsid w:val="005B155E"/>
    <w:rsid w:val="005B18B8"/>
    <w:rsid w:val="005B1B11"/>
    <w:rsid w:val="005B1DC2"/>
    <w:rsid w:val="005B256A"/>
    <w:rsid w:val="005B28FF"/>
    <w:rsid w:val="005B2E4B"/>
    <w:rsid w:val="005B2E56"/>
    <w:rsid w:val="005B3067"/>
    <w:rsid w:val="005B340C"/>
    <w:rsid w:val="005B3A94"/>
    <w:rsid w:val="005B426F"/>
    <w:rsid w:val="005B4592"/>
    <w:rsid w:val="005B47BD"/>
    <w:rsid w:val="005B48EA"/>
    <w:rsid w:val="005B4C29"/>
    <w:rsid w:val="005B4C9F"/>
    <w:rsid w:val="005B5BD9"/>
    <w:rsid w:val="005B626F"/>
    <w:rsid w:val="005B65AD"/>
    <w:rsid w:val="005B69E6"/>
    <w:rsid w:val="005B6A65"/>
    <w:rsid w:val="005B7822"/>
    <w:rsid w:val="005B7EF6"/>
    <w:rsid w:val="005C02F1"/>
    <w:rsid w:val="005C13D2"/>
    <w:rsid w:val="005C1419"/>
    <w:rsid w:val="005C23F7"/>
    <w:rsid w:val="005C2710"/>
    <w:rsid w:val="005C294A"/>
    <w:rsid w:val="005C2D19"/>
    <w:rsid w:val="005C3249"/>
    <w:rsid w:val="005C331D"/>
    <w:rsid w:val="005C36C6"/>
    <w:rsid w:val="005C37A8"/>
    <w:rsid w:val="005C3EA5"/>
    <w:rsid w:val="005C490B"/>
    <w:rsid w:val="005C4961"/>
    <w:rsid w:val="005C4BF3"/>
    <w:rsid w:val="005C4BFA"/>
    <w:rsid w:val="005C5220"/>
    <w:rsid w:val="005C55C7"/>
    <w:rsid w:val="005C5F68"/>
    <w:rsid w:val="005C623D"/>
    <w:rsid w:val="005C68E1"/>
    <w:rsid w:val="005C6B1F"/>
    <w:rsid w:val="005C6BA5"/>
    <w:rsid w:val="005C7053"/>
    <w:rsid w:val="005C7580"/>
    <w:rsid w:val="005C75A5"/>
    <w:rsid w:val="005C7AB1"/>
    <w:rsid w:val="005C7CA1"/>
    <w:rsid w:val="005C7E64"/>
    <w:rsid w:val="005D05C4"/>
    <w:rsid w:val="005D05E9"/>
    <w:rsid w:val="005D0832"/>
    <w:rsid w:val="005D133A"/>
    <w:rsid w:val="005D1A13"/>
    <w:rsid w:val="005D1FF1"/>
    <w:rsid w:val="005D21C2"/>
    <w:rsid w:val="005D27F4"/>
    <w:rsid w:val="005D28C2"/>
    <w:rsid w:val="005D2BEA"/>
    <w:rsid w:val="005D300D"/>
    <w:rsid w:val="005D345A"/>
    <w:rsid w:val="005D34AE"/>
    <w:rsid w:val="005D36FA"/>
    <w:rsid w:val="005D3785"/>
    <w:rsid w:val="005D386D"/>
    <w:rsid w:val="005D3C87"/>
    <w:rsid w:val="005D3FB9"/>
    <w:rsid w:val="005D41C9"/>
    <w:rsid w:val="005D44DF"/>
    <w:rsid w:val="005D458B"/>
    <w:rsid w:val="005D46C6"/>
    <w:rsid w:val="005D4AAE"/>
    <w:rsid w:val="005D502F"/>
    <w:rsid w:val="005D6405"/>
    <w:rsid w:val="005D6A78"/>
    <w:rsid w:val="005D76FB"/>
    <w:rsid w:val="005D79AD"/>
    <w:rsid w:val="005D7D42"/>
    <w:rsid w:val="005E01D2"/>
    <w:rsid w:val="005E0678"/>
    <w:rsid w:val="005E1CE5"/>
    <w:rsid w:val="005E1E6D"/>
    <w:rsid w:val="005E23D0"/>
    <w:rsid w:val="005E269F"/>
    <w:rsid w:val="005E28AA"/>
    <w:rsid w:val="005E3317"/>
    <w:rsid w:val="005E3518"/>
    <w:rsid w:val="005E389D"/>
    <w:rsid w:val="005E3C27"/>
    <w:rsid w:val="005E3DB5"/>
    <w:rsid w:val="005E4704"/>
    <w:rsid w:val="005E4FED"/>
    <w:rsid w:val="005E5694"/>
    <w:rsid w:val="005E5852"/>
    <w:rsid w:val="005E5A1E"/>
    <w:rsid w:val="005E60E3"/>
    <w:rsid w:val="005E7065"/>
    <w:rsid w:val="005E7077"/>
    <w:rsid w:val="005F00B4"/>
    <w:rsid w:val="005F060C"/>
    <w:rsid w:val="005F0BFA"/>
    <w:rsid w:val="005F1318"/>
    <w:rsid w:val="005F18C2"/>
    <w:rsid w:val="005F20B0"/>
    <w:rsid w:val="005F2245"/>
    <w:rsid w:val="005F22CB"/>
    <w:rsid w:val="005F2E0A"/>
    <w:rsid w:val="005F3265"/>
    <w:rsid w:val="005F33B6"/>
    <w:rsid w:val="005F3513"/>
    <w:rsid w:val="005F3E40"/>
    <w:rsid w:val="005F41E8"/>
    <w:rsid w:val="005F4846"/>
    <w:rsid w:val="005F48ED"/>
    <w:rsid w:val="005F4B78"/>
    <w:rsid w:val="005F4B85"/>
    <w:rsid w:val="005F53E1"/>
    <w:rsid w:val="005F5DB5"/>
    <w:rsid w:val="005F5EB8"/>
    <w:rsid w:val="005F5EEA"/>
    <w:rsid w:val="005F782B"/>
    <w:rsid w:val="005F7FF7"/>
    <w:rsid w:val="00602060"/>
    <w:rsid w:val="00602FB8"/>
    <w:rsid w:val="00603D3B"/>
    <w:rsid w:val="00604019"/>
    <w:rsid w:val="00604401"/>
    <w:rsid w:val="00605336"/>
    <w:rsid w:val="006055F5"/>
    <w:rsid w:val="00605C4F"/>
    <w:rsid w:val="00606420"/>
    <w:rsid w:val="006066E3"/>
    <w:rsid w:val="00606928"/>
    <w:rsid w:val="00606D7F"/>
    <w:rsid w:val="00606FF6"/>
    <w:rsid w:val="00607120"/>
    <w:rsid w:val="00607CD8"/>
    <w:rsid w:val="00607D95"/>
    <w:rsid w:val="0061010E"/>
    <w:rsid w:val="006102AD"/>
    <w:rsid w:val="0061044E"/>
    <w:rsid w:val="00610FEE"/>
    <w:rsid w:val="00611682"/>
    <w:rsid w:val="00611B24"/>
    <w:rsid w:val="00611C8C"/>
    <w:rsid w:val="00611FD4"/>
    <w:rsid w:val="0061254F"/>
    <w:rsid w:val="00612E1C"/>
    <w:rsid w:val="0061311C"/>
    <w:rsid w:val="006136EC"/>
    <w:rsid w:val="00613FAB"/>
    <w:rsid w:val="006158B2"/>
    <w:rsid w:val="006159B8"/>
    <w:rsid w:val="00615E29"/>
    <w:rsid w:val="00615F2D"/>
    <w:rsid w:val="00615FA4"/>
    <w:rsid w:val="006160F3"/>
    <w:rsid w:val="00616195"/>
    <w:rsid w:val="006165C9"/>
    <w:rsid w:val="00616689"/>
    <w:rsid w:val="00616DF7"/>
    <w:rsid w:val="0061738C"/>
    <w:rsid w:val="006175F2"/>
    <w:rsid w:val="00617820"/>
    <w:rsid w:val="006202CE"/>
    <w:rsid w:val="00620C2E"/>
    <w:rsid w:val="00620EFB"/>
    <w:rsid w:val="00621745"/>
    <w:rsid w:val="00621859"/>
    <w:rsid w:val="006219D1"/>
    <w:rsid w:val="00621A95"/>
    <w:rsid w:val="006225FE"/>
    <w:rsid w:val="00622B1B"/>
    <w:rsid w:val="00622B92"/>
    <w:rsid w:val="00622D20"/>
    <w:rsid w:val="00622F09"/>
    <w:rsid w:val="00622F70"/>
    <w:rsid w:val="00622FDB"/>
    <w:rsid w:val="0062391D"/>
    <w:rsid w:val="00623A47"/>
    <w:rsid w:val="00623AC3"/>
    <w:rsid w:val="00623D36"/>
    <w:rsid w:val="00623DF0"/>
    <w:rsid w:val="006240BC"/>
    <w:rsid w:val="00624423"/>
    <w:rsid w:val="0062444B"/>
    <w:rsid w:val="00624A3A"/>
    <w:rsid w:val="006252F3"/>
    <w:rsid w:val="00625444"/>
    <w:rsid w:val="0062550C"/>
    <w:rsid w:val="00625E07"/>
    <w:rsid w:val="00625E0F"/>
    <w:rsid w:val="00626C65"/>
    <w:rsid w:val="00627721"/>
    <w:rsid w:val="006278D2"/>
    <w:rsid w:val="00627B9F"/>
    <w:rsid w:val="00630989"/>
    <w:rsid w:val="00630AD3"/>
    <w:rsid w:val="00630DCD"/>
    <w:rsid w:val="00630E62"/>
    <w:rsid w:val="00630F2B"/>
    <w:rsid w:val="0063157E"/>
    <w:rsid w:val="00632006"/>
    <w:rsid w:val="006320FF"/>
    <w:rsid w:val="00632115"/>
    <w:rsid w:val="0063211B"/>
    <w:rsid w:val="00632861"/>
    <w:rsid w:val="006328B4"/>
    <w:rsid w:val="00632CD4"/>
    <w:rsid w:val="00632E07"/>
    <w:rsid w:val="00632EE1"/>
    <w:rsid w:val="00633233"/>
    <w:rsid w:val="00633497"/>
    <w:rsid w:val="0063349D"/>
    <w:rsid w:val="006337D0"/>
    <w:rsid w:val="006339A9"/>
    <w:rsid w:val="00633E3E"/>
    <w:rsid w:val="006342BA"/>
    <w:rsid w:val="006345DC"/>
    <w:rsid w:val="00634982"/>
    <w:rsid w:val="006350F9"/>
    <w:rsid w:val="00635118"/>
    <w:rsid w:val="00635781"/>
    <w:rsid w:val="006357B6"/>
    <w:rsid w:val="00635874"/>
    <w:rsid w:val="00636017"/>
    <w:rsid w:val="00636519"/>
    <w:rsid w:val="00636E8D"/>
    <w:rsid w:val="0063796C"/>
    <w:rsid w:val="006403FE"/>
    <w:rsid w:val="00640B8E"/>
    <w:rsid w:val="00640E90"/>
    <w:rsid w:val="00641543"/>
    <w:rsid w:val="0064167F"/>
    <w:rsid w:val="00641A7A"/>
    <w:rsid w:val="00641B55"/>
    <w:rsid w:val="00641B6D"/>
    <w:rsid w:val="006424E9"/>
    <w:rsid w:val="006427F1"/>
    <w:rsid w:val="00643EF7"/>
    <w:rsid w:val="00643F06"/>
    <w:rsid w:val="00643F4A"/>
    <w:rsid w:val="006441EC"/>
    <w:rsid w:val="00644601"/>
    <w:rsid w:val="0064476B"/>
    <w:rsid w:val="00644CAB"/>
    <w:rsid w:val="006452ED"/>
    <w:rsid w:val="0064532D"/>
    <w:rsid w:val="006465EF"/>
    <w:rsid w:val="006466BD"/>
    <w:rsid w:val="00646E27"/>
    <w:rsid w:val="0064771E"/>
    <w:rsid w:val="00647A93"/>
    <w:rsid w:val="00647EDD"/>
    <w:rsid w:val="0065054A"/>
    <w:rsid w:val="0065061B"/>
    <w:rsid w:val="00650AFC"/>
    <w:rsid w:val="0065137E"/>
    <w:rsid w:val="00651401"/>
    <w:rsid w:val="00651FA3"/>
    <w:rsid w:val="00652612"/>
    <w:rsid w:val="0065262A"/>
    <w:rsid w:val="00652CCC"/>
    <w:rsid w:val="00653319"/>
    <w:rsid w:val="006537BC"/>
    <w:rsid w:val="006537FF"/>
    <w:rsid w:val="0065388D"/>
    <w:rsid w:val="00653C61"/>
    <w:rsid w:val="00653F70"/>
    <w:rsid w:val="006549CF"/>
    <w:rsid w:val="00654A8C"/>
    <w:rsid w:val="00655523"/>
    <w:rsid w:val="00656506"/>
    <w:rsid w:val="0065683E"/>
    <w:rsid w:val="00656863"/>
    <w:rsid w:val="00656AF1"/>
    <w:rsid w:val="00656B44"/>
    <w:rsid w:val="00656C03"/>
    <w:rsid w:val="0065719B"/>
    <w:rsid w:val="00657286"/>
    <w:rsid w:val="006578ED"/>
    <w:rsid w:val="00657B40"/>
    <w:rsid w:val="00657CC5"/>
    <w:rsid w:val="006600CC"/>
    <w:rsid w:val="006609A3"/>
    <w:rsid w:val="00660D36"/>
    <w:rsid w:val="00661166"/>
    <w:rsid w:val="006611AF"/>
    <w:rsid w:val="00661952"/>
    <w:rsid w:val="00661A68"/>
    <w:rsid w:val="006620A7"/>
    <w:rsid w:val="00662DFE"/>
    <w:rsid w:val="00663307"/>
    <w:rsid w:val="00663A24"/>
    <w:rsid w:val="00663CD5"/>
    <w:rsid w:val="00664885"/>
    <w:rsid w:val="00664971"/>
    <w:rsid w:val="00664EF1"/>
    <w:rsid w:val="00665CCB"/>
    <w:rsid w:val="00665F21"/>
    <w:rsid w:val="0066621A"/>
    <w:rsid w:val="00666754"/>
    <w:rsid w:val="00666828"/>
    <w:rsid w:val="006673ED"/>
    <w:rsid w:val="006675B9"/>
    <w:rsid w:val="0066777D"/>
    <w:rsid w:val="00667785"/>
    <w:rsid w:val="00667C46"/>
    <w:rsid w:val="0067010A"/>
    <w:rsid w:val="00671473"/>
    <w:rsid w:val="00672152"/>
    <w:rsid w:val="00672703"/>
    <w:rsid w:val="00672CE2"/>
    <w:rsid w:val="00672E6F"/>
    <w:rsid w:val="00672F2E"/>
    <w:rsid w:val="00673771"/>
    <w:rsid w:val="0067409F"/>
    <w:rsid w:val="00674213"/>
    <w:rsid w:val="00674611"/>
    <w:rsid w:val="0067472E"/>
    <w:rsid w:val="00674E1A"/>
    <w:rsid w:val="006752FC"/>
    <w:rsid w:val="0067619E"/>
    <w:rsid w:val="006765EA"/>
    <w:rsid w:val="00676A96"/>
    <w:rsid w:val="00676ED3"/>
    <w:rsid w:val="00677293"/>
    <w:rsid w:val="00677739"/>
    <w:rsid w:val="00680600"/>
    <w:rsid w:val="00680790"/>
    <w:rsid w:val="00680BD6"/>
    <w:rsid w:val="00680E8D"/>
    <w:rsid w:val="00681034"/>
    <w:rsid w:val="00681905"/>
    <w:rsid w:val="00681B95"/>
    <w:rsid w:val="00681F87"/>
    <w:rsid w:val="00681FA3"/>
    <w:rsid w:val="00682654"/>
    <w:rsid w:val="00682989"/>
    <w:rsid w:val="00683139"/>
    <w:rsid w:val="0068334C"/>
    <w:rsid w:val="006836D8"/>
    <w:rsid w:val="00683819"/>
    <w:rsid w:val="00683F7A"/>
    <w:rsid w:val="00684376"/>
    <w:rsid w:val="00685185"/>
    <w:rsid w:val="006853FF"/>
    <w:rsid w:val="006854A0"/>
    <w:rsid w:val="00685CAB"/>
    <w:rsid w:val="00685DB9"/>
    <w:rsid w:val="00686516"/>
    <w:rsid w:val="00686D55"/>
    <w:rsid w:val="00687997"/>
    <w:rsid w:val="00687FED"/>
    <w:rsid w:val="006907A0"/>
    <w:rsid w:val="00690A92"/>
    <w:rsid w:val="00690AB0"/>
    <w:rsid w:val="0069146E"/>
    <w:rsid w:val="00691A32"/>
    <w:rsid w:val="006923C0"/>
    <w:rsid w:val="00692798"/>
    <w:rsid w:val="0069282F"/>
    <w:rsid w:val="0069284C"/>
    <w:rsid w:val="00692C51"/>
    <w:rsid w:val="00692CEB"/>
    <w:rsid w:val="00693D07"/>
    <w:rsid w:val="00694272"/>
    <w:rsid w:val="00694468"/>
    <w:rsid w:val="006944BE"/>
    <w:rsid w:val="006945C1"/>
    <w:rsid w:val="0069539D"/>
    <w:rsid w:val="00695AA4"/>
    <w:rsid w:val="00695B67"/>
    <w:rsid w:val="006961D2"/>
    <w:rsid w:val="00696615"/>
    <w:rsid w:val="00696723"/>
    <w:rsid w:val="006971C3"/>
    <w:rsid w:val="006972A4"/>
    <w:rsid w:val="00697579"/>
    <w:rsid w:val="006976D3"/>
    <w:rsid w:val="00697982"/>
    <w:rsid w:val="00697D86"/>
    <w:rsid w:val="006A00B5"/>
    <w:rsid w:val="006A0820"/>
    <w:rsid w:val="006A09B2"/>
    <w:rsid w:val="006A1620"/>
    <w:rsid w:val="006A16D7"/>
    <w:rsid w:val="006A1C13"/>
    <w:rsid w:val="006A2062"/>
    <w:rsid w:val="006A2381"/>
    <w:rsid w:val="006A2D4A"/>
    <w:rsid w:val="006A31C6"/>
    <w:rsid w:val="006A352C"/>
    <w:rsid w:val="006A39AD"/>
    <w:rsid w:val="006A3C15"/>
    <w:rsid w:val="006A4024"/>
    <w:rsid w:val="006A40CF"/>
    <w:rsid w:val="006A4269"/>
    <w:rsid w:val="006A4AB2"/>
    <w:rsid w:val="006A4FE5"/>
    <w:rsid w:val="006A5241"/>
    <w:rsid w:val="006A543A"/>
    <w:rsid w:val="006A5630"/>
    <w:rsid w:val="006A5846"/>
    <w:rsid w:val="006A5AFF"/>
    <w:rsid w:val="006A5FDB"/>
    <w:rsid w:val="006A61F1"/>
    <w:rsid w:val="006A645E"/>
    <w:rsid w:val="006A6578"/>
    <w:rsid w:val="006A6BAC"/>
    <w:rsid w:val="006A6E14"/>
    <w:rsid w:val="006A7154"/>
    <w:rsid w:val="006A71D3"/>
    <w:rsid w:val="006A75D9"/>
    <w:rsid w:val="006A768E"/>
    <w:rsid w:val="006A78B3"/>
    <w:rsid w:val="006A7D3D"/>
    <w:rsid w:val="006A7E46"/>
    <w:rsid w:val="006B02B0"/>
    <w:rsid w:val="006B0605"/>
    <w:rsid w:val="006B0A3E"/>
    <w:rsid w:val="006B10B5"/>
    <w:rsid w:val="006B11A8"/>
    <w:rsid w:val="006B130C"/>
    <w:rsid w:val="006B13F1"/>
    <w:rsid w:val="006B19AC"/>
    <w:rsid w:val="006B1B5B"/>
    <w:rsid w:val="006B1D30"/>
    <w:rsid w:val="006B2025"/>
    <w:rsid w:val="006B2323"/>
    <w:rsid w:val="006B33C9"/>
    <w:rsid w:val="006B4018"/>
    <w:rsid w:val="006B4A1A"/>
    <w:rsid w:val="006B4B10"/>
    <w:rsid w:val="006B4D6B"/>
    <w:rsid w:val="006B5129"/>
    <w:rsid w:val="006B51BB"/>
    <w:rsid w:val="006B557D"/>
    <w:rsid w:val="006B5586"/>
    <w:rsid w:val="006B666F"/>
    <w:rsid w:val="006B66EF"/>
    <w:rsid w:val="006B75C2"/>
    <w:rsid w:val="006C0369"/>
    <w:rsid w:val="006C0900"/>
    <w:rsid w:val="006C09A5"/>
    <w:rsid w:val="006C0FD6"/>
    <w:rsid w:val="006C1056"/>
    <w:rsid w:val="006C151F"/>
    <w:rsid w:val="006C19BF"/>
    <w:rsid w:val="006C1DA9"/>
    <w:rsid w:val="006C22FD"/>
    <w:rsid w:val="006C386A"/>
    <w:rsid w:val="006C4218"/>
    <w:rsid w:val="006C4620"/>
    <w:rsid w:val="006C4A17"/>
    <w:rsid w:val="006C4F4F"/>
    <w:rsid w:val="006C5105"/>
    <w:rsid w:val="006C5285"/>
    <w:rsid w:val="006C53DE"/>
    <w:rsid w:val="006C5723"/>
    <w:rsid w:val="006C5BB2"/>
    <w:rsid w:val="006C5BE1"/>
    <w:rsid w:val="006C5BE6"/>
    <w:rsid w:val="006C6198"/>
    <w:rsid w:val="006C6704"/>
    <w:rsid w:val="006C6C01"/>
    <w:rsid w:val="006C72B2"/>
    <w:rsid w:val="006C79D1"/>
    <w:rsid w:val="006C7EB8"/>
    <w:rsid w:val="006D0336"/>
    <w:rsid w:val="006D0A32"/>
    <w:rsid w:val="006D0E1C"/>
    <w:rsid w:val="006D0E83"/>
    <w:rsid w:val="006D0F1E"/>
    <w:rsid w:val="006D14CB"/>
    <w:rsid w:val="006D1A0E"/>
    <w:rsid w:val="006D29D1"/>
    <w:rsid w:val="006D2B22"/>
    <w:rsid w:val="006D307F"/>
    <w:rsid w:val="006D334B"/>
    <w:rsid w:val="006D3691"/>
    <w:rsid w:val="006D3A4C"/>
    <w:rsid w:val="006D3E76"/>
    <w:rsid w:val="006D3ED8"/>
    <w:rsid w:val="006D537D"/>
    <w:rsid w:val="006D5690"/>
    <w:rsid w:val="006D5E24"/>
    <w:rsid w:val="006D6B56"/>
    <w:rsid w:val="006D6D87"/>
    <w:rsid w:val="006D776D"/>
    <w:rsid w:val="006D7C36"/>
    <w:rsid w:val="006D7C83"/>
    <w:rsid w:val="006E0247"/>
    <w:rsid w:val="006E04E2"/>
    <w:rsid w:val="006E05DA"/>
    <w:rsid w:val="006E064B"/>
    <w:rsid w:val="006E107A"/>
    <w:rsid w:val="006E1338"/>
    <w:rsid w:val="006E134E"/>
    <w:rsid w:val="006E135E"/>
    <w:rsid w:val="006E1612"/>
    <w:rsid w:val="006E1CCB"/>
    <w:rsid w:val="006E1E26"/>
    <w:rsid w:val="006E1F81"/>
    <w:rsid w:val="006E1F92"/>
    <w:rsid w:val="006E203C"/>
    <w:rsid w:val="006E21C3"/>
    <w:rsid w:val="006E2282"/>
    <w:rsid w:val="006E241F"/>
    <w:rsid w:val="006E28F5"/>
    <w:rsid w:val="006E33F7"/>
    <w:rsid w:val="006E4190"/>
    <w:rsid w:val="006E4740"/>
    <w:rsid w:val="006E4ADB"/>
    <w:rsid w:val="006E62D2"/>
    <w:rsid w:val="006E66CF"/>
    <w:rsid w:val="006E674A"/>
    <w:rsid w:val="006E6D8A"/>
    <w:rsid w:val="006E709F"/>
    <w:rsid w:val="006E74F1"/>
    <w:rsid w:val="006E7CE6"/>
    <w:rsid w:val="006F0266"/>
    <w:rsid w:val="006F03E9"/>
    <w:rsid w:val="006F0724"/>
    <w:rsid w:val="006F0A85"/>
    <w:rsid w:val="006F0E9F"/>
    <w:rsid w:val="006F173E"/>
    <w:rsid w:val="006F1EBF"/>
    <w:rsid w:val="006F2185"/>
    <w:rsid w:val="006F288E"/>
    <w:rsid w:val="006F2C6C"/>
    <w:rsid w:val="006F3312"/>
    <w:rsid w:val="006F34E5"/>
    <w:rsid w:val="006F37B2"/>
    <w:rsid w:val="006F4456"/>
    <w:rsid w:val="006F4AA5"/>
    <w:rsid w:val="006F5109"/>
    <w:rsid w:val="006F53B0"/>
    <w:rsid w:val="006F5610"/>
    <w:rsid w:val="006F5775"/>
    <w:rsid w:val="006F5AD1"/>
    <w:rsid w:val="006F5E52"/>
    <w:rsid w:val="006F5FF2"/>
    <w:rsid w:val="006F6063"/>
    <w:rsid w:val="006F6107"/>
    <w:rsid w:val="006F6F68"/>
    <w:rsid w:val="006F7290"/>
    <w:rsid w:val="006F72D2"/>
    <w:rsid w:val="006F7504"/>
    <w:rsid w:val="006F7E3A"/>
    <w:rsid w:val="006FA5A0"/>
    <w:rsid w:val="00700400"/>
    <w:rsid w:val="00700663"/>
    <w:rsid w:val="0070075F"/>
    <w:rsid w:val="007007D1"/>
    <w:rsid w:val="0070080B"/>
    <w:rsid w:val="0070081D"/>
    <w:rsid w:val="00701202"/>
    <w:rsid w:val="00701B9A"/>
    <w:rsid w:val="00702140"/>
    <w:rsid w:val="00702A6F"/>
    <w:rsid w:val="00702B22"/>
    <w:rsid w:val="00702C2B"/>
    <w:rsid w:val="00702DDD"/>
    <w:rsid w:val="00703230"/>
    <w:rsid w:val="0070376D"/>
    <w:rsid w:val="00703913"/>
    <w:rsid w:val="00703AE6"/>
    <w:rsid w:val="00703D15"/>
    <w:rsid w:val="007043A5"/>
    <w:rsid w:val="00704770"/>
    <w:rsid w:val="00704BFF"/>
    <w:rsid w:val="00704F24"/>
    <w:rsid w:val="007053D8"/>
    <w:rsid w:val="00705C1B"/>
    <w:rsid w:val="00705D0C"/>
    <w:rsid w:val="00705D51"/>
    <w:rsid w:val="00706195"/>
    <w:rsid w:val="007068B7"/>
    <w:rsid w:val="0070762B"/>
    <w:rsid w:val="00707C84"/>
    <w:rsid w:val="00710421"/>
    <w:rsid w:val="00710E3E"/>
    <w:rsid w:val="00710F72"/>
    <w:rsid w:val="007112D0"/>
    <w:rsid w:val="007114BE"/>
    <w:rsid w:val="00711DEA"/>
    <w:rsid w:val="007120DC"/>
    <w:rsid w:val="00712189"/>
    <w:rsid w:val="0071262F"/>
    <w:rsid w:val="007126A4"/>
    <w:rsid w:val="00712E23"/>
    <w:rsid w:val="0071340A"/>
    <w:rsid w:val="00713B9C"/>
    <w:rsid w:val="00713BAC"/>
    <w:rsid w:val="00713F83"/>
    <w:rsid w:val="007140A0"/>
    <w:rsid w:val="00714364"/>
    <w:rsid w:val="007148D9"/>
    <w:rsid w:val="00715418"/>
    <w:rsid w:val="0071565D"/>
    <w:rsid w:val="00715F7C"/>
    <w:rsid w:val="007160EB"/>
    <w:rsid w:val="00716824"/>
    <w:rsid w:val="00716A4A"/>
    <w:rsid w:val="00716B39"/>
    <w:rsid w:val="00716CA9"/>
    <w:rsid w:val="007170F1"/>
    <w:rsid w:val="00720D89"/>
    <w:rsid w:val="00720FCC"/>
    <w:rsid w:val="00721276"/>
    <w:rsid w:val="00721B8F"/>
    <w:rsid w:val="00721F6D"/>
    <w:rsid w:val="00722DE4"/>
    <w:rsid w:val="007231C1"/>
    <w:rsid w:val="00723935"/>
    <w:rsid w:val="00723A07"/>
    <w:rsid w:val="00723C63"/>
    <w:rsid w:val="00723D93"/>
    <w:rsid w:val="00724699"/>
    <w:rsid w:val="00724A41"/>
    <w:rsid w:val="007255ED"/>
    <w:rsid w:val="007257EE"/>
    <w:rsid w:val="00725C72"/>
    <w:rsid w:val="0072615B"/>
    <w:rsid w:val="0072677A"/>
    <w:rsid w:val="00726AA5"/>
    <w:rsid w:val="00727E17"/>
    <w:rsid w:val="0073046A"/>
    <w:rsid w:val="007304D7"/>
    <w:rsid w:val="00731876"/>
    <w:rsid w:val="00732621"/>
    <w:rsid w:val="00732D44"/>
    <w:rsid w:val="00733384"/>
    <w:rsid w:val="00734D71"/>
    <w:rsid w:val="007366AA"/>
    <w:rsid w:val="00737459"/>
    <w:rsid w:val="007375B4"/>
    <w:rsid w:val="007378BC"/>
    <w:rsid w:val="00737B26"/>
    <w:rsid w:val="007406F0"/>
    <w:rsid w:val="00740855"/>
    <w:rsid w:val="0074140F"/>
    <w:rsid w:val="00741FBA"/>
    <w:rsid w:val="00742AA3"/>
    <w:rsid w:val="007434F4"/>
    <w:rsid w:val="00744116"/>
    <w:rsid w:val="00744164"/>
    <w:rsid w:val="00744F46"/>
    <w:rsid w:val="00745079"/>
    <w:rsid w:val="007451A9"/>
    <w:rsid w:val="007452E8"/>
    <w:rsid w:val="00745736"/>
    <w:rsid w:val="007457FA"/>
    <w:rsid w:val="00745BC4"/>
    <w:rsid w:val="0074664B"/>
    <w:rsid w:val="00746BD0"/>
    <w:rsid w:val="007477D3"/>
    <w:rsid w:val="007478E0"/>
    <w:rsid w:val="00747926"/>
    <w:rsid w:val="00747D6D"/>
    <w:rsid w:val="00747E53"/>
    <w:rsid w:val="0075111B"/>
    <w:rsid w:val="0075162B"/>
    <w:rsid w:val="00751685"/>
    <w:rsid w:val="00751768"/>
    <w:rsid w:val="00751FE4"/>
    <w:rsid w:val="00752901"/>
    <w:rsid w:val="00752A55"/>
    <w:rsid w:val="00752BD1"/>
    <w:rsid w:val="00752D97"/>
    <w:rsid w:val="0075304B"/>
    <w:rsid w:val="00753BE4"/>
    <w:rsid w:val="0075406C"/>
    <w:rsid w:val="0075476B"/>
    <w:rsid w:val="00754D0B"/>
    <w:rsid w:val="00755170"/>
    <w:rsid w:val="00755275"/>
    <w:rsid w:val="007552F3"/>
    <w:rsid w:val="007555CB"/>
    <w:rsid w:val="007556C2"/>
    <w:rsid w:val="00755A36"/>
    <w:rsid w:val="0075604E"/>
    <w:rsid w:val="00756B05"/>
    <w:rsid w:val="00756B44"/>
    <w:rsid w:val="00757086"/>
    <w:rsid w:val="00757D63"/>
    <w:rsid w:val="007604D9"/>
    <w:rsid w:val="00760785"/>
    <w:rsid w:val="0076087D"/>
    <w:rsid w:val="007608B5"/>
    <w:rsid w:val="0076155E"/>
    <w:rsid w:val="00761B41"/>
    <w:rsid w:val="00762491"/>
    <w:rsid w:val="00762ACE"/>
    <w:rsid w:val="0076322F"/>
    <w:rsid w:val="007636A9"/>
    <w:rsid w:val="007643DE"/>
    <w:rsid w:val="0076455B"/>
    <w:rsid w:val="00764942"/>
    <w:rsid w:val="007655A1"/>
    <w:rsid w:val="00765AB0"/>
    <w:rsid w:val="007663C8"/>
    <w:rsid w:val="0076668B"/>
    <w:rsid w:val="00766716"/>
    <w:rsid w:val="00766EA7"/>
    <w:rsid w:val="0076749F"/>
    <w:rsid w:val="0076759E"/>
    <w:rsid w:val="00767619"/>
    <w:rsid w:val="00767C9D"/>
    <w:rsid w:val="00767FC8"/>
    <w:rsid w:val="007701D0"/>
    <w:rsid w:val="00770B10"/>
    <w:rsid w:val="00770B7E"/>
    <w:rsid w:val="00770B94"/>
    <w:rsid w:val="00772176"/>
    <w:rsid w:val="0077272A"/>
    <w:rsid w:val="00772EE0"/>
    <w:rsid w:val="00772FEF"/>
    <w:rsid w:val="007739F7"/>
    <w:rsid w:val="00773C1F"/>
    <w:rsid w:val="00773D60"/>
    <w:rsid w:val="00773FAE"/>
    <w:rsid w:val="007740E9"/>
    <w:rsid w:val="00774DA0"/>
    <w:rsid w:val="00774E1D"/>
    <w:rsid w:val="00775346"/>
    <w:rsid w:val="007754B9"/>
    <w:rsid w:val="00776014"/>
    <w:rsid w:val="007761C7"/>
    <w:rsid w:val="007764F9"/>
    <w:rsid w:val="0077675F"/>
    <w:rsid w:val="007769B2"/>
    <w:rsid w:val="007773ED"/>
    <w:rsid w:val="00777853"/>
    <w:rsid w:val="00777B3F"/>
    <w:rsid w:val="00780BA5"/>
    <w:rsid w:val="0078140B"/>
    <w:rsid w:val="00781557"/>
    <w:rsid w:val="007821C4"/>
    <w:rsid w:val="00782233"/>
    <w:rsid w:val="007822A3"/>
    <w:rsid w:val="007827A2"/>
    <w:rsid w:val="007832BA"/>
    <w:rsid w:val="00783658"/>
    <w:rsid w:val="007837F4"/>
    <w:rsid w:val="007840B2"/>
    <w:rsid w:val="00784DE7"/>
    <w:rsid w:val="00785230"/>
    <w:rsid w:val="0078527A"/>
    <w:rsid w:val="00785D3B"/>
    <w:rsid w:val="007864CB"/>
    <w:rsid w:val="0078653A"/>
    <w:rsid w:val="00786DA7"/>
    <w:rsid w:val="00787C5F"/>
    <w:rsid w:val="00787CAB"/>
    <w:rsid w:val="0079033E"/>
    <w:rsid w:val="00790477"/>
    <w:rsid w:val="007904D1"/>
    <w:rsid w:val="00790701"/>
    <w:rsid w:val="00790F70"/>
    <w:rsid w:val="00791340"/>
    <w:rsid w:val="007916C9"/>
    <w:rsid w:val="007919DA"/>
    <w:rsid w:val="00791C37"/>
    <w:rsid w:val="00792210"/>
    <w:rsid w:val="00792631"/>
    <w:rsid w:val="00792C30"/>
    <w:rsid w:val="00792E67"/>
    <w:rsid w:val="00793143"/>
    <w:rsid w:val="007936DE"/>
    <w:rsid w:val="00793EBE"/>
    <w:rsid w:val="007940CB"/>
    <w:rsid w:val="00794391"/>
    <w:rsid w:val="007946D2"/>
    <w:rsid w:val="00794C8B"/>
    <w:rsid w:val="00794F5B"/>
    <w:rsid w:val="00795D8A"/>
    <w:rsid w:val="00795FED"/>
    <w:rsid w:val="00795FFC"/>
    <w:rsid w:val="0079615C"/>
    <w:rsid w:val="0079624F"/>
    <w:rsid w:val="0079626F"/>
    <w:rsid w:val="0079708F"/>
    <w:rsid w:val="00797C40"/>
    <w:rsid w:val="007A072A"/>
    <w:rsid w:val="007A09AE"/>
    <w:rsid w:val="007A09DC"/>
    <w:rsid w:val="007A0CB2"/>
    <w:rsid w:val="007A1709"/>
    <w:rsid w:val="007A17D2"/>
    <w:rsid w:val="007A19A4"/>
    <w:rsid w:val="007A1C8D"/>
    <w:rsid w:val="007A1E1A"/>
    <w:rsid w:val="007A261D"/>
    <w:rsid w:val="007A267E"/>
    <w:rsid w:val="007A27E4"/>
    <w:rsid w:val="007A3382"/>
    <w:rsid w:val="007A367A"/>
    <w:rsid w:val="007A3CC4"/>
    <w:rsid w:val="007A41D6"/>
    <w:rsid w:val="007A42CD"/>
    <w:rsid w:val="007A4934"/>
    <w:rsid w:val="007A533E"/>
    <w:rsid w:val="007A5720"/>
    <w:rsid w:val="007A5A01"/>
    <w:rsid w:val="007A610C"/>
    <w:rsid w:val="007A611F"/>
    <w:rsid w:val="007A61F2"/>
    <w:rsid w:val="007A653B"/>
    <w:rsid w:val="007A665B"/>
    <w:rsid w:val="007A6BED"/>
    <w:rsid w:val="007A7004"/>
    <w:rsid w:val="007B0A89"/>
    <w:rsid w:val="007B0EF9"/>
    <w:rsid w:val="007B0FCD"/>
    <w:rsid w:val="007B1010"/>
    <w:rsid w:val="007B1394"/>
    <w:rsid w:val="007B16C8"/>
    <w:rsid w:val="007B1E67"/>
    <w:rsid w:val="007B1E78"/>
    <w:rsid w:val="007B1EB2"/>
    <w:rsid w:val="007B1FC0"/>
    <w:rsid w:val="007B2BE4"/>
    <w:rsid w:val="007B4206"/>
    <w:rsid w:val="007B43C1"/>
    <w:rsid w:val="007B4E54"/>
    <w:rsid w:val="007B4EF5"/>
    <w:rsid w:val="007B5A2A"/>
    <w:rsid w:val="007B5B05"/>
    <w:rsid w:val="007B5E30"/>
    <w:rsid w:val="007B5E90"/>
    <w:rsid w:val="007B61FF"/>
    <w:rsid w:val="007B66B8"/>
    <w:rsid w:val="007B6B0F"/>
    <w:rsid w:val="007B7A87"/>
    <w:rsid w:val="007B7E30"/>
    <w:rsid w:val="007C008E"/>
    <w:rsid w:val="007C0476"/>
    <w:rsid w:val="007C067B"/>
    <w:rsid w:val="007C0690"/>
    <w:rsid w:val="007C0C2B"/>
    <w:rsid w:val="007C1F5B"/>
    <w:rsid w:val="007C25F6"/>
    <w:rsid w:val="007C3153"/>
    <w:rsid w:val="007C41CB"/>
    <w:rsid w:val="007C4A7C"/>
    <w:rsid w:val="007C4C99"/>
    <w:rsid w:val="007C4E94"/>
    <w:rsid w:val="007C503C"/>
    <w:rsid w:val="007C5A3B"/>
    <w:rsid w:val="007C5C39"/>
    <w:rsid w:val="007C5C8B"/>
    <w:rsid w:val="007C624E"/>
    <w:rsid w:val="007C6575"/>
    <w:rsid w:val="007C67F1"/>
    <w:rsid w:val="007C6CA6"/>
    <w:rsid w:val="007C6CE5"/>
    <w:rsid w:val="007C7753"/>
    <w:rsid w:val="007C7859"/>
    <w:rsid w:val="007C7AA7"/>
    <w:rsid w:val="007C7AF8"/>
    <w:rsid w:val="007C7E57"/>
    <w:rsid w:val="007C7E87"/>
    <w:rsid w:val="007D01F6"/>
    <w:rsid w:val="007D0384"/>
    <w:rsid w:val="007D0543"/>
    <w:rsid w:val="007D06AB"/>
    <w:rsid w:val="007D0D46"/>
    <w:rsid w:val="007D161F"/>
    <w:rsid w:val="007D1757"/>
    <w:rsid w:val="007D1957"/>
    <w:rsid w:val="007D1DB6"/>
    <w:rsid w:val="007D1E42"/>
    <w:rsid w:val="007D1F1A"/>
    <w:rsid w:val="007D2066"/>
    <w:rsid w:val="007D21C6"/>
    <w:rsid w:val="007D3571"/>
    <w:rsid w:val="007D3641"/>
    <w:rsid w:val="007D3AB9"/>
    <w:rsid w:val="007D3DA1"/>
    <w:rsid w:val="007D3E09"/>
    <w:rsid w:val="007D3E97"/>
    <w:rsid w:val="007D45FB"/>
    <w:rsid w:val="007D4DAA"/>
    <w:rsid w:val="007D4DBA"/>
    <w:rsid w:val="007D5049"/>
    <w:rsid w:val="007D5BA3"/>
    <w:rsid w:val="007D5D9A"/>
    <w:rsid w:val="007D5EF3"/>
    <w:rsid w:val="007D5FC3"/>
    <w:rsid w:val="007D6058"/>
    <w:rsid w:val="007D6A16"/>
    <w:rsid w:val="007D6C30"/>
    <w:rsid w:val="007D7023"/>
    <w:rsid w:val="007D7BFF"/>
    <w:rsid w:val="007D7D50"/>
    <w:rsid w:val="007E06BE"/>
    <w:rsid w:val="007E0778"/>
    <w:rsid w:val="007E11E7"/>
    <w:rsid w:val="007E122E"/>
    <w:rsid w:val="007E151E"/>
    <w:rsid w:val="007E299F"/>
    <w:rsid w:val="007E2D75"/>
    <w:rsid w:val="007E368A"/>
    <w:rsid w:val="007E3875"/>
    <w:rsid w:val="007E3D26"/>
    <w:rsid w:val="007E40C7"/>
    <w:rsid w:val="007E424F"/>
    <w:rsid w:val="007E4B12"/>
    <w:rsid w:val="007E4EE7"/>
    <w:rsid w:val="007E5026"/>
    <w:rsid w:val="007E5328"/>
    <w:rsid w:val="007E6301"/>
    <w:rsid w:val="007E651C"/>
    <w:rsid w:val="007E6793"/>
    <w:rsid w:val="007E75DE"/>
    <w:rsid w:val="007E75F1"/>
    <w:rsid w:val="007E7FDD"/>
    <w:rsid w:val="007F061F"/>
    <w:rsid w:val="007F065B"/>
    <w:rsid w:val="007F0E7D"/>
    <w:rsid w:val="007F176C"/>
    <w:rsid w:val="007F17FC"/>
    <w:rsid w:val="007F1E79"/>
    <w:rsid w:val="007F2539"/>
    <w:rsid w:val="007F29E6"/>
    <w:rsid w:val="007F2BAA"/>
    <w:rsid w:val="007F3249"/>
    <w:rsid w:val="007F33EE"/>
    <w:rsid w:val="007F352D"/>
    <w:rsid w:val="007F39A4"/>
    <w:rsid w:val="007F3D0D"/>
    <w:rsid w:val="007F3E17"/>
    <w:rsid w:val="007F4A9D"/>
    <w:rsid w:val="007F4B06"/>
    <w:rsid w:val="007F4BAE"/>
    <w:rsid w:val="007F55AE"/>
    <w:rsid w:val="007F57AA"/>
    <w:rsid w:val="007F5886"/>
    <w:rsid w:val="007F5C4B"/>
    <w:rsid w:val="007F6025"/>
    <w:rsid w:val="007F667B"/>
    <w:rsid w:val="007F7E34"/>
    <w:rsid w:val="007F7F5F"/>
    <w:rsid w:val="0080000C"/>
    <w:rsid w:val="008003A8"/>
    <w:rsid w:val="008005BD"/>
    <w:rsid w:val="0080093F"/>
    <w:rsid w:val="00800A59"/>
    <w:rsid w:val="00800FAA"/>
    <w:rsid w:val="00801000"/>
    <w:rsid w:val="0080105E"/>
    <w:rsid w:val="0080113E"/>
    <w:rsid w:val="00801867"/>
    <w:rsid w:val="00801CE8"/>
    <w:rsid w:val="00802ADA"/>
    <w:rsid w:val="00803069"/>
    <w:rsid w:val="00803082"/>
    <w:rsid w:val="0080364E"/>
    <w:rsid w:val="008040F2"/>
    <w:rsid w:val="00804629"/>
    <w:rsid w:val="00804B05"/>
    <w:rsid w:val="008053BC"/>
    <w:rsid w:val="008053CA"/>
    <w:rsid w:val="00805846"/>
    <w:rsid w:val="00805885"/>
    <w:rsid w:val="00805A13"/>
    <w:rsid w:val="00806059"/>
    <w:rsid w:val="008061D9"/>
    <w:rsid w:val="0080682D"/>
    <w:rsid w:val="00806D58"/>
    <w:rsid w:val="00806F7C"/>
    <w:rsid w:val="00807040"/>
    <w:rsid w:val="00807057"/>
    <w:rsid w:val="00807344"/>
    <w:rsid w:val="00807A7E"/>
    <w:rsid w:val="0081088F"/>
    <w:rsid w:val="008109DB"/>
    <w:rsid w:val="00810AA5"/>
    <w:rsid w:val="00811106"/>
    <w:rsid w:val="00812521"/>
    <w:rsid w:val="00813104"/>
    <w:rsid w:val="00813EEA"/>
    <w:rsid w:val="00813F7B"/>
    <w:rsid w:val="00813FB9"/>
    <w:rsid w:val="00814E14"/>
    <w:rsid w:val="00815515"/>
    <w:rsid w:val="0081599C"/>
    <w:rsid w:val="00815B5F"/>
    <w:rsid w:val="00815D31"/>
    <w:rsid w:val="00815EE8"/>
    <w:rsid w:val="00815FF2"/>
    <w:rsid w:val="008165A9"/>
    <w:rsid w:val="00816662"/>
    <w:rsid w:val="0081666F"/>
    <w:rsid w:val="00816741"/>
    <w:rsid w:val="00816E19"/>
    <w:rsid w:val="0081765A"/>
    <w:rsid w:val="00817F60"/>
    <w:rsid w:val="008204B5"/>
    <w:rsid w:val="008207EE"/>
    <w:rsid w:val="00821616"/>
    <w:rsid w:val="00821BDD"/>
    <w:rsid w:val="00822F43"/>
    <w:rsid w:val="008233A6"/>
    <w:rsid w:val="00823747"/>
    <w:rsid w:val="00823A88"/>
    <w:rsid w:val="008241FB"/>
    <w:rsid w:val="00824D28"/>
    <w:rsid w:val="00824E5C"/>
    <w:rsid w:val="0082548C"/>
    <w:rsid w:val="00825B84"/>
    <w:rsid w:val="00825D28"/>
    <w:rsid w:val="00825EC7"/>
    <w:rsid w:val="00825F0D"/>
    <w:rsid w:val="008270E2"/>
    <w:rsid w:val="00827154"/>
    <w:rsid w:val="0082747E"/>
    <w:rsid w:val="0082771F"/>
    <w:rsid w:val="00827822"/>
    <w:rsid w:val="00827852"/>
    <w:rsid w:val="00827AF6"/>
    <w:rsid w:val="00827B92"/>
    <w:rsid w:val="00827C90"/>
    <w:rsid w:val="0083064D"/>
    <w:rsid w:val="00830A83"/>
    <w:rsid w:val="00830DFA"/>
    <w:rsid w:val="00830E0D"/>
    <w:rsid w:val="00831675"/>
    <w:rsid w:val="00831A56"/>
    <w:rsid w:val="00831C72"/>
    <w:rsid w:val="008320D6"/>
    <w:rsid w:val="0083232F"/>
    <w:rsid w:val="008326AE"/>
    <w:rsid w:val="00832B69"/>
    <w:rsid w:val="00832B7D"/>
    <w:rsid w:val="00832C3D"/>
    <w:rsid w:val="00832EDB"/>
    <w:rsid w:val="0083321C"/>
    <w:rsid w:val="00833736"/>
    <w:rsid w:val="00833C5F"/>
    <w:rsid w:val="00835811"/>
    <w:rsid w:val="00835A25"/>
    <w:rsid w:val="00835BA0"/>
    <w:rsid w:val="00835D80"/>
    <w:rsid w:val="00836391"/>
    <w:rsid w:val="00836504"/>
    <w:rsid w:val="0083659B"/>
    <w:rsid w:val="00836D60"/>
    <w:rsid w:val="00836DF8"/>
    <w:rsid w:val="00837B1F"/>
    <w:rsid w:val="0084079F"/>
    <w:rsid w:val="00840DE4"/>
    <w:rsid w:val="00840E53"/>
    <w:rsid w:val="008411FE"/>
    <w:rsid w:val="0084149B"/>
    <w:rsid w:val="00841837"/>
    <w:rsid w:val="00841917"/>
    <w:rsid w:val="00841930"/>
    <w:rsid w:val="00841940"/>
    <w:rsid w:val="008420DA"/>
    <w:rsid w:val="00842569"/>
    <w:rsid w:val="00842F37"/>
    <w:rsid w:val="00842FAC"/>
    <w:rsid w:val="00843260"/>
    <w:rsid w:val="008436AD"/>
    <w:rsid w:val="00843D89"/>
    <w:rsid w:val="008448A2"/>
    <w:rsid w:val="00844A6B"/>
    <w:rsid w:val="00844BF0"/>
    <w:rsid w:val="0084550F"/>
    <w:rsid w:val="008457B0"/>
    <w:rsid w:val="00845A0E"/>
    <w:rsid w:val="00845BA4"/>
    <w:rsid w:val="00845D2D"/>
    <w:rsid w:val="00845FBF"/>
    <w:rsid w:val="00846253"/>
    <w:rsid w:val="0084671F"/>
    <w:rsid w:val="00846BC4"/>
    <w:rsid w:val="00846FE7"/>
    <w:rsid w:val="0084764A"/>
    <w:rsid w:val="00847686"/>
    <w:rsid w:val="008477C1"/>
    <w:rsid w:val="008503FA"/>
    <w:rsid w:val="00850A4F"/>
    <w:rsid w:val="00851396"/>
    <w:rsid w:val="008517EE"/>
    <w:rsid w:val="0085181B"/>
    <w:rsid w:val="00852E74"/>
    <w:rsid w:val="00853237"/>
    <w:rsid w:val="00853755"/>
    <w:rsid w:val="00854508"/>
    <w:rsid w:val="008547AA"/>
    <w:rsid w:val="00854B50"/>
    <w:rsid w:val="00855894"/>
    <w:rsid w:val="008559EB"/>
    <w:rsid w:val="00855A01"/>
    <w:rsid w:val="00855BD8"/>
    <w:rsid w:val="00856198"/>
    <w:rsid w:val="008576EA"/>
    <w:rsid w:val="00860375"/>
    <w:rsid w:val="008604A8"/>
    <w:rsid w:val="0086087F"/>
    <w:rsid w:val="00860A30"/>
    <w:rsid w:val="00860AA5"/>
    <w:rsid w:val="00860C58"/>
    <w:rsid w:val="00860E62"/>
    <w:rsid w:val="0086105D"/>
    <w:rsid w:val="008616A9"/>
    <w:rsid w:val="008617FB"/>
    <w:rsid w:val="0086180E"/>
    <w:rsid w:val="0086220A"/>
    <w:rsid w:val="0086314B"/>
    <w:rsid w:val="00863923"/>
    <w:rsid w:val="0086433D"/>
    <w:rsid w:val="00864763"/>
    <w:rsid w:val="00864A24"/>
    <w:rsid w:val="00864C6E"/>
    <w:rsid w:val="00864D7B"/>
    <w:rsid w:val="00864FBD"/>
    <w:rsid w:val="00865100"/>
    <w:rsid w:val="00865513"/>
    <w:rsid w:val="00865771"/>
    <w:rsid w:val="00865B1F"/>
    <w:rsid w:val="00865E02"/>
    <w:rsid w:val="00865FBF"/>
    <w:rsid w:val="008661AC"/>
    <w:rsid w:val="0086622A"/>
    <w:rsid w:val="008666BD"/>
    <w:rsid w:val="00866C23"/>
    <w:rsid w:val="00866DBA"/>
    <w:rsid w:val="00866E15"/>
    <w:rsid w:val="00866E7B"/>
    <w:rsid w:val="00866ECD"/>
    <w:rsid w:val="00866F52"/>
    <w:rsid w:val="00867C9E"/>
    <w:rsid w:val="00870351"/>
    <w:rsid w:val="0087044F"/>
    <w:rsid w:val="0087062E"/>
    <w:rsid w:val="00870884"/>
    <w:rsid w:val="00870A3D"/>
    <w:rsid w:val="00870AA1"/>
    <w:rsid w:val="00870E74"/>
    <w:rsid w:val="00871DCE"/>
    <w:rsid w:val="00871F90"/>
    <w:rsid w:val="008724F5"/>
    <w:rsid w:val="00872822"/>
    <w:rsid w:val="00872F85"/>
    <w:rsid w:val="008734E3"/>
    <w:rsid w:val="00873886"/>
    <w:rsid w:val="008738BE"/>
    <w:rsid w:val="00873AE6"/>
    <w:rsid w:val="00874914"/>
    <w:rsid w:val="00874B67"/>
    <w:rsid w:val="00874E5A"/>
    <w:rsid w:val="008759CD"/>
    <w:rsid w:val="00875A9E"/>
    <w:rsid w:val="00876221"/>
    <w:rsid w:val="00876AB9"/>
    <w:rsid w:val="00876B7B"/>
    <w:rsid w:val="00876EB5"/>
    <w:rsid w:val="008777BC"/>
    <w:rsid w:val="00877B15"/>
    <w:rsid w:val="00877EBA"/>
    <w:rsid w:val="00877FE5"/>
    <w:rsid w:val="0088029B"/>
    <w:rsid w:val="00880463"/>
    <w:rsid w:val="00880B1B"/>
    <w:rsid w:val="00880B6A"/>
    <w:rsid w:val="00881ACD"/>
    <w:rsid w:val="00881C32"/>
    <w:rsid w:val="00881C3C"/>
    <w:rsid w:val="008820CC"/>
    <w:rsid w:val="008825B7"/>
    <w:rsid w:val="00882E67"/>
    <w:rsid w:val="00883102"/>
    <w:rsid w:val="0088331A"/>
    <w:rsid w:val="00883C56"/>
    <w:rsid w:val="00883D10"/>
    <w:rsid w:val="008841A7"/>
    <w:rsid w:val="00884CCD"/>
    <w:rsid w:val="00884DE9"/>
    <w:rsid w:val="00886291"/>
    <w:rsid w:val="00886F82"/>
    <w:rsid w:val="00887491"/>
    <w:rsid w:val="008878FB"/>
    <w:rsid w:val="00887C40"/>
    <w:rsid w:val="008901D3"/>
    <w:rsid w:val="008902C5"/>
    <w:rsid w:val="0089061D"/>
    <w:rsid w:val="00890897"/>
    <w:rsid w:val="00890C90"/>
    <w:rsid w:val="00890CAE"/>
    <w:rsid w:val="00890D3E"/>
    <w:rsid w:val="008916C5"/>
    <w:rsid w:val="008919B1"/>
    <w:rsid w:val="00891CDF"/>
    <w:rsid w:val="00891F1A"/>
    <w:rsid w:val="00891F8B"/>
    <w:rsid w:val="0089203C"/>
    <w:rsid w:val="00892406"/>
    <w:rsid w:val="00892C46"/>
    <w:rsid w:val="00893D43"/>
    <w:rsid w:val="008940D9"/>
    <w:rsid w:val="00894507"/>
    <w:rsid w:val="0089475C"/>
    <w:rsid w:val="008947A6"/>
    <w:rsid w:val="00894D95"/>
    <w:rsid w:val="00895A00"/>
    <w:rsid w:val="00895AAF"/>
    <w:rsid w:val="00896ACE"/>
    <w:rsid w:val="00897178"/>
    <w:rsid w:val="00897665"/>
    <w:rsid w:val="00897A86"/>
    <w:rsid w:val="008A00AB"/>
    <w:rsid w:val="008A019C"/>
    <w:rsid w:val="008A0D85"/>
    <w:rsid w:val="008A1090"/>
    <w:rsid w:val="008A1631"/>
    <w:rsid w:val="008A1EDA"/>
    <w:rsid w:val="008A25F4"/>
    <w:rsid w:val="008A2EF8"/>
    <w:rsid w:val="008A35EA"/>
    <w:rsid w:val="008A3605"/>
    <w:rsid w:val="008A3644"/>
    <w:rsid w:val="008A36A3"/>
    <w:rsid w:val="008A3A89"/>
    <w:rsid w:val="008A42A7"/>
    <w:rsid w:val="008A4C99"/>
    <w:rsid w:val="008A4CE4"/>
    <w:rsid w:val="008A529B"/>
    <w:rsid w:val="008A5A57"/>
    <w:rsid w:val="008A6029"/>
    <w:rsid w:val="008A6171"/>
    <w:rsid w:val="008A6654"/>
    <w:rsid w:val="008A6A94"/>
    <w:rsid w:val="008A6B33"/>
    <w:rsid w:val="008A6E22"/>
    <w:rsid w:val="008A7016"/>
    <w:rsid w:val="008B042C"/>
    <w:rsid w:val="008B046C"/>
    <w:rsid w:val="008B06D9"/>
    <w:rsid w:val="008B0C65"/>
    <w:rsid w:val="008B0DAC"/>
    <w:rsid w:val="008B0E48"/>
    <w:rsid w:val="008B0F87"/>
    <w:rsid w:val="008B1171"/>
    <w:rsid w:val="008B1DF8"/>
    <w:rsid w:val="008B1E3B"/>
    <w:rsid w:val="008B246E"/>
    <w:rsid w:val="008B2729"/>
    <w:rsid w:val="008B2733"/>
    <w:rsid w:val="008B2E89"/>
    <w:rsid w:val="008B309A"/>
    <w:rsid w:val="008B372F"/>
    <w:rsid w:val="008B3B60"/>
    <w:rsid w:val="008B4290"/>
    <w:rsid w:val="008B42EA"/>
    <w:rsid w:val="008B4765"/>
    <w:rsid w:val="008B4835"/>
    <w:rsid w:val="008B4A55"/>
    <w:rsid w:val="008B5394"/>
    <w:rsid w:val="008B59CB"/>
    <w:rsid w:val="008B5BE8"/>
    <w:rsid w:val="008B609B"/>
    <w:rsid w:val="008B64D8"/>
    <w:rsid w:val="008B6C19"/>
    <w:rsid w:val="008B75FA"/>
    <w:rsid w:val="008C0593"/>
    <w:rsid w:val="008C0689"/>
    <w:rsid w:val="008C0925"/>
    <w:rsid w:val="008C12AE"/>
    <w:rsid w:val="008C1352"/>
    <w:rsid w:val="008C196B"/>
    <w:rsid w:val="008C1B35"/>
    <w:rsid w:val="008C25E4"/>
    <w:rsid w:val="008C32A2"/>
    <w:rsid w:val="008C34B7"/>
    <w:rsid w:val="008C35FB"/>
    <w:rsid w:val="008C375E"/>
    <w:rsid w:val="008C3DA7"/>
    <w:rsid w:val="008C3F06"/>
    <w:rsid w:val="008C4039"/>
    <w:rsid w:val="008C43D6"/>
    <w:rsid w:val="008C47F8"/>
    <w:rsid w:val="008C49E4"/>
    <w:rsid w:val="008C4A81"/>
    <w:rsid w:val="008C5111"/>
    <w:rsid w:val="008C5648"/>
    <w:rsid w:val="008C5775"/>
    <w:rsid w:val="008C5C93"/>
    <w:rsid w:val="008C5D98"/>
    <w:rsid w:val="008C5DF8"/>
    <w:rsid w:val="008C7404"/>
    <w:rsid w:val="008C75B4"/>
    <w:rsid w:val="008C77B2"/>
    <w:rsid w:val="008D03E2"/>
    <w:rsid w:val="008D0B93"/>
    <w:rsid w:val="008D18B7"/>
    <w:rsid w:val="008D1EA4"/>
    <w:rsid w:val="008D268D"/>
    <w:rsid w:val="008D288E"/>
    <w:rsid w:val="008D29F8"/>
    <w:rsid w:val="008D34B9"/>
    <w:rsid w:val="008D34D6"/>
    <w:rsid w:val="008D35B2"/>
    <w:rsid w:val="008D4027"/>
    <w:rsid w:val="008D4157"/>
    <w:rsid w:val="008D44D4"/>
    <w:rsid w:val="008D4AD3"/>
    <w:rsid w:val="008D4B36"/>
    <w:rsid w:val="008D50E3"/>
    <w:rsid w:val="008D519D"/>
    <w:rsid w:val="008D55DB"/>
    <w:rsid w:val="008D5DAA"/>
    <w:rsid w:val="008D6229"/>
    <w:rsid w:val="008D6F73"/>
    <w:rsid w:val="008D6FED"/>
    <w:rsid w:val="008E079F"/>
    <w:rsid w:val="008E10BA"/>
    <w:rsid w:val="008E132E"/>
    <w:rsid w:val="008E13AA"/>
    <w:rsid w:val="008E1567"/>
    <w:rsid w:val="008E1D38"/>
    <w:rsid w:val="008E32C1"/>
    <w:rsid w:val="008E3764"/>
    <w:rsid w:val="008E3D78"/>
    <w:rsid w:val="008E3EF3"/>
    <w:rsid w:val="008E3FD9"/>
    <w:rsid w:val="008E434E"/>
    <w:rsid w:val="008E46CC"/>
    <w:rsid w:val="008E4C68"/>
    <w:rsid w:val="008E5258"/>
    <w:rsid w:val="008E60BA"/>
    <w:rsid w:val="008E631A"/>
    <w:rsid w:val="008E69A2"/>
    <w:rsid w:val="008E6ECC"/>
    <w:rsid w:val="008E7A4B"/>
    <w:rsid w:val="008E7D88"/>
    <w:rsid w:val="008E7E8F"/>
    <w:rsid w:val="008F0196"/>
    <w:rsid w:val="008F082F"/>
    <w:rsid w:val="008F09F6"/>
    <w:rsid w:val="008F1520"/>
    <w:rsid w:val="008F1EB7"/>
    <w:rsid w:val="008F1EE8"/>
    <w:rsid w:val="008F1F8A"/>
    <w:rsid w:val="008F20F1"/>
    <w:rsid w:val="008F2153"/>
    <w:rsid w:val="008F25C0"/>
    <w:rsid w:val="008F2AFD"/>
    <w:rsid w:val="008F2BFE"/>
    <w:rsid w:val="008F2C28"/>
    <w:rsid w:val="008F2D6F"/>
    <w:rsid w:val="008F367E"/>
    <w:rsid w:val="008F388B"/>
    <w:rsid w:val="008F3C00"/>
    <w:rsid w:val="008F3F6F"/>
    <w:rsid w:val="008F533C"/>
    <w:rsid w:val="008F57BA"/>
    <w:rsid w:val="008F5CD2"/>
    <w:rsid w:val="008F6775"/>
    <w:rsid w:val="008F6918"/>
    <w:rsid w:val="008F6AAD"/>
    <w:rsid w:val="008F74C6"/>
    <w:rsid w:val="008F771C"/>
    <w:rsid w:val="008F7D56"/>
    <w:rsid w:val="00900064"/>
    <w:rsid w:val="0090091E"/>
    <w:rsid w:val="00900B95"/>
    <w:rsid w:val="00901205"/>
    <w:rsid w:val="009016FF"/>
    <w:rsid w:val="00901B5B"/>
    <w:rsid w:val="009028DF"/>
    <w:rsid w:val="00903089"/>
    <w:rsid w:val="009031AE"/>
    <w:rsid w:val="009035F1"/>
    <w:rsid w:val="009036B0"/>
    <w:rsid w:val="009037A2"/>
    <w:rsid w:val="00903A50"/>
    <w:rsid w:val="00903A52"/>
    <w:rsid w:val="009041FE"/>
    <w:rsid w:val="009042B5"/>
    <w:rsid w:val="009045F6"/>
    <w:rsid w:val="00905BA0"/>
    <w:rsid w:val="00905CE7"/>
    <w:rsid w:val="00905DEF"/>
    <w:rsid w:val="00905F70"/>
    <w:rsid w:val="00905F95"/>
    <w:rsid w:val="009062ED"/>
    <w:rsid w:val="00906A24"/>
    <w:rsid w:val="00906ABA"/>
    <w:rsid w:val="00907447"/>
    <w:rsid w:val="00907983"/>
    <w:rsid w:val="009079A6"/>
    <w:rsid w:val="0091034B"/>
    <w:rsid w:val="00910E90"/>
    <w:rsid w:val="0091153B"/>
    <w:rsid w:val="00911588"/>
    <w:rsid w:val="009122A4"/>
    <w:rsid w:val="009127F2"/>
    <w:rsid w:val="00912FF8"/>
    <w:rsid w:val="0091315C"/>
    <w:rsid w:val="0091348B"/>
    <w:rsid w:val="009135AF"/>
    <w:rsid w:val="00913D7F"/>
    <w:rsid w:val="009144BD"/>
    <w:rsid w:val="0091464A"/>
    <w:rsid w:val="00914CBF"/>
    <w:rsid w:val="00914DC4"/>
    <w:rsid w:val="00914F0B"/>
    <w:rsid w:val="009151CE"/>
    <w:rsid w:val="00915341"/>
    <w:rsid w:val="0091577A"/>
    <w:rsid w:val="00916455"/>
    <w:rsid w:val="00916849"/>
    <w:rsid w:val="00916A13"/>
    <w:rsid w:val="00916F01"/>
    <w:rsid w:val="009172E7"/>
    <w:rsid w:val="009174DC"/>
    <w:rsid w:val="0091782F"/>
    <w:rsid w:val="00917C2C"/>
    <w:rsid w:val="00917D7F"/>
    <w:rsid w:val="00920516"/>
    <w:rsid w:val="0092055F"/>
    <w:rsid w:val="0092063F"/>
    <w:rsid w:val="00920862"/>
    <w:rsid w:val="00920878"/>
    <w:rsid w:val="00920E46"/>
    <w:rsid w:val="009212B1"/>
    <w:rsid w:val="009212E6"/>
    <w:rsid w:val="0092185C"/>
    <w:rsid w:val="009218A4"/>
    <w:rsid w:val="00921C9A"/>
    <w:rsid w:val="00921E57"/>
    <w:rsid w:val="009221E3"/>
    <w:rsid w:val="0092237B"/>
    <w:rsid w:val="00922387"/>
    <w:rsid w:val="009223A3"/>
    <w:rsid w:val="00922695"/>
    <w:rsid w:val="00922872"/>
    <w:rsid w:val="00922AA0"/>
    <w:rsid w:val="0092346E"/>
    <w:rsid w:val="009241F5"/>
    <w:rsid w:val="0092421F"/>
    <w:rsid w:val="0092466F"/>
    <w:rsid w:val="00924AAC"/>
    <w:rsid w:val="009252B4"/>
    <w:rsid w:val="00925789"/>
    <w:rsid w:val="00925B8B"/>
    <w:rsid w:val="00925CC3"/>
    <w:rsid w:val="009267D4"/>
    <w:rsid w:val="009268FC"/>
    <w:rsid w:val="00926BDC"/>
    <w:rsid w:val="0092701E"/>
    <w:rsid w:val="009271B5"/>
    <w:rsid w:val="00927393"/>
    <w:rsid w:val="009273A7"/>
    <w:rsid w:val="009273F8"/>
    <w:rsid w:val="00927483"/>
    <w:rsid w:val="00927C68"/>
    <w:rsid w:val="0093021E"/>
    <w:rsid w:val="009308DA"/>
    <w:rsid w:val="009311C9"/>
    <w:rsid w:val="0093135A"/>
    <w:rsid w:val="009313C4"/>
    <w:rsid w:val="00931773"/>
    <w:rsid w:val="0093179A"/>
    <w:rsid w:val="009317A2"/>
    <w:rsid w:val="009317AC"/>
    <w:rsid w:val="00931DDA"/>
    <w:rsid w:val="009320B7"/>
    <w:rsid w:val="009327F1"/>
    <w:rsid w:val="00933A30"/>
    <w:rsid w:val="00933DB2"/>
    <w:rsid w:val="00933DC0"/>
    <w:rsid w:val="00933DE0"/>
    <w:rsid w:val="00934795"/>
    <w:rsid w:val="00934927"/>
    <w:rsid w:val="00935307"/>
    <w:rsid w:val="00935580"/>
    <w:rsid w:val="0093596E"/>
    <w:rsid w:val="00935984"/>
    <w:rsid w:val="00936021"/>
    <w:rsid w:val="009360E7"/>
    <w:rsid w:val="00936462"/>
    <w:rsid w:val="00936494"/>
    <w:rsid w:val="0093707F"/>
    <w:rsid w:val="009373D3"/>
    <w:rsid w:val="00937C0F"/>
    <w:rsid w:val="00937E7B"/>
    <w:rsid w:val="00940335"/>
    <w:rsid w:val="00940342"/>
    <w:rsid w:val="00940B26"/>
    <w:rsid w:val="00940C14"/>
    <w:rsid w:val="009410CA"/>
    <w:rsid w:val="00941467"/>
    <w:rsid w:val="00941620"/>
    <w:rsid w:val="0094213E"/>
    <w:rsid w:val="0094238D"/>
    <w:rsid w:val="009424F4"/>
    <w:rsid w:val="00942C95"/>
    <w:rsid w:val="00943737"/>
    <w:rsid w:val="00943A3F"/>
    <w:rsid w:val="00943DF2"/>
    <w:rsid w:val="00944370"/>
    <w:rsid w:val="009446DE"/>
    <w:rsid w:val="00945123"/>
    <w:rsid w:val="009451CE"/>
    <w:rsid w:val="00946029"/>
    <w:rsid w:val="009467B5"/>
    <w:rsid w:val="0094765F"/>
    <w:rsid w:val="00947A2C"/>
    <w:rsid w:val="00947F18"/>
    <w:rsid w:val="00950526"/>
    <w:rsid w:val="0095085D"/>
    <w:rsid w:val="00950DCD"/>
    <w:rsid w:val="00951383"/>
    <w:rsid w:val="009518E5"/>
    <w:rsid w:val="00951FCF"/>
    <w:rsid w:val="0095214A"/>
    <w:rsid w:val="00952623"/>
    <w:rsid w:val="009526B5"/>
    <w:rsid w:val="00952915"/>
    <w:rsid w:val="00952EF7"/>
    <w:rsid w:val="0095390C"/>
    <w:rsid w:val="00953C7D"/>
    <w:rsid w:val="00953FDE"/>
    <w:rsid w:val="009543CD"/>
    <w:rsid w:val="009546A8"/>
    <w:rsid w:val="009554FB"/>
    <w:rsid w:val="00955D8B"/>
    <w:rsid w:val="0095624A"/>
    <w:rsid w:val="00956432"/>
    <w:rsid w:val="00956B40"/>
    <w:rsid w:val="00956F36"/>
    <w:rsid w:val="0095706A"/>
    <w:rsid w:val="0095745F"/>
    <w:rsid w:val="00957F2F"/>
    <w:rsid w:val="009606D0"/>
    <w:rsid w:val="0096076F"/>
    <w:rsid w:val="00961671"/>
    <w:rsid w:val="0096218D"/>
    <w:rsid w:val="0096234E"/>
    <w:rsid w:val="00962631"/>
    <w:rsid w:val="009627B8"/>
    <w:rsid w:val="00962B03"/>
    <w:rsid w:val="00962B68"/>
    <w:rsid w:val="00962DC4"/>
    <w:rsid w:val="00963FB7"/>
    <w:rsid w:val="00964C51"/>
    <w:rsid w:val="00965205"/>
    <w:rsid w:val="00965283"/>
    <w:rsid w:val="009652E4"/>
    <w:rsid w:val="0096545A"/>
    <w:rsid w:val="00965E44"/>
    <w:rsid w:val="009666F4"/>
    <w:rsid w:val="00967077"/>
    <w:rsid w:val="00967379"/>
    <w:rsid w:val="00967FAA"/>
    <w:rsid w:val="00970A49"/>
    <w:rsid w:val="00970A91"/>
    <w:rsid w:val="00970CFF"/>
    <w:rsid w:val="00971865"/>
    <w:rsid w:val="00971A26"/>
    <w:rsid w:val="0097241D"/>
    <w:rsid w:val="00972484"/>
    <w:rsid w:val="009724A2"/>
    <w:rsid w:val="00972B0A"/>
    <w:rsid w:val="00973031"/>
    <w:rsid w:val="00973280"/>
    <w:rsid w:val="009739A9"/>
    <w:rsid w:val="00973D7A"/>
    <w:rsid w:val="0097437A"/>
    <w:rsid w:val="009745B6"/>
    <w:rsid w:val="00974832"/>
    <w:rsid w:val="00974BB1"/>
    <w:rsid w:val="00974D18"/>
    <w:rsid w:val="00974D62"/>
    <w:rsid w:val="00976021"/>
    <w:rsid w:val="009763FD"/>
    <w:rsid w:val="00977588"/>
    <w:rsid w:val="00977956"/>
    <w:rsid w:val="00977BBB"/>
    <w:rsid w:val="0098174A"/>
    <w:rsid w:val="00981C4C"/>
    <w:rsid w:val="00982BD2"/>
    <w:rsid w:val="00982C41"/>
    <w:rsid w:val="00983F68"/>
    <w:rsid w:val="00983FE9"/>
    <w:rsid w:val="009840B5"/>
    <w:rsid w:val="009843C4"/>
    <w:rsid w:val="00984431"/>
    <w:rsid w:val="00984438"/>
    <w:rsid w:val="00984DCE"/>
    <w:rsid w:val="00984E95"/>
    <w:rsid w:val="0098505A"/>
    <w:rsid w:val="0098529C"/>
    <w:rsid w:val="009858EE"/>
    <w:rsid w:val="0098652F"/>
    <w:rsid w:val="00987315"/>
    <w:rsid w:val="00987886"/>
    <w:rsid w:val="00987A27"/>
    <w:rsid w:val="00987D74"/>
    <w:rsid w:val="009900F8"/>
    <w:rsid w:val="00990DD0"/>
    <w:rsid w:val="009917AA"/>
    <w:rsid w:val="00991BFC"/>
    <w:rsid w:val="00992EF4"/>
    <w:rsid w:val="00992F5F"/>
    <w:rsid w:val="00992FEB"/>
    <w:rsid w:val="00993433"/>
    <w:rsid w:val="0099414B"/>
    <w:rsid w:val="00994AC5"/>
    <w:rsid w:val="0099542A"/>
    <w:rsid w:val="009959FA"/>
    <w:rsid w:val="00995BE2"/>
    <w:rsid w:val="00995C67"/>
    <w:rsid w:val="00995E25"/>
    <w:rsid w:val="009962CB"/>
    <w:rsid w:val="009962FB"/>
    <w:rsid w:val="009966A5"/>
    <w:rsid w:val="0099717E"/>
    <w:rsid w:val="009971CA"/>
    <w:rsid w:val="0099794A"/>
    <w:rsid w:val="00997C73"/>
    <w:rsid w:val="00997CE5"/>
    <w:rsid w:val="00997E27"/>
    <w:rsid w:val="00997F15"/>
    <w:rsid w:val="009A04CE"/>
    <w:rsid w:val="009A121E"/>
    <w:rsid w:val="009A1832"/>
    <w:rsid w:val="009A1A33"/>
    <w:rsid w:val="009A2803"/>
    <w:rsid w:val="009A2A90"/>
    <w:rsid w:val="009A31D9"/>
    <w:rsid w:val="009A3414"/>
    <w:rsid w:val="009A34FA"/>
    <w:rsid w:val="009A3D58"/>
    <w:rsid w:val="009A561C"/>
    <w:rsid w:val="009A57A4"/>
    <w:rsid w:val="009A5EA2"/>
    <w:rsid w:val="009A610F"/>
    <w:rsid w:val="009A68DE"/>
    <w:rsid w:val="009A6C1A"/>
    <w:rsid w:val="009A6EB1"/>
    <w:rsid w:val="009A728B"/>
    <w:rsid w:val="009A7425"/>
    <w:rsid w:val="009A7526"/>
    <w:rsid w:val="009A7897"/>
    <w:rsid w:val="009A7C80"/>
    <w:rsid w:val="009B00B7"/>
    <w:rsid w:val="009B059F"/>
    <w:rsid w:val="009B0757"/>
    <w:rsid w:val="009B0A32"/>
    <w:rsid w:val="009B0C1D"/>
    <w:rsid w:val="009B0FE4"/>
    <w:rsid w:val="009B1234"/>
    <w:rsid w:val="009B1765"/>
    <w:rsid w:val="009B17FB"/>
    <w:rsid w:val="009B1BEE"/>
    <w:rsid w:val="009B24E8"/>
    <w:rsid w:val="009B2996"/>
    <w:rsid w:val="009B3293"/>
    <w:rsid w:val="009B3389"/>
    <w:rsid w:val="009B3427"/>
    <w:rsid w:val="009B384D"/>
    <w:rsid w:val="009B3DF9"/>
    <w:rsid w:val="009B3FC0"/>
    <w:rsid w:val="009B475D"/>
    <w:rsid w:val="009B4CE8"/>
    <w:rsid w:val="009B4E23"/>
    <w:rsid w:val="009B4FA7"/>
    <w:rsid w:val="009B5C3A"/>
    <w:rsid w:val="009B5D81"/>
    <w:rsid w:val="009B5E3B"/>
    <w:rsid w:val="009B6566"/>
    <w:rsid w:val="009B6CEC"/>
    <w:rsid w:val="009B6DAF"/>
    <w:rsid w:val="009B743F"/>
    <w:rsid w:val="009B77EF"/>
    <w:rsid w:val="009B7C46"/>
    <w:rsid w:val="009B7E6B"/>
    <w:rsid w:val="009C0186"/>
    <w:rsid w:val="009C0EAB"/>
    <w:rsid w:val="009C0F20"/>
    <w:rsid w:val="009C10AF"/>
    <w:rsid w:val="009C1303"/>
    <w:rsid w:val="009C18A8"/>
    <w:rsid w:val="009C1E10"/>
    <w:rsid w:val="009C1EA6"/>
    <w:rsid w:val="009C21F4"/>
    <w:rsid w:val="009C2456"/>
    <w:rsid w:val="009C269B"/>
    <w:rsid w:val="009C271F"/>
    <w:rsid w:val="009C3046"/>
    <w:rsid w:val="009C30C2"/>
    <w:rsid w:val="009C3627"/>
    <w:rsid w:val="009C3715"/>
    <w:rsid w:val="009C4122"/>
    <w:rsid w:val="009C442A"/>
    <w:rsid w:val="009C4561"/>
    <w:rsid w:val="009C47EA"/>
    <w:rsid w:val="009C523B"/>
    <w:rsid w:val="009C53DE"/>
    <w:rsid w:val="009C5896"/>
    <w:rsid w:val="009C5C56"/>
    <w:rsid w:val="009C5CAC"/>
    <w:rsid w:val="009C5D27"/>
    <w:rsid w:val="009C6089"/>
    <w:rsid w:val="009C63D6"/>
    <w:rsid w:val="009C6B60"/>
    <w:rsid w:val="009C72F6"/>
    <w:rsid w:val="009C7350"/>
    <w:rsid w:val="009C7E02"/>
    <w:rsid w:val="009D0B72"/>
    <w:rsid w:val="009D136B"/>
    <w:rsid w:val="009D13D6"/>
    <w:rsid w:val="009D179D"/>
    <w:rsid w:val="009D18AF"/>
    <w:rsid w:val="009D2916"/>
    <w:rsid w:val="009D2931"/>
    <w:rsid w:val="009D30C8"/>
    <w:rsid w:val="009D3D5A"/>
    <w:rsid w:val="009D4E63"/>
    <w:rsid w:val="009D518A"/>
    <w:rsid w:val="009D5753"/>
    <w:rsid w:val="009D6242"/>
    <w:rsid w:val="009D6DC0"/>
    <w:rsid w:val="009D733F"/>
    <w:rsid w:val="009D769A"/>
    <w:rsid w:val="009D7C77"/>
    <w:rsid w:val="009D7CF0"/>
    <w:rsid w:val="009D7EC5"/>
    <w:rsid w:val="009E0542"/>
    <w:rsid w:val="009E0CBF"/>
    <w:rsid w:val="009E0E86"/>
    <w:rsid w:val="009E0F0A"/>
    <w:rsid w:val="009E1A69"/>
    <w:rsid w:val="009E1EBB"/>
    <w:rsid w:val="009E2452"/>
    <w:rsid w:val="009E2BB8"/>
    <w:rsid w:val="009E33E4"/>
    <w:rsid w:val="009E35E7"/>
    <w:rsid w:val="009E392F"/>
    <w:rsid w:val="009E3B99"/>
    <w:rsid w:val="009E40F0"/>
    <w:rsid w:val="009E4201"/>
    <w:rsid w:val="009E43D0"/>
    <w:rsid w:val="009E52F7"/>
    <w:rsid w:val="009E5364"/>
    <w:rsid w:val="009E56A0"/>
    <w:rsid w:val="009E57E5"/>
    <w:rsid w:val="009E5C97"/>
    <w:rsid w:val="009E5CF8"/>
    <w:rsid w:val="009E63F4"/>
    <w:rsid w:val="009E727A"/>
    <w:rsid w:val="009E7603"/>
    <w:rsid w:val="009E77B0"/>
    <w:rsid w:val="009E7AC0"/>
    <w:rsid w:val="009F0DC3"/>
    <w:rsid w:val="009F1379"/>
    <w:rsid w:val="009F14DC"/>
    <w:rsid w:val="009F16A5"/>
    <w:rsid w:val="009F1AE0"/>
    <w:rsid w:val="009F1BCC"/>
    <w:rsid w:val="009F1D61"/>
    <w:rsid w:val="009F20A6"/>
    <w:rsid w:val="009F2CE5"/>
    <w:rsid w:val="009F418D"/>
    <w:rsid w:val="009F4311"/>
    <w:rsid w:val="009F4751"/>
    <w:rsid w:val="009F546D"/>
    <w:rsid w:val="009F54CA"/>
    <w:rsid w:val="009F5831"/>
    <w:rsid w:val="009F5F8F"/>
    <w:rsid w:val="009F614B"/>
    <w:rsid w:val="009F6151"/>
    <w:rsid w:val="009F661C"/>
    <w:rsid w:val="009F6781"/>
    <w:rsid w:val="009F6A68"/>
    <w:rsid w:val="009F6A9B"/>
    <w:rsid w:val="009F6BFE"/>
    <w:rsid w:val="009F708B"/>
    <w:rsid w:val="009F70E0"/>
    <w:rsid w:val="009F75C5"/>
    <w:rsid w:val="00A001F1"/>
    <w:rsid w:val="00A00466"/>
    <w:rsid w:val="00A00A08"/>
    <w:rsid w:val="00A00BF1"/>
    <w:rsid w:val="00A010D9"/>
    <w:rsid w:val="00A013D9"/>
    <w:rsid w:val="00A015D8"/>
    <w:rsid w:val="00A01648"/>
    <w:rsid w:val="00A01CD6"/>
    <w:rsid w:val="00A021CF"/>
    <w:rsid w:val="00A02421"/>
    <w:rsid w:val="00A02481"/>
    <w:rsid w:val="00A02B28"/>
    <w:rsid w:val="00A02D04"/>
    <w:rsid w:val="00A02ED9"/>
    <w:rsid w:val="00A02F7B"/>
    <w:rsid w:val="00A033CD"/>
    <w:rsid w:val="00A03541"/>
    <w:rsid w:val="00A03E93"/>
    <w:rsid w:val="00A0406B"/>
    <w:rsid w:val="00A045B2"/>
    <w:rsid w:val="00A046BF"/>
    <w:rsid w:val="00A04CF9"/>
    <w:rsid w:val="00A04D98"/>
    <w:rsid w:val="00A05BB4"/>
    <w:rsid w:val="00A05CA1"/>
    <w:rsid w:val="00A06640"/>
    <w:rsid w:val="00A06B5C"/>
    <w:rsid w:val="00A07877"/>
    <w:rsid w:val="00A1060F"/>
    <w:rsid w:val="00A10D45"/>
    <w:rsid w:val="00A11D25"/>
    <w:rsid w:val="00A1206D"/>
    <w:rsid w:val="00A13039"/>
    <w:rsid w:val="00A13179"/>
    <w:rsid w:val="00A13182"/>
    <w:rsid w:val="00A13190"/>
    <w:rsid w:val="00A1334A"/>
    <w:rsid w:val="00A1344C"/>
    <w:rsid w:val="00A137E6"/>
    <w:rsid w:val="00A1404D"/>
    <w:rsid w:val="00A14360"/>
    <w:rsid w:val="00A146D1"/>
    <w:rsid w:val="00A14C24"/>
    <w:rsid w:val="00A158A3"/>
    <w:rsid w:val="00A158C8"/>
    <w:rsid w:val="00A159AB"/>
    <w:rsid w:val="00A15A54"/>
    <w:rsid w:val="00A15E21"/>
    <w:rsid w:val="00A15EA1"/>
    <w:rsid w:val="00A1618E"/>
    <w:rsid w:val="00A16EC0"/>
    <w:rsid w:val="00A178BD"/>
    <w:rsid w:val="00A17B89"/>
    <w:rsid w:val="00A203DD"/>
    <w:rsid w:val="00A20411"/>
    <w:rsid w:val="00A2048D"/>
    <w:rsid w:val="00A210D1"/>
    <w:rsid w:val="00A21208"/>
    <w:rsid w:val="00A21A18"/>
    <w:rsid w:val="00A21D95"/>
    <w:rsid w:val="00A22763"/>
    <w:rsid w:val="00A22B7E"/>
    <w:rsid w:val="00A232AF"/>
    <w:rsid w:val="00A236A7"/>
    <w:rsid w:val="00A23F64"/>
    <w:rsid w:val="00A246DA"/>
    <w:rsid w:val="00A246FA"/>
    <w:rsid w:val="00A250C4"/>
    <w:rsid w:val="00A253E1"/>
    <w:rsid w:val="00A259FA"/>
    <w:rsid w:val="00A25D94"/>
    <w:rsid w:val="00A26713"/>
    <w:rsid w:val="00A26D96"/>
    <w:rsid w:val="00A270C5"/>
    <w:rsid w:val="00A2789D"/>
    <w:rsid w:val="00A27901"/>
    <w:rsid w:val="00A27A9B"/>
    <w:rsid w:val="00A27D4F"/>
    <w:rsid w:val="00A27F69"/>
    <w:rsid w:val="00A30A14"/>
    <w:rsid w:val="00A30A27"/>
    <w:rsid w:val="00A30DA6"/>
    <w:rsid w:val="00A30DF0"/>
    <w:rsid w:val="00A31265"/>
    <w:rsid w:val="00A3145E"/>
    <w:rsid w:val="00A32C36"/>
    <w:rsid w:val="00A3315C"/>
    <w:rsid w:val="00A338ED"/>
    <w:rsid w:val="00A33954"/>
    <w:rsid w:val="00A33E43"/>
    <w:rsid w:val="00A34216"/>
    <w:rsid w:val="00A344A1"/>
    <w:rsid w:val="00A34B22"/>
    <w:rsid w:val="00A34D55"/>
    <w:rsid w:val="00A34DE3"/>
    <w:rsid w:val="00A35072"/>
    <w:rsid w:val="00A35237"/>
    <w:rsid w:val="00A35C4C"/>
    <w:rsid w:val="00A35EC6"/>
    <w:rsid w:val="00A35FA2"/>
    <w:rsid w:val="00A363CC"/>
    <w:rsid w:val="00A36A96"/>
    <w:rsid w:val="00A36B50"/>
    <w:rsid w:val="00A36C06"/>
    <w:rsid w:val="00A36DBD"/>
    <w:rsid w:val="00A372A2"/>
    <w:rsid w:val="00A37574"/>
    <w:rsid w:val="00A3766B"/>
    <w:rsid w:val="00A3794E"/>
    <w:rsid w:val="00A37E00"/>
    <w:rsid w:val="00A40099"/>
    <w:rsid w:val="00A40DC5"/>
    <w:rsid w:val="00A412CA"/>
    <w:rsid w:val="00A41334"/>
    <w:rsid w:val="00A415D6"/>
    <w:rsid w:val="00A41712"/>
    <w:rsid w:val="00A417CB"/>
    <w:rsid w:val="00A41BE5"/>
    <w:rsid w:val="00A4291B"/>
    <w:rsid w:val="00A42A82"/>
    <w:rsid w:val="00A42B5C"/>
    <w:rsid w:val="00A43AAB"/>
    <w:rsid w:val="00A43AB0"/>
    <w:rsid w:val="00A443F4"/>
    <w:rsid w:val="00A4494F"/>
    <w:rsid w:val="00A44C36"/>
    <w:rsid w:val="00A44D77"/>
    <w:rsid w:val="00A45CE8"/>
    <w:rsid w:val="00A45FE7"/>
    <w:rsid w:val="00A465E7"/>
    <w:rsid w:val="00A46A1B"/>
    <w:rsid w:val="00A472E8"/>
    <w:rsid w:val="00A507F1"/>
    <w:rsid w:val="00A50C83"/>
    <w:rsid w:val="00A50FE8"/>
    <w:rsid w:val="00A511EA"/>
    <w:rsid w:val="00A518D0"/>
    <w:rsid w:val="00A52590"/>
    <w:rsid w:val="00A5290E"/>
    <w:rsid w:val="00A53571"/>
    <w:rsid w:val="00A53660"/>
    <w:rsid w:val="00A537D9"/>
    <w:rsid w:val="00A53A5F"/>
    <w:rsid w:val="00A53F1D"/>
    <w:rsid w:val="00A54572"/>
    <w:rsid w:val="00A54837"/>
    <w:rsid w:val="00A54DCB"/>
    <w:rsid w:val="00A54E37"/>
    <w:rsid w:val="00A55010"/>
    <w:rsid w:val="00A554C7"/>
    <w:rsid w:val="00A5575B"/>
    <w:rsid w:val="00A55C95"/>
    <w:rsid w:val="00A56103"/>
    <w:rsid w:val="00A5633A"/>
    <w:rsid w:val="00A56531"/>
    <w:rsid w:val="00A565CC"/>
    <w:rsid w:val="00A571D8"/>
    <w:rsid w:val="00A57214"/>
    <w:rsid w:val="00A5722D"/>
    <w:rsid w:val="00A57437"/>
    <w:rsid w:val="00A575E7"/>
    <w:rsid w:val="00A57FF0"/>
    <w:rsid w:val="00A60890"/>
    <w:rsid w:val="00A60951"/>
    <w:rsid w:val="00A60ADA"/>
    <w:rsid w:val="00A60AED"/>
    <w:rsid w:val="00A610E2"/>
    <w:rsid w:val="00A613FC"/>
    <w:rsid w:val="00A61725"/>
    <w:rsid w:val="00A61727"/>
    <w:rsid w:val="00A61874"/>
    <w:rsid w:val="00A62782"/>
    <w:rsid w:val="00A62CA9"/>
    <w:rsid w:val="00A62F4B"/>
    <w:rsid w:val="00A63C02"/>
    <w:rsid w:val="00A64443"/>
    <w:rsid w:val="00A6457B"/>
    <w:rsid w:val="00A655A4"/>
    <w:rsid w:val="00A6584B"/>
    <w:rsid w:val="00A65943"/>
    <w:rsid w:val="00A65F99"/>
    <w:rsid w:val="00A66045"/>
    <w:rsid w:val="00A66A12"/>
    <w:rsid w:val="00A66AEA"/>
    <w:rsid w:val="00A66D63"/>
    <w:rsid w:val="00A670CB"/>
    <w:rsid w:val="00A6730B"/>
    <w:rsid w:val="00A7026C"/>
    <w:rsid w:val="00A7097A"/>
    <w:rsid w:val="00A70BC2"/>
    <w:rsid w:val="00A70BE5"/>
    <w:rsid w:val="00A71559"/>
    <w:rsid w:val="00A715F6"/>
    <w:rsid w:val="00A7167D"/>
    <w:rsid w:val="00A71829"/>
    <w:rsid w:val="00A71830"/>
    <w:rsid w:val="00A71A18"/>
    <w:rsid w:val="00A7294B"/>
    <w:rsid w:val="00A72F3E"/>
    <w:rsid w:val="00A72F87"/>
    <w:rsid w:val="00A7348F"/>
    <w:rsid w:val="00A737B8"/>
    <w:rsid w:val="00A738E0"/>
    <w:rsid w:val="00A73A87"/>
    <w:rsid w:val="00A73C3E"/>
    <w:rsid w:val="00A74370"/>
    <w:rsid w:val="00A743D1"/>
    <w:rsid w:val="00A74A9F"/>
    <w:rsid w:val="00A75084"/>
    <w:rsid w:val="00A75499"/>
    <w:rsid w:val="00A75A91"/>
    <w:rsid w:val="00A75B6B"/>
    <w:rsid w:val="00A75BC4"/>
    <w:rsid w:val="00A7679D"/>
    <w:rsid w:val="00A768B3"/>
    <w:rsid w:val="00A76A9C"/>
    <w:rsid w:val="00A7711F"/>
    <w:rsid w:val="00A776AE"/>
    <w:rsid w:val="00A77F32"/>
    <w:rsid w:val="00A77FA5"/>
    <w:rsid w:val="00A80BB7"/>
    <w:rsid w:val="00A80F2B"/>
    <w:rsid w:val="00A81C49"/>
    <w:rsid w:val="00A81FCB"/>
    <w:rsid w:val="00A82061"/>
    <w:rsid w:val="00A82C30"/>
    <w:rsid w:val="00A82DED"/>
    <w:rsid w:val="00A832E1"/>
    <w:rsid w:val="00A8330B"/>
    <w:rsid w:val="00A83673"/>
    <w:rsid w:val="00A84BA1"/>
    <w:rsid w:val="00A851B7"/>
    <w:rsid w:val="00A853FD"/>
    <w:rsid w:val="00A85B04"/>
    <w:rsid w:val="00A85C86"/>
    <w:rsid w:val="00A85D1A"/>
    <w:rsid w:val="00A85E21"/>
    <w:rsid w:val="00A86294"/>
    <w:rsid w:val="00A8713C"/>
    <w:rsid w:val="00A8720C"/>
    <w:rsid w:val="00A87424"/>
    <w:rsid w:val="00A905D9"/>
    <w:rsid w:val="00A90D7A"/>
    <w:rsid w:val="00A9157E"/>
    <w:rsid w:val="00A916C1"/>
    <w:rsid w:val="00A923DC"/>
    <w:rsid w:val="00A924E0"/>
    <w:rsid w:val="00A927DF"/>
    <w:rsid w:val="00A929D6"/>
    <w:rsid w:val="00A93257"/>
    <w:rsid w:val="00A933FF"/>
    <w:rsid w:val="00A93638"/>
    <w:rsid w:val="00A9377B"/>
    <w:rsid w:val="00A9383A"/>
    <w:rsid w:val="00A93CFD"/>
    <w:rsid w:val="00A93F9F"/>
    <w:rsid w:val="00A94190"/>
    <w:rsid w:val="00A9477C"/>
    <w:rsid w:val="00A94C74"/>
    <w:rsid w:val="00A957DC"/>
    <w:rsid w:val="00A95C1B"/>
    <w:rsid w:val="00A95E0C"/>
    <w:rsid w:val="00A95E6B"/>
    <w:rsid w:val="00A96329"/>
    <w:rsid w:val="00A970F3"/>
    <w:rsid w:val="00A97299"/>
    <w:rsid w:val="00A975C1"/>
    <w:rsid w:val="00A9788F"/>
    <w:rsid w:val="00A978FF"/>
    <w:rsid w:val="00AA0237"/>
    <w:rsid w:val="00AA0736"/>
    <w:rsid w:val="00AA0955"/>
    <w:rsid w:val="00AA0CCB"/>
    <w:rsid w:val="00AA0E1F"/>
    <w:rsid w:val="00AA0FAD"/>
    <w:rsid w:val="00AA105C"/>
    <w:rsid w:val="00AA11A0"/>
    <w:rsid w:val="00AA1219"/>
    <w:rsid w:val="00AA141F"/>
    <w:rsid w:val="00AA1816"/>
    <w:rsid w:val="00AA1AB2"/>
    <w:rsid w:val="00AA1C17"/>
    <w:rsid w:val="00AA1DB4"/>
    <w:rsid w:val="00AA2022"/>
    <w:rsid w:val="00AA2065"/>
    <w:rsid w:val="00AA23D5"/>
    <w:rsid w:val="00AA2419"/>
    <w:rsid w:val="00AA26FF"/>
    <w:rsid w:val="00AA32EA"/>
    <w:rsid w:val="00AA3C78"/>
    <w:rsid w:val="00AA3D6A"/>
    <w:rsid w:val="00AA3D80"/>
    <w:rsid w:val="00AA3E3B"/>
    <w:rsid w:val="00AA4423"/>
    <w:rsid w:val="00AA4EE4"/>
    <w:rsid w:val="00AA5067"/>
    <w:rsid w:val="00AA5975"/>
    <w:rsid w:val="00AA5E6F"/>
    <w:rsid w:val="00AA5EAA"/>
    <w:rsid w:val="00AA6308"/>
    <w:rsid w:val="00AA65D4"/>
    <w:rsid w:val="00AA6A00"/>
    <w:rsid w:val="00AA6CDE"/>
    <w:rsid w:val="00AA6D98"/>
    <w:rsid w:val="00AA78D9"/>
    <w:rsid w:val="00AA79FC"/>
    <w:rsid w:val="00AB004B"/>
    <w:rsid w:val="00AB00A1"/>
    <w:rsid w:val="00AB068E"/>
    <w:rsid w:val="00AB0829"/>
    <w:rsid w:val="00AB091A"/>
    <w:rsid w:val="00AB0DA2"/>
    <w:rsid w:val="00AB1A14"/>
    <w:rsid w:val="00AB1EA9"/>
    <w:rsid w:val="00AB218C"/>
    <w:rsid w:val="00AB222B"/>
    <w:rsid w:val="00AB23F9"/>
    <w:rsid w:val="00AB326F"/>
    <w:rsid w:val="00AB3807"/>
    <w:rsid w:val="00AB390A"/>
    <w:rsid w:val="00AB3A19"/>
    <w:rsid w:val="00AB3AFD"/>
    <w:rsid w:val="00AB3C1B"/>
    <w:rsid w:val="00AB3CC6"/>
    <w:rsid w:val="00AB3F82"/>
    <w:rsid w:val="00AB3F95"/>
    <w:rsid w:val="00AB4E11"/>
    <w:rsid w:val="00AB4E22"/>
    <w:rsid w:val="00AB5819"/>
    <w:rsid w:val="00AB5E73"/>
    <w:rsid w:val="00AB7437"/>
    <w:rsid w:val="00AB7CB3"/>
    <w:rsid w:val="00AB7DFC"/>
    <w:rsid w:val="00AB7FBD"/>
    <w:rsid w:val="00AC0544"/>
    <w:rsid w:val="00AC0751"/>
    <w:rsid w:val="00AC0ADA"/>
    <w:rsid w:val="00AC0E14"/>
    <w:rsid w:val="00AC0E92"/>
    <w:rsid w:val="00AC196F"/>
    <w:rsid w:val="00AC1B23"/>
    <w:rsid w:val="00AC1DDA"/>
    <w:rsid w:val="00AC1E13"/>
    <w:rsid w:val="00AC1EA8"/>
    <w:rsid w:val="00AC1ECF"/>
    <w:rsid w:val="00AC2389"/>
    <w:rsid w:val="00AC28AD"/>
    <w:rsid w:val="00AC2AF6"/>
    <w:rsid w:val="00AC2E8A"/>
    <w:rsid w:val="00AC30FD"/>
    <w:rsid w:val="00AC4095"/>
    <w:rsid w:val="00AC430D"/>
    <w:rsid w:val="00AC43E0"/>
    <w:rsid w:val="00AC48C7"/>
    <w:rsid w:val="00AC4F53"/>
    <w:rsid w:val="00AC50D0"/>
    <w:rsid w:val="00AC60A7"/>
    <w:rsid w:val="00AC6663"/>
    <w:rsid w:val="00AC6A26"/>
    <w:rsid w:val="00AC6DB3"/>
    <w:rsid w:val="00AC7119"/>
    <w:rsid w:val="00AC7140"/>
    <w:rsid w:val="00AD058E"/>
    <w:rsid w:val="00AD08EF"/>
    <w:rsid w:val="00AD0BD0"/>
    <w:rsid w:val="00AD1A89"/>
    <w:rsid w:val="00AD1BBB"/>
    <w:rsid w:val="00AD1CC4"/>
    <w:rsid w:val="00AD1F42"/>
    <w:rsid w:val="00AD20B3"/>
    <w:rsid w:val="00AD2721"/>
    <w:rsid w:val="00AD38C3"/>
    <w:rsid w:val="00AD4173"/>
    <w:rsid w:val="00AD462A"/>
    <w:rsid w:val="00AD4715"/>
    <w:rsid w:val="00AD49CD"/>
    <w:rsid w:val="00AD4DA4"/>
    <w:rsid w:val="00AD5602"/>
    <w:rsid w:val="00AD5DBD"/>
    <w:rsid w:val="00AD64CD"/>
    <w:rsid w:val="00AD6B61"/>
    <w:rsid w:val="00AD6D3C"/>
    <w:rsid w:val="00AD6E0E"/>
    <w:rsid w:val="00AD7606"/>
    <w:rsid w:val="00AD795C"/>
    <w:rsid w:val="00AD7A5E"/>
    <w:rsid w:val="00AD7CEE"/>
    <w:rsid w:val="00AE0108"/>
    <w:rsid w:val="00AE0F5D"/>
    <w:rsid w:val="00AE1018"/>
    <w:rsid w:val="00AE17F0"/>
    <w:rsid w:val="00AE2039"/>
    <w:rsid w:val="00AE24CA"/>
    <w:rsid w:val="00AE2522"/>
    <w:rsid w:val="00AE2587"/>
    <w:rsid w:val="00AE27A8"/>
    <w:rsid w:val="00AE27D9"/>
    <w:rsid w:val="00AE2A74"/>
    <w:rsid w:val="00AE2CD1"/>
    <w:rsid w:val="00AE32C2"/>
    <w:rsid w:val="00AE34F2"/>
    <w:rsid w:val="00AE3E52"/>
    <w:rsid w:val="00AE4962"/>
    <w:rsid w:val="00AE5111"/>
    <w:rsid w:val="00AE58AC"/>
    <w:rsid w:val="00AE58C8"/>
    <w:rsid w:val="00AE59C4"/>
    <w:rsid w:val="00AE5DEC"/>
    <w:rsid w:val="00AE6C8A"/>
    <w:rsid w:val="00AE7B80"/>
    <w:rsid w:val="00AE7DED"/>
    <w:rsid w:val="00AF0285"/>
    <w:rsid w:val="00AF08F7"/>
    <w:rsid w:val="00AF0917"/>
    <w:rsid w:val="00AF0AA9"/>
    <w:rsid w:val="00AF0C5B"/>
    <w:rsid w:val="00AF0E10"/>
    <w:rsid w:val="00AF1133"/>
    <w:rsid w:val="00AF192D"/>
    <w:rsid w:val="00AF1A98"/>
    <w:rsid w:val="00AF230A"/>
    <w:rsid w:val="00AF26A2"/>
    <w:rsid w:val="00AF2E5F"/>
    <w:rsid w:val="00AF30D7"/>
    <w:rsid w:val="00AF31C1"/>
    <w:rsid w:val="00AF32A5"/>
    <w:rsid w:val="00AF37B7"/>
    <w:rsid w:val="00AF4664"/>
    <w:rsid w:val="00AF5205"/>
    <w:rsid w:val="00AF6713"/>
    <w:rsid w:val="00AF691B"/>
    <w:rsid w:val="00AF6B91"/>
    <w:rsid w:val="00AF6CFA"/>
    <w:rsid w:val="00AF6DA2"/>
    <w:rsid w:val="00AF7833"/>
    <w:rsid w:val="00AF7C00"/>
    <w:rsid w:val="00AF7CC1"/>
    <w:rsid w:val="00AF7FEA"/>
    <w:rsid w:val="00B0001F"/>
    <w:rsid w:val="00B00BC1"/>
    <w:rsid w:val="00B00DC4"/>
    <w:rsid w:val="00B015A4"/>
    <w:rsid w:val="00B01D5F"/>
    <w:rsid w:val="00B024A7"/>
    <w:rsid w:val="00B02EFA"/>
    <w:rsid w:val="00B02F09"/>
    <w:rsid w:val="00B02F7C"/>
    <w:rsid w:val="00B02FCC"/>
    <w:rsid w:val="00B031B0"/>
    <w:rsid w:val="00B033A5"/>
    <w:rsid w:val="00B035FA"/>
    <w:rsid w:val="00B0397E"/>
    <w:rsid w:val="00B03B46"/>
    <w:rsid w:val="00B03E48"/>
    <w:rsid w:val="00B03E8A"/>
    <w:rsid w:val="00B04173"/>
    <w:rsid w:val="00B04390"/>
    <w:rsid w:val="00B04CAE"/>
    <w:rsid w:val="00B051E2"/>
    <w:rsid w:val="00B0660E"/>
    <w:rsid w:val="00B067C2"/>
    <w:rsid w:val="00B0719E"/>
    <w:rsid w:val="00B079E7"/>
    <w:rsid w:val="00B10A4D"/>
    <w:rsid w:val="00B10BAF"/>
    <w:rsid w:val="00B11567"/>
    <w:rsid w:val="00B11B53"/>
    <w:rsid w:val="00B11D45"/>
    <w:rsid w:val="00B12C33"/>
    <w:rsid w:val="00B12E39"/>
    <w:rsid w:val="00B1362C"/>
    <w:rsid w:val="00B13F61"/>
    <w:rsid w:val="00B1479F"/>
    <w:rsid w:val="00B147C4"/>
    <w:rsid w:val="00B14980"/>
    <w:rsid w:val="00B14C17"/>
    <w:rsid w:val="00B150A4"/>
    <w:rsid w:val="00B151B8"/>
    <w:rsid w:val="00B152D0"/>
    <w:rsid w:val="00B15378"/>
    <w:rsid w:val="00B154AC"/>
    <w:rsid w:val="00B1553D"/>
    <w:rsid w:val="00B1570C"/>
    <w:rsid w:val="00B163D0"/>
    <w:rsid w:val="00B165C0"/>
    <w:rsid w:val="00B16A52"/>
    <w:rsid w:val="00B16FCA"/>
    <w:rsid w:val="00B17A2C"/>
    <w:rsid w:val="00B17B6E"/>
    <w:rsid w:val="00B20003"/>
    <w:rsid w:val="00B202C8"/>
    <w:rsid w:val="00B205B2"/>
    <w:rsid w:val="00B20AAE"/>
    <w:rsid w:val="00B21073"/>
    <w:rsid w:val="00B211BE"/>
    <w:rsid w:val="00B21218"/>
    <w:rsid w:val="00B221CA"/>
    <w:rsid w:val="00B22746"/>
    <w:rsid w:val="00B22863"/>
    <w:rsid w:val="00B228D6"/>
    <w:rsid w:val="00B22ABB"/>
    <w:rsid w:val="00B22F92"/>
    <w:rsid w:val="00B23270"/>
    <w:rsid w:val="00B23B62"/>
    <w:rsid w:val="00B23EDD"/>
    <w:rsid w:val="00B242D6"/>
    <w:rsid w:val="00B2500B"/>
    <w:rsid w:val="00B2503E"/>
    <w:rsid w:val="00B25302"/>
    <w:rsid w:val="00B25492"/>
    <w:rsid w:val="00B256C1"/>
    <w:rsid w:val="00B26160"/>
    <w:rsid w:val="00B26A0B"/>
    <w:rsid w:val="00B26C6E"/>
    <w:rsid w:val="00B2730E"/>
    <w:rsid w:val="00B27E31"/>
    <w:rsid w:val="00B27F24"/>
    <w:rsid w:val="00B30611"/>
    <w:rsid w:val="00B31128"/>
    <w:rsid w:val="00B31520"/>
    <w:rsid w:val="00B3201D"/>
    <w:rsid w:val="00B3202B"/>
    <w:rsid w:val="00B320B0"/>
    <w:rsid w:val="00B322D2"/>
    <w:rsid w:val="00B3277F"/>
    <w:rsid w:val="00B32995"/>
    <w:rsid w:val="00B33092"/>
    <w:rsid w:val="00B3359A"/>
    <w:rsid w:val="00B3395D"/>
    <w:rsid w:val="00B33A32"/>
    <w:rsid w:val="00B33E0C"/>
    <w:rsid w:val="00B3416B"/>
    <w:rsid w:val="00B34A5C"/>
    <w:rsid w:val="00B34D30"/>
    <w:rsid w:val="00B352B9"/>
    <w:rsid w:val="00B35570"/>
    <w:rsid w:val="00B35AFB"/>
    <w:rsid w:val="00B3630A"/>
    <w:rsid w:val="00B36B34"/>
    <w:rsid w:val="00B373B3"/>
    <w:rsid w:val="00B37484"/>
    <w:rsid w:val="00B4015B"/>
    <w:rsid w:val="00B401DA"/>
    <w:rsid w:val="00B4088E"/>
    <w:rsid w:val="00B409E4"/>
    <w:rsid w:val="00B42275"/>
    <w:rsid w:val="00B422B5"/>
    <w:rsid w:val="00B42F9B"/>
    <w:rsid w:val="00B4390A"/>
    <w:rsid w:val="00B44618"/>
    <w:rsid w:val="00B447E5"/>
    <w:rsid w:val="00B449A8"/>
    <w:rsid w:val="00B45E53"/>
    <w:rsid w:val="00B46101"/>
    <w:rsid w:val="00B46526"/>
    <w:rsid w:val="00B46552"/>
    <w:rsid w:val="00B4685C"/>
    <w:rsid w:val="00B47723"/>
    <w:rsid w:val="00B500D9"/>
    <w:rsid w:val="00B50901"/>
    <w:rsid w:val="00B50A3A"/>
    <w:rsid w:val="00B50BCF"/>
    <w:rsid w:val="00B50E0D"/>
    <w:rsid w:val="00B50EA5"/>
    <w:rsid w:val="00B51085"/>
    <w:rsid w:val="00B51429"/>
    <w:rsid w:val="00B518CD"/>
    <w:rsid w:val="00B52BA4"/>
    <w:rsid w:val="00B532C9"/>
    <w:rsid w:val="00B53597"/>
    <w:rsid w:val="00B53BBC"/>
    <w:rsid w:val="00B542EF"/>
    <w:rsid w:val="00B54B4A"/>
    <w:rsid w:val="00B54E4A"/>
    <w:rsid w:val="00B5516B"/>
    <w:rsid w:val="00B554F4"/>
    <w:rsid w:val="00B55854"/>
    <w:rsid w:val="00B55863"/>
    <w:rsid w:val="00B55E1D"/>
    <w:rsid w:val="00B55E30"/>
    <w:rsid w:val="00B55F1A"/>
    <w:rsid w:val="00B5697B"/>
    <w:rsid w:val="00B569D5"/>
    <w:rsid w:val="00B57864"/>
    <w:rsid w:val="00B57A50"/>
    <w:rsid w:val="00B57B75"/>
    <w:rsid w:val="00B600C1"/>
    <w:rsid w:val="00B60B0E"/>
    <w:rsid w:val="00B60D15"/>
    <w:rsid w:val="00B60D37"/>
    <w:rsid w:val="00B60DAF"/>
    <w:rsid w:val="00B62262"/>
    <w:rsid w:val="00B628C3"/>
    <w:rsid w:val="00B62A1F"/>
    <w:rsid w:val="00B62E2A"/>
    <w:rsid w:val="00B632D3"/>
    <w:rsid w:val="00B63DFF"/>
    <w:rsid w:val="00B64379"/>
    <w:rsid w:val="00B64395"/>
    <w:rsid w:val="00B65E2B"/>
    <w:rsid w:val="00B65EF9"/>
    <w:rsid w:val="00B670A3"/>
    <w:rsid w:val="00B67A9E"/>
    <w:rsid w:val="00B7006E"/>
    <w:rsid w:val="00B701BE"/>
    <w:rsid w:val="00B7086A"/>
    <w:rsid w:val="00B7115D"/>
    <w:rsid w:val="00B71328"/>
    <w:rsid w:val="00B71429"/>
    <w:rsid w:val="00B714E0"/>
    <w:rsid w:val="00B7197B"/>
    <w:rsid w:val="00B71A1A"/>
    <w:rsid w:val="00B72130"/>
    <w:rsid w:val="00B72265"/>
    <w:rsid w:val="00B72304"/>
    <w:rsid w:val="00B72678"/>
    <w:rsid w:val="00B72B53"/>
    <w:rsid w:val="00B72D4C"/>
    <w:rsid w:val="00B73187"/>
    <w:rsid w:val="00B73209"/>
    <w:rsid w:val="00B7346E"/>
    <w:rsid w:val="00B73B06"/>
    <w:rsid w:val="00B73BCE"/>
    <w:rsid w:val="00B74009"/>
    <w:rsid w:val="00B740BA"/>
    <w:rsid w:val="00B74183"/>
    <w:rsid w:val="00B744A6"/>
    <w:rsid w:val="00B757C5"/>
    <w:rsid w:val="00B75B9F"/>
    <w:rsid w:val="00B76417"/>
    <w:rsid w:val="00B76765"/>
    <w:rsid w:val="00B774E2"/>
    <w:rsid w:val="00B774E4"/>
    <w:rsid w:val="00B77696"/>
    <w:rsid w:val="00B77DBA"/>
    <w:rsid w:val="00B8009C"/>
    <w:rsid w:val="00B8060F"/>
    <w:rsid w:val="00B807E0"/>
    <w:rsid w:val="00B80C1C"/>
    <w:rsid w:val="00B80C67"/>
    <w:rsid w:val="00B80E7A"/>
    <w:rsid w:val="00B80F69"/>
    <w:rsid w:val="00B815A3"/>
    <w:rsid w:val="00B8184C"/>
    <w:rsid w:val="00B82570"/>
    <w:rsid w:val="00B83829"/>
    <w:rsid w:val="00B83CC4"/>
    <w:rsid w:val="00B855F2"/>
    <w:rsid w:val="00B85847"/>
    <w:rsid w:val="00B85AC6"/>
    <w:rsid w:val="00B8698F"/>
    <w:rsid w:val="00B86B80"/>
    <w:rsid w:val="00B90723"/>
    <w:rsid w:val="00B907D7"/>
    <w:rsid w:val="00B90987"/>
    <w:rsid w:val="00B90A7B"/>
    <w:rsid w:val="00B90E2C"/>
    <w:rsid w:val="00B91345"/>
    <w:rsid w:val="00B9163C"/>
    <w:rsid w:val="00B9163E"/>
    <w:rsid w:val="00B91975"/>
    <w:rsid w:val="00B91B51"/>
    <w:rsid w:val="00B91DEC"/>
    <w:rsid w:val="00B9235B"/>
    <w:rsid w:val="00B92472"/>
    <w:rsid w:val="00B924F2"/>
    <w:rsid w:val="00B92AF1"/>
    <w:rsid w:val="00B92E14"/>
    <w:rsid w:val="00B93176"/>
    <w:rsid w:val="00B932EF"/>
    <w:rsid w:val="00B940D2"/>
    <w:rsid w:val="00B945AE"/>
    <w:rsid w:val="00B9566F"/>
    <w:rsid w:val="00B95751"/>
    <w:rsid w:val="00B959E5"/>
    <w:rsid w:val="00B96039"/>
    <w:rsid w:val="00B96710"/>
    <w:rsid w:val="00B96B52"/>
    <w:rsid w:val="00B9749B"/>
    <w:rsid w:val="00B978F1"/>
    <w:rsid w:val="00BA006F"/>
    <w:rsid w:val="00BA02A3"/>
    <w:rsid w:val="00BA074D"/>
    <w:rsid w:val="00BA0B65"/>
    <w:rsid w:val="00BA0B8A"/>
    <w:rsid w:val="00BA0D63"/>
    <w:rsid w:val="00BA0EF0"/>
    <w:rsid w:val="00BA137B"/>
    <w:rsid w:val="00BA156D"/>
    <w:rsid w:val="00BA18EC"/>
    <w:rsid w:val="00BA19BD"/>
    <w:rsid w:val="00BA1B6B"/>
    <w:rsid w:val="00BA262B"/>
    <w:rsid w:val="00BA311C"/>
    <w:rsid w:val="00BA3737"/>
    <w:rsid w:val="00BA3E5B"/>
    <w:rsid w:val="00BA4973"/>
    <w:rsid w:val="00BA5395"/>
    <w:rsid w:val="00BA5DA8"/>
    <w:rsid w:val="00BA6610"/>
    <w:rsid w:val="00BA66B5"/>
    <w:rsid w:val="00BA6709"/>
    <w:rsid w:val="00BA698B"/>
    <w:rsid w:val="00BA7205"/>
    <w:rsid w:val="00BB0222"/>
    <w:rsid w:val="00BB026C"/>
    <w:rsid w:val="00BB0372"/>
    <w:rsid w:val="00BB12DD"/>
    <w:rsid w:val="00BB25B6"/>
    <w:rsid w:val="00BB27C9"/>
    <w:rsid w:val="00BB2B6F"/>
    <w:rsid w:val="00BB2E30"/>
    <w:rsid w:val="00BB2E47"/>
    <w:rsid w:val="00BB327C"/>
    <w:rsid w:val="00BB35F5"/>
    <w:rsid w:val="00BB3C32"/>
    <w:rsid w:val="00BB3DB7"/>
    <w:rsid w:val="00BB3F15"/>
    <w:rsid w:val="00BB4DFE"/>
    <w:rsid w:val="00BB56E2"/>
    <w:rsid w:val="00BB5788"/>
    <w:rsid w:val="00BB5A7B"/>
    <w:rsid w:val="00BB5C86"/>
    <w:rsid w:val="00BB5DED"/>
    <w:rsid w:val="00BB6413"/>
    <w:rsid w:val="00BB67EF"/>
    <w:rsid w:val="00BB6C3B"/>
    <w:rsid w:val="00BB7104"/>
    <w:rsid w:val="00BB7570"/>
    <w:rsid w:val="00BB75BA"/>
    <w:rsid w:val="00BB79A4"/>
    <w:rsid w:val="00BB7A7C"/>
    <w:rsid w:val="00BB7BF5"/>
    <w:rsid w:val="00BB7E4E"/>
    <w:rsid w:val="00BB7E9B"/>
    <w:rsid w:val="00BC015C"/>
    <w:rsid w:val="00BC0560"/>
    <w:rsid w:val="00BC075B"/>
    <w:rsid w:val="00BC07A4"/>
    <w:rsid w:val="00BC0E6A"/>
    <w:rsid w:val="00BC0F37"/>
    <w:rsid w:val="00BC11F3"/>
    <w:rsid w:val="00BC127F"/>
    <w:rsid w:val="00BC1CD3"/>
    <w:rsid w:val="00BC1D21"/>
    <w:rsid w:val="00BC1E94"/>
    <w:rsid w:val="00BC2AC8"/>
    <w:rsid w:val="00BC37D8"/>
    <w:rsid w:val="00BC4487"/>
    <w:rsid w:val="00BC455C"/>
    <w:rsid w:val="00BC46AD"/>
    <w:rsid w:val="00BC5898"/>
    <w:rsid w:val="00BC5C88"/>
    <w:rsid w:val="00BC5D53"/>
    <w:rsid w:val="00BC60B5"/>
    <w:rsid w:val="00BC6227"/>
    <w:rsid w:val="00BC65EE"/>
    <w:rsid w:val="00BC6EAF"/>
    <w:rsid w:val="00BC6F57"/>
    <w:rsid w:val="00BC7384"/>
    <w:rsid w:val="00BC7783"/>
    <w:rsid w:val="00BC7B7D"/>
    <w:rsid w:val="00BC7BEE"/>
    <w:rsid w:val="00BC7CA7"/>
    <w:rsid w:val="00BD0F77"/>
    <w:rsid w:val="00BD134D"/>
    <w:rsid w:val="00BD1C38"/>
    <w:rsid w:val="00BD3206"/>
    <w:rsid w:val="00BD408D"/>
    <w:rsid w:val="00BD40DE"/>
    <w:rsid w:val="00BD419F"/>
    <w:rsid w:val="00BD4444"/>
    <w:rsid w:val="00BD4D17"/>
    <w:rsid w:val="00BD4FD9"/>
    <w:rsid w:val="00BD4FF6"/>
    <w:rsid w:val="00BD5199"/>
    <w:rsid w:val="00BD53B2"/>
    <w:rsid w:val="00BD56EC"/>
    <w:rsid w:val="00BD5710"/>
    <w:rsid w:val="00BD576A"/>
    <w:rsid w:val="00BD5A00"/>
    <w:rsid w:val="00BD5C8F"/>
    <w:rsid w:val="00BD5C9C"/>
    <w:rsid w:val="00BD6715"/>
    <w:rsid w:val="00BD68D0"/>
    <w:rsid w:val="00BD6968"/>
    <w:rsid w:val="00BD6A3A"/>
    <w:rsid w:val="00BD6DCC"/>
    <w:rsid w:val="00BD782C"/>
    <w:rsid w:val="00BE06D4"/>
    <w:rsid w:val="00BE06E3"/>
    <w:rsid w:val="00BE1137"/>
    <w:rsid w:val="00BE190E"/>
    <w:rsid w:val="00BE1FC0"/>
    <w:rsid w:val="00BE2057"/>
    <w:rsid w:val="00BE2068"/>
    <w:rsid w:val="00BE256A"/>
    <w:rsid w:val="00BE257B"/>
    <w:rsid w:val="00BE2ADF"/>
    <w:rsid w:val="00BE3AAD"/>
    <w:rsid w:val="00BE3BCD"/>
    <w:rsid w:val="00BE3CF3"/>
    <w:rsid w:val="00BE3D49"/>
    <w:rsid w:val="00BE47C0"/>
    <w:rsid w:val="00BE47F7"/>
    <w:rsid w:val="00BE4F4A"/>
    <w:rsid w:val="00BE52AA"/>
    <w:rsid w:val="00BE5CBF"/>
    <w:rsid w:val="00BE620C"/>
    <w:rsid w:val="00BE643F"/>
    <w:rsid w:val="00BE64F5"/>
    <w:rsid w:val="00BE6595"/>
    <w:rsid w:val="00BE666F"/>
    <w:rsid w:val="00BE6933"/>
    <w:rsid w:val="00BE6E5F"/>
    <w:rsid w:val="00BE7139"/>
    <w:rsid w:val="00BE74AD"/>
    <w:rsid w:val="00BE7CA8"/>
    <w:rsid w:val="00BF0075"/>
    <w:rsid w:val="00BF02DB"/>
    <w:rsid w:val="00BF0942"/>
    <w:rsid w:val="00BF0BE2"/>
    <w:rsid w:val="00BF0E8D"/>
    <w:rsid w:val="00BF1D52"/>
    <w:rsid w:val="00BF209B"/>
    <w:rsid w:val="00BF226C"/>
    <w:rsid w:val="00BF2399"/>
    <w:rsid w:val="00BF266E"/>
    <w:rsid w:val="00BF2772"/>
    <w:rsid w:val="00BF2962"/>
    <w:rsid w:val="00BF2C55"/>
    <w:rsid w:val="00BF2CBA"/>
    <w:rsid w:val="00BF2DA5"/>
    <w:rsid w:val="00BF344D"/>
    <w:rsid w:val="00BF3775"/>
    <w:rsid w:val="00BF48D3"/>
    <w:rsid w:val="00BF598B"/>
    <w:rsid w:val="00BF611A"/>
    <w:rsid w:val="00BF6BFF"/>
    <w:rsid w:val="00BF6ECF"/>
    <w:rsid w:val="00BF7132"/>
    <w:rsid w:val="00BF7304"/>
    <w:rsid w:val="00BF76F6"/>
    <w:rsid w:val="00BF7A4D"/>
    <w:rsid w:val="00BF7C7E"/>
    <w:rsid w:val="00BF7DFA"/>
    <w:rsid w:val="00C002FB"/>
    <w:rsid w:val="00C007A9"/>
    <w:rsid w:val="00C01130"/>
    <w:rsid w:val="00C014C0"/>
    <w:rsid w:val="00C01901"/>
    <w:rsid w:val="00C02C81"/>
    <w:rsid w:val="00C03445"/>
    <w:rsid w:val="00C03542"/>
    <w:rsid w:val="00C04271"/>
    <w:rsid w:val="00C043FD"/>
    <w:rsid w:val="00C04611"/>
    <w:rsid w:val="00C04D58"/>
    <w:rsid w:val="00C063DE"/>
    <w:rsid w:val="00C06A5F"/>
    <w:rsid w:val="00C06D2A"/>
    <w:rsid w:val="00C0758D"/>
    <w:rsid w:val="00C07D3C"/>
    <w:rsid w:val="00C07F69"/>
    <w:rsid w:val="00C1016B"/>
    <w:rsid w:val="00C10466"/>
    <w:rsid w:val="00C104FC"/>
    <w:rsid w:val="00C10686"/>
    <w:rsid w:val="00C108A3"/>
    <w:rsid w:val="00C10F3C"/>
    <w:rsid w:val="00C11078"/>
    <w:rsid w:val="00C110BB"/>
    <w:rsid w:val="00C1139F"/>
    <w:rsid w:val="00C11D10"/>
    <w:rsid w:val="00C13211"/>
    <w:rsid w:val="00C1339F"/>
    <w:rsid w:val="00C1354E"/>
    <w:rsid w:val="00C1364A"/>
    <w:rsid w:val="00C14048"/>
    <w:rsid w:val="00C14081"/>
    <w:rsid w:val="00C14857"/>
    <w:rsid w:val="00C14BEB"/>
    <w:rsid w:val="00C14E43"/>
    <w:rsid w:val="00C15350"/>
    <w:rsid w:val="00C15723"/>
    <w:rsid w:val="00C15F10"/>
    <w:rsid w:val="00C16155"/>
    <w:rsid w:val="00C16245"/>
    <w:rsid w:val="00C1651B"/>
    <w:rsid w:val="00C1681B"/>
    <w:rsid w:val="00C16888"/>
    <w:rsid w:val="00C17027"/>
    <w:rsid w:val="00C174C0"/>
    <w:rsid w:val="00C17572"/>
    <w:rsid w:val="00C17F6F"/>
    <w:rsid w:val="00C20DFC"/>
    <w:rsid w:val="00C20FB8"/>
    <w:rsid w:val="00C21595"/>
    <w:rsid w:val="00C21629"/>
    <w:rsid w:val="00C21916"/>
    <w:rsid w:val="00C21D80"/>
    <w:rsid w:val="00C223CF"/>
    <w:rsid w:val="00C2255B"/>
    <w:rsid w:val="00C22CE8"/>
    <w:rsid w:val="00C22D92"/>
    <w:rsid w:val="00C22FBF"/>
    <w:rsid w:val="00C24327"/>
    <w:rsid w:val="00C2476B"/>
    <w:rsid w:val="00C250BD"/>
    <w:rsid w:val="00C257A2"/>
    <w:rsid w:val="00C2582C"/>
    <w:rsid w:val="00C25B83"/>
    <w:rsid w:val="00C25BB7"/>
    <w:rsid w:val="00C25E14"/>
    <w:rsid w:val="00C264DC"/>
    <w:rsid w:val="00C2684E"/>
    <w:rsid w:val="00C26B16"/>
    <w:rsid w:val="00C26CAD"/>
    <w:rsid w:val="00C277B1"/>
    <w:rsid w:val="00C27872"/>
    <w:rsid w:val="00C27C39"/>
    <w:rsid w:val="00C27DB2"/>
    <w:rsid w:val="00C31E61"/>
    <w:rsid w:val="00C31FE3"/>
    <w:rsid w:val="00C32459"/>
    <w:rsid w:val="00C326D0"/>
    <w:rsid w:val="00C32827"/>
    <w:rsid w:val="00C32938"/>
    <w:rsid w:val="00C3307F"/>
    <w:rsid w:val="00C33DD6"/>
    <w:rsid w:val="00C33FD1"/>
    <w:rsid w:val="00C342AF"/>
    <w:rsid w:val="00C343CD"/>
    <w:rsid w:val="00C34BCF"/>
    <w:rsid w:val="00C3625C"/>
    <w:rsid w:val="00C3676D"/>
    <w:rsid w:val="00C3699C"/>
    <w:rsid w:val="00C36A1A"/>
    <w:rsid w:val="00C36B34"/>
    <w:rsid w:val="00C374D0"/>
    <w:rsid w:val="00C37821"/>
    <w:rsid w:val="00C37BED"/>
    <w:rsid w:val="00C40025"/>
    <w:rsid w:val="00C401CA"/>
    <w:rsid w:val="00C404F6"/>
    <w:rsid w:val="00C408CE"/>
    <w:rsid w:val="00C408DD"/>
    <w:rsid w:val="00C40BC2"/>
    <w:rsid w:val="00C40BFD"/>
    <w:rsid w:val="00C40D0C"/>
    <w:rsid w:val="00C41254"/>
    <w:rsid w:val="00C41717"/>
    <w:rsid w:val="00C4171D"/>
    <w:rsid w:val="00C41822"/>
    <w:rsid w:val="00C41C52"/>
    <w:rsid w:val="00C41DE6"/>
    <w:rsid w:val="00C42087"/>
    <w:rsid w:val="00C4222D"/>
    <w:rsid w:val="00C424A4"/>
    <w:rsid w:val="00C43699"/>
    <w:rsid w:val="00C43D93"/>
    <w:rsid w:val="00C43E31"/>
    <w:rsid w:val="00C4527B"/>
    <w:rsid w:val="00C45F48"/>
    <w:rsid w:val="00C45FCB"/>
    <w:rsid w:val="00C46BBA"/>
    <w:rsid w:val="00C46BBE"/>
    <w:rsid w:val="00C46C0E"/>
    <w:rsid w:val="00C47181"/>
    <w:rsid w:val="00C4765F"/>
    <w:rsid w:val="00C50A04"/>
    <w:rsid w:val="00C50A45"/>
    <w:rsid w:val="00C50C47"/>
    <w:rsid w:val="00C50F80"/>
    <w:rsid w:val="00C5111A"/>
    <w:rsid w:val="00C51438"/>
    <w:rsid w:val="00C517DD"/>
    <w:rsid w:val="00C51ADB"/>
    <w:rsid w:val="00C520E7"/>
    <w:rsid w:val="00C52844"/>
    <w:rsid w:val="00C52B61"/>
    <w:rsid w:val="00C52F06"/>
    <w:rsid w:val="00C52FAA"/>
    <w:rsid w:val="00C52FF5"/>
    <w:rsid w:val="00C5300B"/>
    <w:rsid w:val="00C5336B"/>
    <w:rsid w:val="00C53CDC"/>
    <w:rsid w:val="00C53E20"/>
    <w:rsid w:val="00C53F45"/>
    <w:rsid w:val="00C543DC"/>
    <w:rsid w:val="00C543E0"/>
    <w:rsid w:val="00C54A29"/>
    <w:rsid w:val="00C54E87"/>
    <w:rsid w:val="00C554B3"/>
    <w:rsid w:val="00C55714"/>
    <w:rsid w:val="00C5587A"/>
    <w:rsid w:val="00C56888"/>
    <w:rsid w:val="00C56A2B"/>
    <w:rsid w:val="00C56B6D"/>
    <w:rsid w:val="00C56E72"/>
    <w:rsid w:val="00C56EA8"/>
    <w:rsid w:val="00C56FA9"/>
    <w:rsid w:val="00C57656"/>
    <w:rsid w:val="00C57EF5"/>
    <w:rsid w:val="00C600FB"/>
    <w:rsid w:val="00C60495"/>
    <w:rsid w:val="00C61353"/>
    <w:rsid w:val="00C616DD"/>
    <w:rsid w:val="00C6170D"/>
    <w:rsid w:val="00C61C6D"/>
    <w:rsid w:val="00C61D94"/>
    <w:rsid w:val="00C6262D"/>
    <w:rsid w:val="00C62E22"/>
    <w:rsid w:val="00C62EE1"/>
    <w:rsid w:val="00C63273"/>
    <w:rsid w:val="00C633F8"/>
    <w:rsid w:val="00C63AF6"/>
    <w:rsid w:val="00C63CF3"/>
    <w:rsid w:val="00C63DE4"/>
    <w:rsid w:val="00C64056"/>
    <w:rsid w:val="00C6405B"/>
    <w:rsid w:val="00C64376"/>
    <w:rsid w:val="00C6458B"/>
    <w:rsid w:val="00C646F2"/>
    <w:rsid w:val="00C64A94"/>
    <w:rsid w:val="00C65251"/>
    <w:rsid w:val="00C655EA"/>
    <w:rsid w:val="00C656A2"/>
    <w:rsid w:val="00C65A3D"/>
    <w:rsid w:val="00C65F8E"/>
    <w:rsid w:val="00C66215"/>
    <w:rsid w:val="00C665EB"/>
    <w:rsid w:val="00C66AEB"/>
    <w:rsid w:val="00C66C3D"/>
    <w:rsid w:val="00C66E98"/>
    <w:rsid w:val="00C674E0"/>
    <w:rsid w:val="00C67571"/>
    <w:rsid w:val="00C679C3"/>
    <w:rsid w:val="00C70299"/>
    <w:rsid w:val="00C702A3"/>
    <w:rsid w:val="00C70311"/>
    <w:rsid w:val="00C70436"/>
    <w:rsid w:val="00C712EE"/>
    <w:rsid w:val="00C71A03"/>
    <w:rsid w:val="00C71BD8"/>
    <w:rsid w:val="00C71EB4"/>
    <w:rsid w:val="00C7224A"/>
    <w:rsid w:val="00C72B9C"/>
    <w:rsid w:val="00C72DF7"/>
    <w:rsid w:val="00C72F0A"/>
    <w:rsid w:val="00C730EE"/>
    <w:rsid w:val="00C73416"/>
    <w:rsid w:val="00C7350A"/>
    <w:rsid w:val="00C739D6"/>
    <w:rsid w:val="00C74217"/>
    <w:rsid w:val="00C7430F"/>
    <w:rsid w:val="00C74C3E"/>
    <w:rsid w:val="00C75397"/>
    <w:rsid w:val="00C766F4"/>
    <w:rsid w:val="00C77F31"/>
    <w:rsid w:val="00C80175"/>
    <w:rsid w:val="00C80AAB"/>
    <w:rsid w:val="00C80C8B"/>
    <w:rsid w:val="00C8131B"/>
    <w:rsid w:val="00C815C8"/>
    <w:rsid w:val="00C8199B"/>
    <w:rsid w:val="00C81C20"/>
    <w:rsid w:val="00C81D0B"/>
    <w:rsid w:val="00C82B27"/>
    <w:rsid w:val="00C82CE3"/>
    <w:rsid w:val="00C831D9"/>
    <w:rsid w:val="00C83391"/>
    <w:rsid w:val="00C83744"/>
    <w:rsid w:val="00C838FB"/>
    <w:rsid w:val="00C8392B"/>
    <w:rsid w:val="00C83EF9"/>
    <w:rsid w:val="00C845F6"/>
    <w:rsid w:val="00C86053"/>
    <w:rsid w:val="00C86146"/>
    <w:rsid w:val="00C86E01"/>
    <w:rsid w:val="00C87730"/>
    <w:rsid w:val="00C8773E"/>
    <w:rsid w:val="00C9014C"/>
    <w:rsid w:val="00C9083F"/>
    <w:rsid w:val="00C90A34"/>
    <w:rsid w:val="00C90C50"/>
    <w:rsid w:val="00C90FF5"/>
    <w:rsid w:val="00C91C74"/>
    <w:rsid w:val="00C920E6"/>
    <w:rsid w:val="00C9210C"/>
    <w:rsid w:val="00C929A6"/>
    <w:rsid w:val="00C92B4A"/>
    <w:rsid w:val="00C92E8E"/>
    <w:rsid w:val="00C92ED6"/>
    <w:rsid w:val="00C93215"/>
    <w:rsid w:val="00C936DF"/>
    <w:rsid w:val="00C9376E"/>
    <w:rsid w:val="00C93A1C"/>
    <w:rsid w:val="00C94ADD"/>
    <w:rsid w:val="00C94F09"/>
    <w:rsid w:val="00C94F66"/>
    <w:rsid w:val="00C9552B"/>
    <w:rsid w:val="00C95770"/>
    <w:rsid w:val="00C95B74"/>
    <w:rsid w:val="00C96000"/>
    <w:rsid w:val="00C96035"/>
    <w:rsid w:val="00C96099"/>
    <w:rsid w:val="00C960A5"/>
    <w:rsid w:val="00C96D29"/>
    <w:rsid w:val="00C97539"/>
    <w:rsid w:val="00C97EEF"/>
    <w:rsid w:val="00CA0114"/>
    <w:rsid w:val="00CA148E"/>
    <w:rsid w:val="00CA1A95"/>
    <w:rsid w:val="00CA1C15"/>
    <w:rsid w:val="00CA2395"/>
    <w:rsid w:val="00CA29CB"/>
    <w:rsid w:val="00CA2CDF"/>
    <w:rsid w:val="00CA3042"/>
    <w:rsid w:val="00CA37CC"/>
    <w:rsid w:val="00CA38DD"/>
    <w:rsid w:val="00CA3AEB"/>
    <w:rsid w:val="00CA3B44"/>
    <w:rsid w:val="00CA4071"/>
    <w:rsid w:val="00CA4079"/>
    <w:rsid w:val="00CA4509"/>
    <w:rsid w:val="00CA5D9B"/>
    <w:rsid w:val="00CA5E7C"/>
    <w:rsid w:val="00CA5E7D"/>
    <w:rsid w:val="00CA6059"/>
    <w:rsid w:val="00CA6B17"/>
    <w:rsid w:val="00CA6D08"/>
    <w:rsid w:val="00CA71DD"/>
    <w:rsid w:val="00CA73DD"/>
    <w:rsid w:val="00CA7F04"/>
    <w:rsid w:val="00CB0B32"/>
    <w:rsid w:val="00CB0BEB"/>
    <w:rsid w:val="00CB0CD7"/>
    <w:rsid w:val="00CB0D7B"/>
    <w:rsid w:val="00CB1174"/>
    <w:rsid w:val="00CB137F"/>
    <w:rsid w:val="00CB13CC"/>
    <w:rsid w:val="00CB1E1D"/>
    <w:rsid w:val="00CB1FF9"/>
    <w:rsid w:val="00CB218D"/>
    <w:rsid w:val="00CB287F"/>
    <w:rsid w:val="00CB2AA5"/>
    <w:rsid w:val="00CB2EC7"/>
    <w:rsid w:val="00CB3A28"/>
    <w:rsid w:val="00CB3D2B"/>
    <w:rsid w:val="00CB3E1F"/>
    <w:rsid w:val="00CB3FA5"/>
    <w:rsid w:val="00CB4207"/>
    <w:rsid w:val="00CB4BC1"/>
    <w:rsid w:val="00CB4FD0"/>
    <w:rsid w:val="00CB5091"/>
    <w:rsid w:val="00CB5C62"/>
    <w:rsid w:val="00CB5CA5"/>
    <w:rsid w:val="00CB5DFC"/>
    <w:rsid w:val="00CB60AF"/>
    <w:rsid w:val="00CB6225"/>
    <w:rsid w:val="00CB627B"/>
    <w:rsid w:val="00CB68A1"/>
    <w:rsid w:val="00CB68C3"/>
    <w:rsid w:val="00CB7014"/>
    <w:rsid w:val="00CB74FF"/>
    <w:rsid w:val="00CB7578"/>
    <w:rsid w:val="00CB75BB"/>
    <w:rsid w:val="00CB77BE"/>
    <w:rsid w:val="00CB7A85"/>
    <w:rsid w:val="00CC00F8"/>
    <w:rsid w:val="00CC014D"/>
    <w:rsid w:val="00CC0160"/>
    <w:rsid w:val="00CC04F3"/>
    <w:rsid w:val="00CC1F01"/>
    <w:rsid w:val="00CC1F13"/>
    <w:rsid w:val="00CC26E3"/>
    <w:rsid w:val="00CC2DC3"/>
    <w:rsid w:val="00CC2E40"/>
    <w:rsid w:val="00CC3060"/>
    <w:rsid w:val="00CC3063"/>
    <w:rsid w:val="00CC361D"/>
    <w:rsid w:val="00CC3C32"/>
    <w:rsid w:val="00CC3C5F"/>
    <w:rsid w:val="00CC431A"/>
    <w:rsid w:val="00CC469B"/>
    <w:rsid w:val="00CC51AD"/>
    <w:rsid w:val="00CC5501"/>
    <w:rsid w:val="00CC5F14"/>
    <w:rsid w:val="00CC61AB"/>
    <w:rsid w:val="00CC698C"/>
    <w:rsid w:val="00CC7682"/>
    <w:rsid w:val="00CC7CE8"/>
    <w:rsid w:val="00CD0295"/>
    <w:rsid w:val="00CD0414"/>
    <w:rsid w:val="00CD05AD"/>
    <w:rsid w:val="00CD0682"/>
    <w:rsid w:val="00CD08E8"/>
    <w:rsid w:val="00CD0964"/>
    <w:rsid w:val="00CD129C"/>
    <w:rsid w:val="00CD1461"/>
    <w:rsid w:val="00CD1473"/>
    <w:rsid w:val="00CD1956"/>
    <w:rsid w:val="00CD1A9F"/>
    <w:rsid w:val="00CD1B05"/>
    <w:rsid w:val="00CD2474"/>
    <w:rsid w:val="00CD26E2"/>
    <w:rsid w:val="00CD2807"/>
    <w:rsid w:val="00CD34E7"/>
    <w:rsid w:val="00CD3687"/>
    <w:rsid w:val="00CD3738"/>
    <w:rsid w:val="00CD3F18"/>
    <w:rsid w:val="00CD490A"/>
    <w:rsid w:val="00CD4C30"/>
    <w:rsid w:val="00CD4C74"/>
    <w:rsid w:val="00CD5B5C"/>
    <w:rsid w:val="00CD5FFF"/>
    <w:rsid w:val="00CD6748"/>
    <w:rsid w:val="00CD6B99"/>
    <w:rsid w:val="00CD74DA"/>
    <w:rsid w:val="00CD778F"/>
    <w:rsid w:val="00CD7AE0"/>
    <w:rsid w:val="00CD7CB0"/>
    <w:rsid w:val="00CE0958"/>
    <w:rsid w:val="00CE0B79"/>
    <w:rsid w:val="00CE0F04"/>
    <w:rsid w:val="00CE1194"/>
    <w:rsid w:val="00CE12CE"/>
    <w:rsid w:val="00CE1309"/>
    <w:rsid w:val="00CE1520"/>
    <w:rsid w:val="00CE17FD"/>
    <w:rsid w:val="00CE1923"/>
    <w:rsid w:val="00CE1DBF"/>
    <w:rsid w:val="00CE23B2"/>
    <w:rsid w:val="00CE26CF"/>
    <w:rsid w:val="00CE2754"/>
    <w:rsid w:val="00CE2C2C"/>
    <w:rsid w:val="00CE300F"/>
    <w:rsid w:val="00CE35C8"/>
    <w:rsid w:val="00CE40A6"/>
    <w:rsid w:val="00CE4280"/>
    <w:rsid w:val="00CE4322"/>
    <w:rsid w:val="00CE45F8"/>
    <w:rsid w:val="00CE4603"/>
    <w:rsid w:val="00CE4A3B"/>
    <w:rsid w:val="00CE4B91"/>
    <w:rsid w:val="00CE4F59"/>
    <w:rsid w:val="00CE4FC4"/>
    <w:rsid w:val="00CE5D6F"/>
    <w:rsid w:val="00CE5FC2"/>
    <w:rsid w:val="00CE642E"/>
    <w:rsid w:val="00CE70E8"/>
    <w:rsid w:val="00CF0698"/>
    <w:rsid w:val="00CF0780"/>
    <w:rsid w:val="00CF0C07"/>
    <w:rsid w:val="00CF1F07"/>
    <w:rsid w:val="00CF2A1D"/>
    <w:rsid w:val="00CF2C7C"/>
    <w:rsid w:val="00CF2D0B"/>
    <w:rsid w:val="00CF30D1"/>
    <w:rsid w:val="00CF3198"/>
    <w:rsid w:val="00CF31FA"/>
    <w:rsid w:val="00CF342B"/>
    <w:rsid w:val="00CF37B4"/>
    <w:rsid w:val="00CF3BA0"/>
    <w:rsid w:val="00CF42F7"/>
    <w:rsid w:val="00CF4B83"/>
    <w:rsid w:val="00CF513F"/>
    <w:rsid w:val="00CF545D"/>
    <w:rsid w:val="00CF567E"/>
    <w:rsid w:val="00CF56B0"/>
    <w:rsid w:val="00CF5CF0"/>
    <w:rsid w:val="00CF6058"/>
    <w:rsid w:val="00CF6ED4"/>
    <w:rsid w:val="00CF71B5"/>
    <w:rsid w:val="00CF7220"/>
    <w:rsid w:val="00CF7585"/>
    <w:rsid w:val="00CF786A"/>
    <w:rsid w:val="00CF7987"/>
    <w:rsid w:val="00D00070"/>
    <w:rsid w:val="00D00679"/>
    <w:rsid w:val="00D007BF"/>
    <w:rsid w:val="00D009E8"/>
    <w:rsid w:val="00D00E4C"/>
    <w:rsid w:val="00D00FCA"/>
    <w:rsid w:val="00D014C5"/>
    <w:rsid w:val="00D01A12"/>
    <w:rsid w:val="00D01BE3"/>
    <w:rsid w:val="00D01E78"/>
    <w:rsid w:val="00D01FF0"/>
    <w:rsid w:val="00D02193"/>
    <w:rsid w:val="00D021AD"/>
    <w:rsid w:val="00D02DED"/>
    <w:rsid w:val="00D0306D"/>
    <w:rsid w:val="00D0341F"/>
    <w:rsid w:val="00D03440"/>
    <w:rsid w:val="00D03772"/>
    <w:rsid w:val="00D0508E"/>
    <w:rsid w:val="00D051E0"/>
    <w:rsid w:val="00D06199"/>
    <w:rsid w:val="00D062C4"/>
    <w:rsid w:val="00D06701"/>
    <w:rsid w:val="00D067D9"/>
    <w:rsid w:val="00D06E21"/>
    <w:rsid w:val="00D071C6"/>
    <w:rsid w:val="00D0722F"/>
    <w:rsid w:val="00D07A99"/>
    <w:rsid w:val="00D07C83"/>
    <w:rsid w:val="00D10259"/>
    <w:rsid w:val="00D10306"/>
    <w:rsid w:val="00D1045A"/>
    <w:rsid w:val="00D10670"/>
    <w:rsid w:val="00D108A5"/>
    <w:rsid w:val="00D11830"/>
    <w:rsid w:val="00D11D5E"/>
    <w:rsid w:val="00D12343"/>
    <w:rsid w:val="00D1247A"/>
    <w:rsid w:val="00D12491"/>
    <w:rsid w:val="00D124C1"/>
    <w:rsid w:val="00D12D15"/>
    <w:rsid w:val="00D12D9D"/>
    <w:rsid w:val="00D12DAF"/>
    <w:rsid w:val="00D1335A"/>
    <w:rsid w:val="00D134E1"/>
    <w:rsid w:val="00D1352E"/>
    <w:rsid w:val="00D13545"/>
    <w:rsid w:val="00D13F08"/>
    <w:rsid w:val="00D14273"/>
    <w:rsid w:val="00D14985"/>
    <w:rsid w:val="00D14B5F"/>
    <w:rsid w:val="00D15D13"/>
    <w:rsid w:val="00D15D8E"/>
    <w:rsid w:val="00D16236"/>
    <w:rsid w:val="00D1659D"/>
    <w:rsid w:val="00D16668"/>
    <w:rsid w:val="00D17389"/>
    <w:rsid w:val="00D174AB"/>
    <w:rsid w:val="00D17804"/>
    <w:rsid w:val="00D17B1B"/>
    <w:rsid w:val="00D17D6B"/>
    <w:rsid w:val="00D17D7C"/>
    <w:rsid w:val="00D203A5"/>
    <w:rsid w:val="00D204AA"/>
    <w:rsid w:val="00D2075C"/>
    <w:rsid w:val="00D20E51"/>
    <w:rsid w:val="00D20EAD"/>
    <w:rsid w:val="00D21C07"/>
    <w:rsid w:val="00D2258D"/>
    <w:rsid w:val="00D227E7"/>
    <w:rsid w:val="00D228D9"/>
    <w:rsid w:val="00D237AB"/>
    <w:rsid w:val="00D23CFB"/>
    <w:rsid w:val="00D23E84"/>
    <w:rsid w:val="00D2407D"/>
    <w:rsid w:val="00D24853"/>
    <w:rsid w:val="00D24CE5"/>
    <w:rsid w:val="00D24EF7"/>
    <w:rsid w:val="00D25636"/>
    <w:rsid w:val="00D2589A"/>
    <w:rsid w:val="00D25F0D"/>
    <w:rsid w:val="00D26205"/>
    <w:rsid w:val="00D26A3C"/>
    <w:rsid w:val="00D2703B"/>
    <w:rsid w:val="00D27121"/>
    <w:rsid w:val="00D271AA"/>
    <w:rsid w:val="00D272CD"/>
    <w:rsid w:val="00D27CB6"/>
    <w:rsid w:val="00D27DE4"/>
    <w:rsid w:val="00D30010"/>
    <w:rsid w:val="00D3006E"/>
    <w:rsid w:val="00D30458"/>
    <w:rsid w:val="00D30467"/>
    <w:rsid w:val="00D304D0"/>
    <w:rsid w:val="00D30916"/>
    <w:rsid w:val="00D3106B"/>
    <w:rsid w:val="00D31607"/>
    <w:rsid w:val="00D31DBC"/>
    <w:rsid w:val="00D321CB"/>
    <w:rsid w:val="00D32427"/>
    <w:rsid w:val="00D3290F"/>
    <w:rsid w:val="00D32C98"/>
    <w:rsid w:val="00D32EC5"/>
    <w:rsid w:val="00D33330"/>
    <w:rsid w:val="00D3337C"/>
    <w:rsid w:val="00D339ED"/>
    <w:rsid w:val="00D347BF"/>
    <w:rsid w:val="00D34EE2"/>
    <w:rsid w:val="00D365FE"/>
    <w:rsid w:val="00D36961"/>
    <w:rsid w:val="00D36C3D"/>
    <w:rsid w:val="00D36D1F"/>
    <w:rsid w:val="00D37153"/>
    <w:rsid w:val="00D37774"/>
    <w:rsid w:val="00D37830"/>
    <w:rsid w:val="00D37A77"/>
    <w:rsid w:val="00D40DC9"/>
    <w:rsid w:val="00D413C0"/>
    <w:rsid w:val="00D4149C"/>
    <w:rsid w:val="00D41708"/>
    <w:rsid w:val="00D4170E"/>
    <w:rsid w:val="00D420B1"/>
    <w:rsid w:val="00D4291B"/>
    <w:rsid w:val="00D42B61"/>
    <w:rsid w:val="00D42C9A"/>
    <w:rsid w:val="00D42D7F"/>
    <w:rsid w:val="00D42F3B"/>
    <w:rsid w:val="00D430A3"/>
    <w:rsid w:val="00D430B1"/>
    <w:rsid w:val="00D430F7"/>
    <w:rsid w:val="00D434A6"/>
    <w:rsid w:val="00D43BF4"/>
    <w:rsid w:val="00D44545"/>
    <w:rsid w:val="00D445D3"/>
    <w:rsid w:val="00D44663"/>
    <w:rsid w:val="00D44684"/>
    <w:rsid w:val="00D451CC"/>
    <w:rsid w:val="00D45354"/>
    <w:rsid w:val="00D45C06"/>
    <w:rsid w:val="00D45D9D"/>
    <w:rsid w:val="00D45F8E"/>
    <w:rsid w:val="00D45FF1"/>
    <w:rsid w:val="00D4614A"/>
    <w:rsid w:val="00D46614"/>
    <w:rsid w:val="00D4674B"/>
    <w:rsid w:val="00D47097"/>
    <w:rsid w:val="00D4714A"/>
    <w:rsid w:val="00D504B7"/>
    <w:rsid w:val="00D50C12"/>
    <w:rsid w:val="00D5140D"/>
    <w:rsid w:val="00D517B3"/>
    <w:rsid w:val="00D521F2"/>
    <w:rsid w:val="00D529A8"/>
    <w:rsid w:val="00D53326"/>
    <w:rsid w:val="00D5335D"/>
    <w:rsid w:val="00D53654"/>
    <w:rsid w:val="00D53C0F"/>
    <w:rsid w:val="00D53F51"/>
    <w:rsid w:val="00D541C5"/>
    <w:rsid w:val="00D54D2C"/>
    <w:rsid w:val="00D54FE2"/>
    <w:rsid w:val="00D554E1"/>
    <w:rsid w:val="00D55B1E"/>
    <w:rsid w:val="00D55E64"/>
    <w:rsid w:val="00D56258"/>
    <w:rsid w:val="00D56745"/>
    <w:rsid w:val="00D56A90"/>
    <w:rsid w:val="00D56B39"/>
    <w:rsid w:val="00D572C8"/>
    <w:rsid w:val="00D57F70"/>
    <w:rsid w:val="00D6027F"/>
    <w:rsid w:val="00D604FA"/>
    <w:rsid w:val="00D61159"/>
    <w:rsid w:val="00D612F9"/>
    <w:rsid w:val="00D616A5"/>
    <w:rsid w:val="00D618E6"/>
    <w:rsid w:val="00D61C8E"/>
    <w:rsid w:val="00D62C7A"/>
    <w:rsid w:val="00D633C0"/>
    <w:rsid w:val="00D63471"/>
    <w:rsid w:val="00D634FF"/>
    <w:rsid w:val="00D6358E"/>
    <w:rsid w:val="00D63D16"/>
    <w:rsid w:val="00D63E8B"/>
    <w:rsid w:val="00D64360"/>
    <w:rsid w:val="00D645FB"/>
    <w:rsid w:val="00D64ECF"/>
    <w:rsid w:val="00D65353"/>
    <w:rsid w:val="00D656BF"/>
    <w:rsid w:val="00D65A59"/>
    <w:rsid w:val="00D65EED"/>
    <w:rsid w:val="00D65F40"/>
    <w:rsid w:val="00D660C9"/>
    <w:rsid w:val="00D6658D"/>
    <w:rsid w:val="00D66626"/>
    <w:rsid w:val="00D66630"/>
    <w:rsid w:val="00D66B42"/>
    <w:rsid w:val="00D672CB"/>
    <w:rsid w:val="00D6767A"/>
    <w:rsid w:val="00D67A0C"/>
    <w:rsid w:val="00D67BA3"/>
    <w:rsid w:val="00D67CFB"/>
    <w:rsid w:val="00D7023D"/>
    <w:rsid w:val="00D70755"/>
    <w:rsid w:val="00D70C66"/>
    <w:rsid w:val="00D70C7A"/>
    <w:rsid w:val="00D70CCE"/>
    <w:rsid w:val="00D713BE"/>
    <w:rsid w:val="00D716E6"/>
    <w:rsid w:val="00D71A95"/>
    <w:rsid w:val="00D71FF1"/>
    <w:rsid w:val="00D72CFD"/>
    <w:rsid w:val="00D72E0A"/>
    <w:rsid w:val="00D72EA1"/>
    <w:rsid w:val="00D731BE"/>
    <w:rsid w:val="00D737FB"/>
    <w:rsid w:val="00D73A4E"/>
    <w:rsid w:val="00D73BE2"/>
    <w:rsid w:val="00D73F03"/>
    <w:rsid w:val="00D740BC"/>
    <w:rsid w:val="00D7441C"/>
    <w:rsid w:val="00D7442A"/>
    <w:rsid w:val="00D750DB"/>
    <w:rsid w:val="00D75D0A"/>
    <w:rsid w:val="00D760DA"/>
    <w:rsid w:val="00D76126"/>
    <w:rsid w:val="00D76194"/>
    <w:rsid w:val="00D76767"/>
    <w:rsid w:val="00D7679B"/>
    <w:rsid w:val="00D76FEA"/>
    <w:rsid w:val="00D7726F"/>
    <w:rsid w:val="00D7756C"/>
    <w:rsid w:val="00D77A80"/>
    <w:rsid w:val="00D77A87"/>
    <w:rsid w:val="00D80097"/>
    <w:rsid w:val="00D8014C"/>
    <w:rsid w:val="00D80C07"/>
    <w:rsid w:val="00D80D4B"/>
    <w:rsid w:val="00D80F0D"/>
    <w:rsid w:val="00D816BE"/>
    <w:rsid w:val="00D81BED"/>
    <w:rsid w:val="00D81E7F"/>
    <w:rsid w:val="00D81EC8"/>
    <w:rsid w:val="00D82088"/>
    <w:rsid w:val="00D82355"/>
    <w:rsid w:val="00D82419"/>
    <w:rsid w:val="00D82E54"/>
    <w:rsid w:val="00D8309F"/>
    <w:rsid w:val="00D83E8F"/>
    <w:rsid w:val="00D84383"/>
    <w:rsid w:val="00D843AF"/>
    <w:rsid w:val="00D84F4F"/>
    <w:rsid w:val="00D85071"/>
    <w:rsid w:val="00D8518E"/>
    <w:rsid w:val="00D85367"/>
    <w:rsid w:val="00D854D9"/>
    <w:rsid w:val="00D85C11"/>
    <w:rsid w:val="00D85F93"/>
    <w:rsid w:val="00D86239"/>
    <w:rsid w:val="00D866F3"/>
    <w:rsid w:val="00D866FA"/>
    <w:rsid w:val="00D8673D"/>
    <w:rsid w:val="00D86A9E"/>
    <w:rsid w:val="00D86B2C"/>
    <w:rsid w:val="00D8721D"/>
    <w:rsid w:val="00D87427"/>
    <w:rsid w:val="00D8746D"/>
    <w:rsid w:val="00D87661"/>
    <w:rsid w:val="00D87CA9"/>
    <w:rsid w:val="00D87F31"/>
    <w:rsid w:val="00D9001F"/>
    <w:rsid w:val="00D90E6B"/>
    <w:rsid w:val="00D910DF"/>
    <w:rsid w:val="00D91259"/>
    <w:rsid w:val="00D92917"/>
    <w:rsid w:val="00D92AB4"/>
    <w:rsid w:val="00D92D30"/>
    <w:rsid w:val="00D93236"/>
    <w:rsid w:val="00D934C5"/>
    <w:rsid w:val="00D93A0F"/>
    <w:rsid w:val="00D93D6D"/>
    <w:rsid w:val="00D946C7"/>
    <w:rsid w:val="00D94D9F"/>
    <w:rsid w:val="00D94E7E"/>
    <w:rsid w:val="00D9521E"/>
    <w:rsid w:val="00D95DD1"/>
    <w:rsid w:val="00D95EF2"/>
    <w:rsid w:val="00D969A0"/>
    <w:rsid w:val="00D96F12"/>
    <w:rsid w:val="00D972DF"/>
    <w:rsid w:val="00D973A1"/>
    <w:rsid w:val="00D975A6"/>
    <w:rsid w:val="00D97C16"/>
    <w:rsid w:val="00D97DBE"/>
    <w:rsid w:val="00D97E57"/>
    <w:rsid w:val="00D97FC9"/>
    <w:rsid w:val="00DA01FD"/>
    <w:rsid w:val="00DA0DA5"/>
    <w:rsid w:val="00DA0E27"/>
    <w:rsid w:val="00DA0FCF"/>
    <w:rsid w:val="00DA1568"/>
    <w:rsid w:val="00DA15E8"/>
    <w:rsid w:val="00DA2869"/>
    <w:rsid w:val="00DA309A"/>
    <w:rsid w:val="00DA4329"/>
    <w:rsid w:val="00DA4811"/>
    <w:rsid w:val="00DA48AB"/>
    <w:rsid w:val="00DA4986"/>
    <w:rsid w:val="00DA4D6D"/>
    <w:rsid w:val="00DA5269"/>
    <w:rsid w:val="00DA57E6"/>
    <w:rsid w:val="00DA59D7"/>
    <w:rsid w:val="00DA6454"/>
    <w:rsid w:val="00DA654D"/>
    <w:rsid w:val="00DA6871"/>
    <w:rsid w:val="00DA72E1"/>
    <w:rsid w:val="00DA79A0"/>
    <w:rsid w:val="00DA7E87"/>
    <w:rsid w:val="00DB098B"/>
    <w:rsid w:val="00DB1127"/>
    <w:rsid w:val="00DB1CE3"/>
    <w:rsid w:val="00DB207F"/>
    <w:rsid w:val="00DB27DB"/>
    <w:rsid w:val="00DB2D8C"/>
    <w:rsid w:val="00DB2ED7"/>
    <w:rsid w:val="00DB3C34"/>
    <w:rsid w:val="00DB3CC4"/>
    <w:rsid w:val="00DB4404"/>
    <w:rsid w:val="00DB4AD2"/>
    <w:rsid w:val="00DB6155"/>
    <w:rsid w:val="00DB6261"/>
    <w:rsid w:val="00DB6BE0"/>
    <w:rsid w:val="00DB702F"/>
    <w:rsid w:val="00DB74EF"/>
    <w:rsid w:val="00DB7A7E"/>
    <w:rsid w:val="00DC00E0"/>
    <w:rsid w:val="00DC03C1"/>
    <w:rsid w:val="00DC0494"/>
    <w:rsid w:val="00DC0865"/>
    <w:rsid w:val="00DC0B02"/>
    <w:rsid w:val="00DC0B41"/>
    <w:rsid w:val="00DC0FF3"/>
    <w:rsid w:val="00DC1A8B"/>
    <w:rsid w:val="00DC2047"/>
    <w:rsid w:val="00DC230A"/>
    <w:rsid w:val="00DC2329"/>
    <w:rsid w:val="00DC295A"/>
    <w:rsid w:val="00DC2A70"/>
    <w:rsid w:val="00DC2C6B"/>
    <w:rsid w:val="00DC40B9"/>
    <w:rsid w:val="00DC4157"/>
    <w:rsid w:val="00DC457B"/>
    <w:rsid w:val="00DC46CE"/>
    <w:rsid w:val="00DC4CE7"/>
    <w:rsid w:val="00DC5157"/>
    <w:rsid w:val="00DC57F6"/>
    <w:rsid w:val="00DC5D83"/>
    <w:rsid w:val="00DC657A"/>
    <w:rsid w:val="00DC66F6"/>
    <w:rsid w:val="00DC6D07"/>
    <w:rsid w:val="00DC721A"/>
    <w:rsid w:val="00DC75A0"/>
    <w:rsid w:val="00DC7F91"/>
    <w:rsid w:val="00DD0261"/>
    <w:rsid w:val="00DD0A07"/>
    <w:rsid w:val="00DD13F0"/>
    <w:rsid w:val="00DD1916"/>
    <w:rsid w:val="00DD1C06"/>
    <w:rsid w:val="00DD1F0D"/>
    <w:rsid w:val="00DD233B"/>
    <w:rsid w:val="00DD26D2"/>
    <w:rsid w:val="00DD28CD"/>
    <w:rsid w:val="00DD2A83"/>
    <w:rsid w:val="00DD2E77"/>
    <w:rsid w:val="00DD3005"/>
    <w:rsid w:val="00DD34A2"/>
    <w:rsid w:val="00DD3944"/>
    <w:rsid w:val="00DD3F1D"/>
    <w:rsid w:val="00DD4095"/>
    <w:rsid w:val="00DD42DA"/>
    <w:rsid w:val="00DD5017"/>
    <w:rsid w:val="00DD5187"/>
    <w:rsid w:val="00DD584E"/>
    <w:rsid w:val="00DD5FA4"/>
    <w:rsid w:val="00DD65D8"/>
    <w:rsid w:val="00DD72D5"/>
    <w:rsid w:val="00DE0375"/>
    <w:rsid w:val="00DE10FC"/>
    <w:rsid w:val="00DE1900"/>
    <w:rsid w:val="00DE1B0F"/>
    <w:rsid w:val="00DE2309"/>
    <w:rsid w:val="00DE2B37"/>
    <w:rsid w:val="00DE33DE"/>
    <w:rsid w:val="00DE351C"/>
    <w:rsid w:val="00DE47AF"/>
    <w:rsid w:val="00DE4B44"/>
    <w:rsid w:val="00DE4D8C"/>
    <w:rsid w:val="00DE59F6"/>
    <w:rsid w:val="00DE60BA"/>
    <w:rsid w:val="00DE61CA"/>
    <w:rsid w:val="00DE6732"/>
    <w:rsid w:val="00DE782C"/>
    <w:rsid w:val="00DF0006"/>
    <w:rsid w:val="00DF0F23"/>
    <w:rsid w:val="00DF2CF5"/>
    <w:rsid w:val="00DF2F91"/>
    <w:rsid w:val="00DF3288"/>
    <w:rsid w:val="00DF3FB0"/>
    <w:rsid w:val="00DF484A"/>
    <w:rsid w:val="00DF51BD"/>
    <w:rsid w:val="00DF53B6"/>
    <w:rsid w:val="00DF5A9D"/>
    <w:rsid w:val="00DF5B49"/>
    <w:rsid w:val="00DF5BB7"/>
    <w:rsid w:val="00DF5C58"/>
    <w:rsid w:val="00DF60D9"/>
    <w:rsid w:val="00DF63F9"/>
    <w:rsid w:val="00DF65C9"/>
    <w:rsid w:val="00DF6E28"/>
    <w:rsid w:val="00DF737B"/>
    <w:rsid w:val="00DF7497"/>
    <w:rsid w:val="00DF7A82"/>
    <w:rsid w:val="00DF7C61"/>
    <w:rsid w:val="00DF7FDF"/>
    <w:rsid w:val="00DFCD71"/>
    <w:rsid w:val="00E0014B"/>
    <w:rsid w:val="00E003F1"/>
    <w:rsid w:val="00E00FAE"/>
    <w:rsid w:val="00E01290"/>
    <w:rsid w:val="00E01686"/>
    <w:rsid w:val="00E01F2B"/>
    <w:rsid w:val="00E024D7"/>
    <w:rsid w:val="00E0268E"/>
    <w:rsid w:val="00E02B83"/>
    <w:rsid w:val="00E02CA5"/>
    <w:rsid w:val="00E02CF2"/>
    <w:rsid w:val="00E0335D"/>
    <w:rsid w:val="00E03489"/>
    <w:rsid w:val="00E037D8"/>
    <w:rsid w:val="00E03C98"/>
    <w:rsid w:val="00E03D33"/>
    <w:rsid w:val="00E04501"/>
    <w:rsid w:val="00E048E1"/>
    <w:rsid w:val="00E048E6"/>
    <w:rsid w:val="00E048E7"/>
    <w:rsid w:val="00E0497E"/>
    <w:rsid w:val="00E0527C"/>
    <w:rsid w:val="00E05472"/>
    <w:rsid w:val="00E05FBC"/>
    <w:rsid w:val="00E06093"/>
    <w:rsid w:val="00E06577"/>
    <w:rsid w:val="00E0676A"/>
    <w:rsid w:val="00E06ED7"/>
    <w:rsid w:val="00E06EDB"/>
    <w:rsid w:val="00E07832"/>
    <w:rsid w:val="00E079B6"/>
    <w:rsid w:val="00E10281"/>
    <w:rsid w:val="00E108AF"/>
    <w:rsid w:val="00E10917"/>
    <w:rsid w:val="00E10F4A"/>
    <w:rsid w:val="00E10FA1"/>
    <w:rsid w:val="00E11272"/>
    <w:rsid w:val="00E11374"/>
    <w:rsid w:val="00E113EF"/>
    <w:rsid w:val="00E117A6"/>
    <w:rsid w:val="00E12051"/>
    <w:rsid w:val="00E12787"/>
    <w:rsid w:val="00E12A19"/>
    <w:rsid w:val="00E12DD7"/>
    <w:rsid w:val="00E132E8"/>
    <w:rsid w:val="00E1395F"/>
    <w:rsid w:val="00E13E57"/>
    <w:rsid w:val="00E14551"/>
    <w:rsid w:val="00E146DA"/>
    <w:rsid w:val="00E15678"/>
    <w:rsid w:val="00E15BA4"/>
    <w:rsid w:val="00E16A8B"/>
    <w:rsid w:val="00E17292"/>
    <w:rsid w:val="00E17974"/>
    <w:rsid w:val="00E17B7A"/>
    <w:rsid w:val="00E17EC6"/>
    <w:rsid w:val="00E208E7"/>
    <w:rsid w:val="00E20A16"/>
    <w:rsid w:val="00E20B1A"/>
    <w:rsid w:val="00E20E56"/>
    <w:rsid w:val="00E21058"/>
    <w:rsid w:val="00E214B6"/>
    <w:rsid w:val="00E21D25"/>
    <w:rsid w:val="00E21F34"/>
    <w:rsid w:val="00E2259C"/>
    <w:rsid w:val="00E22754"/>
    <w:rsid w:val="00E22E8D"/>
    <w:rsid w:val="00E23630"/>
    <w:rsid w:val="00E24DDF"/>
    <w:rsid w:val="00E24F76"/>
    <w:rsid w:val="00E250CA"/>
    <w:rsid w:val="00E250EC"/>
    <w:rsid w:val="00E251C6"/>
    <w:rsid w:val="00E253E7"/>
    <w:rsid w:val="00E25646"/>
    <w:rsid w:val="00E25E9C"/>
    <w:rsid w:val="00E2629E"/>
    <w:rsid w:val="00E26465"/>
    <w:rsid w:val="00E26BB9"/>
    <w:rsid w:val="00E26C22"/>
    <w:rsid w:val="00E27407"/>
    <w:rsid w:val="00E301BB"/>
    <w:rsid w:val="00E3083B"/>
    <w:rsid w:val="00E31671"/>
    <w:rsid w:val="00E31B9B"/>
    <w:rsid w:val="00E31ED1"/>
    <w:rsid w:val="00E32066"/>
    <w:rsid w:val="00E3254E"/>
    <w:rsid w:val="00E329E0"/>
    <w:rsid w:val="00E32ABD"/>
    <w:rsid w:val="00E33021"/>
    <w:rsid w:val="00E33472"/>
    <w:rsid w:val="00E33ACF"/>
    <w:rsid w:val="00E33CA8"/>
    <w:rsid w:val="00E341CB"/>
    <w:rsid w:val="00E34319"/>
    <w:rsid w:val="00E34771"/>
    <w:rsid w:val="00E353C6"/>
    <w:rsid w:val="00E3548E"/>
    <w:rsid w:val="00E35661"/>
    <w:rsid w:val="00E35D8E"/>
    <w:rsid w:val="00E35E11"/>
    <w:rsid w:val="00E370F7"/>
    <w:rsid w:val="00E3734A"/>
    <w:rsid w:val="00E37455"/>
    <w:rsid w:val="00E37A39"/>
    <w:rsid w:val="00E405CB"/>
    <w:rsid w:val="00E40896"/>
    <w:rsid w:val="00E408C2"/>
    <w:rsid w:val="00E40D37"/>
    <w:rsid w:val="00E40D96"/>
    <w:rsid w:val="00E412FF"/>
    <w:rsid w:val="00E416E2"/>
    <w:rsid w:val="00E41808"/>
    <w:rsid w:val="00E424A9"/>
    <w:rsid w:val="00E428F5"/>
    <w:rsid w:val="00E42D64"/>
    <w:rsid w:val="00E431FD"/>
    <w:rsid w:val="00E43263"/>
    <w:rsid w:val="00E433A0"/>
    <w:rsid w:val="00E44060"/>
    <w:rsid w:val="00E44135"/>
    <w:rsid w:val="00E44596"/>
    <w:rsid w:val="00E446C2"/>
    <w:rsid w:val="00E455DC"/>
    <w:rsid w:val="00E45A08"/>
    <w:rsid w:val="00E45A3C"/>
    <w:rsid w:val="00E46062"/>
    <w:rsid w:val="00E4633F"/>
    <w:rsid w:val="00E46BC3"/>
    <w:rsid w:val="00E46D02"/>
    <w:rsid w:val="00E46EF6"/>
    <w:rsid w:val="00E4715D"/>
    <w:rsid w:val="00E47411"/>
    <w:rsid w:val="00E47E81"/>
    <w:rsid w:val="00E47FB8"/>
    <w:rsid w:val="00E500C4"/>
    <w:rsid w:val="00E50219"/>
    <w:rsid w:val="00E50625"/>
    <w:rsid w:val="00E50B01"/>
    <w:rsid w:val="00E512B5"/>
    <w:rsid w:val="00E520B4"/>
    <w:rsid w:val="00E5212F"/>
    <w:rsid w:val="00E523DB"/>
    <w:rsid w:val="00E52A80"/>
    <w:rsid w:val="00E52BCB"/>
    <w:rsid w:val="00E52D46"/>
    <w:rsid w:val="00E52E1C"/>
    <w:rsid w:val="00E537F8"/>
    <w:rsid w:val="00E53DED"/>
    <w:rsid w:val="00E544B8"/>
    <w:rsid w:val="00E5454F"/>
    <w:rsid w:val="00E54FD2"/>
    <w:rsid w:val="00E55207"/>
    <w:rsid w:val="00E5577C"/>
    <w:rsid w:val="00E55C6F"/>
    <w:rsid w:val="00E55F6A"/>
    <w:rsid w:val="00E55F9D"/>
    <w:rsid w:val="00E568C2"/>
    <w:rsid w:val="00E57492"/>
    <w:rsid w:val="00E5766A"/>
    <w:rsid w:val="00E57739"/>
    <w:rsid w:val="00E57A9B"/>
    <w:rsid w:val="00E60018"/>
    <w:rsid w:val="00E603A0"/>
    <w:rsid w:val="00E60A35"/>
    <w:rsid w:val="00E61C84"/>
    <w:rsid w:val="00E62040"/>
    <w:rsid w:val="00E6299A"/>
    <w:rsid w:val="00E63A39"/>
    <w:rsid w:val="00E63CA8"/>
    <w:rsid w:val="00E63E63"/>
    <w:rsid w:val="00E6414D"/>
    <w:rsid w:val="00E647D5"/>
    <w:rsid w:val="00E64B73"/>
    <w:rsid w:val="00E65155"/>
    <w:rsid w:val="00E65289"/>
    <w:rsid w:val="00E658AC"/>
    <w:rsid w:val="00E65AD5"/>
    <w:rsid w:val="00E65F6A"/>
    <w:rsid w:val="00E65FE0"/>
    <w:rsid w:val="00E66048"/>
    <w:rsid w:val="00E66C66"/>
    <w:rsid w:val="00E66E76"/>
    <w:rsid w:val="00E671DC"/>
    <w:rsid w:val="00E67891"/>
    <w:rsid w:val="00E67CD7"/>
    <w:rsid w:val="00E7057F"/>
    <w:rsid w:val="00E7062B"/>
    <w:rsid w:val="00E706BA"/>
    <w:rsid w:val="00E70EA7"/>
    <w:rsid w:val="00E70F51"/>
    <w:rsid w:val="00E70F70"/>
    <w:rsid w:val="00E71B95"/>
    <w:rsid w:val="00E71CB0"/>
    <w:rsid w:val="00E72995"/>
    <w:rsid w:val="00E72B52"/>
    <w:rsid w:val="00E73B3C"/>
    <w:rsid w:val="00E73C30"/>
    <w:rsid w:val="00E73CBC"/>
    <w:rsid w:val="00E74139"/>
    <w:rsid w:val="00E745D8"/>
    <w:rsid w:val="00E74855"/>
    <w:rsid w:val="00E74E1F"/>
    <w:rsid w:val="00E75265"/>
    <w:rsid w:val="00E75888"/>
    <w:rsid w:val="00E75F64"/>
    <w:rsid w:val="00E76546"/>
    <w:rsid w:val="00E76DBA"/>
    <w:rsid w:val="00E76F2D"/>
    <w:rsid w:val="00E7726A"/>
    <w:rsid w:val="00E77E65"/>
    <w:rsid w:val="00E80A08"/>
    <w:rsid w:val="00E80D27"/>
    <w:rsid w:val="00E80EA3"/>
    <w:rsid w:val="00E81A4D"/>
    <w:rsid w:val="00E81A88"/>
    <w:rsid w:val="00E8273C"/>
    <w:rsid w:val="00E82856"/>
    <w:rsid w:val="00E82CC9"/>
    <w:rsid w:val="00E82ECA"/>
    <w:rsid w:val="00E830EF"/>
    <w:rsid w:val="00E832CD"/>
    <w:rsid w:val="00E8362D"/>
    <w:rsid w:val="00E836B6"/>
    <w:rsid w:val="00E837BF"/>
    <w:rsid w:val="00E83CB3"/>
    <w:rsid w:val="00E83EAF"/>
    <w:rsid w:val="00E83F51"/>
    <w:rsid w:val="00E83F53"/>
    <w:rsid w:val="00E83F69"/>
    <w:rsid w:val="00E843AE"/>
    <w:rsid w:val="00E843DE"/>
    <w:rsid w:val="00E84906"/>
    <w:rsid w:val="00E850D1"/>
    <w:rsid w:val="00E850FD"/>
    <w:rsid w:val="00E85AB3"/>
    <w:rsid w:val="00E85B5B"/>
    <w:rsid w:val="00E864FE"/>
    <w:rsid w:val="00E86BE8"/>
    <w:rsid w:val="00E86E10"/>
    <w:rsid w:val="00E87059"/>
    <w:rsid w:val="00E87173"/>
    <w:rsid w:val="00E872CC"/>
    <w:rsid w:val="00E87613"/>
    <w:rsid w:val="00E87660"/>
    <w:rsid w:val="00E8780B"/>
    <w:rsid w:val="00E8786C"/>
    <w:rsid w:val="00E87B89"/>
    <w:rsid w:val="00E9034A"/>
    <w:rsid w:val="00E90EED"/>
    <w:rsid w:val="00E916E1"/>
    <w:rsid w:val="00E9197D"/>
    <w:rsid w:val="00E920D8"/>
    <w:rsid w:val="00E92171"/>
    <w:rsid w:val="00E92EBB"/>
    <w:rsid w:val="00E9301E"/>
    <w:rsid w:val="00E93215"/>
    <w:rsid w:val="00E93CE7"/>
    <w:rsid w:val="00E9443D"/>
    <w:rsid w:val="00E9449F"/>
    <w:rsid w:val="00E948E7"/>
    <w:rsid w:val="00E94B79"/>
    <w:rsid w:val="00E956CC"/>
    <w:rsid w:val="00E959DF"/>
    <w:rsid w:val="00E96321"/>
    <w:rsid w:val="00E96768"/>
    <w:rsid w:val="00E9684F"/>
    <w:rsid w:val="00E96AD8"/>
    <w:rsid w:val="00E96C4F"/>
    <w:rsid w:val="00E97483"/>
    <w:rsid w:val="00E978B7"/>
    <w:rsid w:val="00E978F3"/>
    <w:rsid w:val="00EA042B"/>
    <w:rsid w:val="00EA0C11"/>
    <w:rsid w:val="00EA1B07"/>
    <w:rsid w:val="00EA21A3"/>
    <w:rsid w:val="00EA2703"/>
    <w:rsid w:val="00EA27B9"/>
    <w:rsid w:val="00EA2818"/>
    <w:rsid w:val="00EA3095"/>
    <w:rsid w:val="00EA376E"/>
    <w:rsid w:val="00EA393B"/>
    <w:rsid w:val="00EA3A35"/>
    <w:rsid w:val="00EA3E34"/>
    <w:rsid w:val="00EA48EC"/>
    <w:rsid w:val="00EA4A49"/>
    <w:rsid w:val="00EA4B47"/>
    <w:rsid w:val="00EA4C15"/>
    <w:rsid w:val="00EA4C80"/>
    <w:rsid w:val="00EA4E40"/>
    <w:rsid w:val="00EA5E4C"/>
    <w:rsid w:val="00EA628B"/>
    <w:rsid w:val="00EA633A"/>
    <w:rsid w:val="00EA6D3A"/>
    <w:rsid w:val="00EA6D9A"/>
    <w:rsid w:val="00EA71DE"/>
    <w:rsid w:val="00EA749C"/>
    <w:rsid w:val="00EA79D9"/>
    <w:rsid w:val="00EA79E3"/>
    <w:rsid w:val="00EA7B65"/>
    <w:rsid w:val="00EA7D48"/>
    <w:rsid w:val="00EA7FFC"/>
    <w:rsid w:val="00EB003A"/>
    <w:rsid w:val="00EB0099"/>
    <w:rsid w:val="00EB1A75"/>
    <w:rsid w:val="00EB1AE8"/>
    <w:rsid w:val="00EB1B45"/>
    <w:rsid w:val="00EB1E36"/>
    <w:rsid w:val="00EB21C6"/>
    <w:rsid w:val="00EB2365"/>
    <w:rsid w:val="00EB27EF"/>
    <w:rsid w:val="00EB29E4"/>
    <w:rsid w:val="00EB2EB4"/>
    <w:rsid w:val="00EB2EE7"/>
    <w:rsid w:val="00EB325F"/>
    <w:rsid w:val="00EB3801"/>
    <w:rsid w:val="00EB3A07"/>
    <w:rsid w:val="00EB5614"/>
    <w:rsid w:val="00EB5AFF"/>
    <w:rsid w:val="00EB5CD8"/>
    <w:rsid w:val="00EB5DC8"/>
    <w:rsid w:val="00EB5FAE"/>
    <w:rsid w:val="00EB624B"/>
    <w:rsid w:val="00EB6B7F"/>
    <w:rsid w:val="00EB74A4"/>
    <w:rsid w:val="00EB7888"/>
    <w:rsid w:val="00EB7CB9"/>
    <w:rsid w:val="00EB7CC8"/>
    <w:rsid w:val="00EC0198"/>
    <w:rsid w:val="00EC05E2"/>
    <w:rsid w:val="00EC0663"/>
    <w:rsid w:val="00EC09DA"/>
    <w:rsid w:val="00EC1584"/>
    <w:rsid w:val="00EC188C"/>
    <w:rsid w:val="00EC29CB"/>
    <w:rsid w:val="00EC429E"/>
    <w:rsid w:val="00EC4317"/>
    <w:rsid w:val="00EC52AF"/>
    <w:rsid w:val="00EC53C2"/>
    <w:rsid w:val="00EC54C0"/>
    <w:rsid w:val="00EC55AC"/>
    <w:rsid w:val="00EC62CB"/>
    <w:rsid w:val="00EC6955"/>
    <w:rsid w:val="00EC722F"/>
    <w:rsid w:val="00ED0351"/>
    <w:rsid w:val="00ED0645"/>
    <w:rsid w:val="00ED0D60"/>
    <w:rsid w:val="00ED0F86"/>
    <w:rsid w:val="00ED14C1"/>
    <w:rsid w:val="00ED1738"/>
    <w:rsid w:val="00ED1E77"/>
    <w:rsid w:val="00ED2215"/>
    <w:rsid w:val="00ED2244"/>
    <w:rsid w:val="00ED2473"/>
    <w:rsid w:val="00ED2675"/>
    <w:rsid w:val="00ED26A4"/>
    <w:rsid w:val="00ED2A7D"/>
    <w:rsid w:val="00ED316C"/>
    <w:rsid w:val="00ED3B16"/>
    <w:rsid w:val="00ED4101"/>
    <w:rsid w:val="00ED41A1"/>
    <w:rsid w:val="00ED4F9A"/>
    <w:rsid w:val="00ED509A"/>
    <w:rsid w:val="00ED52B8"/>
    <w:rsid w:val="00ED564D"/>
    <w:rsid w:val="00ED5793"/>
    <w:rsid w:val="00ED5ABA"/>
    <w:rsid w:val="00ED5E4E"/>
    <w:rsid w:val="00ED6ACD"/>
    <w:rsid w:val="00ED708C"/>
    <w:rsid w:val="00ED7689"/>
    <w:rsid w:val="00ED7DDC"/>
    <w:rsid w:val="00EE050E"/>
    <w:rsid w:val="00EE0875"/>
    <w:rsid w:val="00EE0B85"/>
    <w:rsid w:val="00EE0C32"/>
    <w:rsid w:val="00EE0D1F"/>
    <w:rsid w:val="00EE0E96"/>
    <w:rsid w:val="00EE0EF7"/>
    <w:rsid w:val="00EE0FE9"/>
    <w:rsid w:val="00EE117A"/>
    <w:rsid w:val="00EE1360"/>
    <w:rsid w:val="00EE1A6D"/>
    <w:rsid w:val="00EE2287"/>
    <w:rsid w:val="00EE229C"/>
    <w:rsid w:val="00EE22CE"/>
    <w:rsid w:val="00EE23E8"/>
    <w:rsid w:val="00EE2D30"/>
    <w:rsid w:val="00EE2FFA"/>
    <w:rsid w:val="00EE34AA"/>
    <w:rsid w:val="00EE3A8D"/>
    <w:rsid w:val="00EE3AFB"/>
    <w:rsid w:val="00EE3C74"/>
    <w:rsid w:val="00EE43A7"/>
    <w:rsid w:val="00EE4AAD"/>
    <w:rsid w:val="00EE5FE7"/>
    <w:rsid w:val="00EE6081"/>
    <w:rsid w:val="00EE62C3"/>
    <w:rsid w:val="00EE65B3"/>
    <w:rsid w:val="00EE6825"/>
    <w:rsid w:val="00EE6E57"/>
    <w:rsid w:val="00EE7174"/>
    <w:rsid w:val="00EE733F"/>
    <w:rsid w:val="00EE75EC"/>
    <w:rsid w:val="00EE7C00"/>
    <w:rsid w:val="00EF165E"/>
    <w:rsid w:val="00EF1773"/>
    <w:rsid w:val="00EF177C"/>
    <w:rsid w:val="00EF1860"/>
    <w:rsid w:val="00EF190E"/>
    <w:rsid w:val="00EF1A01"/>
    <w:rsid w:val="00EF1D06"/>
    <w:rsid w:val="00EF1E03"/>
    <w:rsid w:val="00EF2214"/>
    <w:rsid w:val="00EF251E"/>
    <w:rsid w:val="00EF3596"/>
    <w:rsid w:val="00EF3832"/>
    <w:rsid w:val="00EF3B07"/>
    <w:rsid w:val="00EF3F01"/>
    <w:rsid w:val="00EF409E"/>
    <w:rsid w:val="00EF4563"/>
    <w:rsid w:val="00EF4694"/>
    <w:rsid w:val="00EF4A69"/>
    <w:rsid w:val="00EF4C0C"/>
    <w:rsid w:val="00EF4C66"/>
    <w:rsid w:val="00EF5863"/>
    <w:rsid w:val="00EF5C00"/>
    <w:rsid w:val="00EF5E3A"/>
    <w:rsid w:val="00EF63E0"/>
    <w:rsid w:val="00EF65B8"/>
    <w:rsid w:val="00EF68B7"/>
    <w:rsid w:val="00EF6999"/>
    <w:rsid w:val="00EF6BAC"/>
    <w:rsid w:val="00EF7248"/>
    <w:rsid w:val="00EF74DC"/>
    <w:rsid w:val="00EF7765"/>
    <w:rsid w:val="00F007C8"/>
    <w:rsid w:val="00F00CBF"/>
    <w:rsid w:val="00F00F7A"/>
    <w:rsid w:val="00F011D3"/>
    <w:rsid w:val="00F0168B"/>
    <w:rsid w:val="00F021DB"/>
    <w:rsid w:val="00F02431"/>
    <w:rsid w:val="00F0291C"/>
    <w:rsid w:val="00F02CC0"/>
    <w:rsid w:val="00F02F89"/>
    <w:rsid w:val="00F0309F"/>
    <w:rsid w:val="00F0359F"/>
    <w:rsid w:val="00F03721"/>
    <w:rsid w:val="00F03A1E"/>
    <w:rsid w:val="00F03B7E"/>
    <w:rsid w:val="00F03DC8"/>
    <w:rsid w:val="00F03E3C"/>
    <w:rsid w:val="00F04340"/>
    <w:rsid w:val="00F04CB1"/>
    <w:rsid w:val="00F04EC7"/>
    <w:rsid w:val="00F05947"/>
    <w:rsid w:val="00F059AF"/>
    <w:rsid w:val="00F05A21"/>
    <w:rsid w:val="00F05E1A"/>
    <w:rsid w:val="00F06BF0"/>
    <w:rsid w:val="00F06FDE"/>
    <w:rsid w:val="00F0789A"/>
    <w:rsid w:val="00F07A54"/>
    <w:rsid w:val="00F07B40"/>
    <w:rsid w:val="00F07C44"/>
    <w:rsid w:val="00F0CED2"/>
    <w:rsid w:val="00F1011A"/>
    <w:rsid w:val="00F101E6"/>
    <w:rsid w:val="00F109B8"/>
    <w:rsid w:val="00F10F19"/>
    <w:rsid w:val="00F1120F"/>
    <w:rsid w:val="00F11821"/>
    <w:rsid w:val="00F11CB1"/>
    <w:rsid w:val="00F12201"/>
    <w:rsid w:val="00F1259D"/>
    <w:rsid w:val="00F1282F"/>
    <w:rsid w:val="00F129F9"/>
    <w:rsid w:val="00F12C3B"/>
    <w:rsid w:val="00F133F9"/>
    <w:rsid w:val="00F13599"/>
    <w:rsid w:val="00F139D4"/>
    <w:rsid w:val="00F13DAC"/>
    <w:rsid w:val="00F14092"/>
    <w:rsid w:val="00F1493B"/>
    <w:rsid w:val="00F15184"/>
    <w:rsid w:val="00F1519A"/>
    <w:rsid w:val="00F154C5"/>
    <w:rsid w:val="00F160A8"/>
    <w:rsid w:val="00F16475"/>
    <w:rsid w:val="00F169E1"/>
    <w:rsid w:val="00F169FA"/>
    <w:rsid w:val="00F177B0"/>
    <w:rsid w:val="00F178B8"/>
    <w:rsid w:val="00F17C3C"/>
    <w:rsid w:val="00F17D48"/>
    <w:rsid w:val="00F17F7B"/>
    <w:rsid w:val="00F20016"/>
    <w:rsid w:val="00F207C6"/>
    <w:rsid w:val="00F20BDE"/>
    <w:rsid w:val="00F21199"/>
    <w:rsid w:val="00F212A3"/>
    <w:rsid w:val="00F2153F"/>
    <w:rsid w:val="00F21A4C"/>
    <w:rsid w:val="00F21DB5"/>
    <w:rsid w:val="00F21E50"/>
    <w:rsid w:val="00F224CF"/>
    <w:rsid w:val="00F226A9"/>
    <w:rsid w:val="00F226C1"/>
    <w:rsid w:val="00F2329C"/>
    <w:rsid w:val="00F2388C"/>
    <w:rsid w:val="00F24054"/>
    <w:rsid w:val="00F2442E"/>
    <w:rsid w:val="00F2463D"/>
    <w:rsid w:val="00F24822"/>
    <w:rsid w:val="00F25E2A"/>
    <w:rsid w:val="00F26102"/>
    <w:rsid w:val="00F26EE0"/>
    <w:rsid w:val="00F27C96"/>
    <w:rsid w:val="00F27E7B"/>
    <w:rsid w:val="00F27FA8"/>
    <w:rsid w:val="00F3021E"/>
    <w:rsid w:val="00F30B68"/>
    <w:rsid w:val="00F30BBA"/>
    <w:rsid w:val="00F30DEC"/>
    <w:rsid w:val="00F3122A"/>
    <w:rsid w:val="00F315A7"/>
    <w:rsid w:val="00F315BE"/>
    <w:rsid w:val="00F315FE"/>
    <w:rsid w:val="00F31B4B"/>
    <w:rsid w:val="00F31DDF"/>
    <w:rsid w:val="00F3212F"/>
    <w:rsid w:val="00F32BCE"/>
    <w:rsid w:val="00F33034"/>
    <w:rsid w:val="00F344E2"/>
    <w:rsid w:val="00F3467F"/>
    <w:rsid w:val="00F34EED"/>
    <w:rsid w:val="00F35944"/>
    <w:rsid w:val="00F35BEC"/>
    <w:rsid w:val="00F36865"/>
    <w:rsid w:val="00F36A42"/>
    <w:rsid w:val="00F36FAE"/>
    <w:rsid w:val="00F371C7"/>
    <w:rsid w:val="00F3797D"/>
    <w:rsid w:val="00F37AD5"/>
    <w:rsid w:val="00F37BBA"/>
    <w:rsid w:val="00F403E8"/>
    <w:rsid w:val="00F405D3"/>
    <w:rsid w:val="00F40981"/>
    <w:rsid w:val="00F40DB6"/>
    <w:rsid w:val="00F41CC5"/>
    <w:rsid w:val="00F420E4"/>
    <w:rsid w:val="00F425E7"/>
    <w:rsid w:val="00F42910"/>
    <w:rsid w:val="00F42B81"/>
    <w:rsid w:val="00F42D6F"/>
    <w:rsid w:val="00F43382"/>
    <w:rsid w:val="00F43997"/>
    <w:rsid w:val="00F439C8"/>
    <w:rsid w:val="00F4419C"/>
    <w:rsid w:val="00F4420E"/>
    <w:rsid w:val="00F445BF"/>
    <w:rsid w:val="00F44DAA"/>
    <w:rsid w:val="00F4513C"/>
    <w:rsid w:val="00F45886"/>
    <w:rsid w:val="00F458DC"/>
    <w:rsid w:val="00F45C98"/>
    <w:rsid w:val="00F45DAA"/>
    <w:rsid w:val="00F45E2B"/>
    <w:rsid w:val="00F46652"/>
    <w:rsid w:val="00F46696"/>
    <w:rsid w:val="00F46D85"/>
    <w:rsid w:val="00F47A75"/>
    <w:rsid w:val="00F50007"/>
    <w:rsid w:val="00F50A36"/>
    <w:rsid w:val="00F50B7E"/>
    <w:rsid w:val="00F50D15"/>
    <w:rsid w:val="00F50E23"/>
    <w:rsid w:val="00F50FA6"/>
    <w:rsid w:val="00F5120A"/>
    <w:rsid w:val="00F5161B"/>
    <w:rsid w:val="00F51A24"/>
    <w:rsid w:val="00F524E5"/>
    <w:rsid w:val="00F52605"/>
    <w:rsid w:val="00F528B9"/>
    <w:rsid w:val="00F52C31"/>
    <w:rsid w:val="00F52C95"/>
    <w:rsid w:val="00F53066"/>
    <w:rsid w:val="00F53623"/>
    <w:rsid w:val="00F537C0"/>
    <w:rsid w:val="00F53D81"/>
    <w:rsid w:val="00F541D0"/>
    <w:rsid w:val="00F54302"/>
    <w:rsid w:val="00F549CE"/>
    <w:rsid w:val="00F550DC"/>
    <w:rsid w:val="00F55D8D"/>
    <w:rsid w:val="00F56A3B"/>
    <w:rsid w:val="00F56EB0"/>
    <w:rsid w:val="00F57284"/>
    <w:rsid w:val="00F5759E"/>
    <w:rsid w:val="00F577DA"/>
    <w:rsid w:val="00F57A29"/>
    <w:rsid w:val="00F57CF1"/>
    <w:rsid w:val="00F57EE5"/>
    <w:rsid w:val="00F6008D"/>
    <w:rsid w:val="00F600F5"/>
    <w:rsid w:val="00F60949"/>
    <w:rsid w:val="00F60ADA"/>
    <w:rsid w:val="00F61304"/>
    <w:rsid w:val="00F61314"/>
    <w:rsid w:val="00F6144D"/>
    <w:rsid w:val="00F6170F"/>
    <w:rsid w:val="00F61D58"/>
    <w:rsid w:val="00F61DFC"/>
    <w:rsid w:val="00F62592"/>
    <w:rsid w:val="00F626DD"/>
    <w:rsid w:val="00F627AD"/>
    <w:rsid w:val="00F63CD2"/>
    <w:rsid w:val="00F643B3"/>
    <w:rsid w:val="00F64BBD"/>
    <w:rsid w:val="00F64E1C"/>
    <w:rsid w:val="00F65226"/>
    <w:rsid w:val="00F66300"/>
    <w:rsid w:val="00F668AA"/>
    <w:rsid w:val="00F67D71"/>
    <w:rsid w:val="00F67FCF"/>
    <w:rsid w:val="00F70037"/>
    <w:rsid w:val="00F7046A"/>
    <w:rsid w:val="00F70480"/>
    <w:rsid w:val="00F70671"/>
    <w:rsid w:val="00F706C8"/>
    <w:rsid w:val="00F708E9"/>
    <w:rsid w:val="00F70946"/>
    <w:rsid w:val="00F70CCD"/>
    <w:rsid w:val="00F71160"/>
    <w:rsid w:val="00F714F6"/>
    <w:rsid w:val="00F71D9D"/>
    <w:rsid w:val="00F72148"/>
    <w:rsid w:val="00F72A23"/>
    <w:rsid w:val="00F72A5F"/>
    <w:rsid w:val="00F72CF9"/>
    <w:rsid w:val="00F72FE5"/>
    <w:rsid w:val="00F731C2"/>
    <w:rsid w:val="00F735CE"/>
    <w:rsid w:val="00F7383A"/>
    <w:rsid w:val="00F7398B"/>
    <w:rsid w:val="00F73F72"/>
    <w:rsid w:val="00F7482C"/>
    <w:rsid w:val="00F74E1A"/>
    <w:rsid w:val="00F74F9C"/>
    <w:rsid w:val="00F751D2"/>
    <w:rsid w:val="00F75295"/>
    <w:rsid w:val="00F75D19"/>
    <w:rsid w:val="00F761BA"/>
    <w:rsid w:val="00F764C9"/>
    <w:rsid w:val="00F768F7"/>
    <w:rsid w:val="00F772FE"/>
    <w:rsid w:val="00F7741D"/>
    <w:rsid w:val="00F77776"/>
    <w:rsid w:val="00F77963"/>
    <w:rsid w:val="00F77997"/>
    <w:rsid w:val="00F77BEA"/>
    <w:rsid w:val="00F8018A"/>
    <w:rsid w:val="00F8072F"/>
    <w:rsid w:val="00F80A89"/>
    <w:rsid w:val="00F80D00"/>
    <w:rsid w:val="00F812B9"/>
    <w:rsid w:val="00F825EB"/>
    <w:rsid w:val="00F82D0B"/>
    <w:rsid w:val="00F82F64"/>
    <w:rsid w:val="00F833B5"/>
    <w:rsid w:val="00F83533"/>
    <w:rsid w:val="00F83B10"/>
    <w:rsid w:val="00F84439"/>
    <w:rsid w:val="00F84A54"/>
    <w:rsid w:val="00F85604"/>
    <w:rsid w:val="00F856EB"/>
    <w:rsid w:val="00F85951"/>
    <w:rsid w:val="00F85BDC"/>
    <w:rsid w:val="00F85BE5"/>
    <w:rsid w:val="00F85FEB"/>
    <w:rsid w:val="00F86C7E"/>
    <w:rsid w:val="00F86ECB"/>
    <w:rsid w:val="00F87396"/>
    <w:rsid w:val="00F87584"/>
    <w:rsid w:val="00F87C94"/>
    <w:rsid w:val="00F90B16"/>
    <w:rsid w:val="00F90DF7"/>
    <w:rsid w:val="00F91B8A"/>
    <w:rsid w:val="00F91B94"/>
    <w:rsid w:val="00F92709"/>
    <w:rsid w:val="00F92FF4"/>
    <w:rsid w:val="00F931DB"/>
    <w:rsid w:val="00F93475"/>
    <w:rsid w:val="00F93673"/>
    <w:rsid w:val="00F938B9"/>
    <w:rsid w:val="00F93F14"/>
    <w:rsid w:val="00F93F6D"/>
    <w:rsid w:val="00F94463"/>
    <w:rsid w:val="00F94799"/>
    <w:rsid w:val="00F94CB5"/>
    <w:rsid w:val="00F95988"/>
    <w:rsid w:val="00F95AA2"/>
    <w:rsid w:val="00F95FBB"/>
    <w:rsid w:val="00F965FD"/>
    <w:rsid w:val="00F966CC"/>
    <w:rsid w:val="00F966F7"/>
    <w:rsid w:val="00F96C31"/>
    <w:rsid w:val="00F96CF8"/>
    <w:rsid w:val="00F96DE6"/>
    <w:rsid w:val="00F9722A"/>
    <w:rsid w:val="00F97C13"/>
    <w:rsid w:val="00F97F50"/>
    <w:rsid w:val="00FA0551"/>
    <w:rsid w:val="00FA06D5"/>
    <w:rsid w:val="00FA0B9A"/>
    <w:rsid w:val="00FA0E70"/>
    <w:rsid w:val="00FA2633"/>
    <w:rsid w:val="00FA2A36"/>
    <w:rsid w:val="00FA2B94"/>
    <w:rsid w:val="00FA35B2"/>
    <w:rsid w:val="00FA3B2E"/>
    <w:rsid w:val="00FA3DA1"/>
    <w:rsid w:val="00FA4203"/>
    <w:rsid w:val="00FA47FC"/>
    <w:rsid w:val="00FA48A4"/>
    <w:rsid w:val="00FA4B6A"/>
    <w:rsid w:val="00FA4C98"/>
    <w:rsid w:val="00FA4D20"/>
    <w:rsid w:val="00FA51E8"/>
    <w:rsid w:val="00FA52AA"/>
    <w:rsid w:val="00FA52CD"/>
    <w:rsid w:val="00FA55B1"/>
    <w:rsid w:val="00FA663C"/>
    <w:rsid w:val="00FA6CEE"/>
    <w:rsid w:val="00FA7321"/>
    <w:rsid w:val="00FA770D"/>
    <w:rsid w:val="00FA777F"/>
    <w:rsid w:val="00FB02EB"/>
    <w:rsid w:val="00FB03E6"/>
    <w:rsid w:val="00FB0D2F"/>
    <w:rsid w:val="00FB106B"/>
    <w:rsid w:val="00FB1216"/>
    <w:rsid w:val="00FB14C8"/>
    <w:rsid w:val="00FB1605"/>
    <w:rsid w:val="00FB18AD"/>
    <w:rsid w:val="00FB1AC9"/>
    <w:rsid w:val="00FB2291"/>
    <w:rsid w:val="00FB2760"/>
    <w:rsid w:val="00FB3473"/>
    <w:rsid w:val="00FB3928"/>
    <w:rsid w:val="00FB3936"/>
    <w:rsid w:val="00FB3F54"/>
    <w:rsid w:val="00FB42BC"/>
    <w:rsid w:val="00FB441A"/>
    <w:rsid w:val="00FB4753"/>
    <w:rsid w:val="00FB49F5"/>
    <w:rsid w:val="00FB4E02"/>
    <w:rsid w:val="00FB5D63"/>
    <w:rsid w:val="00FB5F64"/>
    <w:rsid w:val="00FB6634"/>
    <w:rsid w:val="00FB6AA1"/>
    <w:rsid w:val="00FB6AF3"/>
    <w:rsid w:val="00FB6C9F"/>
    <w:rsid w:val="00FB6D1E"/>
    <w:rsid w:val="00FB726A"/>
    <w:rsid w:val="00FB73D5"/>
    <w:rsid w:val="00FB77A3"/>
    <w:rsid w:val="00FC0A12"/>
    <w:rsid w:val="00FC0CAC"/>
    <w:rsid w:val="00FC0D44"/>
    <w:rsid w:val="00FC1026"/>
    <w:rsid w:val="00FC10C4"/>
    <w:rsid w:val="00FC180C"/>
    <w:rsid w:val="00FC1A73"/>
    <w:rsid w:val="00FC2993"/>
    <w:rsid w:val="00FC2BF8"/>
    <w:rsid w:val="00FC2C3A"/>
    <w:rsid w:val="00FC2EA6"/>
    <w:rsid w:val="00FC321B"/>
    <w:rsid w:val="00FC3261"/>
    <w:rsid w:val="00FC3300"/>
    <w:rsid w:val="00FC3A40"/>
    <w:rsid w:val="00FC3DC9"/>
    <w:rsid w:val="00FC3DD9"/>
    <w:rsid w:val="00FC44E9"/>
    <w:rsid w:val="00FC4616"/>
    <w:rsid w:val="00FC462F"/>
    <w:rsid w:val="00FC4A27"/>
    <w:rsid w:val="00FC57EE"/>
    <w:rsid w:val="00FC5947"/>
    <w:rsid w:val="00FC5CAC"/>
    <w:rsid w:val="00FC6A2D"/>
    <w:rsid w:val="00FC6C0E"/>
    <w:rsid w:val="00FC771C"/>
    <w:rsid w:val="00FC7927"/>
    <w:rsid w:val="00FD0160"/>
    <w:rsid w:val="00FD06F6"/>
    <w:rsid w:val="00FD0FBD"/>
    <w:rsid w:val="00FD11FE"/>
    <w:rsid w:val="00FD1ABE"/>
    <w:rsid w:val="00FD1DE5"/>
    <w:rsid w:val="00FD2916"/>
    <w:rsid w:val="00FD296F"/>
    <w:rsid w:val="00FD2BAD"/>
    <w:rsid w:val="00FD2BEE"/>
    <w:rsid w:val="00FD3805"/>
    <w:rsid w:val="00FD3B74"/>
    <w:rsid w:val="00FD42BE"/>
    <w:rsid w:val="00FD4853"/>
    <w:rsid w:val="00FD5032"/>
    <w:rsid w:val="00FD5145"/>
    <w:rsid w:val="00FD528A"/>
    <w:rsid w:val="00FD5B4E"/>
    <w:rsid w:val="00FD5CA0"/>
    <w:rsid w:val="00FD65DB"/>
    <w:rsid w:val="00FD687C"/>
    <w:rsid w:val="00FD6CD6"/>
    <w:rsid w:val="00FD6CF8"/>
    <w:rsid w:val="00FD733D"/>
    <w:rsid w:val="00FD7C36"/>
    <w:rsid w:val="00FE003E"/>
    <w:rsid w:val="00FE0519"/>
    <w:rsid w:val="00FE079F"/>
    <w:rsid w:val="00FE1A7E"/>
    <w:rsid w:val="00FE1E9B"/>
    <w:rsid w:val="00FE1F87"/>
    <w:rsid w:val="00FE20A9"/>
    <w:rsid w:val="00FE21FB"/>
    <w:rsid w:val="00FE2A80"/>
    <w:rsid w:val="00FE311B"/>
    <w:rsid w:val="00FE3462"/>
    <w:rsid w:val="00FE381A"/>
    <w:rsid w:val="00FE39B0"/>
    <w:rsid w:val="00FE4288"/>
    <w:rsid w:val="00FE45D1"/>
    <w:rsid w:val="00FE45E0"/>
    <w:rsid w:val="00FE4ED2"/>
    <w:rsid w:val="00FE55F5"/>
    <w:rsid w:val="00FE5613"/>
    <w:rsid w:val="00FE5AE9"/>
    <w:rsid w:val="00FE5EAA"/>
    <w:rsid w:val="00FE649E"/>
    <w:rsid w:val="00FE6737"/>
    <w:rsid w:val="00FE69CE"/>
    <w:rsid w:val="00FE6C29"/>
    <w:rsid w:val="00FE6CEB"/>
    <w:rsid w:val="00FE7522"/>
    <w:rsid w:val="00FF0681"/>
    <w:rsid w:val="00FF0B8B"/>
    <w:rsid w:val="00FF0E7D"/>
    <w:rsid w:val="00FF11A7"/>
    <w:rsid w:val="00FF168D"/>
    <w:rsid w:val="00FF1730"/>
    <w:rsid w:val="00FF17BE"/>
    <w:rsid w:val="00FF190E"/>
    <w:rsid w:val="00FF191E"/>
    <w:rsid w:val="00FF1FAC"/>
    <w:rsid w:val="00FF3265"/>
    <w:rsid w:val="00FF344A"/>
    <w:rsid w:val="00FF3FA6"/>
    <w:rsid w:val="00FF43B4"/>
    <w:rsid w:val="00FF4E1D"/>
    <w:rsid w:val="00FF4F88"/>
    <w:rsid w:val="00FF52C3"/>
    <w:rsid w:val="00FF58E4"/>
    <w:rsid w:val="00FF5AFE"/>
    <w:rsid w:val="00FF5E95"/>
    <w:rsid w:val="00FF629D"/>
    <w:rsid w:val="00FF62D5"/>
    <w:rsid w:val="00FF6DD9"/>
    <w:rsid w:val="00FF703C"/>
    <w:rsid w:val="00FF70B0"/>
    <w:rsid w:val="00FF70C5"/>
    <w:rsid w:val="00FF75CA"/>
    <w:rsid w:val="00FF7B8D"/>
    <w:rsid w:val="01142677"/>
    <w:rsid w:val="01166963"/>
    <w:rsid w:val="01413927"/>
    <w:rsid w:val="0143C747"/>
    <w:rsid w:val="015D8ED1"/>
    <w:rsid w:val="01600CE6"/>
    <w:rsid w:val="0163925B"/>
    <w:rsid w:val="01697275"/>
    <w:rsid w:val="0169C04E"/>
    <w:rsid w:val="016ECE59"/>
    <w:rsid w:val="017ECAB0"/>
    <w:rsid w:val="01838300"/>
    <w:rsid w:val="01879C80"/>
    <w:rsid w:val="0193EC5F"/>
    <w:rsid w:val="01993600"/>
    <w:rsid w:val="019CF11A"/>
    <w:rsid w:val="01AEE359"/>
    <w:rsid w:val="01B115B7"/>
    <w:rsid w:val="01B141CA"/>
    <w:rsid w:val="01B385BE"/>
    <w:rsid w:val="01BA4BA3"/>
    <w:rsid w:val="01BF26BF"/>
    <w:rsid w:val="01CAD3E3"/>
    <w:rsid w:val="01E0918C"/>
    <w:rsid w:val="01ED6DD5"/>
    <w:rsid w:val="01FC4FA3"/>
    <w:rsid w:val="020A4C6C"/>
    <w:rsid w:val="021037A2"/>
    <w:rsid w:val="0212377B"/>
    <w:rsid w:val="0215191A"/>
    <w:rsid w:val="0215AB90"/>
    <w:rsid w:val="021AF3B0"/>
    <w:rsid w:val="021DA64F"/>
    <w:rsid w:val="0225D6E1"/>
    <w:rsid w:val="0228BDD1"/>
    <w:rsid w:val="022B14B8"/>
    <w:rsid w:val="0239F3D0"/>
    <w:rsid w:val="028A70E6"/>
    <w:rsid w:val="029A4E24"/>
    <w:rsid w:val="02AC8DCF"/>
    <w:rsid w:val="02BD7F22"/>
    <w:rsid w:val="02DC4201"/>
    <w:rsid w:val="0300EE87"/>
    <w:rsid w:val="03089A09"/>
    <w:rsid w:val="0325A66E"/>
    <w:rsid w:val="032D1EB1"/>
    <w:rsid w:val="032FE551"/>
    <w:rsid w:val="03373661"/>
    <w:rsid w:val="0350DB93"/>
    <w:rsid w:val="0353D723"/>
    <w:rsid w:val="0364CA8F"/>
    <w:rsid w:val="03696536"/>
    <w:rsid w:val="0379C240"/>
    <w:rsid w:val="038C05AA"/>
    <w:rsid w:val="0394C0A3"/>
    <w:rsid w:val="039950AE"/>
    <w:rsid w:val="039C06D9"/>
    <w:rsid w:val="03A5C134"/>
    <w:rsid w:val="03A9F7F3"/>
    <w:rsid w:val="03EE92C1"/>
    <w:rsid w:val="03F9790A"/>
    <w:rsid w:val="03FAA033"/>
    <w:rsid w:val="0402C9E5"/>
    <w:rsid w:val="0403FE8F"/>
    <w:rsid w:val="04264147"/>
    <w:rsid w:val="04508DCD"/>
    <w:rsid w:val="046BD76A"/>
    <w:rsid w:val="046FAB21"/>
    <w:rsid w:val="04725A2D"/>
    <w:rsid w:val="048FB726"/>
    <w:rsid w:val="0498F7B8"/>
    <w:rsid w:val="04DD33D5"/>
    <w:rsid w:val="04ED13D7"/>
    <w:rsid w:val="04F112B7"/>
    <w:rsid w:val="050BE63A"/>
    <w:rsid w:val="051C94CE"/>
    <w:rsid w:val="053A2CB9"/>
    <w:rsid w:val="053C3AAA"/>
    <w:rsid w:val="054185BA"/>
    <w:rsid w:val="05453074"/>
    <w:rsid w:val="054CB9DC"/>
    <w:rsid w:val="054EA55D"/>
    <w:rsid w:val="0553EA0F"/>
    <w:rsid w:val="055A4C23"/>
    <w:rsid w:val="05789E6C"/>
    <w:rsid w:val="05880E21"/>
    <w:rsid w:val="059BB5AC"/>
    <w:rsid w:val="05B82BE4"/>
    <w:rsid w:val="05C5B42E"/>
    <w:rsid w:val="05CFA0DD"/>
    <w:rsid w:val="05D14D44"/>
    <w:rsid w:val="05D9138D"/>
    <w:rsid w:val="05F43A38"/>
    <w:rsid w:val="060065B6"/>
    <w:rsid w:val="060D822A"/>
    <w:rsid w:val="061E22CC"/>
    <w:rsid w:val="06209C24"/>
    <w:rsid w:val="06243150"/>
    <w:rsid w:val="0628F31F"/>
    <w:rsid w:val="062E072C"/>
    <w:rsid w:val="063CC395"/>
    <w:rsid w:val="06431A83"/>
    <w:rsid w:val="0656A153"/>
    <w:rsid w:val="0677972D"/>
    <w:rsid w:val="068283C5"/>
    <w:rsid w:val="06856F6F"/>
    <w:rsid w:val="068D1303"/>
    <w:rsid w:val="06933277"/>
    <w:rsid w:val="06994010"/>
    <w:rsid w:val="0699BB7B"/>
    <w:rsid w:val="06A41B9C"/>
    <w:rsid w:val="06B383B1"/>
    <w:rsid w:val="06B8A660"/>
    <w:rsid w:val="06E1B9FF"/>
    <w:rsid w:val="07046CF0"/>
    <w:rsid w:val="070A9E52"/>
    <w:rsid w:val="0718CC5C"/>
    <w:rsid w:val="072735BA"/>
    <w:rsid w:val="0733F680"/>
    <w:rsid w:val="075412B6"/>
    <w:rsid w:val="0754CA43"/>
    <w:rsid w:val="07563232"/>
    <w:rsid w:val="075A1348"/>
    <w:rsid w:val="077F0807"/>
    <w:rsid w:val="07801B18"/>
    <w:rsid w:val="078A7BCC"/>
    <w:rsid w:val="07913FFF"/>
    <w:rsid w:val="07A60E67"/>
    <w:rsid w:val="07CFB5FD"/>
    <w:rsid w:val="07DF4B2F"/>
    <w:rsid w:val="07E495B8"/>
    <w:rsid w:val="07E951DA"/>
    <w:rsid w:val="07F170A0"/>
    <w:rsid w:val="07F2E393"/>
    <w:rsid w:val="0800BB83"/>
    <w:rsid w:val="080146CA"/>
    <w:rsid w:val="0802DA2E"/>
    <w:rsid w:val="081D415C"/>
    <w:rsid w:val="082319CB"/>
    <w:rsid w:val="082D97DB"/>
    <w:rsid w:val="0833ED11"/>
    <w:rsid w:val="0852A854"/>
    <w:rsid w:val="085AB075"/>
    <w:rsid w:val="08602413"/>
    <w:rsid w:val="087902BA"/>
    <w:rsid w:val="0887589D"/>
    <w:rsid w:val="088D709E"/>
    <w:rsid w:val="08944646"/>
    <w:rsid w:val="089D91AC"/>
    <w:rsid w:val="089F648C"/>
    <w:rsid w:val="08AEF8DA"/>
    <w:rsid w:val="08AF0956"/>
    <w:rsid w:val="08AF1E08"/>
    <w:rsid w:val="08BEA643"/>
    <w:rsid w:val="08D9ECB2"/>
    <w:rsid w:val="08DA04D4"/>
    <w:rsid w:val="08E04BA9"/>
    <w:rsid w:val="08E407C5"/>
    <w:rsid w:val="08E48743"/>
    <w:rsid w:val="08F3C12E"/>
    <w:rsid w:val="08F9B26A"/>
    <w:rsid w:val="08FDD9D7"/>
    <w:rsid w:val="090D5C37"/>
    <w:rsid w:val="0919B0BE"/>
    <w:rsid w:val="09385065"/>
    <w:rsid w:val="09428912"/>
    <w:rsid w:val="095C0DCD"/>
    <w:rsid w:val="0968D1C3"/>
    <w:rsid w:val="09757FD3"/>
    <w:rsid w:val="09833798"/>
    <w:rsid w:val="098546FB"/>
    <w:rsid w:val="09948846"/>
    <w:rsid w:val="09952659"/>
    <w:rsid w:val="099D0533"/>
    <w:rsid w:val="099D8EB4"/>
    <w:rsid w:val="09D21EA0"/>
    <w:rsid w:val="09DF575D"/>
    <w:rsid w:val="09E43C16"/>
    <w:rsid w:val="09E8B325"/>
    <w:rsid w:val="09F6F6BB"/>
    <w:rsid w:val="0A13C9AA"/>
    <w:rsid w:val="0A18131A"/>
    <w:rsid w:val="0A1852F1"/>
    <w:rsid w:val="0A2A5709"/>
    <w:rsid w:val="0A2BBECC"/>
    <w:rsid w:val="0A36BA2D"/>
    <w:rsid w:val="0A3CB042"/>
    <w:rsid w:val="0A3FD3A6"/>
    <w:rsid w:val="0A702AEC"/>
    <w:rsid w:val="0A71FBB3"/>
    <w:rsid w:val="0A7E0219"/>
    <w:rsid w:val="0A8074A2"/>
    <w:rsid w:val="0A87F717"/>
    <w:rsid w:val="0A88960F"/>
    <w:rsid w:val="0A889DE1"/>
    <w:rsid w:val="0A898823"/>
    <w:rsid w:val="0A912893"/>
    <w:rsid w:val="0A92F714"/>
    <w:rsid w:val="0A9661C0"/>
    <w:rsid w:val="0AA23F91"/>
    <w:rsid w:val="0AB5CF6F"/>
    <w:rsid w:val="0AEB3002"/>
    <w:rsid w:val="0AF97370"/>
    <w:rsid w:val="0B042118"/>
    <w:rsid w:val="0B05C297"/>
    <w:rsid w:val="0B13AA38"/>
    <w:rsid w:val="0B13EDF2"/>
    <w:rsid w:val="0B2F71C1"/>
    <w:rsid w:val="0B33A09B"/>
    <w:rsid w:val="0B3663E3"/>
    <w:rsid w:val="0B3C2819"/>
    <w:rsid w:val="0B503FBC"/>
    <w:rsid w:val="0B530B06"/>
    <w:rsid w:val="0B5B2E8A"/>
    <w:rsid w:val="0B6188AD"/>
    <w:rsid w:val="0B6C70B3"/>
    <w:rsid w:val="0B75B22A"/>
    <w:rsid w:val="0B77ED8C"/>
    <w:rsid w:val="0BA19645"/>
    <w:rsid w:val="0BB0193E"/>
    <w:rsid w:val="0BBC8DD6"/>
    <w:rsid w:val="0BC04627"/>
    <w:rsid w:val="0BC4D3B4"/>
    <w:rsid w:val="0BC5DF93"/>
    <w:rsid w:val="0BCEF79D"/>
    <w:rsid w:val="0BE5B9E2"/>
    <w:rsid w:val="0BF18F36"/>
    <w:rsid w:val="0BF7E628"/>
    <w:rsid w:val="0C35FDCF"/>
    <w:rsid w:val="0C5E8CB5"/>
    <w:rsid w:val="0C6996B5"/>
    <w:rsid w:val="0C6EEAB1"/>
    <w:rsid w:val="0C8350D3"/>
    <w:rsid w:val="0C84DC1A"/>
    <w:rsid w:val="0CB2A485"/>
    <w:rsid w:val="0CB58DC0"/>
    <w:rsid w:val="0CD0A5AC"/>
    <w:rsid w:val="0CD3C26C"/>
    <w:rsid w:val="0CE1F0E2"/>
    <w:rsid w:val="0CE45811"/>
    <w:rsid w:val="0CEA8917"/>
    <w:rsid w:val="0CED58B9"/>
    <w:rsid w:val="0D045ABF"/>
    <w:rsid w:val="0D0A2A17"/>
    <w:rsid w:val="0D0E06F1"/>
    <w:rsid w:val="0D0F32DA"/>
    <w:rsid w:val="0D116F2C"/>
    <w:rsid w:val="0D270E3F"/>
    <w:rsid w:val="0D34144C"/>
    <w:rsid w:val="0D36EFD8"/>
    <w:rsid w:val="0D499147"/>
    <w:rsid w:val="0D5961CC"/>
    <w:rsid w:val="0D60AB76"/>
    <w:rsid w:val="0D6273DC"/>
    <w:rsid w:val="0D6AC7FE"/>
    <w:rsid w:val="0D6D9DA1"/>
    <w:rsid w:val="0D70981F"/>
    <w:rsid w:val="0D73E87B"/>
    <w:rsid w:val="0D8797CA"/>
    <w:rsid w:val="0D88189D"/>
    <w:rsid w:val="0DADF72A"/>
    <w:rsid w:val="0DB6E76F"/>
    <w:rsid w:val="0DC98DA4"/>
    <w:rsid w:val="0DDD606D"/>
    <w:rsid w:val="0E05E61B"/>
    <w:rsid w:val="0E138D09"/>
    <w:rsid w:val="0E18C83A"/>
    <w:rsid w:val="0E198CF9"/>
    <w:rsid w:val="0E23E905"/>
    <w:rsid w:val="0E53A26A"/>
    <w:rsid w:val="0E578ABF"/>
    <w:rsid w:val="0E6C13D5"/>
    <w:rsid w:val="0E74072E"/>
    <w:rsid w:val="0E7957DA"/>
    <w:rsid w:val="0E7C69E0"/>
    <w:rsid w:val="0E7CE69B"/>
    <w:rsid w:val="0E8E02E3"/>
    <w:rsid w:val="0EC146D9"/>
    <w:rsid w:val="0ED91424"/>
    <w:rsid w:val="0EEEE029"/>
    <w:rsid w:val="0EFD92F9"/>
    <w:rsid w:val="0F02227A"/>
    <w:rsid w:val="0F05B878"/>
    <w:rsid w:val="0F096901"/>
    <w:rsid w:val="0F10A4E3"/>
    <w:rsid w:val="0F1D8297"/>
    <w:rsid w:val="0F264259"/>
    <w:rsid w:val="0F3DD9A3"/>
    <w:rsid w:val="0F453628"/>
    <w:rsid w:val="0F49CA7A"/>
    <w:rsid w:val="0F691861"/>
    <w:rsid w:val="0F8A7534"/>
    <w:rsid w:val="0F9284F6"/>
    <w:rsid w:val="0FA4F161"/>
    <w:rsid w:val="0FA68B73"/>
    <w:rsid w:val="0FBA0DF3"/>
    <w:rsid w:val="0FCF5A9D"/>
    <w:rsid w:val="0FCFC648"/>
    <w:rsid w:val="0FE1060A"/>
    <w:rsid w:val="0FE6F9A7"/>
    <w:rsid w:val="0FF02DB9"/>
    <w:rsid w:val="0FFE45F2"/>
    <w:rsid w:val="100EADC0"/>
    <w:rsid w:val="1032E935"/>
    <w:rsid w:val="103E8D1B"/>
    <w:rsid w:val="10457E98"/>
    <w:rsid w:val="1051D0BD"/>
    <w:rsid w:val="1057396F"/>
    <w:rsid w:val="1077DA31"/>
    <w:rsid w:val="107D681B"/>
    <w:rsid w:val="108CBEFB"/>
    <w:rsid w:val="1096B289"/>
    <w:rsid w:val="10A0D529"/>
    <w:rsid w:val="10A2DD0B"/>
    <w:rsid w:val="10A9F11A"/>
    <w:rsid w:val="10ACE7F0"/>
    <w:rsid w:val="10AE9223"/>
    <w:rsid w:val="10C33C72"/>
    <w:rsid w:val="10C9E56B"/>
    <w:rsid w:val="10D39643"/>
    <w:rsid w:val="10DACABD"/>
    <w:rsid w:val="10E630BF"/>
    <w:rsid w:val="10F1F88D"/>
    <w:rsid w:val="1105B458"/>
    <w:rsid w:val="1121F05C"/>
    <w:rsid w:val="113E9D71"/>
    <w:rsid w:val="1141FC6F"/>
    <w:rsid w:val="116D5AE2"/>
    <w:rsid w:val="118D6C33"/>
    <w:rsid w:val="118E4CE6"/>
    <w:rsid w:val="119947C7"/>
    <w:rsid w:val="11ACB00A"/>
    <w:rsid w:val="11BEF09D"/>
    <w:rsid w:val="11C8FDBD"/>
    <w:rsid w:val="11C982D1"/>
    <w:rsid w:val="11DCC93D"/>
    <w:rsid w:val="11E864BC"/>
    <w:rsid w:val="11F82FBF"/>
    <w:rsid w:val="1202AD0E"/>
    <w:rsid w:val="121A52CC"/>
    <w:rsid w:val="122BB35A"/>
    <w:rsid w:val="122F52B2"/>
    <w:rsid w:val="1238B1E7"/>
    <w:rsid w:val="12492FB8"/>
    <w:rsid w:val="125D6C4C"/>
    <w:rsid w:val="126B3ECC"/>
    <w:rsid w:val="1285CABA"/>
    <w:rsid w:val="12860784"/>
    <w:rsid w:val="1290791C"/>
    <w:rsid w:val="1292C5D5"/>
    <w:rsid w:val="12936BF7"/>
    <w:rsid w:val="1297B41D"/>
    <w:rsid w:val="129D4F5E"/>
    <w:rsid w:val="12A31C67"/>
    <w:rsid w:val="12A40CB8"/>
    <w:rsid w:val="12B807BB"/>
    <w:rsid w:val="12B9D99D"/>
    <w:rsid w:val="12D4BE26"/>
    <w:rsid w:val="12D5C545"/>
    <w:rsid w:val="12E14AA0"/>
    <w:rsid w:val="131F924D"/>
    <w:rsid w:val="132516BB"/>
    <w:rsid w:val="13390ABB"/>
    <w:rsid w:val="133C9BC3"/>
    <w:rsid w:val="1369008B"/>
    <w:rsid w:val="136BDBE0"/>
    <w:rsid w:val="136DA33E"/>
    <w:rsid w:val="136DA781"/>
    <w:rsid w:val="1370A6E5"/>
    <w:rsid w:val="137230D4"/>
    <w:rsid w:val="138639A3"/>
    <w:rsid w:val="138B581E"/>
    <w:rsid w:val="139AB53D"/>
    <w:rsid w:val="13A91A00"/>
    <w:rsid w:val="13BFE428"/>
    <w:rsid w:val="13D231FD"/>
    <w:rsid w:val="13F34DAD"/>
    <w:rsid w:val="13F387BB"/>
    <w:rsid w:val="1407C14B"/>
    <w:rsid w:val="1422A512"/>
    <w:rsid w:val="143F9CB2"/>
    <w:rsid w:val="1459B91F"/>
    <w:rsid w:val="1467B45B"/>
    <w:rsid w:val="148A9F25"/>
    <w:rsid w:val="14A1A7DB"/>
    <w:rsid w:val="14A9770D"/>
    <w:rsid w:val="14AC2E08"/>
    <w:rsid w:val="14BA0DD2"/>
    <w:rsid w:val="14CB4313"/>
    <w:rsid w:val="14D844F5"/>
    <w:rsid w:val="14E8D8CB"/>
    <w:rsid w:val="14FB864E"/>
    <w:rsid w:val="1502EE98"/>
    <w:rsid w:val="1520086C"/>
    <w:rsid w:val="15220A04"/>
    <w:rsid w:val="152BEE5B"/>
    <w:rsid w:val="152EB8F8"/>
    <w:rsid w:val="153B6D66"/>
    <w:rsid w:val="153D81F6"/>
    <w:rsid w:val="1545AF24"/>
    <w:rsid w:val="15498959"/>
    <w:rsid w:val="155727DC"/>
    <w:rsid w:val="1558369E"/>
    <w:rsid w:val="155B1EB8"/>
    <w:rsid w:val="155E32F9"/>
    <w:rsid w:val="157159BB"/>
    <w:rsid w:val="15820ADA"/>
    <w:rsid w:val="15846A4A"/>
    <w:rsid w:val="159221E7"/>
    <w:rsid w:val="159DBF83"/>
    <w:rsid w:val="159E71E7"/>
    <w:rsid w:val="15C65050"/>
    <w:rsid w:val="15D33D2E"/>
    <w:rsid w:val="15D40231"/>
    <w:rsid w:val="15D82223"/>
    <w:rsid w:val="15EDA6D8"/>
    <w:rsid w:val="15F05AB2"/>
    <w:rsid w:val="15F818B2"/>
    <w:rsid w:val="1613E707"/>
    <w:rsid w:val="161E498C"/>
    <w:rsid w:val="163264AD"/>
    <w:rsid w:val="1645FA80"/>
    <w:rsid w:val="16505119"/>
    <w:rsid w:val="165648B6"/>
    <w:rsid w:val="16AD22E5"/>
    <w:rsid w:val="16B99C05"/>
    <w:rsid w:val="16CEF1D1"/>
    <w:rsid w:val="170082FA"/>
    <w:rsid w:val="17024CAF"/>
    <w:rsid w:val="170C4E56"/>
    <w:rsid w:val="1717154D"/>
    <w:rsid w:val="1723655E"/>
    <w:rsid w:val="173115D4"/>
    <w:rsid w:val="17340D19"/>
    <w:rsid w:val="175A45D4"/>
    <w:rsid w:val="17618C35"/>
    <w:rsid w:val="17691419"/>
    <w:rsid w:val="17698BB0"/>
    <w:rsid w:val="177198E8"/>
    <w:rsid w:val="17808FDC"/>
    <w:rsid w:val="1793A004"/>
    <w:rsid w:val="179D6D34"/>
    <w:rsid w:val="179F4976"/>
    <w:rsid w:val="17B47C76"/>
    <w:rsid w:val="17B8FE14"/>
    <w:rsid w:val="17DB3D5A"/>
    <w:rsid w:val="18005FC3"/>
    <w:rsid w:val="1805B8F2"/>
    <w:rsid w:val="18144746"/>
    <w:rsid w:val="1814EF54"/>
    <w:rsid w:val="181B1308"/>
    <w:rsid w:val="18230636"/>
    <w:rsid w:val="1823DF68"/>
    <w:rsid w:val="18335522"/>
    <w:rsid w:val="1838CF0F"/>
    <w:rsid w:val="18412706"/>
    <w:rsid w:val="184251AA"/>
    <w:rsid w:val="1861C1D9"/>
    <w:rsid w:val="18A00C4F"/>
    <w:rsid w:val="18AF9BCF"/>
    <w:rsid w:val="18B82ED7"/>
    <w:rsid w:val="18B88B65"/>
    <w:rsid w:val="18C44822"/>
    <w:rsid w:val="18C45899"/>
    <w:rsid w:val="18DD3893"/>
    <w:rsid w:val="18E9D750"/>
    <w:rsid w:val="18F2A8AF"/>
    <w:rsid w:val="18F786BE"/>
    <w:rsid w:val="1901871B"/>
    <w:rsid w:val="1903F3A6"/>
    <w:rsid w:val="191EF1B4"/>
    <w:rsid w:val="1939DE34"/>
    <w:rsid w:val="1946E347"/>
    <w:rsid w:val="1957769E"/>
    <w:rsid w:val="1959BFB6"/>
    <w:rsid w:val="1974DA80"/>
    <w:rsid w:val="1983E9D3"/>
    <w:rsid w:val="19916F87"/>
    <w:rsid w:val="19991D17"/>
    <w:rsid w:val="19ABB516"/>
    <w:rsid w:val="19C88F36"/>
    <w:rsid w:val="19CC3C5B"/>
    <w:rsid w:val="19CDC571"/>
    <w:rsid w:val="19D75F5C"/>
    <w:rsid w:val="19E58D75"/>
    <w:rsid w:val="19F57B27"/>
    <w:rsid w:val="19F8264A"/>
    <w:rsid w:val="1A04EDB4"/>
    <w:rsid w:val="1A091408"/>
    <w:rsid w:val="1A120CBF"/>
    <w:rsid w:val="1A1E326E"/>
    <w:rsid w:val="1A2B4D07"/>
    <w:rsid w:val="1A3F8A11"/>
    <w:rsid w:val="1A439D3E"/>
    <w:rsid w:val="1A6A1A01"/>
    <w:rsid w:val="1A787CB6"/>
    <w:rsid w:val="1A7DDC6C"/>
    <w:rsid w:val="1A7DE00F"/>
    <w:rsid w:val="1A80F1BE"/>
    <w:rsid w:val="1A8F3FA3"/>
    <w:rsid w:val="1A9B811C"/>
    <w:rsid w:val="1AB0DE04"/>
    <w:rsid w:val="1ABAC0F5"/>
    <w:rsid w:val="1AD83221"/>
    <w:rsid w:val="1AD8E180"/>
    <w:rsid w:val="1AE3CC28"/>
    <w:rsid w:val="1AF15EA3"/>
    <w:rsid w:val="1AF3F3BD"/>
    <w:rsid w:val="1AF7F214"/>
    <w:rsid w:val="1AFE775E"/>
    <w:rsid w:val="1B078F55"/>
    <w:rsid w:val="1B158B87"/>
    <w:rsid w:val="1B238DB3"/>
    <w:rsid w:val="1B458C7A"/>
    <w:rsid w:val="1B461560"/>
    <w:rsid w:val="1B474278"/>
    <w:rsid w:val="1B53905F"/>
    <w:rsid w:val="1B5AE32D"/>
    <w:rsid w:val="1B5E8031"/>
    <w:rsid w:val="1B646FE8"/>
    <w:rsid w:val="1B6EAF09"/>
    <w:rsid w:val="1B7A8973"/>
    <w:rsid w:val="1B822831"/>
    <w:rsid w:val="1B933DEA"/>
    <w:rsid w:val="1BA68272"/>
    <w:rsid w:val="1BB20E44"/>
    <w:rsid w:val="1BCA0C04"/>
    <w:rsid w:val="1BE3A0C6"/>
    <w:rsid w:val="1BF68FA2"/>
    <w:rsid w:val="1C1FDBBB"/>
    <w:rsid w:val="1C250241"/>
    <w:rsid w:val="1C3F1DCB"/>
    <w:rsid w:val="1C77EC13"/>
    <w:rsid w:val="1C80A345"/>
    <w:rsid w:val="1C98F49F"/>
    <w:rsid w:val="1CA3252B"/>
    <w:rsid w:val="1CA9338C"/>
    <w:rsid w:val="1CAC6C33"/>
    <w:rsid w:val="1CB016A3"/>
    <w:rsid w:val="1CB31457"/>
    <w:rsid w:val="1CBE83D5"/>
    <w:rsid w:val="1CC67493"/>
    <w:rsid w:val="1CC9E129"/>
    <w:rsid w:val="1CD2A43B"/>
    <w:rsid w:val="1CD83CBA"/>
    <w:rsid w:val="1CE80A18"/>
    <w:rsid w:val="1CF02520"/>
    <w:rsid w:val="1D03C34B"/>
    <w:rsid w:val="1D17274A"/>
    <w:rsid w:val="1D2F4FD1"/>
    <w:rsid w:val="1D31CF3D"/>
    <w:rsid w:val="1D895847"/>
    <w:rsid w:val="1D942190"/>
    <w:rsid w:val="1D9A81EB"/>
    <w:rsid w:val="1DA87D08"/>
    <w:rsid w:val="1DB21D29"/>
    <w:rsid w:val="1DB6B223"/>
    <w:rsid w:val="1DCF9B9C"/>
    <w:rsid w:val="1DD03021"/>
    <w:rsid w:val="1DED6E1E"/>
    <w:rsid w:val="1E0468B8"/>
    <w:rsid w:val="1E0A3DAC"/>
    <w:rsid w:val="1E18C1DE"/>
    <w:rsid w:val="1E3399A9"/>
    <w:rsid w:val="1E4517FB"/>
    <w:rsid w:val="1E4C029F"/>
    <w:rsid w:val="1E6C124A"/>
    <w:rsid w:val="1E7D90ED"/>
    <w:rsid w:val="1E81A678"/>
    <w:rsid w:val="1E84B9A1"/>
    <w:rsid w:val="1EB2E762"/>
    <w:rsid w:val="1EC3FDCA"/>
    <w:rsid w:val="1ED2B117"/>
    <w:rsid w:val="1EED28D0"/>
    <w:rsid w:val="1F067044"/>
    <w:rsid w:val="1F081AA9"/>
    <w:rsid w:val="1F0BFA38"/>
    <w:rsid w:val="1F291880"/>
    <w:rsid w:val="1F38E563"/>
    <w:rsid w:val="1F428239"/>
    <w:rsid w:val="1F4A8D3D"/>
    <w:rsid w:val="1F5607E7"/>
    <w:rsid w:val="1F68B443"/>
    <w:rsid w:val="1F6ED944"/>
    <w:rsid w:val="1F91076E"/>
    <w:rsid w:val="1FCA1161"/>
    <w:rsid w:val="1FD2430A"/>
    <w:rsid w:val="1FDFF7E9"/>
    <w:rsid w:val="1FE79A00"/>
    <w:rsid w:val="1FF4485D"/>
    <w:rsid w:val="2001E752"/>
    <w:rsid w:val="20049019"/>
    <w:rsid w:val="20304D8C"/>
    <w:rsid w:val="203D864D"/>
    <w:rsid w:val="2041F6D6"/>
    <w:rsid w:val="20526B6D"/>
    <w:rsid w:val="2054B0A2"/>
    <w:rsid w:val="2061CCA0"/>
    <w:rsid w:val="2077FB1E"/>
    <w:rsid w:val="2091F5D7"/>
    <w:rsid w:val="2097235A"/>
    <w:rsid w:val="2098C704"/>
    <w:rsid w:val="209CE2AB"/>
    <w:rsid w:val="209D2718"/>
    <w:rsid w:val="20AFDDF3"/>
    <w:rsid w:val="20B47286"/>
    <w:rsid w:val="20DD800A"/>
    <w:rsid w:val="20DDF1CE"/>
    <w:rsid w:val="20E0C9F4"/>
    <w:rsid w:val="20E382E2"/>
    <w:rsid w:val="20FF505C"/>
    <w:rsid w:val="21038D69"/>
    <w:rsid w:val="210DE0CE"/>
    <w:rsid w:val="21297AEA"/>
    <w:rsid w:val="2133F4DE"/>
    <w:rsid w:val="2135E234"/>
    <w:rsid w:val="217D2D64"/>
    <w:rsid w:val="218588B0"/>
    <w:rsid w:val="218EFDE1"/>
    <w:rsid w:val="21932720"/>
    <w:rsid w:val="219F90C6"/>
    <w:rsid w:val="21B02B2D"/>
    <w:rsid w:val="21C974CE"/>
    <w:rsid w:val="21CA2819"/>
    <w:rsid w:val="21CFFB7E"/>
    <w:rsid w:val="21D04710"/>
    <w:rsid w:val="22190674"/>
    <w:rsid w:val="2219800E"/>
    <w:rsid w:val="221D1F42"/>
    <w:rsid w:val="221DB64A"/>
    <w:rsid w:val="22289E60"/>
    <w:rsid w:val="223A64AD"/>
    <w:rsid w:val="223A8E29"/>
    <w:rsid w:val="223B71A3"/>
    <w:rsid w:val="22454A4A"/>
    <w:rsid w:val="2249EBF5"/>
    <w:rsid w:val="225C273A"/>
    <w:rsid w:val="22687B68"/>
    <w:rsid w:val="228DB426"/>
    <w:rsid w:val="22B021B2"/>
    <w:rsid w:val="22BF9609"/>
    <w:rsid w:val="22C3DEBC"/>
    <w:rsid w:val="22C5441E"/>
    <w:rsid w:val="22E9C82B"/>
    <w:rsid w:val="22F97F45"/>
    <w:rsid w:val="230B287F"/>
    <w:rsid w:val="2312976C"/>
    <w:rsid w:val="231B92AA"/>
    <w:rsid w:val="231FC5B7"/>
    <w:rsid w:val="234AE324"/>
    <w:rsid w:val="235CE1A4"/>
    <w:rsid w:val="23666B68"/>
    <w:rsid w:val="236703AD"/>
    <w:rsid w:val="2373105E"/>
    <w:rsid w:val="237B61E8"/>
    <w:rsid w:val="238B16DD"/>
    <w:rsid w:val="23943A7A"/>
    <w:rsid w:val="23C9A673"/>
    <w:rsid w:val="23D5CE16"/>
    <w:rsid w:val="23F2C895"/>
    <w:rsid w:val="23F81AD2"/>
    <w:rsid w:val="24003C76"/>
    <w:rsid w:val="240E0BB2"/>
    <w:rsid w:val="2422E530"/>
    <w:rsid w:val="24256B93"/>
    <w:rsid w:val="244B6386"/>
    <w:rsid w:val="2455D55F"/>
    <w:rsid w:val="24669B69"/>
    <w:rsid w:val="248C8237"/>
    <w:rsid w:val="24B2626C"/>
    <w:rsid w:val="24B6C518"/>
    <w:rsid w:val="24C590E0"/>
    <w:rsid w:val="250531FC"/>
    <w:rsid w:val="25065F6B"/>
    <w:rsid w:val="250DFCD4"/>
    <w:rsid w:val="251E6879"/>
    <w:rsid w:val="251F8D19"/>
    <w:rsid w:val="252A9360"/>
    <w:rsid w:val="252D47E4"/>
    <w:rsid w:val="252DE2A1"/>
    <w:rsid w:val="253E306B"/>
    <w:rsid w:val="254C2122"/>
    <w:rsid w:val="256EAB5F"/>
    <w:rsid w:val="2580A921"/>
    <w:rsid w:val="25A01C2A"/>
    <w:rsid w:val="25A4645D"/>
    <w:rsid w:val="25ADB32C"/>
    <w:rsid w:val="25AFAE21"/>
    <w:rsid w:val="25C02370"/>
    <w:rsid w:val="25DD1E65"/>
    <w:rsid w:val="25E5032F"/>
    <w:rsid w:val="25FEA261"/>
    <w:rsid w:val="26050919"/>
    <w:rsid w:val="260ED2D3"/>
    <w:rsid w:val="2618D638"/>
    <w:rsid w:val="261B0E5F"/>
    <w:rsid w:val="261D5E29"/>
    <w:rsid w:val="2633903F"/>
    <w:rsid w:val="263C68EE"/>
    <w:rsid w:val="2661F0D1"/>
    <w:rsid w:val="2663ADDA"/>
    <w:rsid w:val="2676B381"/>
    <w:rsid w:val="26862A53"/>
    <w:rsid w:val="2688373D"/>
    <w:rsid w:val="2689749C"/>
    <w:rsid w:val="268F282D"/>
    <w:rsid w:val="26A1D65F"/>
    <w:rsid w:val="26A73172"/>
    <w:rsid w:val="26AAC58B"/>
    <w:rsid w:val="26ACCC8B"/>
    <w:rsid w:val="26B16B60"/>
    <w:rsid w:val="26B8FAEF"/>
    <w:rsid w:val="26D28230"/>
    <w:rsid w:val="26E7320C"/>
    <w:rsid w:val="26F3007E"/>
    <w:rsid w:val="2703BA32"/>
    <w:rsid w:val="272E27FD"/>
    <w:rsid w:val="273192DA"/>
    <w:rsid w:val="27468D54"/>
    <w:rsid w:val="274BF8FB"/>
    <w:rsid w:val="275C4010"/>
    <w:rsid w:val="27661EAD"/>
    <w:rsid w:val="2768B1E9"/>
    <w:rsid w:val="276CC9F8"/>
    <w:rsid w:val="276DCE00"/>
    <w:rsid w:val="277F62E1"/>
    <w:rsid w:val="27843BCE"/>
    <w:rsid w:val="2784882F"/>
    <w:rsid w:val="27A775DB"/>
    <w:rsid w:val="27AAF995"/>
    <w:rsid w:val="27AB487E"/>
    <w:rsid w:val="27D82B2D"/>
    <w:rsid w:val="27DC44E5"/>
    <w:rsid w:val="27E72696"/>
    <w:rsid w:val="28063626"/>
    <w:rsid w:val="28217425"/>
    <w:rsid w:val="2826F4A2"/>
    <w:rsid w:val="282CA49A"/>
    <w:rsid w:val="282CA711"/>
    <w:rsid w:val="2843F021"/>
    <w:rsid w:val="2858E993"/>
    <w:rsid w:val="285ADEF2"/>
    <w:rsid w:val="287051F4"/>
    <w:rsid w:val="287593EB"/>
    <w:rsid w:val="28856481"/>
    <w:rsid w:val="28A297BB"/>
    <w:rsid w:val="28AED431"/>
    <w:rsid w:val="28CA598C"/>
    <w:rsid w:val="28CACEC3"/>
    <w:rsid w:val="28D16386"/>
    <w:rsid w:val="28E21CCA"/>
    <w:rsid w:val="28FEB6FA"/>
    <w:rsid w:val="2901B1E0"/>
    <w:rsid w:val="2904101C"/>
    <w:rsid w:val="2915DC4F"/>
    <w:rsid w:val="29253E19"/>
    <w:rsid w:val="292D03A3"/>
    <w:rsid w:val="292F0DFB"/>
    <w:rsid w:val="2946E4C0"/>
    <w:rsid w:val="294A7526"/>
    <w:rsid w:val="294AF5B7"/>
    <w:rsid w:val="294F00E5"/>
    <w:rsid w:val="29538B99"/>
    <w:rsid w:val="29553C4F"/>
    <w:rsid w:val="2955BBC6"/>
    <w:rsid w:val="29874FB6"/>
    <w:rsid w:val="29C0FA8D"/>
    <w:rsid w:val="29C15C23"/>
    <w:rsid w:val="29E0E7EB"/>
    <w:rsid w:val="29ED1238"/>
    <w:rsid w:val="29F17DE4"/>
    <w:rsid w:val="29FA2112"/>
    <w:rsid w:val="2A0BD5DF"/>
    <w:rsid w:val="2A231D18"/>
    <w:rsid w:val="2A27C6DA"/>
    <w:rsid w:val="2A2E9388"/>
    <w:rsid w:val="2A2EDEE8"/>
    <w:rsid w:val="2A39B367"/>
    <w:rsid w:val="2A4BF6CB"/>
    <w:rsid w:val="2A6A6090"/>
    <w:rsid w:val="2A77721A"/>
    <w:rsid w:val="2A89CD7E"/>
    <w:rsid w:val="2A98BDDF"/>
    <w:rsid w:val="2A998B23"/>
    <w:rsid w:val="2A9D8EAA"/>
    <w:rsid w:val="2AA2E896"/>
    <w:rsid w:val="2AB6B98F"/>
    <w:rsid w:val="2AC6BFA9"/>
    <w:rsid w:val="2ACC93BC"/>
    <w:rsid w:val="2ACEAAFE"/>
    <w:rsid w:val="2ADB269B"/>
    <w:rsid w:val="2AE0DFD9"/>
    <w:rsid w:val="2AED779E"/>
    <w:rsid w:val="2AF30079"/>
    <w:rsid w:val="2AFD0B77"/>
    <w:rsid w:val="2AFD90D2"/>
    <w:rsid w:val="2AFFA5C8"/>
    <w:rsid w:val="2B0F7AD7"/>
    <w:rsid w:val="2B0F8BA6"/>
    <w:rsid w:val="2B13CCED"/>
    <w:rsid w:val="2B41A78D"/>
    <w:rsid w:val="2B5D0E6B"/>
    <w:rsid w:val="2B7DED4B"/>
    <w:rsid w:val="2B811902"/>
    <w:rsid w:val="2B87AF6B"/>
    <w:rsid w:val="2B9C8968"/>
    <w:rsid w:val="2B9D3063"/>
    <w:rsid w:val="2B9F91D1"/>
    <w:rsid w:val="2BA37AE3"/>
    <w:rsid w:val="2BE7A167"/>
    <w:rsid w:val="2BF92D5E"/>
    <w:rsid w:val="2BFF4BA1"/>
    <w:rsid w:val="2C266C5F"/>
    <w:rsid w:val="2C26C56E"/>
    <w:rsid w:val="2C2B41A5"/>
    <w:rsid w:val="2C331B2B"/>
    <w:rsid w:val="2C3F1D31"/>
    <w:rsid w:val="2C580790"/>
    <w:rsid w:val="2C62900A"/>
    <w:rsid w:val="2C760493"/>
    <w:rsid w:val="2C8A0110"/>
    <w:rsid w:val="2CAE5BE4"/>
    <w:rsid w:val="2CC61577"/>
    <w:rsid w:val="2CC69FDD"/>
    <w:rsid w:val="2CD4388F"/>
    <w:rsid w:val="2CEC2A57"/>
    <w:rsid w:val="2CF1527D"/>
    <w:rsid w:val="2CF835E5"/>
    <w:rsid w:val="2D126AE3"/>
    <w:rsid w:val="2D12A3A9"/>
    <w:rsid w:val="2D2364CA"/>
    <w:rsid w:val="2D25F8DD"/>
    <w:rsid w:val="2D27721A"/>
    <w:rsid w:val="2D29092E"/>
    <w:rsid w:val="2D2B2D9D"/>
    <w:rsid w:val="2D2D9A78"/>
    <w:rsid w:val="2D448444"/>
    <w:rsid w:val="2D646F6F"/>
    <w:rsid w:val="2D65EE85"/>
    <w:rsid w:val="2D700ED4"/>
    <w:rsid w:val="2D72A160"/>
    <w:rsid w:val="2D782A29"/>
    <w:rsid w:val="2D79953A"/>
    <w:rsid w:val="2D88B428"/>
    <w:rsid w:val="2D90248F"/>
    <w:rsid w:val="2DADE453"/>
    <w:rsid w:val="2DB4EAFD"/>
    <w:rsid w:val="2DBC6E99"/>
    <w:rsid w:val="2DBCC679"/>
    <w:rsid w:val="2DBCEC37"/>
    <w:rsid w:val="2DCAD89E"/>
    <w:rsid w:val="2DE99A45"/>
    <w:rsid w:val="2DF5DA37"/>
    <w:rsid w:val="2E01C275"/>
    <w:rsid w:val="2E05F76F"/>
    <w:rsid w:val="2E072855"/>
    <w:rsid w:val="2E19B997"/>
    <w:rsid w:val="2E34F680"/>
    <w:rsid w:val="2E506B3F"/>
    <w:rsid w:val="2E5636EF"/>
    <w:rsid w:val="2E5CD8EF"/>
    <w:rsid w:val="2E5D1256"/>
    <w:rsid w:val="2E5EF096"/>
    <w:rsid w:val="2E6B37E7"/>
    <w:rsid w:val="2E6BB750"/>
    <w:rsid w:val="2E701691"/>
    <w:rsid w:val="2E7825D0"/>
    <w:rsid w:val="2E8393F4"/>
    <w:rsid w:val="2E8957E4"/>
    <w:rsid w:val="2EA7A7EA"/>
    <w:rsid w:val="2EAF1434"/>
    <w:rsid w:val="2EB23435"/>
    <w:rsid w:val="2EBB01CD"/>
    <w:rsid w:val="2EBFA93E"/>
    <w:rsid w:val="2EC564BA"/>
    <w:rsid w:val="2EF2AE22"/>
    <w:rsid w:val="2F0140A2"/>
    <w:rsid w:val="2F0184C4"/>
    <w:rsid w:val="2F1922ED"/>
    <w:rsid w:val="2F1A652A"/>
    <w:rsid w:val="2F2DD613"/>
    <w:rsid w:val="2F3B7FEC"/>
    <w:rsid w:val="2F4E3766"/>
    <w:rsid w:val="2F530354"/>
    <w:rsid w:val="2F77DD51"/>
    <w:rsid w:val="2F8B639D"/>
    <w:rsid w:val="2F8C5DB6"/>
    <w:rsid w:val="2F9EDD3A"/>
    <w:rsid w:val="2F9FBA75"/>
    <w:rsid w:val="2FA03E2F"/>
    <w:rsid w:val="2FA37F88"/>
    <w:rsid w:val="2FAF1748"/>
    <w:rsid w:val="2FBF75EE"/>
    <w:rsid w:val="2FC93F9E"/>
    <w:rsid w:val="2FC97901"/>
    <w:rsid w:val="2FCF1C4A"/>
    <w:rsid w:val="2FEC96F9"/>
    <w:rsid w:val="2FECD062"/>
    <w:rsid w:val="2FF05BD0"/>
    <w:rsid w:val="2FF5B8EF"/>
    <w:rsid w:val="2FF6A198"/>
    <w:rsid w:val="3000423C"/>
    <w:rsid w:val="30312F28"/>
    <w:rsid w:val="30810CD5"/>
    <w:rsid w:val="30842C90"/>
    <w:rsid w:val="308A6A32"/>
    <w:rsid w:val="309310D0"/>
    <w:rsid w:val="309B85F4"/>
    <w:rsid w:val="30A60745"/>
    <w:rsid w:val="30B82340"/>
    <w:rsid w:val="30BFFA9D"/>
    <w:rsid w:val="30C0414A"/>
    <w:rsid w:val="30C6A79A"/>
    <w:rsid w:val="30CADB67"/>
    <w:rsid w:val="30F23B1C"/>
    <w:rsid w:val="30F8A61C"/>
    <w:rsid w:val="30F9523C"/>
    <w:rsid w:val="31050716"/>
    <w:rsid w:val="310A4FE6"/>
    <w:rsid w:val="3117F8C8"/>
    <w:rsid w:val="3135AC35"/>
    <w:rsid w:val="3137A5DA"/>
    <w:rsid w:val="3142C5AC"/>
    <w:rsid w:val="3143BDC8"/>
    <w:rsid w:val="314FF7BE"/>
    <w:rsid w:val="315F6F54"/>
    <w:rsid w:val="3167BC86"/>
    <w:rsid w:val="316D796C"/>
    <w:rsid w:val="31937A69"/>
    <w:rsid w:val="319A07F7"/>
    <w:rsid w:val="319C129D"/>
    <w:rsid w:val="31A60C6C"/>
    <w:rsid w:val="31A7BC98"/>
    <w:rsid w:val="31A93689"/>
    <w:rsid w:val="31AE1A8B"/>
    <w:rsid w:val="31B23F76"/>
    <w:rsid w:val="31B44EC7"/>
    <w:rsid w:val="31B996C4"/>
    <w:rsid w:val="31D170AD"/>
    <w:rsid w:val="31D4345C"/>
    <w:rsid w:val="31D6A644"/>
    <w:rsid w:val="3205D0AA"/>
    <w:rsid w:val="32137C14"/>
    <w:rsid w:val="3215ECCA"/>
    <w:rsid w:val="3241993A"/>
    <w:rsid w:val="3245A2FF"/>
    <w:rsid w:val="325595DC"/>
    <w:rsid w:val="3259E28C"/>
    <w:rsid w:val="327266BF"/>
    <w:rsid w:val="327E5E2E"/>
    <w:rsid w:val="3296888E"/>
    <w:rsid w:val="32A07383"/>
    <w:rsid w:val="32A3D0BD"/>
    <w:rsid w:val="32B6C40B"/>
    <w:rsid w:val="32BDFA4D"/>
    <w:rsid w:val="32EE37D1"/>
    <w:rsid w:val="32F9A672"/>
    <w:rsid w:val="330135EF"/>
    <w:rsid w:val="33096BC0"/>
    <w:rsid w:val="330F8944"/>
    <w:rsid w:val="3320E276"/>
    <w:rsid w:val="33264773"/>
    <w:rsid w:val="33288F9B"/>
    <w:rsid w:val="33410901"/>
    <w:rsid w:val="33494797"/>
    <w:rsid w:val="335E10AD"/>
    <w:rsid w:val="335F2960"/>
    <w:rsid w:val="3361AC37"/>
    <w:rsid w:val="33622AD2"/>
    <w:rsid w:val="3363805A"/>
    <w:rsid w:val="3377CF29"/>
    <w:rsid w:val="3381FA3E"/>
    <w:rsid w:val="33843BCB"/>
    <w:rsid w:val="338DB3E6"/>
    <w:rsid w:val="339DE4FB"/>
    <w:rsid w:val="33A471AB"/>
    <w:rsid w:val="33B387AD"/>
    <w:rsid w:val="33D074E3"/>
    <w:rsid w:val="33EE2C8D"/>
    <w:rsid w:val="33EFD222"/>
    <w:rsid w:val="33F4FA1E"/>
    <w:rsid w:val="34014736"/>
    <w:rsid w:val="34235F41"/>
    <w:rsid w:val="342B7F3E"/>
    <w:rsid w:val="343652CF"/>
    <w:rsid w:val="343D6AB5"/>
    <w:rsid w:val="3446401A"/>
    <w:rsid w:val="344F18A3"/>
    <w:rsid w:val="34950953"/>
    <w:rsid w:val="3497D3C5"/>
    <w:rsid w:val="34A6BC9B"/>
    <w:rsid w:val="34C5217A"/>
    <w:rsid w:val="34D5C07F"/>
    <w:rsid w:val="34D5DCF5"/>
    <w:rsid w:val="34D66F6B"/>
    <w:rsid w:val="34DF8575"/>
    <w:rsid w:val="34E84B03"/>
    <w:rsid w:val="34EC4B35"/>
    <w:rsid w:val="34F7EE3F"/>
    <w:rsid w:val="352342F0"/>
    <w:rsid w:val="352698D3"/>
    <w:rsid w:val="352A4351"/>
    <w:rsid w:val="35363B50"/>
    <w:rsid w:val="353D4E02"/>
    <w:rsid w:val="35414EFD"/>
    <w:rsid w:val="354A5589"/>
    <w:rsid w:val="355EEDE2"/>
    <w:rsid w:val="356816EE"/>
    <w:rsid w:val="3580D8BD"/>
    <w:rsid w:val="35A6F04F"/>
    <w:rsid w:val="35C01AA0"/>
    <w:rsid w:val="35C18B91"/>
    <w:rsid w:val="35CC3600"/>
    <w:rsid w:val="35E5FAB9"/>
    <w:rsid w:val="35ECB95F"/>
    <w:rsid w:val="35F211B9"/>
    <w:rsid w:val="35FD84DF"/>
    <w:rsid w:val="36006CBD"/>
    <w:rsid w:val="3603A9A4"/>
    <w:rsid w:val="36043283"/>
    <w:rsid w:val="360953D5"/>
    <w:rsid w:val="360E9288"/>
    <w:rsid w:val="3617F737"/>
    <w:rsid w:val="3637883E"/>
    <w:rsid w:val="36493CEB"/>
    <w:rsid w:val="364A7627"/>
    <w:rsid w:val="364B7423"/>
    <w:rsid w:val="364F9A9E"/>
    <w:rsid w:val="36590C46"/>
    <w:rsid w:val="365B7B70"/>
    <w:rsid w:val="36605D76"/>
    <w:rsid w:val="3679AC32"/>
    <w:rsid w:val="368DD706"/>
    <w:rsid w:val="368FCFDF"/>
    <w:rsid w:val="369B0489"/>
    <w:rsid w:val="369D1222"/>
    <w:rsid w:val="36A8E834"/>
    <w:rsid w:val="36AF7596"/>
    <w:rsid w:val="36B60BDB"/>
    <w:rsid w:val="36D2A9B4"/>
    <w:rsid w:val="36D6EC53"/>
    <w:rsid w:val="36E16DD6"/>
    <w:rsid w:val="36E76C0B"/>
    <w:rsid w:val="3704D537"/>
    <w:rsid w:val="37229897"/>
    <w:rsid w:val="37249B18"/>
    <w:rsid w:val="372CC199"/>
    <w:rsid w:val="37412DE2"/>
    <w:rsid w:val="37480632"/>
    <w:rsid w:val="3761F376"/>
    <w:rsid w:val="3789A37C"/>
    <w:rsid w:val="37993FD2"/>
    <w:rsid w:val="37A56CD0"/>
    <w:rsid w:val="37AA62E9"/>
    <w:rsid w:val="37B1E5E0"/>
    <w:rsid w:val="37C10D95"/>
    <w:rsid w:val="37CF2072"/>
    <w:rsid w:val="37E69B1E"/>
    <w:rsid w:val="37F2F0FA"/>
    <w:rsid w:val="3802D6BE"/>
    <w:rsid w:val="382094C2"/>
    <w:rsid w:val="382A8399"/>
    <w:rsid w:val="38464E9C"/>
    <w:rsid w:val="3846E120"/>
    <w:rsid w:val="3849704A"/>
    <w:rsid w:val="3851BA9A"/>
    <w:rsid w:val="385376A8"/>
    <w:rsid w:val="38580FCD"/>
    <w:rsid w:val="385CA5F0"/>
    <w:rsid w:val="386E962E"/>
    <w:rsid w:val="38725A9E"/>
    <w:rsid w:val="38727398"/>
    <w:rsid w:val="38804BA3"/>
    <w:rsid w:val="388657CB"/>
    <w:rsid w:val="388A267C"/>
    <w:rsid w:val="388A6132"/>
    <w:rsid w:val="3893F130"/>
    <w:rsid w:val="38A3AF12"/>
    <w:rsid w:val="38CC8AC1"/>
    <w:rsid w:val="38D0293E"/>
    <w:rsid w:val="38D0948E"/>
    <w:rsid w:val="38D4E576"/>
    <w:rsid w:val="38DD2725"/>
    <w:rsid w:val="38E56862"/>
    <w:rsid w:val="38FD1AA3"/>
    <w:rsid w:val="3906E94F"/>
    <w:rsid w:val="390B64A1"/>
    <w:rsid w:val="391C0ABC"/>
    <w:rsid w:val="39203374"/>
    <w:rsid w:val="392E57BD"/>
    <w:rsid w:val="39301A18"/>
    <w:rsid w:val="3949BBEF"/>
    <w:rsid w:val="3959D497"/>
    <w:rsid w:val="395B69BB"/>
    <w:rsid w:val="39758208"/>
    <w:rsid w:val="397C609A"/>
    <w:rsid w:val="397CFA3C"/>
    <w:rsid w:val="399EC6A0"/>
    <w:rsid w:val="39A6AA04"/>
    <w:rsid w:val="39AA18DB"/>
    <w:rsid w:val="39B40CA8"/>
    <w:rsid w:val="39D2F9A5"/>
    <w:rsid w:val="39ED2D9E"/>
    <w:rsid w:val="39F6123F"/>
    <w:rsid w:val="3A1DC6AC"/>
    <w:rsid w:val="3A1EB760"/>
    <w:rsid w:val="3A20DD11"/>
    <w:rsid w:val="3A284AE9"/>
    <w:rsid w:val="3A288AFB"/>
    <w:rsid w:val="3A2976BB"/>
    <w:rsid w:val="3A2D3688"/>
    <w:rsid w:val="3A2F2D93"/>
    <w:rsid w:val="3A39D234"/>
    <w:rsid w:val="3A4094BF"/>
    <w:rsid w:val="3A90D508"/>
    <w:rsid w:val="3AA4F186"/>
    <w:rsid w:val="3AB4E3EC"/>
    <w:rsid w:val="3AB69B00"/>
    <w:rsid w:val="3ABA2543"/>
    <w:rsid w:val="3AC0932E"/>
    <w:rsid w:val="3ACB5832"/>
    <w:rsid w:val="3AD38EE9"/>
    <w:rsid w:val="3AE39014"/>
    <w:rsid w:val="3AE64D83"/>
    <w:rsid w:val="3AE69A19"/>
    <w:rsid w:val="3AF19DF1"/>
    <w:rsid w:val="3AF62361"/>
    <w:rsid w:val="3B109D64"/>
    <w:rsid w:val="3B43F79E"/>
    <w:rsid w:val="3B4BCC9A"/>
    <w:rsid w:val="3B516669"/>
    <w:rsid w:val="3B63A02B"/>
    <w:rsid w:val="3B662FD6"/>
    <w:rsid w:val="3B7044C3"/>
    <w:rsid w:val="3B8EBC1A"/>
    <w:rsid w:val="3BB69CD1"/>
    <w:rsid w:val="3BC8CD36"/>
    <w:rsid w:val="3BD373DE"/>
    <w:rsid w:val="3BD6A072"/>
    <w:rsid w:val="3BE77882"/>
    <w:rsid w:val="3BE9F83C"/>
    <w:rsid w:val="3BF80DCA"/>
    <w:rsid w:val="3BF9B571"/>
    <w:rsid w:val="3BFCF3A4"/>
    <w:rsid w:val="3C0677C0"/>
    <w:rsid w:val="3C1C0B25"/>
    <w:rsid w:val="3C3C42C0"/>
    <w:rsid w:val="3C4888D6"/>
    <w:rsid w:val="3C5350EB"/>
    <w:rsid w:val="3C72AA6F"/>
    <w:rsid w:val="3C7BC1A3"/>
    <w:rsid w:val="3C834264"/>
    <w:rsid w:val="3C93C220"/>
    <w:rsid w:val="3CA94713"/>
    <w:rsid w:val="3CD52BFB"/>
    <w:rsid w:val="3CEEFF16"/>
    <w:rsid w:val="3D0F2E34"/>
    <w:rsid w:val="3D43A785"/>
    <w:rsid w:val="3D4DD950"/>
    <w:rsid w:val="3D4E3B03"/>
    <w:rsid w:val="3D5345D6"/>
    <w:rsid w:val="3D632324"/>
    <w:rsid w:val="3D7561D2"/>
    <w:rsid w:val="3DB78132"/>
    <w:rsid w:val="3DB7D036"/>
    <w:rsid w:val="3DD15A2A"/>
    <w:rsid w:val="3DEB0039"/>
    <w:rsid w:val="3E080877"/>
    <w:rsid w:val="3E13F92A"/>
    <w:rsid w:val="3E24DDE7"/>
    <w:rsid w:val="3E314E3F"/>
    <w:rsid w:val="3E31ED56"/>
    <w:rsid w:val="3E4A78D8"/>
    <w:rsid w:val="3E5855DB"/>
    <w:rsid w:val="3E74AA00"/>
    <w:rsid w:val="3E7CA0A4"/>
    <w:rsid w:val="3E830102"/>
    <w:rsid w:val="3E8EC5C2"/>
    <w:rsid w:val="3E945848"/>
    <w:rsid w:val="3E98DFB8"/>
    <w:rsid w:val="3E9B26B4"/>
    <w:rsid w:val="3EB29A82"/>
    <w:rsid w:val="3EB483E3"/>
    <w:rsid w:val="3EC99B35"/>
    <w:rsid w:val="3ECC9553"/>
    <w:rsid w:val="3EDA00CC"/>
    <w:rsid w:val="3EDA333E"/>
    <w:rsid w:val="3EE7ED4C"/>
    <w:rsid w:val="3EE9223E"/>
    <w:rsid w:val="3F090EC8"/>
    <w:rsid w:val="3F127E5A"/>
    <w:rsid w:val="3F22CB34"/>
    <w:rsid w:val="3F41A7D3"/>
    <w:rsid w:val="3F446031"/>
    <w:rsid w:val="3F5359F7"/>
    <w:rsid w:val="3F6E5623"/>
    <w:rsid w:val="3F7E2007"/>
    <w:rsid w:val="3F8B9249"/>
    <w:rsid w:val="3F8CA47E"/>
    <w:rsid w:val="3FA276E4"/>
    <w:rsid w:val="3FB35552"/>
    <w:rsid w:val="3FB35B42"/>
    <w:rsid w:val="3FCD3426"/>
    <w:rsid w:val="3FD148AB"/>
    <w:rsid w:val="3FD20123"/>
    <w:rsid w:val="3FDD0D3F"/>
    <w:rsid w:val="40069232"/>
    <w:rsid w:val="4013B5E9"/>
    <w:rsid w:val="401AA696"/>
    <w:rsid w:val="402244B3"/>
    <w:rsid w:val="402A2884"/>
    <w:rsid w:val="402F42F8"/>
    <w:rsid w:val="404A1AE1"/>
    <w:rsid w:val="404CEC40"/>
    <w:rsid w:val="404E70D5"/>
    <w:rsid w:val="40526726"/>
    <w:rsid w:val="4055D7D6"/>
    <w:rsid w:val="4071C516"/>
    <w:rsid w:val="4074BF0B"/>
    <w:rsid w:val="407A69A8"/>
    <w:rsid w:val="4097A3CA"/>
    <w:rsid w:val="4098556A"/>
    <w:rsid w:val="409F1C7F"/>
    <w:rsid w:val="40C4F9B7"/>
    <w:rsid w:val="40D7087C"/>
    <w:rsid w:val="40D74182"/>
    <w:rsid w:val="41069824"/>
    <w:rsid w:val="410A28F9"/>
    <w:rsid w:val="4115E6A5"/>
    <w:rsid w:val="41214282"/>
    <w:rsid w:val="414973F6"/>
    <w:rsid w:val="4155FA85"/>
    <w:rsid w:val="415C5744"/>
    <w:rsid w:val="415DEB2C"/>
    <w:rsid w:val="41704D2A"/>
    <w:rsid w:val="41823429"/>
    <w:rsid w:val="419EA1DD"/>
    <w:rsid w:val="41A3302B"/>
    <w:rsid w:val="41BF85C4"/>
    <w:rsid w:val="41C76C89"/>
    <w:rsid w:val="41D5896D"/>
    <w:rsid w:val="41D5FD7D"/>
    <w:rsid w:val="41DC1228"/>
    <w:rsid w:val="41EE792C"/>
    <w:rsid w:val="41F0A6AD"/>
    <w:rsid w:val="41FC18BB"/>
    <w:rsid w:val="421A64A7"/>
    <w:rsid w:val="421AA656"/>
    <w:rsid w:val="4228E875"/>
    <w:rsid w:val="42299707"/>
    <w:rsid w:val="422A01C6"/>
    <w:rsid w:val="422E5B72"/>
    <w:rsid w:val="4232201C"/>
    <w:rsid w:val="424B3F56"/>
    <w:rsid w:val="424BAB05"/>
    <w:rsid w:val="424F156D"/>
    <w:rsid w:val="426393D8"/>
    <w:rsid w:val="426DEF07"/>
    <w:rsid w:val="42941002"/>
    <w:rsid w:val="42A20FC6"/>
    <w:rsid w:val="42A72417"/>
    <w:rsid w:val="42B13115"/>
    <w:rsid w:val="42B1B74C"/>
    <w:rsid w:val="42B7A2F6"/>
    <w:rsid w:val="42D52138"/>
    <w:rsid w:val="43065BB3"/>
    <w:rsid w:val="4315700A"/>
    <w:rsid w:val="43373433"/>
    <w:rsid w:val="433F9BC6"/>
    <w:rsid w:val="4377DC9B"/>
    <w:rsid w:val="4383432C"/>
    <w:rsid w:val="43888B9D"/>
    <w:rsid w:val="4398D854"/>
    <w:rsid w:val="439A1890"/>
    <w:rsid w:val="43A38555"/>
    <w:rsid w:val="43A7CA04"/>
    <w:rsid w:val="43ADF8FB"/>
    <w:rsid w:val="43C88022"/>
    <w:rsid w:val="43D20878"/>
    <w:rsid w:val="43D366A4"/>
    <w:rsid w:val="43EA00F4"/>
    <w:rsid w:val="43EAD243"/>
    <w:rsid w:val="442408AF"/>
    <w:rsid w:val="442B0504"/>
    <w:rsid w:val="4444FEB9"/>
    <w:rsid w:val="44767327"/>
    <w:rsid w:val="4487BCC9"/>
    <w:rsid w:val="4488EBF0"/>
    <w:rsid w:val="44A24B9F"/>
    <w:rsid w:val="44BA1A79"/>
    <w:rsid w:val="44BD74C6"/>
    <w:rsid w:val="44CABAF2"/>
    <w:rsid w:val="44D46E6D"/>
    <w:rsid w:val="44D9EDA1"/>
    <w:rsid w:val="44E35E65"/>
    <w:rsid w:val="44EE675B"/>
    <w:rsid w:val="44FB2A4D"/>
    <w:rsid w:val="450DA210"/>
    <w:rsid w:val="4522AE7A"/>
    <w:rsid w:val="4526D598"/>
    <w:rsid w:val="4537B549"/>
    <w:rsid w:val="4539888D"/>
    <w:rsid w:val="45584263"/>
    <w:rsid w:val="4593E60A"/>
    <w:rsid w:val="4599A930"/>
    <w:rsid w:val="45AAD037"/>
    <w:rsid w:val="45B63590"/>
    <w:rsid w:val="45D7C123"/>
    <w:rsid w:val="45FE5BBC"/>
    <w:rsid w:val="4611153B"/>
    <w:rsid w:val="46211247"/>
    <w:rsid w:val="463018B9"/>
    <w:rsid w:val="46338292"/>
    <w:rsid w:val="46340571"/>
    <w:rsid w:val="4657E7AD"/>
    <w:rsid w:val="465D1CB6"/>
    <w:rsid w:val="4669B577"/>
    <w:rsid w:val="46761BE1"/>
    <w:rsid w:val="46799448"/>
    <w:rsid w:val="4679CA01"/>
    <w:rsid w:val="46895B2C"/>
    <w:rsid w:val="468BDAF0"/>
    <w:rsid w:val="4695DEA0"/>
    <w:rsid w:val="46C0D167"/>
    <w:rsid w:val="46C87B4D"/>
    <w:rsid w:val="46C9D48F"/>
    <w:rsid w:val="46CEE317"/>
    <w:rsid w:val="46D1F44E"/>
    <w:rsid w:val="46E54028"/>
    <w:rsid w:val="46EBB957"/>
    <w:rsid w:val="46F19823"/>
    <w:rsid w:val="46F47504"/>
    <w:rsid w:val="470ADE96"/>
    <w:rsid w:val="474142C5"/>
    <w:rsid w:val="474BE7D4"/>
    <w:rsid w:val="476E30D1"/>
    <w:rsid w:val="4784561E"/>
    <w:rsid w:val="478A1D54"/>
    <w:rsid w:val="4790CF4C"/>
    <w:rsid w:val="479EB2A5"/>
    <w:rsid w:val="47E31AE1"/>
    <w:rsid w:val="47E9A2BF"/>
    <w:rsid w:val="480E61DE"/>
    <w:rsid w:val="481B72A4"/>
    <w:rsid w:val="481ED85C"/>
    <w:rsid w:val="4821E875"/>
    <w:rsid w:val="482367D9"/>
    <w:rsid w:val="48331F1B"/>
    <w:rsid w:val="48357D0F"/>
    <w:rsid w:val="4835C732"/>
    <w:rsid w:val="485BCB45"/>
    <w:rsid w:val="48623269"/>
    <w:rsid w:val="48713CA7"/>
    <w:rsid w:val="4871F7CD"/>
    <w:rsid w:val="487B57C8"/>
    <w:rsid w:val="487EE976"/>
    <w:rsid w:val="488BF8E4"/>
    <w:rsid w:val="488EB8B0"/>
    <w:rsid w:val="4896FB42"/>
    <w:rsid w:val="48AC64BA"/>
    <w:rsid w:val="48B059AC"/>
    <w:rsid w:val="48CC4667"/>
    <w:rsid w:val="48D11F7E"/>
    <w:rsid w:val="48D7421A"/>
    <w:rsid w:val="48E446D2"/>
    <w:rsid w:val="48EA76F6"/>
    <w:rsid w:val="490AA3E1"/>
    <w:rsid w:val="490D7835"/>
    <w:rsid w:val="49182577"/>
    <w:rsid w:val="492431C9"/>
    <w:rsid w:val="492A2EF8"/>
    <w:rsid w:val="49342A66"/>
    <w:rsid w:val="494AF210"/>
    <w:rsid w:val="49628CA9"/>
    <w:rsid w:val="496355F1"/>
    <w:rsid w:val="497194C6"/>
    <w:rsid w:val="49785C2A"/>
    <w:rsid w:val="497E9E40"/>
    <w:rsid w:val="49994D6F"/>
    <w:rsid w:val="499B017C"/>
    <w:rsid w:val="499DC18F"/>
    <w:rsid w:val="49AA1C7E"/>
    <w:rsid w:val="49B30B04"/>
    <w:rsid w:val="49C1C628"/>
    <w:rsid w:val="49E057B4"/>
    <w:rsid w:val="49FC8A31"/>
    <w:rsid w:val="4A258904"/>
    <w:rsid w:val="4A5938D6"/>
    <w:rsid w:val="4A5BFF56"/>
    <w:rsid w:val="4A5DA8EA"/>
    <w:rsid w:val="4A616671"/>
    <w:rsid w:val="4A69750B"/>
    <w:rsid w:val="4A7869BA"/>
    <w:rsid w:val="4A7D16D6"/>
    <w:rsid w:val="4A830F6D"/>
    <w:rsid w:val="4A894073"/>
    <w:rsid w:val="4A8EE643"/>
    <w:rsid w:val="4A90215E"/>
    <w:rsid w:val="4A9DD060"/>
    <w:rsid w:val="4AA733DC"/>
    <w:rsid w:val="4AA8B16B"/>
    <w:rsid w:val="4ACB2FA5"/>
    <w:rsid w:val="4ACB8296"/>
    <w:rsid w:val="4ADB364B"/>
    <w:rsid w:val="4ADF0230"/>
    <w:rsid w:val="4AF6C544"/>
    <w:rsid w:val="4AFAB840"/>
    <w:rsid w:val="4B182A29"/>
    <w:rsid w:val="4B292BF4"/>
    <w:rsid w:val="4B2C6541"/>
    <w:rsid w:val="4B49FFBE"/>
    <w:rsid w:val="4B4FC3E6"/>
    <w:rsid w:val="4B5079A3"/>
    <w:rsid w:val="4B5661B6"/>
    <w:rsid w:val="4B578EAC"/>
    <w:rsid w:val="4B5E3A53"/>
    <w:rsid w:val="4B72C44B"/>
    <w:rsid w:val="4B7E839D"/>
    <w:rsid w:val="4B82FD62"/>
    <w:rsid w:val="4B83FD92"/>
    <w:rsid w:val="4B9F16BF"/>
    <w:rsid w:val="4BA18F04"/>
    <w:rsid w:val="4BA5855E"/>
    <w:rsid w:val="4BA8603F"/>
    <w:rsid w:val="4BBAD3D5"/>
    <w:rsid w:val="4BC08802"/>
    <w:rsid w:val="4BCCBC09"/>
    <w:rsid w:val="4BFD66C2"/>
    <w:rsid w:val="4C1AC25B"/>
    <w:rsid w:val="4C3534D9"/>
    <w:rsid w:val="4C39D955"/>
    <w:rsid w:val="4C3ADAC5"/>
    <w:rsid w:val="4C4C19B9"/>
    <w:rsid w:val="4C4C74B6"/>
    <w:rsid w:val="4C56A67A"/>
    <w:rsid w:val="4C5729A8"/>
    <w:rsid w:val="4C5A20CD"/>
    <w:rsid w:val="4C666D42"/>
    <w:rsid w:val="4C8301F7"/>
    <w:rsid w:val="4C8AF06B"/>
    <w:rsid w:val="4C90A445"/>
    <w:rsid w:val="4C9B85B2"/>
    <w:rsid w:val="4CC32619"/>
    <w:rsid w:val="4CC33891"/>
    <w:rsid w:val="4CD212AC"/>
    <w:rsid w:val="4CEECC77"/>
    <w:rsid w:val="4CF0156C"/>
    <w:rsid w:val="4CFEFDD3"/>
    <w:rsid w:val="4D26EA3B"/>
    <w:rsid w:val="4D2FAE15"/>
    <w:rsid w:val="4D3DBDA7"/>
    <w:rsid w:val="4D53AB60"/>
    <w:rsid w:val="4D5A27B7"/>
    <w:rsid w:val="4D5BB19C"/>
    <w:rsid w:val="4D848163"/>
    <w:rsid w:val="4D92FE76"/>
    <w:rsid w:val="4DAC331B"/>
    <w:rsid w:val="4DAD0CEA"/>
    <w:rsid w:val="4DAE9C7A"/>
    <w:rsid w:val="4DB1C80C"/>
    <w:rsid w:val="4DB529D4"/>
    <w:rsid w:val="4DC6A07F"/>
    <w:rsid w:val="4DC73540"/>
    <w:rsid w:val="4DDA5C1D"/>
    <w:rsid w:val="4DDD33F8"/>
    <w:rsid w:val="4DEDFCEC"/>
    <w:rsid w:val="4E24F5A8"/>
    <w:rsid w:val="4E35DD23"/>
    <w:rsid w:val="4E39FE92"/>
    <w:rsid w:val="4E4EB011"/>
    <w:rsid w:val="4E5836C4"/>
    <w:rsid w:val="4E6E25A4"/>
    <w:rsid w:val="4E8519B6"/>
    <w:rsid w:val="4E8A9876"/>
    <w:rsid w:val="4E8F69D2"/>
    <w:rsid w:val="4E91C8D9"/>
    <w:rsid w:val="4E91CBFB"/>
    <w:rsid w:val="4E9B19EF"/>
    <w:rsid w:val="4E9BFEC3"/>
    <w:rsid w:val="4EA1B0F3"/>
    <w:rsid w:val="4EA1F356"/>
    <w:rsid w:val="4EAA2664"/>
    <w:rsid w:val="4EAC5B6D"/>
    <w:rsid w:val="4EB2DBA1"/>
    <w:rsid w:val="4ED1DBA6"/>
    <w:rsid w:val="4EE1930D"/>
    <w:rsid w:val="4EF2C7BE"/>
    <w:rsid w:val="4EFE4FF8"/>
    <w:rsid w:val="4F093170"/>
    <w:rsid w:val="4F222A8E"/>
    <w:rsid w:val="4F377478"/>
    <w:rsid w:val="4F39A1A4"/>
    <w:rsid w:val="4F3B9A62"/>
    <w:rsid w:val="4F43ED2D"/>
    <w:rsid w:val="4F4A5B09"/>
    <w:rsid w:val="4F5021E5"/>
    <w:rsid w:val="4F661F53"/>
    <w:rsid w:val="4F6D7D9B"/>
    <w:rsid w:val="4F726EF2"/>
    <w:rsid w:val="4F915078"/>
    <w:rsid w:val="4F9D8D2C"/>
    <w:rsid w:val="4FA9BFF3"/>
    <w:rsid w:val="4FAFFC5F"/>
    <w:rsid w:val="4FCBDCBF"/>
    <w:rsid w:val="4FE5839B"/>
    <w:rsid w:val="4FECFAEF"/>
    <w:rsid w:val="4FEFB0C4"/>
    <w:rsid w:val="4FF2376F"/>
    <w:rsid w:val="4FFB1501"/>
    <w:rsid w:val="4FFD9EE3"/>
    <w:rsid w:val="50046DC8"/>
    <w:rsid w:val="5004CBDF"/>
    <w:rsid w:val="500A5175"/>
    <w:rsid w:val="5031403E"/>
    <w:rsid w:val="5034B83D"/>
    <w:rsid w:val="50399ADF"/>
    <w:rsid w:val="504AE276"/>
    <w:rsid w:val="504C107A"/>
    <w:rsid w:val="5052B303"/>
    <w:rsid w:val="50579DF5"/>
    <w:rsid w:val="505CBD3D"/>
    <w:rsid w:val="507ABE68"/>
    <w:rsid w:val="50804625"/>
    <w:rsid w:val="5087C079"/>
    <w:rsid w:val="508D9A28"/>
    <w:rsid w:val="509958C7"/>
    <w:rsid w:val="50AC8F68"/>
    <w:rsid w:val="50C1F999"/>
    <w:rsid w:val="50C43EA0"/>
    <w:rsid w:val="50C4DF5B"/>
    <w:rsid w:val="50C91318"/>
    <w:rsid w:val="50CD166D"/>
    <w:rsid w:val="50D3073C"/>
    <w:rsid w:val="50F947CB"/>
    <w:rsid w:val="50F968D7"/>
    <w:rsid w:val="50FBC7E3"/>
    <w:rsid w:val="50FD20D6"/>
    <w:rsid w:val="50FE8310"/>
    <w:rsid w:val="5100955C"/>
    <w:rsid w:val="5104AFEF"/>
    <w:rsid w:val="5105528F"/>
    <w:rsid w:val="513B0B85"/>
    <w:rsid w:val="5149135B"/>
    <w:rsid w:val="518153FC"/>
    <w:rsid w:val="51827DBE"/>
    <w:rsid w:val="51832A41"/>
    <w:rsid w:val="5199AB04"/>
    <w:rsid w:val="51AE4132"/>
    <w:rsid w:val="51C268B2"/>
    <w:rsid w:val="51C7B7FD"/>
    <w:rsid w:val="51D135A8"/>
    <w:rsid w:val="51DC26B6"/>
    <w:rsid w:val="51F7C719"/>
    <w:rsid w:val="52004821"/>
    <w:rsid w:val="520702C4"/>
    <w:rsid w:val="5211E9A2"/>
    <w:rsid w:val="5217BD5A"/>
    <w:rsid w:val="522514AE"/>
    <w:rsid w:val="522580CB"/>
    <w:rsid w:val="5272004E"/>
    <w:rsid w:val="52839035"/>
    <w:rsid w:val="5285F022"/>
    <w:rsid w:val="528BF600"/>
    <w:rsid w:val="52B02F5E"/>
    <w:rsid w:val="52D7E40C"/>
    <w:rsid w:val="52E9BFAF"/>
    <w:rsid w:val="52EE586E"/>
    <w:rsid w:val="52F5815B"/>
    <w:rsid w:val="52F7E060"/>
    <w:rsid w:val="52FC912E"/>
    <w:rsid w:val="53015F9A"/>
    <w:rsid w:val="53049F8A"/>
    <w:rsid w:val="530FD0B3"/>
    <w:rsid w:val="531D3392"/>
    <w:rsid w:val="53338CB6"/>
    <w:rsid w:val="533B6DDD"/>
    <w:rsid w:val="5348737A"/>
    <w:rsid w:val="534FF550"/>
    <w:rsid w:val="5350B871"/>
    <w:rsid w:val="53837362"/>
    <w:rsid w:val="538B23B2"/>
    <w:rsid w:val="53A14A9B"/>
    <w:rsid w:val="53C808D2"/>
    <w:rsid w:val="53D11B93"/>
    <w:rsid w:val="53D81AB9"/>
    <w:rsid w:val="53DE8D27"/>
    <w:rsid w:val="540F456B"/>
    <w:rsid w:val="5427D0B8"/>
    <w:rsid w:val="542AEDD2"/>
    <w:rsid w:val="5437B43C"/>
    <w:rsid w:val="543A0C16"/>
    <w:rsid w:val="54400669"/>
    <w:rsid w:val="5442F4C5"/>
    <w:rsid w:val="5465D8A0"/>
    <w:rsid w:val="546B98B7"/>
    <w:rsid w:val="548AA61A"/>
    <w:rsid w:val="54ACC986"/>
    <w:rsid w:val="54ADBB57"/>
    <w:rsid w:val="54B01FB2"/>
    <w:rsid w:val="54D0945B"/>
    <w:rsid w:val="54D0B2DE"/>
    <w:rsid w:val="54D770FF"/>
    <w:rsid w:val="54E9B004"/>
    <w:rsid w:val="54EEC01C"/>
    <w:rsid w:val="54F0755B"/>
    <w:rsid w:val="54F0AE11"/>
    <w:rsid w:val="54F74630"/>
    <w:rsid w:val="54FBD7D3"/>
    <w:rsid w:val="55040098"/>
    <w:rsid w:val="554A2770"/>
    <w:rsid w:val="555214E9"/>
    <w:rsid w:val="55797721"/>
    <w:rsid w:val="557A5823"/>
    <w:rsid w:val="557DEE29"/>
    <w:rsid w:val="55A08FE6"/>
    <w:rsid w:val="55B743A5"/>
    <w:rsid w:val="55BA9698"/>
    <w:rsid w:val="55C0C49E"/>
    <w:rsid w:val="55CC89EA"/>
    <w:rsid w:val="55FF3D79"/>
    <w:rsid w:val="5601669A"/>
    <w:rsid w:val="5604323D"/>
    <w:rsid w:val="5614748C"/>
    <w:rsid w:val="561F8F74"/>
    <w:rsid w:val="562C34AD"/>
    <w:rsid w:val="5645F23C"/>
    <w:rsid w:val="564952C8"/>
    <w:rsid w:val="564B1821"/>
    <w:rsid w:val="5653337C"/>
    <w:rsid w:val="5687B5CE"/>
    <w:rsid w:val="5693B1C9"/>
    <w:rsid w:val="56964E29"/>
    <w:rsid w:val="569CDE83"/>
    <w:rsid w:val="569D65EE"/>
    <w:rsid w:val="56A681C6"/>
    <w:rsid w:val="56BCFC32"/>
    <w:rsid w:val="56C09190"/>
    <w:rsid w:val="56C6A47D"/>
    <w:rsid w:val="56F45551"/>
    <w:rsid w:val="56F72019"/>
    <w:rsid w:val="56FDF607"/>
    <w:rsid w:val="5714887D"/>
    <w:rsid w:val="57151217"/>
    <w:rsid w:val="572F676C"/>
    <w:rsid w:val="5735F20C"/>
    <w:rsid w:val="573FA964"/>
    <w:rsid w:val="5740605B"/>
    <w:rsid w:val="575653A1"/>
    <w:rsid w:val="575DE76F"/>
    <w:rsid w:val="576197C2"/>
    <w:rsid w:val="5765E3A4"/>
    <w:rsid w:val="57713972"/>
    <w:rsid w:val="57975C6D"/>
    <w:rsid w:val="579D8F54"/>
    <w:rsid w:val="579EE53B"/>
    <w:rsid w:val="57AF8350"/>
    <w:rsid w:val="57C2354A"/>
    <w:rsid w:val="57C925F4"/>
    <w:rsid w:val="57CAEF9C"/>
    <w:rsid w:val="57DE7FF0"/>
    <w:rsid w:val="57E93443"/>
    <w:rsid w:val="57EBBE36"/>
    <w:rsid w:val="57F3975C"/>
    <w:rsid w:val="5805FA94"/>
    <w:rsid w:val="581357B7"/>
    <w:rsid w:val="583B74C5"/>
    <w:rsid w:val="583DEA72"/>
    <w:rsid w:val="583EC000"/>
    <w:rsid w:val="585D0A1F"/>
    <w:rsid w:val="586D55C4"/>
    <w:rsid w:val="58808F3C"/>
    <w:rsid w:val="588C75F3"/>
    <w:rsid w:val="589E924E"/>
    <w:rsid w:val="58A4BEF2"/>
    <w:rsid w:val="58A4C080"/>
    <w:rsid w:val="58C34290"/>
    <w:rsid w:val="58C54E9E"/>
    <w:rsid w:val="58D40BC1"/>
    <w:rsid w:val="58DA35C7"/>
    <w:rsid w:val="58DB79C5"/>
    <w:rsid w:val="58DC28F8"/>
    <w:rsid w:val="58E6D924"/>
    <w:rsid w:val="5902BCFE"/>
    <w:rsid w:val="591E56B8"/>
    <w:rsid w:val="591F4FC6"/>
    <w:rsid w:val="5925ACEB"/>
    <w:rsid w:val="59287DBC"/>
    <w:rsid w:val="594B78FA"/>
    <w:rsid w:val="59513C79"/>
    <w:rsid w:val="5969D04D"/>
    <w:rsid w:val="596A6878"/>
    <w:rsid w:val="598556E1"/>
    <w:rsid w:val="5989CF56"/>
    <w:rsid w:val="598AA4A5"/>
    <w:rsid w:val="598AA7B6"/>
    <w:rsid w:val="598CDFA1"/>
    <w:rsid w:val="59A57025"/>
    <w:rsid w:val="59A5CC7E"/>
    <w:rsid w:val="59A604CF"/>
    <w:rsid w:val="59BA7CF4"/>
    <w:rsid w:val="59CB3AF2"/>
    <w:rsid w:val="59CCA371"/>
    <w:rsid w:val="59D23735"/>
    <w:rsid w:val="59DB2EAE"/>
    <w:rsid w:val="59E315F7"/>
    <w:rsid w:val="5A031016"/>
    <w:rsid w:val="5A119733"/>
    <w:rsid w:val="5A155E37"/>
    <w:rsid w:val="5A207042"/>
    <w:rsid w:val="5A25C91D"/>
    <w:rsid w:val="5A32AE20"/>
    <w:rsid w:val="5A422499"/>
    <w:rsid w:val="5A500C4B"/>
    <w:rsid w:val="5A522E52"/>
    <w:rsid w:val="5A6D6B60"/>
    <w:rsid w:val="5A7F5A29"/>
    <w:rsid w:val="5A81DEF0"/>
    <w:rsid w:val="5A8434CD"/>
    <w:rsid w:val="5A8FC8B7"/>
    <w:rsid w:val="5A97B3C9"/>
    <w:rsid w:val="5ABF55EF"/>
    <w:rsid w:val="5ACA0019"/>
    <w:rsid w:val="5AEF9B41"/>
    <w:rsid w:val="5AF93C60"/>
    <w:rsid w:val="5B00F824"/>
    <w:rsid w:val="5B109F0F"/>
    <w:rsid w:val="5B172DFF"/>
    <w:rsid w:val="5B2B3D27"/>
    <w:rsid w:val="5B3235DC"/>
    <w:rsid w:val="5B377648"/>
    <w:rsid w:val="5B43CE59"/>
    <w:rsid w:val="5B4B6F66"/>
    <w:rsid w:val="5B549AB2"/>
    <w:rsid w:val="5B7D1B42"/>
    <w:rsid w:val="5B896E0C"/>
    <w:rsid w:val="5BA328E0"/>
    <w:rsid w:val="5BC050E9"/>
    <w:rsid w:val="5BC5081D"/>
    <w:rsid w:val="5BC70A42"/>
    <w:rsid w:val="5BDC0262"/>
    <w:rsid w:val="5BE0647F"/>
    <w:rsid w:val="5BE6CABE"/>
    <w:rsid w:val="5BE807AE"/>
    <w:rsid w:val="5BECCC2B"/>
    <w:rsid w:val="5BF9DC91"/>
    <w:rsid w:val="5BFDCC48"/>
    <w:rsid w:val="5C139A67"/>
    <w:rsid w:val="5C2DAD72"/>
    <w:rsid w:val="5C33BD44"/>
    <w:rsid w:val="5C3E1589"/>
    <w:rsid w:val="5C4D1854"/>
    <w:rsid w:val="5C56AF57"/>
    <w:rsid w:val="5C69219F"/>
    <w:rsid w:val="5C7C6937"/>
    <w:rsid w:val="5C976E4E"/>
    <w:rsid w:val="5CA80E86"/>
    <w:rsid w:val="5CAB3D2C"/>
    <w:rsid w:val="5CB0DD8A"/>
    <w:rsid w:val="5CB1D856"/>
    <w:rsid w:val="5CB2F096"/>
    <w:rsid w:val="5CCF4AB9"/>
    <w:rsid w:val="5D24791B"/>
    <w:rsid w:val="5D2EA232"/>
    <w:rsid w:val="5D2FF95F"/>
    <w:rsid w:val="5D34E8CD"/>
    <w:rsid w:val="5D35A486"/>
    <w:rsid w:val="5D3E1216"/>
    <w:rsid w:val="5D3F6E36"/>
    <w:rsid w:val="5D47F856"/>
    <w:rsid w:val="5D725403"/>
    <w:rsid w:val="5D76906B"/>
    <w:rsid w:val="5D779143"/>
    <w:rsid w:val="5D89A370"/>
    <w:rsid w:val="5D8F87A0"/>
    <w:rsid w:val="5D965F45"/>
    <w:rsid w:val="5DB05FE8"/>
    <w:rsid w:val="5DB29839"/>
    <w:rsid w:val="5DC5A274"/>
    <w:rsid w:val="5DC9171B"/>
    <w:rsid w:val="5DD1911B"/>
    <w:rsid w:val="5DE0645D"/>
    <w:rsid w:val="5DE1C563"/>
    <w:rsid w:val="5DED97DB"/>
    <w:rsid w:val="5DF10C4C"/>
    <w:rsid w:val="5DF1B4E5"/>
    <w:rsid w:val="5DF7F624"/>
    <w:rsid w:val="5DF97EEF"/>
    <w:rsid w:val="5E09304B"/>
    <w:rsid w:val="5E12614B"/>
    <w:rsid w:val="5E26F423"/>
    <w:rsid w:val="5E2AD570"/>
    <w:rsid w:val="5E434EC7"/>
    <w:rsid w:val="5E4B2476"/>
    <w:rsid w:val="5E4E3787"/>
    <w:rsid w:val="5E560522"/>
    <w:rsid w:val="5E5C2BBC"/>
    <w:rsid w:val="5E5D1738"/>
    <w:rsid w:val="5E70EAB1"/>
    <w:rsid w:val="5E7A8FE4"/>
    <w:rsid w:val="5E7EAA16"/>
    <w:rsid w:val="5E84D134"/>
    <w:rsid w:val="5EB92851"/>
    <w:rsid w:val="5EBA514C"/>
    <w:rsid w:val="5EBAA40D"/>
    <w:rsid w:val="5EBDA316"/>
    <w:rsid w:val="5EC33E2B"/>
    <w:rsid w:val="5ED917B2"/>
    <w:rsid w:val="5EE6DBD6"/>
    <w:rsid w:val="5EF3A242"/>
    <w:rsid w:val="5EF9BCE2"/>
    <w:rsid w:val="5F008397"/>
    <w:rsid w:val="5F15E9F3"/>
    <w:rsid w:val="5F259E63"/>
    <w:rsid w:val="5F25AA5A"/>
    <w:rsid w:val="5F42CDC3"/>
    <w:rsid w:val="5F56D436"/>
    <w:rsid w:val="5F71301B"/>
    <w:rsid w:val="5F7946C1"/>
    <w:rsid w:val="5F91C7B6"/>
    <w:rsid w:val="5FA9980E"/>
    <w:rsid w:val="5FCAFA15"/>
    <w:rsid w:val="5FD557B4"/>
    <w:rsid w:val="5FD84E5A"/>
    <w:rsid w:val="5FF3349E"/>
    <w:rsid w:val="5FFAE98C"/>
    <w:rsid w:val="5FFAF013"/>
    <w:rsid w:val="601E4696"/>
    <w:rsid w:val="6030F487"/>
    <w:rsid w:val="603D7F63"/>
    <w:rsid w:val="604484F3"/>
    <w:rsid w:val="6044EBDB"/>
    <w:rsid w:val="6048F38C"/>
    <w:rsid w:val="6057844E"/>
    <w:rsid w:val="605BE626"/>
    <w:rsid w:val="605D644B"/>
    <w:rsid w:val="605ECE71"/>
    <w:rsid w:val="60924469"/>
    <w:rsid w:val="60992DBF"/>
    <w:rsid w:val="60B59BD0"/>
    <w:rsid w:val="60BF0D9C"/>
    <w:rsid w:val="60C8262B"/>
    <w:rsid w:val="60CA2440"/>
    <w:rsid w:val="60CCA4A0"/>
    <w:rsid w:val="60DA3146"/>
    <w:rsid w:val="60E93426"/>
    <w:rsid w:val="60F2FCEE"/>
    <w:rsid w:val="610513D9"/>
    <w:rsid w:val="610E3D6A"/>
    <w:rsid w:val="611191FA"/>
    <w:rsid w:val="614FF140"/>
    <w:rsid w:val="6159FF43"/>
    <w:rsid w:val="615E4BB7"/>
    <w:rsid w:val="6163E60C"/>
    <w:rsid w:val="616C0C3A"/>
    <w:rsid w:val="617818FA"/>
    <w:rsid w:val="619B2E35"/>
    <w:rsid w:val="61AB072F"/>
    <w:rsid w:val="61B6035D"/>
    <w:rsid w:val="61B9D574"/>
    <w:rsid w:val="61E7CB11"/>
    <w:rsid w:val="61E7EA22"/>
    <w:rsid w:val="61E83B8C"/>
    <w:rsid w:val="61EF89CA"/>
    <w:rsid w:val="61F535F7"/>
    <w:rsid w:val="621D2B90"/>
    <w:rsid w:val="621F2C5E"/>
    <w:rsid w:val="622074A3"/>
    <w:rsid w:val="62428ECE"/>
    <w:rsid w:val="624CF214"/>
    <w:rsid w:val="624DB985"/>
    <w:rsid w:val="62719AC4"/>
    <w:rsid w:val="62778264"/>
    <w:rsid w:val="6287AD4D"/>
    <w:rsid w:val="629493CA"/>
    <w:rsid w:val="62C7957E"/>
    <w:rsid w:val="62DAD17A"/>
    <w:rsid w:val="62DE03C9"/>
    <w:rsid w:val="62EE7DA2"/>
    <w:rsid w:val="62F42D7A"/>
    <w:rsid w:val="62F5CFA4"/>
    <w:rsid w:val="62F9C230"/>
    <w:rsid w:val="6300702E"/>
    <w:rsid w:val="63047885"/>
    <w:rsid w:val="63186ADA"/>
    <w:rsid w:val="631F5F1C"/>
    <w:rsid w:val="633FB453"/>
    <w:rsid w:val="63417996"/>
    <w:rsid w:val="635A6D0A"/>
    <w:rsid w:val="636833A4"/>
    <w:rsid w:val="638462E9"/>
    <w:rsid w:val="6387F629"/>
    <w:rsid w:val="639C273F"/>
    <w:rsid w:val="63A21578"/>
    <w:rsid w:val="63AF3C32"/>
    <w:rsid w:val="63B40BC0"/>
    <w:rsid w:val="63D0F185"/>
    <w:rsid w:val="63EDF1B5"/>
    <w:rsid w:val="63F77AA3"/>
    <w:rsid w:val="63FEDB32"/>
    <w:rsid w:val="64216AAA"/>
    <w:rsid w:val="6426BE04"/>
    <w:rsid w:val="643EE2C1"/>
    <w:rsid w:val="64489654"/>
    <w:rsid w:val="64514724"/>
    <w:rsid w:val="647D5EFC"/>
    <w:rsid w:val="64986229"/>
    <w:rsid w:val="64A1D6F3"/>
    <w:rsid w:val="64A38869"/>
    <w:rsid w:val="64A6663F"/>
    <w:rsid w:val="64B1481A"/>
    <w:rsid w:val="64BB2F7D"/>
    <w:rsid w:val="64C07721"/>
    <w:rsid w:val="64CEE573"/>
    <w:rsid w:val="64CF03FE"/>
    <w:rsid w:val="64D0DE0E"/>
    <w:rsid w:val="64E06273"/>
    <w:rsid w:val="64E07CE2"/>
    <w:rsid w:val="64E4FCAC"/>
    <w:rsid w:val="64ECDF1E"/>
    <w:rsid w:val="650004B2"/>
    <w:rsid w:val="65085D97"/>
    <w:rsid w:val="650AEECE"/>
    <w:rsid w:val="6514B77C"/>
    <w:rsid w:val="6518F759"/>
    <w:rsid w:val="6538B6A5"/>
    <w:rsid w:val="65472F01"/>
    <w:rsid w:val="654EEB49"/>
    <w:rsid w:val="6552175C"/>
    <w:rsid w:val="656BC95D"/>
    <w:rsid w:val="656E2594"/>
    <w:rsid w:val="657B3BD1"/>
    <w:rsid w:val="6580F607"/>
    <w:rsid w:val="65832D42"/>
    <w:rsid w:val="65865330"/>
    <w:rsid w:val="65A2238B"/>
    <w:rsid w:val="65AF58EA"/>
    <w:rsid w:val="65B9148F"/>
    <w:rsid w:val="65C51FC0"/>
    <w:rsid w:val="65C7189E"/>
    <w:rsid w:val="65D0BE82"/>
    <w:rsid w:val="65D1968A"/>
    <w:rsid w:val="65D2265A"/>
    <w:rsid w:val="65EAFAA5"/>
    <w:rsid w:val="65F445EE"/>
    <w:rsid w:val="660028BE"/>
    <w:rsid w:val="6600DCD0"/>
    <w:rsid w:val="6610D8DA"/>
    <w:rsid w:val="661B621D"/>
    <w:rsid w:val="661D7A24"/>
    <w:rsid w:val="6631DB8A"/>
    <w:rsid w:val="66364D7C"/>
    <w:rsid w:val="663E37E1"/>
    <w:rsid w:val="664BF608"/>
    <w:rsid w:val="666B8612"/>
    <w:rsid w:val="6670E11E"/>
    <w:rsid w:val="6672B1B7"/>
    <w:rsid w:val="66835E30"/>
    <w:rsid w:val="6687ED59"/>
    <w:rsid w:val="66AA93AF"/>
    <w:rsid w:val="66AF6AB9"/>
    <w:rsid w:val="66C61A08"/>
    <w:rsid w:val="66D67B99"/>
    <w:rsid w:val="66DB231F"/>
    <w:rsid w:val="66E0285B"/>
    <w:rsid w:val="66E60BAA"/>
    <w:rsid w:val="66E7E906"/>
    <w:rsid w:val="66EAF021"/>
    <w:rsid w:val="66EDF130"/>
    <w:rsid w:val="66FA9351"/>
    <w:rsid w:val="6737ADBA"/>
    <w:rsid w:val="6745837F"/>
    <w:rsid w:val="674FB0A8"/>
    <w:rsid w:val="6758B651"/>
    <w:rsid w:val="6765F819"/>
    <w:rsid w:val="676DF4DA"/>
    <w:rsid w:val="6780B0B4"/>
    <w:rsid w:val="6784AA28"/>
    <w:rsid w:val="6787B6B2"/>
    <w:rsid w:val="678849E5"/>
    <w:rsid w:val="67AD5771"/>
    <w:rsid w:val="67B37675"/>
    <w:rsid w:val="67CA0F06"/>
    <w:rsid w:val="67D6B626"/>
    <w:rsid w:val="67D774DF"/>
    <w:rsid w:val="67E748B6"/>
    <w:rsid w:val="67E7BF90"/>
    <w:rsid w:val="67F2D03F"/>
    <w:rsid w:val="67F8CA6B"/>
    <w:rsid w:val="680F8C95"/>
    <w:rsid w:val="68132576"/>
    <w:rsid w:val="68190AE0"/>
    <w:rsid w:val="68199B13"/>
    <w:rsid w:val="68275927"/>
    <w:rsid w:val="68287A3E"/>
    <w:rsid w:val="682C4540"/>
    <w:rsid w:val="68355994"/>
    <w:rsid w:val="68420F57"/>
    <w:rsid w:val="68431152"/>
    <w:rsid w:val="6846E1C2"/>
    <w:rsid w:val="684F71B0"/>
    <w:rsid w:val="68629C15"/>
    <w:rsid w:val="686D3976"/>
    <w:rsid w:val="687B55A4"/>
    <w:rsid w:val="68812538"/>
    <w:rsid w:val="6892057F"/>
    <w:rsid w:val="689B9BE0"/>
    <w:rsid w:val="68B2923E"/>
    <w:rsid w:val="68B71E2A"/>
    <w:rsid w:val="68BBA940"/>
    <w:rsid w:val="68C26ED7"/>
    <w:rsid w:val="68C665C4"/>
    <w:rsid w:val="68D7B268"/>
    <w:rsid w:val="68DE92E7"/>
    <w:rsid w:val="68E6B029"/>
    <w:rsid w:val="68EA62EE"/>
    <w:rsid w:val="68F1DEB5"/>
    <w:rsid w:val="68F21D55"/>
    <w:rsid w:val="68F2F511"/>
    <w:rsid w:val="690503B8"/>
    <w:rsid w:val="6911043D"/>
    <w:rsid w:val="6920D4BF"/>
    <w:rsid w:val="6945C65C"/>
    <w:rsid w:val="69795175"/>
    <w:rsid w:val="69925053"/>
    <w:rsid w:val="69B24B68"/>
    <w:rsid w:val="69CB394C"/>
    <w:rsid w:val="69D1B8A1"/>
    <w:rsid w:val="69D201E2"/>
    <w:rsid w:val="69D3FBDC"/>
    <w:rsid w:val="69D664AF"/>
    <w:rsid w:val="69E5ECA2"/>
    <w:rsid w:val="69F1EE96"/>
    <w:rsid w:val="69F94A75"/>
    <w:rsid w:val="6A103FC1"/>
    <w:rsid w:val="6A249917"/>
    <w:rsid w:val="6A269DAE"/>
    <w:rsid w:val="6A30C3F2"/>
    <w:rsid w:val="6A40E8B1"/>
    <w:rsid w:val="6A488EC7"/>
    <w:rsid w:val="6A54F459"/>
    <w:rsid w:val="6A558B16"/>
    <w:rsid w:val="6A5BF138"/>
    <w:rsid w:val="6A5CEAC7"/>
    <w:rsid w:val="6A769193"/>
    <w:rsid w:val="6A82CA5F"/>
    <w:rsid w:val="6A8D6DF0"/>
    <w:rsid w:val="6AA8FAE9"/>
    <w:rsid w:val="6AB1EA1A"/>
    <w:rsid w:val="6AB46956"/>
    <w:rsid w:val="6AB51935"/>
    <w:rsid w:val="6AB7C63D"/>
    <w:rsid w:val="6ABD53A6"/>
    <w:rsid w:val="6ACD9AF0"/>
    <w:rsid w:val="6ADA8755"/>
    <w:rsid w:val="6AE11A98"/>
    <w:rsid w:val="6AE78ACC"/>
    <w:rsid w:val="6AEFBE26"/>
    <w:rsid w:val="6AFDAA6C"/>
    <w:rsid w:val="6B00ABC3"/>
    <w:rsid w:val="6B041A29"/>
    <w:rsid w:val="6B0606FE"/>
    <w:rsid w:val="6B0A857A"/>
    <w:rsid w:val="6B284998"/>
    <w:rsid w:val="6B2B39ED"/>
    <w:rsid w:val="6B2E9EE6"/>
    <w:rsid w:val="6B32835C"/>
    <w:rsid w:val="6B34D019"/>
    <w:rsid w:val="6B5AC26B"/>
    <w:rsid w:val="6B6B320D"/>
    <w:rsid w:val="6B928348"/>
    <w:rsid w:val="6B93596B"/>
    <w:rsid w:val="6B9C1ABE"/>
    <w:rsid w:val="6BA0064D"/>
    <w:rsid w:val="6BB073E6"/>
    <w:rsid w:val="6BC58BAB"/>
    <w:rsid w:val="6BD75FC1"/>
    <w:rsid w:val="6BE289A6"/>
    <w:rsid w:val="6BE844D4"/>
    <w:rsid w:val="6BF318E8"/>
    <w:rsid w:val="6C0069C5"/>
    <w:rsid w:val="6C00C8C3"/>
    <w:rsid w:val="6C0501DF"/>
    <w:rsid w:val="6C075F39"/>
    <w:rsid w:val="6C0A1F72"/>
    <w:rsid w:val="6C14F1BB"/>
    <w:rsid w:val="6C18F4A2"/>
    <w:rsid w:val="6C288771"/>
    <w:rsid w:val="6C299D9F"/>
    <w:rsid w:val="6C2D1E12"/>
    <w:rsid w:val="6C427033"/>
    <w:rsid w:val="6C52542F"/>
    <w:rsid w:val="6C57FC20"/>
    <w:rsid w:val="6C771161"/>
    <w:rsid w:val="6C7CEAF9"/>
    <w:rsid w:val="6C804C3C"/>
    <w:rsid w:val="6C8CB4A4"/>
    <w:rsid w:val="6C944D01"/>
    <w:rsid w:val="6C9FDC42"/>
    <w:rsid w:val="6CC29588"/>
    <w:rsid w:val="6CC63E79"/>
    <w:rsid w:val="6CD5ACB8"/>
    <w:rsid w:val="6CD85502"/>
    <w:rsid w:val="6CF4FC59"/>
    <w:rsid w:val="6CF75B33"/>
    <w:rsid w:val="6CF9A720"/>
    <w:rsid w:val="6D134FD5"/>
    <w:rsid w:val="6D279A60"/>
    <w:rsid w:val="6D351D76"/>
    <w:rsid w:val="6D3D5179"/>
    <w:rsid w:val="6D4680B5"/>
    <w:rsid w:val="6D47A2F4"/>
    <w:rsid w:val="6D483D20"/>
    <w:rsid w:val="6D4C7CBC"/>
    <w:rsid w:val="6D6F4AFB"/>
    <w:rsid w:val="6D78E7F3"/>
    <w:rsid w:val="6D78E9BC"/>
    <w:rsid w:val="6D7C2DB5"/>
    <w:rsid w:val="6D831869"/>
    <w:rsid w:val="6D877DC2"/>
    <w:rsid w:val="6D88A992"/>
    <w:rsid w:val="6D8A879E"/>
    <w:rsid w:val="6D8E9271"/>
    <w:rsid w:val="6D95A948"/>
    <w:rsid w:val="6D9B89BB"/>
    <w:rsid w:val="6DA87A2A"/>
    <w:rsid w:val="6DAA1001"/>
    <w:rsid w:val="6DC2FE15"/>
    <w:rsid w:val="6DC36F42"/>
    <w:rsid w:val="6DC956CC"/>
    <w:rsid w:val="6DDBA7D7"/>
    <w:rsid w:val="6DEF1C9D"/>
    <w:rsid w:val="6E05EFE2"/>
    <w:rsid w:val="6E088BDD"/>
    <w:rsid w:val="6E18BB5A"/>
    <w:rsid w:val="6E1DC2FD"/>
    <w:rsid w:val="6E25AD09"/>
    <w:rsid w:val="6E3CD624"/>
    <w:rsid w:val="6E423A40"/>
    <w:rsid w:val="6E4B1432"/>
    <w:rsid w:val="6E53BB0D"/>
    <w:rsid w:val="6E6FAFD0"/>
    <w:rsid w:val="6E7E4C86"/>
    <w:rsid w:val="6E842C3D"/>
    <w:rsid w:val="6E875F28"/>
    <w:rsid w:val="6E96FE74"/>
    <w:rsid w:val="6EA0A3C3"/>
    <w:rsid w:val="6EA4D444"/>
    <w:rsid w:val="6EA891FC"/>
    <w:rsid w:val="6EB9F070"/>
    <w:rsid w:val="6EC19DBC"/>
    <w:rsid w:val="6EC783F2"/>
    <w:rsid w:val="6EC8326A"/>
    <w:rsid w:val="6EDA054E"/>
    <w:rsid w:val="6EEB06FD"/>
    <w:rsid w:val="6EEDC8A8"/>
    <w:rsid w:val="6EF3337F"/>
    <w:rsid w:val="6F0509BA"/>
    <w:rsid w:val="6F11B260"/>
    <w:rsid w:val="6F23CEFA"/>
    <w:rsid w:val="6F2CFC28"/>
    <w:rsid w:val="6F3090B9"/>
    <w:rsid w:val="6F374792"/>
    <w:rsid w:val="6F38982E"/>
    <w:rsid w:val="6F43B536"/>
    <w:rsid w:val="6F442466"/>
    <w:rsid w:val="6F5CC282"/>
    <w:rsid w:val="6F610A54"/>
    <w:rsid w:val="6F627C58"/>
    <w:rsid w:val="6F669A03"/>
    <w:rsid w:val="6F6A1960"/>
    <w:rsid w:val="6F6E0727"/>
    <w:rsid w:val="6F6F8E7B"/>
    <w:rsid w:val="6F8A3EDC"/>
    <w:rsid w:val="6FA2EBD0"/>
    <w:rsid w:val="6FA8E8C1"/>
    <w:rsid w:val="6FADD2ED"/>
    <w:rsid w:val="6FCB0C03"/>
    <w:rsid w:val="700AF0BA"/>
    <w:rsid w:val="70132AE4"/>
    <w:rsid w:val="70189413"/>
    <w:rsid w:val="702E47AA"/>
    <w:rsid w:val="7031A689"/>
    <w:rsid w:val="703FCD2E"/>
    <w:rsid w:val="70412F0D"/>
    <w:rsid w:val="704241C1"/>
    <w:rsid w:val="705C2DF8"/>
    <w:rsid w:val="7066F788"/>
    <w:rsid w:val="706B2543"/>
    <w:rsid w:val="706B98A7"/>
    <w:rsid w:val="7074F23B"/>
    <w:rsid w:val="70935333"/>
    <w:rsid w:val="709A7CB5"/>
    <w:rsid w:val="70BD00D1"/>
    <w:rsid w:val="70CD7C7C"/>
    <w:rsid w:val="70CF7AB2"/>
    <w:rsid w:val="710C37C9"/>
    <w:rsid w:val="7116A1CF"/>
    <w:rsid w:val="711FABC2"/>
    <w:rsid w:val="71268A0F"/>
    <w:rsid w:val="713DB20C"/>
    <w:rsid w:val="71485E4C"/>
    <w:rsid w:val="71509795"/>
    <w:rsid w:val="7179AED6"/>
    <w:rsid w:val="71808A28"/>
    <w:rsid w:val="7191B10B"/>
    <w:rsid w:val="719698E2"/>
    <w:rsid w:val="71B0A7DA"/>
    <w:rsid w:val="71B246B7"/>
    <w:rsid w:val="71C329B5"/>
    <w:rsid w:val="71CF7911"/>
    <w:rsid w:val="71E6D1D1"/>
    <w:rsid w:val="7211576D"/>
    <w:rsid w:val="721E0C92"/>
    <w:rsid w:val="72294DB9"/>
    <w:rsid w:val="7232D8E8"/>
    <w:rsid w:val="723C21C5"/>
    <w:rsid w:val="724687F4"/>
    <w:rsid w:val="7252F6B0"/>
    <w:rsid w:val="72750D0D"/>
    <w:rsid w:val="727619C9"/>
    <w:rsid w:val="72987FD5"/>
    <w:rsid w:val="729931BF"/>
    <w:rsid w:val="72A6EA73"/>
    <w:rsid w:val="72ABEE0D"/>
    <w:rsid w:val="72AF93B9"/>
    <w:rsid w:val="72C02B1A"/>
    <w:rsid w:val="72CB169F"/>
    <w:rsid w:val="72D05B34"/>
    <w:rsid w:val="730C1D06"/>
    <w:rsid w:val="7327B874"/>
    <w:rsid w:val="73478531"/>
    <w:rsid w:val="7357E4B0"/>
    <w:rsid w:val="736A2B75"/>
    <w:rsid w:val="73718A98"/>
    <w:rsid w:val="7371B20F"/>
    <w:rsid w:val="738147C2"/>
    <w:rsid w:val="738A4EEC"/>
    <w:rsid w:val="73970C76"/>
    <w:rsid w:val="73AE522F"/>
    <w:rsid w:val="73B3EE0D"/>
    <w:rsid w:val="73BD3862"/>
    <w:rsid w:val="73BD5E1A"/>
    <w:rsid w:val="73C04F6E"/>
    <w:rsid w:val="73C592CD"/>
    <w:rsid w:val="73E9D65F"/>
    <w:rsid w:val="73F0E105"/>
    <w:rsid w:val="73FE60A3"/>
    <w:rsid w:val="73FF1F1B"/>
    <w:rsid w:val="74026D1C"/>
    <w:rsid w:val="74161ACE"/>
    <w:rsid w:val="743136D9"/>
    <w:rsid w:val="7440737F"/>
    <w:rsid w:val="744900B7"/>
    <w:rsid w:val="7455962A"/>
    <w:rsid w:val="747FAEF2"/>
    <w:rsid w:val="747FC5D1"/>
    <w:rsid w:val="7494510C"/>
    <w:rsid w:val="74964397"/>
    <w:rsid w:val="74A1C772"/>
    <w:rsid w:val="74AC8E69"/>
    <w:rsid w:val="74B67744"/>
    <w:rsid w:val="74C43065"/>
    <w:rsid w:val="74CE9443"/>
    <w:rsid w:val="74DAD11F"/>
    <w:rsid w:val="74DFA6C5"/>
    <w:rsid w:val="74E1D134"/>
    <w:rsid w:val="74E7AEF9"/>
    <w:rsid w:val="74E7C98C"/>
    <w:rsid w:val="74F47A19"/>
    <w:rsid w:val="74F83405"/>
    <w:rsid w:val="74F99604"/>
    <w:rsid w:val="74FE229E"/>
    <w:rsid w:val="74FF4A8A"/>
    <w:rsid w:val="750A704D"/>
    <w:rsid w:val="7522CF67"/>
    <w:rsid w:val="752A8FDB"/>
    <w:rsid w:val="7532DCD7"/>
    <w:rsid w:val="7538BFE7"/>
    <w:rsid w:val="75487689"/>
    <w:rsid w:val="754D94D8"/>
    <w:rsid w:val="755F2CBB"/>
    <w:rsid w:val="756B1BEA"/>
    <w:rsid w:val="756CEF1C"/>
    <w:rsid w:val="756E664C"/>
    <w:rsid w:val="758B9312"/>
    <w:rsid w:val="759482CF"/>
    <w:rsid w:val="75A779D2"/>
    <w:rsid w:val="75B8573D"/>
    <w:rsid w:val="75C9441F"/>
    <w:rsid w:val="75CA3CF8"/>
    <w:rsid w:val="75CFCED1"/>
    <w:rsid w:val="75F6E387"/>
    <w:rsid w:val="75FF0E07"/>
    <w:rsid w:val="760289BC"/>
    <w:rsid w:val="7602FE84"/>
    <w:rsid w:val="760CADC2"/>
    <w:rsid w:val="760F1726"/>
    <w:rsid w:val="76147AF6"/>
    <w:rsid w:val="761ABADE"/>
    <w:rsid w:val="761B9E33"/>
    <w:rsid w:val="762CBA5F"/>
    <w:rsid w:val="7636E77F"/>
    <w:rsid w:val="765CA8C3"/>
    <w:rsid w:val="766A34A2"/>
    <w:rsid w:val="766C6954"/>
    <w:rsid w:val="767EE4DF"/>
    <w:rsid w:val="7694970F"/>
    <w:rsid w:val="7697C773"/>
    <w:rsid w:val="769B6DFC"/>
    <w:rsid w:val="76B818ED"/>
    <w:rsid w:val="76BF780A"/>
    <w:rsid w:val="76C9EC11"/>
    <w:rsid w:val="76D8B9C5"/>
    <w:rsid w:val="76DE52BC"/>
    <w:rsid w:val="76E09CFF"/>
    <w:rsid w:val="76EE66C4"/>
    <w:rsid w:val="770B5F4C"/>
    <w:rsid w:val="770F92E8"/>
    <w:rsid w:val="770FB446"/>
    <w:rsid w:val="771E6A2D"/>
    <w:rsid w:val="7734C166"/>
    <w:rsid w:val="77651480"/>
    <w:rsid w:val="776B60C9"/>
    <w:rsid w:val="77774F4C"/>
    <w:rsid w:val="777E5DC6"/>
    <w:rsid w:val="7784F305"/>
    <w:rsid w:val="779ED8AA"/>
    <w:rsid w:val="77A7B935"/>
    <w:rsid w:val="77D005F4"/>
    <w:rsid w:val="77D572A0"/>
    <w:rsid w:val="77DDCC90"/>
    <w:rsid w:val="77E9247F"/>
    <w:rsid w:val="77EF0806"/>
    <w:rsid w:val="77F0F35C"/>
    <w:rsid w:val="7802DAE2"/>
    <w:rsid w:val="780516BB"/>
    <w:rsid w:val="7821604F"/>
    <w:rsid w:val="7825A7DE"/>
    <w:rsid w:val="7825EB70"/>
    <w:rsid w:val="784B2FD8"/>
    <w:rsid w:val="7850BBB1"/>
    <w:rsid w:val="785D2633"/>
    <w:rsid w:val="7860713F"/>
    <w:rsid w:val="787D25E1"/>
    <w:rsid w:val="787FF8C5"/>
    <w:rsid w:val="78860194"/>
    <w:rsid w:val="78ABA914"/>
    <w:rsid w:val="78CAEE0D"/>
    <w:rsid w:val="78CECEA2"/>
    <w:rsid w:val="78D788AE"/>
    <w:rsid w:val="78DBC58C"/>
    <w:rsid w:val="78DD975D"/>
    <w:rsid w:val="78E84EB0"/>
    <w:rsid w:val="78F2CF3B"/>
    <w:rsid w:val="79090ADF"/>
    <w:rsid w:val="791134CA"/>
    <w:rsid w:val="79150021"/>
    <w:rsid w:val="791974A1"/>
    <w:rsid w:val="791A5635"/>
    <w:rsid w:val="79471F61"/>
    <w:rsid w:val="794C35EF"/>
    <w:rsid w:val="794E603A"/>
    <w:rsid w:val="794E99D2"/>
    <w:rsid w:val="79561C87"/>
    <w:rsid w:val="795B98D7"/>
    <w:rsid w:val="798BB658"/>
    <w:rsid w:val="7995DA1B"/>
    <w:rsid w:val="79C05C11"/>
    <w:rsid w:val="79CC6CCE"/>
    <w:rsid w:val="79CCA1C8"/>
    <w:rsid w:val="79D56FF0"/>
    <w:rsid w:val="79DBF19D"/>
    <w:rsid w:val="79E98E4B"/>
    <w:rsid w:val="7A00E21B"/>
    <w:rsid w:val="7A0388D3"/>
    <w:rsid w:val="7A22256A"/>
    <w:rsid w:val="7A400FE5"/>
    <w:rsid w:val="7A4A74D6"/>
    <w:rsid w:val="7A5085DF"/>
    <w:rsid w:val="7A6AED4E"/>
    <w:rsid w:val="7A786A3D"/>
    <w:rsid w:val="7A7C59D1"/>
    <w:rsid w:val="7A7FE189"/>
    <w:rsid w:val="7A94F8CB"/>
    <w:rsid w:val="7A9D8B19"/>
    <w:rsid w:val="7AA15CED"/>
    <w:rsid w:val="7AA45B4E"/>
    <w:rsid w:val="7AA49102"/>
    <w:rsid w:val="7AB3AAAD"/>
    <w:rsid w:val="7AB622EE"/>
    <w:rsid w:val="7ACE6C6C"/>
    <w:rsid w:val="7ADE1605"/>
    <w:rsid w:val="7AE483EB"/>
    <w:rsid w:val="7AE91132"/>
    <w:rsid w:val="7AF53CEF"/>
    <w:rsid w:val="7AF7930C"/>
    <w:rsid w:val="7AFA740C"/>
    <w:rsid w:val="7B141804"/>
    <w:rsid w:val="7B281078"/>
    <w:rsid w:val="7B2D06EB"/>
    <w:rsid w:val="7B3952CA"/>
    <w:rsid w:val="7B41B9A7"/>
    <w:rsid w:val="7B43C746"/>
    <w:rsid w:val="7B52D4FE"/>
    <w:rsid w:val="7B53A597"/>
    <w:rsid w:val="7B79088D"/>
    <w:rsid w:val="7B82B0D0"/>
    <w:rsid w:val="7B8EE1FC"/>
    <w:rsid w:val="7B93BE2D"/>
    <w:rsid w:val="7BA130A0"/>
    <w:rsid w:val="7BBCDE35"/>
    <w:rsid w:val="7BCFEA6C"/>
    <w:rsid w:val="7BD57081"/>
    <w:rsid w:val="7BD7EED1"/>
    <w:rsid w:val="7BEEF43D"/>
    <w:rsid w:val="7BF2C2F2"/>
    <w:rsid w:val="7C04CC2F"/>
    <w:rsid w:val="7C0D61E4"/>
    <w:rsid w:val="7C1306BD"/>
    <w:rsid w:val="7C1E87E2"/>
    <w:rsid w:val="7C3A2379"/>
    <w:rsid w:val="7C4F7B0E"/>
    <w:rsid w:val="7C516F9C"/>
    <w:rsid w:val="7C5691AE"/>
    <w:rsid w:val="7C68D80F"/>
    <w:rsid w:val="7C7048A8"/>
    <w:rsid w:val="7C7A49B8"/>
    <w:rsid w:val="7C98BE74"/>
    <w:rsid w:val="7CA19ADD"/>
    <w:rsid w:val="7CB1A916"/>
    <w:rsid w:val="7CCBA42F"/>
    <w:rsid w:val="7CD0182C"/>
    <w:rsid w:val="7CD154F0"/>
    <w:rsid w:val="7CD57AE8"/>
    <w:rsid w:val="7CD6B1E2"/>
    <w:rsid w:val="7D15B19E"/>
    <w:rsid w:val="7D3A49AE"/>
    <w:rsid w:val="7D418173"/>
    <w:rsid w:val="7D4CF034"/>
    <w:rsid w:val="7D7E8928"/>
    <w:rsid w:val="7D8A0864"/>
    <w:rsid w:val="7D92BABD"/>
    <w:rsid w:val="7DB33F44"/>
    <w:rsid w:val="7DC08C04"/>
    <w:rsid w:val="7DC53AE7"/>
    <w:rsid w:val="7DCF48E7"/>
    <w:rsid w:val="7DD20629"/>
    <w:rsid w:val="7DDB2B04"/>
    <w:rsid w:val="7DEECB2D"/>
    <w:rsid w:val="7DF2523A"/>
    <w:rsid w:val="7E003666"/>
    <w:rsid w:val="7E05D21E"/>
    <w:rsid w:val="7E0A5554"/>
    <w:rsid w:val="7E0AA9EF"/>
    <w:rsid w:val="7E0DF565"/>
    <w:rsid w:val="7E0E1DB9"/>
    <w:rsid w:val="7E2120DE"/>
    <w:rsid w:val="7E29847D"/>
    <w:rsid w:val="7E4B8EC4"/>
    <w:rsid w:val="7E509C97"/>
    <w:rsid w:val="7E5656B0"/>
    <w:rsid w:val="7E76540C"/>
    <w:rsid w:val="7E7A7119"/>
    <w:rsid w:val="7E96F773"/>
    <w:rsid w:val="7EAE2182"/>
    <w:rsid w:val="7EC78A72"/>
    <w:rsid w:val="7EF7332A"/>
    <w:rsid w:val="7F140923"/>
    <w:rsid w:val="7F259406"/>
    <w:rsid w:val="7F25DDFD"/>
    <w:rsid w:val="7F29A74F"/>
    <w:rsid w:val="7F458D87"/>
    <w:rsid w:val="7F49E9B2"/>
    <w:rsid w:val="7F5495DE"/>
    <w:rsid w:val="7F5F1C81"/>
    <w:rsid w:val="7F68ACEA"/>
    <w:rsid w:val="7F733E5C"/>
    <w:rsid w:val="7F7468A4"/>
    <w:rsid w:val="7F8548FB"/>
    <w:rsid w:val="7F8AED79"/>
    <w:rsid w:val="7FA1F751"/>
    <w:rsid w:val="7FAC5822"/>
    <w:rsid w:val="7FACD133"/>
    <w:rsid w:val="7FB9ECAA"/>
    <w:rsid w:val="7FD56067"/>
    <w:rsid w:val="7FD6B2BF"/>
    <w:rsid w:val="7FFCC7EF"/>
    <w:rsid w:val="7FFCE02D"/>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D56B15B"/>
  <w15:docId w15:val="{82D54F0B-0D8B-4F81-B724-D4B78CA98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pl" w:eastAsia="en-I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C1F"/>
  </w:style>
  <w:style w:type="paragraph" w:styleId="Heading1">
    <w:name w:val="heading 1"/>
    <w:basedOn w:val="Normal"/>
    <w:next w:val="Text1"/>
    <w:link w:val="Heading1Char"/>
    <w:uiPriority w:val="9"/>
    <w:qFormat/>
    <w:pPr>
      <w:keepNext/>
      <w:spacing w:before="360" w:after="360" w:line="240" w:lineRule="auto"/>
      <w:jc w:val="center"/>
      <w:outlineLvl w:val="0"/>
    </w:pPr>
    <w:rPr>
      <w:rFonts w:ascii="Symbol" w:hAnsi="Symbol" w:cs="Symbol"/>
      <w:b/>
      <w:smallCaps/>
      <w:sz w:val="28"/>
    </w:rPr>
  </w:style>
  <w:style w:type="paragraph" w:styleId="Heading2">
    <w:name w:val="heading 2"/>
    <w:basedOn w:val="Normal"/>
    <w:next w:val="Text1"/>
    <w:link w:val="Heading2Char"/>
    <w:uiPriority w:val="9"/>
    <w:unhideWhenUsed/>
    <w:qFormat/>
    <w:pPr>
      <w:keepNext/>
      <w:numPr>
        <w:ilvl w:val="1"/>
        <w:numId w:val="51"/>
      </w:numPr>
      <w:spacing w:before="120" w:after="120" w:line="240" w:lineRule="auto"/>
      <w:jc w:val="both"/>
      <w:outlineLvl w:val="1"/>
    </w:pPr>
    <w:rPr>
      <w:rFonts w:ascii="Symbol" w:eastAsiaTheme="majorEastAsia" w:hAnsi="Symbol" w:cs="Symbol"/>
      <w:b/>
      <w:sz w:val="24"/>
    </w:rPr>
  </w:style>
  <w:style w:type="paragraph" w:styleId="Heading3">
    <w:name w:val="heading 3"/>
    <w:basedOn w:val="Normal"/>
    <w:next w:val="Text1"/>
    <w:link w:val="Heading3Char"/>
    <w:uiPriority w:val="9"/>
    <w:unhideWhenUsed/>
    <w:qFormat/>
    <w:pPr>
      <w:keepNext/>
      <w:numPr>
        <w:ilvl w:val="2"/>
        <w:numId w:val="51"/>
      </w:numPr>
      <w:spacing w:before="120" w:after="120" w:line="240" w:lineRule="auto"/>
      <w:jc w:val="both"/>
      <w:outlineLvl w:val="2"/>
    </w:pPr>
    <w:rPr>
      <w:rFonts w:ascii="Symbol" w:eastAsiaTheme="majorEastAsia" w:hAnsi="Symbol" w:cs="Symbol"/>
      <w:i/>
      <w:sz w:val="24"/>
    </w:rPr>
  </w:style>
  <w:style w:type="paragraph" w:styleId="Heading4">
    <w:name w:val="heading 4"/>
    <w:basedOn w:val="Normal"/>
    <w:next w:val="Text1"/>
    <w:link w:val="Heading4Char"/>
    <w:uiPriority w:val="9"/>
    <w:unhideWhenUsed/>
    <w:qFormat/>
    <w:pPr>
      <w:keepNext/>
      <w:numPr>
        <w:ilvl w:val="3"/>
        <w:numId w:val="51"/>
      </w:numPr>
      <w:spacing w:before="120" w:after="120" w:line="240" w:lineRule="auto"/>
      <w:jc w:val="both"/>
      <w:outlineLvl w:val="3"/>
    </w:pPr>
    <w:rPr>
      <w:rFonts w:ascii="Symbol" w:eastAsiaTheme="majorEastAsia" w:hAnsi="Symbol" w:cs="Symbol"/>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Symbol" w:hAnsi="Symbol" w:cs="Symbol"/>
      <w:b/>
      <w:smallCaps/>
      <w:sz w:val="28"/>
    </w:rPr>
  </w:style>
  <w:style w:type="character" w:customStyle="1" w:styleId="Heading2Char">
    <w:name w:val="Heading 2 Char"/>
    <w:basedOn w:val="DefaultParagraphFont"/>
    <w:link w:val="Heading2"/>
    <w:uiPriority w:val="9"/>
    <w:rPr>
      <w:rFonts w:ascii="Symbol" w:eastAsiaTheme="majorEastAsia" w:hAnsi="Symbol" w:cs="Symbol"/>
      <w:b/>
      <w:sz w:val="24"/>
    </w:rPr>
  </w:style>
  <w:style w:type="character" w:customStyle="1" w:styleId="Heading3Char">
    <w:name w:val="Heading 3 Char"/>
    <w:basedOn w:val="DefaultParagraphFont"/>
    <w:link w:val="Heading3"/>
    <w:uiPriority w:val="9"/>
    <w:rPr>
      <w:rFonts w:ascii="Symbol" w:eastAsiaTheme="majorEastAsia" w:hAnsi="Symbol" w:cs="Symbol"/>
      <w:i/>
      <w:sz w:val="24"/>
    </w:rPr>
  </w:style>
  <w:style w:type="character" w:customStyle="1" w:styleId="Heading4Char">
    <w:name w:val="Heading 4 Char"/>
    <w:basedOn w:val="DefaultParagraphFont"/>
    <w:link w:val="Heading4"/>
    <w:uiPriority w:val="9"/>
    <w:rPr>
      <w:rFonts w:ascii="Symbol" w:eastAsiaTheme="majorEastAsia" w:hAnsi="Symbol" w:cs="Symbol"/>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Symbol" w:hAnsi="Symbol" w:cs="Symbol"/>
      <w:sz w:val="24"/>
    </w:rPr>
  </w:style>
  <w:style w:type="character" w:customStyle="1" w:styleId="HeaderChar">
    <w:name w:val="Header Char"/>
    <w:basedOn w:val="DefaultParagraphFont"/>
    <w:link w:val="Header"/>
    <w:uiPriority w:val="99"/>
    <w:rPr>
      <w:rFonts w:ascii="Symbol" w:hAnsi="Symbol" w:cs="Symbol"/>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Symbol" w:hAnsi="Symbol" w:cs="Symbol"/>
      <w:sz w:val="24"/>
    </w:rPr>
  </w:style>
  <w:style w:type="character" w:customStyle="1" w:styleId="FooterChar">
    <w:name w:val="Footer Char"/>
    <w:basedOn w:val="DefaultParagraphFont"/>
    <w:link w:val="Footer"/>
    <w:uiPriority w:val="99"/>
    <w:rPr>
      <w:rFonts w:ascii="Symbol" w:hAnsi="Symbol" w:cs="Symbol"/>
      <w:sz w:val="24"/>
    </w:rPr>
  </w:style>
  <w:style w:type="paragraph" w:styleId="FootnoteText">
    <w:name w:val="footnote text"/>
    <w:basedOn w:val="Normal"/>
    <w:link w:val="FootnoteTextChar"/>
    <w:uiPriority w:val="99"/>
    <w:unhideWhenUsed/>
    <w:pPr>
      <w:spacing w:after="0" w:line="240" w:lineRule="auto"/>
      <w:ind w:left="720" w:hanging="720"/>
      <w:jc w:val="both"/>
    </w:pPr>
    <w:rPr>
      <w:rFonts w:ascii="Symbol" w:hAnsi="Symbol" w:cs="Symbol"/>
      <w:sz w:val="20"/>
    </w:rPr>
  </w:style>
  <w:style w:type="character" w:customStyle="1" w:styleId="FootnoteTextChar">
    <w:name w:val="Footnote Text Char"/>
    <w:basedOn w:val="DefaultParagraphFont"/>
    <w:link w:val="FootnoteText"/>
    <w:uiPriority w:val="99"/>
    <w:rPr>
      <w:rFonts w:ascii="Symbol" w:hAnsi="Symbol" w:cs="Symbol"/>
      <w:sz w:val="20"/>
    </w:rPr>
  </w:style>
  <w:style w:type="paragraph" w:styleId="TOCHeading">
    <w:name w:val="TOC Heading"/>
    <w:basedOn w:val="Normal"/>
    <w:next w:val="Normal"/>
    <w:uiPriority w:val="39"/>
    <w:semiHidden/>
    <w:unhideWhenUsed/>
    <w:qFormat/>
    <w:pPr>
      <w:spacing w:before="120" w:after="240" w:line="240" w:lineRule="auto"/>
      <w:jc w:val="center"/>
    </w:pPr>
    <w:rPr>
      <w:rFonts w:ascii="Symbol" w:hAnsi="Symbol" w:cs="Symbol"/>
      <w:b/>
      <w:sz w:val="28"/>
    </w:rPr>
  </w:style>
  <w:style w:type="paragraph" w:styleId="TOC1">
    <w:name w:val="toc 1"/>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2">
    <w:name w:val="toc 2"/>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3">
    <w:name w:val="toc 3"/>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4">
    <w:name w:val="toc 4"/>
    <w:basedOn w:val="Normal"/>
    <w:next w:val="Normal"/>
    <w:uiPriority w:val="39"/>
    <w:semiHidden/>
    <w:unhideWhenUsed/>
    <w:pPr>
      <w:tabs>
        <w:tab w:val="right" w:leader="dot" w:pos="9071"/>
      </w:tabs>
      <w:spacing w:before="60" w:after="120" w:line="240" w:lineRule="auto"/>
      <w:ind w:left="850" w:hanging="850"/>
    </w:pPr>
    <w:rPr>
      <w:rFonts w:ascii="Symbol" w:hAnsi="Symbol" w:cs="Symbol"/>
      <w:sz w:val="24"/>
    </w:rPr>
  </w:style>
  <w:style w:type="paragraph" w:styleId="TOC5">
    <w:name w:val="toc 5"/>
    <w:basedOn w:val="Normal"/>
    <w:next w:val="Normal"/>
    <w:uiPriority w:val="39"/>
    <w:semiHidden/>
    <w:unhideWhenUsed/>
    <w:pPr>
      <w:tabs>
        <w:tab w:val="right" w:leader="dot" w:pos="9071"/>
      </w:tabs>
      <w:spacing w:before="300" w:after="120" w:line="240" w:lineRule="auto"/>
    </w:pPr>
    <w:rPr>
      <w:rFonts w:ascii="Symbol" w:hAnsi="Symbol" w:cs="Symbol"/>
      <w:sz w:val="24"/>
    </w:rPr>
  </w:style>
  <w:style w:type="paragraph" w:styleId="TOC6">
    <w:name w:val="toc 6"/>
    <w:basedOn w:val="Normal"/>
    <w:next w:val="Normal"/>
    <w:uiPriority w:val="39"/>
    <w:semiHidden/>
    <w:unhideWhenUsed/>
    <w:pPr>
      <w:tabs>
        <w:tab w:val="right" w:leader="dot" w:pos="9071"/>
      </w:tabs>
      <w:spacing w:before="240" w:after="120" w:line="240" w:lineRule="auto"/>
    </w:pPr>
    <w:rPr>
      <w:rFonts w:ascii="Symbol" w:hAnsi="Symbol" w:cs="Symbol"/>
      <w:sz w:val="24"/>
    </w:rPr>
  </w:style>
  <w:style w:type="paragraph" w:styleId="TOC7">
    <w:name w:val="toc 7"/>
    <w:basedOn w:val="Normal"/>
    <w:next w:val="Normal"/>
    <w:uiPriority w:val="39"/>
    <w:semiHidden/>
    <w:unhideWhenUsed/>
    <w:pPr>
      <w:tabs>
        <w:tab w:val="right" w:leader="dot" w:pos="9071"/>
      </w:tabs>
      <w:spacing w:before="180" w:after="120" w:line="240" w:lineRule="auto"/>
    </w:pPr>
    <w:rPr>
      <w:rFonts w:ascii="Symbol" w:hAnsi="Symbol" w:cs="Symbol"/>
      <w:sz w:val="24"/>
    </w:rPr>
  </w:style>
  <w:style w:type="paragraph" w:styleId="TOC8">
    <w:name w:val="toc 8"/>
    <w:basedOn w:val="Normal"/>
    <w:next w:val="Normal"/>
    <w:uiPriority w:val="39"/>
    <w:semiHidden/>
    <w:unhideWhenUsed/>
    <w:pPr>
      <w:tabs>
        <w:tab w:val="right" w:leader="dot" w:pos="9071"/>
      </w:tabs>
      <w:spacing w:before="120" w:after="120" w:line="240" w:lineRule="auto"/>
    </w:pPr>
    <w:rPr>
      <w:rFonts w:ascii="Symbol" w:hAnsi="Symbol" w:cs="Symbol"/>
      <w:sz w:val="24"/>
    </w:rPr>
  </w:style>
  <w:style w:type="paragraph" w:styleId="TOC9">
    <w:name w:val="toc 9"/>
    <w:basedOn w:val="Normal"/>
    <w:next w:val="Normal"/>
    <w:uiPriority w:val="39"/>
    <w:semiHidden/>
    <w:unhideWhenUsed/>
    <w:pPr>
      <w:tabs>
        <w:tab w:val="right" w:leader="dot" w:pos="9071"/>
      </w:tabs>
      <w:spacing w:before="120" w:after="120" w:line="240" w:lineRule="auto"/>
      <w:jc w:val="both"/>
    </w:pPr>
    <w:rPr>
      <w:rFonts w:ascii="Symbol" w:hAnsi="Symbol" w:cs="Symbol"/>
      <w:sz w:val="24"/>
    </w:rPr>
  </w:style>
  <w:style w:type="paragraph" w:customStyle="1" w:styleId="HeaderLandscape">
    <w:name w:val="HeaderLandscape"/>
    <w:basedOn w:val="Normal"/>
    <w:pPr>
      <w:tabs>
        <w:tab w:val="center" w:pos="7285"/>
        <w:tab w:val="right" w:pos="14003"/>
      </w:tabs>
      <w:spacing w:after="120" w:line="240" w:lineRule="auto"/>
      <w:jc w:val="both"/>
    </w:pPr>
    <w:rPr>
      <w:rFonts w:ascii="Symbol" w:hAnsi="Symbol" w:cs="Symbol"/>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Symbol" w:hAnsi="Symbol" w:cs="Symbol"/>
      <w:sz w:val="24"/>
    </w:rPr>
  </w:style>
  <w:style w:type="character" w:styleId="FootnoteReference">
    <w:name w:val="footnote reference"/>
    <w:basedOn w:val="DefaultParagraphFont"/>
    <w:uiPriority w:val="99"/>
    <w:unhideWhenUsed/>
    <w:rPr>
      <w:shd w:val="clear" w:color="auto" w:fill="auto"/>
      <w:vertAlign w:val="superscrip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pPr>
      <w:spacing w:before="120" w:after="120" w:line="240" w:lineRule="auto"/>
      <w:ind w:left="850"/>
      <w:jc w:val="both"/>
    </w:pPr>
    <w:rPr>
      <w:rFonts w:ascii="Symbol" w:hAnsi="Symbol" w:cs="Symbol"/>
      <w:sz w:val="24"/>
    </w:rPr>
  </w:style>
  <w:style w:type="paragraph" w:customStyle="1" w:styleId="Text2">
    <w:name w:val="Text 2"/>
    <w:basedOn w:val="Normal"/>
    <w:pPr>
      <w:spacing w:before="120" w:after="120" w:line="240" w:lineRule="auto"/>
      <w:ind w:left="1417"/>
      <w:jc w:val="both"/>
    </w:pPr>
    <w:rPr>
      <w:rFonts w:ascii="Symbol" w:hAnsi="Symbol" w:cs="Symbol"/>
      <w:sz w:val="24"/>
    </w:rPr>
  </w:style>
  <w:style w:type="paragraph" w:customStyle="1" w:styleId="Text3">
    <w:name w:val="Text 3"/>
    <w:basedOn w:val="Normal"/>
    <w:pPr>
      <w:spacing w:before="120" w:after="120" w:line="240" w:lineRule="auto"/>
      <w:ind w:left="1984"/>
      <w:jc w:val="both"/>
    </w:pPr>
    <w:rPr>
      <w:rFonts w:ascii="Symbol" w:hAnsi="Symbol" w:cs="Symbol"/>
      <w:sz w:val="24"/>
    </w:rPr>
  </w:style>
  <w:style w:type="paragraph" w:customStyle="1" w:styleId="Text4">
    <w:name w:val="Text 4"/>
    <w:basedOn w:val="Normal"/>
    <w:pPr>
      <w:spacing w:before="120" w:after="120" w:line="240" w:lineRule="auto"/>
      <w:ind w:left="2551"/>
      <w:jc w:val="both"/>
    </w:pPr>
    <w:rPr>
      <w:rFonts w:ascii="Symbol" w:hAnsi="Symbol" w:cs="Symbol"/>
      <w:sz w:val="24"/>
    </w:rPr>
  </w:style>
  <w:style w:type="paragraph" w:customStyle="1" w:styleId="NormalCentered">
    <w:name w:val="Normal Centered"/>
    <w:basedOn w:val="Normal"/>
    <w:pPr>
      <w:spacing w:before="120" w:after="120" w:line="240" w:lineRule="auto"/>
      <w:jc w:val="center"/>
    </w:pPr>
    <w:rPr>
      <w:rFonts w:ascii="Symbol" w:hAnsi="Symbol" w:cs="Symbol"/>
      <w:sz w:val="24"/>
    </w:rPr>
  </w:style>
  <w:style w:type="paragraph" w:customStyle="1" w:styleId="NormalLeft">
    <w:name w:val="Normal Left"/>
    <w:basedOn w:val="Normal"/>
    <w:pPr>
      <w:spacing w:before="120" w:after="120" w:line="240" w:lineRule="auto"/>
    </w:pPr>
    <w:rPr>
      <w:rFonts w:ascii="Symbol" w:hAnsi="Symbol" w:cs="Symbol"/>
      <w:sz w:val="24"/>
    </w:rPr>
  </w:style>
  <w:style w:type="paragraph" w:customStyle="1" w:styleId="NormalRight">
    <w:name w:val="Normal Right"/>
    <w:basedOn w:val="Normal"/>
    <w:pPr>
      <w:spacing w:before="120" w:after="120" w:line="240" w:lineRule="auto"/>
      <w:jc w:val="right"/>
    </w:pPr>
    <w:rPr>
      <w:rFonts w:ascii="Symbol" w:hAnsi="Symbol" w:cs="Symbol"/>
      <w:sz w:val="24"/>
    </w:rPr>
  </w:style>
  <w:style w:type="paragraph" w:customStyle="1" w:styleId="QuotedText">
    <w:name w:val="Quoted Text"/>
    <w:basedOn w:val="Normal"/>
    <w:pPr>
      <w:spacing w:before="120" w:after="120" w:line="240" w:lineRule="auto"/>
      <w:ind w:left="1417"/>
      <w:jc w:val="both"/>
    </w:pPr>
    <w:rPr>
      <w:rFonts w:ascii="Symbol" w:hAnsi="Symbol" w:cs="Symbol"/>
      <w:sz w:val="24"/>
    </w:rPr>
  </w:style>
  <w:style w:type="paragraph" w:customStyle="1" w:styleId="Point0">
    <w:name w:val="Point 0"/>
    <w:basedOn w:val="Normal"/>
    <w:pPr>
      <w:spacing w:before="120" w:after="120" w:line="240" w:lineRule="auto"/>
      <w:ind w:left="850" w:hanging="850"/>
      <w:jc w:val="both"/>
    </w:pPr>
    <w:rPr>
      <w:rFonts w:ascii="Symbol" w:hAnsi="Symbol" w:cs="Symbol"/>
      <w:sz w:val="24"/>
    </w:rPr>
  </w:style>
  <w:style w:type="paragraph" w:customStyle="1" w:styleId="Point1">
    <w:name w:val="Point 1"/>
    <w:basedOn w:val="Normal"/>
    <w:pPr>
      <w:spacing w:before="120" w:after="120" w:line="240" w:lineRule="auto"/>
      <w:ind w:left="1417" w:hanging="567"/>
      <w:jc w:val="both"/>
    </w:pPr>
    <w:rPr>
      <w:rFonts w:ascii="Symbol" w:hAnsi="Symbol" w:cs="Symbol"/>
      <w:sz w:val="24"/>
    </w:rPr>
  </w:style>
  <w:style w:type="paragraph" w:customStyle="1" w:styleId="Point2">
    <w:name w:val="Point 2"/>
    <w:basedOn w:val="Normal"/>
    <w:pPr>
      <w:spacing w:before="120" w:after="120" w:line="240" w:lineRule="auto"/>
      <w:ind w:left="1984" w:hanging="567"/>
      <w:jc w:val="both"/>
    </w:pPr>
    <w:rPr>
      <w:rFonts w:ascii="Symbol" w:hAnsi="Symbol" w:cs="Symbol"/>
      <w:sz w:val="24"/>
    </w:rPr>
  </w:style>
  <w:style w:type="paragraph" w:customStyle="1" w:styleId="Point3">
    <w:name w:val="Point 3"/>
    <w:basedOn w:val="Normal"/>
    <w:pPr>
      <w:spacing w:before="120" w:after="120" w:line="240" w:lineRule="auto"/>
      <w:ind w:left="2551" w:hanging="567"/>
      <w:jc w:val="both"/>
    </w:pPr>
    <w:rPr>
      <w:rFonts w:ascii="Symbol" w:hAnsi="Symbol" w:cs="Symbol"/>
      <w:sz w:val="24"/>
    </w:rPr>
  </w:style>
  <w:style w:type="paragraph" w:customStyle="1" w:styleId="Point4">
    <w:name w:val="Point 4"/>
    <w:basedOn w:val="Normal"/>
    <w:pPr>
      <w:spacing w:before="120" w:after="120" w:line="240" w:lineRule="auto"/>
      <w:ind w:left="3118" w:hanging="567"/>
      <w:jc w:val="both"/>
    </w:pPr>
    <w:rPr>
      <w:rFonts w:ascii="Symbol" w:hAnsi="Symbol" w:cs="Symbol"/>
      <w:sz w:val="24"/>
    </w:rPr>
  </w:style>
  <w:style w:type="paragraph" w:customStyle="1" w:styleId="Tiret0">
    <w:name w:val="Tiret 0"/>
    <w:basedOn w:val="Point0"/>
    <w:pPr>
      <w:numPr>
        <w:numId w:val="45"/>
      </w:numPr>
    </w:pPr>
  </w:style>
  <w:style w:type="paragraph" w:customStyle="1" w:styleId="Tiret1">
    <w:name w:val="Tiret 1"/>
    <w:basedOn w:val="Point1"/>
    <w:pPr>
      <w:numPr>
        <w:numId w:val="46"/>
      </w:numPr>
    </w:pPr>
  </w:style>
  <w:style w:type="paragraph" w:customStyle="1" w:styleId="Tiret2">
    <w:name w:val="Tiret 2"/>
    <w:basedOn w:val="Point2"/>
    <w:pPr>
      <w:numPr>
        <w:numId w:val="47"/>
      </w:numPr>
    </w:pPr>
  </w:style>
  <w:style w:type="paragraph" w:customStyle="1" w:styleId="Tiret3">
    <w:name w:val="Tiret 3"/>
    <w:basedOn w:val="Point3"/>
    <w:pPr>
      <w:numPr>
        <w:numId w:val="48"/>
      </w:numPr>
    </w:pPr>
  </w:style>
  <w:style w:type="paragraph" w:customStyle="1" w:styleId="Tiret4">
    <w:name w:val="Tiret 4"/>
    <w:basedOn w:val="Point4"/>
    <w:pPr>
      <w:numPr>
        <w:numId w:val="49"/>
      </w:numPr>
    </w:pPr>
  </w:style>
  <w:style w:type="paragraph" w:customStyle="1" w:styleId="PointDouble0">
    <w:name w:val="PointDouble 0"/>
    <w:basedOn w:val="Normal"/>
    <w:pPr>
      <w:tabs>
        <w:tab w:val="left" w:pos="850"/>
      </w:tabs>
      <w:spacing w:before="120" w:after="120" w:line="240" w:lineRule="auto"/>
      <w:ind w:left="1417" w:hanging="1417"/>
      <w:jc w:val="both"/>
    </w:pPr>
    <w:rPr>
      <w:rFonts w:ascii="Symbol" w:hAnsi="Symbol" w:cs="Symbol"/>
      <w:sz w:val="24"/>
    </w:rPr>
  </w:style>
  <w:style w:type="paragraph" w:customStyle="1" w:styleId="PointDouble1">
    <w:name w:val="PointDouble 1"/>
    <w:basedOn w:val="Normal"/>
    <w:pPr>
      <w:tabs>
        <w:tab w:val="left" w:pos="1417"/>
      </w:tabs>
      <w:spacing w:before="120" w:after="120" w:line="240" w:lineRule="auto"/>
      <w:ind w:left="1984" w:hanging="1134"/>
      <w:jc w:val="both"/>
    </w:pPr>
    <w:rPr>
      <w:rFonts w:ascii="Symbol" w:hAnsi="Symbol" w:cs="Symbol"/>
      <w:sz w:val="24"/>
    </w:rPr>
  </w:style>
  <w:style w:type="paragraph" w:customStyle="1" w:styleId="PointDouble2">
    <w:name w:val="PointDouble 2"/>
    <w:basedOn w:val="Normal"/>
    <w:pPr>
      <w:tabs>
        <w:tab w:val="left" w:pos="1984"/>
      </w:tabs>
      <w:spacing w:before="120" w:after="120" w:line="240" w:lineRule="auto"/>
      <w:ind w:left="2551" w:hanging="1134"/>
      <w:jc w:val="both"/>
    </w:pPr>
    <w:rPr>
      <w:rFonts w:ascii="Symbol" w:hAnsi="Symbol" w:cs="Symbol"/>
      <w:sz w:val="24"/>
    </w:rPr>
  </w:style>
  <w:style w:type="paragraph" w:customStyle="1" w:styleId="PointDouble3">
    <w:name w:val="PointDouble 3"/>
    <w:basedOn w:val="Normal"/>
    <w:pPr>
      <w:tabs>
        <w:tab w:val="left" w:pos="2551"/>
      </w:tabs>
      <w:spacing w:before="120" w:after="120" w:line="240" w:lineRule="auto"/>
      <w:ind w:left="3118" w:hanging="1134"/>
      <w:jc w:val="both"/>
    </w:pPr>
    <w:rPr>
      <w:rFonts w:ascii="Symbol" w:hAnsi="Symbol" w:cs="Symbol"/>
      <w:sz w:val="24"/>
    </w:rPr>
  </w:style>
  <w:style w:type="paragraph" w:customStyle="1" w:styleId="PointDouble4">
    <w:name w:val="PointDouble 4"/>
    <w:basedOn w:val="Normal"/>
    <w:pPr>
      <w:tabs>
        <w:tab w:val="left" w:pos="3118"/>
      </w:tabs>
      <w:spacing w:before="120" w:after="120" w:line="240" w:lineRule="auto"/>
      <w:ind w:left="3685" w:hanging="1134"/>
      <w:jc w:val="both"/>
    </w:pPr>
    <w:rPr>
      <w:rFonts w:ascii="Symbol" w:hAnsi="Symbol" w:cs="Symbol"/>
      <w:sz w:val="24"/>
    </w:rPr>
  </w:style>
  <w:style w:type="paragraph" w:customStyle="1" w:styleId="PointTriple0">
    <w:name w:val="PointTriple 0"/>
    <w:basedOn w:val="Normal"/>
    <w:pPr>
      <w:tabs>
        <w:tab w:val="left" w:pos="850"/>
        <w:tab w:val="left" w:pos="1417"/>
      </w:tabs>
      <w:spacing w:before="120" w:after="120" w:line="240" w:lineRule="auto"/>
      <w:ind w:left="1984" w:hanging="1984"/>
      <w:jc w:val="both"/>
    </w:pPr>
    <w:rPr>
      <w:rFonts w:ascii="Symbol" w:hAnsi="Symbol" w:cs="Symbol"/>
      <w:sz w:val="24"/>
    </w:rPr>
  </w:style>
  <w:style w:type="paragraph" w:customStyle="1" w:styleId="PointTriple1">
    <w:name w:val="PointTriple 1"/>
    <w:basedOn w:val="Normal"/>
    <w:pPr>
      <w:tabs>
        <w:tab w:val="left" w:pos="1417"/>
        <w:tab w:val="left" w:pos="1984"/>
      </w:tabs>
      <w:spacing w:before="120" w:after="120" w:line="240" w:lineRule="auto"/>
      <w:ind w:left="2551" w:hanging="1701"/>
      <w:jc w:val="both"/>
    </w:pPr>
    <w:rPr>
      <w:rFonts w:ascii="Symbol" w:hAnsi="Symbol" w:cs="Symbol"/>
      <w:sz w:val="24"/>
    </w:rPr>
  </w:style>
  <w:style w:type="paragraph" w:customStyle="1" w:styleId="PointTriple2">
    <w:name w:val="PointTriple 2"/>
    <w:basedOn w:val="Normal"/>
    <w:pPr>
      <w:tabs>
        <w:tab w:val="left" w:pos="1984"/>
        <w:tab w:val="left" w:pos="2551"/>
      </w:tabs>
      <w:spacing w:before="120" w:after="120" w:line="240" w:lineRule="auto"/>
      <w:ind w:left="3118" w:hanging="1701"/>
      <w:jc w:val="both"/>
    </w:pPr>
    <w:rPr>
      <w:rFonts w:ascii="Symbol" w:hAnsi="Symbol" w:cs="Symbol"/>
      <w:sz w:val="24"/>
    </w:rPr>
  </w:style>
  <w:style w:type="paragraph" w:customStyle="1" w:styleId="PointTriple3">
    <w:name w:val="PointTriple 3"/>
    <w:basedOn w:val="Normal"/>
    <w:pPr>
      <w:tabs>
        <w:tab w:val="left" w:pos="2551"/>
        <w:tab w:val="left" w:pos="3118"/>
      </w:tabs>
      <w:spacing w:before="120" w:after="120" w:line="240" w:lineRule="auto"/>
      <w:ind w:left="3685" w:hanging="1701"/>
      <w:jc w:val="both"/>
    </w:pPr>
    <w:rPr>
      <w:rFonts w:ascii="Symbol" w:hAnsi="Symbol" w:cs="Symbol"/>
      <w:sz w:val="24"/>
    </w:rPr>
  </w:style>
  <w:style w:type="paragraph" w:customStyle="1" w:styleId="PointTriple4">
    <w:name w:val="PointTriple 4"/>
    <w:basedOn w:val="Normal"/>
    <w:pPr>
      <w:tabs>
        <w:tab w:val="left" w:pos="3118"/>
        <w:tab w:val="left" w:pos="3685"/>
      </w:tabs>
      <w:spacing w:before="120" w:after="120" w:line="240" w:lineRule="auto"/>
      <w:ind w:left="4252" w:hanging="1701"/>
      <w:jc w:val="both"/>
    </w:pPr>
    <w:rPr>
      <w:rFonts w:ascii="Symbol" w:hAnsi="Symbol" w:cs="Symbol"/>
      <w:sz w:val="24"/>
    </w:rPr>
  </w:style>
  <w:style w:type="paragraph" w:customStyle="1" w:styleId="NumPar1">
    <w:name w:val="NumPar 1"/>
    <w:basedOn w:val="Normal"/>
    <w:next w:val="Text1"/>
    <w:pPr>
      <w:numPr>
        <w:numId w:val="50"/>
      </w:numPr>
      <w:spacing w:before="120" w:after="120" w:line="240" w:lineRule="auto"/>
      <w:jc w:val="both"/>
    </w:pPr>
    <w:rPr>
      <w:rFonts w:ascii="Segoe UI" w:hAnsi="Segoe UI" w:cs="Segoe UI"/>
      <w:sz w:val="24"/>
    </w:rPr>
  </w:style>
  <w:style w:type="paragraph" w:customStyle="1" w:styleId="NumPar2">
    <w:name w:val="NumPar 2"/>
    <w:basedOn w:val="Normal"/>
    <w:next w:val="Text1"/>
    <w:pPr>
      <w:numPr>
        <w:ilvl w:val="1"/>
        <w:numId w:val="50"/>
      </w:numPr>
      <w:tabs>
        <w:tab w:val="clear" w:pos="6236"/>
        <w:tab w:val="num" w:pos="850"/>
      </w:tabs>
      <w:spacing w:before="120" w:after="120" w:line="240" w:lineRule="auto"/>
      <w:ind w:left="850"/>
      <w:jc w:val="both"/>
    </w:pPr>
    <w:rPr>
      <w:rFonts w:ascii="Symbol" w:hAnsi="Symbol" w:cs="Symbol"/>
      <w:sz w:val="24"/>
    </w:rPr>
  </w:style>
  <w:style w:type="paragraph" w:customStyle="1" w:styleId="NumPar3">
    <w:name w:val="NumPar 3"/>
    <w:basedOn w:val="Normal"/>
    <w:next w:val="Text1"/>
    <w:pPr>
      <w:numPr>
        <w:ilvl w:val="2"/>
        <w:numId w:val="50"/>
      </w:numPr>
      <w:spacing w:before="120" w:after="120" w:line="240" w:lineRule="auto"/>
      <w:jc w:val="both"/>
    </w:pPr>
    <w:rPr>
      <w:rFonts w:ascii="Symbol" w:hAnsi="Symbol" w:cs="Symbol"/>
      <w:sz w:val="24"/>
    </w:rPr>
  </w:style>
  <w:style w:type="paragraph" w:customStyle="1" w:styleId="NumPar4">
    <w:name w:val="NumPar 4"/>
    <w:basedOn w:val="Normal"/>
    <w:next w:val="Text1"/>
    <w:pPr>
      <w:numPr>
        <w:ilvl w:val="3"/>
        <w:numId w:val="50"/>
      </w:numPr>
      <w:spacing w:before="120" w:after="120" w:line="240" w:lineRule="auto"/>
      <w:jc w:val="both"/>
    </w:pPr>
    <w:rPr>
      <w:rFonts w:ascii="Symbol" w:hAnsi="Symbol" w:cs="Symbol"/>
      <w:sz w:val="24"/>
    </w:rPr>
  </w:style>
  <w:style w:type="paragraph" w:customStyle="1" w:styleId="ManualNumPar1">
    <w:name w:val="Manual NumPar 1"/>
    <w:basedOn w:val="Normal"/>
    <w:next w:val="Text1"/>
    <w:pPr>
      <w:spacing w:before="120" w:after="120" w:line="240" w:lineRule="auto"/>
      <w:ind w:left="850" w:hanging="850"/>
      <w:jc w:val="both"/>
    </w:pPr>
    <w:rPr>
      <w:rFonts w:ascii="Symbol" w:hAnsi="Symbol" w:cs="Symbol"/>
      <w:sz w:val="24"/>
    </w:rPr>
  </w:style>
  <w:style w:type="paragraph" w:customStyle="1" w:styleId="ManualNumPar2">
    <w:name w:val="Manual NumPar 2"/>
    <w:basedOn w:val="Normal"/>
    <w:next w:val="Text1"/>
    <w:pPr>
      <w:spacing w:before="120" w:after="120" w:line="240" w:lineRule="auto"/>
      <w:ind w:left="850" w:hanging="850"/>
      <w:jc w:val="both"/>
    </w:pPr>
    <w:rPr>
      <w:rFonts w:ascii="Symbol" w:hAnsi="Symbol" w:cs="Symbol"/>
      <w:sz w:val="24"/>
    </w:rPr>
  </w:style>
  <w:style w:type="paragraph" w:customStyle="1" w:styleId="ManualNumPar3">
    <w:name w:val="Manual NumPar 3"/>
    <w:basedOn w:val="Normal"/>
    <w:next w:val="Text1"/>
    <w:pPr>
      <w:spacing w:before="120" w:after="120" w:line="240" w:lineRule="auto"/>
      <w:ind w:left="850" w:hanging="850"/>
      <w:jc w:val="both"/>
    </w:pPr>
    <w:rPr>
      <w:rFonts w:ascii="Symbol" w:hAnsi="Symbol" w:cs="Symbol"/>
      <w:sz w:val="24"/>
    </w:rPr>
  </w:style>
  <w:style w:type="paragraph" w:customStyle="1" w:styleId="ManualNumPar4">
    <w:name w:val="Manual NumPar 4"/>
    <w:basedOn w:val="Normal"/>
    <w:next w:val="Text1"/>
    <w:pPr>
      <w:spacing w:before="120" w:after="120" w:line="240" w:lineRule="auto"/>
      <w:ind w:left="850" w:hanging="850"/>
      <w:jc w:val="both"/>
    </w:pPr>
    <w:rPr>
      <w:rFonts w:ascii="Symbol" w:hAnsi="Symbol" w:cs="Symbol"/>
      <w:sz w:val="24"/>
    </w:rPr>
  </w:style>
  <w:style w:type="paragraph" w:customStyle="1" w:styleId="QuotedNumPar">
    <w:name w:val="Quoted NumPar"/>
    <w:basedOn w:val="Normal"/>
    <w:pPr>
      <w:spacing w:before="120" w:after="120" w:line="240" w:lineRule="auto"/>
      <w:ind w:left="1417" w:hanging="567"/>
      <w:jc w:val="both"/>
    </w:pPr>
    <w:rPr>
      <w:rFonts w:ascii="Symbol" w:hAnsi="Symbol" w:cs="Symbol"/>
      <w:sz w:val="24"/>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Symbol" w:hAnsi="Symbol" w:cs="Symbol"/>
      <w:b/>
      <w:smallCaps/>
      <w:sz w:val="24"/>
    </w:rPr>
  </w:style>
  <w:style w:type="paragraph" w:customStyle="1" w:styleId="ManualHeading2">
    <w:name w:val="Manual Heading 2"/>
    <w:basedOn w:val="Normal"/>
    <w:next w:val="Text1"/>
    <w:pPr>
      <w:keepNext/>
      <w:tabs>
        <w:tab w:val="left" w:pos="850"/>
      </w:tabs>
      <w:spacing w:before="120" w:after="120" w:line="240" w:lineRule="auto"/>
      <w:ind w:left="850" w:hanging="850"/>
      <w:jc w:val="both"/>
      <w:outlineLvl w:val="1"/>
    </w:pPr>
    <w:rPr>
      <w:rFonts w:ascii="Symbol" w:hAnsi="Symbol" w:cs="Symbol"/>
      <w:b/>
      <w:sz w:val="24"/>
    </w:rPr>
  </w:style>
  <w:style w:type="paragraph" w:customStyle="1" w:styleId="ManualHeading3">
    <w:name w:val="Manual Heading 3"/>
    <w:basedOn w:val="Normal"/>
    <w:next w:val="Text1"/>
    <w:pPr>
      <w:keepNext/>
      <w:tabs>
        <w:tab w:val="left" w:pos="850"/>
      </w:tabs>
      <w:spacing w:before="120" w:after="120" w:line="240" w:lineRule="auto"/>
      <w:ind w:left="850" w:hanging="850"/>
      <w:jc w:val="both"/>
      <w:outlineLvl w:val="2"/>
    </w:pPr>
    <w:rPr>
      <w:rFonts w:ascii="Symbol" w:hAnsi="Symbol" w:cs="Symbol"/>
      <w:i/>
      <w:sz w:val="24"/>
    </w:rPr>
  </w:style>
  <w:style w:type="paragraph" w:customStyle="1" w:styleId="ManualHeading4">
    <w:name w:val="Manual Heading 4"/>
    <w:basedOn w:val="Normal"/>
    <w:next w:val="Text1"/>
    <w:pPr>
      <w:keepNext/>
      <w:tabs>
        <w:tab w:val="left" w:pos="850"/>
      </w:tabs>
      <w:spacing w:before="120" w:after="120" w:line="240" w:lineRule="auto"/>
      <w:ind w:left="850" w:hanging="850"/>
      <w:jc w:val="both"/>
      <w:outlineLvl w:val="3"/>
    </w:pPr>
    <w:rPr>
      <w:rFonts w:ascii="Symbol" w:hAnsi="Symbol" w:cs="Symbol"/>
      <w:sz w:val="24"/>
    </w:rPr>
  </w:style>
  <w:style w:type="paragraph" w:customStyle="1" w:styleId="ChapterTitle">
    <w:name w:val="ChapterTitle"/>
    <w:basedOn w:val="Normal"/>
    <w:next w:val="Normal"/>
    <w:pPr>
      <w:keepNext/>
      <w:spacing w:before="120" w:after="360" w:line="240" w:lineRule="auto"/>
      <w:jc w:val="center"/>
    </w:pPr>
    <w:rPr>
      <w:rFonts w:ascii="Symbol" w:hAnsi="Symbol" w:cs="Symbol"/>
      <w:b/>
      <w:sz w:val="32"/>
    </w:rPr>
  </w:style>
  <w:style w:type="paragraph" w:customStyle="1" w:styleId="PartTitle">
    <w:name w:val="PartTitle"/>
    <w:basedOn w:val="Normal"/>
    <w:next w:val="ChapterTitle"/>
    <w:pPr>
      <w:keepNext/>
      <w:pageBreakBefore/>
      <w:spacing w:before="120" w:after="360" w:line="240" w:lineRule="auto"/>
      <w:jc w:val="center"/>
    </w:pPr>
    <w:rPr>
      <w:rFonts w:ascii="Symbol" w:hAnsi="Symbol" w:cs="Symbol"/>
      <w:b/>
      <w:sz w:val="36"/>
    </w:rPr>
  </w:style>
  <w:style w:type="paragraph" w:customStyle="1" w:styleId="SectionTitle">
    <w:name w:val="SectionTitle"/>
    <w:basedOn w:val="Normal"/>
    <w:next w:val="Heading1"/>
    <w:pPr>
      <w:keepNext/>
      <w:spacing w:before="120" w:after="360" w:line="240" w:lineRule="auto"/>
      <w:jc w:val="center"/>
    </w:pPr>
    <w:rPr>
      <w:rFonts w:ascii="Symbol" w:hAnsi="Symbol" w:cs="Symbol"/>
      <w:b/>
      <w:smallCaps/>
      <w:sz w:val="28"/>
    </w:rPr>
  </w:style>
  <w:style w:type="paragraph" w:customStyle="1" w:styleId="TableTitle">
    <w:name w:val="Table Title"/>
    <w:basedOn w:val="Normal"/>
    <w:next w:val="Normal"/>
    <w:pPr>
      <w:spacing w:before="120" w:after="120" w:line="240" w:lineRule="auto"/>
      <w:jc w:val="center"/>
    </w:pPr>
    <w:rPr>
      <w:rFonts w:ascii="Symbol" w:hAnsi="Symbol" w:cs="Symbol"/>
      <w:b/>
      <w:sz w:val="24"/>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52"/>
      </w:numPr>
      <w:spacing w:before="120" w:after="120" w:line="240" w:lineRule="auto"/>
      <w:jc w:val="both"/>
    </w:pPr>
    <w:rPr>
      <w:rFonts w:ascii="Segoe UI" w:hAnsi="Segoe UI" w:cs="Segoe UI"/>
      <w:sz w:val="24"/>
    </w:rPr>
  </w:style>
  <w:style w:type="paragraph" w:customStyle="1" w:styleId="Point1number">
    <w:name w:val="Point 1 (number)"/>
    <w:basedOn w:val="Normal"/>
    <w:pPr>
      <w:numPr>
        <w:ilvl w:val="2"/>
        <w:numId w:val="52"/>
      </w:numPr>
      <w:spacing w:before="120" w:after="120" w:line="240" w:lineRule="auto"/>
      <w:jc w:val="both"/>
    </w:pPr>
    <w:rPr>
      <w:rFonts w:ascii="Symbol" w:hAnsi="Symbol" w:cs="Symbol"/>
      <w:sz w:val="24"/>
    </w:rPr>
  </w:style>
  <w:style w:type="paragraph" w:customStyle="1" w:styleId="Point2number">
    <w:name w:val="Point 2 (number)"/>
    <w:basedOn w:val="Normal"/>
    <w:pPr>
      <w:numPr>
        <w:ilvl w:val="4"/>
        <w:numId w:val="52"/>
      </w:numPr>
      <w:spacing w:before="120" w:after="120" w:line="240" w:lineRule="auto"/>
      <w:jc w:val="both"/>
    </w:pPr>
    <w:rPr>
      <w:rFonts w:ascii="Symbol" w:hAnsi="Symbol" w:cs="Symbol"/>
      <w:sz w:val="24"/>
    </w:rPr>
  </w:style>
  <w:style w:type="paragraph" w:customStyle="1" w:styleId="Point3number">
    <w:name w:val="Point 3 (number)"/>
    <w:basedOn w:val="Normal"/>
    <w:pPr>
      <w:numPr>
        <w:ilvl w:val="6"/>
        <w:numId w:val="52"/>
      </w:numPr>
      <w:spacing w:before="120" w:after="120" w:line="240" w:lineRule="auto"/>
      <w:jc w:val="both"/>
    </w:pPr>
    <w:rPr>
      <w:rFonts w:ascii="Symbol" w:hAnsi="Symbol" w:cs="Symbol"/>
      <w:sz w:val="24"/>
    </w:rPr>
  </w:style>
  <w:style w:type="paragraph" w:customStyle="1" w:styleId="Point0letter">
    <w:name w:val="Point 0 (letter)"/>
    <w:basedOn w:val="Normal"/>
    <w:pPr>
      <w:numPr>
        <w:ilvl w:val="1"/>
        <w:numId w:val="52"/>
      </w:numPr>
      <w:spacing w:before="120" w:after="120" w:line="240" w:lineRule="auto"/>
      <w:jc w:val="both"/>
    </w:pPr>
    <w:rPr>
      <w:rFonts w:ascii="Symbol" w:hAnsi="Symbol" w:cs="Symbol"/>
      <w:sz w:val="24"/>
    </w:rPr>
  </w:style>
  <w:style w:type="paragraph" w:customStyle="1" w:styleId="Point1letter">
    <w:name w:val="Point 1 (letter)"/>
    <w:basedOn w:val="Normal"/>
    <w:pPr>
      <w:numPr>
        <w:ilvl w:val="3"/>
        <w:numId w:val="52"/>
      </w:numPr>
      <w:spacing w:before="120" w:after="120" w:line="240" w:lineRule="auto"/>
      <w:jc w:val="both"/>
    </w:pPr>
    <w:rPr>
      <w:rFonts w:ascii="Symbol" w:hAnsi="Symbol" w:cs="Symbol"/>
      <w:sz w:val="24"/>
    </w:rPr>
  </w:style>
  <w:style w:type="paragraph" w:customStyle="1" w:styleId="Point2letter">
    <w:name w:val="Point 2 (letter)"/>
    <w:basedOn w:val="Normal"/>
    <w:pPr>
      <w:numPr>
        <w:ilvl w:val="5"/>
        <w:numId w:val="52"/>
      </w:numPr>
      <w:spacing w:before="120" w:after="120" w:line="240" w:lineRule="auto"/>
      <w:jc w:val="both"/>
    </w:pPr>
    <w:rPr>
      <w:rFonts w:ascii="Symbol" w:hAnsi="Symbol" w:cs="Symbol"/>
      <w:sz w:val="24"/>
    </w:rPr>
  </w:style>
  <w:style w:type="paragraph" w:customStyle="1" w:styleId="Point3letter">
    <w:name w:val="Point 3 (letter)"/>
    <w:basedOn w:val="Normal"/>
    <w:pPr>
      <w:numPr>
        <w:ilvl w:val="7"/>
        <w:numId w:val="52"/>
      </w:numPr>
      <w:spacing w:before="120" w:after="120" w:line="240" w:lineRule="auto"/>
      <w:jc w:val="both"/>
    </w:pPr>
    <w:rPr>
      <w:rFonts w:ascii="Symbol" w:hAnsi="Symbol" w:cs="Symbol"/>
      <w:sz w:val="24"/>
    </w:rPr>
  </w:style>
  <w:style w:type="paragraph" w:customStyle="1" w:styleId="Point4letter">
    <w:name w:val="Point 4 (letter)"/>
    <w:basedOn w:val="Normal"/>
    <w:pPr>
      <w:numPr>
        <w:ilvl w:val="8"/>
        <w:numId w:val="52"/>
      </w:numPr>
      <w:spacing w:before="120" w:after="120" w:line="240" w:lineRule="auto"/>
      <w:jc w:val="both"/>
    </w:pPr>
    <w:rPr>
      <w:rFonts w:ascii="Symbol" w:hAnsi="Symbol" w:cs="Symbol"/>
      <w:sz w:val="24"/>
    </w:rPr>
  </w:style>
  <w:style w:type="paragraph" w:customStyle="1" w:styleId="Bullet0">
    <w:name w:val="Bullet 0"/>
    <w:basedOn w:val="Normal"/>
    <w:pPr>
      <w:numPr>
        <w:numId w:val="53"/>
      </w:numPr>
      <w:spacing w:before="120" w:after="120" w:line="240" w:lineRule="auto"/>
      <w:jc w:val="both"/>
    </w:pPr>
    <w:rPr>
      <w:rFonts w:ascii="Segoe UI" w:hAnsi="Segoe UI" w:cs="Segoe UI"/>
      <w:sz w:val="24"/>
    </w:rPr>
  </w:style>
  <w:style w:type="paragraph" w:customStyle="1" w:styleId="Bullet1">
    <w:name w:val="Bullet 1"/>
    <w:basedOn w:val="Normal"/>
    <w:link w:val="Bullet1Char"/>
    <w:qFormat/>
    <w:pPr>
      <w:numPr>
        <w:numId w:val="54"/>
      </w:numPr>
      <w:spacing w:before="120" w:after="120" w:line="240" w:lineRule="auto"/>
      <w:jc w:val="both"/>
    </w:pPr>
    <w:rPr>
      <w:rFonts w:ascii="Segoe UI" w:hAnsi="Segoe UI" w:cs="Segoe UI"/>
      <w:sz w:val="24"/>
    </w:rPr>
  </w:style>
  <w:style w:type="paragraph" w:customStyle="1" w:styleId="Bullet20">
    <w:name w:val="Bullet 2"/>
    <w:basedOn w:val="Normal"/>
    <w:pPr>
      <w:numPr>
        <w:numId w:val="55"/>
      </w:numPr>
      <w:spacing w:before="120" w:after="120" w:line="240" w:lineRule="auto"/>
      <w:jc w:val="both"/>
    </w:pPr>
    <w:rPr>
      <w:rFonts w:ascii="Segoe UI" w:hAnsi="Segoe UI" w:cs="Segoe UI"/>
      <w:sz w:val="24"/>
    </w:rPr>
  </w:style>
  <w:style w:type="paragraph" w:customStyle="1" w:styleId="Bullet3">
    <w:name w:val="Bullet 3"/>
    <w:basedOn w:val="Normal"/>
    <w:pPr>
      <w:numPr>
        <w:numId w:val="56"/>
      </w:numPr>
      <w:spacing w:before="120" w:after="120" w:line="240" w:lineRule="auto"/>
      <w:jc w:val="both"/>
    </w:pPr>
    <w:rPr>
      <w:rFonts w:ascii="Segoe UI" w:hAnsi="Segoe UI" w:cs="Segoe UI"/>
      <w:sz w:val="24"/>
    </w:rPr>
  </w:style>
  <w:style w:type="paragraph" w:customStyle="1" w:styleId="Bullet4">
    <w:name w:val="Bullet 4"/>
    <w:basedOn w:val="Normal"/>
    <w:pPr>
      <w:numPr>
        <w:numId w:val="57"/>
      </w:numPr>
      <w:spacing w:before="120" w:after="120" w:line="240" w:lineRule="auto"/>
      <w:jc w:val="both"/>
    </w:pPr>
    <w:rPr>
      <w:rFonts w:ascii="Segoe UI" w:hAnsi="Segoe UI" w:cs="Segoe UI"/>
      <w:sz w:val="24"/>
    </w:rPr>
  </w:style>
  <w:style w:type="paragraph" w:customStyle="1" w:styleId="Langue">
    <w:name w:val="Langue"/>
    <w:basedOn w:val="Normal"/>
    <w:next w:val="Rfrenceinterne"/>
    <w:pPr>
      <w:framePr w:wrap="around" w:vAnchor="page" w:hAnchor="text" w:xAlign="center" w:y="14741"/>
      <w:spacing w:after="600" w:line="240" w:lineRule="auto"/>
      <w:jc w:val="center"/>
    </w:pPr>
    <w:rPr>
      <w:rFonts w:ascii="Symbol" w:hAnsi="Symbol" w:cs="Symbol"/>
      <w:b/>
      <w:caps/>
      <w:sz w:val="24"/>
    </w:rPr>
  </w:style>
  <w:style w:type="paragraph" w:customStyle="1" w:styleId="Nomdelinstitution">
    <w:name w:val="Nom de l'institution"/>
    <w:basedOn w:val="Normal"/>
    <w:next w:val="Emission"/>
    <w:pPr>
      <w:spacing w:after="0" w:line="240" w:lineRule="auto"/>
    </w:pPr>
    <w:rPr>
      <w:rFonts w:ascii="Aptos" w:hAnsi="Aptos" w:cs="Aptos"/>
      <w:sz w:val="24"/>
    </w:rPr>
  </w:style>
  <w:style w:type="paragraph" w:customStyle="1" w:styleId="Emission">
    <w:name w:val="Emission"/>
    <w:basedOn w:val="Normal"/>
    <w:next w:val="Rfrenceinstitutionnelle"/>
    <w:pPr>
      <w:spacing w:after="0" w:line="240" w:lineRule="auto"/>
      <w:ind w:left="5103"/>
    </w:pPr>
    <w:rPr>
      <w:rFonts w:ascii="Symbol" w:hAnsi="Symbol" w:cs="Symbol"/>
      <w:sz w:val="24"/>
    </w:rPr>
  </w:style>
  <w:style w:type="paragraph" w:customStyle="1" w:styleId="Rfrenceinstitutionnelle">
    <w:name w:val="Référence institutionnelle"/>
    <w:basedOn w:val="Normal"/>
    <w:next w:val="Confidentialit"/>
    <w:pPr>
      <w:spacing w:after="240" w:line="240" w:lineRule="auto"/>
      <w:ind w:left="5103"/>
    </w:pPr>
    <w:rPr>
      <w:rFonts w:ascii="Symbol" w:hAnsi="Symbol" w:cs="Symbol"/>
      <w:sz w:val="24"/>
    </w:rPr>
  </w:style>
  <w:style w:type="paragraph" w:customStyle="1" w:styleId="Pagedecouverture">
    <w:name w:val="Page de couverture"/>
    <w:basedOn w:val="Normal"/>
    <w:next w:val="Normal"/>
    <w:pPr>
      <w:spacing w:after="0" w:line="240" w:lineRule="auto"/>
      <w:jc w:val="both"/>
    </w:pPr>
    <w:rPr>
      <w:rFonts w:ascii="Symbol" w:hAnsi="Symbol" w:cs="Symbol"/>
      <w:sz w:val="24"/>
    </w:rPr>
  </w:style>
  <w:style w:type="paragraph" w:customStyle="1" w:styleId="Declassification">
    <w:name w:val="Declassification"/>
    <w:basedOn w:val="Normal"/>
    <w:next w:val="Normal"/>
    <w:pPr>
      <w:spacing w:after="0" w:line="240" w:lineRule="auto"/>
      <w:jc w:val="both"/>
    </w:pPr>
    <w:rPr>
      <w:rFonts w:ascii="Symbol" w:hAnsi="Symbol" w:cs="Symbol"/>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Symbol" w:hAnsi="Symbol" w:cs="Symbol"/>
      <w:sz w:val="24"/>
    </w:rPr>
  </w:style>
  <w:style w:type="paragraph" w:customStyle="1" w:styleId="SecurityMarking">
    <w:name w:val="SecurityMarking"/>
    <w:basedOn w:val="Normal"/>
    <w:pPr>
      <w:spacing w:after="0"/>
      <w:ind w:left="5103"/>
    </w:pPr>
    <w:rPr>
      <w:rFonts w:ascii="Symbol" w:hAnsi="Symbol" w:cs="Symbol"/>
      <w:sz w:val="28"/>
    </w:rPr>
  </w:style>
  <w:style w:type="paragraph" w:customStyle="1" w:styleId="DateMarking">
    <w:name w:val="DateMarking"/>
    <w:basedOn w:val="Normal"/>
    <w:pPr>
      <w:spacing w:after="0"/>
      <w:ind w:left="5103"/>
    </w:pPr>
    <w:rPr>
      <w:rFonts w:ascii="Symbol" w:hAnsi="Symbol" w:cs="Symbol"/>
      <w:i/>
      <w:sz w:val="28"/>
    </w:rPr>
  </w:style>
  <w:style w:type="paragraph" w:customStyle="1" w:styleId="ReleasableTo">
    <w:name w:val="ReleasableTo"/>
    <w:basedOn w:val="Normal"/>
    <w:pPr>
      <w:spacing w:after="0"/>
      <w:ind w:left="5103"/>
    </w:pPr>
    <w:rPr>
      <w:rFonts w:ascii="Symbol" w:hAnsi="Symbol" w:cs="Symbol"/>
      <w:i/>
      <w:sz w:val="28"/>
    </w:rPr>
  </w:style>
  <w:style w:type="paragraph" w:customStyle="1" w:styleId="Annexetitreexpos">
    <w:name w:val="Annexe titre (exposé)"/>
    <w:basedOn w:val="Normal"/>
    <w:next w:val="Normal"/>
    <w:pPr>
      <w:spacing w:before="120" w:after="120" w:line="240" w:lineRule="auto"/>
      <w:jc w:val="center"/>
    </w:pPr>
    <w:rPr>
      <w:rFonts w:ascii="Symbol" w:hAnsi="Symbol" w:cs="Symbol"/>
      <w:b/>
      <w:sz w:val="24"/>
      <w:u w:val="single"/>
    </w:rPr>
  </w:style>
  <w:style w:type="paragraph" w:customStyle="1" w:styleId="Annexetitre">
    <w:name w:val="Annexe titre"/>
    <w:basedOn w:val="Normal"/>
    <w:next w:val="Normal"/>
    <w:pPr>
      <w:spacing w:before="120" w:after="120" w:line="240" w:lineRule="auto"/>
      <w:jc w:val="center"/>
    </w:pPr>
    <w:rPr>
      <w:rFonts w:ascii="Symbol" w:hAnsi="Symbol" w:cs="Symbol"/>
      <w:b/>
      <w:sz w:val="24"/>
      <w:u w:val="single"/>
    </w:rPr>
  </w:style>
  <w:style w:type="paragraph" w:customStyle="1" w:styleId="Annexetitrefichefinancire">
    <w:name w:val="Annexe titre (fiche financière)"/>
    <w:basedOn w:val="Normal"/>
    <w:next w:val="Normal"/>
    <w:pPr>
      <w:spacing w:before="120" w:after="120" w:line="240" w:lineRule="auto"/>
      <w:jc w:val="center"/>
    </w:pPr>
    <w:rPr>
      <w:rFonts w:ascii="Symbol" w:hAnsi="Symbol" w:cs="Symbol"/>
      <w:b/>
      <w:sz w:val="24"/>
      <w:u w:val="single"/>
    </w:rPr>
  </w:style>
  <w:style w:type="paragraph" w:customStyle="1" w:styleId="Applicationdirecte">
    <w:name w:val="Application directe"/>
    <w:basedOn w:val="Normal"/>
    <w:next w:val="Fait"/>
    <w:pPr>
      <w:spacing w:before="480" w:after="120" w:line="240" w:lineRule="auto"/>
      <w:jc w:val="both"/>
    </w:pPr>
    <w:rPr>
      <w:rFonts w:ascii="Symbol" w:hAnsi="Symbol" w:cs="Symbol"/>
      <w:sz w:val="24"/>
    </w:rPr>
  </w:style>
  <w:style w:type="paragraph" w:customStyle="1" w:styleId="Avertissementtitre">
    <w:name w:val="Avertissement titre"/>
    <w:basedOn w:val="Normal"/>
    <w:next w:val="Normal"/>
    <w:pPr>
      <w:keepNext/>
      <w:spacing w:before="480" w:after="120" w:line="240" w:lineRule="auto"/>
      <w:jc w:val="both"/>
    </w:pPr>
    <w:rPr>
      <w:rFonts w:ascii="Symbol" w:hAnsi="Symbol" w:cs="Symbol"/>
      <w:sz w:val="24"/>
      <w:u w:val="single"/>
    </w:rPr>
  </w:style>
  <w:style w:type="paragraph" w:customStyle="1" w:styleId="Confidence">
    <w:name w:val="Confidence"/>
    <w:basedOn w:val="Normal"/>
    <w:next w:val="Normal"/>
    <w:pPr>
      <w:spacing w:before="360" w:after="120" w:line="240" w:lineRule="auto"/>
      <w:jc w:val="center"/>
    </w:pPr>
    <w:rPr>
      <w:rFonts w:ascii="Symbol" w:hAnsi="Symbol" w:cs="Symbol"/>
      <w:sz w:val="24"/>
    </w:rPr>
  </w:style>
  <w:style w:type="paragraph" w:customStyle="1" w:styleId="Confidentialit">
    <w:name w:val="Confidentialité"/>
    <w:basedOn w:val="Normal"/>
    <w:next w:val="TypedudocumentPagedecouverture"/>
    <w:pPr>
      <w:spacing w:before="240" w:after="240" w:line="240" w:lineRule="auto"/>
      <w:ind w:left="5103"/>
    </w:pPr>
    <w:rPr>
      <w:rFonts w:ascii="Symbol" w:hAnsi="Symbol" w:cs="Symbol"/>
      <w:i/>
      <w:sz w:val="32"/>
    </w:rPr>
  </w:style>
  <w:style w:type="paragraph" w:customStyle="1" w:styleId="Considrant">
    <w:name w:val="Considérant"/>
    <w:basedOn w:val="Normal"/>
    <w:pPr>
      <w:numPr>
        <w:numId w:val="58"/>
      </w:numPr>
      <w:spacing w:before="120" w:after="120" w:line="240" w:lineRule="auto"/>
      <w:jc w:val="both"/>
    </w:pPr>
    <w:rPr>
      <w:rFonts w:ascii="Segoe UI" w:hAnsi="Segoe UI" w:cs="Segoe UI"/>
      <w:sz w:val="24"/>
    </w:rPr>
  </w:style>
  <w:style w:type="paragraph" w:customStyle="1" w:styleId="Corrigendum">
    <w:name w:val="Corrigendum"/>
    <w:basedOn w:val="Normal"/>
    <w:next w:val="Normal"/>
    <w:pPr>
      <w:spacing w:after="240" w:line="240" w:lineRule="auto"/>
    </w:pPr>
    <w:rPr>
      <w:rFonts w:ascii="Symbol" w:hAnsi="Symbol" w:cs="Symbol"/>
      <w:sz w:val="24"/>
    </w:rPr>
  </w:style>
  <w:style w:type="paragraph" w:customStyle="1" w:styleId="Datedadoption">
    <w:name w:val="Date d'adoption"/>
    <w:basedOn w:val="Normal"/>
    <w:next w:val="IntrtEEE"/>
    <w:pPr>
      <w:spacing w:before="360" w:after="0" w:line="240" w:lineRule="auto"/>
      <w:jc w:val="center"/>
    </w:pPr>
    <w:rPr>
      <w:rFonts w:ascii="Symbol" w:hAnsi="Symbol" w:cs="Symbol"/>
      <w:b/>
      <w:sz w:val="24"/>
    </w:rPr>
  </w:style>
  <w:style w:type="paragraph" w:customStyle="1" w:styleId="Exposdesmotifstitre">
    <w:name w:val="Exposé des motifs titre"/>
    <w:basedOn w:val="Normal"/>
    <w:next w:val="Normal"/>
    <w:pPr>
      <w:spacing w:before="120" w:after="120" w:line="240" w:lineRule="auto"/>
      <w:jc w:val="center"/>
    </w:pPr>
    <w:rPr>
      <w:rFonts w:ascii="Symbol" w:hAnsi="Symbol" w:cs="Symbol"/>
      <w:b/>
      <w:sz w:val="24"/>
      <w:u w:val="single"/>
    </w:rPr>
  </w:style>
  <w:style w:type="paragraph" w:customStyle="1" w:styleId="Fait">
    <w:name w:val="Fait à"/>
    <w:basedOn w:val="Normal"/>
    <w:next w:val="Institutionquisigne"/>
    <w:pPr>
      <w:keepNext/>
      <w:spacing w:before="120" w:after="0" w:line="240" w:lineRule="auto"/>
      <w:jc w:val="both"/>
    </w:pPr>
    <w:rPr>
      <w:rFonts w:ascii="Symbol" w:hAnsi="Symbol" w:cs="Symbol"/>
      <w:sz w:val="24"/>
    </w:rPr>
  </w:style>
  <w:style w:type="paragraph" w:customStyle="1" w:styleId="Formuledadoption">
    <w:name w:val="Formule d'adoption"/>
    <w:basedOn w:val="Normal"/>
    <w:next w:val="Titrearticle"/>
    <w:pPr>
      <w:keepNext/>
      <w:spacing w:before="120" w:after="120" w:line="240" w:lineRule="auto"/>
      <w:jc w:val="both"/>
    </w:pPr>
    <w:rPr>
      <w:rFonts w:ascii="Symbol" w:hAnsi="Symbol" w:cs="Symbol"/>
      <w:sz w:val="24"/>
    </w:rPr>
  </w:style>
  <w:style w:type="paragraph" w:customStyle="1" w:styleId="Institutionquiagit">
    <w:name w:val="Institution qui agit"/>
    <w:basedOn w:val="Normal"/>
    <w:next w:val="Normal"/>
    <w:pPr>
      <w:keepNext/>
      <w:spacing w:before="600" w:after="120" w:line="240" w:lineRule="auto"/>
      <w:jc w:val="both"/>
    </w:pPr>
    <w:rPr>
      <w:rFonts w:ascii="Symbol" w:hAnsi="Symbol" w:cs="Symbol"/>
      <w:sz w:val="24"/>
    </w:rPr>
  </w:style>
  <w:style w:type="paragraph" w:customStyle="1" w:styleId="Institutionquisigne">
    <w:name w:val="Institution qui signe"/>
    <w:basedOn w:val="Normal"/>
    <w:next w:val="Personnequisigne"/>
    <w:pPr>
      <w:keepNext/>
      <w:tabs>
        <w:tab w:val="left" w:pos="4252"/>
      </w:tabs>
      <w:spacing w:before="720" w:after="0" w:line="240" w:lineRule="auto"/>
      <w:jc w:val="both"/>
    </w:pPr>
    <w:rPr>
      <w:rFonts w:ascii="Symbol" w:hAnsi="Symbol" w:cs="Symbol"/>
      <w:i/>
      <w:sz w:val="24"/>
    </w:rPr>
  </w:style>
  <w:style w:type="paragraph" w:customStyle="1" w:styleId="ManualConsidrant">
    <w:name w:val="Manual Considérant"/>
    <w:basedOn w:val="Normal"/>
    <w:pPr>
      <w:spacing w:before="120" w:after="120" w:line="240" w:lineRule="auto"/>
      <w:ind w:left="709" w:hanging="709"/>
      <w:jc w:val="both"/>
    </w:pPr>
    <w:rPr>
      <w:rFonts w:ascii="Symbol" w:hAnsi="Symbol" w:cs="Symbol"/>
      <w:sz w:val="24"/>
    </w:rPr>
  </w:style>
  <w:style w:type="paragraph" w:customStyle="1" w:styleId="Personnequisigne">
    <w:name w:val="Personne qui signe"/>
    <w:basedOn w:val="Normal"/>
    <w:next w:val="Institutionquisigne"/>
    <w:pPr>
      <w:tabs>
        <w:tab w:val="left" w:pos="4252"/>
      </w:tabs>
      <w:spacing w:after="0" w:line="240" w:lineRule="auto"/>
    </w:pPr>
    <w:rPr>
      <w:rFonts w:ascii="Symbol" w:hAnsi="Symbol" w:cs="Symbol"/>
      <w:i/>
      <w:sz w:val="24"/>
    </w:rPr>
  </w:style>
  <w:style w:type="paragraph" w:customStyle="1" w:styleId="Rfrenceinterinstitutionnelle">
    <w:name w:val="Référence interinstitutionnelle"/>
    <w:basedOn w:val="Normal"/>
    <w:next w:val="Statut"/>
    <w:pPr>
      <w:spacing w:after="0" w:line="240" w:lineRule="auto"/>
      <w:ind w:left="5103"/>
    </w:pPr>
    <w:rPr>
      <w:rFonts w:ascii="Symbol" w:hAnsi="Symbol" w:cs="Symbol"/>
      <w:sz w:val="24"/>
    </w:rPr>
  </w:style>
  <w:style w:type="paragraph" w:customStyle="1" w:styleId="Rfrenceinterne">
    <w:name w:val="Référence interne"/>
    <w:basedOn w:val="Normal"/>
    <w:next w:val="Rfrenceinterinstitutionnelle"/>
    <w:pPr>
      <w:spacing w:after="0" w:line="240" w:lineRule="auto"/>
      <w:ind w:left="5103"/>
    </w:pPr>
    <w:rPr>
      <w:rFonts w:ascii="Symbol" w:hAnsi="Symbol" w:cs="Symbol"/>
      <w:sz w:val="24"/>
    </w:rPr>
  </w:style>
  <w:style w:type="paragraph" w:customStyle="1" w:styleId="Statut">
    <w:name w:val="Statut"/>
    <w:basedOn w:val="Normal"/>
    <w:next w:val="Typedudocument"/>
    <w:pPr>
      <w:spacing w:after="240" w:line="240" w:lineRule="auto"/>
      <w:jc w:val="center"/>
    </w:pPr>
    <w:rPr>
      <w:rFonts w:ascii="Symbol" w:hAnsi="Symbol" w:cs="Symbol"/>
      <w:sz w:val="24"/>
    </w:rPr>
  </w:style>
  <w:style w:type="paragraph" w:customStyle="1" w:styleId="Titrearticle">
    <w:name w:val="Titre article"/>
    <w:basedOn w:val="Normal"/>
    <w:next w:val="Normal"/>
    <w:pPr>
      <w:keepNext/>
      <w:spacing w:before="360" w:after="120" w:line="240" w:lineRule="auto"/>
      <w:jc w:val="center"/>
    </w:pPr>
    <w:rPr>
      <w:rFonts w:ascii="Symbol" w:hAnsi="Symbol" w:cs="Symbol"/>
      <w:i/>
      <w:sz w:val="24"/>
    </w:rPr>
  </w:style>
  <w:style w:type="paragraph" w:customStyle="1" w:styleId="Typedudocument">
    <w:name w:val="Type du document"/>
    <w:basedOn w:val="Normal"/>
    <w:next w:val="Accompagnant"/>
    <w:pPr>
      <w:spacing w:before="360" w:after="180" w:line="240" w:lineRule="auto"/>
      <w:jc w:val="center"/>
    </w:pPr>
    <w:rPr>
      <w:rFonts w:ascii="Symbol" w:hAnsi="Symbol" w:cs="Symbol"/>
      <w:b/>
      <w:sz w:val="24"/>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before="120" w:after="120" w:line="360" w:lineRule="auto"/>
      <w:ind w:left="3402"/>
    </w:pPr>
    <w:rPr>
      <w:rFonts w:ascii="Symbol" w:hAnsi="Symbol" w:cs="Symbol"/>
      <w:sz w:val="24"/>
    </w:rPr>
  </w:style>
  <w:style w:type="paragraph" w:customStyle="1" w:styleId="Objetexterne">
    <w:name w:val="Objet externe"/>
    <w:basedOn w:val="Normal"/>
    <w:next w:val="Normal"/>
    <w:pPr>
      <w:spacing w:before="120" w:after="120" w:line="240" w:lineRule="auto"/>
      <w:jc w:val="both"/>
    </w:pPr>
    <w:rPr>
      <w:rFonts w:ascii="Symbol" w:hAnsi="Symbol" w:cs="Symbol"/>
      <w:i/>
      <w:caps/>
      <w:sz w:val="24"/>
    </w:rPr>
  </w:style>
  <w:style w:type="paragraph" w:customStyle="1" w:styleId="Supertitre">
    <w:name w:val="Supertitre"/>
    <w:basedOn w:val="Normal"/>
    <w:next w:val="Normal"/>
    <w:pPr>
      <w:spacing w:after="600" w:line="240" w:lineRule="auto"/>
      <w:jc w:val="center"/>
    </w:pPr>
    <w:rPr>
      <w:rFonts w:ascii="Symbol" w:hAnsi="Symbol" w:cs="Symbol"/>
      <w:b/>
      <w:sz w:val="24"/>
    </w:rPr>
  </w:style>
  <w:style w:type="paragraph" w:customStyle="1" w:styleId="Languesfaisantfoi">
    <w:name w:val="Langues faisant foi"/>
    <w:basedOn w:val="Normal"/>
    <w:next w:val="Normal"/>
    <w:pPr>
      <w:spacing w:before="360" w:after="0" w:line="240" w:lineRule="auto"/>
      <w:jc w:val="center"/>
    </w:pPr>
    <w:rPr>
      <w:rFonts w:ascii="Symbol" w:hAnsi="Symbol" w:cs="Symbol"/>
      <w:sz w:val="24"/>
    </w:rPr>
  </w:style>
  <w:style w:type="paragraph" w:customStyle="1" w:styleId="Rfrencecroise">
    <w:name w:val="Référence croisée"/>
    <w:basedOn w:val="Normal"/>
    <w:pPr>
      <w:spacing w:after="0" w:line="240" w:lineRule="auto"/>
      <w:jc w:val="center"/>
    </w:pPr>
    <w:rPr>
      <w:rFonts w:ascii="Symbol" w:hAnsi="Symbol" w:cs="Symbol"/>
      <w:sz w:val="24"/>
    </w:rPr>
  </w:style>
  <w:style w:type="paragraph" w:customStyle="1" w:styleId="Fichefinanciretitre">
    <w:name w:val="Fiche financière titre"/>
    <w:basedOn w:val="Normal"/>
    <w:next w:val="Normal"/>
    <w:pPr>
      <w:spacing w:before="120" w:after="120" w:line="240" w:lineRule="auto"/>
      <w:jc w:val="center"/>
    </w:pPr>
    <w:rPr>
      <w:rFonts w:ascii="Symbol" w:hAnsi="Symbol" w:cs="Symbol"/>
      <w:b/>
      <w:sz w:val="24"/>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after="240" w:line="240" w:lineRule="auto"/>
      <w:ind w:left="5103"/>
    </w:pPr>
    <w:rPr>
      <w:rFonts w:ascii="Symbol" w:hAnsi="Symbol" w:cs="Symbol"/>
      <w:sz w:val="24"/>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line="240" w:lineRule="auto"/>
      <w:jc w:val="center"/>
    </w:pPr>
    <w:rPr>
      <w:rFonts w:ascii="Symbol" w:hAnsi="Symbol" w:cs="Symbol"/>
      <w:b/>
      <w:sz w:val="24"/>
    </w:rPr>
  </w:style>
  <w:style w:type="paragraph" w:customStyle="1" w:styleId="Typeacteprincipal">
    <w:name w:val="Type acte principal"/>
    <w:basedOn w:val="Normal"/>
    <w:next w:val="Objetacteprincipal"/>
    <w:pPr>
      <w:spacing w:after="240" w:line="240" w:lineRule="auto"/>
      <w:jc w:val="center"/>
    </w:pPr>
    <w:rPr>
      <w:rFonts w:ascii="Symbol" w:hAnsi="Symbol" w:cs="Symbol"/>
      <w:b/>
      <w:sz w:val="24"/>
    </w:rPr>
  </w:style>
  <w:style w:type="paragraph" w:customStyle="1" w:styleId="Objetacteprincipal">
    <w:name w:val="Objet acte principal"/>
    <w:basedOn w:val="Normal"/>
    <w:next w:val="Titrearticle"/>
    <w:pPr>
      <w:spacing w:after="360" w:line="240" w:lineRule="auto"/>
      <w:jc w:val="center"/>
    </w:pPr>
    <w:rPr>
      <w:rFonts w:ascii="Symbol" w:hAnsi="Symbol" w:cs="Symbol"/>
      <w:b/>
      <w:sz w:val="24"/>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line="240" w:lineRule="auto"/>
      <w:jc w:val="center"/>
    </w:pPr>
    <w:rPr>
      <w:rFonts w:ascii="Symbol" w:hAnsi="Symbol" w:cs="Symbol"/>
      <w:sz w:val="24"/>
    </w:r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unhideWhenUsed/>
    <w:rsid w:val="00206C1F"/>
    <w:pPr>
      <w:spacing w:before="120" w:after="120" w:line="240" w:lineRule="auto"/>
      <w:jc w:val="both"/>
    </w:pPr>
    <w:rPr>
      <w:rFonts w:cs="Symbol"/>
      <w:sz w:val="20"/>
    </w:rPr>
  </w:style>
  <w:style w:type="character" w:customStyle="1" w:styleId="CommentTextChar">
    <w:name w:val="Comment Text Char"/>
    <w:basedOn w:val="DefaultParagraphFont"/>
    <w:link w:val="CommentText"/>
    <w:uiPriority w:val="99"/>
    <w:rsid w:val="00206C1F"/>
    <w:rPr>
      <w:rFonts w:cs="Symbol"/>
      <w:sz w:val="20"/>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Indicator Text"/>
    <w:basedOn w:val="Normal"/>
    <w:link w:val="ListParagraphChar"/>
    <w:uiPriority w:val="34"/>
    <w:qFormat/>
    <w:pPr>
      <w:spacing w:after="160" w:line="259" w:lineRule="auto"/>
      <w:ind w:left="720"/>
      <w:contextualSpacing/>
    </w:p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basedOn w:val="DefaultParagraphFont"/>
    <w:link w:val="ListParagraph"/>
    <w:uiPriority w:val="34"/>
    <w:qFormat/>
    <w:locked/>
  </w:style>
  <w:style w:type="character" w:styleId="IntenseEmphasis">
    <w:name w:val="Intense Emphasis"/>
    <w:basedOn w:val="DefaultParagraphFont"/>
    <w:uiPriority w:val="21"/>
    <w:qFormat/>
    <w:rPr>
      <w:i/>
      <w:color w:val="4F81BD" w:themeColor="accent1"/>
    </w:rPr>
  </w:style>
  <w:style w:type="paragraph" w:styleId="BalloonText">
    <w:name w:val="Balloon Text"/>
    <w:basedOn w:val="Normal"/>
    <w:link w:val="BalloonTextChar"/>
    <w:uiPriority w:val="99"/>
    <w:semiHidden/>
    <w:unhideWhenUsed/>
    <w:rsid w:val="00A61727"/>
    <w:pPr>
      <w:spacing w:after="0" w:line="240" w:lineRule="auto"/>
      <w:jc w:val="both"/>
    </w:pPr>
    <w:rPr>
      <w:rFonts w:ascii="Times New Roman" w:hAnsi="Times New Roman" w:cs="MS Gothic"/>
      <w:sz w:val="18"/>
    </w:rPr>
  </w:style>
  <w:style w:type="character" w:customStyle="1" w:styleId="BalloonTextChar">
    <w:name w:val="Balloon Text Char"/>
    <w:basedOn w:val="DefaultParagraphFont"/>
    <w:link w:val="BalloonText"/>
    <w:uiPriority w:val="99"/>
    <w:semiHidden/>
    <w:rsid w:val="00A61727"/>
    <w:rPr>
      <w:rFonts w:ascii="Times New Roman" w:hAnsi="Times New Roman" w:cs="MS Gothic"/>
      <w:sz w:val="18"/>
    </w:rPr>
  </w:style>
  <w:style w:type="paragraph" w:styleId="ListBullet">
    <w:name w:val="List Bullet"/>
    <w:basedOn w:val="Normal"/>
    <w:uiPriority w:val="99"/>
    <w:semiHidden/>
    <w:unhideWhenUsed/>
    <w:pPr>
      <w:numPr>
        <w:numId w:val="59"/>
      </w:numPr>
      <w:spacing w:before="120" w:after="120" w:line="240" w:lineRule="auto"/>
      <w:contextualSpacing/>
      <w:jc w:val="both"/>
    </w:pPr>
    <w:rPr>
      <w:rFonts w:ascii="Segoe UI" w:hAnsi="Segoe UI" w:cs="Segoe UI"/>
      <w:sz w:val="24"/>
    </w:rPr>
  </w:style>
  <w:style w:type="paragraph" w:styleId="ListBullet2">
    <w:name w:val="List Bullet 2"/>
    <w:basedOn w:val="Normal"/>
    <w:uiPriority w:val="99"/>
    <w:semiHidden/>
    <w:unhideWhenUsed/>
    <w:pPr>
      <w:numPr>
        <w:numId w:val="60"/>
      </w:numPr>
      <w:spacing w:before="120" w:after="120" w:line="240" w:lineRule="auto"/>
      <w:contextualSpacing/>
      <w:jc w:val="both"/>
    </w:pPr>
    <w:rPr>
      <w:rFonts w:ascii="Segoe UI" w:hAnsi="Segoe UI" w:cs="Segoe UI"/>
      <w:sz w:val="24"/>
    </w:rPr>
  </w:style>
  <w:style w:type="paragraph" w:styleId="ListBullet3">
    <w:name w:val="List Bullet 3"/>
    <w:basedOn w:val="Normal"/>
    <w:uiPriority w:val="99"/>
    <w:semiHidden/>
    <w:unhideWhenUsed/>
    <w:pPr>
      <w:numPr>
        <w:numId w:val="61"/>
      </w:numPr>
      <w:spacing w:before="120" w:after="120" w:line="240" w:lineRule="auto"/>
      <w:contextualSpacing/>
      <w:jc w:val="both"/>
    </w:pPr>
    <w:rPr>
      <w:rFonts w:ascii="Segoe UI" w:hAnsi="Segoe UI" w:cs="Segoe UI"/>
      <w:sz w:val="24"/>
    </w:rPr>
  </w:style>
  <w:style w:type="paragraph" w:styleId="ListBullet4">
    <w:name w:val="List Bullet 4"/>
    <w:basedOn w:val="Normal"/>
    <w:uiPriority w:val="99"/>
    <w:semiHidden/>
    <w:unhideWhenUsed/>
    <w:pPr>
      <w:numPr>
        <w:numId w:val="62"/>
      </w:numPr>
      <w:spacing w:before="120" w:after="120" w:line="240" w:lineRule="auto"/>
      <w:contextualSpacing/>
      <w:jc w:val="both"/>
    </w:pPr>
    <w:rPr>
      <w:rFonts w:ascii="Segoe UI" w:hAnsi="Segoe UI" w:cs="Segoe UI"/>
      <w:sz w:val="24"/>
    </w:rPr>
  </w:style>
  <w:style w:type="paragraph" w:styleId="CommentSubject">
    <w:name w:val="annotation subject"/>
    <w:basedOn w:val="CommentText"/>
    <w:next w:val="CommentText"/>
    <w:link w:val="CommentSubjectChar"/>
    <w:uiPriority w:val="99"/>
    <w:semiHidden/>
    <w:unhideWhenUsed/>
    <w:rPr>
      <w:b/>
    </w:rPr>
  </w:style>
  <w:style w:type="character" w:customStyle="1" w:styleId="CommentSubjectChar">
    <w:name w:val="Comment Subject Char"/>
    <w:basedOn w:val="CommentTextChar"/>
    <w:link w:val="CommentSubject"/>
    <w:uiPriority w:val="99"/>
    <w:semiHidden/>
    <w:rPr>
      <w:rFonts w:ascii="Times New Roman" w:hAnsi="Times New Roman" w:cs="Times New Roman"/>
      <w:b/>
      <w:sz w:val="20"/>
    </w:rPr>
  </w:style>
  <w:style w:type="paragraph" w:styleId="Revision">
    <w:name w:val="Revision"/>
    <w:hidden/>
    <w:uiPriority w:val="99"/>
    <w:semiHidden/>
    <w:pPr>
      <w:spacing w:after="0" w:line="240" w:lineRule="auto"/>
    </w:pPr>
    <w:rPr>
      <w:rFonts w:ascii="Symbol" w:hAnsi="Symbol" w:cs="Symbol"/>
      <w:sz w:val="24"/>
    </w:rPr>
  </w:style>
  <w:style w:type="character" w:customStyle="1" w:styleId="Bullet1Char">
    <w:name w:val="Bullet 1 Char"/>
    <w:basedOn w:val="DefaultParagraphFont"/>
    <w:link w:val="Bullet1"/>
    <w:rPr>
      <w:rFonts w:ascii="Segoe UI" w:hAnsi="Segoe UI" w:cs="Segoe UI"/>
      <w:sz w:val="24"/>
    </w:rPr>
  </w:style>
  <w:style w:type="paragraph" w:customStyle="1" w:styleId="bullet2">
    <w:name w:val="bullet 2"/>
    <w:basedOn w:val="Normal"/>
    <w:link w:val="bullet2Char"/>
    <w:qFormat/>
    <w:pPr>
      <w:numPr>
        <w:ilvl w:val="1"/>
        <w:numId w:val="66"/>
      </w:numPr>
      <w:spacing w:before="120" w:after="120" w:line="240" w:lineRule="auto"/>
    </w:pPr>
    <w:rPr>
      <w:rFonts w:eastAsia="Arial" w:cstheme="minorHAnsi"/>
      <w:color w:val="000000" w:themeColor="text1"/>
      <w:sz w:val="24"/>
    </w:rPr>
  </w:style>
  <w:style w:type="character" w:customStyle="1" w:styleId="bullet2Char">
    <w:name w:val="bullet 2 Char"/>
    <w:basedOn w:val="DefaultParagraphFont"/>
    <w:link w:val="bullet2"/>
    <w:rPr>
      <w:rFonts w:eastAsia="Arial" w:cstheme="minorHAnsi"/>
      <w:color w:val="000000" w:themeColor="text1"/>
      <w:sz w:val="24"/>
    </w:rPr>
  </w:style>
  <w:style w:type="character" w:styleId="Hyperlink">
    <w:name w:val="Hyperlink"/>
    <w:basedOn w:val="DefaultParagraphFont"/>
    <w:uiPriority w:val="99"/>
    <w:unhideWhenUsed/>
    <w:rPr>
      <w:color w:val="0563C1"/>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spacing w:after="0" w:line="240" w:lineRule="auto"/>
    </w:pPr>
    <w:rPr>
      <w:rFonts w:ascii="Symbol" w:hAnsi="Symbol" w:cs="Symbol"/>
      <w:color w:val="000000"/>
      <w:sz w:val="24"/>
    </w:rPr>
  </w:style>
  <w:style w:type="character" w:customStyle="1" w:styleId="eop">
    <w:name w:val="eop"/>
    <w:basedOn w:val="DefaultParagraphFont"/>
  </w:style>
  <w:style w:type="paragraph" w:styleId="NormalWeb">
    <w:name w:val="Normal (Web)"/>
    <w:basedOn w:val="Normal"/>
    <w:uiPriority w:val="99"/>
    <w:unhideWhenUsed/>
    <w:pPr>
      <w:spacing w:before="100" w:beforeAutospacing="1" w:after="100" w:afterAutospacing="1" w:line="240" w:lineRule="auto"/>
    </w:pPr>
    <w:rPr>
      <w:rFonts w:ascii="Symbol" w:eastAsia="Symbol" w:hAnsi="Symbol" w:cs="Symbol"/>
      <w:sz w:val="24"/>
    </w:rPr>
  </w:style>
  <w:style w:type="character" w:customStyle="1" w:styleId="normaltextrun">
    <w:name w:val="normaltextrun"/>
    <w:basedOn w:val="DefaultParagraphFont"/>
  </w:style>
  <w:style w:type="paragraph" w:customStyle="1" w:styleId="paragraph">
    <w:name w:val="paragraph"/>
    <w:basedOn w:val="Normal"/>
    <w:pPr>
      <w:spacing w:before="100" w:beforeAutospacing="1" w:after="100" w:afterAutospacing="1" w:line="240" w:lineRule="auto"/>
    </w:pPr>
    <w:rPr>
      <w:rFonts w:ascii="Symbol" w:eastAsia="Symbol" w:hAnsi="Symbol" w:cs="Symbol"/>
      <w:sz w:val="24"/>
    </w:rPr>
  </w:style>
  <w:style w:type="paragraph" w:customStyle="1" w:styleId="Titreobjet">
    <w:name w:val="Titre objet"/>
    <w:basedOn w:val="Normal"/>
    <w:next w:val="IntrtEEE"/>
    <w:pPr>
      <w:spacing w:before="360" w:after="360" w:line="240" w:lineRule="auto"/>
      <w:jc w:val="center"/>
    </w:pPr>
    <w:rPr>
      <w:rFonts w:ascii="Symbol" w:hAnsi="Symbol" w:cs="Symbol"/>
      <w:b/>
      <w:sz w:val="24"/>
    </w:rPr>
  </w:style>
  <w:style w:type="paragraph" w:customStyle="1" w:styleId="TitreobjetPagedecouverture">
    <w:name w:val="Titre objet (Page de couverture)"/>
    <w:basedOn w:val="Titreobjet"/>
    <w:next w:val="IntrtEEEPagedecouverture"/>
  </w:style>
  <w:style w:type="paragraph" w:customStyle="1" w:styleId="FooterCoverPage">
    <w:name w:val="Footer Cover Page"/>
    <w:basedOn w:val="Normal"/>
    <w:link w:val="FooterCoverPageChar"/>
    <w:pPr>
      <w:keepNext/>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keepNext/>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ymbol" w:hAnsi="Courier New" w:cs="Courier New"/>
      <w:sz w:val="20"/>
    </w:rPr>
  </w:style>
  <w:style w:type="character" w:customStyle="1" w:styleId="HTMLPreformattedChar">
    <w:name w:val="HTML Preformatted Char"/>
    <w:basedOn w:val="DefaultParagraphFont"/>
    <w:link w:val="HTMLPreformatted"/>
    <w:uiPriority w:val="99"/>
    <w:semiHidden/>
    <w:rPr>
      <w:rFonts w:ascii="Courier New" w:eastAsia="Symbol" w:hAnsi="Courier New" w:cs="Courier New"/>
      <w:sz w:val="20"/>
    </w:rPr>
  </w:style>
  <w:style w:type="character" w:customStyle="1" w:styleId="y2iqfc">
    <w:name w:val="y2iqfc"/>
    <w:basedOn w:val="DefaultParagraphFont"/>
  </w:style>
  <w:style w:type="paragraph" w:styleId="ListNumber">
    <w:name w:val="List Number"/>
    <w:basedOn w:val="Normal"/>
    <w:uiPriority w:val="99"/>
    <w:semiHidden/>
    <w:unhideWhenUsed/>
    <w:pPr>
      <w:numPr>
        <w:numId w:val="192"/>
      </w:numPr>
      <w:spacing w:before="120" w:after="120" w:line="240" w:lineRule="auto"/>
      <w:contextualSpacing/>
      <w:jc w:val="both"/>
    </w:pPr>
    <w:rPr>
      <w:rFonts w:ascii="Segoe UI" w:hAnsi="Segoe UI" w:cs="Segoe UI"/>
      <w:sz w:val="24"/>
    </w:rPr>
  </w:style>
  <w:style w:type="character" w:customStyle="1" w:styleId="oj-super">
    <w:name w:val="oj-super"/>
    <w:basedOn w:val="DefaultParagraphFont"/>
  </w:style>
  <w:style w:type="paragraph" w:customStyle="1" w:styleId="xmsonormal">
    <w:name w:val="x_msonormal"/>
    <w:basedOn w:val="Normal"/>
    <w:pPr>
      <w:spacing w:after="0" w:line="240" w:lineRule="auto"/>
    </w:pPr>
    <w:rPr>
      <w:rFonts w:ascii="Wingdings" w:hAnsi="Wingdings" w:cs="Wingding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ynqvb">
    <w:name w:val="rynqvb"/>
    <w:basedOn w:val="DefaultParagraphFont"/>
    <w:rsid w:val="00026F22"/>
  </w:style>
  <w:style w:type="character" w:customStyle="1" w:styleId="UnresolvedMention1">
    <w:name w:val="Unresolved Mention1"/>
    <w:basedOn w:val="DefaultParagraphFont"/>
    <w:uiPriority w:val="99"/>
    <w:unhideWhenUsed/>
    <w:rsid w:val="00F92FF4"/>
    <w:rPr>
      <w:color w:val="605E5C"/>
      <w:shd w:val="clear" w:color="auto" w:fill="E1DFDD"/>
    </w:rPr>
  </w:style>
  <w:style w:type="character" w:customStyle="1" w:styleId="Mention1">
    <w:name w:val="Mention1"/>
    <w:basedOn w:val="DefaultParagraphFont"/>
    <w:uiPriority w:val="99"/>
    <w:unhideWhenUsed/>
    <w:rsid w:val="00F92FF4"/>
    <w:rPr>
      <w:color w:val="2B579A"/>
      <w:shd w:val="clear" w:color="auto" w:fill="E1DFDD"/>
    </w:rPr>
  </w:style>
  <w:style w:type="character" w:styleId="Strong">
    <w:name w:val="Strong"/>
    <w:basedOn w:val="DefaultParagraphFont"/>
    <w:uiPriority w:val="22"/>
    <w:qFormat/>
    <w:rsid w:val="00C41254"/>
    <w:rPr>
      <w:b/>
    </w:rPr>
  </w:style>
  <w:style w:type="paragraph" w:customStyle="1" w:styleId="Heading2blue">
    <w:name w:val="Heading 2 (blue)"/>
    <w:basedOn w:val="Heading2"/>
    <w:link w:val="Heading2blueChar"/>
    <w:qFormat/>
    <w:rsid w:val="0080105E"/>
    <w:pPr>
      <w:keepNext w:val="0"/>
      <w:numPr>
        <w:ilvl w:val="0"/>
        <w:numId w:val="0"/>
      </w:numPr>
      <w:ind w:left="709"/>
    </w:pPr>
    <w:rPr>
      <w:rFonts w:ascii="Times New Roman" w:hAnsi="Times New Roman" w:cs="Times New Roman"/>
      <w:color w:val="4F81BD" w:themeColor="accent1"/>
      <w:u w:val="single"/>
    </w:rPr>
  </w:style>
  <w:style w:type="paragraph" w:customStyle="1" w:styleId="Heading3blue">
    <w:name w:val="Heading 3 (blue)"/>
    <w:basedOn w:val="Heading3"/>
    <w:link w:val="Heading3blueChar"/>
    <w:qFormat/>
    <w:rsid w:val="0080105E"/>
    <w:pPr>
      <w:numPr>
        <w:ilvl w:val="0"/>
        <w:numId w:val="0"/>
      </w:numPr>
    </w:pPr>
    <w:rPr>
      <w:rFonts w:ascii="Times New Roman" w:hAnsi="Times New Roman" w:cs="Times New Roman"/>
      <w:i w:val="0"/>
      <w:color w:val="4F81BD" w:themeColor="accent1"/>
      <w:u w:val="single"/>
    </w:rPr>
  </w:style>
  <w:style w:type="character" w:customStyle="1" w:styleId="Heading2blueChar">
    <w:name w:val="Heading 2 (blue) Char"/>
    <w:basedOn w:val="Heading2Char"/>
    <w:link w:val="Heading2blue"/>
    <w:rsid w:val="0080105E"/>
    <w:rPr>
      <w:rFonts w:ascii="Times New Roman" w:eastAsiaTheme="majorEastAsia" w:hAnsi="Times New Roman" w:cs="Times New Roman"/>
      <w:b/>
      <w:color w:val="4F81BD" w:themeColor="accent1"/>
      <w:sz w:val="24"/>
      <w:u w:val="single"/>
    </w:rPr>
  </w:style>
  <w:style w:type="paragraph" w:customStyle="1" w:styleId="maintext">
    <w:name w:val="main text"/>
    <w:basedOn w:val="Normal"/>
    <w:link w:val="maintextChar"/>
    <w:qFormat/>
    <w:rsid w:val="0080105E"/>
    <w:pPr>
      <w:keepNext/>
      <w:spacing w:before="120" w:after="120" w:line="240" w:lineRule="auto"/>
      <w:jc w:val="both"/>
    </w:pPr>
    <w:rPr>
      <w:rFonts w:ascii="Times New Roman" w:hAnsi="Times New Roman" w:cs="Times New Roman"/>
      <w:sz w:val="24"/>
    </w:rPr>
  </w:style>
  <w:style w:type="character" w:customStyle="1" w:styleId="Heading3blueChar">
    <w:name w:val="Heading 3 (blue) Char"/>
    <w:basedOn w:val="Heading3Char"/>
    <w:link w:val="Heading3blue"/>
    <w:rsid w:val="0080105E"/>
    <w:rPr>
      <w:rFonts w:ascii="Times New Roman" w:eastAsiaTheme="majorEastAsia" w:hAnsi="Times New Roman" w:cs="Times New Roman"/>
      <w:i w:val="0"/>
      <w:color w:val="4F81BD" w:themeColor="accent1"/>
      <w:sz w:val="24"/>
      <w:u w:val="single"/>
    </w:rPr>
  </w:style>
  <w:style w:type="character" w:customStyle="1" w:styleId="maintextChar">
    <w:name w:val="main text Char"/>
    <w:basedOn w:val="DefaultParagraphFont"/>
    <w:link w:val="maintext"/>
    <w:rsid w:val="0080105E"/>
    <w:rPr>
      <w:rFonts w:ascii="Times New Roman" w:hAnsi="Times New Roman" w:cs="Times New Roman"/>
      <w:sz w:val="24"/>
    </w:rPr>
  </w:style>
  <w:style w:type="paragraph" w:customStyle="1" w:styleId="P68B1DB1-Normal9">
    <w:name w:val="P68B1DB1-Normal9"/>
    <w:basedOn w:val="Normal"/>
    <w:rsid w:val="0080105E"/>
    <w:pPr>
      <w:shd w:val="clear" w:color="auto" w:fill="FF0000"/>
    </w:pPr>
    <w:rPr>
      <w:rFonts w:ascii="Times New Roman" w:hAnsi="Times New Roman"/>
      <w:color w:val="000000"/>
      <w:sz w:val="18"/>
    </w:rPr>
  </w:style>
  <w:style w:type="paragraph" w:customStyle="1" w:styleId="P68B1DB1-Normal10">
    <w:name w:val="P68B1DB1-Normal10"/>
    <w:basedOn w:val="Normal"/>
    <w:rsid w:val="0080105E"/>
    <w:rPr>
      <w:rFonts w:ascii="Times New Roman" w:hAnsi="Times New Roman"/>
      <w:color w:val="000000"/>
      <w:sz w:val="18"/>
    </w:rPr>
  </w:style>
  <w:style w:type="paragraph" w:customStyle="1" w:styleId="P68B1DB1-Normal11">
    <w:name w:val="P68B1DB1-Normal11"/>
    <w:basedOn w:val="Normal"/>
    <w:rsid w:val="0080105E"/>
    <w:pPr>
      <w:shd w:val="clear" w:color="auto" w:fill="FF0000"/>
    </w:pPr>
    <w:rPr>
      <w:rFonts w:ascii="Times New Roman" w:hAnsi="Times New Roman"/>
      <w:color w:val="000000"/>
      <w:sz w:val="18"/>
    </w:rPr>
  </w:style>
  <w:style w:type="character" w:customStyle="1" w:styleId="superscript">
    <w:name w:val="superscript"/>
    <w:basedOn w:val="DefaultParagraphFont"/>
    <w:rsid w:val="0080105E"/>
  </w:style>
  <w:style w:type="character" w:customStyle="1" w:styleId="scxw48877978">
    <w:name w:val="scxw48877978"/>
    <w:basedOn w:val="DefaultParagraphFont"/>
    <w:rsid w:val="0080105E"/>
  </w:style>
  <w:style w:type="paragraph" w:customStyle="1" w:styleId="P68B1DB1-Prrafodelista9">
    <w:name w:val="P68B1DB1-Prrafodelista9"/>
    <w:basedOn w:val="ListParagraph"/>
    <w:rsid w:val="0080105E"/>
    <w:pPr>
      <w:spacing w:before="120" w:after="120" w:line="240" w:lineRule="auto"/>
    </w:pPr>
    <w:rPr>
      <w:rFonts w:eastAsia="Times New Roman" w:cstheme="minorHAnsi"/>
    </w:rPr>
  </w:style>
  <w:style w:type="character" w:customStyle="1" w:styleId="scxw101381782">
    <w:name w:val="scxw101381782"/>
    <w:basedOn w:val="DefaultParagraphFont"/>
    <w:rsid w:val="0080105E"/>
  </w:style>
  <w:style w:type="character" w:customStyle="1" w:styleId="Mention21">
    <w:name w:val="Mention21"/>
    <w:basedOn w:val="DefaultParagraphFont"/>
    <w:uiPriority w:val="99"/>
    <w:unhideWhenUsed/>
    <w:rsid w:val="0080105E"/>
    <w:rPr>
      <w:color w:val="2B579A"/>
      <w:shd w:val="clear" w:color="auto" w:fill="E6E6E6"/>
    </w:rPr>
  </w:style>
  <w:style w:type="character" w:customStyle="1" w:styleId="Mention2">
    <w:name w:val="Mention2"/>
    <w:basedOn w:val="DefaultParagraphFont"/>
    <w:uiPriority w:val="99"/>
    <w:unhideWhenUsed/>
    <w:rsid w:val="005E4FED"/>
    <w:rPr>
      <w:color w:val="2B579A"/>
      <w:shd w:val="clear" w:color="auto" w:fill="E1DFDD"/>
    </w:rPr>
  </w:style>
  <w:style w:type="character" w:customStyle="1" w:styleId="UnresolvedMention2">
    <w:name w:val="Unresolved Mention2"/>
    <w:basedOn w:val="DefaultParagraphFont"/>
    <w:uiPriority w:val="99"/>
    <w:unhideWhenUsed/>
    <w:rsid w:val="0080105E"/>
    <w:rPr>
      <w:color w:val="605E5C"/>
      <w:shd w:val="clear" w:color="auto" w:fill="E1DFDD"/>
    </w:rPr>
  </w:style>
  <w:style w:type="character" w:customStyle="1" w:styleId="Mention20">
    <w:name w:val="Mention20"/>
    <w:basedOn w:val="DefaultParagraphFont"/>
    <w:uiPriority w:val="99"/>
    <w:unhideWhenUsed/>
    <w:rsid w:val="0080105E"/>
    <w:rPr>
      <w:color w:val="2B579A"/>
      <w:shd w:val="clear" w:color="auto" w:fill="E6E6E6"/>
    </w:rPr>
  </w:style>
  <w:style w:type="character" w:customStyle="1" w:styleId="Mention3">
    <w:name w:val="Mention3"/>
    <w:basedOn w:val="DefaultParagraphFont"/>
    <w:uiPriority w:val="99"/>
    <w:unhideWhenUsed/>
    <w:rsid w:val="0080105E"/>
    <w:rPr>
      <w:color w:val="2B579A"/>
      <w:shd w:val="clear" w:color="auto" w:fill="E1DFDD"/>
    </w:rPr>
  </w:style>
  <w:style w:type="character" w:customStyle="1" w:styleId="UnresolvedMention3">
    <w:name w:val="Unresolved Mention3"/>
    <w:basedOn w:val="DefaultParagraphFont"/>
    <w:uiPriority w:val="99"/>
    <w:unhideWhenUsed/>
    <w:rsid w:val="0080105E"/>
    <w:rPr>
      <w:color w:val="605E5C"/>
      <w:shd w:val="clear" w:color="auto" w:fill="E1DFDD"/>
    </w:rPr>
  </w:style>
  <w:style w:type="character" w:customStyle="1" w:styleId="UnresolvedMention4">
    <w:name w:val="Unresolved Mention4"/>
    <w:basedOn w:val="DefaultParagraphFont"/>
    <w:uiPriority w:val="99"/>
    <w:unhideWhenUsed/>
    <w:rsid w:val="0080105E"/>
    <w:rPr>
      <w:color w:val="605E5C"/>
      <w:shd w:val="clear" w:color="auto" w:fill="E1DFDD"/>
    </w:rPr>
  </w:style>
  <w:style w:type="character" w:customStyle="1" w:styleId="Mention4">
    <w:name w:val="Mention4"/>
    <w:basedOn w:val="DefaultParagraphFont"/>
    <w:uiPriority w:val="99"/>
    <w:unhideWhenUsed/>
    <w:rsid w:val="0080105E"/>
    <w:rPr>
      <w:color w:val="2B579A"/>
      <w:shd w:val="clear" w:color="auto" w:fill="E1DFDD"/>
    </w:rPr>
  </w:style>
  <w:style w:type="character" w:customStyle="1" w:styleId="Mention5">
    <w:name w:val="Mention5"/>
    <w:basedOn w:val="DefaultParagraphFont"/>
    <w:uiPriority w:val="99"/>
    <w:unhideWhenUsed/>
    <w:rsid w:val="0080105E"/>
    <w:rPr>
      <w:color w:val="2B579A"/>
      <w:shd w:val="clear" w:color="auto" w:fill="E6E6E6"/>
    </w:rPr>
  </w:style>
  <w:style w:type="character" w:customStyle="1" w:styleId="UnresolvedMention5">
    <w:name w:val="Unresolved Mention5"/>
    <w:basedOn w:val="DefaultParagraphFont"/>
    <w:uiPriority w:val="99"/>
    <w:unhideWhenUsed/>
    <w:rsid w:val="0080105E"/>
    <w:rPr>
      <w:color w:val="605E5C"/>
      <w:shd w:val="clear" w:color="auto" w:fill="E1DFDD"/>
    </w:rPr>
  </w:style>
  <w:style w:type="character" w:customStyle="1" w:styleId="UnresolvedMention6">
    <w:name w:val="Unresolved Mention6"/>
    <w:basedOn w:val="DefaultParagraphFont"/>
    <w:uiPriority w:val="99"/>
    <w:unhideWhenUsed/>
    <w:rsid w:val="0080105E"/>
    <w:rPr>
      <w:color w:val="605E5C"/>
      <w:shd w:val="clear" w:color="auto" w:fill="E1DFDD"/>
    </w:rPr>
  </w:style>
  <w:style w:type="character" w:customStyle="1" w:styleId="Mention6">
    <w:name w:val="Mention6"/>
    <w:basedOn w:val="DefaultParagraphFont"/>
    <w:uiPriority w:val="99"/>
    <w:unhideWhenUsed/>
    <w:rsid w:val="0080105E"/>
    <w:rPr>
      <w:color w:val="2B579A"/>
      <w:shd w:val="clear" w:color="auto" w:fill="E1DFDD"/>
    </w:rPr>
  </w:style>
  <w:style w:type="character" w:customStyle="1" w:styleId="UnresolvedMention60">
    <w:name w:val="Unresolved Mention60"/>
    <w:basedOn w:val="DefaultParagraphFont"/>
    <w:uiPriority w:val="99"/>
    <w:unhideWhenUsed/>
    <w:rsid w:val="0080105E"/>
    <w:rPr>
      <w:color w:val="605E5C"/>
      <w:shd w:val="clear" w:color="auto" w:fill="E1DFDD"/>
    </w:rPr>
  </w:style>
  <w:style w:type="character" w:customStyle="1" w:styleId="UnresolvedMention7">
    <w:name w:val="Unresolved Mention7"/>
    <w:basedOn w:val="DefaultParagraphFont"/>
    <w:uiPriority w:val="99"/>
    <w:unhideWhenUsed/>
    <w:rsid w:val="0080105E"/>
    <w:rPr>
      <w:color w:val="605E5C"/>
      <w:shd w:val="clear" w:color="auto" w:fill="E1DFDD"/>
    </w:rPr>
  </w:style>
  <w:style w:type="character" w:customStyle="1" w:styleId="Mention60">
    <w:name w:val="Mention60"/>
    <w:basedOn w:val="DefaultParagraphFont"/>
    <w:uiPriority w:val="99"/>
    <w:unhideWhenUsed/>
    <w:rsid w:val="0080105E"/>
    <w:rPr>
      <w:color w:val="2B579A"/>
      <w:shd w:val="clear" w:color="auto" w:fill="E1DFDD"/>
    </w:rPr>
  </w:style>
  <w:style w:type="character" w:customStyle="1" w:styleId="Mention7">
    <w:name w:val="Mention7"/>
    <w:basedOn w:val="DefaultParagraphFont"/>
    <w:uiPriority w:val="99"/>
    <w:unhideWhenUsed/>
    <w:rsid w:val="0080105E"/>
    <w:rPr>
      <w:color w:val="2B579A"/>
      <w:shd w:val="clear" w:color="auto" w:fill="E1DFDD"/>
    </w:rPr>
  </w:style>
  <w:style w:type="character" w:customStyle="1" w:styleId="UnresolvedMention600">
    <w:name w:val="Unresolved Mention600"/>
    <w:basedOn w:val="DefaultParagraphFont"/>
    <w:uiPriority w:val="99"/>
    <w:unhideWhenUsed/>
    <w:rsid w:val="0080105E"/>
    <w:rPr>
      <w:color w:val="605E5C"/>
      <w:shd w:val="clear" w:color="auto" w:fill="E1DFDD"/>
    </w:rPr>
  </w:style>
  <w:style w:type="character" w:customStyle="1" w:styleId="Mention600">
    <w:name w:val="Mention600"/>
    <w:basedOn w:val="DefaultParagraphFont"/>
    <w:uiPriority w:val="99"/>
    <w:unhideWhenUsed/>
    <w:rsid w:val="0080105E"/>
    <w:rPr>
      <w:color w:val="2B579A"/>
      <w:shd w:val="clear" w:color="auto" w:fill="E1DFDD"/>
    </w:rPr>
  </w:style>
  <w:style w:type="character" w:customStyle="1" w:styleId="UnresolvedMention6000">
    <w:name w:val="Unresolved Mention6000"/>
    <w:basedOn w:val="DefaultParagraphFont"/>
    <w:uiPriority w:val="99"/>
    <w:unhideWhenUsed/>
    <w:rsid w:val="0080105E"/>
    <w:rPr>
      <w:color w:val="605E5C"/>
      <w:shd w:val="clear" w:color="auto" w:fill="E1DFDD"/>
    </w:rPr>
  </w:style>
  <w:style w:type="character" w:customStyle="1" w:styleId="Mention6000">
    <w:name w:val="Mention6000"/>
    <w:basedOn w:val="DefaultParagraphFont"/>
    <w:uiPriority w:val="99"/>
    <w:unhideWhenUsed/>
    <w:rsid w:val="0080105E"/>
    <w:rPr>
      <w:color w:val="2B579A"/>
      <w:shd w:val="clear" w:color="auto" w:fill="E6E6E6"/>
    </w:rPr>
  </w:style>
  <w:style w:type="character" w:customStyle="1" w:styleId="UnresolvedMention8">
    <w:name w:val="Unresolved Mention8"/>
    <w:basedOn w:val="DefaultParagraphFont"/>
    <w:uiPriority w:val="99"/>
    <w:unhideWhenUsed/>
    <w:rsid w:val="0080105E"/>
    <w:rPr>
      <w:color w:val="605E5C"/>
      <w:shd w:val="clear" w:color="auto" w:fill="E1DFDD"/>
    </w:rPr>
  </w:style>
  <w:style w:type="character" w:customStyle="1" w:styleId="Mention8">
    <w:name w:val="Mention8"/>
    <w:basedOn w:val="DefaultParagraphFont"/>
    <w:uiPriority w:val="99"/>
    <w:unhideWhenUsed/>
    <w:rsid w:val="0080105E"/>
    <w:rPr>
      <w:color w:val="2B579A"/>
      <w:shd w:val="clear" w:color="auto" w:fill="E1DFDD"/>
    </w:rPr>
  </w:style>
  <w:style w:type="character" w:customStyle="1" w:styleId="scxw72124611">
    <w:name w:val="scxw72124611"/>
    <w:basedOn w:val="DefaultParagraphFont"/>
    <w:rsid w:val="0080105E"/>
  </w:style>
  <w:style w:type="character" w:customStyle="1" w:styleId="Mention9">
    <w:name w:val="Mention9"/>
    <w:basedOn w:val="DefaultParagraphFont"/>
    <w:uiPriority w:val="99"/>
    <w:unhideWhenUsed/>
    <w:rsid w:val="0080105E"/>
    <w:rPr>
      <w:color w:val="2B579A"/>
      <w:shd w:val="clear" w:color="auto" w:fill="E1DFDD"/>
    </w:rPr>
  </w:style>
  <w:style w:type="table" w:styleId="PlainTable2">
    <w:name w:val="Plain Table 2"/>
    <w:basedOn w:val="TableNormal"/>
    <w:uiPriority w:val="42"/>
    <w:rsid w:val="0080105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tion90">
    <w:name w:val="Mention90"/>
    <w:basedOn w:val="DefaultParagraphFont"/>
    <w:uiPriority w:val="99"/>
    <w:unhideWhenUsed/>
    <w:rsid w:val="0080105E"/>
    <w:rPr>
      <w:color w:val="2B579A"/>
      <w:shd w:val="clear" w:color="auto" w:fill="E1DFDD"/>
    </w:rPr>
  </w:style>
  <w:style w:type="character" w:customStyle="1" w:styleId="Mention900">
    <w:name w:val="Mention900"/>
    <w:basedOn w:val="DefaultParagraphFont"/>
    <w:uiPriority w:val="99"/>
    <w:unhideWhenUsed/>
    <w:rsid w:val="0080105E"/>
    <w:rPr>
      <w:color w:val="2B579A"/>
      <w:shd w:val="clear" w:color="auto" w:fill="E1DFDD"/>
    </w:rPr>
  </w:style>
  <w:style w:type="character" w:customStyle="1" w:styleId="Mention10">
    <w:name w:val="Mention10"/>
    <w:basedOn w:val="DefaultParagraphFont"/>
    <w:uiPriority w:val="99"/>
    <w:unhideWhenUsed/>
    <w:rsid w:val="0080105E"/>
    <w:rPr>
      <w:color w:val="2B579A"/>
      <w:shd w:val="clear" w:color="auto" w:fill="E1DFDD"/>
    </w:rPr>
  </w:style>
  <w:style w:type="character" w:customStyle="1" w:styleId="Mention100">
    <w:name w:val="Mention100"/>
    <w:basedOn w:val="DefaultParagraphFont"/>
    <w:uiPriority w:val="99"/>
    <w:unhideWhenUsed/>
    <w:rsid w:val="0080105E"/>
    <w:rPr>
      <w:color w:val="2B579A"/>
      <w:shd w:val="clear" w:color="auto" w:fill="E1DFDD"/>
    </w:rPr>
  </w:style>
  <w:style w:type="paragraph" w:customStyle="1" w:styleId="P68B1DB1-Normal2">
    <w:name w:val="P68B1DB1-Normal2"/>
    <w:basedOn w:val="Normal"/>
    <w:rsid w:val="001C2EC1"/>
    <w:pPr>
      <w:spacing w:after="160" w:line="256" w:lineRule="auto"/>
    </w:pPr>
    <w:rPr>
      <w:rFonts w:ascii="Times New Roman" w:hAnsi="Times New Roman" w:cs="Times New Roman"/>
      <w:b/>
    </w:rPr>
  </w:style>
  <w:style w:type="character" w:customStyle="1" w:styleId="hwtze">
    <w:name w:val="hwtze"/>
    <w:basedOn w:val="DefaultParagraphFont"/>
    <w:rsid w:val="001C2EC1"/>
  </w:style>
  <w:style w:type="paragraph" w:customStyle="1" w:styleId="P68B1DB1-Normal3">
    <w:name w:val="P68B1DB1-Normal3"/>
    <w:basedOn w:val="Normal"/>
    <w:rsid w:val="001C2EC1"/>
    <w:pPr>
      <w:spacing w:after="160" w:line="256" w:lineRule="auto"/>
    </w:pPr>
    <w:rPr>
      <w:rFonts w:ascii="Times New Roman" w:hAnsi="Times New Roman" w:cs="Times New Roman"/>
    </w:rPr>
  </w:style>
  <w:style w:type="character" w:customStyle="1" w:styleId="Bodytext1">
    <w:name w:val="Body text|1_"/>
    <w:basedOn w:val="DefaultParagraphFont"/>
    <w:link w:val="Bodytext10"/>
    <w:rsid w:val="001C2EC1"/>
    <w:rPr>
      <w:rFonts w:ascii="Arial" w:eastAsia="Arial" w:hAnsi="Arial" w:cs="Arial"/>
      <w:sz w:val="20"/>
    </w:rPr>
  </w:style>
  <w:style w:type="paragraph" w:customStyle="1" w:styleId="Bodytext10">
    <w:name w:val="Body text|1"/>
    <w:basedOn w:val="Normal"/>
    <w:link w:val="Bodytext1"/>
    <w:rsid w:val="001C2EC1"/>
    <w:pPr>
      <w:widowControl w:val="0"/>
      <w:spacing w:after="0" w:line="252" w:lineRule="auto"/>
      <w:ind w:firstLine="360"/>
    </w:pPr>
    <w:rPr>
      <w:rFonts w:ascii="Arial" w:eastAsia="Arial" w:hAnsi="Arial" w:cs="Arial"/>
      <w:sz w:val="20"/>
    </w:rPr>
  </w:style>
  <w:style w:type="character" w:customStyle="1" w:styleId="UnresolvedMention20">
    <w:name w:val="Unresolved Mention20"/>
    <w:basedOn w:val="DefaultParagraphFont"/>
    <w:uiPriority w:val="99"/>
    <w:unhideWhenUsed/>
    <w:rsid w:val="00C936DF"/>
    <w:rPr>
      <w:color w:val="605E5C"/>
      <w:shd w:val="clear" w:color="auto" w:fill="E1DFDD"/>
    </w:rPr>
  </w:style>
  <w:style w:type="character" w:customStyle="1" w:styleId="Mention200">
    <w:name w:val="Mention200"/>
    <w:basedOn w:val="DefaultParagraphFont"/>
    <w:uiPriority w:val="99"/>
    <w:unhideWhenUsed/>
    <w:rsid w:val="00C936DF"/>
    <w:rPr>
      <w:color w:val="2B579A"/>
      <w:shd w:val="clear" w:color="auto" w:fill="E1DFDD"/>
    </w:rPr>
  </w:style>
  <w:style w:type="paragraph" w:customStyle="1" w:styleId="LegalNumPar3">
    <w:name w:val="LegalNumPar3"/>
    <w:basedOn w:val="Normal"/>
    <w:uiPriority w:val="1"/>
    <w:rsid w:val="00A34B22"/>
    <w:pPr>
      <w:numPr>
        <w:ilvl w:val="2"/>
        <w:numId w:val="12"/>
      </w:numPr>
      <w:spacing w:after="160" w:line="259" w:lineRule="auto"/>
    </w:pPr>
  </w:style>
  <w:style w:type="paragraph" w:customStyle="1" w:styleId="LegalNumPar">
    <w:name w:val="LegalNumPar"/>
    <w:basedOn w:val="Normal"/>
    <w:rsid w:val="007043A5"/>
    <w:pPr>
      <w:spacing w:after="160" w:line="259" w:lineRule="auto"/>
      <w:ind w:left="476" w:hanging="476"/>
    </w:pPr>
  </w:style>
  <w:style w:type="paragraph" w:customStyle="1" w:styleId="LegalNumPar2">
    <w:name w:val="LegalNumPar2"/>
    <w:basedOn w:val="Normal"/>
    <w:rsid w:val="007043A5"/>
    <w:pPr>
      <w:spacing w:after="160" w:line="259" w:lineRule="auto"/>
      <w:ind w:left="953" w:hanging="477"/>
    </w:pPr>
  </w:style>
  <w:style w:type="character" w:customStyle="1" w:styleId="Mention11">
    <w:name w:val="Mention11"/>
    <w:basedOn w:val="DefaultParagraphFont"/>
    <w:uiPriority w:val="99"/>
    <w:unhideWhenUsed/>
    <w:rsid w:val="00621745"/>
    <w:rPr>
      <w:color w:val="2B579A"/>
      <w:shd w:val="clear" w:color="auto" w:fill="E1DFDD"/>
    </w:rPr>
  </w:style>
  <w:style w:type="character" w:customStyle="1" w:styleId="Mention110">
    <w:name w:val="Mention110"/>
    <w:basedOn w:val="DefaultParagraphFont"/>
    <w:uiPriority w:val="99"/>
    <w:unhideWhenUsed/>
    <w:rsid w:val="00674213"/>
    <w:rPr>
      <w:color w:val="2B579A"/>
      <w:shd w:val="clear" w:color="auto" w:fill="E1DFDD"/>
    </w:rPr>
  </w:style>
  <w:style w:type="character" w:customStyle="1" w:styleId="Mention1100">
    <w:name w:val="Mention1100"/>
    <w:basedOn w:val="DefaultParagraphFont"/>
    <w:uiPriority w:val="99"/>
    <w:unhideWhenUsed/>
    <w:rsid w:val="00674213"/>
    <w:rPr>
      <w:color w:val="2B579A"/>
      <w:shd w:val="clear" w:color="auto" w:fill="E1DFDD"/>
    </w:rPr>
  </w:style>
  <w:style w:type="character" w:customStyle="1" w:styleId="Mention11000">
    <w:name w:val="Mention11000"/>
    <w:basedOn w:val="DefaultParagraphFont"/>
    <w:uiPriority w:val="99"/>
    <w:unhideWhenUsed/>
    <w:rsid w:val="00674213"/>
    <w:rPr>
      <w:color w:val="2B579A"/>
      <w:shd w:val="clear" w:color="auto" w:fill="E1DFDD"/>
    </w:rPr>
  </w:style>
  <w:style w:type="character" w:customStyle="1" w:styleId="Mention110000">
    <w:name w:val="Mention110000"/>
    <w:basedOn w:val="DefaultParagraphFont"/>
    <w:uiPriority w:val="99"/>
    <w:unhideWhenUsed/>
    <w:rsid w:val="00674213"/>
    <w:rPr>
      <w:color w:val="2B579A"/>
      <w:shd w:val="clear" w:color="auto" w:fill="E1DFDD"/>
    </w:rPr>
  </w:style>
  <w:style w:type="character" w:customStyle="1" w:styleId="Mention1100000">
    <w:name w:val="Mention1100000"/>
    <w:basedOn w:val="DefaultParagraphFont"/>
    <w:uiPriority w:val="99"/>
    <w:unhideWhenUsed/>
    <w:rsid w:val="00674213"/>
    <w:rPr>
      <w:color w:val="2B579A"/>
      <w:shd w:val="clear" w:color="auto" w:fill="E1DFDD"/>
    </w:rPr>
  </w:style>
  <w:style w:type="character" w:customStyle="1" w:styleId="Mention12">
    <w:name w:val="Mention12"/>
    <w:basedOn w:val="DefaultParagraphFont"/>
    <w:uiPriority w:val="99"/>
    <w:unhideWhenUsed/>
    <w:rsid w:val="00674213"/>
    <w:rPr>
      <w:color w:val="2B579A"/>
      <w:shd w:val="clear" w:color="auto" w:fill="E1DFDD"/>
    </w:rPr>
  </w:style>
  <w:style w:type="character" w:customStyle="1" w:styleId="Mention11000000">
    <w:name w:val="Mention11000000"/>
    <w:basedOn w:val="DefaultParagraphFont"/>
    <w:uiPriority w:val="99"/>
    <w:unhideWhenUsed/>
    <w:rsid w:val="00674213"/>
    <w:rPr>
      <w:color w:val="2B579A"/>
      <w:shd w:val="clear" w:color="auto" w:fill="E1DFDD"/>
    </w:rPr>
  </w:style>
  <w:style w:type="character" w:customStyle="1" w:styleId="Mention110000000">
    <w:name w:val="Mention110000000"/>
    <w:basedOn w:val="DefaultParagraphFont"/>
    <w:uiPriority w:val="99"/>
    <w:unhideWhenUsed/>
    <w:rsid w:val="00674213"/>
    <w:rPr>
      <w:color w:val="2B579A"/>
      <w:shd w:val="clear" w:color="auto" w:fill="E1DFDD"/>
    </w:rPr>
  </w:style>
  <w:style w:type="character" w:customStyle="1" w:styleId="Mention1100000000">
    <w:name w:val="Mention1100000000"/>
    <w:basedOn w:val="DefaultParagraphFont"/>
    <w:uiPriority w:val="99"/>
    <w:unhideWhenUsed/>
    <w:rsid w:val="00674213"/>
    <w:rPr>
      <w:color w:val="2B579A"/>
      <w:shd w:val="clear" w:color="auto" w:fill="E1DFDD"/>
    </w:rPr>
  </w:style>
  <w:style w:type="character" w:customStyle="1" w:styleId="Mention11000000000">
    <w:name w:val="Mention11000000000"/>
    <w:basedOn w:val="DefaultParagraphFont"/>
    <w:uiPriority w:val="99"/>
    <w:unhideWhenUsed/>
    <w:rsid w:val="00674213"/>
    <w:rPr>
      <w:color w:val="2B579A"/>
      <w:shd w:val="clear" w:color="auto" w:fill="E1DFDD"/>
    </w:rPr>
  </w:style>
  <w:style w:type="character" w:customStyle="1" w:styleId="Mention110000000000">
    <w:name w:val="Mention110000000000"/>
    <w:basedOn w:val="DefaultParagraphFont"/>
    <w:uiPriority w:val="99"/>
    <w:unhideWhenUsed/>
    <w:rsid w:val="00674213"/>
    <w:rPr>
      <w:color w:val="2B579A"/>
      <w:shd w:val="clear" w:color="auto" w:fill="E1DFDD"/>
    </w:rPr>
  </w:style>
  <w:style w:type="character" w:customStyle="1" w:styleId="Mention1100000000000">
    <w:name w:val="Mention1100000000000"/>
    <w:basedOn w:val="DefaultParagraphFont"/>
    <w:uiPriority w:val="99"/>
    <w:unhideWhenUsed/>
    <w:rsid w:val="00674213"/>
    <w:rPr>
      <w:color w:val="2B579A"/>
      <w:shd w:val="clear" w:color="auto" w:fill="E1DFDD"/>
    </w:rPr>
  </w:style>
  <w:style w:type="character" w:customStyle="1" w:styleId="Mention11000000000000">
    <w:name w:val="Mention11000000000000"/>
    <w:basedOn w:val="DefaultParagraphFont"/>
    <w:uiPriority w:val="99"/>
    <w:unhideWhenUsed/>
    <w:rsid w:val="008320D6"/>
    <w:rPr>
      <w:color w:val="2B579A"/>
      <w:shd w:val="clear" w:color="auto" w:fill="E1DFDD"/>
    </w:rPr>
  </w:style>
  <w:style w:type="character" w:customStyle="1" w:styleId="Mention13">
    <w:name w:val="Mention13"/>
    <w:basedOn w:val="DefaultParagraphFont"/>
    <w:uiPriority w:val="99"/>
    <w:unhideWhenUsed/>
    <w:rsid w:val="00995BE2"/>
    <w:rPr>
      <w:color w:val="2B579A"/>
      <w:shd w:val="clear" w:color="auto" w:fill="E1DFDD"/>
    </w:rPr>
  </w:style>
  <w:style w:type="character" w:customStyle="1" w:styleId="FooterSensitivityChar">
    <w:name w:val="Footer Sensitivity Char"/>
    <w:basedOn w:val="DefaultParagraphFont"/>
    <w:link w:val="FooterSensitivity"/>
    <w:rsid w:val="008616A9"/>
    <w:rPr>
      <w:rFonts w:ascii="Times New Roman" w:hAnsi="Times New Roman" w:cs="Times New Roman"/>
      <w:b/>
      <w:sz w:val="32"/>
    </w:rPr>
  </w:style>
  <w:style w:type="character" w:customStyle="1" w:styleId="HeaderSensitivityChar">
    <w:name w:val="Header Sensitivity Char"/>
    <w:basedOn w:val="DefaultParagraphFont"/>
    <w:link w:val="HeaderSensitivity"/>
    <w:rsid w:val="008616A9"/>
    <w:rPr>
      <w:rFonts w:ascii="Times New Roman" w:hAnsi="Times New Roman" w:cs="Times New Roman"/>
      <w:b/>
      <w:sz w:val="32"/>
    </w:rPr>
  </w:style>
  <w:style w:type="character" w:customStyle="1" w:styleId="HeaderSensitivityRightChar">
    <w:name w:val="Header Sensitivity Right Char"/>
    <w:basedOn w:val="DefaultParagraphFont"/>
    <w:link w:val="HeaderSensitivityRight"/>
    <w:rsid w:val="008616A9"/>
    <w:rPr>
      <w:rFonts w:ascii="Times New Roman" w:hAnsi="Times New Roman" w:cs="Times New Roman"/>
      <w:sz w:val="28"/>
    </w:rPr>
  </w:style>
  <w:style w:type="character" w:customStyle="1" w:styleId="Mention14">
    <w:name w:val="Mention14"/>
    <w:basedOn w:val="DefaultParagraphFont"/>
    <w:uiPriority w:val="99"/>
    <w:unhideWhenUsed/>
    <w:rsid w:val="005E3317"/>
    <w:rPr>
      <w:color w:val="2B579A"/>
      <w:shd w:val="clear" w:color="auto" w:fill="E1DFDD"/>
    </w:rPr>
  </w:style>
  <w:style w:type="character" w:customStyle="1" w:styleId="UnresolvedMention">
    <w:name w:val="Unresolved Mention"/>
    <w:basedOn w:val="DefaultParagraphFont"/>
    <w:uiPriority w:val="99"/>
    <w:semiHidden/>
    <w:unhideWhenUsed/>
    <w:rsid w:val="001F52FC"/>
    <w:rPr>
      <w:color w:val="605E5C"/>
      <w:shd w:val="clear" w:color="auto" w:fill="E1DFDD"/>
    </w:rPr>
  </w:style>
  <w:style w:type="paragraph" w:customStyle="1" w:styleId="P68B1DB1-Normal1">
    <w:name w:val="P68B1DB1-Normal1"/>
    <w:basedOn w:val="Normal"/>
    <w:rPr>
      <w:rFonts w:ascii="Times New Roman" w:hAnsi="Times New Roman"/>
      <w:b/>
      <w:sz w:val="28"/>
    </w:rPr>
  </w:style>
  <w:style w:type="paragraph" w:customStyle="1" w:styleId="P68B1DB1-Heading12">
    <w:name w:val="P68B1DB1-Heading12"/>
    <w:basedOn w:val="Heading1"/>
    <w:rPr>
      <w:rFonts w:ascii="Times New Roman" w:hAnsi="Times New Roman"/>
    </w:rPr>
  </w:style>
  <w:style w:type="paragraph" w:customStyle="1" w:styleId="P68B1DB1-Normal4">
    <w:name w:val="P68B1DB1-Normal4"/>
    <w:basedOn w:val="Normal"/>
    <w:rPr>
      <w:rFonts w:ascii="Times New Roman" w:hAnsi="Times New Roman"/>
      <w:sz w:val="24"/>
    </w:rPr>
  </w:style>
  <w:style w:type="paragraph" w:customStyle="1" w:styleId="P68B1DB1-Normal5">
    <w:name w:val="P68B1DB1-Normal5"/>
    <w:basedOn w:val="Normal"/>
    <w:rPr>
      <w:rFonts w:ascii="Times New Roman" w:hAnsi="Times New Roman"/>
      <w:b/>
      <w:sz w:val="24"/>
      <w:u w:val="single"/>
    </w:rPr>
  </w:style>
  <w:style w:type="paragraph" w:customStyle="1" w:styleId="P68B1DB1-Normal6">
    <w:name w:val="P68B1DB1-Normal6"/>
    <w:basedOn w:val="Normal"/>
    <w:rPr>
      <w:rFonts w:ascii="Times New Roman" w:hAnsi="Times New Roman"/>
      <w:sz w:val="24"/>
      <w:u w:val="single"/>
    </w:rPr>
  </w:style>
  <w:style w:type="paragraph" w:customStyle="1" w:styleId="P68B1DB1-ListParagraph7">
    <w:name w:val="P68B1DB1-ListParagraph7"/>
    <w:basedOn w:val="ListParagraph"/>
    <w:rPr>
      <w:rFonts w:ascii="Times New Roman" w:hAnsi="Times New Roman"/>
      <w:sz w:val="24"/>
    </w:rPr>
  </w:style>
  <w:style w:type="paragraph" w:customStyle="1" w:styleId="P68B1DB1-Normal8">
    <w:name w:val="P68B1DB1-Normal8"/>
    <w:basedOn w:val="Normal"/>
    <w:rPr>
      <w:rFonts w:ascii="Times New Roman" w:hAnsi="Times New Roman"/>
    </w:rPr>
  </w:style>
  <w:style w:type="paragraph" w:customStyle="1" w:styleId="P68B1DB1-Normal12">
    <w:name w:val="P68B1DB1-Normal12"/>
    <w:basedOn w:val="Normal"/>
    <w:rPr>
      <w:rFonts w:ascii="Times New Roman" w:hAnsi="Times New Roman"/>
      <w:b/>
      <w:sz w:val="18"/>
    </w:rPr>
  </w:style>
  <w:style w:type="paragraph" w:customStyle="1" w:styleId="P68B1DB1-Normal13">
    <w:name w:val="P68B1DB1-Normal13"/>
    <w:basedOn w:val="Normal"/>
    <w:rPr>
      <w:rFonts w:ascii="Times New Roman" w:hAnsi="Times New Roman"/>
      <w:sz w:val="18"/>
    </w:rPr>
  </w:style>
  <w:style w:type="paragraph" w:customStyle="1" w:styleId="P68B1DB1-ListParagraph14">
    <w:name w:val="P68B1DB1-ListParagraph14"/>
    <w:basedOn w:val="ListParagraph"/>
    <w:rPr>
      <w:rFonts w:ascii="Times New Roman" w:hAnsi="Times New Roman"/>
      <w:sz w:val="18"/>
    </w:rPr>
  </w:style>
  <w:style w:type="paragraph" w:customStyle="1" w:styleId="P68B1DB1-Normal15">
    <w:name w:val="P68B1DB1-Normal15"/>
    <w:basedOn w:val="Normal"/>
    <w:rPr>
      <w:rFonts w:ascii="Times New Roman" w:hAnsi="Times New Roman"/>
      <w:u w:val="single"/>
    </w:rPr>
  </w:style>
  <w:style w:type="paragraph" w:customStyle="1" w:styleId="P68B1DB1-xmsonormal16">
    <w:name w:val="P68B1DB1-xmsonormal16"/>
    <w:basedOn w:val="xmsonormal"/>
    <w:rPr>
      <w:rFonts w:ascii="Times New Roman" w:hAnsi="Times New Roman"/>
      <w:sz w:val="24"/>
    </w:rPr>
  </w:style>
  <w:style w:type="paragraph" w:customStyle="1" w:styleId="P68B1DB1-LegalNumPar317">
    <w:name w:val="P68B1DB1-LegalNumPar317"/>
    <w:basedOn w:val="LegalNumPar3"/>
    <w:rPr>
      <w:rFonts w:ascii="Times New Roman" w:hAnsi="Times New Roman"/>
      <w:sz w:val="24"/>
    </w:rPr>
  </w:style>
  <w:style w:type="paragraph" w:customStyle="1" w:styleId="P68B1DB1-Normal18">
    <w:name w:val="P68B1DB1-Normal18"/>
    <w:basedOn w:val="Normal"/>
    <w:rPr>
      <w:rFonts w:ascii="Times New Roman" w:hAnsi="Times New Roman"/>
      <w:i/>
      <w:sz w:val="24"/>
    </w:rPr>
  </w:style>
  <w:style w:type="paragraph" w:customStyle="1" w:styleId="P68B1DB1-Text119">
    <w:name w:val="P68B1DB1-Text119"/>
    <w:basedOn w:val="Text1"/>
    <w:rPr>
      <w:rFonts w:ascii="Times New Roman" w:hAnsi="Times New Roman"/>
    </w:rPr>
  </w:style>
  <w:style w:type="paragraph" w:customStyle="1" w:styleId="P68B1DB1-Text120">
    <w:name w:val="P68B1DB1-Text120"/>
    <w:basedOn w:val="Text1"/>
    <w:rPr>
      <w:rFonts w:ascii="Times New Roman" w:hAnsi="Times New Roman"/>
      <w:u w:val="single"/>
    </w:rPr>
  </w:style>
  <w:style w:type="paragraph" w:customStyle="1" w:styleId="P68B1DB1-Normal21">
    <w:name w:val="P68B1DB1-Normal21"/>
    <w:basedOn w:val="Normal"/>
    <w:rPr>
      <w:rFonts w:ascii="Times New Roman" w:hAnsi="Times New Roman"/>
      <w:i/>
      <w:sz w:val="18"/>
    </w:rPr>
  </w:style>
  <w:style w:type="paragraph" w:customStyle="1" w:styleId="P68B1DB1-Normal22">
    <w:name w:val="P68B1DB1-Normal22"/>
    <w:basedOn w:val="Normal"/>
    <w:rPr>
      <w:rFonts w:ascii="Times New Roman" w:hAnsi="Times New Roman"/>
      <w:sz w:val="24"/>
      <w:shd w:val="clear" w:color="auto" w:fill="FFFFFF"/>
    </w:rPr>
  </w:style>
  <w:style w:type="paragraph" w:customStyle="1" w:styleId="P68B1DB1-Normal23">
    <w:name w:val="P68B1DB1-Normal23"/>
    <w:basedOn w:val="Normal"/>
    <w:rPr>
      <w:rFonts w:ascii="Times New Roman" w:hAnsi="Times New Roman"/>
      <w:sz w:val="24"/>
      <w:u w:val="single"/>
      <w:shd w:val="clear" w:color="auto" w:fill="FFFFFF"/>
    </w:rPr>
  </w:style>
  <w:style w:type="paragraph" w:customStyle="1" w:styleId="P68B1DB1-ListParagraph24">
    <w:name w:val="P68B1DB1-ListParagraph24"/>
    <w:basedOn w:val="ListParagraph"/>
    <w:rPr>
      <w:rFonts w:ascii="Times New Roman" w:hAnsi="Times New Roman"/>
    </w:rPr>
  </w:style>
  <w:style w:type="paragraph" w:customStyle="1" w:styleId="P68B1DB1-paragraph25">
    <w:name w:val="P68B1DB1-paragraph25"/>
    <w:basedOn w:val="paragraph"/>
    <w:rPr>
      <w:rFonts w:ascii="Times New Roman" w:hAnsi="Times New Roman"/>
    </w:rPr>
  </w:style>
  <w:style w:type="paragraph" w:customStyle="1" w:styleId="P68B1DB1-paragraph26">
    <w:name w:val="P68B1DB1-paragraph26"/>
    <w:basedOn w:val="paragraph"/>
    <w:rPr>
      <w:rFonts w:ascii="Times New Roman" w:hAnsi="Times New Roman"/>
      <w:u w:val="single"/>
    </w:rPr>
  </w:style>
  <w:style w:type="paragraph" w:customStyle="1" w:styleId="P68B1DB1-Heading227">
    <w:name w:val="P68B1DB1-Heading227"/>
    <w:basedOn w:val="Heading2"/>
    <w:rPr>
      <w:rFonts w:ascii="Times New Roman" w:hAnsi="Times New Roman"/>
      <w:u w:val="single"/>
    </w:rPr>
  </w:style>
  <w:style w:type="paragraph" w:customStyle="1" w:styleId="P68B1DB1-Text128">
    <w:name w:val="P68B1DB1-Text128"/>
    <w:basedOn w:val="Text1"/>
    <w:rPr>
      <w:rFonts w:ascii="Times New Roman" w:hAnsi="Times New Roman"/>
      <w:sz w:val="18"/>
    </w:rPr>
  </w:style>
  <w:style w:type="paragraph" w:customStyle="1" w:styleId="P68B1DB1-LegalNumPar29">
    <w:name w:val="P68B1DB1-LegalNumPar29"/>
    <w:basedOn w:val="LegalNumPar"/>
    <w:rPr>
      <w:rFonts w:ascii="Times New Roman" w:hAnsi="Times New Roman"/>
      <w:sz w:val="24"/>
    </w:rPr>
  </w:style>
  <w:style w:type="paragraph" w:customStyle="1" w:styleId="P68B1DB1-LegalNumPar230">
    <w:name w:val="P68B1DB1-LegalNumPar230"/>
    <w:basedOn w:val="LegalNumPar2"/>
    <w:rPr>
      <w:rFonts w:ascii="Times New Roman" w:hAnsi="Times New Roman"/>
      <w:sz w:val="24"/>
    </w:rPr>
  </w:style>
  <w:style w:type="paragraph" w:customStyle="1" w:styleId="P68B1DB1-paragraph31">
    <w:name w:val="P68B1DB1-paragraph31"/>
    <w:basedOn w:val="paragraph"/>
    <w:rPr>
      <w:rFonts w:ascii="Times New Roman" w:hAnsi="Times New Roman"/>
      <w:b/>
      <w:u w:val="single"/>
    </w:rPr>
  </w:style>
  <w:style w:type="paragraph" w:customStyle="1" w:styleId="P68B1DB1-paragraph32">
    <w:name w:val="P68B1DB1-paragraph32"/>
    <w:basedOn w:val="paragraph"/>
    <w:rPr>
      <w:rFonts w:ascii="Times New Roman" w:hAnsi="Times New Roman"/>
      <w:sz w:val="18"/>
    </w:rPr>
  </w:style>
  <w:style w:type="paragraph" w:customStyle="1" w:styleId="P68B1DB1-Normal33">
    <w:name w:val="P68B1DB1-Normal33"/>
    <w:basedOn w:val="Normal"/>
    <w:rPr>
      <w:rFonts w:ascii="Times New Roman" w:hAnsi="Times New Roman"/>
      <w:b/>
      <w:u w:val="single"/>
    </w:rPr>
  </w:style>
  <w:style w:type="paragraph" w:customStyle="1" w:styleId="P68B1DB1-Normal34">
    <w:name w:val="P68B1DB1-Normal34"/>
    <w:basedOn w:val="Normal"/>
    <w:rPr>
      <w:rFonts w:ascii="Times New Roman" w:hAnsi="Times New Roman"/>
      <w:sz w:val="18"/>
      <w:shd w:val="clear" w:color="auto" w:fill="E6E6E6"/>
    </w:rPr>
  </w:style>
  <w:style w:type="paragraph" w:customStyle="1" w:styleId="P68B1DB1-Heading2blue35">
    <w:name w:val="P68B1DB1-Heading2blue35"/>
    <w:basedOn w:val="Heading2blue"/>
    <w:rPr>
      <w:color w:val="auto"/>
    </w:rPr>
  </w:style>
  <w:style w:type="paragraph" w:customStyle="1" w:styleId="P68B1DB1-Heading3blue36">
    <w:name w:val="P68B1DB1-Heading3blue36"/>
    <w:basedOn w:val="Heading3blue"/>
    <w:rPr>
      <w:color w:val="auto"/>
    </w:rPr>
  </w:style>
  <w:style w:type="paragraph" w:customStyle="1" w:styleId="P68B1DB1-Heading337">
    <w:name w:val="P68B1DB1-Heading337"/>
    <w:basedOn w:val="Heading3"/>
    <w:rPr>
      <w:rFonts w:ascii="Times New Roman" w:hAnsi="Times New Roman"/>
      <w:i w:val="0"/>
      <w:u w:val="single"/>
    </w:rPr>
  </w:style>
  <w:style w:type="paragraph" w:customStyle="1" w:styleId="P68B1DB1-Text138">
    <w:name w:val="P68B1DB1-Text138"/>
    <w:basedOn w:val="Text1"/>
    <w:rPr>
      <w:rFonts w:ascii="Times New Roman" w:hAnsi="Times New Roman"/>
      <w:b/>
      <w:u w:val="single"/>
    </w:rPr>
  </w:style>
  <w:style w:type="paragraph" w:customStyle="1" w:styleId="P68B1DB1-P68B1DB1-Normal339">
    <w:name w:val="P68B1DB1-P68B1DB1-Normal339"/>
    <w:basedOn w:val="P68B1DB1-Normal3"/>
    <w:rPr>
      <w:sz w:val="24"/>
    </w:rPr>
  </w:style>
  <w:style w:type="paragraph" w:customStyle="1" w:styleId="P68B1DB1-Text140">
    <w:name w:val="P68B1DB1-Text140"/>
    <w:basedOn w:val="Text1"/>
    <w:rPr>
      <w:rFonts w:ascii="Times New Roman" w:hAnsi="Times New Roman"/>
      <w:i/>
    </w:rPr>
  </w:style>
  <w:style w:type="paragraph" w:customStyle="1" w:styleId="P68B1DB1-Text141">
    <w:name w:val="P68B1DB1-Text141"/>
    <w:basedOn w:val="Text1"/>
    <w:rPr>
      <w:rFonts w:ascii="Times New Roman" w:hAnsi="Times New Roman"/>
      <w:b/>
    </w:rPr>
  </w:style>
  <w:style w:type="paragraph" w:customStyle="1" w:styleId="P68B1DB1-Normal42">
    <w:name w:val="P68B1DB1-Normal42"/>
    <w:basedOn w:val="Normal"/>
    <w:rPr>
      <w:u w:val="single"/>
    </w:rPr>
  </w:style>
  <w:style w:type="paragraph" w:customStyle="1" w:styleId="P68B1DB1-Normal43">
    <w:name w:val="P68B1DB1-Normal43"/>
    <w:basedOn w:val="Normal"/>
    <w:rPr>
      <w:rFonts w:ascii="Times New Roman" w:hAnsi="Times New Roman"/>
      <w:b/>
      <w:sz w:val="24"/>
    </w:rPr>
  </w:style>
  <w:style w:type="paragraph" w:customStyle="1" w:styleId="P68B1DB1-NumPar144">
    <w:name w:val="P68B1DB1-NumPar144"/>
    <w:basedOn w:val="NumPar1"/>
    <w:rPr>
      <w:rFonts w:ascii="Times New Roman" w:hAnsi="Times New Roman"/>
      <w:b/>
    </w:rPr>
  </w:style>
  <w:style w:type="paragraph" w:customStyle="1" w:styleId="P68B1DB1-Normal45">
    <w:name w:val="P68B1DB1-Normal45"/>
    <w:basedOn w:val="Normal"/>
    <w:rPr>
      <w:rFonts w:ascii="Times New Roman" w:hAnsi="Times New Roman"/>
      <w:b/>
      <w:sz w:val="20"/>
    </w:rPr>
  </w:style>
  <w:style w:type="paragraph" w:customStyle="1" w:styleId="P68B1DB1-Normal46">
    <w:name w:val="P68B1DB1-Normal46"/>
    <w:basedOn w:val="Normal"/>
    <w:rPr>
      <w:rFonts w:ascii="Times New Roman" w:hAnsi="Times New Roman"/>
      <w:sz w:val="20"/>
    </w:rPr>
  </w:style>
  <w:style w:type="paragraph" w:customStyle="1" w:styleId="P68B1DB1-FootnoteText47">
    <w:name w:val="P68B1DB1-FootnoteText47"/>
    <w:basedOn w:val="FootnoteText"/>
    <w:rPr>
      <w:rFonts w:ascii="Times New Roman" w:hAnsi="Times New Roman"/>
    </w:rPr>
  </w:style>
  <w:style w:type="paragraph" w:customStyle="1" w:styleId="P68B1DB1-Text148">
    <w:name w:val="P68B1DB1-Text148"/>
    <w:basedOn w:val="Text1"/>
    <w:rPr>
      <w:rFonts w:ascii="Times New Roman" w:hAnsi="Times New Roman"/>
      <w:sz w:val="20"/>
    </w:rPr>
  </w:style>
  <w:style w:type="paragraph" w:customStyle="1" w:styleId="P68B1DB1-Footer49">
    <w:name w:val="P68B1DB1-Footer49"/>
    <w:basedOn w:val="Footer"/>
    <w:rPr>
      <w:rFonts w:ascii="Times New Roman" w:hAnsi="Times New Roman" w:cs="Times New Roman"/>
    </w:rPr>
  </w:style>
  <w:style w:type="paragraph" w:customStyle="1" w:styleId="P68B1DB1-Footer50">
    <w:name w:val="P68B1DB1-Footer50"/>
    <w:basedOn w:val="Footer"/>
    <w:rPr>
      <w:rFonts w:ascii="Arial" w:hAnsi="Arial" w:cs="Arial"/>
      <w:sz w:val="20"/>
    </w:rPr>
  </w:style>
  <w:style w:type="paragraph" w:customStyle="1" w:styleId="P68B1DB1-Footer51">
    <w:name w:val="P68B1DB1-Footer51"/>
    <w:basedOn w:val="Footer"/>
    <w:rPr>
      <w:sz w:val="20"/>
    </w:rPr>
  </w:style>
  <w:style w:type="paragraph" w:customStyle="1" w:styleId="P68B1DB1-Footer52">
    <w:name w:val="P68B1DB1-Footer52"/>
    <w:basedOn w:val="Footer"/>
    <w:rPr>
      <w:rFonts w:ascii="Times New Roman"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8581">
      <w:bodyDiv w:val="1"/>
      <w:marLeft w:val="0"/>
      <w:marRight w:val="0"/>
      <w:marTop w:val="0"/>
      <w:marBottom w:val="0"/>
      <w:divBdr>
        <w:top w:val="none" w:sz="0" w:space="0" w:color="auto"/>
        <w:left w:val="none" w:sz="0" w:space="0" w:color="auto"/>
        <w:bottom w:val="none" w:sz="0" w:space="0" w:color="auto"/>
        <w:right w:val="none" w:sz="0" w:space="0" w:color="auto"/>
      </w:divBdr>
    </w:div>
    <w:div w:id="88818095">
      <w:bodyDiv w:val="1"/>
      <w:marLeft w:val="0"/>
      <w:marRight w:val="0"/>
      <w:marTop w:val="0"/>
      <w:marBottom w:val="0"/>
      <w:divBdr>
        <w:top w:val="none" w:sz="0" w:space="0" w:color="auto"/>
        <w:left w:val="none" w:sz="0" w:space="0" w:color="auto"/>
        <w:bottom w:val="none" w:sz="0" w:space="0" w:color="auto"/>
        <w:right w:val="none" w:sz="0" w:space="0" w:color="auto"/>
      </w:divBdr>
    </w:div>
    <w:div w:id="101993847">
      <w:bodyDiv w:val="1"/>
      <w:marLeft w:val="0"/>
      <w:marRight w:val="0"/>
      <w:marTop w:val="0"/>
      <w:marBottom w:val="0"/>
      <w:divBdr>
        <w:top w:val="none" w:sz="0" w:space="0" w:color="auto"/>
        <w:left w:val="none" w:sz="0" w:space="0" w:color="auto"/>
        <w:bottom w:val="none" w:sz="0" w:space="0" w:color="auto"/>
        <w:right w:val="none" w:sz="0" w:space="0" w:color="auto"/>
      </w:divBdr>
      <w:divsChild>
        <w:div w:id="249848255">
          <w:marLeft w:val="0"/>
          <w:marRight w:val="0"/>
          <w:marTop w:val="0"/>
          <w:marBottom w:val="0"/>
          <w:divBdr>
            <w:top w:val="none" w:sz="0" w:space="0" w:color="auto"/>
            <w:left w:val="none" w:sz="0" w:space="0" w:color="auto"/>
            <w:bottom w:val="none" w:sz="0" w:space="0" w:color="auto"/>
            <w:right w:val="none" w:sz="0" w:space="0" w:color="auto"/>
          </w:divBdr>
        </w:div>
        <w:div w:id="336690782">
          <w:marLeft w:val="0"/>
          <w:marRight w:val="0"/>
          <w:marTop w:val="0"/>
          <w:marBottom w:val="0"/>
          <w:divBdr>
            <w:top w:val="none" w:sz="0" w:space="0" w:color="auto"/>
            <w:left w:val="none" w:sz="0" w:space="0" w:color="auto"/>
            <w:bottom w:val="none" w:sz="0" w:space="0" w:color="auto"/>
            <w:right w:val="none" w:sz="0" w:space="0" w:color="auto"/>
          </w:divBdr>
        </w:div>
        <w:div w:id="533269353">
          <w:marLeft w:val="0"/>
          <w:marRight w:val="0"/>
          <w:marTop w:val="0"/>
          <w:marBottom w:val="0"/>
          <w:divBdr>
            <w:top w:val="none" w:sz="0" w:space="0" w:color="auto"/>
            <w:left w:val="none" w:sz="0" w:space="0" w:color="auto"/>
            <w:bottom w:val="none" w:sz="0" w:space="0" w:color="auto"/>
            <w:right w:val="none" w:sz="0" w:space="0" w:color="auto"/>
          </w:divBdr>
        </w:div>
        <w:div w:id="774591405">
          <w:marLeft w:val="0"/>
          <w:marRight w:val="0"/>
          <w:marTop w:val="0"/>
          <w:marBottom w:val="0"/>
          <w:divBdr>
            <w:top w:val="none" w:sz="0" w:space="0" w:color="auto"/>
            <w:left w:val="none" w:sz="0" w:space="0" w:color="auto"/>
            <w:bottom w:val="none" w:sz="0" w:space="0" w:color="auto"/>
            <w:right w:val="none" w:sz="0" w:space="0" w:color="auto"/>
          </w:divBdr>
        </w:div>
      </w:divsChild>
    </w:div>
    <w:div w:id="153767423">
      <w:bodyDiv w:val="1"/>
      <w:marLeft w:val="0"/>
      <w:marRight w:val="0"/>
      <w:marTop w:val="0"/>
      <w:marBottom w:val="0"/>
      <w:divBdr>
        <w:top w:val="none" w:sz="0" w:space="0" w:color="auto"/>
        <w:left w:val="none" w:sz="0" w:space="0" w:color="auto"/>
        <w:bottom w:val="none" w:sz="0" w:space="0" w:color="auto"/>
        <w:right w:val="none" w:sz="0" w:space="0" w:color="auto"/>
      </w:divBdr>
    </w:div>
    <w:div w:id="213470010">
      <w:bodyDiv w:val="1"/>
      <w:marLeft w:val="0"/>
      <w:marRight w:val="0"/>
      <w:marTop w:val="0"/>
      <w:marBottom w:val="0"/>
      <w:divBdr>
        <w:top w:val="none" w:sz="0" w:space="0" w:color="auto"/>
        <w:left w:val="none" w:sz="0" w:space="0" w:color="auto"/>
        <w:bottom w:val="none" w:sz="0" w:space="0" w:color="auto"/>
        <w:right w:val="none" w:sz="0" w:space="0" w:color="auto"/>
      </w:divBdr>
    </w:div>
    <w:div w:id="225646797">
      <w:bodyDiv w:val="1"/>
      <w:marLeft w:val="0"/>
      <w:marRight w:val="0"/>
      <w:marTop w:val="0"/>
      <w:marBottom w:val="0"/>
      <w:divBdr>
        <w:top w:val="none" w:sz="0" w:space="0" w:color="auto"/>
        <w:left w:val="none" w:sz="0" w:space="0" w:color="auto"/>
        <w:bottom w:val="none" w:sz="0" w:space="0" w:color="auto"/>
        <w:right w:val="none" w:sz="0" w:space="0" w:color="auto"/>
      </w:divBdr>
    </w:div>
    <w:div w:id="234516724">
      <w:bodyDiv w:val="1"/>
      <w:marLeft w:val="0"/>
      <w:marRight w:val="0"/>
      <w:marTop w:val="0"/>
      <w:marBottom w:val="0"/>
      <w:divBdr>
        <w:top w:val="none" w:sz="0" w:space="0" w:color="auto"/>
        <w:left w:val="none" w:sz="0" w:space="0" w:color="auto"/>
        <w:bottom w:val="none" w:sz="0" w:space="0" w:color="auto"/>
        <w:right w:val="none" w:sz="0" w:space="0" w:color="auto"/>
      </w:divBdr>
    </w:div>
    <w:div w:id="264113178">
      <w:bodyDiv w:val="1"/>
      <w:marLeft w:val="0"/>
      <w:marRight w:val="0"/>
      <w:marTop w:val="0"/>
      <w:marBottom w:val="0"/>
      <w:divBdr>
        <w:top w:val="none" w:sz="0" w:space="0" w:color="auto"/>
        <w:left w:val="none" w:sz="0" w:space="0" w:color="auto"/>
        <w:bottom w:val="none" w:sz="0" w:space="0" w:color="auto"/>
        <w:right w:val="none" w:sz="0" w:space="0" w:color="auto"/>
      </w:divBdr>
    </w:div>
    <w:div w:id="272782931">
      <w:bodyDiv w:val="1"/>
      <w:marLeft w:val="0"/>
      <w:marRight w:val="0"/>
      <w:marTop w:val="0"/>
      <w:marBottom w:val="0"/>
      <w:divBdr>
        <w:top w:val="none" w:sz="0" w:space="0" w:color="auto"/>
        <w:left w:val="none" w:sz="0" w:space="0" w:color="auto"/>
        <w:bottom w:val="none" w:sz="0" w:space="0" w:color="auto"/>
        <w:right w:val="none" w:sz="0" w:space="0" w:color="auto"/>
      </w:divBdr>
    </w:div>
    <w:div w:id="276840304">
      <w:bodyDiv w:val="1"/>
      <w:marLeft w:val="0"/>
      <w:marRight w:val="0"/>
      <w:marTop w:val="0"/>
      <w:marBottom w:val="0"/>
      <w:divBdr>
        <w:top w:val="none" w:sz="0" w:space="0" w:color="auto"/>
        <w:left w:val="none" w:sz="0" w:space="0" w:color="auto"/>
        <w:bottom w:val="none" w:sz="0" w:space="0" w:color="auto"/>
        <w:right w:val="none" w:sz="0" w:space="0" w:color="auto"/>
      </w:divBdr>
    </w:div>
    <w:div w:id="316883706">
      <w:bodyDiv w:val="1"/>
      <w:marLeft w:val="0"/>
      <w:marRight w:val="0"/>
      <w:marTop w:val="0"/>
      <w:marBottom w:val="0"/>
      <w:divBdr>
        <w:top w:val="none" w:sz="0" w:space="0" w:color="auto"/>
        <w:left w:val="none" w:sz="0" w:space="0" w:color="auto"/>
        <w:bottom w:val="none" w:sz="0" w:space="0" w:color="auto"/>
        <w:right w:val="none" w:sz="0" w:space="0" w:color="auto"/>
      </w:divBdr>
    </w:div>
    <w:div w:id="443230782">
      <w:bodyDiv w:val="1"/>
      <w:marLeft w:val="0"/>
      <w:marRight w:val="0"/>
      <w:marTop w:val="0"/>
      <w:marBottom w:val="0"/>
      <w:divBdr>
        <w:top w:val="none" w:sz="0" w:space="0" w:color="auto"/>
        <w:left w:val="none" w:sz="0" w:space="0" w:color="auto"/>
        <w:bottom w:val="none" w:sz="0" w:space="0" w:color="auto"/>
        <w:right w:val="none" w:sz="0" w:space="0" w:color="auto"/>
      </w:divBdr>
    </w:div>
    <w:div w:id="454952789">
      <w:bodyDiv w:val="1"/>
      <w:marLeft w:val="0"/>
      <w:marRight w:val="0"/>
      <w:marTop w:val="0"/>
      <w:marBottom w:val="0"/>
      <w:divBdr>
        <w:top w:val="none" w:sz="0" w:space="0" w:color="auto"/>
        <w:left w:val="none" w:sz="0" w:space="0" w:color="auto"/>
        <w:bottom w:val="none" w:sz="0" w:space="0" w:color="auto"/>
        <w:right w:val="none" w:sz="0" w:space="0" w:color="auto"/>
      </w:divBdr>
    </w:div>
    <w:div w:id="467209046">
      <w:bodyDiv w:val="1"/>
      <w:marLeft w:val="0"/>
      <w:marRight w:val="0"/>
      <w:marTop w:val="0"/>
      <w:marBottom w:val="0"/>
      <w:divBdr>
        <w:top w:val="none" w:sz="0" w:space="0" w:color="auto"/>
        <w:left w:val="none" w:sz="0" w:space="0" w:color="auto"/>
        <w:bottom w:val="none" w:sz="0" w:space="0" w:color="auto"/>
        <w:right w:val="none" w:sz="0" w:space="0" w:color="auto"/>
      </w:divBdr>
    </w:div>
    <w:div w:id="467286903">
      <w:bodyDiv w:val="1"/>
      <w:marLeft w:val="0"/>
      <w:marRight w:val="0"/>
      <w:marTop w:val="0"/>
      <w:marBottom w:val="0"/>
      <w:divBdr>
        <w:top w:val="none" w:sz="0" w:space="0" w:color="auto"/>
        <w:left w:val="none" w:sz="0" w:space="0" w:color="auto"/>
        <w:bottom w:val="none" w:sz="0" w:space="0" w:color="auto"/>
        <w:right w:val="none" w:sz="0" w:space="0" w:color="auto"/>
      </w:divBdr>
    </w:div>
    <w:div w:id="665594515">
      <w:bodyDiv w:val="1"/>
      <w:marLeft w:val="0"/>
      <w:marRight w:val="0"/>
      <w:marTop w:val="0"/>
      <w:marBottom w:val="0"/>
      <w:divBdr>
        <w:top w:val="none" w:sz="0" w:space="0" w:color="auto"/>
        <w:left w:val="none" w:sz="0" w:space="0" w:color="auto"/>
        <w:bottom w:val="none" w:sz="0" w:space="0" w:color="auto"/>
        <w:right w:val="none" w:sz="0" w:space="0" w:color="auto"/>
      </w:divBdr>
    </w:div>
    <w:div w:id="679158170">
      <w:bodyDiv w:val="1"/>
      <w:marLeft w:val="0"/>
      <w:marRight w:val="0"/>
      <w:marTop w:val="0"/>
      <w:marBottom w:val="0"/>
      <w:divBdr>
        <w:top w:val="none" w:sz="0" w:space="0" w:color="auto"/>
        <w:left w:val="none" w:sz="0" w:space="0" w:color="auto"/>
        <w:bottom w:val="none" w:sz="0" w:space="0" w:color="auto"/>
        <w:right w:val="none" w:sz="0" w:space="0" w:color="auto"/>
      </w:divBdr>
    </w:div>
    <w:div w:id="717585710">
      <w:bodyDiv w:val="1"/>
      <w:marLeft w:val="0"/>
      <w:marRight w:val="0"/>
      <w:marTop w:val="0"/>
      <w:marBottom w:val="0"/>
      <w:divBdr>
        <w:top w:val="none" w:sz="0" w:space="0" w:color="auto"/>
        <w:left w:val="none" w:sz="0" w:space="0" w:color="auto"/>
        <w:bottom w:val="none" w:sz="0" w:space="0" w:color="auto"/>
        <w:right w:val="none" w:sz="0" w:space="0" w:color="auto"/>
      </w:divBdr>
    </w:div>
    <w:div w:id="751897515">
      <w:bodyDiv w:val="1"/>
      <w:marLeft w:val="0"/>
      <w:marRight w:val="0"/>
      <w:marTop w:val="0"/>
      <w:marBottom w:val="0"/>
      <w:divBdr>
        <w:top w:val="none" w:sz="0" w:space="0" w:color="auto"/>
        <w:left w:val="none" w:sz="0" w:space="0" w:color="auto"/>
        <w:bottom w:val="none" w:sz="0" w:space="0" w:color="auto"/>
        <w:right w:val="none" w:sz="0" w:space="0" w:color="auto"/>
      </w:divBdr>
    </w:div>
    <w:div w:id="809857752">
      <w:bodyDiv w:val="1"/>
      <w:marLeft w:val="0"/>
      <w:marRight w:val="0"/>
      <w:marTop w:val="0"/>
      <w:marBottom w:val="0"/>
      <w:divBdr>
        <w:top w:val="none" w:sz="0" w:space="0" w:color="auto"/>
        <w:left w:val="none" w:sz="0" w:space="0" w:color="auto"/>
        <w:bottom w:val="none" w:sz="0" w:space="0" w:color="auto"/>
        <w:right w:val="none" w:sz="0" w:space="0" w:color="auto"/>
      </w:divBdr>
    </w:div>
    <w:div w:id="864371267">
      <w:bodyDiv w:val="1"/>
      <w:marLeft w:val="0"/>
      <w:marRight w:val="0"/>
      <w:marTop w:val="0"/>
      <w:marBottom w:val="0"/>
      <w:divBdr>
        <w:top w:val="none" w:sz="0" w:space="0" w:color="auto"/>
        <w:left w:val="none" w:sz="0" w:space="0" w:color="auto"/>
        <w:bottom w:val="none" w:sz="0" w:space="0" w:color="auto"/>
        <w:right w:val="none" w:sz="0" w:space="0" w:color="auto"/>
      </w:divBdr>
    </w:div>
    <w:div w:id="864750509">
      <w:bodyDiv w:val="1"/>
      <w:marLeft w:val="0"/>
      <w:marRight w:val="0"/>
      <w:marTop w:val="0"/>
      <w:marBottom w:val="0"/>
      <w:divBdr>
        <w:top w:val="none" w:sz="0" w:space="0" w:color="auto"/>
        <w:left w:val="none" w:sz="0" w:space="0" w:color="auto"/>
        <w:bottom w:val="none" w:sz="0" w:space="0" w:color="auto"/>
        <w:right w:val="none" w:sz="0" w:space="0" w:color="auto"/>
      </w:divBdr>
    </w:div>
    <w:div w:id="898634094">
      <w:bodyDiv w:val="1"/>
      <w:marLeft w:val="0"/>
      <w:marRight w:val="0"/>
      <w:marTop w:val="0"/>
      <w:marBottom w:val="0"/>
      <w:divBdr>
        <w:top w:val="none" w:sz="0" w:space="0" w:color="auto"/>
        <w:left w:val="none" w:sz="0" w:space="0" w:color="auto"/>
        <w:bottom w:val="none" w:sz="0" w:space="0" w:color="auto"/>
        <w:right w:val="none" w:sz="0" w:space="0" w:color="auto"/>
      </w:divBdr>
    </w:div>
    <w:div w:id="931088145">
      <w:bodyDiv w:val="1"/>
      <w:marLeft w:val="0"/>
      <w:marRight w:val="0"/>
      <w:marTop w:val="0"/>
      <w:marBottom w:val="0"/>
      <w:divBdr>
        <w:top w:val="none" w:sz="0" w:space="0" w:color="auto"/>
        <w:left w:val="none" w:sz="0" w:space="0" w:color="auto"/>
        <w:bottom w:val="none" w:sz="0" w:space="0" w:color="auto"/>
        <w:right w:val="none" w:sz="0" w:space="0" w:color="auto"/>
      </w:divBdr>
    </w:div>
    <w:div w:id="988555034">
      <w:bodyDiv w:val="1"/>
      <w:marLeft w:val="0"/>
      <w:marRight w:val="0"/>
      <w:marTop w:val="0"/>
      <w:marBottom w:val="0"/>
      <w:divBdr>
        <w:top w:val="none" w:sz="0" w:space="0" w:color="auto"/>
        <w:left w:val="none" w:sz="0" w:space="0" w:color="auto"/>
        <w:bottom w:val="none" w:sz="0" w:space="0" w:color="auto"/>
        <w:right w:val="none" w:sz="0" w:space="0" w:color="auto"/>
      </w:divBdr>
    </w:div>
    <w:div w:id="1069619329">
      <w:bodyDiv w:val="1"/>
      <w:marLeft w:val="0"/>
      <w:marRight w:val="0"/>
      <w:marTop w:val="0"/>
      <w:marBottom w:val="0"/>
      <w:divBdr>
        <w:top w:val="none" w:sz="0" w:space="0" w:color="auto"/>
        <w:left w:val="none" w:sz="0" w:space="0" w:color="auto"/>
        <w:bottom w:val="none" w:sz="0" w:space="0" w:color="auto"/>
        <w:right w:val="none" w:sz="0" w:space="0" w:color="auto"/>
      </w:divBdr>
    </w:div>
    <w:div w:id="1095636219">
      <w:bodyDiv w:val="1"/>
      <w:marLeft w:val="0"/>
      <w:marRight w:val="0"/>
      <w:marTop w:val="0"/>
      <w:marBottom w:val="0"/>
      <w:divBdr>
        <w:top w:val="none" w:sz="0" w:space="0" w:color="auto"/>
        <w:left w:val="none" w:sz="0" w:space="0" w:color="auto"/>
        <w:bottom w:val="none" w:sz="0" w:space="0" w:color="auto"/>
        <w:right w:val="none" w:sz="0" w:space="0" w:color="auto"/>
      </w:divBdr>
    </w:div>
    <w:div w:id="1102842384">
      <w:bodyDiv w:val="1"/>
      <w:marLeft w:val="0"/>
      <w:marRight w:val="0"/>
      <w:marTop w:val="0"/>
      <w:marBottom w:val="0"/>
      <w:divBdr>
        <w:top w:val="none" w:sz="0" w:space="0" w:color="auto"/>
        <w:left w:val="none" w:sz="0" w:space="0" w:color="auto"/>
        <w:bottom w:val="none" w:sz="0" w:space="0" w:color="auto"/>
        <w:right w:val="none" w:sz="0" w:space="0" w:color="auto"/>
      </w:divBdr>
    </w:div>
    <w:div w:id="1136753145">
      <w:bodyDiv w:val="1"/>
      <w:marLeft w:val="0"/>
      <w:marRight w:val="0"/>
      <w:marTop w:val="0"/>
      <w:marBottom w:val="0"/>
      <w:divBdr>
        <w:top w:val="none" w:sz="0" w:space="0" w:color="auto"/>
        <w:left w:val="none" w:sz="0" w:space="0" w:color="auto"/>
        <w:bottom w:val="none" w:sz="0" w:space="0" w:color="auto"/>
        <w:right w:val="none" w:sz="0" w:space="0" w:color="auto"/>
      </w:divBdr>
    </w:div>
    <w:div w:id="1164247691">
      <w:bodyDiv w:val="1"/>
      <w:marLeft w:val="0"/>
      <w:marRight w:val="0"/>
      <w:marTop w:val="0"/>
      <w:marBottom w:val="0"/>
      <w:divBdr>
        <w:top w:val="none" w:sz="0" w:space="0" w:color="auto"/>
        <w:left w:val="none" w:sz="0" w:space="0" w:color="auto"/>
        <w:bottom w:val="none" w:sz="0" w:space="0" w:color="auto"/>
        <w:right w:val="none" w:sz="0" w:space="0" w:color="auto"/>
      </w:divBdr>
    </w:div>
    <w:div w:id="1173255207">
      <w:bodyDiv w:val="1"/>
      <w:marLeft w:val="0"/>
      <w:marRight w:val="0"/>
      <w:marTop w:val="0"/>
      <w:marBottom w:val="0"/>
      <w:divBdr>
        <w:top w:val="none" w:sz="0" w:space="0" w:color="auto"/>
        <w:left w:val="none" w:sz="0" w:space="0" w:color="auto"/>
        <w:bottom w:val="none" w:sz="0" w:space="0" w:color="auto"/>
        <w:right w:val="none" w:sz="0" w:space="0" w:color="auto"/>
      </w:divBdr>
    </w:div>
    <w:div w:id="1286887197">
      <w:bodyDiv w:val="1"/>
      <w:marLeft w:val="0"/>
      <w:marRight w:val="0"/>
      <w:marTop w:val="0"/>
      <w:marBottom w:val="0"/>
      <w:divBdr>
        <w:top w:val="none" w:sz="0" w:space="0" w:color="auto"/>
        <w:left w:val="none" w:sz="0" w:space="0" w:color="auto"/>
        <w:bottom w:val="none" w:sz="0" w:space="0" w:color="auto"/>
        <w:right w:val="none" w:sz="0" w:space="0" w:color="auto"/>
      </w:divBdr>
    </w:div>
    <w:div w:id="1329480903">
      <w:bodyDiv w:val="1"/>
      <w:marLeft w:val="0"/>
      <w:marRight w:val="0"/>
      <w:marTop w:val="0"/>
      <w:marBottom w:val="0"/>
      <w:divBdr>
        <w:top w:val="none" w:sz="0" w:space="0" w:color="auto"/>
        <w:left w:val="none" w:sz="0" w:space="0" w:color="auto"/>
        <w:bottom w:val="none" w:sz="0" w:space="0" w:color="auto"/>
        <w:right w:val="none" w:sz="0" w:space="0" w:color="auto"/>
      </w:divBdr>
    </w:div>
    <w:div w:id="1362559755">
      <w:bodyDiv w:val="1"/>
      <w:marLeft w:val="0"/>
      <w:marRight w:val="0"/>
      <w:marTop w:val="0"/>
      <w:marBottom w:val="0"/>
      <w:divBdr>
        <w:top w:val="none" w:sz="0" w:space="0" w:color="auto"/>
        <w:left w:val="none" w:sz="0" w:space="0" w:color="auto"/>
        <w:bottom w:val="none" w:sz="0" w:space="0" w:color="auto"/>
        <w:right w:val="none" w:sz="0" w:space="0" w:color="auto"/>
      </w:divBdr>
    </w:div>
    <w:div w:id="1377312750">
      <w:bodyDiv w:val="1"/>
      <w:marLeft w:val="0"/>
      <w:marRight w:val="0"/>
      <w:marTop w:val="0"/>
      <w:marBottom w:val="0"/>
      <w:divBdr>
        <w:top w:val="none" w:sz="0" w:space="0" w:color="auto"/>
        <w:left w:val="none" w:sz="0" w:space="0" w:color="auto"/>
        <w:bottom w:val="none" w:sz="0" w:space="0" w:color="auto"/>
        <w:right w:val="none" w:sz="0" w:space="0" w:color="auto"/>
      </w:divBdr>
    </w:div>
    <w:div w:id="1392579075">
      <w:bodyDiv w:val="1"/>
      <w:marLeft w:val="0"/>
      <w:marRight w:val="0"/>
      <w:marTop w:val="0"/>
      <w:marBottom w:val="0"/>
      <w:divBdr>
        <w:top w:val="none" w:sz="0" w:space="0" w:color="auto"/>
        <w:left w:val="none" w:sz="0" w:space="0" w:color="auto"/>
        <w:bottom w:val="none" w:sz="0" w:space="0" w:color="auto"/>
        <w:right w:val="none" w:sz="0" w:space="0" w:color="auto"/>
      </w:divBdr>
    </w:div>
    <w:div w:id="1406686731">
      <w:bodyDiv w:val="1"/>
      <w:marLeft w:val="0"/>
      <w:marRight w:val="0"/>
      <w:marTop w:val="0"/>
      <w:marBottom w:val="0"/>
      <w:divBdr>
        <w:top w:val="none" w:sz="0" w:space="0" w:color="auto"/>
        <w:left w:val="none" w:sz="0" w:space="0" w:color="auto"/>
        <w:bottom w:val="none" w:sz="0" w:space="0" w:color="auto"/>
        <w:right w:val="none" w:sz="0" w:space="0" w:color="auto"/>
      </w:divBdr>
    </w:div>
    <w:div w:id="1463035405">
      <w:bodyDiv w:val="1"/>
      <w:marLeft w:val="0"/>
      <w:marRight w:val="0"/>
      <w:marTop w:val="0"/>
      <w:marBottom w:val="0"/>
      <w:divBdr>
        <w:top w:val="none" w:sz="0" w:space="0" w:color="auto"/>
        <w:left w:val="none" w:sz="0" w:space="0" w:color="auto"/>
        <w:bottom w:val="none" w:sz="0" w:space="0" w:color="auto"/>
        <w:right w:val="none" w:sz="0" w:space="0" w:color="auto"/>
      </w:divBdr>
    </w:div>
    <w:div w:id="1466314078">
      <w:bodyDiv w:val="1"/>
      <w:marLeft w:val="0"/>
      <w:marRight w:val="0"/>
      <w:marTop w:val="0"/>
      <w:marBottom w:val="0"/>
      <w:divBdr>
        <w:top w:val="none" w:sz="0" w:space="0" w:color="auto"/>
        <w:left w:val="none" w:sz="0" w:space="0" w:color="auto"/>
        <w:bottom w:val="none" w:sz="0" w:space="0" w:color="auto"/>
        <w:right w:val="none" w:sz="0" w:space="0" w:color="auto"/>
      </w:divBdr>
    </w:div>
    <w:div w:id="1533155139">
      <w:bodyDiv w:val="1"/>
      <w:marLeft w:val="0"/>
      <w:marRight w:val="0"/>
      <w:marTop w:val="0"/>
      <w:marBottom w:val="0"/>
      <w:divBdr>
        <w:top w:val="none" w:sz="0" w:space="0" w:color="auto"/>
        <w:left w:val="none" w:sz="0" w:space="0" w:color="auto"/>
        <w:bottom w:val="none" w:sz="0" w:space="0" w:color="auto"/>
        <w:right w:val="none" w:sz="0" w:space="0" w:color="auto"/>
      </w:divBdr>
    </w:div>
    <w:div w:id="1648590147">
      <w:bodyDiv w:val="1"/>
      <w:marLeft w:val="0"/>
      <w:marRight w:val="0"/>
      <w:marTop w:val="0"/>
      <w:marBottom w:val="0"/>
      <w:divBdr>
        <w:top w:val="none" w:sz="0" w:space="0" w:color="auto"/>
        <w:left w:val="none" w:sz="0" w:space="0" w:color="auto"/>
        <w:bottom w:val="none" w:sz="0" w:space="0" w:color="auto"/>
        <w:right w:val="none" w:sz="0" w:space="0" w:color="auto"/>
      </w:divBdr>
    </w:div>
    <w:div w:id="1814708925">
      <w:bodyDiv w:val="1"/>
      <w:marLeft w:val="0"/>
      <w:marRight w:val="0"/>
      <w:marTop w:val="0"/>
      <w:marBottom w:val="0"/>
      <w:divBdr>
        <w:top w:val="none" w:sz="0" w:space="0" w:color="auto"/>
        <w:left w:val="none" w:sz="0" w:space="0" w:color="auto"/>
        <w:bottom w:val="none" w:sz="0" w:space="0" w:color="auto"/>
        <w:right w:val="none" w:sz="0" w:space="0" w:color="auto"/>
      </w:divBdr>
    </w:div>
    <w:div w:id="1853957364">
      <w:bodyDiv w:val="1"/>
      <w:marLeft w:val="0"/>
      <w:marRight w:val="0"/>
      <w:marTop w:val="0"/>
      <w:marBottom w:val="0"/>
      <w:divBdr>
        <w:top w:val="none" w:sz="0" w:space="0" w:color="auto"/>
        <w:left w:val="none" w:sz="0" w:space="0" w:color="auto"/>
        <w:bottom w:val="none" w:sz="0" w:space="0" w:color="auto"/>
        <w:right w:val="none" w:sz="0" w:space="0" w:color="auto"/>
      </w:divBdr>
    </w:div>
    <w:div w:id="1904634433">
      <w:bodyDiv w:val="1"/>
      <w:marLeft w:val="0"/>
      <w:marRight w:val="0"/>
      <w:marTop w:val="0"/>
      <w:marBottom w:val="0"/>
      <w:divBdr>
        <w:top w:val="none" w:sz="0" w:space="0" w:color="auto"/>
        <w:left w:val="none" w:sz="0" w:space="0" w:color="auto"/>
        <w:bottom w:val="none" w:sz="0" w:space="0" w:color="auto"/>
        <w:right w:val="none" w:sz="0" w:space="0" w:color="auto"/>
      </w:divBdr>
    </w:div>
    <w:div w:id="1925989349">
      <w:bodyDiv w:val="1"/>
      <w:marLeft w:val="0"/>
      <w:marRight w:val="0"/>
      <w:marTop w:val="0"/>
      <w:marBottom w:val="0"/>
      <w:divBdr>
        <w:top w:val="none" w:sz="0" w:space="0" w:color="auto"/>
        <w:left w:val="none" w:sz="0" w:space="0" w:color="auto"/>
        <w:bottom w:val="none" w:sz="0" w:space="0" w:color="auto"/>
        <w:right w:val="none" w:sz="0" w:space="0" w:color="auto"/>
      </w:divBdr>
    </w:div>
    <w:div w:id="1950358844">
      <w:bodyDiv w:val="1"/>
      <w:marLeft w:val="0"/>
      <w:marRight w:val="0"/>
      <w:marTop w:val="0"/>
      <w:marBottom w:val="0"/>
      <w:divBdr>
        <w:top w:val="none" w:sz="0" w:space="0" w:color="auto"/>
        <w:left w:val="none" w:sz="0" w:space="0" w:color="auto"/>
        <w:bottom w:val="none" w:sz="0" w:space="0" w:color="auto"/>
        <w:right w:val="none" w:sz="0" w:space="0" w:color="auto"/>
      </w:divBdr>
    </w:div>
    <w:div w:id="2049910264">
      <w:bodyDiv w:val="1"/>
      <w:marLeft w:val="0"/>
      <w:marRight w:val="0"/>
      <w:marTop w:val="0"/>
      <w:marBottom w:val="0"/>
      <w:divBdr>
        <w:top w:val="none" w:sz="0" w:space="0" w:color="auto"/>
        <w:left w:val="none" w:sz="0" w:space="0" w:color="auto"/>
        <w:bottom w:val="none" w:sz="0" w:space="0" w:color="auto"/>
        <w:right w:val="none" w:sz="0" w:space="0" w:color="auto"/>
      </w:divBdr>
    </w:div>
    <w:div w:id="2056658042">
      <w:bodyDiv w:val="1"/>
      <w:marLeft w:val="0"/>
      <w:marRight w:val="0"/>
      <w:marTop w:val="0"/>
      <w:marBottom w:val="0"/>
      <w:divBdr>
        <w:top w:val="none" w:sz="0" w:space="0" w:color="auto"/>
        <w:left w:val="none" w:sz="0" w:space="0" w:color="auto"/>
        <w:bottom w:val="none" w:sz="0" w:space="0" w:color="auto"/>
        <w:right w:val="none" w:sz="0" w:space="0" w:color="auto"/>
      </w:divBdr>
    </w:div>
    <w:div w:id="2113743474">
      <w:bodyDiv w:val="1"/>
      <w:marLeft w:val="0"/>
      <w:marRight w:val="0"/>
      <w:marTop w:val="0"/>
      <w:marBottom w:val="0"/>
      <w:divBdr>
        <w:top w:val="none" w:sz="0" w:space="0" w:color="auto"/>
        <w:left w:val="none" w:sz="0" w:space="0" w:color="auto"/>
        <w:bottom w:val="none" w:sz="0" w:space="0" w:color="auto"/>
        <w:right w:val="none" w:sz="0" w:space="0" w:color="auto"/>
      </w:divBdr>
      <w:divsChild>
        <w:div w:id="875703359">
          <w:marLeft w:val="0"/>
          <w:marRight w:val="0"/>
          <w:marTop w:val="0"/>
          <w:marBottom w:val="0"/>
          <w:divBdr>
            <w:top w:val="none" w:sz="0" w:space="0" w:color="auto"/>
            <w:left w:val="none" w:sz="0" w:space="0" w:color="auto"/>
            <w:bottom w:val="none" w:sz="0" w:space="0" w:color="auto"/>
            <w:right w:val="none" w:sz="0" w:space="0" w:color="auto"/>
          </w:divBdr>
          <w:divsChild>
            <w:div w:id="884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3589">
      <w:bodyDiv w:val="1"/>
      <w:marLeft w:val="0"/>
      <w:marRight w:val="0"/>
      <w:marTop w:val="0"/>
      <w:marBottom w:val="0"/>
      <w:divBdr>
        <w:top w:val="none" w:sz="0" w:space="0" w:color="auto"/>
        <w:left w:val="none" w:sz="0" w:space="0" w:color="auto"/>
        <w:bottom w:val="none" w:sz="0" w:space="0" w:color="auto"/>
        <w:right w:val="none" w:sz="0" w:space="0" w:color="auto"/>
      </w:divBdr>
    </w:div>
    <w:div w:id="2135057185">
      <w:bodyDiv w:val="1"/>
      <w:marLeft w:val="0"/>
      <w:marRight w:val="0"/>
      <w:marTop w:val="0"/>
      <w:marBottom w:val="0"/>
      <w:divBdr>
        <w:top w:val="none" w:sz="0" w:space="0" w:color="auto"/>
        <w:left w:val="none" w:sz="0" w:space="0" w:color="auto"/>
        <w:bottom w:val="none" w:sz="0" w:space="0" w:color="auto"/>
        <w:right w:val="none" w:sz="0" w:space="0" w:color="auto"/>
      </w:divBdr>
    </w:div>
    <w:div w:id="2137212541">
      <w:bodyDiv w:val="1"/>
      <w:marLeft w:val="0"/>
      <w:marRight w:val="0"/>
      <w:marTop w:val="0"/>
      <w:marBottom w:val="0"/>
      <w:divBdr>
        <w:top w:val="none" w:sz="0" w:space="0" w:color="auto"/>
        <w:left w:val="none" w:sz="0" w:space="0" w:color="auto"/>
        <w:bottom w:val="none" w:sz="0" w:space="0" w:color="auto"/>
        <w:right w:val="none" w:sz="0" w:space="0" w:color="auto"/>
      </w:divBdr>
    </w:div>
    <w:div w:id="213937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footer" Target="footer176.xml"/><Relationship Id="rId531" Type="http://schemas.openxmlformats.org/officeDocument/2006/relationships/header" Target="header259.xml"/><Relationship Id="rId573" Type="http://schemas.openxmlformats.org/officeDocument/2006/relationships/header" Target="header280.xml"/><Relationship Id="rId170" Type="http://schemas.openxmlformats.org/officeDocument/2006/relationships/footer" Target="footer79.xml"/><Relationship Id="rId226" Type="http://schemas.openxmlformats.org/officeDocument/2006/relationships/header" Target="header108.xml"/><Relationship Id="rId433" Type="http://schemas.openxmlformats.org/officeDocument/2006/relationships/header" Target="header210.xml"/><Relationship Id="rId268" Type="http://schemas.openxmlformats.org/officeDocument/2006/relationships/header" Target="header129.xml"/><Relationship Id="rId475" Type="http://schemas.openxmlformats.org/officeDocument/2006/relationships/header" Target="header231.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footer" Target="footer162.xml"/><Relationship Id="rId377" Type="http://schemas.openxmlformats.org/officeDocument/2006/relationships/footer" Target="footer181.xml"/><Relationship Id="rId500" Type="http://schemas.openxmlformats.org/officeDocument/2006/relationships/footer" Target="footer243.xml"/><Relationship Id="rId542" Type="http://schemas.openxmlformats.org/officeDocument/2006/relationships/footer" Target="footer264.xml"/><Relationship Id="rId584" Type="http://schemas.openxmlformats.org/officeDocument/2006/relationships/footer" Target="footer285.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footer" Target="footer194.xml"/><Relationship Id="rId279" Type="http://schemas.openxmlformats.org/officeDocument/2006/relationships/footer" Target="footer134.xml"/><Relationship Id="rId444" Type="http://schemas.openxmlformats.org/officeDocument/2006/relationships/footer" Target="footer215.xml"/><Relationship Id="rId486" Type="http://schemas.openxmlformats.org/officeDocument/2006/relationships/footer" Target="footer236.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8.xml"/><Relationship Id="rId511" Type="http://schemas.openxmlformats.org/officeDocument/2006/relationships/header" Target="header249.xml"/><Relationship Id="rId553" Type="http://schemas.openxmlformats.org/officeDocument/2006/relationships/header" Target="header270.xml"/><Relationship Id="rId85" Type="http://schemas.openxmlformats.org/officeDocument/2006/relationships/header" Target="header38.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footer" Target="footer199.xml"/><Relationship Id="rId595" Type="http://schemas.openxmlformats.org/officeDocument/2006/relationships/header" Target="header291.xml"/><Relationship Id="rId248" Type="http://schemas.openxmlformats.org/officeDocument/2006/relationships/footer" Target="footer118.xml"/><Relationship Id="rId455" Type="http://schemas.openxmlformats.org/officeDocument/2006/relationships/footer" Target="footer220.xml"/><Relationship Id="rId497" Type="http://schemas.openxmlformats.org/officeDocument/2006/relationships/footer" Target="footer241.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2.xml"/><Relationship Id="rId357" Type="http://schemas.openxmlformats.org/officeDocument/2006/relationships/footer" Target="footer173.xml"/><Relationship Id="rId522" Type="http://schemas.openxmlformats.org/officeDocument/2006/relationships/footer" Target="footer254.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5.xml"/><Relationship Id="rId217" Type="http://schemas.openxmlformats.org/officeDocument/2006/relationships/header" Target="header104.xml"/><Relationship Id="rId399" Type="http://schemas.openxmlformats.org/officeDocument/2006/relationships/header" Target="header193.xml"/><Relationship Id="rId564" Type="http://schemas.openxmlformats.org/officeDocument/2006/relationships/footer" Target="footer275.xml"/><Relationship Id="rId259" Type="http://schemas.openxmlformats.org/officeDocument/2006/relationships/header" Target="header125.xml"/><Relationship Id="rId424" Type="http://schemas.openxmlformats.org/officeDocument/2006/relationships/header" Target="header206.xml"/><Relationship Id="rId466" Type="http://schemas.openxmlformats.org/officeDocument/2006/relationships/header" Target="header227.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326" Type="http://schemas.openxmlformats.org/officeDocument/2006/relationships/footer" Target="footer157.xml"/><Relationship Id="rId533" Type="http://schemas.openxmlformats.org/officeDocument/2006/relationships/footer" Target="footer259.xm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7.xml"/><Relationship Id="rId575" Type="http://schemas.openxmlformats.org/officeDocument/2006/relationships/footer" Target="footer280.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header" Target="header211.xml"/><Relationship Id="rId477" Type="http://schemas.openxmlformats.org/officeDocument/2006/relationships/header" Target="header232.xml"/><Relationship Id="rId281" Type="http://schemas.openxmlformats.org/officeDocument/2006/relationships/footer" Target="footer135.xml"/><Relationship Id="rId337" Type="http://schemas.openxmlformats.org/officeDocument/2006/relationships/header" Target="header164.xml"/><Relationship Id="rId502" Type="http://schemas.openxmlformats.org/officeDocument/2006/relationships/header" Target="header245.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3.xml"/><Relationship Id="rId544" Type="http://schemas.openxmlformats.org/officeDocument/2006/relationships/header" Target="header266.xml"/><Relationship Id="rId586" Type="http://schemas.openxmlformats.org/officeDocument/2006/relationships/header" Target="header287.xml"/><Relationship Id="rId7" Type="http://schemas.openxmlformats.org/officeDocument/2006/relationships/settings" Target="settings.xml"/><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footer" Target="footer188.xml"/><Relationship Id="rId404" Type="http://schemas.openxmlformats.org/officeDocument/2006/relationships/footer" Target="footer195.xml"/><Relationship Id="rId446" Type="http://schemas.openxmlformats.org/officeDocument/2006/relationships/footer" Target="footer216.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footer" Target="footer237.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9.xml"/><Relationship Id="rId513" Type="http://schemas.openxmlformats.org/officeDocument/2006/relationships/header" Target="header250.xml"/><Relationship Id="rId555" Type="http://schemas.openxmlformats.org/officeDocument/2006/relationships/header" Target="header271.xml"/><Relationship Id="rId597" Type="http://schemas.openxmlformats.org/officeDocument/2006/relationships/fontTable" Target="fontTable.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1.xml"/><Relationship Id="rId457" Type="http://schemas.openxmlformats.org/officeDocument/2006/relationships/header" Target="header222.xml"/><Relationship Id="rId261" Type="http://schemas.openxmlformats.org/officeDocument/2006/relationships/footer" Target="footer125.xml"/><Relationship Id="rId499" Type="http://schemas.openxmlformats.org/officeDocument/2006/relationships/header" Target="header243.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footer" Target="footer153.xml"/><Relationship Id="rId359" Type="http://schemas.openxmlformats.org/officeDocument/2006/relationships/footer" Target="footer174.xml"/><Relationship Id="rId524" Type="http://schemas.openxmlformats.org/officeDocument/2006/relationships/footer" Target="footer255.xml"/><Relationship Id="rId566" Type="http://schemas.openxmlformats.org/officeDocument/2006/relationships/footer" Target="footer276.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footer" Target="footer104.xml"/><Relationship Id="rId370" Type="http://schemas.openxmlformats.org/officeDocument/2006/relationships/header" Target="header179.xml"/><Relationship Id="rId426" Type="http://schemas.openxmlformats.org/officeDocument/2006/relationships/footer" Target="footer206.xml"/><Relationship Id="rId230" Type="http://schemas.openxmlformats.org/officeDocument/2006/relationships/footer" Target="footer109.xml"/><Relationship Id="rId468" Type="http://schemas.openxmlformats.org/officeDocument/2006/relationships/footer" Target="footer227.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0.xml"/><Relationship Id="rId328" Type="http://schemas.openxmlformats.org/officeDocument/2006/relationships/header" Target="header159.xml"/><Relationship Id="rId535" Type="http://schemas.openxmlformats.org/officeDocument/2006/relationships/header" Target="header261.xml"/><Relationship Id="rId577" Type="http://schemas.openxmlformats.org/officeDocument/2006/relationships/header" Target="header282.xml"/><Relationship Id="rId132" Type="http://schemas.openxmlformats.org/officeDocument/2006/relationships/header" Target="header61.xml"/><Relationship Id="rId174" Type="http://schemas.openxmlformats.org/officeDocument/2006/relationships/header" Target="header82.xml"/><Relationship Id="rId381" Type="http://schemas.openxmlformats.org/officeDocument/2006/relationships/header" Target="header184.xml"/><Relationship Id="rId241" Type="http://schemas.openxmlformats.org/officeDocument/2006/relationships/header" Target="header116.xml"/><Relationship Id="rId437" Type="http://schemas.openxmlformats.org/officeDocument/2006/relationships/footer" Target="footer211.xml"/><Relationship Id="rId479" Type="http://schemas.openxmlformats.org/officeDocument/2006/relationships/footer" Target="footer232.xml"/><Relationship Id="rId36" Type="http://schemas.openxmlformats.org/officeDocument/2006/relationships/header" Target="header13.xml"/><Relationship Id="rId283" Type="http://schemas.openxmlformats.org/officeDocument/2006/relationships/header" Target="header137.xml"/><Relationship Id="rId339" Type="http://schemas.openxmlformats.org/officeDocument/2006/relationships/footer" Target="footer164.xml"/><Relationship Id="rId490" Type="http://schemas.openxmlformats.org/officeDocument/2006/relationships/header" Target="header239.xml"/><Relationship Id="rId504" Type="http://schemas.openxmlformats.org/officeDocument/2006/relationships/footer" Target="footer245.xml"/><Relationship Id="rId546" Type="http://schemas.openxmlformats.org/officeDocument/2006/relationships/footer" Target="footer266.xml"/><Relationship Id="rId78" Type="http://schemas.openxmlformats.org/officeDocument/2006/relationships/header" Target="header34.xml"/><Relationship Id="rId101" Type="http://schemas.openxmlformats.org/officeDocument/2006/relationships/footer" Target="footer45.xml"/><Relationship Id="rId143" Type="http://schemas.openxmlformats.org/officeDocument/2006/relationships/footer" Target="footer66.xml"/><Relationship Id="rId185" Type="http://schemas.openxmlformats.org/officeDocument/2006/relationships/footer" Target="footer87.xml"/><Relationship Id="rId350" Type="http://schemas.openxmlformats.org/officeDocument/2006/relationships/footer" Target="footer169.xml"/><Relationship Id="rId406" Type="http://schemas.openxmlformats.org/officeDocument/2006/relationships/header" Target="header197.xml"/><Relationship Id="rId588" Type="http://schemas.openxmlformats.org/officeDocument/2006/relationships/footer" Target="footer287.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footer" Target="footer189.xml"/><Relationship Id="rId448" Type="http://schemas.openxmlformats.org/officeDocument/2006/relationships/header" Target="header218.xml"/><Relationship Id="rId252" Type="http://schemas.openxmlformats.org/officeDocument/2006/relationships/header" Target="header121.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footer" Target="footer250.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header" Target="header51.xml"/><Relationship Id="rId154" Type="http://schemas.openxmlformats.org/officeDocument/2006/relationships/header" Target="header72.xml"/><Relationship Id="rId361"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557" Type="http://schemas.openxmlformats.org/officeDocument/2006/relationships/footer" Target="footer271.xml"/><Relationship Id="rId599" Type="http://schemas.microsoft.com/office/2019/05/relationships/documenttasks" Target="documenttasks/documenttasks1.xml"/><Relationship Id="rId196" Type="http://schemas.openxmlformats.org/officeDocument/2006/relationships/header" Target="header93.xml"/><Relationship Id="rId417" Type="http://schemas.openxmlformats.org/officeDocument/2006/relationships/header" Target="header202.xml"/><Relationship Id="rId459" Type="http://schemas.openxmlformats.org/officeDocument/2006/relationships/header" Target="header223.xml"/><Relationship Id="rId16" Type="http://schemas.openxmlformats.org/officeDocument/2006/relationships/header" Target="header3.xml"/><Relationship Id="rId221" Type="http://schemas.openxmlformats.org/officeDocument/2006/relationships/footer" Target="footer105.xml"/><Relationship Id="rId263" Type="http://schemas.openxmlformats.org/officeDocument/2006/relationships/footer" Target="footer126.xml"/><Relationship Id="rId319" Type="http://schemas.openxmlformats.org/officeDocument/2006/relationships/header" Target="header155.xml"/><Relationship Id="rId470" Type="http://schemas.openxmlformats.org/officeDocument/2006/relationships/footer" Target="footer228.xml"/><Relationship Id="rId526" Type="http://schemas.openxmlformats.org/officeDocument/2006/relationships/header" Target="header257.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header" Target="header160.xml"/><Relationship Id="rId547" Type="http://schemas.openxmlformats.org/officeDocument/2006/relationships/header" Target="header267.xml"/><Relationship Id="rId568" Type="http://schemas.openxmlformats.org/officeDocument/2006/relationships/header" Target="header278.xml"/><Relationship Id="rId589" Type="http://schemas.openxmlformats.org/officeDocument/2006/relationships/header" Target="header288.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footer" Target="footer170.xml"/><Relationship Id="rId372" Type="http://schemas.openxmlformats.org/officeDocument/2006/relationships/footer" Target="footer179.xml"/><Relationship Id="rId393" Type="http://schemas.openxmlformats.org/officeDocument/2006/relationships/header" Target="header190.xml"/><Relationship Id="rId407" Type="http://schemas.openxmlformats.org/officeDocument/2006/relationships/footer" Target="footer196.xml"/><Relationship Id="rId428" Type="http://schemas.openxmlformats.org/officeDocument/2006/relationships/footer" Target="footer207.xml"/><Relationship Id="rId449" Type="http://schemas.openxmlformats.org/officeDocument/2006/relationships/footer" Target="footer217.xml"/><Relationship Id="rId211" Type="http://schemas.openxmlformats.org/officeDocument/2006/relationships/header" Target="header101.xml"/><Relationship Id="rId232" Type="http://schemas.openxmlformats.org/officeDocument/2006/relationships/header" Target="header111.xml"/><Relationship Id="rId253" Type="http://schemas.openxmlformats.org/officeDocument/2006/relationships/header" Target="header122.xml"/><Relationship Id="rId274" Type="http://schemas.openxmlformats.org/officeDocument/2006/relationships/header" Target="header13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header" Target="header224.xml"/><Relationship Id="rId481" Type="http://schemas.openxmlformats.org/officeDocument/2006/relationships/header" Target="header234.xml"/><Relationship Id="rId516" Type="http://schemas.openxmlformats.org/officeDocument/2006/relationships/footer" Target="footer251.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footer" Target="footer154.xml"/><Relationship Id="rId537" Type="http://schemas.openxmlformats.org/officeDocument/2006/relationships/header" Target="header262.xml"/><Relationship Id="rId558" Type="http://schemas.openxmlformats.org/officeDocument/2006/relationships/footer" Target="footer272.xml"/><Relationship Id="rId579" Type="http://schemas.openxmlformats.org/officeDocument/2006/relationships/header" Target="header283.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footer" Target="footer165.xml"/><Relationship Id="rId362"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383" Type="http://schemas.openxmlformats.org/officeDocument/2006/relationships/footer" Target="footer184.xml"/><Relationship Id="rId418" Type="http://schemas.openxmlformats.org/officeDocument/2006/relationships/header" Target="header203.xml"/><Relationship Id="rId439" Type="http://schemas.openxmlformats.org/officeDocument/2006/relationships/header" Target="header213.xml"/><Relationship Id="rId590" Type="http://schemas.openxmlformats.org/officeDocument/2006/relationships/footer" Target="footer288.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6.xml"/><Relationship Id="rId264" Type="http://schemas.openxmlformats.org/officeDocument/2006/relationships/header" Target="header127.xml"/><Relationship Id="rId285" Type="http://schemas.openxmlformats.org/officeDocument/2006/relationships/footer" Target="footer137.xml"/><Relationship Id="rId450" Type="http://schemas.openxmlformats.org/officeDocument/2006/relationships/footer" Target="footer218.xml"/><Relationship Id="rId471" Type="http://schemas.openxmlformats.org/officeDocument/2006/relationships/header" Target="header229.xml"/><Relationship Id="rId506" Type="http://schemas.openxmlformats.org/officeDocument/2006/relationships/footer" Target="footer246.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header" Target="header150.xml"/><Relationship Id="rId492" Type="http://schemas.openxmlformats.org/officeDocument/2006/relationships/footer" Target="footer239.xml"/><Relationship Id="rId527" Type="http://schemas.openxmlformats.org/officeDocument/2006/relationships/footer" Target="footer256.xml"/><Relationship Id="rId548" Type="http://schemas.openxmlformats.org/officeDocument/2006/relationships/footer" Target="footer267.xml"/><Relationship Id="rId569" Type="http://schemas.openxmlformats.org/officeDocument/2006/relationships/footer" Target="footer277.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header" Target="header171.xml"/><Relationship Id="rId373" Type="http://schemas.openxmlformats.org/officeDocument/2006/relationships/header" Target="header180.xml"/><Relationship Id="rId394" Type="http://schemas.openxmlformats.org/officeDocument/2006/relationships/header" Target="header191.xml"/><Relationship Id="rId408" Type="http://schemas.openxmlformats.org/officeDocument/2006/relationships/footer" Target="footer197.xml"/><Relationship Id="rId429" Type="http://schemas.openxmlformats.org/officeDocument/2006/relationships/header" Target="header208.xml"/><Relationship Id="rId580" Type="http://schemas.openxmlformats.org/officeDocument/2006/relationships/header" Target="header284.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footer" Target="footer111.xml"/><Relationship Id="rId254" Type="http://schemas.openxmlformats.org/officeDocument/2006/relationships/footer" Target="footer121.xml"/><Relationship Id="rId440" Type="http://schemas.openxmlformats.org/officeDocument/2006/relationships/footer" Target="footer213.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header" Target="header145.xml"/><Relationship Id="rId461" Type="http://schemas.openxmlformats.org/officeDocument/2006/relationships/footer" Target="footer223.xml"/><Relationship Id="rId482" Type="http://schemas.openxmlformats.org/officeDocument/2006/relationships/footer" Target="footer234.xml"/><Relationship Id="rId517" Type="http://schemas.openxmlformats.org/officeDocument/2006/relationships/header" Target="header252.xml"/><Relationship Id="rId538" Type="http://schemas.openxmlformats.org/officeDocument/2006/relationships/header" Target="header263.xml"/><Relationship Id="rId559" Type="http://schemas.openxmlformats.org/officeDocument/2006/relationships/header" Target="header273.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5.xml"/><Relationship Id="rId342" Type="http://schemas.openxmlformats.org/officeDocument/2006/relationships/header" Target="header166.xml"/><Relationship Id="rId363" Type="http://schemas.openxmlformats.org/officeDocument/2006/relationships/header" Target="header175.xml"/><Relationship Id="rId384" Type="http://schemas.openxmlformats.org/officeDocument/2006/relationships/footer" Target="footer185.xml"/><Relationship Id="rId419" Type="http://schemas.openxmlformats.org/officeDocument/2006/relationships/footer" Target="footer202.xml"/><Relationship Id="rId570" Type="http://schemas.openxmlformats.org/officeDocument/2006/relationships/footer" Target="footer278.xml"/><Relationship Id="rId591" Type="http://schemas.openxmlformats.org/officeDocument/2006/relationships/header" Target="header289.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430" Type="http://schemas.openxmlformats.org/officeDocument/2006/relationships/header" Target="header209.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8.xml"/><Relationship Id="rId286" Type="http://schemas.openxmlformats.org/officeDocument/2006/relationships/header" Target="header138.xml"/><Relationship Id="rId451" Type="http://schemas.openxmlformats.org/officeDocument/2006/relationships/header" Target="header219.xml"/><Relationship Id="rId472" Type="http://schemas.openxmlformats.org/officeDocument/2006/relationships/header" Target="header230.xml"/><Relationship Id="rId493" Type="http://schemas.openxmlformats.org/officeDocument/2006/relationships/header" Target="header240.xml"/><Relationship Id="rId507" Type="http://schemas.openxmlformats.org/officeDocument/2006/relationships/header" Target="header247.xml"/><Relationship Id="rId528" Type="http://schemas.openxmlformats.org/officeDocument/2006/relationships/footer" Target="footer257.xml"/><Relationship Id="rId549" Type="http://schemas.openxmlformats.org/officeDocument/2006/relationships/header" Target="header268.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footer" Target="footer150.xml"/><Relationship Id="rId332" Type="http://schemas.openxmlformats.org/officeDocument/2006/relationships/footer" Target="footer160.xml"/><Relationship Id="rId353" Type="http://schemas.openxmlformats.org/officeDocument/2006/relationships/footer" Target="footer171.xml"/><Relationship Id="rId374" Type="http://schemas.openxmlformats.org/officeDocument/2006/relationships/footer" Target="footer180.xml"/><Relationship Id="rId395" Type="http://schemas.openxmlformats.org/officeDocument/2006/relationships/footer" Target="footer190.xml"/><Relationship Id="rId409" Type="http://schemas.openxmlformats.org/officeDocument/2006/relationships/header" Target="header198.xml"/><Relationship Id="rId560" Type="http://schemas.openxmlformats.org/officeDocument/2006/relationships/footer" Target="footer273.xml"/><Relationship Id="rId581" Type="http://schemas.openxmlformats.org/officeDocument/2006/relationships/footer" Target="footer283.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header" Target="header112.xml"/><Relationship Id="rId420" Type="http://schemas.openxmlformats.org/officeDocument/2006/relationships/footer" Target="footer203.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3.xml"/><Relationship Id="rId297" Type="http://schemas.openxmlformats.org/officeDocument/2006/relationships/footer" Target="footer143.xml"/><Relationship Id="rId441" Type="http://schemas.openxmlformats.org/officeDocument/2006/relationships/header" Target="header214.xml"/><Relationship Id="rId462" Type="http://schemas.openxmlformats.org/officeDocument/2006/relationships/footer" Target="footer224.xml"/><Relationship Id="rId483" Type="http://schemas.openxmlformats.org/officeDocument/2006/relationships/header" Target="header235.xml"/><Relationship Id="rId518" Type="http://schemas.openxmlformats.org/officeDocument/2006/relationships/footer" Target="footer252.xml"/><Relationship Id="rId539" Type="http://schemas.openxmlformats.org/officeDocument/2006/relationships/footer" Target="footer262.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6.xml"/><Relationship Id="rId322" Type="http://schemas.openxmlformats.org/officeDocument/2006/relationships/header" Target="header156.xml"/><Relationship Id="rId343" Type="http://schemas.openxmlformats.org/officeDocument/2006/relationships/header" Target="header167.xml"/><Relationship Id="rId364" Type="http://schemas.openxmlformats.org/officeDocument/2006/relationships/header" Target="header176.xml"/><Relationship Id="rId550" Type="http://schemas.openxmlformats.org/officeDocument/2006/relationships/header" Target="header269.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header" Target="header186.xml"/><Relationship Id="rId571" Type="http://schemas.openxmlformats.org/officeDocument/2006/relationships/header" Target="header279.xml"/><Relationship Id="rId592" Type="http://schemas.openxmlformats.org/officeDocument/2006/relationships/header" Target="header290.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footer" Target="footer117.xml"/><Relationship Id="rId266" Type="http://schemas.openxmlformats.org/officeDocument/2006/relationships/footer" Target="footer127.xml"/><Relationship Id="rId287" Type="http://schemas.openxmlformats.org/officeDocument/2006/relationships/footer" Target="footer138.xml"/><Relationship Id="rId410" Type="http://schemas.openxmlformats.org/officeDocument/2006/relationships/footer" Target="footer198.xml"/><Relationship Id="rId431" Type="http://schemas.openxmlformats.org/officeDocument/2006/relationships/footer" Target="footer208.xml"/><Relationship Id="rId452" Type="http://schemas.openxmlformats.org/officeDocument/2006/relationships/footer" Target="footer219.xml"/><Relationship Id="rId473" Type="http://schemas.openxmlformats.org/officeDocument/2006/relationships/footer" Target="footer229.xml"/><Relationship Id="rId494" Type="http://schemas.openxmlformats.org/officeDocument/2006/relationships/footer" Target="footer240.xml"/><Relationship Id="rId508" Type="http://schemas.openxmlformats.org/officeDocument/2006/relationships/header" Target="header248.xml"/><Relationship Id="rId529" Type="http://schemas.openxmlformats.org/officeDocument/2006/relationships/header" Target="header258.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2.xml"/><Relationship Id="rId540" Type="http://schemas.openxmlformats.org/officeDocument/2006/relationships/footer" Target="footer263.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header" Target="header181.xml"/><Relationship Id="rId396" Type="http://schemas.openxmlformats.org/officeDocument/2006/relationships/footer" Target="footer191.xml"/><Relationship Id="rId561" Type="http://schemas.openxmlformats.org/officeDocument/2006/relationships/header" Target="header274.xml"/><Relationship Id="rId582" Type="http://schemas.openxmlformats.org/officeDocument/2006/relationships/footer" Target="footer284.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4.xml"/><Relationship Id="rId421" Type="http://schemas.openxmlformats.org/officeDocument/2006/relationships/header" Target="header204.xml"/><Relationship Id="rId442" Type="http://schemas.openxmlformats.org/officeDocument/2006/relationships/header" Target="header215.xml"/><Relationship Id="rId463" Type="http://schemas.openxmlformats.org/officeDocument/2006/relationships/header" Target="header225.xml"/><Relationship Id="rId484" Type="http://schemas.openxmlformats.org/officeDocument/2006/relationships/header" Target="header236.xml"/><Relationship Id="rId519" Type="http://schemas.openxmlformats.org/officeDocument/2006/relationships/header" Target="header253.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530" Type="http://schemas.openxmlformats.org/officeDocument/2006/relationships/footer" Target="footer258.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5.xml"/><Relationship Id="rId386" Type="http://schemas.openxmlformats.org/officeDocument/2006/relationships/footer" Target="footer186.xml"/><Relationship Id="rId551" Type="http://schemas.openxmlformats.org/officeDocument/2006/relationships/footer" Target="footer268.xml"/><Relationship Id="rId572" Type="http://schemas.openxmlformats.org/officeDocument/2006/relationships/footer" Target="footer279.xml"/><Relationship Id="rId593" Type="http://schemas.openxmlformats.org/officeDocument/2006/relationships/footer" Target="footer289.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411" Type="http://schemas.openxmlformats.org/officeDocument/2006/relationships/header" Target="header199.xml"/><Relationship Id="rId432" Type="http://schemas.openxmlformats.org/officeDocument/2006/relationships/footer" Target="footer209.xml"/><Relationship Id="rId453" Type="http://schemas.openxmlformats.org/officeDocument/2006/relationships/header" Target="header220.xml"/><Relationship Id="rId474" Type="http://schemas.openxmlformats.org/officeDocument/2006/relationships/footer" Target="footer230.xml"/><Relationship Id="rId509" Type="http://schemas.openxmlformats.org/officeDocument/2006/relationships/footer" Target="footer247.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header" Target="header241.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2.xml"/><Relationship Id="rId397" Type="http://schemas.openxmlformats.org/officeDocument/2006/relationships/header" Target="header192.xml"/><Relationship Id="rId520" Type="http://schemas.openxmlformats.org/officeDocument/2006/relationships/header" Target="header254.xml"/><Relationship Id="rId541" Type="http://schemas.openxmlformats.org/officeDocument/2006/relationships/header" Target="header264.xml"/><Relationship Id="rId562" Type="http://schemas.openxmlformats.org/officeDocument/2006/relationships/header" Target="header275.xml"/><Relationship Id="rId583" Type="http://schemas.openxmlformats.org/officeDocument/2006/relationships/header" Target="header285.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401" Type="http://schemas.openxmlformats.org/officeDocument/2006/relationships/footer" Target="footer193.xml"/><Relationship Id="rId422" Type="http://schemas.openxmlformats.org/officeDocument/2006/relationships/footer" Target="footer204.xml"/><Relationship Id="rId443" Type="http://schemas.openxmlformats.org/officeDocument/2006/relationships/footer" Target="footer214.xml"/><Relationship Id="rId464" Type="http://schemas.openxmlformats.org/officeDocument/2006/relationships/footer" Target="footer225.xml"/><Relationship Id="rId303" Type="http://schemas.openxmlformats.org/officeDocument/2006/relationships/footer" Target="footer146.xml"/><Relationship Id="rId485" Type="http://schemas.openxmlformats.org/officeDocument/2006/relationships/footer" Target="footer235.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header" Target="header187.xml"/><Relationship Id="rId510" Type="http://schemas.openxmlformats.org/officeDocument/2006/relationships/footer" Target="footer248.xml"/><Relationship Id="rId552" Type="http://schemas.openxmlformats.org/officeDocument/2006/relationships/footer" Target="footer269.xml"/><Relationship Id="rId594" Type="http://schemas.openxmlformats.org/officeDocument/2006/relationships/footer" Target="footer290.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0.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header" Target="header221.xml"/><Relationship Id="rId496" Type="http://schemas.openxmlformats.org/officeDocument/2006/relationships/header" Target="header242.xml"/><Relationship Id="rId11" Type="http://schemas.openxmlformats.org/officeDocument/2006/relationships/image" Target="media/image1.emf"/><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2.xml"/><Relationship Id="rId521" Type="http://schemas.openxmlformats.org/officeDocument/2006/relationships/footer" Target="footer253.xml"/><Relationship Id="rId563" Type="http://schemas.openxmlformats.org/officeDocument/2006/relationships/footer" Target="footer274.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header" Target="header205.xml"/><Relationship Id="rId258" Type="http://schemas.openxmlformats.org/officeDocument/2006/relationships/header" Target="header124.xml"/><Relationship Id="rId465" Type="http://schemas.openxmlformats.org/officeDocument/2006/relationships/header" Target="header226.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7.xml"/><Relationship Id="rId532" Type="http://schemas.openxmlformats.org/officeDocument/2006/relationships/header" Target="header260.xml"/><Relationship Id="rId574" Type="http://schemas.openxmlformats.org/officeDocument/2006/relationships/header" Target="header281.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footer" Target="footer210.xml"/><Relationship Id="rId476" Type="http://schemas.openxmlformats.org/officeDocument/2006/relationships/footer" Target="footer231.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header" Target="header244.xml"/><Relationship Id="rId543" Type="http://schemas.openxmlformats.org/officeDocument/2006/relationships/header" Target="header265.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footer" Target="footer182.xml"/><Relationship Id="rId403" Type="http://schemas.openxmlformats.org/officeDocument/2006/relationships/header" Target="header195.xml"/><Relationship Id="rId585" Type="http://schemas.openxmlformats.org/officeDocument/2006/relationships/header" Target="header286.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6.xml"/><Relationship Id="rId487" Type="http://schemas.openxmlformats.org/officeDocument/2006/relationships/header" Target="header237.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footer" Target="footer249.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7.xml"/><Relationship Id="rId554" Type="http://schemas.openxmlformats.org/officeDocument/2006/relationships/footer" Target="footer270.xml"/><Relationship Id="rId596" Type="http://schemas.openxmlformats.org/officeDocument/2006/relationships/footer" Target="footer291.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footer" Target="footer200.xml"/><Relationship Id="rId456" Type="http://schemas.openxmlformats.org/officeDocument/2006/relationships/footer" Target="footer221.xml"/><Relationship Id="rId498" Type="http://schemas.openxmlformats.org/officeDocument/2006/relationships/footer" Target="footer242.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5.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6.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footer" Target="footer205.xml"/><Relationship Id="rId467" Type="http://schemas.openxmlformats.org/officeDocument/2006/relationships/footer" Target="footer226.xml"/><Relationship Id="rId271" Type="http://schemas.openxmlformats.org/officeDocument/2006/relationships/header" Target="header131.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header" Target="header178.xml"/><Relationship Id="rId534" Type="http://schemas.openxmlformats.org/officeDocument/2006/relationships/footer" Target="footer260.xml"/><Relationship Id="rId576" Type="http://schemas.openxmlformats.org/officeDocument/2006/relationships/footer" Target="footer281.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3.xml"/><Relationship Id="rId436" Type="http://schemas.openxmlformats.org/officeDocument/2006/relationships/header" Target="header212.xml"/><Relationship Id="rId240" Type="http://schemas.openxmlformats.org/officeDocument/2006/relationships/header" Target="header115.xml"/><Relationship Id="rId478" Type="http://schemas.openxmlformats.org/officeDocument/2006/relationships/header" Target="header233.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footer" Target="footer244.xml"/><Relationship Id="rId545" Type="http://schemas.openxmlformats.org/officeDocument/2006/relationships/footer" Target="footer265.xml"/><Relationship Id="rId587" Type="http://schemas.openxmlformats.org/officeDocument/2006/relationships/footer" Target="footer286.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89.xml"/><Relationship Id="rId405" Type="http://schemas.openxmlformats.org/officeDocument/2006/relationships/header" Target="header196.xml"/><Relationship Id="rId447" Type="http://schemas.openxmlformats.org/officeDocument/2006/relationships/header" Target="header217.xml"/><Relationship Id="rId251" Type="http://schemas.openxmlformats.org/officeDocument/2006/relationships/footer" Target="footer120.xml"/><Relationship Id="rId489" Type="http://schemas.openxmlformats.org/officeDocument/2006/relationships/header" Target="header238.xml"/><Relationship Id="rId46" Type="http://schemas.openxmlformats.org/officeDocument/2006/relationships/header" Target="head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header" Target="header251.xml"/><Relationship Id="rId556" Type="http://schemas.openxmlformats.org/officeDocument/2006/relationships/header" Target="header272.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yperlink" Target="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 TargetMode="External"/><Relationship Id="rId416" Type="http://schemas.openxmlformats.org/officeDocument/2006/relationships/footer" Target="footer201.xml"/><Relationship Id="rId598" Type="http://schemas.openxmlformats.org/officeDocument/2006/relationships/theme" Target="theme/theme1.xml"/><Relationship Id="rId220" Type="http://schemas.openxmlformats.org/officeDocument/2006/relationships/header" Target="header105.xml"/><Relationship Id="rId458" Type="http://schemas.openxmlformats.org/officeDocument/2006/relationships/footer" Target="footer222.xml"/><Relationship Id="rId15" Type="http://schemas.openxmlformats.org/officeDocument/2006/relationships/footer" Target="footer2.xml"/><Relationship Id="rId57" Type="http://schemas.openxmlformats.org/officeDocument/2006/relationships/footer" Target="footer23.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header" Target="header256.xml"/><Relationship Id="rId567" Type="http://schemas.openxmlformats.org/officeDocument/2006/relationships/header" Target="header277.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78.xml"/><Relationship Id="rId427" Type="http://schemas.openxmlformats.org/officeDocument/2006/relationships/header" Target="header207.xml"/><Relationship Id="rId469" Type="http://schemas.openxmlformats.org/officeDocument/2006/relationships/header" Target="header228.xml"/><Relationship Id="rId26" Type="http://schemas.openxmlformats.org/officeDocument/2006/relationships/footer" Target="footer7.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footer" Target="footer233.xml"/><Relationship Id="rId536" Type="http://schemas.openxmlformats.org/officeDocument/2006/relationships/footer" Target="footer261.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footer" Target="footer282.xml"/><Relationship Id="rId200" Type="http://schemas.openxmlformats.org/officeDocument/2006/relationships/footer" Target="footer94.xml"/><Relationship Id="rId382" Type="http://schemas.openxmlformats.org/officeDocument/2006/relationships/header" Target="header185.xml"/><Relationship Id="rId438" Type="http://schemas.openxmlformats.org/officeDocument/2006/relationships/footer" Target="footer212.xml"/><Relationship Id="rId242" Type="http://schemas.openxmlformats.org/officeDocument/2006/relationships/footer" Target="footer115.xml"/><Relationship Id="rId284" Type="http://schemas.openxmlformats.org/officeDocument/2006/relationships/footer" Target="footer136.xml"/><Relationship Id="rId491" Type="http://schemas.openxmlformats.org/officeDocument/2006/relationships/footer" Target="footer238.xml"/><Relationship Id="rId505" Type="http://schemas.openxmlformats.org/officeDocument/2006/relationships/header" Target="header246.xml"/></Relationships>
</file>

<file path=word/_rels/footnotes.xml.rels><?xml version="1.0" encoding="UTF-8" standalone="yes"?>
<Relationships xmlns="http://schemas.openxmlformats.org/package/2006/relationships"><Relationship Id="rId2" Type="http://schemas.openxmlformats.org/officeDocument/2006/relationships/hyperlink" Target="https://www.congreso.es/public_oficiales/L14/CONG/BOCG/D/BOCG-14-D-175.PDF" TargetMode="External"/><Relationship Id="rId1" Type="http://schemas.openxmlformats.org/officeDocument/2006/relationships/hyperlink" Target="https://digital-strategy.ec.europa.eu/en/activities/digital-programme" TargetMode="External"/></Relationships>
</file>

<file path=word/documenttasks/documenttasks1.xml><?xml version="1.0" encoding="utf-8"?>
<t:Tasks xmlns:t="http://schemas.microsoft.com/office/tasks/2019/documenttasks" xmlns:oel="http://schemas.microsoft.com/office/2019/extlst">
  <t:Task id="{29FB0DB6-C283-4A81-80BF-2A96CE74D748}">
    <t:Anchor>
      <t:Comment id="2088677627"/>
    </t:Anchor>
    <t:History>
      <t:Event id="{51EF8CFF-3D92-4BA5-B294-515A85816018}" time="2023-08-25T11:02:48.635Z">
        <t:Attribution userId="S::eleni.papadopoulou@ec.europa.eu::ae0b95e5-7bf9-4446-b4a1-31053ff28e21" userProvider="AD" userName="PAPADOPOULOU Eleni (ECFIN)"/>
        <t:Anchor>
          <t:Comment id="2088677627"/>
        </t:Anchor>
        <t:Create/>
      </t:Event>
      <t:Event id="{7D9D5BC4-1AB8-4368-9944-DA3A41E7F4F7}" time="2023-08-25T11:02:48.635Z">
        <t:Attribution userId="S::eleni.papadopoulou@ec.europa.eu::ae0b95e5-7bf9-4446-b4a1-31053ff28e21" userProvider="AD" userName="PAPADOPOULOU Eleni (ECFIN)"/>
        <t:Anchor>
          <t:Comment id="2088677627"/>
        </t:Anchor>
        <t:Assign userId="S::Cristina.COSTA-SALAVEDRA@ec.europa.eu::5f9a1b25-105f-456c-ab83-eefd0da24dfb" userProvider="AD" userName="COSTA SALAVEDRA Cristina (SG-RECOVER)"/>
      </t:Event>
      <t:Event id="{79B08B1A-7EEC-4C48-BDF3-A2E80B005324}" time="2023-08-25T11:02:48.635Z">
        <t:Attribution userId="S::eleni.papadopoulou@ec.europa.eu::ae0b95e5-7bf9-4446-b4a1-31053ff28e21" userProvider="AD" userName="PAPADOPOULOU Eleni (ECFIN)"/>
        <t:Anchor>
          <t:Comment id="2088677627"/>
        </t:Anchor>
        <t:SetTitle title="@COSTA SALAVEDRA Cristina (SG-RECOVER) Can you please check if this tagging is correct, according to new fich of 3.8?"/>
      </t:Event>
    </t:History>
  </t:Task>
  <t:Task id="{53DEBF43-93C4-455D-9F16-E28AE7A6E241}">
    <t:Anchor>
      <t:Comment id="726961251"/>
    </t:Anchor>
    <t:History>
      <t:Event id="{F0BB291B-2CE9-4A1A-9F2F-B3A22D50E7B8}" time="2023-08-25T11:05:44.198Z">
        <t:Attribution userId="S::eleni.papadopoulou@ec.europa.eu::ae0b95e5-7bf9-4446-b4a1-31053ff28e21" userProvider="AD" userName="PAPADOPOULOU Eleni (ECFIN)"/>
        <t:Anchor>
          <t:Comment id="726961251"/>
        </t:Anchor>
        <t:Create/>
      </t:Event>
      <t:Event id="{27571831-BBD0-461A-AA84-B1296CA11FCF}" time="2023-08-25T11:05:44.198Z">
        <t:Attribution userId="S::eleni.papadopoulou@ec.europa.eu::ae0b95e5-7bf9-4446-b4a1-31053ff28e21" userProvider="AD" userName="PAPADOPOULOU Eleni (ECFIN)"/>
        <t:Anchor>
          <t:Comment id="726961251"/>
        </t:Anchor>
        <t:Assign userId="S::Cristina.COSTA-SALAVEDRA@ec.europa.eu::5f9a1b25-105f-456c-ab83-eefd0da24dfb" userProvider="AD" userName="COSTA SALAVEDRA Cristina (SG-RECOVER)"/>
      </t:Event>
      <t:Event id="{F1083518-E601-4B8F-A8D7-8318EF203BC5}" time="2023-08-25T11:05:44.198Z">
        <t:Attribution userId="S::eleni.papadopoulou@ec.europa.eu::ae0b95e5-7bf9-4446-b4a1-31053ff28e21" userProvider="AD" userName="PAPADOPOULOU Eleni (ECFIN)"/>
        <t:Anchor>
          <t:Comment id="726961251"/>
        </t:Anchor>
        <t:SetTitle title="@COSTA SALAVEDRA Cristina (SG-RECOVER) same here for tagging according to new fich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9" ma:contentTypeDescription="Create a new document." ma:contentTypeScope="" ma:versionID="4d283028af38f1f3061e234347266dc2">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b61ac8d648b0f0a207dd99a19d880b68"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C315D-7536-49D2-B370-DBB8B05589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61947C-E72A-4854-BFE2-635764EB9AED}">
  <ds:schemaRefs>
    <ds:schemaRef ds:uri="http://schemas.microsoft.com/sharepoint/v3/contenttype/forms"/>
  </ds:schemaRefs>
</ds:datastoreItem>
</file>

<file path=customXml/itemProps3.xml><?xml version="1.0" encoding="utf-8"?>
<ds:datastoreItem xmlns:ds="http://schemas.openxmlformats.org/officeDocument/2006/customXml" ds:itemID="{32A9B400-E950-4868-BACE-B00D5DCB6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1846D2-8BD0-4BAE-9EBF-927D8EB0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23</Pages>
  <Words>168544</Words>
  <Characters>960703</Characters>
  <Application>Microsoft Office Word</Application>
  <DocSecurity>0</DocSecurity>
  <Lines>8005</Lines>
  <Paragraphs>2253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1126994</CharactersWithSpaces>
  <SharedDoc>false</SharedDoc>
  <HLinks>
    <vt:vector size="24" baseType="variant">
      <vt:variant>
        <vt:i4>6553676</vt:i4>
      </vt:variant>
      <vt:variant>
        <vt:i4>6</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_ftn3</vt:lpwstr>
      </vt:variant>
      <vt:variant>
        <vt:i4>6553676</vt:i4>
      </vt:variant>
      <vt:variant>
        <vt:i4>3</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_ftn1</vt:lpwstr>
      </vt:variant>
      <vt:variant>
        <vt:i4>6553676</vt:i4>
      </vt:variant>
      <vt:variant>
        <vt:i4>0</vt:i4>
      </vt:variant>
      <vt:variant>
        <vt:i4>0</vt:i4>
      </vt:variant>
      <vt:variant>
        <vt:i4>5</vt:i4>
      </vt:variant>
      <vt:variant>
        <vt:lpwstr>https://euc-word-edit.officeapps.live.com/we/wordeditorframe.aspx?ui=en%2DUS&amp;rs=en%2DIE&amp;wopisrc=https%3A%2F%2Feceuropaeu.sharepoint.com%2Fteams%2FGRP-SGRECOVERCommonCountryTeam%2F_vti_bin%2Fwopi.ashx%2Ffiles%2F93809a66540847d1a862c3176ceab456&amp;wdenableroaming=1&amp;mscc=1&amp;hid=9E5F9AA0-90A5-6000-3203-1D22B9D36D4F&amp;wdorigin=ItemsView&amp;wdhostclicktime=1677516935686&amp;jsapi=1&amp;jsapiver=v1&amp;newsession=1&amp;corrid=cd9edc1c-75ea-40df-b422-7d133c4261a2&amp;usid=cd9edc1c-75ea-40df-b422-7d133c4261a2&amp;sftc=1&amp;cac=1&amp;mtf=1&amp;sfp=1&amp;instantedit=1&amp;wopicomplete=1&amp;wdredirectionreason=Unified_SingleFlush&amp;rct=Normal&amp;ctp=LeastProtected</vt:lpwstr>
      </vt:variant>
      <vt:variant>
        <vt:lpwstr>_ftn3</vt:lpwstr>
      </vt:variant>
      <vt:variant>
        <vt:i4>7471176</vt:i4>
      </vt:variant>
      <vt:variant>
        <vt:i4>0</vt:i4>
      </vt:variant>
      <vt:variant>
        <vt:i4>0</vt:i4>
      </vt:variant>
      <vt:variant>
        <vt:i4>5</vt:i4>
      </vt:variant>
      <vt:variant>
        <vt:lpwstr>https://www.congreso.es/public_oficiales/L14/CONG/BOCG/D/BOCG-14-D-175.PDF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DUBUSSE Christine (TAXUD)</dc:creator>
  <cp:keywords/>
  <dc:description/>
  <cp:lastModifiedBy>EC CoDe</cp:lastModifiedBy>
  <cp:revision>23</cp:revision>
  <dcterms:created xsi:type="dcterms:W3CDTF">2023-09-28T13:36:00Z</dcterms:created>
  <dcterms:modified xsi:type="dcterms:W3CDTF">2023-10-09T09:01:00Z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1</vt:lpwstr>
  </property>
  <property fmtid="{D5CDD505-2E9C-101B-9397-08002B2CF9AE}" pid="6" name="Part">
    <vt:lpwstr>1</vt:lpwstr>
  </property>
  <property fmtid="{D5CDD505-2E9C-101B-9397-08002B2CF9AE}" pid="7" name="Total parts">
    <vt:lpwstr>1</vt:lpwstr>
  </property>
  <property fmtid="{D5CDD505-2E9C-101B-9397-08002B2CF9AE}" pid="8" name="CPTemplateID">
    <vt:lpwstr>CP-036</vt:lpwstr>
  </property>
  <property fmtid="{D5CDD505-2E9C-101B-9397-08002B2CF9AE}" pid="9" name="Created using">
    <vt:lpwstr>LW 7.0.1, Build 20190916</vt:lpwstr>
  </property>
  <property fmtid="{D5CDD505-2E9C-101B-9397-08002B2CF9AE}" pid="10" name="Last edited using">
    <vt:lpwstr>LW 9.0, Build 20230317</vt:lpwstr>
  </property>
  <property fmtid="{D5CDD505-2E9C-101B-9397-08002B2CF9AE}" pid="11" name="_LW_INVALIDATED__LW_INVALIDATED__LW_INVALIDATED_ContentTypeId">
    <vt:lpwstr>0x010100258AA79CEB83498886A3A08681123250003A96FF36B9FA2B41AA2F50B89189C74B</vt:lpwstr>
  </property>
  <property fmtid="{D5CDD505-2E9C-101B-9397-08002B2CF9AE}" pid="12" name="_LW_INVALIDATED_ContentTypeId">
    <vt:lpwstr>0x010100258AA79CEB83498886A3A08681123250003A96FF36B9FA2B41AA2F50B89189C74B</vt:lpwstr>
  </property>
  <property fmtid="{D5CDD505-2E9C-101B-9397-08002B2CF9AE}" pid="13" name="ContentTypeId">
    <vt:lpwstr>0x01010062094E9F29D6C04F85860C631ABC812A</vt:lpwstr>
  </property>
  <property fmtid="{D5CDD505-2E9C-101B-9397-08002B2CF9AE}" pid="14" name="MSIP_Label_6bd9ddd1-4d20-43f6-abfa-fc3c07406f94_Enabled">
    <vt:lpwstr>true</vt:lpwstr>
  </property>
  <property fmtid="{D5CDD505-2E9C-101B-9397-08002B2CF9AE}" pid="15" name="MSIP_Label_6bd9ddd1-4d20-43f6-abfa-fc3c07406f94_SetDate">
    <vt:lpwstr>2023-03-29T10:03:47Z</vt:lpwstr>
  </property>
  <property fmtid="{D5CDD505-2E9C-101B-9397-08002B2CF9AE}" pid="16" name="MSIP_Label_6bd9ddd1-4d20-43f6-abfa-fc3c07406f94_Method">
    <vt:lpwstr>Standard</vt:lpwstr>
  </property>
  <property fmtid="{D5CDD505-2E9C-101B-9397-08002B2CF9AE}" pid="17" name="MSIP_Label_6bd9ddd1-4d20-43f6-abfa-fc3c07406f94_Name">
    <vt:lpwstr>Commission Use</vt:lpwstr>
  </property>
  <property fmtid="{D5CDD505-2E9C-101B-9397-08002B2CF9AE}" pid="18" name="MSIP_Label_6bd9ddd1-4d20-43f6-abfa-fc3c07406f94_SiteId">
    <vt:lpwstr>b24c8b06-522c-46fe-9080-70926f8dddb1</vt:lpwstr>
  </property>
  <property fmtid="{D5CDD505-2E9C-101B-9397-08002B2CF9AE}" pid="19" name="MSIP_Label_6bd9ddd1-4d20-43f6-abfa-fc3c07406f94_ActionId">
    <vt:lpwstr>ce1a9282-c4de-49a6-81b9-75d0f74bd9c8</vt:lpwstr>
  </property>
  <property fmtid="{D5CDD505-2E9C-101B-9397-08002B2CF9AE}" pid="20" name="MSIP_Label_6bd9ddd1-4d20-43f6-abfa-fc3c07406f94_ContentBits">
    <vt:lpwstr>0</vt:lpwstr>
  </property>
  <property fmtid="{D5CDD505-2E9C-101B-9397-08002B2CF9AE}" pid="21" name="DocStatus">
    <vt:lpwstr>Green</vt:lpwstr>
  </property>
</Properties>
</file>